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E0D0E" w14:textId="15FBB659" w:rsidR="00BB4DB4" w:rsidRPr="00BB5083" w:rsidRDefault="00BB4DB4" w:rsidP="00BB4DB4">
      <w:pPr>
        <w:spacing w:after="360"/>
        <w:ind w:right="91"/>
        <w:jc w:val="center"/>
        <w:rPr>
          <w:b/>
          <w:u w:val="single"/>
        </w:rPr>
      </w:pPr>
      <w:r w:rsidRPr="00DF13CE">
        <w:rPr>
          <w:b/>
          <w:u w:val="single"/>
        </w:rPr>
        <w:t xml:space="preserve">WORK HEALTH AND SAFETY AMENDMENT (MANAGING PSYCHOSOCIAL RISK AND OTHER </w:t>
      </w:r>
      <w:r w:rsidR="00A24A4F" w:rsidRPr="00BB5083">
        <w:rPr>
          <w:b/>
          <w:u w:val="single"/>
        </w:rPr>
        <w:t>MEASURES</w:t>
      </w:r>
      <w:r w:rsidRPr="00BB5083">
        <w:rPr>
          <w:b/>
          <w:u w:val="single"/>
        </w:rPr>
        <w:t>) REGULATION</w:t>
      </w:r>
      <w:r w:rsidR="00844921">
        <w:rPr>
          <w:b/>
          <w:u w:val="single"/>
        </w:rPr>
        <w:t>S</w:t>
      </w:r>
      <w:r w:rsidRPr="00BB5083">
        <w:rPr>
          <w:b/>
          <w:u w:val="single"/>
        </w:rPr>
        <w:t xml:space="preserve"> 2022</w:t>
      </w:r>
    </w:p>
    <w:p w14:paraId="3DC7A661" w14:textId="77777777" w:rsidR="00BB4DB4" w:rsidRPr="00BB5083" w:rsidRDefault="00BB4DB4" w:rsidP="00BB4DB4">
      <w:pPr>
        <w:spacing w:before="240" w:after="240"/>
        <w:ind w:right="91"/>
        <w:jc w:val="center"/>
        <w:rPr>
          <w:b/>
          <w:u w:val="single"/>
        </w:rPr>
      </w:pPr>
      <w:r w:rsidRPr="00BB5083">
        <w:rPr>
          <w:b/>
          <w:u w:val="single"/>
        </w:rPr>
        <w:t>EXPLANATORY STATEMENT</w:t>
      </w:r>
    </w:p>
    <w:p w14:paraId="2F46BE57" w14:textId="77777777" w:rsidR="00BB4DB4" w:rsidRPr="00BB5083" w:rsidRDefault="00BB4DB4" w:rsidP="00BB4DB4">
      <w:pPr>
        <w:tabs>
          <w:tab w:val="left" w:pos="993"/>
        </w:tabs>
        <w:ind w:left="1440" w:right="91" w:hanging="1440"/>
        <w:jc w:val="center"/>
      </w:pPr>
    </w:p>
    <w:p w14:paraId="4800E70C" w14:textId="51A7BEA8" w:rsidR="00BB4DB4" w:rsidRPr="00BB5083" w:rsidRDefault="00BB4DB4" w:rsidP="00BB4DB4">
      <w:pPr>
        <w:tabs>
          <w:tab w:val="left" w:pos="993"/>
        </w:tabs>
        <w:spacing w:after="240"/>
        <w:ind w:left="1440" w:right="91" w:hanging="1440"/>
        <w:jc w:val="center"/>
      </w:pPr>
      <w:r w:rsidRPr="00BB5083">
        <w:t>Issued by the authority of the Minister for Employment and Workplace Relations</w:t>
      </w:r>
    </w:p>
    <w:p w14:paraId="65AC9039" w14:textId="77777777" w:rsidR="00BB4DB4" w:rsidRPr="00BB5083" w:rsidRDefault="00BB4DB4" w:rsidP="00BB4DB4">
      <w:pPr>
        <w:tabs>
          <w:tab w:val="left" w:pos="993"/>
        </w:tabs>
        <w:spacing w:after="120"/>
        <w:ind w:left="1440" w:right="91" w:hanging="1440"/>
        <w:jc w:val="center"/>
        <w:rPr>
          <w:i/>
        </w:rPr>
      </w:pPr>
      <w:r w:rsidRPr="00BB5083">
        <w:t xml:space="preserve">under section 276 of the </w:t>
      </w:r>
      <w:r w:rsidRPr="00BB5083">
        <w:rPr>
          <w:i/>
        </w:rPr>
        <w:t>Work Health and Safety Act 2011</w:t>
      </w:r>
    </w:p>
    <w:p w14:paraId="4BFED456" w14:textId="77777777" w:rsidR="00BB4DB4" w:rsidRPr="00406624" w:rsidRDefault="00BB4DB4" w:rsidP="00BB4DB4">
      <w:pPr>
        <w:rPr>
          <w:bCs/>
        </w:rPr>
      </w:pPr>
    </w:p>
    <w:p w14:paraId="0A24D6F7" w14:textId="77777777" w:rsidR="00BB4DB4" w:rsidRPr="00DF13CE" w:rsidRDefault="00BB4DB4" w:rsidP="00BB4DB4">
      <w:pPr>
        <w:rPr>
          <w:b/>
        </w:rPr>
      </w:pPr>
      <w:r w:rsidRPr="00BB5083">
        <w:rPr>
          <w:b/>
        </w:rPr>
        <w:t>PURPOSE AND OPERATION OF THE INSTRUMENT</w:t>
      </w:r>
    </w:p>
    <w:p w14:paraId="42576E8A" w14:textId="77777777" w:rsidR="00BB4DB4" w:rsidRPr="00406624" w:rsidRDefault="00BB4DB4" w:rsidP="00BB4DB4">
      <w:pPr>
        <w:rPr>
          <w:bCs/>
        </w:rPr>
      </w:pPr>
    </w:p>
    <w:p w14:paraId="1D29D1E3" w14:textId="13C0E687" w:rsidR="00A94BBB" w:rsidRPr="009C2E6C" w:rsidRDefault="00A94BBB" w:rsidP="00A94BBB">
      <w:pPr>
        <w:shd w:val="clear" w:color="auto" w:fill="FFFFFF"/>
        <w:spacing w:after="200" w:line="330" w:lineRule="atLeast"/>
        <w:rPr>
          <w:rFonts w:ascii="Calibri" w:hAnsi="Calibri" w:cs="Calibri"/>
          <w:sz w:val="22"/>
          <w:szCs w:val="22"/>
        </w:rPr>
      </w:pPr>
      <w:r w:rsidRPr="009C2E6C">
        <w:t xml:space="preserve">The </w:t>
      </w:r>
      <w:r w:rsidR="0029622F" w:rsidRPr="00DF13CE">
        <w:rPr>
          <w:i/>
        </w:rPr>
        <w:t>Work Health and Safety Act 2011</w:t>
      </w:r>
      <w:r w:rsidR="0029622F" w:rsidRPr="00BB5083">
        <w:t xml:space="preserve"> </w:t>
      </w:r>
      <w:r w:rsidR="0029622F" w:rsidRPr="00E8337B">
        <w:t xml:space="preserve">(the Act) </w:t>
      </w:r>
      <w:r w:rsidRPr="009C2E6C">
        <w:t>and the</w:t>
      </w:r>
      <w:r w:rsidR="0029622F" w:rsidRPr="009C2E6C">
        <w:t xml:space="preserve"> </w:t>
      </w:r>
      <w:r w:rsidR="0029622F" w:rsidRPr="009C2E6C">
        <w:rPr>
          <w:i/>
          <w:iCs/>
        </w:rPr>
        <w:t>Work Health and Safety Regulations 2011</w:t>
      </w:r>
      <w:r w:rsidRPr="009C2E6C">
        <w:t xml:space="preserve"> </w:t>
      </w:r>
      <w:r w:rsidR="0029622F" w:rsidRPr="009C2E6C">
        <w:t>(</w:t>
      </w:r>
      <w:r w:rsidR="00C56A9A" w:rsidRPr="009C2E6C">
        <w:t xml:space="preserve">the </w:t>
      </w:r>
      <w:r w:rsidR="00D922F3">
        <w:t>p</w:t>
      </w:r>
      <w:r w:rsidRPr="009C2E6C">
        <w:t>rincipal Regulations</w:t>
      </w:r>
      <w:r w:rsidR="0029622F" w:rsidRPr="009C2E6C">
        <w:t>)</w:t>
      </w:r>
      <w:r w:rsidRPr="009C2E6C">
        <w:t xml:space="preserve"> provide the primary work health and safety legislation for the Commonwealth jurisdiction. They are based on the model </w:t>
      </w:r>
      <w:r w:rsidR="00EA624D">
        <w:t>W</w:t>
      </w:r>
      <w:r w:rsidR="0029622F" w:rsidRPr="009C2E6C">
        <w:t xml:space="preserve">ork </w:t>
      </w:r>
      <w:r w:rsidR="00EA624D">
        <w:t>H</w:t>
      </w:r>
      <w:r w:rsidR="0029622F" w:rsidRPr="009C2E6C">
        <w:t xml:space="preserve">ealth and </w:t>
      </w:r>
      <w:r w:rsidR="00EA624D">
        <w:t>S</w:t>
      </w:r>
      <w:r w:rsidR="0029622F" w:rsidRPr="009C2E6C">
        <w:t>afety</w:t>
      </w:r>
      <w:r w:rsidRPr="009C2E6C">
        <w:t xml:space="preserve"> laws</w:t>
      </w:r>
      <w:r w:rsidR="001979E3" w:rsidRPr="009C2E6C">
        <w:t xml:space="preserve"> (model laws)</w:t>
      </w:r>
      <w:r w:rsidRPr="009C2E6C">
        <w:t xml:space="preserve"> developed by Safe Work Australia</w:t>
      </w:r>
      <w:r w:rsidR="008E3C4E">
        <w:t>.</w:t>
      </w:r>
      <w:r w:rsidRPr="009C2E6C">
        <w:t xml:space="preserve"> </w:t>
      </w:r>
    </w:p>
    <w:p w14:paraId="6865A457" w14:textId="2C76211D" w:rsidR="00A94BBB" w:rsidRPr="009C2E6C" w:rsidRDefault="00A94BBB" w:rsidP="00A94BBB">
      <w:pPr>
        <w:shd w:val="clear" w:color="auto" w:fill="FFFFFF"/>
        <w:spacing w:after="200" w:line="330" w:lineRule="atLeast"/>
        <w:rPr>
          <w:rFonts w:ascii="Calibri" w:hAnsi="Calibri" w:cs="Calibri"/>
          <w:sz w:val="22"/>
          <w:szCs w:val="22"/>
        </w:rPr>
      </w:pPr>
      <w:r w:rsidRPr="009C2E6C">
        <w:t>The Act provides for a framework to secure the health and safety of workers and workplaces, in part</w:t>
      </w:r>
      <w:r w:rsidR="003858DC">
        <w:t>,</w:t>
      </w:r>
      <w:r w:rsidRPr="009C2E6C">
        <w:t xml:space="preserve"> by protecting workers and other persons against harm to their health, safety and welfare through the elimination or minimisation of risks arising from work.</w:t>
      </w:r>
    </w:p>
    <w:p w14:paraId="22A40DE3" w14:textId="412F5A43" w:rsidR="0043714C" w:rsidRPr="00691850" w:rsidRDefault="00A94BBB" w:rsidP="00227BA2">
      <w:pPr>
        <w:shd w:val="clear" w:color="auto" w:fill="FFFFFF"/>
        <w:spacing w:after="200" w:line="330" w:lineRule="atLeast"/>
      </w:pPr>
      <w:r w:rsidRPr="009C2E6C">
        <w:t xml:space="preserve">Subsection 276(1) of the Act provides that the Governor-General may make regulations in relation to any matter relating to </w:t>
      </w:r>
      <w:r w:rsidR="00C56A9A" w:rsidRPr="009C2E6C">
        <w:t>work health and safety</w:t>
      </w:r>
      <w:r w:rsidRPr="009C2E6C">
        <w:t>, and any matter or thing required or permitted by the Act to be prescribed or that is necessary or convenient to be prescribed to give effect to the Act.</w:t>
      </w:r>
      <w:r w:rsidR="0043714C">
        <w:t xml:space="preserve"> </w:t>
      </w:r>
      <w:r w:rsidR="00445134">
        <w:t>S</w:t>
      </w:r>
      <w:r w:rsidR="00EC32C3">
        <w:t>pecific</w:t>
      </w:r>
      <w:r w:rsidR="00445134">
        <w:t xml:space="preserve"> regulation making powers </w:t>
      </w:r>
      <w:r w:rsidR="00E81096">
        <w:t>include</w:t>
      </w:r>
      <w:r w:rsidR="0043714C" w:rsidRPr="00691850">
        <w:t>:</w:t>
      </w:r>
    </w:p>
    <w:p w14:paraId="0AB57C7C" w14:textId="5BA9C72A" w:rsidR="0043714C" w:rsidRPr="00691850" w:rsidRDefault="0043714C" w:rsidP="00227BA2">
      <w:pPr>
        <w:pStyle w:val="ListParagraph"/>
        <w:numPr>
          <w:ilvl w:val="0"/>
          <w:numId w:val="20"/>
        </w:numPr>
        <w:shd w:val="clear" w:color="auto" w:fill="FFFFFF"/>
        <w:spacing w:after="200" w:line="330" w:lineRule="atLeast"/>
      </w:pPr>
      <w:r w:rsidRPr="00691850">
        <w:t>Subsection 12(6) provides the transitional period for a non-Commonwealth licensee may be ended by the making of a regulation.</w:t>
      </w:r>
    </w:p>
    <w:p w14:paraId="6F754B4E" w14:textId="525B4220" w:rsidR="0043714C" w:rsidRPr="00691850" w:rsidRDefault="0043714C" w:rsidP="00227BA2">
      <w:pPr>
        <w:pStyle w:val="ListParagraph"/>
        <w:numPr>
          <w:ilvl w:val="0"/>
          <w:numId w:val="20"/>
        </w:numPr>
        <w:shd w:val="clear" w:color="auto" w:fill="FFFFFF"/>
        <w:spacing w:after="200" w:line="330" w:lineRule="atLeast"/>
      </w:pPr>
      <w:r w:rsidRPr="00691850">
        <w:t xml:space="preserve">Section 4 provides additional laws may be prescribed as a </w:t>
      </w:r>
      <w:r w:rsidR="003858DC">
        <w:t>‘</w:t>
      </w:r>
      <w:r w:rsidRPr="00691850">
        <w:t>corresponding WHS law</w:t>
      </w:r>
      <w:r w:rsidR="003858DC">
        <w:t>’</w:t>
      </w:r>
      <w:r w:rsidRPr="00691850">
        <w:t>.</w:t>
      </w:r>
    </w:p>
    <w:p w14:paraId="25289868" w14:textId="54F816E5" w:rsidR="00472E9E" w:rsidRPr="009C2E6C" w:rsidRDefault="0043714C" w:rsidP="00227BA2">
      <w:pPr>
        <w:pStyle w:val="ListParagraph"/>
        <w:numPr>
          <w:ilvl w:val="0"/>
          <w:numId w:val="20"/>
        </w:numPr>
        <w:shd w:val="clear" w:color="auto" w:fill="FFFFFF"/>
        <w:spacing w:after="200" w:line="330" w:lineRule="atLeast"/>
      </w:pPr>
      <w:r w:rsidRPr="00691850">
        <w:t xml:space="preserve">Paragraph 276(3)(d) provides the regulations may apply, </w:t>
      </w:r>
      <w:proofErr w:type="gramStart"/>
      <w:r w:rsidRPr="00691850">
        <w:t>adopt</w:t>
      </w:r>
      <w:proofErr w:type="gramEnd"/>
      <w:r w:rsidRPr="00691850">
        <w:t xml:space="preserve"> or incorporate any matter contained in any document formulated, issued or published by a person or body with or without modification, and as in force at a particular time or as in force or remade from time to time. </w:t>
      </w:r>
    </w:p>
    <w:p w14:paraId="420BEB29" w14:textId="58E1AD52" w:rsidR="00F323A0" w:rsidRPr="009C2E6C" w:rsidRDefault="00F323A0" w:rsidP="00CA34E0">
      <w:pPr>
        <w:shd w:val="clear" w:color="auto" w:fill="FFFFFF"/>
        <w:spacing w:after="200" w:line="330" w:lineRule="atLeast"/>
      </w:pPr>
      <w:r w:rsidRPr="00DF13CE">
        <w:t>The</w:t>
      </w:r>
      <w:r w:rsidR="004A27AB" w:rsidRPr="00BB5083">
        <w:t xml:space="preserve"> purpose of the</w:t>
      </w:r>
      <w:r w:rsidRPr="00E8337B">
        <w:t xml:space="preserve"> </w:t>
      </w:r>
      <w:r w:rsidRPr="00BB194B">
        <w:rPr>
          <w:i/>
          <w:iCs/>
        </w:rPr>
        <w:t>Work Health and Safety Amendment (</w:t>
      </w:r>
      <w:r w:rsidR="003B692C">
        <w:rPr>
          <w:i/>
          <w:iCs/>
        </w:rPr>
        <w:t xml:space="preserve">Managing </w:t>
      </w:r>
      <w:r w:rsidR="001D3140" w:rsidRPr="00BB194B">
        <w:rPr>
          <w:i/>
          <w:iCs/>
        </w:rPr>
        <w:t>P</w:t>
      </w:r>
      <w:r w:rsidRPr="00BB194B">
        <w:rPr>
          <w:i/>
          <w:iCs/>
        </w:rPr>
        <w:t xml:space="preserve">sychosocial </w:t>
      </w:r>
      <w:r w:rsidR="00033C26" w:rsidRPr="00BB194B">
        <w:rPr>
          <w:i/>
          <w:iCs/>
        </w:rPr>
        <w:t xml:space="preserve">Risk </w:t>
      </w:r>
      <w:r w:rsidRPr="00BB194B">
        <w:rPr>
          <w:i/>
          <w:iCs/>
        </w:rPr>
        <w:t xml:space="preserve">and </w:t>
      </w:r>
      <w:r w:rsidR="003858DC">
        <w:rPr>
          <w:i/>
          <w:iCs/>
        </w:rPr>
        <w:t>O</w:t>
      </w:r>
      <w:r w:rsidRPr="00BB194B">
        <w:rPr>
          <w:i/>
          <w:iCs/>
        </w:rPr>
        <w:t xml:space="preserve">ther </w:t>
      </w:r>
      <w:r w:rsidR="00A24A4F" w:rsidRPr="00BB194B">
        <w:rPr>
          <w:i/>
          <w:iCs/>
        </w:rPr>
        <w:t>Measures</w:t>
      </w:r>
      <w:r w:rsidRPr="00BB194B">
        <w:rPr>
          <w:i/>
          <w:iCs/>
        </w:rPr>
        <w:t>) Regulations 2022</w:t>
      </w:r>
      <w:r w:rsidRPr="00BB194B">
        <w:t xml:space="preserve"> (</w:t>
      </w:r>
      <w:r w:rsidR="0032078A" w:rsidRPr="00BB194B">
        <w:t xml:space="preserve">the Amendment </w:t>
      </w:r>
      <w:r w:rsidR="00E17C40" w:rsidRPr="00BB194B">
        <w:t>Regulations</w:t>
      </w:r>
      <w:r w:rsidRPr="009C2E6C">
        <w:t xml:space="preserve">) </w:t>
      </w:r>
      <w:r w:rsidR="004A27AB" w:rsidRPr="009C2E6C">
        <w:t xml:space="preserve">is to </w:t>
      </w:r>
      <w:r w:rsidRPr="009C2E6C">
        <w:t xml:space="preserve">amend the </w:t>
      </w:r>
      <w:r w:rsidR="00D2157A">
        <w:t>p</w:t>
      </w:r>
      <w:r w:rsidRPr="009C2E6C">
        <w:t xml:space="preserve">rincipal Regulations to adopt amendments to the model </w:t>
      </w:r>
      <w:r w:rsidR="001D3140" w:rsidRPr="009C2E6C">
        <w:t>W</w:t>
      </w:r>
      <w:r w:rsidRPr="009C2E6C">
        <w:t xml:space="preserve">ork </w:t>
      </w:r>
      <w:r w:rsidR="001D3140" w:rsidRPr="009C2E6C">
        <w:t>H</w:t>
      </w:r>
      <w:r w:rsidRPr="009C2E6C">
        <w:t xml:space="preserve">ealth and </w:t>
      </w:r>
      <w:r w:rsidR="001D3140" w:rsidRPr="009C2E6C">
        <w:t>S</w:t>
      </w:r>
      <w:r w:rsidRPr="009C2E6C">
        <w:t>afety Regulations</w:t>
      </w:r>
      <w:r w:rsidR="00A23E10" w:rsidRPr="009C2E6C">
        <w:t xml:space="preserve"> (</w:t>
      </w:r>
      <w:r w:rsidR="001D1183">
        <w:t xml:space="preserve">the </w:t>
      </w:r>
      <w:r w:rsidR="00A23E10" w:rsidRPr="009C2E6C">
        <w:t>model Regulations)</w:t>
      </w:r>
      <w:r w:rsidRPr="009C2E6C">
        <w:t xml:space="preserve"> published by Safe Work </w:t>
      </w:r>
      <w:r w:rsidR="002F4C0A" w:rsidRPr="009C2E6C">
        <w:t>Australia</w:t>
      </w:r>
      <w:r w:rsidR="00D17558" w:rsidRPr="009C2E6C">
        <w:t xml:space="preserve"> and</w:t>
      </w:r>
      <w:r w:rsidR="00D311C7" w:rsidRPr="009C2E6C">
        <w:t xml:space="preserve"> make</w:t>
      </w:r>
      <w:r w:rsidR="00D17558" w:rsidRPr="009C2E6C">
        <w:t xml:space="preserve"> other </w:t>
      </w:r>
      <w:r w:rsidR="007B305E">
        <w:t>minor and clarifying</w:t>
      </w:r>
      <w:r w:rsidR="00D17558" w:rsidRPr="009C2E6C">
        <w:t xml:space="preserve"> amendments</w:t>
      </w:r>
      <w:r w:rsidR="00C62227" w:rsidRPr="009C2E6C">
        <w:t xml:space="preserve"> specific to the Commonwealth jurisdiction</w:t>
      </w:r>
      <w:r w:rsidR="00D17558" w:rsidRPr="009C2E6C">
        <w:t>. These include</w:t>
      </w:r>
      <w:r w:rsidR="00CA34E0" w:rsidRPr="009C2E6C">
        <w:t xml:space="preserve"> amendments</w:t>
      </w:r>
      <w:r w:rsidR="00DB207F" w:rsidRPr="009C2E6C">
        <w:t xml:space="preserve"> to</w:t>
      </w:r>
      <w:r w:rsidR="00CA34E0" w:rsidRPr="009C2E6C">
        <w:t>:</w:t>
      </w:r>
    </w:p>
    <w:p w14:paraId="501F1CCC" w14:textId="21214368" w:rsidR="00CA34E0" w:rsidRPr="009C2E6C" w:rsidRDefault="008A356F" w:rsidP="00CA34E0">
      <w:pPr>
        <w:pStyle w:val="ListParagraph"/>
        <w:numPr>
          <w:ilvl w:val="0"/>
          <w:numId w:val="20"/>
        </w:numPr>
        <w:shd w:val="clear" w:color="auto" w:fill="FFFFFF"/>
        <w:spacing w:after="200" w:line="330" w:lineRule="atLeast"/>
      </w:pPr>
      <w:r>
        <w:t>i</w:t>
      </w:r>
      <w:r w:rsidR="000D0B95" w:rsidRPr="009C2E6C">
        <w:t xml:space="preserve">dentify and control </w:t>
      </w:r>
      <w:r w:rsidR="00B25B08" w:rsidRPr="009C2E6C">
        <w:t xml:space="preserve">psychosocial risks </w:t>
      </w:r>
      <w:r w:rsidR="000D0B95" w:rsidRPr="009C2E6C">
        <w:t>in the workplace</w:t>
      </w:r>
      <w:r w:rsidR="00672B26" w:rsidRPr="009C2E6C">
        <w:t xml:space="preserve"> </w:t>
      </w:r>
    </w:p>
    <w:p w14:paraId="4867E2A2" w14:textId="602215E4" w:rsidR="0038619D" w:rsidRPr="009C2E6C" w:rsidRDefault="00677B2F" w:rsidP="00BA1743">
      <w:pPr>
        <w:pStyle w:val="ListParagraph"/>
        <w:numPr>
          <w:ilvl w:val="0"/>
          <w:numId w:val="20"/>
        </w:numPr>
        <w:shd w:val="clear" w:color="auto" w:fill="FFFFFF"/>
        <w:spacing w:after="200" w:line="330" w:lineRule="atLeast"/>
      </w:pPr>
      <w:r w:rsidRPr="009C2E6C">
        <w:t xml:space="preserve">strengthen record keeping requirements of amusement device </w:t>
      </w:r>
      <w:r w:rsidR="00BA1743" w:rsidRPr="009C2E6C">
        <w:t xml:space="preserve">operators to improve visibility of amusement device safety </w:t>
      </w:r>
    </w:p>
    <w:p w14:paraId="605DE7C6" w14:textId="365A6F0E" w:rsidR="00CA03A1" w:rsidRPr="009C2E6C" w:rsidRDefault="00CA03A1" w:rsidP="00CA34E0">
      <w:pPr>
        <w:pStyle w:val="ListParagraph"/>
        <w:numPr>
          <w:ilvl w:val="0"/>
          <w:numId w:val="20"/>
        </w:numPr>
        <w:shd w:val="clear" w:color="auto" w:fill="FFFFFF"/>
        <w:spacing w:after="200" w:line="330" w:lineRule="atLeast"/>
      </w:pPr>
      <w:r w:rsidRPr="009C2E6C">
        <w:t xml:space="preserve">clarify that a </w:t>
      </w:r>
      <w:r w:rsidR="00267406">
        <w:t>S</w:t>
      </w:r>
      <w:r w:rsidRPr="009C2E6C">
        <w:t xml:space="preserve">tandard need only apply if the Act or </w:t>
      </w:r>
      <w:r w:rsidR="00D2157A">
        <w:t>p</w:t>
      </w:r>
      <w:r w:rsidRPr="009C2E6C">
        <w:t>rincipal Regulations prescribe it</w:t>
      </w:r>
    </w:p>
    <w:p w14:paraId="2ACE1397" w14:textId="4663331E" w:rsidR="00640567" w:rsidRPr="009C2E6C" w:rsidRDefault="00005B02" w:rsidP="00CA34E0">
      <w:pPr>
        <w:pStyle w:val="ListParagraph"/>
        <w:numPr>
          <w:ilvl w:val="0"/>
          <w:numId w:val="20"/>
        </w:numPr>
        <w:shd w:val="clear" w:color="auto" w:fill="FFFFFF"/>
        <w:spacing w:after="200" w:line="330" w:lineRule="atLeast"/>
      </w:pPr>
      <w:r w:rsidRPr="00DF13CE">
        <w:rPr>
          <w:lang w:val="en-US"/>
        </w:rPr>
        <w:t>c</w:t>
      </w:r>
      <w:r w:rsidR="00BF4AC6" w:rsidRPr="00BB5083">
        <w:rPr>
          <w:lang w:val="en-US"/>
        </w:rPr>
        <w:t xml:space="preserve">larify that only </w:t>
      </w:r>
      <w:r w:rsidR="00D347E2" w:rsidRPr="00E8337B">
        <w:rPr>
          <w:lang w:val="en-US"/>
        </w:rPr>
        <w:t xml:space="preserve">listed </w:t>
      </w:r>
      <w:r w:rsidR="007D3079" w:rsidRPr="00DF13CE">
        <w:rPr>
          <w:lang w:val="en-US"/>
        </w:rPr>
        <w:t>laws are ‘corresponding WHS laws’</w:t>
      </w:r>
    </w:p>
    <w:p w14:paraId="2B22E439" w14:textId="77777777" w:rsidR="00A55ABE" w:rsidRPr="009C2E6C" w:rsidRDefault="00005B02" w:rsidP="00CA34E0">
      <w:pPr>
        <w:pStyle w:val="ListParagraph"/>
        <w:numPr>
          <w:ilvl w:val="0"/>
          <w:numId w:val="20"/>
        </w:numPr>
        <w:shd w:val="clear" w:color="auto" w:fill="FFFFFF"/>
        <w:spacing w:after="200" w:line="330" w:lineRule="atLeast"/>
      </w:pPr>
      <w:r w:rsidRPr="00DF13CE">
        <w:rPr>
          <w:lang w:val="en-US"/>
        </w:rPr>
        <w:t>u</w:t>
      </w:r>
      <w:r w:rsidR="003A278F" w:rsidRPr="00BB5083">
        <w:rPr>
          <w:lang w:val="en-US"/>
        </w:rPr>
        <w:t>pdate the list of prescribed public authorities</w:t>
      </w:r>
      <w:r w:rsidR="00A55ABE" w:rsidRPr="00E8337B">
        <w:rPr>
          <w:lang w:val="en-US"/>
        </w:rPr>
        <w:t>; and</w:t>
      </w:r>
    </w:p>
    <w:p w14:paraId="7B6D43D4" w14:textId="3D7D4C66" w:rsidR="003A278F" w:rsidRPr="009C2E6C" w:rsidRDefault="00A55ABE" w:rsidP="00A55ABE">
      <w:pPr>
        <w:pStyle w:val="ListParagraph"/>
        <w:numPr>
          <w:ilvl w:val="0"/>
          <w:numId w:val="20"/>
        </w:numPr>
        <w:shd w:val="clear" w:color="auto" w:fill="FFFFFF"/>
        <w:spacing w:after="200" w:line="330" w:lineRule="atLeast"/>
      </w:pPr>
      <w:r w:rsidRPr="00DF13CE">
        <w:rPr>
          <w:lang w:val="en-US"/>
        </w:rPr>
        <w:lastRenderedPageBreak/>
        <w:t xml:space="preserve">clarify coverage for certain </w:t>
      </w:r>
      <w:r w:rsidR="00D311C7" w:rsidRPr="00BB194B">
        <w:rPr>
          <w:lang w:val="en-US"/>
        </w:rPr>
        <w:t>entities</w:t>
      </w:r>
      <w:r w:rsidR="00E97520" w:rsidRPr="00BB194B">
        <w:rPr>
          <w:lang w:val="en-US"/>
        </w:rPr>
        <w:t xml:space="preserve"> which </w:t>
      </w:r>
      <w:r w:rsidR="00E97520" w:rsidRPr="00022D60">
        <w:rPr>
          <w:lang w:val="en-US"/>
        </w:rPr>
        <w:t xml:space="preserve">have exited the </w:t>
      </w:r>
      <w:r w:rsidRPr="00022D60">
        <w:rPr>
          <w:lang w:val="en-US"/>
        </w:rPr>
        <w:t xml:space="preserve">Commonwealth </w:t>
      </w:r>
      <w:r w:rsidR="00E97520" w:rsidRPr="00022D60">
        <w:rPr>
          <w:lang w:val="en-US"/>
        </w:rPr>
        <w:t>workers</w:t>
      </w:r>
      <w:r w:rsidR="003858DC">
        <w:rPr>
          <w:lang w:val="en-US"/>
        </w:rPr>
        <w:t>’</w:t>
      </w:r>
      <w:r w:rsidR="00E97520" w:rsidRPr="00022D60">
        <w:rPr>
          <w:lang w:val="en-US"/>
        </w:rPr>
        <w:t xml:space="preserve"> compensation scheme.</w:t>
      </w:r>
      <w:r w:rsidRPr="00BB194B">
        <w:rPr>
          <w:lang w:val="en-US"/>
        </w:rPr>
        <w:t xml:space="preserve"> </w:t>
      </w:r>
      <w:r w:rsidR="00005B02" w:rsidRPr="00BB194B">
        <w:rPr>
          <w:lang w:val="en-US"/>
        </w:rPr>
        <w:t xml:space="preserve"> </w:t>
      </w:r>
    </w:p>
    <w:p w14:paraId="13711E1F" w14:textId="44EC94FB" w:rsidR="00E81040" w:rsidRDefault="003C0CDF" w:rsidP="000942EA">
      <w:pPr>
        <w:pStyle w:val="Style1"/>
        <w:rPr>
          <w:lang w:val="en-US"/>
        </w:rPr>
      </w:pPr>
      <w:r w:rsidRPr="00227BA2">
        <w:rPr>
          <w:lang w:val="en-US"/>
        </w:rPr>
        <w:t>Psychosocial regulations</w:t>
      </w:r>
    </w:p>
    <w:p w14:paraId="2DA6C017" w14:textId="294EC7E4" w:rsidR="00B017D7" w:rsidRDefault="0011771A" w:rsidP="00D103DA">
      <w:pPr>
        <w:shd w:val="clear" w:color="auto" w:fill="FFFFFF"/>
        <w:spacing w:after="200" w:line="330" w:lineRule="atLeast"/>
      </w:pPr>
      <w:r>
        <w:t>Section 4 of the Act defines ‘health’ to include psychological health. This means, any duties under the Act that apply to ‘health’ apply to psychological health. Despite this</w:t>
      </w:r>
      <w:r w:rsidR="00240F05">
        <w:t>,</w:t>
      </w:r>
      <w:r>
        <w:t xml:space="preserve"> the </w:t>
      </w:r>
      <w:r w:rsidR="003624E5" w:rsidRPr="00803878">
        <w:t xml:space="preserve">Review of the </w:t>
      </w:r>
      <w:r w:rsidR="007C7AA7">
        <w:t>m</w:t>
      </w:r>
      <w:r w:rsidR="003624E5" w:rsidRPr="00803878">
        <w:t xml:space="preserve">odel </w:t>
      </w:r>
      <w:r w:rsidR="00251DA1">
        <w:t>W</w:t>
      </w:r>
      <w:r w:rsidR="007C7AA7">
        <w:t xml:space="preserve">ork </w:t>
      </w:r>
      <w:r w:rsidR="00251DA1">
        <w:t>H</w:t>
      </w:r>
      <w:r w:rsidR="007C7AA7">
        <w:t xml:space="preserve">ealth and </w:t>
      </w:r>
      <w:r w:rsidR="00251DA1">
        <w:t>S</w:t>
      </w:r>
      <w:r w:rsidR="007C7AA7">
        <w:t>afety</w:t>
      </w:r>
      <w:r w:rsidR="00251DA1">
        <w:t xml:space="preserve"> </w:t>
      </w:r>
      <w:r w:rsidR="003624E5" w:rsidRPr="00803878">
        <w:t>laws (</w:t>
      </w:r>
      <w:r w:rsidR="001D1183">
        <w:t xml:space="preserve">the </w:t>
      </w:r>
      <w:r w:rsidR="003624E5" w:rsidRPr="00803878">
        <w:t>Boland Review)</w:t>
      </w:r>
      <w:r>
        <w:t xml:space="preserve"> found that: </w:t>
      </w:r>
    </w:p>
    <w:p w14:paraId="0C3FEB02" w14:textId="1D942D01" w:rsidR="00B017D7" w:rsidRPr="00D103DA" w:rsidRDefault="0011771A" w:rsidP="00D103DA">
      <w:pPr>
        <w:pStyle w:val="ListParagraph"/>
        <w:numPr>
          <w:ilvl w:val="0"/>
          <w:numId w:val="20"/>
        </w:numPr>
        <w:shd w:val="clear" w:color="auto" w:fill="FFFFFF"/>
        <w:spacing w:after="200" w:line="330" w:lineRule="atLeast"/>
      </w:pPr>
      <w:r w:rsidRPr="00D103DA">
        <w:t>persons conducting a business or undertaking (PCBUs) have limited understanding of their duties in relation to managing risks to psychological health at work</w:t>
      </w:r>
      <w:r w:rsidR="003858DC">
        <w:t>;</w:t>
      </w:r>
      <w:r w:rsidRPr="00D103DA">
        <w:t xml:space="preserve"> and </w:t>
      </w:r>
    </w:p>
    <w:p w14:paraId="22F3B8E7" w14:textId="47D6CD7D" w:rsidR="00B017D7" w:rsidRPr="00D103DA" w:rsidRDefault="0011771A" w:rsidP="00D103DA">
      <w:pPr>
        <w:pStyle w:val="ListParagraph"/>
        <w:numPr>
          <w:ilvl w:val="0"/>
          <w:numId w:val="20"/>
        </w:numPr>
        <w:shd w:val="clear" w:color="auto" w:fill="FFFFFF"/>
        <w:spacing w:after="200" w:line="330" w:lineRule="atLeast"/>
      </w:pPr>
      <w:r w:rsidRPr="00D103DA">
        <w:t>while the work health and safety laws already deal with psychological health at work, work-related psychological injury data, and the experiences of workers, indicates the existing framework is not operating effectively</w:t>
      </w:r>
      <w:r>
        <w:t>.</w:t>
      </w:r>
    </w:p>
    <w:p w14:paraId="43DB1901" w14:textId="11F17098" w:rsidR="003C0CDF" w:rsidRDefault="0011771A" w:rsidP="00D103DA">
      <w:pPr>
        <w:shd w:val="clear" w:color="auto" w:fill="FFFFFF"/>
        <w:spacing w:after="200" w:line="330" w:lineRule="atLeast"/>
      </w:pPr>
      <w:r>
        <w:t>In response to this outcome, the</w:t>
      </w:r>
      <w:r w:rsidR="0020067A">
        <w:t xml:space="preserve"> Boland</w:t>
      </w:r>
      <w:r>
        <w:t xml:space="preserve"> Review recommended the model Regulations be amended to ‘deal with how to identify the psychosocial risks associated with psychological injury and the appropriate control measures to manage those risks’ (</w:t>
      </w:r>
      <w:r w:rsidR="003858DC">
        <w:t>r</w:t>
      </w:r>
      <w:r>
        <w:t xml:space="preserve">ecommendation 2). Recommendation 2 was supported by Ministers responsible for </w:t>
      </w:r>
      <w:r w:rsidR="00651009">
        <w:t>work health and safety</w:t>
      </w:r>
      <w:r>
        <w:t>.</w:t>
      </w:r>
      <w:r w:rsidR="008D7D41">
        <w:t xml:space="preserve"> The model Regulations were amended in June 2022 to give effect to </w:t>
      </w:r>
      <w:r w:rsidR="003858DC">
        <w:t>r</w:t>
      </w:r>
      <w:r w:rsidR="008D7D41">
        <w:t>ecommendation 2.</w:t>
      </w:r>
      <w:r w:rsidR="00587315">
        <w:t xml:space="preserve"> Th</w:t>
      </w:r>
      <w:r w:rsidR="003858DC">
        <w:t>ese</w:t>
      </w:r>
      <w:r w:rsidR="00587315">
        <w:t xml:space="preserve"> Amendment Regulation</w:t>
      </w:r>
      <w:r w:rsidR="003858DC">
        <w:t>s</w:t>
      </w:r>
      <w:r w:rsidR="00587315">
        <w:t xml:space="preserve"> give effect to the model Re</w:t>
      </w:r>
      <w:r w:rsidR="007D2A73">
        <w:t xml:space="preserve">gulation for psychosocial risks in the Commonwealth.  </w:t>
      </w:r>
    </w:p>
    <w:p w14:paraId="7086C214" w14:textId="1438F348" w:rsidR="00751F63" w:rsidRPr="00227BA2" w:rsidRDefault="007A050A" w:rsidP="00D103DA">
      <w:pPr>
        <w:shd w:val="clear" w:color="auto" w:fill="FFFFFF"/>
        <w:spacing w:after="200" w:line="330" w:lineRule="atLeast"/>
      </w:pPr>
      <w:r>
        <w:t>The Amendment Regulation</w:t>
      </w:r>
      <w:r w:rsidR="003858DC">
        <w:t>s</w:t>
      </w:r>
      <w:r>
        <w:t xml:space="preserve">, while largely mirroring the model Regulations, would also apply the hierarchy of controls (regulation 36 of the </w:t>
      </w:r>
      <w:r w:rsidR="00D2157A">
        <w:t>p</w:t>
      </w:r>
      <w:r>
        <w:t xml:space="preserve">rincipal Regulations) to psychosocial hazards. </w:t>
      </w:r>
      <w:r w:rsidR="00467282" w:rsidRPr="00FF5C89">
        <w:t>The hierarchy of controls is a step-by-step approach to eliminating or reducing risks and it ranks risk controls from the highest level of protection and reliability through to the lowest and least reliable protection.</w:t>
      </w:r>
      <w:r w:rsidR="00467282">
        <w:t xml:space="preserve"> </w:t>
      </w:r>
      <w:r w:rsidR="00ED2F7D" w:rsidRPr="00FF5C89">
        <w:t xml:space="preserve">The hierarchy of control requires that higher order control measures are implemented first unless it is not reasonably practicable to do so. </w:t>
      </w:r>
      <w:r>
        <w:t>The hierarchy of controls is a fundamental element of work health and safety risk management and applying it to psychosocial risks will ensure that physical and psychosocial risks are managed using the same framework.</w:t>
      </w:r>
    </w:p>
    <w:p w14:paraId="4D372F0A" w14:textId="6660CD03" w:rsidR="007D208A" w:rsidRPr="00227BA2" w:rsidRDefault="00A8033B" w:rsidP="000942EA">
      <w:pPr>
        <w:pStyle w:val="Style1"/>
      </w:pPr>
      <w:r w:rsidRPr="00227BA2">
        <w:t>Other recommendations of the Boland Review</w:t>
      </w:r>
    </w:p>
    <w:p w14:paraId="7D16E008" w14:textId="371E05B2" w:rsidR="0043395B" w:rsidRPr="009C2E6C" w:rsidRDefault="0043395B" w:rsidP="00D103DA">
      <w:pPr>
        <w:shd w:val="clear" w:color="auto" w:fill="FFFFFF"/>
        <w:spacing w:after="200" w:line="330" w:lineRule="atLeast"/>
      </w:pPr>
      <w:r>
        <w:t xml:space="preserve">In addition to </w:t>
      </w:r>
      <w:r w:rsidR="005027B0">
        <w:t>recommendation 2, t</w:t>
      </w:r>
      <w:r w:rsidRPr="00BB194B">
        <w:t>he Amendment Regulations</w:t>
      </w:r>
      <w:r w:rsidRPr="009C2E6C">
        <w:t xml:space="preserve"> amend the </w:t>
      </w:r>
      <w:r w:rsidR="00D2157A">
        <w:t>p</w:t>
      </w:r>
      <w:r w:rsidRPr="009C2E6C">
        <w:t>rincipal Regulations to adopt amendments to the model Regulations</w:t>
      </w:r>
      <w:r w:rsidR="004E1F54">
        <w:t xml:space="preserve"> which</w:t>
      </w:r>
      <w:r w:rsidR="00AE61C1">
        <w:t xml:space="preserve"> </w:t>
      </w:r>
      <w:r w:rsidRPr="009C2E6C">
        <w:t xml:space="preserve">implement </w:t>
      </w:r>
      <w:r w:rsidR="00E12615">
        <w:t xml:space="preserve">other </w:t>
      </w:r>
      <w:r w:rsidR="00AE61C1">
        <w:t>recommendations of the</w:t>
      </w:r>
      <w:r w:rsidRPr="009C2E6C">
        <w:t xml:space="preserve"> Boland Review. These include amending the </w:t>
      </w:r>
      <w:r w:rsidR="00D2157A">
        <w:t>p</w:t>
      </w:r>
      <w:r w:rsidRPr="009C2E6C">
        <w:t>rincipal Regulations to:</w:t>
      </w:r>
    </w:p>
    <w:p w14:paraId="7B994FFF" w14:textId="31957589" w:rsidR="00B05A3F" w:rsidRPr="0061192E" w:rsidRDefault="00B05A3F" w:rsidP="0061192E">
      <w:pPr>
        <w:pStyle w:val="ListParagraph"/>
        <w:numPr>
          <w:ilvl w:val="0"/>
          <w:numId w:val="20"/>
        </w:numPr>
        <w:shd w:val="clear" w:color="auto" w:fill="FFFFFF"/>
        <w:spacing w:after="200" w:line="330" w:lineRule="atLeast"/>
      </w:pPr>
      <w:r w:rsidRPr="0061192E">
        <w:t xml:space="preserve">Improve recording of statutory notices and operator training in amusement device </w:t>
      </w:r>
      <w:proofErr w:type="gramStart"/>
      <w:r w:rsidRPr="0061192E">
        <w:t>log books</w:t>
      </w:r>
      <w:proofErr w:type="gramEnd"/>
      <w:r w:rsidRPr="0061192E">
        <w:t xml:space="preserve"> to improve the visibility of amusement device safety (recommendation 28). </w:t>
      </w:r>
    </w:p>
    <w:p w14:paraId="4DCAC7A2" w14:textId="7B428745" w:rsidR="00386B3C" w:rsidRPr="0061192E" w:rsidRDefault="00386B3C" w:rsidP="0061192E">
      <w:pPr>
        <w:pStyle w:val="ListParagraph"/>
        <w:numPr>
          <w:ilvl w:val="1"/>
          <w:numId w:val="20"/>
        </w:numPr>
        <w:shd w:val="clear" w:color="auto" w:fill="FFFFFF"/>
        <w:spacing w:after="200" w:line="330" w:lineRule="atLeast"/>
      </w:pPr>
      <w:r w:rsidRPr="0061192E">
        <w:t xml:space="preserve">While this amendment </w:t>
      </w:r>
      <w:r w:rsidR="007875F0" w:rsidRPr="0061192E">
        <w:t xml:space="preserve">is unlikely to </w:t>
      </w:r>
      <w:r w:rsidR="00EE3D1E" w:rsidRPr="0061192E">
        <w:t xml:space="preserve">bear </w:t>
      </w:r>
      <w:r w:rsidR="007875F0" w:rsidRPr="0061192E">
        <w:t xml:space="preserve">impact </w:t>
      </w:r>
      <w:r w:rsidR="00EE3D1E" w:rsidRPr="0061192E">
        <w:t xml:space="preserve">on </w:t>
      </w:r>
      <w:r w:rsidR="007875F0" w:rsidRPr="0061192E">
        <w:t xml:space="preserve">the Commonwealth jurisdiction, it is being made to ensure consistency with the model </w:t>
      </w:r>
      <w:r w:rsidR="00EE3D1E" w:rsidRPr="0061192E">
        <w:t xml:space="preserve">laws. </w:t>
      </w:r>
      <w:r w:rsidR="007875F0" w:rsidRPr="0061192E">
        <w:t xml:space="preserve">  </w:t>
      </w:r>
    </w:p>
    <w:p w14:paraId="392B72B7" w14:textId="15CD6106" w:rsidR="00285683" w:rsidRPr="0061192E" w:rsidRDefault="00B05A3F" w:rsidP="0061192E">
      <w:pPr>
        <w:pStyle w:val="ListParagraph"/>
        <w:numPr>
          <w:ilvl w:val="0"/>
          <w:numId w:val="20"/>
        </w:numPr>
        <w:shd w:val="clear" w:color="auto" w:fill="FFFFFF"/>
        <w:spacing w:after="200" w:line="330" w:lineRule="atLeast"/>
      </w:pPr>
      <w:r w:rsidRPr="0061192E">
        <w:t xml:space="preserve">Clarify that compliance with an Australian Standard or an Australia/New Zealand </w:t>
      </w:r>
      <w:r w:rsidR="00267406">
        <w:t>S</w:t>
      </w:r>
      <w:r w:rsidR="00267406" w:rsidRPr="0061192E">
        <w:t xml:space="preserve">tandard </w:t>
      </w:r>
      <w:r w:rsidRPr="0061192E">
        <w:t>is not mandatory unless this is specifically stated (recommendation 31b).</w:t>
      </w:r>
    </w:p>
    <w:p w14:paraId="444F2BC5" w14:textId="437B18DA" w:rsidR="007875F0" w:rsidRPr="0061192E" w:rsidRDefault="00EE3D1E" w:rsidP="0061192E">
      <w:pPr>
        <w:pStyle w:val="ListParagraph"/>
        <w:numPr>
          <w:ilvl w:val="1"/>
          <w:numId w:val="20"/>
        </w:numPr>
        <w:shd w:val="clear" w:color="auto" w:fill="FFFFFF"/>
        <w:spacing w:after="200" w:line="330" w:lineRule="atLeast"/>
      </w:pPr>
      <w:r w:rsidRPr="0061192E">
        <w:t>This amendment clarifies the intended operation of the existing model laws.</w:t>
      </w:r>
    </w:p>
    <w:p w14:paraId="1D6B470C" w14:textId="3F0AE110" w:rsidR="0065100F" w:rsidRPr="00E8337B" w:rsidRDefault="0065100F" w:rsidP="000942EA">
      <w:pPr>
        <w:pStyle w:val="Style1"/>
      </w:pPr>
      <w:r w:rsidRPr="00DF13CE">
        <w:lastRenderedPageBreak/>
        <w:t>Corresponding WHS law</w:t>
      </w:r>
      <w:r w:rsidR="00E81661" w:rsidRPr="00BB5083">
        <w:t>s</w:t>
      </w:r>
    </w:p>
    <w:p w14:paraId="20436385" w14:textId="10D60647" w:rsidR="001469C8" w:rsidRPr="009C2E6C" w:rsidRDefault="00CE4C8A" w:rsidP="00227BA2">
      <w:pPr>
        <w:shd w:val="clear" w:color="auto" w:fill="FFFFFF"/>
        <w:spacing w:before="240" w:after="200" w:line="330" w:lineRule="atLeast"/>
      </w:pPr>
      <w:r w:rsidRPr="009C2E6C">
        <w:t xml:space="preserve">The </w:t>
      </w:r>
      <w:r w:rsidR="00E66FCB" w:rsidRPr="009C2E6C">
        <w:t>Amendment</w:t>
      </w:r>
      <w:r w:rsidR="00E17C40" w:rsidRPr="009C2E6C">
        <w:t xml:space="preserve"> Regulations</w:t>
      </w:r>
      <w:r w:rsidRPr="009C2E6C">
        <w:t xml:space="preserve"> clarify what is a ‘corresponding WHS law’ for the purposes of the Act and </w:t>
      </w:r>
      <w:r w:rsidR="00D2157A">
        <w:t>p</w:t>
      </w:r>
      <w:r w:rsidR="00010683" w:rsidRPr="009C2E6C">
        <w:t xml:space="preserve">rincipal </w:t>
      </w:r>
      <w:r w:rsidRPr="009C2E6C">
        <w:t xml:space="preserve">Regulations. This amendment </w:t>
      </w:r>
      <w:r w:rsidR="00146CCA" w:rsidRPr="009C2E6C">
        <w:t>refine</w:t>
      </w:r>
      <w:r w:rsidR="00CE1EF5">
        <w:t>s</w:t>
      </w:r>
      <w:r w:rsidRPr="009C2E6C">
        <w:t xml:space="preserve"> the definition of ‘corresponding WHS law’ from extending to ‘any other law relating to occupational health and safety matters’ to a definition that only includes the laws expressly specified in </w:t>
      </w:r>
      <w:r w:rsidR="00CF63AF" w:rsidRPr="0090478C">
        <w:t xml:space="preserve">regulation </w:t>
      </w:r>
      <w:r w:rsidR="00927538" w:rsidRPr="0090478C">
        <w:t>6</w:t>
      </w:r>
      <w:r w:rsidR="001A30FD" w:rsidRPr="0090478C">
        <w:t>A</w:t>
      </w:r>
      <w:r w:rsidR="00927538" w:rsidRPr="009C2E6C">
        <w:t xml:space="preserve"> of the </w:t>
      </w:r>
      <w:r w:rsidR="00D2157A">
        <w:t>p</w:t>
      </w:r>
      <w:r w:rsidR="00927538" w:rsidRPr="009C2E6C">
        <w:t>rincipal Regulations</w:t>
      </w:r>
      <w:r w:rsidRPr="009C2E6C">
        <w:t xml:space="preserve">. </w:t>
      </w:r>
    </w:p>
    <w:p w14:paraId="6C922D26" w14:textId="1D9894E2" w:rsidR="004E5422" w:rsidRDefault="00FC6DFA" w:rsidP="004E5422">
      <w:pPr>
        <w:shd w:val="clear" w:color="auto" w:fill="FFFFFF"/>
        <w:spacing w:before="240" w:after="200" w:line="330" w:lineRule="atLeast"/>
      </w:pPr>
      <w:r w:rsidRPr="000942EA">
        <w:t xml:space="preserve">The amendment </w:t>
      </w:r>
      <w:r w:rsidR="007C4939" w:rsidRPr="000942EA">
        <w:t>ensure</w:t>
      </w:r>
      <w:r w:rsidRPr="000942EA">
        <w:t>s</w:t>
      </w:r>
      <w:r w:rsidR="007C4939" w:rsidRPr="000942EA">
        <w:t xml:space="preserve"> </w:t>
      </w:r>
      <w:r w:rsidR="00CE4C8A" w:rsidRPr="000942EA">
        <w:t xml:space="preserve">that only the primary </w:t>
      </w:r>
      <w:r w:rsidR="00010683" w:rsidRPr="000942EA">
        <w:t>work health and safety</w:t>
      </w:r>
      <w:r w:rsidR="00CE4C8A" w:rsidRPr="000942EA">
        <w:t xml:space="preserve"> laws in each jurisdiction are ‘corresponding WHS </w:t>
      </w:r>
      <w:proofErr w:type="gramStart"/>
      <w:r w:rsidR="00CE4C8A" w:rsidRPr="000942EA">
        <w:t>laws’</w:t>
      </w:r>
      <w:proofErr w:type="gramEnd"/>
      <w:r w:rsidR="00CE4C8A" w:rsidRPr="000942EA">
        <w:t xml:space="preserve"> and that other </w:t>
      </w:r>
      <w:r w:rsidR="006F2EF5" w:rsidRPr="000942EA">
        <w:t xml:space="preserve">workplace </w:t>
      </w:r>
      <w:r w:rsidR="00CE4C8A" w:rsidRPr="000942EA">
        <w:t xml:space="preserve">laws, including industry specific laws </w:t>
      </w:r>
      <w:r w:rsidR="004362DD">
        <w:t xml:space="preserve">that also deal with safety </w:t>
      </w:r>
      <w:r w:rsidR="0032478E" w:rsidRPr="000942EA">
        <w:t xml:space="preserve">clearly </w:t>
      </w:r>
      <w:r w:rsidR="00CE4C8A" w:rsidRPr="000942EA">
        <w:t xml:space="preserve">apply to the Commonwealth, public authorities, and non-Commonwealth licensees. </w:t>
      </w:r>
      <w:r w:rsidR="00326204" w:rsidRPr="000942EA">
        <w:t>This is the intended o</w:t>
      </w:r>
      <w:r w:rsidR="006F2EF5" w:rsidRPr="000942EA">
        <w:t>utcome</w:t>
      </w:r>
      <w:r w:rsidR="00242481" w:rsidRPr="000942EA">
        <w:t xml:space="preserve"> </w:t>
      </w:r>
      <w:r w:rsidR="00326204" w:rsidRPr="000942EA">
        <w:t xml:space="preserve">and </w:t>
      </w:r>
      <w:r w:rsidR="00CA221A" w:rsidRPr="000942EA">
        <w:t xml:space="preserve">consistent with </w:t>
      </w:r>
      <w:r w:rsidR="00326204" w:rsidRPr="000942EA">
        <w:t xml:space="preserve">how Comcare and </w:t>
      </w:r>
      <w:r w:rsidR="00CA221A" w:rsidRPr="000942EA">
        <w:t xml:space="preserve">Commonwealth </w:t>
      </w:r>
      <w:r w:rsidR="00326204" w:rsidRPr="000942EA">
        <w:t>duty holders</w:t>
      </w:r>
      <w:r w:rsidR="00C7629D" w:rsidRPr="000942EA">
        <w:t xml:space="preserve"> </w:t>
      </w:r>
      <w:r w:rsidR="00CA221A" w:rsidRPr="000942EA">
        <w:t xml:space="preserve">currently </w:t>
      </w:r>
      <w:r w:rsidR="00C7629D" w:rsidRPr="000942EA">
        <w:t>approach</w:t>
      </w:r>
      <w:r w:rsidR="00CA221A" w:rsidRPr="000942EA">
        <w:t xml:space="preserve"> industry </w:t>
      </w:r>
      <w:r w:rsidR="00DC12FC" w:rsidRPr="000942EA">
        <w:t xml:space="preserve">specific </w:t>
      </w:r>
      <w:r w:rsidR="00CA221A" w:rsidRPr="000942EA">
        <w:t>laws.</w:t>
      </w:r>
      <w:r w:rsidR="00C7629D" w:rsidRPr="009C2E6C">
        <w:t xml:space="preserve"> </w:t>
      </w:r>
    </w:p>
    <w:p w14:paraId="34EECAD2" w14:textId="6E3FEF75" w:rsidR="0065100F" w:rsidRPr="0090478C" w:rsidRDefault="0065100F" w:rsidP="00985C94">
      <w:pPr>
        <w:shd w:val="clear" w:color="auto" w:fill="FFFFFF"/>
        <w:spacing w:before="240" w:line="330" w:lineRule="atLeast"/>
      </w:pPr>
      <w:r w:rsidRPr="000942EA">
        <w:rPr>
          <w:rStyle w:val="Style1Char"/>
        </w:rPr>
        <w:t>Public authorities</w:t>
      </w:r>
    </w:p>
    <w:p w14:paraId="0457F053" w14:textId="7446A8FE" w:rsidR="0032429A" w:rsidRPr="009C2E6C" w:rsidRDefault="0032429A" w:rsidP="0032429A">
      <w:pPr>
        <w:shd w:val="clear" w:color="auto" w:fill="FFFFFF"/>
        <w:spacing w:after="200" w:line="330" w:lineRule="atLeast"/>
      </w:pPr>
      <w:r w:rsidRPr="00E8337B">
        <w:t xml:space="preserve">The </w:t>
      </w:r>
      <w:r w:rsidR="008C5A6B" w:rsidRPr="00BB194B">
        <w:t>Amendment</w:t>
      </w:r>
      <w:r w:rsidR="00E17C40" w:rsidRPr="00BB194B">
        <w:t xml:space="preserve"> Regulations</w:t>
      </w:r>
      <w:r w:rsidRPr="00BB194B">
        <w:t xml:space="preserve"> </w:t>
      </w:r>
      <w:r w:rsidR="004B4F31" w:rsidRPr="00BB194B">
        <w:t xml:space="preserve">update the list </w:t>
      </w:r>
      <w:r w:rsidR="004B4F31" w:rsidRPr="009C2E6C">
        <w:t>of prescribed ‘public authorities’ to ensure entity names are accurate and remove entities which have ceased to exist.</w:t>
      </w:r>
    </w:p>
    <w:p w14:paraId="74D39E51" w14:textId="77777777" w:rsidR="009D3FCD" w:rsidRPr="000942EA" w:rsidRDefault="009D3FCD" w:rsidP="000942EA">
      <w:pPr>
        <w:pStyle w:val="Style1"/>
      </w:pPr>
      <w:r w:rsidRPr="00985C94">
        <w:t>Exiting non-Commonwealth licensees</w:t>
      </w:r>
    </w:p>
    <w:p w14:paraId="3899C7E7" w14:textId="08ACFC94" w:rsidR="00A261C3" w:rsidRPr="009C2E6C" w:rsidRDefault="00FC3009" w:rsidP="00227BA2">
      <w:pPr>
        <w:shd w:val="clear" w:color="auto" w:fill="FFFFFF"/>
        <w:spacing w:after="200" w:line="330" w:lineRule="atLeast"/>
      </w:pPr>
      <w:r w:rsidRPr="009C2E6C">
        <w:t xml:space="preserve">The Amendment Regulations </w:t>
      </w:r>
      <w:r w:rsidR="004B4F31" w:rsidRPr="009C2E6C">
        <w:t xml:space="preserve">clarify coverage for certain non-Commonwealth licensees which have had a licence revoked under the </w:t>
      </w:r>
      <w:r w:rsidR="004B4F31" w:rsidRPr="009C2E6C">
        <w:rPr>
          <w:i/>
          <w:iCs/>
        </w:rPr>
        <w:t>Safety, Rehabilitation and Compensation Act</w:t>
      </w:r>
      <w:r w:rsidR="00B257C7">
        <w:rPr>
          <w:i/>
          <w:iCs/>
        </w:rPr>
        <w:t> </w:t>
      </w:r>
      <w:r w:rsidR="004B4F31" w:rsidRPr="009C2E6C">
        <w:rPr>
          <w:i/>
          <w:iCs/>
        </w:rPr>
        <w:t>1988</w:t>
      </w:r>
      <w:r w:rsidR="004B4F31" w:rsidRPr="009C2E6C">
        <w:t>.</w:t>
      </w:r>
      <w:r w:rsidR="00413F32">
        <w:t xml:space="preserve"> </w:t>
      </w:r>
      <w:r w:rsidR="00875913" w:rsidRPr="009C2E6C">
        <w:t xml:space="preserve">The </w:t>
      </w:r>
      <w:r w:rsidR="00F77F82">
        <w:t>‘</w:t>
      </w:r>
      <w:r w:rsidR="00875913" w:rsidRPr="009C2E6C">
        <w:t>transitional period</w:t>
      </w:r>
      <w:r w:rsidR="00F77F82">
        <w:t>’</w:t>
      </w:r>
      <w:r w:rsidR="00875913" w:rsidRPr="009C2E6C">
        <w:t xml:space="preserve"> for </w:t>
      </w:r>
      <w:r w:rsidR="00293294" w:rsidRPr="00A27B71">
        <w:t>three</w:t>
      </w:r>
      <w:r w:rsidR="00293294" w:rsidRPr="009C2E6C">
        <w:t xml:space="preserve"> </w:t>
      </w:r>
      <w:r w:rsidR="00242081" w:rsidRPr="009C2E6C">
        <w:t>entities is ended</w:t>
      </w:r>
      <w:r w:rsidR="00413F32">
        <w:t>,</w:t>
      </w:r>
      <w:r w:rsidR="00242081" w:rsidRPr="009C2E6C">
        <w:t xml:space="preserve"> which m</w:t>
      </w:r>
      <w:r w:rsidR="00A261C3" w:rsidRPr="009C2E6C">
        <w:t xml:space="preserve">eans that the entity is no longer a </w:t>
      </w:r>
      <w:r w:rsidR="00F77F82">
        <w:t>‘</w:t>
      </w:r>
      <w:r w:rsidR="00A261C3" w:rsidRPr="009C2E6C">
        <w:t>non-Commonwealth licensee</w:t>
      </w:r>
      <w:r w:rsidR="00F77F82">
        <w:t>’</w:t>
      </w:r>
      <w:r w:rsidR="00A261C3" w:rsidRPr="009C2E6C">
        <w:t xml:space="preserve"> for the purposes of the Act.</w:t>
      </w:r>
    </w:p>
    <w:p w14:paraId="0103CC7A" w14:textId="34C77F98" w:rsidR="009034B6" w:rsidRDefault="00184349" w:rsidP="00505B5F">
      <w:pPr>
        <w:shd w:val="clear" w:color="auto" w:fill="FFFFFF"/>
        <w:spacing w:after="200" w:line="330" w:lineRule="atLeast"/>
      </w:pPr>
      <w:r w:rsidRPr="009C2E6C">
        <w:t xml:space="preserve">The </w:t>
      </w:r>
      <w:r w:rsidR="00671D7E" w:rsidRPr="009C2E6C">
        <w:t>intent</w:t>
      </w:r>
      <w:r w:rsidR="00D93A85" w:rsidRPr="009C2E6C">
        <w:t xml:space="preserve"> of the </w:t>
      </w:r>
      <w:r w:rsidR="001A5066" w:rsidRPr="009C2E6C">
        <w:t>Amendment</w:t>
      </w:r>
      <w:r w:rsidR="00E17C40" w:rsidRPr="009C2E6C">
        <w:t xml:space="preserve"> Regulations</w:t>
      </w:r>
      <w:r w:rsidR="004B4F31" w:rsidRPr="009C2E6C">
        <w:t xml:space="preserve"> </w:t>
      </w:r>
      <w:r w:rsidR="00D93A85" w:rsidRPr="009C2E6C">
        <w:t xml:space="preserve">is to provide </w:t>
      </w:r>
      <w:r w:rsidR="00671D7E" w:rsidRPr="009C2E6C">
        <w:t xml:space="preserve">certainty </w:t>
      </w:r>
      <w:r w:rsidR="004B4F31" w:rsidRPr="009C2E6C">
        <w:t xml:space="preserve">that these entities have exited the </w:t>
      </w:r>
      <w:r w:rsidRPr="009C2E6C">
        <w:t xml:space="preserve">Act </w:t>
      </w:r>
      <w:r w:rsidR="004B4F31" w:rsidRPr="009C2E6C">
        <w:t>and moved into</w:t>
      </w:r>
      <w:r w:rsidR="004B4F31" w:rsidRPr="00DF13CE">
        <w:t xml:space="preserve"> state and territory work health and safety schemes. </w:t>
      </w:r>
    </w:p>
    <w:p w14:paraId="623B4F81" w14:textId="77777777" w:rsidR="007152B5" w:rsidRDefault="007152B5" w:rsidP="00505B5F">
      <w:pPr>
        <w:shd w:val="clear" w:color="auto" w:fill="FFFFFF"/>
        <w:spacing w:after="200" w:line="330" w:lineRule="atLeast"/>
      </w:pPr>
      <w:r>
        <w:t xml:space="preserve">Details of the Amendment Regulations are at </w:t>
      </w:r>
      <w:r w:rsidRPr="00C37610">
        <w:rPr>
          <w:u w:val="single"/>
        </w:rPr>
        <w:t>Attachment A.</w:t>
      </w:r>
      <w:r>
        <w:t xml:space="preserve"> </w:t>
      </w:r>
    </w:p>
    <w:p w14:paraId="6476ADE1" w14:textId="16A1C112" w:rsidR="007152B5" w:rsidRDefault="007152B5" w:rsidP="00505B5F">
      <w:pPr>
        <w:shd w:val="clear" w:color="auto" w:fill="FFFFFF"/>
        <w:spacing w:after="200" w:line="330" w:lineRule="atLeast"/>
      </w:pPr>
      <w:r>
        <w:t xml:space="preserve">The Amendment Regulations are a legislative instrument for the purposes of the </w:t>
      </w:r>
      <w:r w:rsidRPr="00C37610">
        <w:rPr>
          <w:i/>
          <w:iCs/>
        </w:rPr>
        <w:t>Legislation Act 2003</w:t>
      </w:r>
      <w:r>
        <w:t>.</w:t>
      </w:r>
    </w:p>
    <w:p w14:paraId="56789479" w14:textId="5F814DC0" w:rsidR="00C8244F" w:rsidRPr="00DF13CE" w:rsidRDefault="00C8244F" w:rsidP="00505B5F">
      <w:pPr>
        <w:shd w:val="clear" w:color="auto" w:fill="FFFFFF"/>
        <w:spacing w:after="200" w:line="330" w:lineRule="atLeast"/>
      </w:pPr>
      <w:r>
        <w:t>The Amendment Regulations on managing psychosocial risk would commence on 1 April 2023.</w:t>
      </w:r>
      <w:r w:rsidRPr="00C37610">
        <w:t xml:space="preserve"> </w:t>
      </w:r>
      <w:r>
        <w:t xml:space="preserve">The remaining provisions to the proposed Regulations commence the day after registration. </w:t>
      </w:r>
    </w:p>
    <w:p w14:paraId="4706F13E" w14:textId="4A774CEE" w:rsidR="00BB4DB4" w:rsidRPr="00DF13CE" w:rsidRDefault="00BB4DB4" w:rsidP="00BB4DB4">
      <w:pPr>
        <w:pStyle w:val="Heading2"/>
        <w:spacing w:before="0" w:after="180"/>
        <w:rPr>
          <w:rFonts w:ascii="Times New Roman" w:hAnsi="Times New Roman"/>
          <w:i w:val="0"/>
          <w:sz w:val="24"/>
          <w:szCs w:val="24"/>
        </w:rPr>
      </w:pPr>
      <w:r w:rsidRPr="00E8337B">
        <w:rPr>
          <w:rFonts w:ascii="Times New Roman" w:hAnsi="Times New Roman"/>
          <w:i w:val="0"/>
          <w:sz w:val="24"/>
          <w:szCs w:val="24"/>
        </w:rPr>
        <w:t>CONSULTATION</w:t>
      </w:r>
    </w:p>
    <w:p w14:paraId="7061BB07" w14:textId="20678E7A" w:rsidR="00BB4DB4" w:rsidRPr="009C2E6C" w:rsidRDefault="00BB4DB4" w:rsidP="00A65BBD">
      <w:pPr>
        <w:shd w:val="clear" w:color="auto" w:fill="FFFFFF"/>
        <w:spacing w:after="200" w:line="330" w:lineRule="atLeast"/>
      </w:pPr>
      <w:r w:rsidRPr="00BB194B">
        <w:t xml:space="preserve">Section 17 of the </w:t>
      </w:r>
      <w:r w:rsidRPr="00BB194B">
        <w:rPr>
          <w:i/>
        </w:rPr>
        <w:t>Legislation Act 2003</w:t>
      </w:r>
      <w:r w:rsidRPr="00BB194B">
        <w:t xml:space="preserve"> requires the Minister to be satisfied that any</w:t>
      </w:r>
      <w:r w:rsidR="00A65BBD" w:rsidRPr="00BB194B">
        <w:t xml:space="preserve"> </w:t>
      </w:r>
      <w:r w:rsidRPr="009C2E6C">
        <w:t xml:space="preserve">consultation considered to be appropriate, and that is reasonably practicable to undertake, has been undertaken before making the instrument.  </w:t>
      </w:r>
    </w:p>
    <w:p w14:paraId="50AFC876" w14:textId="1362850F" w:rsidR="00377B9D" w:rsidRDefault="00416F1B" w:rsidP="00A65BBD">
      <w:pPr>
        <w:shd w:val="clear" w:color="auto" w:fill="FFFFFF"/>
        <w:spacing w:after="200" w:line="330" w:lineRule="atLeast"/>
      </w:pPr>
      <w:r>
        <w:t>Public consultation on the Boland Review recommendations occurred through a Consultation Regulation Impact Assessment conducted by Safe Work Australia.</w:t>
      </w:r>
      <w:r w:rsidR="0023456F">
        <w:t xml:space="preserve"> Following this consultation</w:t>
      </w:r>
      <w:r w:rsidR="00061C72">
        <w:t xml:space="preserve">, Safe Work Australia published a Decision Regulation Impact Statement </w:t>
      </w:r>
      <w:r w:rsidR="00696328">
        <w:t>recommending a path forward for each of the 34 recommendations of the Boland Review</w:t>
      </w:r>
      <w:r w:rsidR="006A3F74">
        <w:t xml:space="preserve"> </w:t>
      </w:r>
      <w:r w:rsidR="006A3F74">
        <w:lastRenderedPageBreak/>
        <w:t xml:space="preserve">based on the outcomes of public </w:t>
      </w:r>
      <w:r w:rsidR="006B4883">
        <w:t>consultation</w:t>
      </w:r>
      <w:r w:rsidR="006A3F74">
        <w:t xml:space="preserve"> and </w:t>
      </w:r>
      <w:r w:rsidR="006B4883">
        <w:t>having</w:t>
      </w:r>
      <w:r w:rsidR="006A3F74">
        <w:t xml:space="preserve"> regard </w:t>
      </w:r>
      <w:r w:rsidR="004542B2">
        <w:t>to its analysis of regulatory impact.</w:t>
      </w:r>
      <w:r w:rsidR="00DC65CB">
        <w:t xml:space="preserve"> Following Ministers</w:t>
      </w:r>
      <w:r w:rsidR="00911389">
        <w:t xml:space="preserve"> responsible for work health and safety’s</w:t>
      </w:r>
      <w:r w:rsidR="00DC65CB">
        <w:t xml:space="preserve"> decision </w:t>
      </w:r>
      <w:r w:rsidR="005851B6">
        <w:t>on a path forward for each of the 34 recommendation</w:t>
      </w:r>
      <w:r w:rsidR="00267406">
        <w:t>s</w:t>
      </w:r>
      <w:r w:rsidR="005851B6">
        <w:t>,</w:t>
      </w:r>
      <w:r>
        <w:t xml:space="preserve"> Safe Work Australia </w:t>
      </w:r>
      <w:r w:rsidR="00AC3589">
        <w:t>settled the policy parameters for</w:t>
      </w:r>
      <w:r>
        <w:t xml:space="preserve"> amendments to the model </w:t>
      </w:r>
      <w:r w:rsidR="00CD4E31">
        <w:t>R</w:t>
      </w:r>
      <w:r>
        <w:t xml:space="preserve">egulations through its </w:t>
      </w:r>
      <w:r w:rsidR="001A68C5">
        <w:t>consultative tripartite membership body</w:t>
      </w:r>
      <w:r w:rsidR="00916A68" w:rsidRPr="009C2E6C">
        <w:t>.</w:t>
      </w:r>
      <w:r w:rsidR="006432CD" w:rsidRPr="009C2E6C">
        <w:t xml:space="preserve"> </w:t>
      </w:r>
      <w:r w:rsidR="00916A68" w:rsidRPr="009C2E6C">
        <w:t>Safe</w:t>
      </w:r>
      <w:r w:rsidR="00B0726B" w:rsidRPr="009C2E6C">
        <w:t> </w:t>
      </w:r>
      <w:r w:rsidR="00916A68" w:rsidRPr="009C2E6C">
        <w:t xml:space="preserve">Work Australia is comprised of representatives from the Commonwealth, each </w:t>
      </w:r>
      <w:r w:rsidR="004460ED">
        <w:t>s</w:t>
      </w:r>
      <w:r w:rsidR="00916A68" w:rsidRPr="009C2E6C">
        <w:t xml:space="preserve">tate and </w:t>
      </w:r>
      <w:r w:rsidR="004460ED">
        <w:t>t</w:t>
      </w:r>
      <w:r w:rsidR="00916A68" w:rsidRPr="009C2E6C">
        <w:t>erritory, the Australian Council of Trade Unions, Australian</w:t>
      </w:r>
      <w:r w:rsidR="00F77F82">
        <w:t> </w:t>
      </w:r>
      <w:r w:rsidR="00916A68" w:rsidRPr="009C2E6C">
        <w:t xml:space="preserve">Industry Group and the Australian Chamber of Commerce and Industry. </w:t>
      </w:r>
      <w:r w:rsidR="0054388B">
        <w:t xml:space="preserve"> </w:t>
      </w:r>
    </w:p>
    <w:p w14:paraId="4A7BAE02" w14:textId="7389ECEE" w:rsidR="00C97703" w:rsidRPr="009C2E6C" w:rsidRDefault="0054388B" w:rsidP="00A65BBD">
      <w:pPr>
        <w:shd w:val="clear" w:color="auto" w:fill="FFFFFF"/>
        <w:spacing w:after="200" w:line="330" w:lineRule="atLeast"/>
      </w:pPr>
      <w:r>
        <w:t>Comcare, t</w:t>
      </w:r>
      <w:r w:rsidR="00C450AF">
        <w:t xml:space="preserve">he </w:t>
      </w:r>
      <w:r>
        <w:t xml:space="preserve">Commonwealth </w:t>
      </w:r>
      <w:r w:rsidR="00C450AF">
        <w:t xml:space="preserve">work health and safety regulator </w:t>
      </w:r>
      <w:r>
        <w:t xml:space="preserve">was consulted </w:t>
      </w:r>
      <w:r w:rsidR="002F71A7">
        <w:t xml:space="preserve">on the decision to apply the hierarchy of controls to psychosocial risks in the Commonwealth. </w:t>
      </w:r>
      <w:r w:rsidR="00474C8E">
        <w:t xml:space="preserve">Wider consultation </w:t>
      </w:r>
      <w:r w:rsidR="00311BE9">
        <w:t xml:space="preserve">on application of the hierarchy of controls was not </w:t>
      </w:r>
      <w:r w:rsidR="00B53A3D">
        <w:t xml:space="preserve">required due to the extensive consultation </w:t>
      </w:r>
      <w:r w:rsidR="00EE152C">
        <w:t xml:space="preserve">undertaken by Safe Work Australia as described above. The hierarchy of controls is a fundamental and well understood concept in the work health and safety framework and was considered in detail by Safe Work Australia Members when developing amendments to the model Regulations to give effect to recommendation 2 of the Boland Review. </w:t>
      </w:r>
    </w:p>
    <w:p w14:paraId="05E856FD" w14:textId="387BCF2A" w:rsidR="00BB4DB4" w:rsidRPr="009C2E6C" w:rsidRDefault="00A65BBD" w:rsidP="00265915">
      <w:pPr>
        <w:shd w:val="clear" w:color="auto" w:fill="FFFFFF"/>
        <w:spacing w:after="200" w:line="330" w:lineRule="atLeast"/>
      </w:pPr>
      <w:r w:rsidRPr="009C2E6C">
        <w:t xml:space="preserve">Comcare, the National Heavy Vehicle Regulator and the Office of the National Rail Safety Regulator </w:t>
      </w:r>
      <w:r w:rsidR="00466A20" w:rsidRPr="009C2E6C">
        <w:t>were consulted on</w:t>
      </w:r>
      <w:r w:rsidR="00F50186" w:rsidRPr="009C2E6C">
        <w:t xml:space="preserve"> the</w:t>
      </w:r>
      <w:r w:rsidR="00466A20" w:rsidRPr="009C2E6C">
        <w:t xml:space="preserve"> </w:t>
      </w:r>
      <w:r w:rsidR="00466A20" w:rsidRPr="00C37610">
        <w:t>amendment</w:t>
      </w:r>
      <w:r w:rsidR="00F50186" w:rsidRPr="00C37610">
        <w:t xml:space="preserve"> to</w:t>
      </w:r>
      <w:r w:rsidR="00466A20" w:rsidRPr="00C37610">
        <w:t xml:space="preserve"> </w:t>
      </w:r>
      <w:r w:rsidR="00527579">
        <w:t xml:space="preserve">the </w:t>
      </w:r>
      <w:r w:rsidR="00F5765C">
        <w:t xml:space="preserve">definition of </w:t>
      </w:r>
      <w:r w:rsidR="00F77F82">
        <w:t>‘</w:t>
      </w:r>
      <w:r w:rsidR="00F5765C">
        <w:t>corresponding WHS law</w:t>
      </w:r>
      <w:r w:rsidR="00F77F82">
        <w:t>’</w:t>
      </w:r>
      <w:r w:rsidRPr="00F5765C">
        <w:t>.</w:t>
      </w:r>
      <w:r w:rsidRPr="009C2E6C">
        <w:t xml:space="preserve"> </w:t>
      </w:r>
      <w:r w:rsidR="00840730">
        <w:t>These regulators were identified as being most interested in clarification and no other consultation was considered necessary</w:t>
      </w:r>
      <w:r w:rsidR="00AA4A32">
        <w:t xml:space="preserve"> given the nature of the amendment</w:t>
      </w:r>
      <w:r w:rsidR="00840730">
        <w:t>.</w:t>
      </w:r>
    </w:p>
    <w:p w14:paraId="18064425" w14:textId="4488D158" w:rsidR="00466A20" w:rsidRPr="009C2E6C" w:rsidRDefault="00801C8B" w:rsidP="00265915">
      <w:pPr>
        <w:shd w:val="clear" w:color="auto" w:fill="FFFFFF"/>
        <w:spacing w:after="200" w:line="330" w:lineRule="atLeast"/>
      </w:pPr>
      <w:r w:rsidRPr="009C2E6C">
        <w:t xml:space="preserve">The entities </w:t>
      </w:r>
      <w:r w:rsidR="00161F6D" w:rsidRPr="009C2E6C">
        <w:t xml:space="preserve">affected by </w:t>
      </w:r>
      <w:r w:rsidR="00E920E0">
        <w:t xml:space="preserve">the amendments to </w:t>
      </w:r>
      <w:r w:rsidR="00161F6D" w:rsidRPr="009C2E6C">
        <w:t>reg</w:t>
      </w:r>
      <w:r w:rsidR="002C00DD" w:rsidRPr="009C2E6C">
        <w:t>ulation</w:t>
      </w:r>
      <w:r w:rsidR="00161F6D" w:rsidRPr="009C2E6C">
        <w:t xml:space="preserve"> </w:t>
      </w:r>
      <w:r w:rsidR="002C00DD" w:rsidRPr="009C2E6C">
        <w:t>6C</w:t>
      </w:r>
      <w:r w:rsidR="004F131E" w:rsidRPr="009C2E6C">
        <w:t>,</w:t>
      </w:r>
      <w:r w:rsidR="00161F6D" w:rsidRPr="009C2E6C">
        <w:t xml:space="preserve"> which correct the list</w:t>
      </w:r>
      <w:r w:rsidR="005934B6" w:rsidRPr="009C2E6C">
        <w:t xml:space="preserve"> of prescribed public authorities</w:t>
      </w:r>
      <w:r w:rsidR="004F131E" w:rsidRPr="009C2E6C">
        <w:t>,</w:t>
      </w:r>
      <w:r w:rsidR="005934B6" w:rsidRPr="009C2E6C">
        <w:t xml:space="preserve"> </w:t>
      </w:r>
      <w:r w:rsidR="00D41539" w:rsidRPr="009C2E6C">
        <w:t>w</w:t>
      </w:r>
      <w:r w:rsidR="00D41539">
        <w:t>ill be</w:t>
      </w:r>
      <w:r w:rsidR="00D41539" w:rsidRPr="009C2E6C">
        <w:t xml:space="preserve"> </w:t>
      </w:r>
      <w:r w:rsidR="005934B6" w:rsidRPr="009C2E6C">
        <w:t xml:space="preserve">informed about the change. Because this </w:t>
      </w:r>
      <w:r w:rsidR="00426784">
        <w:t>i</w:t>
      </w:r>
      <w:r w:rsidR="005934B6" w:rsidRPr="009C2E6C">
        <w:t xml:space="preserve">s a technical </w:t>
      </w:r>
      <w:r w:rsidR="00147453" w:rsidRPr="009C2E6C">
        <w:t>amendment</w:t>
      </w:r>
      <w:r w:rsidR="005934B6" w:rsidRPr="009C2E6C">
        <w:t xml:space="preserve"> which updated company names no further </w:t>
      </w:r>
      <w:r w:rsidR="00147453" w:rsidRPr="009C2E6C">
        <w:t>consultation</w:t>
      </w:r>
      <w:r w:rsidR="005934B6" w:rsidRPr="009C2E6C">
        <w:t xml:space="preserve"> w</w:t>
      </w:r>
      <w:r w:rsidR="00147453" w:rsidRPr="009C2E6C">
        <w:t>a</w:t>
      </w:r>
      <w:r w:rsidR="005934B6" w:rsidRPr="009C2E6C">
        <w:t>s considered necessary.</w:t>
      </w:r>
    </w:p>
    <w:p w14:paraId="4A00E728" w14:textId="747AFA17" w:rsidR="006338AB" w:rsidRPr="009C2E6C" w:rsidRDefault="006338AB" w:rsidP="00265915">
      <w:pPr>
        <w:shd w:val="clear" w:color="auto" w:fill="FFFFFF"/>
        <w:spacing w:after="200" w:line="330" w:lineRule="atLeast"/>
      </w:pPr>
      <w:r w:rsidRPr="009C2E6C">
        <w:t xml:space="preserve">Comcare </w:t>
      </w:r>
      <w:r w:rsidR="00293294">
        <w:t xml:space="preserve">and affected entities </w:t>
      </w:r>
      <w:r w:rsidRPr="009C2E6C">
        <w:t>were con</w:t>
      </w:r>
      <w:r w:rsidR="003A43FB" w:rsidRPr="009C2E6C">
        <w:t>sult</w:t>
      </w:r>
      <w:r w:rsidRPr="009C2E6C">
        <w:t xml:space="preserve">ed </w:t>
      </w:r>
      <w:r w:rsidR="00316489" w:rsidRPr="009C2E6C">
        <w:t xml:space="preserve">on the amendment </w:t>
      </w:r>
      <w:r w:rsidR="00A01417" w:rsidRPr="009C2E6C">
        <w:t>to</w:t>
      </w:r>
      <w:r w:rsidR="00293294">
        <w:t xml:space="preserve"> end the transitional period for</w:t>
      </w:r>
      <w:r w:rsidR="00A01417" w:rsidRPr="009C2E6C">
        <w:t xml:space="preserve"> certain non-Commonwealth licensees</w:t>
      </w:r>
      <w:r w:rsidR="00293294">
        <w:t>.</w:t>
      </w:r>
      <w:r w:rsidR="00A01417" w:rsidRPr="009C2E6C">
        <w:t xml:space="preserve"> </w:t>
      </w:r>
      <w:r w:rsidRPr="009C2E6C">
        <w:t xml:space="preserve"> </w:t>
      </w:r>
    </w:p>
    <w:p w14:paraId="3D5DE521" w14:textId="77777777" w:rsidR="00BB4DB4" w:rsidRPr="00BB5083" w:rsidRDefault="00BB4DB4" w:rsidP="00BB4DB4">
      <w:pPr>
        <w:pStyle w:val="Heading2"/>
        <w:spacing w:before="0" w:after="180"/>
        <w:rPr>
          <w:rFonts w:ascii="Times New Roman" w:hAnsi="Times New Roman"/>
          <w:i w:val="0"/>
          <w:sz w:val="24"/>
          <w:szCs w:val="24"/>
        </w:rPr>
      </w:pPr>
      <w:r w:rsidRPr="00DF13CE">
        <w:rPr>
          <w:rFonts w:ascii="Times New Roman" w:hAnsi="Times New Roman"/>
          <w:i w:val="0"/>
          <w:sz w:val="24"/>
          <w:szCs w:val="24"/>
        </w:rPr>
        <w:t>REGULATORY IMPACT STATEMENT</w:t>
      </w:r>
    </w:p>
    <w:p w14:paraId="1CE8ED4F" w14:textId="34DEBC15" w:rsidR="00B44DF9" w:rsidRPr="00C37610" w:rsidRDefault="00BB4DB4" w:rsidP="00C37610">
      <w:pPr>
        <w:shd w:val="clear" w:color="auto" w:fill="FFFFFF"/>
        <w:spacing w:after="200" w:line="330" w:lineRule="atLeast"/>
      </w:pPr>
      <w:r w:rsidRPr="00C37610">
        <w:t xml:space="preserve">The Office of </w:t>
      </w:r>
      <w:r w:rsidR="00F77F82">
        <w:t xml:space="preserve">Impact Analysis </w:t>
      </w:r>
      <w:r w:rsidRPr="00C37610">
        <w:t>(</w:t>
      </w:r>
      <w:r w:rsidR="00F77F82">
        <w:t>OIA</w:t>
      </w:r>
      <w:r w:rsidRPr="00C37610">
        <w:t xml:space="preserve">) has advised that a Regulation Impact Statement is not required. The </w:t>
      </w:r>
      <w:r w:rsidR="00F77F82">
        <w:t>OIA</w:t>
      </w:r>
      <w:r w:rsidRPr="00C37610">
        <w:t xml:space="preserve"> reference is ID </w:t>
      </w:r>
      <w:r w:rsidR="00BD4277" w:rsidRPr="00C37610">
        <w:t>OBPR22-03708</w:t>
      </w:r>
      <w:r w:rsidRPr="00C37610">
        <w:t>.</w:t>
      </w:r>
      <w:r w:rsidR="00C76DCD" w:rsidRPr="00C37610">
        <w:t xml:space="preserve"> </w:t>
      </w:r>
    </w:p>
    <w:p w14:paraId="2DCFF0A8" w14:textId="77777777" w:rsidR="00B44DF9" w:rsidRPr="00BA2687" w:rsidRDefault="00B44DF9" w:rsidP="00C37610">
      <w:pPr>
        <w:pStyle w:val="Heading2"/>
        <w:spacing w:before="0" w:after="180"/>
      </w:pPr>
      <w:r w:rsidRPr="00C37610">
        <w:rPr>
          <w:rFonts w:ascii="Times New Roman" w:hAnsi="Times New Roman"/>
          <w:i w:val="0"/>
          <w:sz w:val="24"/>
          <w:szCs w:val="24"/>
        </w:rPr>
        <w:t xml:space="preserve">STATEMENT OF COMPATIBILITY WITH HUMAN RIGHTS </w:t>
      </w:r>
    </w:p>
    <w:p w14:paraId="13B9A502" w14:textId="2D90F9E7" w:rsidR="00B44DF9" w:rsidRPr="00C37610" w:rsidRDefault="00B44DF9" w:rsidP="00C37610">
      <w:pPr>
        <w:shd w:val="clear" w:color="auto" w:fill="FFFFFF"/>
        <w:spacing w:after="200" w:line="330" w:lineRule="atLeast"/>
      </w:pPr>
      <w:r>
        <w:t>The Amendment Regulations are compatible with the human rights and freedoms recognised or declared in the international instruments listed in section 3 of the</w:t>
      </w:r>
      <w:r w:rsidRPr="00937BCA">
        <w:t xml:space="preserve"> </w:t>
      </w:r>
      <w:r w:rsidRPr="00C37610">
        <w:rPr>
          <w:i/>
          <w:iCs/>
        </w:rPr>
        <w:t>Human Rights (Parliamentary Scrutiny) Act 2011.</w:t>
      </w:r>
      <w:r w:rsidRPr="00937BCA">
        <w:t xml:space="preserve"> </w:t>
      </w:r>
      <w:r>
        <w:t xml:space="preserve">A Statement of Compatibility with Human Rights is set out at </w:t>
      </w:r>
      <w:r w:rsidRPr="00C37610">
        <w:rPr>
          <w:u w:val="single"/>
        </w:rPr>
        <w:t>Attachment B</w:t>
      </w:r>
      <w:r>
        <w:t>.</w:t>
      </w:r>
    </w:p>
    <w:p w14:paraId="7FC196E4" w14:textId="77777777" w:rsidR="00BB4DB4" w:rsidRPr="00BB194B" w:rsidRDefault="00BB4DB4" w:rsidP="00BB4DB4"/>
    <w:p w14:paraId="4DCC3575" w14:textId="519E25A8" w:rsidR="00BB4DB4" w:rsidRPr="00BB194B" w:rsidRDefault="00BB4DB4" w:rsidP="00BB4DB4">
      <w:pPr>
        <w:jc w:val="right"/>
      </w:pPr>
      <w:r w:rsidRPr="00BB194B">
        <w:rPr>
          <w:highlight w:val="yellow"/>
        </w:rPr>
        <w:br w:type="page"/>
      </w:r>
    </w:p>
    <w:p w14:paraId="2E2B96E8" w14:textId="77777777" w:rsidR="00BB4DB4" w:rsidRPr="00BB194B" w:rsidRDefault="00BB4DB4" w:rsidP="00BB4DB4">
      <w:pPr>
        <w:spacing w:before="120"/>
        <w:contextualSpacing/>
        <w:jc w:val="right"/>
        <w:rPr>
          <w:u w:val="single"/>
        </w:rPr>
      </w:pPr>
      <w:r w:rsidRPr="00BB194B">
        <w:rPr>
          <w:u w:val="single"/>
        </w:rPr>
        <w:lastRenderedPageBreak/>
        <w:t>ATTACHMENT A</w:t>
      </w:r>
    </w:p>
    <w:p w14:paraId="59490E1C" w14:textId="77777777" w:rsidR="00BB4DB4" w:rsidRPr="00BB194B" w:rsidRDefault="00BB4DB4" w:rsidP="00BB4DB4">
      <w:pPr>
        <w:spacing w:line="276" w:lineRule="auto"/>
        <w:rPr>
          <w:b/>
        </w:rPr>
      </w:pPr>
    </w:p>
    <w:p w14:paraId="62AF1B1E" w14:textId="31ED815C" w:rsidR="00BB4DB4" w:rsidRPr="00BB194B" w:rsidRDefault="00BB4DB4" w:rsidP="00BB4DB4">
      <w:pPr>
        <w:spacing w:after="200" w:line="276" w:lineRule="auto"/>
        <w:rPr>
          <w:b/>
        </w:rPr>
      </w:pPr>
      <w:r w:rsidRPr="00BB194B">
        <w:rPr>
          <w:b/>
        </w:rPr>
        <w:t xml:space="preserve">NOTES ON </w:t>
      </w:r>
      <w:r w:rsidR="00224A6B" w:rsidRPr="00BB194B">
        <w:rPr>
          <w:b/>
        </w:rPr>
        <w:t>SECTIONS</w:t>
      </w:r>
    </w:p>
    <w:p w14:paraId="77910187" w14:textId="10F93F68" w:rsidR="00A74CAF" w:rsidRPr="00BB194B" w:rsidRDefault="00A74CAF" w:rsidP="00BB4DB4">
      <w:pPr>
        <w:spacing w:after="200" w:line="276" w:lineRule="auto"/>
        <w:rPr>
          <w:bCs/>
        </w:rPr>
      </w:pPr>
      <w:r w:rsidRPr="00BB194B">
        <w:rPr>
          <w:bCs/>
        </w:rPr>
        <w:t xml:space="preserve">In these notes on </w:t>
      </w:r>
      <w:r w:rsidR="002F0FE9" w:rsidRPr="00BB194B">
        <w:rPr>
          <w:bCs/>
        </w:rPr>
        <w:t>sections</w:t>
      </w:r>
      <w:r w:rsidRPr="00BB194B">
        <w:rPr>
          <w:bCs/>
        </w:rPr>
        <w:t>, the following abbreviations are used</w:t>
      </w:r>
    </w:p>
    <w:tbl>
      <w:tblPr>
        <w:tblStyle w:val="TableGrid"/>
        <w:tblW w:w="0" w:type="auto"/>
        <w:tblLook w:val="04A0" w:firstRow="1" w:lastRow="0" w:firstColumn="1" w:lastColumn="0" w:noHBand="0" w:noVBand="1"/>
      </w:tblPr>
      <w:tblGrid>
        <w:gridCol w:w="4508"/>
        <w:gridCol w:w="4508"/>
      </w:tblGrid>
      <w:tr w:rsidR="00DF13CE" w:rsidRPr="00BB194B" w14:paraId="47CBDAAA" w14:textId="77777777" w:rsidTr="00A74CAF">
        <w:tc>
          <w:tcPr>
            <w:tcW w:w="4508" w:type="dxa"/>
          </w:tcPr>
          <w:p w14:paraId="71D7BB38" w14:textId="16250034" w:rsidR="00A74CAF" w:rsidRPr="00BB194B" w:rsidRDefault="00222A2C" w:rsidP="00BB4DB4">
            <w:pPr>
              <w:spacing w:after="200" w:line="276" w:lineRule="auto"/>
              <w:rPr>
                <w:b/>
              </w:rPr>
            </w:pPr>
            <w:r w:rsidRPr="00BB194B">
              <w:rPr>
                <w:b/>
              </w:rPr>
              <w:t>Abbreviation</w:t>
            </w:r>
          </w:p>
        </w:tc>
        <w:tc>
          <w:tcPr>
            <w:tcW w:w="4508" w:type="dxa"/>
          </w:tcPr>
          <w:p w14:paraId="7C363CEA" w14:textId="246E449A" w:rsidR="00A74CAF" w:rsidRPr="00BB194B" w:rsidRDefault="00222A2C" w:rsidP="00BB4DB4">
            <w:pPr>
              <w:spacing w:after="200" w:line="276" w:lineRule="auto"/>
              <w:rPr>
                <w:b/>
              </w:rPr>
            </w:pPr>
            <w:r w:rsidRPr="00BB194B">
              <w:rPr>
                <w:b/>
              </w:rPr>
              <w:t xml:space="preserve">Definition </w:t>
            </w:r>
          </w:p>
        </w:tc>
      </w:tr>
      <w:tr w:rsidR="00DF13CE" w:rsidRPr="00BB194B" w14:paraId="5BA080A6" w14:textId="77777777" w:rsidTr="00A74CAF">
        <w:tc>
          <w:tcPr>
            <w:tcW w:w="4508" w:type="dxa"/>
          </w:tcPr>
          <w:p w14:paraId="729076C2" w14:textId="2027D94C" w:rsidR="00A74CAF" w:rsidRPr="00BB194B" w:rsidRDefault="00222A2C" w:rsidP="00BB4DB4">
            <w:pPr>
              <w:spacing w:after="200" w:line="276" w:lineRule="auto"/>
              <w:rPr>
                <w:bCs/>
              </w:rPr>
            </w:pPr>
            <w:r w:rsidRPr="00BB194B">
              <w:rPr>
                <w:bCs/>
              </w:rPr>
              <w:t>WHS</w:t>
            </w:r>
          </w:p>
        </w:tc>
        <w:tc>
          <w:tcPr>
            <w:tcW w:w="4508" w:type="dxa"/>
          </w:tcPr>
          <w:p w14:paraId="2B28E9DD" w14:textId="7531AB84" w:rsidR="00A74CAF" w:rsidRPr="00BB194B" w:rsidRDefault="00222A2C" w:rsidP="00BB4DB4">
            <w:pPr>
              <w:spacing w:after="200" w:line="276" w:lineRule="auto"/>
              <w:rPr>
                <w:bCs/>
              </w:rPr>
            </w:pPr>
            <w:r w:rsidRPr="00BB194B">
              <w:rPr>
                <w:bCs/>
              </w:rPr>
              <w:t>Work health and safety</w:t>
            </w:r>
          </w:p>
        </w:tc>
      </w:tr>
      <w:tr w:rsidR="00DF13CE" w:rsidRPr="00BB194B" w14:paraId="372A402D" w14:textId="77777777" w:rsidTr="00A74CAF">
        <w:tc>
          <w:tcPr>
            <w:tcW w:w="4508" w:type="dxa"/>
          </w:tcPr>
          <w:p w14:paraId="37745771" w14:textId="287B5D3E" w:rsidR="0077326C" w:rsidRPr="00BB194B" w:rsidRDefault="0077326C" w:rsidP="0077326C">
            <w:pPr>
              <w:spacing w:after="200" w:line="276" w:lineRule="auto"/>
              <w:rPr>
                <w:bCs/>
              </w:rPr>
            </w:pPr>
            <w:r w:rsidRPr="00BB194B">
              <w:rPr>
                <w:bCs/>
              </w:rPr>
              <w:t>Act</w:t>
            </w:r>
          </w:p>
        </w:tc>
        <w:tc>
          <w:tcPr>
            <w:tcW w:w="4508" w:type="dxa"/>
          </w:tcPr>
          <w:p w14:paraId="054B5C8D" w14:textId="08945553" w:rsidR="0077326C" w:rsidRPr="00BB194B" w:rsidRDefault="0077326C" w:rsidP="0077326C">
            <w:pPr>
              <w:spacing w:after="200" w:line="276" w:lineRule="auto"/>
              <w:rPr>
                <w:bCs/>
              </w:rPr>
            </w:pPr>
            <w:r w:rsidRPr="00BB194B">
              <w:rPr>
                <w:i/>
                <w:iCs/>
              </w:rPr>
              <w:t>Work Health and Safety Act 2011</w:t>
            </w:r>
          </w:p>
        </w:tc>
      </w:tr>
      <w:tr w:rsidR="00DF13CE" w:rsidRPr="00BB194B" w14:paraId="195B199F" w14:textId="77777777" w:rsidTr="00A74CAF">
        <w:tc>
          <w:tcPr>
            <w:tcW w:w="4508" w:type="dxa"/>
          </w:tcPr>
          <w:p w14:paraId="75239ECC" w14:textId="5AABBC6A" w:rsidR="0077326C" w:rsidRPr="00BB194B" w:rsidRDefault="00D2157A" w:rsidP="0077326C">
            <w:pPr>
              <w:spacing w:after="200" w:line="276" w:lineRule="auto"/>
              <w:rPr>
                <w:bCs/>
              </w:rPr>
            </w:pPr>
            <w:r>
              <w:rPr>
                <w:bCs/>
              </w:rPr>
              <w:t>p</w:t>
            </w:r>
            <w:r w:rsidR="003154A0">
              <w:rPr>
                <w:bCs/>
              </w:rPr>
              <w:t xml:space="preserve">rincipal </w:t>
            </w:r>
            <w:r w:rsidR="0077326C" w:rsidRPr="00BB194B">
              <w:rPr>
                <w:bCs/>
              </w:rPr>
              <w:t>Regulations</w:t>
            </w:r>
          </w:p>
        </w:tc>
        <w:tc>
          <w:tcPr>
            <w:tcW w:w="4508" w:type="dxa"/>
          </w:tcPr>
          <w:p w14:paraId="728FFFF4" w14:textId="5B0EEADF" w:rsidR="0077326C" w:rsidRPr="00BB194B" w:rsidRDefault="0077326C" w:rsidP="0077326C">
            <w:pPr>
              <w:spacing w:after="200" w:line="276" w:lineRule="auto"/>
              <w:rPr>
                <w:i/>
                <w:iCs/>
              </w:rPr>
            </w:pPr>
            <w:r w:rsidRPr="00BB194B">
              <w:rPr>
                <w:i/>
                <w:iCs/>
              </w:rPr>
              <w:t>Work Health and Safety Regulations 2011</w:t>
            </w:r>
          </w:p>
        </w:tc>
      </w:tr>
      <w:tr w:rsidR="00DF13CE" w:rsidRPr="00BB194B" w14:paraId="77CACB5F" w14:textId="77777777" w:rsidTr="00A74CAF">
        <w:tc>
          <w:tcPr>
            <w:tcW w:w="4508" w:type="dxa"/>
          </w:tcPr>
          <w:p w14:paraId="5CBA169D" w14:textId="296A0FFA" w:rsidR="0077326C" w:rsidRPr="00BB194B" w:rsidRDefault="000A7E9C" w:rsidP="0077326C">
            <w:pPr>
              <w:spacing w:after="200" w:line="276" w:lineRule="auto"/>
              <w:rPr>
                <w:bCs/>
              </w:rPr>
            </w:pPr>
            <w:r w:rsidRPr="00BB194B">
              <w:rPr>
                <w:bCs/>
              </w:rPr>
              <w:t>Amendment</w:t>
            </w:r>
            <w:r w:rsidR="00E17C40" w:rsidRPr="00BB194B">
              <w:rPr>
                <w:bCs/>
              </w:rPr>
              <w:t xml:space="preserve"> Regulations</w:t>
            </w:r>
          </w:p>
        </w:tc>
        <w:tc>
          <w:tcPr>
            <w:tcW w:w="4508" w:type="dxa"/>
          </w:tcPr>
          <w:p w14:paraId="6A025D86" w14:textId="178DB7EE" w:rsidR="0077326C" w:rsidRPr="004318E7" w:rsidRDefault="0077326C" w:rsidP="0077326C">
            <w:pPr>
              <w:spacing w:after="200" w:line="276" w:lineRule="auto"/>
              <w:rPr>
                <w:i/>
                <w:iCs/>
              </w:rPr>
            </w:pPr>
            <w:r w:rsidRPr="004318E7">
              <w:rPr>
                <w:i/>
                <w:iCs/>
              </w:rPr>
              <w:t>Work Health and Safety Amendment (</w:t>
            </w:r>
            <w:r w:rsidR="006C02A9" w:rsidRPr="004318E7">
              <w:rPr>
                <w:i/>
                <w:iCs/>
              </w:rPr>
              <w:t xml:space="preserve">Managing </w:t>
            </w:r>
            <w:r w:rsidR="00BA6E83" w:rsidRPr="004318E7">
              <w:rPr>
                <w:i/>
                <w:iCs/>
              </w:rPr>
              <w:t>P</w:t>
            </w:r>
            <w:r w:rsidRPr="004318E7">
              <w:rPr>
                <w:i/>
                <w:iCs/>
              </w:rPr>
              <w:t xml:space="preserve">sychosocial </w:t>
            </w:r>
            <w:r w:rsidR="00BA6E83" w:rsidRPr="004318E7">
              <w:rPr>
                <w:i/>
                <w:iCs/>
              </w:rPr>
              <w:t>R</w:t>
            </w:r>
            <w:r w:rsidRPr="004318E7">
              <w:rPr>
                <w:i/>
                <w:iCs/>
              </w:rPr>
              <w:t xml:space="preserve">isk and </w:t>
            </w:r>
            <w:r w:rsidR="00844921">
              <w:rPr>
                <w:i/>
                <w:iCs/>
              </w:rPr>
              <w:t>O</w:t>
            </w:r>
            <w:r w:rsidRPr="004318E7">
              <w:rPr>
                <w:i/>
                <w:iCs/>
              </w:rPr>
              <w:t xml:space="preserve">ther </w:t>
            </w:r>
            <w:r w:rsidR="00B17DDB" w:rsidRPr="004318E7">
              <w:rPr>
                <w:i/>
                <w:iCs/>
              </w:rPr>
              <w:t>Measures</w:t>
            </w:r>
            <w:r w:rsidRPr="004318E7">
              <w:rPr>
                <w:i/>
                <w:iCs/>
              </w:rPr>
              <w:t>) Regulations 2022</w:t>
            </w:r>
          </w:p>
        </w:tc>
      </w:tr>
      <w:tr w:rsidR="009B17CA" w:rsidRPr="00BB194B" w14:paraId="67D5784B" w14:textId="77777777" w:rsidTr="00A74CAF">
        <w:tc>
          <w:tcPr>
            <w:tcW w:w="4508" w:type="dxa"/>
          </w:tcPr>
          <w:p w14:paraId="057DE00A" w14:textId="3BE67665" w:rsidR="009B17CA" w:rsidRPr="00BB194B" w:rsidRDefault="009B17CA" w:rsidP="0077326C">
            <w:pPr>
              <w:spacing w:after="200" w:line="276" w:lineRule="auto"/>
              <w:rPr>
                <w:bCs/>
              </w:rPr>
            </w:pPr>
            <w:r>
              <w:t>Boland Review</w:t>
            </w:r>
          </w:p>
        </w:tc>
        <w:tc>
          <w:tcPr>
            <w:tcW w:w="4508" w:type="dxa"/>
          </w:tcPr>
          <w:p w14:paraId="49088B51" w14:textId="1496D57F" w:rsidR="009B17CA" w:rsidRPr="00C37610" w:rsidRDefault="009B17CA" w:rsidP="0077326C">
            <w:pPr>
              <w:spacing w:after="200" w:line="276" w:lineRule="auto"/>
            </w:pPr>
            <w:r w:rsidRPr="00803878">
              <w:t xml:space="preserve">Review of the </w:t>
            </w:r>
            <w:r>
              <w:t>m</w:t>
            </w:r>
            <w:r w:rsidRPr="00803878">
              <w:t xml:space="preserve">odel </w:t>
            </w:r>
            <w:r>
              <w:t xml:space="preserve">Work Health and Safety </w:t>
            </w:r>
            <w:r w:rsidRPr="00803878">
              <w:t>laws</w:t>
            </w:r>
          </w:p>
        </w:tc>
      </w:tr>
      <w:tr w:rsidR="00DF13CE" w:rsidRPr="00BB194B" w14:paraId="4CAB4E8E" w14:textId="77777777" w:rsidTr="00A74CAF">
        <w:tc>
          <w:tcPr>
            <w:tcW w:w="4508" w:type="dxa"/>
          </w:tcPr>
          <w:p w14:paraId="50C8223F" w14:textId="12E93DC9" w:rsidR="0077326C" w:rsidRPr="00BB194B" w:rsidRDefault="0077326C" w:rsidP="0077326C">
            <w:pPr>
              <w:spacing w:after="200" w:line="276" w:lineRule="auto"/>
              <w:rPr>
                <w:bCs/>
              </w:rPr>
            </w:pPr>
            <w:r w:rsidRPr="00BB194B">
              <w:rPr>
                <w:bCs/>
              </w:rPr>
              <w:t>PCBU</w:t>
            </w:r>
          </w:p>
        </w:tc>
        <w:tc>
          <w:tcPr>
            <w:tcW w:w="4508" w:type="dxa"/>
          </w:tcPr>
          <w:p w14:paraId="28D69F55" w14:textId="18F409BC" w:rsidR="0077326C" w:rsidRPr="00BB194B" w:rsidRDefault="0077326C" w:rsidP="0077326C">
            <w:pPr>
              <w:spacing w:after="200" w:line="276" w:lineRule="auto"/>
              <w:rPr>
                <w:i/>
                <w:iCs/>
              </w:rPr>
            </w:pPr>
            <w:r w:rsidRPr="00BB194B">
              <w:rPr>
                <w:bCs/>
              </w:rPr>
              <w:t>Person conducting a business or undertaking</w:t>
            </w:r>
          </w:p>
        </w:tc>
      </w:tr>
      <w:tr w:rsidR="00DF13CE" w:rsidRPr="00BB194B" w14:paraId="0CFF25D5" w14:textId="77777777" w:rsidTr="00A74CAF">
        <w:tc>
          <w:tcPr>
            <w:tcW w:w="4508" w:type="dxa"/>
          </w:tcPr>
          <w:p w14:paraId="6AECC59A" w14:textId="50D658ED" w:rsidR="00A74CAF" w:rsidRPr="00BB194B" w:rsidRDefault="00FE0BB7" w:rsidP="00BB4DB4">
            <w:pPr>
              <w:spacing w:after="200" w:line="276" w:lineRule="auto"/>
              <w:rPr>
                <w:bCs/>
              </w:rPr>
            </w:pPr>
            <w:r w:rsidRPr="00BB194B">
              <w:rPr>
                <w:bCs/>
              </w:rPr>
              <w:t>AS</w:t>
            </w:r>
          </w:p>
        </w:tc>
        <w:tc>
          <w:tcPr>
            <w:tcW w:w="4508" w:type="dxa"/>
          </w:tcPr>
          <w:p w14:paraId="18659B2F" w14:textId="206CC087" w:rsidR="00A74CAF" w:rsidRPr="00BB194B" w:rsidRDefault="00FE0BB7" w:rsidP="00BB4DB4">
            <w:pPr>
              <w:spacing w:after="200" w:line="276" w:lineRule="auto"/>
              <w:rPr>
                <w:bCs/>
              </w:rPr>
            </w:pPr>
            <w:r w:rsidRPr="00BB194B">
              <w:rPr>
                <w:bCs/>
              </w:rPr>
              <w:t>Australian Standards</w:t>
            </w:r>
          </w:p>
        </w:tc>
      </w:tr>
      <w:tr w:rsidR="00A74CAF" w:rsidRPr="00BB194B" w14:paraId="4D8B290D" w14:textId="77777777" w:rsidTr="00A74CAF">
        <w:tc>
          <w:tcPr>
            <w:tcW w:w="4508" w:type="dxa"/>
          </w:tcPr>
          <w:p w14:paraId="335B01FE" w14:textId="164D3A9A" w:rsidR="00A74CAF" w:rsidRPr="00BB194B" w:rsidRDefault="00FE0BB7" w:rsidP="00BB4DB4">
            <w:pPr>
              <w:spacing w:after="200" w:line="276" w:lineRule="auto"/>
              <w:rPr>
                <w:bCs/>
              </w:rPr>
            </w:pPr>
            <w:r w:rsidRPr="00BB194B">
              <w:rPr>
                <w:bCs/>
              </w:rPr>
              <w:t>AS/NZS</w:t>
            </w:r>
          </w:p>
        </w:tc>
        <w:tc>
          <w:tcPr>
            <w:tcW w:w="4508" w:type="dxa"/>
          </w:tcPr>
          <w:p w14:paraId="45684E28" w14:textId="35C750DF" w:rsidR="00A74CAF" w:rsidRPr="00BB194B" w:rsidRDefault="00FE0BB7" w:rsidP="00BB4DB4">
            <w:pPr>
              <w:spacing w:after="200" w:line="276" w:lineRule="auto"/>
              <w:rPr>
                <w:bCs/>
              </w:rPr>
            </w:pPr>
            <w:r w:rsidRPr="00BB194B">
              <w:rPr>
                <w:bCs/>
              </w:rPr>
              <w:t>Australia/New Zealand Standards</w:t>
            </w:r>
          </w:p>
        </w:tc>
      </w:tr>
    </w:tbl>
    <w:p w14:paraId="69F01E63" w14:textId="77777777" w:rsidR="00A74CAF" w:rsidRPr="00BB194B" w:rsidRDefault="00A74CAF" w:rsidP="00BB4DB4">
      <w:pPr>
        <w:spacing w:after="200" w:line="276" w:lineRule="auto"/>
        <w:rPr>
          <w:bCs/>
        </w:rPr>
      </w:pPr>
    </w:p>
    <w:p w14:paraId="72B02AA8" w14:textId="77777777" w:rsidR="00BB4DB4" w:rsidRPr="00BB194B" w:rsidRDefault="00BB4DB4" w:rsidP="00BB4DB4">
      <w:pPr>
        <w:spacing w:before="360" w:after="180" w:line="276" w:lineRule="auto"/>
        <w:rPr>
          <w:u w:val="single"/>
        </w:rPr>
      </w:pPr>
      <w:r w:rsidRPr="00BB194B">
        <w:rPr>
          <w:u w:val="single"/>
        </w:rPr>
        <w:t>Section 1 – Name</w:t>
      </w:r>
    </w:p>
    <w:p w14:paraId="6B616A49" w14:textId="50DF1715" w:rsidR="00BB4DB4" w:rsidRPr="00BB194B" w:rsidRDefault="00BB4DB4" w:rsidP="00932A22">
      <w:pPr>
        <w:pStyle w:val="EMnumbers"/>
        <w:numPr>
          <w:ilvl w:val="0"/>
          <w:numId w:val="1"/>
        </w:numPr>
        <w:ind w:left="567" w:hanging="567"/>
      </w:pPr>
      <w:r w:rsidRPr="00BB194B">
        <w:t xml:space="preserve">This section provides that the title of the instrument is the </w:t>
      </w:r>
      <w:r w:rsidRPr="00BB194B">
        <w:rPr>
          <w:i/>
          <w:iCs/>
        </w:rPr>
        <w:t>Work Health and Safety Amendment (</w:t>
      </w:r>
      <w:r w:rsidR="0032448F" w:rsidRPr="00BB194B">
        <w:rPr>
          <w:i/>
          <w:iCs/>
        </w:rPr>
        <w:t>Managing P</w:t>
      </w:r>
      <w:r w:rsidR="00B811A0" w:rsidRPr="00BB194B">
        <w:rPr>
          <w:i/>
          <w:iCs/>
        </w:rPr>
        <w:t>s</w:t>
      </w:r>
      <w:r w:rsidR="00D04D0A" w:rsidRPr="00BB194B">
        <w:rPr>
          <w:i/>
          <w:iCs/>
        </w:rPr>
        <w:t xml:space="preserve">ychosocial </w:t>
      </w:r>
      <w:r w:rsidR="0032448F" w:rsidRPr="00BB194B">
        <w:rPr>
          <w:i/>
          <w:iCs/>
        </w:rPr>
        <w:t>R</w:t>
      </w:r>
      <w:r w:rsidR="00D04D0A" w:rsidRPr="00BB194B">
        <w:rPr>
          <w:i/>
          <w:iCs/>
        </w:rPr>
        <w:t xml:space="preserve">isk and </w:t>
      </w:r>
      <w:r w:rsidR="0032448F" w:rsidRPr="00BB194B">
        <w:rPr>
          <w:i/>
          <w:iCs/>
        </w:rPr>
        <w:t>O</w:t>
      </w:r>
      <w:r w:rsidR="00D04D0A" w:rsidRPr="00BB194B">
        <w:rPr>
          <w:i/>
          <w:iCs/>
        </w:rPr>
        <w:t xml:space="preserve">ther </w:t>
      </w:r>
      <w:r w:rsidR="0032448F" w:rsidRPr="00BB194B">
        <w:rPr>
          <w:i/>
          <w:iCs/>
        </w:rPr>
        <w:t>Measures</w:t>
      </w:r>
      <w:r w:rsidRPr="00BB194B">
        <w:rPr>
          <w:i/>
          <w:iCs/>
        </w:rPr>
        <w:t>) Regulations 20</w:t>
      </w:r>
      <w:r w:rsidR="00D04D0A" w:rsidRPr="00BB194B">
        <w:rPr>
          <w:i/>
          <w:iCs/>
        </w:rPr>
        <w:t>22</w:t>
      </w:r>
      <w:r w:rsidRPr="00E8337B">
        <w:t>.</w:t>
      </w:r>
    </w:p>
    <w:p w14:paraId="13376B15" w14:textId="77777777" w:rsidR="00BB4DB4" w:rsidRPr="00BB194B" w:rsidRDefault="00BB4DB4" w:rsidP="00BB4DB4">
      <w:pPr>
        <w:spacing w:before="360" w:after="180" w:line="276" w:lineRule="auto"/>
        <w:rPr>
          <w:u w:val="single"/>
        </w:rPr>
      </w:pPr>
      <w:r w:rsidRPr="00BB194B">
        <w:rPr>
          <w:u w:val="single"/>
        </w:rPr>
        <w:t xml:space="preserve">Section 2 – Commencement </w:t>
      </w:r>
    </w:p>
    <w:p w14:paraId="54A39450" w14:textId="2F8A15A0" w:rsidR="004011DD" w:rsidRPr="00E8337B" w:rsidRDefault="00BB4DB4" w:rsidP="00E252F0">
      <w:pPr>
        <w:pStyle w:val="EMnumbers"/>
        <w:numPr>
          <w:ilvl w:val="0"/>
          <w:numId w:val="1"/>
        </w:numPr>
        <w:ind w:left="567" w:hanging="567"/>
      </w:pPr>
      <w:r w:rsidRPr="00BB194B">
        <w:t>Th</w:t>
      </w:r>
      <w:r w:rsidR="00962919" w:rsidRPr="00BB194B">
        <w:t xml:space="preserve">e table in this </w:t>
      </w:r>
      <w:r w:rsidR="000A3A35" w:rsidRPr="00BB194B">
        <w:t>s</w:t>
      </w:r>
      <w:r w:rsidR="00962919" w:rsidRPr="00BB194B">
        <w:t>e</w:t>
      </w:r>
      <w:r w:rsidR="000A3A35" w:rsidRPr="00BB194B">
        <w:t>ction</w:t>
      </w:r>
      <w:r w:rsidR="00962919" w:rsidRPr="00BB194B">
        <w:t xml:space="preserve"> sets out when the provisions of the </w:t>
      </w:r>
      <w:r w:rsidR="003B0188">
        <w:t>instrument</w:t>
      </w:r>
      <w:r w:rsidR="00496EB9" w:rsidRPr="00BB194B">
        <w:t xml:space="preserve"> commence</w:t>
      </w:r>
      <w:r w:rsidR="00496EB9" w:rsidRPr="00DF13CE">
        <w:t xml:space="preserve">. </w:t>
      </w:r>
    </w:p>
    <w:p w14:paraId="00887072" w14:textId="14597639" w:rsidR="00E252F0" w:rsidRDefault="0032448F" w:rsidP="00E252F0">
      <w:pPr>
        <w:pStyle w:val="EMnumbers"/>
        <w:numPr>
          <w:ilvl w:val="0"/>
          <w:numId w:val="1"/>
        </w:numPr>
        <w:ind w:left="567" w:hanging="567"/>
      </w:pPr>
      <w:r w:rsidRPr="00BB194B">
        <w:t xml:space="preserve">Subsection </w:t>
      </w:r>
      <w:r w:rsidR="00643560">
        <w:t>2</w:t>
      </w:r>
      <w:r w:rsidR="00E252F0" w:rsidRPr="00BB194B">
        <w:t>(1) prov</w:t>
      </w:r>
      <w:r w:rsidR="001520C0" w:rsidRPr="00BB194B">
        <w:t>i</w:t>
      </w:r>
      <w:r w:rsidR="00E252F0" w:rsidRPr="00BB194B">
        <w:t>de</w:t>
      </w:r>
      <w:r w:rsidR="00AD60AF">
        <w:t>s</w:t>
      </w:r>
      <w:r w:rsidR="00E252F0" w:rsidRPr="00BB194B">
        <w:t xml:space="preserve"> that each provision of the </w:t>
      </w:r>
      <w:r w:rsidR="003B0188">
        <w:t>instrument</w:t>
      </w:r>
      <w:r w:rsidR="00E252F0" w:rsidRPr="00BB194B">
        <w:t xml:space="preserve"> </w:t>
      </w:r>
      <w:r w:rsidR="001520C0" w:rsidRPr="00BB194B">
        <w:t xml:space="preserve">specified in column 1 of the table commences, or is taken to have commenced, in accordance with column 2 of the table. Any other statement in column 2 has effect according to its terms. </w:t>
      </w:r>
    </w:p>
    <w:p w14:paraId="200207CF" w14:textId="44356778" w:rsidR="007A3936" w:rsidRPr="00F92D8D" w:rsidRDefault="00F92D8D" w:rsidP="00603E6A">
      <w:pPr>
        <w:pStyle w:val="EMnumbers"/>
        <w:numPr>
          <w:ilvl w:val="0"/>
          <w:numId w:val="1"/>
        </w:numPr>
        <w:ind w:left="567" w:hanging="567"/>
        <w:rPr>
          <w:rFonts w:cs="Times New Roman"/>
        </w:rPr>
      </w:pPr>
      <w:r w:rsidRPr="00844921">
        <w:rPr>
          <w:rFonts w:cs="Times New Roman"/>
        </w:rPr>
        <w:t>Part 1 Division 1</w:t>
      </w:r>
      <w:r w:rsidR="00CB6332">
        <w:rPr>
          <w:rFonts w:cs="Times New Roman"/>
        </w:rPr>
        <w:t xml:space="preserve"> of Schedule 1</w:t>
      </w:r>
      <w:r>
        <w:rPr>
          <w:rFonts w:cs="Times New Roman"/>
        </w:rPr>
        <w:t xml:space="preserve"> </w:t>
      </w:r>
      <w:r w:rsidRPr="00262BA8">
        <w:rPr>
          <w:rFonts w:cs="Times New Roman"/>
        </w:rPr>
        <w:t xml:space="preserve">of the </w:t>
      </w:r>
      <w:r w:rsidR="003B0188">
        <w:rPr>
          <w:rFonts w:cs="Times New Roman"/>
        </w:rPr>
        <w:t>instrument</w:t>
      </w:r>
      <w:r w:rsidRPr="00262BA8">
        <w:rPr>
          <w:rFonts w:cs="Times New Roman"/>
        </w:rPr>
        <w:t xml:space="preserve"> would commence on 1 April 2023</w:t>
      </w:r>
      <w:r>
        <w:rPr>
          <w:rFonts w:cs="Times New Roman"/>
        </w:rPr>
        <w:t xml:space="preserve"> to allow time for </w:t>
      </w:r>
      <w:r w:rsidR="00197B41">
        <w:rPr>
          <w:rFonts w:cs="Times New Roman"/>
        </w:rPr>
        <w:t>Comcare</w:t>
      </w:r>
      <w:r>
        <w:rPr>
          <w:rFonts w:cs="Times New Roman"/>
        </w:rPr>
        <w:t xml:space="preserve"> to prepare businesses for the requirement to manage psychosocial risks in accordance with the hierarchy of controls</w:t>
      </w:r>
      <w:r w:rsidRPr="00262BA8">
        <w:rPr>
          <w:rFonts w:cs="Times New Roman"/>
        </w:rPr>
        <w:t>.</w:t>
      </w:r>
      <w:r>
        <w:rPr>
          <w:rFonts w:cs="Times New Roman"/>
        </w:rPr>
        <w:t xml:space="preserve"> </w:t>
      </w:r>
      <w:r w:rsidRPr="00B838DC">
        <w:rPr>
          <w:rFonts w:cs="Times New Roman"/>
        </w:rPr>
        <w:t xml:space="preserve">The </w:t>
      </w:r>
      <w:r w:rsidRPr="00844921">
        <w:rPr>
          <w:rFonts w:cs="Times New Roman"/>
        </w:rPr>
        <w:t xml:space="preserve">remaining </w:t>
      </w:r>
      <w:r w:rsidR="008C1F90">
        <w:rPr>
          <w:rFonts w:cs="Times New Roman"/>
        </w:rPr>
        <w:t>amendments in</w:t>
      </w:r>
      <w:r w:rsidR="008C1F90" w:rsidRPr="00B838DC">
        <w:rPr>
          <w:rFonts w:cs="Times New Roman"/>
        </w:rPr>
        <w:t xml:space="preserve"> </w:t>
      </w:r>
      <w:r w:rsidRPr="00B838DC">
        <w:rPr>
          <w:rFonts w:cs="Times New Roman"/>
        </w:rPr>
        <w:t xml:space="preserve">the </w:t>
      </w:r>
      <w:r w:rsidR="003B0188">
        <w:rPr>
          <w:rFonts w:cs="Times New Roman"/>
        </w:rPr>
        <w:t>instrument</w:t>
      </w:r>
      <w:r w:rsidRPr="00B838DC">
        <w:rPr>
          <w:rFonts w:cs="Times New Roman"/>
        </w:rPr>
        <w:t xml:space="preserve"> commence the day after registration</w:t>
      </w:r>
      <w:r>
        <w:rPr>
          <w:rFonts w:cs="Times New Roman"/>
        </w:rPr>
        <w:t xml:space="preserve"> on the Federal Register of Legislation. </w:t>
      </w:r>
    </w:p>
    <w:p w14:paraId="210BE427" w14:textId="77777777" w:rsidR="00BB4DB4" w:rsidRPr="00BB194B" w:rsidRDefault="00BB4DB4" w:rsidP="00BB4DB4">
      <w:pPr>
        <w:spacing w:before="360" w:after="180" w:line="276" w:lineRule="auto"/>
        <w:rPr>
          <w:u w:val="single"/>
        </w:rPr>
      </w:pPr>
      <w:r w:rsidRPr="00BB194B">
        <w:rPr>
          <w:u w:val="single"/>
        </w:rPr>
        <w:t>Section 3 – Authority</w:t>
      </w:r>
    </w:p>
    <w:p w14:paraId="603C766C" w14:textId="1F5A0DBC" w:rsidR="00BB4DB4" w:rsidRPr="00BB194B" w:rsidRDefault="00BB4DB4" w:rsidP="00932A22">
      <w:pPr>
        <w:pStyle w:val="EMnumbers"/>
        <w:numPr>
          <w:ilvl w:val="0"/>
          <w:numId w:val="1"/>
        </w:numPr>
        <w:ind w:left="567" w:hanging="567"/>
      </w:pPr>
      <w:r w:rsidRPr="00BB194B">
        <w:lastRenderedPageBreak/>
        <w:t xml:space="preserve">This section provides that the instrument is made under the </w:t>
      </w:r>
      <w:r w:rsidR="00DC5AFA">
        <w:t>Act</w:t>
      </w:r>
      <w:r w:rsidRPr="00BB194B">
        <w:t>.</w:t>
      </w:r>
    </w:p>
    <w:p w14:paraId="0A97E74D" w14:textId="77777777" w:rsidR="00BB4DB4" w:rsidRPr="00BB194B" w:rsidRDefault="00BB4DB4" w:rsidP="00256566">
      <w:pPr>
        <w:spacing w:before="360" w:after="180" w:line="276" w:lineRule="auto"/>
        <w:rPr>
          <w:u w:val="single"/>
        </w:rPr>
      </w:pPr>
      <w:r w:rsidRPr="00BB194B">
        <w:rPr>
          <w:u w:val="single"/>
        </w:rPr>
        <w:t xml:space="preserve">Section 4 – Schedules   </w:t>
      </w:r>
    </w:p>
    <w:p w14:paraId="00913531" w14:textId="22E28285" w:rsidR="00BB4DB4" w:rsidRPr="00BB194B" w:rsidRDefault="00BB4DB4" w:rsidP="00932A22">
      <w:pPr>
        <w:pStyle w:val="EMnumbers"/>
        <w:numPr>
          <w:ilvl w:val="0"/>
          <w:numId w:val="1"/>
        </w:numPr>
        <w:ind w:left="567" w:hanging="567"/>
      </w:pPr>
      <w:r w:rsidRPr="00BB194B">
        <w:t>This section provides that each instrument that is specified in a Schedule to the instrument is amended or repealed according to the terms set out in the Schedule, and any other item in a Schedule to the instrument has effect according to its terms.</w:t>
      </w:r>
    </w:p>
    <w:p w14:paraId="035FB4BA" w14:textId="4FCF3711" w:rsidR="00B55BE2" w:rsidRDefault="00B55BE2" w:rsidP="00256566">
      <w:pPr>
        <w:spacing w:before="360" w:after="180" w:line="276" w:lineRule="auto"/>
        <w:rPr>
          <w:u w:val="single"/>
        </w:rPr>
      </w:pPr>
      <w:r w:rsidRPr="00227BA2">
        <w:rPr>
          <w:u w:val="single"/>
        </w:rPr>
        <w:t xml:space="preserve">Schedule 1 </w:t>
      </w:r>
      <w:r w:rsidR="00B4197E">
        <w:rPr>
          <w:u w:val="single"/>
        </w:rPr>
        <w:t>–</w:t>
      </w:r>
      <w:r w:rsidRPr="00227BA2">
        <w:rPr>
          <w:u w:val="single"/>
        </w:rPr>
        <w:t xml:space="preserve"> Amendments</w:t>
      </w:r>
    </w:p>
    <w:p w14:paraId="35E151CD" w14:textId="2E6BB9F0" w:rsidR="00900ADB" w:rsidRDefault="00900ADB" w:rsidP="00256566">
      <w:pPr>
        <w:spacing w:before="360" w:after="180" w:line="276" w:lineRule="auto"/>
        <w:rPr>
          <w:u w:val="single"/>
        </w:rPr>
      </w:pPr>
      <w:r w:rsidRPr="00227BA2">
        <w:rPr>
          <w:i/>
          <w:iCs/>
        </w:rPr>
        <w:t>Work Health and Safety Regulations 2011</w:t>
      </w:r>
    </w:p>
    <w:p w14:paraId="181DF4FB" w14:textId="5CCDA4C2" w:rsidR="0042687E" w:rsidRPr="00C039D4" w:rsidRDefault="0042687E" w:rsidP="00256566">
      <w:pPr>
        <w:spacing w:before="360" w:after="180" w:line="276" w:lineRule="auto"/>
        <w:rPr>
          <w:u w:val="single"/>
        </w:rPr>
      </w:pPr>
      <w:r w:rsidRPr="00C039D4">
        <w:rPr>
          <w:u w:val="single"/>
        </w:rPr>
        <w:t xml:space="preserve">Part 1 – </w:t>
      </w:r>
      <w:r w:rsidR="00AD030F" w:rsidRPr="00C039D4">
        <w:rPr>
          <w:u w:val="single"/>
        </w:rPr>
        <w:t>Model WHS law amendments</w:t>
      </w:r>
    </w:p>
    <w:p w14:paraId="5DB23F76" w14:textId="4CEC4D63" w:rsidR="00BB4DB4" w:rsidRPr="00C039D4" w:rsidRDefault="002B5AA2" w:rsidP="00256566">
      <w:pPr>
        <w:spacing w:before="360" w:after="180" w:line="276" w:lineRule="auto"/>
        <w:rPr>
          <w:u w:val="single"/>
        </w:rPr>
      </w:pPr>
      <w:r w:rsidRPr="00C039D4">
        <w:rPr>
          <w:u w:val="single"/>
        </w:rPr>
        <w:t>Division 1</w:t>
      </w:r>
      <w:r w:rsidR="00BB4DB4" w:rsidRPr="00C039D4">
        <w:rPr>
          <w:u w:val="single"/>
        </w:rPr>
        <w:t xml:space="preserve"> – </w:t>
      </w:r>
      <w:r w:rsidR="00FF4D08" w:rsidRPr="00C039D4">
        <w:rPr>
          <w:u w:val="single"/>
        </w:rPr>
        <w:t>Managing psychosocial risks</w:t>
      </w:r>
    </w:p>
    <w:p w14:paraId="7CAE9747" w14:textId="4DAE8E03" w:rsidR="00097366" w:rsidRPr="00BB194B" w:rsidRDefault="00097366" w:rsidP="00256566">
      <w:pPr>
        <w:spacing w:after="200" w:line="276" w:lineRule="auto"/>
        <w:rPr>
          <w:b/>
          <w:bCs/>
        </w:rPr>
      </w:pPr>
      <w:r w:rsidRPr="00BB194B">
        <w:rPr>
          <w:b/>
          <w:bCs/>
        </w:rPr>
        <w:t xml:space="preserve">Item </w:t>
      </w:r>
      <w:r w:rsidR="00844921">
        <w:rPr>
          <w:b/>
          <w:bCs/>
        </w:rPr>
        <w:t>[</w:t>
      </w:r>
      <w:r w:rsidRPr="00BB194B">
        <w:rPr>
          <w:b/>
          <w:bCs/>
        </w:rPr>
        <w:t>1</w:t>
      </w:r>
      <w:r w:rsidR="00844921">
        <w:rPr>
          <w:b/>
          <w:bCs/>
        </w:rPr>
        <w:t>]</w:t>
      </w:r>
      <w:r w:rsidR="0006039E" w:rsidRPr="00BB194B">
        <w:rPr>
          <w:b/>
          <w:bCs/>
        </w:rPr>
        <w:t xml:space="preserve"> – </w:t>
      </w:r>
      <w:proofErr w:type="spellStart"/>
      <w:r w:rsidR="006652FE">
        <w:rPr>
          <w:b/>
          <w:bCs/>
        </w:rPr>
        <w:t>Subr</w:t>
      </w:r>
      <w:r w:rsidR="0077641E" w:rsidRPr="00BB194B">
        <w:rPr>
          <w:b/>
          <w:bCs/>
        </w:rPr>
        <w:t>egulation</w:t>
      </w:r>
      <w:proofErr w:type="spellEnd"/>
      <w:r w:rsidR="00B649C4" w:rsidRPr="00BB194B">
        <w:rPr>
          <w:b/>
          <w:bCs/>
        </w:rPr>
        <w:t xml:space="preserve"> 5</w:t>
      </w:r>
      <w:r w:rsidR="0002517A">
        <w:rPr>
          <w:b/>
          <w:bCs/>
        </w:rPr>
        <w:t>(1)</w:t>
      </w:r>
      <w:r w:rsidR="00B649C4" w:rsidRPr="00BB194B">
        <w:rPr>
          <w:b/>
          <w:bCs/>
        </w:rPr>
        <w:t xml:space="preserve"> </w:t>
      </w:r>
    </w:p>
    <w:p w14:paraId="4A7EBCBA" w14:textId="77B04904" w:rsidR="004056AA" w:rsidRDefault="0045242F" w:rsidP="00932A22">
      <w:pPr>
        <w:pStyle w:val="EMnumbers"/>
        <w:numPr>
          <w:ilvl w:val="0"/>
          <w:numId w:val="1"/>
        </w:numPr>
        <w:ind w:left="567" w:hanging="567"/>
      </w:pPr>
      <w:r>
        <w:t>Regulation</w:t>
      </w:r>
      <w:r w:rsidR="004056AA">
        <w:t xml:space="preserve"> </w:t>
      </w:r>
      <w:r w:rsidR="004056AA" w:rsidRPr="00BB194B">
        <w:t>5 defines the terms used in the</w:t>
      </w:r>
      <w:r w:rsidR="00CB6368">
        <w:t xml:space="preserve"> </w:t>
      </w:r>
      <w:r w:rsidR="00D2157A">
        <w:t>p</w:t>
      </w:r>
      <w:r w:rsidR="00CB6368">
        <w:t>rincipal</w:t>
      </w:r>
      <w:r w:rsidR="004056AA" w:rsidRPr="00BB194B">
        <w:t xml:space="preserve"> </w:t>
      </w:r>
      <w:r w:rsidR="00DC5AFA">
        <w:t xml:space="preserve">Regulations. </w:t>
      </w:r>
    </w:p>
    <w:p w14:paraId="0A587217" w14:textId="421AE1D0" w:rsidR="00BD5191" w:rsidRPr="00BB194B" w:rsidRDefault="00532948">
      <w:pPr>
        <w:pStyle w:val="EMnumbers"/>
        <w:numPr>
          <w:ilvl w:val="0"/>
          <w:numId w:val="1"/>
        </w:numPr>
        <w:ind w:left="567" w:hanging="567"/>
      </w:pPr>
      <w:r>
        <w:t>This i</w:t>
      </w:r>
      <w:r w:rsidR="00097366" w:rsidRPr="00BB194B">
        <w:t>tem inse</w:t>
      </w:r>
      <w:r w:rsidR="00BD5191" w:rsidRPr="00BB194B">
        <w:t>rt</w:t>
      </w:r>
      <w:r w:rsidR="00AD60AF">
        <w:t>s</w:t>
      </w:r>
      <w:r w:rsidR="00BD5191" w:rsidRPr="00BB194B">
        <w:t xml:space="preserve"> new definitions </w:t>
      </w:r>
      <w:r w:rsidR="001F04FC" w:rsidRPr="00BB194B">
        <w:t xml:space="preserve">of </w:t>
      </w:r>
      <w:r w:rsidR="00076F42" w:rsidRPr="00BB194B">
        <w:t>‘</w:t>
      </w:r>
      <w:r w:rsidR="001F04FC" w:rsidRPr="00BB194B">
        <w:t>psychosocial hazard</w:t>
      </w:r>
      <w:r w:rsidR="00076F42" w:rsidRPr="00BB194B">
        <w:t>’</w:t>
      </w:r>
      <w:r w:rsidR="001F04FC" w:rsidRPr="00BB194B">
        <w:t xml:space="preserve"> and </w:t>
      </w:r>
      <w:r w:rsidR="00076F42" w:rsidRPr="00BB194B">
        <w:t>‘</w:t>
      </w:r>
      <w:r w:rsidR="001F04FC" w:rsidRPr="00BB194B">
        <w:t>psychosocial risk</w:t>
      </w:r>
      <w:r w:rsidR="00076F42" w:rsidRPr="00BB194B">
        <w:t>’</w:t>
      </w:r>
      <w:r w:rsidR="001F04FC" w:rsidRPr="00BB194B">
        <w:t xml:space="preserve"> </w:t>
      </w:r>
      <w:r w:rsidR="00BD5191" w:rsidRPr="00BB194B">
        <w:t>into regulation 5.</w:t>
      </w:r>
      <w:r w:rsidR="003B2EFD" w:rsidRPr="00BB194B">
        <w:t xml:space="preserve"> </w:t>
      </w:r>
      <w:r w:rsidR="00AD60AF" w:rsidRPr="00691850">
        <w:rPr>
          <w:rFonts w:cs="Times New Roman"/>
        </w:rPr>
        <w:t>These terms are required for the effective operation of new Part 3.2, Division 11 – Psychosocial hazards.</w:t>
      </w:r>
    </w:p>
    <w:p w14:paraId="53728B89" w14:textId="3A978EF3" w:rsidR="00953C3C" w:rsidRPr="00BB194B" w:rsidRDefault="0006039E" w:rsidP="00953C3C">
      <w:pPr>
        <w:spacing w:after="200" w:line="276" w:lineRule="auto"/>
        <w:rPr>
          <w:b/>
          <w:bCs/>
        </w:rPr>
      </w:pPr>
      <w:r w:rsidRPr="00BB194B">
        <w:rPr>
          <w:b/>
          <w:bCs/>
        </w:rPr>
        <w:t xml:space="preserve">Item </w:t>
      </w:r>
      <w:r w:rsidR="00844921">
        <w:rPr>
          <w:b/>
          <w:bCs/>
        </w:rPr>
        <w:t>[</w:t>
      </w:r>
      <w:r w:rsidRPr="00BB194B">
        <w:rPr>
          <w:b/>
          <w:bCs/>
        </w:rPr>
        <w:t>2</w:t>
      </w:r>
      <w:r w:rsidR="00844921">
        <w:rPr>
          <w:b/>
          <w:bCs/>
        </w:rPr>
        <w:t>]</w:t>
      </w:r>
      <w:r w:rsidR="00BF7CEF" w:rsidRPr="00BB194B">
        <w:rPr>
          <w:b/>
          <w:bCs/>
        </w:rPr>
        <w:t xml:space="preserve"> –</w:t>
      </w:r>
      <w:r w:rsidR="00953C3C">
        <w:rPr>
          <w:b/>
          <w:bCs/>
        </w:rPr>
        <w:t xml:space="preserve"> </w:t>
      </w:r>
      <w:r w:rsidR="006A1544">
        <w:rPr>
          <w:b/>
          <w:bCs/>
        </w:rPr>
        <w:t>At the end of Part 3.2</w:t>
      </w:r>
      <w:r w:rsidR="00532948">
        <w:rPr>
          <w:b/>
          <w:bCs/>
        </w:rPr>
        <w:t xml:space="preserve"> </w:t>
      </w:r>
    </w:p>
    <w:p w14:paraId="6C5FE840" w14:textId="0B2ED85E" w:rsidR="00953C3C" w:rsidRPr="00BB194B" w:rsidRDefault="00DF7D7A" w:rsidP="00953C3C">
      <w:pPr>
        <w:pStyle w:val="EMnumbers"/>
        <w:numPr>
          <w:ilvl w:val="0"/>
          <w:numId w:val="1"/>
        </w:numPr>
        <w:ind w:left="567" w:hanging="567"/>
      </w:pPr>
      <w:r>
        <w:t>This i</w:t>
      </w:r>
      <w:r w:rsidR="00953C3C" w:rsidRPr="00BB194B">
        <w:t>tem insert</w:t>
      </w:r>
      <w:r w:rsidR="00AB1DB2">
        <w:t>s</w:t>
      </w:r>
      <w:r w:rsidR="00953C3C" w:rsidRPr="00BB194B">
        <w:t xml:space="preserve"> new Division 11 into </w:t>
      </w:r>
      <w:r w:rsidR="005D5585">
        <w:t xml:space="preserve">Part 3.2 of </w:t>
      </w:r>
      <w:r w:rsidR="00953C3C" w:rsidRPr="00BB194B">
        <w:t>the</w:t>
      </w:r>
      <w:r w:rsidR="00CA0C4C">
        <w:t xml:space="preserve"> </w:t>
      </w:r>
      <w:r w:rsidR="00D2157A">
        <w:t>p</w:t>
      </w:r>
      <w:r w:rsidR="00CA0C4C">
        <w:t>rincipal</w:t>
      </w:r>
      <w:r w:rsidR="00953C3C" w:rsidRPr="00BB194B">
        <w:t xml:space="preserve"> Regulation</w:t>
      </w:r>
      <w:r w:rsidR="005D5585">
        <w:t>s</w:t>
      </w:r>
      <w:r w:rsidR="00953C3C" w:rsidRPr="00BB194B">
        <w:t xml:space="preserve">. </w:t>
      </w:r>
    </w:p>
    <w:p w14:paraId="365DC527" w14:textId="51D403EF" w:rsidR="00953C3C" w:rsidRPr="00BB194B" w:rsidRDefault="00A22A70" w:rsidP="00953C3C">
      <w:pPr>
        <w:pStyle w:val="EMnumbers"/>
        <w:numPr>
          <w:ilvl w:val="0"/>
          <w:numId w:val="1"/>
        </w:numPr>
        <w:ind w:left="567" w:hanging="567"/>
      </w:pPr>
      <w:r>
        <w:t>R</w:t>
      </w:r>
      <w:r w:rsidR="00953C3C" w:rsidRPr="00BB194B">
        <w:t>egulation 55A define</w:t>
      </w:r>
      <w:r w:rsidR="00AB1DB2">
        <w:t>s</w:t>
      </w:r>
      <w:r w:rsidR="00953C3C" w:rsidRPr="00BB194B">
        <w:t xml:space="preserve"> a psychosocial hazard as a hazard that may cause psychological harm and arises from, or relates to: </w:t>
      </w:r>
    </w:p>
    <w:p w14:paraId="46614435" w14:textId="77777777" w:rsidR="00953C3C" w:rsidRPr="009C2E6C" w:rsidRDefault="00953C3C" w:rsidP="00953C3C">
      <w:pPr>
        <w:pStyle w:val="ListParagraph"/>
        <w:numPr>
          <w:ilvl w:val="1"/>
          <w:numId w:val="1"/>
        </w:numPr>
        <w:spacing w:after="200" w:line="276" w:lineRule="auto"/>
        <w:ind w:left="1080"/>
        <w:contextualSpacing w:val="0"/>
      </w:pPr>
      <w:r w:rsidRPr="00BB194B">
        <w:t xml:space="preserve">the </w:t>
      </w:r>
      <w:r w:rsidRPr="009C2E6C">
        <w:t xml:space="preserve">design or management of work </w:t>
      </w:r>
    </w:p>
    <w:p w14:paraId="1C827355" w14:textId="77777777" w:rsidR="00953C3C" w:rsidRPr="009C2E6C" w:rsidRDefault="00953C3C" w:rsidP="00953C3C">
      <w:pPr>
        <w:pStyle w:val="ListParagraph"/>
        <w:numPr>
          <w:ilvl w:val="1"/>
          <w:numId w:val="1"/>
        </w:numPr>
        <w:spacing w:after="200" w:line="276" w:lineRule="auto"/>
        <w:ind w:left="1080"/>
        <w:contextualSpacing w:val="0"/>
      </w:pPr>
      <w:r w:rsidRPr="009C2E6C">
        <w:t xml:space="preserve">a work environment </w:t>
      </w:r>
    </w:p>
    <w:p w14:paraId="538F41B2" w14:textId="1FAA87B0" w:rsidR="00953C3C" w:rsidRPr="009C2E6C" w:rsidRDefault="00953C3C" w:rsidP="00953C3C">
      <w:pPr>
        <w:pStyle w:val="ListParagraph"/>
        <w:numPr>
          <w:ilvl w:val="1"/>
          <w:numId w:val="1"/>
        </w:numPr>
        <w:spacing w:after="200" w:line="276" w:lineRule="auto"/>
        <w:ind w:left="1080"/>
        <w:contextualSpacing w:val="0"/>
      </w:pPr>
      <w:r w:rsidRPr="009C2E6C">
        <w:t>plant at a workplace</w:t>
      </w:r>
      <w:r w:rsidR="00844921">
        <w:t>;</w:t>
      </w:r>
      <w:r w:rsidRPr="009C2E6C">
        <w:t xml:space="preserve"> or </w:t>
      </w:r>
    </w:p>
    <w:p w14:paraId="39D81DE2" w14:textId="6C243DCE" w:rsidR="00953C3C" w:rsidRDefault="00953C3C" w:rsidP="00953C3C">
      <w:pPr>
        <w:pStyle w:val="ListParagraph"/>
        <w:numPr>
          <w:ilvl w:val="1"/>
          <w:numId w:val="1"/>
        </w:numPr>
        <w:spacing w:after="200" w:line="276" w:lineRule="auto"/>
        <w:ind w:left="1080"/>
        <w:contextualSpacing w:val="0"/>
      </w:pPr>
      <w:r w:rsidRPr="009C2E6C">
        <w:t>workplace</w:t>
      </w:r>
      <w:r w:rsidRPr="00DF13CE">
        <w:t xml:space="preserve"> interactions or behaviours</w:t>
      </w:r>
    </w:p>
    <w:p w14:paraId="2D27DE99" w14:textId="141F1A98" w:rsidR="00FF4810" w:rsidRPr="00E8337B" w:rsidRDefault="003140D7" w:rsidP="00EB7AD0">
      <w:pPr>
        <w:spacing w:after="200" w:line="276" w:lineRule="auto"/>
        <w:ind w:firstLine="567"/>
      </w:pPr>
      <w:r>
        <w:t>which may cause psychological harm.</w:t>
      </w:r>
    </w:p>
    <w:p w14:paraId="32FF473C" w14:textId="5B28948D" w:rsidR="00953C3C" w:rsidRPr="00BB194B" w:rsidRDefault="003B0188" w:rsidP="00953C3C">
      <w:pPr>
        <w:pStyle w:val="EMnumbers"/>
        <w:numPr>
          <w:ilvl w:val="0"/>
          <w:numId w:val="1"/>
        </w:numPr>
        <w:ind w:left="567" w:hanging="567"/>
      </w:pPr>
      <w:r>
        <w:t>Paragraph</w:t>
      </w:r>
      <w:r w:rsidR="00953C3C" w:rsidRPr="00BB194B">
        <w:t xml:space="preserve"> 55A(b) </w:t>
      </w:r>
      <w:r w:rsidR="00786A69">
        <w:t>makes clear</w:t>
      </w:r>
      <w:r w:rsidR="00953C3C" w:rsidRPr="00BB194B">
        <w:t xml:space="preserve"> that a hazard is a psychosocial hazard if it may cause psychological harm, </w:t>
      </w:r>
      <w:proofErr w:type="gramStart"/>
      <w:r w:rsidR="00953C3C" w:rsidRPr="00BB194B">
        <w:t>whether or not</w:t>
      </w:r>
      <w:proofErr w:type="gramEnd"/>
      <w:r w:rsidR="00953C3C" w:rsidRPr="00BB194B">
        <w:t xml:space="preserve"> it may also cause physical harm. This is consistent with section 4 of the Act which defines health as meaning both physical and psychological health.</w:t>
      </w:r>
    </w:p>
    <w:p w14:paraId="065CA45D" w14:textId="4ADC371B" w:rsidR="00953C3C" w:rsidRPr="00BB194B" w:rsidRDefault="00A22A70" w:rsidP="00953C3C">
      <w:pPr>
        <w:pStyle w:val="EMnumbers"/>
        <w:numPr>
          <w:ilvl w:val="0"/>
          <w:numId w:val="1"/>
        </w:numPr>
        <w:ind w:left="567" w:hanging="567"/>
      </w:pPr>
      <w:r>
        <w:t>R</w:t>
      </w:r>
      <w:r w:rsidR="00953C3C" w:rsidRPr="00BB194B">
        <w:t>egulation 55B define</w:t>
      </w:r>
      <w:r w:rsidR="001C2C12">
        <w:t>s</w:t>
      </w:r>
      <w:r w:rsidR="00953C3C" w:rsidRPr="00BB194B">
        <w:t xml:space="preserve"> a psychosocial risk as a risk to the health and safety of a worker or other person arising from a psychosocial hazard, as defined in regulation 55A.</w:t>
      </w:r>
    </w:p>
    <w:p w14:paraId="2B1A35EA" w14:textId="5F63CA94" w:rsidR="00953C3C" w:rsidRPr="00BB194B" w:rsidRDefault="00A22A70" w:rsidP="00953C3C">
      <w:pPr>
        <w:pStyle w:val="EMnumbers"/>
        <w:numPr>
          <w:ilvl w:val="0"/>
          <w:numId w:val="1"/>
        </w:numPr>
        <w:ind w:left="567" w:hanging="567"/>
      </w:pPr>
      <w:r>
        <w:lastRenderedPageBreak/>
        <w:t>R</w:t>
      </w:r>
      <w:r w:rsidR="00953C3C" w:rsidRPr="00BB194B">
        <w:t>egulation 55C specif</w:t>
      </w:r>
      <w:r w:rsidR="007960FF">
        <w:t>ies</w:t>
      </w:r>
      <w:r w:rsidR="00953C3C" w:rsidRPr="00BB194B">
        <w:t xml:space="preserve"> that a PCBU must manage psychosocial risks, as defined in regulation 55B, in accordance with Part 3.1</w:t>
      </w:r>
      <w:r w:rsidR="00D441C6">
        <w:t xml:space="preserve"> of the</w:t>
      </w:r>
      <w:r w:rsidR="00CA0C4C">
        <w:t xml:space="preserve"> </w:t>
      </w:r>
      <w:r w:rsidR="005B3970">
        <w:t>p</w:t>
      </w:r>
      <w:r w:rsidR="00CA0C4C">
        <w:t>rincipal</w:t>
      </w:r>
      <w:r w:rsidR="00D441C6">
        <w:t xml:space="preserve"> Regulations</w:t>
      </w:r>
      <w:r w:rsidR="00953C3C" w:rsidRPr="00BB194B">
        <w:t xml:space="preserve">, including </w:t>
      </w:r>
      <w:r w:rsidR="00B41B81">
        <w:t>t</w:t>
      </w:r>
      <w:r w:rsidR="00B41B81" w:rsidRPr="00691850">
        <w:rPr>
          <w:rFonts w:cs="Times New Roman"/>
        </w:rPr>
        <w:t>he requirement to apply the hierarchy of control measures under</w:t>
      </w:r>
      <w:r w:rsidR="00B41B81">
        <w:rPr>
          <w:rFonts w:cs="Times New Roman"/>
        </w:rPr>
        <w:t xml:space="preserve"> </w:t>
      </w:r>
      <w:r w:rsidR="00953C3C" w:rsidRPr="00BB194B">
        <w:t xml:space="preserve">regulation 36. </w:t>
      </w:r>
    </w:p>
    <w:p w14:paraId="3FAEF7B3" w14:textId="0A0B6326" w:rsidR="0088562B" w:rsidRPr="00691850" w:rsidRDefault="0088562B" w:rsidP="00227BA2">
      <w:pPr>
        <w:pStyle w:val="EMnumbers"/>
        <w:numPr>
          <w:ilvl w:val="0"/>
          <w:numId w:val="1"/>
        </w:numPr>
        <w:ind w:left="567" w:hanging="567"/>
        <w:rPr>
          <w:rFonts w:cs="Times New Roman"/>
        </w:rPr>
      </w:pPr>
      <w:r w:rsidRPr="00691850">
        <w:t>Some hazards (</w:t>
      </w:r>
      <w:proofErr w:type="gramStart"/>
      <w:r w:rsidRPr="00691850">
        <w:t>e.g.</w:t>
      </w:r>
      <w:proofErr w:type="gramEnd"/>
      <w:r w:rsidRPr="00691850">
        <w:t xml:space="preserve"> remote or isolated work) may create both physical and psychosocial risks, and other regulations may apply (e.g. regulation 48 of the</w:t>
      </w:r>
      <w:r w:rsidR="0013301A">
        <w:t xml:space="preserve"> </w:t>
      </w:r>
      <w:r w:rsidR="005B3970">
        <w:t>p</w:t>
      </w:r>
      <w:r w:rsidR="0013301A">
        <w:t>rincipal</w:t>
      </w:r>
      <w:r w:rsidRPr="00691850">
        <w:t xml:space="preserve"> Regulations). Where this occurs, the duty to manage psychosocial risks applies in addition to other requirements to manage hazards under the </w:t>
      </w:r>
      <w:r w:rsidR="005B3970">
        <w:t>p</w:t>
      </w:r>
      <w:r w:rsidR="0013301A">
        <w:t xml:space="preserve">rincipal </w:t>
      </w:r>
      <w:r w:rsidRPr="00691850">
        <w:t>Regulation</w:t>
      </w:r>
      <w:r>
        <w:t>s</w:t>
      </w:r>
      <w:r w:rsidRPr="00691850">
        <w:t>. In the example of remote and isolated work this means both physical and psychosocial risks must be managed in accordance with Part 3.1 of the</w:t>
      </w:r>
      <w:r w:rsidR="0013301A">
        <w:t xml:space="preserve"> </w:t>
      </w:r>
      <w:r w:rsidR="005B3970">
        <w:t>p</w:t>
      </w:r>
      <w:r w:rsidR="0013301A">
        <w:t>rincipal</w:t>
      </w:r>
      <w:r w:rsidRPr="00691850">
        <w:t xml:space="preserve"> Regulations, and any safe system of work must include effective communication with the worker as required in regulation 48 of the</w:t>
      </w:r>
      <w:r w:rsidR="00F15E42">
        <w:t xml:space="preserve"> </w:t>
      </w:r>
      <w:r w:rsidR="005B3970">
        <w:t>p</w:t>
      </w:r>
      <w:r w:rsidR="00F15E42">
        <w:t>rincipal</w:t>
      </w:r>
      <w:r w:rsidRPr="00691850">
        <w:t xml:space="preserve"> Regulations.</w:t>
      </w:r>
    </w:p>
    <w:p w14:paraId="747EBDC0" w14:textId="771CCB39" w:rsidR="00A22A70" w:rsidRPr="00BB194B" w:rsidRDefault="00C873A0" w:rsidP="00953C3C">
      <w:pPr>
        <w:pStyle w:val="EMnumbers"/>
        <w:numPr>
          <w:ilvl w:val="0"/>
          <w:numId w:val="1"/>
        </w:numPr>
        <w:ind w:left="567" w:hanging="567"/>
      </w:pPr>
      <w:r>
        <w:t xml:space="preserve">The note </w:t>
      </w:r>
      <w:r w:rsidR="002D312D">
        <w:t>following</w:t>
      </w:r>
      <w:r>
        <w:t xml:space="preserve"> </w:t>
      </w:r>
      <w:r w:rsidR="009774A1">
        <w:t>regulation 55C</w:t>
      </w:r>
      <w:r w:rsidR="00126DC9" w:rsidRPr="00126DC9">
        <w:t xml:space="preserve"> mean</w:t>
      </w:r>
      <w:r w:rsidR="00126DC9">
        <w:t>s</w:t>
      </w:r>
      <w:r w:rsidR="00126DC9" w:rsidRPr="00126DC9">
        <w:t xml:space="preserve"> that a person’s duty under section 19 of the Act (</w:t>
      </w:r>
      <w:r w:rsidR="00130FEF">
        <w:t>p</w:t>
      </w:r>
      <w:r w:rsidR="00126DC9" w:rsidRPr="00126DC9">
        <w:t>rimary duty of care) is to be performed in accordance with regulation 55C of the</w:t>
      </w:r>
      <w:r w:rsidR="00F15E42">
        <w:t xml:space="preserve"> </w:t>
      </w:r>
      <w:r w:rsidR="005B3970">
        <w:t>p</w:t>
      </w:r>
      <w:r w:rsidR="00F15E42">
        <w:t xml:space="preserve">rincipal </w:t>
      </w:r>
      <w:r w:rsidR="00126DC9" w:rsidRPr="00126DC9">
        <w:t>Regulations. Regulation 9 explains the effect of notes linking a regulation to health and safety duties in the Act.</w:t>
      </w:r>
      <w:r w:rsidR="00A22A70">
        <w:t xml:space="preserve"> </w:t>
      </w:r>
    </w:p>
    <w:p w14:paraId="4954B72B" w14:textId="48424F0B" w:rsidR="00236351" w:rsidRPr="0006362B" w:rsidRDefault="00A22A70" w:rsidP="00227BA2">
      <w:pPr>
        <w:pStyle w:val="EMnumbers"/>
        <w:numPr>
          <w:ilvl w:val="0"/>
          <w:numId w:val="1"/>
        </w:numPr>
        <w:ind w:left="567" w:hanging="567"/>
      </w:pPr>
      <w:r>
        <w:t>R</w:t>
      </w:r>
      <w:r w:rsidR="00953C3C" w:rsidRPr="00BB194B">
        <w:t>egulation 55D set</w:t>
      </w:r>
      <w:r w:rsidR="00465F43">
        <w:t>s</w:t>
      </w:r>
      <w:r w:rsidR="00953C3C" w:rsidRPr="00BB194B">
        <w:t xml:space="preserve"> out </w:t>
      </w:r>
      <w:r w:rsidR="00236351" w:rsidRPr="0006362B">
        <w:rPr>
          <w:rFonts w:cs="Times New Roman"/>
        </w:rPr>
        <w:t>matters to have regard to when determining control measures for psychosocial risks.</w:t>
      </w:r>
      <w:r w:rsidR="00236351" w:rsidRPr="00691850">
        <w:t xml:space="preserve"> These matters would assist PCBUs to ensure they are identifying all appropriate controls and relevant conditions in the context of their individual workplace. Once a PCBU has identified all relevant matters, they will be in a position to effectively apply the requirements for managing risk in accordance with Part 3.1 of the</w:t>
      </w:r>
      <w:r w:rsidR="00F15E42">
        <w:t xml:space="preserve"> </w:t>
      </w:r>
      <w:r w:rsidR="005B3970">
        <w:t>p</w:t>
      </w:r>
      <w:r w:rsidR="00F15E42">
        <w:t>rincipal</w:t>
      </w:r>
      <w:r w:rsidR="00236351" w:rsidRPr="00691850">
        <w:t xml:space="preserve"> Regulations (</w:t>
      </w:r>
      <w:proofErr w:type="gramStart"/>
      <w:r w:rsidR="00236351" w:rsidRPr="00691850">
        <w:t>e.g.</w:t>
      </w:r>
      <w:proofErr w:type="gramEnd"/>
      <w:r w:rsidR="00236351" w:rsidRPr="00691850">
        <w:t xml:space="preserve"> the requirement to apply the hierarchy of controls under regulation 36).</w:t>
      </w:r>
    </w:p>
    <w:p w14:paraId="6AED1BBF" w14:textId="26AD2F89" w:rsidR="006B66E4" w:rsidRPr="006B66E4" w:rsidRDefault="00A22A70" w:rsidP="00227BA2">
      <w:pPr>
        <w:pStyle w:val="EMnumbers"/>
        <w:numPr>
          <w:ilvl w:val="0"/>
          <w:numId w:val="1"/>
        </w:numPr>
        <w:ind w:left="567" w:hanging="567"/>
      </w:pPr>
      <w:proofErr w:type="spellStart"/>
      <w:r>
        <w:t>S</w:t>
      </w:r>
      <w:r w:rsidR="00953C3C" w:rsidRPr="00BB194B">
        <w:t>ubregulation</w:t>
      </w:r>
      <w:proofErr w:type="spellEnd"/>
      <w:r w:rsidR="00953C3C" w:rsidRPr="00BB194B">
        <w:t xml:space="preserve"> 55</w:t>
      </w:r>
      <w:proofErr w:type="gramStart"/>
      <w:r w:rsidR="00953C3C" w:rsidRPr="00BB194B">
        <w:t>D(</w:t>
      </w:r>
      <w:proofErr w:type="gramEnd"/>
      <w:r w:rsidR="00953C3C" w:rsidRPr="00BB194B">
        <w:t xml:space="preserve">1) </w:t>
      </w:r>
      <w:r w:rsidR="006B66E4" w:rsidRPr="00691850">
        <w:t>clarif</w:t>
      </w:r>
      <w:r w:rsidR="006B66E4">
        <w:t>ies</w:t>
      </w:r>
      <w:r w:rsidR="006B66E4" w:rsidRPr="00691850">
        <w:t xml:space="preserve"> that the regulation applies to a PCBU who implements control measures to manage psychosocial risks in accordance with Part 3.1 of the </w:t>
      </w:r>
      <w:r w:rsidR="005B3970">
        <w:t>p</w:t>
      </w:r>
      <w:r w:rsidR="001F243C">
        <w:t xml:space="preserve">rincipal </w:t>
      </w:r>
      <w:r w:rsidR="006B66E4" w:rsidRPr="00691850">
        <w:t>Regulations.</w:t>
      </w:r>
      <w:r w:rsidR="006B66E4" w:rsidRPr="00DC35E2">
        <w:rPr>
          <w:rFonts w:cs="Times New Roman"/>
        </w:rPr>
        <w:t xml:space="preserve"> </w:t>
      </w:r>
    </w:p>
    <w:p w14:paraId="0CAC6D9F" w14:textId="347CE02C" w:rsidR="00953C3C" w:rsidRPr="00BB194B" w:rsidRDefault="00A22A70" w:rsidP="00ED6631">
      <w:pPr>
        <w:pStyle w:val="EMnumbers"/>
        <w:numPr>
          <w:ilvl w:val="0"/>
          <w:numId w:val="1"/>
        </w:numPr>
        <w:ind w:left="567" w:hanging="567"/>
      </w:pPr>
      <w:proofErr w:type="spellStart"/>
      <w:r>
        <w:t>S</w:t>
      </w:r>
      <w:r w:rsidR="00953C3C" w:rsidRPr="00BB194B">
        <w:t>ubregulation</w:t>
      </w:r>
      <w:proofErr w:type="spellEnd"/>
      <w:r w:rsidR="00953C3C" w:rsidRPr="00BB194B">
        <w:t xml:space="preserve"> 55</w:t>
      </w:r>
      <w:proofErr w:type="gramStart"/>
      <w:r w:rsidR="00953C3C" w:rsidRPr="00BB194B">
        <w:t>D(</w:t>
      </w:r>
      <w:proofErr w:type="gramEnd"/>
      <w:r w:rsidR="00953C3C" w:rsidRPr="00BB194B">
        <w:t>2) provide</w:t>
      </w:r>
      <w:r w:rsidR="001A0B4D">
        <w:t>s</w:t>
      </w:r>
      <w:r w:rsidR="00953C3C" w:rsidRPr="00BB194B">
        <w:t xml:space="preserve"> that in determining the control measures to implement, the person must have regard to all relevant matters including:</w:t>
      </w:r>
    </w:p>
    <w:p w14:paraId="4DF6330B" w14:textId="0B0F0D74" w:rsidR="00953C3C" w:rsidRPr="009C2E6C" w:rsidRDefault="00953C3C" w:rsidP="00953C3C">
      <w:pPr>
        <w:pStyle w:val="ListParagraph"/>
        <w:numPr>
          <w:ilvl w:val="1"/>
          <w:numId w:val="1"/>
        </w:numPr>
        <w:spacing w:after="200" w:line="276" w:lineRule="auto"/>
        <w:ind w:left="1080"/>
        <w:contextualSpacing w:val="0"/>
      </w:pPr>
      <w:r w:rsidRPr="009C2E6C">
        <w:t xml:space="preserve">the duration, </w:t>
      </w:r>
      <w:proofErr w:type="gramStart"/>
      <w:r w:rsidRPr="009C2E6C">
        <w:t>frequency</w:t>
      </w:r>
      <w:proofErr w:type="gramEnd"/>
      <w:r w:rsidRPr="009C2E6C">
        <w:t xml:space="preserve"> and severity of the exposure of workers and other persons to the psychosocial hazards – this recognises the risk of harm, and the potential severity of any subsequent injury or illness, increases with the frequency, duration and severity of exposure to psychosocial hazards </w:t>
      </w:r>
    </w:p>
    <w:p w14:paraId="7911155E" w14:textId="6B804AB9" w:rsidR="00953C3C" w:rsidRPr="009C2E6C" w:rsidRDefault="00953C3C" w:rsidP="00953C3C">
      <w:pPr>
        <w:pStyle w:val="ListParagraph"/>
        <w:numPr>
          <w:ilvl w:val="1"/>
          <w:numId w:val="1"/>
        </w:numPr>
        <w:spacing w:after="200" w:line="276" w:lineRule="auto"/>
        <w:ind w:left="1080"/>
        <w:contextualSpacing w:val="0"/>
      </w:pPr>
      <w:r w:rsidRPr="009C2E6C">
        <w:t xml:space="preserve">how the psychosocial hazards may interact or combine - </w:t>
      </w:r>
      <w:r w:rsidR="004D4243">
        <w:rPr>
          <w:color w:val="000000"/>
        </w:rPr>
        <w:t xml:space="preserve">this recognises the need to holistically consider the interaction of any hazards present, including that they may interact or combine to create new, </w:t>
      </w:r>
      <w:proofErr w:type="gramStart"/>
      <w:r w:rsidR="004D4243">
        <w:rPr>
          <w:color w:val="000000"/>
        </w:rPr>
        <w:t>changed</w:t>
      </w:r>
      <w:proofErr w:type="gramEnd"/>
      <w:r w:rsidR="004D4243">
        <w:rPr>
          <w:color w:val="000000"/>
        </w:rPr>
        <w:t xml:space="preserve"> or higher risks </w:t>
      </w:r>
    </w:p>
    <w:p w14:paraId="1F6DB854" w14:textId="553EC4FB" w:rsidR="00953C3C" w:rsidRPr="009C2E6C" w:rsidRDefault="00953C3C" w:rsidP="00953C3C">
      <w:pPr>
        <w:pStyle w:val="ListParagraph"/>
        <w:numPr>
          <w:ilvl w:val="1"/>
          <w:numId w:val="1"/>
        </w:numPr>
        <w:spacing w:after="200" w:line="276" w:lineRule="auto"/>
        <w:ind w:left="1080"/>
        <w:contextualSpacing w:val="0"/>
      </w:pPr>
      <w:r w:rsidRPr="009C2E6C">
        <w:t xml:space="preserve">the design of work, including job demands and tasks – </w:t>
      </w:r>
      <w:r w:rsidR="004D4243">
        <w:rPr>
          <w:color w:val="000000"/>
        </w:rPr>
        <w:t xml:space="preserve">this recognises the need for PCBUs to </w:t>
      </w:r>
      <w:r w:rsidR="004D4243">
        <w:t xml:space="preserve">consider the design of work as a control measure </w:t>
      </w:r>
      <w:r w:rsidR="004D4243">
        <w:rPr>
          <w:color w:val="000000"/>
        </w:rPr>
        <w:t>and implement control measures that eliminate or minimise psychosocial hazards (</w:t>
      </w:r>
      <w:proofErr w:type="gramStart"/>
      <w:r w:rsidR="004D4243">
        <w:rPr>
          <w:color w:val="000000"/>
        </w:rPr>
        <w:t>e.g.</w:t>
      </w:r>
      <w:proofErr w:type="gramEnd"/>
      <w:r w:rsidR="004D4243">
        <w:rPr>
          <w:color w:val="000000"/>
        </w:rPr>
        <w:t xml:space="preserve"> high job demands or exposure to traumatic events) at the organisation or systems level </w:t>
      </w:r>
    </w:p>
    <w:p w14:paraId="4F4527AF" w14:textId="6D70F23B" w:rsidR="00953C3C" w:rsidRPr="00BB194B" w:rsidRDefault="00953C3C" w:rsidP="00953C3C">
      <w:pPr>
        <w:pStyle w:val="ListParagraph"/>
        <w:numPr>
          <w:ilvl w:val="1"/>
          <w:numId w:val="1"/>
        </w:numPr>
        <w:spacing w:after="200" w:line="276" w:lineRule="auto"/>
        <w:ind w:left="1080"/>
        <w:contextualSpacing w:val="0"/>
      </w:pPr>
      <w:r w:rsidRPr="009C2E6C">
        <w:lastRenderedPageBreak/>
        <w:t>the systems of work, including</w:t>
      </w:r>
      <w:r w:rsidRPr="00DF13CE">
        <w:t xml:space="preserve"> how work is managed, </w:t>
      </w:r>
      <w:proofErr w:type="gramStart"/>
      <w:r w:rsidRPr="00DF13CE">
        <w:t>organised</w:t>
      </w:r>
      <w:proofErr w:type="gramEnd"/>
      <w:r w:rsidRPr="00DF13CE">
        <w:t xml:space="preserve"> and supported – </w:t>
      </w:r>
      <w:r w:rsidR="003B0188">
        <w:t>this recognises that how work is managed, organised and supported can assist with controlling psychosocial risks such as job demands, low control and poor support</w:t>
      </w:r>
    </w:p>
    <w:p w14:paraId="2B10551E" w14:textId="77777777" w:rsidR="00953C3C" w:rsidRPr="00BB194B" w:rsidRDefault="00953C3C" w:rsidP="00953C3C">
      <w:pPr>
        <w:pStyle w:val="ListParagraph"/>
        <w:numPr>
          <w:ilvl w:val="1"/>
          <w:numId w:val="1"/>
        </w:numPr>
        <w:spacing w:after="200" w:line="276" w:lineRule="auto"/>
        <w:ind w:left="1080"/>
        <w:contextualSpacing w:val="0"/>
      </w:pPr>
      <w:r w:rsidRPr="00BB194B">
        <w:t xml:space="preserve">the design and layout, and environmental conditions, of the workplace, including provision of: </w:t>
      </w:r>
    </w:p>
    <w:p w14:paraId="1852D065" w14:textId="2BD4B2BD" w:rsidR="00B27FEF" w:rsidRPr="00BB194B" w:rsidRDefault="00953C3C" w:rsidP="00953C3C">
      <w:pPr>
        <w:pStyle w:val="ListParagraph"/>
        <w:numPr>
          <w:ilvl w:val="2"/>
          <w:numId w:val="7"/>
        </w:numPr>
        <w:spacing w:after="200" w:line="276" w:lineRule="auto"/>
        <w:contextualSpacing w:val="0"/>
      </w:pPr>
      <w:r w:rsidRPr="00BB194B">
        <w:t>safe means of entering and exiting the workplace</w:t>
      </w:r>
      <w:r w:rsidR="00844921">
        <w:t>;</w:t>
      </w:r>
      <w:r w:rsidRPr="00BB194B">
        <w:t xml:space="preserve"> and </w:t>
      </w:r>
    </w:p>
    <w:p w14:paraId="4EE66456" w14:textId="28FA005D" w:rsidR="00D41419" w:rsidRDefault="00953C3C" w:rsidP="00C37610">
      <w:pPr>
        <w:pStyle w:val="ListParagraph"/>
        <w:numPr>
          <w:ilvl w:val="2"/>
          <w:numId w:val="7"/>
        </w:numPr>
        <w:spacing w:after="200" w:line="276" w:lineRule="auto"/>
        <w:contextualSpacing w:val="0"/>
      </w:pPr>
      <w:r w:rsidRPr="00BB194B">
        <w:t>facilities for the welfare of workers</w:t>
      </w:r>
      <w:r w:rsidR="00844921">
        <w:t>.</w:t>
      </w:r>
    </w:p>
    <w:p w14:paraId="2EF2311C" w14:textId="77777777" w:rsidR="00953C3C" w:rsidRPr="00BB194B" w:rsidRDefault="00953C3C" w:rsidP="000D78FC">
      <w:pPr>
        <w:spacing w:after="200" w:line="276" w:lineRule="auto"/>
        <w:ind w:left="1080"/>
      </w:pPr>
      <w:r w:rsidRPr="00BB194B">
        <w:t xml:space="preserve">This requires PCBUs to consider controlling risks that may arise from the design, </w:t>
      </w:r>
      <w:proofErr w:type="gramStart"/>
      <w:r w:rsidRPr="00BB194B">
        <w:t>layout</w:t>
      </w:r>
      <w:proofErr w:type="gramEnd"/>
      <w:r w:rsidRPr="00BB194B">
        <w:t xml:space="preserve"> and environmental conditions of the workplace, and controlling risks through good design. For example, designing the workplace to ensure good visibility and provide safe access to welfare facilities </w:t>
      </w:r>
    </w:p>
    <w:p w14:paraId="1C52D20C" w14:textId="2109C3BC" w:rsidR="00953C3C" w:rsidRPr="00BB194B" w:rsidRDefault="00953C3C" w:rsidP="00953C3C">
      <w:pPr>
        <w:pStyle w:val="ListParagraph"/>
        <w:numPr>
          <w:ilvl w:val="1"/>
          <w:numId w:val="1"/>
        </w:numPr>
        <w:spacing w:after="200" w:line="276" w:lineRule="auto"/>
        <w:ind w:left="1080"/>
        <w:contextualSpacing w:val="0"/>
      </w:pPr>
      <w:r w:rsidRPr="00BB194B">
        <w:t xml:space="preserve">the design and layout, and environmental conditions, of workers’ accommodation – </w:t>
      </w:r>
      <w:r w:rsidR="004D4243">
        <w:t>this recognises that the above considerations for the workplace also apply to workers’ accommodation. The term ‘workers’ accommodation’ is defined in subsection 19(4) of the Act</w:t>
      </w:r>
    </w:p>
    <w:p w14:paraId="3050C5CA" w14:textId="0A728BA5" w:rsidR="00953C3C" w:rsidRPr="00BB194B" w:rsidRDefault="00953C3C" w:rsidP="00953C3C">
      <w:pPr>
        <w:pStyle w:val="ListParagraph"/>
        <w:numPr>
          <w:ilvl w:val="1"/>
          <w:numId w:val="1"/>
        </w:numPr>
        <w:spacing w:after="200" w:line="276" w:lineRule="auto"/>
        <w:ind w:left="1080"/>
        <w:contextualSpacing w:val="0"/>
      </w:pPr>
      <w:r w:rsidRPr="00BB194B">
        <w:t xml:space="preserve">the plant, </w:t>
      </w:r>
      <w:proofErr w:type="gramStart"/>
      <w:r w:rsidRPr="00BB194B">
        <w:t>substances</w:t>
      </w:r>
      <w:proofErr w:type="gramEnd"/>
      <w:r w:rsidRPr="00BB194B">
        <w:t xml:space="preserve"> and structures at the workplace – </w:t>
      </w:r>
      <w:r w:rsidR="00F85074" w:rsidRPr="00691850">
        <w:t>this recognises that plant, substances and structures may create psychosocial risks but can also be used to control psychosocial risks. For example, the provision of plant to enable a job to be performed properly</w:t>
      </w:r>
    </w:p>
    <w:p w14:paraId="25C0AF66" w14:textId="77777777" w:rsidR="00953C3C" w:rsidRPr="00BB194B" w:rsidRDefault="00953C3C" w:rsidP="00953C3C">
      <w:pPr>
        <w:pStyle w:val="ListParagraph"/>
        <w:numPr>
          <w:ilvl w:val="1"/>
          <w:numId w:val="1"/>
        </w:numPr>
        <w:spacing w:after="200" w:line="276" w:lineRule="auto"/>
        <w:ind w:left="1080"/>
        <w:contextualSpacing w:val="0"/>
      </w:pPr>
      <w:r w:rsidRPr="00BB194B">
        <w:t>workplace interactions or behaviours – this requires PCBUs to identify harmful behaviours (</w:t>
      </w:r>
      <w:proofErr w:type="gramStart"/>
      <w:r w:rsidRPr="00BB194B">
        <w:t>e.g.</w:t>
      </w:r>
      <w:proofErr w:type="gramEnd"/>
      <w:r w:rsidRPr="00BB194B">
        <w:t xml:space="preserve"> violence, aggression, bullying, harassment, sexual harassment, conflict and poor workplace relationships) in the workplace and implement control measures to manage the related risks, and </w:t>
      </w:r>
    </w:p>
    <w:p w14:paraId="6C15ADCD" w14:textId="4E612526" w:rsidR="00953C3C" w:rsidRDefault="00953C3C" w:rsidP="00FE0A9C">
      <w:pPr>
        <w:pStyle w:val="ListParagraph"/>
        <w:numPr>
          <w:ilvl w:val="1"/>
          <w:numId w:val="1"/>
        </w:numPr>
        <w:spacing w:after="200" w:line="276" w:lineRule="auto"/>
        <w:ind w:left="1080"/>
        <w:contextualSpacing w:val="0"/>
      </w:pPr>
      <w:r w:rsidRPr="00BB194B">
        <w:t xml:space="preserve">the information training, instruction and supervision provided to workers - </w:t>
      </w:r>
      <w:r w:rsidR="00667152" w:rsidRPr="00691850">
        <w:t>this recognises that training can support the implementation of controls for psychosocial hazards and be used as a control measure itself (</w:t>
      </w:r>
      <w:proofErr w:type="gramStart"/>
      <w:r w:rsidR="00667152" w:rsidRPr="00691850">
        <w:t>e.g.</w:t>
      </w:r>
      <w:proofErr w:type="gramEnd"/>
      <w:r w:rsidR="00667152" w:rsidRPr="00691850">
        <w:t xml:space="preserve"> training in conflict management). It is intended to ensure PCBUs provide the training, </w:t>
      </w:r>
      <w:proofErr w:type="gramStart"/>
      <w:r w:rsidR="00667152" w:rsidRPr="00691850">
        <w:t>instruction</w:t>
      </w:r>
      <w:proofErr w:type="gramEnd"/>
      <w:r w:rsidR="00667152" w:rsidRPr="00691850">
        <w:t xml:space="preserve"> and supervision necessary to support the implementation of control measures such as bullying policies.</w:t>
      </w:r>
    </w:p>
    <w:p w14:paraId="7FDAF18D" w14:textId="5929A8FC" w:rsidR="003B4A21" w:rsidRPr="00BB194B" w:rsidRDefault="003B4A21" w:rsidP="00227BA2">
      <w:pPr>
        <w:pStyle w:val="EMnumbers"/>
        <w:numPr>
          <w:ilvl w:val="0"/>
          <w:numId w:val="1"/>
        </w:numPr>
        <w:ind w:left="567" w:hanging="567"/>
      </w:pPr>
      <w:r w:rsidRPr="003B4A21">
        <w:t xml:space="preserve">Consideration of which control measures to implement </w:t>
      </w:r>
      <w:r w:rsidR="00C34319">
        <w:t>is</w:t>
      </w:r>
      <w:r w:rsidRPr="003B4A21">
        <w:t xml:space="preserve"> not </w:t>
      </w:r>
      <w:r w:rsidR="0048168F">
        <w:t xml:space="preserve">to </w:t>
      </w:r>
      <w:r w:rsidRPr="003B4A21">
        <w:t xml:space="preserve">be limited to matters as they currently exist and the PCBU must also have regard to what changes, if any, should be made. For example, a PCBU must consider existing plant, </w:t>
      </w:r>
      <w:r w:rsidR="00527ADE" w:rsidRPr="003B4A21">
        <w:t>substances,</w:t>
      </w:r>
      <w:r w:rsidRPr="003B4A21">
        <w:t xml:space="preserve"> and structures in the workplace, but also consider whether different or additional plant, substances or structures should be in use in the workplace to manage psychosocial risks.</w:t>
      </w:r>
    </w:p>
    <w:p w14:paraId="3E8C2D94" w14:textId="44C3B8EC" w:rsidR="00953C3C" w:rsidRPr="00227BA2" w:rsidRDefault="00352192" w:rsidP="00590BD0">
      <w:pPr>
        <w:spacing w:after="200" w:line="276" w:lineRule="auto"/>
        <w:rPr>
          <w:u w:val="single"/>
        </w:rPr>
      </w:pPr>
      <w:r w:rsidRPr="00227BA2">
        <w:rPr>
          <w:u w:val="single"/>
        </w:rPr>
        <w:t xml:space="preserve">Division 2 – </w:t>
      </w:r>
      <w:r w:rsidR="00E23CD8">
        <w:rPr>
          <w:u w:val="single"/>
        </w:rPr>
        <w:t>O</w:t>
      </w:r>
      <w:r w:rsidRPr="00227BA2">
        <w:rPr>
          <w:u w:val="single"/>
        </w:rPr>
        <w:t>ther amendments</w:t>
      </w:r>
    </w:p>
    <w:p w14:paraId="4509533E" w14:textId="32BD6319" w:rsidR="00590BD0" w:rsidRPr="00BB194B" w:rsidRDefault="00EA7271" w:rsidP="00590BD0">
      <w:pPr>
        <w:spacing w:after="200" w:line="276" w:lineRule="auto"/>
        <w:rPr>
          <w:b/>
          <w:bCs/>
        </w:rPr>
      </w:pPr>
      <w:r>
        <w:rPr>
          <w:b/>
          <w:bCs/>
        </w:rPr>
        <w:t xml:space="preserve">Item </w:t>
      </w:r>
      <w:r w:rsidR="00527ADE">
        <w:rPr>
          <w:b/>
          <w:bCs/>
        </w:rPr>
        <w:t>[</w:t>
      </w:r>
      <w:r>
        <w:rPr>
          <w:b/>
          <w:bCs/>
        </w:rPr>
        <w:t>3</w:t>
      </w:r>
      <w:r w:rsidR="00527ADE">
        <w:rPr>
          <w:b/>
          <w:bCs/>
        </w:rPr>
        <w:t>]</w:t>
      </w:r>
      <w:r>
        <w:rPr>
          <w:b/>
          <w:bCs/>
        </w:rPr>
        <w:t xml:space="preserve"> </w:t>
      </w:r>
      <w:r w:rsidR="00123743">
        <w:rPr>
          <w:b/>
          <w:bCs/>
        </w:rPr>
        <w:t>–</w:t>
      </w:r>
      <w:r w:rsidR="00BF7CEF" w:rsidRPr="00BB194B">
        <w:rPr>
          <w:b/>
          <w:bCs/>
        </w:rPr>
        <w:t xml:space="preserve"> </w:t>
      </w:r>
      <w:r w:rsidR="00123743">
        <w:rPr>
          <w:b/>
          <w:bCs/>
        </w:rPr>
        <w:t>At the end of regulation 15</w:t>
      </w:r>
    </w:p>
    <w:p w14:paraId="7B6CC421" w14:textId="1C2591B3" w:rsidR="0006039E" w:rsidRPr="00BB194B" w:rsidRDefault="00F60E88" w:rsidP="00932A22">
      <w:pPr>
        <w:pStyle w:val="EMnumbers"/>
        <w:numPr>
          <w:ilvl w:val="0"/>
          <w:numId w:val="1"/>
        </w:numPr>
        <w:ind w:left="567" w:hanging="567"/>
      </w:pPr>
      <w:r>
        <w:lastRenderedPageBreak/>
        <w:t>This i</w:t>
      </w:r>
      <w:r w:rsidR="0006039E" w:rsidRPr="00BB194B">
        <w:t>tem</w:t>
      </w:r>
      <w:r w:rsidR="009B5540" w:rsidRPr="00BB194B">
        <w:t xml:space="preserve"> </w:t>
      </w:r>
      <w:r w:rsidR="009D458C" w:rsidRPr="00BB194B">
        <w:t>insert</w:t>
      </w:r>
      <w:r w:rsidR="008941FE">
        <w:t>s</w:t>
      </w:r>
      <w:r w:rsidR="009D458C" w:rsidRPr="00BB194B">
        <w:t xml:space="preserve"> a </w:t>
      </w:r>
      <w:r w:rsidR="00A012FE" w:rsidRPr="00BB194B">
        <w:t xml:space="preserve">note in </w:t>
      </w:r>
      <w:r w:rsidR="009D458C" w:rsidRPr="00BB194B">
        <w:t xml:space="preserve">regulation 15. </w:t>
      </w:r>
    </w:p>
    <w:p w14:paraId="370EAAFF" w14:textId="7223923C" w:rsidR="009D458C" w:rsidRPr="00BB194B" w:rsidRDefault="00C34319" w:rsidP="00932A22">
      <w:pPr>
        <w:pStyle w:val="EMnumbers"/>
        <w:numPr>
          <w:ilvl w:val="0"/>
          <w:numId w:val="1"/>
        </w:numPr>
        <w:ind w:left="567" w:hanging="567"/>
      </w:pPr>
      <w:r>
        <w:t>R</w:t>
      </w:r>
      <w:r w:rsidR="009D458C" w:rsidRPr="00BB194B">
        <w:t>egulation 15 de</w:t>
      </w:r>
      <w:r w:rsidR="004C3E9A">
        <w:t xml:space="preserve">scribes how </w:t>
      </w:r>
      <w:r w:rsidR="009D458C" w:rsidRPr="00BB194B">
        <w:t>the terms AS and AS/NZS</w:t>
      </w:r>
      <w:r w:rsidR="004D4243">
        <w:t xml:space="preserve"> are</w:t>
      </w:r>
      <w:r w:rsidR="009D458C" w:rsidRPr="00BB194B">
        <w:t xml:space="preserve"> used in the </w:t>
      </w:r>
      <w:r w:rsidR="00D2157A">
        <w:t>p</w:t>
      </w:r>
      <w:r w:rsidR="001F243C">
        <w:t xml:space="preserve">rincipal </w:t>
      </w:r>
      <w:r w:rsidR="00DA17DB" w:rsidRPr="00BB194B">
        <w:t>R</w:t>
      </w:r>
      <w:r w:rsidR="009D458C" w:rsidRPr="00BB194B">
        <w:t xml:space="preserve">egulations. </w:t>
      </w:r>
    </w:p>
    <w:p w14:paraId="6A2A9E2F" w14:textId="6A72D347" w:rsidR="005D2487" w:rsidRPr="00BB194B" w:rsidRDefault="009D458C" w:rsidP="00932A22">
      <w:pPr>
        <w:pStyle w:val="EMnumbers"/>
        <w:numPr>
          <w:ilvl w:val="0"/>
          <w:numId w:val="1"/>
        </w:numPr>
        <w:ind w:left="567" w:hanging="567"/>
      </w:pPr>
      <w:r w:rsidRPr="00BB194B">
        <w:t xml:space="preserve">The note </w:t>
      </w:r>
      <w:r w:rsidRPr="00DF13CE">
        <w:t xml:space="preserve">to regulation </w:t>
      </w:r>
      <w:r w:rsidR="00E7114E" w:rsidRPr="00E8337B">
        <w:t>15</w:t>
      </w:r>
      <w:r w:rsidR="000316BA" w:rsidRPr="00BB194B">
        <w:t xml:space="preserve"> </w:t>
      </w:r>
      <w:r w:rsidR="00BE2F39">
        <w:t xml:space="preserve">clarifies </w:t>
      </w:r>
      <w:r w:rsidR="008608DF" w:rsidRPr="00691850">
        <w:rPr>
          <w:rFonts w:cs="Times New Roman"/>
        </w:rPr>
        <w:t>that compliance with an AS or AS/NZS is only required where a regulation, expressly or by necessary implication provides that this is the case.</w:t>
      </w:r>
      <w:r w:rsidR="00740AB5">
        <w:rPr>
          <w:rFonts w:cs="Times New Roman"/>
        </w:rPr>
        <w:t xml:space="preserve"> </w:t>
      </w:r>
    </w:p>
    <w:p w14:paraId="02C91DFC" w14:textId="037BA4ED" w:rsidR="009D458C" w:rsidRPr="00BB194B" w:rsidRDefault="009D458C" w:rsidP="006525AB">
      <w:pPr>
        <w:pStyle w:val="EMnumbers"/>
        <w:numPr>
          <w:ilvl w:val="0"/>
          <w:numId w:val="1"/>
        </w:numPr>
        <w:ind w:left="567" w:hanging="567"/>
      </w:pPr>
      <w:r w:rsidRPr="00BB194B">
        <w:t>The note give</w:t>
      </w:r>
      <w:r w:rsidR="006E7F46">
        <w:t>s</w:t>
      </w:r>
      <w:r w:rsidRPr="00BB194B">
        <w:t xml:space="preserve"> an example where a regulation refers to an </w:t>
      </w:r>
      <w:r w:rsidR="00612849" w:rsidRPr="00BB194B">
        <w:t>AS</w:t>
      </w:r>
      <w:r w:rsidRPr="00BB194B">
        <w:t xml:space="preserve"> but where the regulation does not require compliance with the terms of the </w:t>
      </w:r>
      <w:r w:rsidR="004D4243">
        <w:t>AS</w:t>
      </w:r>
      <w:r w:rsidRPr="00BB194B">
        <w:t xml:space="preserve">. The reference to </w:t>
      </w:r>
      <w:r w:rsidR="004D4243">
        <w:t>an AS</w:t>
      </w:r>
      <w:r w:rsidRPr="00BB194B">
        <w:t xml:space="preserve"> in the definition of the term ‘boiler’ is used to describe a type of equipment that is excluded from the requirement for the operator to hold a </w:t>
      </w:r>
      <w:proofErr w:type="gramStart"/>
      <w:r w:rsidRPr="00BB194B">
        <w:t>high risk</w:t>
      </w:r>
      <w:proofErr w:type="gramEnd"/>
      <w:r w:rsidRPr="00BB194B">
        <w:t xml:space="preserve"> work licence under the </w:t>
      </w:r>
      <w:r w:rsidR="00D2157A">
        <w:t>p</w:t>
      </w:r>
      <w:r w:rsidR="001F243C">
        <w:t xml:space="preserve">rincipal </w:t>
      </w:r>
      <w:r w:rsidR="00612849" w:rsidRPr="00BB194B">
        <w:t>R</w:t>
      </w:r>
      <w:r w:rsidRPr="00BB194B">
        <w:t xml:space="preserve">egulations. Therefore, the relevant regulation on </w:t>
      </w:r>
      <w:proofErr w:type="gramStart"/>
      <w:r w:rsidRPr="00BB194B">
        <w:t>high risk</w:t>
      </w:r>
      <w:proofErr w:type="gramEnd"/>
      <w:r w:rsidRPr="00BB194B">
        <w:t xml:space="preserve"> work licences does not require compliance with the Standard but to come within the exclusion, the equipment must be certified in compliance with the Standard. </w:t>
      </w:r>
    </w:p>
    <w:p w14:paraId="4684CBF2" w14:textId="24048798" w:rsidR="00576102" w:rsidRDefault="00576102" w:rsidP="00576102">
      <w:pPr>
        <w:spacing w:after="200" w:line="276" w:lineRule="auto"/>
        <w:rPr>
          <w:b/>
          <w:bCs/>
        </w:rPr>
      </w:pPr>
      <w:r>
        <w:rPr>
          <w:b/>
          <w:bCs/>
        </w:rPr>
        <w:t>Item [4] – Regulation 28 (</w:t>
      </w:r>
      <w:r w:rsidR="00C839CA">
        <w:rPr>
          <w:b/>
          <w:bCs/>
        </w:rPr>
        <w:t>h</w:t>
      </w:r>
      <w:r>
        <w:rPr>
          <w:b/>
          <w:bCs/>
        </w:rPr>
        <w:t>eading)</w:t>
      </w:r>
    </w:p>
    <w:p w14:paraId="56C50323" w14:textId="0F885CBF" w:rsidR="00576102" w:rsidRPr="00BB194B" w:rsidRDefault="00576102" w:rsidP="00937BCA">
      <w:pPr>
        <w:spacing w:after="200" w:line="276" w:lineRule="auto"/>
        <w:rPr>
          <w:b/>
          <w:bCs/>
        </w:rPr>
      </w:pPr>
      <w:r>
        <w:rPr>
          <w:b/>
          <w:bCs/>
        </w:rPr>
        <w:t xml:space="preserve">Item [5] – Regulation 28 </w:t>
      </w:r>
    </w:p>
    <w:p w14:paraId="5903B026" w14:textId="7D89938B" w:rsidR="00303657" w:rsidRDefault="00303657">
      <w:pPr>
        <w:pStyle w:val="EMnumbers"/>
        <w:numPr>
          <w:ilvl w:val="0"/>
          <w:numId w:val="1"/>
        </w:numPr>
        <w:ind w:left="567" w:hanging="567"/>
      </w:pPr>
      <w:r>
        <w:rPr>
          <w:rFonts w:cs="Times New Roman"/>
        </w:rPr>
        <w:t>R</w:t>
      </w:r>
      <w:r w:rsidRPr="00691850">
        <w:rPr>
          <w:rFonts w:cs="Times New Roman"/>
        </w:rPr>
        <w:t>egulation 28 sets out requirements for a notice of entry and requires for example that a WHS entry permit holder include so far as is practicable the particulars of the suspected contravention to which the entry relates.</w:t>
      </w:r>
    </w:p>
    <w:p w14:paraId="3357F991" w14:textId="03BC6F48" w:rsidR="006C33CA" w:rsidRDefault="00EF30AF">
      <w:pPr>
        <w:pStyle w:val="EMnumbers"/>
        <w:numPr>
          <w:ilvl w:val="0"/>
          <w:numId w:val="1"/>
        </w:numPr>
        <w:ind w:left="567" w:hanging="567"/>
      </w:pPr>
      <w:r w:rsidRPr="00BB194B">
        <w:t>Item</w:t>
      </w:r>
      <w:r w:rsidR="00E03305">
        <w:t>s 4 and</w:t>
      </w:r>
      <w:r w:rsidRPr="00BB194B">
        <w:t xml:space="preserve"> </w:t>
      </w:r>
      <w:r w:rsidR="003E75A2">
        <w:t>5</w:t>
      </w:r>
      <w:r w:rsidRPr="00BB194B">
        <w:t xml:space="preserve"> </w:t>
      </w:r>
      <w:r w:rsidR="00B66AE2" w:rsidRPr="00BB194B">
        <w:t>omi</w:t>
      </w:r>
      <w:r w:rsidR="00DE370F" w:rsidRPr="00BB194B">
        <w:t>t</w:t>
      </w:r>
      <w:r w:rsidR="00B66AE2" w:rsidRPr="00BB194B">
        <w:t xml:space="preserve"> reference</w:t>
      </w:r>
      <w:r w:rsidR="00E03305">
        <w:t>s</w:t>
      </w:r>
      <w:r w:rsidR="00B66AE2" w:rsidRPr="00BB194B">
        <w:t xml:space="preserve"> to section 117 in the headin</w:t>
      </w:r>
      <w:r w:rsidR="009D533C" w:rsidRPr="00BB194B">
        <w:t>g</w:t>
      </w:r>
      <w:r w:rsidR="00E03305">
        <w:t xml:space="preserve"> and</w:t>
      </w:r>
      <w:r w:rsidR="00DA77D3" w:rsidRPr="00BB194B">
        <w:t xml:space="preserve"> </w:t>
      </w:r>
      <w:r w:rsidR="006F1E34">
        <w:t>body</w:t>
      </w:r>
      <w:r w:rsidR="006F1E34" w:rsidRPr="00BB194B">
        <w:t xml:space="preserve"> </w:t>
      </w:r>
      <w:r w:rsidR="00DA77D3" w:rsidRPr="00BB194B">
        <w:t>of regulation 28</w:t>
      </w:r>
      <w:r w:rsidR="009D533C" w:rsidRPr="00BB194B">
        <w:t xml:space="preserve"> </w:t>
      </w:r>
      <w:r w:rsidR="00603E6A">
        <w:t xml:space="preserve">and </w:t>
      </w:r>
      <w:r w:rsidR="00E5101D">
        <w:t xml:space="preserve">substitute it with </w:t>
      </w:r>
      <w:r w:rsidR="006D3528" w:rsidRPr="00BB194B">
        <w:t>reference</w:t>
      </w:r>
      <w:r w:rsidR="00E5101D">
        <w:t>s</w:t>
      </w:r>
      <w:r w:rsidR="006D3528" w:rsidRPr="00BB194B">
        <w:t xml:space="preserve"> to ‘</w:t>
      </w:r>
      <w:r w:rsidR="00391872">
        <w:t xml:space="preserve">Division 2 of </w:t>
      </w:r>
      <w:r w:rsidR="00EF01E1" w:rsidRPr="00BB194B">
        <w:t>P</w:t>
      </w:r>
      <w:r w:rsidR="006D3528" w:rsidRPr="00BB194B">
        <w:t>art 7</w:t>
      </w:r>
      <w:r w:rsidR="00391872">
        <w:t>’</w:t>
      </w:r>
      <w:r w:rsidR="007B738D">
        <w:t xml:space="preserve"> where section 117 is located.</w:t>
      </w:r>
      <w:r w:rsidR="00F41AE4" w:rsidRPr="00BB194B">
        <w:t xml:space="preserve"> </w:t>
      </w:r>
      <w:r w:rsidR="00556391" w:rsidRPr="00556391">
        <w:t>This is a technical amendment to improve the readability of the legislation</w:t>
      </w:r>
      <w:r w:rsidR="006B694D">
        <w:t>.</w:t>
      </w:r>
    </w:p>
    <w:p w14:paraId="2C4EFCC5" w14:textId="6A85F9F1" w:rsidR="00256566" w:rsidRPr="00BB194B" w:rsidRDefault="007A4194" w:rsidP="007A4194">
      <w:pPr>
        <w:spacing w:after="200" w:line="276" w:lineRule="auto"/>
        <w:rPr>
          <w:b/>
          <w:bCs/>
        </w:rPr>
      </w:pPr>
      <w:r w:rsidRPr="00BB194B">
        <w:rPr>
          <w:b/>
          <w:bCs/>
        </w:rPr>
        <w:t xml:space="preserve">Item </w:t>
      </w:r>
      <w:r w:rsidR="00527ADE">
        <w:rPr>
          <w:b/>
          <w:bCs/>
        </w:rPr>
        <w:t>[</w:t>
      </w:r>
      <w:r w:rsidRPr="00BB194B">
        <w:rPr>
          <w:b/>
          <w:bCs/>
        </w:rPr>
        <w:t>6</w:t>
      </w:r>
      <w:r w:rsidR="00527ADE">
        <w:rPr>
          <w:b/>
          <w:bCs/>
        </w:rPr>
        <w:t>]</w:t>
      </w:r>
      <w:r w:rsidRPr="00BB194B">
        <w:rPr>
          <w:b/>
          <w:bCs/>
        </w:rPr>
        <w:t xml:space="preserve"> </w:t>
      </w:r>
      <w:r w:rsidR="004F21CF">
        <w:rPr>
          <w:b/>
          <w:bCs/>
        </w:rPr>
        <w:t>–</w:t>
      </w:r>
      <w:r w:rsidRPr="00BB194B">
        <w:rPr>
          <w:b/>
          <w:bCs/>
        </w:rPr>
        <w:t xml:space="preserve"> </w:t>
      </w:r>
      <w:r w:rsidR="004F21CF">
        <w:rPr>
          <w:b/>
          <w:bCs/>
        </w:rPr>
        <w:t>At the end of r</w:t>
      </w:r>
      <w:r w:rsidR="00185C10" w:rsidRPr="00BB194B">
        <w:rPr>
          <w:b/>
          <w:bCs/>
        </w:rPr>
        <w:t>egulation</w:t>
      </w:r>
      <w:r w:rsidRPr="00BB194B">
        <w:rPr>
          <w:b/>
          <w:bCs/>
        </w:rPr>
        <w:t xml:space="preserve"> 238 </w:t>
      </w:r>
    </w:p>
    <w:p w14:paraId="720E8686" w14:textId="5C2B5A17" w:rsidR="00B20CA9" w:rsidRPr="00BB194B" w:rsidRDefault="008F44DD" w:rsidP="00FE19EF">
      <w:pPr>
        <w:pStyle w:val="EMnumbers"/>
        <w:numPr>
          <w:ilvl w:val="0"/>
          <w:numId w:val="1"/>
        </w:numPr>
        <w:ind w:left="567" w:hanging="567"/>
      </w:pPr>
      <w:r>
        <w:t>This i</w:t>
      </w:r>
      <w:r w:rsidR="007A4194" w:rsidRPr="00BB194B">
        <w:t xml:space="preserve">tem </w:t>
      </w:r>
      <w:r w:rsidR="00047CA1">
        <w:t>inserts</w:t>
      </w:r>
      <w:r w:rsidR="00B20CA9" w:rsidRPr="00BB194B">
        <w:t xml:space="preserve"> new </w:t>
      </w:r>
      <w:proofErr w:type="spellStart"/>
      <w:r w:rsidR="00B20CA9" w:rsidRPr="00BB194B">
        <w:t>subregulation</w:t>
      </w:r>
      <w:proofErr w:type="spellEnd"/>
      <w:r w:rsidR="00B20CA9" w:rsidRPr="00BB194B">
        <w:t xml:space="preserve"> </w:t>
      </w:r>
      <w:r w:rsidR="00FC3F50" w:rsidRPr="00BB194B">
        <w:t>238(3)</w:t>
      </w:r>
      <w:r w:rsidR="00047CA1">
        <w:t xml:space="preserve"> into the </w:t>
      </w:r>
      <w:r w:rsidR="00A91B79">
        <w:t>p</w:t>
      </w:r>
      <w:r w:rsidR="000853D8">
        <w:t xml:space="preserve">rincipal </w:t>
      </w:r>
      <w:r w:rsidR="00047CA1">
        <w:t>Regulations</w:t>
      </w:r>
      <w:r w:rsidR="00FC3F50" w:rsidRPr="00BB194B">
        <w:t xml:space="preserve">. </w:t>
      </w:r>
    </w:p>
    <w:p w14:paraId="2AB170C8" w14:textId="06633BFE" w:rsidR="00500438" w:rsidRPr="004A5209" w:rsidRDefault="004D4243" w:rsidP="00227BA2">
      <w:pPr>
        <w:pStyle w:val="EMnumbers"/>
        <w:numPr>
          <w:ilvl w:val="0"/>
          <w:numId w:val="1"/>
        </w:numPr>
        <w:ind w:left="567" w:hanging="567"/>
      </w:pPr>
      <w:r>
        <w:t>R</w:t>
      </w:r>
      <w:r w:rsidR="00500438" w:rsidRPr="00603E6A">
        <w:t>egulation 238 requires the person with management or control of an amusement device or passenger ropeway at a workplace to ensure that the amusement device or ropeway is operated only by a person who has been provided with instruction and trainin</w:t>
      </w:r>
      <w:r w:rsidR="00500438" w:rsidRPr="00AC3589">
        <w:t xml:space="preserve">g in the proper operation of the device. </w:t>
      </w:r>
    </w:p>
    <w:p w14:paraId="7D43BCDD" w14:textId="1C700780" w:rsidR="00500438" w:rsidRDefault="00D34512">
      <w:pPr>
        <w:pStyle w:val="EMnumbers"/>
        <w:numPr>
          <w:ilvl w:val="0"/>
          <w:numId w:val="1"/>
        </w:numPr>
        <w:ind w:left="567" w:hanging="567"/>
      </w:pPr>
      <w:r>
        <w:t>Item 6</w:t>
      </w:r>
      <w:r w:rsidR="00500438" w:rsidRPr="00E862A6">
        <w:t xml:space="preserve"> clarifies this must include instruction and training in how to carry out the daily checks required by paragraph 238(2)(a) and in how to operate the device without passengers as required by paragraph 238(2)(b). The term ‘daily checks’ refers to the checks required to be carried out on the device on each day on which the device is to be operated noting that the device may not in fact be operated every day of the week.</w:t>
      </w:r>
    </w:p>
    <w:p w14:paraId="7D28854B" w14:textId="77777777" w:rsidR="00D57699" w:rsidRDefault="00D57699" w:rsidP="00C37610">
      <w:pPr>
        <w:pStyle w:val="EMnumbers"/>
        <w:rPr>
          <w:rFonts w:cs="Times New Roman"/>
          <w:b/>
          <w:bCs/>
        </w:rPr>
      </w:pPr>
      <w:r>
        <w:rPr>
          <w:rFonts w:cs="Times New Roman"/>
          <w:b/>
          <w:bCs/>
        </w:rPr>
        <w:t>Item [7] – Paragraph 242(1)(a)</w:t>
      </w:r>
    </w:p>
    <w:p w14:paraId="168E9BA3" w14:textId="77777777" w:rsidR="00D57699" w:rsidRDefault="00D57699" w:rsidP="00C37610">
      <w:pPr>
        <w:pStyle w:val="EMnumbers"/>
        <w:rPr>
          <w:rFonts w:cs="Times New Roman"/>
          <w:b/>
          <w:bCs/>
        </w:rPr>
      </w:pPr>
      <w:r>
        <w:rPr>
          <w:rFonts w:cs="Times New Roman"/>
          <w:b/>
          <w:bCs/>
        </w:rPr>
        <w:t xml:space="preserve">Item [8] – After </w:t>
      </w:r>
      <w:proofErr w:type="spellStart"/>
      <w:r>
        <w:rPr>
          <w:rFonts w:cs="Times New Roman"/>
          <w:b/>
          <w:bCs/>
        </w:rPr>
        <w:t>subregulation</w:t>
      </w:r>
      <w:proofErr w:type="spellEnd"/>
      <w:r>
        <w:rPr>
          <w:rFonts w:cs="Times New Roman"/>
          <w:b/>
          <w:bCs/>
        </w:rPr>
        <w:t xml:space="preserve"> 242(1)</w:t>
      </w:r>
    </w:p>
    <w:p w14:paraId="77F58CC2" w14:textId="77777777" w:rsidR="00D57699" w:rsidRDefault="00D57699" w:rsidP="00C37610">
      <w:pPr>
        <w:pStyle w:val="EMnumbers"/>
        <w:rPr>
          <w:rFonts w:cs="Times New Roman"/>
          <w:b/>
          <w:bCs/>
        </w:rPr>
      </w:pPr>
      <w:r>
        <w:rPr>
          <w:rFonts w:cs="Times New Roman"/>
          <w:b/>
          <w:bCs/>
        </w:rPr>
        <w:t>Item [9] – Paragraph 242(2)(a)</w:t>
      </w:r>
    </w:p>
    <w:p w14:paraId="071B6AE1" w14:textId="0384E905" w:rsidR="00EA585E" w:rsidRPr="00C37610" w:rsidRDefault="00D57699" w:rsidP="00C37610">
      <w:pPr>
        <w:spacing w:after="200" w:line="276" w:lineRule="auto"/>
        <w:rPr>
          <w:b/>
          <w:bCs/>
        </w:rPr>
      </w:pPr>
      <w:r w:rsidRPr="00C37610">
        <w:rPr>
          <w:b/>
          <w:bCs/>
        </w:rPr>
        <w:t xml:space="preserve">Item [10] – At the end of regulation 242 </w:t>
      </w:r>
    </w:p>
    <w:p w14:paraId="022139D9" w14:textId="5BCE02FA" w:rsidR="00CF1804" w:rsidRPr="00BB194B" w:rsidRDefault="00CF1804" w:rsidP="00603E6A">
      <w:pPr>
        <w:pStyle w:val="EMnumbers"/>
        <w:numPr>
          <w:ilvl w:val="0"/>
          <w:numId w:val="1"/>
        </w:numPr>
        <w:ind w:left="567" w:hanging="567"/>
      </w:pPr>
      <w:r w:rsidRPr="00BB194B">
        <w:lastRenderedPageBreak/>
        <w:t>Item</w:t>
      </w:r>
      <w:r w:rsidR="00601F4E">
        <w:t>s</w:t>
      </w:r>
      <w:r w:rsidRPr="00BB194B">
        <w:t xml:space="preserve"> </w:t>
      </w:r>
      <w:r w:rsidR="00492EAA" w:rsidRPr="00BB194B">
        <w:t>7</w:t>
      </w:r>
      <w:r w:rsidR="00601F4E">
        <w:t xml:space="preserve"> to 10</w:t>
      </w:r>
      <w:r w:rsidR="00492EAA" w:rsidRPr="00BB194B">
        <w:t xml:space="preserve"> amend regulation 242 to </w:t>
      </w:r>
      <w:r w:rsidR="00831821" w:rsidRPr="00691850">
        <w:rPr>
          <w:rFonts w:cs="Times New Roman"/>
        </w:rPr>
        <w:t xml:space="preserve">require specific information, including </w:t>
      </w:r>
      <w:r w:rsidR="00831821" w:rsidRPr="00691850">
        <w:t xml:space="preserve">details of statutory notices issued by any work health and safety regulator and evidence of operator training and instruction, are included in the </w:t>
      </w:r>
      <w:proofErr w:type="gramStart"/>
      <w:r w:rsidR="00831821" w:rsidRPr="00691850">
        <w:t>log book</w:t>
      </w:r>
      <w:proofErr w:type="gramEnd"/>
      <w:r w:rsidR="00831821" w:rsidRPr="00691850">
        <w:t xml:space="preserve"> for an amusement device.</w:t>
      </w:r>
    </w:p>
    <w:p w14:paraId="5348D79D" w14:textId="5C467E89" w:rsidR="000108F3" w:rsidRPr="00BB194B" w:rsidRDefault="004A5209" w:rsidP="00FE19EF">
      <w:pPr>
        <w:pStyle w:val="EMnumbers"/>
        <w:numPr>
          <w:ilvl w:val="0"/>
          <w:numId w:val="1"/>
        </w:numPr>
        <w:ind w:left="567" w:hanging="567"/>
      </w:pPr>
      <w:r>
        <w:t>R</w:t>
      </w:r>
      <w:r w:rsidR="00820CCC" w:rsidRPr="00BB194B">
        <w:t xml:space="preserve">egulation 242 requires that the person with management or control of an amusement device at a workplace keep a </w:t>
      </w:r>
      <w:proofErr w:type="gramStart"/>
      <w:r w:rsidR="00820CCC" w:rsidRPr="00BB194B">
        <w:t>log book</w:t>
      </w:r>
      <w:proofErr w:type="gramEnd"/>
      <w:r w:rsidR="00820CCC" w:rsidRPr="00BB194B">
        <w:t xml:space="preserve"> for the amusement device and ensure the log book and operating and maintenance manuals are kept with the amusement device. </w:t>
      </w:r>
    </w:p>
    <w:p w14:paraId="110AE813" w14:textId="1771461B" w:rsidR="00250641" w:rsidRPr="00BB194B" w:rsidRDefault="00E01A93" w:rsidP="00FE19EF">
      <w:pPr>
        <w:pStyle w:val="EMnumbers"/>
        <w:numPr>
          <w:ilvl w:val="0"/>
          <w:numId w:val="1"/>
        </w:numPr>
        <w:ind w:left="567" w:hanging="567"/>
      </w:pPr>
      <w:r>
        <w:t>Item 8</w:t>
      </w:r>
      <w:r w:rsidR="001E0789">
        <w:t xml:space="preserve"> </w:t>
      </w:r>
      <w:r w:rsidR="004A5209">
        <w:t xml:space="preserve">inserts a requirement for </w:t>
      </w:r>
      <w:r w:rsidR="00AD22FE">
        <w:t xml:space="preserve">the </w:t>
      </w:r>
      <w:proofErr w:type="gramStart"/>
      <w:r w:rsidR="00AD22FE">
        <w:t>log book</w:t>
      </w:r>
      <w:proofErr w:type="gramEnd"/>
      <w:r w:rsidR="00AD22FE">
        <w:t xml:space="preserve"> </w:t>
      </w:r>
      <w:r w:rsidR="00250641" w:rsidRPr="00BB194B">
        <w:t xml:space="preserve">to </w:t>
      </w:r>
      <w:r w:rsidR="00820CCC" w:rsidRPr="00BB194B">
        <w:t xml:space="preserve">contain </w:t>
      </w:r>
      <w:r w:rsidR="00505B39" w:rsidRPr="00691850">
        <w:rPr>
          <w:rFonts w:cs="Times New Roman"/>
        </w:rPr>
        <w:t>specified information to ensure it has sufficient information to show if the ride is safe and if the operator is competent to operate it</w:t>
      </w:r>
      <w:r w:rsidR="00820CCC" w:rsidRPr="00BB194B">
        <w:t>. This</w:t>
      </w:r>
      <w:r w:rsidR="000108F3" w:rsidRPr="00BB194B">
        <w:t xml:space="preserve"> </w:t>
      </w:r>
      <w:r w:rsidR="00820CCC" w:rsidRPr="00BB194B">
        <w:t>include</w:t>
      </w:r>
      <w:r w:rsidR="00505B39">
        <w:t>s</w:t>
      </w:r>
      <w:r w:rsidR="00820CCC" w:rsidRPr="00BB194B">
        <w:t xml:space="preserve"> details of the maintenance of the device, details about each operator of the device (including their training) and details of any statutory notices issued in relation to the device. </w:t>
      </w:r>
    </w:p>
    <w:p w14:paraId="157A82F0" w14:textId="1CEC0629" w:rsidR="00590B97" w:rsidRDefault="002A6847" w:rsidP="00FE19EF">
      <w:pPr>
        <w:pStyle w:val="EMnumbers"/>
        <w:numPr>
          <w:ilvl w:val="0"/>
          <w:numId w:val="1"/>
        </w:numPr>
        <w:ind w:left="567" w:hanging="567"/>
      </w:pPr>
      <w:r>
        <w:t>P</w:t>
      </w:r>
      <w:r w:rsidR="00820CCC" w:rsidRPr="00BB194B">
        <w:t>aragraph 242(1</w:t>
      </w:r>
      <w:proofErr w:type="gramStart"/>
      <w:r w:rsidR="00820CCC" w:rsidRPr="00BB194B">
        <w:t>A)(</w:t>
      </w:r>
      <w:proofErr w:type="gramEnd"/>
      <w:r w:rsidR="00820CCC" w:rsidRPr="00BB194B">
        <w:t>h)</w:t>
      </w:r>
      <w:r w:rsidR="0035222E">
        <w:t xml:space="preserve"> </w:t>
      </w:r>
      <w:r w:rsidR="006F3B64">
        <w:t>includes</w:t>
      </w:r>
      <w:r w:rsidR="008E1807">
        <w:t xml:space="preserve"> a requirement for</w:t>
      </w:r>
      <w:r w:rsidR="00820CCC" w:rsidRPr="00BB194B">
        <w:t xml:space="preserve"> the log book </w:t>
      </w:r>
      <w:r w:rsidR="00250641" w:rsidRPr="00BB194B">
        <w:t>to</w:t>
      </w:r>
      <w:r w:rsidR="00820CCC" w:rsidRPr="00BB194B">
        <w:t xml:space="preserve"> include details of any statutory notices issued in relation to the device. ‘Statutory notice’ is defined in </w:t>
      </w:r>
      <w:r w:rsidR="00AA4310">
        <w:t xml:space="preserve">new </w:t>
      </w:r>
      <w:proofErr w:type="spellStart"/>
      <w:r w:rsidR="00820CCC" w:rsidRPr="00BB194B">
        <w:t>subregulation</w:t>
      </w:r>
      <w:proofErr w:type="spellEnd"/>
      <w:r w:rsidR="00820CCC" w:rsidRPr="00BB194B">
        <w:t xml:space="preserve"> 242(</w:t>
      </w:r>
      <w:r w:rsidR="00AA4310">
        <w:t>1B</w:t>
      </w:r>
      <w:r w:rsidR="00820CCC" w:rsidRPr="00BB194B">
        <w:t>). Statutory notices include improvement notices (sections 191-194 of the Act), prohibition notices (s</w:t>
      </w:r>
      <w:r w:rsidR="00DB7269" w:rsidRPr="00BB194B">
        <w:t>ections</w:t>
      </w:r>
      <w:r w:rsidR="00820CCC" w:rsidRPr="00BB194B">
        <w:t xml:space="preserve"> 195-197 of the Act) and infringement notices (section 243 of the Act), as well as </w:t>
      </w:r>
      <w:r w:rsidR="00965A00">
        <w:t xml:space="preserve">such </w:t>
      </w:r>
      <w:r w:rsidR="00820CCC" w:rsidRPr="00BB194B">
        <w:t xml:space="preserve">notices issued in another jurisdiction under a corresponding WHS law. It does not include other notices under the Act or the </w:t>
      </w:r>
      <w:r w:rsidR="00D330CE">
        <w:t>p</w:t>
      </w:r>
      <w:r w:rsidR="000853D8">
        <w:t xml:space="preserve">rincipal </w:t>
      </w:r>
      <w:r w:rsidR="000C442E" w:rsidRPr="00BB194B">
        <w:t>R</w:t>
      </w:r>
      <w:r w:rsidR="00820CCC" w:rsidRPr="00BB194B">
        <w:t xml:space="preserve">egulations. </w:t>
      </w:r>
    </w:p>
    <w:p w14:paraId="65E9A9A5" w14:textId="5C1D6366" w:rsidR="00965A00" w:rsidRDefault="00590B97">
      <w:pPr>
        <w:pStyle w:val="EMnumbers"/>
        <w:numPr>
          <w:ilvl w:val="0"/>
          <w:numId w:val="1"/>
        </w:numPr>
        <w:ind w:left="567" w:hanging="567"/>
      </w:pPr>
      <w:r>
        <w:t>S</w:t>
      </w:r>
      <w:r w:rsidR="00053775">
        <w:t xml:space="preserve">ection 243 of the </w:t>
      </w:r>
      <w:r w:rsidR="00AC398F">
        <w:t>Act</w:t>
      </w:r>
      <w:r w:rsidR="00053775">
        <w:t xml:space="preserve"> provides </w:t>
      </w:r>
      <w:r w:rsidR="00CF1CCD">
        <w:t xml:space="preserve">scope for infringement notices to be </w:t>
      </w:r>
      <w:r w:rsidR="001E5972">
        <w:t>utilised in the Commonwealth</w:t>
      </w:r>
      <w:r w:rsidR="00B77DC2">
        <w:t xml:space="preserve"> where a provision has been prescribed</w:t>
      </w:r>
      <w:r w:rsidR="00AC398F">
        <w:t xml:space="preserve"> by the principal Regulations</w:t>
      </w:r>
      <w:r w:rsidR="00461529">
        <w:t xml:space="preserve"> as enforceable under </w:t>
      </w:r>
      <w:r w:rsidR="00AC398F">
        <w:t>Part 13, Division 3 of the Act</w:t>
      </w:r>
      <w:r w:rsidR="00784CBD">
        <w:t xml:space="preserve">. </w:t>
      </w:r>
      <w:r w:rsidR="00AC398F">
        <w:t>T</w:t>
      </w:r>
      <w:r w:rsidR="001E5972">
        <w:t>here are currently no</w:t>
      </w:r>
      <w:r>
        <w:t xml:space="preserve"> provisions</w:t>
      </w:r>
      <w:r w:rsidR="00784CBD">
        <w:t xml:space="preserve"> prescribed</w:t>
      </w:r>
      <w:r w:rsidR="00AC398F">
        <w:t xml:space="preserve"> </w:t>
      </w:r>
      <w:r w:rsidR="0022442F">
        <w:t xml:space="preserve">by </w:t>
      </w:r>
      <w:r>
        <w:t>the princip</w:t>
      </w:r>
      <w:r w:rsidR="00D95D47">
        <w:t>al</w:t>
      </w:r>
      <w:r>
        <w:t xml:space="preserve"> </w:t>
      </w:r>
      <w:r w:rsidR="00FB6306">
        <w:t>R</w:t>
      </w:r>
      <w:r>
        <w:t>egulations</w:t>
      </w:r>
      <w:r w:rsidR="0022442F">
        <w:t xml:space="preserve"> as </w:t>
      </w:r>
      <w:r w:rsidR="00B72BDA">
        <w:t xml:space="preserve">enforceable under Part 13, Division 3 of the Act meaning that infringement notices are not currently utilised in the Commonwealth. </w:t>
      </w:r>
      <w:r w:rsidR="00957942">
        <w:t xml:space="preserve">The reference to infringement notices </w:t>
      </w:r>
      <w:r w:rsidR="00116184">
        <w:t xml:space="preserve">in </w:t>
      </w:r>
      <w:r w:rsidR="00B25B5B">
        <w:t xml:space="preserve">the definition of statutory notice </w:t>
      </w:r>
      <w:r w:rsidR="00116184">
        <w:t>paragraph 242(1</w:t>
      </w:r>
      <w:proofErr w:type="gramStart"/>
      <w:r w:rsidR="00B25B5B">
        <w:t>B</w:t>
      </w:r>
      <w:r w:rsidR="00116184">
        <w:t>)(</w:t>
      </w:r>
      <w:proofErr w:type="gramEnd"/>
      <w:r w:rsidR="00B25B5B">
        <w:t>a</w:t>
      </w:r>
      <w:r w:rsidR="00116184">
        <w:t xml:space="preserve">) </w:t>
      </w:r>
      <w:r w:rsidR="00B25B5B">
        <w:t xml:space="preserve">will be inoperative to the extent that no </w:t>
      </w:r>
      <w:r w:rsidR="00DA7EA9">
        <w:t xml:space="preserve">provisions remain prescribed as enforceable by the </w:t>
      </w:r>
      <w:r w:rsidR="00436095">
        <w:t>principal R</w:t>
      </w:r>
      <w:r w:rsidR="00DA7EA9">
        <w:t xml:space="preserve">egulations. </w:t>
      </w:r>
    </w:p>
    <w:p w14:paraId="7BD698D8" w14:textId="1354EA52" w:rsidR="001531A0" w:rsidRPr="00BB194B" w:rsidRDefault="00C72BD1" w:rsidP="00603E6A">
      <w:pPr>
        <w:pStyle w:val="EMnumbers"/>
        <w:numPr>
          <w:ilvl w:val="0"/>
          <w:numId w:val="1"/>
        </w:numPr>
        <w:ind w:left="567" w:hanging="567"/>
      </w:pPr>
      <w:r>
        <w:rPr>
          <w:rFonts w:cs="Times New Roman"/>
        </w:rPr>
        <w:t xml:space="preserve">Items 7 and </w:t>
      </w:r>
      <w:r w:rsidR="005354D4">
        <w:rPr>
          <w:rFonts w:cs="Times New Roman"/>
        </w:rPr>
        <w:t>9</w:t>
      </w:r>
      <w:r w:rsidR="001531A0" w:rsidRPr="00691850">
        <w:rPr>
          <w:rFonts w:cs="Times New Roman"/>
        </w:rPr>
        <w:t xml:space="preserve"> are consequential to </w:t>
      </w:r>
      <w:r w:rsidR="005354D4">
        <w:rPr>
          <w:rFonts w:cs="Times New Roman"/>
        </w:rPr>
        <w:t xml:space="preserve">Item 8. </w:t>
      </w:r>
      <w:r w:rsidR="001531A0" w:rsidRPr="00691850">
        <w:rPr>
          <w:rFonts w:cs="Times New Roman"/>
        </w:rPr>
        <w:t xml:space="preserve"> </w:t>
      </w:r>
    </w:p>
    <w:p w14:paraId="4CF82503" w14:textId="3BAE1705" w:rsidR="00E423D7" w:rsidRPr="00BB194B" w:rsidRDefault="00820CCC" w:rsidP="00FE19EF">
      <w:pPr>
        <w:pStyle w:val="EMnumbers"/>
        <w:numPr>
          <w:ilvl w:val="0"/>
          <w:numId w:val="1"/>
        </w:numPr>
        <w:ind w:left="567" w:hanging="567"/>
      </w:pPr>
      <w:r w:rsidRPr="00BB194B">
        <w:t xml:space="preserve">The note to regulation 242(1A) </w:t>
      </w:r>
      <w:r w:rsidR="00E423D7" w:rsidRPr="00BB194B">
        <w:t>refer</w:t>
      </w:r>
      <w:r w:rsidR="00A06FA3">
        <w:t>s</w:t>
      </w:r>
      <w:r w:rsidR="00E423D7" w:rsidRPr="00BB194B">
        <w:t xml:space="preserve"> </w:t>
      </w:r>
      <w:r w:rsidRPr="00BB194B">
        <w:t xml:space="preserve">to </w:t>
      </w:r>
      <w:r w:rsidR="00E423D7" w:rsidRPr="00BB194B">
        <w:t xml:space="preserve">existing </w:t>
      </w:r>
      <w:r w:rsidRPr="00BB194B">
        <w:t xml:space="preserve">paragraph 238(2)(c) which requires that the </w:t>
      </w:r>
      <w:proofErr w:type="gramStart"/>
      <w:r w:rsidRPr="00BB194B">
        <w:t>log book</w:t>
      </w:r>
      <w:proofErr w:type="gramEnd"/>
      <w:r w:rsidRPr="00BB194B">
        <w:t xml:space="preserve"> must also include records of the daily checks and operation of the amusement device without passengers. </w:t>
      </w:r>
    </w:p>
    <w:p w14:paraId="6C7DE468" w14:textId="19A6E25E" w:rsidR="00960B9E" w:rsidRPr="00BB194B" w:rsidRDefault="004A5E4C" w:rsidP="00FE19EF">
      <w:pPr>
        <w:pStyle w:val="EMnumbers"/>
        <w:numPr>
          <w:ilvl w:val="0"/>
          <w:numId w:val="1"/>
        </w:numPr>
        <w:ind w:left="567" w:hanging="567"/>
      </w:pPr>
      <w:r>
        <w:t>Item 10</w:t>
      </w:r>
      <w:r w:rsidR="009B4CCC" w:rsidRPr="00BB194B">
        <w:t xml:space="preserve"> </w:t>
      </w:r>
      <w:r w:rsidR="00515692">
        <w:t>inserts a requirement for</w:t>
      </w:r>
      <w:r w:rsidR="00820CCC" w:rsidRPr="00BB194B">
        <w:t xml:space="preserve"> the person with management or control of an amusement device to provide the </w:t>
      </w:r>
      <w:proofErr w:type="gramStart"/>
      <w:r w:rsidR="00820CCC" w:rsidRPr="00BB194B">
        <w:t>log book</w:t>
      </w:r>
      <w:proofErr w:type="gramEnd"/>
      <w:r w:rsidR="00820CCC" w:rsidRPr="00BB194B">
        <w:t xml:space="preserve"> to any person to whom they relinquish control of the device. </w:t>
      </w:r>
    </w:p>
    <w:p w14:paraId="6BB30456" w14:textId="45717BFF" w:rsidR="00B25B5B" w:rsidRPr="00BB194B" w:rsidRDefault="00820CCC" w:rsidP="00FE19EF">
      <w:pPr>
        <w:pStyle w:val="EMnumbers"/>
        <w:numPr>
          <w:ilvl w:val="0"/>
          <w:numId w:val="1"/>
        </w:numPr>
        <w:ind w:left="567" w:hanging="567"/>
      </w:pPr>
      <w:r w:rsidRPr="00BB194B">
        <w:t>The maximum penalty for contravening regulation 242</w:t>
      </w:r>
      <w:r w:rsidR="000F4C4A">
        <w:t xml:space="preserve"> of the </w:t>
      </w:r>
      <w:r w:rsidR="00FC7F70">
        <w:t>p</w:t>
      </w:r>
      <w:r w:rsidR="001405FE">
        <w:t xml:space="preserve">rincipal </w:t>
      </w:r>
      <w:r w:rsidR="000F4C4A">
        <w:t>Regulations</w:t>
      </w:r>
      <w:r w:rsidRPr="00BB194B">
        <w:t xml:space="preserve"> is $1 250 for an individual and $6 000 for a body corporate.</w:t>
      </w:r>
    </w:p>
    <w:p w14:paraId="74F3442B" w14:textId="75865EDB" w:rsidR="009034B6" w:rsidRPr="00BB194B" w:rsidRDefault="0042687E" w:rsidP="009034B6">
      <w:pPr>
        <w:pStyle w:val="EMnumbers"/>
        <w:rPr>
          <w:u w:val="single"/>
        </w:rPr>
      </w:pPr>
      <w:r>
        <w:rPr>
          <w:u w:val="single"/>
        </w:rPr>
        <w:t>Part 2</w:t>
      </w:r>
      <w:r w:rsidR="009034B6" w:rsidRPr="00BB194B">
        <w:rPr>
          <w:u w:val="single"/>
        </w:rPr>
        <w:t xml:space="preserve">– </w:t>
      </w:r>
      <w:r w:rsidR="0028359F">
        <w:rPr>
          <w:u w:val="single"/>
        </w:rPr>
        <w:t>Other</w:t>
      </w:r>
      <w:r w:rsidR="0028359F" w:rsidRPr="00BB194B">
        <w:rPr>
          <w:u w:val="single"/>
        </w:rPr>
        <w:t xml:space="preserve"> </w:t>
      </w:r>
      <w:r w:rsidR="009034B6" w:rsidRPr="00BB194B">
        <w:rPr>
          <w:u w:val="single"/>
        </w:rPr>
        <w:t>amendments</w:t>
      </w:r>
    </w:p>
    <w:p w14:paraId="0A2487F3" w14:textId="77777777" w:rsidR="000D4433" w:rsidRDefault="000D4433" w:rsidP="000D4433">
      <w:pPr>
        <w:pStyle w:val="EMnumbers"/>
        <w:rPr>
          <w:rFonts w:cs="Times New Roman"/>
          <w:b/>
          <w:bCs/>
        </w:rPr>
      </w:pPr>
      <w:r>
        <w:rPr>
          <w:rFonts w:cs="Times New Roman"/>
          <w:b/>
          <w:bCs/>
        </w:rPr>
        <w:t>Item [11] – Regulation 6A</w:t>
      </w:r>
    </w:p>
    <w:p w14:paraId="36801D37" w14:textId="77777777" w:rsidR="000D4433" w:rsidRDefault="000D4433" w:rsidP="000D4433">
      <w:pPr>
        <w:pStyle w:val="EMnumbers"/>
        <w:rPr>
          <w:rFonts w:cs="Times New Roman"/>
          <w:b/>
          <w:bCs/>
        </w:rPr>
      </w:pPr>
      <w:r>
        <w:rPr>
          <w:rFonts w:cs="Times New Roman"/>
          <w:b/>
          <w:bCs/>
        </w:rPr>
        <w:t>Item [12] – Regulation 6A (table item 4)</w:t>
      </w:r>
    </w:p>
    <w:p w14:paraId="6BED99B3" w14:textId="6A3C6FD5" w:rsidR="000D4433" w:rsidRDefault="000D4433" w:rsidP="000D4433">
      <w:pPr>
        <w:pStyle w:val="EMnumbers"/>
        <w:rPr>
          <w:rFonts w:cs="Times New Roman"/>
          <w:b/>
          <w:bCs/>
        </w:rPr>
      </w:pPr>
      <w:r>
        <w:rPr>
          <w:rFonts w:cs="Times New Roman"/>
          <w:b/>
          <w:bCs/>
        </w:rPr>
        <w:t>Item [13] – Regulation 6A (table item</w:t>
      </w:r>
      <w:r w:rsidR="00E31121">
        <w:rPr>
          <w:rFonts w:cs="Times New Roman"/>
          <w:b/>
          <w:bCs/>
        </w:rPr>
        <w:t>s 5 and 10</w:t>
      </w:r>
      <w:r>
        <w:rPr>
          <w:rFonts w:cs="Times New Roman"/>
          <w:b/>
          <w:bCs/>
        </w:rPr>
        <w:t>)</w:t>
      </w:r>
    </w:p>
    <w:p w14:paraId="152E5640" w14:textId="140BBAEA" w:rsidR="000D4433" w:rsidRDefault="000D4433" w:rsidP="000D4433">
      <w:pPr>
        <w:pStyle w:val="EMnumbers"/>
        <w:rPr>
          <w:rFonts w:cs="Times New Roman"/>
          <w:b/>
          <w:bCs/>
        </w:rPr>
      </w:pPr>
      <w:r>
        <w:rPr>
          <w:rFonts w:cs="Times New Roman"/>
          <w:b/>
          <w:bCs/>
        </w:rPr>
        <w:lastRenderedPageBreak/>
        <w:t>Item [14] – Regulation 6A (table item</w:t>
      </w:r>
      <w:r w:rsidR="00E31121">
        <w:rPr>
          <w:rFonts w:cs="Times New Roman"/>
          <w:b/>
          <w:bCs/>
        </w:rPr>
        <w:t xml:space="preserve"> 14</w:t>
      </w:r>
      <w:r>
        <w:rPr>
          <w:rFonts w:cs="Times New Roman"/>
          <w:b/>
          <w:bCs/>
        </w:rPr>
        <w:t>)</w:t>
      </w:r>
    </w:p>
    <w:p w14:paraId="2DAF9038" w14:textId="77777777" w:rsidR="000D4433" w:rsidRDefault="000D4433" w:rsidP="000D4433">
      <w:pPr>
        <w:pStyle w:val="EMnumbers"/>
        <w:rPr>
          <w:rFonts w:cs="Times New Roman"/>
          <w:b/>
          <w:bCs/>
        </w:rPr>
      </w:pPr>
      <w:r>
        <w:rPr>
          <w:rFonts w:cs="Times New Roman"/>
          <w:b/>
          <w:bCs/>
        </w:rPr>
        <w:t>Item [15] – Regulation 6A (table item 15)</w:t>
      </w:r>
    </w:p>
    <w:p w14:paraId="433C8C4F" w14:textId="77777777" w:rsidR="000D4433" w:rsidRDefault="000D4433" w:rsidP="000D4433">
      <w:pPr>
        <w:pStyle w:val="EMnumbers"/>
        <w:rPr>
          <w:rFonts w:cs="Times New Roman"/>
          <w:b/>
          <w:bCs/>
        </w:rPr>
      </w:pPr>
      <w:r>
        <w:rPr>
          <w:rFonts w:cs="Times New Roman"/>
          <w:b/>
          <w:bCs/>
        </w:rPr>
        <w:t>Item [16] – Regulation 6A (table item 20)</w:t>
      </w:r>
    </w:p>
    <w:p w14:paraId="04DF95FC" w14:textId="77777777" w:rsidR="000D4433" w:rsidRDefault="000D4433" w:rsidP="000D4433">
      <w:pPr>
        <w:pStyle w:val="EMnumbers"/>
        <w:rPr>
          <w:rFonts w:cs="Times New Roman"/>
          <w:b/>
          <w:bCs/>
        </w:rPr>
      </w:pPr>
      <w:r>
        <w:rPr>
          <w:rFonts w:cs="Times New Roman"/>
          <w:b/>
          <w:bCs/>
        </w:rPr>
        <w:t>Item [17] – Regulation 6A (table item 21)</w:t>
      </w:r>
    </w:p>
    <w:p w14:paraId="10898B83" w14:textId="77777777" w:rsidR="000D4433" w:rsidRDefault="000D4433" w:rsidP="000D4433">
      <w:pPr>
        <w:pStyle w:val="EMnumbers"/>
        <w:rPr>
          <w:rFonts w:cs="Times New Roman"/>
          <w:b/>
          <w:bCs/>
        </w:rPr>
      </w:pPr>
      <w:r>
        <w:rPr>
          <w:rFonts w:cs="Times New Roman"/>
          <w:b/>
          <w:bCs/>
        </w:rPr>
        <w:t>Item [18] – Regulation 6A (table item 24)</w:t>
      </w:r>
    </w:p>
    <w:p w14:paraId="07B9E574" w14:textId="77777777" w:rsidR="000D4433" w:rsidRDefault="000D4433" w:rsidP="000D4433">
      <w:pPr>
        <w:pStyle w:val="EMnumbers"/>
        <w:rPr>
          <w:rFonts w:cs="Times New Roman"/>
          <w:b/>
          <w:bCs/>
        </w:rPr>
      </w:pPr>
      <w:r>
        <w:rPr>
          <w:rFonts w:cs="Times New Roman"/>
          <w:b/>
          <w:bCs/>
        </w:rPr>
        <w:t>Item [19] – Regulation 6A (table item 25)</w:t>
      </w:r>
    </w:p>
    <w:p w14:paraId="01A443D9" w14:textId="77777777" w:rsidR="000D4433" w:rsidRDefault="000D4433" w:rsidP="000D4433">
      <w:pPr>
        <w:pStyle w:val="EMnumbers"/>
        <w:rPr>
          <w:rFonts w:cs="Times New Roman"/>
          <w:b/>
          <w:bCs/>
        </w:rPr>
      </w:pPr>
      <w:r>
        <w:rPr>
          <w:rFonts w:cs="Times New Roman"/>
          <w:b/>
          <w:bCs/>
        </w:rPr>
        <w:t>Item [20] – Regulation 6A (table item 28)</w:t>
      </w:r>
    </w:p>
    <w:p w14:paraId="15CB91DC" w14:textId="77777777" w:rsidR="000D4433" w:rsidRDefault="000D4433" w:rsidP="000D4433">
      <w:pPr>
        <w:pStyle w:val="EMnumbers"/>
        <w:rPr>
          <w:rFonts w:cs="Times New Roman"/>
          <w:b/>
          <w:bCs/>
        </w:rPr>
      </w:pPr>
      <w:r>
        <w:rPr>
          <w:rFonts w:cs="Times New Roman"/>
          <w:b/>
          <w:bCs/>
        </w:rPr>
        <w:t>Item [21] – Regulation 6A (table item 32)</w:t>
      </w:r>
    </w:p>
    <w:p w14:paraId="3C31B00D" w14:textId="34E881DB" w:rsidR="0065423C" w:rsidRPr="00BB194B" w:rsidRDefault="000D4433" w:rsidP="000D4433">
      <w:pPr>
        <w:pStyle w:val="EMnumbers"/>
        <w:rPr>
          <w:b/>
          <w:bCs/>
        </w:rPr>
      </w:pPr>
      <w:r>
        <w:rPr>
          <w:rFonts w:cs="Times New Roman"/>
          <w:b/>
          <w:bCs/>
        </w:rPr>
        <w:t>Item [22] – Regulation 6A (table item 36)</w:t>
      </w:r>
    </w:p>
    <w:p w14:paraId="411761B3" w14:textId="77777777" w:rsidR="00527ADE" w:rsidRDefault="007958A2" w:rsidP="00527ADE">
      <w:pPr>
        <w:pStyle w:val="EMnumbers"/>
        <w:numPr>
          <w:ilvl w:val="0"/>
          <w:numId w:val="1"/>
        </w:numPr>
        <w:ind w:left="567" w:hanging="567"/>
        <w:rPr>
          <w:rFonts w:cs="Times New Roman"/>
        </w:rPr>
      </w:pPr>
      <w:r w:rsidRPr="00691850">
        <w:rPr>
          <w:rFonts w:cs="Times New Roman"/>
        </w:rPr>
        <w:t xml:space="preserve">Section 4 of the Act provides that each primary work health and safety </w:t>
      </w:r>
      <w:r w:rsidR="00DE0321">
        <w:rPr>
          <w:rFonts w:cs="Times New Roman"/>
        </w:rPr>
        <w:t>act</w:t>
      </w:r>
      <w:r w:rsidR="00DE0321" w:rsidRPr="00691850">
        <w:rPr>
          <w:rFonts w:cs="Times New Roman"/>
        </w:rPr>
        <w:t xml:space="preserve"> </w:t>
      </w:r>
      <w:r w:rsidRPr="00691850">
        <w:rPr>
          <w:rFonts w:cs="Times New Roman"/>
        </w:rPr>
        <w:t>in a jurisdiction (</w:t>
      </w:r>
      <w:proofErr w:type="gramStart"/>
      <w:r w:rsidRPr="00691850">
        <w:rPr>
          <w:rFonts w:cs="Times New Roman"/>
        </w:rPr>
        <w:t>e.g.</w:t>
      </w:r>
      <w:proofErr w:type="gramEnd"/>
      <w:r w:rsidRPr="00691850">
        <w:rPr>
          <w:rFonts w:cs="Times New Roman"/>
        </w:rPr>
        <w:t xml:space="preserve"> the NSW </w:t>
      </w:r>
      <w:r w:rsidRPr="00691850">
        <w:rPr>
          <w:rFonts w:cs="Times New Roman"/>
          <w:i/>
          <w:iCs/>
        </w:rPr>
        <w:t>Work Health and Safety Act 2011</w:t>
      </w:r>
      <w:r w:rsidRPr="00691850">
        <w:rPr>
          <w:rFonts w:cs="Times New Roman"/>
        </w:rPr>
        <w:t xml:space="preserve">) is a </w:t>
      </w:r>
      <w:r w:rsidR="004E0B98">
        <w:rPr>
          <w:rFonts w:cs="Times New Roman"/>
        </w:rPr>
        <w:t>‘</w:t>
      </w:r>
      <w:r w:rsidRPr="00691850">
        <w:rPr>
          <w:rFonts w:cs="Times New Roman"/>
        </w:rPr>
        <w:t>corresponding WHS law</w:t>
      </w:r>
      <w:r w:rsidR="004E0B98">
        <w:rPr>
          <w:rFonts w:cs="Times New Roman"/>
        </w:rPr>
        <w:t>’</w:t>
      </w:r>
      <w:r w:rsidRPr="00691850">
        <w:rPr>
          <w:rFonts w:cs="Times New Roman"/>
        </w:rPr>
        <w:t xml:space="preserve"> for the purposes of the Act and </w:t>
      </w:r>
      <w:r w:rsidR="00FC7F70">
        <w:rPr>
          <w:rFonts w:cs="Times New Roman"/>
        </w:rPr>
        <w:t>p</w:t>
      </w:r>
      <w:r w:rsidR="001405FE">
        <w:rPr>
          <w:rFonts w:cs="Times New Roman"/>
        </w:rPr>
        <w:t xml:space="preserve">rincipal </w:t>
      </w:r>
      <w:r w:rsidRPr="00691850">
        <w:rPr>
          <w:rFonts w:cs="Times New Roman"/>
        </w:rPr>
        <w:t xml:space="preserve">Regulations. Additional laws are prescribed to be </w:t>
      </w:r>
      <w:r w:rsidR="0030486A">
        <w:rPr>
          <w:rFonts w:cs="Times New Roman"/>
        </w:rPr>
        <w:t>‘</w:t>
      </w:r>
      <w:r w:rsidRPr="00691850">
        <w:rPr>
          <w:rFonts w:cs="Times New Roman"/>
        </w:rPr>
        <w:t>corresponding WHS laws</w:t>
      </w:r>
      <w:r w:rsidR="004E0B98">
        <w:rPr>
          <w:rFonts w:cs="Times New Roman"/>
        </w:rPr>
        <w:t>’</w:t>
      </w:r>
      <w:r w:rsidRPr="00691850">
        <w:rPr>
          <w:rFonts w:cs="Times New Roman"/>
        </w:rPr>
        <w:t xml:space="preserve"> in regulation 6A of the </w:t>
      </w:r>
      <w:r w:rsidR="00FC7F70">
        <w:rPr>
          <w:rFonts w:cs="Times New Roman"/>
        </w:rPr>
        <w:t>p</w:t>
      </w:r>
      <w:r w:rsidR="001405FE">
        <w:rPr>
          <w:rFonts w:cs="Times New Roman"/>
        </w:rPr>
        <w:t xml:space="preserve">rincipal </w:t>
      </w:r>
      <w:r w:rsidRPr="00691850">
        <w:rPr>
          <w:rFonts w:cs="Times New Roman"/>
        </w:rPr>
        <w:t>Regulations.</w:t>
      </w:r>
    </w:p>
    <w:p w14:paraId="4C847649" w14:textId="188C95BF" w:rsidR="001120C1" w:rsidRDefault="001120C1" w:rsidP="001120C1">
      <w:pPr>
        <w:pStyle w:val="EMnumbers"/>
        <w:numPr>
          <w:ilvl w:val="0"/>
          <w:numId w:val="1"/>
        </w:numPr>
        <w:ind w:left="567" w:hanging="567"/>
      </w:pPr>
      <w:r w:rsidRPr="00BB194B">
        <w:t>Several provisions of the Act refer to ‘corresponding WHS law</w:t>
      </w:r>
      <w:r w:rsidR="008462DD" w:rsidRPr="00BB194B">
        <w:t>’</w:t>
      </w:r>
      <w:r w:rsidRPr="00BB194B">
        <w:t xml:space="preserve"> to determine the scope of the Act so that duplicate obligations do not apply to the Commonwealth, public authorities and non-Commonwealth licensees under state and territory </w:t>
      </w:r>
      <w:r w:rsidR="008462DD" w:rsidRPr="00BB194B">
        <w:t>work health and safety</w:t>
      </w:r>
      <w:r w:rsidRPr="00BB194B">
        <w:t xml:space="preserve"> legislation. The ‘corresponding WHS law’ definition also applies throughout the </w:t>
      </w:r>
      <w:r w:rsidR="00633A4C">
        <w:t>p</w:t>
      </w:r>
      <w:r w:rsidR="00B848C5">
        <w:t xml:space="preserve">rincipal </w:t>
      </w:r>
      <w:r w:rsidR="00766A14">
        <w:t>R</w:t>
      </w:r>
      <w:r w:rsidR="00B013A2">
        <w:t>egulation</w:t>
      </w:r>
      <w:r w:rsidR="00862F1B">
        <w:t>s, for example:</w:t>
      </w:r>
      <w:r w:rsidRPr="00BB194B">
        <w:t xml:space="preserve"> </w:t>
      </w:r>
    </w:p>
    <w:p w14:paraId="19B1E11C" w14:textId="08B382C5" w:rsidR="00766A14" w:rsidRPr="00227BA2" w:rsidRDefault="00766A14" w:rsidP="00891468">
      <w:pPr>
        <w:pStyle w:val="EMnumbers"/>
        <w:numPr>
          <w:ilvl w:val="1"/>
          <w:numId w:val="1"/>
        </w:numPr>
      </w:pPr>
      <w:r>
        <w:t xml:space="preserve">The definition of </w:t>
      </w:r>
      <w:r w:rsidR="00633A4C">
        <w:t>‘</w:t>
      </w:r>
      <w:r>
        <w:t>emergency services organisation</w:t>
      </w:r>
      <w:r w:rsidR="00633A4C">
        <w:t>’</w:t>
      </w:r>
      <w:r>
        <w:t xml:space="preserve"> in regulation 5 </w:t>
      </w:r>
      <w:r w:rsidR="00BF5670">
        <w:t xml:space="preserve">is defined as an </w:t>
      </w:r>
      <w:r w:rsidR="00891468">
        <w:rPr>
          <w:rFonts w:cstheme="minorHAnsi"/>
          <w:bCs/>
          <w:iCs/>
        </w:rPr>
        <w:t xml:space="preserve">organisation that is an emergency service organisation in accordance with regulations made under a </w:t>
      </w:r>
      <w:r w:rsidR="00891468" w:rsidRPr="00227BA2">
        <w:rPr>
          <w:rFonts w:cstheme="minorHAnsi"/>
          <w:bCs/>
          <w:iCs/>
        </w:rPr>
        <w:t>corresponding WHS law.</w:t>
      </w:r>
    </w:p>
    <w:p w14:paraId="72831D2F" w14:textId="7FC906B3" w:rsidR="00891468" w:rsidRDefault="0086450B" w:rsidP="00891468">
      <w:pPr>
        <w:pStyle w:val="EMnumbers"/>
        <w:numPr>
          <w:ilvl w:val="1"/>
          <w:numId w:val="1"/>
        </w:numPr>
      </w:pPr>
      <w:r>
        <w:t xml:space="preserve">Regulation 83 provides for the recognition of a </w:t>
      </w:r>
      <w:proofErr w:type="gramStart"/>
      <w:r>
        <w:t>high</w:t>
      </w:r>
      <w:r w:rsidR="00B645B4">
        <w:t xml:space="preserve"> </w:t>
      </w:r>
      <w:r>
        <w:t>risk</w:t>
      </w:r>
      <w:proofErr w:type="gramEnd"/>
      <w:r>
        <w:t xml:space="preserve"> work licence issued under a corresponding WHS law.</w:t>
      </w:r>
    </w:p>
    <w:p w14:paraId="0CA6631A" w14:textId="0FCC95E8" w:rsidR="001A471E" w:rsidRPr="00227BA2" w:rsidRDefault="001A471E" w:rsidP="00227BA2">
      <w:pPr>
        <w:pStyle w:val="EMnumbers"/>
        <w:numPr>
          <w:ilvl w:val="1"/>
          <w:numId w:val="1"/>
        </w:numPr>
        <w:rPr>
          <w:rFonts w:cstheme="minorHAnsi"/>
          <w:bCs/>
          <w:iCs/>
          <w:sz w:val="22"/>
          <w:szCs w:val="22"/>
        </w:rPr>
      </w:pPr>
      <w:r>
        <w:t xml:space="preserve">An application for a major hazard facility licence must include </w:t>
      </w:r>
      <w:r>
        <w:rPr>
          <w:rFonts w:cstheme="minorHAnsi"/>
          <w:bCs/>
          <w:iCs/>
        </w:rPr>
        <w:t xml:space="preserve">a declaration as to </w:t>
      </w:r>
      <w:proofErr w:type="gramStart"/>
      <w:r>
        <w:rPr>
          <w:rFonts w:cstheme="minorHAnsi"/>
          <w:bCs/>
          <w:iCs/>
        </w:rPr>
        <w:t>whether or not</w:t>
      </w:r>
      <w:proofErr w:type="gramEnd"/>
      <w:r>
        <w:rPr>
          <w:rFonts w:cstheme="minorHAnsi"/>
          <w:bCs/>
          <w:iCs/>
        </w:rPr>
        <w:t xml:space="preserve"> the operator has ever bee</w:t>
      </w:r>
      <w:r w:rsidRPr="001A471E">
        <w:rPr>
          <w:rFonts w:cstheme="minorHAnsi"/>
          <w:bCs/>
          <w:iCs/>
        </w:rPr>
        <w:t xml:space="preserve">n convicted or found guilty of any offence under </w:t>
      </w:r>
      <w:r w:rsidRPr="00227BA2">
        <w:rPr>
          <w:rFonts w:cstheme="minorHAnsi"/>
          <w:bCs/>
          <w:iCs/>
        </w:rPr>
        <w:t>any corresponding WHS law</w:t>
      </w:r>
      <w:r w:rsidR="00A01F5C">
        <w:rPr>
          <w:rFonts w:cstheme="minorHAnsi"/>
          <w:bCs/>
          <w:iCs/>
        </w:rPr>
        <w:t xml:space="preserve"> (regulation 578)</w:t>
      </w:r>
      <w:r>
        <w:rPr>
          <w:rFonts w:cstheme="minorHAnsi"/>
          <w:bCs/>
          <w:iCs/>
        </w:rPr>
        <w:t>.</w:t>
      </w:r>
    </w:p>
    <w:p w14:paraId="36DC3892" w14:textId="1C704B99" w:rsidR="00461868" w:rsidRPr="00BB194B" w:rsidRDefault="00B013A2" w:rsidP="00227BA2">
      <w:pPr>
        <w:pStyle w:val="EMnumbers"/>
        <w:numPr>
          <w:ilvl w:val="0"/>
          <w:numId w:val="1"/>
        </w:numPr>
        <w:ind w:left="567" w:hanging="567"/>
      </w:pPr>
      <w:bookmarkStart w:id="0" w:name="_Hlk121139837"/>
      <w:r>
        <w:rPr>
          <w:rFonts w:cs="Times New Roman"/>
        </w:rPr>
        <w:t>Because of the way the definition is used in some instances in the Act and</w:t>
      </w:r>
      <w:r w:rsidR="00B848C5">
        <w:rPr>
          <w:rFonts w:cs="Times New Roman"/>
        </w:rPr>
        <w:t xml:space="preserve"> </w:t>
      </w:r>
      <w:r w:rsidR="00D2157A">
        <w:rPr>
          <w:rFonts w:cs="Times New Roman"/>
        </w:rPr>
        <w:t>p</w:t>
      </w:r>
      <w:r w:rsidR="00B848C5">
        <w:rPr>
          <w:rFonts w:cs="Times New Roman"/>
        </w:rPr>
        <w:t>rincipal R</w:t>
      </w:r>
      <w:r>
        <w:rPr>
          <w:rFonts w:cs="Times New Roman"/>
        </w:rPr>
        <w:t xml:space="preserve">egulations, </w:t>
      </w:r>
      <w:r w:rsidR="00461868" w:rsidRPr="00691850">
        <w:rPr>
          <w:rFonts w:cs="Times New Roman"/>
        </w:rPr>
        <w:t>Item 11 clarif</w:t>
      </w:r>
      <w:r w:rsidR="00461868">
        <w:rPr>
          <w:rFonts w:cs="Times New Roman"/>
        </w:rPr>
        <w:t>ies</w:t>
      </w:r>
      <w:r w:rsidR="00461868" w:rsidRPr="00691850">
        <w:rPr>
          <w:rFonts w:cs="Times New Roman"/>
        </w:rPr>
        <w:t xml:space="preserve"> for the avoidance of doubt that each of the ‘corresponding WHS laws’ listed are incorporated in force from time to time. </w:t>
      </w:r>
      <w:r w:rsidR="00DD39E5">
        <w:rPr>
          <w:rFonts w:cs="Times New Roman"/>
        </w:rPr>
        <w:t xml:space="preserve">This means for example that where a jurisdiction changes its definition of emergency services </w:t>
      </w:r>
      <w:r w:rsidR="00EB3D58">
        <w:rPr>
          <w:rFonts w:cs="Times New Roman"/>
        </w:rPr>
        <w:t xml:space="preserve">organisation </w:t>
      </w:r>
      <w:r w:rsidR="00DD39E5">
        <w:rPr>
          <w:rFonts w:cs="Times New Roman"/>
        </w:rPr>
        <w:t xml:space="preserve">the change would flow through to the </w:t>
      </w:r>
      <w:r w:rsidR="00EB23D3">
        <w:rPr>
          <w:rFonts w:cs="Times New Roman"/>
        </w:rPr>
        <w:t>regulations, and mutual recognition of licences is unaffected by updates to state laws. This ensures that the harmonised approach to work health and safety regulation remains</w:t>
      </w:r>
      <w:r w:rsidR="00754930">
        <w:rPr>
          <w:rFonts w:cs="Times New Roman"/>
        </w:rPr>
        <w:t xml:space="preserve"> effective</w:t>
      </w:r>
      <w:r w:rsidR="004D7BD8">
        <w:rPr>
          <w:rFonts w:cs="Times New Roman"/>
        </w:rPr>
        <w:t>, particularly in relation to mutual recognition of authorisations</w:t>
      </w:r>
      <w:r w:rsidR="00B65F57">
        <w:rPr>
          <w:rFonts w:cs="Times New Roman"/>
        </w:rPr>
        <w:t>. It</w:t>
      </w:r>
      <w:r w:rsidR="00754930">
        <w:rPr>
          <w:rFonts w:cs="Times New Roman"/>
        </w:rPr>
        <w:t xml:space="preserve"> also assists duty holders </w:t>
      </w:r>
      <w:r w:rsidR="00B65F57">
        <w:rPr>
          <w:rFonts w:cs="Times New Roman"/>
        </w:rPr>
        <w:t xml:space="preserve">and workers </w:t>
      </w:r>
      <w:r w:rsidR="0007765C">
        <w:rPr>
          <w:rFonts w:cs="Times New Roman"/>
        </w:rPr>
        <w:t xml:space="preserve">in understanding the laws </w:t>
      </w:r>
      <w:r w:rsidR="00754930">
        <w:rPr>
          <w:rFonts w:cs="Times New Roman"/>
        </w:rPr>
        <w:t xml:space="preserve">because they don’t need to find a version of the </w:t>
      </w:r>
      <w:r w:rsidR="00B65F57">
        <w:rPr>
          <w:rFonts w:cs="Times New Roman"/>
        </w:rPr>
        <w:t xml:space="preserve">state or territory </w:t>
      </w:r>
      <w:r w:rsidR="00754930">
        <w:rPr>
          <w:rFonts w:cs="Times New Roman"/>
        </w:rPr>
        <w:t xml:space="preserve">legislation at a particular point in time. </w:t>
      </w:r>
    </w:p>
    <w:p w14:paraId="0ACB3FE7" w14:textId="77777777" w:rsidR="00461868" w:rsidRPr="00BB194B" w:rsidRDefault="00461868" w:rsidP="00227BA2">
      <w:pPr>
        <w:pStyle w:val="EMnumbers"/>
        <w:numPr>
          <w:ilvl w:val="0"/>
          <w:numId w:val="1"/>
        </w:numPr>
        <w:ind w:left="567" w:hanging="567"/>
        <w:rPr>
          <w:shd w:val="clear" w:color="auto" w:fill="FFFFFF"/>
        </w:rPr>
      </w:pPr>
      <w:r w:rsidRPr="00BB194B">
        <w:rPr>
          <w:shd w:val="clear" w:color="auto" w:fill="FFFFFF"/>
        </w:rPr>
        <w:lastRenderedPageBreak/>
        <w:t xml:space="preserve">The laws are </w:t>
      </w:r>
      <w:r w:rsidRPr="00227BA2">
        <w:t>freely</w:t>
      </w:r>
      <w:r w:rsidRPr="00BB194B">
        <w:rPr>
          <w:shd w:val="clear" w:color="auto" w:fill="FFFFFF"/>
        </w:rPr>
        <w:t xml:space="preserve"> available to the public on each state and territories’ respective register of legislation: </w:t>
      </w:r>
    </w:p>
    <w:p w14:paraId="325F3226" w14:textId="4F9F1FFA" w:rsidR="00461868" w:rsidRPr="00227BA2" w:rsidRDefault="00443808" w:rsidP="00227BA2">
      <w:pPr>
        <w:pStyle w:val="ListParagraph"/>
        <w:numPr>
          <w:ilvl w:val="0"/>
          <w:numId w:val="31"/>
        </w:numPr>
        <w:shd w:val="clear" w:color="auto" w:fill="FFFFFF"/>
        <w:spacing w:after="200" w:line="330" w:lineRule="atLeast"/>
        <w:rPr>
          <w:color w:val="0070C0"/>
        </w:rPr>
      </w:pPr>
      <w:hyperlink r:id="rId11" w:history="1">
        <w:r w:rsidR="00915630" w:rsidRPr="00227BA2">
          <w:rPr>
            <w:rStyle w:val="Hyperlink"/>
            <w:color w:val="0070C0"/>
          </w:rPr>
          <w:t>https://legislation.nsw.gov.au/</w:t>
        </w:r>
      </w:hyperlink>
      <w:r w:rsidR="00461868" w:rsidRPr="00227BA2">
        <w:rPr>
          <w:color w:val="0070C0"/>
        </w:rPr>
        <w:t xml:space="preserve"> </w:t>
      </w:r>
    </w:p>
    <w:p w14:paraId="09139C3F" w14:textId="77777777" w:rsidR="00461868" w:rsidRPr="00227BA2" w:rsidRDefault="00443808" w:rsidP="00227BA2">
      <w:pPr>
        <w:pStyle w:val="ListParagraph"/>
        <w:numPr>
          <w:ilvl w:val="0"/>
          <w:numId w:val="31"/>
        </w:numPr>
        <w:shd w:val="clear" w:color="auto" w:fill="FFFFFF"/>
        <w:spacing w:after="200" w:line="330" w:lineRule="atLeast"/>
        <w:rPr>
          <w:color w:val="0070C0"/>
          <w:u w:val="single"/>
        </w:rPr>
      </w:pPr>
      <w:hyperlink r:id="rId12" w:history="1">
        <w:r w:rsidR="00461868" w:rsidRPr="00227BA2">
          <w:rPr>
            <w:color w:val="0070C0"/>
            <w:u w:val="single"/>
          </w:rPr>
          <w:t>https://www.legislation.vic.gov.au/</w:t>
        </w:r>
      </w:hyperlink>
      <w:r w:rsidR="00461868" w:rsidRPr="00227BA2">
        <w:rPr>
          <w:color w:val="0070C0"/>
          <w:u w:val="single"/>
        </w:rPr>
        <w:t xml:space="preserve"> </w:t>
      </w:r>
    </w:p>
    <w:p w14:paraId="505DD874" w14:textId="77777777" w:rsidR="00461868" w:rsidRPr="00227BA2" w:rsidRDefault="00443808" w:rsidP="00227BA2">
      <w:pPr>
        <w:pStyle w:val="ListParagraph"/>
        <w:numPr>
          <w:ilvl w:val="0"/>
          <w:numId w:val="31"/>
        </w:numPr>
        <w:shd w:val="clear" w:color="auto" w:fill="FFFFFF"/>
        <w:spacing w:after="200" w:line="330" w:lineRule="atLeast"/>
        <w:rPr>
          <w:color w:val="0070C0"/>
          <w:u w:val="single"/>
        </w:rPr>
      </w:pPr>
      <w:hyperlink r:id="rId13" w:history="1">
        <w:r w:rsidR="00461868" w:rsidRPr="00227BA2">
          <w:rPr>
            <w:color w:val="0070C0"/>
            <w:u w:val="single"/>
          </w:rPr>
          <w:t>https://www.legislation.qld.gov.au/</w:t>
        </w:r>
      </w:hyperlink>
      <w:r w:rsidR="00461868" w:rsidRPr="00227BA2">
        <w:rPr>
          <w:color w:val="0070C0"/>
          <w:u w:val="single"/>
        </w:rPr>
        <w:t xml:space="preserve"> </w:t>
      </w:r>
    </w:p>
    <w:p w14:paraId="3B45C37E" w14:textId="77777777" w:rsidR="00461868" w:rsidRPr="00227BA2" w:rsidRDefault="00443808" w:rsidP="00227BA2">
      <w:pPr>
        <w:pStyle w:val="ListParagraph"/>
        <w:numPr>
          <w:ilvl w:val="0"/>
          <w:numId w:val="31"/>
        </w:numPr>
        <w:shd w:val="clear" w:color="auto" w:fill="FFFFFF"/>
        <w:spacing w:after="200" w:line="330" w:lineRule="atLeast"/>
        <w:rPr>
          <w:color w:val="0070C0"/>
          <w:u w:val="single"/>
        </w:rPr>
      </w:pPr>
      <w:hyperlink r:id="rId14" w:history="1">
        <w:r w:rsidR="00461868" w:rsidRPr="00227BA2">
          <w:rPr>
            <w:color w:val="0070C0"/>
            <w:u w:val="single"/>
          </w:rPr>
          <w:t>https://legislation.nt.gov.au/</w:t>
        </w:r>
      </w:hyperlink>
    </w:p>
    <w:p w14:paraId="7E697B15" w14:textId="77777777" w:rsidR="00461868" w:rsidRPr="00227BA2" w:rsidRDefault="00443808" w:rsidP="00227BA2">
      <w:pPr>
        <w:pStyle w:val="ListParagraph"/>
        <w:numPr>
          <w:ilvl w:val="0"/>
          <w:numId w:val="31"/>
        </w:numPr>
        <w:shd w:val="clear" w:color="auto" w:fill="FFFFFF"/>
        <w:spacing w:after="200" w:line="330" w:lineRule="atLeast"/>
        <w:rPr>
          <w:color w:val="0070C0"/>
          <w:u w:val="single"/>
        </w:rPr>
      </w:pPr>
      <w:hyperlink r:id="rId15" w:history="1">
        <w:r w:rsidR="00461868" w:rsidRPr="00227BA2">
          <w:rPr>
            <w:color w:val="0070C0"/>
            <w:u w:val="single"/>
          </w:rPr>
          <w:t>https://www.legislation.act.gov.au/</w:t>
        </w:r>
      </w:hyperlink>
      <w:r w:rsidR="00461868" w:rsidRPr="00227BA2">
        <w:rPr>
          <w:color w:val="0070C0"/>
          <w:u w:val="single"/>
        </w:rPr>
        <w:t xml:space="preserve"> </w:t>
      </w:r>
    </w:p>
    <w:p w14:paraId="2FA3CB51" w14:textId="77777777" w:rsidR="00461868" w:rsidRPr="00227BA2" w:rsidRDefault="00443808" w:rsidP="00227BA2">
      <w:pPr>
        <w:pStyle w:val="ListParagraph"/>
        <w:numPr>
          <w:ilvl w:val="0"/>
          <w:numId w:val="31"/>
        </w:numPr>
        <w:shd w:val="clear" w:color="auto" w:fill="FFFFFF"/>
        <w:spacing w:after="200" w:line="330" w:lineRule="atLeast"/>
        <w:rPr>
          <w:color w:val="0070C0"/>
          <w:u w:val="single"/>
        </w:rPr>
      </w:pPr>
      <w:hyperlink r:id="rId16" w:history="1">
        <w:r w:rsidR="00461868" w:rsidRPr="00227BA2">
          <w:rPr>
            <w:color w:val="0070C0"/>
            <w:u w:val="single"/>
          </w:rPr>
          <w:t>https://www.legislation.tas.gov.au/</w:t>
        </w:r>
      </w:hyperlink>
      <w:r w:rsidR="00461868" w:rsidRPr="00227BA2">
        <w:rPr>
          <w:color w:val="0070C0"/>
          <w:u w:val="single"/>
        </w:rPr>
        <w:t xml:space="preserve"> </w:t>
      </w:r>
    </w:p>
    <w:p w14:paraId="39BBB17A" w14:textId="77777777" w:rsidR="00461868" w:rsidRPr="00227BA2" w:rsidRDefault="00443808" w:rsidP="00227BA2">
      <w:pPr>
        <w:pStyle w:val="ListParagraph"/>
        <w:numPr>
          <w:ilvl w:val="0"/>
          <w:numId w:val="31"/>
        </w:numPr>
        <w:shd w:val="clear" w:color="auto" w:fill="FFFFFF"/>
        <w:spacing w:after="200" w:line="330" w:lineRule="atLeast"/>
        <w:rPr>
          <w:color w:val="0070C0"/>
          <w:u w:val="single"/>
        </w:rPr>
      </w:pPr>
      <w:hyperlink r:id="rId17" w:history="1">
        <w:r w:rsidR="00461868" w:rsidRPr="00227BA2">
          <w:rPr>
            <w:color w:val="0070C0"/>
            <w:u w:val="single"/>
          </w:rPr>
          <w:t>https://www.legislation.sa.gov.au/</w:t>
        </w:r>
      </w:hyperlink>
      <w:r w:rsidR="00461868" w:rsidRPr="00227BA2">
        <w:rPr>
          <w:color w:val="0070C0"/>
          <w:u w:val="single"/>
        </w:rPr>
        <w:t xml:space="preserve"> </w:t>
      </w:r>
    </w:p>
    <w:p w14:paraId="709460FF" w14:textId="77777777" w:rsidR="00461868" w:rsidRPr="00227BA2" w:rsidRDefault="00443808" w:rsidP="00227BA2">
      <w:pPr>
        <w:pStyle w:val="ListParagraph"/>
        <w:numPr>
          <w:ilvl w:val="0"/>
          <w:numId w:val="31"/>
        </w:numPr>
        <w:shd w:val="clear" w:color="auto" w:fill="FFFFFF"/>
        <w:spacing w:after="200" w:line="330" w:lineRule="atLeast"/>
        <w:rPr>
          <w:rFonts w:eastAsiaTheme="minorHAnsi"/>
          <w:color w:val="0070C0"/>
          <w:u w:val="single"/>
        </w:rPr>
      </w:pPr>
      <w:hyperlink r:id="rId18" w:history="1">
        <w:r w:rsidR="00461868" w:rsidRPr="00227BA2">
          <w:rPr>
            <w:color w:val="0070C0"/>
            <w:u w:val="single"/>
          </w:rPr>
          <w:t>https://www.legislation.wa.gov.au/</w:t>
        </w:r>
      </w:hyperlink>
      <w:r w:rsidR="00461868" w:rsidRPr="00227BA2">
        <w:rPr>
          <w:color w:val="0070C0"/>
          <w:u w:val="single"/>
        </w:rPr>
        <w:t xml:space="preserve"> </w:t>
      </w:r>
    </w:p>
    <w:p w14:paraId="77C40AB8" w14:textId="1B10DEC9" w:rsidR="00461868" w:rsidRDefault="004270F8">
      <w:pPr>
        <w:pStyle w:val="EMnumbers"/>
        <w:numPr>
          <w:ilvl w:val="0"/>
          <w:numId w:val="1"/>
        </w:numPr>
        <w:ind w:left="567" w:hanging="567"/>
      </w:pPr>
      <w:r w:rsidRPr="00BB194B">
        <w:t xml:space="preserve">Paragraph 276(3)(d) of the Act provides that the </w:t>
      </w:r>
      <w:r w:rsidR="00D2157A">
        <w:t>p</w:t>
      </w:r>
      <w:r w:rsidR="000F48A1">
        <w:t>rincipal R</w:t>
      </w:r>
      <w:r w:rsidRPr="00BB194B">
        <w:t xml:space="preserve">egulations may apply, </w:t>
      </w:r>
      <w:proofErr w:type="gramStart"/>
      <w:r w:rsidRPr="00BB194B">
        <w:t>adopt</w:t>
      </w:r>
      <w:proofErr w:type="gramEnd"/>
      <w:r w:rsidRPr="00BB194B">
        <w:t xml:space="preserve"> or incorporate any matter contained in any document formulated, issued or published by a person or body whether with or without mo</w:t>
      </w:r>
      <w:r w:rsidRPr="00BB194B">
        <w:rPr>
          <w:shd w:val="clear" w:color="auto" w:fill="FFFFFF"/>
        </w:rPr>
        <w:t>dification, or as in force at a particular time or as in force or remade from time to time.</w:t>
      </w:r>
      <w:r w:rsidRPr="00BB194B">
        <w:t xml:space="preserve"> </w:t>
      </w:r>
      <w:r w:rsidRPr="00BB194B">
        <w:rPr>
          <w:shd w:val="clear" w:color="auto" w:fill="FFFFFF"/>
        </w:rPr>
        <w:t xml:space="preserve">This displaces the presumption under subsection 14(2) of the </w:t>
      </w:r>
      <w:r w:rsidRPr="00BB194B">
        <w:rPr>
          <w:i/>
          <w:iCs/>
          <w:shd w:val="clear" w:color="auto" w:fill="FFFFFF"/>
        </w:rPr>
        <w:t>Legislation Act 2003</w:t>
      </w:r>
      <w:r w:rsidRPr="00BB194B">
        <w:rPr>
          <w:shd w:val="clear" w:color="auto" w:fill="FFFFFF"/>
        </w:rPr>
        <w:t xml:space="preserve"> in relation to documents incorporated from time-to-time.</w:t>
      </w:r>
      <w:r w:rsidRPr="00BB194B">
        <w:t xml:space="preserve"> </w:t>
      </w:r>
    </w:p>
    <w:bookmarkEnd w:id="0"/>
    <w:p w14:paraId="620E57A0" w14:textId="30A4089B" w:rsidR="00FF3AB4" w:rsidRPr="00C37610" w:rsidRDefault="00FF3AB4" w:rsidP="00C37610">
      <w:pPr>
        <w:pStyle w:val="EMnumbers"/>
        <w:spacing w:before="240"/>
        <w:rPr>
          <w:rFonts w:cs="Times New Roman"/>
          <w:b/>
          <w:bCs/>
          <w:i/>
          <w:iCs/>
        </w:rPr>
      </w:pPr>
      <w:r w:rsidRPr="00C37610">
        <w:rPr>
          <w:rFonts w:cs="Times New Roman"/>
          <w:b/>
          <w:bCs/>
          <w:i/>
          <w:iCs/>
        </w:rPr>
        <w:t xml:space="preserve">Items </w:t>
      </w:r>
      <w:r w:rsidR="00FA680C">
        <w:rPr>
          <w:rFonts w:cs="Times New Roman"/>
          <w:b/>
          <w:bCs/>
          <w:i/>
          <w:iCs/>
        </w:rPr>
        <w:t>[</w:t>
      </w:r>
      <w:r w:rsidRPr="00C37610">
        <w:rPr>
          <w:rFonts w:cs="Times New Roman"/>
          <w:b/>
          <w:bCs/>
          <w:i/>
          <w:iCs/>
        </w:rPr>
        <w:t>12</w:t>
      </w:r>
      <w:r w:rsidR="00FA680C">
        <w:rPr>
          <w:rFonts w:cs="Times New Roman"/>
          <w:b/>
          <w:bCs/>
          <w:i/>
          <w:iCs/>
        </w:rPr>
        <w:t>]</w:t>
      </w:r>
      <w:r w:rsidRPr="00C37610">
        <w:rPr>
          <w:rFonts w:cs="Times New Roman"/>
          <w:b/>
          <w:bCs/>
          <w:i/>
          <w:iCs/>
        </w:rPr>
        <w:t xml:space="preserve">, </w:t>
      </w:r>
      <w:r w:rsidR="00FA680C">
        <w:rPr>
          <w:rFonts w:cs="Times New Roman"/>
          <w:b/>
          <w:bCs/>
          <w:i/>
          <w:iCs/>
        </w:rPr>
        <w:t>[</w:t>
      </w:r>
      <w:r w:rsidRPr="00C37610">
        <w:rPr>
          <w:rFonts w:cs="Times New Roman"/>
          <w:b/>
          <w:bCs/>
          <w:i/>
          <w:iCs/>
        </w:rPr>
        <w:t>13</w:t>
      </w:r>
      <w:r w:rsidR="00FA680C">
        <w:rPr>
          <w:rFonts w:cs="Times New Roman"/>
          <w:b/>
          <w:bCs/>
          <w:i/>
          <w:iCs/>
        </w:rPr>
        <w:t>]</w:t>
      </w:r>
      <w:r w:rsidRPr="00C37610">
        <w:rPr>
          <w:rFonts w:cs="Times New Roman"/>
          <w:b/>
          <w:bCs/>
          <w:i/>
          <w:iCs/>
        </w:rPr>
        <w:t xml:space="preserve">, </w:t>
      </w:r>
      <w:r w:rsidR="00FA680C">
        <w:rPr>
          <w:rFonts w:cs="Times New Roman"/>
          <w:b/>
          <w:bCs/>
          <w:i/>
          <w:iCs/>
        </w:rPr>
        <w:t>[</w:t>
      </w:r>
      <w:r w:rsidRPr="00C37610">
        <w:rPr>
          <w:rFonts w:cs="Times New Roman"/>
          <w:b/>
          <w:bCs/>
          <w:i/>
          <w:iCs/>
        </w:rPr>
        <w:t>14</w:t>
      </w:r>
      <w:r w:rsidR="00FA680C">
        <w:rPr>
          <w:rFonts w:cs="Times New Roman"/>
          <w:b/>
          <w:bCs/>
          <w:i/>
          <w:iCs/>
        </w:rPr>
        <w:t>]</w:t>
      </w:r>
      <w:r w:rsidRPr="00C37610">
        <w:rPr>
          <w:rFonts w:cs="Times New Roman"/>
          <w:b/>
          <w:bCs/>
          <w:i/>
          <w:iCs/>
        </w:rPr>
        <w:t>,</w:t>
      </w:r>
      <w:r w:rsidR="0035779A" w:rsidRPr="00C37610">
        <w:rPr>
          <w:rFonts w:cs="Times New Roman"/>
          <w:b/>
          <w:bCs/>
          <w:i/>
          <w:iCs/>
        </w:rPr>
        <w:t xml:space="preserve"> </w:t>
      </w:r>
      <w:r w:rsidR="00FA680C">
        <w:rPr>
          <w:rFonts w:cs="Times New Roman"/>
          <w:b/>
          <w:bCs/>
          <w:i/>
          <w:iCs/>
        </w:rPr>
        <w:t>[</w:t>
      </w:r>
      <w:r w:rsidRPr="00C37610">
        <w:rPr>
          <w:rFonts w:cs="Times New Roman"/>
          <w:b/>
          <w:bCs/>
          <w:i/>
          <w:iCs/>
        </w:rPr>
        <w:t>16</w:t>
      </w:r>
      <w:r w:rsidR="00FA680C">
        <w:rPr>
          <w:rFonts w:cs="Times New Roman"/>
          <w:b/>
          <w:bCs/>
          <w:i/>
          <w:iCs/>
        </w:rPr>
        <w:t>]</w:t>
      </w:r>
      <w:r w:rsidRPr="00C37610">
        <w:rPr>
          <w:rFonts w:cs="Times New Roman"/>
          <w:b/>
          <w:bCs/>
          <w:i/>
          <w:iCs/>
        </w:rPr>
        <w:t xml:space="preserve">, </w:t>
      </w:r>
      <w:r w:rsidR="00FA680C">
        <w:rPr>
          <w:rFonts w:cs="Times New Roman"/>
          <w:b/>
          <w:bCs/>
          <w:i/>
          <w:iCs/>
        </w:rPr>
        <w:t>[</w:t>
      </w:r>
      <w:r w:rsidRPr="00C37610">
        <w:rPr>
          <w:rFonts w:cs="Times New Roman"/>
          <w:b/>
          <w:bCs/>
          <w:i/>
          <w:iCs/>
        </w:rPr>
        <w:t>18</w:t>
      </w:r>
      <w:r w:rsidR="00FA680C">
        <w:rPr>
          <w:rFonts w:cs="Times New Roman"/>
          <w:b/>
          <w:bCs/>
          <w:i/>
          <w:iCs/>
        </w:rPr>
        <w:t>]</w:t>
      </w:r>
      <w:r w:rsidRPr="00C37610">
        <w:rPr>
          <w:rFonts w:cs="Times New Roman"/>
          <w:b/>
          <w:bCs/>
          <w:i/>
          <w:iCs/>
        </w:rPr>
        <w:t xml:space="preserve">, </w:t>
      </w:r>
      <w:r w:rsidR="00FA680C">
        <w:rPr>
          <w:rFonts w:cs="Times New Roman"/>
          <w:b/>
          <w:bCs/>
          <w:i/>
          <w:iCs/>
        </w:rPr>
        <w:t>[</w:t>
      </w:r>
      <w:r w:rsidRPr="00C37610">
        <w:rPr>
          <w:rFonts w:cs="Times New Roman"/>
          <w:b/>
          <w:bCs/>
          <w:i/>
          <w:iCs/>
        </w:rPr>
        <w:t>20</w:t>
      </w:r>
      <w:r w:rsidR="00FA680C">
        <w:rPr>
          <w:rFonts w:cs="Times New Roman"/>
          <w:b/>
          <w:bCs/>
          <w:i/>
          <w:iCs/>
        </w:rPr>
        <w:t>]</w:t>
      </w:r>
      <w:r w:rsidRPr="00C37610">
        <w:rPr>
          <w:rFonts w:cs="Times New Roman"/>
          <w:b/>
          <w:bCs/>
          <w:i/>
          <w:iCs/>
        </w:rPr>
        <w:t xml:space="preserve">, </w:t>
      </w:r>
      <w:r w:rsidR="00FA680C">
        <w:rPr>
          <w:rFonts w:cs="Times New Roman"/>
          <w:b/>
          <w:bCs/>
          <w:i/>
          <w:iCs/>
        </w:rPr>
        <w:t>[</w:t>
      </w:r>
      <w:r w:rsidRPr="00C37610">
        <w:rPr>
          <w:rFonts w:cs="Times New Roman"/>
          <w:b/>
          <w:bCs/>
          <w:i/>
          <w:iCs/>
        </w:rPr>
        <w:t>21</w:t>
      </w:r>
      <w:r w:rsidR="00FA680C">
        <w:rPr>
          <w:rFonts w:cs="Times New Roman"/>
          <w:b/>
          <w:bCs/>
          <w:i/>
          <w:iCs/>
        </w:rPr>
        <w:t>]</w:t>
      </w:r>
      <w:r w:rsidRPr="00C37610">
        <w:rPr>
          <w:rFonts w:cs="Times New Roman"/>
          <w:b/>
          <w:bCs/>
          <w:i/>
          <w:iCs/>
        </w:rPr>
        <w:t xml:space="preserve"> and </w:t>
      </w:r>
      <w:r w:rsidR="00FA680C">
        <w:rPr>
          <w:rFonts w:cs="Times New Roman"/>
          <w:b/>
          <w:bCs/>
          <w:i/>
          <w:iCs/>
        </w:rPr>
        <w:t>[</w:t>
      </w:r>
      <w:r w:rsidRPr="00C37610">
        <w:rPr>
          <w:rFonts w:cs="Times New Roman"/>
          <w:b/>
          <w:bCs/>
          <w:i/>
          <w:iCs/>
        </w:rPr>
        <w:t>22</w:t>
      </w:r>
      <w:r w:rsidR="00FA680C">
        <w:rPr>
          <w:rFonts w:cs="Times New Roman"/>
          <w:b/>
          <w:bCs/>
          <w:i/>
          <w:iCs/>
        </w:rPr>
        <w:t>]</w:t>
      </w:r>
      <w:r w:rsidR="001E02F1" w:rsidRPr="00C37610">
        <w:rPr>
          <w:rFonts w:cs="Times New Roman"/>
          <w:b/>
          <w:bCs/>
          <w:i/>
          <w:iCs/>
        </w:rPr>
        <w:t xml:space="preserve"> </w:t>
      </w:r>
      <w:r w:rsidR="00551541" w:rsidRPr="00C37610">
        <w:rPr>
          <w:rFonts w:cs="Times New Roman"/>
          <w:b/>
          <w:bCs/>
          <w:i/>
          <w:iCs/>
        </w:rPr>
        <w:t xml:space="preserve">- </w:t>
      </w:r>
      <w:r w:rsidR="001E02F1" w:rsidRPr="00C37610">
        <w:rPr>
          <w:rFonts w:cs="Times New Roman"/>
          <w:b/>
          <w:bCs/>
          <w:i/>
          <w:iCs/>
        </w:rPr>
        <w:t>(</w:t>
      </w:r>
      <w:r w:rsidR="006231F9">
        <w:rPr>
          <w:rFonts w:cs="Times New Roman"/>
          <w:b/>
          <w:bCs/>
          <w:i/>
          <w:iCs/>
        </w:rPr>
        <w:t>t</w:t>
      </w:r>
      <w:r w:rsidR="001E02F1" w:rsidRPr="00C37610">
        <w:rPr>
          <w:rFonts w:cs="Times New Roman"/>
          <w:b/>
          <w:bCs/>
          <w:i/>
          <w:iCs/>
        </w:rPr>
        <w:t xml:space="preserve">able items </w:t>
      </w:r>
      <w:r w:rsidR="001E02F1" w:rsidRPr="00C37610">
        <w:rPr>
          <w:b/>
          <w:bCs/>
          <w:i/>
          <w:iCs/>
        </w:rPr>
        <w:t>4,</w:t>
      </w:r>
      <w:r w:rsidR="00382E5E">
        <w:rPr>
          <w:b/>
          <w:bCs/>
          <w:i/>
          <w:iCs/>
        </w:rPr>
        <w:t xml:space="preserve"> </w:t>
      </w:r>
      <w:r w:rsidR="001E02F1" w:rsidRPr="00C37610">
        <w:rPr>
          <w:b/>
          <w:bCs/>
          <w:i/>
          <w:iCs/>
        </w:rPr>
        <w:t>10, 14, 20, 24, 28, 32 and 36)</w:t>
      </w:r>
    </w:p>
    <w:p w14:paraId="0A7D5708" w14:textId="6B9FFFD3" w:rsidR="00FF3AB4" w:rsidRPr="00BB194B" w:rsidRDefault="00FF3AB4" w:rsidP="00FF3AB4">
      <w:pPr>
        <w:pStyle w:val="EMnumbers"/>
        <w:numPr>
          <w:ilvl w:val="0"/>
          <w:numId w:val="1"/>
        </w:numPr>
        <w:ind w:left="567" w:hanging="567"/>
      </w:pPr>
      <w:r w:rsidRPr="00BB194B">
        <w:t>Item</w:t>
      </w:r>
      <w:r>
        <w:t>s</w:t>
      </w:r>
      <w:r w:rsidRPr="00BB194B">
        <w:t xml:space="preserve"> </w:t>
      </w:r>
      <w:r>
        <w:t xml:space="preserve">12, 13, 14, 16, 18, 20, 21 and 22 </w:t>
      </w:r>
      <w:r w:rsidRPr="00BB194B">
        <w:t xml:space="preserve">amend the </w:t>
      </w:r>
      <w:r>
        <w:t xml:space="preserve">list </w:t>
      </w:r>
      <w:r w:rsidRPr="00BB194B">
        <w:t>of</w:t>
      </w:r>
      <w:r>
        <w:t xml:space="preserve"> prescribed</w:t>
      </w:r>
      <w:r w:rsidRPr="00BB194B">
        <w:t xml:space="preserve"> ‘corresponding WHS law</w:t>
      </w:r>
      <w:r>
        <w:t>s</w:t>
      </w:r>
      <w:r w:rsidRPr="00BB194B">
        <w:t>’ to remove</w:t>
      </w:r>
      <w:r>
        <w:t xml:space="preserve"> table</w:t>
      </w:r>
      <w:r w:rsidRPr="00BB194B">
        <w:t xml:space="preserve"> items 4,</w:t>
      </w:r>
      <w:r w:rsidR="00382E5E">
        <w:t xml:space="preserve"> </w:t>
      </w:r>
      <w:r w:rsidRPr="00BB194B">
        <w:t>10, 14, 20, 24, 28, 32 and 36. These items refer to ‘any other law relating to occupational health and safety matters’</w:t>
      </w:r>
      <w:r w:rsidR="00A66931">
        <w:t xml:space="preserve"> in relation to each jurisdiction</w:t>
      </w:r>
      <w:r w:rsidRPr="00BB194B">
        <w:t xml:space="preserve">. </w:t>
      </w:r>
    </w:p>
    <w:p w14:paraId="3297F421" w14:textId="675B1118" w:rsidR="00FF3AB4" w:rsidRPr="00C215E2" w:rsidRDefault="00FF3AB4" w:rsidP="00C215E2">
      <w:pPr>
        <w:pStyle w:val="EMnumbers"/>
        <w:numPr>
          <w:ilvl w:val="0"/>
          <w:numId w:val="1"/>
        </w:numPr>
        <w:ind w:left="567" w:hanging="567"/>
        <w:rPr>
          <w:rFonts w:cs="Times New Roman"/>
        </w:rPr>
      </w:pPr>
      <w:r w:rsidRPr="00691850">
        <w:rPr>
          <w:rFonts w:cs="Times New Roman"/>
        </w:rPr>
        <w:t>The purpose of th</w:t>
      </w:r>
      <w:r w:rsidR="00A66931">
        <w:rPr>
          <w:rFonts w:cs="Times New Roman"/>
        </w:rPr>
        <w:t>ese</w:t>
      </w:r>
      <w:r w:rsidRPr="00691850">
        <w:rPr>
          <w:rFonts w:cs="Times New Roman"/>
        </w:rPr>
        <w:t xml:space="preserve"> amendment</w:t>
      </w:r>
      <w:r w:rsidR="004F7D0E">
        <w:rPr>
          <w:rFonts w:cs="Times New Roman"/>
        </w:rPr>
        <w:t>s</w:t>
      </w:r>
      <w:r w:rsidRPr="00691850">
        <w:rPr>
          <w:rFonts w:cs="Times New Roman"/>
        </w:rPr>
        <w:t xml:space="preserve"> is to clarify that only laws expressly listed in regulation 6A are ‘corresponding WHS laws’ for the purposes of the Act and </w:t>
      </w:r>
      <w:r w:rsidR="00D2157A">
        <w:rPr>
          <w:rFonts w:cs="Times New Roman"/>
        </w:rPr>
        <w:t>p</w:t>
      </w:r>
      <w:r w:rsidR="000F48A1">
        <w:rPr>
          <w:rFonts w:cs="Times New Roman"/>
        </w:rPr>
        <w:t xml:space="preserve">rincipal </w:t>
      </w:r>
      <w:r w:rsidRPr="00691850">
        <w:rPr>
          <w:rFonts w:cs="Times New Roman"/>
        </w:rPr>
        <w:t xml:space="preserve">Regulations. The prescription of ‘any other law relating to occupational health and safety matters’ is no longer necessary now that </w:t>
      </w:r>
      <w:r>
        <w:rPr>
          <w:rFonts w:cs="Times New Roman"/>
        </w:rPr>
        <w:t xml:space="preserve">most jurisdictions have passed laws aligning to the model </w:t>
      </w:r>
      <w:r w:rsidR="00C15E7F">
        <w:rPr>
          <w:rFonts w:cs="Times New Roman"/>
        </w:rPr>
        <w:t>W</w:t>
      </w:r>
      <w:r>
        <w:rPr>
          <w:rFonts w:cs="Times New Roman"/>
        </w:rPr>
        <w:t xml:space="preserve">ork </w:t>
      </w:r>
      <w:r w:rsidR="00C15E7F">
        <w:rPr>
          <w:rFonts w:cs="Times New Roman"/>
        </w:rPr>
        <w:t>H</w:t>
      </w:r>
      <w:r>
        <w:rPr>
          <w:rFonts w:cs="Times New Roman"/>
        </w:rPr>
        <w:t xml:space="preserve">ealth and </w:t>
      </w:r>
      <w:r w:rsidR="00E520C7">
        <w:rPr>
          <w:rFonts w:cs="Times New Roman"/>
        </w:rPr>
        <w:t>S</w:t>
      </w:r>
      <w:r>
        <w:rPr>
          <w:rFonts w:cs="Times New Roman"/>
        </w:rPr>
        <w:t>afety laws</w:t>
      </w:r>
      <w:r w:rsidRPr="00691850">
        <w:rPr>
          <w:rFonts w:cs="Times New Roman"/>
        </w:rPr>
        <w:t xml:space="preserve"> and the titles of acts are known. It is important that duty holders and regulators have certainty that industry work health and safety laws apply to the Commonwealth, public </w:t>
      </w:r>
      <w:proofErr w:type="gramStart"/>
      <w:r w:rsidRPr="00691850">
        <w:rPr>
          <w:rFonts w:cs="Times New Roman"/>
        </w:rPr>
        <w:t>authorities</w:t>
      </w:r>
      <w:proofErr w:type="gramEnd"/>
      <w:r w:rsidRPr="00691850">
        <w:rPr>
          <w:rFonts w:cs="Times New Roman"/>
        </w:rPr>
        <w:t xml:space="preserve"> and non-Commonwealth licensees.</w:t>
      </w:r>
    </w:p>
    <w:p w14:paraId="7F97B1F6" w14:textId="4162DED4" w:rsidR="00574A4D" w:rsidRPr="00C37610" w:rsidRDefault="00574A4D" w:rsidP="00227BA2">
      <w:pPr>
        <w:pStyle w:val="EMnumbers"/>
        <w:rPr>
          <w:rFonts w:cs="Times New Roman"/>
          <w:b/>
          <w:bCs/>
          <w:i/>
          <w:iCs/>
        </w:rPr>
      </w:pPr>
      <w:r w:rsidRPr="00C37610">
        <w:rPr>
          <w:rFonts w:cs="Times New Roman"/>
          <w:b/>
          <w:bCs/>
          <w:i/>
          <w:iCs/>
        </w:rPr>
        <w:t xml:space="preserve">Item </w:t>
      </w:r>
      <w:r w:rsidR="00FA680C">
        <w:rPr>
          <w:rFonts w:cs="Times New Roman"/>
          <w:b/>
          <w:bCs/>
          <w:i/>
          <w:iCs/>
        </w:rPr>
        <w:t>[</w:t>
      </w:r>
      <w:r w:rsidRPr="00C37610">
        <w:rPr>
          <w:rFonts w:cs="Times New Roman"/>
          <w:b/>
          <w:bCs/>
          <w:i/>
          <w:iCs/>
        </w:rPr>
        <w:t>14</w:t>
      </w:r>
      <w:r w:rsidR="00FA680C">
        <w:rPr>
          <w:rFonts w:cs="Times New Roman"/>
          <w:b/>
          <w:bCs/>
          <w:i/>
          <w:iCs/>
        </w:rPr>
        <w:t>]</w:t>
      </w:r>
      <w:r w:rsidRPr="00C37610">
        <w:rPr>
          <w:rFonts w:cs="Times New Roman"/>
          <w:b/>
          <w:bCs/>
          <w:i/>
          <w:iCs/>
        </w:rPr>
        <w:t xml:space="preserve"> – (</w:t>
      </w:r>
      <w:r w:rsidR="00E31121">
        <w:rPr>
          <w:rFonts w:cs="Times New Roman"/>
          <w:b/>
          <w:bCs/>
          <w:i/>
          <w:iCs/>
        </w:rPr>
        <w:t>t</w:t>
      </w:r>
      <w:r w:rsidRPr="00C37610">
        <w:rPr>
          <w:rFonts w:cs="Times New Roman"/>
          <w:b/>
          <w:bCs/>
          <w:i/>
          <w:iCs/>
        </w:rPr>
        <w:t xml:space="preserve">able item </w:t>
      </w:r>
      <w:r w:rsidR="00BD79E9" w:rsidRPr="00C37610">
        <w:rPr>
          <w:rFonts w:cs="Times New Roman"/>
          <w:b/>
          <w:bCs/>
          <w:i/>
          <w:iCs/>
        </w:rPr>
        <w:t>5</w:t>
      </w:r>
      <w:r w:rsidRPr="00C37610">
        <w:rPr>
          <w:rFonts w:cs="Times New Roman"/>
          <w:b/>
          <w:bCs/>
          <w:i/>
          <w:iCs/>
        </w:rPr>
        <w:t>)</w:t>
      </w:r>
    </w:p>
    <w:p w14:paraId="28325E9B" w14:textId="1A01FDED" w:rsidR="00574A4D" w:rsidRDefault="00574A4D" w:rsidP="00227BA2">
      <w:pPr>
        <w:pStyle w:val="EMnumbers"/>
        <w:numPr>
          <w:ilvl w:val="0"/>
          <w:numId w:val="1"/>
        </w:numPr>
        <w:ind w:left="567" w:hanging="567"/>
        <w:rPr>
          <w:rFonts w:cs="Times New Roman"/>
        </w:rPr>
      </w:pPr>
      <w:r>
        <w:rPr>
          <w:rFonts w:cs="Times New Roman"/>
        </w:rPr>
        <w:t>Item 14 remove</w:t>
      </w:r>
      <w:r w:rsidR="00CC32B5">
        <w:rPr>
          <w:rFonts w:cs="Times New Roman"/>
        </w:rPr>
        <w:t>s</w:t>
      </w:r>
      <w:r>
        <w:rPr>
          <w:rFonts w:cs="Times New Roman"/>
        </w:rPr>
        <w:t xml:space="preserve"> a reference to the “</w:t>
      </w:r>
      <w:r w:rsidRPr="00C37610">
        <w:rPr>
          <w:rFonts w:cs="Times New Roman"/>
          <w:i/>
          <w:iCs/>
        </w:rPr>
        <w:t>Work Health and Safety Act 2011</w:t>
      </w:r>
      <w:r>
        <w:rPr>
          <w:rFonts w:cs="Times New Roman"/>
        </w:rPr>
        <w:t xml:space="preserve">” in Victoria. This item was </w:t>
      </w:r>
      <w:r w:rsidR="00FA680C">
        <w:rPr>
          <w:rFonts w:cs="Times New Roman"/>
        </w:rPr>
        <w:t>drafted</w:t>
      </w:r>
      <w:r w:rsidR="0063142E">
        <w:rPr>
          <w:rFonts w:cs="Times New Roman"/>
        </w:rPr>
        <w:t xml:space="preserve"> </w:t>
      </w:r>
      <w:r>
        <w:rPr>
          <w:rFonts w:cs="Times New Roman"/>
        </w:rPr>
        <w:t xml:space="preserve">on the basis that all jurisdictions would adopt the model </w:t>
      </w:r>
      <w:r w:rsidR="00200CA4">
        <w:rPr>
          <w:rFonts w:cs="Times New Roman"/>
        </w:rPr>
        <w:t>W</w:t>
      </w:r>
      <w:r>
        <w:rPr>
          <w:rFonts w:cs="Times New Roman"/>
        </w:rPr>
        <w:t xml:space="preserve">ork </w:t>
      </w:r>
      <w:r w:rsidR="00200CA4">
        <w:rPr>
          <w:rFonts w:cs="Times New Roman"/>
        </w:rPr>
        <w:t>H</w:t>
      </w:r>
      <w:r>
        <w:rPr>
          <w:rFonts w:cs="Times New Roman"/>
        </w:rPr>
        <w:t xml:space="preserve">ealth and </w:t>
      </w:r>
      <w:r w:rsidR="00200CA4">
        <w:rPr>
          <w:rFonts w:cs="Times New Roman"/>
        </w:rPr>
        <w:t>S</w:t>
      </w:r>
      <w:r>
        <w:rPr>
          <w:rFonts w:cs="Times New Roman"/>
        </w:rPr>
        <w:t xml:space="preserve">afety laws and have a </w:t>
      </w:r>
      <w:r w:rsidR="00E53405">
        <w:rPr>
          <w:rFonts w:cs="Times New Roman"/>
        </w:rPr>
        <w:t>‘</w:t>
      </w:r>
      <w:r>
        <w:rPr>
          <w:rFonts w:cs="Times New Roman"/>
        </w:rPr>
        <w:t>work health and safety act</w:t>
      </w:r>
      <w:r w:rsidR="00E53405">
        <w:rPr>
          <w:rFonts w:cs="Times New Roman"/>
        </w:rPr>
        <w:t>’</w:t>
      </w:r>
      <w:r>
        <w:rPr>
          <w:rFonts w:cs="Times New Roman"/>
        </w:rPr>
        <w:t xml:space="preserve"> in place. </w:t>
      </w:r>
      <w:r w:rsidR="00FA680C">
        <w:rPr>
          <w:rFonts w:cs="Times New Roman"/>
        </w:rPr>
        <w:t xml:space="preserve">Since 2011, </w:t>
      </w:r>
      <w:r>
        <w:rPr>
          <w:rFonts w:cs="Times New Roman"/>
        </w:rPr>
        <w:t>Victoria has not adopted the model work health and safety laws</w:t>
      </w:r>
      <w:r w:rsidR="00FA680C">
        <w:rPr>
          <w:rFonts w:cs="Times New Roman"/>
        </w:rPr>
        <w:t xml:space="preserve"> </w:t>
      </w:r>
      <w:r w:rsidR="00FA680C" w:rsidRPr="00FF5C89">
        <w:rPr>
          <w:rFonts w:cs="Times New Roman"/>
        </w:rPr>
        <w:t>and have communicated no intention to do so in the future.</w:t>
      </w:r>
      <w:r w:rsidR="00FA680C">
        <w:rPr>
          <w:rFonts w:cs="Times New Roman"/>
        </w:rPr>
        <w:t xml:space="preserve"> </w:t>
      </w:r>
      <w:proofErr w:type="gramStart"/>
      <w:r w:rsidR="00FA680C">
        <w:rPr>
          <w:rFonts w:cs="Times New Roman"/>
        </w:rPr>
        <w:t>Therefore</w:t>
      </w:r>
      <w:proofErr w:type="gramEnd"/>
      <w:r w:rsidR="00FA680C">
        <w:rPr>
          <w:rFonts w:cs="Times New Roman"/>
        </w:rPr>
        <w:t xml:space="preserve"> this</w:t>
      </w:r>
      <w:r>
        <w:rPr>
          <w:rFonts w:cs="Times New Roman"/>
        </w:rPr>
        <w:t xml:space="preserve"> table item is no longer necessary. </w:t>
      </w:r>
    </w:p>
    <w:p w14:paraId="1B5C913D" w14:textId="0D919770" w:rsidR="00574A4D" w:rsidRPr="00C37610" w:rsidRDefault="00574A4D" w:rsidP="00227BA2">
      <w:pPr>
        <w:pStyle w:val="EMnumbers"/>
        <w:rPr>
          <w:rFonts w:cs="Times New Roman"/>
          <w:i/>
          <w:iCs/>
        </w:rPr>
      </w:pPr>
      <w:r w:rsidRPr="00C37610">
        <w:rPr>
          <w:rFonts w:cs="Times New Roman"/>
          <w:b/>
          <w:bCs/>
          <w:i/>
          <w:iCs/>
        </w:rPr>
        <w:t xml:space="preserve">Item </w:t>
      </w:r>
      <w:r w:rsidR="00FA680C">
        <w:rPr>
          <w:rFonts w:cs="Times New Roman"/>
          <w:b/>
          <w:bCs/>
          <w:i/>
          <w:iCs/>
        </w:rPr>
        <w:t>[</w:t>
      </w:r>
      <w:r w:rsidRPr="00C37610">
        <w:rPr>
          <w:rFonts w:cs="Times New Roman"/>
          <w:b/>
          <w:bCs/>
          <w:i/>
          <w:iCs/>
        </w:rPr>
        <w:t>15</w:t>
      </w:r>
      <w:r w:rsidR="00FA680C">
        <w:rPr>
          <w:rFonts w:cs="Times New Roman"/>
          <w:b/>
          <w:bCs/>
          <w:i/>
          <w:iCs/>
        </w:rPr>
        <w:t>]</w:t>
      </w:r>
      <w:r w:rsidRPr="00C37610">
        <w:rPr>
          <w:rFonts w:cs="Times New Roman"/>
          <w:b/>
          <w:bCs/>
          <w:i/>
          <w:iCs/>
        </w:rPr>
        <w:t xml:space="preserve"> – (</w:t>
      </w:r>
      <w:r w:rsidR="00E31121">
        <w:rPr>
          <w:rFonts w:cs="Times New Roman"/>
          <w:b/>
          <w:bCs/>
          <w:i/>
          <w:iCs/>
        </w:rPr>
        <w:t>t</w:t>
      </w:r>
      <w:r w:rsidRPr="00C37610">
        <w:rPr>
          <w:rFonts w:cs="Times New Roman"/>
          <w:b/>
          <w:bCs/>
          <w:i/>
          <w:iCs/>
        </w:rPr>
        <w:t>able item 15)</w:t>
      </w:r>
      <w:r w:rsidRPr="00C37610">
        <w:rPr>
          <w:rFonts w:cs="Times New Roman"/>
          <w:i/>
          <w:iCs/>
        </w:rPr>
        <w:t xml:space="preserve"> </w:t>
      </w:r>
    </w:p>
    <w:p w14:paraId="493CA382" w14:textId="5977376D" w:rsidR="00574A4D" w:rsidRPr="00691850" w:rsidRDefault="00574A4D" w:rsidP="00227BA2">
      <w:pPr>
        <w:pStyle w:val="EMnumbers"/>
        <w:numPr>
          <w:ilvl w:val="0"/>
          <w:numId w:val="1"/>
        </w:numPr>
        <w:ind w:left="567" w:hanging="567"/>
        <w:rPr>
          <w:rFonts w:cs="Times New Roman"/>
        </w:rPr>
      </w:pPr>
      <w:r w:rsidRPr="00691850">
        <w:rPr>
          <w:rFonts w:cs="Times New Roman"/>
        </w:rPr>
        <w:t>Item 1</w:t>
      </w:r>
      <w:r w:rsidR="00A535A1">
        <w:rPr>
          <w:rFonts w:cs="Times New Roman"/>
        </w:rPr>
        <w:t>5</w:t>
      </w:r>
      <w:r w:rsidRPr="00691850">
        <w:rPr>
          <w:rFonts w:cs="Times New Roman"/>
        </w:rPr>
        <w:t xml:space="preserve"> replace</w:t>
      </w:r>
      <w:r w:rsidR="00CC32B5">
        <w:rPr>
          <w:rFonts w:cs="Times New Roman"/>
        </w:rPr>
        <w:t>s</w:t>
      </w:r>
      <w:r w:rsidRPr="00691850">
        <w:rPr>
          <w:rFonts w:cs="Times New Roman"/>
        </w:rPr>
        <w:t xml:space="preserve"> references to the “</w:t>
      </w:r>
      <w:r w:rsidRPr="00C37610">
        <w:rPr>
          <w:rFonts w:cs="Times New Roman"/>
          <w:i/>
          <w:iCs/>
        </w:rPr>
        <w:t>Work Health and Safety Act 2011</w:t>
      </w:r>
      <w:r w:rsidRPr="00691850">
        <w:rPr>
          <w:rFonts w:cs="Times New Roman"/>
        </w:rPr>
        <w:t xml:space="preserve">” with a reference to the </w:t>
      </w:r>
      <w:r w:rsidRPr="00691850">
        <w:rPr>
          <w:rFonts w:cs="Times New Roman"/>
          <w:i/>
          <w:iCs/>
        </w:rPr>
        <w:t>Work Health and Safety Act 2020</w:t>
      </w:r>
      <w:r w:rsidRPr="00691850">
        <w:rPr>
          <w:rFonts w:cs="Times New Roman"/>
        </w:rPr>
        <w:t xml:space="preserve">. This updates the list for Western Australia, </w:t>
      </w:r>
      <w:r w:rsidRPr="00691850">
        <w:rPr>
          <w:rFonts w:cs="Times New Roman"/>
        </w:rPr>
        <w:lastRenderedPageBreak/>
        <w:t xml:space="preserve">reflecting that there never was a 2011 </w:t>
      </w:r>
      <w:r w:rsidR="00FA680C">
        <w:rPr>
          <w:rFonts w:cs="Times New Roman"/>
        </w:rPr>
        <w:t>a</w:t>
      </w:r>
      <w:r w:rsidRPr="00691850">
        <w:rPr>
          <w:rFonts w:cs="Times New Roman"/>
        </w:rPr>
        <w:t xml:space="preserve">ct and Western Australia aligned with the model in 2020. A similar amendment is included in the </w:t>
      </w:r>
      <w:r w:rsidRPr="00691850">
        <w:rPr>
          <w:rFonts w:cs="Times New Roman"/>
          <w:i/>
          <w:iCs/>
        </w:rPr>
        <w:t>Work Health and Safety Amendment Bill 2022</w:t>
      </w:r>
      <w:r w:rsidRPr="00691850">
        <w:rPr>
          <w:rFonts w:cs="Times New Roman"/>
        </w:rPr>
        <w:t xml:space="preserve"> however</w:t>
      </w:r>
      <w:r w:rsidR="003E680F">
        <w:rPr>
          <w:rFonts w:cs="Times New Roman"/>
        </w:rPr>
        <w:t xml:space="preserve"> the commencement of that legislation and the Amendment Regulations is not aligned.</w:t>
      </w:r>
      <w:r w:rsidRPr="00691850">
        <w:rPr>
          <w:rFonts w:cs="Times New Roman"/>
        </w:rPr>
        <w:t xml:space="preserve"> </w:t>
      </w:r>
      <w:r w:rsidR="003E680F">
        <w:rPr>
          <w:rFonts w:cs="Times New Roman"/>
        </w:rPr>
        <w:t>I</w:t>
      </w:r>
      <w:r w:rsidR="006B2A56">
        <w:rPr>
          <w:rFonts w:cs="Times New Roman"/>
        </w:rPr>
        <w:t>t is important that all relevant la</w:t>
      </w:r>
      <w:r w:rsidR="003E680F">
        <w:rPr>
          <w:rFonts w:cs="Times New Roman"/>
        </w:rPr>
        <w:t>w</w:t>
      </w:r>
      <w:r w:rsidR="006B2A56">
        <w:rPr>
          <w:rFonts w:cs="Times New Roman"/>
        </w:rPr>
        <w:t xml:space="preserve">s are listed because </w:t>
      </w:r>
      <w:r w:rsidRPr="00691850">
        <w:rPr>
          <w:rFonts w:cs="Times New Roman"/>
        </w:rPr>
        <w:t>Item</w:t>
      </w:r>
      <w:r w:rsidR="0030486A">
        <w:rPr>
          <w:rFonts w:cs="Times New Roman"/>
        </w:rPr>
        <w:t> </w:t>
      </w:r>
      <w:r w:rsidRPr="00691850">
        <w:rPr>
          <w:rFonts w:cs="Times New Roman"/>
        </w:rPr>
        <w:t>15 clarif</w:t>
      </w:r>
      <w:r w:rsidR="00534160">
        <w:rPr>
          <w:rFonts w:cs="Times New Roman"/>
        </w:rPr>
        <w:t xml:space="preserve">ies </w:t>
      </w:r>
      <w:r w:rsidRPr="00691850">
        <w:rPr>
          <w:rFonts w:cs="Times New Roman"/>
        </w:rPr>
        <w:t xml:space="preserve">that only the Western Australian laws listed are </w:t>
      </w:r>
      <w:r w:rsidR="00990287">
        <w:rPr>
          <w:rFonts w:cs="Times New Roman"/>
        </w:rPr>
        <w:t>‘</w:t>
      </w:r>
      <w:r w:rsidRPr="00691850">
        <w:rPr>
          <w:rFonts w:cs="Times New Roman"/>
        </w:rPr>
        <w:t xml:space="preserve">corresponding WHS </w:t>
      </w:r>
      <w:proofErr w:type="gramStart"/>
      <w:r w:rsidRPr="00691850">
        <w:rPr>
          <w:rFonts w:cs="Times New Roman"/>
        </w:rPr>
        <w:t>laws</w:t>
      </w:r>
      <w:r w:rsidR="00990287">
        <w:rPr>
          <w:rFonts w:cs="Times New Roman"/>
        </w:rPr>
        <w:t>’</w:t>
      </w:r>
      <w:proofErr w:type="gramEnd"/>
      <w:r w:rsidRPr="00691850">
        <w:rPr>
          <w:rFonts w:cs="Times New Roman"/>
        </w:rPr>
        <w:t>.</w:t>
      </w:r>
    </w:p>
    <w:p w14:paraId="6A7C19B5" w14:textId="2077A964" w:rsidR="004B357F" w:rsidRPr="00C37610" w:rsidRDefault="00574A4D" w:rsidP="00227BA2">
      <w:pPr>
        <w:pStyle w:val="EMnumbers"/>
        <w:rPr>
          <w:rFonts w:cs="Times New Roman"/>
          <w:b/>
          <w:bCs/>
          <w:i/>
          <w:iCs/>
        </w:rPr>
      </w:pPr>
      <w:r w:rsidRPr="00C37610">
        <w:rPr>
          <w:rFonts w:cs="Times New Roman"/>
          <w:b/>
          <w:bCs/>
          <w:i/>
          <w:iCs/>
        </w:rPr>
        <w:t xml:space="preserve">Item </w:t>
      </w:r>
      <w:r w:rsidR="00FA680C">
        <w:rPr>
          <w:rFonts w:cs="Times New Roman"/>
          <w:b/>
          <w:bCs/>
          <w:i/>
          <w:iCs/>
        </w:rPr>
        <w:t>[</w:t>
      </w:r>
      <w:r w:rsidRPr="00C37610">
        <w:rPr>
          <w:rFonts w:cs="Times New Roman"/>
          <w:b/>
          <w:bCs/>
          <w:i/>
          <w:iCs/>
        </w:rPr>
        <w:t>17</w:t>
      </w:r>
      <w:r w:rsidR="00FA680C">
        <w:rPr>
          <w:rFonts w:cs="Times New Roman"/>
          <w:b/>
          <w:bCs/>
          <w:i/>
          <w:iCs/>
        </w:rPr>
        <w:t>]</w:t>
      </w:r>
      <w:r w:rsidRPr="00C37610">
        <w:rPr>
          <w:rFonts w:cs="Times New Roman"/>
          <w:b/>
          <w:bCs/>
          <w:i/>
          <w:iCs/>
        </w:rPr>
        <w:t xml:space="preserve"> – (</w:t>
      </w:r>
      <w:r w:rsidR="00E31121">
        <w:rPr>
          <w:rFonts w:cs="Times New Roman"/>
          <w:b/>
          <w:bCs/>
          <w:i/>
          <w:iCs/>
        </w:rPr>
        <w:t>t</w:t>
      </w:r>
      <w:r w:rsidRPr="00C37610">
        <w:rPr>
          <w:rFonts w:cs="Times New Roman"/>
          <w:b/>
          <w:bCs/>
          <w:i/>
          <w:iCs/>
        </w:rPr>
        <w:t>able item 21)</w:t>
      </w:r>
      <w:r w:rsidRPr="00C37610">
        <w:rPr>
          <w:rFonts w:cs="Times New Roman"/>
          <w:i/>
          <w:iCs/>
        </w:rPr>
        <w:t xml:space="preserve"> </w:t>
      </w:r>
    </w:p>
    <w:p w14:paraId="223472CF" w14:textId="7FBE740B" w:rsidR="00574A4D" w:rsidRPr="00C37610" w:rsidRDefault="00574A4D" w:rsidP="00227BA2">
      <w:pPr>
        <w:pStyle w:val="EMnumbers"/>
        <w:rPr>
          <w:rFonts w:cs="Times New Roman"/>
          <w:i/>
          <w:iCs/>
        </w:rPr>
      </w:pPr>
      <w:r w:rsidRPr="00C37610">
        <w:rPr>
          <w:rFonts w:cs="Times New Roman"/>
          <w:b/>
          <w:bCs/>
          <w:i/>
          <w:iCs/>
        </w:rPr>
        <w:t xml:space="preserve">Item </w:t>
      </w:r>
      <w:r w:rsidR="00FA680C">
        <w:rPr>
          <w:rFonts w:cs="Times New Roman"/>
          <w:b/>
          <w:bCs/>
          <w:i/>
          <w:iCs/>
        </w:rPr>
        <w:t>[</w:t>
      </w:r>
      <w:r w:rsidRPr="00C37610">
        <w:rPr>
          <w:rFonts w:cs="Times New Roman"/>
          <w:b/>
          <w:bCs/>
          <w:i/>
          <w:iCs/>
        </w:rPr>
        <w:t>19</w:t>
      </w:r>
      <w:r w:rsidR="00FA680C">
        <w:rPr>
          <w:rFonts w:cs="Times New Roman"/>
          <w:b/>
          <w:bCs/>
          <w:i/>
          <w:iCs/>
        </w:rPr>
        <w:t>]</w:t>
      </w:r>
      <w:r w:rsidRPr="00C37610">
        <w:rPr>
          <w:rFonts w:cs="Times New Roman"/>
          <w:b/>
          <w:bCs/>
          <w:i/>
          <w:iCs/>
        </w:rPr>
        <w:t xml:space="preserve"> – (</w:t>
      </w:r>
      <w:r w:rsidR="00E31121">
        <w:rPr>
          <w:rFonts w:cs="Times New Roman"/>
          <w:b/>
          <w:bCs/>
          <w:i/>
          <w:iCs/>
        </w:rPr>
        <w:t>t</w:t>
      </w:r>
      <w:r w:rsidRPr="00C37610">
        <w:rPr>
          <w:rFonts w:cs="Times New Roman"/>
          <w:b/>
          <w:bCs/>
          <w:i/>
          <w:iCs/>
        </w:rPr>
        <w:t>able item 25)</w:t>
      </w:r>
      <w:r w:rsidRPr="00C37610">
        <w:rPr>
          <w:rFonts w:cs="Times New Roman"/>
          <w:i/>
          <w:iCs/>
        </w:rPr>
        <w:t xml:space="preserve"> </w:t>
      </w:r>
    </w:p>
    <w:p w14:paraId="27CBF2FF" w14:textId="7A0B8B8B" w:rsidR="002E0D30" w:rsidRPr="00603E6A" w:rsidRDefault="00574A4D" w:rsidP="00227BA2">
      <w:pPr>
        <w:pStyle w:val="EMnumbers"/>
        <w:numPr>
          <w:ilvl w:val="0"/>
          <w:numId w:val="1"/>
        </w:numPr>
        <w:ind w:left="567" w:hanging="567"/>
        <w:rPr>
          <w:b/>
          <w:bCs/>
        </w:rPr>
      </w:pPr>
      <w:r w:rsidRPr="00691850">
        <w:rPr>
          <w:rFonts w:cs="Times New Roman"/>
        </w:rPr>
        <w:t>Items 1</w:t>
      </w:r>
      <w:r w:rsidR="003F0BC5">
        <w:rPr>
          <w:rFonts w:cs="Times New Roman"/>
        </w:rPr>
        <w:t>7</w:t>
      </w:r>
      <w:r w:rsidRPr="00691850">
        <w:rPr>
          <w:rFonts w:cs="Times New Roman"/>
        </w:rPr>
        <w:t xml:space="preserve"> and 1</w:t>
      </w:r>
      <w:r w:rsidR="003F0BC5">
        <w:rPr>
          <w:rFonts w:cs="Times New Roman"/>
        </w:rPr>
        <w:t>9</w:t>
      </w:r>
      <w:r w:rsidRPr="00691850">
        <w:rPr>
          <w:rFonts w:cs="Times New Roman"/>
        </w:rPr>
        <w:t xml:space="preserve"> correct the references to the South Australian and Tasmanian work health and safety acts. The Acts commenced in 2012 and not 2011 as currently listed.</w:t>
      </w:r>
    </w:p>
    <w:p w14:paraId="74C6EF50" w14:textId="64FFE5FA" w:rsidR="009E6FB1" w:rsidRDefault="009E6FB1" w:rsidP="00C37610">
      <w:pPr>
        <w:pStyle w:val="EMnumbers"/>
        <w:rPr>
          <w:rFonts w:cs="Times New Roman"/>
          <w:b/>
          <w:bCs/>
        </w:rPr>
      </w:pPr>
      <w:r>
        <w:rPr>
          <w:rFonts w:cs="Times New Roman"/>
          <w:b/>
          <w:bCs/>
        </w:rPr>
        <w:t>Item [23] – Regulation 6C (table items 7 and 8</w:t>
      </w:r>
      <w:r w:rsidR="00FA680C">
        <w:rPr>
          <w:rFonts w:cs="Times New Roman"/>
          <w:b/>
          <w:bCs/>
        </w:rPr>
        <w:t>)</w:t>
      </w:r>
    </w:p>
    <w:p w14:paraId="0ED7C8DA" w14:textId="77777777" w:rsidR="009E6FB1" w:rsidRDefault="009E6FB1" w:rsidP="00C37610">
      <w:pPr>
        <w:pStyle w:val="EMnumbers"/>
        <w:rPr>
          <w:rFonts w:cs="Times New Roman"/>
          <w:b/>
          <w:bCs/>
        </w:rPr>
      </w:pPr>
      <w:r>
        <w:rPr>
          <w:rFonts w:cs="Times New Roman"/>
          <w:b/>
          <w:bCs/>
        </w:rPr>
        <w:t>Item [24] – Regulation 6C (table items 11 to 13)</w:t>
      </w:r>
    </w:p>
    <w:p w14:paraId="0740FF2F" w14:textId="77777777" w:rsidR="009E6FB1" w:rsidRDefault="009E6FB1" w:rsidP="00C37610">
      <w:pPr>
        <w:pStyle w:val="EMnumbers"/>
        <w:rPr>
          <w:rFonts w:cs="Times New Roman"/>
          <w:b/>
          <w:bCs/>
        </w:rPr>
      </w:pPr>
      <w:r>
        <w:rPr>
          <w:rFonts w:cs="Times New Roman"/>
          <w:b/>
          <w:bCs/>
        </w:rPr>
        <w:t>Item [25] – Regulation 6C (table items 15 and 16)</w:t>
      </w:r>
    </w:p>
    <w:p w14:paraId="638A5316" w14:textId="77777777" w:rsidR="009E6FB1" w:rsidRDefault="009E6FB1" w:rsidP="00C37610">
      <w:pPr>
        <w:pStyle w:val="EMnumbers"/>
        <w:rPr>
          <w:rFonts w:cs="Times New Roman"/>
          <w:b/>
          <w:bCs/>
        </w:rPr>
      </w:pPr>
      <w:r>
        <w:rPr>
          <w:rFonts w:cs="Times New Roman"/>
          <w:b/>
          <w:bCs/>
        </w:rPr>
        <w:t xml:space="preserve">Item [26] – Regulation 6C (table items 21 and 22) </w:t>
      </w:r>
    </w:p>
    <w:p w14:paraId="6CCFE030" w14:textId="2FA9B4DA" w:rsidR="00F20726" w:rsidRPr="00937BCA" w:rsidRDefault="009E6FB1" w:rsidP="00865CDF">
      <w:pPr>
        <w:pStyle w:val="EMnumbers"/>
        <w:rPr>
          <w:rFonts w:cs="Times New Roman"/>
          <w:b/>
          <w:bCs/>
        </w:rPr>
      </w:pPr>
      <w:r>
        <w:rPr>
          <w:rFonts w:cs="Times New Roman"/>
          <w:b/>
          <w:bCs/>
        </w:rPr>
        <w:t xml:space="preserve">Item [27] – Regulation 6C (table item 25) </w:t>
      </w:r>
    </w:p>
    <w:p w14:paraId="5D1A51A2" w14:textId="1C8BC97E" w:rsidR="009A6254" w:rsidRPr="00BB194B" w:rsidRDefault="00F72642" w:rsidP="009A6254">
      <w:pPr>
        <w:pStyle w:val="EMnumbers"/>
        <w:numPr>
          <w:ilvl w:val="0"/>
          <w:numId w:val="1"/>
        </w:numPr>
        <w:ind w:left="567" w:hanging="567"/>
      </w:pPr>
      <w:r w:rsidRPr="00BB194B">
        <w:t>Item</w:t>
      </w:r>
      <w:r w:rsidR="00B1686D">
        <w:t>s</w:t>
      </w:r>
      <w:r w:rsidRPr="00BB194B">
        <w:t xml:space="preserve"> </w:t>
      </w:r>
      <w:r w:rsidR="005578E8">
        <w:t>23</w:t>
      </w:r>
      <w:r w:rsidR="00ED707A">
        <w:t xml:space="preserve"> to </w:t>
      </w:r>
      <w:r w:rsidR="005578E8">
        <w:t>2</w:t>
      </w:r>
      <w:r w:rsidR="00E93740">
        <w:t>7</w:t>
      </w:r>
      <w:r w:rsidR="005578E8">
        <w:t xml:space="preserve"> </w:t>
      </w:r>
      <w:r w:rsidR="000A0BF8">
        <w:t>update the list of prescribed public authorities</w:t>
      </w:r>
      <w:r w:rsidR="00B84455" w:rsidRPr="00BB194B">
        <w:t xml:space="preserve"> in regulation 6C </w:t>
      </w:r>
      <w:r w:rsidR="00303586" w:rsidRPr="00BB194B">
        <w:t>to</w:t>
      </w:r>
      <w:r w:rsidR="00C43079">
        <w:t xml:space="preserve"> reflect the current name of entities and remove entities which have been wound up and no longer exist. </w:t>
      </w:r>
      <w:r w:rsidR="00303586" w:rsidRPr="00BB194B">
        <w:t xml:space="preserve"> </w:t>
      </w:r>
    </w:p>
    <w:p w14:paraId="738B243F" w14:textId="45F8FF8A" w:rsidR="00F97BD6" w:rsidRPr="00691850" w:rsidRDefault="00F97BD6" w:rsidP="00227BA2">
      <w:pPr>
        <w:pStyle w:val="EMnumbers"/>
        <w:numPr>
          <w:ilvl w:val="0"/>
          <w:numId w:val="1"/>
        </w:numPr>
        <w:ind w:left="567" w:hanging="567"/>
        <w:rPr>
          <w:rFonts w:cs="Times New Roman"/>
        </w:rPr>
      </w:pPr>
      <w:r w:rsidRPr="00691850">
        <w:rPr>
          <w:rFonts w:cs="Times New Roman"/>
        </w:rPr>
        <w:t xml:space="preserve">Section 4 of the Act provides the definition of </w:t>
      </w:r>
      <w:r w:rsidR="00CC4B08">
        <w:rPr>
          <w:rFonts w:cs="Times New Roman"/>
        </w:rPr>
        <w:t>‘</w:t>
      </w:r>
      <w:r w:rsidRPr="00691850">
        <w:rPr>
          <w:rFonts w:cs="Times New Roman"/>
        </w:rPr>
        <w:t>public authority</w:t>
      </w:r>
      <w:r w:rsidR="00CC4B08">
        <w:rPr>
          <w:rFonts w:cs="Times New Roman"/>
        </w:rPr>
        <w:t>’</w:t>
      </w:r>
      <w:r w:rsidRPr="00691850">
        <w:rPr>
          <w:i/>
          <w:iCs/>
          <w:color w:val="000000"/>
          <w:shd w:val="clear" w:color="auto" w:fill="FFFFFF"/>
        </w:rPr>
        <w:t>.</w:t>
      </w:r>
      <w:r w:rsidRPr="00691850">
        <w:rPr>
          <w:color w:val="000000"/>
          <w:shd w:val="clear" w:color="auto" w:fill="FFFFFF"/>
        </w:rPr>
        <w:t xml:space="preserve"> Relevantly, paragraph (c) of that definition provides that a body corporate prescribed by the regulation to be a public authority for the purposes of the Act is a public authority.</w:t>
      </w:r>
      <w:r w:rsidRPr="00691850">
        <w:rPr>
          <w:i/>
          <w:iCs/>
          <w:color w:val="000000"/>
          <w:shd w:val="clear" w:color="auto" w:fill="FFFFFF"/>
        </w:rPr>
        <w:t xml:space="preserve"> </w:t>
      </w:r>
      <w:r w:rsidRPr="00691850">
        <w:rPr>
          <w:color w:val="000000"/>
          <w:shd w:val="clear" w:color="auto" w:fill="FFFFFF"/>
        </w:rPr>
        <w:t xml:space="preserve">Regulation 6C prescribes </w:t>
      </w:r>
      <w:proofErr w:type="gramStart"/>
      <w:r w:rsidRPr="00691850">
        <w:rPr>
          <w:color w:val="000000"/>
          <w:shd w:val="clear" w:color="auto" w:fill="FFFFFF"/>
        </w:rPr>
        <w:t>a number of</w:t>
      </w:r>
      <w:proofErr w:type="gramEnd"/>
      <w:r w:rsidRPr="00691850">
        <w:rPr>
          <w:color w:val="000000"/>
          <w:shd w:val="clear" w:color="auto" w:fill="FFFFFF"/>
        </w:rPr>
        <w:t xml:space="preserve"> entities to be public authorities for the purposes of the Act. These bodies have been prescribed, for example, to maintain coverage under the Act for affected workers when a Commonwealth company is sold and would no longer otherwise meet the definition of </w:t>
      </w:r>
      <w:r w:rsidR="00F63D6E">
        <w:rPr>
          <w:color w:val="000000"/>
          <w:shd w:val="clear" w:color="auto" w:fill="FFFFFF"/>
        </w:rPr>
        <w:t>‘p</w:t>
      </w:r>
      <w:r w:rsidRPr="00691850">
        <w:rPr>
          <w:color w:val="000000"/>
          <w:shd w:val="clear" w:color="auto" w:fill="FFFFFF"/>
        </w:rPr>
        <w:t xml:space="preserve">ublic </w:t>
      </w:r>
      <w:r w:rsidR="00F63D6E">
        <w:rPr>
          <w:color w:val="000000"/>
          <w:shd w:val="clear" w:color="auto" w:fill="FFFFFF"/>
        </w:rPr>
        <w:t>a</w:t>
      </w:r>
      <w:r w:rsidRPr="00691850">
        <w:rPr>
          <w:color w:val="000000"/>
          <w:shd w:val="clear" w:color="auto" w:fill="FFFFFF"/>
        </w:rPr>
        <w:t>uthority</w:t>
      </w:r>
      <w:r w:rsidR="00F63D6E">
        <w:rPr>
          <w:color w:val="000000"/>
          <w:shd w:val="clear" w:color="auto" w:fill="FFFFFF"/>
        </w:rPr>
        <w:t>’ in the Act</w:t>
      </w:r>
      <w:r w:rsidRPr="00691850">
        <w:rPr>
          <w:color w:val="000000"/>
          <w:shd w:val="clear" w:color="auto" w:fill="FFFFFF"/>
        </w:rPr>
        <w:t>.</w:t>
      </w:r>
      <w:r w:rsidRPr="00691850">
        <w:rPr>
          <w:color w:val="000000"/>
          <w:sz w:val="22"/>
          <w:szCs w:val="22"/>
          <w:shd w:val="clear" w:color="auto" w:fill="FFFFFF"/>
        </w:rPr>
        <w:t xml:space="preserve"> </w:t>
      </w:r>
    </w:p>
    <w:p w14:paraId="653E81CA" w14:textId="2D883FE7" w:rsidR="009562D5" w:rsidRDefault="000B5215" w:rsidP="00303586">
      <w:pPr>
        <w:pStyle w:val="EMnumbers"/>
        <w:numPr>
          <w:ilvl w:val="0"/>
          <w:numId w:val="1"/>
        </w:numPr>
        <w:ind w:left="567" w:hanging="567"/>
      </w:pPr>
      <w:r w:rsidRPr="00BB194B">
        <w:t xml:space="preserve">The </w:t>
      </w:r>
      <w:r w:rsidR="009562D5" w:rsidRPr="00BB194B">
        <w:t>listed entities require upd</w:t>
      </w:r>
      <w:r w:rsidR="00303586" w:rsidRPr="00BB194B">
        <w:t>ating</w:t>
      </w:r>
      <w:r w:rsidR="006067E2" w:rsidRPr="00BB194B">
        <w:t xml:space="preserve"> </w:t>
      </w:r>
      <w:r w:rsidR="004507A8" w:rsidRPr="00BB194B">
        <w:t>because several entities currently prescribed have wound up</w:t>
      </w:r>
      <w:r w:rsidR="00CC4B08">
        <w:t>,</w:t>
      </w:r>
      <w:r w:rsidR="00AF5570">
        <w:t xml:space="preserve"> </w:t>
      </w:r>
      <w:r w:rsidR="004507A8" w:rsidRPr="00BB194B">
        <w:t>changed names</w:t>
      </w:r>
      <w:r w:rsidR="00847490">
        <w:t>, or names were incorrectly listed</w:t>
      </w:r>
      <w:r w:rsidR="004507A8" w:rsidRPr="00BB194B">
        <w:t>.</w:t>
      </w:r>
      <w:r w:rsidR="00EB57CF">
        <w:t xml:space="preserve"> The table below sets out each change. </w:t>
      </w:r>
    </w:p>
    <w:tbl>
      <w:tblPr>
        <w:tblStyle w:val="TableGrid"/>
        <w:tblW w:w="0" w:type="auto"/>
        <w:tblLook w:val="04A0" w:firstRow="1" w:lastRow="0" w:firstColumn="1" w:lastColumn="0" w:noHBand="0" w:noVBand="1"/>
      </w:tblPr>
      <w:tblGrid>
        <w:gridCol w:w="3005"/>
        <w:gridCol w:w="5921"/>
      </w:tblGrid>
      <w:tr w:rsidR="00D9562F" w:rsidRPr="00691850" w14:paraId="612FFBA7" w14:textId="77777777" w:rsidTr="008A34F6">
        <w:tc>
          <w:tcPr>
            <w:tcW w:w="3005" w:type="dxa"/>
          </w:tcPr>
          <w:p w14:paraId="1E35BBA2" w14:textId="77777777" w:rsidR="00D9562F" w:rsidRPr="00691850" w:rsidRDefault="00D9562F" w:rsidP="008A34F6">
            <w:pPr>
              <w:pStyle w:val="EMnumbers"/>
              <w:rPr>
                <w:rFonts w:cs="Times New Roman"/>
                <w:b/>
                <w:bCs/>
              </w:rPr>
            </w:pPr>
            <w:r w:rsidRPr="00691850">
              <w:rPr>
                <w:rFonts w:cs="Times New Roman"/>
                <w:b/>
                <w:bCs/>
              </w:rPr>
              <w:t>Item of regulation 6C</w:t>
            </w:r>
          </w:p>
        </w:tc>
        <w:tc>
          <w:tcPr>
            <w:tcW w:w="5921" w:type="dxa"/>
          </w:tcPr>
          <w:p w14:paraId="0E6C0607" w14:textId="77777777" w:rsidR="00D9562F" w:rsidRPr="00691850" w:rsidRDefault="00D9562F" w:rsidP="008A34F6">
            <w:pPr>
              <w:pStyle w:val="EMnumbers"/>
              <w:rPr>
                <w:rFonts w:cs="Times New Roman"/>
                <w:b/>
                <w:bCs/>
              </w:rPr>
            </w:pPr>
            <w:r w:rsidRPr="00691850">
              <w:rPr>
                <w:rFonts w:cs="Times New Roman"/>
                <w:b/>
                <w:bCs/>
              </w:rPr>
              <w:t>Action</w:t>
            </w:r>
          </w:p>
        </w:tc>
      </w:tr>
      <w:tr w:rsidR="00D9562F" w:rsidRPr="00691850" w14:paraId="383D98B6" w14:textId="77777777" w:rsidTr="008A34F6">
        <w:tc>
          <w:tcPr>
            <w:tcW w:w="3005" w:type="dxa"/>
          </w:tcPr>
          <w:p w14:paraId="32B2C0F0" w14:textId="77777777" w:rsidR="00D9562F" w:rsidRPr="00691850" w:rsidRDefault="00D9562F" w:rsidP="008A34F6">
            <w:pPr>
              <w:pStyle w:val="EMnumbers"/>
              <w:rPr>
                <w:rFonts w:cs="Times New Roman"/>
              </w:rPr>
            </w:pPr>
            <w:r w:rsidRPr="00691850">
              <w:rPr>
                <w:rFonts w:cs="Times New Roman"/>
              </w:rPr>
              <w:t>7</w:t>
            </w:r>
          </w:p>
        </w:tc>
        <w:tc>
          <w:tcPr>
            <w:tcW w:w="5921" w:type="dxa"/>
          </w:tcPr>
          <w:p w14:paraId="0EA08CAF" w14:textId="77777777" w:rsidR="00D9562F" w:rsidRPr="00691850" w:rsidRDefault="00D9562F" w:rsidP="008A34F6">
            <w:pPr>
              <w:pStyle w:val="EMnumbers"/>
            </w:pPr>
            <w:r w:rsidRPr="00691850">
              <w:rPr>
                <w:rFonts w:cs="Times New Roman"/>
              </w:rPr>
              <w:t>Repeal “</w:t>
            </w:r>
            <w:r w:rsidRPr="00691850">
              <w:t>The Travel Doctor TVMC Pty Ltd”</w:t>
            </w:r>
          </w:p>
          <w:p w14:paraId="4041D2B7" w14:textId="20F0DAEC" w:rsidR="00D9562F" w:rsidRPr="00691850" w:rsidRDefault="00D9562F" w:rsidP="008A34F6">
            <w:pPr>
              <w:pStyle w:val="EMnumbers"/>
              <w:rPr>
                <w:rFonts w:cs="Times New Roman"/>
              </w:rPr>
            </w:pPr>
            <w:r w:rsidRPr="00691850">
              <w:rPr>
                <w:rFonts w:cs="Times New Roman"/>
              </w:rPr>
              <w:t xml:space="preserve">Substitute </w:t>
            </w:r>
            <w:r w:rsidR="00D00F85">
              <w:rPr>
                <w:rFonts w:cs="Times New Roman"/>
              </w:rPr>
              <w:t xml:space="preserve">current name </w:t>
            </w:r>
            <w:r w:rsidRPr="00691850">
              <w:rPr>
                <w:rFonts w:cs="Times New Roman"/>
              </w:rPr>
              <w:t>“Live Better Management Pty Ltd”</w:t>
            </w:r>
          </w:p>
        </w:tc>
      </w:tr>
      <w:tr w:rsidR="00D9562F" w:rsidRPr="00691850" w14:paraId="194658F9" w14:textId="77777777" w:rsidTr="008A34F6">
        <w:tc>
          <w:tcPr>
            <w:tcW w:w="3005" w:type="dxa"/>
          </w:tcPr>
          <w:p w14:paraId="2E185CFA" w14:textId="77777777" w:rsidR="00D9562F" w:rsidRPr="00691850" w:rsidRDefault="00D9562F" w:rsidP="008A34F6">
            <w:pPr>
              <w:pStyle w:val="EMnumbers"/>
              <w:rPr>
                <w:rFonts w:cs="Times New Roman"/>
              </w:rPr>
            </w:pPr>
            <w:r w:rsidRPr="00691850">
              <w:rPr>
                <w:rFonts w:cs="Times New Roman"/>
              </w:rPr>
              <w:t>8</w:t>
            </w:r>
          </w:p>
        </w:tc>
        <w:tc>
          <w:tcPr>
            <w:tcW w:w="5921" w:type="dxa"/>
          </w:tcPr>
          <w:p w14:paraId="77B3BB02" w14:textId="77777777" w:rsidR="00D9562F" w:rsidRPr="00691850" w:rsidRDefault="00D9562F" w:rsidP="008A34F6">
            <w:pPr>
              <w:pStyle w:val="EMnumbers"/>
            </w:pPr>
            <w:r w:rsidRPr="00691850">
              <w:t xml:space="preserve">Repeal “Work Solutions Australia Pty Ltd” </w:t>
            </w:r>
          </w:p>
          <w:p w14:paraId="451A33E9" w14:textId="44E2EB69" w:rsidR="00D9562F" w:rsidRPr="00691850" w:rsidRDefault="00D9562F" w:rsidP="008A34F6">
            <w:pPr>
              <w:pStyle w:val="EMnumbers"/>
              <w:rPr>
                <w:rFonts w:cs="Times New Roman"/>
              </w:rPr>
            </w:pPr>
            <w:r w:rsidRPr="00691850">
              <w:rPr>
                <w:rFonts w:cs="Times New Roman"/>
              </w:rPr>
              <w:t xml:space="preserve">Substitute </w:t>
            </w:r>
            <w:r w:rsidR="00D00F85">
              <w:rPr>
                <w:rFonts w:cs="Times New Roman"/>
              </w:rPr>
              <w:t>current</w:t>
            </w:r>
            <w:r w:rsidR="00D00F85" w:rsidRPr="00691850">
              <w:rPr>
                <w:rFonts w:cs="Times New Roman"/>
              </w:rPr>
              <w:t xml:space="preserve"> </w:t>
            </w:r>
            <w:r w:rsidRPr="00691850">
              <w:rPr>
                <w:rFonts w:cs="Times New Roman"/>
              </w:rPr>
              <w:t>name “Integrated Care Services Pty Ltd”</w:t>
            </w:r>
          </w:p>
        </w:tc>
      </w:tr>
      <w:tr w:rsidR="00D9562F" w:rsidRPr="00691850" w14:paraId="01AE415B" w14:textId="77777777" w:rsidTr="008A34F6">
        <w:tc>
          <w:tcPr>
            <w:tcW w:w="3005" w:type="dxa"/>
          </w:tcPr>
          <w:p w14:paraId="3AD00E71" w14:textId="77777777" w:rsidR="00D9562F" w:rsidRPr="00691850" w:rsidRDefault="00D9562F" w:rsidP="008A34F6">
            <w:pPr>
              <w:pStyle w:val="EMnumbers"/>
              <w:rPr>
                <w:rFonts w:cs="Times New Roman"/>
              </w:rPr>
            </w:pPr>
            <w:r w:rsidRPr="00691850">
              <w:rPr>
                <w:rFonts w:cs="Times New Roman"/>
              </w:rPr>
              <w:t>11</w:t>
            </w:r>
          </w:p>
        </w:tc>
        <w:tc>
          <w:tcPr>
            <w:tcW w:w="5921" w:type="dxa"/>
          </w:tcPr>
          <w:p w14:paraId="5AC6D18D" w14:textId="77777777" w:rsidR="00D9562F" w:rsidRPr="00691850" w:rsidRDefault="00D9562F" w:rsidP="008A34F6">
            <w:pPr>
              <w:pStyle w:val="EMnumbers"/>
              <w:rPr>
                <w:rFonts w:cs="Times New Roman"/>
              </w:rPr>
            </w:pPr>
            <w:r w:rsidRPr="00691850">
              <w:rPr>
                <w:rFonts w:cs="Times New Roman"/>
              </w:rPr>
              <w:t>Repeal “Fitness2live Pty Limited</w:t>
            </w:r>
          </w:p>
          <w:p w14:paraId="1861F986" w14:textId="4A0F328C" w:rsidR="00D9562F" w:rsidRPr="00691850" w:rsidRDefault="00D9562F" w:rsidP="008A34F6">
            <w:pPr>
              <w:pStyle w:val="EMnumbers"/>
              <w:rPr>
                <w:rFonts w:cs="Times New Roman"/>
              </w:rPr>
            </w:pPr>
            <w:r w:rsidRPr="00691850">
              <w:rPr>
                <w:rFonts w:cs="Times New Roman"/>
              </w:rPr>
              <w:t xml:space="preserve">Substitute </w:t>
            </w:r>
            <w:r w:rsidR="00D00F85">
              <w:rPr>
                <w:rFonts w:cs="Times New Roman"/>
              </w:rPr>
              <w:t>current</w:t>
            </w:r>
            <w:r w:rsidR="00D00F85" w:rsidRPr="00691850">
              <w:rPr>
                <w:rFonts w:cs="Times New Roman"/>
              </w:rPr>
              <w:t xml:space="preserve"> </w:t>
            </w:r>
            <w:r w:rsidRPr="00691850">
              <w:rPr>
                <w:rFonts w:cs="Times New Roman"/>
              </w:rPr>
              <w:t xml:space="preserve">name “Medi Financial Services </w:t>
            </w:r>
            <w:r w:rsidR="00F3720C">
              <w:rPr>
                <w:rFonts w:cs="Times New Roman"/>
              </w:rPr>
              <w:t>Pty Ltd</w:t>
            </w:r>
            <w:r w:rsidRPr="00691850">
              <w:rPr>
                <w:rFonts w:cs="Times New Roman"/>
              </w:rPr>
              <w:t>”</w:t>
            </w:r>
          </w:p>
        </w:tc>
      </w:tr>
      <w:tr w:rsidR="00D9562F" w:rsidRPr="00691850" w14:paraId="7F054FBC" w14:textId="77777777" w:rsidTr="008A34F6">
        <w:tc>
          <w:tcPr>
            <w:tcW w:w="3005" w:type="dxa"/>
          </w:tcPr>
          <w:p w14:paraId="150DF1F7" w14:textId="77777777" w:rsidR="00D9562F" w:rsidRPr="00691850" w:rsidRDefault="00D9562F" w:rsidP="008A34F6">
            <w:pPr>
              <w:pStyle w:val="EMnumbers"/>
              <w:rPr>
                <w:rFonts w:cs="Times New Roman"/>
              </w:rPr>
            </w:pPr>
            <w:r w:rsidRPr="00691850">
              <w:rPr>
                <w:rFonts w:cs="Times New Roman"/>
              </w:rPr>
              <w:lastRenderedPageBreak/>
              <w:t>12</w:t>
            </w:r>
          </w:p>
        </w:tc>
        <w:tc>
          <w:tcPr>
            <w:tcW w:w="5921" w:type="dxa"/>
          </w:tcPr>
          <w:p w14:paraId="53084329" w14:textId="1CB0F35A" w:rsidR="00D9562F" w:rsidRPr="00691850" w:rsidRDefault="00D9562F" w:rsidP="008A34F6">
            <w:pPr>
              <w:pStyle w:val="EMnumbers"/>
              <w:rPr>
                <w:rFonts w:cs="Times New Roman"/>
              </w:rPr>
            </w:pPr>
            <w:r w:rsidRPr="00691850">
              <w:rPr>
                <w:rFonts w:cs="Times New Roman"/>
              </w:rPr>
              <w:t>Repeal “WLAN Services Pty Ltd”</w:t>
            </w:r>
            <w:r w:rsidR="00997BB1">
              <w:rPr>
                <w:rFonts w:cs="Times New Roman"/>
              </w:rPr>
              <w:t xml:space="preserve"> because the entity no longer exists</w:t>
            </w:r>
          </w:p>
        </w:tc>
      </w:tr>
      <w:tr w:rsidR="00D9562F" w:rsidRPr="00691850" w14:paraId="6E6377CA" w14:textId="77777777" w:rsidTr="008A34F6">
        <w:tc>
          <w:tcPr>
            <w:tcW w:w="3005" w:type="dxa"/>
          </w:tcPr>
          <w:p w14:paraId="09D0E952" w14:textId="77777777" w:rsidR="00D9562F" w:rsidRPr="00691850" w:rsidRDefault="00D9562F" w:rsidP="008A34F6">
            <w:pPr>
              <w:pStyle w:val="EMnumbers"/>
              <w:rPr>
                <w:rFonts w:cs="Times New Roman"/>
              </w:rPr>
            </w:pPr>
            <w:r w:rsidRPr="00691850">
              <w:rPr>
                <w:rFonts w:cs="Times New Roman"/>
              </w:rPr>
              <w:t>13</w:t>
            </w:r>
          </w:p>
        </w:tc>
        <w:tc>
          <w:tcPr>
            <w:tcW w:w="5921" w:type="dxa"/>
          </w:tcPr>
          <w:p w14:paraId="2E939262" w14:textId="26F746BA" w:rsidR="00D9562F" w:rsidRPr="00691850" w:rsidRDefault="00D9562F" w:rsidP="008A34F6">
            <w:pPr>
              <w:pStyle w:val="EMnumbers"/>
              <w:rPr>
                <w:rFonts w:cs="Times New Roman"/>
              </w:rPr>
            </w:pPr>
            <w:r w:rsidRPr="00691850">
              <w:rPr>
                <w:rFonts w:cs="Times New Roman"/>
              </w:rPr>
              <w:t>Repeal “SBS Subscription TV Ltd”</w:t>
            </w:r>
            <w:r w:rsidR="00997BB1">
              <w:rPr>
                <w:rFonts w:cs="Times New Roman"/>
              </w:rPr>
              <w:t xml:space="preserve"> because the entity no longer exists</w:t>
            </w:r>
          </w:p>
        </w:tc>
      </w:tr>
      <w:tr w:rsidR="00D9562F" w:rsidRPr="00691850" w14:paraId="5A75A9EE" w14:textId="77777777" w:rsidTr="008A34F6">
        <w:tc>
          <w:tcPr>
            <w:tcW w:w="3005" w:type="dxa"/>
          </w:tcPr>
          <w:p w14:paraId="78F77771" w14:textId="77777777" w:rsidR="00D9562F" w:rsidRPr="00691850" w:rsidRDefault="00D9562F" w:rsidP="008A34F6">
            <w:pPr>
              <w:pStyle w:val="EMnumbers"/>
              <w:rPr>
                <w:rFonts w:cs="Times New Roman"/>
              </w:rPr>
            </w:pPr>
            <w:r w:rsidRPr="00691850">
              <w:rPr>
                <w:rFonts w:cs="Times New Roman"/>
              </w:rPr>
              <w:t>15</w:t>
            </w:r>
          </w:p>
        </w:tc>
        <w:tc>
          <w:tcPr>
            <w:tcW w:w="5921" w:type="dxa"/>
          </w:tcPr>
          <w:p w14:paraId="48AE1C04" w14:textId="70F81724" w:rsidR="00D9562F" w:rsidRPr="00691850" w:rsidRDefault="00D9562F" w:rsidP="008A34F6">
            <w:pPr>
              <w:pStyle w:val="EMnumbers"/>
              <w:rPr>
                <w:rFonts w:cs="Times New Roman"/>
              </w:rPr>
            </w:pPr>
            <w:r w:rsidRPr="00691850">
              <w:rPr>
                <w:rFonts w:cs="Times New Roman"/>
              </w:rPr>
              <w:t>Repeal “</w:t>
            </w:r>
            <w:proofErr w:type="spellStart"/>
            <w:r w:rsidRPr="00691850">
              <w:rPr>
                <w:rFonts w:cs="Times New Roman"/>
              </w:rPr>
              <w:t>Geospend</w:t>
            </w:r>
            <w:proofErr w:type="spellEnd"/>
            <w:r w:rsidRPr="00691850">
              <w:rPr>
                <w:rFonts w:cs="Times New Roman"/>
              </w:rPr>
              <w:t xml:space="preserve"> Pty Ltd”</w:t>
            </w:r>
            <w:r w:rsidR="00997BB1">
              <w:rPr>
                <w:rFonts w:cs="Times New Roman"/>
              </w:rPr>
              <w:t xml:space="preserve"> because the entity no longer exists</w:t>
            </w:r>
          </w:p>
        </w:tc>
      </w:tr>
      <w:tr w:rsidR="00D9562F" w:rsidRPr="00691850" w14:paraId="22116CEF" w14:textId="77777777" w:rsidTr="008A34F6">
        <w:tc>
          <w:tcPr>
            <w:tcW w:w="3005" w:type="dxa"/>
          </w:tcPr>
          <w:p w14:paraId="6F04FF8D" w14:textId="77777777" w:rsidR="00D9562F" w:rsidRPr="00691850" w:rsidRDefault="00D9562F" w:rsidP="008A34F6">
            <w:pPr>
              <w:pStyle w:val="EMnumbers"/>
              <w:rPr>
                <w:rFonts w:cs="Times New Roman"/>
              </w:rPr>
            </w:pPr>
            <w:r w:rsidRPr="00691850">
              <w:rPr>
                <w:rFonts w:cs="Times New Roman"/>
              </w:rPr>
              <w:t>16</w:t>
            </w:r>
          </w:p>
        </w:tc>
        <w:tc>
          <w:tcPr>
            <w:tcW w:w="5921" w:type="dxa"/>
          </w:tcPr>
          <w:p w14:paraId="2DCCBA3C" w14:textId="18CC4ECF" w:rsidR="00D9562F" w:rsidRPr="00691850" w:rsidRDefault="00D9562F" w:rsidP="008A34F6">
            <w:pPr>
              <w:pStyle w:val="EMnumbers"/>
              <w:rPr>
                <w:rFonts w:cs="Times New Roman"/>
              </w:rPr>
            </w:pPr>
            <w:r w:rsidRPr="00691850">
              <w:rPr>
                <w:rFonts w:cs="Times New Roman"/>
              </w:rPr>
              <w:t>Repeal “Post Fulfilment Online Pty Ltd”</w:t>
            </w:r>
            <w:r w:rsidR="00997BB1">
              <w:rPr>
                <w:rFonts w:cs="Times New Roman"/>
              </w:rPr>
              <w:t xml:space="preserve"> because the entity no longer exists</w:t>
            </w:r>
          </w:p>
        </w:tc>
      </w:tr>
      <w:tr w:rsidR="00D9562F" w:rsidRPr="00691850" w14:paraId="63912602" w14:textId="77777777" w:rsidTr="008A34F6">
        <w:tc>
          <w:tcPr>
            <w:tcW w:w="3005" w:type="dxa"/>
          </w:tcPr>
          <w:p w14:paraId="118CDE33" w14:textId="77777777" w:rsidR="00D9562F" w:rsidRPr="00691850" w:rsidRDefault="00D9562F" w:rsidP="008A34F6">
            <w:pPr>
              <w:pStyle w:val="EMnumbers"/>
              <w:rPr>
                <w:rFonts w:cs="Times New Roman"/>
              </w:rPr>
            </w:pPr>
            <w:r w:rsidRPr="00691850">
              <w:rPr>
                <w:rFonts w:cs="Times New Roman"/>
              </w:rPr>
              <w:t>21</w:t>
            </w:r>
          </w:p>
        </w:tc>
        <w:tc>
          <w:tcPr>
            <w:tcW w:w="5921" w:type="dxa"/>
          </w:tcPr>
          <w:p w14:paraId="6435080B" w14:textId="77777777" w:rsidR="00D9562F" w:rsidRPr="00691850" w:rsidRDefault="00D9562F" w:rsidP="008A34F6">
            <w:pPr>
              <w:pStyle w:val="EMnumbers"/>
              <w:rPr>
                <w:rFonts w:cs="Times New Roman"/>
              </w:rPr>
            </w:pPr>
            <w:r w:rsidRPr="00691850">
              <w:rPr>
                <w:rFonts w:cs="Times New Roman"/>
              </w:rPr>
              <w:t>Repeal “Medibank Private Ltd”</w:t>
            </w:r>
          </w:p>
          <w:p w14:paraId="61826CB4" w14:textId="77611918" w:rsidR="00D9562F" w:rsidRPr="00691850" w:rsidRDefault="00D9562F" w:rsidP="008A34F6">
            <w:pPr>
              <w:pStyle w:val="EMnumbers"/>
              <w:rPr>
                <w:rFonts w:cs="Times New Roman"/>
              </w:rPr>
            </w:pPr>
            <w:r w:rsidRPr="00691850">
              <w:rPr>
                <w:rFonts w:cs="Times New Roman"/>
              </w:rPr>
              <w:t xml:space="preserve">Substitute </w:t>
            </w:r>
            <w:r w:rsidR="004776C0">
              <w:rPr>
                <w:rFonts w:cs="Times New Roman"/>
              </w:rPr>
              <w:t>correct</w:t>
            </w:r>
            <w:r w:rsidR="004776C0" w:rsidRPr="00691850">
              <w:rPr>
                <w:rFonts w:cs="Times New Roman"/>
              </w:rPr>
              <w:t xml:space="preserve"> </w:t>
            </w:r>
            <w:r w:rsidRPr="00691850">
              <w:rPr>
                <w:rFonts w:cs="Times New Roman"/>
              </w:rPr>
              <w:t>name “Medibank Private Limited”</w:t>
            </w:r>
          </w:p>
        </w:tc>
      </w:tr>
      <w:tr w:rsidR="00D9562F" w:rsidRPr="00691850" w14:paraId="32C23B0B" w14:textId="77777777" w:rsidTr="008A34F6">
        <w:tc>
          <w:tcPr>
            <w:tcW w:w="3005" w:type="dxa"/>
          </w:tcPr>
          <w:p w14:paraId="526BF4CA" w14:textId="77777777" w:rsidR="00D9562F" w:rsidRPr="00691850" w:rsidRDefault="00D9562F" w:rsidP="008A34F6">
            <w:pPr>
              <w:pStyle w:val="EMnumbers"/>
              <w:rPr>
                <w:rFonts w:cs="Times New Roman"/>
              </w:rPr>
            </w:pPr>
            <w:r w:rsidRPr="00691850">
              <w:rPr>
                <w:rFonts w:cs="Times New Roman"/>
              </w:rPr>
              <w:t>22</w:t>
            </w:r>
          </w:p>
        </w:tc>
        <w:tc>
          <w:tcPr>
            <w:tcW w:w="5921" w:type="dxa"/>
          </w:tcPr>
          <w:p w14:paraId="129ACFF6" w14:textId="77777777" w:rsidR="00D9562F" w:rsidRPr="00691850" w:rsidRDefault="00D9562F" w:rsidP="008A34F6">
            <w:pPr>
              <w:pStyle w:val="EMnumbers"/>
              <w:rPr>
                <w:rFonts w:cs="Times New Roman"/>
              </w:rPr>
            </w:pPr>
            <w:r w:rsidRPr="00691850">
              <w:rPr>
                <w:rFonts w:cs="Times New Roman"/>
              </w:rPr>
              <w:t>Repeal “Star Track Express Pty Ltd”</w:t>
            </w:r>
          </w:p>
          <w:p w14:paraId="5828DD64" w14:textId="630CB184" w:rsidR="00D9562F" w:rsidRPr="00691850" w:rsidRDefault="00D9562F" w:rsidP="008A34F6">
            <w:pPr>
              <w:pStyle w:val="EMnumbers"/>
              <w:rPr>
                <w:rFonts w:cs="Times New Roman"/>
              </w:rPr>
            </w:pPr>
            <w:r w:rsidRPr="00691850">
              <w:rPr>
                <w:rFonts w:cs="Times New Roman"/>
              </w:rPr>
              <w:t xml:space="preserve">Substitute </w:t>
            </w:r>
            <w:r w:rsidR="004776C0">
              <w:rPr>
                <w:rFonts w:cs="Times New Roman"/>
              </w:rPr>
              <w:t>correct</w:t>
            </w:r>
            <w:r w:rsidR="004776C0" w:rsidRPr="00691850">
              <w:rPr>
                <w:rFonts w:cs="Times New Roman"/>
              </w:rPr>
              <w:t xml:space="preserve"> </w:t>
            </w:r>
            <w:r w:rsidRPr="00691850">
              <w:rPr>
                <w:rFonts w:cs="Times New Roman"/>
              </w:rPr>
              <w:t>name “Star Track Express Pty Limited”</w:t>
            </w:r>
          </w:p>
        </w:tc>
      </w:tr>
      <w:tr w:rsidR="00D9562F" w:rsidRPr="00691850" w14:paraId="4FF30312" w14:textId="77777777" w:rsidTr="008A34F6">
        <w:tc>
          <w:tcPr>
            <w:tcW w:w="3005" w:type="dxa"/>
          </w:tcPr>
          <w:p w14:paraId="605FD62F" w14:textId="77777777" w:rsidR="00D9562F" w:rsidRPr="00691850" w:rsidRDefault="00D9562F" w:rsidP="008A34F6">
            <w:pPr>
              <w:pStyle w:val="EMnumbers"/>
              <w:rPr>
                <w:rFonts w:cs="Times New Roman"/>
              </w:rPr>
            </w:pPr>
            <w:r w:rsidRPr="00691850">
              <w:rPr>
                <w:rFonts w:cs="Times New Roman"/>
              </w:rPr>
              <w:t>25</w:t>
            </w:r>
          </w:p>
        </w:tc>
        <w:tc>
          <w:tcPr>
            <w:tcW w:w="5921" w:type="dxa"/>
          </w:tcPr>
          <w:p w14:paraId="57A8A3F6" w14:textId="77777777" w:rsidR="00D9562F" w:rsidRPr="00691850" w:rsidRDefault="00D9562F" w:rsidP="008A34F6">
            <w:pPr>
              <w:pStyle w:val="EMnumbers"/>
              <w:rPr>
                <w:rFonts w:cs="Times New Roman"/>
              </w:rPr>
            </w:pPr>
            <w:r w:rsidRPr="00691850">
              <w:rPr>
                <w:rFonts w:cs="Times New Roman"/>
              </w:rPr>
              <w:t xml:space="preserve">Repeal “Telstra </w:t>
            </w:r>
            <w:proofErr w:type="spellStart"/>
            <w:r w:rsidRPr="00691850">
              <w:rPr>
                <w:rFonts w:cs="Times New Roman"/>
              </w:rPr>
              <w:t>Towerco</w:t>
            </w:r>
            <w:proofErr w:type="spellEnd"/>
            <w:r w:rsidRPr="00691850">
              <w:rPr>
                <w:rFonts w:cs="Times New Roman"/>
              </w:rPr>
              <w:t xml:space="preserve"> No. 1 Pty Ltd”</w:t>
            </w:r>
          </w:p>
          <w:p w14:paraId="7BA6FADE" w14:textId="79030245" w:rsidR="00D9562F" w:rsidRPr="00691850" w:rsidRDefault="00D9562F" w:rsidP="008A34F6">
            <w:pPr>
              <w:pStyle w:val="EMnumbers"/>
              <w:rPr>
                <w:rFonts w:cs="Times New Roman"/>
              </w:rPr>
            </w:pPr>
            <w:r w:rsidRPr="00691850">
              <w:rPr>
                <w:rFonts w:cs="Times New Roman"/>
              </w:rPr>
              <w:t xml:space="preserve">Substitute </w:t>
            </w:r>
            <w:r w:rsidR="000E79E1">
              <w:rPr>
                <w:rFonts w:cs="Times New Roman"/>
              </w:rPr>
              <w:t>current</w:t>
            </w:r>
            <w:r w:rsidR="000E79E1" w:rsidRPr="00691850">
              <w:rPr>
                <w:rFonts w:cs="Times New Roman"/>
              </w:rPr>
              <w:t xml:space="preserve"> </w:t>
            </w:r>
            <w:r w:rsidRPr="00691850">
              <w:rPr>
                <w:rFonts w:cs="Times New Roman"/>
              </w:rPr>
              <w:t>name “</w:t>
            </w:r>
            <w:proofErr w:type="spellStart"/>
            <w:r w:rsidRPr="00691850">
              <w:rPr>
                <w:rFonts w:cs="Times New Roman"/>
              </w:rPr>
              <w:t>Amplitel</w:t>
            </w:r>
            <w:proofErr w:type="spellEnd"/>
            <w:r w:rsidRPr="00691850">
              <w:rPr>
                <w:rFonts w:cs="Times New Roman"/>
              </w:rPr>
              <w:t xml:space="preserve"> Pty Ltd”</w:t>
            </w:r>
          </w:p>
        </w:tc>
      </w:tr>
    </w:tbl>
    <w:p w14:paraId="30DBCB03" w14:textId="77777777" w:rsidR="00EB57CF" w:rsidRPr="00BB194B" w:rsidRDefault="00EB57CF" w:rsidP="00C37610">
      <w:pPr>
        <w:pStyle w:val="EMnumbers"/>
      </w:pPr>
    </w:p>
    <w:p w14:paraId="252388CF" w14:textId="4FFA4854" w:rsidR="009034B6" w:rsidRPr="00DF13CE" w:rsidRDefault="009034B6" w:rsidP="009034B6">
      <w:pPr>
        <w:pStyle w:val="EMnumbers"/>
        <w:rPr>
          <w:b/>
          <w:bCs/>
        </w:rPr>
      </w:pPr>
      <w:r w:rsidRPr="00BB194B">
        <w:rPr>
          <w:b/>
          <w:bCs/>
        </w:rPr>
        <w:t xml:space="preserve">Item </w:t>
      </w:r>
      <w:r w:rsidR="00406624">
        <w:rPr>
          <w:b/>
          <w:bCs/>
        </w:rPr>
        <w:t>[</w:t>
      </w:r>
      <w:r w:rsidR="00D9562F">
        <w:rPr>
          <w:b/>
          <w:bCs/>
        </w:rPr>
        <w:t>2</w:t>
      </w:r>
      <w:r w:rsidR="00E93740">
        <w:rPr>
          <w:b/>
          <w:bCs/>
        </w:rPr>
        <w:t>8</w:t>
      </w:r>
      <w:r w:rsidR="00406624">
        <w:rPr>
          <w:b/>
          <w:bCs/>
        </w:rPr>
        <w:t>]</w:t>
      </w:r>
      <w:r w:rsidRPr="00BB194B">
        <w:rPr>
          <w:b/>
          <w:bCs/>
        </w:rPr>
        <w:t xml:space="preserve"> – </w:t>
      </w:r>
      <w:r w:rsidR="002706C7">
        <w:rPr>
          <w:b/>
          <w:bCs/>
        </w:rPr>
        <w:t>After regulation 12</w:t>
      </w:r>
      <w:r w:rsidR="00D9562F">
        <w:rPr>
          <w:b/>
          <w:bCs/>
        </w:rPr>
        <w:t xml:space="preserve"> </w:t>
      </w:r>
    </w:p>
    <w:p w14:paraId="5A0339EC" w14:textId="36470B25" w:rsidR="006E2BE5" w:rsidRPr="00BB194B" w:rsidRDefault="0062021D" w:rsidP="00236E1E">
      <w:pPr>
        <w:pStyle w:val="EMnumbers"/>
        <w:numPr>
          <w:ilvl w:val="0"/>
          <w:numId w:val="1"/>
        </w:numPr>
        <w:ind w:left="567" w:hanging="567"/>
      </w:pPr>
      <w:r w:rsidRPr="00BB194B">
        <w:t xml:space="preserve">Item </w:t>
      </w:r>
      <w:r w:rsidR="00C108B5">
        <w:t>2</w:t>
      </w:r>
      <w:r w:rsidR="00E93740">
        <w:t>8</w:t>
      </w:r>
      <w:r w:rsidRPr="00BB194B">
        <w:t xml:space="preserve"> </w:t>
      </w:r>
      <w:r w:rsidR="0096703F" w:rsidRPr="00BB194B">
        <w:t>insert</w:t>
      </w:r>
      <w:r w:rsidR="00B3081E">
        <w:t>s</w:t>
      </w:r>
      <w:r w:rsidR="0096703F" w:rsidRPr="00BB194B">
        <w:t xml:space="preserve"> a new regulation</w:t>
      </w:r>
      <w:r w:rsidR="00B3081E">
        <w:t xml:space="preserve"> 12A</w:t>
      </w:r>
      <w:r w:rsidR="00FD0B1D" w:rsidRPr="00BB194B">
        <w:t xml:space="preserve"> </w:t>
      </w:r>
      <w:r w:rsidR="00AE494D" w:rsidRPr="00BB194B">
        <w:t xml:space="preserve">to </w:t>
      </w:r>
      <w:r w:rsidR="00B4761F">
        <w:t>end the transitional period for certain non-</w:t>
      </w:r>
      <w:r w:rsidR="00937FC0">
        <w:t>C</w:t>
      </w:r>
      <w:r w:rsidR="00B4761F">
        <w:t>ommonwealth licensees</w:t>
      </w:r>
      <w:r w:rsidR="000170DA">
        <w:t xml:space="preserve">. </w:t>
      </w:r>
      <w:r w:rsidR="00934A7E" w:rsidRPr="00691850">
        <w:t xml:space="preserve">These are licensees </w:t>
      </w:r>
      <w:proofErr w:type="gramStart"/>
      <w:r w:rsidR="00934A7E" w:rsidRPr="00691850">
        <w:t>which</w:t>
      </w:r>
      <w:proofErr w:type="gramEnd"/>
      <w:r w:rsidR="00934A7E" w:rsidRPr="00691850">
        <w:t xml:space="preserve"> have had a license for self</w:t>
      </w:r>
      <w:r w:rsidR="0030486A">
        <w:noBreakHyphen/>
      </w:r>
      <w:r w:rsidR="00934A7E" w:rsidRPr="00691850">
        <w:t xml:space="preserve">insurance revoked under the </w:t>
      </w:r>
      <w:r w:rsidR="00934A7E" w:rsidRPr="00691850">
        <w:rPr>
          <w:i/>
          <w:iCs/>
        </w:rPr>
        <w:t>Safety, Rehabilitation and Compensation Act 1988</w:t>
      </w:r>
      <w:r w:rsidR="00934A7E" w:rsidRPr="00691850">
        <w:t>. The amendments would provide certainty about which entities are subject to the Act.</w:t>
      </w:r>
    </w:p>
    <w:p w14:paraId="5679A9F8" w14:textId="17E62A49" w:rsidR="0029720F" w:rsidRPr="00691850" w:rsidRDefault="0029720F" w:rsidP="00227BA2">
      <w:pPr>
        <w:pStyle w:val="EMnumbers"/>
        <w:numPr>
          <w:ilvl w:val="0"/>
          <w:numId w:val="1"/>
        </w:numPr>
        <w:ind w:left="567" w:hanging="567"/>
      </w:pPr>
      <w:r w:rsidRPr="00691850">
        <w:t xml:space="preserve">Coverage under the Act is unique amongst jurisdictions. The Act applies to the Commonwealth, public </w:t>
      </w:r>
      <w:proofErr w:type="gramStart"/>
      <w:r w:rsidRPr="00691850">
        <w:t>authorities</w:t>
      </w:r>
      <w:proofErr w:type="gramEnd"/>
      <w:r w:rsidRPr="00691850">
        <w:t xml:space="preserve"> and non-Commonwealth licensees</w:t>
      </w:r>
      <w:r w:rsidR="00346F45">
        <w:t xml:space="preserve"> </w:t>
      </w:r>
      <w:r w:rsidR="00DD43CC">
        <w:t>(</w:t>
      </w:r>
      <w:r w:rsidRPr="00691850">
        <w:t xml:space="preserve">which are defined as </w:t>
      </w:r>
      <w:r w:rsidRPr="00691850">
        <w:rPr>
          <w:color w:val="000000"/>
          <w:shd w:val="clear" w:color="auto" w:fill="FFFFFF"/>
        </w:rPr>
        <w:t>a body corporate that was a non</w:t>
      </w:r>
      <w:r w:rsidRPr="00691850">
        <w:rPr>
          <w:color w:val="000000"/>
          <w:shd w:val="clear" w:color="auto" w:fill="FFFFFF"/>
        </w:rPr>
        <w:noBreakHyphen/>
        <w:t>Commonwealth licensee for the purposes of the </w:t>
      </w:r>
      <w:r w:rsidRPr="00691850">
        <w:rPr>
          <w:i/>
          <w:iCs/>
          <w:color w:val="000000"/>
          <w:shd w:val="clear" w:color="auto" w:fill="FFFFFF"/>
        </w:rPr>
        <w:t>Occupational Health and Safety Act 1991</w:t>
      </w:r>
      <w:r w:rsidRPr="00691850">
        <w:rPr>
          <w:color w:val="000000"/>
          <w:shd w:val="clear" w:color="auto" w:fill="FFFFFF"/>
        </w:rPr>
        <w:t> immediately before the commencement of the Act</w:t>
      </w:r>
      <w:r w:rsidR="00DD43CC">
        <w:rPr>
          <w:color w:val="000000"/>
          <w:shd w:val="clear" w:color="auto" w:fill="FFFFFF"/>
        </w:rPr>
        <w:t>)</w:t>
      </w:r>
      <w:r w:rsidRPr="00691850">
        <w:rPr>
          <w:color w:val="000000"/>
          <w:shd w:val="clear" w:color="auto" w:fill="FFFFFF"/>
        </w:rPr>
        <w:t>. The non-Commonwealth licensees are provided with coverage for a “transitional period” which has continued since the Act commenced (subsection</w:t>
      </w:r>
      <w:r w:rsidR="0030486A">
        <w:rPr>
          <w:color w:val="000000"/>
          <w:shd w:val="clear" w:color="auto" w:fill="FFFFFF"/>
        </w:rPr>
        <w:t> </w:t>
      </w:r>
      <w:r w:rsidRPr="00691850">
        <w:rPr>
          <w:color w:val="000000"/>
          <w:shd w:val="clear" w:color="auto" w:fill="FFFFFF"/>
        </w:rPr>
        <w:t xml:space="preserve">12(4)). </w:t>
      </w:r>
      <w:r w:rsidRPr="00691850">
        <w:t xml:space="preserve">Subsection 12(6) of the Act provides that regulations may be made ending the transitional period for a licensee or a class of licensee. Ending this transitional period will mean that they are no longer a “non-Commonwealth licensee” for the purposes of the Act and are subject to relevant state or territory work health and safety laws.  </w:t>
      </w:r>
    </w:p>
    <w:p w14:paraId="4BC8D1C9" w14:textId="663C642C" w:rsidR="00925617" w:rsidRPr="00BB194B" w:rsidRDefault="00344556" w:rsidP="0062021D">
      <w:pPr>
        <w:pStyle w:val="EMnumbers"/>
        <w:numPr>
          <w:ilvl w:val="0"/>
          <w:numId w:val="1"/>
        </w:numPr>
        <w:ind w:left="567" w:hanging="567"/>
      </w:pPr>
      <w:r w:rsidRPr="00BB194B">
        <w:t xml:space="preserve">New </w:t>
      </w:r>
      <w:r w:rsidRPr="000666B5">
        <w:t xml:space="preserve">regulation </w:t>
      </w:r>
      <w:r w:rsidR="00DC1E43" w:rsidRPr="00C37610">
        <w:t>12A</w:t>
      </w:r>
      <w:r w:rsidRPr="000666B5">
        <w:t xml:space="preserve"> </w:t>
      </w:r>
      <w:r w:rsidR="00721583" w:rsidRPr="000666B5">
        <w:t>state</w:t>
      </w:r>
      <w:r w:rsidR="00FF0BFE" w:rsidRPr="000666B5">
        <w:t>s</w:t>
      </w:r>
      <w:r w:rsidR="00AC6480" w:rsidRPr="00BB194B">
        <w:t xml:space="preserve"> that the transiti</w:t>
      </w:r>
      <w:r w:rsidR="004E1652" w:rsidRPr="00BB194B">
        <w:t>onal period for the following entities has ended:</w:t>
      </w:r>
    </w:p>
    <w:p w14:paraId="0B6EA2A3" w14:textId="7AAF0739" w:rsidR="00821082" w:rsidRPr="00BB194B" w:rsidRDefault="00043635" w:rsidP="00821082">
      <w:pPr>
        <w:pStyle w:val="EMnumbers"/>
        <w:numPr>
          <w:ilvl w:val="1"/>
          <w:numId w:val="1"/>
        </w:numPr>
      </w:pPr>
      <w:r>
        <w:t>Holla</w:t>
      </w:r>
      <w:r w:rsidR="00346F45">
        <w:t>r</w:t>
      </w:r>
      <w:r>
        <w:t>d Insurance Partners Limited</w:t>
      </w:r>
      <w:r w:rsidR="00821082" w:rsidRPr="00BB194B">
        <w:t xml:space="preserve"> </w:t>
      </w:r>
    </w:p>
    <w:p w14:paraId="0D16BDC8" w14:textId="746429AA" w:rsidR="004E1652" w:rsidRPr="00BB194B" w:rsidRDefault="004E1652" w:rsidP="004E1652">
      <w:pPr>
        <w:pStyle w:val="EMnumbers"/>
        <w:numPr>
          <w:ilvl w:val="1"/>
          <w:numId w:val="1"/>
        </w:numPr>
      </w:pPr>
      <w:r w:rsidRPr="00BB194B">
        <w:t>MLC Wealth L</w:t>
      </w:r>
      <w:r w:rsidR="00B27F74">
        <w:t>imi</w:t>
      </w:r>
      <w:r w:rsidRPr="00BB194B">
        <w:t>t</w:t>
      </w:r>
      <w:r w:rsidR="00B27F74">
        <w:t>e</w:t>
      </w:r>
      <w:r w:rsidRPr="00BB194B">
        <w:t>d</w:t>
      </w:r>
      <w:r w:rsidR="00406624">
        <w:t>; and</w:t>
      </w:r>
    </w:p>
    <w:p w14:paraId="76836A86" w14:textId="4FB596B5" w:rsidR="00BB4DB4" w:rsidRPr="00BB194B" w:rsidRDefault="004E1652" w:rsidP="00227BA2">
      <w:pPr>
        <w:pStyle w:val="EMnumbers"/>
        <w:numPr>
          <w:ilvl w:val="1"/>
          <w:numId w:val="1"/>
        </w:numPr>
      </w:pPr>
      <w:r w:rsidRPr="00BB194B">
        <w:t xml:space="preserve">Vicinity Centres </w:t>
      </w:r>
      <w:r w:rsidR="00220894">
        <w:t>P</w:t>
      </w:r>
      <w:r w:rsidRPr="00BB194B">
        <w:t>M Pty Ltd</w:t>
      </w:r>
      <w:r w:rsidR="00406624">
        <w:t>.</w:t>
      </w:r>
      <w:r w:rsidR="00BB4DB4" w:rsidRPr="00BB194B">
        <w:rPr>
          <w:b/>
        </w:rPr>
        <w:br w:type="page"/>
      </w:r>
    </w:p>
    <w:p w14:paraId="2A9A92D6" w14:textId="6429D8F1" w:rsidR="00BB4DB4" w:rsidRPr="00BB194B" w:rsidRDefault="00BB4DB4" w:rsidP="00BB4DB4">
      <w:pPr>
        <w:spacing w:before="120"/>
        <w:contextualSpacing/>
        <w:jc w:val="right"/>
        <w:rPr>
          <w:u w:val="single"/>
        </w:rPr>
      </w:pPr>
      <w:r w:rsidRPr="00BB194B">
        <w:rPr>
          <w:u w:val="single"/>
        </w:rPr>
        <w:lastRenderedPageBreak/>
        <w:t>ATTACHMENT B</w:t>
      </w:r>
    </w:p>
    <w:p w14:paraId="06FFF4D6" w14:textId="77777777" w:rsidR="00BB4DB4" w:rsidRPr="00BB194B" w:rsidRDefault="00BB4DB4" w:rsidP="00BB4DB4">
      <w:pPr>
        <w:spacing w:before="120"/>
        <w:contextualSpacing/>
        <w:jc w:val="right"/>
      </w:pPr>
    </w:p>
    <w:p w14:paraId="24606819" w14:textId="77777777" w:rsidR="00BB4DB4" w:rsidRPr="00BB194B" w:rsidRDefault="00BB4DB4" w:rsidP="00BB4DB4">
      <w:pPr>
        <w:spacing w:before="120"/>
        <w:contextualSpacing/>
        <w:jc w:val="center"/>
      </w:pPr>
      <w:r w:rsidRPr="00406624">
        <w:rPr>
          <w:b/>
          <w:bCs/>
        </w:rPr>
        <w:t>S</w:t>
      </w:r>
      <w:r w:rsidRPr="00BB194B">
        <w:rPr>
          <w:b/>
          <w:bCs/>
        </w:rPr>
        <w:t>tatement of Compatibility with Human Rights</w:t>
      </w:r>
    </w:p>
    <w:p w14:paraId="21863CF5" w14:textId="77777777" w:rsidR="00BB4DB4" w:rsidRPr="00BB194B" w:rsidRDefault="00BB4DB4" w:rsidP="00BB4DB4">
      <w:pPr>
        <w:shd w:val="clear" w:color="auto" w:fill="FFFFFF"/>
        <w:spacing w:before="100" w:beforeAutospacing="1" w:after="220"/>
        <w:contextualSpacing/>
        <w:jc w:val="center"/>
      </w:pPr>
    </w:p>
    <w:p w14:paraId="35DD4D7C" w14:textId="5DA49386" w:rsidR="00BB4DB4" w:rsidRPr="00BB194B" w:rsidRDefault="00BB4DB4" w:rsidP="00BB4DB4">
      <w:pPr>
        <w:shd w:val="clear" w:color="auto" w:fill="FFFFFF"/>
        <w:spacing w:before="100" w:beforeAutospacing="1" w:after="220"/>
        <w:contextualSpacing/>
        <w:jc w:val="center"/>
        <w:rPr>
          <w:lang w:val="en-US"/>
        </w:rPr>
      </w:pPr>
      <w:r w:rsidRPr="00BB194B">
        <w:t xml:space="preserve">Issued by the </w:t>
      </w:r>
      <w:r w:rsidRPr="00BB194B">
        <w:rPr>
          <w:lang w:val="en"/>
        </w:rPr>
        <w:t xml:space="preserve">Minister for </w:t>
      </w:r>
      <w:r w:rsidR="007A5C71" w:rsidRPr="00BB194B">
        <w:rPr>
          <w:lang w:val="en"/>
        </w:rPr>
        <w:t>Employment and Workplace Relations</w:t>
      </w:r>
    </w:p>
    <w:p w14:paraId="05F256A8" w14:textId="77777777" w:rsidR="00BB4DB4" w:rsidRPr="00406624" w:rsidRDefault="00BB4DB4" w:rsidP="00BB4DB4">
      <w:pPr>
        <w:shd w:val="clear" w:color="auto" w:fill="FFFFFF"/>
        <w:spacing w:before="100" w:beforeAutospacing="1" w:after="100" w:afterAutospacing="1"/>
        <w:contextualSpacing/>
        <w:jc w:val="center"/>
      </w:pPr>
    </w:p>
    <w:p w14:paraId="3CF31EE2" w14:textId="77777777" w:rsidR="00BB4DB4" w:rsidRPr="00BB194B" w:rsidRDefault="00BB4DB4" w:rsidP="00BB4DB4">
      <w:pPr>
        <w:jc w:val="center"/>
        <w:rPr>
          <w:i/>
        </w:rPr>
      </w:pPr>
      <w:r w:rsidRPr="00BB194B">
        <w:rPr>
          <w:i/>
        </w:rPr>
        <w:t>Prepared in accordance with Part 3 of the Human Rights (Parliamentary Scrutiny) Act 2011</w:t>
      </w:r>
    </w:p>
    <w:p w14:paraId="55F49240" w14:textId="77777777" w:rsidR="00BB4DB4" w:rsidRPr="00406624" w:rsidRDefault="00BB4DB4" w:rsidP="00BB4DB4">
      <w:pPr>
        <w:jc w:val="center"/>
        <w:rPr>
          <w:iCs/>
        </w:rPr>
      </w:pPr>
    </w:p>
    <w:p w14:paraId="229B8C66" w14:textId="4045BE95" w:rsidR="00BB4DB4" w:rsidRPr="00BB194B" w:rsidRDefault="00BB4DB4" w:rsidP="00BB4DB4">
      <w:pPr>
        <w:shd w:val="clear" w:color="auto" w:fill="FFFFFF"/>
        <w:spacing w:before="100" w:beforeAutospacing="1" w:after="100" w:afterAutospacing="1"/>
        <w:contextualSpacing/>
        <w:jc w:val="center"/>
        <w:rPr>
          <w:b/>
          <w:bCs/>
          <w:i/>
        </w:rPr>
      </w:pPr>
      <w:r w:rsidRPr="00BB194B">
        <w:rPr>
          <w:b/>
          <w:bCs/>
          <w:i/>
        </w:rPr>
        <w:t>Work Health and Safety Amendment (</w:t>
      </w:r>
      <w:r w:rsidR="003F21F9" w:rsidRPr="00BB194B">
        <w:rPr>
          <w:b/>
          <w:bCs/>
          <w:i/>
        </w:rPr>
        <w:t>Managing P</w:t>
      </w:r>
      <w:r w:rsidR="004776DE" w:rsidRPr="00BB194B">
        <w:rPr>
          <w:b/>
          <w:bCs/>
          <w:i/>
        </w:rPr>
        <w:t xml:space="preserve">sychosocial </w:t>
      </w:r>
      <w:r w:rsidR="003F21F9" w:rsidRPr="00BB194B">
        <w:rPr>
          <w:b/>
          <w:bCs/>
          <w:i/>
        </w:rPr>
        <w:t>R</w:t>
      </w:r>
      <w:r w:rsidR="004776DE" w:rsidRPr="00BB194B">
        <w:rPr>
          <w:b/>
          <w:bCs/>
          <w:i/>
        </w:rPr>
        <w:t xml:space="preserve">isk and </w:t>
      </w:r>
      <w:r w:rsidR="003F21F9" w:rsidRPr="00BB194B">
        <w:rPr>
          <w:b/>
          <w:bCs/>
          <w:i/>
        </w:rPr>
        <w:t>O</w:t>
      </w:r>
      <w:r w:rsidR="004776DE" w:rsidRPr="00BB194B">
        <w:rPr>
          <w:b/>
          <w:bCs/>
          <w:i/>
        </w:rPr>
        <w:t xml:space="preserve">ther </w:t>
      </w:r>
      <w:r w:rsidR="003F21F9" w:rsidRPr="00BB194B">
        <w:rPr>
          <w:b/>
          <w:bCs/>
          <w:i/>
        </w:rPr>
        <w:t>Measures</w:t>
      </w:r>
      <w:r w:rsidRPr="00BB194B">
        <w:rPr>
          <w:b/>
          <w:bCs/>
          <w:i/>
        </w:rPr>
        <w:t>) Regulations 20</w:t>
      </w:r>
      <w:r w:rsidR="000711BF" w:rsidRPr="00BB194B">
        <w:rPr>
          <w:b/>
          <w:bCs/>
          <w:i/>
        </w:rPr>
        <w:t>2</w:t>
      </w:r>
      <w:r w:rsidR="007A5C71" w:rsidRPr="00BB194B">
        <w:rPr>
          <w:b/>
          <w:bCs/>
          <w:i/>
        </w:rPr>
        <w:t>2</w:t>
      </w:r>
    </w:p>
    <w:p w14:paraId="4465F527" w14:textId="77777777" w:rsidR="00BB4DB4" w:rsidRPr="00BB194B" w:rsidRDefault="00BB4DB4" w:rsidP="00BB4DB4">
      <w:pPr>
        <w:spacing w:after="220"/>
        <w:contextualSpacing/>
      </w:pPr>
    </w:p>
    <w:p w14:paraId="167AB9AE" w14:textId="6F2B01FC" w:rsidR="00BB4DB4" w:rsidRPr="00BB194B" w:rsidRDefault="00BB4DB4" w:rsidP="004532BF">
      <w:pPr>
        <w:spacing w:after="220"/>
      </w:pPr>
      <w:r w:rsidRPr="00BB194B">
        <w:t xml:space="preserve">This </w:t>
      </w:r>
      <w:r w:rsidR="00741FF0" w:rsidRPr="00BB194B">
        <w:t>Disallowable L</w:t>
      </w:r>
      <w:r w:rsidRPr="00BB194B">
        <w:t xml:space="preserve">egislative </w:t>
      </w:r>
      <w:r w:rsidR="00741FF0" w:rsidRPr="00BB194B">
        <w:t>I</w:t>
      </w:r>
      <w:r w:rsidRPr="00BB194B">
        <w:t xml:space="preserve">nstrument is compatible with the human rights and freedoms recognised or declared by the international instruments listed in section 3 of the </w:t>
      </w:r>
      <w:r w:rsidRPr="00BB194B">
        <w:rPr>
          <w:i/>
          <w:iCs/>
        </w:rPr>
        <w:t>Human Rights (Parliamentary Scrutiny) Act 2011</w:t>
      </w:r>
      <w:r w:rsidRPr="00BB194B">
        <w:t>.</w:t>
      </w:r>
    </w:p>
    <w:p w14:paraId="6A9A2CD5" w14:textId="77777777" w:rsidR="00BB4DB4" w:rsidRPr="00DF13CE" w:rsidRDefault="00BB4DB4" w:rsidP="00BB4DB4">
      <w:pPr>
        <w:rPr>
          <w:b/>
        </w:rPr>
      </w:pPr>
      <w:r w:rsidRPr="00BB194B">
        <w:rPr>
          <w:b/>
        </w:rPr>
        <w:t xml:space="preserve">Overview of the Legislative Instrument </w:t>
      </w:r>
    </w:p>
    <w:p w14:paraId="37B6E0EA" w14:textId="77777777" w:rsidR="00BB4DB4" w:rsidRPr="00BB194B" w:rsidRDefault="00BB4DB4" w:rsidP="00BB4DB4">
      <w:pPr>
        <w:rPr>
          <w:lang w:eastAsia="en-US"/>
        </w:rPr>
      </w:pPr>
    </w:p>
    <w:p w14:paraId="610FC35E" w14:textId="3EBBAE67" w:rsidR="00843067" w:rsidRPr="00803878" w:rsidRDefault="006371D0" w:rsidP="00803878">
      <w:pPr>
        <w:spacing w:after="220"/>
        <w:contextualSpacing/>
      </w:pPr>
      <w:r w:rsidRPr="00803878">
        <w:t>The </w:t>
      </w:r>
      <w:r w:rsidRPr="00803878">
        <w:rPr>
          <w:i/>
          <w:iCs/>
        </w:rPr>
        <w:t>Work Health and Safety Act 2011</w:t>
      </w:r>
      <w:r w:rsidRPr="00803878">
        <w:t> (the Act) and </w:t>
      </w:r>
      <w:r w:rsidRPr="007D1992">
        <w:rPr>
          <w:i/>
          <w:iCs/>
        </w:rPr>
        <w:t>Work Health and Safety Regulations 2011 </w:t>
      </w:r>
      <w:r w:rsidRPr="00803878">
        <w:t xml:space="preserve">(the </w:t>
      </w:r>
      <w:r w:rsidR="00D2157A">
        <w:t>p</w:t>
      </w:r>
      <w:r w:rsidRPr="00803878">
        <w:t>rincipal Regulations) provide the</w:t>
      </w:r>
      <w:r w:rsidR="003F6F93">
        <w:t xml:space="preserve"> primary</w:t>
      </w:r>
      <w:r w:rsidRPr="00803878">
        <w:t xml:space="preserve"> work health and safety legislation for the Commonwealth jurisdiction. They are based on model </w:t>
      </w:r>
      <w:r w:rsidR="006D3F93">
        <w:t>W</w:t>
      </w:r>
      <w:r w:rsidR="00C36CAB">
        <w:t xml:space="preserve">ork </w:t>
      </w:r>
      <w:r w:rsidR="006D3F93">
        <w:t>H</w:t>
      </w:r>
      <w:r w:rsidR="00C36CAB">
        <w:t xml:space="preserve">ealth and </w:t>
      </w:r>
      <w:r w:rsidR="006D3F93">
        <w:t>S</w:t>
      </w:r>
      <w:r w:rsidR="00C36CAB">
        <w:t>afety</w:t>
      </w:r>
      <w:r w:rsidR="00C36CAB" w:rsidRPr="00803878">
        <w:t xml:space="preserve"> </w:t>
      </w:r>
      <w:r w:rsidRPr="00803878">
        <w:t>laws</w:t>
      </w:r>
      <w:r w:rsidR="0048756A" w:rsidRPr="00803878">
        <w:t xml:space="preserve"> </w:t>
      </w:r>
      <w:r w:rsidR="00C36CAB">
        <w:t xml:space="preserve">(model laws) </w:t>
      </w:r>
      <w:r w:rsidRPr="00803878">
        <w:t>developed by S</w:t>
      </w:r>
      <w:r w:rsidR="00CA0D5B" w:rsidRPr="00803878">
        <w:t xml:space="preserve">afe </w:t>
      </w:r>
      <w:r w:rsidRPr="00803878">
        <w:t>W</w:t>
      </w:r>
      <w:r w:rsidR="00CA0D5B" w:rsidRPr="00803878">
        <w:t xml:space="preserve">ork </w:t>
      </w:r>
      <w:r w:rsidRPr="00803878">
        <w:t>A</w:t>
      </w:r>
      <w:r w:rsidR="00CA0D5B" w:rsidRPr="00803878">
        <w:t>ustralia</w:t>
      </w:r>
      <w:r w:rsidR="00D426EF" w:rsidRPr="00803878">
        <w:t xml:space="preserve">. </w:t>
      </w:r>
    </w:p>
    <w:p w14:paraId="7AD0699E" w14:textId="77777777" w:rsidR="00344406" w:rsidRPr="00803878" w:rsidRDefault="00344406" w:rsidP="00803878">
      <w:pPr>
        <w:spacing w:after="220"/>
        <w:contextualSpacing/>
      </w:pPr>
    </w:p>
    <w:p w14:paraId="29325324" w14:textId="46124219" w:rsidR="001A5DC9" w:rsidRPr="00803878" w:rsidRDefault="001A5DC9" w:rsidP="00F76DE2">
      <w:pPr>
        <w:spacing w:after="220"/>
        <w:contextualSpacing/>
      </w:pPr>
      <w:r w:rsidRPr="00803878">
        <w:t xml:space="preserve">The purpose of the </w:t>
      </w:r>
      <w:r w:rsidR="00DF3A9A" w:rsidRPr="00DF3A9A">
        <w:rPr>
          <w:i/>
          <w:iCs/>
        </w:rPr>
        <w:t>Work Health and Safety Amendment (Managing Psychosocial Risk and Other Measures) Regulations 2022</w:t>
      </w:r>
      <w:r w:rsidR="00DF3A9A">
        <w:t xml:space="preserve"> (Amendment</w:t>
      </w:r>
      <w:r w:rsidRPr="00803878">
        <w:t xml:space="preserve"> Regulations</w:t>
      </w:r>
      <w:r w:rsidR="00DF3A9A">
        <w:t>)</w:t>
      </w:r>
      <w:r w:rsidRPr="00803878">
        <w:t xml:space="preserve"> is to improve </w:t>
      </w:r>
      <w:r w:rsidR="00C36CAB">
        <w:t>work health and safety</w:t>
      </w:r>
      <w:r w:rsidRPr="00803878">
        <w:t xml:space="preserve"> outcomes by inserting regulations on managing psychosocial risks in the workplace and making other minor and clarifying amendments. The </w:t>
      </w:r>
      <w:r w:rsidR="00E64EF4">
        <w:t>Amendment</w:t>
      </w:r>
      <w:r w:rsidRPr="00803878">
        <w:t xml:space="preserve"> Regulations implement amendments made to the model </w:t>
      </w:r>
      <w:r w:rsidR="00FE27C0">
        <w:t>Work Health and Safety</w:t>
      </w:r>
      <w:r w:rsidRPr="00803878">
        <w:t xml:space="preserve"> Regulations </w:t>
      </w:r>
      <w:r w:rsidR="00FE27C0">
        <w:t>(model Regulations</w:t>
      </w:r>
      <w:r w:rsidR="00E520C7">
        <w:t>)</w:t>
      </w:r>
      <w:r w:rsidR="00FE27C0">
        <w:t xml:space="preserve"> </w:t>
      </w:r>
      <w:r w:rsidRPr="00803878">
        <w:t xml:space="preserve">arising from the Review of the model </w:t>
      </w:r>
      <w:r w:rsidR="00E520C7">
        <w:t xml:space="preserve">Work Health and Safety </w:t>
      </w:r>
      <w:r w:rsidRPr="00803878">
        <w:t>laws (Boland Review). Commonwealth specific amendments to clarify aspects of scope and coverage of the Commonwealth work health and safety laws are included. Amendments would:</w:t>
      </w:r>
    </w:p>
    <w:p w14:paraId="0663BC82" w14:textId="3E7BB228" w:rsidR="00104EFA" w:rsidRPr="00AA2CB5" w:rsidRDefault="00104EFA" w:rsidP="00C37610">
      <w:pPr>
        <w:pStyle w:val="xxemnumbers"/>
        <w:numPr>
          <w:ilvl w:val="0"/>
          <w:numId w:val="28"/>
        </w:numPr>
        <w:spacing w:beforeAutospacing="0" w:after="120" w:afterAutospacing="0"/>
        <w:ind w:left="714" w:hanging="357"/>
        <w:rPr>
          <w:rFonts w:ascii="Times New Roman" w:hAnsi="Times New Roman" w:cs="Times New Roman"/>
          <w:sz w:val="24"/>
          <w:szCs w:val="24"/>
        </w:rPr>
      </w:pPr>
      <w:r w:rsidRPr="00AA2CB5">
        <w:rPr>
          <w:rFonts w:ascii="Times New Roman" w:hAnsi="Times New Roman" w:cs="Times New Roman"/>
          <w:sz w:val="24"/>
          <w:szCs w:val="24"/>
        </w:rPr>
        <w:t>Demonstrate how to identify workplace psychosocial risks associated with psychosocial injury and the appropriate control measures to utilise to manage those risks (</w:t>
      </w:r>
      <w:r w:rsidR="00EB2AA2" w:rsidRPr="00AA2CB5">
        <w:rPr>
          <w:rFonts w:ascii="Times New Roman" w:hAnsi="Times New Roman" w:cs="Times New Roman"/>
          <w:sz w:val="24"/>
          <w:szCs w:val="24"/>
        </w:rPr>
        <w:t xml:space="preserve">Boland Review </w:t>
      </w:r>
      <w:r w:rsidRPr="00AA2CB5">
        <w:rPr>
          <w:rFonts w:ascii="Times New Roman" w:hAnsi="Times New Roman" w:cs="Times New Roman"/>
          <w:sz w:val="24"/>
          <w:szCs w:val="24"/>
        </w:rPr>
        <w:t xml:space="preserve">recommendation 2).  </w:t>
      </w:r>
    </w:p>
    <w:p w14:paraId="3B43868B" w14:textId="0E5831F1" w:rsidR="00104EFA" w:rsidRPr="00AA2CB5" w:rsidRDefault="00104EFA" w:rsidP="00C37610">
      <w:pPr>
        <w:pStyle w:val="xxemnumbers"/>
        <w:numPr>
          <w:ilvl w:val="0"/>
          <w:numId w:val="28"/>
        </w:numPr>
        <w:spacing w:beforeAutospacing="0" w:after="120" w:afterAutospacing="0"/>
        <w:ind w:left="714" w:hanging="357"/>
        <w:rPr>
          <w:rFonts w:ascii="Times New Roman" w:hAnsi="Times New Roman" w:cs="Times New Roman"/>
          <w:sz w:val="24"/>
          <w:szCs w:val="24"/>
        </w:rPr>
      </w:pPr>
      <w:r w:rsidRPr="00AA2CB5">
        <w:rPr>
          <w:rFonts w:ascii="Times New Roman" w:hAnsi="Times New Roman" w:cs="Times New Roman"/>
          <w:sz w:val="24"/>
          <w:szCs w:val="24"/>
        </w:rPr>
        <w:t xml:space="preserve">Improve recording of statutory notices and operator training in amusement device </w:t>
      </w:r>
      <w:proofErr w:type="gramStart"/>
      <w:r w:rsidRPr="00AA2CB5">
        <w:rPr>
          <w:rFonts w:ascii="Times New Roman" w:hAnsi="Times New Roman" w:cs="Times New Roman"/>
          <w:sz w:val="24"/>
          <w:szCs w:val="24"/>
        </w:rPr>
        <w:t>log books</w:t>
      </w:r>
      <w:proofErr w:type="gramEnd"/>
      <w:r w:rsidRPr="00AA2CB5">
        <w:rPr>
          <w:rFonts w:ascii="Times New Roman" w:hAnsi="Times New Roman" w:cs="Times New Roman"/>
          <w:sz w:val="24"/>
          <w:szCs w:val="24"/>
        </w:rPr>
        <w:t xml:space="preserve"> to improve the visibility of amusement device safety (</w:t>
      </w:r>
      <w:r w:rsidR="00EB2AA2" w:rsidRPr="00AA2CB5">
        <w:rPr>
          <w:rFonts w:ascii="Times New Roman" w:hAnsi="Times New Roman" w:cs="Times New Roman"/>
          <w:sz w:val="24"/>
          <w:szCs w:val="24"/>
        </w:rPr>
        <w:t xml:space="preserve">Boland Review </w:t>
      </w:r>
      <w:r w:rsidRPr="00AA2CB5">
        <w:rPr>
          <w:rFonts w:ascii="Times New Roman" w:hAnsi="Times New Roman" w:cs="Times New Roman"/>
          <w:sz w:val="24"/>
          <w:szCs w:val="24"/>
        </w:rPr>
        <w:t xml:space="preserve">recommendation 28). </w:t>
      </w:r>
    </w:p>
    <w:p w14:paraId="288D48A1" w14:textId="411E7B23" w:rsidR="00104EFA" w:rsidRPr="00AA2CB5" w:rsidRDefault="00104EFA" w:rsidP="00C37610">
      <w:pPr>
        <w:pStyle w:val="xxemnumbers"/>
        <w:numPr>
          <w:ilvl w:val="0"/>
          <w:numId w:val="28"/>
        </w:numPr>
        <w:spacing w:beforeAutospacing="0" w:after="120" w:afterAutospacing="0"/>
        <w:ind w:left="714" w:hanging="357"/>
        <w:rPr>
          <w:rFonts w:ascii="Times New Roman" w:hAnsi="Times New Roman" w:cs="Times New Roman"/>
          <w:sz w:val="24"/>
          <w:szCs w:val="24"/>
        </w:rPr>
      </w:pPr>
      <w:r w:rsidRPr="00AA2CB5">
        <w:rPr>
          <w:rFonts w:ascii="Times New Roman" w:hAnsi="Times New Roman" w:cs="Times New Roman"/>
          <w:sz w:val="24"/>
          <w:szCs w:val="24"/>
        </w:rPr>
        <w:t xml:space="preserve">Clarify that compliance with an Australian Standard or an Australia/New Zealand </w:t>
      </w:r>
      <w:r w:rsidR="005563B9">
        <w:rPr>
          <w:rFonts w:ascii="Times New Roman" w:hAnsi="Times New Roman" w:cs="Times New Roman"/>
          <w:sz w:val="24"/>
          <w:szCs w:val="24"/>
        </w:rPr>
        <w:t>S</w:t>
      </w:r>
      <w:r w:rsidRPr="00AA2CB5">
        <w:rPr>
          <w:rFonts w:ascii="Times New Roman" w:hAnsi="Times New Roman" w:cs="Times New Roman"/>
          <w:sz w:val="24"/>
          <w:szCs w:val="24"/>
        </w:rPr>
        <w:t>tandard is not mandatory unless this is specifically stated (</w:t>
      </w:r>
      <w:r w:rsidR="00EB2AA2" w:rsidRPr="00AA2CB5">
        <w:rPr>
          <w:rFonts w:ascii="Times New Roman" w:hAnsi="Times New Roman" w:cs="Times New Roman"/>
          <w:sz w:val="24"/>
          <w:szCs w:val="24"/>
        </w:rPr>
        <w:t xml:space="preserve">Boland Review </w:t>
      </w:r>
      <w:r w:rsidRPr="00AA2CB5">
        <w:rPr>
          <w:rFonts w:ascii="Times New Roman" w:hAnsi="Times New Roman" w:cs="Times New Roman"/>
          <w:sz w:val="24"/>
          <w:szCs w:val="24"/>
        </w:rPr>
        <w:t>recommendation 31b).</w:t>
      </w:r>
    </w:p>
    <w:p w14:paraId="4F2822ED" w14:textId="77777777" w:rsidR="00104EFA" w:rsidRPr="00AA2CB5" w:rsidRDefault="00104EFA" w:rsidP="00C37610">
      <w:pPr>
        <w:pStyle w:val="xxemnumbers"/>
        <w:numPr>
          <w:ilvl w:val="0"/>
          <w:numId w:val="28"/>
        </w:numPr>
        <w:spacing w:beforeAutospacing="0" w:after="120" w:afterAutospacing="0"/>
        <w:ind w:left="714" w:hanging="357"/>
        <w:rPr>
          <w:rFonts w:ascii="Times New Roman" w:hAnsi="Times New Roman" w:cs="Times New Roman"/>
          <w:sz w:val="24"/>
          <w:szCs w:val="24"/>
        </w:rPr>
      </w:pPr>
      <w:r w:rsidRPr="00AA2CB5">
        <w:rPr>
          <w:rFonts w:ascii="Times New Roman" w:hAnsi="Times New Roman" w:cs="Times New Roman"/>
          <w:sz w:val="24"/>
          <w:szCs w:val="24"/>
        </w:rPr>
        <w:t xml:space="preserve">Refine the definition of ‘corresponding WHS law’ to ensure that only the primary work health and safety laws in each jurisdiction are ‘corresponding WHS </w:t>
      </w:r>
      <w:proofErr w:type="gramStart"/>
      <w:r w:rsidRPr="00AA2CB5">
        <w:rPr>
          <w:rFonts w:ascii="Times New Roman" w:hAnsi="Times New Roman" w:cs="Times New Roman"/>
          <w:sz w:val="24"/>
          <w:szCs w:val="24"/>
        </w:rPr>
        <w:t>laws’</w:t>
      </w:r>
      <w:proofErr w:type="gramEnd"/>
      <w:r w:rsidRPr="00AA2CB5">
        <w:rPr>
          <w:rFonts w:ascii="Times New Roman" w:hAnsi="Times New Roman" w:cs="Times New Roman"/>
          <w:sz w:val="24"/>
          <w:szCs w:val="24"/>
        </w:rPr>
        <w:t xml:space="preserve"> and that other laws, including industry specific occupational health and safety laws apply to the Commonwealth, public authorities, and non-Commonwealth licensees. </w:t>
      </w:r>
    </w:p>
    <w:p w14:paraId="51D0C127" w14:textId="77777777" w:rsidR="00104EFA" w:rsidRPr="00AA2CB5" w:rsidRDefault="00104EFA" w:rsidP="00C37610">
      <w:pPr>
        <w:pStyle w:val="xxemnumbers"/>
        <w:numPr>
          <w:ilvl w:val="0"/>
          <w:numId w:val="28"/>
        </w:numPr>
        <w:spacing w:beforeAutospacing="0" w:after="120" w:afterAutospacing="0"/>
        <w:ind w:left="714" w:hanging="357"/>
        <w:rPr>
          <w:rFonts w:ascii="Times New Roman" w:hAnsi="Times New Roman" w:cs="Times New Roman"/>
          <w:sz w:val="24"/>
          <w:szCs w:val="24"/>
        </w:rPr>
      </w:pPr>
      <w:r w:rsidRPr="00AA2CB5">
        <w:rPr>
          <w:rFonts w:ascii="Times New Roman" w:hAnsi="Times New Roman" w:cs="Times New Roman"/>
          <w:sz w:val="24"/>
          <w:szCs w:val="24"/>
        </w:rPr>
        <w:t xml:space="preserve">Update the list of prescribed public authorities to ensure entity names are accurate and remove entities which have ceased to exist. </w:t>
      </w:r>
    </w:p>
    <w:p w14:paraId="245A54CB" w14:textId="306EA7F8" w:rsidR="00695FDA" w:rsidRPr="00AA2CB5" w:rsidRDefault="00327255" w:rsidP="00C37610">
      <w:pPr>
        <w:pStyle w:val="xxemnumbers"/>
        <w:numPr>
          <w:ilvl w:val="0"/>
          <w:numId w:val="28"/>
        </w:numPr>
        <w:spacing w:beforeAutospacing="0" w:after="120" w:afterAutospacing="0"/>
        <w:ind w:left="714" w:hanging="357"/>
        <w:rPr>
          <w:rFonts w:ascii="Times New Roman" w:hAnsi="Times New Roman" w:cs="Times New Roman"/>
          <w:sz w:val="24"/>
          <w:szCs w:val="24"/>
        </w:rPr>
      </w:pPr>
      <w:r w:rsidRPr="00AA2CB5">
        <w:rPr>
          <w:rFonts w:ascii="Times New Roman" w:hAnsi="Times New Roman" w:cs="Times New Roman"/>
          <w:sz w:val="24"/>
          <w:szCs w:val="24"/>
        </w:rPr>
        <w:t>C</w:t>
      </w:r>
      <w:r w:rsidR="00104EFA" w:rsidRPr="00AA2CB5">
        <w:rPr>
          <w:rFonts w:ascii="Times New Roman" w:hAnsi="Times New Roman" w:cs="Times New Roman"/>
          <w:sz w:val="24"/>
          <w:szCs w:val="24"/>
        </w:rPr>
        <w:t xml:space="preserve">larify coverage for certain non-Commonwealth licensees which have had a licence for self-insurance revoked under the </w:t>
      </w:r>
      <w:r w:rsidR="00104EFA" w:rsidRPr="00AA2CB5">
        <w:rPr>
          <w:rFonts w:ascii="Times New Roman" w:hAnsi="Times New Roman" w:cs="Times New Roman"/>
          <w:i/>
          <w:iCs/>
          <w:sz w:val="24"/>
          <w:szCs w:val="24"/>
        </w:rPr>
        <w:t>Safety, Rehabilitation and Compensation Act 1988</w:t>
      </w:r>
      <w:r w:rsidR="00104EFA" w:rsidRPr="00AA2CB5">
        <w:rPr>
          <w:rFonts w:ascii="Times New Roman" w:hAnsi="Times New Roman" w:cs="Times New Roman"/>
          <w:sz w:val="24"/>
          <w:szCs w:val="24"/>
        </w:rPr>
        <w:t>.</w:t>
      </w:r>
    </w:p>
    <w:p w14:paraId="13A84179" w14:textId="77777777" w:rsidR="00BB4DB4" w:rsidRPr="00BB194B" w:rsidRDefault="00BB4DB4" w:rsidP="00C37610">
      <w:pPr>
        <w:rPr>
          <w:b/>
        </w:rPr>
      </w:pPr>
      <w:r w:rsidRPr="00BB194B">
        <w:rPr>
          <w:b/>
        </w:rPr>
        <w:lastRenderedPageBreak/>
        <w:t>Human Rights Implications</w:t>
      </w:r>
    </w:p>
    <w:p w14:paraId="38E48491" w14:textId="77777777" w:rsidR="00BB4DB4" w:rsidRPr="00BB194B" w:rsidRDefault="00BB4DB4" w:rsidP="00C37610"/>
    <w:p w14:paraId="2BFF0BBD" w14:textId="77777777" w:rsidR="00077FF9" w:rsidRDefault="00BD5A29" w:rsidP="00C37610">
      <w:pPr>
        <w:pStyle w:val="EMnumbers"/>
        <w:spacing w:line="240" w:lineRule="auto"/>
      </w:pPr>
      <w:r w:rsidRPr="00BB194B">
        <w:rPr>
          <w:lang w:val="en-GB"/>
        </w:rPr>
        <w:t>Th</w:t>
      </w:r>
      <w:r w:rsidR="004439D5" w:rsidRPr="00BB194B">
        <w:rPr>
          <w:lang w:val="en-GB"/>
        </w:rPr>
        <w:t>is Disallowable Legislative Instrument</w:t>
      </w:r>
      <w:r w:rsidRPr="00BB194B">
        <w:rPr>
          <w:lang w:val="en-GB"/>
        </w:rPr>
        <w:t xml:space="preserve"> engages </w:t>
      </w:r>
      <w:r w:rsidR="005419EC">
        <w:t>t</w:t>
      </w:r>
      <w:r w:rsidRPr="00BB194B">
        <w:t>he</w:t>
      </w:r>
      <w:r w:rsidR="00BA2687">
        <w:t xml:space="preserve"> following human</w:t>
      </w:r>
      <w:r w:rsidR="00077FF9">
        <w:t xml:space="preserve"> rights:</w:t>
      </w:r>
    </w:p>
    <w:p w14:paraId="47E6B924" w14:textId="4966CB3A" w:rsidR="00077FF9" w:rsidRDefault="00077FF9" w:rsidP="00C37610">
      <w:pPr>
        <w:pStyle w:val="EMnumbers"/>
        <w:numPr>
          <w:ilvl w:val="0"/>
          <w:numId w:val="32"/>
        </w:numPr>
        <w:spacing w:line="240" w:lineRule="auto"/>
      </w:pPr>
      <w:r>
        <w:t xml:space="preserve">The </w:t>
      </w:r>
      <w:r w:rsidR="00BD5A29" w:rsidRPr="00BB194B">
        <w:t>right to just and favourable conditions of work under Article 7 of the International Covenant on Economic, Social and Cultural Rights (ICESCR); and</w:t>
      </w:r>
    </w:p>
    <w:p w14:paraId="3D816DD0" w14:textId="5F0AD024" w:rsidR="00BD5A29" w:rsidRPr="00BB194B" w:rsidRDefault="00E131F0" w:rsidP="00C37610">
      <w:pPr>
        <w:pStyle w:val="EMnumbers"/>
        <w:numPr>
          <w:ilvl w:val="0"/>
          <w:numId w:val="32"/>
        </w:numPr>
        <w:spacing w:line="240" w:lineRule="auto"/>
      </w:pPr>
      <w:r>
        <w:t xml:space="preserve">The right to privacy under </w:t>
      </w:r>
      <w:r w:rsidR="00406624">
        <w:t>A</w:t>
      </w:r>
      <w:r>
        <w:t>rticle 17 of the International Covenant on Civil and Political Rights (ICCPR).</w:t>
      </w:r>
    </w:p>
    <w:p w14:paraId="7582D882" w14:textId="77777777" w:rsidR="002B3C80" w:rsidRPr="00C37610" w:rsidRDefault="002B3C80" w:rsidP="00C37610">
      <w:pPr>
        <w:pStyle w:val="EMnumbers"/>
        <w:spacing w:line="240" w:lineRule="auto"/>
        <w:rPr>
          <w:u w:val="single"/>
          <w:lang w:val="en-GB"/>
        </w:rPr>
      </w:pPr>
      <w:r w:rsidRPr="00C37610">
        <w:rPr>
          <w:u w:val="single"/>
          <w:lang w:val="en-GB"/>
        </w:rPr>
        <w:t>Right to just and favourable conditions of work</w:t>
      </w:r>
    </w:p>
    <w:p w14:paraId="46C4C93F" w14:textId="4CB96AB3" w:rsidR="006E1288" w:rsidRDefault="002B3C80" w:rsidP="00C37610">
      <w:pPr>
        <w:pStyle w:val="EMnumbers"/>
        <w:spacing w:line="240" w:lineRule="auto"/>
        <w:rPr>
          <w:lang w:val="en-GB"/>
        </w:rPr>
      </w:pPr>
      <w:r w:rsidRPr="00BB194B">
        <w:rPr>
          <w:lang w:val="en-GB"/>
        </w:rPr>
        <w:t>Article 7 of the ICESCR provides that everyone has the right to the ‘enjoyment of just and favourable conditions of work, which ensure, in particular…[s]</w:t>
      </w:r>
      <w:proofErr w:type="spellStart"/>
      <w:r w:rsidRPr="00BB194B">
        <w:rPr>
          <w:lang w:val="en-GB"/>
        </w:rPr>
        <w:t>afe</w:t>
      </w:r>
      <w:proofErr w:type="spellEnd"/>
      <w:r w:rsidRPr="00BB194B">
        <w:rPr>
          <w:lang w:val="en-GB"/>
        </w:rPr>
        <w:t xml:space="preserve"> and healthy working </w:t>
      </w:r>
      <w:proofErr w:type="gramStart"/>
      <w:r w:rsidRPr="00BB194B">
        <w:rPr>
          <w:lang w:val="en-GB"/>
        </w:rPr>
        <w:t>conditions’</w:t>
      </w:r>
      <w:proofErr w:type="gramEnd"/>
      <w:r w:rsidRPr="00BB194B">
        <w:rPr>
          <w:lang w:val="en-GB"/>
        </w:rPr>
        <w:t xml:space="preserve">. </w:t>
      </w:r>
    </w:p>
    <w:p w14:paraId="64D7D1C0" w14:textId="479ADC90" w:rsidR="00E806B1" w:rsidRDefault="0079666F" w:rsidP="00C37610">
      <w:pPr>
        <w:pStyle w:val="xxemnumbers"/>
        <w:spacing w:beforeAutospacing="0" w:after="120" w:afterAutospacing="0"/>
        <w:rPr>
          <w:rFonts w:ascii="Times New Roman" w:hAnsi="Times New Roman" w:cs="Times New Roman"/>
          <w:sz w:val="24"/>
          <w:szCs w:val="24"/>
        </w:rPr>
      </w:pPr>
      <w:r w:rsidRPr="009C2E6C">
        <w:rPr>
          <w:rFonts w:ascii="Times New Roman" w:hAnsi="Times New Roman" w:cs="Times New Roman"/>
          <w:sz w:val="24"/>
          <w:szCs w:val="24"/>
        </w:rPr>
        <w:t>The content of the right to just and favourable conditions of work can be informed by specific obligations in treaties of the International Labour Organization (ILO)</w:t>
      </w:r>
      <w:r w:rsidR="00ED05A0">
        <w:rPr>
          <w:rFonts w:ascii="Times New Roman" w:hAnsi="Times New Roman" w:cs="Times New Roman"/>
          <w:sz w:val="24"/>
          <w:szCs w:val="24"/>
        </w:rPr>
        <w:t>,</w:t>
      </w:r>
      <w:r w:rsidR="00E806B1">
        <w:rPr>
          <w:rFonts w:ascii="Times New Roman" w:hAnsi="Times New Roman" w:cs="Times New Roman"/>
          <w:sz w:val="24"/>
          <w:szCs w:val="24"/>
        </w:rPr>
        <w:t xml:space="preserve"> including</w:t>
      </w:r>
      <w:r w:rsidR="00ED05A0">
        <w:rPr>
          <w:rFonts w:ascii="Times New Roman" w:hAnsi="Times New Roman" w:cs="Times New Roman"/>
          <w:sz w:val="24"/>
          <w:szCs w:val="24"/>
        </w:rPr>
        <w:t>:</w:t>
      </w:r>
    </w:p>
    <w:p w14:paraId="613FC37C" w14:textId="6ACA8B15" w:rsidR="00E806B1" w:rsidRPr="00227BA2" w:rsidRDefault="0079666F" w:rsidP="00C37610">
      <w:pPr>
        <w:pStyle w:val="xxemnumbers"/>
        <w:numPr>
          <w:ilvl w:val="0"/>
          <w:numId w:val="28"/>
        </w:numPr>
        <w:spacing w:beforeAutospacing="0" w:after="120" w:afterAutospacing="0"/>
        <w:rPr>
          <w:rFonts w:ascii="Times New Roman" w:hAnsi="Times New Roman" w:cs="Times New Roman"/>
          <w:sz w:val="24"/>
          <w:szCs w:val="24"/>
          <w:lang w:val="en-GB"/>
        </w:rPr>
      </w:pPr>
      <w:r w:rsidRPr="009C2E6C">
        <w:rPr>
          <w:rFonts w:ascii="Times New Roman" w:hAnsi="Times New Roman" w:cs="Times New Roman"/>
          <w:sz w:val="24"/>
          <w:szCs w:val="24"/>
        </w:rPr>
        <w:t xml:space="preserve">the </w:t>
      </w:r>
      <w:r w:rsidRPr="009C2E6C">
        <w:rPr>
          <w:rFonts w:ascii="Times New Roman" w:hAnsi="Times New Roman" w:cs="Times New Roman"/>
          <w:i/>
          <w:iCs/>
          <w:sz w:val="24"/>
          <w:szCs w:val="24"/>
        </w:rPr>
        <w:t>Occupational Safety and Health Convention 1981</w:t>
      </w:r>
      <w:r w:rsidRPr="009C2E6C">
        <w:rPr>
          <w:rFonts w:ascii="Times New Roman" w:hAnsi="Times New Roman" w:cs="Times New Roman"/>
          <w:sz w:val="24"/>
          <w:szCs w:val="24"/>
        </w:rPr>
        <w:t xml:space="preserve"> (No. 155) which requires the adoption of a coherent national policy on occupational safety, occupational </w:t>
      </w:r>
      <w:proofErr w:type="gramStart"/>
      <w:r w:rsidRPr="009C2E6C">
        <w:rPr>
          <w:rFonts w:ascii="Times New Roman" w:hAnsi="Times New Roman" w:cs="Times New Roman"/>
          <w:sz w:val="24"/>
          <w:szCs w:val="24"/>
        </w:rPr>
        <w:t>health</w:t>
      </w:r>
      <w:proofErr w:type="gramEnd"/>
      <w:r w:rsidRPr="009C2E6C">
        <w:rPr>
          <w:rFonts w:ascii="Times New Roman" w:hAnsi="Times New Roman" w:cs="Times New Roman"/>
          <w:sz w:val="24"/>
          <w:szCs w:val="24"/>
        </w:rPr>
        <w:t xml:space="preserve"> and the working environment</w:t>
      </w:r>
      <w:r w:rsidR="00ED05A0">
        <w:rPr>
          <w:rFonts w:ascii="Times New Roman" w:hAnsi="Times New Roman" w:cs="Times New Roman"/>
          <w:sz w:val="24"/>
          <w:szCs w:val="24"/>
        </w:rPr>
        <w:t>, and</w:t>
      </w:r>
    </w:p>
    <w:p w14:paraId="6DBAD8C5" w14:textId="4172DF3A" w:rsidR="00305FAF" w:rsidRPr="00250AC0" w:rsidRDefault="0079666F" w:rsidP="00C37610">
      <w:pPr>
        <w:pStyle w:val="xxemnumbers"/>
        <w:numPr>
          <w:ilvl w:val="0"/>
          <w:numId w:val="28"/>
        </w:numPr>
        <w:spacing w:beforeAutospacing="0" w:after="120" w:afterAutospacing="0"/>
        <w:rPr>
          <w:rFonts w:ascii="Times New Roman" w:hAnsi="Times New Roman" w:cs="Times New Roman"/>
        </w:rPr>
      </w:pPr>
      <w:r w:rsidRPr="009C2E6C">
        <w:rPr>
          <w:rFonts w:ascii="Times New Roman" w:hAnsi="Times New Roman" w:cs="Times New Roman"/>
          <w:sz w:val="24"/>
          <w:szCs w:val="24"/>
        </w:rPr>
        <w:t xml:space="preserve">the </w:t>
      </w:r>
      <w:r w:rsidRPr="009C2E6C">
        <w:rPr>
          <w:rFonts w:ascii="Times New Roman" w:hAnsi="Times New Roman" w:cs="Times New Roman"/>
          <w:i/>
          <w:iCs/>
          <w:sz w:val="24"/>
          <w:szCs w:val="24"/>
        </w:rPr>
        <w:t xml:space="preserve">Violence and Harassment Convention 2019 </w:t>
      </w:r>
      <w:r w:rsidRPr="009C2E6C">
        <w:rPr>
          <w:rFonts w:ascii="Times New Roman" w:hAnsi="Times New Roman" w:cs="Times New Roman"/>
          <w:sz w:val="24"/>
          <w:szCs w:val="24"/>
        </w:rPr>
        <w:t>(No. 190)</w:t>
      </w:r>
      <w:r w:rsidR="009727FD">
        <w:rPr>
          <w:rFonts w:ascii="Times New Roman" w:hAnsi="Times New Roman" w:cs="Times New Roman"/>
          <w:sz w:val="24"/>
          <w:szCs w:val="24"/>
        </w:rPr>
        <w:t xml:space="preserve">, of which the Australian Government has commenced ratification, </w:t>
      </w:r>
      <w:r w:rsidR="00406624">
        <w:rPr>
          <w:rFonts w:ascii="Times New Roman" w:hAnsi="Times New Roman" w:cs="Times New Roman"/>
          <w:sz w:val="24"/>
          <w:szCs w:val="24"/>
        </w:rPr>
        <w:t xml:space="preserve">which </w:t>
      </w:r>
      <w:r w:rsidRPr="009C2E6C">
        <w:rPr>
          <w:rFonts w:ascii="Times New Roman" w:hAnsi="Times New Roman" w:cs="Times New Roman"/>
          <w:sz w:val="24"/>
          <w:szCs w:val="24"/>
        </w:rPr>
        <w:t xml:space="preserve">requires the adoption of laws and regulations </w:t>
      </w:r>
      <w:r>
        <w:rPr>
          <w:rFonts w:ascii="Times New Roman" w:hAnsi="Times New Roman" w:cs="Times New Roman"/>
          <w:sz w:val="24"/>
          <w:szCs w:val="24"/>
        </w:rPr>
        <w:t xml:space="preserve">to require employers to take appropriate steps corresponding to their degree of control to prevent violence and harassment at work. </w:t>
      </w:r>
      <w:r w:rsidRPr="009C2E6C">
        <w:rPr>
          <w:rFonts w:ascii="Times New Roman" w:hAnsi="Times New Roman" w:cs="Times New Roman"/>
          <w:sz w:val="24"/>
          <w:szCs w:val="24"/>
        </w:rPr>
        <w:t xml:space="preserve">Violence and harassment include behaviours and practices that can result in psychological harm. </w:t>
      </w:r>
    </w:p>
    <w:p w14:paraId="4900C255" w14:textId="0D96469B" w:rsidR="00305FAF" w:rsidRPr="00227BA2" w:rsidRDefault="002826E5" w:rsidP="00C37610">
      <w:pPr>
        <w:pStyle w:val="xxemnumbers"/>
        <w:spacing w:beforeAutospacing="0" w:after="120" w:afterAutospacing="0"/>
        <w:rPr>
          <w:rFonts w:ascii="Times New Roman" w:hAnsi="Times New Roman" w:cs="Times New Roman"/>
        </w:rPr>
      </w:pPr>
      <w:r w:rsidRPr="009C2E6C">
        <w:rPr>
          <w:rFonts w:ascii="Times New Roman" w:hAnsi="Times New Roman" w:cs="Times New Roman"/>
          <w:sz w:val="24"/>
          <w:szCs w:val="24"/>
          <w:lang w:val="en-GB"/>
        </w:rPr>
        <w:t xml:space="preserve">The prevention of occupational accidents and diseases is a fundamental aspect of the right to just and favourable conditions of work. Its realisation requires the adoption of a national policy for the prevention of accidents and work-related injury by minimising hazards in the working environment and ensuring broad participation in its formulation, </w:t>
      </w:r>
      <w:proofErr w:type="gramStart"/>
      <w:r w:rsidRPr="009C2E6C">
        <w:rPr>
          <w:rFonts w:ascii="Times New Roman" w:hAnsi="Times New Roman" w:cs="Times New Roman"/>
          <w:sz w:val="24"/>
          <w:szCs w:val="24"/>
          <w:lang w:val="en-GB"/>
        </w:rPr>
        <w:t>implementation</w:t>
      </w:r>
      <w:proofErr w:type="gramEnd"/>
      <w:r w:rsidRPr="009C2E6C">
        <w:rPr>
          <w:rFonts w:ascii="Times New Roman" w:hAnsi="Times New Roman" w:cs="Times New Roman"/>
          <w:sz w:val="24"/>
          <w:szCs w:val="24"/>
          <w:lang w:val="en-GB"/>
        </w:rPr>
        <w:t xml:space="preserve"> and review, in particular of workers and employers and their representative organisations. </w:t>
      </w:r>
    </w:p>
    <w:p w14:paraId="74061B95" w14:textId="54BB6B4F" w:rsidR="00EF0DC4" w:rsidRPr="00DF13CE" w:rsidRDefault="00EF0DC4" w:rsidP="00C37610">
      <w:pPr>
        <w:pStyle w:val="EMnumbers"/>
        <w:spacing w:line="240" w:lineRule="auto"/>
        <w:rPr>
          <w:lang w:val="en-GB"/>
        </w:rPr>
      </w:pPr>
      <w:r w:rsidRPr="00DF13CE">
        <w:rPr>
          <w:lang w:val="en-GB"/>
        </w:rPr>
        <w:t xml:space="preserve">Australia relevantly complies with its obligation under Article 7 of the ICESCR through </w:t>
      </w:r>
      <w:r w:rsidRPr="00BB5083">
        <w:rPr>
          <w:lang w:val="en-GB"/>
        </w:rPr>
        <w:t>the</w:t>
      </w:r>
      <w:r w:rsidRPr="00E8337B">
        <w:rPr>
          <w:lang w:val="en-GB"/>
        </w:rPr>
        <w:t xml:space="preserve"> </w:t>
      </w:r>
      <w:r w:rsidRPr="00BB194B">
        <w:rPr>
          <w:lang w:val="en-GB"/>
        </w:rPr>
        <w:t xml:space="preserve">harmonised system of Commonwealth, </w:t>
      </w:r>
      <w:r w:rsidR="00AF0B8C">
        <w:rPr>
          <w:lang w:val="en-GB"/>
        </w:rPr>
        <w:t>s</w:t>
      </w:r>
      <w:r w:rsidRPr="00BB194B">
        <w:rPr>
          <w:lang w:val="en-GB"/>
        </w:rPr>
        <w:t xml:space="preserve">tate and </w:t>
      </w:r>
      <w:r w:rsidR="00AF0B8C">
        <w:rPr>
          <w:lang w:val="en-GB"/>
        </w:rPr>
        <w:t>t</w:t>
      </w:r>
      <w:r w:rsidRPr="00BB194B">
        <w:rPr>
          <w:lang w:val="en-GB"/>
        </w:rPr>
        <w:t>erritory</w:t>
      </w:r>
      <w:r w:rsidR="00250AC0">
        <w:rPr>
          <w:lang w:val="en-GB"/>
        </w:rPr>
        <w:t xml:space="preserve"> work health and safety</w:t>
      </w:r>
      <w:r w:rsidRPr="00BB194B">
        <w:rPr>
          <w:lang w:val="en-GB"/>
        </w:rPr>
        <w:t xml:space="preserve"> laws (including the </w:t>
      </w:r>
      <w:r w:rsidR="00D2157A">
        <w:rPr>
          <w:lang w:val="en-GB"/>
        </w:rPr>
        <w:t>p</w:t>
      </w:r>
      <w:r w:rsidRPr="00BB194B">
        <w:rPr>
          <w:lang w:val="en-GB"/>
        </w:rPr>
        <w:t>rincipal Regulations).</w:t>
      </w:r>
    </w:p>
    <w:p w14:paraId="60CC80DA" w14:textId="7BBA5E7E" w:rsidR="0052308C" w:rsidRDefault="002B3C80" w:rsidP="00C37610">
      <w:pPr>
        <w:pStyle w:val="EMnumbers"/>
        <w:spacing w:line="240" w:lineRule="auto"/>
      </w:pPr>
      <w:r w:rsidRPr="00E8337B">
        <w:rPr>
          <w:lang w:val="en-GB"/>
        </w:rPr>
        <w:t xml:space="preserve">The </w:t>
      </w:r>
      <w:r w:rsidR="00994082" w:rsidRPr="00BB194B">
        <w:rPr>
          <w:lang w:val="en-GB"/>
        </w:rPr>
        <w:t>Amendment Regulation</w:t>
      </w:r>
      <w:r w:rsidR="00406624">
        <w:rPr>
          <w:lang w:val="en-GB"/>
        </w:rPr>
        <w:t>s</w:t>
      </w:r>
      <w:r w:rsidRPr="00BB194B">
        <w:rPr>
          <w:lang w:val="en-GB"/>
        </w:rPr>
        <w:t xml:space="preserve"> promote the right to safe and healthy working conditions</w:t>
      </w:r>
      <w:r w:rsidR="00CA415E" w:rsidRPr="00BB194B">
        <w:rPr>
          <w:lang w:val="en-GB"/>
        </w:rPr>
        <w:t xml:space="preserve"> </w:t>
      </w:r>
      <w:r w:rsidR="006F28E4">
        <w:rPr>
          <w:rFonts w:cs="Times New Roman"/>
          <w:lang w:val="en-GB"/>
        </w:rPr>
        <w:t>by</w:t>
      </w:r>
      <w:r w:rsidR="00803CDF">
        <w:rPr>
          <w:lang w:val="en-GB"/>
        </w:rPr>
        <w:t xml:space="preserve"> c</w:t>
      </w:r>
      <w:r w:rsidRPr="00BB194B">
        <w:rPr>
          <w:lang w:val="en-GB"/>
        </w:rPr>
        <w:t>larifying</w:t>
      </w:r>
      <w:r w:rsidR="008B5441" w:rsidRPr="00BB194B">
        <w:rPr>
          <w:lang w:val="en-GB"/>
        </w:rPr>
        <w:t xml:space="preserve"> </w:t>
      </w:r>
      <w:r w:rsidR="008B5441" w:rsidRPr="00E8337B">
        <w:rPr>
          <w:lang w:val="en-GB"/>
        </w:rPr>
        <w:t>obligations to manage psychosocial risks</w:t>
      </w:r>
      <w:r w:rsidRPr="00E8337B">
        <w:rPr>
          <w:lang w:val="en-GB"/>
        </w:rPr>
        <w:t xml:space="preserve"> </w:t>
      </w:r>
      <w:r w:rsidR="00C72E8C" w:rsidRPr="00BB194B">
        <w:rPr>
          <w:lang w:val="en-GB"/>
        </w:rPr>
        <w:t>in</w:t>
      </w:r>
      <w:r w:rsidRPr="00BB194B">
        <w:rPr>
          <w:lang w:val="en-GB"/>
        </w:rPr>
        <w:t xml:space="preserve"> the </w:t>
      </w:r>
      <w:r w:rsidR="00D2157A">
        <w:rPr>
          <w:lang w:val="en-GB"/>
        </w:rPr>
        <w:t>p</w:t>
      </w:r>
      <w:r w:rsidR="00C72E8C" w:rsidRPr="00BB194B">
        <w:rPr>
          <w:lang w:val="en-GB"/>
        </w:rPr>
        <w:t xml:space="preserve">rincipal Regulations </w:t>
      </w:r>
      <w:r w:rsidR="001B6713" w:rsidRPr="00BB194B">
        <w:rPr>
          <w:lang w:val="en-GB"/>
        </w:rPr>
        <w:t>w</w:t>
      </w:r>
      <w:r w:rsidRPr="00BB194B">
        <w:rPr>
          <w:lang w:val="en-GB"/>
        </w:rPr>
        <w:t>hich will assist duty holders to meet their obligations under the Act</w:t>
      </w:r>
      <w:r w:rsidR="005E6BAB">
        <w:rPr>
          <w:lang w:val="en-GB"/>
        </w:rPr>
        <w:t>.</w:t>
      </w:r>
      <w:r w:rsidR="007A7A32">
        <w:rPr>
          <w:lang w:val="en-GB"/>
        </w:rPr>
        <w:t xml:space="preserve"> </w:t>
      </w:r>
      <w:r w:rsidR="0052308C">
        <w:t>The Amendment Regulation</w:t>
      </w:r>
      <w:r w:rsidR="00406624">
        <w:t>s</w:t>
      </w:r>
      <w:r w:rsidR="0052308C">
        <w:t xml:space="preserve"> make clear that</w:t>
      </w:r>
      <w:r w:rsidR="002634FD">
        <w:t xml:space="preserve">, </w:t>
      </w:r>
      <w:r w:rsidR="008F671D">
        <w:t>to manage psychosocial risks in a workplace,</w:t>
      </w:r>
      <w:r w:rsidR="0052308C">
        <w:t xml:space="preserve"> a duty holder must:</w:t>
      </w:r>
    </w:p>
    <w:p w14:paraId="56B147F1" w14:textId="77777777" w:rsidR="0052308C" w:rsidRPr="00F8455E" w:rsidRDefault="007A7A32" w:rsidP="00C37610">
      <w:pPr>
        <w:pStyle w:val="xxemnumbers"/>
        <w:numPr>
          <w:ilvl w:val="0"/>
          <w:numId w:val="28"/>
        </w:numPr>
        <w:spacing w:beforeAutospacing="0" w:after="120" w:afterAutospacing="0"/>
        <w:rPr>
          <w:rFonts w:cs="Times New Roman"/>
        </w:rPr>
      </w:pPr>
      <w:r w:rsidRPr="00227BA2">
        <w:rPr>
          <w:rFonts w:ascii="Times New Roman" w:hAnsi="Times New Roman" w:cs="Times New Roman"/>
          <w:sz w:val="24"/>
          <w:szCs w:val="24"/>
        </w:rPr>
        <w:t xml:space="preserve">identify psychosocial hazards </w:t>
      </w:r>
    </w:p>
    <w:p w14:paraId="6A46B227" w14:textId="77777777" w:rsidR="0052308C" w:rsidRPr="00F8455E" w:rsidRDefault="007A7A32" w:rsidP="00C37610">
      <w:pPr>
        <w:pStyle w:val="xxemnumbers"/>
        <w:numPr>
          <w:ilvl w:val="0"/>
          <w:numId w:val="28"/>
        </w:numPr>
        <w:spacing w:beforeAutospacing="0" w:after="120" w:afterAutospacing="0"/>
        <w:rPr>
          <w:rFonts w:cs="Times New Roman"/>
        </w:rPr>
      </w:pPr>
      <w:r w:rsidRPr="00227BA2">
        <w:rPr>
          <w:rFonts w:ascii="Times New Roman" w:hAnsi="Times New Roman" w:cs="Times New Roman"/>
          <w:sz w:val="24"/>
          <w:szCs w:val="24"/>
        </w:rPr>
        <w:t xml:space="preserve">implement control measures in accordance with the hierarchy of controls </w:t>
      </w:r>
    </w:p>
    <w:p w14:paraId="6C643262" w14:textId="102BD077" w:rsidR="0052308C" w:rsidRPr="00F8455E" w:rsidRDefault="007A7A32" w:rsidP="00C37610">
      <w:pPr>
        <w:pStyle w:val="xxemnumbers"/>
        <w:numPr>
          <w:ilvl w:val="0"/>
          <w:numId w:val="28"/>
        </w:numPr>
        <w:spacing w:beforeAutospacing="0" w:after="120" w:afterAutospacing="0"/>
        <w:rPr>
          <w:rFonts w:cs="Times New Roman"/>
        </w:rPr>
      </w:pPr>
      <w:r w:rsidRPr="00227BA2">
        <w:rPr>
          <w:rFonts w:ascii="Times New Roman" w:hAnsi="Times New Roman" w:cs="Times New Roman"/>
          <w:sz w:val="24"/>
          <w:szCs w:val="24"/>
        </w:rPr>
        <w:t xml:space="preserve">have regard to certain matters when determining control measures for psychosocial hazards including consideration of the duration, </w:t>
      </w:r>
      <w:proofErr w:type="gramStart"/>
      <w:r w:rsidRPr="00227BA2">
        <w:rPr>
          <w:rFonts w:ascii="Times New Roman" w:hAnsi="Times New Roman" w:cs="Times New Roman"/>
          <w:sz w:val="24"/>
          <w:szCs w:val="24"/>
        </w:rPr>
        <w:t>frequency</w:t>
      </w:r>
      <w:proofErr w:type="gramEnd"/>
      <w:r w:rsidRPr="00227BA2">
        <w:rPr>
          <w:rFonts w:ascii="Times New Roman" w:hAnsi="Times New Roman" w:cs="Times New Roman"/>
          <w:sz w:val="24"/>
          <w:szCs w:val="24"/>
        </w:rPr>
        <w:t xml:space="preserve"> and severity of exposure to psychosocial hazards and how psychosocial hazards may interact or combine to increase risk</w:t>
      </w:r>
      <w:r w:rsidR="00406624">
        <w:rPr>
          <w:rFonts w:ascii="Times New Roman" w:hAnsi="Times New Roman" w:cs="Times New Roman"/>
          <w:sz w:val="24"/>
          <w:szCs w:val="24"/>
        </w:rPr>
        <w:t>;</w:t>
      </w:r>
      <w:r w:rsidRPr="00227BA2">
        <w:rPr>
          <w:rFonts w:ascii="Times New Roman" w:hAnsi="Times New Roman" w:cs="Times New Roman"/>
          <w:sz w:val="24"/>
          <w:szCs w:val="24"/>
        </w:rPr>
        <w:t xml:space="preserve"> and </w:t>
      </w:r>
    </w:p>
    <w:p w14:paraId="6E39173B" w14:textId="177130A7" w:rsidR="007A7A32" w:rsidRPr="00227BA2" w:rsidRDefault="007A7A32" w:rsidP="00C37610">
      <w:pPr>
        <w:pStyle w:val="xxemnumbers"/>
        <w:numPr>
          <w:ilvl w:val="0"/>
          <w:numId w:val="28"/>
        </w:numPr>
        <w:spacing w:beforeAutospacing="0" w:after="120" w:afterAutospacing="0"/>
        <w:rPr>
          <w:rFonts w:cs="Times New Roman"/>
        </w:rPr>
      </w:pPr>
      <w:r w:rsidRPr="00227BA2">
        <w:rPr>
          <w:rFonts w:ascii="Times New Roman" w:hAnsi="Times New Roman" w:cs="Times New Roman"/>
          <w:sz w:val="24"/>
          <w:szCs w:val="24"/>
        </w:rPr>
        <w:t>maintain and review control measures.</w:t>
      </w:r>
    </w:p>
    <w:p w14:paraId="44B9795C" w14:textId="1D8CEC72" w:rsidR="008B5441" w:rsidRPr="00BB194B" w:rsidRDefault="00250AC0" w:rsidP="00C37610">
      <w:pPr>
        <w:pStyle w:val="EMnumbers"/>
        <w:spacing w:line="240" w:lineRule="auto"/>
        <w:rPr>
          <w:lang w:val="en-GB"/>
        </w:rPr>
      </w:pPr>
      <w:r>
        <w:rPr>
          <w:lang w:val="en-GB"/>
        </w:rPr>
        <w:t>The Amendment Regulation</w:t>
      </w:r>
      <w:r w:rsidR="00406624">
        <w:rPr>
          <w:lang w:val="en-GB"/>
        </w:rPr>
        <w:t>s</w:t>
      </w:r>
      <w:r w:rsidR="00FF02CD">
        <w:rPr>
          <w:lang w:val="en-GB"/>
        </w:rPr>
        <w:t>, in applying the hierarchy of controls</w:t>
      </w:r>
      <w:r w:rsidR="003C1B70">
        <w:rPr>
          <w:lang w:val="en-GB"/>
        </w:rPr>
        <w:t xml:space="preserve">, will require </w:t>
      </w:r>
      <w:r w:rsidR="00BB1D7D">
        <w:rPr>
          <w:lang w:val="en-GB"/>
        </w:rPr>
        <w:t xml:space="preserve">higher order control measures </w:t>
      </w:r>
      <w:r w:rsidR="00406624">
        <w:rPr>
          <w:lang w:val="en-GB"/>
        </w:rPr>
        <w:t xml:space="preserve">to </w:t>
      </w:r>
      <w:r w:rsidR="00BB1D7D">
        <w:rPr>
          <w:lang w:val="en-GB"/>
        </w:rPr>
        <w:t>be utilised to manage psychosocial risks</w:t>
      </w:r>
      <w:r w:rsidR="00A52883">
        <w:rPr>
          <w:lang w:val="en-GB"/>
        </w:rPr>
        <w:t xml:space="preserve">. </w:t>
      </w:r>
      <w:r w:rsidR="00B25054">
        <w:rPr>
          <w:lang w:val="en-GB"/>
        </w:rPr>
        <w:t xml:space="preserve">This provides a strong level of protection for workers and ensures psychosocial hazards are </w:t>
      </w:r>
      <w:r w:rsidR="00B33F15">
        <w:rPr>
          <w:lang w:val="en-GB"/>
        </w:rPr>
        <w:t>considered with the same weight as physical hazards.</w:t>
      </w:r>
    </w:p>
    <w:p w14:paraId="75F839B3" w14:textId="4B7CDCB7" w:rsidR="00B5254C" w:rsidRDefault="00841359" w:rsidP="00C37610">
      <w:pPr>
        <w:pStyle w:val="EMnumbers"/>
        <w:spacing w:line="240" w:lineRule="auto"/>
        <w:rPr>
          <w:lang w:val="en-GB"/>
        </w:rPr>
      </w:pPr>
      <w:r w:rsidRPr="00BB194B">
        <w:rPr>
          <w:lang w:val="en-GB"/>
        </w:rPr>
        <w:lastRenderedPageBreak/>
        <w:t>Adopting</w:t>
      </w:r>
      <w:r w:rsidR="00B33F15">
        <w:rPr>
          <w:lang w:val="en-GB"/>
        </w:rPr>
        <w:t xml:space="preserve"> the further</w:t>
      </w:r>
      <w:r w:rsidRPr="00BB194B">
        <w:rPr>
          <w:lang w:val="en-GB"/>
        </w:rPr>
        <w:t xml:space="preserve"> amendments to the model</w:t>
      </w:r>
      <w:r>
        <w:rPr>
          <w:lang w:val="en-GB"/>
        </w:rPr>
        <w:t xml:space="preserve"> </w:t>
      </w:r>
      <w:r w:rsidRPr="00BB194B">
        <w:rPr>
          <w:lang w:val="en-GB"/>
        </w:rPr>
        <w:t>laws</w:t>
      </w:r>
      <w:r w:rsidR="00B5254C" w:rsidRPr="00BB194B">
        <w:rPr>
          <w:lang w:val="en-GB"/>
        </w:rPr>
        <w:t xml:space="preserve"> </w:t>
      </w:r>
      <w:r w:rsidR="00B33F15">
        <w:rPr>
          <w:lang w:val="en-GB"/>
        </w:rPr>
        <w:t xml:space="preserve">arising from the Boland Review </w:t>
      </w:r>
      <w:r w:rsidR="00B5254C" w:rsidRPr="00BB194B">
        <w:rPr>
          <w:lang w:val="en-GB"/>
        </w:rPr>
        <w:t>provide</w:t>
      </w:r>
      <w:r w:rsidR="00B33F15">
        <w:rPr>
          <w:lang w:val="en-GB"/>
        </w:rPr>
        <w:t>s</w:t>
      </w:r>
      <w:r w:rsidR="00B5254C" w:rsidRPr="00BB194B">
        <w:rPr>
          <w:lang w:val="en-GB"/>
        </w:rPr>
        <w:t xml:space="preserve"> a coherent </w:t>
      </w:r>
      <w:r w:rsidR="003F7279">
        <w:rPr>
          <w:lang w:val="en-GB"/>
        </w:rPr>
        <w:t xml:space="preserve">and consistent </w:t>
      </w:r>
      <w:r w:rsidR="00B5254C" w:rsidRPr="00BB194B">
        <w:rPr>
          <w:lang w:val="en-GB"/>
        </w:rPr>
        <w:t xml:space="preserve">approach to </w:t>
      </w:r>
      <w:r w:rsidR="00250AC0">
        <w:rPr>
          <w:lang w:val="en-GB"/>
        </w:rPr>
        <w:t>work health and safety</w:t>
      </w:r>
      <w:r w:rsidR="003F7279">
        <w:rPr>
          <w:lang w:val="en-GB"/>
        </w:rPr>
        <w:t xml:space="preserve"> nationally</w:t>
      </w:r>
      <w:r w:rsidR="00B33F15">
        <w:rPr>
          <w:lang w:val="en-GB"/>
        </w:rPr>
        <w:t xml:space="preserve">. </w:t>
      </w:r>
    </w:p>
    <w:p w14:paraId="578C7674" w14:textId="1DA20B79" w:rsidR="00C43ECF" w:rsidRPr="00C37610" w:rsidRDefault="00C43ECF" w:rsidP="00C37610">
      <w:pPr>
        <w:pStyle w:val="EMnumbers"/>
        <w:spacing w:line="240" w:lineRule="auto"/>
        <w:rPr>
          <w:u w:val="single"/>
          <w:lang w:val="en-GB"/>
        </w:rPr>
      </w:pPr>
      <w:r w:rsidRPr="00C37610">
        <w:rPr>
          <w:u w:val="single"/>
          <w:lang w:val="en-GB"/>
        </w:rPr>
        <w:t>Right to privacy</w:t>
      </w:r>
    </w:p>
    <w:p w14:paraId="6C9ED3D5" w14:textId="29BE3F04" w:rsidR="00C43ECF" w:rsidRDefault="006028C1" w:rsidP="00C37610">
      <w:pPr>
        <w:pStyle w:val="EMnumbers"/>
        <w:spacing w:line="240" w:lineRule="auto"/>
      </w:pPr>
      <w:r>
        <w:t xml:space="preserve">Article 17 of the ICCPR provides that no one shall be subjected to arbitrary or unlawful interference with their privacy, family, </w:t>
      </w:r>
      <w:proofErr w:type="gramStart"/>
      <w:r>
        <w:t>home</w:t>
      </w:r>
      <w:proofErr w:type="gramEnd"/>
      <w:r>
        <w:t xml:space="preserve"> and correspondence. This includes the respect for informational privacy, including in respect of storing, </w:t>
      </w:r>
      <w:proofErr w:type="gramStart"/>
      <w:r>
        <w:t>using</w:t>
      </w:r>
      <w:proofErr w:type="gramEnd"/>
      <w:r>
        <w:t xml:space="preserve"> and sharing private information and the right to control dissemination of personal and private information. Privacy guarantees a right to secrecy from the publication of personal information. It also prohibits unlawful attacks on a person’s reputation.</w:t>
      </w:r>
    </w:p>
    <w:p w14:paraId="02844463" w14:textId="423E3E9A" w:rsidR="00AB5C5D" w:rsidRDefault="00AB5C5D" w:rsidP="00C37610">
      <w:pPr>
        <w:pStyle w:val="EMnumbers"/>
        <w:spacing w:line="240" w:lineRule="auto"/>
      </w:pPr>
      <w:r>
        <w:t xml:space="preserve">Item 8 </w:t>
      </w:r>
      <w:r w:rsidR="00B53CB0">
        <w:t xml:space="preserve">will require </w:t>
      </w:r>
      <w:r w:rsidR="0095725A">
        <w:t xml:space="preserve">persons with management or control of an amusement device at a workplace to keep and maintain </w:t>
      </w:r>
      <w:r w:rsidR="00046B8A">
        <w:t xml:space="preserve">specific information in a </w:t>
      </w:r>
      <w:proofErr w:type="gramStart"/>
      <w:r w:rsidR="00046B8A">
        <w:t>log book</w:t>
      </w:r>
      <w:proofErr w:type="gramEnd"/>
      <w:r w:rsidR="00046B8A">
        <w:t xml:space="preserve"> </w:t>
      </w:r>
      <w:r w:rsidR="00560206">
        <w:t xml:space="preserve">which will </w:t>
      </w:r>
      <w:r w:rsidR="00DC0DB0">
        <w:t>assist</w:t>
      </w:r>
      <w:r w:rsidR="00560206">
        <w:t xml:space="preserve"> in </w:t>
      </w:r>
      <w:r w:rsidR="00DC0DB0">
        <w:t>showing</w:t>
      </w:r>
      <w:r w:rsidR="00560206">
        <w:t xml:space="preserve"> whether a ride is safe and if the operator is competent to operate it. </w:t>
      </w:r>
      <w:r w:rsidR="00D469D9">
        <w:t>Included in</w:t>
      </w:r>
      <w:r w:rsidR="004E58F1">
        <w:t xml:space="preserve"> t</w:t>
      </w:r>
      <w:r w:rsidR="009B72A8">
        <w:t xml:space="preserve">he </w:t>
      </w:r>
      <w:r w:rsidR="00D469D9">
        <w:t>necessary</w:t>
      </w:r>
      <w:r w:rsidR="009B72A8">
        <w:t xml:space="preserve"> information to </w:t>
      </w:r>
      <w:r w:rsidR="00D469D9">
        <w:t xml:space="preserve">keep in the </w:t>
      </w:r>
      <w:proofErr w:type="gramStart"/>
      <w:r w:rsidR="00D469D9">
        <w:t>log book</w:t>
      </w:r>
      <w:proofErr w:type="gramEnd"/>
      <w:r w:rsidR="00D469D9">
        <w:t xml:space="preserve"> is </w:t>
      </w:r>
      <w:r w:rsidR="00EE32E6">
        <w:t>details of each person who operates an amusement device including their name</w:t>
      </w:r>
      <w:r w:rsidR="00E1640C">
        <w:t xml:space="preserve"> and any instruction or training they have had on the operation of the device. </w:t>
      </w:r>
    </w:p>
    <w:p w14:paraId="68F46E76" w14:textId="176813F1" w:rsidR="005A26DE" w:rsidRDefault="00D04445" w:rsidP="00C37610">
      <w:pPr>
        <w:pStyle w:val="EMnumbers"/>
        <w:spacing w:line="240" w:lineRule="auto"/>
      </w:pPr>
      <w:r>
        <w:t xml:space="preserve">Item 8 engages the right to privacy because </w:t>
      </w:r>
      <w:proofErr w:type="gramStart"/>
      <w:r w:rsidR="006257A0">
        <w:t>log books</w:t>
      </w:r>
      <w:proofErr w:type="gramEnd"/>
      <w:r w:rsidR="006257A0">
        <w:t xml:space="preserve"> will include personal information </w:t>
      </w:r>
      <w:r w:rsidR="002934DA">
        <w:t xml:space="preserve">in the form of names of persons who have operated an amusement device. </w:t>
      </w:r>
      <w:r w:rsidR="000A7C98">
        <w:t xml:space="preserve">This means </w:t>
      </w:r>
      <w:r w:rsidR="00ED25A1">
        <w:t>that other</w:t>
      </w:r>
      <w:r w:rsidR="00970F37">
        <w:t xml:space="preserve"> persons with access to the </w:t>
      </w:r>
      <w:proofErr w:type="gramStart"/>
      <w:r w:rsidR="00970F37">
        <w:t>log book</w:t>
      </w:r>
      <w:proofErr w:type="gramEnd"/>
      <w:r w:rsidR="00970F37">
        <w:t xml:space="preserve"> will </w:t>
      </w:r>
      <w:r w:rsidR="0055181A">
        <w:t xml:space="preserve">have access to information about who has operated the amusement device. It also means </w:t>
      </w:r>
      <w:r w:rsidR="000A7C98">
        <w:t>an inspector</w:t>
      </w:r>
      <w:r w:rsidR="000A7C3E">
        <w:t xml:space="preserve"> who seeks to review the </w:t>
      </w:r>
      <w:proofErr w:type="gramStart"/>
      <w:r w:rsidR="000A7C3E">
        <w:t>log book</w:t>
      </w:r>
      <w:proofErr w:type="gramEnd"/>
      <w:r w:rsidR="000A7C98">
        <w:t xml:space="preserve"> may be able</w:t>
      </w:r>
      <w:r w:rsidR="00920EA1">
        <w:t xml:space="preserve"> to identify </w:t>
      </w:r>
      <w:r w:rsidR="00320878">
        <w:t xml:space="preserve">a person </w:t>
      </w:r>
      <w:r w:rsidR="003F3C7B">
        <w:t xml:space="preserve">responsible for operating an amusement device at the time of an incident. </w:t>
      </w:r>
    </w:p>
    <w:p w14:paraId="62F8B597" w14:textId="03B07E59" w:rsidR="003F3C7B" w:rsidRDefault="003F3C7B" w:rsidP="00C37610">
      <w:pPr>
        <w:pStyle w:val="EMnumbers"/>
        <w:spacing w:line="240" w:lineRule="auto"/>
      </w:pPr>
      <w:r>
        <w:t>To the extent thes</w:t>
      </w:r>
      <w:r w:rsidR="00B33427">
        <w:t>e provisions may limit the right to privacy, it would be a permissible limitation</w:t>
      </w:r>
      <w:r w:rsidR="00A8614C">
        <w:t xml:space="preserve">. </w:t>
      </w:r>
      <w:r w:rsidR="00940FB0">
        <w:t xml:space="preserve">The nature of the personal information required to be recorded is narrow in scope </w:t>
      </w:r>
      <w:r w:rsidR="00541D75">
        <w:t>(</w:t>
      </w:r>
      <w:proofErr w:type="gramStart"/>
      <w:r w:rsidR="00541D75">
        <w:t>e.g.</w:t>
      </w:r>
      <w:proofErr w:type="gramEnd"/>
      <w:r w:rsidR="00541D75">
        <w:t xml:space="preserve"> by not requiring phone numbers or addresses) which </w:t>
      </w:r>
      <w:r w:rsidR="00952237">
        <w:t>reduce</w:t>
      </w:r>
      <w:r w:rsidR="00D66464">
        <w:t>s</w:t>
      </w:r>
      <w:r w:rsidR="00952237">
        <w:t xml:space="preserve"> any risk of arbitrary or unlawful interference with privacy. </w:t>
      </w:r>
      <w:r w:rsidR="00266CEA">
        <w:t xml:space="preserve">The </w:t>
      </w:r>
      <w:r w:rsidR="00843096">
        <w:t xml:space="preserve">amendment is also reasonable and proportionate to the extent that it will assist ride operators and regulators to </w:t>
      </w:r>
      <w:r w:rsidR="00532117">
        <w:t xml:space="preserve">quickly </w:t>
      </w:r>
      <w:r w:rsidR="00843096">
        <w:t xml:space="preserve">pinpoint issues </w:t>
      </w:r>
      <w:r w:rsidR="001A63CD">
        <w:t>when an amusement device does not operate effectively</w:t>
      </w:r>
      <w:r w:rsidR="00754105">
        <w:t xml:space="preserve">, ultimately keeping the workplace, </w:t>
      </w:r>
      <w:proofErr w:type="gramStart"/>
      <w:r w:rsidR="00754105">
        <w:t>workers</w:t>
      </w:r>
      <w:proofErr w:type="gramEnd"/>
      <w:r w:rsidR="00754105">
        <w:t xml:space="preserve"> and</w:t>
      </w:r>
      <w:r w:rsidR="0096096D">
        <w:t xml:space="preserve"> customers safer</w:t>
      </w:r>
      <w:r w:rsidR="001A63CD">
        <w:t xml:space="preserve">. </w:t>
      </w:r>
      <w:r w:rsidR="00843096">
        <w:t xml:space="preserve"> </w:t>
      </w:r>
    </w:p>
    <w:p w14:paraId="0B9251EC" w14:textId="7DCB579F" w:rsidR="00235F02" w:rsidRPr="00BB194B" w:rsidRDefault="008B43F2" w:rsidP="00C37610">
      <w:pPr>
        <w:pStyle w:val="EMnumbers"/>
        <w:spacing w:line="240" w:lineRule="auto"/>
        <w:rPr>
          <w:lang w:val="en-GB"/>
        </w:rPr>
      </w:pPr>
      <w:r>
        <w:t xml:space="preserve">Recording the names of operators of </w:t>
      </w:r>
      <w:r w:rsidR="0038030D">
        <w:t>amusement</w:t>
      </w:r>
      <w:r>
        <w:t xml:space="preserve"> devices in </w:t>
      </w:r>
      <w:proofErr w:type="gramStart"/>
      <w:r>
        <w:t>log books</w:t>
      </w:r>
      <w:proofErr w:type="gramEnd"/>
      <w:r w:rsidR="0038030D">
        <w:t xml:space="preserve"> </w:t>
      </w:r>
      <w:r w:rsidR="00235F02">
        <w:t xml:space="preserve">would be reasonable, necessary and proportionate to achieving the legitimate object of maintaining safe and healthy working conditions under the harmonised work health and safety scheme, as described in </w:t>
      </w:r>
      <w:r w:rsidR="004110D5">
        <w:t>A</w:t>
      </w:r>
      <w:r w:rsidR="00235F02">
        <w:t>rticle 7 of the ICESCR above.</w:t>
      </w:r>
    </w:p>
    <w:p w14:paraId="340668DE" w14:textId="77777777" w:rsidR="00BB4DB4" w:rsidRPr="00BB194B" w:rsidRDefault="00BB4DB4" w:rsidP="00C37610">
      <w:pPr>
        <w:spacing w:after="240"/>
        <w:rPr>
          <w:b/>
        </w:rPr>
      </w:pPr>
      <w:r w:rsidRPr="00BB194B">
        <w:rPr>
          <w:b/>
        </w:rPr>
        <w:t>Conclusion</w:t>
      </w:r>
    </w:p>
    <w:p w14:paraId="74F1DE3E" w14:textId="56F750A5" w:rsidR="00BB4DB4" w:rsidRDefault="00BB4DB4" w:rsidP="00C37610">
      <w:pPr>
        <w:spacing w:after="240"/>
      </w:pPr>
      <w:r w:rsidRPr="00BB194B">
        <w:t>This Legislative Instrument is compatible with human rights</w:t>
      </w:r>
      <w:r w:rsidR="00D326EE" w:rsidRPr="00BB194B">
        <w:t xml:space="preserve"> because it seeks to promote the right to safe and healthy working conditions by</w:t>
      </w:r>
      <w:r w:rsidR="00205992">
        <w:t xml:space="preserve"> </w:t>
      </w:r>
      <w:r w:rsidR="008006A5" w:rsidRPr="00BB194B">
        <w:t>clarifying</w:t>
      </w:r>
      <w:r w:rsidR="00036E65">
        <w:t xml:space="preserve"> </w:t>
      </w:r>
      <w:r w:rsidR="007E314E">
        <w:t xml:space="preserve">and improving </w:t>
      </w:r>
      <w:r w:rsidR="00933232">
        <w:t xml:space="preserve">the </w:t>
      </w:r>
      <w:r w:rsidR="007E314E">
        <w:t xml:space="preserve">Commonwealth </w:t>
      </w:r>
      <w:r w:rsidR="00250AC0">
        <w:t xml:space="preserve">work health and safety </w:t>
      </w:r>
      <w:r w:rsidR="007E314E">
        <w:t>laws</w:t>
      </w:r>
      <w:r w:rsidR="00BB6027">
        <w:t xml:space="preserve">. To the extent that it may limit human rights, those limitations are reasonable, </w:t>
      </w:r>
      <w:proofErr w:type="gramStart"/>
      <w:r w:rsidR="00BB6027">
        <w:t>necessary</w:t>
      </w:r>
      <w:proofErr w:type="gramEnd"/>
      <w:r w:rsidR="00BB6027">
        <w:t xml:space="preserve"> and proportionate.</w:t>
      </w:r>
    </w:p>
    <w:p w14:paraId="10ACFC7F" w14:textId="69922711" w:rsidR="00BB4DB4" w:rsidRPr="004110D5" w:rsidRDefault="00A9009B" w:rsidP="004110D5">
      <w:pPr>
        <w:jc w:val="center"/>
        <w:rPr>
          <w:b/>
          <w:bCs/>
        </w:rPr>
      </w:pPr>
      <w:r w:rsidRPr="007B4421">
        <w:rPr>
          <w:b/>
          <w:bCs/>
        </w:rPr>
        <w:t>Minister for Employment and Workplace Relations, the Hon Tony Burke MP</w:t>
      </w:r>
    </w:p>
    <w:sectPr w:rsidR="00BB4DB4" w:rsidRPr="004110D5" w:rsidSect="006974E3">
      <w:headerReference w:type="default" r:id="rId19"/>
      <w:footerReference w:type="default" r:id="rId20"/>
      <w:pgSz w:w="11906" w:h="16838" w:code="9"/>
      <w:pgMar w:top="1276"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BEBB6" w14:textId="77777777" w:rsidR="00324CE4" w:rsidRDefault="00324CE4" w:rsidP="00BB4DB4">
      <w:r>
        <w:separator/>
      </w:r>
    </w:p>
  </w:endnote>
  <w:endnote w:type="continuationSeparator" w:id="0">
    <w:p w14:paraId="40A2289A" w14:textId="77777777" w:rsidR="00324CE4" w:rsidRDefault="00324CE4" w:rsidP="00BB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379619"/>
      <w:docPartObj>
        <w:docPartGallery w:val="Page Numbers (Bottom of Page)"/>
        <w:docPartUnique/>
      </w:docPartObj>
    </w:sdtPr>
    <w:sdtEndPr>
      <w:rPr>
        <w:noProof/>
      </w:rPr>
    </w:sdtEndPr>
    <w:sdtContent>
      <w:p w14:paraId="457AEE51" w14:textId="0B63B8D3" w:rsidR="006974E3" w:rsidRDefault="00697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2FD391" w14:textId="77777777" w:rsidR="006974E3" w:rsidRDefault="00697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CB805" w14:textId="77777777" w:rsidR="00324CE4" w:rsidRDefault="00324CE4" w:rsidP="00BB4DB4">
      <w:r>
        <w:separator/>
      </w:r>
    </w:p>
  </w:footnote>
  <w:footnote w:type="continuationSeparator" w:id="0">
    <w:p w14:paraId="5C14CF86" w14:textId="77777777" w:rsidR="00324CE4" w:rsidRDefault="00324CE4" w:rsidP="00BB4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EDD1" w14:textId="77777777" w:rsidR="007F559C" w:rsidRDefault="00443808">
    <w:pPr>
      <w:pStyle w:val="Header"/>
      <w:jc w:val="center"/>
    </w:pPr>
  </w:p>
  <w:p w14:paraId="5A941B07" w14:textId="77777777" w:rsidR="007F559C" w:rsidRDefault="00443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7C3D"/>
    <w:multiLevelType w:val="hybridMultilevel"/>
    <w:tmpl w:val="0A441866"/>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 w15:restartNumberingAfterBreak="0">
    <w:nsid w:val="0E8417B8"/>
    <w:multiLevelType w:val="hybridMultilevel"/>
    <w:tmpl w:val="22F2F8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3561162"/>
    <w:multiLevelType w:val="hybridMultilevel"/>
    <w:tmpl w:val="19BC9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C92538"/>
    <w:multiLevelType w:val="hybridMultilevel"/>
    <w:tmpl w:val="2B2A34AA"/>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0433DF"/>
    <w:multiLevelType w:val="hybridMultilevel"/>
    <w:tmpl w:val="46E88E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847465"/>
    <w:multiLevelType w:val="hybridMultilevel"/>
    <w:tmpl w:val="3D9E531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20305A1"/>
    <w:multiLevelType w:val="hybridMultilevel"/>
    <w:tmpl w:val="36AA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EE2C76"/>
    <w:multiLevelType w:val="hybridMultilevel"/>
    <w:tmpl w:val="D96217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32536130"/>
    <w:multiLevelType w:val="hybridMultilevel"/>
    <w:tmpl w:val="926249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860674B"/>
    <w:multiLevelType w:val="hybridMultilevel"/>
    <w:tmpl w:val="EFE6CAF8"/>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7A155D"/>
    <w:multiLevelType w:val="hybridMultilevel"/>
    <w:tmpl w:val="9518553A"/>
    <w:lvl w:ilvl="0" w:tplc="0C090001">
      <w:start w:val="1"/>
      <w:numFmt w:val="bullet"/>
      <w:lvlText w:val=""/>
      <w:lvlJc w:val="left"/>
      <w:pPr>
        <w:ind w:left="1800" w:hanging="360"/>
      </w:pPr>
      <w:rPr>
        <w:rFonts w:ascii="Symbol" w:hAnsi="Symbol" w:hint="default"/>
      </w:rPr>
    </w:lvl>
    <w:lvl w:ilvl="1" w:tplc="FFFFFFFF">
      <w:start w:val="1"/>
      <w:numFmt w:val="bullet"/>
      <w:lvlText w:val=""/>
      <w:lvlJc w:val="left"/>
      <w:pPr>
        <w:ind w:left="2880" w:hanging="360"/>
      </w:pPr>
      <w:rPr>
        <w:rFonts w:ascii="Symbol" w:hAnsi="Symbol" w:hint="default"/>
      </w:r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425F01A4"/>
    <w:multiLevelType w:val="hybridMultilevel"/>
    <w:tmpl w:val="5328A5A8"/>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3E257E"/>
    <w:multiLevelType w:val="hybridMultilevel"/>
    <w:tmpl w:val="42AA06E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3" w15:restartNumberingAfterBreak="0">
    <w:nsid w:val="4ADF18C6"/>
    <w:multiLevelType w:val="hybridMultilevel"/>
    <w:tmpl w:val="14DE06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B385A12"/>
    <w:multiLevelType w:val="hybridMultilevel"/>
    <w:tmpl w:val="6C7AF23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4B4F55FF"/>
    <w:multiLevelType w:val="hybridMultilevel"/>
    <w:tmpl w:val="C68C66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BB46E25"/>
    <w:multiLevelType w:val="hybridMultilevel"/>
    <w:tmpl w:val="9B56B20C"/>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047348"/>
    <w:multiLevelType w:val="hybridMultilevel"/>
    <w:tmpl w:val="66A2C3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F5E1A15"/>
    <w:multiLevelType w:val="hybridMultilevel"/>
    <w:tmpl w:val="AD8A08C6"/>
    <w:lvl w:ilvl="0" w:tplc="0C090001">
      <w:start w:val="1"/>
      <w:numFmt w:val="bullet"/>
      <w:lvlText w:val=""/>
      <w:lvlJc w:val="left"/>
      <w:pPr>
        <w:ind w:left="1080" w:hanging="360"/>
      </w:pPr>
      <w:rPr>
        <w:rFonts w:ascii="Symbol" w:hAnsi="Symbol" w:hint="default"/>
        <w:b w:val="0"/>
        <w:bCs/>
        <w:i w:val="0"/>
        <w:iCs/>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4796F67"/>
    <w:multiLevelType w:val="hybridMultilevel"/>
    <w:tmpl w:val="0A6AF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A032EB"/>
    <w:multiLevelType w:val="hybridMultilevel"/>
    <w:tmpl w:val="3894F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277967"/>
    <w:multiLevelType w:val="hybridMultilevel"/>
    <w:tmpl w:val="AA1EB7E0"/>
    <w:lvl w:ilvl="0" w:tplc="2052499E">
      <w:start w:val="2"/>
      <w:numFmt w:val="bullet"/>
      <w:lvlText w:val="•"/>
      <w:lvlJc w:val="left"/>
      <w:pPr>
        <w:ind w:left="420" w:hanging="360"/>
      </w:pPr>
      <w:rPr>
        <w:rFonts w:ascii="Times New Roman" w:eastAsiaTheme="minorHAnsi"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2" w15:restartNumberingAfterBreak="0">
    <w:nsid w:val="554D3298"/>
    <w:multiLevelType w:val="hybridMultilevel"/>
    <w:tmpl w:val="479A3F5E"/>
    <w:lvl w:ilvl="0" w:tplc="4BA455F8">
      <w:start w:val="1"/>
      <w:numFmt w:val="decimal"/>
      <w:lvlText w:val="%1."/>
      <w:lvlJc w:val="left"/>
      <w:pPr>
        <w:ind w:left="36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322141"/>
    <w:multiLevelType w:val="hybridMultilevel"/>
    <w:tmpl w:val="2EE0C3B6"/>
    <w:lvl w:ilvl="0" w:tplc="3F4CCA7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406B06"/>
    <w:multiLevelType w:val="hybridMultilevel"/>
    <w:tmpl w:val="3E50ED0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0741A6C"/>
    <w:multiLevelType w:val="hybridMultilevel"/>
    <w:tmpl w:val="C9F4098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60BA17A1"/>
    <w:multiLevelType w:val="hybridMultilevel"/>
    <w:tmpl w:val="6652F5D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C09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721A7C"/>
    <w:multiLevelType w:val="hybridMultilevel"/>
    <w:tmpl w:val="7E5E52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8815815"/>
    <w:multiLevelType w:val="hybridMultilevel"/>
    <w:tmpl w:val="DF2E96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A411115"/>
    <w:multiLevelType w:val="hybridMultilevel"/>
    <w:tmpl w:val="009828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7A902754"/>
    <w:multiLevelType w:val="hybridMultilevel"/>
    <w:tmpl w:val="099640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2"/>
  </w:num>
  <w:num w:numId="2">
    <w:abstractNumId w:val="6"/>
  </w:num>
  <w:num w:numId="3">
    <w:abstractNumId w:val="23"/>
  </w:num>
  <w:num w:numId="4">
    <w:abstractNumId w:val="27"/>
  </w:num>
  <w:num w:numId="5">
    <w:abstractNumId w:val="30"/>
  </w:num>
  <w:num w:numId="6">
    <w:abstractNumId w:val="1"/>
  </w:num>
  <w:num w:numId="7">
    <w:abstractNumId w:val="26"/>
  </w:num>
  <w:num w:numId="8">
    <w:abstractNumId w:val="11"/>
  </w:num>
  <w:num w:numId="9">
    <w:abstractNumId w:val="5"/>
  </w:num>
  <w:num w:numId="10">
    <w:abstractNumId w:val="24"/>
  </w:num>
  <w:num w:numId="11">
    <w:abstractNumId w:val="13"/>
  </w:num>
  <w:num w:numId="12">
    <w:abstractNumId w:val="9"/>
  </w:num>
  <w:num w:numId="13">
    <w:abstractNumId w:val="3"/>
  </w:num>
  <w:num w:numId="14">
    <w:abstractNumId w:val="4"/>
  </w:num>
  <w:num w:numId="15">
    <w:abstractNumId w:val="17"/>
  </w:num>
  <w:num w:numId="16">
    <w:abstractNumId w:val="18"/>
  </w:num>
  <w:num w:numId="17">
    <w:abstractNumId w:val="16"/>
  </w:num>
  <w:num w:numId="18">
    <w:abstractNumId w:val="14"/>
  </w:num>
  <w:num w:numId="19">
    <w:abstractNumId w:val="0"/>
  </w:num>
  <w:num w:numId="20">
    <w:abstractNumId w:val="20"/>
  </w:num>
  <w:num w:numId="21">
    <w:abstractNumId w:val="2"/>
  </w:num>
  <w:num w:numId="22">
    <w:abstractNumId w:val="7"/>
  </w:num>
  <w:num w:numId="23">
    <w:abstractNumId w:val="12"/>
  </w:num>
  <w:num w:numId="24">
    <w:abstractNumId w:val="8"/>
  </w:num>
  <w:num w:numId="25">
    <w:abstractNumId w:val="15"/>
  </w:num>
  <w:num w:numId="26">
    <w:abstractNumId w:val="28"/>
  </w:num>
  <w:num w:numId="27">
    <w:abstractNumId w:val="8"/>
  </w:num>
  <w:num w:numId="28">
    <w:abstractNumId w:val="19"/>
  </w:num>
  <w:num w:numId="29">
    <w:abstractNumId w:val="25"/>
  </w:num>
  <w:num w:numId="30">
    <w:abstractNumId w:val="21"/>
  </w:num>
  <w:num w:numId="31">
    <w:abstractNumId w:val="1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B4"/>
    <w:rsid w:val="000007B0"/>
    <w:rsid w:val="00001B47"/>
    <w:rsid w:val="00001B6D"/>
    <w:rsid w:val="00002379"/>
    <w:rsid w:val="0000450E"/>
    <w:rsid w:val="00005B02"/>
    <w:rsid w:val="00010683"/>
    <w:rsid w:val="000108F3"/>
    <w:rsid w:val="00010E7B"/>
    <w:rsid w:val="00016B20"/>
    <w:rsid w:val="000170DA"/>
    <w:rsid w:val="00017C8B"/>
    <w:rsid w:val="00017E7E"/>
    <w:rsid w:val="000205A3"/>
    <w:rsid w:val="00022857"/>
    <w:rsid w:val="00022BA2"/>
    <w:rsid w:val="00022D60"/>
    <w:rsid w:val="0002517A"/>
    <w:rsid w:val="00027B7E"/>
    <w:rsid w:val="000316BA"/>
    <w:rsid w:val="000326DD"/>
    <w:rsid w:val="00033C26"/>
    <w:rsid w:val="00034BFA"/>
    <w:rsid w:val="00036871"/>
    <w:rsid w:val="00036E65"/>
    <w:rsid w:val="00037899"/>
    <w:rsid w:val="00040607"/>
    <w:rsid w:val="00041998"/>
    <w:rsid w:val="00043635"/>
    <w:rsid w:val="00044550"/>
    <w:rsid w:val="00046B8A"/>
    <w:rsid w:val="000473DE"/>
    <w:rsid w:val="00047CA1"/>
    <w:rsid w:val="00051550"/>
    <w:rsid w:val="00053775"/>
    <w:rsid w:val="000545BC"/>
    <w:rsid w:val="000555A3"/>
    <w:rsid w:val="0006039E"/>
    <w:rsid w:val="0006051F"/>
    <w:rsid w:val="00061C72"/>
    <w:rsid w:val="00063473"/>
    <w:rsid w:val="000634D4"/>
    <w:rsid w:val="0006362B"/>
    <w:rsid w:val="0006473D"/>
    <w:rsid w:val="00065D5E"/>
    <w:rsid w:val="000666B5"/>
    <w:rsid w:val="000711BF"/>
    <w:rsid w:val="0007220B"/>
    <w:rsid w:val="00072585"/>
    <w:rsid w:val="000753CB"/>
    <w:rsid w:val="00075C1F"/>
    <w:rsid w:val="00076F42"/>
    <w:rsid w:val="0007765C"/>
    <w:rsid w:val="000779F4"/>
    <w:rsid w:val="00077FF9"/>
    <w:rsid w:val="0008155B"/>
    <w:rsid w:val="000820E6"/>
    <w:rsid w:val="00082189"/>
    <w:rsid w:val="00084422"/>
    <w:rsid w:val="000853D8"/>
    <w:rsid w:val="00085D08"/>
    <w:rsid w:val="00086D53"/>
    <w:rsid w:val="00090A1A"/>
    <w:rsid w:val="00091977"/>
    <w:rsid w:val="00091EA8"/>
    <w:rsid w:val="00093A13"/>
    <w:rsid w:val="000942EA"/>
    <w:rsid w:val="00097366"/>
    <w:rsid w:val="000A05A2"/>
    <w:rsid w:val="000A0BF8"/>
    <w:rsid w:val="000A19A8"/>
    <w:rsid w:val="000A3430"/>
    <w:rsid w:val="000A3A35"/>
    <w:rsid w:val="000A4B19"/>
    <w:rsid w:val="000A7C3E"/>
    <w:rsid w:val="000A7C98"/>
    <w:rsid w:val="000A7E9C"/>
    <w:rsid w:val="000B1211"/>
    <w:rsid w:val="000B4205"/>
    <w:rsid w:val="000B5215"/>
    <w:rsid w:val="000C1838"/>
    <w:rsid w:val="000C1B72"/>
    <w:rsid w:val="000C264C"/>
    <w:rsid w:val="000C3F85"/>
    <w:rsid w:val="000C442E"/>
    <w:rsid w:val="000C5C1E"/>
    <w:rsid w:val="000D0B95"/>
    <w:rsid w:val="000D27A0"/>
    <w:rsid w:val="000D27E1"/>
    <w:rsid w:val="000D4433"/>
    <w:rsid w:val="000D6272"/>
    <w:rsid w:val="000D6CA5"/>
    <w:rsid w:val="000D78FC"/>
    <w:rsid w:val="000E1747"/>
    <w:rsid w:val="000E367A"/>
    <w:rsid w:val="000E58BC"/>
    <w:rsid w:val="000E6BBA"/>
    <w:rsid w:val="000E79E1"/>
    <w:rsid w:val="000F48A1"/>
    <w:rsid w:val="000F4AD7"/>
    <w:rsid w:val="000F4C4A"/>
    <w:rsid w:val="000F5C03"/>
    <w:rsid w:val="000F75AB"/>
    <w:rsid w:val="00104EFA"/>
    <w:rsid w:val="001050CB"/>
    <w:rsid w:val="001068EB"/>
    <w:rsid w:val="00111ADE"/>
    <w:rsid w:val="001120C1"/>
    <w:rsid w:val="00116184"/>
    <w:rsid w:val="00116355"/>
    <w:rsid w:val="0011771A"/>
    <w:rsid w:val="001177B5"/>
    <w:rsid w:val="00117FAC"/>
    <w:rsid w:val="0012238D"/>
    <w:rsid w:val="00123743"/>
    <w:rsid w:val="00123C9A"/>
    <w:rsid w:val="00126DC9"/>
    <w:rsid w:val="00130FEF"/>
    <w:rsid w:val="00132C6D"/>
    <w:rsid w:val="0013301A"/>
    <w:rsid w:val="00133F54"/>
    <w:rsid w:val="0013425A"/>
    <w:rsid w:val="001405FE"/>
    <w:rsid w:val="001408FA"/>
    <w:rsid w:val="00145C52"/>
    <w:rsid w:val="001469C8"/>
    <w:rsid w:val="00146CCA"/>
    <w:rsid w:val="00147453"/>
    <w:rsid w:val="00147824"/>
    <w:rsid w:val="001520C0"/>
    <w:rsid w:val="001531A0"/>
    <w:rsid w:val="00154C6D"/>
    <w:rsid w:val="0015661A"/>
    <w:rsid w:val="00156A45"/>
    <w:rsid w:val="00156D47"/>
    <w:rsid w:val="001613A5"/>
    <w:rsid w:val="00161F6D"/>
    <w:rsid w:val="001701DA"/>
    <w:rsid w:val="00170ED0"/>
    <w:rsid w:val="001720C4"/>
    <w:rsid w:val="0017257D"/>
    <w:rsid w:val="001733CA"/>
    <w:rsid w:val="001738EF"/>
    <w:rsid w:val="00176BAE"/>
    <w:rsid w:val="00180D63"/>
    <w:rsid w:val="001828A1"/>
    <w:rsid w:val="00184349"/>
    <w:rsid w:val="00185C10"/>
    <w:rsid w:val="00186F10"/>
    <w:rsid w:val="00187B3C"/>
    <w:rsid w:val="00190356"/>
    <w:rsid w:val="00190C00"/>
    <w:rsid w:val="00190C19"/>
    <w:rsid w:val="00191E77"/>
    <w:rsid w:val="001979E3"/>
    <w:rsid w:val="00197B41"/>
    <w:rsid w:val="001A09FA"/>
    <w:rsid w:val="001A0B4D"/>
    <w:rsid w:val="001A30FD"/>
    <w:rsid w:val="001A471E"/>
    <w:rsid w:val="001A5066"/>
    <w:rsid w:val="001A5DC9"/>
    <w:rsid w:val="001A63CD"/>
    <w:rsid w:val="001A65BB"/>
    <w:rsid w:val="001A68C5"/>
    <w:rsid w:val="001A7C80"/>
    <w:rsid w:val="001B1636"/>
    <w:rsid w:val="001B3F3D"/>
    <w:rsid w:val="001B5BAF"/>
    <w:rsid w:val="001B6713"/>
    <w:rsid w:val="001B672A"/>
    <w:rsid w:val="001B6B39"/>
    <w:rsid w:val="001C25F9"/>
    <w:rsid w:val="001C2C12"/>
    <w:rsid w:val="001C5700"/>
    <w:rsid w:val="001C5CCA"/>
    <w:rsid w:val="001D1183"/>
    <w:rsid w:val="001D3140"/>
    <w:rsid w:val="001D3749"/>
    <w:rsid w:val="001D3F47"/>
    <w:rsid w:val="001D4EE8"/>
    <w:rsid w:val="001D5F49"/>
    <w:rsid w:val="001D72B4"/>
    <w:rsid w:val="001E02F1"/>
    <w:rsid w:val="001E0789"/>
    <w:rsid w:val="001E5972"/>
    <w:rsid w:val="001E6EEC"/>
    <w:rsid w:val="001E7D6D"/>
    <w:rsid w:val="001F04FC"/>
    <w:rsid w:val="001F1417"/>
    <w:rsid w:val="001F243C"/>
    <w:rsid w:val="001F2A12"/>
    <w:rsid w:val="001F2B0D"/>
    <w:rsid w:val="001F2C63"/>
    <w:rsid w:val="001F32A5"/>
    <w:rsid w:val="001F562B"/>
    <w:rsid w:val="0020067A"/>
    <w:rsid w:val="00200CA4"/>
    <w:rsid w:val="00202340"/>
    <w:rsid w:val="00205689"/>
    <w:rsid w:val="00205992"/>
    <w:rsid w:val="00206CE0"/>
    <w:rsid w:val="00210C76"/>
    <w:rsid w:val="00214202"/>
    <w:rsid w:val="00214993"/>
    <w:rsid w:val="00220894"/>
    <w:rsid w:val="00220DC9"/>
    <w:rsid w:val="00222A2C"/>
    <w:rsid w:val="00222F32"/>
    <w:rsid w:val="0022442F"/>
    <w:rsid w:val="00224A6B"/>
    <w:rsid w:val="00227BA2"/>
    <w:rsid w:val="00230267"/>
    <w:rsid w:val="00230CCD"/>
    <w:rsid w:val="00231464"/>
    <w:rsid w:val="0023201E"/>
    <w:rsid w:val="0023456F"/>
    <w:rsid w:val="002357DF"/>
    <w:rsid w:val="00235F02"/>
    <w:rsid w:val="00236351"/>
    <w:rsid w:val="00236E1E"/>
    <w:rsid w:val="00237071"/>
    <w:rsid w:val="00240F05"/>
    <w:rsid w:val="00242081"/>
    <w:rsid w:val="00242481"/>
    <w:rsid w:val="00250641"/>
    <w:rsid w:val="00250AC0"/>
    <w:rsid w:val="00251DA1"/>
    <w:rsid w:val="002525B6"/>
    <w:rsid w:val="0025451E"/>
    <w:rsid w:val="002563EA"/>
    <w:rsid w:val="00256566"/>
    <w:rsid w:val="00261D9A"/>
    <w:rsid w:val="002634FD"/>
    <w:rsid w:val="00264778"/>
    <w:rsid w:val="00265679"/>
    <w:rsid w:val="00265915"/>
    <w:rsid w:val="00265A77"/>
    <w:rsid w:val="00266CEA"/>
    <w:rsid w:val="00267406"/>
    <w:rsid w:val="002706C7"/>
    <w:rsid w:val="00270C0B"/>
    <w:rsid w:val="0027162D"/>
    <w:rsid w:val="00271DDC"/>
    <w:rsid w:val="0027226B"/>
    <w:rsid w:val="002826E5"/>
    <w:rsid w:val="002829E1"/>
    <w:rsid w:val="0028359F"/>
    <w:rsid w:val="00284FC6"/>
    <w:rsid w:val="00285683"/>
    <w:rsid w:val="00290C9B"/>
    <w:rsid w:val="00291E0A"/>
    <w:rsid w:val="002922F4"/>
    <w:rsid w:val="00292783"/>
    <w:rsid w:val="00293294"/>
    <w:rsid w:val="002934DA"/>
    <w:rsid w:val="00295DA3"/>
    <w:rsid w:val="0029622F"/>
    <w:rsid w:val="0029720F"/>
    <w:rsid w:val="002A1DD8"/>
    <w:rsid w:val="002A243B"/>
    <w:rsid w:val="002A2C01"/>
    <w:rsid w:val="002A2E9C"/>
    <w:rsid w:val="002A333C"/>
    <w:rsid w:val="002A563C"/>
    <w:rsid w:val="002A6847"/>
    <w:rsid w:val="002B17D6"/>
    <w:rsid w:val="002B3C80"/>
    <w:rsid w:val="002B5AA2"/>
    <w:rsid w:val="002B77F9"/>
    <w:rsid w:val="002C00DD"/>
    <w:rsid w:val="002C2F14"/>
    <w:rsid w:val="002C7718"/>
    <w:rsid w:val="002D0EC9"/>
    <w:rsid w:val="002D312D"/>
    <w:rsid w:val="002D4152"/>
    <w:rsid w:val="002E0D30"/>
    <w:rsid w:val="002E161D"/>
    <w:rsid w:val="002E2366"/>
    <w:rsid w:val="002E3119"/>
    <w:rsid w:val="002E5495"/>
    <w:rsid w:val="002E5671"/>
    <w:rsid w:val="002E584B"/>
    <w:rsid w:val="002E6566"/>
    <w:rsid w:val="002F0FE9"/>
    <w:rsid w:val="002F13FB"/>
    <w:rsid w:val="002F4C0A"/>
    <w:rsid w:val="002F4FBF"/>
    <w:rsid w:val="002F6338"/>
    <w:rsid w:val="002F71A7"/>
    <w:rsid w:val="00300653"/>
    <w:rsid w:val="00301FEE"/>
    <w:rsid w:val="00303586"/>
    <w:rsid w:val="003035C8"/>
    <w:rsid w:val="00303657"/>
    <w:rsid w:val="0030486A"/>
    <w:rsid w:val="00305FAF"/>
    <w:rsid w:val="0031151B"/>
    <w:rsid w:val="00311ADE"/>
    <w:rsid w:val="00311BE9"/>
    <w:rsid w:val="003140D7"/>
    <w:rsid w:val="003154A0"/>
    <w:rsid w:val="00315827"/>
    <w:rsid w:val="00315D01"/>
    <w:rsid w:val="00316489"/>
    <w:rsid w:val="00317FAB"/>
    <w:rsid w:val="0032078A"/>
    <w:rsid w:val="00320878"/>
    <w:rsid w:val="00322437"/>
    <w:rsid w:val="00323B37"/>
    <w:rsid w:val="0032429A"/>
    <w:rsid w:val="0032448F"/>
    <w:rsid w:val="0032478E"/>
    <w:rsid w:val="00324CE4"/>
    <w:rsid w:val="00326204"/>
    <w:rsid w:val="00327255"/>
    <w:rsid w:val="00330019"/>
    <w:rsid w:val="0033353D"/>
    <w:rsid w:val="00336C93"/>
    <w:rsid w:val="00343332"/>
    <w:rsid w:val="00344406"/>
    <w:rsid w:val="00344556"/>
    <w:rsid w:val="00346F45"/>
    <w:rsid w:val="00352192"/>
    <w:rsid w:val="0035222E"/>
    <w:rsid w:val="0035779A"/>
    <w:rsid w:val="00357B51"/>
    <w:rsid w:val="0036152E"/>
    <w:rsid w:val="003624E5"/>
    <w:rsid w:val="003637D4"/>
    <w:rsid w:val="00365E4A"/>
    <w:rsid w:val="003663E6"/>
    <w:rsid w:val="00376328"/>
    <w:rsid w:val="00377B9D"/>
    <w:rsid w:val="0038030D"/>
    <w:rsid w:val="00382E5E"/>
    <w:rsid w:val="003844C9"/>
    <w:rsid w:val="003845FD"/>
    <w:rsid w:val="003858DC"/>
    <w:rsid w:val="0038619D"/>
    <w:rsid w:val="00386B3C"/>
    <w:rsid w:val="00390CF4"/>
    <w:rsid w:val="00391872"/>
    <w:rsid w:val="00393352"/>
    <w:rsid w:val="003A278F"/>
    <w:rsid w:val="003A43FB"/>
    <w:rsid w:val="003A7220"/>
    <w:rsid w:val="003A7DEC"/>
    <w:rsid w:val="003B0188"/>
    <w:rsid w:val="003B2EFD"/>
    <w:rsid w:val="003B4A21"/>
    <w:rsid w:val="003B692C"/>
    <w:rsid w:val="003C0CDF"/>
    <w:rsid w:val="003C1B70"/>
    <w:rsid w:val="003C3140"/>
    <w:rsid w:val="003C4A49"/>
    <w:rsid w:val="003D054E"/>
    <w:rsid w:val="003D0FC3"/>
    <w:rsid w:val="003D273B"/>
    <w:rsid w:val="003D43E1"/>
    <w:rsid w:val="003D5338"/>
    <w:rsid w:val="003E1491"/>
    <w:rsid w:val="003E680F"/>
    <w:rsid w:val="003E75A2"/>
    <w:rsid w:val="003E78E1"/>
    <w:rsid w:val="003E7CC1"/>
    <w:rsid w:val="003F0BC5"/>
    <w:rsid w:val="003F1366"/>
    <w:rsid w:val="003F21F9"/>
    <w:rsid w:val="003F3C7B"/>
    <w:rsid w:val="003F46D7"/>
    <w:rsid w:val="003F550C"/>
    <w:rsid w:val="003F6F93"/>
    <w:rsid w:val="003F7279"/>
    <w:rsid w:val="004001ED"/>
    <w:rsid w:val="004011DD"/>
    <w:rsid w:val="00403927"/>
    <w:rsid w:val="00403FAA"/>
    <w:rsid w:val="004056AA"/>
    <w:rsid w:val="004065BB"/>
    <w:rsid w:val="00406624"/>
    <w:rsid w:val="004104BC"/>
    <w:rsid w:val="004110D5"/>
    <w:rsid w:val="004110DC"/>
    <w:rsid w:val="00412415"/>
    <w:rsid w:val="004135D3"/>
    <w:rsid w:val="00413F32"/>
    <w:rsid w:val="00416F1B"/>
    <w:rsid w:val="004202AC"/>
    <w:rsid w:val="00424966"/>
    <w:rsid w:val="004256BB"/>
    <w:rsid w:val="00426784"/>
    <w:rsid w:val="0042687E"/>
    <w:rsid w:val="004270F8"/>
    <w:rsid w:val="00430172"/>
    <w:rsid w:val="004318E7"/>
    <w:rsid w:val="0043395B"/>
    <w:rsid w:val="00433E48"/>
    <w:rsid w:val="00436095"/>
    <w:rsid w:val="004362DD"/>
    <w:rsid w:val="004370B0"/>
    <w:rsid w:val="0043714C"/>
    <w:rsid w:val="0043718C"/>
    <w:rsid w:val="0044257C"/>
    <w:rsid w:val="00443808"/>
    <w:rsid w:val="004439D5"/>
    <w:rsid w:val="00444E14"/>
    <w:rsid w:val="00445134"/>
    <w:rsid w:val="00445A30"/>
    <w:rsid w:val="004460ED"/>
    <w:rsid w:val="0044636C"/>
    <w:rsid w:val="004478F2"/>
    <w:rsid w:val="004507A8"/>
    <w:rsid w:val="00451745"/>
    <w:rsid w:val="0045242F"/>
    <w:rsid w:val="00453159"/>
    <w:rsid w:val="004532BF"/>
    <w:rsid w:val="004542B2"/>
    <w:rsid w:val="00455027"/>
    <w:rsid w:val="00455833"/>
    <w:rsid w:val="00455EB7"/>
    <w:rsid w:val="00456B1E"/>
    <w:rsid w:val="0045717F"/>
    <w:rsid w:val="00461529"/>
    <w:rsid w:val="00461868"/>
    <w:rsid w:val="004627AA"/>
    <w:rsid w:val="004629A7"/>
    <w:rsid w:val="0046394B"/>
    <w:rsid w:val="00464541"/>
    <w:rsid w:val="00465988"/>
    <w:rsid w:val="00465F43"/>
    <w:rsid w:val="00466A20"/>
    <w:rsid w:val="00466CD8"/>
    <w:rsid w:val="00467282"/>
    <w:rsid w:val="00467F7B"/>
    <w:rsid w:val="00472E9E"/>
    <w:rsid w:val="004741A9"/>
    <w:rsid w:val="00474854"/>
    <w:rsid w:val="00474C8E"/>
    <w:rsid w:val="00475DF4"/>
    <w:rsid w:val="004776C0"/>
    <w:rsid w:val="004776DE"/>
    <w:rsid w:val="0048168F"/>
    <w:rsid w:val="004816B4"/>
    <w:rsid w:val="00485491"/>
    <w:rsid w:val="0048756A"/>
    <w:rsid w:val="00491951"/>
    <w:rsid w:val="00492EAA"/>
    <w:rsid w:val="00493549"/>
    <w:rsid w:val="004953B9"/>
    <w:rsid w:val="004955D6"/>
    <w:rsid w:val="00496EB9"/>
    <w:rsid w:val="004A27AB"/>
    <w:rsid w:val="004A4457"/>
    <w:rsid w:val="004A4B6D"/>
    <w:rsid w:val="004A5209"/>
    <w:rsid w:val="004A5325"/>
    <w:rsid w:val="004A5E4C"/>
    <w:rsid w:val="004A62D1"/>
    <w:rsid w:val="004B0242"/>
    <w:rsid w:val="004B3301"/>
    <w:rsid w:val="004B357F"/>
    <w:rsid w:val="004B4F31"/>
    <w:rsid w:val="004C33E5"/>
    <w:rsid w:val="004C3E9A"/>
    <w:rsid w:val="004C4848"/>
    <w:rsid w:val="004C587E"/>
    <w:rsid w:val="004C6507"/>
    <w:rsid w:val="004D0836"/>
    <w:rsid w:val="004D0A3D"/>
    <w:rsid w:val="004D4243"/>
    <w:rsid w:val="004D4461"/>
    <w:rsid w:val="004D52FD"/>
    <w:rsid w:val="004D533F"/>
    <w:rsid w:val="004D5895"/>
    <w:rsid w:val="004D5E50"/>
    <w:rsid w:val="004D647C"/>
    <w:rsid w:val="004D7BD8"/>
    <w:rsid w:val="004E035D"/>
    <w:rsid w:val="004E0B98"/>
    <w:rsid w:val="004E1652"/>
    <w:rsid w:val="004E1F54"/>
    <w:rsid w:val="004E5422"/>
    <w:rsid w:val="004E56E7"/>
    <w:rsid w:val="004E58F1"/>
    <w:rsid w:val="004E5BC5"/>
    <w:rsid w:val="004F131E"/>
    <w:rsid w:val="004F21CF"/>
    <w:rsid w:val="004F40A5"/>
    <w:rsid w:val="004F579C"/>
    <w:rsid w:val="004F7D0E"/>
    <w:rsid w:val="00500438"/>
    <w:rsid w:val="00501AEE"/>
    <w:rsid w:val="005027B0"/>
    <w:rsid w:val="00504FE6"/>
    <w:rsid w:val="00505B39"/>
    <w:rsid w:val="00505B5F"/>
    <w:rsid w:val="0051175E"/>
    <w:rsid w:val="00513998"/>
    <w:rsid w:val="0051558E"/>
    <w:rsid w:val="00515692"/>
    <w:rsid w:val="00520672"/>
    <w:rsid w:val="005212F9"/>
    <w:rsid w:val="0052308C"/>
    <w:rsid w:val="005241AB"/>
    <w:rsid w:val="00524D1B"/>
    <w:rsid w:val="00526741"/>
    <w:rsid w:val="0052682B"/>
    <w:rsid w:val="00527579"/>
    <w:rsid w:val="00527ADE"/>
    <w:rsid w:val="00532117"/>
    <w:rsid w:val="00532948"/>
    <w:rsid w:val="00532AE0"/>
    <w:rsid w:val="0053334F"/>
    <w:rsid w:val="00534160"/>
    <w:rsid w:val="005354D4"/>
    <w:rsid w:val="0054190F"/>
    <w:rsid w:val="005419EC"/>
    <w:rsid w:val="00541D75"/>
    <w:rsid w:val="0054388B"/>
    <w:rsid w:val="00551541"/>
    <w:rsid w:val="0055166A"/>
    <w:rsid w:val="0055181A"/>
    <w:rsid w:val="00551DDA"/>
    <w:rsid w:val="005545DC"/>
    <w:rsid w:val="00556391"/>
    <w:rsid w:val="005563B9"/>
    <w:rsid w:val="00556818"/>
    <w:rsid w:val="005578E8"/>
    <w:rsid w:val="00560206"/>
    <w:rsid w:val="00560EB2"/>
    <w:rsid w:val="0056525F"/>
    <w:rsid w:val="00565E9F"/>
    <w:rsid w:val="005663DE"/>
    <w:rsid w:val="00567329"/>
    <w:rsid w:val="005704F7"/>
    <w:rsid w:val="00574A4D"/>
    <w:rsid w:val="00576102"/>
    <w:rsid w:val="00577905"/>
    <w:rsid w:val="00580484"/>
    <w:rsid w:val="0058051B"/>
    <w:rsid w:val="00584321"/>
    <w:rsid w:val="005851B6"/>
    <w:rsid w:val="005864BF"/>
    <w:rsid w:val="00587315"/>
    <w:rsid w:val="00590653"/>
    <w:rsid w:val="00590B97"/>
    <w:rsid w:val="00590BD0"/>
    <w:rsid w:val="005934B6"/>
    <w:rsid w:val="00594AFB"/>
    <w:rsid w:val="00595AF5"/>
    <w:rsid w:val="0059673F"/>
    <w:rsid w:val="00597231"/>
    <w:rsid w:val="005A095C"/>
    <w:rsid w:val="005A26DE"/>
    <w:rsid w:val="005A4B26"/>
    <w:rsid w:val="005A6AB9"/>
    <w:rsid w:val="005B1B89"/>
    <w:rsid w:val="005B1F1B"/>
    <w:rsid w:val="005B2178"/>
    <w:rsid w:val="005B3970"/>
    <w:rsid w:val="005B3CAB"/>
    <w:rsid w:val="005B5190"/>
    <w:rsid w:val="005B5690"/>
    <w:rsid w:val="005B5926"/>
    <w:rsid w:val="005B7D6C"/>
    <w:rsid w:val="005C0C87"/>
    <w:rsid w:val="005C63CD"/>
    <w:rsid w:val="005C759F"/>
    <w:rsid w:val="005C7B16"/>
    <w:rsid w:val="005D0610"/>
    <w:rsid w:val="005D0C56"/>
    <w:rsid w:val="005D2487"/>
    <w:rsid w:val="005D3ABB"/>
    <w:rsid w:val="005D5585"/>
    <w:rsid w:val="005E03BC"/>
    <w:rsid w:val="005E067E"/>
    <w:rsid w:val="005E0774"/>
    <w:rsid w:val="005E1496"/>
    <w:rsid w:val="005E64E5"/>
    <w:rsid w:val="005E6BAB"/>
    <w:rsid w:val="005F23C1"/>
    <w:rsid w:val="005F24A6"/>
    <w:rsid w:val="005F2FE6"/>
    <w:rsid w:val="005F7912"/>
    <w:rsid w:val="006013D8"/>
    <w:rsid w:val="006015CF"/>
    <w:rsid w:val="00601F4E"/>
    <w:rsid w:val="006028C1"/>
    <w:rsid w:val="00603141"/>
    <w:rsid w:val="00603E6A"/>
    <w:rsid w:val="00605AAA"/>
    <w:rsid w:val="00605B07"/>
    <w:rsid w:val="006067E2"/>
    <w:rsid w:val="00607DA0"/>
    <w:rsid w:val="0061047A"/>
    <w:rsid w:val="0061192E"/>
    <w:rsid w:val="00612849"/>
    <w:rsid w:val="00613E55"/>
    <w:rsid w:val="006162A3"/>
    <w:rsid w:val="0062021D"/>
    <w:rsid w:val="006210F3"/>
    <w:rsid w:val="006231F9"/>
    <w:rsid w:val="00624159"/>
    <w:rsid w:val="00625542"/>
    <w:rsid w:val="006257A0"/>
    <w:rsid w:val="00630317"/>
    <w:rsid w:val="0063142E"/>
    <w:rsid w:val="00632FE2"/>
    <w:rsid w:val="006338AB"/>
    <w:rsid w:val="00633A4C"/>
    <w:rsid w:val="00635731"/>
    <w:rsid w:val="00636E8C"/>
    <w:rsid w:val="006371D0"/>
    <w:rsid w:val="00637DBA"/>
    <w:rsid w:val="0064024A"/>
    <w:rsid w:val="00640567"/>
    <w:rsid w:val="006411E0"/>
    <w:rsid w:val="00641292"/>
    <w:rsid w:val="006416A7"/>
    <w:rsid w:val="006432CD"/>
    <w:rsid w:val="00643560"/>
    <w:rsid w:val="00651009"/>
    <w:rsid w:val="0065100F"/>
    <w:rsid w:val="00651B24"/>
    <w:rsid w:val="00652155"/>
    <w:rsid w:val="006525AB"/>
    <w:rsid w:val="0065423C"/>
    <w:rsid w:val="00655EC4"/>
    <w:rsid w:val="00655F3A"/>
    <w:rsid w:val="006566FF"/>
    <w:rsid w:val="0065764C"/>
    <w:rsid w:val="00662694"/>
    <w:rsid w:val="006652FE"/>
    <w:rsid w:val="0066630F"/>
    <w:rsid w:val="00667152"/>
    <w:rsid w:val="0067051D"/>
    <w:rsid w:val="006711E3"/>
    <w:rsid w:val="00671D7E"/>
    <w:rsid w:val="00672B26"/>
    <w:rsid w:val="00676B19"/>
    <w:rsid w:val="00677B2F"/>
    <w:rsid w:val="0068066E"/>
    <w:rsid w:val="00682FBA"/>
    <w:rsid w:val="00684E52"/>
    <w:rsid w:val="00687D43"/>
    <w:rsid w:val="0069019E"/>
    <w:rsid w:val="00695A26"/>
    <w:rsid w:val="00695FDA"/>
    <w:rsid w:val="00696328"/>
    <w:rsid w:val="006974E3"/>
    <w:rsid w:val="006A1544"/>
    <w:rsid w:val="006A2629"/>
    <w:rsid w:val="006A29D3"/>
    <w:rsid w:val="006A3F74"/>
    <w:rsid w:val="006A7FF2"/>
    <w:rsid w:val="006B13BE"/>
    <w:rsid w:val="006B1942"/>
    <w:rsid w:val="006B2A56"/>
    <w:rsid w:val="006B3358"/>
    <w:rsid w:val="006B361E"/>
    <w:rsid w:val="006B4883"/>
    <w:rsid w:val="006B4C59"/>
    <w:rsid w:val="006B66E4"/>
    <w:rsid w:val="006B694D"/>
    <w:rsid w:val="006C0248"/>
    <w:rsid w:val="006C02A9"/>
    <w:rsid w:val="006C23AF"/>
    <w:rsid w:val="006C33CA"/>
    <w:rsid w:val="006C6387"/>
    <w:rsid w:val="006D0A56"/>
    <w:rsid w:val="006D3528"/>
    <w:rsid w:val="006D3F93"/>
    <w:rsid w:val="006D4E35"/>
    <w:rsid w:val="006D5514"/>
    <w:rsid w:val="006E0146"/>
    <w:rsid w:val="006E1288"/>
    <w:rsid w:val="006E184D"/>
    <w:rsid w:val="006E2BE5"/>
    <w:rsid w:val="006E3E92"/>
    <w:rsid w:val="006E7F46"/>
    <w:rsid w:val="006F0E29"/>
    <w:rsid w:val="006F18C9"/>
    <w:rsid w:val="006F1E34"/>
    <w:rsid w:val="006F251C"/>
    <w:rsid w:val="006F28E4"/>
    <w:rsid w:val="006F2EF5"/>
    <w:rsid w:val="006F3B64"/>
    <w:rsid w:val="006F4B8D"/>
    <w:rsid w:val="007063ED"/>
    <w:rsid w:val="007070AB"/>
    <w:rsid w:val="007107E9"/>
    <w:rsid w:val="00710C66"/>
    <w:rsid w:val="00710CE8"/>
    <w:rsid w:val="007122AE"/>
    <w:rsid w:val="00713BBC"/>
    <w:rsid w:val="007152B5"/>
    <w:rsid w:val="00721583"/>
    <w:rsid w:val="0072182D"/>
    <w:rsid w:val="00721A49"/>
    <w:rsid w:val="00726563"/>
    <w:rsid w:val="00737885"/>
    <w:rsid w:val="00740AB5"/>
    <w:rsid w:val="00741FF0"/>
    <w:rsid w:val="007456F6"/>
    <w:rsid w:val="00750AE4"/>
    <w:rsid w:val="00751F63"/>
    <w:rsid w:val="00754105"/>
    <w:rsid w:val="00754930"/>
    <w:rsid w:val="0075743A"/>
    <w:rsid w:val="00757454"/>
    <w:rsid w:val="00760441"/>
    <w:rsid w:val="0076164A"/>
    <w:rsid w:val="00761E2D"/>
    <w:rsid w:val="0076334F"/>
    <w:rsid w:val="00763799"/>
    <w:rsid w:val="00766A14"/>
    <w:rsid w:val="00767B79"/>
    <w:rsid w:val="00767E09"/>
    <w:rsid w:val="00771157"/>
    <w:rsid w:val="0077115B"/>
    <w:rsid w:val="0077326C"/>
    <w:rsid w:val="00773987"/>
    <w:rsid w:val="0077641E"/>
    <w:rsid w:val="007766C0"/>
    <w:rsid w:val="00783935"/>
    <w:rsid w:val="00784CBD"/>
    <w:rsid w:val="00784EE6"/>
    <w:rsid w:val="00786A69"/>
    <w:rsid w:val="0078756F"/>
    <w:rsid w:val="007875F0"/>
    <w:rsid w:val="007900C8"/>
    <w:rsid w:val="00791641"/>
    <w:rsid w:val="007922F6"/>
    <w:rsid w:val="007958A2"/>
    <w:rsid w:val="007960FF"/>
    <w:rsid w:val="0079666F"/>
    <w:rsid w:val="007A050A"/>
    <w:rsid w:val="007A0CBF"/>
    <w:rsid w:val="007A3936"/>
    <w:rsid w:val="007A4194"/>
    <w:rsid w:val="007A4CA3"/>
    <w:rsid w:val="007A5C71"/>
    <w:rsid w:val="007A7A32"/>
    <w:rsid w:val="007A7F5C"/>
    <w:rsid w:val="007B0E45"/>
    <w:rsid w:val="007B1500"/>
    <w:rsid w:val="007B1DF9"/>
    <w:rsid w:val="007B305E"/>
    <w:rsid w:val="007B738D"/>
    <w:rsid w:val="007C1457"/>
    <w:rsid w:val="007C4939"/>
    <w:rsid w:val="007C6687"/>
    <w:rsid w:val="007C6B76"/>
    <w:rsid w:val="007C7553"/>
    <w:rsid w:val="007C76C5"/>
    <w:rsid w:val="007C7AA7"/>
    <w:rsid w:val="007D1992"/>
    <w:rsid w:val="007D1FAD"/>
    <w:rsid w:val="007D208A"/>
    <w:rsid w:val="007D2543"/>
    <w:rsid w:val="007D2A73"/>
    <w:rsid w:val="007D3079"/>
    <w:rsid w:val="007D370B"/>
    <w:rsid w:val="007D5C9D"/>
    <w:rsid w:val="007E115A"/>
    <w:rsid w:val="007E18F6"/>
    <w:rsid w:val="007E2F79"/>
    <w:rsid w:val="007E314E"/>
    <w:rsid w:val="007E4BD6"/>
    <w:rsid w:val="007F4037"/>
    <w:rsid w:val="007F4A6C"/>
    <w:rsid w:val="007F533F"/>
    <w:rsid w:val="007F56D9"/>
    <w:rsid w:val="007F58DD"/>
    <w:rsid w:val="007F6C06"/>
    <w:rsid w:val="00800504"/>
    <w:rsid w:val="008006A5"/>
    <w:rsid w:val="008010D6"/>
    <w:rsid w:val="00801C8B"/>
    <w:rsid w:val="00803878"/>
    <w:rsid w:val="00803CDF"/>
    <w:rsid w:val="00805811"/>
    <w:rsid w:val="00805AA9"/>
    <w:rsid w:val="00807847"/>
    <w:rsid w:val="008078E8"/>
    <w:rsid w:val="00811B3D"/>
    <w:rsid w:val="00812BDB"/>
    <w:rsid w:val="0081397E"/>
    <w:rsid w:val="00817C96"/>
    <w:rsid w:val="00820CCC"/>
    <w:rsid w:val="00821082"/>
    <w:rsid w:val="008231D3"/>
    <w:rsid w:val="00825367"/>
    <w:rsid w:val="008268D1"/>
    <w:rsid w:val="00826C3A"/>
    <w:rsid w:val="00830A88"/>
    <w:rsid w:val="00831821"/>
    <w:rsid w:val="008324DE"/>
    <w:rsid w:val="00834D37"/>
    <w:rsid w:val="008359CA"/>
    <w:rsid w:val="00840730"/>
    <w:rsid w:val="00841359"/>
    <w:rsid w:val="00843067"/>
    <w:rsid w:val="00843096"/>
    <w:rsid w:val="00844921"/>
    <w:rsid w:val="008462DD"/>
    <w:rsid w:val="00846C6A"/>
    <w:rsid w:val="00847490"/>
    <w:rsid w:val="008518C0"/>
    <w:rsid w:val="008529C0"/>
    <w:rsid w:val="00853B1E"/>
    <w:rsid w:val="00855DFE"/>
    <w:rsid w:val="00857644"/>
    <w:rsid w:val="00860639"/>
    <w:rsid w:val="008608DF"/>
    <w:rsid w:val="00861C66"/>
    <w:rsid w:val="00862746"/>
    <w:rsid w:val="00862F1B"/>
    <w:rsid w:val="00863FF5"/>
    <w:rsid w:val="0086450B"/>
    <w:rsid w:val="00864A0B"/>
    <w:rsid w:val="00864E9D"/>
    <w:rsid w:val="0086538A"/>
    <w:rsid w:val="00865731"/>
    <w:rsid w:val="00865AA6"/>
    <w:rsid w:val="00865CD0"/>
    <w:rsid w:val="00865CDF"/>
    <w:rsid w:val="00866096"/>
    <w:rsid w:val="00866330"/>
    <w:rsid w:val="00866C97"/>
    <w:rsid w:val="008732B8"/>
    <w:rsid w:val="008751B0"/>
    <w:rsid w:val="00875913"/>
    <w:rsid w:val="0088562B"/>
    <w:rsid w:val="00887535"/>
    <w:rsid w:val="00887764"/>
    <w:rsid w:val="00891468"/>
    <w:rsid w:val="008936A4"/>
    <w:rsid w:val="008941FE"/>
    <w:rsid w:val="00894BB1"/>
    <w:rsid w:val="008A2307"/>
    <w:rsid w:val="008A356F"/>
    <w:rsid w:val="008A66CC"/>
    <w:rsid w:val="008B1F64"/>
    <w:rsid w:val="008B35EF"/>
    <w:rsid w:val="008B43F2"/>
    <w:rsid w:val="008B5441"/>
    <w:rsid w:val="008B5B89"/>
    <w:rsid w:val="008B7CF1"/>
    <w:rsid w:val="008C1F90"/>
    <w:rsid w:val="008C285C"/>
    <w:rsid w:val="008C30B8"/>
    <w:rsid w:val="008C452F"/>
    <w:rsid w:val="008C5A6B"/>
    <w:rsid w:val="008C79DE"/>
    <w:rsid w:val="008D48EE"/>
    <w:rsid w:val="008D547A"/>
    <w:rsid w:val="008D6FA6"/>
    <w:rsid w:val="008D7D41"/>
    <w:rsid w:val="008E14AC"/>
    <w:rsid w:val="008E1807"/>
    <w:rsid w:val="008E1BE7"/>
    <w:rsid w:val="008E2D62"/>
    <w:rsid w:val="008E345D"/>
    <w:rsid w:val="008E3687"/>
    <w:rsid w:val="008E3C4E"/>
    <w:rsid w:val="008F0646"/>
    <w:rsid w:val="008F0B6D"/>
    <w:rsid w:val="008F18EB"/>
    <w:rsid w:val="008F44DD"/>
    <w:rsid w:val="008F658E"/>
    <w:rsid w:val="008F671D"/>
    <w:rsid w:val="008F6F64"/>
    <w:rsid w:val="008F7149"/>
    <w:rsid w:val="00900ADB"/>
    <w:rsid w:val="009034B6"/>
    <w:rsid w:val="00903EE7"/>
    <w:rsid w:val="0090478C"/>
    <w:rsid w:val="00906CD7"/>
    <w:rsid w:val="00907905"/>
    <w:rsid w:val="00907B47"/>
    <w:rsid w:val="00911389"/>
    <w:rsid w:val="00913A4F"/>
    <w:rsid w:val="009149BA"/>
    <w:rsid w:val="00915630"/>
    <w:rsid w:val="00915A08"/>
    <w:rsid w:val="00916A68"/>
    <w:rsid w:val="00920453"/>
    <w:rsid w:val="009207E6"/>
    <w:rsid w:val="00920EA1"/>
    <w:rsid w:val="0092232D"/>
    <w:rsid w:val="00925617"/>
    <w:rsid w:val="00926050"/>
    <w:rsid w:val="00927538"/>
    <w:rsid w:val="00932A22"/>
    <w:rsid w:val="00933232"/>
    <w:rsid w:val="00934819"/>
    <w:rsid w:val="00934A7E"/>
    <w:rsid w:val="00936B50"/>
    <w:rsid w:val="00937BCA"/>
    <w:rsid w:val="00937FC0"/>
    <w:rsid w:val="00940FB0"/>
    <w:rsid w:val="009411AD"/>
    <w:rsid w:val="00944DE7"/>
    <w:rsid w:val="00952237"/>
    <w:rsid w:val="00952C08"/>
    <w:rsid w:val="00952C85"/>
    <w:rsid w:val="00953C3C"/>
    <w:rsid w:val="00954675"/>
    <w:rsid w:val="009550CD"/>
    <w:rsid w:val="0095538E"/>
    <w:rsid w:val="009562D5"/>
    <w:rsid w:val="0095725A"/>
    <w:rsid w:val="00957942"/>
    <w:rsid w:val="0096020C"/>
    <w:rsid w:val="0096096D"/>
    <w:rsid w:val="00960B9E"/>
    <w:rsid w:val="00962919"/>
    <w:rsid w:val="00965A00"/>
    <w:rsid w:val="0096703F"/>
    <w:rsid w:val="00970F37"/>
    <w:rsid w:val="00971B5D"/>
    <w:rsid w:val="00972232"/>
    <w:rsid w:val="009727FD"/>
    <w:rsid w:val="00973A6B"/>
    <w:rsid w:val="009774A1"/>
    <w:rsid w:val="00977F36"/>
    <w:rsid w:val="00980663"/>
    <w:rsid w:val="00980A58"/>
    <w:rsid w:val="00983338"/>
    <w:rsid w:val="00985C94"/>
    <w:rsid w:val="00985E48"/>
    <w:rsid w:val="00987041"/>
    <w:rsid w:val="00990287"/>
    <w:rsid w:val="009917D3"/>
    <w:rsid w:val="00991EB9"/>
    <w:rsid w:val="00992AA4"/>
    <w:rsid w:val="00994082"/>
    <w:rsid w:val="009942E8"/>
    <w:rsid w:val="00994380"/>
    <w:rsid w:val="00995FF9"/>
    <w:rsid w:val="00997418"/>
    <w:rsid w:val="00997BB1"/>
    <w:rsid w:val="009A1CA7"/>
    <w:rsid w:val="009A1FA7"/>
    <w:rsid w:val="009A212A"/>
    <w:rsid w:val="009A37F2"/>
    <w:rsid w:val="009A3E9B"/>
    <w:rsid w:val="009A4C7B"/>
    <w:rsid w:val="009A6254"/>
    <w:rsid w:val="009A73E6"/>
    <w:rsid w:val="009B17CA"/>
    <w:rsid w:val="009B2E93"/>
    <w:rsid w:val="009B4CCC"/>
    <w:rsid w:val="009B5540"/>
    <w:rsid w:val="009B72A8"/>
    <w:rsid w:val="009C2E6C"/>
    <w:rsid w:val="009D3FCD"/>
    <w:rsid w:val="009D458C"/>
    <w:rsid w:val="009D525A"/>
    <w:rsid w:val="009D533C"/>
    <w:rsid w:val="009D5A93"/>
    <w:rsid w:val="009D7493"/>
    <w:rsid w:val="009E406C"/>
    <w:rsid w:val="009E43C1"/>
    <w:rsid w:val="009E49E2"/>
    <w:rsid w:val="009E50F2"/>
    <w:rsid w:val="009E618C"/>
    <w:rsid w:val="009E6C67"/>
    <w:rsid w:val="009E6FB1"/>
    <w:rsid w:val="009F09C4"/>
    <w:rsid w:val="009F196B"/>
    <w:rsid w:val="009F26D4"/>
    <w:rsid w:val="009F3A22"/>
    <w:rsid w:val="009F651A"/>
    <w:rsid w:val="00A012FE"/>
    <w:rsid w:val="00A01417"/>
    <w:rsid w:val="00A017AF"/>
    <w:rsid w:val="00A01F5C"/>
    <w:rsid w:val="00A061F2"/>
    <w:rsid w:val="00A06FA3"/>
    <w:rsid w:val="00A10AA7"/>
    <w:rsid w:val="00A17ECF"/>
    <w:rsid w:val="00A22A70"/>
    <w:rsid w:val="00A22FA8"/>
    <w:rsid w:val="00A23E10"/>
    <w:rsid w:val="00A24A4F"/>
    <w:rsid w:val="00A24EE4"/>
    <w:rsid w:val="00A261C3"/>
    <w:rsid w:val="00A26442"/>
    <w:rsid w:val="00A26E88"/>
    <w:rsid w:val="00A27B71"/>
    <w:rsid w:val="00A30318"/>
    <w:rsid w:val="00A3124D"/>
    <w:rsid w:val="00A34E89"/>
    <w:rsid w:val="00A37BC8"/>
    <w:rsid w:val="00A40343"/>
    <w:rsid w:val="00A424D5"/>
    <w:rsid w:val="00A42AFB"/>
    <w:rsid w:val="00A4307A"/>
    <w:rsid w:val="00A460BF"/>
    <w:rsid w:val="00A50A11"/>
    <w:rsid w:val="00A515BC"/>
    <w:rsid w:val="00A521F7"/>
    <w:rsid w:val="00A52883"/>
    <w:rsid w:val="00A53334"/>
    <w:rsid w:val="00A535A1"/>
    <w:rsid w:val="00A540CB"/>
    <w:rsid w:val="00A55151"/>
    <w:rsid w:val="00A55AB0"/>
    <w:rsid w:val="00A55ABE"/>
    <w:rsid w:val="00A56FD8"/>
    <w:rsid w:val="00A57B6E"/>
    <w:rsid w:val="00A6106A"/>
    <w:rsid w:val="00A656BB"/>
    <w:rsid w:val="00A65BBD"/>
    <w:rsid w:val="00A66931"/>
    <w:rsid w:val="00A66E68"/>
    <w:rsid w:val="00A70FA3"/>
    <w:rsid w:val="00A7167B"/>
    <w:rsid w:val="00A74CAF"/>
    <w:rsid w:val="00A77479"/>
    <w:rsid w:val="00A8033B"/>
    <w:rsid w:val="00A838AB"/>
    <w:rsid w:val="00A83C53"/>
    <w:rsid w:val="00A83E1D"/>
    <w:rsid w:val="00A8614C"/>
    <w:rsid w:val="00A868DF"/>
    <w:rsid w:val="00A87509"/>
    <w:rsid w:val="00A87671"/>
    <w:rsid w:val="00A9009B"/>
    <w:rsid w:val="00A91B79"/>
    <w:rsid w:val="00A929CB"/>
    <w:rsid w:val="00A92B62"/>
    <w:rsid w:val="00A92E0E"/>
    <w:rsid w:val="00A94BBB"/>
    <w:rsid w:val="00A97E58"/>
    <w:rsid w:val="00AA0815"/>
    <w:rsid w:val="00AA0AE4"/>
    <w:rsid w:val="00AA232C"/>
    <w:rsid w:val="00AA2CB5"/>
    <w:rsid w:val="00AA301F"/>
    <w:rsid w:val="00AA35E1"/>
    <w:rsid w:val="00AA4310"/>
    <w:rsid w:val="00AA4A03"/>
    <w:rsid w:val="00AA4A32"/>
    <w:rsid w:val="00AA5BB3"/>
    <w:rsid w:val="00AA6E6D"/>
    <w:rsid w:val="00AB1DB2"/>
    <w:rsid w:val="00AB1F78"/>
    <w:rsid w:val="00AB3950"/>
    <w:rsid w:val="00AB5C5D"/>
    <w:rsid w:val="00AB77EB"/>
    <w:rsid w:val="00AC2BF3"/>
    <w:rsid w:val="00AC3589"/>
    <w:rsid w:val="00AC398F"/>
    <w:rsid w:val="00AC3B68"/>
    <w:rsid w:val="00AC6480"/>
    <w:rsid w:val="00AD030F"/>
    <w:rsid w:val="00AD146C"/>
    <w:rsid w:val="00AD22FE"/>
    <w:rsid w:val="00AD3377"/>
    <w:rsid w:val="00AD57C4"/>
    <w:rsid w:val="00AD60AF"/>
    <w:rsid w:val="00AD66A0"/>
    <w:rsid w:val="00AE494D"/>
    <w:rsid w:val="00AE594D"/>
    <w:rsid w:val="00AE618F"/>
    <w:rsid w:val="00AE61C1"/>
    <w:rsid w:val="00AF0B8C"/>
    <w:rsid w:val="00AF1242"/>
    <w:rsid w:val="00AF5570"/>
    <w:rsid w:val="00AF5821"/>
    <w:rsid w:val="00B0052F"/>
    <w:rsid w:val="00B00553"/>
    <w:rsid w:val="00B013A2"/>
    <w:rsid w:val="00B017D7"/>
    <w:rsid w:val="00B05A3F"/>
    <w:rsid w:val="00B06CFC"/>
    <w:rsid w:val="00B0726B"/>
    <w:rsid w:val="00B1129C"/>
    <w:rsid w:val="00B11C84"/>
    <w:rsid w:val="00B14539"/>
    <w:rsid w:val="00B1686D"/>
    <w:rsid w:val="00B17DDB"/>
    <w:rsid w:val="00B20CA9"/>
    <w:rsid w:val="00B2190E"/>
    <w:rsid w:val="00B23DA3"/>
    <w:rsid w:val="00B25054"/>
    <w:rsid w:val="00B257C7"/>
    <w:rsid w:val="00B25B08"/>
    <w:rsid w:val="00B25B5B"/>
    <w:rsid w:val="00B25FEA"/>
    <w:rsid w:val="00B275C6"/>
    <w:rsid w:val="00B27713"/>
    <w:rsid w:val="00B27F74"/>
    <w:rsid w:val="00B27FEF"/>
    <w:rsid w:val="00B3081E"/>
    <w:rsid w:val="00B327CB"/>
    <w:rsid w:val="00B33427"/>
    <w:rsid w:val="00B33BCF"/>
    <w:rsid w:val="00B33EB8"/>
    <w:rsid w:val="00B33F15"/>
    <w:rsid w:val="00B35018"/>
    <w:rsid w:val="00B4197E"/>
    <w:rsid w:val="00B41B81"/>
    <w:rsid w:val="00B4437E"/>
    <w:rsid w:val="00B44DF9"/>
    <w:rsid w:val="00B45859"/>
    <w:rsid w:val="00B45FFB"/>
    <w:rsid w:val="00B4761F"/>
    <w:rsid w:val="00B52102"/>
    <w:rsid w:val="00B5254C"/>
    <w:rsid w:val="00B52E47"/>
    <w:rsid w:val="00B5328D"/>
    <w:rsid w:val="00B53A3D"/>
    <w:rsid w:val="00B53CB0"/>
    <w:rsid w:val="00B545A8"/>
    <w:rsid w:val="00B547AD"/>
    <w:rsid w:val="00B5539C"/>
    <w:rsid w:val="00B55BE2"/>
    <w:rsid w:val="00B57146"/>
    <w:rsid w:val="00B6355F"/>
    <w:rsid w:val="00B645B4"/>
    <w:rsid w:val="00B649C4"/>
    <w:rsid w:val="00B65F57"/>
    <w:rsid w:val="00B66AE2"/>
    <w:rsid w:val="00B717D9"/>
    <w:rsid w:val="00B72838"/>
    <w:rsid w:val="00B72BDA"/>
    <w:rsid w:val="00B76CC5"/>
    <w:rsid w:val="00B77DC2"/>
    <w:rsid w:val="00B8116F"/>
    <w:rsid w:val="00B811A0"/>
    <w:rsid w:val="00B816DF"/>
    <w:rsid w:val="00B82FEB"/>
    <w:rsid w:val="00B84455"/>
    <w:rsid w:val="00B848C5"/>
    <w:rsid w:val="00B92855"/>
    <w:rsid w:val="00B9312A"/>
    <w:rsid w:val="00BA0435"/>
    <w:rsid w:val="00BA1743"/>
    <w:rsid w:val="00BA20F8"/>
    <w:rsid w:val="00BA2687"/>
    <w:rsid w:val="00BA597D"/>
    <w:rsid w:val="00BA6E83"/>
    <w:rsid w:val="00BB194B"/>
    <w:rsid w:val="00BB1D7D"/>
    <w:rsid w:val="00BB22DD"/>
    <w:rsid w:val="00BB4DB4"/>
    <w:rsid w:val="00BB5083"/>
    <w:rsid w:val="00BB5E04"/>
    <w:rsid w:val="00BB6027"/>
    <w:rsid w:val="00BB7F6D"/>
    <w:rsid w:val="00BC14A9"/>
    <w:rsid w:val="00BC242E"/>
    <w:rsid w:val="00BC3A66"/>
    <w:rsid w:val="00BC4494"/>
    <w:rsid w:val="00BC5171"/>
    <w:rsid w:val="00BC5ACE"/>
    <w:rsid w:val="00BC6054"/>
    <w:rsid w:val="00BD3076"/>
    <w:rsid w:val="00BD4277"/>
    <w:rsid w:val="00BD5191"/>
    <w:rsid w:val="00BD5A29"/>
    <w:rsid w:val="00BD5B41"/>
    <w:rsid w:val="00BD62E0"/>
    <w:rsid w:val="00BD79E9"/>
    <w:rsid w:val="00BE2F39"/>
    <w:rsid w:val="00BE3E39"/>
    <w:rsid w:val="00BE7779"/>
    <w:rsid w:val="00BF3030"/>
    <w:rsid w:val="00BF3828"/>
    <w:rsid w:val="00BF4AC6"/>
    <w:rsid w:val="00BF5670"/>
    <w:rsid w:val="00BF62F8"/>
    <w:rsid w:val="00BF7CEF"/>
    <w:rsid w:val="00C01C64"/>
    <w:rsid w:val="00C02A15"/>
    <w:rsid w:val="00C02CD2"/>
    <w:rsid w:val="00C039D4"/>
    <w:rsid w:val="00C05F15"/>
    <w:rsid w:val="00C108B5"/>
    <w:rsid w:val="00C15E7F"/>
    <w:rsid w:val="00C1682D"/>
    <w:rsid w:val="00C17F58"/>
    <w:rsid w:val="00C215E2"/>
    <w:rsid w:val="00C27C96"/>
    <w:rsid w:val="00C27D6D"/>
    <w:rsid w:val="00C30F28"/>
    <w:rsid w:val="00C317BF"/>
    <w:rsid w:val="00C3190B"/>
    <w:rsid w:val="00C32262"/>
    <w:rsid w:val="00C34319"/>
    <w:rsid w:val="00C3629B"/>
    <w:rsid w:val="00C36CAB"/>
    <w:rsid w:val="00C37610"/>
    <w:rsid w:val="00C4057D"/>
    <w:rsid w:val="00C4244A"/>
    <w:rsid w:val="00C43079"/>
    <w:rsid w:val="00C43ECF"/>
    <w:rsid w:val="00C450AF"/>
    <w:rsid w:val="00C46429"/>
    <w:rsid w:val="00C521A5"/>
    <w:rsid w:val="00C52253"/>
    <w:rsid w:val="00C530FC"/>
    <w:rsid w:val="00C56A9A"/>
    <w:rsid w:val="00C62227"/>
    <w:rsid w:val="00C67070"/>
    <w:rsid w:val="00C72BD1"/>
    <w:rsid w:val="00C72E8C"/>
    <w:rsid w:val="00C757BC"/>
    <w:rsid w:val="00C7629D"/>
    <w:rsid w:val="00C76DCD"/>
    <w:rsid w:val="00C776A0"/>
    <w:rsid w:val="00C800A5"/>
    <w:rsid w:val="00C8244F"/>
    <w:rsid w:val="00C82B6B"/>
    <w:rsid w:val="00C839CA"/>
    <w:rsid w:val="00C83B7F"/>
    <w:rsid w:val="00C85F92"/>
    <w:rsid w:val="00C86AF8"/>
    <w:rsid w:val="00C873A0"/>
    <w:rsid w:val="00C90252"/>
    <w:rsid w:val="00C90362"/>
    <w:rsid w:val="00C94BAD"/>
    <w:rsid w:val="00C953E7"/>
    <w:rsid w:val="00C97703"/>
    <w:rsid w:val="00CA03A1"/>
    <w:rsid w:val="00CA04BC"/>
    <w:rsid w:val="00CA0C4C"/>
    <w:rsid w:val="00CA0D5B"/>
    <w:rsid w:val="00CA221A"/>
    <w:rsid w:val="00CA2BD0"/>
    <w:rsid w:val="00CA3263"/>
    <w:rsid w:val="00CA34E0"/>
    <w:rsid w:val="00CA40AA"/>
    <w:rsid w:val="00CA415E"/>
    <w:rsid w:val="00CA4407"/>
    <w:rsid w:val="00CA452C"/>
    <w:rsid w:val="00CA5935"/>
    <w:rsid w:val="00CA5A49"/>
    <w:rsid w:val="00CB2796"/>
    <w:rsid w:val="00CB5DBF"/>
    <w:rsid w:val="00CB6332"/>
    <w:rsid w:val="00CB6368"/>
    <w:rsid w:val="00CB6B1B"/>
    <w:rsid w:val="00CC0C13"/>
    <w:rsid w:val="00CC1D08"/>
    <w:rsid w:val="00CC32B5"/>
    <w:rsid w:val="00CC49E4"/>
    <w:rsid w:val="00CC4B08"/>
    <w:rsid w:val="00CC4D15"/>
    <w:rsid w:val="00CC58DF"/>
    <w:rsid w:val="00CC6BEF"/>
    <w:rsid w:val="00CD2457"/>
    <w:rsid w:val="00CD4E31"/>
    <w:rsid w:val="00CD600C"/>
    <w:rsid w:val="00CD76E9"/>
    <w:rsid w:val="00CE1EF5"/>
    <w:rsid w:val="00CE20EF"/>
    <w:rsid w:val="00CE38DF"/>
    <w:rsid w:val="00CE47F3"/>
    <w:rsid w:val="00CE4C8A"/>
    <w:rsid w:val="00CE6E67"/>
    <w:rsid w:val="00CE7619"/>
    <w:rsid w:val="00CF0891"/>
    <w:rsid w:val="00CF1804"/>
    <w:rsid w:val="00CF1CCD"/>
    <w:rsid w:val="00CF4C41"/>
    <w:rsid w:val="00CF63AF"/>
    <w:rsid w:val="00CF67B8"/>
    <w:rsid w:val="00D00F85"/>
    <w:rsid w:val="00D04445"/>
    <w:rsid w:val="00D04D0A"/>
    <w:rsid w:val="00D05752"/>
    <w:rsid w:val="00D077F2"/>
    <w:rsid w:val="00D07B0E"/>
    <w:rsid w:val="00D103DA"/>
    <w:rsid w:val="00D11E83"/>
    <w:rsid w:val="00D13405"/>
    <w:rsid w:val="00D134E8"/>
    <w:rsid w:val="00D14046"/>
    <w:rsid w:val="00D15C32"/>
    <w:rsid w:val="00D1706C"/>
    <w:rsid w:val="00D173C6"/>
    <w:rsid w:val="00D17558"/>
    <w:rsid w:val="00D2157A"/>
    <w:rsid w:val="00D21E63"/>
    <w:rsid w:val="00D22727"/>
    <w:rsid w:val="00D22E5E"/>
    <w:rsid w:val="00D2400A"/>
    <w:rsid w:val="00D24B26"/>
    <w:rsid w:val="00D24E8D"/>
    <w:rsid w:val="00D311C7"/>
    <w:rsid w:val="00D326EE"/>
    <w:rsid w:val="00D330CE"/>
    <w:rsid w:val="00D33D78"/>
    <w:rsid w:val="00D34512"/>
    <w:rsid w:val="00D347E2"/>
    <w:rsid w:val="00D35890"/>
    <w:rsid w:val="00D36E89"/>
    <w:rsid w:val="00D410A0"/>
    <w:rsid w:val="00D41419"/>
    <w:rsid w:val="00D41539"/>
    <w:rsid w:val="00D426EF"/>
    <w:rsid w:val="00D441C6"/>
    <w:rsid w:val="00D464BB"/>
    <w:rsid w:val="00D469D9"/>
    <w:rsid w:val="00D51B4B"/>
    <w:rsid w:val="00D5330D"/>
    <w:rsid w:val="00D57699"/>
    <w:rsid w:val="00D60E1F"/>
    <w:rsid w:val="00D61B82"/>
    <w:rsid w:val="00D66144"/>
    <w:rsid w:val="00D66464"/>
    <w:rsid w:val="00D73C8E"/>
    <w:rsid w:val="00D74CB0"/>
    <w:rsid w:val="00D82B18"/>
    <w:rsid w:val="00D83402"/>
    <w:rsid w:val="00D922F3"/>
    <w:rsid w:val="00D93A85"/>
    <w:rsid w:val="00D9562F"/>
    <w:rsid w:val="00D95D47"/>
    <w:rsid w:val="00DA17DB"/>
    <w:rsid w:val="00DA1E96"/>
    <w:rsid w:val="00DA2059"/>
    <w:rsid w:val="00DA3973"/>
    <w:rsid w:val="00DA5C73"/>
    <w:rsid w:val="00DA6459"/>
    <w:rsid w:val="00DA77D3"/>
    <w:rsid w:val="00DA7EA9"/>
    <w:rsid w:val="00DB207F"/>
    <w:rsid w:val="00DB24C3"/>
    <w:rsid w:val="00DB4B64"/>
    <w:rsid w:val="00DB5E0B"/>
    <w:rsid w:val="00DB6878"/>
    <w:rsid w:val="00DB7269"/>
    <w:rsid w:val="00DC0DB0"/>
    <w:rsid w:val="00DC12FC"/>
    <w:rsid w:val="00DC1E43"/>
    <w:rsid w:val="00DC35E2"/>
    <w:rsid w:val="00DC3EA4"/>
    <w:rsid w:val="00DC55C6"/>
    <w:rsid w:val="00DC5AFA"/>
    <w:rsid w:val="00DC65CB"/>
    <w:rsid w:val="00DD211D"/>
    <w:rsid w:val="00DD35E0"/>
    <w:rsid w:val="00DD39E5"/>
    <w:rsid w:val="00DD43CC"/>
    <w:rsid w:val="00DD7531"/>
    <w:rsid w:val="00DE0321"/>
    <w:rsid w:val="00DE2FF2"/>
    <w:rsid w:val="00DE370F"/>
    <w:rsid w:val="00DE7085"/>
    <w:rsid w:val="00DF0AD8"/>
    <w:rsid w:val="00DF13CE"/>
    <w:rsid w:val="00DF1C3D"/>
    <w:rsid w:val="00DF1DF5"/>
    <w:rsid w:val="00DF3610"/>
    <w:rsid w:val="00DF3A9A"/>
    <w:rsid w:val="00DF44A5"/>
    <w:rsid w:val="00DF4678"/>
    <w:rsid w:val="00DF6127"/>
    <w:rsid w:val="00DF6424"/>
    <w:rsid w:val="00DF79CF"/>
    <w:rsid w:val="00DF7D7A"/>
    <w:rsid w:val="00E008A4"/>
    <w:rsid w:val="00E00DBB"/>
    <w:rsid w:val="00E01755"/>
    <w:rsid w:val="00E01A93"/>
    <w:rsid w:val="00E03305"/>
    <w:rsid w:val="00E046D0"/>
    <w:rsid w:val="00E065A5"/>
    <w:rsid w:val="00E10FBD"/>
    <w:rsid w:val="00E116C8"/>
    <w:rsid w:val="00E11C83"/>
    <w:rsid w:val="00E11D1A"/>
    <w:rsid w:val="00E12615"/>
    <w:rsid w:val="00E131F0"/>
    <w:rsid w:val="00E15D56"/>
    <w:rsid w:val="00E1640C"/>
    <w:rsid w:val="00E17C40"/>
    <w:rsid w:val="00E22B72"/>
    <w:rsid w:val="00E23CD8"/>
    <w:rsid w:val="00E252F0"/>
    <w:rsid w:val="00E30283"/>
    <w:rsid w:val="00E31121"/>
    <w:rsid w:val="00E3244F"/>
    <w:rsid w:val="00E32577"/>
    <w:rsid w:val="00E33164"/>
    <w:rsid w:val="00E33763"/>
    <w:rsid w:val="00E33BE9"/>
    <w:rsid w:val="00E33CEF"/>
    <w:rsid w:val="00E351BD"/>
    <w:rsid w:val="00E37720"/>
    <w:rsid w:val="00E3791D"/>
    <w:rsid w:val="00E420F9"/>
    <w:rsid w:val="00E423D7"/>
    <w:rsid w:val="00E43312"/>
    <w:rsid w:val="00E47912"/>
    <w:rsid w:val="00E5101D"/>
    <w:rsid w:val="00E51205"/>
    <w:rsid w:val="00E520C7"/>
    <w:rsid w:val="00E53405"/>
    <w:rsid w:val="00E5490F"/>
    <w:rsid w:val="00E5648F"/>
    <w:rsid w:val="00E56B10"/>
    <w:rsid w:val="00E61C58"/>
    <w:rsid w:val="00E63DCD"/>
    <w:rsid w:val="00E64EF4"/>
    <w:rsid w:val="00E66F43"/>
    <w:rsid w:val="00E66FCB"/>
    <w:rsid w:val="00E67B16"/>
    <w:rsid w:val="00E7114E"/>
    <w:rsid w:val="00E7489B"/>
    <w:rsid w:val="00E75441"/>
    <w:rsid w:val="00E77A51"/>
    <w:rsid w:val="00E806B1"/>
    <w:rsid w:val="00E81040"/>
    <w:rsid w:val="00E81096"/>
    <w:rsid w:val="00E81661"/>
    <w:rsid w:val="00E8337B"/>
    <w:rsid w:val="00E83DEC"/>
    <w:rsid w:val="00E84FBA"/>
    <w:rsid w:val="00E8573D"/>
    <w:rsid w:val="00E862A6"/>
    <w:rsid w:val="00E90B9A"/>
    <w:rsid w:val="00E920E0"/>
    <w:rsid w:val="00E92FBD"/>
    <w:rsid w:val="00E93740"/>
    <w:rsid w:val="00E94E6C"/>
    <w:rsid w:val="00E94EE4"/>
    <w:rsid w:val="00E96607"/>
    <w:rsid w:val="00E96A5C"/>
    <w:rsid w:val="00E97520"/>
    <w:rsid w:val="00EA107F"/>
    <w:rsid w:val="00EA2309"/>
    <w:rsid w:val="00EA585E"/>
    <w:rsid w:val="00EA624D"/>
    <w:rsid w:val="00EA70CC"/>
    <w:rsid w:val="00EA71F9"/>
    <w:rsid w:val="00EA7271"/>
    <w:rsid w:val="00EB23D3"/>
    <w:rsid w:val="00EB2AA2"/>
    <w:rsid w:val="00EB2E4A"/>
    <w:rsid w:val="00EB37D7"/>
    <w:rsid w:val="00EB3D58"/>
    <w:rsid w:val="00EB4339"/>
    <w:rsid w:val="00EB4DB1"/>
    <w:rsid w:val="00EB57CF"/>
    <w:rsid w:val="00EB7198"/>
    <w:rsid w:val="00EB7AD0"/>
    <w:rsid w:val="00EC32C3"/>
    <w:rsid w:val="00EC3ADA"/>
    <w:rsid w:val="00EC441F"/>
    <w:rsid w:val="00ED05A0"/>
    <w:rsid w:val="00ED14C4"/>
    <w:rsid w:val="00ED194A"/>
    <w:rsid w:val="00ED25A1"/>
    <w:rsid w:val="00ED2F7D"/>
    <w:rsid w:val="00ED3C59"/>
    <w:rsid w:val="00ED4C56"/>
    <w:rsid w:val="00ED57D1"/>
    <w:rsid w:val="00ED5DB4"/>
    <w:rsid w:val="00ED6309"/>
    <w:rsid w:val="00ED707A"/>
    <w:rsid w:val="00EE0134"/>
    <w:rsid w:val="00EE152C"/>
    <w:rsid w:val="00EE1ED4"/>
    <w:rsid w:val="00EE32E6"/>
    <w:rsid w:val="00EE38AD"/>
    <w:rsid w:val="00EE3A9F"/>
    <w:rsid w:val="00EE3D1E"/>
    <w:rsid w:val="00EE5E61"/>
    <w:rsid w:val="00EF01E1"/>
    <w:rsid w:val="00EF0DC4"/>
    <w:rsid w:val="00EF0E29"/>
    <w:rsid w:val="00EF1ED0"/>
    <w:rsid w:val="00EF30AF"/>
    <w:rsid w:val="00EF4D6A"/>
    <w:rsid w:val="00EF6CAA"/>
    <w:rsid w:val="00F0191D"/>
    <w:rsid w:val="00F01963"/>
    <w:rsid w:val="00F02212"/>
    <w:rsid w:val="00F04347"/>
    <w:rsid w:val="00F048D4"/>
    <w:rsid w:val="00F15B69"/>
    <w:rsid w:val="00F15E42"/>
    <w:rsid w:val="00F17114"/>
    <w:rsid w:val="00F17864"/>
    <w:rsid w:val="00F20726"/>
    <w:rsid w:val="00F240EE"/>
    <w:rsid w:val="00F2411E"/>
    <w:rsid w:val="00F25CD9"/>
    <w:rsid w:val="00F26618"/>
    <w:rsid w:val="00F26785"/>
    <w:rsid w:val="00F27ED1"/>
    <w:rsid w:val="00F30264"/>
    <w:rsid w:val="00F323A0"/>
    <w:rsid w:val="00F32577"/>
    <w:rsid w:val="00F35751"/>
    <w:rsid w:val="00F3720C"/>
    <w:rsid w:val="00F41AE4"/>
    <w:rsid w:val="00F43765"/>
    <w:rsid w:val="00F452D6"/>
    <w:rsid w:val="00F50186"/>
    <w:rsid w:val="00F5368A"/>
    <w:rsid w:val="00F5429E"/>
    <w:rsid w:val="00F544D5"/>
    <w:rsid w:val="00F546E7"/>
    <w:rsid w:val="00F5765C"/>
    <w:rsid w:val="00F60E88"/>
    <w:rsid w:val="00F61A0A"/>
    <w:rsid w:val="00F63695"/>
    <w:rsid w:val="00F6376D"/>
    <w:rsid w:val="00F6385A"/>
    <w:rsid w:val="00F63D6E"/>
    <w:rsid w:val="00F64F2F"/>
    <w:rsid w:val="00F66842"/>
    <w:rsid w:val="00F72642"/>
    <w:rsid w:val="00F76B24"/>
    <w:rsid w:val="00F76DE2"/>
    <w:rsid w:val="00F77F82"/>
    <w:rsid w:val="00F81026"/>
    <w:rsid w:val="00F8164A"/>
    <w:rsid w:val="00F81DD9"/>
    <w:rsid w:val="00F8455E"/>
    <w:rsid w:val="00F85074"/>
    <w:rsid w:val="00F85B30"/>
    <w:rsid w:val="00F869BB"/>
    <w:rsid w:val="00F91A35"/>
    <w:rsid w:val="00F92D8D"/>
    <w:rsid w:val="00F93278"/>
    <w:rsid w:val="00F97BD6"/>
    <w:rsid w:val="00FA2640"/>
    <w:rsid w:val="00FA680C"/>
    <w:rsid w:val="00FA6B3E"/>
    <w:rsid w:val="00FA71AC"/>
    <w:rsid w:val="00FB1307"/>
    <w:rsid w:val="00FB1C79"/>
    <w:rsid w:val="00FB1EAB"/>
    <w:rsid w:val="00FB1EBC"/>
    <w:rsid w:val="00FB31EB"/>
    <w:rsid w:val="00FB504D"/>
    <w:rsid w:val="00FB6306"/>
    <w:rsid w:val="00FC3009"/>
    <w:rsid w:val="00FC3F50"/>
    <w:rsid w:val="00FC4637"/>
    <w:rsid w:val="00FC5831"/>
    <w:rsid w:val="00FC621C"/>
    <w:rsid w:val="00FC6DFA"/>
    <w:rsid w:val="00FC7F70"/>
    <w:rsid w:val="00FD0B1D"/>
    <w:rsid w:val="00FD0D0B"/>
    <w:rsid w:val="00FD0E4C"/>
    <w:rsid w:val="00FD6998"/>
    <w:rsid w:val="00FE0A9C"/>
    <w:rsid w:val="00FE0BB7"/>
    <w:rsid w:val="00FE19EF"/>
    <w:rsid w:val="00FE1B72"/>
    <w:rsid w:val="00FE22EB"/>
    <w:rsid w:val="00FE2797"/>
    <w:rsid w:val="00FE27C0"/>
    <w:rsid w:val="00FE5293"/>
    <w:rsid w:val="00FE75CD"/>
    <w:rsid w:val="00FF02CD"/>
    <w:rsid w:val="00FF0BFE"/>
    <w:rsid w:val="00FF3AB4"/>
    <w:rsid w:val="00FF4810"/>
    <w:rsid w:val="00FF4D08"/>
    <w:rsid w:val="00FF5CFE"/>
    <w:rsid w:val="00FF7D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CCA1"/>
  <w15:chartTrackingRefBased/>
  <w15:docId w15:val="{437DD68A-170B-4D0B-A1AF-97C55CD2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DB4"/>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DF61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4DB4"/>
    <w:pPr>
      <w:keepNext/>
      <w:autoSpaceDE w:val="0"/>
      <w:autoSpaceDN w:val="0"/>
      <w:adjustRightInd w:val="0"/>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4DB4"/>
    <w:rPr>
      <w:rFonts w:asciiTheme="majorHAnsi" w:eastAsiaTheme="majorEastAsia" w:hAnsiTheme="majorHAnsi" w:cs="Times New Roman"/>
      <w:b/>
      <w:bCs/>
      <w:i/>
      <w:iCs/>
      <w:sz w:val="28"/>
      <w:szCs w:val="28"/>
      <w:lang w:eastAsia="en-AU"/>
    </w:rPr>
  </w:style>
  <w:style w:type="paragraph" w:styleId="Header">
    <w:name w:val="header"/>
    <w:basedOn w:val="Normal"/>
    <w:link w:val="HeaderChar"/>
    <w:uiPriority w:val="99"/>
    <w:rsid w:val="00BB4DB4"/>
    <w:pPr>
      <w:tabs>
        <w:tab w:val="center" w:pos="4513"/>
        <w:tab w:val="right" w:pos="9026"/>
      </w:tabs>
    </w:pPr>
  </w:style>
  <w:style w:type="character" w:customStyle="1" w:styleId="HeaderChar">
    <w:name w:val="Header Char"/>
    <w:basedOn w:val="DefaultParagraphFont"/>
    <w:link w:val="Header"/>
    <w:uiPriority w:val="99"/>
    <w:rsid w:val="00BB4DB4"/>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rsid w:val="00BB4DB4"/>
    <w:pPr>
      <w:tabs>
        <w:tab w:val="left" w:pos="284"/>
      </w:tabs>
      <w:kinsoku w:val="0"/>
      <w:overflowPunct w:val="0"/>
      <w:autoSpaceDE w:val="0"/>
      <w:autoSpaceDN w:val="0"/>
      <w:adjustRightInd w:val="0"/>
      <w:snapToGrid w:val="0"/>
      <w:spacing w:before="80" w:after="80"/>
      <w:ind w:left="227" w:hanging="227"/>
    </w:pPr>
    <w:rPr>
      <w:rFonts w:ascii="Arial" w:hAnsi="Arial" w:cs="Arial"/>
      <w:sz w:val="14"/>
      <w:szCs w:val="21"/>
      <w:lang w:eastAsia="en-US"/>
    </w:rPr>
  </w:style>
  <w:style w:type="character" w:customStyle="1" w:styleId="FootnoteTextChar">
    <w:name w:val="Footnote Text Char"/>
    <w:basedOn w:val="DefaultParagraphFont"/>
    <w:link w:val="FootnoteText"/>
    <w:uiPriority w:val="99"/>
    <w:rsid w:val="00BB4DB4"/>
    <w:rPr>
      <w:rFonts w:ascii="Arial" w:eastAsia="Times New Roman" w:hAnsi="Arial" w:cs="Arial"/>
      <w:sz w:val="14"/>
      <w:szCs w:val="21"/>
    </w:rPr>
  </w:style>
  <w:style w:type="character" w:styleId="FootnoteReference">
    <w:name w:val="footnote reference"/>
    <w:basedOn w:val="DefaultParagraphFont"/>
    <w:uiPriority w:val="99"/>
    <w:rsid w:val="00BB4DB4"/>
    <w:rPr>
      <w:rFonts w:ascii="Arial" w:hAnsi="Arial" w:cs="Arial"/>
      <w:sz w:val="21"/>
      <w:vertAlign w:val="superscript"/>
    </w:rPr>
  </w:style>
  <w:style w:type="paragraph" w:customStyle="1" w:styleId="Celltext">
    <w:name w:val="Cell text"/>
    <w:basedOn w:val="Normal"/>
    <w:rsid w:val="00BB4DB4"/>
    <w:pPr>
      <w:spacing w:before="120"/>
    </w:pPr>
    <w:rPr>
      <w:szCs w:val="20"/>
    </w:rPr>
  </w:style>
  <w:style w:type="character" w:styleId="CommentReference">
    <w:name w:val="annotation reference"/>
    <w:basedOn w:val="DefaultParagraphFont"/>
    <w:uiPriority w:val="99"/>
    <w:semiHidden/>
    <w:unhideWhenUsed/>
    <w:rsid w:val="00BB4DB4"/>
    <w:rPr>
      <w:sz w:val="16"/>
      <w:szCs w:val="16"/>
    </w:rPr>
  </w:style>
  <w:style w:type="paragraph" w:styleId="CommentText">
    <w:name w:val="annotation text"/>
    <w:basedOn w:val="Normal"/>
    <w:link w:val="CommentTextChar"/>
    <w:uiPriority w:val="99"/>
    <w:semiHidden/>
    <w:unhideWhenUsed/>
    <w:rsid w:val="00BB4DB4"/>
    <w:rPr>
      <w:sz w:val="20"/>
      <w:szCs w:val="20"/>
    </w:rPr>
  </w:style>
  <w:style w:type="character" w:customStyle="1" w:styleId="CommentTextChar">
    <w:name w:val="Comment Text Char"/>
    <w:basedOn w:val="DefaultParagraphFont"/>
    <w:link w:val="CommentText"/>
    <w:uiPriority w:val="99"/>
    <w:semiHidden/>
    <w:rsid w:val="00BB4DB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B4DB4"/>
    <w:rPr>
      <w:b/>
      <w:bCs/>
    </w:rPr>
  </w:style>
  <w:style w:type="character" w:customStyle="1" w:styleId="CommentSubjectChar">
    <w:name w:val="Comment Subject Char"/>
    <w:basedOn w:val="CommentTextChar"/>
    <w:link w:val="CommentSubject"/>
    <w:uiPriority w:val="99"/>
    <w:semiHidden/>
    <w:rsid w:val="00BB4DB4"/>
    <w:rPr>
      <w:rFonts w:ascii="Times New Roman" w:eastAsia="Times New Roman" w:hAnsi="Times New Roman" w:cs="Times New Roman"/>
      <w:b/>
      <w:bCs/>
      <w:sz w:val="20"/>
      <w:szCs w:val="20"/>
      <w:lang w:eastAsia="en-AU"/>
    </w:rPr>
  </w:style>
  <w:style w:type="paragraph" w:styleId="ListParagraph">
    <w:name w:val="List Paragraph"/>
    <w:aliases w:val="TOC style,lp1,Bullet OSM,Proposal Bullet List"/>
    <w:basedOn w:val="Normal"/>
    <w:link w:val="ListParagraphChar"/>
    <w:uiPriority w:val="34"/>
    <w:qFormat/>
    <w:rsid w:val="00256566"/>
    <w:pPr>
      <w:ind w:left="720"/>
      <w:contextualSpacing/>
    </w:pPr>
  </w:style>
  <w:style w:type="character" w:customStyle="1" w:styleId="ListParagraphChar">
    <w:name w:val="List Paragraph Char"/>
    <w:aliases w:val="TOC style Char,lp1 Char,Bullet OSM Char,Proposal Bullet List Char"/>
    <w:link w:val="ListParagraph"/>
    <w:uiPriority w:val="34"/>
    <w:locked/>
    <w:rsid w:val="007F4037"/>
    <w:rPr>
      <w:rFonts w:ascii="Times New Roman" w:eastAsia="Times New Roman" w:hAnsi="Times New Roman" w:cs="Times New Roman"/>
      <w:sz w:val="24"/>
      <w:szCs w:val="24"/>
      <w:lang w:eastAsia="en-AU"/>
    </w:rPr>
  </w:style>
  <w:style w:type="paragraph" w:customStyle="1" w:styleId="EMnumbers">
    <w:name w:val="EM numbers"/>
    <w:basedOn w:val="ListParagraph"/>
    <w:link w:val="EMnumbersChar"/>
    <w:qFormat/>
    <w:rsid w:val="006C0248"/>
    <w:pPr>
      <w:spacing w:after="120" w:line="276" w:lineRule="auto"/>
      <w:ind w:left="0"/>
      <w:contextualSpacing w:val="0"/>
    </w:pPr>
    <w:rPr>
      <w:rFonts w:eastAsiaTheme="minorHAnsi" w:cstheme="minorBidi"/>
      <w:lang w:eastAsia="en-US"/>
    </w:rPr>
  </w:style>
  <w:style w:type="character" w:customStyle="1" w:styleId="EMnumbersChar">
    <w:name w:val="EM numbers Char"/>
    <w:basedOn w:val="DefaultParagraphFont"/>
    <w:link w:val="EMnumbers"/>
    <w:rsid w:val="006C0248"/>
    <w:rPr>
      <w:rFonts w:ascii="Times New Roman" w:hAnsi="Times New Roman"/>
      <w:sz w:val="24"/>
      <w:szCs w:val="24"/>
    </w:rPr>
  </w:style>
  <w:style w:type="table" w:styleId="TableGrid">
    <w:name w:val="Table Grid"/>
    <w:basedOn w:val="TableNormal"/>
    <w:uiPriority w:val="39"/>
    <w:rsid w:val="00A74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764C"/>
    <w:rPr>
      <w:color w:val="0000FF"/>
      <w:u w:val="single"/>
    </w:rPr>
  </w:style>
  <w:style w:type="character" w:customStyle="1" w:styleId="Heading1Char">
    <w:name w:val="Heading 1 Char"/>
    <w:basedOn w:val="DefaultParagraphFont"/>
    <w:link w:val="Heading1"/>
    <w:uiPriority w:val="9"/>
    <w:rsid w:val="00DF6127"/>
    <w:rPr>
      <w:rFonts w:asciiTheme="majorHAnsi" w:eastAsiaTheme="majorEastAsia" w:hAnsiTheme="majorHAnsi" w:cstheme="majorBidi"/>
      <w:color w:val="2F5496" w:themeColor="accent1" w:themeShade="BF"/>
      <w:sz w:val="32"/>
      <w:szCs w:val="32"/>
      <w:lang w:eastAsia="en-AU"/>
    </w:rPr>
  </w:style>
  <w:style w:type="paragraph" w:customStyle="1" w:styleId="xxemnumbers">
    <w:name w:val="x_xemnumbers"/>
    <w:basedOn w:val="Normal"/>
    <w:rsid w:val="00403927"/>
    <w:pPr>
      <w:spacing w:before="100" w:beforeAutospacing="1" w:after="100" w:afterAutospacing="1"/>
    </w:pPr>
    <w:rPr>
      <w:rFonts w:ascii="Calibri" w:eastAsiaTheme="minorHAnsi" w:hAnsi="Calibri" w:cs="Calibri"/>
      <w:sz w:val="22"/>
      <w:szCs w:val="22"/>
    </w:rPr>
  </w:style>
  <w:style w:type="paragraph" w:styleId="Revision">
    <w:name w:val="Revision"/>
    <w:hidden/>
    <w:uiPriority w:val="99"/>
    <w:semiHidden/>
    <w:rsid w:val="00BB194B"/>
    <w:pPr>
      <w:spacing w:after="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54190F"/>
    <w:rPr>
      <w:color w:val="954F72" w:themeColor="followedHyperlink"/>
      <w:u w:val="single"/>
    </w:rPr>
  </w:style>
  <w:style w:type="character" w:styleId="UnresolvedMention">
    <w:name w:val="Unresolved Mention"/>
    <w:basedOn w:val="DefaultParagraphFont"/>
    <w:uiPriority w:val="99"/>
    <w:semiHidden/>
    <w:unhideWhenUsed/>
    <w:rsid w:val="00915630"/>
    <w:rPr>
      <w:color w:val="605E5C"/>
      <w:shd w:val="clear" w:color="auto" w:fill="E1DFDD"/>
    </w:rPr>
  </w:style>
  <w:style w:type="paragraph" w:customStyle="1" w:styleId="Style1">
    <w:name w:val="Style1"/>
    <w:basedOn w:val="Normal"/>
    <w:next w:val="Heading2"/>
    <w:link w:val="Style1Char"/>
    <w:qFormat/>
    <w:rsid w:val="000942EA"/>
    <w:pPr>
      <w:spacing w:before="240"/>
    </w:pPr>
    <w:rPr>
      <w:bCs/>
      <w:u w:val="single"/>
    </w:rPr>
  </w:style>
  <w:style w:type="character" w:customStyle="1" w:styleId="Style1Char">
    <w:name w:val="Style1 Char"/>
    <w:basedOn w:val="DefaultParagraphFont"/>
    <w:link w:val="Style1"/>
    <w:rsid w:val="000942EA"/>
    <w:rPr>
      <w:rFonts w:ascii="Times New Roman" w:eastAsia="Times New Roman" w:hAnsi="Times New Roman" w:cs="Times New Roman"/>
      <w:bCs/>
      <w:sz w:val="24"/>
      <w:szCs w:val="24"/>
      <w:u w:val="single"/>
      <w:lang w:eastAsia="en-AU"/>
    </w:rPr>
  </w:style>
  <w:style w:type="paragraph" w:styleId="Footer">
    <w:name w:val="footer"/>
    <w:basedOn w:val="Normal"/>
    <w:link w:val="FooterChar"/>
    <w:uiPriority w:val="99"/>
    <w:unhideWhenUsed/>
    <w:rsid w:val="006974E3"/>
    <w:pPr>
      <w:tabs>
        <w:tab w:val="center" w:pos="4513"/>
        <w:tab w:val="right" w:pos="9026"/>
      </w:tabs>
    </w:pPr>
  </w:style>
  <w:style w:type="character" w:customStyle="1" w:styleId="FooterChar">
    <w:name w:val="Footer Char"/>
    <w:basedOn w:val="DefaultParagraphFont"/>
    <w:link w:val="Footer"/>
    <w:uiPriority w:val="99"/>
    <w:rsid w:val="006974E3"/>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1199">
      <w:bodyDiv w:val="1"/>
      <w:marLeft w:val="0"/>
      <w:marRight w:val="0"/>
      <w:marTop w:val="0"/>
      <w:marBottom w:val="0"/>
      <w:divBdr>
        <w:top w:val="none" w:sz="0" w:space="0" w:color="auto"/>
        <w:left w:val="none" w:sz="0" w:space="0" w:color="auto"/>
        <w:bottom w:val="none" w:sz="0" w:space="0" w:color="auto"/>
        <w:right w:val="none" w:sz="0" w:space="0" w:color="auto"/>
      </w:divBdr>
    </w:div>
    <w:div w:id="42872406">
      <w:bodyDiv w:val="1"/>
      <w:marLeft w:val="0"/>
      <w:marRight w:val="0"/>
      <w:marTop w:val="0"/>
      <w:marBottom w:val="0"/>
      <w:divBdr>
        <w:top w:val="none" w:sz="0" w:space="0" w:color="auto"/>
        <w:left w:val="none" w:sz="0" w:space="0" w:color="auto"/>
        <w:bottom w:val="none" w:sz="0" w:space="0" w:color="auto"/>
        <w:right w:val="none" w:sz="0" w:space="0" w:color="auto"/>
      </w:divBdr>
    </w:div>
    <w:div w:id="128938739">
      <w:bodyDiv w:val="1"/>
      <w:marLeft w:val="0"/>
      <w:marRight w:val="0"/>
      <w:marTop w:val="0"/>
      <w:marBottom w:val="0"/>
      <w:divBdr>
        <w:top w:val="none" w:sz="0" w:space="0" w:color="auto"/>
        <w:left w:val="none" w:sz="0" w:space="0" w:color="auto"/>
        <w:bottom w:val="none" w:sz="0" w:space="0" w:color="auto"/>
        <w:right w:val="none" w:sz="0" w:space="0" w:color="auto"/>
      </w:divBdr>
    </w:div>
    <w:div w:id="195121772">
      <w:bodyDiv w:val="1"/>
      <w:marLeft w:val="0"/>
      <w:marRight w:val="0"/>
      <w:marTop w:val="0"/>
      <w:marBottom w:val="0"/>
      <w:divBdr>
        <w:top w:val="none" w:sz="0" w:space="0" w:color="auto"/>
        <w:left w:val="none" w:sz="0" w:space="0" w:color="auto"/>
        <w:bottom w:val="none" w:sz="0" w:space="0" w:color="auto"/>
        <w:right w:val="none" w:sz="0" w:space="0" w:color="auto"/>
      </w:divBdr>
    </w:div>
    <w:div w:id="447890174">
      <w:bodyDiv w:val="1"/>
      <w:marLeft w:val="0"/>
      <w:marRight w:val="0"/>
      <w:marTop w:val="0"/>
      <w:marBottom w:val="0"/>
      <w:divBdr>
        <w:top w:val="none" w:sz="0" w:space="0" w:color="auto"/>
        <w:left w:val="none" w:sz="0" w:space="0" w:color="auto"/>
        <w:bottom w:val="none" w:sz="0" w:space="0" w:color="auto"/>
        <w:right w:val="none" w:sz="0" w:space="0" w:color="auto"/>
      </w:divBdr>
    </w:div>
    <w:div w:id="678046141">
      <w:bodyDiv w:val="1"/>
      <w:marLeft w:val="0"/>
      <w:marRight w:val="0"/>
      <w:marTop w:val="0"/>
      <w:marBottom w:val="0"/>
      <w:divBdr>
        <w:top w:val="none" w:sz="0" w:space="0" w:color="auto"/>
        <w:left w:val="none" w:sz="0" w:space="0" w:color="auto"/>
        <w:bottom w:val="none" w:sz="0" w:space="0" w:color="auto"/>
        <w:right w:val="none" w:sz="0" w:space="0" w:color="auto"/>
      </w:divBdr>
    </w:div>
    <w:div w:id="821392890">
      <w:bodyDiv w:val="1"/>
      <w:marLeft w:val="0"/>
      <w:marRight w:val="0"/>
      <w:marTop w:val="0"/>
      <w:marBottom w:val="0"/>
      <w:divBdr>
        <w:top w:val="none" w:sz="0" w:space="0" w:color="auto"/>
        <w:left w:val="none" w:sz="0" w:space="0" w:color="auto"/>
        <w:bottom w:val="none" w:sz="0" w:space="0" w:color="auto"/>
        <w:right w:val="none" w:sz="0" w:space="0" w:color="auto"/>
      </w:divBdr>
    </w:div>
    <w:div w:id="831875523">
      <w:bodyDiv w:val="1"/>
      <w:marLeft w:val="0"/>
      <w:marRight w:val="0"/>
      <w:marTop w:val="0"/>
      <w:marBottom w:val="0"/>
      <w:divBdr>
        <w:top w:val="none" w:sz="0" w:space="0" w:color="auto"/>
        <w:left w:val="none" w:sz="0" w:space="0" w:color="auto"/>
        <w:bottom w:val="none" w:sz="0" w:space="0" w:color="auto"/>
        <w:right w:val="none" w:sz="0" w:space="0" w:color="auto"/>
      </w:divBdr>
    </w:div>
    <w:div w:id="958338913">
      <w:bodyDiv w:val="1"/>
      <w:marLeft w:val="0"/>
      <w:marRight w:val="0"/>
      <w:marTop w:val="0"/>
      <w:marBottom w:val="0"/>
      <w:divBdr>
        <w:top w:val="none" w:sz="0" w:space="0" w:color="auto"/>
        <w:left w:val="none" w:sz="0" w:space="0" w:color="auto"/>
        <w:bottom w:val="none" w:sz="0" w:space="0" w:color="auto"/>
        <w:right w:val="none" w:sz="0" w:space="0" w:color="auto"/>
      </w:divBdr>
    </w:div>
    <w:div w:id="1028683672">
      <w:bodyDiv w:val="1"/>
      <w:marLeft w:val="0"/>
      <w:marRight w:val="0"/>
      <w:marTop w:val="0"/>
      <w:marBottom w:val="0"/>
      <w:divBdr>
        <w:top w:val="none" w:sz="0" w:space="0" w:color="auto"/>
        <w:left w:val="none" w:sz="0" w:space="0" w:color="auto"/>
        <w:bottom w:val="none" w:sz="0" w:space="0" w:color="auto"/>
        <w:right w:val="none" w:sz="0" w:space="0" w:color="auto"/>
      </w:divBdr>
    </w:div>
    <w:div w:id="1432360789">
      <w:bodyDiv w:val="1"/>
      <w:marLeft w:val="0"/>
      <w:marRight w:val="0"/>
      <w:marTop w:val="0"/>
      <w:marBottom w:val="0"/>
      <w:divBdr>
        <w:top w:val="none" w:sz="0" w:space="0" w:color="auto"/>
        <w:left w:val="none" w:sz="0" w:space="0" w:color="auto"/>
        <w:bottom w:val="none" w:sz="0" w:space="0" w:color="auto"/>
        <w:right w:val="none" w:sz="0" w:space="0" w:color="auto"/>
      </w:divBdr>
    </w:div>
    <w:div w:id="1503854680">
      <w:bodyDiv w:val="1"/>
      <w:marLeft w:val="0"/>
      <w:marRight w:val="0"/>
      <w:marTop w:val="0"/>
      <w:marBottom w:val="0"/>
      <w:divBdr>
        <w:top w:val="none" w:sz="0" w:space="0" w:color="auto"/>
        <w:left w:val="none" w:sz="0" w:space="0" w:color="auto"/>
        <w:bottom w:val="none" w:sz="0" w:space="0" w:color="auto"/>
        <w:right w:val="none" w:sz="0" w:space="0" w:color="auto"/>
      </w:divBdr>
    </w:div>
    <w:div w:id="1824470233">
      <w:bodyDiv w:val="1"/>
      <w:marLeft w:val="0"/>
      <w:marRight w:val="0"/>
      <w:marTop w:val="0"/>
      <w:marBottom w:val="0"/>
      <w:divBdr>
        <w:top w:val="none" w:sz="0" w:space="0" w:color="auto"/>
        <w:left w:val="none" w:sz="0" w:space="0" w:color="auto"/>
        <w:bottom w:val="none" w:sz="0" w:space="0" w:color="auto"/>
        <w:right w:val="none" w:sz="0" w:space="0" w:color="auto"/>
      </w:divBdr>
    </w:div>
    <w:div w:id="1825317073">
      <w:bodyDiv w:val="1"/>
      <w:marLeft w:val="0"/>
      <w:marRight w:val="0"/>
      <w:marTop w:val="0"/>
      <w:marBottom w:val="0"/>
      <w:divBdr>
        <w:top w:val="none" w:sz="0" w:space="0" w:color="auto"/>
        <w:left w:val="none" w:sz="0" w:space="0" w:color="auto"/>
        <w:bottom w:val="none" w:sz="0" w:space="0" w:color="auto"/>
        <w:right w:val="none" w:sz="0" w:space="0" w:color="auto"/>
      </w:divBdr>
    </w:div>
    <w:div w:id="1951930126">
      <w:bodyDiv w:val="1"/>
      <w:marLeft w:val="0"/>
      <w:marRight w:val="0"/>
      <w:marTop w:val="0"/>
      <w:marBottom w:val="0"/>
      <w:divBdr>
        <w:top w:val="none" w:sz="0" w:space="0" w:color="auto"/>
        <w:left w:val="none" w:sz="0" w:space="0" w:color="auto"/>
        <w:bottom w:val="none" w:sz="0" w:space="0" w:color="auto"/>
        <w:right w:val="none" w:sz="0" w:space="0" w:color="auto"/>
      </w:divBdr>
    </w:div>
    <w:div w:id="207493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qld.gov.au/" TargetMode="External"/><Relationship Id="rId18" Type="http://schemas.openxmlformats.org/officeDocument/2006/relationships/hyperlink" Target="https://www.legislation.wa.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vic.gov.au/" TargetMode="External"/><Relationship Id="rId17" Type="http://schemas.openxmlformats.org/officeDocument/2006/relationships/hyperlink" Target="https://www.legislation.sa.gov.au/" TargetMode="External"/><Relationship Id="rId2" Type="http://schemas.openxmlformats.org/officeDocument/2006/relationships/customXml" Target="../customXml/item2.xml"/><Relationship Id="rId16" Type="http://schemas.openxmlformats.org/officeDocument/2006/relationships/hyperlink" Target="https://www.legislation.tas.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lation.nsw.gov.au/" TargetMode="External"/><Relationship Id="rId5" Type="http://schemas.openxmlformats.org/officeDocument/2006/relationships/numbering" Target="numbering.xml"/><Relationship Id="rId15" Type="http://schemas.openxmlformats.org/officeDocument/2006/relationships/hyperlink" Target="https://www.legislation.act.gov.a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slation.nt.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8C4244862C5054B8362801581401AA5" ma:contentTypeVersion="" ma:contentTypeDescription="PDMS Document Site Content Type" ma:contentTypeScope="" ma:versionID="8967a1c5ee0e58526f074e87f1cf2868">
  <xsd:schema xmlns:xsd="http://www.w3.org/2001/XMLSchema" xmlns:xs="http://www.w3.org/2001/XMLSchema" xmlns:p="http://schemas.microsoft.com/office/2006/metadata/properties" xmlns:ns2="13BEE404-C02E-4C9C-8898-4A2E14141544" targetNamespace="http://schemas.microsoft.com/office/2006/metadata/properties" ma:root="true" ma:fieldsID="f37633f4aa5fd87120745c321678cc3a" ns2:_="">
    <xsd:import namespace="13BEE404-C02E-4C9C-8898-4A2E1414154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EE404-C02E-4C9C-8898-4A2E1414154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13BEE404-C02E-4C9C-8898-4A2E14141544" xsi:nil="true"/>
  </documentManagement>
</p:properties>
</file>

<file path=customXml/itemProps1.xml><?xml version="1.0" encoding="utf-8"?>
<ds:datastoreItem xmlns:ds="http://schemas.openxmlformats.org/officeDocument/2006/customXml" ds:itemID="{83995853-3B9E-42AA-A04A-3EDA742CDB23}">
  <ds:schemaRefs>
    <ds:schemaRef ds:uri="http://schemas.microsoft.com/sharepoint/v3/contenttype/forms"/>
  </ds:schemaRefs>
</ds:datastoreItem>
</file>

<file path=customXml/itemProps2.xml><?xml version="1.0" encoding="utf-8"?>
<ds:datastoreItem xmlns:ds="http://schemas.openxmlformats.org/officeDocument/2006/customXml" ds:itemID="{52AD7604-0062-411D-B178-9AE75E2EE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EE404-C02E-4C9C-8898-4A2E14141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BA30-CB72-4607-B80E-DD16613272DD}">
  <ds:schemaRefs>
    <ds:schemaRef ds:uri="http://schemas.openxmlformats.org/officeDocument/2006/bibliography"/>
  </ds:schemaRefs>
</ds:datastoreItem>
</file>

<file path=customXml/itemProps4.xml><?xml version="1.0" encoding="utf-8"?>
<ds:datastoreItem xmlns:ds="http://schemas.openxmlformats.org/officeDocument/2006/customXml" ds:itemID="{0057AD3D-B14C-44AA-8D49-E12591A8EF83}">
  <ds:schemaRefs>
    <ds:schemaRef ds:uri="http://www.w3.org/XML/1998/namespace"/>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13BEE404-C02E-4C9C-8898-4A2E1414154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6280</Words>
  <Characters>35798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BIRD,Molly</dc:creator>
  <cp:keywords/>
  <dc:description/>
  <cp:lastModifiedBy>BIRD,Molly</cp:lastModifiedBy>
  <cp:revision>2</cp:revision>
  <dcterms:created xsi:type="dcterms:W3CDTF">2022-12-16T06:28:00Z</dcterms:created>
  <dcterms:modified xsi:type="dcterms:W3CDTF">2022-12-16T06:28:00Z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2022-11-02T02:09:30Z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bedf0bd5-ea05-4c21-8288-7dc34b3d2840</vt:lpwstr>
  </property>
  <property fmtid="{D5CDD505-2E9C-101B-9397-08002B2CF9AE}" pid="8" name="MSIP_Label_79d889eb-932f-4752-8739-64d25806ef64_ContentBits">
    <vt:lpwstr>0</vt:lpwstr>
  </property>
  <property fmtid="{D5CDD505-2E9C-101B-9397-08002B2CF9AE}" pid="9" name="ContentTypeId">
    <vt:lpwstr>0x010100266966F133664895A6EE3632470D45F50008C4244862C5054B8362801581401AA5</vt:lpwstr>
  </property>
</Properties>
</file>