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F9696E" w14:paraId="2DEF904C" w14:textId="77777777" w:rsidTr="00A22E0D">
        <w:tc>
          <w:tcPr>
            <w:tcW w:w="4661" w:type="dxa"/>
          </w:tcPr>
          <w:p w14:paraId="45026A0F" w14:textId="08BA0917" w:rsidR="00672FD6" w:rsidRPr="007D39DD" w:rsidRDefault="00291416" w:rsidP="007D39DD">
            <w:pPr>
              <w:spacing w:line="280" w:lineRule="exact"/>
              <w:rPr>
                <w:b/>
                <w:sz w:val="28"/>
                <w:szCs w:val="28"/>
              </w:rPr>
            </w:pPr>
            <w:r w:rsidRPr="007D39DD">
              <w:rPr>
                <w:b/>
                <w:sz w:val="28"/>
                <w:szCs w:val="28"/>
              </w:rPr>
              <w:t>AASB </w:t>
            </w:r>
            <w:r w:rsidR="007C5463" w:rsidRPr="007D39DD">
              <w:rPr>
                <w:b/>
                <w:sz w:val="28"/>
                <w:szCs w:val="28"/>
              </w:rPr>
              <w:t>Standard</w:t>
            </w:r>
          </w:p>
        </w:tc>
        <w:tc>
          <w:tcPr>
            <w:tcW w:w="4661" w:type="dxa"/>
          </w:tcPr>
          <w:p w14:paraId="08ABA8C7" w14:textId="6D454A84" w:rsidR="00090A6F" w:rsidRPr="0027480C" w:rsidRDefault="007C5463">
            <w:pPr>
              <w:pStyle w:val="CoverNumber"/>
            </w:pPr>
            <w:r>
              <w:t>AASB 2022-</w:t>
            </w:r>
            <w:r w:rsidR="00510A2C">
              <w:t>10</w:t>
            </w:r>
          </w:p>
          <w:p w14:paraId="3C76A047" w14:textId="38D9C811" w:rsidR="00090A6F" w:rsidRPr="00F9696E" w:rsidRDefault="00510A2C" w:rsidP="00066BC5">
            <w:pPr>
              <w:pStyle w:val="CoverDate"/>
            </w:pPr>
            <w:r>
              <w:t>December</w:t>
            </w:r>
            <w:r w:rsidR="005648E1">
              <w:t xml:space="preserve"> </w:t>
            </w:r>
            <w:r w:rsidR="00B475D3" w:rsidRPr="0027480C">
              <w:t>20</w:t>
            </w:r>
            <w:r w:rsidR="00DB406E">
              <w:t>2</w:t>
            </w:r>
            <w:r w:rsidR="00BC1B12">
              <w:t>2</w:t>
            </w:r>
          </w:p>
        </w:tc>
      </w:tr>
    </w:tbl>
    <w:sdt>
      <w:sdtPr>
        <w:id w:val="-1640718907"/>
        <w:lock w:val="contentLocked"/>
        <w:placeholder>
          <w:docPart w:val="DefaultPlaceholder_-1854013440"/>
        </w:placeholder>
        <w:group/>
      </w:sdtPr>
      <w:sdtEndPr/>
      <w:sdtContent>
        <w:p w14:paraId="5A7F788B" w14:textId="751F5C09" w:rsidR="008561BE" w:rsidRDefault="00B05FA9" w:rsidP="00AA4693">
          <w:pPr>
            <w:pStyle w:val="CoverTitle"/>
            <w:jc w:val="left"/>
            <w:outlineLvl w:val="0"/>
          </w:pPr>
          <w:r>
            <w:t xml:space="preserve">Amendments to Australian Accounting Standards </w:t>
          </w:r>
          <w:bookmarkStart w:id="0" w:name="_Hlk115093180"/>
          <w:r>
            <w:t>–</w:t>
          </w:r>
          <w:bookmarkEnd w:id="0"/>
          <w:r>
            <w:t xml:space="preserve"> </w:t>
          </w:r>
          <w:r w:rsidR="00AC2FFC">
            <w:t xml:space="preserve">Fair Value Measurement of </w:t>
          </w:r>
          <w:r w:rsidR="003F3840">
            <w:t>Non</w:t>
          </w:r>
          <w:r w:rsidR="00DF4679">
            <w:t xml:space="preserve">-Financial </w:t>
          </w:r>
          <w:r w:rsidR="00AC2FFC">
            <w:t xml:space="preserve">Assets of Not-for-Profit </w:t>
          </w:r>
          <w:r w:rsidR="00B13BD7">
            <w:t xml:space="preserve">Public Sector </w:t>
          </w:r>
          <w:r w:rsidR="00AC2FFC" w:rsidRPr="0027480C">
            <w:t>Entities</w:t>
          </w:r>
        </w:p>
      </w:sdtContent>
    </w:sdt>
    <w:p w14:paraId="7C9CAF4C" w14:textId="45E11E3A" w:rsidR="00DD1F95" w:rsidRPr="0027480C" w:rsidRDefault="00DD1F95" w:rsidP="00AA4693">
      <w:pPr>
        <w:pStyle w:val="CoverTitle"/>
        <w:jc w:val="left"/>
        <w:outlineLvl w:val="0"/>
      </w:pPr>
      <w:r>
        <w:t>[AASB 13]</w:t>
      </w:r>
    </w:p>
    <w:p w14:paraId="5636E29E" w14:textId="3329BABE" w:rsidR="00B828B9" w:rsidRDefault="008B643A" w:rsidP="009607B1">
      <w:pPr>
        <w:tabs>
          <w:tab w:val="left" w:pos="5910"/>
        </w:tabs>
        <w:jc w:val="left"/>
        <w:rPr>
          <w:sz w:val="16"/>
          <w:szCs w:val="16"/>
        </w:rPr>
      </w:pPr>
      <w:r w:rsidRPr="003E1C62">
        <w:rPr>
          <w:b/>
          <w:noProof/>
          <w:sz w:val="28"/>
          <w:szCs w:val="28"/>
          <w:lang w:eastAsia="en-AU"/>
        </w:rPr>
        <w:drawing>
          <wp:anchor distT="0" distB="0" distL="114300" distR="114300" simplePos="0" relativeHeight="251658240" behindDoc="0" locked="1" layoutInCell="1" allowOverlap="1" wp14:anchorId="4646F114" wp14:editId="6C48E1F6">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086E6" w14:textId="25B2C4DC" w:rsidR="00B828B9" w:rsidRDefault="00B828B9" w:rsidP="00A330AA">
      <w:pPr>
        <w:rPr>
          <w:sz w:val="16"/>
          <w:szCs w:val="16"/>
        </w:rPr>
        <w:sectPr w:rsidR="00B828B9" w:rsidSect="001C72E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418" w:bottom="1418" w:left="1418" w:header="709" w:footer="709" w:gutter="0"/>
          <w:paperSrc w:first="7" w:other="7"/>
          <w:cols w:space="720"/>
        </w:sectPr>
      </w:pPr>
    </w:p>
    <w:p w14:paraId="14C5033D" w14:textId="77777777" w:rsidR="007035F8" w:rsidRPr="0000292B" w:rsidRDefault="007035F8" w:rsidP="007035F8">
      <w:pPr>
        <w:pStyle w:val="Heading1"/>
      </w:pPr>
      <w:bookmarkStart w:id="1" w:name="TOCStart"/>
      <w:bookmarkEnd w:id="1"/>
      <w:r w:rsidRPr="0000292B">
        <w:lastRenderedPageBreak/>
        <w:t xml:space="preserve">Obtaining a </w:t>
      </w:r>
      <w:r>
        <w:t>c</w:t>
      </w:r>
      <w:r w:rsidRPr="0000292B">
        <w:t xml:space="preserve">opy of this </w:t>
      </w:r>
      <w:r>
        <w:t>Accounting Standard</w:t>
      </w:r>
    </w:p>
    <w:p w14:paraId="651A0291" w14:textId="77777777" w:rsidR="007035F8" w:rsidRPr="0000292B" w:rsidRDefault="007035F8" w:rsidP="007035F8">
      <w:pPr>
        <w:spacing w:after="200"/>
      </w:pPr>
      <w:r w:rsidRPr="0000292B">
        <w:t xml:space="preserve">This </w:t>
      </w:r>
      <w:r>
        <w:t>Standard</w:t>
      </w:r>
      <w:r w:rsidRPr="0000292B">
        <w:t xml:space="preserve"> is available o</w:t>
      </w:r>
      <w:r>
        <w:t>n the AASB website: www.aasb.gov</w:t>
      </w:r>
      <w:r w:rsidRPr="0000292B">
        <w:t>.au.</w:t>
      </w:r>
    </w:p>
    <w:p w14:paraId="31E1527D" w14:textId="77777777" w:rsidR="007035F8" w:rsidRPr="0000292B" w:rsidRDefault="007035F8" w:rsidP="007035F8">
      <w:r w:rsidRPr="0000292B">
        <w:t>Australian Accounting Standards Board</w:t>
      </w:r>
    </w:p>
    <w:p w14:paraId="2C2648C6" w14:textId="77777777" w:rsidR="007035F8" w:rsidRPr="0000292B" w:rsidRDefault="007035F8" w:rsidP="007035F8">
      <w:r>
        <w:t>PO Box 204</w:t>
      </w:r>
    </w:p>
    <w:p w14:paraId="53C292B8" w14:textId="77777777" w:rsidR="007035F8" w:rsidRPr="0000292B" w:rsidRDefault="007035F8" w:rsidP="007035F8">
      <w:r>
        <w:t>Collins Street West</w:t>
      </w:r>
    </w:p>
    <w:p w14:paraId="6A837EEC" w14:textId="77777777" w:rsidR="007035F8" w:rsidRPr="0000292B" w:rsidRDefault="007035F8" w:rsidP="007035F8">
      <w:r>
        <w:t>Victoria   8007</w:t>
      </w:r>
    </w:p>
    <w:p w14:paraId="51A91B05" w14:textId="77777777" w:rsidR="007035F8" w:rsidRDefault="007035F8" w:rsidP="007035F8">
      <w:pPr>
        <w:pStyle w:val="CoverContact"/>
        <w:spacing w:after="200"/>
      </w:pPr>
      <w:r w:rsidRPr="0000292B">
        <w:t>AUSTRALIA</w:t>
      </w:r>
    </w:p>
    <w:p w14:paraId="5F7E6F3F" w14:textId="77777777" w:rsidR="007035F8" w:rsidRDefault="007035F8" w:rsidP="007035F8">
      <w:pPr>
        <w:pStyle w:val="CoverContact"/>
      </w:pPr>
      <w:r>
        <w:t>Phone:</w:t>
      </w:r>
      <w:r>
        <w:tab/>
        <w:t>(03) 9617 7600</w:t>
      </w:r>
    </w:p>
    <w:p w14:paraId="107EBB53" w14:textId="77777777" w:rsidR="007035F8" w:rsidRDefault="007035F8" w:rsidP="007035F8">
      <w:pPr>
        <w:pStyle w:val="CoverContact"/>
      </w:pPr>
      <w:r>
        <w:t>E-mail:</w:t>
      </w:r>
      <w:r>
        <w:tab/>
        <w:t>standard@aasb.gov</w:t>
      </w:r>
      <w:r w:rsidRPr="00C5022C">
        <w:t>.au</w:t>
      </w:r>
    </w:p>
    <w:p w14:paraId="68E52728" w14:textId="77777777" w:rsidR="007035F8" w:rsidRPr="00E96D45" w:rsidRDefault="007035F8" w:rsidP="007D39DD">
      <w:pPr>
        <w:pStyle w:val="CoverContact"/>
        <w:spacing w:after="200"/>
      </w:pPr>
      <w:r>
        <w:t>Website:</w:t>
      </w:r>
      <w:r>
        <w:tab/>
        <w:t>www.aasb.gov.au</w:t>
      </w:r>
    </w:p>
    <w:p w14:paraId="3A1C18BA" w14:textId="77777777" w:rsidR="007035F8" w:rsidRPr="0000292B" w:rsidRDefault="007035F8" w:rsidP="007035F8">
      <w:pPr>
        <w:pStyle w:val="Heading1"/>
      </w:pPr>
      <w:r w:rsidRPr="0000292B">
        <w:t>Other enquiries</w:t>
      </w:r>
    </w:p>
    <w:p w14:paraId="62ED6053" w14:textId="77777777" w:rsidR="007035F8" w:rsidRPr="0000292B" w:rsidRDefault="007035F8" w:rsidP="007035F8">
      <w:pPr>
        <w:pStyle w:val="CoverContact"/>
      </w:pPr>
      <w:r w:rsidRPr="0000292B">
        <w:t>Phone:</w:t>
      </w:r>
      <w:r w:rsidRPr="0000292B">
        <w:tab/>
        <w:t xml:space="preserve">(03) </w:t>
      </w:r>
      <w:r w:rsidRPr="00B82F15">
        <w:t>9617</w:t>
      </w:r>
      <w:r w:rsidRPr="0000292B">
        <w:t xml:space="preserve"> 7600</w:t>
      </w:r>
    </w:p>
    <w:p w14:paraId="4795384D" w14:textId="77777777" w:rsidR="007035F8" w:rsidRPr="0000292B" w:rsidRDefault="007035F8" w:rsidP="007035F8">
      <w:pPr>
        <w:pStyle w:val="CoverContact"/>
      </w:pPr>
      <w:r>
        <w:t>E-mail:</w:t>
      </w:r>
      <w:r>
        <w:tab/>
        <w:t>standard@aasb.gov</w:t>
      </w:r>
      <w:r w:rsidRPr="0000292B">
        <w:t>.au</w:t>
      </w:r>
    </w:p>
    <w:p w14:paraId="13D73AAA" w14:textId="14447874" w:rsidR="009D5BF9" w:rsidRDefault="009D5BF9" w:rsidP="009607B1">
      <w:pPr>
        <w:pStyle w:val="Default"/>
        <w:tabs>
          <w:tab w:val="center" w:pos="4535"/>
        </w:tabs>
        <w:spacing w:before="7200"/>
        <w:jc w:val="both"/>
        <w:rPr>
          <w:sz w:val="19"/>
          <w:szCs w:val="19"/>
        </w:rPr>
      </w:pPr>
      <w:r w:rsidRPr="00766E15">
        <w:rPr>
          <w:sz w:val="19"/>
          <w:szCs w:val="19"/>
        </w:rPr>
        <w:t xml:space="preserve">COPYRIGHT </w:t>
      </w:r>
    </w:p>
    <w:p w14:paraId="42F24D8C" w14:textId="77777777" w:rsidR="009D5BF9" w:rsidRPr="00766E15" w:rsidRDefault="009D5BF9" w:rsidP="009D5BF9">
      <w:pPr>
        <w:pStyle w:val="Default"/>
        <w:jc w:val="both"/>
        <w:rPr>
          <w:sz w:val="19"/>
          <w:szCs w:val="19"/>
        </w:rPr>
      </w:pPr>
    </w:p>
    <w:p w14:paraId="6495B9C4" w14:textId="1FC2AE19" w:rsidR="009D5BF9" w:rsidRPr="00766E15" w:rsidRDefault="009D5BF9" w:rsidP="009D5BF9">
      <w:pPr>
        <w:pStyle w:val="Default"/>
        <w:jc w:val="both"/>
        <w:rPr>
          <w:sz w:val="20"/>
          <w:szCs w:val="20"/>
        </w:rPr>
      </w:pPr>
      <w:r>
        <w:rPr>
          <w:sz w:val="20"/>
          <w:szCs w:val="20"/>
        </w:rPr>
        <w:t>© Commonwealth of Australia 20</w:t>
      </w:r>
      <w:r w:rsidR="00FA3497">
        <w:rPr>
          <w:sz w:val="20"/>
          <w:szCs w:val="20"/>
        </w:rPr>
        <w:t>2</w:t>
      </w:r>
      <w:r w:rsidR="00611150">
        <w:rPr>
          <w:sz w:val="20"/>
          <w:szCs w:val="20"/>
        </w:rPr>
        <w:t>2</w:t>
      </w:r>
      <w:r w:rsidRPr="00766E15">
        <w:rPr>
          <w:sz w:val="20"/>
          <w:szCs w:val="20"/>
        </w:rPr>
        <w:t xml:space="preserve"> </w:t>
      </w:r>
    </w:p>
    <w:p w14:paraId="5F048019" w14:textId="77777777" w:rsidR="009D5BF9" w:rsidRPr="00766E15" w:rsidRDefault="009D5BF9" w:rsidP="009D5BF9">
      <w:pPr>
        <w:pStyle w:val="Default"/>
        <w:jc w:val="both"/>
        <w:rPr>
          <w:sz w:val="19"/>
          <w:szCs w:val="19"/>
        </w:rPr>
      </w:pPr>
    </w:p>
    <w:p w14:paraId="4AB32E80" w14:textId="71D13ABF" w:rsidR="009D5BF9" w:rsidRPr="00766E15" w:rsidRDefault="009D5BF9" w:rsidP="009D5BF9">
      <w:pPr>
        <w:pStyle w:val="Default"/>
        <w:jc w:val="both"/>
        <w:rPr>
          <w:sz w:val="19"/>
          <w:szCs w:val="19"/>
        </w:rPr>
      </w:pPr>
      <w:r w:rsidRPr="00766E15">
        <w:rPr>
          <w:sz w:val="19"/>
          <w:szCs w:val="19"/>
        </w:rPr>
        <w:t xml:space="preserve">This work is copyright. Apart from any use as permitted under the </w:t>
      </w:r>
      <w:r w:rsidRPr="004639DC">
        <w:rPr>
          <w:i/>
          <w:iCs/>
          <w:sz w:val="19"/>
          <w:szCs w:val="19"/>
        </w:rPr>
        <w:t>Copyright Act 1968</w:t>
      </w:r>
      <w:r w:rsidRPr="00766E15">
        <w:rPr>
          <w:sz w:val="19"/>
          <w:szCs w:val="19"/>
        </w:rPr>
        <w:t xml:space="preserve">, no part may be reproduced by any process without prior written permission. Requests and enquiries concerning reproduction and rights should be addressed to The </w:t>
      </w:r>
      <w:r w:rsidR="005648E1">
        <w:rPr>
          <w:sz w:val="19"/>
          <w:szCs w:val="19"/>
        </w:rPr>
        <w:t xml:space="preserve">Managing </w:t>
      </w:r>
      <w:r w:rsidRPr="00766E15">
        <w:rPr>
          <w:sz w:val="19"/>
          <w:szCs w:val="19"/>
        </w:rPr>
        <w:t xml:space="preserve">Director, Australian Accounting Standards Board, PO Box 204, Collins Street West, Victoria 8007. </w:t>
      </w:r>
    </w:p>
    <w:p w14:paraId="570BC229" w14:textId="77777777" w:rsidR="009D5BF9" w:rsidRPr="00766E15" w:rsidRDefault="009D5BF9" w:rsidP="009D5BF9">
      <w:pPr>
        <w:pStyle w:val="Default"/>
        <w:rPr>
          <w:sz w:val="19"/>
          <w:szCs w:val="19"/>
        </w:rPr>
      </w:pPr>
    </w:p>
    <w:p w14:paraId="28785031" w14:textId="2DDC2C6F" w:rsidR="009D5BF9" w:rsidRDefault="009D5BF9" w:rsidP="009D5BF9">
      <w:pPr>
        <w:pStyle w:val="Default"/>
        <w:rPr>
          <w:sz w:val="19"/>
          <w:szCs w:val="19"/>
        </w:rPr>
      </w:pPr>
      <w:r w:rsidRPr="00766E15">
        <w:rPr>
          <w:sz w:val="19"/>
          <w:szCs w:val="19"/>
        </w:rPr>
        <w:t xml:space="preserve">ISSN </w:t>
      </w:r>
      <w:r w:rsidR="009607B1">
        <w:rPr>
          <w:sz w:val="19"/>
          <w:szCs w:val="19"/>
        </w:rPr>
        <w:t>1036</w:t>
      </w:r>
      <w:r w:rsidRPr="00766E15">
        <w:rPr>
          <w:sz w:val="19"/>
          <w:szCs w:val="19"/>
        </w:rPr>
        <w:t>-</w:t>
      </w:r>
      <w:r w:rsidR="00EB66C7">
        <w:rPr>
          <w:sz w:val="19"/>
          <w:szCs w:val="19"/>
        </w:rPr>
        <w:t>4803</w:t>
      </w:r>
    </w:p>
    <w:p w14:paraId="79DC8687" w14:textId="77777777" w:rsidR="00B83982" w:rsidRDefault="00B83982" w:rsidP="009D5BF9">
      <w:pPr>
        <w:pStyle w:val="Default"/>
        <w:rPr>
          <w:sz w:val="19"/>
          <w:szCs w:val="19"/>
        </w:rPr>
        <w:sectPr w:rsidR="00B83982" w:rsidSect="00B83982">
          <w:footerReference w:type="default" r:id="rId21"/>
          <w:pgSz w:w="11907" w:h="16840" w:code="9"/>
          <w:pgMar w:top="1418" w:right="1418" w:bottom="1418" w:left="1418" w:header="709" w:footer="709" w:gutter="0"/>
          <w:paperSrc w:first="7" w:other="7"/>
          <w:cols w:space="720"/>
        </w:sectPr>
      </w:pPr>
    </w:p>
    <w:p w14:paraId="05BE0D69" w14:textId="43118BE2" w:rsidR="002C770C" w:rsidRPr="00766E15" w:rsidRDefault="002C770C" w:rsidP="002C770C">
      <w:pPr>
        <w:pStyle w:val="ConvSectionTitle"/>
      </w:pPr>
      <w:r w:rsidRPr="00766E15">
        <w:lastRenderedPageBreak/>
        <w:t>Contents</w:t>
      </w:r>
    </w:p>
    <w:p w14:paraId="67151CC8" w14:textId="77777777" w:rsidR="002C770C" w:rsidRPr="00766E15" w:rsidRDefault="002C770C" w:rsidP="002C770C">
      <w:pPr>
        <w:pStyle w:val="ContentsCapsPlain"/>
        <w:spacing w:before="400"/>
      </w:pPr>
      <w:r w:rsidRPr="00766E15">
        <w:t>PREFACE</w:t>
      </w:r>
    </w:p>
    <w:p w14:paraId="2FFE01DE" w14:textId="1F6487B7" w:rsidR="002C770C" w:rsidRDefault="002C770C" w:rsidP="002C770C">
      <w:pPr>
        <w:pStyle w:val="ContentsCapsBold"/>
        <w:rPr>
          <w:iCs/>
        </w:rPr>
      </w:pPr>
      <w:r>
        <w:rPr>
          <w:iCs/>
        </w:rPr>
        <w:t>ACCOUNTING STANDARD</w:t>
      </w:r>
    </w:p>
    <w:p w14:paraId="3E9A79FD" w14:textId="061EB08C" w:rsidR="002C770C" w:rsidRPr="00766E15" w:rsidRDefault="002C770C" w:rsidP="007D39DD">
      <w:pPr>
        <w:pStyle w:val="ContentsCapsBold"/>
        <w:spacing w:after="200"/>
        <w:jc w:val="left"/>
        <w:rPr>
          <w:i/>
          <w:iCs/>
        </w:rPr>
      </w:pPr>
      <w:r>
        <w:rPr>
          <w:iCs/>
        </w:rPr>
        <w:t>AASB</w:t>
      </w:r>
      <w:r w:rsidR="00EE0BE6">
        <w:rPr>
          <w:iCs/>
        </w:rPr>
        <w:t xml:space="preserve"> </w:t>
      </w:r>
      <w:r>
        <w:rPr>
          <w:iCs/>
        </w:rPr>
        <w:t>202</w:t>
      </w:r>
      <w:r w:rsidR="008129A5">
        <w:rPr>
          <w:iCs/>
        </w:rPr>
        <w:t>2</w:t>
      </w:r>
      <w:r>
        <w:rPr>
          <w:iCs/>
        </w:rPr>
        <w:t>-</w:t>
      </w:r>
      <w:r w:rsidR="003B1B86">
        <w:rPr>
          <w:iCs/>
        </w:rPr>
        <w:t>10</w:t>
      </w:r>
      <w:r>
        <w:rPr>
          <w:iCs/>
        </w:rPr>
        <w:t xml:space="preserve"> </w:t>
      </w:r>
      <w:r w:rsidRPr="00B766A3">
        <w:rPr>
          <w:i/>
          <w:iCs/>
        </w:rPr>
        <w:t xml:space="preserve">AMENDMENTS TO AUSTRALIAN ACCOUNTING STANDARDS – </w:t>
      </w:r>
      <w:r>
        <w:rPr>
          <w:i/>
          <w:iCs/>
        </w:rPr>
        <w:t>FAIR VALUE MEASUR</w:t>
      </w:r>
      <w:r w:rsidR="00177144">
        <w:rPr>
          <w:i/>
          <w:iCs/>
        </w:rPr>
        <w:t>E</w:t>
      </w:r>
      <w:r>
        <w:rPr>
          <w:i/>
          <w:iCs/>
        </w:rPr>
        <w:t xml:space="preserve">MENT OF </w:t>
      </w:r>
      <w:r w:rsidR="0062762C">
        <w:rPr>
          <w:i/>
          <w:iCs/>
        </w:rPr>
        <w:t xml:space="preserve">NON-FINANCIAL </w:t>
      </w:r>
      <w:r>
        <w:rPr>
          <w:i/>
          <w:iCs/>
        </w:rPr>
        <w:t xml:space="preserve">ASSETS OF NOT-FOR-PROFIT </w:t>
      </w:r>
      <w:r w:rsidR="007A5096">
        <w:rPr>
          <w:i/>
          <w:iCs/>
        </w:rPr>
        <w:t xml:space="preserve">PUBLIC SECTOR </w:t>
      </w:r>
      <w:r>
        <w:rPr>
          <w:i/>
          <w:iCs/>
        </w:rPr>
        <w:t>ENTITIES</w:t>
      </w:r>
      <w:r w:rsidR="00AB163B">
        <w:rPr>
          <w:i/>
          <w:iCs/>
        </w:rPr>
        <w:t xml:space="preserve"> </w:t>
      </w:r>
    </w:p>
    <w:p w14:paraId="4746BEAB" w14:textId="372DCDDB" w:rsidR="002C770C" w:rsidRPr="00766E15" w:rsidRDefault="002C770C" w:rsidP="00651459">
      <w:pPr>
        <w:pStyle w:val="ContentsParaHead"/>
        <w:ind w:left="170" w:hanging="170"/>
      </w:pPr>
      <w:r>
        <w:t>from p</w:t>
      </w:r>
      <w:r w:rsidR="003D7FD8">
        <w:t>aragraph</w:t>
      </w:r>
    </w:p>
    <w:p w14:paraId="21BC08FD" w14:textId="4D130EDD" w:rsidR="002C770C" w:rsidRDefault="00D0414D" w:rsidP="00C152F9">
      <w:pPr>
        <w:pStyle w:val="ContentsLevel1"/>
        <w:tabs>
          <w:tab w:val="right" w:pos="8505"/>
        </w:tabs>
        <w:ind w:right="0"/>
        <w:jc w:val="both"/>
        <w:rPr>
          <w:b/>
        </w:rPr>
      </w:pPr>
      <w:r>
        <w:rPr>
          <w:b/>
        </w:rPr>
        <w:t>OBJECTIVE</w:t>
      </w:r>
      <w:r w:rsidR="002C770C" w:rsidRPr="00766E15">
        <w:rPr>
          <w:b/>
        </w:rPr>
        <w:tab/>
      </w:r>
      <w:r w:rsidR="00FF72CC">
        <w:rPr>
          <w:b/>
        </w:rPr>
        <w:tab/>
      </w:r>
      <w:r>
        <w:rPr>
          <w:b/>
        </w:rPr>
        <w:t>1</w:t>
      </w:r>
    </w:p>
    <w:p w14:paraId="16F03D93" w14:textId="77777777" w:rsidR="00D0414D" w:rsidRPr="00BA4572" w:rsidRDefault="00D0414D" w:rsidP="00D0414D">
      <w:pPr>
        <w:pStyle w:val="ContentsLevel1"/>
        <w:tabs>
          <w:tab w:val="right" w:pos="8505"/>
        </w:tabs>
        <w:ind w:right="0"/>
        <w:jc w:val="both"/>
        <w:rPr>
          <w:b/>
        </w:rPr>
      </w:pPr>
      <w:r w:rsidRPr="00766E15">
        <w:rPr>
          <w:b/>
        </w:rPr>
        <w:t>APPLICATION</w:t>
      </w:r>
      <w:r w:rsidRPr="00766E15">
        <w:rPr>
          <w:b/>
        </w:rPr>
        <w:tab/>
      </w:r>
      <w:r>
        <w:rPr>
          <w:b/>
        </w:rPr>
        <w:tab/>
        <w:t>2</w:t>
      </w:r>
    </w:p>
    <w:p w14:paraId="45B1975F" w14:textId="1CF5A92D" w:rsidR="002C770C" w:rsidRDefault="002C770C" w:rsidP="00C152F9">
      <w:pPr>
        <w:pStyle w:val="ContentsLevel1"/>
        <w:tabs>
          <w:tab w:val="right" w:pos="8505"/>
        </w:tabs>
        <w:ind w:right="0"/>
        <w:jc w:val="both"/>
        <w:rPr>
          <w:b/>
        </w:rPr>
      </w:pPr>
      <w:r w:rsidRPr="00766E15">
        <w:rPr>
          <w:b/>
        </w:rPr>
        <w:t xml:space="preserve">AMENDMENTS TO </w:t>
      </w:r>
      <w:r>
        <w:rPr>
          <w:b/>
        </w:rPr>
        <w:t>AASB</w:t>
      </w:r>
      <w:r w:rsidR="00EE0BE6">
        <w:rPr>
          <w:b/>
        </w:rPr>
        <w:t xml:space="preserve"> </w:t>
      </w:r>
      <w:r>
        <w:rPr>
          <w:b/>
        </w:rPr>
        <w:t>13</w:t>
      </w:r>
      <w:r w:rsidRPr="00766E15">
        <w:rPr>
          <w:b/>
        </w:rPr>
        <w:tab/>
      </w:r>
      <w:r w:rsidR="00FF72CC">
        <w:rPr>
          <w:b/>
        </w:rPr>
        <w:tab/>
      </w:r>
      <w:r w:rsidR="00A665B1">
        <w:rPr>
          <w:b/>
        </w:rPr>
        <w:t>5</w:t>
      </w:r>
    </w:p>
    <w:p w14:paraId="27D7F723" w14:textId="15D88A6A" w:rsidR="002C770C" w:rsidRDefault="002C770C" w:rsidP="00C152F9">
      <w:pPr>
        <w:pStyle w:val="ContentsLevel1"/>
        <w:tabs>
          <w:tab w:val="right" w:pos="8505"/>
        </w:tabs>
        <w:ind w:right="0"/>
        <w:jc w:val="both"/>
        <w:rPr>
          <w:b/>
        </w:rPr>
      </w:pPr>
      <w:r w:rsidRPr="00766E15">
        <w:rPr>
          <w:b/>
        </w:rPr>
        <w:t>COMMENCEMENT OF THE LEGISLATIVE INSTRUMENT</w:t>
      </w:r>
      <w:r w:rsidRPr="00766E15">
        <w:rPr>
          <w:b/>
        </w:rPr>
        <w:tab/>
      </w:r>
      <w:r w:rsidR="00FF72CC">
        <w:rPr>
          <w:b/>
        </w:rPr>
        <w:tab/>
      </w:r>
      <w:r w:rsidR="005648E1">
        <w:rPr>
          <w:b/>
        </w:rPr>
        <w:t>9</w:t>
      </w:r>
    </w:p>
    <w:p w14:paraId="470E573C" w14:textId="77777777" w:rsidR="00D366C3" w:rsidRDefault="00746741" w:rsidP="00463C98">
      <w:pPr>
        <w:pStyle w:val="ContentsLevel1"/>
        <w:ind w:right="566"/>
        <w:jc w:val="both"/>
        <w:rPr>
          <w:b/>
          <w:bCs/>
        </w:rPr>
      </w:pPr>
      <w:r w:rsidRPr="00746741">
        <w:rPr>
          <w:b/>
          <w:bCs/>
        </w:rPr>
        <w:t>APPENDIX</w:t>
      </w:r>
      <w:r w:rsidR="00222239">
        <w:rPr>
          <w:b/>
          <w:bCs/>
        </w:rPr>
        <w:t xml:space="preserve"> </w:t>
      </w:r>
    </w:p>
    <w:p w14:paraId="649042F4" w14:textId="60C6D60B" w:rsidR="00EF4791" w:rsidRPr="00D04ED7" w:rsidRDefault="00746741" w:rsidP="00463C98">
      <w:pPr>
        <w:pStyle w:val="ContentsLevel1"/>
        <w:ind w:right="566"/>
        <w:jc w:val="both"/>
        <w:rPr>
          <w:b/>
          <w:bCs/>
        </w:rPr>
      </w:pPr>
      <w:r>
        <w:rPr>
          <w:b/>
          <w:bCs/>
        </w:rPr>
        <w:t xml:space="preserve">F Australian </w:t>
      </w:r>
      <w:r w:rsidRPr="00412AF3">
        <w:rPr>
          <w:b/>
          <w:bCs/>
        </w:rPr>
        <w:t>implementation guidance</w:t>
      </w:r>
      <w:r w:rsidRPr="00D04ED7">
        <w:rPr>
          <w:b/>
          <w:bCs/>
        </w:rPr>
        <w:t xml:space="preserve"> for not-for-profit public sector entities</w:t>
      </w:r>
    </w:p>
    <w:p w14:paraId="3375F3E5" w14:textId="46277FCD" w:rsidR="00D04ED7" w:rsidRPr="00D04ED7" w:rsidRDefault="00746741" w:rsidP="00D04ED7">
      <w:pPr>
        <w:pStyle w:val="ContentsLevel1"/>
        <w:ind w:left="0" w:right="567" w:firstLine="0"/>
        <w:jc w:val="both"/>
        <w:rPr>
          <w:b/>
          <w:bCs/>
        </w:rPr>
      </w:pPr>
      <w:r>
        <w:rPr>
          <w:b/>
          <w:bCs/>
        </w:rPr>
        <w:t xml:space="preserve">Australian </w:t>
      </w:r>
      <w:r w:rsidRPr="00D04ED7">
        <w:rPr>
          <w:b/>
          <w:bCs/>
        </w:rPr>
        <w:t>illustrative examples for not-for-profit public sector entities</w:t>
      </w:r>
    </w:p>
    <w:p w14:paraId="6C2424C8" w14:textId="6EB72928" w:rsidR="00D04ED7" w:rsidRPr="00D04ED7" w:rsidRDefault="00D04ED7" w:rsidP="00A85C6C">
      <w:pPr>
        <w:pStyle w:val="ContentsLevel1"/>
        <w:spacing w:before="360"/>
        <w:ind w:right="566"/>
        <w:jc w:val="both"/>
        <w:rPr>
          <w:b/>
          <w:bCs/>
        </w:rPr>
      </w:pPr>
      <w:r w:rsidRPr="00D04ED7">
        <w:rPr>
          <w:b/>
          <w:bCs/>
        </w:rPr>
        <w:t>BASIS FOR CONCLUSIONS</w:t>
      </w:r>
    </w:p>
    <w:p w14:paraId="2330BC2E" w14:textId="52C0610E" w:rsidR="002C770C" w:rsidRPr="0000292B" w:rsidRDefault="002C770C" w:rsidP="002C770C">
      <w:pPr>
        <w:pStyle w:val="ContentsBox"/>
        <w:spacing w:before="480"/>
      </w:pPr>
      <w:r w:rsidRPr="00173210">
        <w:t>Australian Accounting Standard</w:t>
      </w:r>
      <w:r>
        <w:t xml:space="preserve"> </w:t>
      </w:r>
      <w:r w:rsidRPr="006B0466">
        <w:t>AASB 202</w:t>
      </w:r>
      <w:r w:rsidR="000474E4">
        <w:t>2</w:t>
      </w:r>
      <w:r w:rsidRPr="006B0466">
        <w:t>-</w:t>
      </w:r>
      <w:r w:rsidR="007218C6">
        <w:t>10</w:t>
      </w:r>
      <w:r w:rsidRPr="006B0466">
        <w:t xml:space="preserve"> </w:t>
      </w:r>
      <w:r w:rsidRPr="006B0466">
        <w:rPr>
          <w:i/>
          <w:iCs/>
        </w:rPr>
        <w:t xml:space="preserve">Amendments to Australian Accounting Standards – Fair Value Measurement of </w:t>
      </w:r>
      <w:r w:rsidR="0062762C">
        <w:rPr>
          <w:i/>
          <w:iCs/>
        </w:rPr>
        <w:t xml:space="preserve">Non-Financial </w:t>
      </w:r>
      <w:r w:rsidRPr="006B0466">
        <w:rPr>
          <w:i/>
          <w:iCs/>
        </w:rPr>
        <w:t>Assets of Not-for-Profit</w:t>
      </w:r>
      <w:r w:rsidR="00452FDB">
        <w:rPr>
          <w:i/>
          <w:iCs/>
        </w:rPr>
        <w:t xml:space="preserve"> Public Sector</w:t>
      </w:r>
      <w:r w:rsidRPr="006B0466">
        <w:rPr>
          <w:i/>
          <w:iCs/>
        </w:rPr>
        <w:t xml:space="preserve"> Entities </w:t>
      </w:r>
      <w:r>
        <w:t xml:space="preserve">is set out </w:t>
      </w:r>
      <w:r w:rsidR="005B64E5">
        <w:t xml:space="preserve">in </w:t>
      </w:r>
      <w:r w:rsidRPr="007261B9">
        <w:t>pa</w:t>
      </w:r>
      <w:r w:rsidR="006E39DE">
        <w:t>ragraphs</w:t>
      </w:r>
      <w:r w:rsidR="00584AA6">
        <w:t xml:space="preserve"> 1 – 9</w:t>
      </w:r>
      <w:r w:rsidRPr="005B4D95">
        <w:t>.</w:t>
      </w:r>
      <w:r w:rsidRPr="007261B9">
        <w:t xml:space="preserve"> </w:t>
      </w:r>
      <w:r w:rsidRPr="00173210">
        <w:t>All the paragraphs have equal authority.</w:t>
      </w:r>
    </w:p>
    <w:p w14:paraId="1FAFE89C" w14:textId="6D3CBFAD" w:rsidR="002C770C" w:rsidRDefault="002C770C" w:rsidP="002C770C">
      <w:pPr>
        <w:tabs>
          <w:tab w:val="left" w:pos="559"/>
        </w:tabs>
        <w:rPr>
          <w:szCs w:val="19"/>
        </w:rPr>
      </w:pPr>
    </w:p>
    <w:p w14:paraId="1AF16917" w14:textId="77777777" w:rsidR="00B83982" w:rsidRDefault="00B83982" w:rsidP="002C770C">
      <w:pPr>
        <w:tabs>
          <w:tab w:val="left" w:pos="559"/>
        </w:tabs>
        <w:rPr>
          <w:szCs w:val="19"/>
        </w:rPr>
        <w:sectPr w:rsidR="00B83982" w:rsidSect="00B83982">
          <w:footerReference w:type="default" r:id="rId22"/>
          <w:pgSz w:w="11907" w:h="16840" w:code="9"/>
          <w:pgMar w:top="1418" w:right="1418" w:bottom="1418" w:left="1418" w:header="709" w:footer="709" w:gutter="0"/>
          <w:paperSrc w:first="7" w:other="7"/>
          <w:cols w:space="720"/>
        </w:sectPr>
      </w:pPr>
    </w:p>
    <w:p w14:paraId="7508AC7F" w14:textId="77777777" w:rsidR="002C770C" w:rsidRPr="00291416" w:rsidRDefault="002C770C" w:rsidP="002C770C">
      <w:pPr>
        <w:pStyle w:val="ConvSectionTitle"/>
        <w:rPr>
          <w:i/>
          <w:iCs/>
        </w:rPr>
      </w:pPr>
      <w:r>
        <w:lastRenderedPageBreak/>
        <w:t>Preface</w:t>
      </w:r>
    </w:p>
    <w:p w14:paraId="68CE8CA7" w14:textId="40235B03" w:rsidR="002C770C" w:rsidRPr="000275FA" w:rsidRDefault="002C770C">
      <w:pPr>
        <w:pStyle w:val="IASBSectionTitle1NonInd"/>
      </w:pPr>
      <w:r>
        <w:t xml:space="preserve">Standards amended by </w:t>
      </w:r>
      <w:r w:rsidR="00E605E4" w:rsidRPr="0068408B">
        <w:t>AASB</w:t>
      </w:r>
      <w:r w:rsidR="00E605E4">
        <w:t xml:space="preserve"> </w:t>
      </w:r>
      <w:r>
        <w:t>202</w:t>
      </w:r>
      <w:r w:rsidR="00F339DA">
        <w:t>2</w:t>
      </w:r>
      <w:r>
        <w:t>-</w:t>
      </w:r>
      <w:r w:rsidR="009C65BE">
        <w:t>10</w:t>
      </w:r>
    </w:p>
    <w:p w14:paraId="5602DA9D" w14:textId="42156C3B" w:rsidR="005A5BC1" w:rsidRDefault="005A5BC1" w:rsidP="005A5BC1">
      <w:pPr>
        <w:pStyle w:val="NoNumPlain1"/>
      </w:pPr>
      <w:r w:rsidRPr="008F6A30">
        <w:t xml:space="preserve">This Standard </w:t>
      </w:r>
      <w:r w:rsidR="00AD33C7">
        <w:t xml:space="preserve">makes amendments </w:t>
      </w:r>
      <w:r w:rsidRPr="008F6A30">
        <w:t>to AASB</w:t>
      </w:r>
      <w:r w:rsidR="00C921E5">
        <w:t xml:space="preserve"> </w:t>
      </w:r>
      <w:r w:rsidRPr="008F6A30">
        <w:t xml:space="preserve">13 </w:t>
      </w:r>
      <w:r w:rsidRPr="008F6A30">
        <w:rPr>
          <w:i/>
          <w:iCs/>
        </w:rPr>
        <w:t>Fair Value Measurement</w:t>
      </w:r>
      <w:r w:rsidRPr="008F6A30">
        <w:t xml:space="preserve"> (August 2015) </w:t>
      </w:r>
      <w:r w:rsidR="008C3630" w:rsidRPr="008F6A30">
        <w:t xml:space="preserve">for application by not-for-profit </w:t>
      </w:r>
      <w:r w:rsidR="00692A38">
        <w:t xml:space="preserve">public sector </w:t>
      </w:r>
      <w:r w:rsidR="008C3630" w:rsidRPr="008F6A30">
        <w:t>entities</w:t>
      </w:r>
      <w:r w:rsidR="008C3630">
        <w:t>.</w:t>
      </w:r>
      <w:r w:rsidRPr="00CF2B9C">
        <w:t xml:space="preserve"> </w:t>
      </w:r>
    </w:p>
    <w:p w14:paraId="37837BB3" w14:textId="77777777" w:rsidR="002C770C" w:rsidRPr="000275FA" w:rsidRDefault="002C770C" w:rsidP="00524A32">
      <w:pPr>
        <w:pStyle w:val="IASBSectionTitle1NonInd"/>
      </w:pPr>
      <w:r w:rsidRPr="000275FA">
        <w:t xml:space="preserve">Main features </w:t>
      </w:r>
      <w:r>
        <w:t xml:space="preserve">of </w:t>
      </w:r>
      <w:r w:rsidRPr="0068408B">
        <w:t>this</w:t>
      </w:r>
      <w:r>
        <w:t xml:space="preserve"> Standard</w:t>
      </w:r>
    </w:p>
    <w:p w14:paraId="4A2D5C51" w14:textId="18AEE855" w:rsidR="002C770C" w:rsidRDefault="002C770C" w:rsidP="007D39DD">
      <w:pPr>
        <w:pStyle w:val="IASBSectionTitle2Ind"/>
        <w:ind w:left="510"/>
      </w:pPr>
      <w:r w:rsidRPr="00766E15">
        <w:t xml:space="preserve">Main </w:t>
      </w:r>
      <w:r w:rsidRPr="0068408B">
        <w:t>requirements</w:t>
      </w:r>
    </w:p>
    <w:p w14:paraId="01F8B589" w14:textId="75F611B6" w:rsidR="003E78F5" w:rsidRDefault="00EA6B08" w:rsidP="003E78F5">
      <w:pPr>
        <w:pStyle w:val="IASBNormal"/>
        <w:widowControl w:val="0"/>
      </w:pPr>
      <w:r w:rsidRPr="00766E15">
        <w:t xml:space="preserve">This </w:t>
      </w:r>
      <w:r>
        <w:t xml:space="preserve">Standard </w:t>
      </w:r>
      <w:r w:rsidR="00F65ABA">
        <w:t xml:space="preserve">amends </w:t>
      </w:r>
      <w:r w:rsidR="00C921E5">
        <w:t>AASB 13</w:t>
      </w:r>
      <w:r w:rsidR="001C37CD">
        <w:t>,</w:t>
      </w:r>
      <w:r w:rsidR="00C921E5">
        <w:t xml:space="preserve"> </w:t>
      </w:r>
      <w:r w:rsidR="00A978DC">
        <w:t xml:space="preserve">including adding </w:t>
      </w:r>
      <w:r w:rsidR="00F65ABA">
        <w:t xml:space="preserve">authoritative implementation guidance </w:t>
      </w:r>
      <w:r w:rsidR="00DF0238">
        <w:t>and</w:t>
      </w:r>
      <w:r w:rsidR="004D44C1">
        <w:t xml:space="preserve"> </w:t>
      </w:r>
      <w:r w:rsidR="00A978DC">
        <w:t xml:space="preserve">providing </w:t>
      </w:r>
      <w:r w:rsidR="007C7B3E">
        <w:t xml:space="preserve">related </w:t>
      </w:r>
      <w:r w:rsidR="00424E98">
        <w:t>i</w:t>
      </w:r>
      <w:r w:rsidR="003E78F5">
        <w:t xml:space="preserve">llustrative </w:t>
      </w:r>
      <w:r w:rsidR="00424E98">
        <w:t>e</w:t>
      </w:r>
      <w:r w:rsidR="003E78F5">
        <w:t>xamples</w:t>
      </w:r>
      <w:r w:rsidR="001C37CD">
        <w:t>,</w:t>
      </w:r>
      <w:r w:rsidR="003E78F5">
        <w:t xml:space="preserve"> </w:t>
      </w:r>
      <w:r w:rsidR="007C0617">
        <w:t xml:space="preserve">for </w:t>
      </w:r>
      <w:r w:rsidR="0080128D">
        <w:t xml:space="preserve">fair value measurements of non-financial assets </w:t>
      </w:r>
      <w:r w:rsidR="001F03F5">
        <w:t xml:space="preserve">of not-for-profit public sector entities </w:t>
      </w:r>
      <w:r w:rsidR="0080128D">
        <w:t>not held primarily for their ability to generate net cash inflows</w:t>
      </w:r>
      <w:r w:rsidR="00363772">
        <w:t>.</w:t>
      </w:r>
      <w:r w:rsidR="00FE3EC2">
        <w:t xml:space="preserve"> Specifically, for such an asset</w:t>
      </w:r>
      <w:r w:rsidR="00F83CF5">
        <w:t>,</w:t>
      </w:r>
      <w:r w:rsidR="00FE3EC2">
        <w:t xml:space="preserve"> </w:t>
      </w:r>
      <w:r w:rsidR="0066007C">
        <w:t>this Standard</w:t>
      </w:r>
      <w:r w:rsidR="003E78F5">
        <w:t>:</w:t>
      </w:r>
    </w:p>
    <w:p w14:paraId="333561FB" w14:textId="7D868C80" w:rsidR="009C65BE" w:rsidRDefault="0066007C" w:rsidP="005D7AE5">
      <w:pPr>
        <w:pStyle w:val="NumberedList1"/>
      </w:pPr>
      <w:r>
        <w:t>specif</w:t>
      </w:r>
      <w:r w:rsidR="000E73EC">
        <w:t>ies</w:t>
      </w:r>
      <w:r>
        <w:t xml:space="preserve"> that </w:t>
      </w:r>
      <w:r w:rsidR="005C6DF2">
        <w:t xml:space="preserve">the entity is required to consider whether </w:t>
      </w:r>
      <w:r>
        <w:t xml:space="preserve">the asset’s </w:t>
      </w:r>
      <w:r w:rsidR="0090423D">
        <w:t xml:space="preserve">highest and best use differs from its </w:t>
      </w:r>
      <w:r>
        <w:t xml:space="preserve">current use </w:t>
      </w:r>
      <w:r w:rsidR="00A04F3B">
        <w:t xml:space="preserve">only </w:t>
      </w:r>
      <w:r w:rsidR="0090423D">
        <w:t xml:space="preserve">when, at the measurement date, </w:t>
      </w:r>
      <w:r>
        <w:t>it is</w:t>
      </w:r>
      <w:r w:rsidR="009C65BE">
        <w:t>:</w:t>
      </w:r>
      <w:r>
        <w:t xml:space="preserve"> </w:t>
      </w:r>
    </w:p>
    <w:p w14:paraId="288697A7" w14:textId="4500666A" w:rsidR="00293368" w:rsidRPr="00E00697" w:rsidRDefault="00293368" w:rsidP="005D7AE5">
      <w:pPr>
        <w:pStyle w:val="NumberedList1"/>
        <w:numPr>
          <w:ilvl w:val="0"/>
          <w:numId w:val="0"/>
        </w:numPr>
        <w:ind w:left="1564" w:hanging="782"/>
      </w:pPr>
      <w:r>
        <w:t>(i)</w:t>
      </w:r>
      <w:r>
        <w:tab/>
      </w:r>
      <w:r w:rsidRPr="00E00697">
        <w:rPr>
          <w:szCs w:val="19"/>
        </w:rPr>
        <w:t xml:space="preserve">classified as held for sale or held for distribution to owners in accordance with AASB 5 </w:t>
      </w:r>
      <w:r w:rsidRPr="00E00697">
        <w:rPr>
          <w:i/>
          <w:iCs/>
          <w:szCs w:val="19"/>
        </w:rPr>
        <w:t>Non-current Assets Held for Sale and Discontinued Operations</w:t>
      </w:r>
      <w:r w:rsidRPr="00E00697">
        <w:rPr>
          <w:szCs w:val="19"/>
        </w:rPr>
        <w:t>; or</w:t>
      </w:r>
    </w:p>
    <w:p w14:paraId="427AA3A2" w14:textId="20447F5D" w:rsidR="0066007C" w:rsidRDefault="00293368" w:rsidP="005D7AE5">
      <w:pPr>
        <w:pStyle w:val="NumberedList1"/>
        <w:numPr>
          <w:ilvl w:val="0"/>
          <w:numId w:val="0"/>
        </w:numPr>
        <w:ind w:left="1564" w:hanging="782"/>
      </w:pPr>
      <w:r>
        <w:t>(ii)</w:t>
      </w:r>
      <w:r>
        <w:tab/>
      </w:r>
      <w:r w:rsidR="0066007C">
        <w:t>highly probable that the asset will be used for an alternative purpose to its current use</w:t>
      </w:r>
      <w:r w:rsidR="00B668C8">
        <w:t>;</w:t>
      </w:r>
      <w:r w:rsidR="0066007C">
        <w:t xml:space="preserve"> </w:t>
      </w:r>
    </w:p>
    <w:p w14:paraId="75E45464" w14:textId="7BF1ACF1" w:rsidR="0066007C" w:rsidRDefault="0066007C" w:rsidP="003276D3">
      <w:pPr>
        <w:pStyle w:val="NumberedList1"/>
      </w:pPr>
      <w:r>
        <w:t>clarif</w:t>
      </w:r>
      <w:r w:rsidR="000E73EC">
        <w:t>ies</w:t>
      </w:r>
      <w:r>
        <w:t xml:space="preserve"> that </w:t>
      </w:r>
      <w:r w:rsidR="00D35791">
        <w:t xml:space="preserve">the </w:t>
      </w:r>
      <w:r>
        <w:t xml:space="preserve">asset’s use is ‘financially feasible’ if market participants would be willing to invest in the asset’s service capacity, considering both the </w:t>
      </w:r>
      <w:r w:rsidR="00A978DC">
        <w:t xml:space="preserve">capability of the asset </w:t>
      </w:r>
      <w:r>
        <w:t>to be used to provide needed goods or services to beneficiaries and the resulting cost of those goods or services</w:t>
      </w:r>
      <w:r w:rsidR="00B668C8">
        <w:t>;</w:t>
      </w:r>
    </w:p>
    <w:p w14:paraId="68CFE0CE" w14:textId="186D6C06" w:rsidR="0066007C" w:rsidRDefault="000E73EC" w:rsidP="003276D3">
      <w:pPr>
        <w:pStyle w:val="NumberedList1"/>
      </w:pPr>
      <w:r>
        <w:t xml:space="preserve">specifies that, </w:t>
      </w:r>
      <w:r w:rsidR="002754A3">
        <w:t xml:space="preserve">if both the market selling price of a comparable asset and </w:t>
      </w:r>
      <w:r w:rsidR="00913534">
        <w:t>some</w:t>
      </w:r>
      <w:r w:rsidR="002754A3">
        <w:t xml:space="preserve"> market participant data required to measure the fair value of the asset are not observable, </w:t>
      </w:r>
      <w:r w:rsidR="0066007C">
        <w:t>an entity use</w:t>
      </w:r>
      <w:r>
        <w:t>s</w:t>
      </w:r>
      <w:r w:rsidR="0066007C">
        <w:t xml:space="preserve"> its own assumptions as a starting point </w:t>
      </w:r>
      <w:r w:rsidR="00363B9B">
        <w:t xml:space="preserve">in developing unobservable inputs </w:t>
      </w:r>
      <w:r w:rsidR="0066007C">
        <w:t>and adjust</w:t>
      </w:r>
      <w:r>
        <w:t>s</w:t>
      </w:r>
      <w:r w:rsidR="0066007C">
        <w:t xml:space="preserve"> those assumptions </w:t>
      </w:r>
      <w:r w:rsidR="00BC3CD3">
        <w:t xml:space="preserve">to the extent that </w:t>
      </w:r>
      <w:r w:rsidR="0066007C">
        <w:t xml:space="preserve">reasonably available information indicates that other market participants </w:t>
      </w:r>
      <w:r w:rsidR="00363B9B">
        <w:t xml:space="preserve">(including, but not limited to, other not-for-profit public sector entities) </w:t>
      </w:r>
      <w:r w:rsidR="0066007C">
        <w:t>would use different data</w:t>
      </w:r>
      <w:r w:rsidR="000C4436">
        <w:t>;</w:t>
      </w:r>
      <w:r w:rsidR="00B24F9D">
        <w:t xml:space="preserve"> and</w:t>
      </w:r>
    </w:p>
    <w:p w14:paraId="2DB279FB" w14:textId="316823BB" w:rsidR="00317C6E" w:rsidRDefault="00D54CE8" w:rsidP="003276D3">
      <w:pPr>
        <w:pStyle w:val="NumberedList1"/>
      </w:pPr>
      <w:r>
        <w:t xml:space="preserve">provides guidance on </w:t>
      </w:r>
      <w:r w:rsidR="0095664A">
        <w:t xml:space="preserve">how </w:t>
      </w:r>
      <w:r w:rsidR="000A6BFB">
        <w:t xml:space="preserve">the cost approach </w:t>
      </w:r>
      <w:r w:rsidR="0095664A">
        <w:t xml:space="preserve">is to be applied </w:t>
      </w:r>
      <w:r w:rsidR="000A6BFB">
        <w:t xml:space="preserve">to measure </w:t>
      </w:r>
      <w:r w:rsidR="000E43E1">
        <w:t>the</w:t>
      </w:r>
      <w:r w:rsidR="000A6BFB">
        <w:t xml:space="preserve"> asset’s fair value</w:t>
      </w:r>
      <w:r w:rsidR="00031465">
        <w:t xml:space="preserve">, </w:t>
      </w:r>
      <w:r w:rsidR="00592D4B">
        <w:t>including guidance on the nature of costs to include in the replacement cost of a reference asset and on the identification of economic obsolescence</w:t>
      </w:r>
      <w:r w:rsidR="00317C6E">
        <w:t>.</w:t>
      </w:r>
    </w:p>
    <w:p w14:paraId="011DC01E" w14:textId="77777777" w:rsidR="002C770C" w:rsidRPr="00766E15" w:rsidRDefault="002C770C" w:rsidP="007D39DD">
      <w:pPr>
        <w:pStyle w:val="IASBSectionTitle2Ind"/>
        <w:ind w:left="510"/>
      </w:pPr>
      <w:r w:rsidRPr="0068408B">
        <w:t>Application</w:t>
      </w:r>
      <w:r w:rsidRPr="00766E15">
        <w:t xml:space="preserve"> date</w:t>
      </w:r>
    </w:p>
    <w:p w14:paraId="6D5FF96A" w14:textId="74A557F1" w:rsidR="002C770C" w:rsidRDefault="002C770C" w:rsidP="002C770C">
      <w:pPr>
        <w:pStyle w:val="IASBNormal"/>
      </w:pPr>
      <w:r>
        <w:t>This Standard applies</w:t>
      </w:r>
      <w:r w:rsidRPr="00766E15">
        <w:t xml:space="preserve"> </w:t>
      </w:r>
      <w:r w:rsidR="00CF0C4A">
        <w:t xml:space="preserve">prospectively </w:t>
      </w:r>
      <w:r w:rsidRPr="00766E15">
        <w:t xml:space="preserve">to </w:t>
      </w:r>
      <w:r>
        <w:t>annual</w:t>
      </w:r>
      <w:r w:rsidRPr="00766E15">
        <w:t xml:space="preserve"> periods beginning on or after </w:t>
      </w:r>
      <w:r w:rsidR="00DF7D74">
        <w:t>1 January 202</w:t>
      </w:r>
      <w:r w:rsidR="00391642">
        <w:t>4</w:t>
      </w:r>
      <w:r w:rsidR="005A2B9C">
        <w:t xml:space="preserve">, </w:t>
      </w:r>
      <w:r w:rsidRPr="00766E15">
        <w:t xml:space="preserve">with </w:t>
      </w:r>
      <w:r w:rsidR="00F85DA5">
        <w:t xml:space="preserve">earlier </w:t>
      </w:r>
      <w:r>
        <w:t>application</w:t>
      </w:r>
      <w:r w:rsidRPr="00766E15">
        <w:t xml:space="preserve"> permitted. </w:t>
      </w:r>
    </w:p>
    <w:p w14:paraId="4089589A" w14:textId="01BF1F4D" w:rsidR="003F32EC" w:rsidRDefault="003F32EC" w:rsidP="00B83982">
      <w:pPr>
        <w:pStyle w:val="IASBNormal"/>
        <w:spacing w:after="0"/>
      </w:pPr>
    </w:p>
    <w:p w14:paraId="4B26C7A1" w14:textId="77777777" w:rsidR="003F32EC" w:rsidRDefault="003F32EC" w:rsidP="00B83982">
      <w:pPr>
        <w:pStyle w:val="IASBNormal"/>
        <w:spacing w:after="0"/>
        <w:sectPr w:rsidR="003F32EC" w:rsidSect="00B83982">
          <w:footerReference w:type="default" r:id="rId23"/>
          <w:pgSz w:w="11907" w:h="16840" w:code="9"/>
          <w:pgMar w:top="1418" w:right="1418" w:bottom="1418" w:left="1418" w:header="709" w:footer="709" w:gutter="0"/>
          <w:paperSrc w:first="7" w:other="7"/>
          <w:cols w:space="720"/>
        </w:sectPr>
      </w:pPr>
    </w:p>
    <w:p w14:paraId="41097193" w14:textId="7ED6CE6D" w:rsidR="00994A75" w:rsidRPr="00994A75" w:rsidRDefault="00994A75" w:rsidP="007D39DD">
      <w:pPr>
        <w:pStyle w:val="ConvSectionTitle"/>
      </w:pPr>
      <w:r w:rsidRPr="00766E15">
        <w:lastRenderedPageBreak/>
        <w:t xml:space="preserve">Accounting Standard </w:t>
      </w:r>
      <w:r>
        <w:t>AASB </w:t>
      </w:r>
      <w:r w:rsidRPr="00766E15">
        <w:t>20</w:t>
      </w:r>
      <w:r w:rsidR="000A3B08">
        <w:t>2</w:t>
      </w:r>
      <w:r w:rsidR="0095096B">
        <w:t>2</w:t>
      </w:r>
      <w:r w:rsidRPr="00766E15">
        <w:t>-</w:t>
      </w:r>
      <w:r w:rsidR="00143D8B">
        <w:t>10</w:t>
      </w:r>
    </w:p>
    <w:p w14:paraId="2256DD62" w14:textId="2350016E" w:rsidR="001B3593" w:rsidRDefault="001B3593" w:rsidP="00270378">
      <w:pPr>
        <w:pStyle w:val="BodyText"/>
        <w:rPr>
          <w:lang w:eastAsia="en-AU"/>
        </w:rPr>
      </w:pPr>
      <w:r w:rsidRPr="001B3593">
        <w:rPr>
          <w:lang w:eastAsia="en-AU"/>
        </w:rPr>
        <w:t xml:space="preserve">The </w:t>
      </w:r>
      <w:r>
        <w:rPr>
          <w:lang w:eastAsia="en-AU"/>
        </w:rPr>
        <w:t xml:space="preserve">Australian Accounting Standards Board makes Accounting Standard AASB </w:t>
      </w:r>
      <w:r w:rsidR="00624722">
        <w:rPr>
          <w:lang w:eastAsia="en-AU"/>
        </w:rPr>
        <w:t>202</w:t>
      </w:r>
      <w:r w:rsidR="004674BD">
        <w:rPr>
          <w:lang w:eastAsia="en-AU"/>
        </w:rPr>
        <w:t>2</w:t>
      </w:r>
      <w:r w:rsidR="00624722">
        <w:rPr>
          <w:lang w:eastAsia="en-AU"/>
        </w:rPr>
        <w:t>-</w:t>
      </w:r>
      <w:r w:rsidR="00143D8B">
        <w:rPr>
          <w:lang w:eastAsia="en-AU"/>
        </w:rPr>
        <w:t>10</w:t>
      </w:r>
      <w:r w:rsidRPr="0027480C">
        <w:rPr>
          <w:lang w:eastAsia="en-AU"/>
        </w:rPr>
        <w:t xml:space="preserve"> </w:t>
      </w:r>
      <w:r w:rsidRPr="0027480C">
        <w:rPr>
          <w:i/>
          <w:lang w:eastAsia="en-AU"/>
        </w:rPr>
        <w:t>Amendments</w:t>
      </w:r>
      <w:r w:rsidRPr="00994A75">
        <w:rPr>
          <w:i/>
          <w:lang w:eastAsia="en-AU"/>
        </w:rPr>
        <w:t xml:space="preserve"> to Australian Accounting Standards –</w:t>
      </w:r>
      <w:r w:rsidR="00093C2C">
        <w:rPr>
          <w:i/>
          <w:lang w:eastAsia="en-AU"/>
        </w:rPr>
        <w:t xml:space="preserve"> </w:t>
      </w:r>
      <w:r w:rsidR="00C11F3F">
        <w:rPr>
          <w:i/>
          <w:lang w:eastAsia="en-AU"/>
        </w:rPr>
        <w:t xml:space="preserve">Fair Value Measurement </w:t>
      </w:r>
      <w:r w:rsidR="00077FD7">
        <w:rPr>
          <w:i/>
          <w:lang w:eastAsia="en-AU"/>
        </w:rPr>
        <w:t xml:space="preserve">of </w:t>
      </w:r>
      <w:r w:rsidR="00E52BF9">
        <w:rPr>
          <w:i/>
          <w:lang w:eastAsia="en-AU"/>
        </w:rPr>
        <w:t xml:space="preserve">Non-Financial </w:t>
      </w:r>
      <w:r w:rsidR="00077FD7">
        <w:rPr>
          <w:i/>
          <w:lang w:eastAsia="en-AU"/>
        </w:rPr>
        <w:t xml:space="preserve">Assets of </w:t>
      </w:r>
      <w:r w:rsidRPr="00994A75">
        <w:rPr>
          <w:i/>
          <w:lang w:eastAsia="en-AU"/>
        </w:rPr>
        <w:t xml:space="preserve">Not-for-Profit </w:t>
      </w:r>
      <w:r w:rsidR="00EA342B">
        <w:rPr>
          <w:i/>
          <w:lang w:eastAsia="en-AU"/>
        </w:rPr>
        <w:t xml:space="preserve">Public Sector </w:t>
      </w:r>
      <w:r w:rsidR="00C11F3F">
        <w:rPr>
          <w:i/>
          <w:lang w:eastAsia="en-AU"/>
        </w:rPr>
        <w:t>Entities</w:t>
      </w:r>
      <w:r>
        <w:rPr>
          <w:lang w:eastAsia="en-AU"/>
        </w:rPr>
        <w:t xml:space="preserve"> under section</w:t>
      </w:r>
      <w:r w:rsidR="00994A75">
        <w:rPr>
          <w:lang w:eastAsia="en-AU"/>
        </w:rPr>
        <w:t> </w:t>
      </w:r>
      <w:r>
        <w:rPr>
          <w:lang w:eastAsia="en-AU"/>
        </w:rPr>
        <w:t xml:space="preserve">334 of the </w:t>
      </w:r>
      <w:r w:rsidRPr="00A85C6C">
        <w:rPr>
          <w:i/>
          <w:iCs/>
          <w:lang w:eastAsia="en-AU"/>
        </w:rPr>
        <w:t>Corporations Act 2001</w:t>
      </w:r>
      <w:r>
        <w:rPr>
          <w:lang w:eastAsia="en-AU"/>
        </w:rPr>
        <w:t>.</w:t>
      </w:r>
    </w:p>
    <w:p w14:paraId="7977CF4A" w14:textId="60FF7F8D" w:rsidR="001B3593" w:rsidRDefault="001B3593" w:rsidP="00A85C6C">
      <w:pPr>
        <w:pStyle w:val="BodyText"/>
        <w:spacing w:after="0"/>
        <w:jc w:val="right"/>
        <w:rPr>
          <w:lang w:eastAsia="en-AU"/>
        </w:rPr>
      </w:pPr>
      <w:r>
        <w:rPr>
          <w:lang w:eastAsia="en-AU"/>
        </w:rPr>
        <w:t>K</w:t>
      </w:r>
      <w:r w:rsidR="00EA342B">
        <w:rPr>
          <w:lang w:eastAsia="en-AU"/>
        </w:rPr>
        <w:t>eith Kendall</w:t>
      </w:r>
    </w:p>
    <w:p w14:paraId="04585029" w14:textId="0E75B8E8" w:rsidR="001B3593" w:rsidRDefault="00075543" w:rsidP="00A85C6C">
      <w:pPr>
        <w:pStyle w:val="BodyText"/>
        <w:tabs>
          <w:tab w:val="right" w:pos="9072"/>
        </w:tabs>
        <w:jc w:val="left"/>
        <w:rPr>
          <w:lang w:eastAsia="en-AU"/>
        </w:rPr>
      </w:pPr>
      <w:r>
        <w:rPr>
          <w:lang w:eastAsia="en-AU"/>
        </w:rPr>
        <w:t xml:space="preserve">Dated </w:t>
      </w:r>
      <w:r w:rsidR="00143D8B">
        <w:rPr>
          <w:lang w:eastAsia="en-AU"/>
        </w:rPr>
        <w:t>15</w:t>
      </w:r>
      <w:r w:rsidR="00584AA6">
        <w:rPr>
          <w:lang w:eastAsia="en-AU"/>
        </w:rPr>
        <w:t xml:space="preserve"> </w:t>
      </w:r>
      <w:r w:rsidR="00143D8B">
        <w:rPr>
          <w:lang w:eastAsia="en-AU"/>
        </w:rPr>
        <w:t>December</w:t>
      </w:r>
      <w:r w:rsidR="00584AA6">
        <w:rPr>
          <w:lang w:eastAsia="en-AU"/>
        </w:rPr>
        <w:t xml:space="preserve"> </w:t>
      </w:r>
      <w:r w:rsidR="00143D8B">
        <w:rPr>
          <w:lang w:eastAsia="en-AU"/>
        </w:rPr>
        <w:t>2022</w:t>
      </w:r>
      <w:r>
        <w:rPr>
          <w:lang w:eastAsia="en-AU"/>
        </w:rPr>
        <w:tab/>
      </w:r>
      <w:r w:rsidR="001B3593">
        <w:rPr>
          <w:lang w:eastAsia="en-AU"/>
        </w:rPr>
        <w:t>Chair – AASB</w:t>
      </w:r>
    </w:p>
    <w:p w14:paraId="068A774B" w14:textId="52104318" w:rsidR="00994A75" w:rsidRPr="00766E15" w:rsidRDefault="00994A75" w:rsidP="00994A75">
      <w:pPr>
        <w:pStyle w:val="ConvSectionTitle"/>
        <w:spacing w:after="0"/>
      </w:pPr>
      <w:r w:rsidRPr="00766E15">
        <w:t xml:space="preserve">Accounting Standard </w:t>
      </w:r>
      <w:r>
        <w:t>AASB </w:t>
      </w:r>
      <w:r w:rsidR="00C3260B">
        <w:t>20</w:t>
      </w:r>
      <w:r w:rsidR="001559F7">
        <w:t>2</w:t>
      </w:r>
      <w:r w:rsidR="0095096B">
        <w:t>2</w:t>
      </w:r>
      <w:r w:rsidRPr="00766E15">
        <w:t>-</w:t>
      </w:r>
      <w:r w:rsidR="00E80DE6">
        <w:t>10</w:t>
      </w:r>
    </w:p>
    <w:p w14:paraId="090F3E75" w14:textId="74682AAF" w:rsidR="00270378" w:rsidRDefault="00994A75" w:rsidP="00270378">
      <w:pPr>
        <w:pStyle w:val="ConvSectionTitle"/>
        <w:spacing w:before="0" w:after="0"/>
        <w:rPr>
          <w:i/>
        </w:rPr>
      </w:pPr>
      <w:r w:rsidRPr="00B61A91">
        <w:rPr>
          <w:i/>
        </w:rPr>
        <w:t>Amendments to Australian Accounting Standards –</w:t>
      </w:r>
      <w:r w:rsidR="00093C2C">
        <w:rPr>
          <w:i/>
        </w:rPr>
        <w:t xml:space="preserve"> </w:t>
      </w:r>
      <w:r w:rsidR="00C3260B">
        <w:rPr>
          <w:i/>
        </w:rPr>
        <w:t xml:space="preserve">Fair Value Measurement </w:t>
      </w:r>
      <w:r w:rsidR="00241627">
        <w:rPr>
          <w:i/>
        </w:rPr>
        <w:t xml:space="preserve">of </w:t>
      </w:r>
      <w:r w:rsidR="00E52BF9">
        <w:rPr>
          <w:i/>
        </w:rPr>
        <w:t xml:space="preserve">Non-Financial </w:t>
      </w:r>
      <w:r w:rsidR="00241627">
        <w:rPr>
          <w:i/>
        </w:rPr>
        <w:t xml:space="preserve">Assets of </w:t>
      </w:r>
      <w:r w:rsidRPr="00B61A91">
        <w:rPr>
          <w:i/>
        </w:rPr>
        <w:t>Not-for</w:t>
      </w:r>
      <w:r w:rsidR="00C3260B">
        <w:rPr>
          <w:i/>
        </w:rPr>
        <w:t xml:space="preserve">-Profit </w:t>
      </w:r>
      <w:r w:rsidR="00EA342B">
        <w:rPr>
          <w:i/>
        </w:rPr>
        <w:t xml:space="preserve">Public Sector </w:t>
      </w:r>
      <w:r w:rsidR="00C3260B">
        <w:rPr>
          <w:i/>
        </w:rPr>
        <w:t>Entities</w:t>
      </w:r>
    </w:p>
    <w:p w14:paraId="28DBC98D" w14:textId="4A33955E" w:rsidR="00BA5A1C" w:rsidRPr="0068408B" w:rsidRDefault="00BA5A1C">
      <w:pPr>
        <w:pStyle w:val="IASBSectionTitle1NonInd"/>
      </w:pPr>
      <w:r w:rsidRPr="00766E15">
        <w:t>Objective</w:t>
      </w:r>
    </w:p>
    <w:p w14:paraId="12CFDECC" w14:textId="4637CD00" w:rsidR="0060019B" w:rsidRPr="00766E15" w:rsidRDefault="00ED5174" w:rsidP="003276D3">
      <w:pPr>
        <w:pStyle w:val="NumPlain1"/>
        <w:numPr>
          <w:ilvl w:val="0"/>
          <w:numId w:val="20"/>
        </w:numPr>
        <w:tabs>
          <w:tab w:val="clear" w:pos="510"/>
        </w:tabs>
        <w:spacing w:before="100"/>
      </w:pPr>
      <w:r w:rsidRPr="00766E15">
        <w:t>Th</w:t>
      </w:r>
      <w:r w:rsidR="00290804">
        <w:t xml:space="preserve">is Standard </w:t>
      </w:r>
      <w:r w:rsidR="00DA2C11">
        <w:t xml:space="preserve">amends </w:t>
      </w:r>
      <w:r w:rsidR="0074170E">
        <w:t xml:space="preserve">AASB 13 </w:t>
      </w:r>
      <w:r w:rsidR="0074170E" w:rsidRPr="00BE63F3">
        <w:rPr>
          <w:i/>
        </w:rPr>
        <w:t>Fair Value Measurement</w:t>
      </w:r>
      <w:r w:rsidR="0074170E">
        <w:t xml:space="preserve"> (August 2015)</w:t>
      </w:r>
      <w:r w:rsidR="000E104A">
        <w:t>,</w:t>
      </w:r>
      <w:r w:rsidR="000E104A" w:rsidRPr="000E104A">
        <w:t xml:space="preserve"> </w:t>
      </w:r>
      <w:r w:rsidR="00A978DC">
        <w:t xml:space="preserve">including adding </w:t>
      </w:r>
      <w:r w:rsidR="00DA2C11">
        <w:t xml:space="preserve">authoritative implementation guidance and </w:t>
      </w:r>
      <w:r w:rsidR="00A978DC">
        <w:t xml:space="preserve">providing </w:t>
      </w:r>
      <w:r w:rsidR="000E104A">
        <w:t xml:space="preserve">related illustrative </w:t>
      </w:r>
      <w:r w:rsidR="000E104A" w:rsidRPr="001307AE">
        <w:t>examples</w:t>
      </w:r>
      <w:r w:rsidR="000E104A">
        <w:t>,</w:t>
      </w:r>
      <w:r w:rsidR="0074170E">
        <w:t xml:space="preserve"> for application by not-for-profit </w:t>
      </w:r>
      <w:r w:rsidR="00B97F87">
        <w:t xml:space="preserve">public sector </w:t>
      </w:r>
      <w:r w:rsidR="0074170E">
        <w:t>entities</w:t>
      </w:r>
      <w:r w:rsidR="00FF06B4" w:rsidRPr="00AB10D8">
        <w:t>.</w:t>
      </w:r>
    </w:p>
    <w:p w14:paraId="4BA2F0E8" w14:textId="1B917A66" w:rsidR="00BA5A1C" w:rsidRPr="00766E15" w:rsidRDefault="00BA5A1C">
      <w:pPr>
        <w:pStyle w:val="IASBSectionTitle1NonInd"/>
      </w:pPr>
      <w:r w:rsidRPr="0068408B">
        <w:t>Application</w:t>
      </w:r>
    </w:p>
    <w:p w14:paraId="4500C1FB" w14:textId="3DC38DBE" w:rsidR="00BA5A1C" w:rsidRPr="00681066" w:rsidRDefault="00605C46" w:rsidP="003276D3">
      <w:pPr>
        <w:pStyle w:val="NumPlain1"/>
        <w:numPr>
          <w:ilvl w:val="0"/>
          <w:numId w:val="20"/>
        </w:numPr>
        <w:tabs>
          <w:tab w:val="clear" w:pos="510"/>
        </w:tabs>
        <w:spacing w:before="100"/>
      </w:pPr>
      <w:r w:rsidRPr="00BE63F3">
        <w:t>The</w:t>
      </w:r>
      <w:r w:rsidRPr="00766E15">
        <w:t xml:space="preserve"> amendments </w:t>
      </w:r>
      <w:r w:rsidR="007417C4">
        <w:t>set out in this Standard</w:t>
      </w:r>
      <w:r w:rsidR="00BA5A1C" w:rsidRPr="00766E15">
        <w:t xml:space="preserve"> apply to entities and financial statements in accordance with the </w:t>
      </w:r>
      <w:r w:rsidR="00BA5A1C" w:rsidRPr="00681066">
        <w:t>application</w:t>
      </w:r>
      <w:r w:rsidR="00010915" w:rsidRPr="00681066">
        <w:t xml:space="preserve"> of</w:t>
      </w:r>
      <w:r w:rsidR="00BA5A1C" w:rsidRPr="00681066">
        <w:t xml:space="preserve"> </w:t>
      </w:r>
      <w:r w:rsidR="00291416" w:rsidRPr="00681066">
        <w:t>AASB </w:t>
      </w:r>
      <w:r w:rsidR="00BA5A1C" w:rsidRPr="00681066">
        <w:t>1</w:t>
      </w:r>
      <w:r w:rsidR="00A80996" w:rsidRPr="00681066">
        <w:t>3</w:t>
      </w:r>
      <w:r w:rsidR="007417C4" w:rsidRPr="00681066">
        <w:t xml:space="preserve"> </w:t>
      </w:r>
      <w:r w:rsidR="00BA5A1C" w:rsidRPr="00681066">
        <w:t xml:space="preserve">set out in </w:t>
      </w:r>
      <w:r w:rsidR="00291416" w:rsidRPr="00681066">
        <w:t>AASB </w:t>
      </w:r>
      <w:r w:rsidR="00BA5A1C" w:rsidRPr="00681066">
        <w:t xml:space="preserve">1057 </w:t>
      </w:r>
      <w:r w:rsidR="00BA5A1C" w:rsidRPr="00FA739E">
        <w:rPr>
          <w:i/>
          <w:iCs/>
        </w:rPr>
        <w:t>Application of Australian Accounting Standards</w:t>
      </w:r>
      <w:r w:rsidR="00BA5A1C" w:rsidRPr="00681066">
        <w:t>.</w:t>
      </w:r>
    </w:p>
    <w:p w14:paraId="491EA1E2" w14:textId="170065AB" w:rsidR="00BA5A1C" w:rsidRPr="00681066" w:rsidRDefault="00605C46" w:rsidP="003276D3">
      <w:pPr>
        <w:pStyle w:val="NumPlain1"/>
        <w:numPr>
          <w:ilvl w:val="0"/>
          <w:numId w:val="20"/>
        </w:numPr>
        <w:tabs>
          <w:tab w:val="clear" w:pos="510"/>
        </w:tabs>
        <w:spacing w:before="100"/>
      </w:pPr>
      <w:r w:rsidRPr="00681066">
        <w:t xml:space="preserve">This </w:t>
      </w:r>
      <w:r w:rsidR="00BA5A1C" w:rsidRPr="00681066">
        <w:t xml:space="preserve">Standard applies to annual periods </w:t>
      </w:r>
      <w:r w:rsidR="00E369EE" w:rsidRPr="00681066">
        <w:t xml:space="preserve">beginning </w:t>
      </w:r>
      <w:r w:rsidR="00687F67" w:rsidRPr="00681066">
        <w:t>on or after</w:t>
      </w:r>
      <w:r w:rsidR="0025319B">
        <w:t xml:space="preserve"> </w:t>
      </w:r>
      <w:r w:rsidR="00027BD8" w:rsidRPr="00681066">
        <w:t>1 January 202</w:t>
      </w:r>
      <w:r w:rsidR="000D3EBA" w:rsidRPr="00681066">
        <w:t>4</w:t>
      </w:r>
      <w:r w:rsidR="00BA5A1C" w:rsidRPr="00681066">
        <w:t xml:space="preserve">. </w:t>
      </w:r>
      <w:bookmarkStart w:id="2" w:name="EarlyYesPara"/>
      <w:r w:rsidR="00BA5A1C" w:rsidRPr="00681066">
        <w:t xml:space="preserve">This Standard may be applied to annual periods </w:t>
      </w:r>
      <w:bookmarkStart w:id="3" w:name="EarlyText"/>
      <w:r w:rsidR="00BA5A1C" w:rsidRPr="00681066">
        <w:t>beginning</w:t>
      </w:r>
      <w:bookmarkEnd w:id="3"/>
      <w:r w:rsidR="00687F67" w:rsidRPr="00681066">
        <w:t xml:space="preserve"> before</w:t>
      </w:r>
      <w:r w:rsidR="00994A75" w:rsidRPr="00681066">
        <w:t xml:space="preserve"> </w:t>
      </w:r>
      <w:r w:rsidR="00027BD8" w:rsidRPr="00681066">
        <w:t>1 January 202</w:t>
      </w:r>
      <w:r w:rsidR="000D3EBA" w:rsidRPr="00681066">
        <w:t>4</w:t>
      </w:r>
      <w:r w:rsidR="00BA5A1C" w:rsidRPr="00681066">
        <w:t>.</w:t>
      </w:r>
    </w:p>
    <w:p w14:paraId="13F71D07" w14:textId="119FACDF" w:rsidR="00CD63FB" w:rsidRDefault="00CD63FB" w:rsidP="003276D3">
      <w:pPr>
        <w:pStyle w:val="NumPlain1"/>
        <w:numPr>
          <w:ilvl w:val="0"/>
          <w:numId w:val="20"/>
        </w:numPr>
        <w:tabs>
          <w:tab w:val="clear" w:pos="510"/>
        </w:tabs>
        <w:spacing w:before="100"/>
      </w:pPr>
      <w:r w:rsidRPr="00681066">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w:t>
      </w:r>
      <w:r w:rsidRPr="009E0595">
        <w:t xml:space="preserve"> through and new text underlined. Ellipses (…) are used to help provide the context within which amendments are made and also to indicate text that is not amended.</w:t>
      </w:r>
    </w:p>
    <w:bookmarkEnd w:id="2"/>
    <w:p w14:paraId="117BB95C" w14:textId="1E616891" w:rsidR="00BA5A1C" w:rsidRPr="00766E15" w:rsidRDefault="00BA5A1C">
      <w:pPr>
        <w:pStyle w:val="IASBSectionTitle1NonInd"/>
      </w:pPr>
      <w:r w:rsidRPr="00766E15">
        <w:t xml:space="preserve">Amendments to </w:t>
      </w:r>
      <w:bookmarkStart w:id="4" w:name="StndNo2"/>
      <w:r w:rsidR="00291416">
        <w:t>AASB </w:t>
      </w:r>
      <w:r w:rsidRPr="00766E15">
        <w:t>1</w:t>
      </w:r>
      <w:r w:rsidR="00A80996">
        <w:t>3</w:t>
      </w:r>
      <w:bookmarkEnd w:id="4"/>
    </w:p>
    <w:p w14:paraId="0D8CE0AA" w14:textId="506F4003" w:rsidR="009D0334" w:rsidRPr="00A14977" w:rsidRDefault="009D0334" w:rsidP="003276D3">
      <w:pPr>
        <w:pStyle w:val="NumPlain1"/>
        <w:numPr>
          <w:ilvl w:val="0"/>
          <w:numId w:val="20"/>
        </w:numPr>
        <w:tabs>
          <w:tab w:val="clear" w:pos="510"/>
        </w:tabs>
        <w:spacing w:before="100"/>
      </w:pPr>
      <w:bookmarkStart w:id="5" w:name="_Ref90287454"/>
      <w:r w:rsidRPr="007F59D6">
        <w:rPr>
          <w:szCs w:val="19"/>
        </w:rPr>
        <w:t>Paragraph</w:t>
      </w:r>
      <w:r>
        <w:rPr>
          <w:szCs w:val="19"/>
        </w:rPr>
        <w:t>s</w:t>
      </w:r>
      <w:r w:rsidRPr="007F59D6">
        <w:rPr>
          <w:szCs w:val="19"/>
        </w:rPr>
        <w:t xml:space="preserve"> </w:t>
      </w:r>
      <w:r w:rsidR="00201FA6">
        <w:rPr>
          <w:szCs w:val="19"/>
        </w:rPr>
        <w:t xml:space="preserve">Aus28.1, </w:t>
      </w:r>
      <w:r w:rsidRPr="007F59D6">
        <w:rPr>
          <w:szCs w:val="19"/>
        </w:rPr>
        <w:t>Aus29.1</w:t>
      </w:r>
      <w:r>
        <w:rPr>
          <w:szCs w:val="19"/>
        </w:rPr>
        <w:t>, Aus29.2 and Aus93.2</w:t>
      </w:r>
      <w:r w:rsidRPr="007F59D6">
        <w:rPr>
          <w:szCs w:val="19"/>
        </w:rPr>
        <w:t xml:space="preserve"> </w:t>
      </w:r>
      <w:r>
        <w:rPr>
          <w:szCs w:val="19"/>
        </w:rPr>
        <w:t>are</w:t>
      </w:r>
      <w:r w:rsidRPr="007F59D6">
        <w:rPr>
          <w:szCs w:val="19"/>
        </w:rPr>
        <w:t xml:space="preserve"> added. Paragraph</w:t>
      </w:r>
      <w:r>
        <w:rPr>
          <w:szCs w:val="19"/>
        </w:rPr>
        <w:t>s</w:t>
      </w:r>
      <w:r w:rsidRPr="007F59D6">
        <w:rPr>
          <w:szCs w:val="19"/>
        </w:rPr>
        <w:t xml:space="preserve"> </w:t>
      </w:r>
      <w:r w:rsidR="00262779">
        <w:rPr>
          <w:szCs w:val="19"/>
        </w:rPr>
        <w:t xml:space="preserve">28, </w:t>
      </w:r>
      <w:r w:rsidRPr="007F59D6">
        <w:rPr>
          <w:szCs w:val="19"/>
        </w:rPr>
        <w:t xml:space="preserve">29 </w:t>
      </w:r>
      <w:r>
        <w:rPr>
          <w:szCs w:val="19"/>
        </w:rPr>
        <w:t xml:space="preserve">and </w:t>
      </w:r>
      <w:r w:rsidR="00A978DC">
        <w:rPr>
          <w:szCs w:val="19"/>
        </w:rPr>
        <w:t xml:space="preserve">93 </w:t>
      </w:r>
      <w:r>
        <w:rPr>
          <w:szCs w:val="19"/>
        </w:rPr>
        <w:t>are</w:t>
      </w:r>
      <w:r w:rsidRPr="007F59D6">
        <w:rPr>
          <w:szCs w:val="19"/>
        </w:rPr>
        <w:t xml:space="preserve"> not amended but </w:t>
      </w:r>
      <w:r>
        <w:rPr>
          <w:szCs w:val="19"/>
        </w:rPr>
        <w:t>are</w:t>
      </w:r>
      <w:r w:rsidRPr="007F59D6">
        <w:rPr>
          <w:szCs w:val="19"/>
        </w:rPr>
        <w:t xml:space="preserve"> included for reference.</w:t>
      </w:r>
    </w:p>
    <w:p w14:paraId="0E4E4FF0" w14:textId="44BDC83E" w:rsidR="009D0334" w:rsidRPr="003E52BA" w:rsidRDefault="009D0334" w:rsidP="00C920C6">
      <w:pPr>
        <w:pStyle w:val="NumPlain1"/>
        <w:widowControl w:val="0"/>
        <w:ind w:left="782"/>
        <w:rPr>
          <w:rFonts w:ascii="Arial" w:hAnsi="Arial" w:cs="Arial"/>
          <w:b/>
          <w:bCs/>
        </w:rPr>
      </w:pPr>
      <w:r w:rsidRPr="003E52BA">
        <w:rPr>
          <w:rFonts w:ascii="Arial" w:hAnsi="Arial" w:cs="Arial"/>
          <w:b/>
          <w:bCs/>
        </w:rPr>
        <w:t>Highest and best use for non-financial assets</w:t>
      </w:r>
    </w:p>
    <w:p w14:paraId="6D5D6155" w14:textId="77777777" w:rsidR="009D0334" w:rsidRPr="0088694C" w:rsidRDefault="009D0334" w:rsidP="00C920C6">
      <w:pPr>
        <w:pStyle w:val="NumPlain1"/>
        <w:widowControl w:val="0"/>
        <w:ind w:left="782"/>
        <w:rPr>
          <w:szCs w:val="19"/>
        </w:rPr>
      </w:pPr>
      <w:r w:rsidRPr="0088694C">
        <w:rPr>
          <w:szCs w:val="19"/>
        </w:rPr>
        <w:t>…</w:t>
      </w:r>
    </w:p>
    <w:p w14:paraId="7061E1E6" w14:textId="63475868" w:rsidR="00802D2C" w:rsidRDefault="00802D2C" w:rsidP="00C920C6">
      <w:pPr>
        <w:pStyle w:val="NumPlain1"/>
        <w:widowControl w:val="0"/>
        <w:ind w:left="1564" w:hanging="782"/>
        <w:rPr>
          <w:szCs w:val="19"/>
        </w:rPr>
      </w:pPr>
      <w:r>
        <w:rPr>
          <w:szCs w:val="19"/>
        </w:rPr>
        <w:t>28</w:t>
      </w:r>
      <w:r>
        <w:rPr>
          <w:szCs w:val="19"/>
        </w:rPr>
        <w:tab/>
        <w:t xml:space="preserve">The </w:t>
      </w:r>
      <w:r w:rsidRPr="0088694C">
        <w:rPr>
          <w:szCs w:val="19"/>
        </w:rPr>
        <w:t>highest and best use</w:t>
      </w:r>
      <w:r>
        <w:rPr>
          <w:szCs w:val="19"/>
        </w:rPr>
        <w:t xml:space="preserve"> of a non-financial asset takes into account the use of the asset that is physically possible, legally permissible and financially feasible, as follows:</w:t>
      </w:r>
      <w:r w:rsidR="00164ABD">
        <w:rPr>
          <w:szCs w:val="19"/>
        </w:rPr>
        <w:t xml:space="preserve"> </w:t>
      </w:r>
    </w:p>
    <w:p w14:paraId="067ED20D" w14:textId="04401037" w:rsidR="0081160D" w:rsidRDefault="0081160D" w:rsidP="00C920C6">
      <w:pPr>
        <w:pStyle w:val="AppendixText"/>
        <w:ind w:left="2347" w:hanging="782"/>
        <w:rPr>
          <w:szCs w:val="19"/>
        </w:rPr>
      </w:pPr>
      <w:r>
        <w:rPr>
          <w:szCs w:val="19"/>
        </w:rPr>
        <w:t>(a)</w:t>
      </w:r>
      <w:r>
        <w:rPr>
          <w:szCs w:val="19"/>
        </w:rPr>
        <w:tab/>
        <w:t>…</w:t>
      </w:r>
    </w:p>
    <w:p w14:paraId="25E0B5A1" w14:textId="2340C2D3" w:rsidR="00164ABD" w:rsidRPr="00F657CD" w:rsidRDefault="00164ABD" w:rsidP="00C920C6">
      <w:pPr>
        <w:pStyle w:val="AppendixText"/>
        <w:ind w:left="2347" w:hanging="782"/>
        <w:rPr>
          <w:szCs w:val="19"/>
        </w:rPr>
      </w:pPr>
      <w:r w:rsidRPr="00F657CD">
        <w:rPr>
          <w:szCs w:val="19"/>
        </w:rPr>
        <w:t>(</w:t>
      </w:r>
      <w:r>
        <w:rPr>
          <w:szCs w:val="19"/>
        </w:rPr>
        <w:t>c</w:t>
      </w:r>
      <w:r w:rsidRPr="00F657CD">
        <w:rPr>
          <w:szCs w:val="19"/>
        </w:rPr>
        <w:t>)</w:t>
      </w:r>
      <w:r w:rsidRPr="00F657CD">
        <w:rPr>
          <w:szCs w:val="19"/>
        </w:rPr>
        <w:tab/>
      </w:r>
      <w:r>
        <w:rPr>
          <w:szCs w:val="19"/>
        </w:rPr>
        <w:t xml:space="preserve">A </w:t>
      </w:r>
      <w:r w:rsidR="00BD6201">
        <w:rPr>
          <w:szCs w:val="19"/>
        </w:rPr>
        <w:t xml:space="preserve">use that is financially feasible takes into account whether a use of the asset that is physically possible and legally permissible generates adequate income or cash flows (taking into account </w:t>
      </w:r>
      <w:r w:rsidR="009072AE">
        <w:rPr>
          <w:szCs w:val="19"/>
        </w:rPr>
        <w:t xml:space="preserve">the costs of converting the asset to that use) to produce an investment return that market participants </w:t>
      </w:r>
      <w:r w:rsidR="00127CB7">
        <w:rPr>
          <w:szCs w:val="19"/>
        </w:rPr>
        <w:t>would require from an investment in that asset put to that use.</w:t>
      </w:r>
    </w:p>
    <w:p w14:paraId="467193EA" w14:textId="4C99B861" w:rsidR="00D54CAE" w:rsidRDefault="00D54CAE" w:rsidP="00956EDA">
      <w:pPr>
        <w:pStyle w:val="AppendixText"/>
        <w:ind w:left="2347" w:hanging="1565"/>
        <w:rPr>
          <w:szCs w:val="19"/>
        </w:rPr>
      </w:pPr>
      <w:r w:rsidRPr="00C920C6">
        <w:rPr>
          <w:u w:val="single"/>
        </w:rPr>
        <w:t>Aus28.1</w:t>
      </w:r>
      <w:r w:rsidRPr="003F1996">
        <w:tab/>
      </w:r>
      <w:r w:rsidR="00244268">
        <w:rPr>
          <w:u w:val="single"/>
        </w:rPr>
        <w:t>N</w:t>
      </w:r>
      <w:r w:rsidR="00BB2600">
        <w:rPr>
          <w:u w:val="single"/>
        </w:rPr>
        <w:t xml:space="preserve">otwithstanding paragraph 28(c), </w:t>
      </w:r>
      <w:r w:rsidR="006C708A" w:rsidRPr="003313A0">
        <w:rPr>
          <w:szCs w:val="19"/>
          <w:u w:val="single"/>
        </w:rPr>
        <w:t>for</w:t>
      </w:r>
      <w:r w:rsidR="006C708A" w:rsidRPr="00C920C6">
        <w:rPr>
          <w:szCs w:val="19"/>
          <w:u w:val="single"/>
        </w:rPr>
        <w:t xml:space="preserve"> a non-financial asset of a not-for-profit public sector entity not held primarily for its ability to generate net cash inflows, a</w:t>
      </w:r>
      <w:r w:rsidR="00D07806">
        <w:rPr>
          <w:szCs w:val="19"/>
          <w:u w:val="single"/>
        </w:rPr>
        <w:t>n asset’s</w:t>
      </w:r>
      <w:r w:rsidR="006C708A" w:rsidRPr="00C920C6">
        <w:rPr>
          <w:szCs w:val="19"/>
          <w:u w:val="single"/>
        </w:rPr>
        <w:t xml:space="preserve"> use is financially feasible if market participants (including</w:t>
      </w:r>
      <w:r w:rsidR="00D86398" w:rsidRPr="00D86398">
        <w:rPr>
          <w:szCs w:val="19"/>
          <w:u w:val="single"/>
        </w:rPr>
        <w:t xml:space="preserve">, but not limited to, other </w:t>
      </w:r>
      <w:r w:rsidR="006C708A" w:rsidRPr="00C920C6">
        <w:rPr>
          <w:szCs w:val="19"/>
          <w:u w:val="single"/>
        </w:rPr>
        <w:t xml:space="preserve">not-for-profit public sector entities) would be willing to invest in the asset’s service capacity, considering both the </w:t>
      </w:r>
      <w:r w:rsidR="00AF2AA7">
        <w:rPr>
          <w:szCs w:val="19"/>
          <w:u w:val="single"/>
        </w:rPr>
        <w:t>capability</w:t>
      </w:r>
      <w:r w:rsidR="006C708A" w:rsidRPr="00C920C6">
        <w:rPr>
          <w:szCs w:val="19"/>
          <w:u w:val="single"/>
        </w:rPr>
        <w:t xml:space="preserve"> </w:t>
      </w:r>
      <w:r w:rsidR="00841539">
        <w:rPr>
          <w:szCs w:val="19"/>
          <w:u w:val="single"/>
        </w:rPr>
        <w:t xml:space="preserve">of the asset </w:t>
      </w:r>
      <w:r w:rsidR="006C708A" w:rsidRPr="00C920C6">
        <w:rPr>
          <w:szCs w:val="19"/>
          <w:u w:val="single"/>
        </w:rPr>
        <w:t>to be used to provide needed goods or services to beneficiaries and the resulting cost of those goods or services.</w:t>
      </w:r>
    </w:p>
    <w:p w14:paraId="326BEE18" w14:textId="33F8F1D2" w:rsidR="009D0334" w:rsidRPr="0088694C" w:rsidRDefault="009D0334" w:rsidP="003544D5">
      <w:pPr>
        <w:pStyle w:val="NumPlain1"/>
        <w:ind w:left="1564" w:hanging="782"/>
        <w:rPr>
          <w:szCs w:val="19"/>
        </w:rPr>
      </w:pPr>
      <w:r w:rsidRPr="0088694C">
        <w:rPr>
          <w:szCs w:val="19"/>
        </w:rPr>
        <w:lastRenderedPageBreak/>
        <w:t>29</w:t>
      </w:r>
      <w:r w:rsidRPr="0088694C">
        <w:rPr>
          <w:szCs w:val="19"/>
        </w:rPr>
        <w:tab/>
        <w:t>Highest and best use is determined from the perspective of market participants, even if the entity intends a different use. However, an entity’s current use of a non-financial asset is presumed to be its highest and best use unless market or other factors suggest that a different use by market participants would maximise the value of the asset.</w:t>
      </w:r>
    </w:p>
    <w:p w14:paraId="4539D209" w14:textId="7F74BC59" w:rsidR="00093E90" w:rsidRDefault="009D0334" w:rsidP="008105FE">
      <w:pPr>
        <w:pStyle w:val="AppendixText"/>
        <w:ind w:left="2347" w:hanging="1565"/>
        <w:rPr>
          <w:szCs w:val="19"/>
          <w:u w:val="single"/>
        </w:rPr>
      </w:pPr>
      <w:r w:rsidRPr="00C920C6">
        <w:rPr>
          <w:u w:val="single"/>
        </w:rPr>
        <w:t>Aus29.1</w:t>
      </w:r>
      <w:r w:rsidRPr="003F1996">
        <w:tab/>
      </w:r>
      <w:r w:rsidR="00986CE8">
        <w:rPr>
          <w:szCs w:val="19"/>
          <w:u w:val="single"/>
        </w:rPr>
        <w:t>N</w:t>
      </w:r>
      <w:r w:rsidR="00D24030" w:rsidRPr="00CD3297">
        <w:rPr>
          <w:szCs w:val="19"/>
          <w:u w:val="single"/>
        </w:rPr>
        <w:t>otwithstanding</w:t>
      </w:r>
      <w:r w:rsidR="00D24030" w:rsidRPr="00C920C6">
        <w:rPr>
          <w:szCs w:val="19"/>
          <w:u w:val="single"/>
        </w:rPr>
        <w:t xml:space="preserve"> paragraph 29, </w:t>
      </w:r>
      <w:r w:rsidR="004B326F" w:rsidRPr="00844AFC">
        <w:rPr>
          <w:szCs w:val="19"/>
          <w:u w:val="single"/>
        </w:rPr>
        <w:t>a not-for-profit public sector entity is required to consider whether</w:t>
      </w:r>
      <w:r w:rsidR="004B326F">
        <w:rPr>
          <w:szCs w:val="19"/>
          <w:u w:val="single"/>
        </w:rPr>
        <w:t>,</w:t>
      </w:r>
      <w:r w:rsidR="004B326F" w:rsidRPr="00844AFC">
        <w:rPr>
          <w:szCs w:val="19"/>
          <w:u w:val="single"/>
        </w:rPr>
        <w:t xml:space="preserve"> </w:t>
      </w:r>
      <w:r w:rsidR="00D24030" w:rsidRPr="00C920C6">
        <w:rPr>
          <w:szCs w:val="19"/>
          <w:u w:val="single"/>
        </w:rPr>
        <w:t xml:space="preserve">for a non-financial asset not held primarily for its ability to generate net cash inflows, the asset’s </w:t>
      </w:r>
      <w:r w:rsidR="00667861">
        <w:rPr>
          <w:szCs w:val="19"/>
          <w:u w:val="single"/>
        </w:rPr>
        <w:t xml:space="preserve">highest and best use differs from its </w:t>
      </w:r>
      <w:r w:rsidR="00D24030" w:rsidRPr="00C920C6">
        <w:rPr>
          <w:szCs w:val="19"/>
          <w:u w:val="single"/>
        </w:rPr>
        <w:t xml:space="preserve">current use </w:t>
      </w:r>
      <w:r w:rsidR="007C6F53">
        <w:rPr>
          <w:szCs w:val="19"/>
          <w:u w:val="single"/>
        </w:rPr>
        <w:t xml:space="preserve">only </w:t>
      </w:r>
      <w:r w:rsidR="00667861">
        <w:rPr>
          <w:szCs w:val="19"/>
          <w:u w:val="single"/>
        </w:rPr>
        <w:t>when,</w:t>
      </w:r>
      <w:r w:rsidR="00217919">
        <w:rPr>
          <w:szCs w:val="19"/>
          <w:u w:val="single"/>
        </w:rPr>
        <w:t xml:space="preserve"> </w:t>
      </w:r>
      <w:r w:rsidR="003E3F31">
        <w:rPr>
          <w:szCs w:val="19"/>
          <w:u w:val="single"/>
        </w:rPr>
        <w:t>at the measurement date</w:t>
      </w:r>
      <w:r w:rsidR="00667861">
        <w:rPr>
          <w:szCs w:val="19"/>
          <w:u w:val="single"/>
        </w:rPr>
        <w:t>,</w:t>
      </w:r>
      <w:r w:rsidR="003E3F31">
        <w:rPr>
          <w:szCs w:val="19"/>
          <w:u w:val="single"/>
        </w:rPr>
        <w:t xml:space="preserve"> </w:t>
      </w:r>
      <w:r w:rsidR="00D24030" w:rsidRPr="00C920C6">
        <w:rPr>
          <w:szCs w:val="19"/>
          <w:u w:val="single"/>
        </w:rPr>
        <w:t>it is</w:t>
      </w:r>
      <w:r w:rsidR="007C6F53">
        <w:rPr>
          <w:szCs w:val="19"/>
          <w:u w:val="single"/>
        </w:rPr>
        <w:t>:</w:t>
      </w:r>
      <w:r w:rsidR="00D24030" w:rsidRPr="00C920C6">
        <w:rPr>
          <w:szCs w:val="19"/>
          <w:u w:val="single"/>
        </w:rPr>
        <w:t xml:space="preserve"> </w:t>
      </w:r>
    </w:p>
    <w:p w14:paraId="4E62472F" w14:textId="4812227E" w:rsidR="007C6F53" w:rsidRDefault="007C6F53" w:rsidP="007C6F53">
      <w:pPr>
        <w:pStyle w:val="AppendixText"/>
        <w:ind w:left="3128" w:hanging="782"/>
        <w:rPr>
          <w:szCs w:val="19"/>
          <w:u w:val="single"/>
        </w:rPr>
      </w:pPr>
      <w:r w:rsidRPr="00C920C6">
        <w:rPr>
          <w:szCs w:val="19"/>
          <w:u w:val="single"/>
        </w:rPr>
        <w:t>(a)</w:t>
      </w:r>
      <w:r w:rsidRPr="00F657CD">
        <w:rPr>
          <w:szCs w:val="19"/>
        </w:rPr>
        <w:tab/>
      </w:r>
      <w:r w:rsidRPr="00C920C6">
        <w:rPr>
          <w:szCs w:val="19"/>
          <w:u w:val="single"/>
        </w:rPr>
        <w:t xml:space="preserve">classified as held for sale or held for distribution </w:t>
      </w:r>
      <w:r>
        <w:rPr>
          <w:szCs w:val="19"/>
          <w:u w:val="single"/>
        </w:rPr>
        <w:t xml:space="preserve">to owners </w:t>
      </w:r>
      <w:r w:rsidRPr="00C920C6">
        <w:rPr>
          <w:szCs w:val="19"/>
          <w:u w:val="single"/>
        </w:rPr>
        <w:t>in accordance with AASB</w:t>
      </w:r>
      <w:r w:rsidR="00B42450">
        <w:rPr>
          <w:szCs w:val="19"/>
          <w:u w:val="single"/>
        </w:rPr>
        <w:t> </w:t>
      </w:r>
      <w:r w:rsidRPr="00C920C6">
        <w:rPr>
          <w:szCs w:val="19"/>
          <w:u w:val="single"/>
        </w:rPr>
        <w:t xml:space="preserve">5 </w:t>
      </w:r>
      <w:r w:rsidRPr="00C920C6">
        <w:rPr>
          <w:i/>
          <w:iCs/>
          <w:szCs w:val="19"/>
          <w:u w:val="single"/>
        </w:rPr>
        <w:t>Non-current Assets Held for Sale and Discontinued Operations</w:t>
      </w:r>
      <w:r w:rsidRPr="00C920C6">
        <w:rPr>
          <w:szCs w:val="19"/>
          <w:u w:val="single"/>
        </w:rPr>
        <w:t xml:space="preserve">; </w:t>
      </w:r>
      <w:r>
        <w:rPr>
          <w:szCs w:val="19"/>
          <w:u w:val="single"/>
        </w:rPr>
        <w:t>or</w:t>
      </w:r>
    </w:p>
    <w:p w14:paraId="4EA4A24C" w14:textId="0C020776" w:rsidR="007C6F53" w:rsidRDefault="007C6F53" w:rsidP="007C6F53">
      <w:pPr>
        <w:pStyle w:val="AppendixText"/>
        <w:ind w:left="3128" w:hanging="782"/>
        <w:rPr>
          <w:szCs w:val="19"/>
          <w:u w:val="single"/>
        </w:rPr>
      </w:pPr>
      <w:r>
        <w:rPr>
          <w:szCs w:val="19"/>
          <w:u w:val="single"/>
        </w:rPr>
        <w:t>(b)</w:t>
      </w:r>
      <w:r w:rsidRPr="002417FC">
        <w:rPr>
          <w:szCs w:val="19"/>
        </w:rPr>
        <w:tab/>
      </w:r>
      <w:r w:rsidRPr="00C920C6">
        <w:rPr>
          <w:szCs w:val="19"/>
          <w:u w:val="single"/>
        </w:rPr>
        <w:t>highly probable that the asset will be used for an alternative purpose to its current use</w:t>
      </w:r>
      <w:r>
        <w:rPr>
          <w:szCs w:val="19"/>
          <w:u w:val="single"/>
        </w:rPr>
        <w:t>, in accordance with paragraph</w:t>
      </w:r>
      <w:r w:rsidR="00B83417">
        <w:rPr>
          <w:szCs w:val="19"/>
          <w:u w:val="single"/>
        </w:rPr>
        <w:t xml:space="preserve"> </w:t>
      </w:r>
      <w:r>
        <w:rPr>
          <w:szCs w:val="19"/>
          <w:u w:val="single"/>
        </w:rPr>
        <w:t>Aus29.2</w:t>
      </w:r>
      <w:r w:rsidRPr="00C920C6">
        <w:rPr>
          <w:szCs w:val="19"/>
          <w:u w:val="single"/>
        </w:rPr>
        <w:t>.</w:t>
      </w:r>
    </w:p>
    <w:p w14:paraId="271F6499" w14:textId="31EDBAAB" w:rsidR="001A78A5" w:rsidRPr="00F657CD" w:rsidRDefault="001A78A5" w:rsidP="008105FE">
      <w:pPr>
        <w:pStyle w:val="AppendixText"/>
        <w:ind w:left="2347" w:hanging="1565"/>
        <w:rPr>
          <w:szCs w:val="19"/>
        </w:rPr>
      </w:pPr>
      <w:r w:rsidRPr="00C920C6">
        <w:rPr>
          <w:u w:val="single"/>
        </w:rPr>
        <w:t>Aus29.2</w:t>
      </w:r>
      <w:r w:rsidRPr="00F657CD">
        <w:tab/>
      </w:r>
      <w:r w:rsidRPr="00C920C6">
        <w:rPr>
          <w:szCs w:val="19"/>
          <w:u w:val="single"/>
        </w:rPr>
        <w:t>For the purposes of paragraph Aus29.1</w:t>
      </w:r>
      <w:r w:rsidR="00727DA1">
        <w:rPr>
          <w:szCs w:val="19"/>
          <w:u w:val="single"/>
        </w:rPr>
        <w:t>(b)</w:t>
      </w:r>
      <w:r w:rsidRPr="00C920C6">
        <w:rPr>
          <w:szCs w:val="19"/>
          <w:u w:val="single"/>
        </w:rPr>
        <w:t>, it is highly probable that the asset will b</w:t>
      </w:r>
      <w:r w:rsidRPr="00F96BC5">
        <w:rPr>
          <w:szCs w:val="19"/>
          <w:u w:val="single"/>
        </w:rPr>
        <w:t>e</w:t>
      </w:r>
      <w:r w:rsidR="00C25ECC" w:rsidRPr="00F96BC5">
        <w:rPr>
          <w:u w:val="single"/>
        </w:rPr>
        <w:t xml:space="preserve"> </w:t>
      </w:r>
      <w:r w:rsidR="00C25ECC" w:rsidRPr="00C920C6">
        <w:rPr>
          <w:szCs w:val="19"/>
          <w:u w:val="single"/>
        </w:rPr>
        <w:t>used for an alternative purpose to its current use</w:t>
      </w:r>
      <w:r w:rsidR="00727DA1">
        <w:rPr>
          <w:szCs w:val="19"/>
          <w:u w:val="single"/>
        </w:rPr>
        <w:t xml:space="preserve"> when, at the measurement date, all the following conditions are met</w:t>
      </w:r>
      <w:r w:rsidRPr="00C920C6">
        <w:rPr>
          <w:szCs w:val="19"/>
          <w:u w:val="single"/>
        </w:rPr>
        <w:t>:</w:t>
      </w:r>
    </w:p>
    <w:p w14:paraId="2502E260" w14:textId="372396F9" w:rsidR="007A2B8F" w:rsidRPr="00F657CD" w:rsidRDefault="007A2B8F" w:rsidP="000E4A75">
      <w:pPr>
        <w:pStyle w:val="NumBPlain1"/>
        <w:widowControl w:val="0"/>
        <w:spacing w:after="100"/>
        <w:ind w:left="3129" w:hanging="782"/>
      </w:pPr>
      <w:r w:rsidRPr="00C920C6">
        <w:rPr>
          <w:u w:val="single"/>
        </w:rPr>
        <w:t>(</w:t>
      </w:r>
      <w:r w:rsidR="000E4A75">
        <w:rPr>
          <w:u w:val="single"/>
        </w:rPr>
        <w:t>a</w:t>
      </w:r>
      <w:r w:rsidRPr="00C920C6">
        <w:rPr>
          <w:u w:val="single"/>
        </w:rPr>
        <w:t>)</w:t>
      </w:r>
      <w:r w:rsidRPr="00F657CD">
        <w:tab/>
      </w:r>
      <w:r w:rsidRPr="00C920C6">
        <w:rPr>
          <w:u w:val="single"/>
        </w:rPr>
        <w:t>the alternative purpose for the asset is physically possible, legally permissible and financially feasible in accordance with paragraph</w:t>
      </w:r>
      <w:r>
        <w:rPr>
          <w:u w:val="single"/>
        </w:rPr>
        <w:t>s</w:t>
      </w:r>
      <w:r w:rsidRPr="00C920C6">
        <w:rPr>
          <w:u w:val="single"/>
        </w:rPr>
        <w:t xml:space="preserve"> 28</w:t>
      </w:r>
      <w:r>
        <w:rPr>
          <w:u w:val="single"/>
        </w:rPr>
        <w:t xml:space="preserve"> and Aus28.1</w:t>
      </w:r>
      <w:r w:rsidRPr="00C920C6">
        <w:rPr>
          <w:u w:val="single"/>
        </w:rPr>
        <w:t>;</w:t>
      </w:r>
    </w:p>
    <w:p w14:paraId="7AB3343E" w14:textId="1134797A" w:rsidR="007A2B8F" w:rsidRPr="00F657CD" w:rsidRDefault="007A2B8F" w:rsidP="000E4A75">
      <w:pPr>
        <w:pStyle w:val="NumBPlain1"/>
        <w:widowControl w:val="0"/>
        <w:spacing w:after="100"/>
        <w:ind w:left="3129" w:hanging="782"/>
      </w:pPr>
      <w:r w:rsidRPr="00C920C6">
        <w:rPr>
          <w:u w:val="single"/>
        </w:rPr>
        <w:t>(</w:t>
      </w:r>
      <w:r w:rsidR="000E4A75">
        <w:rPr>
          <w:u w:val="single"/>
        </w:rPr>
        <w:t>b</w:t>
      </w:r>
      <w:r w:rsidRPr="00C920C6">
        <w:rPr>
          <w:u w:val="single"/>
        </w:rPr>
        <w:t>)</w:t>
      </w:r>
      <w:r w:rsidRPr="00F657CD">
        <w:tab/>
      </w:r>
      <w:r w:rsidRPr="00C920C6">
        <w:rPr>
          <w:u w:val="single"/>
        </w:rPr>
        <w:t xml:space="preserve">the appropriate level of management is committed to a plan to change the </w:t>
      </w:r>
      <w:r w:rsidR="008C0077">
        <w:rPr>
          <w:u w:val="single"/>
        </w:rPr>
        <w:t xml:space="preserve">use </w:t>
      </w:r>
      <w:r w:rsidRPr="00C920C6">
        <w:rPr>
          <w:u w:val="single"/>
        </w:rPr>
        <w:t>of the asset to that alternative purpose, and an active programme to complete the plan has been initiated;</w:t>
      </w:r>
    </w:p>
    <w:p w14:paraId="32AB7801" w14:textId="08D7A8B0" w:rsidR="007A2B8F" w:rsidRPr="00F657CD" w:rsidRDefault="007A2B8F" w:rsidP="000E4A75">
      <w:pPr>
        <w:pStyle w:val="NumBPlain1"/>
        <w:widowControl w:val="0"/>
        <w:spacing w:after="100"/>
        <w:ind w:left="3129" w:hanging="782"/>
      </w:pPr>
      <w:r w:rsidRPr="00C920C6">
        <w:rPr>
          <w:u w:val="single"/>
        </w:rPr>
        <w:t>(</w:t>
      </w:r>
      <w:r w:rsidR="000E4A75">
        <w:rPr>
          <w:u w:val="single"/>
        </w:rPr>
        <w:t>c</w:t>
      </w:r>
      <w:r w:rsidRPr="00C920C6">
        <w:rPr>
          <w:u w:val="single"/>
        </w:rPr>
        <w:t>)</w:t>
      </w:r>
      <w:r w:rsidRPr="00F657CD">
        <w:tab/>
      </w:r>
      <w:r w:rsidRPr="00C920C6">
        <w:rPr>
          <w:u w:val="single"/>
        </w:rPr>
        <w:t xml:space="preserve">any approvals required to change the asset’s </w:t>
      </w:r>
      <w:r w:rsidR="008C0077">
        <w:rPr>
          <w:u w:val="single"/>
        </w:rPr>
        <w:t xml:space="preserve">use </w:t>
      </w:r>
      <w:r w:rsidRPr="00C920C6">
        <w:rPr>
          <w:u w:val="single"/>
        </w:rPr>
        <w:t>have been obtained;</w:t>
      </w:r>
      <w:r w:rsidR="002E4321">
        <w:rPr>
          <w:u w:val="single"/>
        </w:rPr>
        <w:t xml:space="preserve"> and</w:t>
      </w:r>
    </w:p>
    <w:p w14:paraId="428B9125" w14:textId="121F1F5B" w:rsidR="007A2B8F" w:rsidRPr="00F657CD" w:rsidRDefault="2AAF3C39" w:rsidP="000E4A75">
      <w:pPr>
        <w:pStyle w:val="NumBPlain1"/>
        <w:widowControl w:val="0"/>
        <w:spacing w:after="100"/>
        <w:ind w:left="3129" w:hanging="782"/>
      </w:pPr>
      <w:r w:rsidRPr="69ED445E">
        <w:rPr>
          <w:u w:val="single"/>
        </w:rPr>
        <w:t>(</w:t>
      </w:r>
      <w:r w:rsidR="000E4A75">
        <w:rPr>
          <w:u w:val="single"/>
        </w:rPr>
        <w:t>d</w:t>
      </w:r>
      <w:r w:rsidRPr="69ED445E">
        <w:rPr>
          <w:u w:val="single"/>
        </w:rPr>
        <w:t>)</w:t>
      </w:r>
      <w:r w:rsidR="007A2B8F">
        <w:tab/>
      </w:r>
      <w:r w:rsidR="008C0077">
        <w:rPr>
          <w:u w:val="single"/>
        </w:rPr>
        <w:t>based on reasonably available information, it is highly probable that the current use of the asset will cease under the plan within one year.</w:t>
      </w:r>
    </w:p>
    <w:p w14:paraId="1A38E542" w14:textId="77777777" w:rsidR="001A78A5" w:rsidRPr="0088694C" w:rsidRDefault="001A78A5" w:rsidP="00C920C6">
      <w:pPr>
        <w:pStyle w:val="NumPlain1"/>
        <w:widowControl w:val="0"/>
        <w:ind w:left="782"/>
        <w:rPr>
          <w:szCs w:val="19"/>
        </w:rPr>
      </w:pPr>
      <w:r w:rsidRPr="0088694C">
        <w:rPr>
          <w:szCs w:val="19"/>
        </w:rPr>
        <w:t>…</w:t>
      </w:r>
    </w:p>
    <w:p w14:paraId="4EEC6975" w14:textId="77777777" w:rsidR="001A78A5" w:rsidRPr="00766E15" w:rsidRDefault="001A78A5" w:rsidP="00C920C6">
      <w:pPr>
        <w:pStyle w:val="IASBSectionTitle1NonInd"/>
        <w:keepNext w:val="0"/>
        <w:keepLines w:val="0"/>
        <w:widowControl w:val="0"/>
        <w:pBdr>
          <w:bottom w:val="none" w:sz="0" w:space="0" w:color="auto"/>
        </w:pBdr>
        <w:ind w:left="782"/>
      </w:pPr>
      <w:r>
        <w:t>Disclosure</w:t>
      </w:r>
    </w:p>
    <w:p w14:paraId="63B3F1EE" w14:textId="77777777" w:rsidR="00FB52F0" w:rsidRPr="0088694C" w:rsidRDefault="00FB52F0" w:rsidP="00C920C6">
      <w:pPr>
        <w:pStyle w:val="NumPlain1"/>
        <w:widowControl w:val="0"/>
        <w:ind w:left="782"/>
        <w:rPr>
          <w:szCs w:val="19"/>
        </w:rPr>
      </w:pPr>
      <w:r w:rsidRPr="0088694C">
        <w:rPr>
          <w:szCs w:val="19"/>
        </w:rPr>
        <w:t>…</w:t>
      </w:r>
    </w:p>
    <w:p w14:paraId="5E967A9B" w14:textId="2164A001" w:rsidR="001A78A5" w:rsidRPr="0088694C" w:rsidRDefault="001A78A5" w:rsidP="00C920C6">
      <w:pPr>
        <w:pStyle w:val="NumPlain1"/>
        <w:widowControl w:val="0"/>
        <w:ind w:left="1564" w:hanging="782"/>
        <w:rPr>
          <w:szCs w:val="19"/>
        </w:rPr>
      </w:pPr>
      <w:r w:rsidRPr="0088694C">
        <w:rPr>
          <w:szCs w:val="19"/>
        </w:rPr>
        <w:t>9</w:t>
      </w:r>
      <w:r>
        <w:rPr>
          <w:szCs w:val="19"/>
        </w:rPr>
        <w:t>3</w:t>
      </w:r>
      <w:r w:rsidRPr="0088694C">
        <w:rPr>
          <w:szCs w:val="19"/>
        </w:rPr>
        <w:tab/>
      </w:r>
      <w:r w:rsidRPr="00B3531C">
        <w:rPr>
          <w:szCs w:val="19"/>
        </w:rPr>
        <w:t>To meet the objectives in paragraph 91, an entity shall disclose, at a minimum, the following information</w:t>
      </w:r>
      <w:r>
        <w:rPr>
          <w:szCs w:val="19"/>
        </w:rPr>
        <w:t xml:space="preserve"> </w:t>
      </w:r>
      <w:r w:rsidRPr="00B3531C">
        <w:rPr>
          <w:szCs w:val="19"/>
        </w:rPr>
        <w:t>for each class of assets and liabilities (see paragraph 94 for information on determining appropriate classes</w:t>
      </w:r>
      <w:r>
        <w:rPr>
          <w:szCs w:val="19"/>
        </w:rPr>
        <w:t xml:space="preserve"> </w:t>
      </w:r>
      <w:r w:rsidRPr="00B3531C">
        <w:rPr>
          <w:szCs w:val="19"/>
        </w:rPr>
        <w:t>of assets and liabilities) measured at fair value (including measurements based on fair value within the</w:t>
      </w:r>
      <w:r>
        <w:rPr>
          <w:szCs w:val="19"/>
        </w:rPr>
        <w:t xml:space="preserve"> </w:t>
      </w:r>
      <w:r w:rsidRPr="00B3531C">
        <w:rPr>
          <w:szCs w:val="19"/>
        </w:rPr>
        <w:t>scope of this Standard) in the statement of financial position after initial</w:t>
      </w:r>
      <w:r w:rsidR="0081160D">
        <w:rPr>
          <w:szCs w:val="19"/>
        </w:rPr>
        <w:t xml:space="preserve"> recognition:</w:t>
      </w:r>
    </w:p>
    <w:p w14:paraId="3513A832" w14:textId="48E4E02D" w:rsidR="0081160D" w:rsidRDefault="0081160D" w:rsidP="0081160D">
      <w:pPr>
        <w:pStyle w:val="AppendixText"/>
        <w:ind w:left="2347" w:hanging="782"/>
        <w:rPr>
          <w:szCs w:val="19"/>
        </w:rPr>
      </w:pPr>
      <w:r>
        <w:rPr>
          <w:szCs w:val="19"/>
        </w:rPr>
        <w:t>(a)</w:t>
      </w:r>
      <w:r>
        <w:rPr>
          <w:szCs w:val="19"/>
        </w:rPr>
        <w:tab/>
        <w:t>…</w:t>
      </w:r>
    </w:p>
    <w:p w14:paraId="0F7908C0" w14:textId="632481C2" w:rsidR="0081160D" w:rsidRDefault="0081160D" w:rsidP="0081160D">
      <w:pPr>
        <w:pStyle w:val="AppendixText"/>
        <w:ind w:left="2347" w:hanging="782"/>
        <w:rPr>
          <w:szCs w:val="19"/>
        </w:rPr>
      </w:pPr>
      <w:r>
        <w:rPr>
          <w:szCs w:val="19"/>
        </w:rPr>
        <w:t>(i)</w:t>
      </w:r>
      <w:r>
        <w:rPr>
          <w:szCs w:val="19"/>
        </w:rPr>
        <w:tab/>
      </w:r>
      <w:r w:rsidR="00E16FA7" w:rsidRPr="009A29FF">
        <w:rPr>
          <w:szCs w:val="19"/>
        </w:rPr>
        <w:t>for recurring and non-recurring fair value measurements, if the highest and best use of a non</w:t>
      </w:r>
      <w:r w:rsidR="00E16FA7">
        <w:rPr>
          <w:szCs w:val="19"/>
        </w:rPr>
        <w:t>-</w:t>
      </w:r>
      <w:r w:rsidR="00E16FA7" w:rsidRPr="009A29FF">
        <w:rPr>
          <w:szCs w:val="19"/>
        </w:rPr>
        <w:t>financial asset differs from its current use, an entity shall disclose that fact and why the non</w:t>
      </w:r>
      <w:r w:rsidR="00E16FA7">
        <w:rPr>
          <w:szCs w:val="19"/>
        </w:rPr>
        <w:t>-</w:t>
      </w:r>
      <w:r w:rsidR="00E16FA7" w:rsidRPr="009A29FF">
        <w:rPr>
          <w:szCs w:val="19"/>
        </w:rPr>
        <w:t>financial asset is being used in a manner that differs from its highest and best use</w:t>
      </w:r>
      <w:r w:rsidR="00E16FA7">
        <w:rPr>
          <w:szCs w:val="19"/>
        </w:rPr>
        <w:t>.</w:t>
      </w:r>
    </w:p>
    <w:p w14:paraId="45B55DD9" w14:textId="77777777" w:rsidR="001A78A5" w:rsidRDefault="001A78A5" w:rsidP="00C920C6">
      <w:pPr>
        <w:pStyle w:val="NumPlain1"/>
        <w:widowControl w:val="0"/>
        <w:ind w:left="782"/>
        <w:rPr>
          <w:szCs w:val="19"/>
        </w:rPr>
      </w:pPr>
      <w:r w:rsidRPr="0088694C">
        <w:rPr>
          <w:szCs w:val="19"/>
        </w:rPr>
        <w:t>…</w:t>
      </w:r>
    </w:p>
    <w:p w14:paraId="7EEB09EA" w14:textId="417E1771" w:rsidR="001A78A5" w:rsidRPr="00F657CD" w:rsidRDefault="001A78A5" w:rsidP="008105FE">
      <w:pPr>
        <w:pStyle w:val="AppendixText"/>
        <w:ind w:left="2347" w:hanging="1565"/>
        <w:rPr>
          <w:szCs w:val="19"/>
        </w:rPr>
      </w:pPr>
      <w:r w:rsidRPr="00C920C6">
        <w:rPr>
          <w:szCs w:val="19"/>
          <w:u w:val="single"/>
        </w:rPr>
        <w:t>Aus93.2</w:t>
      </w:r>
      <w:r w:rsidRPr="00F657CD">
        <w:rPr>
          <w:szCs w:val="19"/>
        </w:rPr>
        <w:tab/>
      </w:r>
      <w:r w:rsidR="005F1B74" w:rsidRPr="005F1B74">
        <w:rPr>
          <w:szCs w:val="19"/>
          <w:u w:val="single"/>
        </w:rPr>
        <w:t xml:space="preserve">For </w:t>
      </w:r>
      <w:r w:rsidR="005F1B74" w:rsidRPr="00C920C6">
        <w:rPr>
          <w:szCs w:val="19"/>
          <w:u w:val="single"/>
        </w:rPr>
        <w:t xml:space="preserve">a non-financial asset </w:t>
      </w:r>
      <w:r w:rsidR="005F1B74">
        <w:rPr>
          <w:szCs w:val="19"/>
          <w:u w:val="single"/>
        </w:rPr>
        <w:t>of a not-for-profit pub</w:t>
      </w:r>
      <w:r w:rsidR="0091249C">
        <w:rPr>
          <w:szCs w:val="19"/>
          <w:u w:val="single"/>
        </w:rPr>
        <w:t>l</w:t>
      </w:r>
      <w:r w:rsidR="005F1B74">
        <w:rPr>
          <w:szCs w:val="19"/>
          <w:u w:val="single"/>
        </w:rPr>
        <w:t xml:space="preserve">ic sector entity </w:t>
      </w:r>
      <w:r w:rsidR="005F1B74" w:rsidRPr="00C920C6">
        <w:rPr>
          <w:szCs w:val="19"/>
          <w:u w:val="single"/>
        </w:rPr>
        <w:t>not held primarily for its ability to generate net cash inflows</w:t>
      </w:r>
      <w:r w:rsidR="005F1B74">
        <w:rPr>
          <w:szCs w:val="19"/>
          <w:u w:val="single"/>
        </w:rPr>
        <w:t xml:space="preserve">, the </w:t>
      </w:r>
      <w:r w:rsidR="00CB56BA">
        <w:rPr>
          <w:szCs w:val="19"/>
          <w:u w:val="single"/>
        </w:rPr>
        <w:t xml:space="preserve">information in </w:t>
      </w:r>
      <w:r w:rsidRPr="00C920C6">
        <w:rPr>
          <w:szCs w:val="19"/>
          <w:u w:val="single"/>
        </w:rPr>
        <w:t>paragraph</w:t>
      </w:r>
      <w:r w:rsidR="00B32913">
        <w:rPr>
          <w:szCs w:val="19"/>
          <w:u w:val="single"/>
        </w:rPr>
        <w:t> </w:t>
      </w:r>
      <w:r w:rsidRPr="00C920C6">
        <w:rPr>
          <w:szCs w:val="19"/>
          <w:u w:val="single"/>
        </w:rPr>
        <w:t>93(i)</w:t>
      </w:r>
      <w:r w:rsidR="008D3A87">
        <w:rPr>
          <w:szCs w:val="19"/>
          <w:u w:val="single"/>
        </w:rPr>
        <w:t xml:space="preserve"> </w:t>
      </w:r>
      <w:r w:rsidR="005F1B74">
        <w:rPr>
          <w:szCs w:val="19"/>
          <w:u w:val="single"/>
        </w:rPr>
        <w:t xml:space="preserve">is required to be disclosed </w:t>
      </w:r>
      <w:r w:rsidR="00352F24">
        <w:rPr>
          <w:szCs w:val="19"/>
          <w:u w:val="single"/>
        </w:rPr>
        <w:t xml:space="preserve">only </w:t>
      </w:r>
      <w:r w:rsidR="005F1B74">
        <w:rPr>
          <w:szCs w:val="19"/>
          <w:u w:val="single"/>
        </w:rPr>
        <w:t xml:space="preserve">if the entity </w:t>
      </w:r>
      <w:r w:rsidR="00D35259">
        <w:rPr>
          <w:szCs w:val="19"/>
          <w:u w:val="single"/>
        </w:rPr>
        <w:t xml:space="preserve">has determined that the asset’s highest and best use differs from its current use. Such </w:t>
      </w:r>
      <w:r w:rsidR="00DB51D9">
        <w:rPr>
          <w:szCs w:val="19"/>
          <w:u w:val="single"/>
        </w:rPr>
        <w:t xml:space="preserve">an entity </w:t>
      </w:r>
      <w:r w:rsidR="00D35259">
        <w:rPr>
          <w:szCs w:val="19"/>
          <w:u w:val="single"/>
        </w:rPr>
        <w:t xml:space="preserve">is required to </w:t>
      </w:r>
      <w:r w:rsidR="00BB2EC5">
        <w:rPr>
          <w:szCs w:val="19"/>
          <w:u w:val="single"/>
        </w:rPr>
        <w:t xml:space="preserve">consider whether this difference exists </w:t>
      </w:r>
      <w:r w:rsidR="00352F24">
        <w:rPr>
          <w:szCs w:val="19"/>
          <w:u w:val="single"/>
        </w:rPr>
        <w:t xml:space="preserve">only </w:t>
      </w:r>
      <w:r w:rsidR="00D35259">
        <w:rPr>
          <w:szCs w:val="19"/>
          <w:u w:val="single"/>
        </w:rPr>
        <w:t xml:space="preserve">when, </w:t>
      </w:r>
      <w:r w:rsidR="00BB2EC5">
        <w:rPr>
          <w:szCs w:val="19"/>
          <w:u w:val="single"/>
        </w:rPr>
        <w:t xml:space="preserve">in accordance with paragraphs Aus29.1 and Aus29.2, </w:t>
      </w:r>
      <w:r w:rsidR="00D35259">
        <w:rPr>
          <w:szCs w:val="19"/>
          <w:u w:val="single"/>
        </w:rPr>
        <w:t>at the measurement date</w:t>
      </w:r>
      <w:r w:rsidR="00A928C5">
        <w:rPr>
          <w:szCs w:val="19"/>
          <w:u w:val="single"/>
        </w:rPr>
        <w:t xml:space="preserve">, the asset is </w:t>
      </w:r>
      <w:r w:rsidR="00A928C5" w:rsidRPr="00C920C6">
        <w:rPr>
          <w:szCs w:val="19"/>
          <w:u w:val="single"/>
        </w:rPr>
        <w:t xml:space="preserve">classified as held for sale or held for distribution </w:t>
      </w:r>
      <w:r w:rsidR="00A928C5">
        <w:rPr>
          <w:szCs w:val="19"/>
          <w:u w:val="single"/>
        </w:rPr>
        <w:t xml:space="preserve">to owners </w:t>
      </w:r>
      <w:r w:rsidR="00A928C5" w:rsidRPr="00C920C6">
        <w:rPr>
          <w:szCs w:val="19"/>
          <w:u w:val="single"/>
        </w:rPr>
        <w:t>in accordance with AASB</w:t>
      </w:r>
      <w:r w:rsidR="00A928C5">
        <w:rPr>
          <w:szCs w:val="19"/>
          <w:u w:val="single"/>
        </w:rPr>
        <w:t> </w:t>
      </w:r>
      <w:r w:rsidR="00A928C5" w:rsidRPr="00C920C6">
        <w:rPr>
          <w:szCs w:val="19"/>
          <w:u w:val="single"/>
        </w:rPr>
        <w:t xml:space="preserve">5 </w:t>
      </w:r>
      <w:r w:rsidR="00A928C5">
        <w:rPr>
          <w:szCs w:val="19"/>
          <w:u w:val="single"/>
        </w:rPr>
        <w:t>or</w:t>
      </w:r>
      <w:r w:rsidR="00D35259">
        <w:rPr>
          <w:szCs w:val="19"/>
          <w:u w:val="single"/>
        </w:rPr>
        <w:t xml:space="preserve"> it is highly </w:t>
      </w:r>
      <w:r w:rsidR="00012E18">
        <w:rPr>
          <w:szCs w:val="19"/>
          <w:u w:val="single"/>
        </w:rPr>
        <w:t xml:space="preserve">probable that the asset will be </w:t>
      </w:r>
      <w:r w:rsidR="00E204ED" w:rsidRPr="008C21A9">
        <w:rPr>
          <w:szCs w:val="19"/>
          <w:u w:val="single"/>
        </w:rPr>
        <w:t>used for an alternative purpose to its current use</w:t>
      </w:r>
      <w:r w:rsidRPr="00C920C6">
        <w:rPr>
          <w:szCs w:val="19"/>
          <w:u w:val="single"/>
        </w:rPr>
        <w:t>.</w:t>
      </w:r>
      <w:r w:rsidR="00427651">
        <w:rPr>
          <w:szCs w:val="19"/>
          <w:u w:val="single"/>
        </w:rPr>
        <w:t xml:space="preserve"> </w:t>
      </w:r>
    </w:p>
    <w:p w14:paraId="22D3BB1B" w14:textId="493C3743" w:rsidR="00FF2262" w:rsidRPr="000A751E" w:rsidRDefault="00CF2FC8" w:rsidP="003276D3">
      <w:pPr>
        <w:pStyle w:val="NumPlain1"/>
        <w:keepNext/>
        <w:numPr>
          <w:ilvl w:val="0"/>
          <w:numId w:val="20"/>
        </w:numPr>
        <w:tabs>
          <w:tab w:val="clear" w:pos="510"/>
        </w:tabs>
        <w:spacing w:before="100"/>
      </w:pPr>
      <w:r>
        <w:t>Paragraph AusC</w:t>
      </w:r>
      <w:r w:rsidR="00B218A0">
        <w:t>6</w:t>
      </w:r>
      <w:r>
        <w:t>.</w:t>
      </w:r>
      <w:r w:rsidR="00B218A0">
        <w:t>1</w:t>
      </w:r>
      <w:r>
        <w:t xml:space="preserve"> is </w:t>
      </w:r>
      <w:r w:rsidR="00FF2262">
        <w:t xml:space="preserve">added to Appendix C </w:t>
      </w:r>
      <w:r w:rsidR="00FF2262" w:rsidRPr="000612FC">
        <w:rPr>
          <w:i/>
          <w:iCs/>
        </w:rPr>
        <w:t>Effective date and transition</w:t>
      </w:r>
      <w:r w:rsidR="00FF2262">
        <w:t>.</w:t>
      </w:r>
      <w:bookmarkEnd w:id="5"/>
    </w:p>
    <w:p w14:paraId="2292E9A8" w14:textId="2AFE80FE" w:rsidR="0059507C" w:rsidRPr="003F1996" w:rsidRDefault="00800D16" w:rsidP="00C97752">
      <w:pPr>
        <w:pStyle w:val="AppendixText"/>
        <w:ind w:left="2347" w:hanging="1565"/>
      </w:pPr>
      <w:r w:rsidRPr="00C920C6">
        <w:rPr>
          <w:u w:val="single"/>
        </w:rPr>
        <w:t>AusC</w:t>
      </w:r>
      <w:r w:rsidR="00B218A0" w:rsidRPr="00C920C6">
        <w:rPr>
          <w:u w:val="single"/>
        </w:rPr>
        <w:t>6.</w:t>
      </w:r>
      <w:r w:rsidRPr="00C920C6">
        <w:rPr>
          <w:u w:val="single"/>
        </w:rPr>
        <w:t>1</w:t>
      </w:r>
      <w:r w:rsidR="004A10AF" w:rsidRPr="003F1996">
        <w:tab/>
      </w:r>
      <w:r w:rsidR="004A10AF" w:rsidRPr="00C920C6">
        <w:rPr>
          <w:u w:val="single"/>
        </w:rPr>
        <w:t>AASB 202</w:t>
      </w:r>
      <w:r w:rsidR="0095096B" w:rsidRPr="00C920C6">
        <w:rPr>
          <w:u w:val="single"/>
        </w:rPr>
        <w:t>2</w:t>
      </w:r>
      <w:r w:rsidR="004A10AF" w:rsidRPr="00C920C6">
        <w:rPr>
          <w:u w:val="single"/>
        </w:rPr>
        <w:t>-</w:t>
      </w:r>
      <w:r w:rsidR="009B710E">
        <w:rPr>
          <w:u w:val="single"/>
        </w:rPr>
        <w:t>10</w:t>
      </w:r>
      <w:r w:rsidR="004A10AF" w:rsidRPr="00C920C6">
        <w:rPr>
          <w:u w:val="single"/>
        </w:rPr>
        <w:t xml:space="preserve"> </w:t>
      </w:r>
      <w:r w:rsidR="004A10AF" w:rsidRPr="00C920C6">
        <w:rPr>
          <w:i/>
          <w:iCs/>
          <w:u w:val="single"/>
        </w:rPr>
        <w:t>Amendments to Australian Accounting Standards</w:t>
      </w:r>
      <w:r w:rsidR="003169B8">
        <w:rPr>
          <w:i/>
          <w:iCs/>
          <w:u w:val="single"/>
        </w:rPr>
        <w:t xml:space="preserve"> – </w:t>
      </w:r>
      <w:r w:rsidR="00740423" w:rsidRPr="00C920C6">
        <w:rPr>
          <w:i/>
          <w:iCs/>
          <w:u w:val="single"/>
        </w:rPr>
        <w:t>Fair Value</w:t>
      </w:r>
      <w:r w:rsidR="00740423">
        <w:rPr>
          <w:i/>
          <w:iCs/>
        </w:rPr>
        <w:t xml:space="preserve"> </w:t>
      </w:r>
      <w:r w:rsidR="00740423" w:rsidRPr="00C920C6">
        <w:rPr>
          <w:i/>
          <w:iCs/>
          <w:u w:val="single"/>
        </w:rPr>
        <w:t xml:space="preserve">Measurement of </w:t>
      </w:r>
      <w:r w:rsidR="00D00AC7" w:rsidRPr="00C920C6">
        <w:rPr>
          <w:i/>
          <w:iCs/>
          <w:u w:val="single"/>
        </w:rPr>
        <w:t>Non-Financial Assets of Not-for-Profit Public Sector Entities</w:t>
      </w:r>
      <w:r w:rsidR="0008066A" w:rsidRPr="00C920C6">
        <w:rPr>
          <w:u w:val="single"/>
        </w:rPr>
        <w:t xml:space="preserve"> </w:t>
      </w:r>
      <w:r w:rsidR="00DE1AAF">
        <w:rPr>
          <w:u w:val="single"/>
        </w:rPr>
        <w:t>amended</w:t>
      </w:r>
      <w:r w:rsidR="00DC57A1">
        <w:rPr>
          <w:u w:val="single"/>
        </w:rPr>
        <w:t xml:space="preserve"> AASB</w:t>
      </w:r>
      <w:r w:rsidR="00511B85">
        <w:rPr>
          <w:u w:val="single"/>
        </w:rPr>
        <w:t> </w:t>
      </w:r>
      <w:r w:rsidR="00DC57A1">
        <w:rPr>
          <w:u w:val="single"/>
        </w:rPr>
        <w:t>13 for application by not-for-profit public sector entities</w:t>
      </w:r>
      <w:r w:rsidR="00E16FA7">
        <w:rPr>
          <w:u w:val="single"/>
        </w:rPr>
        <w:t>,</w:t>
      </w:r>
      <w:r w:rsidR="00DE1AAF">
        <w:rPr>
          <w:u w:val="single"/>
        </w:rPr>
        <w:t xml:space="preserve"> </w:t>
      </w:r>
      <w:r w:rsidR="00E16FA7">
        <w:rPr>
          <w:u w:val="single"/>
        </w:rPr>
        <w:t xml:space="preserve">including adding </w:t>
      </w:r>
      <w:r w:rsidR="00775E58" w:rsidRPr="00C920C6">
        <w:rPr>
          <w:u w:val="single"/>
        </w:rPr>
        <w:t xml:space="preserve">Appendix F </w:t>
      </w:r>
      <w:r w:rsidR="00775E58" w:rsidRPr="00C920C6">
        <w:rPr>
          <w:i/>
          <w:iCs/>
          <w:u w:val="single"/>
        </w:rPr>
        <w:t xml:space="preserve">Australian implementation guidance for not-for-profit </w:t>
      </w:r>
      <w:r w:rsidR="0087111A" w:rsidRPr="00C920C6">
        <w:rPr>
          <w:i/>
          <w:iCs/>
          <w:u w:val="single"/>
        </w:rPr>
        <w:t xml:space="preserve">public sector </w:t>
      </w:r>
      <w:r w:rsidR="00775E58" w:rsidRPr="00C920C6">
        <w:rPr>
          <w:i/>
          <w:iCs/>
          <w:u w:val="single"/>
        </w:rPr>
        <w:t>entities</w:t>
      </w:r>
      <w:r w:rsidR="004A10AF" w:rsidRPr="00C920C6">
        <w:rPr>
          <w:u w:val="single"/>
        </w:rPr>
        <w:t xml:space="preserve">. A not-for-profit </w:t>
      </w:r>
      <w:r w:rsidR="00F1252D" w:rsidRPr="00C920C6">
        <w:rPr>
          <w:u w:val="single"/>
        </w:rPr>
        <w:t xml:space="preserve">public sector </w:t>
      </w:r>
      <w:r w:rsidR="004A10AF" w:rsidRPr="00C920C6">
        <w:rPr>
          <w:u w:val="single"/>
        </w:rPr>
        <w:t xml:space="preserve">entity shall apply </w:t>
      </w:r>
      <w:r w:rsidR="00144B8F">
        <w:rPr>
          <w:u w:val="single"/>
        </w:rPr>
        <w:t xml:space="preserve">those amendments </w:t>
      </w:r>
      <w:r w:rsidR="007872CE" w:rsidRPr="00C920C6">
        <w:rPr>
          <w:u w:val="single"/>
        </w:rPr>
        <w:t xml:space="preserve">prospectively </w:t>
      </w:r>
      <w:r w:rsidR="00775A16" w:rsidRPr="00C920C6">
        <w:rPr>
          <w:u w:val="single"/>
        </w:rPr>
        <w:t>for</w:t>
      </w:r>
      <w:r w:rsidRPr="00C920C6">
        <w:rPr>
          <w:u w:val="single"/>
        </w:rPr>
        <w:t xml:space="preserve"> </w:t>
      </w:r>
      <w:r w:rsidR="004A10AF" w:rsidRPr="00C920C6">
        <w:rPr>
          <w:u w:val="single"/>
        </w:rPr>
        <w:t xml:space="preserve">annual periods beginning on or after </w:t>
      </w:r>
      <w:r w:rsidR="005B597E" w:rsidRPr="00C920C6">
        <w:rPr>
          <w:u w:val="single"/>
        </w:rPr>
        <w:t>1 January 202</w:t>
      </w:r>
      <w:r w:rsidR="000D3EBA" w:rsidRPr="00C920C6">
        <w:rPr>
          <w:u w:val="single"/>
        </w:rPr>
        <w:t>4</w:t>
      </w:r>
      <w:r w:rsidR="004A10AF" w:rsidRPr="00C920C6">
        <w:rPr>
          <w:u w:val="single"/>
        </w:rPr>
        <w:t xml:space="preserve">. </w:t>
      </w:r>
      <w:r w:rsidRPr="00C920C6">
        <w:rPr>
          <w:u w:val="single"/>
        </w:rPr>
        <w:t xml:space="preserve">Earlier </w:t>
      </w:r>
      <w:r w:rsidR="002113E2" w:rsidRPr="00C920C6">
        <w:rPr>
          <w:u w:val="single"/>
        </w:rPr>
        <w:t xml:space="preserve">application is permitted. </w:t>
      </w:r>
      <w:r w:rsidR="005F27D8" w:rsidRPr="00C920C6">
        <w:rPr>
          <w:u w:val="single"/>
        </w:rPr>
        <w:t xml:space="preserve">If an entity applies </w:t>
      </w:r>
      <w:r w:rsidR="00144B8F">
        <w:rPr>
          <w:u w:val="single"/>
        </w:rPr>
        <w:t>AASB</w:t>
      </w:r>
      <w:r w:rsidR="003B1FE2">
        <w:rPr>
          <w:u w:val="single"/>
        </w:rPr>
        <w:t> </w:t>
      </w:r>
      <w:r w:rsidR="00144B8F">
        <w:rPr>
          <w:u w:val="single"/>
        </w:rPr>
        <w:t>2022-</w:t>
      </w:r>
      <w:r w:rsidR="009B710E">
        <w:rPr>
          <w:u w:val="single"/>
        </w:rPr>
        <w:t>10</w:t>
      </w:r>
      <w:r w:rsidR="00887B08" w:rsidRPr="00C920C6">
        <w:rPr>
          <w:u w:val="single"/>
        </w:rPr>
        <w:t xml:space="preserve"> </w:t>
      </w:r>
      <w:r w:rsidR="00113326" w:rsidRPr="00C920C6">
        <w:rPr>
          <w:u w:val="single"/>
        </w:rPr>
        <w:t>for</w:t>
      </w:r>
      <w:r w:rsidR="005F27D8" w:rsidRPr="00C920C6">
        <w:rPr>
          <w:u w:val="single"/>
        </w:rPr>
        <w:t xml:space="preserve"> an earlier period, it shall disclose that fact.</w:t>
      </w:r>
    </w:p>
    <w:p w14:paraId="109959EC" w14:textId="34AA7F82" w:rsidR="006A5FEE" w:rsidRPr="000A751E" w:rsidRDefault="000A751E" w:rsidP="003276D3">
      <w:pPr>
        <w:pStyle w:val="NumPlain1"/>
        <w:numPr>
          <w:ilvl w:val="0"/>
          <w:numId w:val="20"/>
        </w:numPr>
        <w:tabs>
          <w:tab w:val="clear" w:pos="510"/>
        </w:tabs>
        <w:spacing w:before="100"/>
      </w:pPr>
      <w:r w:rsidRPr="005A413E">
        <w:lastRenderedPageBreak/>
        <w:t xml:space="preserve">Appendix </w:t>
      </w:r>
      <w:r w:rsidR="003E43B2" w:rsidRPr="005A413E">
        <w:t>F</w:t>
      </w:r>
      <w:r w:rsidRPr="005A413E">
        <w:t xml:space="preserve"> </w:t>
      </w:r>
      <w:r w:rsidRPr="00615D4F">
        <w:rPr>
          <w:i/>
          <w:iCs/>
        </w:rPr>
        <w:t xml:space="preserve">Australian implementation guidance for not-for-profit </w:t>
      </w:r>
      <w:r w:rsidR="0001463F" w:rsidRPr="00615D4F">
        <w:rPr>
          <w:i/>
          <w:iCs/>
        </w:rPr>
        <w:t xml:space="preserve">public sector </w:t>
      </w:r>
      <w:r w:rsidR="003E43B2" w:rsidRPr="00615D4F">
        <w:rPr>
          <w:i/>
          <w:iCs/>
        </w:rPr>
        <w:t>entities</w:t>
      </w:r>
      <w:r w:rsidR="003E43B2" w:rsidRPr="005A413E">
        <w:t xml:space="preserve"> </w:t>
      </w:r>
      <w:r w:rsidRPr="005A413E">
        <w:t xml:space="preserve">is added as set out on </w:t>
      </w:r>
      <w:r w:rsidRPr="006C185E">
        <w:t>pages</w:t>
      </w:r>
      <w:r w:rsidR="005A413E" w:rsidRPr="006C185E">
        <w:t> </w:t>
      </w:r>
      <w:r w:rsidR="000B5CF8">
        <w:t>8</w:t>
      </w:r>
      <w:r w:rsidR="0054701A" w:rsidRPr="00651459">
        <w:t>–1</w:t>
      </w:r>
      <w:r w:rsidR="000B5CF8">
        <w:t>0</w:t>
      </w:r>
      <w:r w:rsidR="00B33727" w:rsidRPr="0054701A">
        <w:t xml:space="preserve"> of this </w:t>
      </w:r>
      <w:r w:rsidR="00B33727">
        <w:t>Standard</w:t>
      </w:r>
      <w:r>
        <w:t>.</w:t>
      </w:r>
    </w:p>
    <w:p w14:paraId="2CCA9CEF" w14:textId="39057340" w:rsidR="00D138D0" w:rsidRDefault="00B46833" w:rsidP="003276D3">
      <w:pPr>
        <w:pStyle w:val="NumPlain1"/>
        <w:numPr>
          <w:ilvl w:val="0"/>
          <w:numId w:val="20"/>
        </w:numPr>
        <w:tabs>
          <w:tab w:val="clear" w:pos="510"/>
        </w:tabs>
        <w:spacing w:before="100"/>
      </w:pPr>
      <w:bookmarkStart w:id="6" w:name="_Hlk27565134"/>
      <w:bookmarkStart w:id="7" w:name="_Ref90287456"/>
      <w:r w:rsidRPr="00FA739E">
        <w:rPr>
          <w:i/>
          <w:iCs/>
        </w:rPr>
        <w:t>Australian</w:t>
      </w:r>
      <w:r w:rsidRPr="006A5FEE">
        <w:rPr>
          <w:i/>
        </w:rPr>
        <w:t xml:space="preserve"> illustrative examples for not-for-profit </w:t>
      </w:r>
      <w:r w:rsidR="0001463F">
        <w:rPr>
          <w:i/>
        </w:rPr>
        <w:t xml:space="preserve">public sector </w:t>
      </w:r>
      <w:r w:rsidR="00476D24" w:rsidRPr="006A5FEE">
        <w:rPr>
          <w:i/>
        </w:rPr>
        <w:t>entities</w:t>
      </w:r>
      <w:r w:rsidRPr="006A5FEE">
        <w:rPr>
          <w:i/>
        </w:rPr>
        <w:t xml:space="preserve"> </w:t>
      </w:r>
      <w:bookmarkEnd w:id="6"/>
      <w:r w:rsidRPr="00766E15">
        <w:t xml:space="preserve">is attached to accompany </w:t>
      </w:r>
      <w:r w:rsidR="00291416">
        <w:t>AASB </w:t>
      </w:r>
      <w:r w:rsidR="00476D24">
        <w:t>13</w:t>
      </w:r>
      <w:r w:rsidRPr="00766E15">
        <w:t xml:space="preserve"> as set out </w:t>
      </w:r>
      <w:r w:rsidRPr="0054701A">
        <w:t>on pages</w:t>
      </w:r>
      <w:r w:rsidR="00465A6F" w:rsidRPr="0054701A">
        <w:t> </w:t>
      </w:r>
      <w:r w:rsidR="0054701A" w:rsidRPr="00C920C6">
        <w:t>1</w:t>
      </w:r>
      <w:r w:rsidR="000B5CF8">
        <w:t>1</w:t>
      </w:r>
      <w:r w:rsidR="0054701A" w:rsidRPr="00C920C6">
        <w:t>–</w:t>
      </w:r>
      <w:r w:rsidR="000B5CF8">
        <w:t>15</w:t>
      </w:r>
      <w:r w:rsidR="00B33727" w:rsidRPr="006C185E">
        <w:t xml:space="preserve"> of this</w:t>
      </w:r>
      <w:r w:rsidR="00B33727">
        <w:t xml:space="preserve"> Standard</w:t>
      </w:r>
      <w:r w:rsidRPr="00766E15">
        <w:t>.</w:t>
      </w:r>
      <w:bookmarkEnd w:id="7"/>
      <w:r w:rsidRPr="00766E15">
        <w:t xml:space="preserve"> </w:t>
      </w:r>
    </w:p>
    <w:p w14:paraId="6DAC31B2" w14:textId="0FB13F9E" w:rsidR="00BA5A1C" w:rsidRPr="00766E15" w:rsidRDefault="00BA5A1C">
      <w:pPr>
        <w:pStyle w:val="IASBSectionTitle1NonInd"/>
      </w:pPr>
      <w:r w:rsidRPr="00766E15">
        <w:t>Commencement of the legislative instrument</w:t>
      </w:r>
    </w:p>
    <w:p w14:paraId="01FB7285" w14:textId="5302C9C8" w:rsidR="00BA5A1C" w:rsidRDefault="00BA5A1C" w:rsidP="003276D3">
      <w:pPr>
        <w:pStyle w:val="NumPlain1"/>
        <w:numPr>
          <w:ilvl w:val="0"/>
          <w:numId w:val="20"/>
        </w:numPr>
        <w:tabs>
          <w:tab w:val="clear" w:pos="510"/>
        </w:tabs>
        <w:spacing w:before="100"/>
      </w:pPr>
      <w:bookmarkStart w:id="8" w:name="_Ref93585838"/>
      <w:r w:rsidRPr="00766E15">
        <w:t>For legal purposes, this legislative instrument commences on</w:t>
      </w:r>
      <w:r w:rsidR="00E04D14">
        <w:t xml:space="preserve"> </w:t>
      </w:r>
      <w:r w:rsidR="00DD0F94">
        <w:t>31 December 202</w:t>
      </w:r>
      <w:r w:rsidR="008B7742">
        <w:t>3</w:t>
      </w:r>
      <w:r w:rsidR="00035279" w:rsidRPr="0027480C">
        <w:t>.</w:t>
      </w:r>
      <w:bookmarkEnd w:id="8"/>
    </w:p>
    <w:p w14:paraId="22599BEF" w14:textId="1389BBBC" w:rsidR="004D4C62" w:rsidRPr="0027480C" w:rsidRDefault="004D4C62" w:rsidP="007D39DD">
      <w:pPr>
        <w:pStyle w:val="NumPlain1"/>
        <w:spacing w:after="0"/>
        <w:ind w:left="782"/>
      </w:pPr>
    </w:p>
    <w:p w14:paraId="7B162006" w14:textId="77777777" w:rsidR="003F32EC" w:rsidRDefault="003F32EC" w:rsidP="005B5B92">
      <w:pPr>
        <w:pStyle w:val="NoNumPlain1"/>
        <w:spacing w:after="0"/>
        <w:sectPr w:rsidR="003F32EC" w:rsidSect="003F32EC">
          <w:footerReference w:type="default" r:id="rId24"/>
          <w:pgSz w:w="11907" w:h="16840" w:code="9"/>
          <w:pgMar w:top="1418" w:right="1418" w:bottom="1418" w:left="1418" w:header="709" w:footer="709" w:gutter="0"/>
          <w:paperSrc w:first="7" w:other="7"/>
          <w:cols w:space="720"/>
        </w:sectPr>
      </w:pPr>
    </w:p>
    <w:p w14:paraId="0B269795" w14:textId="45F282CC" w:rsidR="00BA5A1C" w:rsidRPr="009B16DB" w:rsidRDefault="00BA5A1C" w:rsidP="00A85C6C">
      <w:pPr>
        <w:pStyle w:val="ConvSectionTitle"/>
      </w:pPr>
      <w:bookmarkStart w:id="9" w:name="_Toc161671471"/>
      <w:r w:rsidRPr="009B16DB">
        <w:lastRenderedPageBreak/>
        <w:t xml:space="preserve">Appendix </w:t>
      </w:r>
      <w:r w:rsidR="00233CAD" w:rsidRPr="009B16DB">
        <w:t>F</w:t>
      </w:r>
      <w:r w:rsidR="00941CDB" w:rsidRPr="009B16DB">
        <w:t xml:space="preserve"> [FOR </w:t>
      </w:r>
      <w:r w:rsidR="00291416" w:rsidRPr="009B16DB">
        <w:t>AASB </w:t>
      </w:r>
      <w:r w:rsidR="00233CAD" w:rsidRPr="009B16DB">
        <w:t>13</w:t>
      </w:r>
      <w:r w:rsidR="00941CDB" w:rsidRPr="009B16DB">
        <w:t>]</w:t>
      </w:r>
      <w:r w:rsidRPr="009B16DB">
        <w:br/>
        <w:t xml:space="preserve">Australian implementation guidance for not-for-profit </w:t>
      </w:r>
      <w:r w:rsidR="002F29B7">
        <w:t xml:space="preserve">public sector </w:t>
      </w:r>
      <w:r w:rsidR="00233CAD" w:rsidRPr="009B16DB">
        <w:t>entities</w:t>
      </w:r>
    </w:p>
    <w:bookmarkEnd w:id="9"/>
    <w:p w14:paraId="2833F24B" w14:textId="1321590A" w:rsidR="00D77D38" w:rsidRPr="00D77D38" w:rsidRDefault="00BA5A1C" w:rsidP="006C1AE8">
      <w:pPr>
        <w:pStyle w:val="AppendixNote"/>
      </w:pPr>
      <w:r w:rsidRPr="009B16DB">
        <w:t xml:space="preserve">This appendix is an integral part of </w:t>
      </w:r>
      <w:r w:rsidR="007460EE">
        <w:t>the Standard</w:t>
      </w:r>
      <w:r w:rsidR="005E4A41">
        <w:t>.</w:t>
      </w:r>
      <w:r w:rsidR="007460EE">
        <w:t xml:space="preserve"> </w:t>
      </w:r>
      <w:r w:rsidR="005E4A41">
        <w:t xml:space="preserve">It describes the application </w:t>
      </w:r>
      <w:r w:rsidR="00A853C6">
        <w:t xml:space="preserve">of </w:t>
      </w:r>
      <w:r w:rsidR="005905E4">
        <w:t xml:space="preserve">paragraphs 61, </w:t>
      </w:r>
      <w:r w:rsidR="0068386C">
        <w:t xml:space="preserve">62, </w:t>
      </w:r>
      <w:r w:rsidR="005905E4">
        <w:t xml:space="preserve">89, B8 and B9 </w:t>
      </w:r>
      <w:r w:rsidRPr="009B16DB">
        <w:t xml:space="preserve">of the Standard. The appendix applies only to not-for-profit </w:t>
      </w:r>
      <w:r w:rsidR="002F29B7">
        <w:t xml:space="preserve">public sector </w:t>
      </w:r>
      <w:r w:rsidR="00233CAD" w:rsidRPr="009B16DB">
        <w:t>entities</w:t>
      </w:r>
      <w:r w:rsidRPr="009B16DB">
        <w:t>.</w:t>
      </w:r>
      <w:r w:rsidR="0019312E">
        <w:t xml:space="preserve"> </w:t>
      </w:r>
    </w:p>
    <w:p w14:paraId="1286BC49" w14:textId="77777777" w:rsidR="00BA5A1C" w:rsidRPr="009B16DB" w:rsidRDefault="00BA5A1C">
      <w:pPr>
        <w:pStyle w:val="IASBSectionTitle1NonInd"/>
      </w:pPr>
      <w:r w:rsidRPr="0068408B">
        <w:t>Introduction</w:t>
      </w:r>
    </w:p>
    <w:p w14:paraId="55F1ED5F" w14:textId="3FE6C506" w:rsidR="00393890" w:rsidRPr="009B16DB" w:rsidRDefault="00291416" w:rsidP="003276D3">
      <w:pPr>
        <w:pStyle w:val="NumBPlain1"/>
        <w:numPr>
          <w:ilvl w:val="0"/>
          <w:numId w:val="24"/>
        </w:numPr>
        <w:spacing w:after="100"/>
      </w:pPr>
      <w:bookmarkStart w:id="10" w:name="_Ref457292059"/>
      <w:r w:rsidRPr="009B16DB">
        <w:t>AASB</w:t>
      </w:r>
      <w:r w:rsidR="00CA2A12">
        <w:t xml:space="preserve"> </w:t>
      </w:r>
      <w:r w:rsidR="00BA5A1C" w:rsidRPr="009B16DB">
        <w:t>1</w:t>
      </w:r>
      <w:r w:rsidR="009320FA" w:rsidRPr="009B16DB">
        <w:t>3</w:t>
      </w:r>
      <w:r w:rsidR="00BA5A1C" w:rsidRPr="009B16DB">
        <w:t xml:space="preserve"> </w:t>
      </w:r>
      <w:r w:rsidR="009320FA" w:rsidRPr="009B16DB">
        <w:rPr>
          <w:i/>
        </w:rPr>
        <w:t>Fair Value Measurement</w:t>
      </w:r>
      <w:r w:rsidR="00BA5A1C" w:rsidRPr="009B16DB">
        <w:rPr>
          <w:i/>
        </w:rPr>
        <w:t xml:space="preserve"> </w:t>
      </w:r>
      <w:r w:rsidR="00BA5A1C" w:rsidRPr="009B16DB">
        <w:t>incorporates International Fina</w:t>
      </w:r>
      <w:r w:rsidR="009320FA" w:rsidRPr="009B16DB">
        <w:t>ncial Reporting Standard IFRS</w:t>
      </w:r>
      <w:r w:rsidR="00CA2A12">
        <w:t xml:space="preserve"> </w:t>
      </w:r>
      <w:r w:rsidR="009320FA" w:rsidRPr="009B16DB">
        <w:t>13</w:t>
      </w:r>
      <w:r w:rsidR="00BA5A1C" w:rsidRPr="009B16DB">
        <w:t xml:space="preserve"> </w:t>
      </w:r>
      <w:r w:rsidR="009320FA" w:rsidRPr="009B16DB">
        <w:rPr>
          <w:i/>
        </w:rPr>
        <w:t>Fair Value Measurement</w:t>
      </w:r>
      <w:r w:rsidR="00BA5A1C" w:rsidRPr="009B16DB">
        <w:t>, issued by the International Accounting Standards Board.</w:t>
      </w:r>
      <w:r w:rsidR="00296792">
        <w:t xml:space="preserve"> </w:t>
      </w:r>
      <w:r w:rsidR="00BA5A1C" w:rsidRPr="009B16DB">
        <w:t xml:space="preserve">Consequently, the text of </w:t>
      </w:r>
      <w:r w:rsidRPr="009B16DB">
        <w:t>AASB</w:t>
      </w:r>
      <w:r w:rsidR="00E20AFE">
        <w:t> </w:t>
      </w:r>
      <w:r w:rsidR="00BA5A1C" w:rsidRPr="009B16DB">
        <w:t>1</w:t>
      </w:r>
      <w:r w:rsidR="003454BF" w:rsidRPr="009B16DB">
        <w:t>3</w:t>
      </w:r>
      <w:r w:rsidR="00BA5A1C" w:rsidRPr="009B16DB">
        <w:t xml:space="preserve"> is generally expressed from the perspective of for-profit e</w:t>
      </w:r>
      <w:r w:rsidR="003454BF" w:rsidRPr="009B16DB">
        <w:t>ntities.</w:t>
      </w:r>
      <w:r w:rsidR="00296792">
        <w:t xml:space="preserve"> </w:t>
      </w:r>
      <w:r w:rsidR="00BA5A1C" w:rsidRPr="009B16DB">
        <w:t xml:space="preserve">The </w:t>
      </w:r>
      <w:r w:rsidRPr="009B16DB">
        <w:t>AASB</w:t>
      </w:r>
      <w:r w:rsidR="00AE4A38">
        <w:t xml:space="preserve"> </w:t>
      </w:r>
      <w:r w:rsidR="00BA5A1C" w:rsidRPr="009B16DB">
        <w:t xml:space="preserve">prepared </w:t>
      </w:r>
      <w:r w:rsidR="00AE4A38">
        <w:t xml:space="preserve">this appendix to explain and illustrate the application of </w:t>
      </w:r>
      <w:r w:rsidR="00BA5A1C" w:rsidRPr="009B16DB">
        <w:t xml:space="preserve">the principles </w:t>
      </w:r>
      <w:r w:rsidR="00C40069">
        <w:t xml:space="preserve">of </w:t>
      </w:r>
      <w:r w:rsidR="00153DFE">
        <w:t xml:space="preserve">paragraphs 61, </w:t>
      </w:r>
      <w:r w:rsidR="00D74252">
        <w:t xml:space="preserve">62, </w:t>
      </w:r>
      <w:r w:rsidR="00153DFE">
        <w:t xml:space="preserve">89, B8 and B9 </w:t>
      </w:r>
      <w:r w:rsidR="00AE4A38">
        <w:t>of</w:t>
      </w:r>
      <w:r w:rsidR="00BA5A1C" w:rsidRPr="009B16DB">
        <w:t xml:space="preserve"> the Standard </w:t>
      </w:r>
      <w:r w:rsidR="00AE4A38">
        <w:t xml:space="preserve">by </w:t>
      </w:r>
      <w:r w:rsidR="00BA5A1C" w:rsidRPr="009B16DB">
        <w:t xml:space="preserve">not-for-profit </w:t>
      </w:r>
      <w:r w:rsidR="00BC42CC">
        <w:t xml:space="preserve">public sector </w:t>
      </w:r>
      <w:r w:rsidR="003454BF" w:rsidRPr="009B16DB">
        <w:t>entities</w:t>
      </w:r>
      <w:r w:rsidR="002A54C4" w:rsidRPr="009B16DB">
        <w:t xml:space="preserve"> </w:t>
      </w:r>
      <w:r w:rsidR="00AE4A38">
        <w:t xml:space="preserve">in relation </w:t>
      </w:r>
      <w:r w:rsidR="002A54C4" w:rsidRPr="009B16DB">
        <w:t xml:space="preserve">to </w:t>
      </w:r>
      <w:r w:rsidR="003454BF" w:rsidRPr="009B16DB">
        <w:t>fair value measurement of non-financial assets</w:t>
      </w:r>
      <w:r w:rsidR="00EB19E9">
        <w:t xml:space="preserve"> </w:t>
      </w:r>
      <w:r w:rsidR="006456DB">
        <w:t xml:space="preserve">not </w:t>
      </w:r>
      <w:r w:rsidR="00EB19E9">
        <w:t xml:space="preserve">held primarily for their </w:t>
      </w:r>
      <w:r w:rsidR="006456DB">
        <w:t>ability to generate net cash inflows</w:t>
      </w:r>
      <w:r w:rsidR="002A54C4" w:rsidRPr="009B16DB">
        <w:t xml:space="preserve">. </w:t>
      </w:r>
      <w:bookmarkEnd w:id="10"/>
      <w:r w:rsidR="00E44343">
        <w:t>This appendix does not apply to for-profit entities or not-for-profit private sector entities or affect their application of AASB</w:t>
      </w:r>
      <w:r w:rsidR="00CA2A12">
        <w:t xml:space="preserve"> </w:t>
      </w:r>
      <w:r w:rsidR="00E44343">
        <w:t>13.</w:t>
      </w:r>
    </w:p>
    <w:p w14:paraId="7D862A02" w14:textId="48FB9EB2" w:rsidR="00AC0955" w:rsidRPr="00F410A3" w:rsidRDefault="00DB2278" w:rsidP="00671F92">
      <w:pPr>
        <w:pStyle w:val="IASBSectionTitle1NonInd"/>
      </w:pPr>
      <w:r>
        <w:t>Developing unobservable inputs</w:t>
      </w:r>
      <w:r w:rsidR="009237FF">
        <w:t xml:space="preserve"> (paragraphs </w:t>
      </w:r>
      <w:r w:rsidR="00B20C31">
        <w:t>6</w:t>
      </w:r>
      <w:r w:rsidR="003F1255">
        <w:t>1</w:t>
      </w:r>
      <w:r w:rsidR="00BE3560">
        <w:t>, 62</w:t>
      </w:r>
      <w:r w:rsidR="009237FF">
        <w:t xml:space="preserve"> and 89)</w:t>
      </w:r>
    </w:p>
    <w:p w14:paraId="7B40ED9A" w14:textId="19C1ECEC" w:rsidR="00CB2B47" w:rsidRDefault="006C5AA6" w:rsidP="003276D3">
      <w:pPr>
        <w:pStyle w:val="NumBPlain1"/>
        <w:widowControl w:val="0"/>
        <w:numPr>
          <w:ilvl w:val="0"/>
          <w:numId w:val="24"/>
        </w:numPr>
        <w:spacing w:after="100"/>
      </w:pPr>
      <w:bookmarkStart w:id="11" w:name="_Ref90287923"/>
      <w:bookmarkStart w:id="12" w:name="_Ref118718836"/>
      <w:r>
        <w:t>Paragraph</w:t>
      </w:r>
      <w:r w:rsidR="00846E34">
        <w:t xml:space="preserve"> </w:t>
      </w:r>
      <w:r>
        <w:t xml:space="preserve">22 </w:t>
      </w:r>
      <w:r w:rsidR="00CC3077" w:rsidRPr="00CC3077">
        <w:t>requires an entity to measure the fair value of an asset using the assumptions that market participants would use when pricing the asset, assuming that market participants act in their economic best interest. Paragraph 23 states that, in developing those assumptions, an entity need not identify specific market participants</w:t>
      </w:r>
      <w:r w:rsidR="00AC0955">
        <w:t>.</w:t>
      </w:r>
      <w:bookmarkEnd w:id="11"/>
      <w:bookmarkEnd w:id="12"/>
    </w:p>
    <w:p w14:paraId="68BA0E5C" w14:textId="77777777" w:rsidR="006434DD" w:rsidRDefault="003A7F0B" w:rsidP="003276D3">
      <w:pPr>
        <w:pStyle w:val="NumBPlain1"/>
        <w:numPr>
          <w:ilvl w:val="0"/>
          <w:numId w:val="24"/>
        </w:numPr>
        <w:spacing w:after="100"/>
      </w:pPr>
      <w:bookmarkStart w:id="13" w:name="_Ref118719360"/>
      <w:bookmarkStart w:id="14" w:name="_Ref89947102"/>
      <w:r>
        <w:t>Unobservable inputs are defined as inputs for which market data are not available and that are developed using the best information available about the assumptions that market participants would use when pricing the asset or liability. Paragraph 87 states that unobservable inputs shall be used to measure fair value to the extent that relevant observable inputs are not available, thereby allowing for situations in which there is little, if any, market activity for the asset or liability at the measurement date. Paragraph 89 states that, in developing unobservable inputs, an entity</w:t>
      </w:r>
      <w:r w:rsidR="006434DD">
        <w:t>:</w:t>
      </w:r>
      <w:r>
        <w:t xml:space="preserve"> </w:t>
      </w:r>
    </w:p>
    <w:p w14:paraId="588369F1" w14:textId="77777777" w:rsidR="001A7E6F" w:rsidRDefault="003A7F0B" w:rsidP="003276D3">
      <w:pPr>
        <w:pStyle w:val="NumBPlain2"/>
        <w:spacing w:after="100"/>
        <w:ind w:left="1564" w:hanging="782"/>
      </w:pPr>
      <w:r>
        <w:t>may begin with its own data, but it shall adjust those data if reasonably available information indicates that other market participants would use different data or there is something particular to the entity that is not available to other market participants (eg an entity-specific synergy)</w:t>
      </w:r>
      <w:r w:rsidR="001A7E6F">
        <w:t>; and</w:t>
      </w:r>
    </w:p>
    <w:p w14:paraId="20D49119" w14:textId="2EC6C50A" w:rsidR="006434DD" w:rsidRDefault="00CD0A17" w:rsidP="003276D3">
      <w:pPr>
        <w:pStyle w:val="NumBPlain2"/>
        <w:spacing w:after="100"/>
        <w:ind w:left="1564" w:hanging="782"/>
      </w:pPr>
      <w:r w:rsidRPr="00CC3077">
        <w:t>need not undertake exhaustive efforts to obtain information about market participant assumptions</w:t>
      </w:r>
      <w:r>
        <w:t>.</w:t>
      </w:r>
      <w:bookmarkEnd w:id="13"/>
    </w:p>
    <w:p w14:paraId="78D20BD5" w14:textId="747F12FC" w:rsidR="003A7F0B" w:rsidRDefault="003A7F0B" w:rsidP="003276D3">
      <w:pPr>
        <w:pStyle w:val="NumBPlain1"/>
        <w:numPr>
          <w:ilvl w:val="0"/>
          <w:numId w:val="24"/>
        </w:numPr>
        <w:spacing w:after="100"/>
      </w:pPr>
      <w:r>
        <w:t xml:space="preserve">Various non-financial assets </w:t>
      </w:r>
      <w:r w:rsidRPr="00246F30">
        <w:t>of not-for-profit public sector entit</w:t>
      </w:r>
      <w:r>
        <w:t>ies</w:t>
      </w:r>
      <w:r w:rsidRPr="00246F30">
        <w:t xml:space="preserve"> </w:t>
      </w:r>
      <w:r>
        <w:t xml:space="preserve">not held primarily for their ability to generate net cash inflows, especially some that are specialised, do not have observable market selling prices or other observable market data because entities seldom sell those assets until their economic life has expired (ie there is little market activity for the asset or comparable assets at the measurement date). Consequently, in applying the requirement of paragraph 61 for fair value estimates to maximise the use of relevant observable inputs, it may nonetheless be necessary to develop unobservable inputs to estimate their fair value. Moreover, for assets that are unique to a government, </w:t>
      </w:r>
      <w:r w:rsidRPr="00B86D49">
        <w:t>observable evidence of assumptions of other market participants</w:t>
      </w:r>
      <w:r>
        <w:t xml:space="preserve">, if any, is unlikely to </w:t>
      </w:r>
      <w:r w:rsidRPr="00B86D49">
        <w:t>differ from the entity’s own assumptions</w:t>
      </w:r>
      <w:r>
        <w:t>.</w:t>
      </w:r>
    </w:p>
    <w:p w14:paraId="41553A22" w14:textId="0DF8ECAC" w:rsidR="006876C5" w:rsidRDefault="003A7F0B" w:rsidP="003276D3">
      <w:pPr>
        <w:pStyle w:val="NumBPlain1"/>
        <w:numPr>
          <w:ilvl w:val="0"/>
          <w:numId w:val="24"/>
        </w:numPr>
        <w:spacing w:after="100"/>
      </w:pPr>
      <w:bookmarkStart w:id="15" w:name="_Ref110858606"/>
      <w:bookmarkStart w:id="16" w:name="_Ref115100654"/>
      <w:r>
        <w:t xml:space="preserve">Accordingly, when applying the principles in paragraphs 61 and 62 to measure the fair value of a non-financial asset </w:t>
      </w:r>
      <w:r w:rsidRPr="00246F30">
        <w:t xml:space="preserve">of </w:t>
      </w:r>
      <w:r>
        <w:t xml:space="preserve">a </w:t>
      </w:r>
      <w:r w:rsidRPr="00246F30">
        <w:t>not-for-profit public sector entit</w:t>
      </w:r>
      <w:r>
        <w:t>y</w:t>
      </w:r>
      <w:r w:rsidRPr="00246F30">
        <w:t xml:space="preserve"> </w:t>
      </w:r>
      <w:r>
        <w:t xml:space="preserve">not held primarily for its ability to generate net cash </w:t>
      </w:r>
      <w:r w:rsidRPr="008C51D4">
        <w:t>inflows</w:t>
      </w:r>
      <w:r w:rsidRPr="0025428E">
        <w:t>, if</w:t>
      </w:r>
      <w:r w:rsidR="00DA29D2" w:rsidRPr="0025428E">
        <w:t xml:space="preserve"> </w:t>
      </w:r>
      <w:bookmarkEnd w:id="15"/>
      <w:r w:rsidR="002942A4" w:rsidRPr="0025428E">
        <w:t>both the</w:t>
      </w:r>
      <w:r w:rsidRPr="0025428E">
        <w:t xml:space="preserve"> market selling price of a comparable asset </w:t>
      </w:r>
      <w:r w:rsidR="002942A4" w:rsidRPr="0025428E">
        <w:t xml:space="preserve">and </w:t>
      </w:r>
      <w:r w:rsidR="0083444C">
        <w:t>some</w:t>
      </w:r>
      <w:r w:rsidR="0083444C" w:rsidRPr="0025428E">
        <w:t xml:space="preserve"> </w:t>
      </w:r>
      <w:r w:rsidR="006876C5" w:rsidRPr="0025428E">
        <w:t xml:space="preserve">market participant </w:t>
      </w:r>
      <w:r w:rsidR="004D6D7F">
        <w:t xml:space="preserve">data </w:t>
      </w:r>
      <w:r w:rsidR="006876C5" w:rsidRPr="0025428E">
        <w:t xml:space="preserve">required to measure the fair value of the asset </w:t>
      </w:r>
      <w:r w:rsidR="00925F75" w:rsidRPr="0025428E">
        <w:t xml:space="preserve">are </w:t>
      </w:r>
      <w:r w:rsidR="008A7279" w:rsidRPr="0025428E">
        <w:t xml:space="preserve">not </w:t>
      </w:r>
      <w:r w:rsidR="006876C5" w:rsidRPr="0025428E">
        <w:t>observable</w:t>
      </w:r>
      <w:r w:rsidR="006876C5" w:rsidRPr="008C51D4">
        <w:t>,</w:t>
      </w:r>
      <w:r w:rsidR="002942A4" w:rsidRPr="008C51D4">
        <w:t xml:space="preserve"> </w:t>
      </w:r>
      <w:r w:rsidR="003A5341" w:rsidRPr="008C51D4">
        <w:t xml:space="preserve">the entity shall </w:t>
      </w:r>
      <w:r w:rsidR="003A5341">
        <w:t>use its own assumptions</w:t>
      </w:r>
      <w:r w:rsidR="003A5341" w:rsidRPr="00435AD1">
        <w:t xml:space="preserve"> </w:t>
      </w:r>
      <w:r w:rsidR="003A5341">
        <w:t xml:space="preserve">as a starting point </w:t>
      </w:r>
      <w:r w:rsidR="00791F60">
        <w:t xml:space="preserve">in developing unobservable inputs </w:t>
      </w:r>
      <w:r w:rsidR="003A5341">
        <w:t xml:space="preserve">and adjust those assumptions </w:t>
      </w:r>
      <w:r w:rsidR="00B33848">
        <w:t xml:space="preserve">to the extent that </w:t>
      </w:r>
      <w:r w:rsidR="003A5341">
        <w:t xml:space="preserve">reasonably available information indicates that other market participants </w:t>
      </w:r>
      <w:r w:rsidR="00EE436E">
        <w:t>(including</w:t>
      </w:r>
      <w:r w:rsidR="00A830A4">
        <w:t>, but not limited to,</w:t>
      </w:r>
      <w:r w:rsidR="00EE436E">
        <w:t xml:space="preserve"> </w:t>
      </w:r>
      <w:r w:rsidR="00284AA8">
        <w:t xml:space="preserve">other </w:t>
      </w:r>
      <w:r w:rsidR="00EE436E">
        <w:t xml:space="preserve">not-for-profit public sector entities) </w:t>
      </w:r>
      <w:r w:rsidR="003A5341">
        <w:t>would use different data.</w:t>
      </w:r>
      <w:bookmarkEnd w:id="16"/>
    </w:p>
    <w:p w14:paraId="2CF46669" w14:textId="0EE44BBD" w:rsidR="003A5341" w:rsidRDefault="000C5844" w:rsidP="003276D3">
      <w:pPr>
        <w:pStyle w:val="NumBPlain1"/>
        <w:widowControl w:val="0"/>
        <w:numPr>
          <w:ilvl w:val="0"/>
          <w:numId w:val="24"/>
        </w:numPr>
        <w:spacing w:after="100"/>
      </w:pPr>
      <w:bookmarkStart w:id="17" w:name="_Ref115161595"/>
      <w:bookmarkStart w:id="18" w:name="_Ref122345695"/>
      <w:bookmarkStart w:id="19" w:name="_Ref93419124"/>
      <w:bookmarkStart w:id="20" w:name="_Ref93498015"/>
      <w:r>
        <w:t>For the purpose</w:t>
      </w:r>
      <w:r w:rsidR="005F6703">
        <w:t>s</w:t>
      </w:r>
      <w:r>
        <w:t xml:space="preserve"> of paragraph</w:t>
      </w:r>
      <w:r w:rsidR="00D756F7">
        <w:t> </w:t>
      </w:r>
      <w:r w:rsidR="005F6703">
        <w:fldChar w:fldCharType="begin"/>
      </w:r>
      <w:r w:rsidR="005F6703">
        <w:instrText xml:space="preserve"> REF _Ref110858606 \r \h </w:instrText>
      </w:r>
      <w:r w:rsidR="005F6703">
        <w:fldChar w:fldCharType="separate"/>
      </w:r>
      <w:r w:rsidR="005A1B65">
        <w:t>F5</w:t>
      </w:r>
      <w:r w:rsidR="005F6703">
        <w:fldChar w:fldCharType="end"/>
      </w:r>
      <w:r>
        <w:t xml:space="preserve">, </w:t>
      </w:r>
      <w:r w:rsidR="00DB5ADB">
        <w:t>e</w:t>
      </w:r>
      <w:r>
        <w:t xml:space="preserve">xhaustive efforts need not be undertaken to identify whether relevant information about other </w:t>
      </w:r>
      <w:r w:rsidRPr="00435AD1">
        <w:t xml:space="preserve">market participant </w:t>
      </w:r>
      <w:r>
        <w:t xml:space="preserve">assumptions is reasonably available or whether the entity’s own data should be adjusted. </w:t>
      </w:r>
      <w:r w:rsidRPr="00A50D87">
        <w:t xml:space="preserve">However, when information about market participant assumptions is reasonably available, an entity cannot ignore </w:t>
      </w:r>
      <w:r>
        <w:t>that information.</w:t>
      </w:r>
      <w:bookmarkEnd w:id="17"/>
      <w:r w:rsidR="00DB5ADB">
        <w:t xml:space="preserve"> </w:t>
      </w:r>
      <w:r w:rsidR="00FF671F">
        <w:t xml:space="preserve">To the extent that </w:t>
      </w:r>
      <w:r w:rsidR="00DB5ADB">
        <w:t xml:space="preserve">relevant information about other </w:t>
      </w:r>
      <w:r w:rsidR="00DB5ADB" w:rsidRPr="00435AD1">
        <w:t xml:space="preserve">market participant </w:t>
      </w:r>
      <w:r w:rsidR="00DB5ADB">
        <w:t xml:space="preserve">assumptions is </w:t>
      </w:r>
      <w:r w:rsidR="00A33C3F">
        <w:t xml:space="preserve">not </w:t>
      </w:r>
      <w:r w:rsidR="00DB5ADB">
        <w:t>reasonably available, the entity shall use its own assumptions in measuring the fair value of the asset.</w:t>
      </w:r>
      <w:bookmarkEnd w:id="18"/>
    </w:p>
    <w:p w14:paraId="1C13F6CB" w14:textId="6105F5A9" w:rsidR="001F7F6D" w:rsidRPr="005C7CB3" w:rsidRDefault="00107906" w:rsidP="003276D3">
      <w:pPr>
        <w:pStyle w:val="NumBPlain1"/>
        <w:numPr>
          <w:ilvl w:val="0"/>
          <w:numId w:val="24"/>
        </w:numPr>
        <w:spacing w:after="100"/>
      </w:pPr>
      <w:bookmarkStart w:id="21" w:name="_Ref116440349"/>
      <w:r>
        <w:lastRenderedPageBreak/>
        <w:t>For the purpose</w:t>
      </w:r>
      <w:r w:rsidR="005F6703">
        <w:t>s</w:t>
      </w:r>
      <w:r>
        <w:t xml:space="preserve"> of paragraph</w:t>
      </w:r>
      <w:r w:rsidR="0069316D">
        <w:t>s</w:t>
      </w:r>
      <w:r w:rsidR="00071510">
        <w:t> </w:t>
      </w:r>
      <w:r w:rsidR="005F6703">
        <w:fldChar w:fldCharType="begin"/>
      </w:r>
      <w:r w:rsidR="005F6703">
        <w:instrText xml:space="preserve"> REF _Ref110858606 \r \h </w:instrText>
      </w:r>
      <w:r w:rsidR="005F6703">
        <w:fldChar w:fldCharType="separate"/>
      </w:r>
      <w:r w:rsidR="005A1B65">
        <w:t>F5</w:t>
      </w:r>
      <w:r w:rsidR="005F6703">
        <w:fldChar w:fldCharType="end"/>
      </w:r>
      <w:r w:rsidR="0069316D">
        <w:t xml:space="preserve"> and</w:t>
      </w:r>
      <w:r w:rsidR="00A72B60">
        <w:t xml:space="preserve"> </w:t>
      </w:r>
      <w:r w:rsidR="00A72B60">
        <w:fldChar w:fldCharType="begin"/>
      </w:r>
      <w:r w:rsidR="00A72B60">
        <w:instrText xml:space="preserve"> REF _Ref122345695 \r \h </w:instrText>
      </w:r>
      <w:r w:rsidR="00A72B60">
        <w:fldChar w:fldCharType="separate"/>
      </w:r>
      <w:r w:rsidR="005A1B65">
        <w:t>F6</w:t>
      </w:r>
      <w:r w:rsidR="00A72B60">
        <w:fldChar w:fldCharType="end"/>
      </w:r>
      <w:r>
        <w:t xml:space="preserve">, for assets with </w:t>
      </w:r>
      <w:r w:rsidR="00C50902">
        <w:t xml:space="preserve">various </w:t>
      </w:r>
      <w:r w:rsidR="002B48FA">
        <w:t>inputs to their fair value estimate</w:t>
      </w:r>
      <w:r>
        <w:t xml:space="preserve">, observable market data might be </w:t>
      </w:r>
      <w:r w:rsidR="0069316D">
        <w:t xml:space="preserve">reasonably </w:t>
      </w:r>
      <w:r>
        <w:t>available for some</w:t>
      </w:r>
      <w:r w:rsidR="002B48FA">
        <w:t xml:space="preserve"> inputs</w:t>
      </w:r>
      <w:r>
        <w:t xml:space="preserve">, in which instances unobservable inputs would be used </w:t>
      </w:r>
      <w:r w:rsidR="00305D98">
        <w:t xml:space="preserve">for the remainder of the asset’s fair value </w:t>
      </w:r>
      <w:r>
        <w:t xml:space="preserve">estimate. For example, the land component of a self-constructed specialised facility might have comparable land with an observable market price, but entity-specific data might be needed to measure the fair value of some or all of the </w:t>
      </w:r>
      <w:r w:rsidR="00197994">
        <w:t xml:space="preserve">improvements on that land included in the fair value estimate for </w:t>
      </w:r>
      <w:r>
        <w:t>the facility.</w:t>
      </w:r>
      <w:bookmarkStart w:id="22" w:name="_Ref115159639"/>
      <w:bookmarkEnd w:id="21"/>
    </w:p>
    <w:bookmarkEnd w:id="14"/>
    <w:bookmarkEnd w:id="19"/>
    <w:bookmarkEnd w:id="20"/>
    <w:bookmarkEnd w:id="22"/>
    <w:p w14:paraId="2C20B748" w14:textId="6535F399" w:rsidR="00AC0955" w:rsidRPr="00766E15" w:rsidRDefault="00AC0955" w:rsidP="007F4F54">
      <w:pPr>
        <w:pStyle w:val="IASBSectionTitle1NonInd"/>
        <w:jc w:val="both"/>
      </w:pPr>
      <w:r>
        <w:t>Application of the cost approach (</w:t>
      </w:r>
      <w:r w:rsidRPr="00B85664">
        <w:t xml:space="preserve">paragraphs </w:t>
      </w:r>
      <w:r w:rsidRPr="00D1491A">
        <w:t>B8</w:t>
      </w:r>
      <w:r w:rsidR="00B85664" w:rsidRPr="00D1491A">
        <w:t xml:space="preserve"> and </w:t>
      </w:r>
      <w:r w:rsidRPr="00D1491A">
        <w:t>B9</w:t>
      </w:r>
      <w:r w:rsidRPr="00B85664">
        <w:t>)</w:t>
      </w:r>
    </w:p>
    <w:p w14:paraId="372D12CC" w14:textId="1BC473AE" w:rsidR="00D05CB6" w:rsidRDefault="00DB740A" w:rsidP="003276D3">
      <w:pPr>
        <w:pStyle w:val="NumBPlain1"/>
        <w:numPr>
          <w:ilvl w:val="0"/>
          <w:numId w:val="24"/>
        </w:numPr>
        <w:spacing w:after="100"/>
      </w:pPr>
      <w:bookmarkStart w:id="23" w:name="_Ref90288026"/>
      <w:r>
        <w:t>Paragraphs B8 and B9 state that t</w:t>
      </w:r>
      <w:r w:rsidRPr="00345F4C">
        <w:t>he cost approach reflects the amount that would be required currently to replace the service capacity of an asset (often referred to as current replacement cost)</w:t>
      </w:r>
      <w:r>
        <w:t xml:space="preserve">, based on </w:t>
      </w:r>
      <w:r w:rsidRPr="00D0694E">
        <w:t>the cost to a market participant buyer to acquire or construct a substitute asset of comparable utility, adjusted for obsolescence</w:t>
      </w:r>
      <w:r>
        <w:t>.</w:t>
      </w:r>
    </w:p>
    <w:p w14:paraId="3C7FDB56" w14:textId="1CC8DFDD" w:rsidR="00D612DC" w:rsidRPr="00107E79" w:rsidRDefault="00DB740A" w:rsidP="003276D3">
      <w:pPr>
        <w:pStyle w:val="NumBPlain1"/>
        <w:numPr>
          <w:ilvl w:val="0"/>
          <w:numId w:val="24"/>
        </w:numPr>
        <w:spacing w:after="100"/>
        <w:rPr>
          <w:szCs w:val="19"/>
        </w:rPr>
      </w:pPr>
      <w:bookmarkStart w:id="24" w:name="_Ref118903813"/>
      <w:bookmarkStart w:id="25" w:name="_Ref113942524"/>
      <w:r>
        <w:t>Accordingly, w</w:t>
      </w:r>
      <w:r w:rsidRPr="00246F30">
        <w:t xml:space="preserve">hen measuring </w:t>
      </w:r>
      <w:r>
        <w:t xml:space="preserve">the fair value of </w:t>
      </w:r>
      <w:r w:rsidRPr="00246F30">
        <w:t>a</w:t>
      </w:r>
      <w:r>
        <w:t xml:space="preserve"> non-financial asset </w:t>
      </w:r>
      <w:r w:rsidRPr="00246F30">
        <w:t xml:space="preserve">of a not-for-profit public sector entity </w:t>
      </w:r>
      <w:r>
        <w:t xml:space="preserve">not held primarily for its ability to generate net cash inflows (the subject asset) </w:t>
      </w:r>
      <w:r w:rsidRPr="00246F30">
        <w:t>using the cost approach</w:t>
      </w:r>
      <w:r w:rsidRPr="00B85664">
        <w:t xml:space="preserve">, </w:t>
      </w:r>
      <w:r>
        <w:t>an entity</w:t>
      </w:r>
      <w:r w:rsidR="0015410C">
        <w:t xml:space="preserve"> shall</w:t>
      </w:r>
      <w:r w:rsidR="00D612DC">
        <w:t>:</w:t>
      </w:r>
      <w:bookmarkEnd w:id="24"/>
    </w:p>
    <w:p w14:paraId="7055B62A" w14:textId="7264F81E" w:rsidR="00D05CB6" w:rsidRPr="00107E79" w:rsidRDefault="00DB740A" w:rsidP="00D677D9">
      <w:pPr>
        <w:pStyle w:val="NumBPlain2"/>
        <w:numPr>
          <w:ilvl w:val="0"/>
          <w:numId w:val="47"/>
        </w:numPr>
        <w:spacing w:after="100"/>
        <w:ind w:left="1564" w:hanging="782"/>
        <w:rPr>
          <w:szCs w:val="19"/>
        </w:rPr>
      </w:pPr>
      <w:r w:rsidRPr="00107E79">
        <w:rPr>
          <w:szCs w:val="19"/>
        </w:rPr>
        <w:t xml:space="preserve">estimate the cost currently required for a market participant buyer to acquire or construct a reference asset </w:t>
      </w:r>
      <w:r w:rsidR="00284AA8" w:rsidRPr="00107E79">
        <w:rPr>
          <w:szCs w:val="19"/>
        </w:rPr>
        <w:t>(ie the replacement cost of a reference asset)</w:t>
      </w:r>
      <w:r w:rsidR="00D23526" w:rsidRPr="00107E79">
        <w:rPr>
          <w:szCs w:val="19"/>
        </w:rPr>
        <w:t xml:space="preserve"> </w:t>
      </w:r>
      <w:r w:rsidRPr="00107E79">
        <w:rPr>
          <w:szCs w:val="19"/>
        </w:rPr>
        <w:t>in accordance with paragraphs</w:t>
      </w:r>
      <w:r w:rsidR="0020786E" w:rsidRPr="00107E79">
        <w:rPr>
          <w:szCs w:val="19"/>
        </w:rPr>
        <w:t> </w:t>
      </w:r>
      <w:r w:rsidR="001240E0" w:rsidRPr="00107E79">
        <w:rPr>
          <w:szCs w:val="19"/>
        </w:rPr>
        <w:fldChar w:fldCharType="begin"/>
      </w:r>
      <w:r w:rsidR="001240E0" w:rsidRPr="00107E79">
        <w:rPr>
          <w:szCs w:val="19"/>
        </w:rPr>
        <w:instrText xml:space="preserve"> REF _Ref113946224 \r \h </w:instrText>
      </w:r>
      <w:r w:rsidR="00107E79">
        <w:rPr>
          <w:szCs w:val="19"/>
        </w:rPr>
        <w:instrText xml:space="preserve"> \* MERGEFORMAT </w:instrText>
      </w:r>
      <w:r w:rsidR="001240E0" w:rsidRPr="00107E79">
        <w:rPr>
          <w:szCs w:val="19"/>
        </w:rPr>
      </w:r>
      <w:r w:rsidR="001240E0" w:rsidRPr="00107E79">
        <w:rPr>
          <w:szCs w:val="19"/>
        </w:rPr>
        <w:fldChar w:fldCharType="separate"/>
      </w:r>
      <w:r w:rsidR="005A1B65">
        <w:rPr>
          <w:szCs w:val="19"/>
        </w:rPr>
        <w:t>F11</w:t>
      </w:r>
      <w:r w:rsidR="001240E0" w:rsidRPr="00107E79">
        <w:rPr>
          <w:szCs w:val="19"/>
        </w:rPr>
        <w:fldChar w:fldCharType="end"/>
      </w:r>
      <w:r w:rsidRPr="00107E79">
        <w:rPr>
          <w:szCs w:val="19"/>
        </w:rPr>
        <w:t>–</w:t>
      </w:r>
      <w:r w:rsidR="001240E0" w:rsidRPr="00107E79">
        <w:rPr>
          <w:szCs w:val="19"/>
        </w:rPr>
        <w:fldChar w:fldCharType="begin"/>
      </w:r>
      <w:r w:rsidR="001240E0" w:rsidRPr="00107E79">
        <w:rPr>
          <w:szCs w:val="19"/>
        </w:rPr>
        <w:instrText xml:space="preserve"> REF _Ref113946817 \r \h </w:instrText>
      </w:r>
      <w:r w:rsidR="00107E79">
        <w:rPr>
          <w:szCs w:val="19"/>
        </w:rPr>
        <w:instrText xml:space="preserve"> \* MERGEFORMAT </w:instrText>
      </w:r>
      <w:r w:rsidR="001240E0" w:rsidRPr="00107E79">
        <w:rPr>
          <w:szCs w:val="19"/>
        </w:rPr>
      </w:r>
      <w:r w:rsidR="001240E0" w:rsidRPr="00107E79">
        <w:rPr>
          <w:szCs w:val="19"/>
        </w:rPr>
        <w:fldChar w:fldCharType="separate"/>
      </w:r>
      <w:r w:rsidR="005A1B65">
        <w:rPr>
          <w:szCs w:val="19"/>
        </w:rPr>
        <w:t>F15</w:t>
      </w:r>
      <w:r w:rsidR="001240E0" w:rsidRPr="00107E79">
        <w:rPr>
          <w:szCs w:val="19"/>
        </w:rPr>
        <w:fldChar w:fldCharType="end"/>
      </w:r>
      <w:bookmarkEnd w:id="25"/>
      <w:r w:rsidR="00EE5AB7" w:rsidRPr="00107E79">
        <w:rPr>
          <w:szCs w:val="19"/>
        </w:rPr>
        <w:t>;</w:t>
      </w:r>
      <w:r w:rsidR="00A10851" w:rsidRPr="00107E79">
        <w:rPr>
          <w:szCs w:val="19"/>
        </w:rPr>
        <w:t xml:space="preserve"> </w:t>
      </w:r>
      <w:r w:rsidR="001951A4" w:rsidRPr="00107E79">
        <w:rPr>
          <w:szCs w:val="19"/>
        </w:rPr>
        <w:t>and</w:t>
      </w:r>
    </w:p>
    <w:bookmarkEnd w:id="23"/>
    <w:p w14:paraId="675FD13E" w14:textId="0C3035F5" w:rsidR="008C7F60" w:rsidRPr="00107E79" w:rsidRDefault="00225ABD" w:rsidP="003276D3">
      <w:pPr>
        <w:pStyle w:val="NumBPlain2"/>
        <w:spacing w:after="100"/>
        <w:ind w:left="1564" w:hanging="782"/>
        <w:rPr>
          <w:szCs w:val="19"/>
        </w:rPr>
      </w:pPr>
      <w:r w:rsidRPr="00107E79">
        <w:rPr>
          <w:szCs w:val="19"/>
        </w:rPr>
        <w:t>adjust th</w:t>
      </w:r>
      <w:r w:rsidR="00EE5AB7" w:rsidRPr="00107E79">
        <w:rPr>
          <w:szCs w:val="19"/>
        </w:rPr>
        <w:t xml:space="preserve">e </w:t>
      </w:r>
      <w:r w:rsidRPr="00107E79">
        <w:rPr>
          <w:szCs w:val="19"/>
        </w:rPr>
        <w:t xml:space="preserve">estimate </w:t>
      </w:r>
      <w:r w:rsidR="00EE5AB7" w:rsidRPr="00107E79">
        <w:rPr>
          <w:szCs w:val="19"/>
        </w:rPr>
        <w:t xml:space="preserve">in (a) </w:t>
      </w:r>
      <w:r w:rsidRPr="00107E79">
        <w:rPr>
          <w:szCs w:val="19"/>
        </w:rPr>
        <w:t>for</w:t>
      </w:r>
      <w:r w:rsidR="00DD2AF9" w:rsidRPr="00107E79">
        <w:rPr>
          <w:szCs w:val="19"/>
        </w:rPr>
        <w:t xml:space="preserve"> any</w:t>
      </w:r>
      <w:r w:rsidR="008C7F60" w:rsidRPr="00107E79">
        <w:rPr>
          <w:szCs w:val="19"/>
        </w:rPr>
        <w:t>:</w:t>
      </w:r>
    </w:p>
    <w:p w14:paraId="5D98DAE4" w14:textId="04718E85" w:rsidR="001951A4" w:rsidRPr="00107E79" w:rsidRDefault="00225ABD" w:rsidP="003276D3">
      <w:pPr>
        <w:pStyle w:val="NumBPlain2"/>
        <w:numPr>
          <w:ilvl w:val="2"/>
          <w:numId w:val="24"/>
        </w:numPr>
        <w:spacing w:after="100"/>
        <w:ind w:left="2347" w:hanging="782"/>
        <w:rPr>
          <w:szCs w:val="19"/>
        </w:rPr>
      </w:pPr>
      <w:r w:rsidRPr="00107E79">
        <w:rPr>
          <w:szCs w:val="19"/>
        </w:rPr>
        <w:t xml:space="preserve">differences </w:t>
      </w:r>
      <w:r w:rsidR="00E92D81" w:rsidRPr="00107E79">
        <w:rPr>
          <w:szCs w:val="19"/>
        </w:rPr>
        <w:t xml:space="preserve">between the current service capacity of the reference asset and the subject asset (for example, where the modern equivalent asset is engineered to a higher standard than the subject asset, </w:t>
      </w:r>
      <w:r w:rsidR="00F72AEF">
        <w:rPr>
          <w:szCs w:val="19"/>
        </w:rPr>
        <w:t>such as where</w:t>
      </w:r>
      <w:r w:rsidR="00E92D81" w:rsidRPr="00107E79">
        <w:rPr>
          <w:szCs w:val="19"/>
        </w:rPr>
        <w:t xml:space="preserve"> the subject asset is a building and the modern equivalent building has superior fire safety features and a greater number of lifts than the subject building</w:t>
      </w:r>
      <w:r w:rsidRPr="00107E79">
        <w:rPr>
          <w:szCs w:val="19"/>
        </w:rPr>
        <w:t>)</w:t>
      </w:r>
      <w:r w:rsidR="0027604F" w:rsidRPr="00107E79">
        <w:rPr>
          <w:szCs w:val="19"/>
        </w:rPr>
        <w:t>;</w:t>
      </w:r>
      <w:r w:rsidR="00E56CDE" w:rsidRPr="00107E79">
        <w:rPr>
          <w:szCs w:val="19"/>
        </w:rPr>
        <w:t xml:space="preserve"> </w:t>
      </w:r>
      <w:r w:rsidRPr="00107E79">
        <w:rPr>
          <w:szCs w:val="19"/>
        </w:rPr>
        <w:t>and</w:t>
      </w:r>
    </w:p>
    <w:p w14:paraId="58B96289" w14:textId="2D65AE15" w:rsidR="00E852D9" w:rsidRPr="00107E79" w:rsidRDefault="00225ABD" w:rsidP="003276D3">
      <w:pPr>
        <w:pStyle w:val="NumBPlain2"/>
        <w:numPr>
          <w:ilvl w:val="2"/>
          <w:numId w:val="24"/>
        </w:numPr>
        <w:spacing w:after="100"/>
        <w:ind w:left="2347" w:hanging="782"/>
        <w:rPr>
          <w:szCs w:val="19"/>
        </w:rPr>
      </w:pPr>
      <w:r w:rsidRPr="00107E79">
        <w:rPr>
          <w:szCs w:val="19"/>
        </w:rPr>
        <w:t>obsolescence</w:t>
      </w:r>
      <w:r w:rsidR="000B376A" w:rsidRPr="00107E79">
        <w:rPr>
          <w:szCs w:val="19"/>
        </w:rPr>
        <w:t xml:space="preserve"> (physical</w:t>
      </w:r>
      <w:r w:rsidR="00F24845" w:rsidRPr="00107E79">
        <w:rPr>
          <w:szCs w:val="19"/>
        </w:rPr>
        <w:t xml:space="preserve"> deterioration</w:t>
      </w:r>
      <w:r w:rsidR="000B376A" w:rsidRPr="00107E79">
        <w:rPr>
          <w:szCs w:val="19"/>
        </w:rPr>
        <w:t xml:space="preserve">, functional </w:t>
      </w:r>
      <w:r w:rsidR="00F24845" w:rsidRPr="00107E79">
        <w:rPr>
          <w:szCs w:val="19"/>
        </w:rPr>
        <w:t xml:space="preserve">obsolescence </w:t>
      </w:r>
      <w:r w:rsidR="000B376A" w:rsidRPr="00107E79">
        <w:rPr>
          <w:szCs w:val="19"/>
        </w:rPr>
        <w:t>and economic obsolescence)</w:t>
      </w:r>
      <w:r w:rsidRPr="00107E79">
        <w:rPr>
          <w:szCs w:val="19"/>
        </w:rPr>
        <w:t>.</w:t>
      </w:r>
    </w:p>
    <w:p w14:paraId="0A5ECCB7" w14:textId="771C5B11" w:rsidR="00002BDE" w:rsidRDefault="00002BDE" w:rsidP="003276D3">
      <w:pPr>
        <w:pStyle w:val="NumBPlain1"/>
        <w:widowControl w:val="0"/>
        <w:numPr>
          <w:ilvl w:val="0"/>
          <w:numId w:val="24"/>
        </w:numPr>
        <w:spacing w:after="100"/>
      </w:pPr>
      <w:bookmarkStart w:id="26" w:name="_Ref94516077"/>
      <w:bookmarkStart w:id="27" w:name="_Ref94804629"/>
      <w:bookmarkStart w:id="28" w:name="_Ref94805264"/>
      <w:r w:rsidRPr="00107E79">
        <w:rPr>
          <w:szCs w:val="19"/>
        </w:rPr>
        <w:t>A reference asset is a suitable alternative to the subject asset that the market participant buyer would consider in developing its pricing assumptions about the subject asset. Identifying the most appropriate reference asset involves the application of judgement and, on occasion, detailed valuation assessments in the circumstances of the subject asset. A reference asset could be a modern equivalent asset or a</w:t>
      </w:r>
      <w:r w:rsidRPr="00782FEF">
        <w:t xml:space="preserve"> replica asset (where the utility offered by the subject asset could be provided only, or more cheaply, by a replica rather than a modern equivalent asset). A modern equivalent asset is an asset that provides similar function and equivalent utility to the subject asset, but is of a current design and constructed or made using current cost-effective materials and techniques</w:t>
      </w:r>
      <w:r>
        <w:t>.</w:t>
      </w:r>
    </w:p>
    <w:p w14:paraId="1AF67293" w14:textId="77777777" w:rsidR="000B7317" w:rsidRPr="00802188" w:rsidRDefault="000B7317" w:rsidP="00EA382D">
      <w:pPr>
        <w:pStyle w:val="IASBSectionTitle2Ind"/>
      </w:pPr>
      <w:r w:rsidRPr="00802188">
        <w:t xml:space="preserve">Estimating the replacement cost of a reference asset </w:t>
      </w:r>
    </w:p>
    <w:p w14:paraId="564C5CCC" w14:textId="6AE17201" w:rsidR="00A232A9" w:rsidRDefault="00A232A9" w:rsidP="003276D3">
      <w:pPr>
        <w:pStyle w:val="NumBPlain1"/>
        <w:widowControl w:val="0"/>
        <w:numPr>
          <w:ilvl w:val="0"/>
          <w:numId w:val="24"/>
        </w:numPr>
        <w:spacing w:after="100"/>
      </w:pPr>
      <w:bookmarkStart w:id="29" w:name="_Ref113946224"/>
      <w:r>
        <w:t>For the purposes of paragraph</w:t>
      </w:r>
      <w:r w:rsidR="00185F45">
        <w:t> </w:t>
      </w:r>
      <w:r w:rsidR="00185F45">
        <w:fldChar w:fldCharType="begin"/>
      </w:r>
      <w:r w:rsidR="00185F45">
        <w:instrText xml:space="preserve"> REF _Ref113942524 \r \h </w:instrText>
      </w:r>
      <w:r w:rsidR="00185F45">
        <w:fldChar w:fldCharType="separate"/>
      </w:r>
      <w:r w:rsidR="005A1B65">
        <w:t>F9</w:t>
      </w:r>
      <w:r w:rsidR="00185F45">
        <w:fldChar w:fldCharType="end"/>
      </w:r>
      <w:r w:rsidR="00E63D9E">
        <w:t>(a)</w:t>
      </w:r>
      <w:r>
        <w:t xml:space="preserve">, when estimating the </w:t>
      </w:r>
      <w:r w:rsidR="0061600B">
        <w:t>replacement cost of</w:t>
      </w:r>
      <w:r w:rsidRPr="00BB1D83">
        <w:t xml:space="preserve"> a reference asset</w:t>
      </w:r>
      <w:r>
        <w:t>, an entity:</w:t>
      </w:r>
      <w:bookmarkEnd w:id="29"/>
    </w:p>
    <w:p w14:paraId="6440DA49" w14:textId="545ADE6D" w:rsidR="007E49B0" w:rsidRDefault="00A232A9" w:rsidP="003276D3">
      <w:pPr>
        <w:pStyle w:val="NumBPlain1"/>
        <w:widowControl w:val="0"/>
        <w:numPr>
          <w:ilvl w:val="0"/>
          <w:numId w:val="29"/>
        </w:numPr>
        <w:spacing w:after="100"/>
        <w:ind w:left="1564" w:hanging="782"/>
      </w:pPr>
      <w:bookmarkStart w:id="30" w:name="_Ref90288595"/>
      <w:bookmarkEnd w:id="26"/>
      <w:bookmarkEnd w:id="27"/>
      <w:bookmarkEnd w:id="28"/>
      <w:r>
        <w:t>assumes the reference asset will be acquired or constructed at the subject asset’s existing location; and</w:t>
      </w:r>
    </w:p>
    <w:bookmarkEnd w:id="30"/>
    <w:p w14:paraId="6A10EED7" w14:textId="4A66D71E" w:rsidR="00AF055C" w:rsidRDefault="00A232A9" w:rsidP="003276D3">
      <w:pPr>
        <w:pStyle w:val="NumBPlain1"/>
        <w:widowControl w:val="0"/>
        <w:numPr>
          <w:ilvl w:val="0"/>
          <w:numId w:val="29"/>
        </w:numPr>
        <w:spacing w:after="100"/>
        <w:ind w:left="1564" w:hanging="782"/>
      </w:pPr>
      <w:r>
        <w:t>where paragraph</w:t>
      </w:r>
      <w:r w:rsidR="00BA1C50">
        <w:t> </w:t>
      </w:r>
      <w:r w:rsidR="00BA1C50">
        <w:fldChar w:fldCharType="begin"/>
      </w:r>
      <w:r w:rsidR="00BA1C50">
        <w:instrText xml:space="preserve"> REF _Ref110858606 \r \h </w:instrText>
      </w:r>
      <w:r w:rsidR="00BA1C50">
        <w:fldChar w:fldCharType="separate"/>
      </w:r>
      <w:r w:rsidR="005A1B65">
        <w:t>F5</w:t>
      </w:r>
      <w:r w:rsidR="00BA1C50">
        <w:fldChar w:fldCharType="end"/>
      </w:r>
      <w:r>
        <w:t xml:space="preserve"> applies, shall use its own assumptions as a </w:t>
      </w:r>
      <w:r w:rsidRPr="004C1FA1">
        <w:t xml:space="preserve">starting point </w:t>
      </w:r>
      <w:r w:rsidR="004F4E12">
        <w:t xml:space="preserve">in </w:t>
      </w:r>
      <w:r w:rsidR="00DF48D0">
        <w:t>developing</w:t>
      </w:r>
      <w:r w:rsidR="00407A7B">
        <w:t xml:space="preserve"> unobservable inputs </w:t>
      </w:r>
      <w:r w:rsidR="004F4E12">
        <w:t xml:space="preserve">to measure </w:t>
      </w:r>
      <w:r>
        <w:t xml:space="preserve">the costs currently required to acquire or construct a reference asset </w:t>
      </w:r>
      <w:r w:rsidRPr="004C1FA1">
        <w:t xml:space="preserve">and adjust those assumptions </w:t>
      </w:r>
      <w:r w:rsidR="00547EE3">
        <w:t xml:space="preserve">to the extent that </w:t>
      </w:r>
      <w:r w:rsidRPr="004C1FA1">
        <w:t>reasonably available information indicates that other market participants would use different data</w:t>
      </w:r>
      <w:r>
        <w:t>.</w:t>
      </w:r>
    </w:p>
    <w:p w14:paraId="38C7F093" w14:textId="02B6F539" w:rsidR="00AC0955" w:rsidRDefault="003B3482" w:rsidP="003276D3">
      <w:pPr>
        <w:pStyle w:val="NumBPlain1"/>
        <w:widowControl w:val="0"/>
        <w:numPr>
          <w:ilvl w:val="0"/>
          <w:numId w:val="24"/>
        </w:numPr>
        <w:spacing w:after="100"/>
      </w:pPr>
      <w:bookmarkStart w:id="31" w:name="_Ref90288055"/>
      <w:r>
        <w:t>When applying paragraph</w:t>
      </w:r>
      <w:r w:rsidR="001E46BD">
        <w:t>s </w:t>
      </w:r>
      <w:r w:rsidR="008066A3">
        <w:fldChar w:fldCharType="begin"/>
      </w:r>
      <w:r w:rsidR="008066A3">
        <w:instrText xml:space="preserve"> REF _Ref113942524 \r \h </w:instrText>
      </w:r>
      <w:r w:rsidR="008066A3">
        <w:fldChar w:fldCharType="separate"/>
      </w:r>
      <w:r w:rsidR="005A1B65">
        <w:t>F9</w:t>
      </w:r>
      <w:r w:rsidR="008066A3">
        <w:fldChar w:fldCharType="end"/>
      </w:r>
      <w:r w:rsidR="001948F5">
        <w:t>(a)</w:t>
      </w:r>
      <w:r w:rsidR="008066A3">
        <w:t xml:space="preserve"> </w:t>
      </w:r>
      <w:r w:rsidR="001E46BD">
        <w:t>and</w:t>
      </w:r>
      <w:r w:rsidR="00BA1257">
        <w:t> </w:t>
      </w:r>
      <w:r w:rsidR="00BA1257">
        <w:fldChar w:fldCharType="begin"/>
      </w:r>
      <w:r w:rsidR="00BA1257">
        <w:instrText xml:space="preserve"> REF _Ref113946224 \r \h </w:instrText>
      </w:r>
      <w:r w:rsidR="00BA1257">
        <w:fldChar w:fldCharType="separate"/>
      </w:r>
      <w:r w:rsidR="005A1B65">
        <w:t>F11</w:t>
      </w:r>
      <w:r w:rsidR="00BA1257">
        <w:fldChar w:fldCharType="end"/>
      </w:r>
      <w:r>
        <w:t xml:space="preserve">, the entity shall, subject to </w:t>
      </w:r>
      <w:r w:rsidRPr="00A016B4">
        <w:t>paragraph </w:t>
      </w:r>
      <w:r w:rsidR="00BA1257" w:rsidRPr="00A016B4">
        <w:fldChar w:fldCharType="begin"/>
      </w:r>
      <w:r w:rsidR="00BA1257" w:rsidRPr="00A016B4">
        <w:instrText xml:space="preserve"> REF _Ref113942548 \r \h </w:instrText>
      </w:r>
      <w:r w:rsidR="00A016B4" w:rsidRPr="00A016B4">
        <w:instrText xml:space="preserve"> \* MERGEFORMAT </w:instrText>
      </w:r>
      <w:r w:rsidR="00BA1257" w:rsidRPr="00A016B4">
        <w:fldChar w:fldCharType="separate"/>
      </w:r>
      <w:r w:rsidR="005A1B65">
        <w:t>F14</w:t>
      </w:r>
      <w:r w:rsidR="00BA1257" w:rsidRPr="00A016B4">
        <w:fldChar w:fldCharType="end"/>
      </w:r>
      <w:r w:rsidRPr="00A016B4">
        <w:t xml:space="preserve">, include the following costs (among other costs) in the reference asset’s replacement cost if they </w:t>
      </w:r>
      <w:r w:rsidR="009A3058" w:rsidRPr="00A016B4">
        <w:t xml:space="preserve">are judged to be </w:t>
      </w:r>
      <w:r w:rsidR="00433E25" w:rsidRPr="00A016B4">
        <w:t>necessar</w:t>
      </w:r>
      <w:r w:rsidR="0084377A" w:rsidRPr="00A016B4">
        <w:t>ily incurred</w:t>
      </w:r>
      <w:r w:rsidR="00433E25" w:rsidRPr="00A016B4">
        <w:t xml:space="preserve"> </w:t>
      </w:r>
      <w:r w:rsidR="009A4AAC" w:rsidRPr="00A016B4">
        <w:t>in</w:t>
      </w:r>
      <w:r w:rsidRPr="00A016B4">
        <w:t xml:space="preserve"> the hypothetical acquisition or construction of </w:t>
      </w:r>
      <w:r w:rsidR="00492575" w:rsidRPr="00A016B4">
        <w:t>the</w:t>
      </w:r>
      <w:r w:rsidR="000A2804" w:rsidRPr="00A016B4">
        <w:t xml:space="preserve"> </w:t>
      </w:r>
      <w:r w:rsidRPr="00A016B4">
        <w:t>reference asset at the m</w:t>
      </w:r>
      <w:r>
        <w:t>easurement date:</w:t>
      </w:r>
      <w:bookmarkEnd w:id="31"/>
      <w:r w:rsidR="00AC0955">
        <w:t xml:space="preserve"> </w:t>
      </w:r>
    </w:p>
    <w:p w14:paraId="7BC34855" w14:textId="62507830" w:rsidR="007D66E9" w:rsidRDefault="007D66E9" w:rsidP="003276D3">
      <w:pPr>
        <w:pStyle w:val="NumBPlain1"/>
        <w:widowControl w:val="0"/>
        <w:numPr>
          <w:ilvl w:val="1"/>
          <w:numId w:val="24"/>
        </w:numPr>
        <w:spacing w:after="100"/>
        <w:ind w:left="1564" w:hanging="782"/>
      </w:pPr>
      <w:r>
        <w:t>costs required to restore</w:t>
      </w:r>
      <w:r w:rsidRPr="005F793B">
        <w:t xml:space="preserve"> </w:t>
      </w:r>
      <w:r>
        <w:t>another entity’s asset, if the asset that would need restoration existed at the measurement date and would be disturbed in a hypothetical acquisition or construction of the reference</w:t>
      </w:r>
      <w:r w:rsidR="0001451D">
        <w:t xml:space="preserve"> asset</w:t>
      </w:r>
      <w:r>
        <w:t>. However, such costs are excluded if they relate to restoration of an asset of another entity included in the consolidated group (if any) to which the entity belongs;</w:t>
      </w:r>
    </w:p>
    <w:p w14:paraId="495CBDA4" w14:textId="596DD18A" w:rsidR="007D66E9" w:rsidRDefault="00972511" w:rsidP="003276D3">
      <w:pPr>
        <w:pStyle w:val="NumBPlain1"/>
        <w:widowControl w:val="0"/>
        <w:numPr>
          <w:ilvl w:val="1"/>
          <w:numId w:val="24"/>
        </w:numPr>
        <w:spacing w:after="100"/>
        <w:ind w:left="1564" w:hanging="782"/>
      </w:pPr>
      <w:r>
        <w:t xml:space="preserve">other disruption costs that would hypothetically be incurred when acquiring or constructing the reference asset at the measurement date (eg costs of redirecting traffic when replacement of the </w:t>
      </w:r>
      <w:r w:rsidR="004B00DA">
        <w:t xml:space="preserve">reference </w:t>
      </w:r>
      <w:r>
        <w:t>asset</w:t>
      </w:r>
      <w:r w:rsidR="00A111AD">
        <w:t>, such as a drainage pipe,</w:t>
      </w:r>
      <w:r>
        <w:t xml:space="preserve"> disrupts the operation of a road); and</w:t>
      </w:r>
    </w:p>
    <w:p w14:paraId="0B941D54" w14:textId="776C0EEA" w:rsidR="00054A61" w:rsidRDefault="00054A61" w:rsidP="003276D3">
      <w:pPr>
        <w:pStyle w:val="NumBPlain1"/>
        <w:widowControl w:val="0"/>
        <w:numPr>
          <w:ilvl w:val="1"/>
          <w:numId w:val="24"/>
        </w:numPr>
        <w:spacing w:after="100"/>
        <w:ind w:left="1564" w:hanging="782"/>
      </w:pPr>
      <w:r>
        <w:t>if the subject asset is fixed to a parcel of land</w:t>
      </w:r>
      <w:r w:rsidRPr="008352B0">
        <w:t xml:space="preserve">, </w:t>
      </w:r>
      <w:r w:rsidR="00C147D2">
        <w:t xml:space="preserve">site </w:t>
      </w:r>
      <w:r w:rsidR="00624EDA">
        <w:t xml:space="preserve">preparation </w:t>
      </w:r>
      <w:r w:rsidR="00C147D2">
        <w:t xml:space="preserve">costs for </w:t>
      </w:r>
      <w:r>
        <w:t>the reference parcel of land on which the reference asset would hypothetically be constructed</w:t>
      </w:r>
      <w:r w:rsidR="00C147D2">
        <w:t>,</w:t>
      </w:r>
      <w:r>
        <w:t xml:space="preserve"> unless those </w:t>
      </w:r>
      <w:r w:rsidR="00C147D2">
        <w:t xml:space="preserve">site </w:t>
      </w:r>
      <w:r w:rsidR="0065485C">
        <w:t xml:space="preserve">preparation </w:t>
      </w:r>
      <w:r>
        <w:t xml:space="preserve">costs </w:t>
      </w:r>
      <w:r w:rsidR="00C147D2">
        <w:t xml:space="preserve">are </w:t>
      </w:r>
      <w:r>
        <w:t xml:space="preserve">reflected </w:t>
      </w:r>
      <w:r w:rsidR="00C147D2">
        <w:t xml:space="preserve">(explicitly or implicitly) </w:t>
      </w:r>
      <w:r>
        <w:t xml:space="preserve">in the fair value measurement of the </w:t>
      </w:r>
      <w:r w:rsidR="00DE092F">
        <w:t xml:space="preserve">subject </w:t>
      </w:r>
      <w:r w:rsidR="004E2266">
        <w:t xml:space="preserve">parcel of </w:t>
      </w:r>
      <w:r>
        <w:t>land</w:t>
      </w:r>
      <w:r w:rsidR="00E22243">
        <w:t>.</w:t>
      </w:r>
    </w:p>
    <w:p w14:paraId="7C087C46" w14:textId="175EAD12" w:rsidR="00972511" w:rsidRDefault="003F0C43" w:rsidP="003276D3">
      <w:pPr>
        <w:pStyle w:val="NumBPlain1"/>
        <w:widowControl w:val="0"/>
        <w:numPr>
          <w:ilvl w:val="0"/>
          <w:numId w:val="24"/>
        </w:numPr>
        <w:spacing w:after="100"/>
      </w:pPr>
      <w:bookmarkStart w:id="32" w:name="_Ref115168257"/>
      <w:r>
        <w:lastRenderedPageBreak/>
        <w:t>F</w:t>
      </w:r>
      <w:r w:rsidR="00D91D5A">
        <w:t>or the purposes of paragraph </w:t>
      </w:r>
      <w:r>
        <w:fldChar w:fldCharType="begin"/>
      </w:r>
      <w:r>
        <w:instrText xml:space="preserve"> REF _Ref90288055 \r \h </w:instrText>
      </w:r>
      <w:r>
        <w:fldChar w:fldCharType="separate"/>
      </w:r>
      <w:r w:rsidR="005A1B65">
        <w:t>F12</w:t>
      </w:r>
      <w:r>
        <w:fldChar w:fldCharType="end"/>
      </w:r>
      <w:r w:rsidR="00511224">
        <w:t>(c)</w:t>
      </w:r>
      <w:r w:rsidR="00D91D5A">
        <w:t xml:space="preserve">, site </w:t>
      </w:r>
      <w:r w:rsidR="00624EDA">
        <w:t xml:space="preserve">preparation </w:t>
      </w:r>
      <w:r w:rsidR="00D91D5A">
        <w:t>costs include, but are not limited to:</w:t>
      </w:r>
      <w:bookmarkEnd w:id="32"/>
    </w:p>
    <w:p w14:paraId="241551F1" w14:textId="63C6D7E1" w:rsidR="00972511" w:rsidRDefault="003B1B5E" w:rsidP="003276D3">
      <w:pPr>
        <w:pStyle w:val="NumBPlain1"/>
        <w:widowControl w:val="0"/>
        <w:numPr>
          <w:ilvl w:val="1"/>
          <w:numId w:val="24"/>
        </w:numPr>
        <w:spacing w:after="100"/>
        <w:ind w:left="1564" w:hanging="782"/>
      </w:pPr>
      <w:r>
        <w:t>costs required to prepare the land (eg earthworks) for the hypothetical construction of the reference asset; and</w:t>
      </w:r>
    </w:p>
    <w:p w14:paraId="1D60DF9E" w14:textId="2C315B1B" w:rsidR="003B1B5E" w:rsidRDefault="003B1B5E" w:rsidP="003276D3">
      <w:pPr>
        <w:pStyle w:val="NumBPlain1"/>
        <w:widowControl w:val="0"/>
        <w:numPr>
          <w:ilvl w:val="1"/>
          <w:numId w:val="24"/>
        </w:numPr>
        <w:spacing w:after="100"/>
        <w:ind w:left="1564" w:hanging="782"/>
      </w:pPr>
      <w:r>
        <w:t>c</w:t>
      </w:r>
      <w:r w:rsidRPr="00DF1A94">
        <w:t xml:space="preserve">osts required to remove and dispose </w:t>
      </w:r>
      <w:r>
        <w:t xml:space="preserve">of any </w:t>
      </w:r>
      <w:r w:rsidRPr="00DF1A94">
        <w:t>unwanted</w:t>
      </w:r>
      <w:r>
        <w:t xml:space="preserve"> existing</w:t>
      </w:r>
      <w:r w:rsidRPr="00DF1A94">
        <w:t xml:space="preserve"> structure</w:t>
      </w:r>
      <w:r>
        <w:t>s on the land to make way for the hypothetical construction of the reference asset.</w:t>
      </w:r>
    </w:p>
    <w:p w14:paraId="393B38F7" w14:textId="43F03A67" w:rsidR="003B3482" w:rsidRPr="00347996" w:rsidRDefault="00347996" w:rsidP="003276D3">
      <w:pPr>
        <w:pStyle w:val="NumBPlain1"/>
        <w:widowControl w:val="0"/>
        <w:numPr>
          <w:ilvl w:val="0"/>
          <w:numId w:val="24"/>
        </w:numPr>
        <w:spacing w:after="100"/>
      </w:pPr>
      <w:bookmarkStart w:id="33" w:name="_Ref113942548"/>
      <w:r>
        <w:rPr>
          <w:szCs w:val="19"/>
        </w:rPr>
        <w:t>A</w:t>
      </w:r>
      <w:r w:rsidRPr="001740A2">
        <w:rPr>
          <w:szCs w:val="19"/>
        </w:rPr>
        <w:t xml:space="preserve">n entity </w:t>
      </w:r>
      <w:r w:rsidR="001167FE">
        <w:rPr>
          <w:szCs w:val="19"/>
        </w:rPr>
        <w:t xml:space="preserve">applies judgement </w:t>
      </w:r>
      <w:r w:rsidR="00845F26">
        <w:rPr>
          <w:szCs w:val="19"/>
        </w:rPr>
        <w:t xml:space="preserve">in determining which costs </w:t>
      </w:r>
      <w:r w:rsidR="00B847BB">
        <w:rPr>
          <w:szCs w:val="19"/>
        </w:rPr>
        <w:t xml:space="preserve">would </w:t>
      </w:r>
      <w:r w:rsidR="00AD3273">
        <w:rPr>
          <w:szCs w:val="19"/>
        </w:rPr>
        <w:t xml:space="preserve">necessarily </w:t>
      </w:r>
      <w:r w:rsidR="00B847BB">
        <w:rPr>
          <w:szCs w:val="19"/>
        </w:rPr>
        <w:t xml:space="preserve">be incurred </w:t>
      </w:r>
      <w:r w:rsidR="00E23B58">
        <w:rPr>
          <w:szCs w:val="19"/>
        </w:rPr>
        <w:t xml:space="preserve">in the </w:t>
      </w:r>
      <w:r w:rsidR="00E23B58" w:rsidRPr="00E23B58">
        <w:rPr>
          <w:szCs w:val="19"/>
        </w:rPr>
        <w:t xml:space="preserve">hypothetical acquisition or construction of </w:t>
      </w:r>
      <w:r w:rsidR="00BB2882">
        <w:rPr>
          <w:szCs w:val="19"/>
        </w:rPr>
        <w:t>a</w:t>
      </w:r>
      <w:r w:rsidR="00E23B58" w:rsidRPr="00E23B58">
        <w:rPr>
          <w:szCs w:val="19"/>
        </w:rPr>
        <w:t xml:space="preserve"> reference asset</w:t>
      </w:r>
      <w:r w:rsidR="00845F26">
        <w:rPr>
          <w:szCs w:val="19"/>
        </w:rPr>
        <w:t xml:space="preserve"> </w:t>
      </w:r>
      <w:r w:rsidR="00BB2882" w:rsidRPr="00BB2882">
        <w:rPr>
          <w:szCs w:val="19"/>
        </w:rPr>
        <w:t>with the same service capacity</w:t>
      </w:r>
      <w:r w:rsidR="00BB2882">
        <w:rPr>
          <w:szCs w:val="19"/>
        </w:rPr>
        <w:t xml:space="preserve"> and</w:t>
      </w:r>
      <w:r w:rsidR="00BB2882" w:rsidRPr="00BB2882">
        <w:rPr>
          <w:szCs w:val="19"/>
        </w:rPr>
        <w:t xml:space="preserve"> conditio</w:t>
      </w:r>
      <w:r w:rsidR="00BB2882">
        <w:rPr>
          <w:szCs w:val="19"/>
        </w:rPr>
        <w:t>n</w:t>
      </w:r>
      <w:r w:rsidR="00BB2882" w:rsidRPr="00BB2882">
        <w:rPr>
          <w:szCs w:val="19"/>
        </w:rPr>
        <w:t xml:space="preserve"> as the subject asset at the measurement date</w:t>
      </w:r>
      <w:r w:rsidR="00BB2882">
        <w:rPr>
          <w:szCs w:val="19"/>
        </w:rPr>
        <w:t>. An entity</w:t>
      </w:r>
      <w:r w:rsidR="00091039">
        <w:rPr>
          <w:szCs w:val="19"/>
        </w:rPr>
        <w:t xml:space="preserve"> </w:t>
      </w:r>
      <w:r w:rsidRPr="001740A2">
        <w:rPr>
          <w:szCs w:val="19"/>
        </w:rPr>
        <w:t>need not undertake exhaustive efforts to obtain information about</w:t>
      </w:r>
      <w:r>
        <w:rPr>
          <w:szCs w:val="19"/>
        </w:rPr>
        <w:t xml:space="preserve"> </w:t>
      </w:r>
      <w:r w:rsidRPr="001740A2">
        <w:rPr>
          <w:szCs w:val="19"/>
        </w:rPr>
        <w:t xml:space="preserve">the costs referred to in </w:t>
      </w:r>
      <w:r w:rsidRPr="005C6D71">
        <w:t>paragraph</w:t>
      </w:r>
      <w:r w:rsidR="009A6D89">
        <w:t>s</w:t>
      </w:r>
      <w:r w:rsidRPr="001740A2">
        <w:rPr>
          <w:szCs w:val="19"/>
        </w:rPr>
        <w:t> </w:t>
      </w:r>
      <w:r w:rsidR="00574896">
        <w:rPr>
          <w:szCs w:val="19"/>
        </w:rPr>
        <w:fldChar w:fldCharType="begin"/>
      </w:r>
      <w:r w:rsidR="00574896">
        <w:rPr>
          <w:szCs w:val="19"/>
        </w:rPr>
        <w:instrText xml:space="preserve"> REF _Ref90288055 \r \h </w:instrText>
      </w:r>
      <w:r w:rsidR="00574896">
        <w:rPr>
          <w:szCs w:val="19"/>
        </w:rPr>
      </w:r>
      <w:r w:rsidR="00574896">
        <w:rPr>
          <w:szCs w:val="19"/>
        </w:rPr>
        <w:fldChar w:fldCharType="separate"/>
      </w:r>
      <w:r w:rsidR="005A1B65">
        <w:rPr>
          <w:szCs w:val="19"/>
        </w:rPr>
        <w:t>F12</w:t>
      </w:r>
      <w:r w:rsidR="00574896">
        <w:rPr>
          <w:szCs w:val="19"/>
        </w:rPr>
        <w:fldChar w:fldCharType="end"/>
      </w:r>
      <w:r w:rsidR="009A6D89">
        <w:rPr>
          <w:szCs w:val="19"/>
        </w:rPr>
        <w:t xml:space="preserve"> and</w:t>
      </w:r>
      <w:r w:rsidR="00810C22">
        <w:rPr>
          <w:szCs w:val="19"/>
        </w:rPr>
        <w:t xml:space="preserve"> </w:t>
      </w:r>
      <w:r w:rsidR="00810C22">
        <w:rPr>
          <w:szCs w:val="19"/>
        </w:rPr>
        <w:fldChar w:fldCharType="begin"/>
      </w:r>
      <w:r w:rsidR="00810C22">
        <w:rPr>
          <w:szCs w:val="19"/>
        </w:rPr>
        <w:instrText xml:space="preserve"> REF _Ref115168257 \r \h </w:instrText>
      </w:r>
      <w:r w:rsidR="00810C22">
        <w:rPr>
          <w:szCs w:val="19"/>
        </w:rPr>
      </w:r>
      <w:r w:rsidR="00810C22">
        <w:rPr>
          <w:szCs w:val="19"/>
        </w:rPr>
        <w:fldChar w:fldCharType="separate"/>
      </w:r>
      <w:r w:rsidR="005A1B65">
        <w:rPr>
          <w:szCs w:val="19"/>
        </w:rPr>
        <w:t>F13</w:t>
      </w:r>
      <w:r w:rsidR="00810C22">
        <w:rPr>
          <w:szCs w:val="19"/>
        </w:rPr>
        <w:fldChar w:fldCharType="end"/>
      </w:r>
      <w:r w:rsidRPr="001740A2">
        <w:rPr>
          <w:szCs w:val="19"/>
        </w:rPr>
        <w:t>. However, an entity shall include all such costs for which data are reasonably available.</w:t>
      </w:r>
      <w:bookmarkEnd w:id="33"/>
    </w:p>
    <w:p w14:paraId="4A5F8511" w14:textId="1F7A8676" w:rsidR="00347996" w:rsidRDefault="00175A13" w:rsidP="003276D3">
      <w:pPr>
        <w:pStyle w:val="NumBPlain1"/>
        <w:widowControl w:val="0"/>
        <w:numPr>
          <w:ilvl w:val="0"/>
          <w:numId w:val="24"/>
        </w:numPr>
        <w:spacing w:after="100"/>
      </w:pPr>
      <w:bookmarkStart w:id="34" w:name="_Ref113946817"/>
      <w:r>
        <w:rPr>
          <w:szCs w:val="19"/>
        </w:rPr>
        <w:t>When applying the cost approach in accordance with paragraph</w:t>
      </w:r>
      <w:r w:rsidR="00574896">
        <w:rPr>
          <w:szCs w:val="19"/>
        </w:rPr>
        <w:t> </w:t>
      </w:r>
      <w:r w:rsidR="00026A0E">
        <w:rPr>
          <w:szCs w:val="19"/>
        </w:rPr>
        <w:fldChar w:fldCharType="begin"/>
      </w:r>
      <w:r w:rsidR="00026A0E">
        <w:rPr>
          <w:szCs w:val="19"/>
        </w:rPr>
        <w:instrText xml:space="preserve"> REF _Ref113942524 \r \h </w:instrText>
      </w:r>
      <w:r w:rsidR="00026A0E">
        <w:rPr>
          <w:szCs w:val="19"/>
        </w:rPr>
      </w:r>
      <w:r w:rsidR="00026A0E">
        <w:rPr>
          <w:szCs w:val="19"/>
        </w:rPr>
        <w:fldChar w:fldCharType="separate"/>
      </w:r>
      <w:r w:rsidR="005A1B65">
        <w:rPr>
          <w:szCs w:val="19"/>
        </w:rPr>
        <w:t>F9</w:t>
      </w:r>
      <w:r w:rsidR="00026A0E">
        <w:rPr>
          <w:szCs w:val="19"/>
        </w:rPr>
        <w:fldChar w:fldCharType="end"/>
      </w:r>
      <w:r w:rsidR="005E7903">
        <w:rPr>
          <w:szCs w:val="19"/>
        </w:rPr>
        <w:t>(a)</w:t>
      </w:r>
      <w:r>
        <w:rPr>
          <w:szCs w:val="19"/>
        </w:rPr>
        <w:t xml:space="preserve"> to measure the fair value of a </w:t>
      </w:r>
      <w:r w:rsidRPr="001F4ED7">
        <w:rPr>
          <w:szCs w:val="19"/>
        </w:rPr>
        <w:t>heritage asset</w:t>
      </w:r>
      <w:r>
        <w:rPr>
          <w:szCs w:val="19"/>
        </w:rPr>
        <w:t xml:space="preserve"> </w:t>
      </w:r>
      <w:r w:rsidRPr="00246F30">
        <w:t xml:space="preserve">of a not-for-profit public sector entity </w:t>
      </w:r>
      <w:r>
        <w:t>not held primarily for its ability to generate net cash inflows</w:t>
      </w:r>
      <w:r w:rsidRPr="001F4ED7">
        <w:rPr>
          <w:szCs w:val="19"/>
        </w:rPr>
        <w:t xml:space="preserve">, to the extent that </w:t>
      </w:r>
      <w:r>
        <w:rPr>
          <w:szCs w:val="19"/>
        </w:rPr>
        <w:t xml:space="preserve">its </w:t>
      </w:r>
      <w:r w:rsidRPr="001F4ED7">
        <w:rPr>
          <w:szCs w:val="19"/>
        </w:rPr>
        <w:t xml:space="preserve">heritage features are an </w:t>
      </w:r>
      <w:r w:rsidRPr="0008247D">
        <w:t>essential</w:t>
      </w:r>
      <w:r w:rsidRPr="001F4ED7">
        <w:rPr>
          <w:szCs w:val="19"/>
        </w:rPr>
        <w:t xml:space="preserve"> part of </w:t>
      </w:r>
      <w:r>
        <w:rPr>
          <w:szCs w:val="19"/>
        </w:rPr>
        <w:t xml:space="preserve">its </w:t>
      </w:r>
      <w:r w:rsidRPr="001F4ED7">
        <w:rPr>
          <w:szCs w:val="19"/>
        </w:rPr>
        <w:t xml:space="preserve">service capacity, </w:t>
      </w:r>
      <w:r w:rsidR="00E86E84">
        <w:rPr>
          <w:szCs w:val="19"/>
        </w:rPr>
        <w:t xml:space="preserve">the </w:t>
      </w:r>
      <w:r w:rsidRPr="001F4ED7">
        <w:rPr>
          <w:szCs w:val="19"/>
        </w:rPr>
        <w:t xml:space="preserve">replacement cost </w:t>
      </w:r>
      <w:r w:rsidR="00F76F6A">
        <w:rPr>
          <w:szCs w:val="19"/>
        </w:rPr>
        <w:t xml:space="preserve">of the reference asset </w:t>
      </w:r>
      <w:r w:rsidRPr="001F4ED7">
        <w:rPr>
          <w:szCs w:val="19"/>
        </w:rPr>
        <w:t xml:space="preserve">generally means the cost of replicating </w:t>
      </w:r>
      <w:r w:rsidR="007A4550">
        <w:rPr>
          <w:szCs w:val="19"/>
        </w:rPr>
        <w:t>the heritage</w:t>
      </w:r>
      <w:r w:rsidRPr="001F4ED7">
        <w:rPr>
          <w:szCs w:val="19"/>
        </w:rPr>
        <w:t xml:space="preserve"> </w:t>
      </w:r>
      <w:r w:rsidR="00E86E84">
        <w:rPr>
          <w:szCs w:val="19"/>
        </w:rPr>
        <w:t xml:space="preserve">and other </w:t>
      </w:r>
      <w:r w:rsidRPr="001F4ED7">
        <w:rPr>
          <w:szCs w:val="19"/>
        </w:rPr>
        <w:t>features of the subject asset</w:t>
      </w:r>
      <w:r w:rsidR="00AB44E4">
        <w:rPr>
          <w:szCs w:val="19"/>
        </w:rPr>
        <w:t xml:space="preserve"> </w:t>
      </w:r>
      <w:r w:rsidR="00AB44E4" w:rsidRPr="001F4ED7">
        <w:rPr>
          <w:szCs w:val="19"/>
        </w:rPr>
        <w:t>(</w:t>
      </w:r>
      <w:r w:rsidR="00AB44E4">
        <w:rPr>
          <w:szCs w:val="19"/>
        </w:rPr>
        <w:t xml:space="preserve">ie </w:t>
      </w:r>
      <w:r w:rsidR="00AB44E4" w:rsidRPr="0008247D">
        <w:t>reproduction</w:t>
      </w:r>
      <w:r w:rsidR="00AB44E4" w:rsidRPr="001F4ED7">
        <w:rPr>
          <w:szCs w:val="19"/>
        </w:rPr>
        <w:t xml:space="preserve"> cost)</w:t>
      </w:r>
      <w:r w:rsidRPr="001F4ED7">
        <w:rPr>
          <w:szCs w:val="19"/>
        </w:rPr>
        <w:t>. Replication would assume reconstruction using modern cost-effective materials and processes, but sympathetic with the original heritage design and structure to the extent feasible.</w:t>
      </w:r>
      <w:bookmarkEnd w:id="34"/>
    </w:p>
    <w:p w14:paraId="67ECED17" w14:textId="77777777" w:rsidR="00F81126" w:rsidRPr="00A7597F" w:rsidRDefault="00F81126" w:rsidP="00F81126">
      <w:pPr>
        <w:pStyle w:val="IASBSectionTitle2Ind"/>
      </w:pPr>
      <w:bookmarkStart w:id="35" w:name="_Ref90288069"/>
      <w:r w:rsidRPr="00A7597F">
        <w:t>Economic obsolescence</w:t>
      </w:r>
    </w:p>
    <w:p w14:paraId="7664E257" w14:textId="5E59A510" w:rsidR="00462218" w:rsidRDefault="00873279" w:rsidP="003276D3">
      <w:pPr>
        <w:pStyle w:val="NumBPlain1"/>
        <w:widowControl w:val="0"/>
        <w:numPr>
          <w:ilvl w:val="0"/>
          <w:numId w:val="24"/>
        </w:numPr>
        <w:spacing w:after="100"/>
      </w:pPr>
      <w:bookmarkStart w:id="36" w:name="_Ref113947038"/>
      <w:r>
        <w:t xml:space="preserve">For the purposes of </w:t>
      </w:r>
      <w:r w:rsidR="009E7CA4">
        <w:t xml:space="preserve">paragraph B9 and </w:t>
      </w:r>
      <w:r>
        <w:t>paragraph </w:t>
      </w:r>
      <w:r>
        <w:fldChar w:fldCharType="begin"/>
      </w:r>
      <w:r>
        <w:instrText xml:space="preserve"> REF _Ref113942524 \r \h </w:instrText>
      </w:r>
      <w:r>
        <w:fldChar w:fldCharType="separate"/>
      </w:r>
      <w:r w:rsidR="005A1B65">
        <w:t>F9</w:t>
      </w:r>
      <w:r>
        <w:fldChar w:fldCharType="end"/>
      </w:r>
      <w:r>
        <w:t>(b)</w:t>
      </w:r>
      <w:r w:rsidR="0008702E">
        <w:t>(ii)</w:t>
      </w:r>
      <w:r>
        <w:t xml:space="preserve">, </w:t>
      </w:r>
      <w:r w:rsidR="00464E4D">
        <w:t>w</w:t>
      </w:r>
      <w:r w:rsidR="00603B11">
        <w:t>hen a non-financial asset of a not-for-profit public sector entity not held primarily for its ability to generate net cash inflows has suffered a reduction in demand for its services, the identification of ‘</w:t>
      </w:r>
      <w:r w:rsidR="00AB44E4">
        <w:t xml:space="preserve">economic </w:t>
      </w:r>
      <w:r w:rsidR="00603B11">
        <w:t>(ie</w:t>
      </w:r>
      <w:r w:rsidR="00AB44E4" w:rsidRPr="00AB44E4">
        <w:t xml:space="preserve"> </w:t>
      </w:r>
      <w:r w:rsidR="00AB44E4">
        <w:t>external</w:t>
      </w:r>
      <w:r w:rsidR="00603B11">
        <w:t>) obsolescence’ does not require a formal decision to have been made to reduce the physical capacity of that asset.</w:t>
      </w:r>
      <w:bookmarkEnd w:id="36"/>
    </w:p>
    <w:p w14:paraId="0726CBCB" w14:textId="11CFE1BF" w:rsidR="00462218" w:rsidRDefault="00603B11" w:rsidP="003276D3">
      <w:pPr>
        <w:pStyle w:val="NumBPlain1"/>
        <w:widowControl w:val="0"/>
        <w:numPr>
          <w:ilvl w:val="0"/>
          <w:numId w:val="24"/>
        </w:numPr>
        <w:spacing w:after="100"/>
      </w:pPr>
      <w:bookmarkStart w:id="37" w:name="_Ref113947078"/>
      <w:r>
        <w:t>When an asset described in paragraph</w:t>
      </w:r>
      <w:r w:rsidR="00026A0E">
        <w:t> </w:t>
      </w:r>
      <w:r w:rsidR="006E44D5">
        <w:fldChar w:fldCharType="begin"/>
      </w:r>
      <w:r w:rsidR="006E44D5">
        <w:instrText xml:space="preserve"> REF _Ref113947038 \r \h </w:instrText>
      </w:r>
      <w:r w:rsidR="006E44D5">
        <w:fldChar w:fldCharType="separate"/>
      </w:r>
      <w:r w:rsidR="005A1B65">
        <w:t>F16</w:t>
      </w:r>
      <w:r w:rsidR="006E44D5">
        <w:fldChar w:fldCharType="end"/>
      </w:r>
      <w:r>
        <w:t xml:space="preserve"> apparently has surplus capacity in view of current demand for its services, economic obsolescence is not identified for that asset if that ‘surplus capacity’ is necessary for stand-by or safety purposes (eg to deal with contingencies), even if it seldom or never is actively utilised. An example of an asset with stand-by capacity that is necessary for operational purposes, and would be replaced in full by a market participant buyer, is an electricity generation plant that maintains a generating capacity buffer that is typical of the industry to cater for periods of peak demand.</w:t>
      </w:r>
      <w:bookmarkEnd w:id="37"/>
    </w:p>
    <w:p w14:paraId="745E8F27" w14:textId="15A2C13A" w:rsidR="00EE7EAF" w:rsidRDefault="00EE7EAF" w:rsidP="003276D3">
      <w:pPr>
        <w:pStyle w:val="NumBPlain1"/>
        <w:widowControl w:val="0"/>
        <w:numPr>
          <w:ilvl w:val="0"/>
          <w:numId w:val="24"/>
        </w:numPr>
        <w:spacing w:after="100"/>
      </w:pPr>
      <w:bookmarkStart w:id="38" w:name="_Ref115232361"/>
      <w:r>
        <w:t>An example of a strong indicator that economic obsolescence of assets would be identified when applying the principles in paragraphs</w:t>
      </w:r>
      <w:r w:rsidR="006E44D5">
        <w:t> </w:t>
      </w:r>
      <w:r w:rsidR="006E44D5">
        <w:fldChar w:fldCharType="begin"/>
      </w:r>
      <w:r w:rsidR="006E44D5">
        <w:instrText xml:space="preserve"> REF _Ref113947038 \r \h </w:instrText>
      </w:r>
      <w:r w:rsidR="006E44D5">
        <w:fldChar w:fldCharType="separate"/>
      </w:r>
      <w:r w:rsidR="005A1B65">
        <w:t>F16</w:t>
      </w:r>
      <w:r w:rsidR="006E44D5">
        <w:fldChar w:fldCharType="end"/>
      </w:r>
      <w:r>
        <w:t xml:space="preserve"> </w:t>
      </w:r>
      <w:r w:rsidRPr="00D1491A">
        <w:t xml:space="preserve">and </w:t>
      </w:r>
      <w:r w:rsidR="006E44D5">
        <w:fldChar w:fldCharType="begin"/>
      </w:r>
      <w:r w:rsidR="006E44D5">
        <w:instrText xml:space="preserve"> REF _Ref113947078 \r \h </w:instrText>
      </w:r>
      <w:r w:rsidR="006E44D5">
        <w:fldChar w:fldCharType="separate"/>
      </w:r>
      <w:r w:rsidR="005A1B65">
        <w:t>F17</w:t>
      </w:r>
      <w:r w:rsidR="006E44D5">
        <w:fldChar w:fldCharType="end"/>
      </w:r>
      <w:r>
        <w:t xml:space="preserve"> is a </w:t>
      </w:r>
      <w:r w:rsidRPr="004C4CBF">
        <w:t>public school</w:t>
      </w:r>
      <w:r>
        <w:t>’s</w:t>
      </w:r>
      <w:r w:rsidRPr="004C4CBF">
        <w:t xml:space="preserve"> </w:t>
      </w:r>
      <w:r>
        <w:t xml:space="preserve">buildings that </w:t>
      </w:r>
      <w:r w:rsidRPr="004C4CBF">
        <w:t>ha</w:t>
      </w:r>
      <w:r>
        <w:t>ve a</w:t>
      </w:r>
      <w:r w:rsidRPr="004C4CBF">
        <w:t xml:space="preserve"> capacity for 500 students but,</w:t>
      </w:r>
      <w:r>
        <w:t xml:space="preserve"> </w:t>
      </w:r>
      <w:r w:rsidRPr="004C4CBF">
        <w:t>due to demographic changes, a school for 100 students would meet current and reasonably foreseeable requirements</w:t>
      </w:r>
      <w:r>
        <w:t xml:space="preserve">, </w:t>
      </w:r>
      <w:r w:rsidRPr="004C4CBF">
        <w:t xml:space="preserve">including a buffer </w:t>
      </w:r>
      <w:r>
        <w:t xml:space="preserve">needed </w:t>
      </w:r>
      <w:r w:rsidRPr="004C4CBF">
        <w:t>for any temporary or underestimated student demand.</w:t>
      </w:r>
      <w:r>
        <w:t xml:space="preserve"> In this example, based on these assumed facts alone (for simplicity), the school buildings’ gross replacement cost would be based on the school’s needed capacity (for 100 students), from which any other accumulated obsolescence related to the condition of the school </w:t>
      </w:r>
      <w:r w:rsidR="005867C0">
        <w:t xml:space="preserve">buildings </w:t>
      </w:r>
      <w:r>
        <w:t>(eg physical obsolescence) would be deducted. Consistent with paragraph </w:t>
      </w:r>
      <w:r w:rsidR="008E646D">
        <w:fldChar w:fldCharType="begin"/>
      </w:r>
      <w:r w:rsidR="008E646D">
        <w:instrText xml:space="preserve"> REF _Ref113947038 \r \h </w:instrText>
      </w:r>
      <w:r w:rsidR="008E646D">
        <w:fldChar w:fldCharType="separate"/>
      </w:r>
      <w:r w:rsidR="005A1B65">
        <w:t>F16</w:t>
      </w:r>
      <w:r w:rsidR="008E646D">
        <w:fldChar w:fldCharType="end"/>
      </w:r>
      <w:r>
        <w:t xml:space="preserve">, the conclusion reached would not </w:t>
      </w:r>
      <w:r w:rsidR="005867C0">
        <w:t xml:space="preserve">depend </w:t>
      </w:r>
      <w:r>
        <w:t xml:space="preserve">on whether a formal decision has been made to reduce the school </w:t>
      </w:r>
      <w:r w:rsidR="005867C0">
        <w:t xml:space="preserve">buildings’ </w:t>
      </w:r>
      <w:r>
        <w:t>capacity.</w:t>
      </w:r>
      <w:bookmarkEnd w:id="38"/>
    </w:p>
    <w:p w14:paraId="7BCE7041" w14:textId="428FCED5" w:rsidR="00AA634E" w:rsidRDefault="00D62B83" w:rsidP="005D3D03">
      <w:pPr>
        <w:pStyle w:val="NumBPlain1"/>
        <w:widowControl w:val="0"/>
        <w:numPr>
          <w:ilvl w:val="0"/>
          <w:numId w:val="24"/>
        </w:numPr>
        <w:spacing w:after="100"/>
      </w:pPr>
      <w:bookmarkStart w:id="39" w:name="_Ref115209440"/>
      <w:r>
        <w:t xml:space="preserve">Where an asset or </w:t>
      </w:r>
      <w:r w:rsidR="00044005">
        <w:t xml:space="preserve">a </w:t>
      </w:r>
      <w:r>
        <w:t xml:space="preserve">facility that is not held primarily for its ability to generate net cash inflows suffers a significant reduction in demand for its services, any economic obsolescence identified would not necessarily (and frequently would not) exhibit a linear relationship with that reduced level of demand. This is </w:t>
      </w:r>
      <w:r w:rsidR="008C09FA">
        <w:t xml:space="preserve">due </w:t>
      </w:r>
      <w:r w:rsidR="007D7D6E">
        <w:t xml:space="preserve">to </w:t>
      </w:r>
      <w:r w:rsidR="007D7D6E" w:rsidRPr="007D7D6E">
        <w:t>economies of scale causing</w:t>
      </w:r>
      <w:r w:rsidR="005D3D03">
        <w:t xml:space="preserve"> </w:t>
      </w:r>
      <w:r>
        <w:t xml:space="preserve">some parts of an asset or </w:t>
      </w:r>
      <w:r w:rsidR="00044005">
        <w:t xml:space="preserve">a </w:t>
      </w:r>
      <w:r>
        <w:t xml:space="preserve">facility </w:t>
      </w:r>
      <w:r w:rsidR="007D7D6E">
        <w:t>potentially need</w:t>
      </w:r>
      <w:r w:rsidR="005F696E">
        <w:t>ing</w:t>
      </w:r>
      <w:r w:rsidR="007D7D6E">
        <w:t xml:space="preserve"> replacement </w:t>
      </w:r>
      <w:r>
        <w:t>in full, or almost in full, despite a significant fall in demand for the services provided by the asset or facility</w:t>
      </w:r>
      <w:r w:rsidR="00F44989" w:rsidRPr="00F44989">
        <w:t xml:space="preserve">, </w:t>
      </w:r>
      <w:r w:rsidR="001C0929" w:rsidRPr="001C0929">
        <w:t xml:space="preserve">in which case the needed physical capacity of the asset or facility would not reduce linearly with the reduction in the level of demand for that asset’s or facility’s services. In </w:t>
      </w:r>
      <w:r>
        <w:t>the school example</w:t>
      </w:r>
      <w:r w:rsidR="00346017">
        <w:t xml:space="preserve"> in paragraph </w:t>
      </w:r>
      <w:r w:rsidR="00346017">
        <w:fldChar w:fldCharType="begin"/>
      </w:r>
      <w:r w:rsidR="00346017">
        <w:instrText xml:space="preserve"> REF _Ref115232361 \r \h </w:instrText>
      </w:r>
      <w:r w:rsidR="00346017">
        <w:fldChar w:fldCharType="separate"/>
      </w:r>
      <w:r w:rsidR="005A1B65">
        <w:t>F18</w:t>
      </w:r>
      <w:r w:rsidR="00346017">
        <w:fldChar w:fldCharType="end"/>
      </w:r>
      <w:r>
        <w:t xml:space="preserve">, the </w:t>
      </w:r>
      <w:r w:rsidRPr="005D3D03">
        <w:rPr>
          <w:szCs w:val="19"/>
        </w:rPr>
        <w:t xml:space="preserve">administration office, </w:t>
      </w:r>
      <w:r w:rsidR="009A5975" w:rsidRPr="005D3D03">
        <w:rPr>
          <w:szCs w:val="19"/>
        </w:rPr>
        <w:t>canteen</w:t>
      </w:r>
      <w:r w:rsidRPr="005D3D03">
        <w:rPr>
          <w:szCs w:val="19"/>
        </w:rPr>
        <w:t xml:space="preserve">, toilet blocks, library and gymnasium might need replacing even for 100 students, although perhaps on a slightly smaller </w:t>
      </w:r>
      <w:bookmarkEnd w:id="39"/>
      <w:r w:rsidR="005D3D03">
        <w:rPr>
          <w:szCs w:val="19"/>
        </w:rPr>
        <w:t>scale</w:t>
      </w:r>
      <w:r w:rsidR="00074A85">
        <w:t>.</w:t>
      </w:r>
    </w:p>
    <w:p w14:paraId="028754C5" w14:textId="77777777" w:rsidR="003F32EC" w:rsidRDefault="003F32EC" w:rsidP="003F32EC">
      <w:pPr>
        <w:pStyle w:val="NumBPlain1"/>
        <w:spacing w:after="0"/>
        <w:ind w:left="782"/>
        <w:rPr>
          <w:szCs w:val="19"/>
        </w:rPr>
      </w:pPr>
      <w:bookmarkStart w:id="40" w:name="_Ref32760009"/>
      <w:bookmarkEnd w:id="35"/>
    </w:p>
    <w:p w14:paraId="7665B9B4" w14:textId="5689E0F1" w:rsidR="003F32EC" w:rsidRDefault="003F32EC" w:rsidP="003F32EC">
      <w:pPr>
        <w:pStyle w:val="NumBPlain1"/>
        <w:spacing w:after="0"/>
        <w:ind w:left="782"/>
        <w:rPr>
          <w:szCs w:val="19"/>
        </w:rPr>
        <w:sectPr w:rsidR="003F32EC" w:rsidSect="003F32EC">
          <w:footerReference w:type="default" r:id="rId25"/>
          <w:pgSz w:w="11907" w:h="16840" w:code="9"/>
          <w:pgMar w:top="1418" w:right="1418" w:bottom="1418" w:left="1418" w:header="709" w:footer="709" w:gutter="0"/>
          <w:paperSrc w:first="7" w:other="7"/>
          <w:cols w:space="720"/>
        </w:sectPr>
      </w:pPr>
    </w:p>
    <w:bookmarkEnd w:id="40"/>
    <w:p w14:paraId="454C2552" w14:textId="259685A9" w:rsidR="00BA5A1C" w:rsidRPr="004249D0" w:rsidRDefault="00BA5A1C" w:rsidP="00A85C6C">
      <w:pPr>
        <w:pStyle w:val="ConvSectionTitle"/>
      </w:pPr>
      <w:r w:rsidRPr="004249D0">
        <w:lastRenderedPageBreak/>
        <w:t>Australian illustrative examples for not-for-profit</w:t>
      </w:r>
      <w:r w:rsidR="00E72593" w:rsidRPr="004249D0">
        <w:t xml:space="preserve"> </w:t>
      </w:r>
      <w:r w:rsidR="00176810">
        <w:t xml:space="preserve">public sector </w:t>
      </w:r>
      <w:r w:rsidR="00883444" w:rsidRPr="004249D0">
        <w:t>entities</w:t>
      </w:r>
    </w:p>
    <w:p w14:paraId="1540A2DE" w14:textId="6CDB5B01" w:rsidR="00D45469" w:rsidRPr="004249D0" w:rsidRDefault="00D45469" w:rsidP="00390622">
      <w:pPr>
        <w:spacing w:after="240"/>
        <w:rPr>
          <w:i/>
          <w:iCs/>
          <w:sz w:val="20"/>
        </w:rPr>
      </w:pPr>
      <w:r w:rsidRPr="004249D0">
        <w:rPr>
          <w:i/>
          <w:iCs/>
          <w:sz w:val="20"/>
        </w:rPr>
        <w:t xml:space="preserve">These illustrative examples accompany, but are not part of, </w:t>
      </w:r>
      <w:r w:rsidR="00291416" w:rsidRPr="004249D0">
        <w:rPr>
          <w:i/>
          <w:iCs/>
          <w:sz w:val="20"/>
        </w:rPr>
        <w:t>AASB</w:t>
      </w:r>
      <w:r w:rsidR="00DD590D">
        <w:rPr>
          <w:i/>
          <w:iCs/>
          <w:sz w:val="20"/>
        </w:rPr>
        <w:t xml:space="preserve"> </w:t>
      </w:r>
      <w:r w:rsidRPr="004249D0">
        <w:rPr>
          <w:i/>
          <w:iCs/>
          <w:sz w:val="20"/>
        </w:rPr>
        <w:t>1</w:t>
      </w:r>
      <w:r w:rsidR="00883444" w:rsidRPr="004249D0">
        <w:rPr>
          <w:i/>
          <w:iCs/>
          <w:sz w:val="20"/>
        </w:rPr>
        <w:t>3</w:t>
      </w:r>
      <w:r w:rsidRPr="004249D0">
        <w:rPr>
          <w:i/>
          <w:iCs/>
          <w:sz w:val="20"/>
        </w:rPr>
        <w:t xml:space="preserve">. They illustrate aspects of </w:t>
      </w:r>
      <w:r w:rsidR="000E6774">
        <w:rPr>
          <w:i/>
          <w:iCs/>
          <w:sz w:val="20"/>
        </w:rPr>
        <w:t>Appendix F</w:t>
      </w:r>
      <w:r w:rsidRPr="004249D0">
        <w:rPr>
          <w:i/>
          <w:iCs/>
          <w:sz w:val="20"/>
        </w:rPr>
        <w:t xml:space="preserve"> </w:t>
      </w:r>
      <w:r w:rsidRPr="00457762">
        <w:rPr>
          <w:sz w:val="20"/>
        </w:rPr>
        <w:t xml:space="preserve">Australian </w:t>
      </w:r>
      <w:r w:rsidR="000E6774" w:rsidRPr="00457762">
        <w:rPr>
          <w:sz w:val="20"/>
        </w:rPr>
        <w:t>implementati</w:t>
      </w:r>
      <w:r w:rsidR="009C5901" w:rsidRPr="00457762">
        <w:rPr>
          <w:sz w:val="20"/>
        </w:rPr>
        <w:t xml:space="preserve">on </w:t>
      </w:r>
      <w:r w:rsidRPr="00457762">
        <w:rPr>
          <w:sz w:val="20"/>
        </w:rPr>
        <w:t xml:space="preserve">guidance for not-for-profit </w:t>
      </w:r>
      <w:r w:rsidR="00AB425A" w:rsidRPr="00457762">
        <w:rPr>
          <w:sz w:val="20"/>
        </w:rPr>
        <w:t xml:space="preserve">public sector </w:t>
      </w:r>
      <w:r w:rsidR="00883444" w:rsidRPr="00457762">
        <w:rPr>
          <w:sz w:val="20"/>
        </w:rPr>
        <w:t>entities</w:t>
      </w:r>
      <w:r w:rsidRPr="004249D0">
        <w:rPr>
          <w:i/>
          <w:iCs/>
          <w:sz w:val="20"/>
        </w:rPr>
        <w:t xml:space="preserve"> in </w:t>
      </w:r>
      <w:r w:rsidR="00291416" w:rsidRPr="004249D0">
        <w:rPr>
          <w:i/>
          <w:iCs/>
          <w:sz w:val="20"/>
        </w:rPr>
        <w:t>AASB</w:t>
      </w:r>
      <w:r w:rsidR="00DD590D">
        <w:rPr>
          <w:i/>
          <w:iCs/>
          <w:sz w:val="20"/>
        </w:rPr>
        <w:t xml:space="preserve"> </w:t>
      </w:r>
      <w:r w:rsidRPr="004249D0">
        <w:rPr>
          <w:i/>
          <w:iCs/>
          <w:sz w:val="20"/>
        </w:rPr>
        <w:t>1</w:t>
      </w:r>
      <w:r w:rsidR="00883444" w:rsidRPr="004249D0">
        <w:rPr>
          <w:i/>
          <w:iCs/>
          <w:sz w:val="20"/>
        </w:rPr>
        <w:t>3</w:t>
      </w:r>
      <w:r w:rsidRPr="004249D0">
        <w:rPr>
          <w:i/>
          <w:iCs/>
          <w:sz w:val="20"/>
        </w:rPr>
        <w:t>, but are not intended to provide interpretative guidance.</w:t>
      </w:r>
    </w:p>
    <w:p w14:paraId="6BB4DD96" w14:textId="5C1EB92B" w:rsidR="00D45469" w:rsidRPr="004249D0" w:rsidRDefault="00ED0646" w:rsidP="00B97890">
      <w:pPr>
        <w:spacing w:after="240"/>
        <w:rPr>
          <w:i/>
          <w:iCs/>
          <w:sz w:val="20"/>
        </w:rPr>
      </w:pPr>
      <w:r>
        <w:rPr>
          <w:i/>
          <w:iCs/>
          <w:sz w:val="20"/>
        </w:rPr>
        <w:t>T</w:t>
      </w:r>
      <w:r w:rsidR="00D45469" w:rsidRPr="004249D0">
        <w:rPr>
          <w:i/>
          <w:iCs/>
          <w:sz w:val="20"/>
        </w:rPr>
        <w:t xml:space="preserve">he </w:t>
      </w:r>
      <w:r w:rsidR="000C1673">
        <w:rPr>
          <w:i/>
          <w:iCs/>
          <w:sz w:val="20"/>
        </w:rPr>
        <w:t>IASB</w:t>
      </w:r>
      <w:r w:rsidR="007F281A">
        <w:rPr>
          <w:i/>
          <w:iCs/>
          <w:sz w:val="20"/>
        </w:rPr>
        <w:t xml:space="preserve"> published</w:t>
      </w:r>
      <w:r w:rsidR="000C1673">
        <w:rPr>
          <w:i/>
          <w:iCs/>
          <w:sz w:val="20"/>
        </w:rPr>
        <w:t xml:space="preserve"> </w:t>
      </w:r>
      <w:r w:rsidR="00D45469" w:rsidRPr="004249D0">
        <w:rPr>
          <w:i/>
          <w:iCs/>
          <w:sz w:val="20"/>
        </w:rPr>
        <w:t>Illustrative Examples accompanying IFRS 1</w:t>
      </w:r>
      <w:r w:rsidR="00B65863" w:rsidRPr="004249D0">
        <w:rPr>
          <w:i/>
          <w:iCs/>
          <w:sz w:val="20"/>
        </w:rPr>
        <w:t>3</w:t>
      </w:r>
      <w:r w:rsidR="00D45469" w:rsidRPr="004249D0">
        <w:rPr>
          <w:i/>
          <w:iCs/>
          <w:sz w:val="20"/>
        </w:rPr>
        <w:t xml:space="preserve"> </w:t>
      </w:r>
      <w:r w:rsidR="00B65863" w:rsidRPr="008966F6">
        <w:rPr>
          <w:iCs/>
          <w:sz w:val="20"/>
        </w:rPr>
        <w:t>Fair Value Measurement</w:t>
      </w:r>
      <w:r w:rsidR="00D45469" w:rsidRPr="004249D0">
        <w:rPr>
          <w:i/>
          <w:iCs/>
          <w:sz w:val="20"/>
        </w:rPr>
        <w:t xml:space="preserve">, which are available on the </w:t>
      </w:r>
      <w:r w:rsidR="00291416" w:rsidRPr="004249D0">
        <w:rPr>
          <w:i/>
          <w:iCs/>
          <w:sz w:val="20"/>
        </w:rPr>
        <w:t>AASB</w:t>
      </w:r>
      <w:r w:rsidR="00DD590D">
        <w:rPr>
          <w:i/>
          <w:iCs/>
          <w:sz w:val="20"/>
        </w:rPr>
        <w:t xml:space="preserve"> </w:t>
      </w:r>
      <w:r w:rsidR="00D45469" w:rsidRPr="004249D0">
        <w:rPr>
          <w:i/>
          <w:iCs/>
          <w:sz w:val="20"/>
        </w:rPr>
        <w:t>website</w:t>
      </w:r>
      <w:r w:rsidR="002921F6">
        <w:rPr>
          <w:i/>
          <w:iCs/>
          <w:sz w:val="20"/>
        </w:rPr>
        <w:t>. Those</w:t>
      </w:r>
      <w:r w:rsidR="00974848">
        <w:rPr>
          <w:i/>
          <w:iCs/>
          <w:sz w:val="20"/>
        </w:rPr>
        <w:t xml:space="preserve"> </w:t>
      </w:r>
      <w:r w:rsidR="00760681">
        <w:rPr>
          <w:i/>
          <w:iCs/>
          <w:sz w:val="20"/>
        </w:rPr>
        <w:t xml:space="preserve">IASB </w:t>
      </w:r>
      <w:r w:rsidR="002921F6">
        <w:rPr>
          <w:i/>
          <w:iCs/>
          <w:sz w:val="20"/>
        </w:rPr>
        <w:t>examples</w:t>
      </w:r>
      <w:r w:rsidR="000C1673">
        <w:rPr>
          <w:i/>
          <w:iCs/>
          <w:sz w:val="20"/>
        </w:rPr>
        <w:t xml:space="preserve"> </w:t>
      </w:r>
      <w:r w:rsidR="00B97890" w:rsidRPr="00B97890">
        <w:rPr>
          <w:i/>
          <w:iCs/>
          <w:sz w:val="20"/>
        </w:rPr>
        <w:t>illustrate aspects of IFRS 13 but are not</w:t>
      </w:r>
      <w:r w:rsidR="00B97890">
        <w:rPr>
          <w:i/>
          <w:iCs/>
          <w:sz w:val="20"/>
        </w:rPr>
        <w:t xml:space="preserve"> </w:t>
      </w:r>
      <w:r w:rsidR="00B97890" w:rsidRPr="00B97890">
        <w:rPr>
          <w:i/>
          <w:iCs/>
          <w:sz w:val="20"/>
        </w:rPr>
        <w:t>intended to provide interpretative guidance.</w:t>
      </w:r>
      <w:r w:rsidR="00B97890">
        <w:rPr>
          <w:i/>
          <w:iCs/>
          <w:sz w:val="20"/>
        </w:rPr>
        <w:t xml:space="preserve"> </w:t>
      </w:r>
      <w:r w:rsidR="001D4231">
        <w:rPr>
          <w:i/>
          <w:iCs/>
          <w:sz w:val="20"/>
        </w:rPr>
        <w:t>Th</w:t>
      </w:r>
      <w:r w:rsidR="00974848">
        <w:rPr>
          <w:i/>
          <w:iCs/>
          <w:sz w:val="20"/>
        </w:rPr>
        <w:t>ose</w:t>
      </w:r>
      <w:r w:rsidR="001D4231">
        <w:rPr>
          <w:i/>
          <w:iCs/>
          <w:sz w:val="20"/>
        </w:rPr>
        <w:t xml:space="preserve"> examples </w:t>
      </w:r>
      <w:r w:rsidR="00B87DF0" w:rsidRPr="00B87DF0">
        <w:rPr>
          <w:i/>
          <w:iCs/>
          <w:sz w:val="20"/>
        </w:rPr>
        <w:t>portray hypothetical situations illustrating the judgements</w:t>
      </w:r>
      <w:r w:rsidR="00B87DF0">
        <w:rPr>
          <w:i/>
          <w:iCs/>
          <w:sz w:val="20"/>
        </w:rPr>
        <w:t xml:space="preserve"> </w:t>
      </w:r>
      <w:r w:rsidR="00B87DF0" w:rsidRPr="00B87DF0">
        <w:rPr>
          <w:i/>
          <w:iCs/>
          <w:sz w:val="20"/>
        </w:rPr>
        <w:t>that might apply when an entity measures assets and liabilities at fair value in</w:t>
      </w:r>
      <w:r w:rsidR="00B87DF0">
        <w:rPr>
          <w:i/>
          <w:iCs/>
          <w:sz w:val="20"/>
        </w:rPr>
        <w:t xml:space="preserve"> </w:t>
      </w:r>
      <w:r w:rsidR="00B87DF0" w:rsidRPr="00B87DF0">
        <w:rPr>
          <w:i/>
          <w:iCs/>
          <w:sz w:val="20"/>
        </w:rPr>
        <w:t xml:space="preserve">different valuation situations. </w:t>
      </w:r>
      <w:r w:rsidR="000C1673" w:rsidRPr="004249D0">
        <w:rPr>
          <w:i/>
          <w:iCs/>
          <w:sz w:val="20"/>
        </w:rPr>
        <w:t>The</w:t>
      </w:r>
      <w:r w:rsidR="001D4231">
        <w:rPr>
          <w:i/>
          <w:iCs/>
          <w:sz w:val="20"/>
        </w:rPr>
        <w:t xml:space="preserve"> following</w:t>
      </w:r>
      <w:r w:rsidR="000C1673" w:rsidRPr="004249D0">
        <w:rPr>
          <w:i/>
          <w:iCs/>
          <w:sz w:val="20"/>
        </w:rPr>
        <w:t xml:space="preserve"> examples </w:t>
      </w:r>
      <w:r w:rsidR="00677176">
        <w:rPr>
          <w:i/>
          <w:iCs/>
          <w:sz w:val="20"/>
        </w:rPr>
        <w:t>illustrate</w:t>
      </w:r>
      <w:r w:rsidR="000C1673" w:rsidRPr="004249D0">
        <w:rPr>
          <w:i/>
          <w:iCs/>
          <w:sz w:val="20"/>
        </w:rPr>
        <w:t xml:space="preserve"> aspects of </w:t>
      </w:r>
      <w:r w:rsidR="002F7FF2">
        <w:rPr>
          <w:i/>
          <w:iCs/>
          <w:sz w:val="20"/>
        </w:rPr>
        <w:t xml:space="preserve">Appendix F </w:t>
      </w:r>
      <w:r w:rsidR="002F7FF2" w:rsidRPr="00C920C6">
        <w:rPr>
          <w:sz w:val="20"/>
        </w:rPr>
        <w:t>Australian implementation guidance for not-for-profit public sector entities</w:t>
      </w:r>
      <w:r w:rsidR="002F7FF2">
        <w:rPr>
          <w:i/>
          <w:iCs/>
          <w:sz w:val="20"/>
        </w:rPr>
        <w:t xml:space="preserve"> </w:t>
      </w:r>
      <w:r w:rsidR="004164DE">
        <w:rPr>
          <w:i/>
          <w:iCs/>
          <w:sz w:val="20"/>
        </w:rPr>
        <w:t xml:space="preserve">in </w:t>
      </w:r>
      <w:r w:rsidR="000C1673" w:rsidRPr="004249D0">
        <w:rPr>
          <w:i/>
          <w:iCs/>
          <w:sz w:val="20"/>
        </w:rPr>
        <w:t>AASB</w:t>
      </w:r>
      <w:r w:rsidR="000C1673">
        <w:rPr>
          <w:i/>
          <w:iCs/>
          <w:sz w:val="20"/>
        </w:rPr>
        <w:t> </w:t>
      </w:r>
      <w:r w:rsidR="000C1673" w:rsidRPr="004249D0">
        <w:rPr>
          <w:i/>
          <w:iCs/>
          <w:sz w:val="20"/>
        </w:rPr>
        <w:t>13</w:t>
      </w:r>
      <w:r w:rsidR="00B53A1C">
        <w:rPr>
          <w:i/>
          <w:iCs/>
          <w:sz w:val="20"/>
        </w:rPr>
        <w:t>. They</w:t>
      </w:r>
      <w:r w:rsidR="000C1673" w:rsidRPr="004249D0">
        <w:rPr>
          <w:i/>
          <w:iCs/>
          <w:sz w:val="20"/>
        </w:rPr>
        <w:t xml:space="preserve"> complement </w:t>
      </w:r>
      <w:r w:rsidR="008D1E90">
        <w:rPr>
          <w:i/>
          <w:iCs/>
          <w:sz w:val="20"/>
        </w:rPr>
        <w:t xml:space="preserve">the IASB’s </w:t>
      </w:r>
      <w:r w:rsidR="00B53A1C">
        <w:rPr>
          <w:i/>
          <w:iCs/>
          <w:sz w:val="20"/>
        </w:rPr>
        <w:t>Illustrative Examples</w:t>
      </w:r>
      <w:r w:rsidR="009E1363" w:rsidRPr="004249D0">
        <w:rPr>
          <w:i/>
          <w:iCs/>
          <w:sz w:val="20"/>
        </w:rPr>
        <w:t>.</w:t>
      </w:r>
    </w:p>
    <w:p w14:paraId="14A5B383" w14:textId="2554668E" w:rsidR="002E5588" w:rsidRDefault="00BA5A1C" w:rsidP="003276D3">
      <w:pPr>
        <w:pStyle w:val="NumIEPlain1"/>
      </w:pPr>
      <w:bookmarkStart w:id="41" w:name="_Ref461528189"/>
      <w:r w:rsidRPr="004249D0">
        <w:t>The following examples portray hypothetical situations</w:t>
      </w:r>
      <w:r w:rsidRPr="00766E15">
        <w:t xml:space="preserve">. They are intended to illustrate how a not-for-profit </w:t>
      </w:r>
      <w:r w:rsidR="00846F42">
        <w:t xml:space="preserve">public sector </w:t>
      </w:r>
      <w:r w:rsidRPr="00766E15">
        <w:t xml:space="preserve">entity might apply some requirements of </w:t>
      </w:r>
      <w:r w:rsidR="00291416">
        <w:t>AASB</w:t>
      </w:r>
      <w:r w:rsidR="00DD590D">
        <w:t xml:space="preserve"> </w:t>
      </w:r>
      <w:r w:rsidR="007922C5">
        <w:t>13</w:t>
      </w:r>
      <w:r w:rsidRPr="00766E15">
        <w:t xml:space="preserve"> </w:t>
      </w:r>
      <w:r w:rsidR="007922C5">
        <w:rPr>
          <w:i/>
        </w:rPr>
        <w:t>Fair Value Measurement</w:t>
      </w:r>
      <w:r w:rsidRPr="00766E15">
        <w:rPr>
          <w:i/>
        </w:rPr>
        <w:t xml:space="preserve"> </w:t>
      </w:r>
      <w:r w:rsidRPr="00766E15">
        <w:t xml:space="preserve">to particular types of </w:t>
      </w:r>
      <w:r w:rsidR="00B43753">
        <w:t>assets</w:t>
      </w:r>
      <w:r w:rsidRPr="00766E15">
        <w:t xml:space="preserve">, on the basis of the limited facts presented. Although some aspects of the examples might be present in actual fact patterns, all relevant facts and circumstances of a particular </w:t>
      </w:r>
      <w:r w:rsidR="00103564">
        <w:t>asset</w:t>
      </w:r>
      <w:r w:rsidRPr="00766E15">
        <w:t xml:space="preserve"> would need to be evaluated when applying </w:t>
      </w:r>
      <w:r w:rsidR="00291416">
        <w:t>AASB</w:t>
      </w:r>
      <w:r w:rsidR="00DD590D">
        <w:t xml:space="preserve"> </w:t>
      </w:r>
      <w:r w:rsidR="00B43753">
        <w:t>13</w:t>
      </w:r>
      <w:r w:rsidRPr="00766E15">
        <w:t xml:space="preserve">. </w:t>
      </w:r>
      <w:r w:rsidR="00B87D54" w:rsidRPr="00766E15">
        <w:t xml:space="preserve">The evaluations in each example are not intended to represent the only manner in which </w:t>
      </w:r>
      <w:r w:rsidR="00291416">
        <w:t>AASB</w:t>
      </w:r>
      <w:r w:rsidR="00DD590D">
        <w:t xml:space="preserve"> </w:t>
      </w:r>
      <w:r w:rsidR="00B87D54" w:rsidRPr="00766E15">
        <w:t>1</w:t>
      </w:r>
      <w:r w:rsidR="00B43753">
        <w:t>3</w:t>
      </w:r>
      <w:r w:rsidR="00B87D54" w:rsidRPr="00766E15">
        <w:t xml:space="preserve"> could be applied.</w:t>
      </w:r>
      <w:bookmarkEnd w:id="41"/>
    </w:p>
    <w:p w14:paraId="4DE9E14D" w14:textId="6440C288" w:rsidR="00483FC6" w:rsidRPr="008508A2" w:rsidRDefault="00E06FCE" w:rsidP="00483FC6">
      <w:pPr>
        <w:pStyle w:val="IASBSectionTitle1NonInd"/>
        <w:outlineLvl w:val="1"/>
      </w:pPr>
      <w:r>
        <w:t>Fair value of a</w:t>
      </w:r>
      <w:r w:rsidR="00184B11">
        <w:t xml:space="preserve"> non-financial</w:t>
      </w:r>
      <w:r>
        <w:t xml:space="preserve"> asset </w:t>
      </w:r>
      <w:r w:rsidR="00184B11">
        <w:t>not hel</w:t>
      </w:r>
      <w:r w:rsidR="008C1A87">
        <w:t xml:space="preserve">d primarily for its ability to generate net cash inflows </w:t>
      </w:r>
      <w:r w:rsidR="00DB5574">
        <w:t xml:space="preserve">and </w:t>
      </w:r>
      <w:r>
        <w:t>measured under the cost approach</w:t>
      </w:r>
    </w:p>
    <w:p w14:paraId="221460C8" w14:textId="082AE761" w:rsidR="00FC258C" w:rsidRDefault="00FC258C" w:rsidP="0025632E">
      <w:pPr>
        <w:pStyle w:val="IASBSectionTitle2Ind"/>
      </w:pPr>
      <w:r>
        <w:t xml:space="preserve">Nature of costs included in </w:t>
      </w:r>
      <w:r w:rsidR="003430E3">
        <w:t xml:space="preserve">the replacement cost of </w:t>
      </w:r>
      <w:r w:rsidR="00905EC1">
        <w:t>a reference asset</w:t>
      </w:r>
      <w:r>
        <w:t xml:space="preserve"> </w:t>
      </w:r>
      <w:r w:rsidRPr="00064684">
        <w:t>(paragraph</w:t>
      </w:r>
      <w:r>
        <w:t>s</w:t>
      </w:r>
      <w:r w:rsidRPr="00064684">
        <w:t xml:space="preserve"> </w:t>
      </w:r>
      <w:r>
        <w:fldChar w:fldCharType="begin"/>
      </w:r>
      <w:r>
        <w:instrText xml:space="preserve"> REF _Ref113942524 \r \h </w:instrText>
      </w:r>
      <w:r w:rsidR="009E4CB2">
        <w:instrText xml:space="preserve"> \* MERGEFORMAT </w:instrText>
      </w:r>
      <w:r>
        <w:fldChar w:fldCharType="separate"/>
      </w:r>
      <w:r w:rsidR="005A1B65">
        <w:t>F9</w:t>
      </w:r>
      <w:r>
        <w:fldChar w:fldCharType="end"/>
      </w:r>
      <w:r w:rsidR="00905EC1">
        <w:t xml:space="preserve">(a) and </w:t>
      </w:r>
      <w:r w:rsidR="00905EC1">
        <w:fldChar w:fldCharType="begin"/>
      </w:r>
      <w:r w:rsidR="00905EC1">
        <w:instrText xml:space="preserve"> REF _Ref113946224 \r \h </w:instrText>
      </w:r>
      <w:r w:rsidR="00905EC1">
        <w:fldChar w:fldCharType="separate"/>
      </w:r>
      <w:r w:rsidR="005A1B65">
        <w:t>F11</w:t>
      </w:r>
      <w:r w:rsidR="00905EC1">
        <w:fldChar w:fldCharType="end"/>
      </w:r>
      <w:r>
        <w:t>–</w:t>
      </w:r>
      <w:r w:rsidR="009F5766">
        <w:fldChar w:fldCharType="begin"/>
      </w:r>
      <w:r w:rsidR="009F5766">
        <w:instrText xml:space="preserve"> REF _Ref113946817 \r \h </w:instrText>
      </w:r>
      <w:r w:rsidR="009F5766">
        <w:fldChar w:fldCharType="separate"/>
      </w:r>
      <w:r w:rsidR="005A1B65">
        <w:t>F15</w:t>
      </w:r>
      <w:r w:rsidR="009F5766">
        <w:fldChar w:fldCharType="end"/>
      </w:r>
      <w:r w:rsidRPr="00064684">
        <w:t>)</w:t>
      </w:r>
    </w:p>
    <w:p w14:paraId="20751F9D" w14:textId="14C0F751" w:rsidR="00483FC6" w:rsidRDefault="00483FC6" w:rsidP="00F2700B">
      <w:pPr>
        <w:pStyle w:val="NumIEPlain1"/>
        <w:spacing w:after="240"/>
      </w:pPr>
      <w:r>
        <w:t>Example</w:t>
      </w:r>
      <w:r w:rsidR="00491586">
        <w:t>s</w:t>
      </w:r>
      <w:r w:rsidR="00DD590D">
        <w:t xml:space="preserve"> </w:t>
      </w:r>
      <w:r w:rsidR="000B1BB0">
        <w:t>1</w:t>
      </w:r>
      <w:r w:rsidR="00027161">
        <w:t>–</w:t>
      </w:r>
      <w:r w:rsidR="000B1BB0">
        <w:t>4</w:t>
      </w:r>
      <w:r>
        <w:t xml:space="preserve"> illustrate the costs included in the </w:t>
      </w:r>
      <w:r w:rsidR="00B426DC">
        <w:t xml:space="preserve">replacement cost of a reference asset for the purpose </w:t>
      </w:r>
      <w:r w:rsidR="008C0A7D">
        <w:t>of measuring the fair value of</w:t>
      </w:r>
      <w:r>
        <w:t xml:space="preserve"> a non-financial asset </w:t>
      </w:r>
      <w:r w:rsidR="00C56696">
        <w:t xml:space="preserve">not held primarily for its ability to generate net cash inflows </w:t>
      </w:r>
      <w:r w:rsidR="003258C7">
        <w:t xml:space="preserve">under </w:t>
      </w:r>
      <w:r>
        <w:t>the cost approach</w:t>
      </w:r>
      <w:r w:rsidR="009E33ED">
        <w:t xml:space="preserve"> in </w:t>
      </w:r>
      <w:r w:rsidR="008C0A7D">
        <w:t xml:space="preserve">accordance with </w:t>
      </w:r>
      <w:r w:rsidR="009E33ED" w:rsidRPr="00D1491A">
        <w:t>paragraphs</w:t>
      </w:r>
      <w:r w:rsidR="00AA35B4">
        <w:t xml:space="preserve"> </w:t>
      </w:r>
      <w:r w:rsidR="009E33ED" w:rsidRPr="00127995">
        <w:t>B8</w:t>
      </w:r>
      <w:r w:rsidR="00A651C3">
        <w:t xml:space="preserve"> and</w:t>
      </w:r>
      <w:r w:rsidR="00127995">
        <w:t xml:space="preserve"> </w:t>
      </w:r>
      <w:r w:rsidR="009E33ED">
        <w:t>B9</w:t>
      </w:r>
      <w:r w:rsidR="00A651C3">
        <w:t>,</w:t>
      </w:r>
      <w:r w:rsidR="002909A0">
        <w:t xml:space="preserve"> and </w:t>
      </w:r>
      <w:r w:rsidR="008615AF">
        <w:t>in paragraphs</w:t>
      </w:r>
      <w:r w:rsidR="009450D6">
        <w:t> </w:t>
      </w:r>
      <w:r w:rsidR="004D62B8">
        <w:fldChar w:fldCharType="begin"/>
      </w:r>
      <w:r w:rsidR="004D62B8">
        <w:instrText xml:space="preserve"> REF _Ref113942524 \r \h </w:instrText>
      </w:r>
      <w:r w:rsidR="004D62B8">
        <w:fldChar w:fldCharType="separate"/>
      </w:r>
      <w:r w:rsidR="005A1B65">
        <w:t>F9</w:t>
      </w:r>
      <w:r w:rsidR="004D62B8">
        <w:fldChar w:fldCharType="end"/>
      </w:r>
      <w:r w:rsidR="008C0A7D">
        <w:t xml:space="preserve">(a) and </w:t>
      </w:r>
      <w:r w:rsidR="008C0A7D">
        <w:fldChar w:fldCharType="begin"/>
      </w:r>
      <w:r w:rsidR="008C0A7D">
        <w:instrText xml:space="preserve"> REF _Ref113946224 \r \h </w:instrText>
      </w:r>
      <w:r w:rsidR="008C0A7D">
        <w:fldChar w:fldCharType="separate"/>
      </w:r>
      <w:r w:rsidR="005A1B65">
        <w:t>F11</w:t>
      </w:r>
      <w:r w:rsidR="008C0A7D">
        <w:fldChar w:fldCharType="end"/>
      </w:r>
      <w:r w:rsidR="004D62B8">
        <w:t>–</w:t>
      </w:r>
      <w:r w:rsidR="00780338">
        <w:fldChar w:fldCharType="begin"/>
      </w:r>
      <w:r w:rsidR="00780338">
        <w:instrText xml:space="preserve"> REF _Ref113946817 \r \h </w:instrText>
      </w:r>
      <w:r w:rsidR="00780338">
        <w:fldChar w:fldCharType="separate"/>
      </w:r>
      <w:r w:rsidR="005A1B65">
        <w:t>F15</w:t>
      </w:r>
      <w:r w:rsidR="00780338">
        <w:fldChar w:fldCharType="end"/>
      </w:r>
      <w:r>
        <w:t>.</w:t>
      </w:r>
    </w:p>
    <w:tbl>
      <w:tblPr>
        <w:tblStyle w:val="TableGrid"/>
        <w:tblW w:w="0" w:type="auto"/>
        <w:tblInd w:w="782" w:type="dxa"/>
        <w:tblLook w:val="04A0" w:firstRow="1" w:lastRow="0" w:firstColumn="1" w:lastColumn="0" w:noHBand="0" w:noVBand="1"/>
        <w:tblCaption w:val="Example 1"/>
        <w:tblDescription w:val="Example 1 – Costs included in the gross replacement cost of a reference asset for a road"/>
      </w:tblPr>
      <w:tblGrid>
        <w:gridCol w:w="8279"/>
      </w:tblGrid>
      <w:tr w:rsidR="00450EA7" w14:paraId="10C45C6C" w14:textId="77777777" w:rsidTr="00482E2F">
        <w:tc>
          <w:tcPr>
            <w:tcW w:w="8279" w:type="dxa"/>
            <w:tcBorders>
              <w:bottom w:val="single" w:sz="4" w:space="0" w:color="auto"/>
            </w:tcBorders>
          </w:tcPr>
          <w:p w14:paraId="71CE41EF" w14:textId="73D2D01F" w:rsidR="00450EA7" w:rsidRDefault="00450EA7" w:rsidP="00DD590D">
            <w:pPr>
              <w:pStyle w:val="NumIEPlain1"/>
              <w:numPr>
                <w:ilvl w:val="0"/>
                <w:numId w:val="0"/>
              </w:numPr>
              <w:spacing w:before="100"/>
              <w:rPr>
                <w:b/>
                <w:noProof/>
                <w:lang w:eastAsia="en-AU"/>
              </w:rPr>
            </w:pPr>
            <w:r w:rsidRPr="00753A48">
              <w:rPr>
                <w:b/>
              </w:rPr>
              <w:t>Example </w:t>
            </w:r>
            <w:r w:rsidR="000B1BB0">
              <w:rPr>
                <w:b/>
              </w:rPr>
              <w:t>1</w:t>
            </w:r>
            <w:r w:rsidRPr="00753A48">
              <w:rPr>
                <w:b/>
              </w:rPr>
              <w:t xml:space="preserve"> – Costs </w:t>
            </w:r>
            <w:r>
              <w:rPr>
                <w:b/>
              </w:rPr>
              <w:t xml:space="preserve">included in </w:t>
            </w:r>
            <w:r w:rsidRPr="00753A48">
              <w:rPr>
                <w:b/>
              </w:rPr>
              <w:t xml:space="preserve">the </w:t>
            </w:r>
            <w:r w:rsidR="00C16134">
              <w:rPr>
                <w:b/>
              </w:rPr>
              <w:t xml:space="preserve">gross replacement cost of a </w:t>
            </w:r>
            <w:r w:rsidR="00A40B27">
              <w:rPr>
                <w:b/>
              </w:rPr>
              <w:t>reference asset for a road</w:t>
            </w:r>
          </w:p>
        </w:tc>
      </w:tr>
      <w:tr w:rsidR="00482E2F" w14:paraId="54E57A2A" w14:textId="77777777" w:rsidTr="00482E2F">
        <w:tc>
          <w:tcPr>
            <w:tcW w:w="8279" w:type="dxa"/>
            <w:tcBorders>
              <w:bottom w:val="nil"/>
            </w:tcBorders>
          </w:tcPr>
          <w:p w14:paraId="5FFB0F67" w14:textId="77777777" w:rsidR="00482E2F" w:rsidRDefault="00482E2F" w:rsidP="00482E2F">
            <w:pPr>
              <w:pStyle w:val="NumIEPlain1"/>
              <w:widowControl w:val="0"/>
              <w:numPr>
                <w:ilvl w:val="0"/>
                <w:numId w:val="0"/>
              </w:numPr>
              <w:spacing w:before="60"/>
            </w:pPr>
            <w:r>
              <w:t xml:space="preserve">A local government (Council A) applies the revaluation model after recognition of each class of property, plant and equipment, as referred to in paragraph 31 of AASB 116 </w:t>
            </w:r>
            <w:r w:rsidRPr="00727A8E">
              <w:rPr>
                <w:i/>
                <w:iCs/>
              </w:rPr>
              <w:t>Property, Plant and Equipment</w:t>
            </w:r>
            <w:r>
              <w:t>.</w:t>
            </w:r>
          </w:p>
          <w:p w14:paraId="3D8AC09A" w14:textId="77777777" w:rsidR="00482E2F" w:rsidRDefault="00482E2F" w:rsidP="00482E2F">
            <w:pPr>
              <w:pStyle w:val="NumIEPlain1"/>
              <w:widowControl w:val="0"/>
              <w:numPr>
                <w:ilvl w:val="0"/>
                <w:numId w:val="0"/>
              </w:numPr>
            </w:pPr>
            <w:r>
              <w:t>Council A recognises roads and land under roads as separate classes of assets. It measures the fair value of its roads using the cost approach. This example illustrates the consideration of the costs to include in the gross replacement cost of a reference road. The measurement of accumulated obsolescence and the valuation of land are not addressed in this example.</w:t>
            </w:r>
          </w:p>
          <w:p w14:paraId="0F0BBA27" w14:textId="77777777" w:rsidR="00482E2F" w:rsidRDefault="00482E2F" w:rsidP="00482E2F">
            <w:pPr>
              <w:pStyle w:val="NumIEPlain1"/>
              <w:widowControl w:val="0"/>
              <w:numPr>
                <w:ilvl w:val="0"/>
                <w:numId w:val="0"/>
              </w:numPr>
            </w:pPr>
            <w:r>
              <w:t xml:space="preserve">As at 30 June 20X2, Council A controls a particular road (the subject road). </w:t>
            </w:r>
            <w:r w:rsidRPr="00A73FE8">
              <w:t xml:space="preserve">In the process of using the cost approach to measure the fair value of the road, Council A determines which </w:t>
            </w:r>
            <w:r>
              <w:t>costs</w:t>
            </w:r>
            <w:r w:rsidRPr="00A73FE8">
              <w:t xml:space="preserve"> to include in </w:t>
            </w:r>
            <w:r>
              <w:t>the replacement cost of a reference road.</w:t>
            </w:r>
            <w:r w:rsidRPr="00A73FE8">
              <w:t xml:space="preserve"> </w:t>
            </w:r>
          </w:p>
          <w:p w14:paraId="5B1BCF1D" w14:textId="4FF1145A" w:rsidR="00482E2F" w:rsidRDefault="00482E2F" w:rsidP="00482E2F">
            <w:pPr>
              <w:pStyle w:val="NumIEPlain1"/>
              <w:widowControl w:val="0"/>
              <w:numPr>
                <w:ilvl w:val="0"/>
                <w:numId w:val="0"/>
              </w:numPr>
              <w:spacing w:before="60"/>
            </w:pPr>
            <w:r>
              <w:t>The costs in the list below, measured using prices as at that measurement date, relate to the reference road. For simplicity, in this example, it is assumed that the replacement of the reference road would occur within a year and, consequently, in the current market environment, material financing costs (from the perspective of the market participant) would not be incurred in replacing the reference road.</w:t>
            </w:r>
          </w:p>
        </w:tc>
      </w:tr>
      <w:tr w:rsidR="00450EA7" w14:paraId="72C9D84B" w14:textId="77777777" w:rsidTr="00321186">
        <w:tc>
          <w:tcPr>
            <w:tcW w:w="8279" w:type="dxa"/>
            <w:tcBorders>
              <w:top w:val="nil"/>
              <w:bottom w:val="nil"/>
            </w:tcBorders>
          </w:tcPr>
          <w:tbl>
            <w:tblPr>
              <w:tblStyle w:val="TableGrid"/>
              <w:tblW w:w="42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lculation"/>
              <w:tblDescription w:val="calculation"/>
            </w:tblPr>
            <w:tblGrid>
              <w:gridCol w:w="4915"/>
              <w:gridCol w:w="1990"/>
            </w:tblGrid>
            <w:tr w:rsidR="00FF761A" w14:paraId="0AAA5C58" w14:textId="77777777" w:rsidTr="00321186">
              <w:trPr>
                <w:trHeight w:val="510"/>
              </w:trPr>
              <w:tc>
                <w:tcPr>
                  <w:tcW w:w="3559" w:type="pct"/>
                  <w:vAlign w:val="bottom"/>
                </w:tcPr>
                <w:p w14:paraId="29FE12A2" w14:textId="05D76574" w:rsidR="00FF761A" w:rsidRPr="00C17641" w:rsidRDefault="00D23499" w:rsidP="00321186">
                  <w:pPr>
                    <w:pStyle w:val="NumIEPlain1"/>
                    <w:keepNext/>
                    <w:numPr>
                      <w:ilvl w:val="0"/>
                      <w:numId w:val="0"/>
                    </w:numPr>
                    <w:spacing w:after="60"/>
                    <w:jc w:val="left"/>
                    <w:rPr>
                      <w:u w:val="single"/>
                    </w:rPr>
                  </w:pPr>
                  <w:r w:rsidRPr="00D23499">
                    <w:rPr>
                      <w:u w:val="single"/>
                    </w:rPr>
                    <w:t xml:space="preserve">Costs </w:t>
                  </w:r>
                  <w:r w:rsidR="001B0534">
                    <w:rPr>
                      <w:u w:val="single"/>
                    </w:rPr>
                    <w:t>(</w:t>
                  </w:r>
                  <w:r w:rsidR="00237564">
                    <w:rPr>
                      <w:u w:val="single"/>
                    </w:rPr>
                    <w:t>excluding</w:t>
                  </w:r>
                  <w:r w:rsidRPr="00D23499">
                    <w:rPr>
                      <w:u w:val="single"/>
                    </w:rPr>
                    <w:t xml:space="preserve"> costs to remove unwanted existing structures and disruption costs</w:t>
                  </w:r>
                  <w:r w:rsidR="008358F1">
                    <w:rPr>
                      <w:u w:val="single"/>
                    </w:rPr>
                    <w:t>: see below</w:t>
                  </w:r>
                  <w:r w:rsidR="001B0534">
                    <w:rPr>
                      <w:u w:val="single"/>
                    </w:rPr>
                    <w:t>)</w:t>
                  </w:r>
                </w:p>
              </w:tc>
              <w:tc>
                <w:tcPr>
                  <w:tcW w:w="1441" w:type="pct"/>
                </w:tcPr>
                <w:p w14:paraId="131DA00E" w14:textId="22B7CDCE" w:rsidR="00FF761A" w:rsidRPr="00CD6007" w:rsidRDefault="0043129E" w:rsidP="00750093">
                  <w:pPr>
                    <w:pStyle w:val="NumIEPlain1"/>
                    <w:keepNext/>
                    <w:keepLines/>
                    <w:numPr>
                      <w:ilvl w:val="0"/>
                      <w:numId w:val="0"/>
                    </w:numPr>
                    <w:spacing w:after="0"/>
                    <w:ind w:right="113"/>
                    <w:jc w:val="right"/>
                    <w:rPr>
                      <w:u w:val="single"/>
                    </w:rPr>
                  </w:pPr>
                  <w:r>
                    <w:rPr>
                      <w:u w:val="single"/>
                    </w:rPr>
                    <w:t>Estimated c</w:t>
                  </w:r>
                  <w:r w:rsidR="00FF761A" w:rsidRPr="00CD6007">
                    <w:rPr>
                      <w:u w:val="single"/>
                    </w:rPr>
                    <w:t>ost</w:t>
                  </w:r>
                  <w:r>
                    <w:rPr>
                      <w:u w:val="single"/>
                    </w:rPr>
                    <w:t xml:space="preserve"> </w:t>
                  </w:r>
                  <w:r w:rsidR="00895298">
                    <w:rPr>
                      <w:u w:val="single"/>
                    </w:rPr>
                    <w:t xml:space="preserve">as </w:t>
                  </w:r>
                  <w:r>
                    <w:rPr>
                      <w:u w:val="single"/>
                    </w:rPr>
                    <w:t xml:space="preserve">at </w:t>
                  </w:r>
                  <w:r w:rsidR="00020A2A">
                    <w:rPr>
                      <w:u w:val="single"/>
                    </w:rPr>
                    <w:t>30 June 20X</w:t>
                  </w:r>
                  <w:r w:rsidR="001F587F">
                    <w:rPr>
                      <w:u w:val="single"/>
                    </w:rPr>
                    <w:t>2</w:t>
                  </w:r>
                </w:p>
              </w:tc>
            </w:tr>
            <w:tr w:rsidR="00FF761A" w14:paraId="0720415C" w14:textId="77777777" w:rsidTr="00750093">
              <w:tc>
                <w:tcPr>
                  <w:tcW w:w="3559" w:type="pct"/>
                </w:tcPr>
                <w:p w14:paraId="44A549AD" w14:textId="77777777" w:rsidR="00FF761A" w:rsidRDefault="00FF761A" w:rsidP="003076AB">
                  <w:pPr>
                    <w:pStyle w:val="NumIEPlain1"/>
                    <w:keepNext/>
                    <w:keepLines/>
                    <w:numPr>
                      <w:ilvl w:val="0"/>
                      <w:numId w:val="0"/>
                    </w:numPr>
                    <w:spacing w:after="0"/>
                  </w:pPr>
                </w:p>
              </w:tc>
              <w:tc>
                <w:tcPr>
                  <w:tcW w:w="1441" w:type="pct"/>
                </w:tcPr>
                <w:p w14:paraId="1408440C" w14:textId="77777777" w:rsidR="00FF761A" w:rsidRPr="002A4C58" w:rsidRDefault="00FF761A" w:rsidP="003076AB">
                  <w:pPr>
                    <w:pStyle w:val="NumIEPlain1"/>
                    <w:keepNext/>
                    <w:keepLines/>
                    <w:numPr>
                      <w:ilvl w:val="0"/>
                      <w:numId w:val="0"/>
                    </w:numPr>
                    <w:spacing w:after="0"/>
                    <w:ind w:right="113"/>
                    <w:jc w:val="right"/>
                    <w:rPr>
                      <w:i/>
                    </w:rPr>
                  </w:pPr>
                  <w:r w:rsidRPr="002A4C58">
                    <w:rPr>
                      <w:i/>
                    </w:rPr>
                    <w:t>$’000</w:t>
                  </w:r>
                </w:p>
              </w:tc>
            </w:tr>
            <w:tr w:rsidR="007227FE" w:rsidRPr="00EF30C7" w14:paraId="51239EE7" w14:textId="77777777" w:rsidTr="00750093">
              <w:tc>
                <w:tcPr>
                  <w:tcW w:w="3559" w:type="pct"/>
                </w:tcPr>
                <w:p w14:paraId="0D6BFC8F" w14:textId="77777777" w:rsidR="007227FE" w:rsidRPr="00F61E68" w:rsidRDefault="007227FE" w:rsidP="003076AB">
                  <w:pPr>
                    <w:pStyle w:val="NumIEPlain1"/>
                    <w:keepNext/>
                    <w:keepLines/>
                    <w:numPr>
                      <w:ilvl w:val="0"/>
                      <w:numId w:val="0"/>
                    </w:numPr>
                    <w:spacing w:after="0"/>
                    <w:rPr>
                      <w:sz w:val="12"/>
                      <w:szCs w:val="12"/>
                    </w:rPr>
                  </w:pPr>
                </w:p>
              </w:tc>
              <w:tc>
                <w:tcPr>
                  <w:tcW w:w="1441" w:type="pct"/>
                </w:tcPr>
                <w:p w14:paraId="02C4C0C3" w14:textId="77777777" w:rsidR="007227FE" w:rsidRPr="00EF30C7" w:rsidRDefault="007227FE" w:rsidP="00F61E68">
                  <w:pPr>
                    <w:pStyle w:val="NumIEPlain1"/>
                    <w:keepNext/>
                    <w:keepLines/>
                    <w:numPr>
                      <w:ilvl w:val="0"/>
                      <w:numId w:val="0"/>
                    </w:numPr>
                    <w:spacing w:after="0"/>
                    <w:ind w:right="113"/>
                    <w:rPr>
                      <w:i/>
                      <w:sz w:val="6"/>
                      <w:szCs w:val="6"/>
                    </w:rPr>
                  </w:pPr>
                </w:p>
              </w:tc>
            </w:tr>
            <w:tr w:rsidR="00FD6F2A" w14:paraId="724B4EBB" w14:textId="77777777" w:rsidTr="00750093">
              <w:tc>
                <w:tcPr>
                  <w:tcW w:w="3559" w:type="pct"/>
                </w:tcPr>
                <w:p w14:paraId="7B7819BF" w14:textId="0308E767" w:rsidR="00FD6F2A" w:rsidRDefault="00FD6F2A" w:rsidP="006B08A9">
                  <w:pPr>
                    <w:pStyle w:val="NumIEPlain1"/>
                    <w:numPr>
                      <w:ilvl w:val="0"/>
                      <w:numId w:val="0"/>
                    </w:numPr>
                    <w:spacing w:after="0"/>
                  </w:pPr>
                  <w:r>
                    <w:t>Design work</w:t>
                  </w:r>
                </w:p>
              </w:tc>
              <w:tc>
                <w:tcPr>
                  <w:tcW w:w="1441" w:type="pct"/>
                </w:tcPr>
                <w:p w14:paraId="49809E7C" w14:textId="6DF647A2" w:rsidR="00FD6F2A" w:rsidRDefault="00FD6F2A" w:rsidP="003076AB">
                  <w:pPr>
                    <w:pStyle w:val="NumIEPlain1"/>
                    <w:keepNext/>
                    <w:keepLines/>
                    <w:numPr>
                      <w:ilvl w:val="0"/>
                      <w:numId w:val="0"/>
                    </w:numPr>
                    <w:spacing w:after="0"/>
                    <w:ind w:right="113"/>
                    <w:jc w:val="right"/>
                  </w:pPr>
                  <w:r>
                    <w:t>2,200</w:t>
                  </w:r>
                </w:p>
              </w:tc>
            </w:tr>
            <w:tr w:rsidR="00FD6F2A" w14:paraId="3ECDF108" w14:textId="77777777" w:rsidTr="00750093">
              <w:tc>
                <w:tcPr>
                  <w:tcW w:w="3559" w:type="pct"/>
                </w:tcPr>
                <w:p w14:paraId="4E18511F" w14:textId="1E4302FC" w:rsidR="00FD6F2A" w:rsidRDefault="00FD6F2A" w:rsidP="006B08A9">
                  <w:pPr>
                    <w:pStyle w:val="NumIEPlain1"/>
                    <w:numPr>
                      <w:ilvl w:val="0"/>
                      <w:numId w:val="0"/>
                    </w:numPr>
                    <w:spacing w:after="0"/>
                  </w:pPr>
                  <w:r>
                    <w:t>Earthworks</w:t>
                  </w:r>
                </w:p>
              </w:tc>
              <w:tc>
                <w:tcPr>
                  <w:tcW w:w="1441" w:type="pct"/>
                </w:tcPr>
                <w:p w14:paraId="15ECEF67" w14:textId="33E9DBEE" w:rsidR="00FD6F2A" w:rsidRDefault="00FD6F2A" w:rsidP="003076AB">
                  <w:pPr>
                    <w:pStyle w:val="NumIEPlain1"/>
                    <w:keepNext/>
                    <w:keepLines/>
                    <w:numPr>
                      <w:ilvl w:val="0"/>
                      <w:numId w:val="0"/>
                    </w:numPr>
                    <w:spacing w:after="0"/>
                    <w:ind w:right="113"/>
                    <w:jc w:val="right"/>
                  </w:pPr>
                  <w:r>
                    <w:t>10,000</w:t>
                  </w:r>
                </w:p>
              </w:tc>
            </w:tr>
            <w:tr w:rsidR="00FD6F2A" w14:paraId="66CF83A9" w14:textId="77777777" w:rsidTr="00750093">
              <w:tc>
                <w:tcPr>
                  <w:tcW w:w="3559" w:type="pct"/>
                </w:tcPr>
                <w:p w14:paraId="7DA48A28" w14:textId="7B2C7EB4" w:rsidR="00FD6F2A" w:rsidRDefault="00FD6F2A" w:rsidP="006B08A9">
                  <w:pPr>
                    <w:pStyle w:val="NumIEPlain1"/>
                    <w:numPr>
                      <w:ilvl w:val="0"/>
                      <w:numId w:val="0"/>
                    </w:numPr>
                    <w:spacing w:after="0"/>
                  </w:pPr>
                  <w:r>
                    <w:t>Formation</w:t>
                  </w:r>
                </w:p>
              </w:tc>
              <w:tc>
                <w:tcPr>
                  <w:tcW w:w="1441" w:type="pct"/>
                </w:tcPr>
                <w:p w14:paraId="2C5520F6" w14:textId="7A4BC81A" w:rsidR="00FD6F2A" w:rsidRDefault="00FD6F2A" w:rsidP="003076AB">
                  <w:pPr>
                    <w:pStyle w:val="NumIEPlain1"/>
                    <w:keepNext/>
                    <w:keepLines/>
                    <w:numPr>
                      <w:ilvl w:val="0"/>
                      <w:numId w:val="0"/>
                    </w:numPr>
                    <w:spacing w:after="0"/>
                    <w:ind w:right="113"/>
                    <w:jc w:val="right"/>
                  </w:pPr>
                  <w:r>
                    <w:t>5,000</w:t>
                  </w:r>
                </w:p>
              </w:tc>
            </w:tr>
            <w:tr w:rsidR="00FD6F2A" w14:paraId="27C505FA" w14:textId="77777777" w:rsidTr="00750093">
              <w:tc>
                <w:tcPr>
                  <w:tcW w:w="3559" w:type="pct"/>
                </w:tcPr>
                <w:p w14:paraId="41FAD2B2" w14:textId="1FDF888A" w:rsidR="00FD6F2A" w:rsidRDefault="00FD6F2A" w:rsidP="006B08A9">
                  <w:pPr>
                    <w:pStyle w:val="NumIEPlain1"/>
                    <w:numPr>
                      <w:ilvl w:val="0"/>
                      <w:numId w:val="0"/>
                    </w:numPr>
                    <w:spacing w:after="0"/>
                  </w:pPr>
                  <w:r>
                    <w:t>Pavement</w:t>
                  </w:r>
                </w:p>
              </w:tc>
              <w:tc>
                <w:tcPr>
                  <w:tcW w:w="1441" w:type="pct"/>
                </w:tcPr>
                <w:p w14:paraId="4E71CA82" w14:textId="7462AB80" w:rsidR="00FD6F2A" w:rsidRDefault="00FD6F2A" w:rsidP="003076AB">
                  <w:pPr>
                    <w:pStyle w:val="NumIEPlain1"/>
                    <w:keepNext/>
                    <w:keepLines/>
                    <w:numPr>
                      <w:ilvl w:val="0"/>
                      <w:numId w:val="0"/>
                    </w:numPr>
                    <w:spacing w:after="0"/>
                    <w:ind w:right="113"/>
                    <w:jc w:val="right"/>
                  </w:pPr>
                  <w:r>
                    <w:t>3,000</w:t>
                  </w:r>
                </w:p>
              </w:tc>
            </w:tr>
            <w:tr w:rsidR="00FD6F2A" w14:paraId="12C330B6" w14:textId="77777777" w:rsidTr="00750093">
              <w:tc>
                <w:tcPr>
                  <w:tcW w:w="3559" w:type="pct"/>
                </w:tcPr>
                <w:p w14:paraId="4C83015D" w14:textId="08EE4063" w:rsidR="00FD6F2A" w:rsidRDefault="00FD6F2A" w:rsidP="006B08A9">
                  <w:pPr>
                    <w:pStyle w:val="NumIEPlain1"/>
                    <w:numPr>
                      <w:ilvl w:val="0"/>
                      <w:numId w:val="0"/>
                    </w:numPr>
                    <w:spacing w:after="0"/>
                  </w:pPr>
                  <w:r>
                    <w:t>Surfacing</w:t>
                  </w:r>
                </w:p>
              </w:tc>
              <w:tc>
                <w:tcPr>
                  <w:tcW w:w="1441" w:type="pct"/>
                </w:tcPr>
                <w:p w14:paraId="58D839CE" w14:textId="4EA525D4" w:rsidR="00FD6F2A" w:rsidRPr="00325B98" w:rsidRDefault="00960214" w:rsidP="003076AB">
                  <w:pPr>
                    <w:pStyle w:val="NumIEPlain1"/>
                    <w:keepNext/>
                    <w:keepLines/>
                    <w:numPr>
                      <w:ilvl w:val="0"/>
                      <w:numId w:val="0"/>
                    </w:numPr>
                    <w:spacing w:after="0"/>
                    <w:ind w:right="113"/>
                    <w:jc w:val="right"/>
                    <w:rPr>
                      <w:u w:val="single"/>
                    </w:rPr>
                  </w:pPr>
                  <w:r>
                    <w:rPr>
                      <w:u w:val="single"/>
                    </w:rPr>
                    <w:t>  </w:t>
                  </w:r>
                  <w:r w:rsidR="00FD6F2A" w:rsidRPr="00325B98">
                    <w:rPr>
                      <w:u w:val="single"/>
                    </w:rPr>
                    <w:t>2,000</w:t>
                  </w:r>
                </w:p>
              </w:tc>
            </w:tr>
            <w:tr w:rsidR="00FD6F2A" w14:paraId="52C4905E" w14:textId="77777777" w:rsidTr="00750093">
              <w:tc>
                <w:tcPr>
                  <w:tcW w:w="3559" w:type="pct"/>
                </w:tcPr>
                <w:p w14:paraId="7E596AA8" w14:textId="419A0D3C" w:rsidR="00FD6F2A" w:rsidRDefault="00FD6F2A" w:rsidP="0025632E">
                  <w:pPr>
                    <w:pStyle w:val="NumIEPlain1"/>
                    <w:numPr>
                      <w:ilvl w:val="0"/>
                      <w:numId w:val="0"/>
                    </w:numPr>
                    <w:spacing w:before="60" w:after="0"/>
                  </w:pPr>
                  <w:r w:rsidRPr="00524E28">
                    <w:rPr>
                      <w:iCs/>
                    </w:rPr>
                    <w:t>Total</w:t>
                  </w:r>
                </w:p>
              </w:tc>
              <w:tc>
                <w:tcPr>
                  <w:tcW w:w="1441" w:type="pct"/>
                </w:tcPr>
                <w:p w14:paraId="475DB0F5" w14:textId="2D43A060" w:rsidR="00FD6F2A" w:rsidRPr="0002158C" w:rsidRDefault="009B3464" w:rsidP="00321186">
                  <w:pPr>
                    <w:pStyle w:val="NumIEPlain1"/>
                    <w:keepNext/>
                    <w:keepLines/>
                    <w:numPr>
                      <w:ilvl w:val="0"/>
                      <w:numId w:val="0"/>
                    </w:numPr>
                    <w:spacing w:before="60" w:after="0"/>
                    <w:ind w:right="113"/>
                    <w:jc w:val="right"/>
                    <w:rPr>
                      <w:u w:val="single"/>
                    </w:rPr>
                  </w:pPr>
                  <w:r>
                    <w:rPr>
                      <w:u w:val="double"/>
                    </w:rPr>
                    <w:t>2</w:t>
                  </w:r>
                  <w:r w:rsidR="0082572A">
                    <w:rPr>
                      <w:u w:val="double"/>
                    </w:rPr>
                    <w:t>2</w:t>
                  </w:r>
                  <w:r w:rsidR="00FD6F2A" w:rsidRPr="00063D56">
                    <w:rPr>
                      <w:u w:val="double"/>
                    </w:rPr>
                    <w:t>,200</w:t>
                  </w:r>
                </w:p>
              </w:tc>
            </w:tr>
          </w:tbl>
          <w:p w14:paraId="4C97B364" w14:textId="19EDE0CC" w:rsidR="00006039" w:rsidRPr="00442C33" w:rsidRDefault="00006039" w:rsidP="00482E2F">
            <w:pPr>
              <w:pStyle w:val="NumIEPlain1"/>
              <w:numPr>
                <w:ilvl w:val="0"/>
                <w:numId w:val="0"/>
              </w:numPr>
            </w:pPr>
          </w:p>
        </w:tc>
      </w:tr>
      <w:tr w:rsidR="00321186" w:rsidRPr="00F2700B" w14:paraId="78F264F1" w14:textId="77777777" w:rsidTr="00321186">
        <w:tc>
          <w:tcPr>
            <w:tcW w:w="8279" w:type="dxa"/>
            <w:tcBorders>
              <w:top w:val="nil"/>
              <w:bottom w:val="nil"/>
            </w:tcBorders>
          </w:tcPr>
          <w:p w14:paraId="7E1B50A9" w14:textId="77777777" w:rsidR="00321186" w:rsidRPr="00F2700B" w:rsidRDefault="00321186" w:rsidP="00321186">
            <w:pPr>
              <w:pStyle w:val="NumIEPlain1"/>
              <w:widowControl w:val="0"/>
              <w:numPr>
                <w:ilvl w:val="0"/>
                <w:numId w:val="0"/>
              </w:numPr>
              <w:spacing w:after="0"/>
              <w:rPr>
                <w:sz w:val="12"/>
                <w:szCs w:val="12"/>
              </w:rPr>
            </w:pPr>
          </w:p>
        </w:tc>
      </w:tr>
      <w:tr w:rsidR="00321186" w14:paraId="037E1B82" w14:textId="77777777" w:rsidTr="00321186">
        <w:tc>
          <w:tcPr>
            <w:tcW w:w="8279" w:type="dxa"/>
            <w:tcBorders>
              <w:top w:val="nil"/>
              <w:bottom w:val="nil"/>
            </w:tcBorders>
          </w:tcPr>
          <w:p w14:paraId="4F933D1C" w14:textId="77777777" w:rsidR="00321186" w:rsidRPr="008358F1" w:rsidRDefault="00321186" w:rsidP="00321186">
            <w:pPr>
              <w:pStyle w:val="NumIEPlain1"/>
              <w:keepNext/>
              <w:widowControl w:val="0"/>
              <w:numPr>
                <w:ilvl w:val="0"/>
                <w:numId w:val="0"/>
              </w:numPr>
            </w:pPr>
            <w:r>
              <w:lastRenderedPageBreak/>
              <w:t>The following two types of costs also relate to the reference road as at 30 June 20X2.</w:t>
            </w:r>
          </w:p>
          <w:p w14:paraId="5E9C37EE" w14:textId="77777777" w:rsidR="00321186" w:rsidRPr="00B42059" w:rsidRDefault="00321186" w:rsidP="00F2700B">
            <w:pPr>
              <w:pStyle w:val="NumIEPlain1"/>
              <w:keepNext/>
              <w:widowControl w:val="0"/>
              <w:numPr>
                <w:ilvl w:val="0"/>
                <w:numId w:val="0"/>
              </w:numPr>
              <w:rPr>
                <w:u w:val="single"/>
              </w:rPr>
            </w:pPr>
            <w:r>
              <w:rPr>
                <w:u w:val="single"/>
              </w:rPr>
              <w:t>Costs to remove unwanted existing structures and disruption costs</w:t>
            </w:r>
          </w:p>
          <w:p w14:paraId="2A1AA0B8" w14:textId="77777777" w:rsidR="00321186" w:rsidRDefault="00321186" w:rsidP="00321186">
            <w:pPr>
              <w:pStyle w:val="NumIEPlain1"/>
              <w:numPr>
                <w:ilvl w:val="0"/>
                <w:numId w:val="0"/>
              </w:numPr>
              <w:rPr>
                <w:iCs/>
              </w:rPr>
            </w:pPr>
            <w:r>
              <w:rPr>
                <w:iCs/>
              </w:rPr>
              <w:t xml:space="preserve">Council A’s road is situated in a densely populated area, and Council A assesses that, since there is no vacant site in the surrounding area as at 30 June 20X2, to construct a road in a hypothetical acquisition, a market participant buyer would need to </w:t>
            </w:r>
            <w:r w:rsidRPr="0023405B">
              <w:rPr>
                <w:iCs/>
              </w:rPr>
              <w:t>incur $2,000,000 to remove unwanted structures on the land to make way for the construction of the road.</w:t>
            </w:r>
            <w:r>
              <w:rPr>
                <w:iCs/>
              </w:rPr>
              <w:t xml:space="preserve"> Council A did not reflect any land improvement or remediation costs in the fair value of the land under the road.</w:t>
            </w:r>
          </w:p>
          <w:p w14:paraId="452DA775" w14:textId="5A9484F7" w:rsidR="00321186" w:rsidRDefault="00321186" w:rsidP="00321186">
            <w:pPr>
              <w:pStyle w:val="NumIEPlain1"/>
              <w:keepNext/>
              <w:widowControl w:val="0"/>
              <w:numPr>
                <w:ilvl w:val="0"/>
                <w:numId w:val="0"/>
              </w:numPr>
              <w:rPr>
                <w:b/>
                <w:bCs/>
                <w:iCs/>
                <w:u w:val="single"/>
              </w:rPr>
            </w:pPr>
            <w:r w:rsidRPr="603B2CFD">
              <w:t>In addition, because the</w:t>
            </w:r>
            <w:r>
              <w:rPr>
                <w:iCs/>
              </w:rPr>
              <w:t xml:space="preserve"> </w:t>
            </w:r>
            <w:r w:rsidRPr="603B2CFD">
              <w:t>construction work to replace the subject road at the measurement date would require interruption of power and water supplies, Council A assumes that the majority of that</w:t>
            </w:r>
            <w:r>
              <w:rPr>
                <w:iCs/>
              </w:rPr>
              <w:t xml:space="preserve"> </w:t>
            </w:r>
            <w:r w:rsidRPr="603B2CFD">
              <w:t>construction work would occur at night</w:t>
            </w:r>
            <w:r>
              <w:rPr>
                <w:iCs/>
              </w:rPr>
              <w:t>-</w:t>
            </w:r>
            <w:r w:rsidRPr="603B2CFD">
              <w:t>time to minimise disruption to the community</w:t>
            </w:r>
            <w:r>
              <w:rPr>
                <w:iCs/>
              </w:rPr>
              <w:t xml:space="preserve">. </w:t>
            </w:r>
            <w:r w:rsidRPr="603B2CFD">
              <w:t>Council A estimates that, if that work were performed mainly at night-time, it would cost $1,000,000 as at 30 June 20X2</w:t>
            </w:r>
            <w:r>
              <w:t xml:space="preserve">. In contrast, if those construction works were performed during the daytime, Council A estimates that those costs would reduce to $500,000 as at 30 June 20X2. Council A </w:t>
            </w:r>
            <w:r w:rsidRPr="603B2CFD">
              <w:rPr>
                <w:rStyle w:val="normaltextrun"/>
                <w:shd w:val="clear" w:color="auto" w:fill="FFFFFF"/>
              </w:rPr>
              <w:t>determined that there</w:t>
            </w:r>
            <w:r w:rsidRPr="603B2CFD">
              <w:t xml:space="preserve"> is no reasonably available information indicating that another market participant would construct a road at the location of the Council’s road during the daytime.</w:t>
            </w:r>
          </w:p>
        </w:tc>
      </w:tr>
      <w:tr w:rsidR="00482E2F" w14:paraId="6E195276" w14:textId="77777777" w:rsidTr="00321186">
        <w:tc>
          <w:tcPr>
            <w:tcW w:w="8279" w:type="dxa"/>
            <w:tcBorders>
              <w:top w:val="nil"/>
            </w:tcBorders>
          </w:tcPr>
          <w:p w14:paraId="77133163" w14:textId="77777777" w:rsidR="00482E2F" w:rsidRPr="00C17641" w:rsidRDefault="00482E2F" w:rsidP="00482E2F">
            <w:pPr>
              <w:pStyle w:val="NumIEPlain1"/>
              <w:keepNext/>
              <w:widowControl w:val="0"/>
              <w:numPr>
                <w:ilvl w:val="0"/>
                <w:numId w:val="0"/>
              </w:numPr>
              <w:rPr>
                <w:b/>
                <w:bCs/>
                <w:iCs/>
                <w:u w:val="single"/>
              </w:rPr>
            </w:pPr>
            <w:r>
              <w:rPr>
                <w:b/>
                <w:bCs/>
                <w:iCs/>
                <w:u w:val="single"/>
              </w:rPr>
              <w:t xml:space="preserve">Estimating the gross replacement cost of a reference road </w:t>
            </w:r>
            <w:r w:rsidRPr="00C17641">
              <w:rPr>
                <w:b/>
                <w:bCs/>
                <w:iCs/>
                <w:u w:val="single"/>
              </w:rPr>
              <w:t>as at 30 June 20X2</w:t>
            </w:r>
          </w:p>
          <w:p w14:paraId="365A9FCC" w14:textId="77777777" w:rsidR="00482E2F" w:rsidRPr="0025632E" w:rsidRDefault="00482E2F" w:rsidP="00482E2F">
            <w:pPr>
              <w:pStyle w:val="NumIEPlain1"/>
              <w:keepNext/>
              <w:widowControl w:val="0"/>
              <w:numPr>
                <w:ilvl w:val="0"/>
                <w:numId w:val="0"/>
              </w:numPr>
              <w:rPr>
                <w:i/>
                <w:iCs/>
              </w:rPr>
            </w:pPr>
            <w:r w:rsidRPr="0025632E">
              <w:rPr>
                <w:i/>
                <w:iCs/>
              </w:rPr>
              <w:t>Costs to a market participant buyer</w:t>
            </w:r>
          </w:p>
          <w:p w14:paraId="4DB12043" w14:textId="2D0A05C6" w:rsidR="00482E2F" w:rsidRDefault="00482E2F" w:rsidP="00482E2F">
            <w:pPr>
              <w:pStyle w:val="NumIEPlain1"/>
              <w:widowControl w:val="0"/>
              <w:numPr>
                <w:ilvl w:val="0"/>
                <w:numId w:val="0"/>
              </w:numPr>
            </w:pPr>
            <w:r>
              <w:t xml:space="preserve">In accordance with paragraph </w:t>
            </w:r>
            <w:r>
              <w:fldChar w:fldCharType="begin"/>
            </w:r>
            <w:r>
              <w:instrText xml:space="preserve"> REF _Ref118903813 \r \h </w:instrText>
            </w:r>
            <w:r>
              <w:fldChar w:fldCharType="separate"/>
            </w:r>
            <w:r w:rsidR="005A1B65">
              <w:t>F9</w:t>
            </w:r>
            <w:r>
              <w:fldChar w:fldCharType="end"/>
            </w:r>
            <w:r>
              <w:t xml:space="preserve">(a), Council A applies judgement in </w:t>
            </w:r>
            <w:r w:rsidRPr="002F4DFA">
              <w:t xml:space="preserve">determining which costs </w:t>
            </w:r>
            <w:r>
              <w:t>to include in</w:t>
            </w:r>
            <w:r w:rsidRPr="002F4DFA">
              <w:t xml:space="preserve"> a reference </w:t>
            </w:r>
            <w:r>
              <w:t xml:space="preserve">road as </w:t>
            </w:r>
            <w:r w:rsidRPr="002F4DFA">
              <w:t xml:space="preserve">at </w:t>
            </w:r>
            <w:r>
              <w:t xml:space="preserve">the </w:t>
            </w:r>
            <w:r w:rsidRPr="002F4DFA">
              <w:t>measurement date</w:t>
            </w:r>
            <w:r>
              <w:t xml:space="preserve"> (</w:t>
            </w:r>
            <w:r>
              <w:rPr>
                <w:iCs/>
              </w:rPr>
              <w:t>30 June 20X2)</w:t>
            </w:r>
            <w:r>
              <w:t>.</w:t>
            </w:r>
            <w:r w:rsidRPr="002F4DFA">
              <w:t xml:space="preserve"> </w:t>
            </w:r>
          </w:p>
          <w:p w14:paraId="1F2F8B4D" w14:textId="77777777" w:rsidR="00482E2F" w:rsidRDefault="00482E2F" w:rsidP="00482E2F">
            <w:pPr>
              <w:pStyle w:val="NumIEPlain1"/>
              <w:widowControl w:val="0"/>
              <w:numPr>
                <w:ilvl w:val="0"/>
                <w:numId w:val="0"/>
              </w:numPr>
            </w:pPr>
            <w:r>
              <w:t xml:space="preserve">Council A concludes that each of the estimated costs listed above (which total $22,200,000) and the other necessarily incurred costs analysed below should be included in reference road’s replacement cost because </w:t>
            </w:r>
            <w:r w:rsidRPr="008A2605">
              <w:t xml:space="preserve">all components of the </w:t>
            </w:r>
            <w:r>
              <w:t xml:space="preserve">road, including the once-only earthworks and formation works, would need to be undertaken in a hypothetical construction of a reference road </w:t>
            </w:r>
            <w:r w:rsidRPr="008A2605">
              <w:t>at the measurement date</w:t>
            </w:r>
            <w:r>
              <w:t>. This is because the cost to a market participant buyer to acquire or construct a substitute road of comparable utility at the subject road’s existing location would include each of those costs, including any intrinsically linked disruption costs (eg traffic control and detour costs).</w:t>
            </w:r>
          </w:p>
          <w:p w14:paraId="7DFFBE18" w14:textId="77777777" w:rsidR="00482E2F" w:rsidRPr="00C17641" w:rsidRDefault="00482E2F" w:rsidP="00482E2F">
            <w:pPr>
              <w:pStyle w:val="NumIEPlain1"/>
              <w:widowControl w:val="0"/>
              <w:numPr>
                <w:ilvl w:val="0"/>
                <w:numId w:val="0"/>
              </w:numPr>
              <w:rPr>
                <w:i/>
                <w:iCs/>
              </w:rPr>
            </w:pPr>
            <w:r w:rsidRPr="00C17641">
              <w:rPr>
                <w:i/>
                <w:iCs/>
              </w:rPr>
              <w:t>Costs of removal and disposal of unwanted existing structures</w:t>
            </w:r>
          </w:p>
          <w:p w14:paraId="572C969A" w14:textId="77777777" w:rsidR="00482E2F" w:rsidRDefault="00482E2F" w:rsidP="00482E2F">
            <w:pPr>
              <w:pStyle w:val="NumIEPlain1"/>
              <w:widowControl w:val="0"/>
              <w:numPr>
                <w:ilvl w:val="0"/>
                <w:numId w:val="0"/>
              </w:numPr>
            </w:pPr>
            <w:r>
              <w:t>In addition, Council A includes the estimated c</w:t>
            </w:r>
            <w:r w:rsidRPr="00A474D7">
              <w:t xml:space="preserve">osts of removal and disposal of </w:t>
            </w:r>
            <w:r>
              <w:t>unwanted existing</w:t>
            </w:r>
            <w:r w:rsidRPr="00A474D7">
              <w:t xml:space="preserve"> structures</w:t>
            </w:r>
            <w:r>
              <w:t xml:space="preserve"> </w:t>
            </w:r>
            <w:r>
              <w:rPr>
                <w:iCs/>
              </w:rPr>
              <w:t xml:space="preserve">at $2,000,000 as at 30 June 20X2 </w:t>
            </w:r>
            <w:r>
              <w:t>in the reference road’s replacement cost. This is because it is reasonable to expect that a market participant buyer would need to incur such costs if it was to construct a substitute road at the subject road’s existing location, since there is no vacant land available in the area.</w:t>
            </w:r>
          </w:p>
          <w:p w14:paraId="05E5F076" w14:textId="77777777" w:rsidR="00482E2F" w:rsidRPr="00C17641" w:rsidRDefault="00482E2F" w:rsidP="00482E2F">
            <w:pPr>
              <w:pStyle w:val="NumIEPlain1"/>
              <w:widowControl w:val="0"/>
              <w:numPr>
                <w:ilvl w:val="0"/>
                <w:numId w:val="0"/>
              </w:numPr>
              <w:rPr>
                <w:i/>
                <w:iCs/>
              </w:rPr>
            </w:pPr>
            <w:r w:rsidRPr="00C17641">
              <w:rPr>
                <w:i/>
                <w:iCs/>
              </w:rPr>
              <w:t>Disruption costs</w:t>
            </w:r>
          </w:p>
          <w:p w14:paraId="61469C15" w14:textId="77777777" w:rsidR="00482E2F" w:rsidRDefault="00482E2F" w:rsidP="00482E2F">
            <w:pPr>
              <w:pStyle w:val="NumIEPlain1"/>
              <w:widowControl w:val="0"/>
              <w:numPr>
                <w:ilvl w:val="0"/>
                <w:numId w:val="0"/>
              </w:numPr>
              <w:rPr>
                <w:rStyle w:val="normaltextrun"/>
                <w:szCs w:val="19"/>
                <w:shd w:val="clear" w:color="auto" w:fill="FFFFFF"/>
              </w:rPr>
            </w:pPr>
            <w:r w:rsidRPr="00C866A9">
              <w:rPr>
                <w:rStyle w:val="normaltextrun"/>
                <w:szCs w:val="19"/>
                <w:shd w:val="clear" w:color="auto" w:fill="FFFFFF"/>
              </w:rPr>
              <w:t xml:space="preserve">Since there is no reasonably available information indicating that another market participant would construct </w:t>
            </w:r>
            <w:r>
              <w:rPr>
                <w:rStyle w:val="normaltextrun"/>
                <w:szCs w:val="19"/>
                <w:shd w:val="clear" w:color="auto" w:fill="FFFFFF"/>
              </w:rPr>
              <w:t>a road</w:t>
            </w:r>
            <w:r>
              <w:rPr>
                <w:rStyle w:val="normaltextrun"/>
                <w:shd w:val="clear" w:color="auto" w:fill="FFFFFF"/>
              </w:rPr>
              <w:t xml:space="preserve"> </w:t>
            </w:r>
            <w:r>
              <w:rPr>
                <w:szCs w:val="19"/>
              </w:rPr>
              <w:t>at the location of the Council’s road</w:t>
            </w:r>
            <w:r w:rsidRPr="00C866A9">
              <w:rPr>
                <w:rStyle w:val="normaltextrun"/>
                <w:szCs w:val="19"/>
                <w:shd w:val="clear" w:color="auto" w:fill="FFFFFF"/>
              </w:rPr>
              <w:t xml:space="preserve"> during the daytime, </w:t>
            </w:r>
            <w:r>
              <w:rPr>
                <w:rStyle w:val="normaltextrun"/>
                <w:szCs w:val="19"/>
                <w:shd w:val="clear" w:color="auto" w:fill="FFFFFF"/>
              </w:rPr>
              <w:t>Council</w:t>
            </w:r>
            <w:r w:rsidRPr="00C866A9">
              <w:rPr>
                <w:rStyle w:val="normaltextrun"/>
                <w:szCs w:val="19"/>
                <w:shd w:val="clear" w:color="auto" w:fill="FFFFFF"/>
              </w:rPr>
              <w:t xml:space="preserve"> A uses the more costly night-time </w:t>
            </w:r>
            <w:r>
              <w:rPr>
                <w:rStyle w:val="normaltextrun"/>
                <w:szCs w:val="19"/>
                <w:shd w:val="clear" w:color="auto" w:fill="FFFFFF"/>
              </w:rPr>
              <w:t xml:space="preserve">disruption </w:t>
            </w:r>
            <w:r w:rsidRPr="00C866A9">
              <w:rPr>
                <w:rStyle w:val="normaltextrun"/>
                <w:szCs w:val="19"/>
                <w:shd w:val="clear" w:color="auto" w:fill="FFFFFF"/>
              </w:rPr>
              <w:t xml:space="preserve">costs </w:t>
            </w:r>
            <w:r>
              <w:rPr>
                <w:rStyle w:val="normaltextrun"/>
                <w:szCs w:val="19"/>
                <w:shd w:val="clear" w:color="auto" w:fill="FFFFFF"/>
              </w:rPr>
              <w:t xml:space="preserve">of $1,000,000 </w:t>
            </w:r>
            <w:r w:rsidRPr="00C866A9">
              <w:rPr>
                <w:rStyle w:val="normaltextrun"/>
                <w:szCs w:val="19"/>
                <w:shd w:val="clear" w:color="auto" w:fill="FFFFFF"/>
              </w:rPr>
              <w:t xml:space="preserve">in its estimated </w:t>
            </w:r>
            <w:r>
              <w:rPr>
                <w:rStyle w:val="normaltextrun"/>
                <w:szCs w:val="19"/>
                <w:shd w:val="clear" w:color="auto" w:fill="FFFFFF"/>
              </w:rPr>
              <w:t xml:space="preserve">replacement cost of the reference </w:t>
            </w:r>
            <w:r>
              <w:rPr>
                <w:rStyle w:val="normaltextrun"/>
                <w:shd w:val="clear" w:color="auto" w:fill="FFFFFF"/>
              </w:rPr>
              <w:t xml:space="preserve">road </w:t>
            </w:r>
            <w:r w:rsidRPr="00C866A9">
              <w:rPr>
                <w:rStyle w:val="normaltextrun"/>
                <w:szCs w:val="19"/>
                <w:shd w:val="clear" w:color="auto" w:fill="FFFFFF"/>
              </w:rPr>
              <w:t>as at 30 June 20X</w:t>
            </w:r>
            <w:r>
              <w:rPr>
                <w:rStyle w:val="normaltextrun"/>
                <w:szCs w:val="19"/>
                <w:shd w:val="clear" w:color="auto" w:fill="FFFFFF"/>
              </w:rPr>
              <w:t>2</w:t>
            </w:r>
            <w:r w:rsidRPr="00C866A9">
              <w:rPr>
                <w:rStyle w:val="normaltextrun"/>
                <w:szCs w:val="19"/>
                <w:shd w:val="clear" w:color="auto" w:fill="FFFFFF"/>
              </w:rPr>
              <w:t xml:space="preserve"> rather than the lower daytime costs.</w:t>
            </w:r>
          </w:p>
          <w:p w14:paraId="3A4B1960" w14:textId="6CDEBAD3" w:rsidR="00482E2F" w:rsidRDefault="00482E2F" w:rsidP="00482E2F">
            <w:pPr>
              <w:pStyle w:val="NumIEPlain1"/>
              <w:widowControl w:val="0"/>
              <w:numPr>
                <w:ilvl w:val="0"/>
                <w:numId w:val="0"/>
              </w:numPr>
            </w:pPr>
            <w:r>
              <w:t>Consequently, Council A measures the gross replacement cost of the reference road as at 30 June 20X2 as $25,200,000 (ie $22,200,000 + $2,000,000 + $1,000,000).</w:t>
            </w:r>
          </w:p>
        </w:tc>
      </w:tr>
    </w:tbl>
    <w:p w14:paraId="116DE6B6" w14:textId="292FBE35" w:rsidR="00B919ED" w:rsidRPr="00F2700B" w:rsidRDefault="00B919ED" w:rsidP="004C270A">
      <w:pPr>
        <w:spacing w:after="100"/>
        <w:jc w:val="left"/>
        <w:rPr>
          <w:bCs/>
          <w:szCs w:val="19"/>
        </w:rPr>
      </w:pPr>
    </w:p>
    <w:tbl>
      <w:tblPr>
        <w:tblStyle w:val="TableGrid"/>
        <w:tblW w:w="0" w:type="auto"/>
        <w:tblInd w:w="782" w:type="dxa"/>
        <w:shd w:val="clear" w:color="auto" w:fill="DBE5F1" w:themeFill="accent1" w:themeFillTint="33"/>
        <w:tblLook w:val="04A0" w:firstRow="1" w:lastRow="0" w:firstColumn="1" w:lastColumn="0" w:noHBand="0" w:noVBand="1"/>
        <w:tblCaption w:val="Example 2"/>
        <w:tblDescription w:val="Example 2 – Difference in the asset’s operating environment affecting the reference asset’s gross replacement cost "/>
      </w:tblPr>
      <w:tblGrid>
        <w:gridCol w:w="8279"/>
      </w:tblGrid>
      <w:tr w:rsidR="00FD4382" w:rsidRPr="00CE39BD" w14:paraId="3F6DC578" w14:textId="77777777" w:rsidTr="0092264F">
        <w:tc>
          <w:tcPr>
            <w:tcW w:w="8279" w:type="dxa"/>
            <w:tcBorders>
              <w:bottom w:val="single" w:sz="4" w:space="0" w:color="auto"/>
            </w:tcBorders>
            <w:shd w:val="clear" w:color="auto" w:fill="auto"/>
          </w:tcPr>
          <w:p w14:paraId="30FB9AC8" w14:textId="0A7A1CC1" w:rsidR="00FD4382" w:rsidRPr="00CE39BD" w:rsidRDefault="051422A9" w:rsidP="00F2700B">
            <w:pPr>
              <w:pStyle w:val="NumIEPlain1"/>
              <w:numPr>
                <w:ilvl w:val="0"/>
                <w:numId w:val="0"/>
              </w:numPr>
              <w:spacing w:before="100"/>
              <w:rPr>
                <w:b/>
                <w:bCs/>
                <w:noProof/>
                <w:lang w:eastAsia="en-AU"/>
              </w:rPr>
            </w:pPr>
            <w:r w:rsidRPr="603B2CFD">
              <w:rPr>
                <w:b/>
                <w:bCs/>
              </w:rPr>
              <w:t>Example </w:t>
            </w:r>
            <w:r w:rsidR="000B1BB0" w:rsidRPr="603B2CFD">
              <w:rPr>
                <w:b/>
                <w:bCs/>
              </w:rPr>
              <w:t>2</w:t>
            </w:r>
            <w:r w:rsidRPr="603B2CFD">
              <w:rPr>
                <w:b/>
                <w:bCs/>
              </w:rPr>
              <w:t xml:space="preserve"> – Difference in the asset’s operating environment affecting the reference asset’s</w:t>
            </w:r>
            <w:r w:rsidR="7B3D75BF" w:rsidRPr="603B2CFD">
              <w:rPr>
                <w:b/>
                <w:bCs/>
              </w:rPr>
              <w:t xml:space="preserve"> gross</w:t>
            </w:r>
            <w:r w:rsidRPr="603B2CFD">
              <w:rPr>
                <w:b/>
                <w:bCs/>
              </w:rPr>
              <w:t xml:space="preserve"> replacement cost </w:t>
            </w:r>
          </w:p>
        </w:tc>
      </w:tr>
      <w:tr w:rsidR="0092264F" w14:paraId="08528226" w14:textId="77777777" w:rsidTr="0092264F">
        <w:tc>
          <w:tcPr>
            <w:tcW w:w="8279" w:type="dxa"/>
            <w:tcBorders>
              <w:bottom w:val="nil"/>
            </w:tcBorders>
            <w:shd w:val="clear" w:color="auto" w:fill="auto"/>
          </w:tcPr>
          <w:p w14:paraId="309AD0A9" w14:textId="77777777" w:rsidR="0092264F" w:rsidRPr="00CE39BD" w:rsidRDefault="0092264F" w:rsidP="0092264F">
            <w:pPr>
              <w:pStyle w:val="NumIEPlain1"/>
              <w:widowControl w:val="0"/>
              <w:numPr>
                <w:ilvl w:val="0"/>
                <w:numId w:val="0"/>
              </w:numPr>
              <w:spacing w:before="60"/>
            </w:pPr>
            <w:r w:rsidRPr="00CE39BD">
              <w:t>A local government (Council B) applies the revaluation model after recognition of each class of property, plant and equipment, as referred to in paragraph 31 of AASB 116.</w:t>
            </w:r>
          </w:p>
          <w:p w14:paraId="13BE5869" w14:textId="7F55A52C" w:rsidR="0092264F" w:rsidRPr="00CE39BD" w:rsidRDefault="0092264F" w:rsidP="0092264F">
            <w:pPr>
              <w:pStyle w:val="NumIEPlain1"/>
              <w:widowControl w:val="0"/>
              <w:numPr>
                <w:ilvl w:val="0"/>
                <w:numId w:val="0"/>
              </w:numPr>
            </w:pPr>
            <w:r w:rsidRPr="00CE39BD">
              <w:t>Council B recognises buildings and land under buildings as separate classes of assets. It measures the fair value of its buildings using the cost approach. The measurement of accumulated obsolescence and the valuation of land are not addressed in this example.</w:t>
            </w:r>
          </w:p>
        </w:tc>
      </w:tr>
      <w:tr w:rsidR="0092264F" w14:paraId="5DD13B2A" w14:textId="77777777" w:rsidTr="0092264F">
        <w:tc>
          <w:tcPr>
            <w:tcW w:w="8279" w:type="dxa"/>
            <w:tcBorders>
              <w:top w:val="nil"/>
              <w:bottom w:val="nil"/>
            </w:tcBorders>
            <w:shd w:val="clear" w:color="auto" w:fill="auto"/>
          </w:tcPr>
          <w:p w14:paraId="286AD0C9" w14:textId="77777777" w:rsidR="0092264F" w:rsidRPr="00CE39BD" w:rsidRDefault="0092264F" w:rsidP="0092264F">
            <w:pPr>
              <w:pStyle w:val="NumIEPlain1"/>
              <w:widowControl w:val="0"/>
              <w:numPr>
                <w:ilvl w:val="0"/>
                <w:numId w:val="0"/>
              </w:numPr>
            </w:pPr>
            <w:r w:rsidRPr="00CE39BD">
              <w:t>As at 30 June 20X2, Council B uses the following assumptions in measuring one of its buildings at fair value:</w:t>
            </w:r>
          </w:p>
          <w:p w14:paraId="24D871EF" w14:textId="77777777" w:rsidR="0092264F" w:rsidRPr="00CE39BD" w:rsidRDefault="0092264F" w:rsidP="0092264F">
            <w:pPr>
              <w:pStyle w:val="NumIEPlain1"/>
              <w:widowControl w:val="0"/>
              <w:numPr>
                <w:ilvl w:val="0"/>
                <w:numId w:val="28"/>
              </w:numPr>
            </w:pPr>
            <w:r w:rsidRPr="00CE39BD">
              <w:t>when the building was originally constructed by Council B (20 years ago), there were no internet cables underneath the site;</w:t>
            </w:r>
          </w:p>
          <w:p w14:paraId="1E97992B" w14:textId="77777777" w:rsidR="0092264F" w:rsidRPr="00CE39BD" w:rsidRDefault="0092264F" w:rsidP="0092264F">
            <w:pPr>
              <w:pStyle w:val="NumIEPlain1"/>
              <w:widowControl w:val="0"/>
              <w:numPr>
                <w:ilvl w:val="0"/>
                <w:numId w:val="28"/>
              </w:numPr>
            </w:pPr>
            <w:r w:rsidRPr="00CE39BD">
              <w:t>ten years ago, another entity installed internet cables with protective pipes under the site where Council</w:t>
            </w:r>
            <w:r>
              <w:t> </w:t>
            </w:r>
            <w:r w:rsidRPr="00CE39BD">
              <w:t>B’s building is located;</w:t>
            </w:r>
          </w:p>
          <w:p w14:paraId="38DBDB11" w14:textId="77777777" w:rsidR="0092264F" w:rsidRPr="00CE39BD" w:rsidRDefault="0092264F" w:rsidP="00F2700B">
            <w:pPr>
              <w:pStyle w:val="NumIEPlain1"/>
              <w:keepLines/>
              <w:widowControl w:val="0"/>
              <w:numPr>
                <w:ilvl w:val="0"/>
                <w:numId w:val="28"/>
              </w:numPr>
              <w:ind w:left="357" w:hanging="357"/>
            </w:pPr>
            <w:r w:rsidRPr="00CE39BD">
              <w:lastRenderedPageBreak/>
              <w:t>Council B determined that, if its building was to be replaced as at the measurement date of 30 June 20X2, the other entity’s pipes that protect the internet cables would be disrupted;</w:t>
            </w:r>
          </w:p>
          <w:p w14:paraId="656FE9D9" w14:textId="77777777" w:rsidR="0092264F" w:rsidRPr="00CE39BD" w:rsidRDefault="0092264F" w:rsidP="0092264F">
            <w:pPr>
              <w:pStyle w:val="NumIEPlain1"/>
              <w:widowControl w:val="0"/>
              <w:numPr>
                <w:ilvl w:val="0"/>
                <w:numId w:val="28"/>
              </w:numPr>
            </w:pPr>
            <w:r w:rsidRPr="00CE39BD">
              <w:t>the gross replacement cost necessary to restore those pipes disrupted during the hypothetical replacement of the components of Council B’s building is $500,000; and</w:t>
            </w:r>
          </w:p>
          <w:p w14:paraId="29954051" w14:textId="6CCF5250" w:rsidR="0092264F" w:rsidRPr="00CE39BD" w:rsidRDefault="0092264F" w:rsidP="0092264F">
            <w:pPr>
              <w:pStyle w:val="NumIEPlain1"/>
              <w:widowControl w:val="0"/>
              <w:numPr>
                <w:ilvl w:val="0"/>
                <w:numId w:val="28"/>
              </w:numPr>
            </w:pPr>
            <w:r w:rsidRPr="00CE39BD">
              <w:t>Council B is not part of a group of entities that prepares consolidated financial statements.</w:t>
            </w:r>
          </w:p>
        </w:tc>
      </w:tr>
      <w:tr w:rsidR="00FD4382" w14:paraId="15F0C34D" w14:textId="77777777" w:rsidTr="0092264F">
        <w:tc>
          <w:tcPr>
            <w:tcW w:w="8279" w:type="dxa"/>
            <w:tcBorders>
              <w:top w:val="nil"/>
            </w:tcBorders>
            <w:shd w:val="clear" w:color="auto" w:fill="auto"/>
          </w:tcPr>
          <w:p w14:paraId="6121F38F" w14:textId="77777777" w:rsidR="00FD4382" w:rsidRPr="00CE39BD" w:rsidRDefault="00FD4382" w:rsidP="00B61224">
            <w:pPr>
              <w:pStyle w:val="NumIEPlain1"/>
              <w:widowControl w:val="0"/>
              <w:numPr>
                <w:ilvl w:val="0"/>
                <w:numId w:val="0"/>
              </w:numPr>
              <w:rPr>
                <w:b/>
                <w:bCs/>
                <w:iCs/>
                <w:u w:val="single"/>
              </w:rPr>
            </w:pPr>
            <w:r w:rsidRPr="00CE39BD">
              <w:rPr>
                <w:b/>
                <w:bCs/>
                <w:iCs/>
                <w:u w:val="single"/>
              </w:rPr>
              <w:lastRenderedPageBreak/>
              <w:t>Restoration costs for disrupted assets of another entity</w:t>
            </w:r>
          </w:p>
          <w:p w14:paraId="6E89B17A" w14:textId="775CFD5F" w:rsidR="00FD4382" w:rsidRPr="00CE39BD" w:rsidRDefault="12A0E16B" w:rsidP="00B61224">
            <w:pPr>
              <w:pStyle w:val="NumIEPlain1"/>
              <w:widowControl w:val="0"/>
              <w:numPr>
                <w:ilvl w:val="0"/>
                <w:numId w:val="0"/>
              </w:numPr>
            </w:pPr>
            <w:r>
              <w:t xml:space="preserve">Since </w:t>
            </w:r>
            <w:r w:rsidR="6B28C603">
              <w:t>Council B determined that if its building was to be replaced as at 30 June 20X2</w:t>
            </w:r>
            <w:r w:rsidR="44E59A6F">
              <w:t>,</w:t>
            </w:r>
            <w:r w:rsidR="6B28C603">
              <w:t xml:space="preserve"> the other entity’s pipes would be disrupted, when measuring the fair value of Council B’s building under the cost approach in accordance with </w:t>
            </w:r>
            <w:r w:rsidR="36558B0F">
              <w:t>paragraph</w:t>
            </w:r>
            <w:r w:rsidR="25FD29F9">
              <w:t>s</w:t>
            </w:r>
            <w:r w:rsidR="36558B0F">
              <w:t xml:space="preserve"> </w:t>
            </w:r>
            <w:r w:rsidR="00066442">
              <w:fldChar w:fldCharType="begin"/>
            </w:r>
            <w:r w:rsidR="00066442">
              <w:instrText xml:space="preserve"> REF _Ref118903813 \r \h  \* MERGEFORMAT </w:instrText>
            </w:r>
            <w:r w:rsidR="00066442">
              <w:fldChar w:fldCharType="separate"/>
            </w:r>
            <w:r w:rsidR="005A1B65">
              <w:t>F9</w:t>
            </w:r>
            <w:r w:rsidR="00066442">
              <w:fldChar w:fldCharType="end"/>
            </w:r>
            <w:r w:rsidR="25FD29F9">
              <w:t xml:space="preserve">(a) and </w:t>
            </w:r>
            <w:r w:rsidR="00066442">
              <w:fldChar w:fldCharType="begin"/>
            </w:r>
            <w:r w:rsidR="00066442">
              <w:instrText xml:space="preserve"> REF _Ref90288055 \r \h  \* MERGEFORMAT </w:instrText>
            </w:r>
            <w:r w:rsidR="00066442">
              <w:fldChar w:fldCharType="separate"/>
            </w:r>
            <w:r w:rsidR="005A1B65">
              <w:t>F12</w:t>
            </w:r>
            <w:r w:rsidR="00066442">
              <w:fldChar w:fldCharType="end"/>
            </w:r>
            <w:r w:rsidR="25FD29F9">
              <w:t xml:space="preserve">(a), </w:t>
            </w:r>
            <w:r w:rsidR="7783AAD9">
              <w:t xml:space="preserve">the reference building’s </w:t>
            </w:r>
            <w:r w:rsidR="009B5B0A">
              <w:t xml:space="preserve">gross </w:t>
            </w:r>
            <w:r w:rsidR="7783AAD9">
              <w:t xml:space="preserve">replacement cost would include the $500,000 restoration cost for the pipes. </w:t>
            </w:r>
          </w:p>
          <w:p w14:paraId="1A504EEE" w14:textId="1E81C918" w:rsidR="00FD4382" w:rsidRPr="00442C33" w:rsidRDefault="00E32D90" w:rsidP="00D73ECD">
            <w:pPr>
              <w:pStyle w:val="NumIEPlain1"/>
              <w:widowControl w:val="0"/>
              <w:numPr>
                <w:ilvl w:val="0"/>
                <w:numId w:val="0"/>
              </w:numPr>
            </w:pPr>
            <w:r w:rsidRPr="00CE39BD">
              <w:t xml:space="preserve">The </w:t>
            </w:r>
            <w:r w:rsidR="005A5624" w:rsidRPr="00CE39BD">
              <w:t>restoration cost is included despite the fact that Council B did not incur those costs when it originally constructed the building. This is because fair value measurements consider the conditions of the asset as at the measurement date and</w:t>
            </w:r>
            <w:r w:rsidR="00AB54D7" w:rsidRPr="00CE39BD">
              <w:t>,</w:t>
            </w:r>
            <w:r w:rsidR="005A5624" w:rsidRPr="00CE39BD">
              <w:t xml:space="preserve"> in its circumstances, Council B determined that the cost to a market participant buyer to acquire or construct a substitute building at the </w:t>
            </w:r>
            <w:r w:rsidR="00C75410" w:rsidRPr="00CE39BD">
              <w:t xml:space="preserve">existing </w:t>
            </w:r>
            <w:r w:rsidR="005A5624" w:rsidRPr="00CE39BD">
              <w:t xml:space="preserve">location would necessarily include those restoration costs. In addition, because Council B is not part of a group of entities that prepares consolidated financial statements, the ‘same group’ scope exclusion for such costs in </w:t>
            </w:r>
            <w:r w:rsidR="00FD4382" w:rsidRPr="00CE39BD">
              <w:t>paragraph </w:t>
            </w:r>
            <w:r w:rsidR="00FD4382" w:rsidRPr="00CE39BD">
              <w:fldChar w:fldCharType="begin"/>
            </w:r>
            <w:r w:rsidR="00FD4382" w:rsidRPr="00CE39BD">
              <w:instrText xml:space="preserve"> REF _Ref90288055 \r \h </w:instrText>
            </w:r>
            <w:r w:rsidR="002F5534" w:rsidRPr="00CE39BD">
              <w:instrText xml:space="preserve"> \* MERGEFORMAT </w:instrText>
            </w:r>
            <w:r w:rsidR="00FD4382" w:rsidRPr="00CE39BD">
              <w:fldChar w:fldCharType="separate"/>
            </w:r>
            <w:r w:rsidR="005A1B65">
              <w:t>F12</w:t>
            </w:r>
            <w:r w:rsidR="00FD4382" w:rsidRPr="00CE39BD">
              <w:fldChar w:fldCharType="end"/>
            </w:r>
            <w:r w:rsidR="00FD4382" w:rsidRPr="00CE39BD">
              <w:t>(a) does not apply to Council B.</w:t>
            </w:r>
          </w:p>
        </w:tc>
      </w:tr>
    </w:tbl>
    <w:p w14:paraId="12DC8589" w14:textId="77777777" w:rsidR="00FD4382" w:rsidRDefault="00FD4382" w:rsidP="004C270A">
      <w:pPr>
        <w:spacing w:after="100"/>
        <w:jc w:val="left"/>
        <w:rPr>
          <w:b/>
          <w:sz w:val="18"/>
          <w:szCs w:val="18"/>
        </w:rPr>
      </w:pPr>
    </w:p>
    <w:tbl>
      <w:tblPr>
        <w:tblStyle w:val="TableGrid"/>
        <w:tblW w:w="0" w:type="auto"/>
        <w:tblInd w:w="782" w:type="dxa"/>
        <w:tblLook w:val="04A0" w:firstRow="1" w:lastRow="0" w:firstColumn="1" w:lastColumn="0" w:noHBand="0" w:noVBand="1"/>
        <w:tblCaption w:val="Example 3"/>
        <w:tblDescription w:val="Example 3 – Whether to adjust the entity’s own assumptions in measuring a non-financial asset"/>
      </w:tblPr>
      <w:tblGrid>
        <w:gridCol w:w="8279"/>
      </w:tblGrid>
      <w:tr w:rsidR="000E26EF" w14:paraId="791F206D" w14:textId="77777777" w:rsidTr="0092264F">
        <w:tc>
          <w:tcPr>
            <w:tcW w:w="8279" w:type="dxa"/>
            <w:tcBorders>
              <w:bottom w:val="single" w:sz="4" w:space="0" w:color="auto"/>
            </w:tcBorders>
          </w:tcPr>
          <w:p w14:paraId="2EF49C5B" w14:textId="39C37697" w:rsidR="000E26EF" w:rsidRDefault="000E26EF" w:rsidP="00685506">
            <w:pPr>
              <w:pStyle w:val="NumIEPlain1"/>
              <w:numPr>
                <w:ilvl w:val="0"/>
                <w:numId w:val="0"/>
              </w:numPr>
              <w:spacing w:before="100"/>
              <w:rPr>
                <w:b/>
                <w:noProof/>
                <w:lang w:eastAsia="en-AU"/>
              </w:rPr>
            </w:pPr>
            <w:r w:rsidRPr="00753A48">
              <w:rPr>
                <w:b/>
              </w:rPr>
              <w:t>Example </w:t>
            </w:r>
            <w:r w:rsidR="000B1BB0">
              <w:rPr>
                <w:b/>
              </w:rPr>
              <w:t>3</w:t>
            </w:r>
            <w:r w:rsidRPr="00753A48">
              <w:rPr>
                <w:b/>
              </w:rPr>
              <w:t xml:space="preserve"> – </w:t>
            </w:r>
            <w:r w:rsidR="00272FC9">
              <w:rPr>
                <w:b/>
              </w:rPr>
              <w:t>Whether to adjust the entity’s</w:t>
            </w:r>
            <w:r w:rsidR="00272FC9" w:rsidRPr="004F4838">
              <w:rPr>
                <w:b/>
              </w:rPr>
              <w:t xml:space="preserve"> own assumptions </w:t>
            </w:r>
            <w:r w:rsidR="00272FC9">
              <w:rPr>
                <w:b/>
              </w:rPr>
              <w:t>in measuring a non-financial asset</w:t>
            </w:r>
          </w:p>
        </w:tc>
      </w:tr>
      <w:tr w:rsidR="0092264F" w14:paraId="34A7E838" w14:textId="77777777" w:rsidTr="0092264F">
        <w:tc>
          <w:tcPr>
            <w:tcW w:w="8279" w:type="dxa"/>
            <w:tcBorders>
              <w:bottom w:val="nil"/>
            </w:tcBorders>
          </w:tcPr>
          <w:p w14:paraId="3870A2E7" w14:textId="77777777" w:rsidR="0092264F" w:rsidRPr="00854069" w:rsidRDefault="0092264F" w:rsidP="0092264F">
            <w:pPr>
              <w:pStyle w:val="NumIEPlain1"/>
              <w:widowControl w:val="0"/>
              <w:numPr>
                <w:ilvl w:val="0"/>
                <w:numId w:val="0"/>
              </w:numPr>
              <w:spacing w:before="60"/>
            </w:pPr>
            <w:r w:rsidRPr="603B2CFD">
              <w:rPr>
                <w:rStyle w:val="normaltextrun"/>
                <w:shd w:val="clear" w:color="auto" w:fill="FFFFFF"/>
              </w:rPr>
              <w:t xml:space="preserve">The Transport Department of a </w:t>
            </w:r>
            <w:r>
              <w:rPr>
                <w:rStyle w:val="normaltextrun"/>
                <w:shd w:val="clear" w:color="auto" w:fill="FFFFFF"/>
              </w:rPr>
              <w:t xml:space="preserve">State </w:t>
            </w:r>
            <w:r w:rsidRPr="603B2CFD">
              <w:rPr>
                <w:rStyle w:val="normaltextrun"/>
                <w:shd w:val="clear" w:color="auto" w:fill="FFFFFF"/>
              </w:rPr>
              <w:t xml:space="preserve">Government (Department B) </w:t>
            </w:r>
            <w:r w:rsidRPr="603B2CFD">
              <w:t xml:space="preserve">estimates the fair value of its railway tracks as at 30 June 20X1 using the cost approach. </w:t>
            </w:r>
            <w:r w:rsidRPr="603B2CFD">
              <w:rPr>
                <w:rStyle w:val="normaltextrun"/>
                <w:shd w:val="clear" w:color="auto" w:fill="FFFFFF"/>
              </w:rPr>
              <w:t xml:space="preserve">Department B determined that there </w:t>
            </w:r>
            <w:r w:rsidRPr="603B2CFD">
              <w:t>are no observable market prices for completed suitable railway tracks, and not all other market participant data required to measure the fair value of railway tracks are observable.</w:t>
            </w:r>
          </w:p>
          <w:p w14:paraId="5426392E" w14:textId="77777777" w:rsidR="0092264F" w:rsidRPr="00854069" w:rsidRDefault="0092264F" w:rsidP="0092264F">
            <w:pPr>
              <w:pStyle w:val="NumIEPlain1"/>
              <w:widowControl w:val="0"/>
              <w:numPr>
                <w:ilvl w:val="0"/>
                <w:numId w:val="0"/>
              </w:numPr>
              <w:spacing w:before="60"/>
              <w:rPr>
                <w:szCs w:val="19"/>
              </w:rPr>
            </w:pPr>
            <w:r w:rsidRPr="00854069">
              <w:rPr>
                <w:szCs w:val="19"/>
              </w:rPr>
              <w:t xml:space="preserve">The cost currently required to acquire or construct </w:t>
            </w:r>
            <w:r>
              <w:rPr>
                <w:szCs w:val="19"/>
              </w:rPr>
              <w:t xml:space="preserve">Department B’s </w:t>
            </w:r>
            <w:r w:rsidRPr="00854069">
              <w:rPr>
                <w:szCs w:val="19"/>
              </w:rPr>
              <w:t xml:space="preserve">modern equivalent </w:t>
            </w:r>
            <w:r>
              <w:rPr>
                <w:szCs w:val="19"/>
              </w:rPr>
              <w:t>railway tracks</w:t>
            </w:r>
            <w:r w:rsidRPr="00854069">
              <w:rPr>
                <w:szCs w:val="19"/>
              </w:rPr>
              <w:t xml:space="preserve"> would be 30% lower if </w:t>
            </w:r>
            <w:r>
              <w:rPr>
                <w:szCs w:val="19"/>
              </w:rPr>
              <w:t xml:space="preserve">they </w:t>
            </w:r>
            <w:r w:rsidRPr="00854069">
              <w:rPr>
                <w:szCs w:val="19"/>
              </w:rPr>
              <w:t xml:space="preserve">were manufactured overseas instead of in Australia. There is no legal requirement for the </w:t>
            </w:r>
            <w:r>
              <w:rPr>
                <w:szCs w:val="19"/>
              </w:rPr>
              <w:t xml:space="preserve">tracks </w:t>
            </w:r>
            <w:r w:rsidRPr="00854069">
              <w:rPr>
                <w:szCs w:val="19"/>
              </w:rPr>
              <w:t xml:space="preserve">to be manufactured in Australia. However, the Commonwealth Government provides significant funding assistance for both the public sector and the private sector </w:t>
            </w:r>
            <w:r>
              <w:rPr>
                <w:szCs w:val="19"/>
              </w:rPr>
              <w:t>to</w:t>
            </w:r>
            <w:r w:rsidRPr="00854069">
              <w:rPr>
                <w:szCs w:val="19"/>
              </w:rPr>
              <w:t xml:space="preserve"> acquir</w:t>
            </w:r>
            <w:r>
              <w:rPr>
                <w:szCs w:val="19"/>
              </w:rPr>
              <w:t>e</w:t>
            </w:r>
            <w:r w:rsidRPr="00854069">
              <w:rPr>
                <w:szCs w:val="19"/>
              </w:rPr>
              <w:t xml:space="preserve"> or replac</w:t>
            </w:r>
            <w:r>
              <w:rPr>
                <w:szCs w:val="19"/>
              </w:rPr>
              <w:t>e</w:t>
            </w:r>
            <w:r w:rsidRPr="00854069">
              <w:rPr>
                <w:szCs w:val="19"/>
              </w:rPr>
              <w:t xml:space="preserve"> public transport assets. The policy is that at least 50% of federally co-funded asset acquisitions must be manufactured in Australia. The State Government controlling Department B has identified railway </w:t>
            </w:r>
            <w:r>
              <w:rPr>
                <w:szCs w:val="19"/>
              </w:rPr>
              <w:t>tracks</w:t>
            </w:r>
            <w:r w:rsidRPr="00854069">
              <w:rPr>
                <w:szCs w:val="19"/>
              </w:rPr>
              <w:t xml:space="preserve"> as one of the asset types the replacement of which contributes to meeting that domestic 50% requirement.</w:t>
            </w:r>
          </w:p>
          <w:p w14:paraId="5580436F" w14:textId="2FD5C3E9" w:rsidR="0092264F" w:rsidRPr="603B2CFD" w:rsidRDefault="0092264F" w:rsidP="0092264F">
            <w:pPr>
              <w:pStyle w:val="NumIEPlain1"/>
              <w:widowControl w:val="0"/>
              <w:numPr>
                <w:ilvl w:val="0"/>
                <w:numId w:val="0"/>
              </w:numPr>
              <w:spacing w:before="60"/>
              <w:rPr>
                <w:rStyle w:val="normaltextrun"/>
                <w:shd w:val="clear" w:color="auto" w:fill="FFFFFF"/>
              </w:rPr>
            </w:pPr>
            <w:r w:rsidRPr="00854069">
              <w:rPr>
                <w:szCs w:val="19"/>
              </w:rPr>
              <w:t xml:space="preserve">Based on the Commonwealth Government’s </w:t>
            </w:r>
            <w:r>
              <w:rPr>
                <w:szCs w:val="19"/>
              </w:rPr>
              <w:t xml:space="preserve">unlegislated </w:t>
            </w:r>
            <w:r w:rsidRPr="00854069">
              <w:rPr>
                <w:szCs w:val="19"/>
              </w:rPr>
              <w:t xml:space="preserve">policy regarding Australian-manufactured content, Department B assesses that replacement of the </w:t>
            </w:r>
            <w:r>
              <w:rPr>
                <w:szCs w:val="19"/>
              </w:rPr>
              <w:t>railway tracks</w:t>
            </w:r>
            <w:r w:rsidRPr="00854069">
              <w:rPr>
                <w:szCs w:val="19"/>
              </w:rPr>
              <w:t xml:space="preserve"> would, in the ordinary course of operations, be achieved by their manufacture in Australia. There is no reasonably available information indicating that another market participant would acquire </w:t>
            </w:r>
            <w:r>
              <w:rPr>
                <w:szCs w:val="19"/>
              </w:rPr>
              <w:t>railway tracks</w:t>
            </w:r>
            <w:r w:rsidRPr="00854069">
              <w:rPr>
                <w:szCs w:val="19"/>
              </w:rPr>
              <w:t xml:space="preserve"> overseas.</w:t>
            </w:r>
          </w:p>
        </w:tc>
      </w:tr>
      <w:tr w:rsidR="000E26EF" w14:paraId="569870DE" w14:textId="77777777" w:rsidTr="0092264F">
        <w:tc>
          <w:tcPr>
            <w:tcW w:w="8279" w:type="dxa"/>
            <w:tcBorders>
              <w:top w:val="nil"/>
            </w:tcBorders>
          </w:tcPr>
          <w:p w14:paraId="2D4095AB" w14:textId="2B39FEC4" w:rsidR="000E26EF" w:rsidRPr="009C72DE" w:rsidRDefault="001A502C" w:rsidP="00685506">
            <w:pPr>
              <w:pStyle w:val="NumIEPlain1"/>
              <w:widowControl w:val="0"/>
              <w:numPr>
                <w:ilvl w:val="0"/>
                <w:numId w:val="0"/>
              </w:numPr>
              <w:spacing w:before="60"/>
              <w:rPr>
                <w:b/>
                <w:bCs/>
                <w:szCs w:val="19"/>
              </w:rPr>
            </w:pPr>
            <w:r w:rsidRPr="001A502C">
              <w:rPr>
                <w:b/>
                <w:bCs/>
                <w:szCs w:val="19"/>
                <w:u w:val="single"/>
              </w:rPr>
              <w:t xml:space="preserve">Estimating the replacement cost of a reference </w:t>
            </w:r>
            <w:r>
              <w:rPr>
                <w:b/>
                <w:bCs/>
                <w:szCs w:val="19"/>
                <w:u w:val="single"/>
              </w:rPr>
              <w:t xml:space="preserve">asset </w:t>
            </w:r>
            <w:r w:rsidR="00761702">
              <w:rPr>
                <w:b/>
                <w:bCs/>
                <w:szCs w:val="19"/>
                <w:u w:val="single"/>
              </w:rPr>
              <w:t>as at 30 June 20X1</w:t>
            </w:r>
          </w:p>
          <w:p w14:paraId="21BA81B6" w14:textId="4EEFB560" w:rsidR="000E26EF" w:rsidRPr="00854069" w:rsidRDefault="000E26EF" w:rsidP="00685506">
            <w:pPr>
              <w:pStyle w:val="NumIEPlain1"/>
              <w:widowControl w:val="0"/>
              <w:numPr>
                <w:ilvl w:val="0"/>
                <w:numId w:val="0"/>
              </w:numPr>
              <w:spacing w:before="60"/>
              <w:rPr>
                <w:szCs w:val="19"/>
              </w:rPr>
            </w:pPr>
            <w:r w:rsidRPr="00854069">
              <w:rPr>
                <w:rStyle w:val="normaltextrun"/>
                <w:szCs w:val="19"/>
                <w:shd w:val="clear" w:color="auto" w:fill="FFFFFF"/>
              </w:rPr>
              <w:t>In accordance with paragraphs </w:t>
            </w:r>
            <w:r>
              <w:rPr>
                <w:rStyle w:val="normaltextrun"/>
                <w:szCs w:val="19"/>
                <w:shd w:val="clear" w:color="auto" w:fill="FFFFFF"/>
              </w:rPr>
              <w:fldChar w:fldCharType="begin"/>
            </w:r>
            <w:r>
              <w:rPr>
                <w:rStyle w:val="normaltextrun"/>
                <w:szCs w:val="19"/>
                <w:shd w:val="clear" w:color="auto" w:fill="FFFFFF"/>
              </w:rPr>
              <w:instrText xml:space="preserve"> REF _Ref110858606 \r \h </w:instrText>
            </w:r>
            <w:r>
              <w:rPr>
                <w:rStyle w:val="normaltextrun"/>
                <w:szCs w:val="19"/>
                <w:shd w:val="clear" w:color="auto" w:fill="FFFFFF"/>
              </w:rPr>
            </w:r>
            <w:r>
              <w:rPr>
                <w:rStyle w:val="normaltextrun"/>
                <w:szCs w:val="19"/>
                <w:shd w:val="clear" w:color="auto" w:fill="FFFFFF"/>
              </w:rPr>
              <w:fldChar w:fldCharType="separate"/>
            </w:r>
            <w:r w:rsidR="005A1B65">
              <w:rPr>
                <w:rStyle w:val="normaltextrun"/>
                <w:szCs w:val="19"/>
                <w:shd w:val="clear" w:color="auto" w:fill="FFFFFF"/>
              </w:rPr>
              <w:t>F5</w:t>
            </w:r>
            <w:r>
              <w:rPr>
                <w:rStyle w:val="normaltextrun"/>
                <w:szCs w:val="19"/>
                <w:shd w:val="clear" w:color="auto" w:fill="FFFFFF"/>
              </w:rPr>
              <w:fldChar w:fldCharType="end"/>
            </w:r>
            <w:r w:rsidRPr="00854069">
              <w:rPr>
                <w:rStyle w:val="normaltextrun"/>
                <w:szCs w:val="19"/>
                <w:shd w:val="clear" w:color="auto" w:fill="FFFFFF"/>
              </w:rPr>
              <w:t xml:space="preserve"> and </w:t>
            </w:r>
            <w:r>
              <w:rPr>
                <w:rStyle w:val="normaltextrun"/>
                <w:szCs w:val="19"/>
                <w:shd w:val="clear" w:color="auto" w:fill="FFFFFF"/>
              </w:rPr>
              <w:fldChar w:fldCharType="begin"/>
            </w:r>
            <w:r>
              <w:rPr>
                <w:rStyle w:val="normaltextrun"/>
                <w:szCs w:val="19"/>
                <w:shd w:val="clear" w:color="auto" w:fill="FFFFFF"/>
              </w:rPr>
              <w:instrText xml:space="preserve"> REF _Ref113946224 \r \h </w:instrText>
            </w:r>
            <w:r>
              <w:rPr>
                <w:rStyle w:val="normaltextrun"/>
                <w:szCs w:val="19"/>
                <w:shd w:val="clear" w:color="auto" w:fill="FFFFFF"/>
              </w:rPr>
            </w:r>
            <w:r>
              <w:rPr>
                <w:rStyle w:val="normaltextrun"/>
                <w:szCs w:val="19"/>
                <w:shd w:val="clear" w:color="auto" w:fill="FFFFFF"/>
              </w:rPr>
              <w:fldChar w:fldCharType="separate"/>
            </w:r>
            <w:r w:rsidR="005A1B65">
              <w:rPr>
                <w:rStyle w:val="normaltextrun"/>
                <w:szCs w:val="19"/>
                <w:shd w:val="clear" w:color="auto" w:fill="FFFFFF"/>
              </w:rPr>
              <w:t>F11</w:t>
            </w:r>
            <w:r>
              <w:rPr>
                <w:rStyle w:val="normaltextrun"/>
                <w:szCs w:val="19"/>
                <w:shd w:val="clear" w:color="auto" w:fill="FFFFFF"/>
              </w:rPr>
              <w:fldChar w:fldCharType="end"/>
            </w:r>
            <w:r w:rsidRPr="00854069">
              <w:rPr>
                <w:rStyle w:val="normaltextrun"/>
                <w:szCs w:val="19"/>
                <w:shd w:val="clear" w:color="auto" w:fill="FFFFFF"/>
              </w:rPr>
              <w:t xml:space="preserve">(b), Department B estimates the cost currently required for a market participant buyer to acquire or construct a reference asset by using its own assumptions as a starting point and adjusting those assumptions </w:t>
            </w:r>
            <w:r>
              <w:rPr>
                <w:rStyle w:val="normaltextrun"/>
                <w:szCs w:val="19"/>
                <w:shd w:val="clear" w:color="auto" w:fill="FFFFFF"/>
              </w:rPr>
              <w:t>t</w:t>
            </w:r>
            <w:r>
              <w:rPr>
                <w:rStyle w:val="normaltextrun"/>
                <w:shd w:val="clear" w:color="auto" w:fill="FFFFFF"/>
              </w:rPr>
              <w:t xml:space="preserve">o the extent that </w:t>
            </w:r>
            <w:r w:rsidRPr="00854069">
              <w:rPr>
                <w:rStyle w:val="normaltextrun"/>
                <w:szCs w:val="19"/>
                <w:shd w:val="clear" w:color="auto" w:fill="FFFFFF"/>
              </w:rPr>
              <w:t>reasonably available information indicates that other market participants would use different data.</w:t>
            </w:r>
          </w:p>
          <w:p w14:paraId="0B0EECA0" w14:textId="69388D54" w:rsidR="000E26EF" w:rsidRPr="00442C33" w:rsidRDefault="000E26EF" w:rsidP="00685506">
            <w:pPr>
              <w:pStyle w:val="NumIEPlain1"/>
              <w:widowControl w:val="0"/>
              <w:numPr>
                <w:ilvl w:val="0"/>
                <w:numId w:val="0"/>
              </w:numPr>
              <w:spacing w:before="60"/>
            </w:pPr>
            <w:r w:rsidRPr="00854069">
              <w:rPr>
                <w:rStyle w:val="normaltextrun"/>
                <w:szCs w:val="19"/>
                <w:shd w:val="clear" w:color="auto" w:fill="FFFFFF"/>
              </w:rPr>
              <w:t xml:space="preserve">Since there is no reasonably available information indicating that another market participant would acquire </w:t>
            </w:r>
            <w:r>
              <w:rPr>
                <w:rStyle w:val="normaltextrun"/>
                <w:szCs w:val="19"/>
                <w:shd w:val="clear" w:color="auto" w:fill="FFFFFF"/>
              </w:rPr>
              <w:t>railway tracks</w:t>
            </w:r>
            <w:r w:rsidRPr="00854069">
              <w:rPr>
                <w:rStyle w:val="normaltextrun"/>
                <w:szCs w:val="19"/>
                <w:shd w:val="clear" w:color="auto" w:fill="FFFFFF"/>
              </w:rPr>
              <w:t xml:space="preserve"> overseas, Department B uses the more expensive costs of Australian manufacture in its estimated </w:t>
            </w:r>
            <w:r w:rsidR="00FD1192">
              <w:rPr>
                <w:rStyle w:val="normaltextrun"/>
                <w:szCs w:val="19"/>
                <w:shd w:val="clear" w:color="auto" w:fill="FFFFFF"/>
              </w:rPr>
              <w:t>replacement cost of reference</w:t>
            </w:r>
            <w:r w:rsidRPr="00854069">
              <w:rPr>
                <w:rStyle w:val="normaltextrun"/>
                <w:szCs w:val="19"/>
                <w:shd w:val="clear" w:color="auto" w:fill="FFFFFF"/>
              </w:rPr>
              <w:t xml:space="preserve"> railway </w:t>
            </w:r>
            <w:r>
              <w:rPr>
                <w:rStyle w:val="normaltextrun"/>
                <w:szCs w:val="19"/>
                <w:shd w:val="clear" w:color="auto" w:fill="FFFFFF"/>
              </w:rPr>
              <w:t>track</w:t>
            </w:r>
            <w:r w:rsidR="005C399B">
              <w:rPr>
                <w:rStyle w:val="normaltextrun"/>
                <w:szCs w:val="19"/>
                <w:shd w:val="clear" w:color="auto" w:fill="FFFFFF"/>
              </w:rPr>
              <w:t>s</w:t>
            </w:r>
            <w:r w:rsidRPr="00854069">
              <w:rPr>
                <w:rStyle w:val="normaltextrun"/>
                <w:szCs w:val="19"/>
                <w:shd w:val="clear" w:color="auto" w:fill="FFFFFF"/>
              </w:rPr>
              <w:t xml:space="preserve"> as at 30 June 20X1, notwithstanding the absence of a legal requirement for their manufacture in Australia.</w:t>
            </w:r>
          </w:p>
        </w:tc>
      </w:tr>
    </w:tbl>
    <w:p w14:paraId="2AFCC8FD" w14:textId="77777777" w:rsidR="000E26EF" w:rsidRPr="0092264F" w:rsidRDefault="000E26EF" w:rsidP="004C270A">
      <w:pPr>
        <w:pStyle w:val="NumBPlain1"/>
        <w:spacing w:after="100"/>
        <w:ind w:left="782"/>
        <w:rPr>
          <w:rFonts w:ascii="Arial" w:hAnsi="Arial" w:cs="Arial"/>
          <w:bCs/>
          <w:sz w:val="22"/>
          <w:szCs w:val="22"/>
        </w:rPr>
      </w:pPr>
    </w:p>
    <w:p w14:paraId="61951575" w14:textId="7B7DB627" w:rsidR="005B1696" w:rsidRDefault="00D255EC" w:rsidP="00500790">
      <w:pPr>
        <w:pStyle w:val="NumBPlain1"/>
        <w:keepNext/>
        <w:spacing w:after="100"/>
        <w:ind w:left="782"/>
      </w:pPr>
      <w:r>
        <w:rPr>
          <w:rFonts w:ascii="Arial" w:hAnsi="Arial" w:cs="Arial"/>
          <w:b/>
          <w:sz w:val="22"/>
          <w:szCs w:val="22"/>
        </w:rPr>
        <w:t>Site preparation</w:t>
      </w:r>
      <w:r w:rsidR="00D907E9">
        <w:rPr>
          <w:rFonts w:ascii="Arial" w:hAnsi="Arial" w:cs="Arial"/>
          <w:b/>
          <w:sz w:val="22"/>
          <w:szCs w:val="22"/>
        </w:rPr>
        <w:t xml:space="preserve"> costs</w:t>
      </w:r>
      <w:r w:rsidR="005B1696">
        <w:rPr>
          <w:rFonts w:ascii="Arial" w:hAnsi="Arial" w:cs="Arial"/>
          <w:b/>
          <w:sz w:val="22"/>
          <w:szCs w:val="22"/>
        </w:rPr>
        <w:t xml:space="preserve"> </w:t>
      </w:r>
      <w:r w:rsidR="005B1696" w:rsidRPr="00064684">
        <w:rPr>
          <w:rFonts w:ascii="Arial" w:hAnsi="Arial" w:cs="Arial"/>
          <w:b/>
          <w:sz w:val="22"/>
          <w:szCs w:val="22"/>
        </w:rPr>
        <w:t xml:space="preserve">(paragraph </w:t>
      </w:r>
      <w:r w:rsidR="008D55D6">
        <w:rPr>
          <w:rFonts w:ascii="Arial" w:hAnsi="Arial" w:cs="Arial"/>
          <w:b/>
          <w:sz w:val="22"/>
          <w:szCs w:val="22"/>
        </w:rPr>
        <w:fldChar w:fldCharType="begin"/>
      </w:r>
      <w:r w:rsidR="008D55D6">
        <w:rPr>
          <w:rFonts w:ascii="Arial" w:hAnsi="Arial" w:cs="Arial"/>
          <w:b/>
          <w:sz w:val="22"/>
          <w:szCs w:val="22"/>
        </w:rPr>
        <w:instrText xml:space="preserve"> REF _Ref90288055 \r \h </w:instrText>
      </w:r>
      <w:r w:rsidR="008D55D6">
        <w:rPr>
          <w:rFonts w:ascii="Arial" w:hAnsi="Arial" w:cs="Arial"/>
          <w:b/>
          <w:sz w:val="22"/>
          <w:szCs w:val="22"/>
        </w:rPr>
      </w:r>
      <w:r w:rsidR="008D55D6">
        <w:rPr>
          <w:rFonts w:ascii="Arial" w:hAnsi="Arial" w:cs="Arial"/>
          <w:b/>
          <w:sz w:val="22"/>
          <w:szCs w:val="22"/>
        </w:rPr>
        <w:fldChar w:fldCharType="separate"/>
      </w:r>
      <w:r w:rsidR="005A1B65">
        <w:rPr>
          <w:rFonts w:ascii="Arial" w:hAnsi="Arial" w:cs="Arial"/>
          <w:b/>
          <w:sz w:val="22"/>
          <w:szCs w:val="22"/>
        </w:rPr>
        <w:t>F12</w:t>
      </w:r>
      <w:r w:rsidR="008D55D6">
        <w:rPr>
          <w:rFonts w:ascii="Arial" w:hAnsi="Arial" w:cs="Arial"/>
          <w:b/>
          <w:sz w:val="22"/>
          <w:szCs w:val="22"/>
        </w:rPr>
        <w:fldChar w:fldCharType="end"/>
      </w:r>
      <w:r w:rsidR="005B1696">
        <w:rPr>
          <w:rFonts w:ascii="Arial" w:hAnsi="Arial" w:cs="Arial"/>
          <w:b/>
          <w:sz w:val="22"/>
          <w:szCs w:val="22"/>
        </w:rPr>
        <w:t>(</w:t>
      </w:r>
      <w:r w:rsidR="00E828E2">
        <w:rPr>
          <w:rFonts w:ascii="Arial" w:hAnsi="Arial" w:cs="Arial"/>
          <w:b/>
          <w:sz w:val="22"/>
          <w:szCs w:val="22"/>
        </w:rPr>
        <w:t>c</w:t>
      </w:r>
      <w:r w:rsidR="005B1696">
        <w:rPr>
          <w:rFonts w:ascii="Arial" w:hAnsi="Arial" w:cs="Arial"/>
          <w:b/>
          <w:sz w:val="22"/>
          <w:szCs w:val="22"/>
        </w:rPr>
        <w:t>)</w:t>
      </w:r>
      <w:r w:rsidR="005B1696" w:rsidRPr="00064684">
        <w:rPr>
          <w:rFonts w:ascii="Arial" w:hAnsi="Arial" w:cs="Arial"/>
          <w:b/>
          <w:sz w:val="22"/>
          <w:szCs w:val="22"/>
        </w:rPr>
        <w:t>)</w:t>
      </w:r>
    </w:p>
    <w:p w14:paraId="2F65031F" w14:textId="48EAD0BA" w:rsidR="005B1696" w:rsidRDefault="005B1696" w:rsidP="00F2700B">
      <w:pPr>
        <w:pStyle w:val="NumIEPlain1"/>
        <w:spacing w:after="0"/>
      </w:pPr>
      <w:r>
        <w:t xml:space="preserve">In respect of a non-financial asset not held primarily for its ability to generate net cash inflows and measured under the cost approach in </w:t>
      </w:r>
      <w:r w:rsidRPr="00D1491A">
        <w:t>paragraphs</w:t>
      </w:r>
      <w:r>
        <w:t xml:space="preserve"> </w:t>
      </w:r>
      <w:r w:rsidRPr="00127995">
        <w:t>B8</w:t>
      </w:r>
      <w:r>
        <w:t xml:space="preserve"> and B9, Example</w:t>
      </w:r>
      <w:r w:rsidR="00085D4B">
        <w:t> </w:t>
      </w:r>
      <w:r w:rsidR="000B1BB0">
        <w:t>4</w:t>
      </w:r>
      <w:r>
        <w:t xml:space="preserve"> illustrate</w:t>
      </w:r>
      <w:r w:rsidR="00085D4B">
        <w:t>s</w:t>
      </w:r>
      <w:r>
        <w:t xml:space="preserve"> </w:t>
      </w:r>
      <w:r w:rsidR="0097608E">
        <w:t xml:space="preserve">how a particular entity </w:t>
      </w:r>
      <w:r w:rsidR="00A41EFF">
        <w:t xml:space="preserve">treats </w:t>
      </w:r>
      <w:r w:rsidR="00B66D18">
        <w:t>site preparation costs</w:t>
      </w:r>
      <w:r w:rsidR="00145696">
        <w:t>,</w:t>
      </w:r>
      <w:r w:rsidR="0097608E">
        <w:t xml:space="preserve"> </w:t>
      </w:r>
      <w:r>
        <w:t xml:space="preserve">in </w:t>
      </w:r>
      <w:r w:rsidR="0097608E">
        <w:t xml:space="preserve">accordance with </w:t>
      </w:r>
      <w:r>
        <w:t xml:space="preserve">paragraph </w:t>
      </w:r>
      <w:r w:rsidR="00286F99">
        <w:fldChar w:fldCharType="begin"/>
      </w:r>
      <w:r w:rsidR="00286F99">
        <w:instrText xml:space="preserve"> REF _Ref90288055 \r \h </w:instrText>
      </w:r>
      <w:r w:rsidR="00286F99">
        <w:fldChar w:fldCharType="separate"/>
      </w:r>
      <w:r w:rsidR="005A1B65">
        <w:t>F12</w:t>
      </w:r>
      <w:r w:rsidR="00286F99">
        <w:fldChar w:fldCharType="end"/>
      </w:r>
      <w:r>
        <w:t>(</w:t>
      </w:r>
      <w:r w:rsidR="00085D4B">
        <w:t>c</w:t>
      </w:r>
      <w:r>
        <w:t>)</w:t>
      </w:r>
      <w:r w:rsidR="00145696">
        <w:t>,</w:t>
      </w:r>
      <w:r w:rsidR="0097608E">
        <w:t xml:space="preserve"> </w:t>
      </w:r>
      <w:r w:rsidR="00145696">
        <w:t xml:space="preserve">when measuring the fair value of assets </w:t>
      </w:r>
      <w:r w:rsidR="00552048">
        <w:t>using the cost approach</w:t>
      </w:r>
      <w:r w:rsidR="00145696">
        <w:t>.</w:t>
      </w:r>
    </w:p>
    <w:p w14:paraId="51357907" w14:textId="020F2F6D" w:rsidR="005B1696" w:rsidRDefault="005B1696" w:rsidP="00F2700B">
      <w:pPr>
        <w:jc w:val="left"/>
        <w:rPr>
          <w:b/>
          <w:sz w:val="18"/>
          <w:szCs w:val="18"/>
        </w:rPr>
      </w:pPr>
    </w:p>
    <w:tbl>
      <w:tblPr>
        <w:tblStyle w:val="TableGrid"/>
        <w:tblW w:w="0" w:type="auto"/>
        <w:tblInd w:w="782" w:type="dxa"/>
        <w:tblBorders>
          <w:bottom w:val="none" w:sz="0" w:space="0" w:color="auto"/>
        </w:tblBorders>
        <w:tblLook w:val="04A0" w:firstRow="1" w:lastRow="0" w:firstColumn="1" w:lastColumn="0" w:noHBand="0" w:noVBand="1"/>
        <w:tblCaption w:val="Example 4"/>
        <w:tblDescription w:val="Example 4 – Site preparation costs"/>
      </w:tblPr>
      <w:tblGrid>
        <w:gridCol w:w="8279"/>
      </w:tblGrid>
      <w:tr w:rsidR="00E828E2" w14:paraId="4A0C2A32" w14:textId="77777777" w:rsidTr="0092264F">
        <w:tc>
          <w:tcPr>
            <w:tcW w:w="8279" w:type="dxa"/>
          </w:tcPr>
          <w:p w14:paraId="3A6183DB" w14:textId="6AD6D7B3" w:rsidR="00E828E2" w:rsidRDefault="00E828E2" w:rsidP="0099697B">
            <w:pPr>
              <w:pStyle w:val="NumIEPlain1"/>
              <w:numPr>
                <w:ilvl w:val="0"/>
                <w:numId w:val="0"/>
              </w:numPr>
              <w:spacing w:before="100"/>
              <w:rPr>
                <w:b/>
                <w:noProof/>
                <w:lang w:eastAsia="en-AU"/>
              </w:rPr>
            </w:pPr>
            <w:r w:rsidRPr="00753A48">
              <w:rPr>
                <w:b/>
              </w:rPr>
              <w:t>Example </w:t>
            </w:r>
            <w:r w:rsidR="000B1BB0">
              <w:rPr>
                <w:b/>
              </w:rPr>
              <w:t>4</w:t>
            </w:r>
            <w:r w:rsidRPr="00753A48">
              <w:rPr>
                <w:b/>
              </w:rPr>
              <w:t xml:space="preserve"> – </w:t>
            </w:r>
            <w:r w:rsidR="00657D1E">
              <w:rPr>
                <w:b/>
              </w:rPr>
              <w:t>Site preparation costs</w:t>
            </w:r>
          </w:p>
        </w:tc>
      </w:tr>
      <w:tr w:rsidR="0092264F" w14:paraId="0133F251" w14:textId="77777777" w:rsidTr="0092264F">
        <w:tc>
          <w:tcPr>
            <w:tcW w:w="8279" w:type="dxa"/>
            <w:tcBorders>
              <w:bottom w:val="nil"/>
            </w:tcBorders>
          </w:tcPr>
          <w:p w14:paraId="40E3E0CD" w14:textId="07CCC34C" w:rsidR="0092264F" w:rsidRDefault="0092264F" w:rsidP="004C270A">
            <w:pPr>
              <w:pStyle w:val="NumIEPlain1"/>
              <w:widowControl w:val="0"/>
              <w:numPr>
                <w:ilvl w:val="0"/>
                <w:numId w:val="0"/>
              </w:numPr>
              <w:spacing w:before="60"/>
              <w:rPr>
                <w:szCs w:val="19"/>
              </w:rPr>
            </w:pPr>
            <w:r>
              <w:rPr>
                <w:szCs w:val="19"/>
              </w:rPr>
              <w:t xml:space="preserve">Each </w:t>
            </w:r>
            <w:r w:rsidRPr="00005F90">
              <w:rPr>
                <w:szCs w:val="19"/>
              </w:rPr>
              <w:t xml:space="preserve">Health Department </w:t>
            </w:r>
            <w:r>
              <w:rPr>
                <w:szCs w:val="19"/>
              </w:rPr>
              <w:t xml:space="preserve">of three jurisdictions </w:t>
            </w:r>
            <w:r w:rsidRPr="00005F90">
              <w:rPr>
                <w:szCs w:val="19"/>
              </w:rPr>
              <w:t xml:space="preserve">was transferred land </w:t>
            </w:r>
            <w:r>
              <w:rPr>
                <w:szCs w:val="19"/>
              </w:rPr>
              <w:t>on</w:t>
            </w:r>
            <w:r w:rsidRPr="00005F90">
              <w:rPr>
                <w:szCs w:val="19"/>
              </w:rPr>
              <w:t xml:space="preserve"> </w:t>
            </w:r>
            <w:r>
              <w:rPr>
                <w:szCs w:val="19"/>
              </w:rPr>
              <w:t xml:space="preserve">1 July </w:t>
            </w:r>
            <w:r w:rsidRPr="00005F90">
              <w:rPr>
                <w:szCs w:val="19"/>
              </w:rPr>
              <w:t xml:space="preserve">20X0 to be used to construct a </w:t>
            </w:r>
            <w:r>
              <w:rPr>
                <w:szCs w:val="19"/>
              </w:rPr>
              <w:t>remote airstrip for airborne health services</w:t>
            </w:r>
            <w:r w:rsidRPr="00005F90">
              <w:rPr>
                <w:szCs w:val="19"/>
              </w:rPr>
              <w:t xml:space="preserve">. </w:t>
            </w:r>
          </w:p>
        </w:tc>
      </w:tr>
      <w:tr w:rsidR="004C270A" w14:paraId="3EDEA8E8" w14:textId="77777777" w:rsidTr="0092264F">
        <w:tc>
          <w:tcPr>
            <w:tcW w:w="8279" w:type="dxa"/>
            <w:tcBorders>
              <w:top w:val="nil"/>
              <w:bottom w:val="nil"/>
            </w:tcBorders>
          </w:tcPr>
          <w:p w14:paraId="54C90556" w14:textId="069E2BF2" w:rsidR="004C270A" w:rsidRDefault="004C270A" w:rsidP="0092264F">
            <w:pPr>
              <w:pStyle w:val="NumPlain1"/>
              <w:spacing w:after="120"/>
              <w:rPr>
                <w:szCs w:val="19"/>
              </w:rPr>
            </w:pPr>
            <w:r>
              <w:rPr>
                <w:rStyle w:val="normaltextrun"/>
                <w:shd w:val="clear" w:color="auto" w:fill="FFFFFF"/>
              </w:rPr>
              <w:lastRenderedPageBreak/>
              <w:t>The subject asset for each Health Department is the airstrip, and t</w:t>
            </w:r>
            <w:r w:rsidRPr="00FB3360">
              <w:rPr>
                <w:rStyle w:val="normaltextrun"/>
                <w:shd w:val="clear" w:color="auto" w:fill="FFFFFF"/>
              </w:rPr>
              <w:t xml:space="preserve">he valuation of </w:t>
            </w:r>
            <w:r>
              <w:rPr>
                <w:rStyle w:val="normaltextrun"/>
                <w:shd w:val="clear" w:color="auto" w:fill="FFFFFF"/>
              </w:rPr>
              <w:t xml:space="preserve">land under the airstrip </w:t>
            </w:r>
            <w:r w:rsidRPr="00FB3360">
              <w:rPr>
                <w:rStyle w:val="normaltextrun"/>
                <w:shd w:val="clear" w:color="auto" w:fill="FFFFFF"/>
              </w:rPr>
              <w:t>is not addressed</w:t>
            </w:r>
            <w:r>
              <w:rPr>
                <w:rStyle w:val="normaltextrun"/>
                <w:shd w:val="clear" w:color="auto" w:fill="FFFFFF"/>
              </w:rPr>
              <w:t xml:space="preserve"> in this example</w:t>
            </w:r>
            <w:r w:rsidRPr="00FB3360">
              <w:rPr>
                <w:rStyle w:val="normaltextrun"/>
                <w:shd w:val="clear" w:color="auto" w:fill="FFFFFF"/>
              </w:rPr>
              <w:t>.</w:t>
            </w:r>
          </w:p>
        </w:tc>
      </w:tr>
      <w:tr w:rsidR="0092264F" w14:paraId="4BFFC19C" w14:textId="77777777" w:rsidTr="0092264F">
        <w:tc>
          <w:tcPr>
            <w:tcW w:w="8279" w:type="dxa"/>
            <w:tcBorders>
              <w:top w:val="nil"/>
              <w:bottom w:val="nil"/>
            </w:tcBorders>
          </w:tcPr>
          <w:p w14:paraId="277D1E6E" w14:textId="77777777" w:rsidR="0092264F" w:rsidRPr="00005F90" w:rsidRDefault="0092264F" w:rsidP="0092264F">
            <w:pPr>
              <w:pStyle w:val="NumPlain1"/>
              <w:spacing w:after="120"/>
              <w:rPr>
                <w:szCs w:val="19"/>
              </w:rPr>
            </w:pPr>
            <w:r>
              <w:rPr>
                <w:szCs w:val="19"/>
              </w:rPr>
              <w:t>Each of those three Health Departments</w:t>
            </w:r>
            <w:r w:rsidRPr="00005F90">
              <w:rPr>
                <w:szCs w:val="19"/>
              </w:rPr>
              <w:t>:</w:t>
            </w:r>
          </w:p>
          <w:p w14:paraId="060535A9" w14:textId="77777777" w:rsidR="0092264F" w:rsidRPr="00005F90" w:rsidRDefault="0092264F" w:rsidP="0092264F">
            <w:pPr>
              <w:pStyle w:val="NumPlain2"/>
              <w:numPr>
                <w:ilvl w:val="1"/>
                <w:numId w:val="31"/>
              </w:numPr>
              <w:tabs>
                <w:tab w:val="clear" w:pos="1021"/>
                <w:tab w:val="num" w:pos="937"/>
              </w:tabs>
              <w:spacing w:after="120"/>
              <w:ind w:left="782" w:hanging="782"/>
              <w:rPr>
                <w:szCs w:val="19"/>
              </w:rPr>
            </w:pPr>
            <w:r w:rsidRPr="00005F90">
              <w:rPr>
                <w:szCs w:val="19"/>
              </w:rPr>
              <w:t xml:space="preserve">recognises </w:t>
            </w:r>
            <w:r>
              <w:rPr>
                <w:szCs w:val="19"/>
              </w:rPr>
              <w:t>airstrips and land under airstrips</w:t>
            </w:r>
            <w:r w:rsidRPr="00005F90">
              <w:rPr>
                <w:szCs w:val="19"/>
              </w:rPr>
              <w:t xml:space="preserve"> as separate classes of asset;</w:t>
            </w:r>
          </w:p>
          <w:p w14:paraId="10E843C1" w14:textId="77777777" w:rsidR="0092264F" w:rsidRDefault="0092264F" w:rsidP="0092264F">
            <w:pPr>
              <w:pStyle w:val="NumPlain2"/>
              <w:numPr>
                <w:ilvl w:val="1"/>
                <w:numId w:val="31"/>
              </w:numPr>
              <w:tabs>
                <w:tab w:val="clear" w:pos="1021"/>
                <w:tab w:val="num" w:pos="937"/>
              </w:tabs>
              <w:spacing w:after="120"/>
              <w:ind w:left="782" w:hanging="782"/>
            </w:pPr>
            <w:r>
              <w:t xml:space="preserve">incurred $1,500,000 (excluding any site preparation costs) to construct the airstrip. The construction was completed in June 20X1; </w:t>
            </w:r>
          </w:p>
          <w:p w14:paraId="397BEECC" w14:textId="77777777" w:rsidR="0092264F" w:rsidRDefault="0092264F" w:rsidP="0092264F">
            <w:pPr>
              <w:pStyle w:val="NumPlain2"/>
              <w:numPr>
                <w:ilvl w:val="1"/>
                <w:numId w:val="31"/>
              </w:numPr>
              <w:tabs>
                <w:tab w:val="clear" w:pos="1021"/>
                <w:tab w:val="num" w:pos="937"/>
              </w:tabs>
              <w:spacing w:after="120"/>
              <w:ind w:left="782" w:hanging="782"/>
              <w:rPr>
                <w:szCs w:val="19"/>
              </w:rPr>
            </w:pPr>
            <w:r w:rsidRPr="006D3888">
              <w:rPr>
                <w:szCs w:val="19"/>
              </w:rPr>
              <w:t>measur</w:t>
            </w:r>
            <w:r>
              <w:rPr>
                <w:szCs w:val="19"/>
              </w:rPr>
              <w:t xml:space="preserve">es </w:t>
            </w:r>
            <w:r w:rsidRPr="006D3888">
              <w:rPr>
                <w:szCs w:val="19"/>
              </w:rPr>
              <w:t xml:space="preserve">the fair value of the </w:t>
            </w:r>
            <w:r>
              <w:rPr>
                <w:szCs w:val="19"/>
              </w:rPr>
              <w:t>airstrip at current replacement cost under the cost approach; and</w:t>
            </w:r>
          </w:p>
          <w:p w14:paraId="6284DDFA" w14:textId="77777777" w:rsidR="0092264F" w:rsidRPr="006D3888" w:rsidRDefault="0092264F" w:rsidP="0092264F">
            <w:pPr>
              <w:pStyle w:val="NumPlain2"/>
              <w:numPr>
                <w:ilvl w:val="1"/>
                <w:numId w:val="31"/>
              </w:numPr>
              <w:tabs>
                <w:tab w:val="clear" w:pos="1021"/>
                <w:tab w:val="num" w:pos="937"/>
              </w:tabs>
              <w:spacing w:after="120"/>
              <w:ind w:left="782" w:hanging="782"/>
              <w:rPr>
                <w:szCs w:val="19"/>
              </w:rPr>
            </w:pPr>
            <w:r>
              <w:rPr>
                <w:szCs w:val="19"/>
              </w:rPr>
              <w:t xml:space="preserve">determined that </w:t>
            </w:r>
            <w:r w:rsidRPr="00916CA1">
              <w:rPr>
                <w:szCs w:val="19"/>
              </w:rPr>
              <w:t xml:space="preserve">site </w:t>
            </w:r>
            <w:r>
              <w:rPr>
                <w:szCs w:val="19"/>
              </w:rPr>
              <w:t>levelling</w:t>
            </w:r>
            <w:r w:rsidRPr="00916CA1">
              <w:rPr>
                <w:szCs w:val="19"/>
              </w:rPr>
              <w:t xml:space="preserve"> costs </w:t>
            </w:r>
            <w:r>
              <w:rPr>
                <w:szCs w:val="19"/>
              </w:rPr>
              <w:t>are not</w:t>
            </w:r>
            <w:r w:rsidRPr="00916CA1">
              <w:rPr>
                <w:szCs w:val="19"/>
              </w:rPr>
              <w:t xml:space="preserve"> reflected (explicitly or implicitly) in the fair value measurement of the land</w:t>
            </w:r>
            <w:r>
              <w:rPr>
                <w:szCs w:val="19"/>
              </w:rPr>
              <w:t xml:space="preserve"> under the airstrip</w:t>
            </w:r>
            <w:r>
              <w:t xml:space="preserve"> </w:t>
            </w:r>
            <w:r w:rsidRPr="00222AAC">
              <w:rPr>
                <w:szCs w:val="19"/>
              </w:rPr>
              <w:t>because market participants acquiring the land for other purposes would not require a level site</w:t>
            </w:r>
            <w:r>
              <w:rPr>
                <w:szCs w:val="19"/>
              </w:rPr>
              <w:t>.</w:t>
            </w:r>
          </w:p>
          <w:p w14:paraId="1E449FCE" w14:textId="77777777" w:rsidR="0092264F" w:rsidRPr="00005F90" w:rsidRDefault="0092264F" w:rsidP="0092264F">
            <w:pPr>
              <w:pStyle w:val="NumIEPlain1"/>
              <w:keepNext/>
              <w:numPr>
                <w:ilvl w:val="0"/>
                <w:numId w:val="0"/>
              </w:numPr>
              <w:spacing w:before="60"/>
              <w:rPr>
                <w:rStyle w:val="normaltextrun"/>
                <w:szCs w:val="19"/>
                <w:shd w:val="clear" w:color="auto" w:fill="FFFFFF"/>
              </w:rPr>
            </w:pPr>
            <w:r w:rsidRPr="00005F90">
              <w:rPr>
                <w:szCs w:val="19"/>
              </w:rPr>
              <w:t xml:space="preserve">As at 30 June 20X1, the fair value of </w:t>
            </w:r>
            <w:r>
              <w:rPr>
                <w:szCs w:val="19"/>
              </w:rPr>
              <w:t>each Health Department’s airstrip</w:t>
            </w:r>
            <w:r w:rsidRPr="00005F90">
              <w:rPr>
                <w:szCs w:val="19"/>
              </w:rPr>
              <w:t xml:space="preserve"> was estimated. For simplicity</w:t>
            </w:r>
            <w:r>
              <w:rPr>
                <w:szCs w:val="19"/>
              </w:rPr>
              <w:t>, the following common assumptions are made for each of those three Health Departments</w:t>
            </w:r>
            <w:r w:rsidRPr="00005F90">
              <w:rPr>
                <w:szCs w:val="19"/>
              </w:rPr>
              <w:t>:</w:t>
            </w:r>
          </w:p>
          <w:p w14:paraId="49B36F76" w14:textId="77777777" w:rsidR="0092264F" w:rsidRPr="00005F90" w:rsidRDefault="0092264F" w:rsidP="002C5A98">
            <w:pPr>
              <w:pStyle w:val="NumPlain2"/>
              <w:numPr>
                <w:ilvl w:val="1"/>
                <w:numId w:val="32"/>
              </w:numPr>
              <w:tabs>
                <w:tab w:val="clear" w:pos="1021"/>
                <w:tab w:val="num" w:pos="937"/>
              </w:tabs>
              <w:spacing w:after="120"/>
              <w:ind w:left="782" w:hanging="782"/>
              <w:rPr>
                <w:szCs w:val="19"/>
              </w:rPr>
            </w:pPr>
            <w:r w:rsidRPr="00005F90">
              <w:rPr>
                <w:szCs w:val="19"/>
              </w:rPr>
              <w:t xml:space="preserve">it is assumed that the value of land in the proximity of the </w:t>
            </w:r>
            <w:r>
              <w:rPr>
                <w:szCs w:val="19"/>
              </w:rPr>
              <w:t>airstrip, and any site preparation costs,</w:t>
            </w:r>
            <w:r w:rsidRPr="00005F90">
              <w:rPr>
                <w:szCs w:val="19"/>
              </w:rPr>
              <w:t xml:space="preserve"> did not change between </w:t>
            </w:r>
            <w:r>
              <w:rPr>
                <w:szCs w:val="19"/>
              </w:rPr>
              <w:t>1 July</w:t>
            </w:r>
            <w:r w:rsidRPr="00005F90">
              <w:rPr>
                <w:szCs w:val="19"/>
              </w:rPr>
              <w:t xml:space="preserve"> 20X0 and the measurement date of 30 June 20X1;</w:t>
            </w:r>
          </w:p>
          <w:p w14:paraId="03C7E29B" w14:textId="77777777" w:rsidR="0092264F" w:rsidRDefault="0092264F" w:rsidP="002C5A98">
            <w:pPr>
              <w:pStyle w:val="NumPlain2"/>
              <w:numPr>
                <w:ilvl w:val="1"/>
                <w:numId w:val="31"/>
              </w:numPr>
              <w:tabs>
                <w:tab w:val="clear" w:pos="1021"/>
                <w:tab w:val="num" w:pos="937"/>
              </w:tabs>
              <w:spacing w:after="120"/>
              <w:ind w:left="782" w:hanging="782"/>
              <w:rPr>
                <w:szCs w:val="19"/>
              </w:rPr>
            </w:pPr>
            <w:r w:rsidRPr="00005F90">
              <w:rPr>
                <w:szCs w:val="19"/>
              </w:rPr>
              <w:t xml:space="preserve">the cost to construct the </w:t>
            </w:r>
            <w:r>
              <w:rPr>
                <w:szCs w:val="19"/>
              </w:rPr>
              <w:t>airstrip</w:t>
            </w:r>
            <w:r w:rsidRPr="00005F90">
              <w:rPr>
                <w:szCs w:val="19"/>
              </w:rPr>
              <w:t xml:space="preserve"> did not change since its construction; </w:t>
            </w:r>
          </w:p>
          <w:p w14:paraId="264CF488" w14:textId="52F4542A" w:rsidR="0092264F" w:rsidRPr="00005F90" w:rsidRDefault="0092264F" w:rsidP="00C16675">
            <w:pPr>
              <w:pStyle w:val="NumPlain2"/>
              <w:numPr>
                <w:ilvl w:val="1"/>
                <w:numId w:val="31"/>
              </w:numPr>
              <w:tabs>
                <w:tab w:val="clear" w:pos="1021"/>
                <w:tab w:val="num" w:pos="937"/>
              </w:tabs>
              <w:spacing w:after="120"/>
              <w:ind w:left="782" w:hanging="782"/>
              <w:rPr>
                <w:szCs w:val="19"/>
              </w:rPr>
            </w:pPr>
            <w:r>
              <w:rPr>
                <w:szCs w:val="19"/>
              </w:rPr>
              <w:t>in relation to the requirements of paragraph </w:t>
            </w:r>
            <w:r>
              <w:rPr>
                <w:szCs w:val="19"/>
              </w:rPr>
              <w:fldChar w:fldCharType="begin"/>
            </w:r>
            <w:r>
              <w:rPr>
                <w:szCs w:val="19"/>
              </w:rPr>
              <w:instrText xml:space="preserve"> REF _Ref113942548 \r \h </w:instrText>
            </w:r>
            <w:r w:rsidR="005C007B">
              <w:rPr>
                <w:szCs w:val="19"/>
              </w:rPr>
              <w:instrText xml:space="preserve"> \* MERGEFORMAT </w:instrText>
            </w:r>
            <w:r>
              <w:rPr>
                <w:szCs w:val="19"/>
              </w:rPr>
            </w:r>
            <w:r>
              <w:rPr>
                <w:szCs w:val="19"/>
              </w:rPr>
              <w:fldChar w:fldCharType="separate"/>
            </w:r>
            <w:r w:rsidR="005A1B65">
              <w:rPr>
                <w:szCs w:val="19"/>
              </w:rPr>
              <w:t>F14</w:t>
            </w:r>
            <w:r>
              <w:rPr>
                <w:szCs w:val="19"/>
              </w:rPr>
              <w:fldChar w:fldCharType="end"/>
            </w:r>
            <w:r>
              <w:rPr>
                <w:szCs w:val="19"/>
              </w:rPr>
              <w:t xml:space="preserve">, </w:t>
            </w:r>
            <w:r w:rsidRPr="001740A2">
              <w:rPr>
                <w:szCs w:val="19"/>
              </w:rPr>
              <w:t>data are reasonably available</w:t>
            </w:r>
            <w:r>
              <w:rPr>
                <w:szCs w:val="19"/>
              </w:rPr>
              <w:t xml:space="preserve"> for the site preparation costs and costs of constructing the airstrip; and</w:t>
            </w:r>
          </w:p>
          <w:p w14:paraId="24EDA5D6" w14:textId="1D6E42EE" w:rsidR="0092264F" w:rsidRDefault="0092264F" w:rsidP="002C5A98">
            <w:pPr>
              <w:pStyle w:val="NumPlain2"/>
              <w:numPr>
                <w:ilvl w:val="1"/>
                <w:numId w:val="31"/>
              </w:numPr>
              <w:tabs>
                <w:tab w:val="clear" w:pos="1021"/>
                <w:tab w:val="num" w:pos="937"/>
              </w:tabs>
              <w:spacing w:after="120"/>
              <w:ind w:left="782" w:hanging="782"/>
              <w:rPr>
                <w:szCs w:val="19"/>
              </w:rPr>
            </w:pPr>
            <w:r>
              <w:rPr>
                <w:szCs w:val="19"/>
              </w:rPr>
              <w:t xml:space="preserve">any </w:t>
            </w:r>
            <w:r w:rsidRPr="00AA36B5">
              <w:rPr>
                <w:szCs w:val="19"/>
              </w:rPr>
              <w:t>profit margin on the entity’s own site preparation costs that would be demanded by external contractors and would increase the amount that not-for-profit public sector market participant buyers would be prepared to pay for the subject asset (as reflected in the asset’s current replacement cost) is ignored</w:t>
            </w:r>
            <w:r w:rsidRPr="00D20F89">
              <w:rPr>
                <w:szCs w:val="19"/>
              </w:rPr>
              <w:t>.</w:t>
            </w:r>
          </w:p>
        </w:tc>
      </w:tr>
      <w:tr w:rsidR="00E731B4" w14:paraId="44097BDD" w14:textId="77777777" w:rsidTr="005C007B">
        <w:tc>
          <w:tcPr>
            <w:tcW w:w="8279" w:type="dxa"/>
            <w:tcBorders>
              <w:top w:val="nil"/>
              <w:bottom w:val="nil"/>
            </w:tcBorders>
          </w:tcPr>
          <w:p w14:paraId="15AD8C17" w14:textId="7B6AD293" w:rsidR="00E731B4" w:rsidRPr="00005F90" w:rsidRDefault="00E731B4" w:rsidP="00E731B4">
            <w:pPr>
              <w:pStyle w:val="NumIEPlain1"/>
              <w:widowControl w:val="0"/>
              <w:numPr>
                <w:ilvl w:val="0"/>
                <w:numId w:val="0"/>
              </w:numPr>
              <w:spacing w:before="60"/>
              <w:rPr>
                <w:rStyle w:val="normaltextrun"/>
                <w:szCs w:val="19"/>
                <w:shd w:val="clear" w:color="auto" w:fill="FFFFFF"/>
              </w:rPr>
            </w:pPr>
            <w:r w:rsidRPr="00005F90">
              <w:rPr>
                <w:szCs w:val="19"/>
              </w:rPr>
              <w:t xml:space="preserve">The </w:t>
            </w:r>
            <w:r>
              <w:rPr>
                <w:szCs w:val="19"/>
              </w:rPr>
              <w:t>site preparation costs</w:t>
            </w:r>
            <w:r w:rsidRPr="00005F90">
              <w:rPr>
                <w:szCs w:val="19"/>
              </w:rPr>
              <w:t xml:space="preserve"> determined in accordance with paragraph </w:t>
            </w:r>
            <w:r>
              <w:rPr>
                <w:szCs w:val="19"/>
              </w:rPr>
              <w:fldChar w:fldCharType="begin"/>
            </w:r>
            <w:r>
              <w:rPr>
                <w:szCs w:val="19"/>
              </w:rPr>
              <w:instrText xml:space="preserve"> REF _Ref90288055 \r \h </w:instrText>
            </w:r>
            <w:r>
              <w:rPr>
                <w:szCs w:val="19"/>
              </w:rPr>
            </w:r>
            <w:r>
              <w:rPr>
                <w:szCs w:val="19"/>
              </w:rPr>
              <w:fldChar w:fldCharType="separate"/>
            </w:r>
            <w:r w:rsidR="005A1B65">
              <w:rPr>
                <w:szCs w:val="19"/>
              </w:rPr>
              <w:t>F12</w:t>
            </w:r>
            <w:r>
              <w:rPr>
                <w:szCs w:val="19"/>
              </w:rPr>
              <w:fldChar w:fldCharType="end"/>
            </w:r>
            <w:r w:rsidRPr="00005F90">
              <w:rPr>
                <w:szCs w:val="19"/>
              </w:rPr>
              <w:t xml:space="preserve">(c) are </w:t>
            </w:r>
            <w:r>
              <w:rPr>
                <w:szCs w:val="19"/>
              </w:rPr>
              <w:t>analysed</w:t>
            </w:r>
            <w:r w:rsidRPr="00005F90">
              <w:rPr>
                <w:szCs w:val="19"/>
              </w:rPr>
              <w:t xml:space="preserve"> for the</w:t>
            </w:r>
            <w:r>
              <w:rPr>
                <w:szCs w:val="19"/>
              </w:rPr>
              <w:t xml:space="preserve"> following assumed facts for the Health Department of each jurisdiction</w:t>
            </w:r>
            <w:r w:rsidRPr="00005F90">
              <w:rPr>
                <w:szCs w:val="19"/>
              </w:rPr>
              <w:t>:</w:t>
            </w:r>
          </w:p>
          <w:p w14:paraId="3DE400EF" w14:textId="3E5F595D" w:rsidR="00E731B4" w:rsidRDefault="00E731B4" w:rsidP="002C5A98">
            <w:pPr>
              <w:pStyle w:val="NumPlain2"/>
              <w:numPr>
                <w:ilvl w:val="0"/>
                <w:numId w:val="0"/>
              </w:numPr>
              <w:spacing w:after="120"/>
            </w:pPr>
            <w:r>
              <w:rPr>
                <w:i/>
                <w:iCs/>
              </w:rPr>
              <w:t xml:space="preserve">Jurisdiction </w:t>
            </w:r>
            <w:r w:rsidRPr="0000586D">
              <w:rPr>
                <w:i/>
                <w:iCs/>
              </w:rPr>
              <w:t>A</w:t>
            </w:r>
          </w:p>
          <w:p w14:paraId="6F049B9A" w14:textId="77777777" w:rsidR="00E731B4" w:rsidRPr="00005F90" w:rsidRDefault="00E731B4" w:rsidP="002C5A98">
            <w:pPr>
              <w:pStyle w:val="NumPlain2"/>
              <w:numPr>
                <w:ilvl w:val="0"/>
                <w:numId w:val="0"/>
              </w:numPr>
              <w:spacing w:after="120"/>
            </w:pPr>
            <w:r>
              <w:t xml:space="preserve">The transferred land (airstrip site) was undulating, and the Health Department incurred a cost of $3,000,000 to level the site. Available land in the proximity of the airstrip site was also undulating. </w:t>
            </w:r>
          </w:p>
          <w:p w14:paraId="1ED2476D" w14:textId="628BCF59" w:rsidR="00E731B4" w:rsidRDefault="00E731B4" w:rsidP="002C5A98">
            <w:pPr>
              <w:pStyle w:val="NumPlain2"/>
              <w:numPr>
                <w:ilvl w:val="0"/>
                <w:numId w:val="0"/>
              </w:numPr>
              <w:spacing w:after="120"/>
            </w:pPr>
            <w:r>
              <w:rPr>
                <w:i/>
                <w:iCs/>
              </w:rPr>
              <w:t>Jurisdiction</w:t>
            </w:r>
            <w:r w:rsidRPr="0000586D">
              <w:rPr>
                <w:i/>
                <w:iCs/>
              </w:rPr>
              <w:t xml:space="preserve"> B</w:t>
            </w:r>
          </w:p>
          <w:p w14:paraId="040AEA68" w14:textId="77777777" w:rsidR="00E731B4" w:rsidRDefault="00E731B4" w:rsidP="002C5A98">
            <w:pPr>
              <w:pStyle w:val="NumPlain2"/>
              <w:numPr>
                <w:ilvl w:val="0"/>
                <w:numId w:val="0"/>
              </w:numPr>
              <w:spacing w:after="120"/>
            </w:pPr>
            <w:r>
              <w:t>The airstrip site was undulating, and the Health Department incurred a cost of $3,000,000 to level the site. Available land in the proximity of the airstrip site was level. The Health Department would not have chosen a parcel of undulating land, but the land was transferred to it.</w:t>
            </w:r>
          </w:p>
          <w:p w14:paraId="31CF4809" w14:textId="44644FB3" w:rsidR="00E731B4" w:rsidRDefault="00E731B4" w:rsidP="002C5A98">
            <w:pPr>
              <w:pStyle w:val="NumPlain2"/>
              <w:numPr>
                <w:ilvl w:val="0"/>
                <w:numId w:val="0"/>
              </w:numPr>
              <w:spacing w:after="120"/>
              <w:rPr>
                <w:szCs w:val="19"/>
              </w:rPr>
            </w:pPr>
            <w:r>
              <w:rPr>
                <w:i/>
                <w:iCs/>
              </w:rPr>
              <w:t>Jurisdiction</w:t>
            </w:r>
            <w:r w:rsidRPr="0000586D">
              <w:rPr>
                <w:i/>
                <w:iCs/>
                <w:szCs w:val="19"/>
              </w:rPr>
              <w:t xml:space="preserve"> C</w:t>
            </w:r>
          </w:p>
          <w:p w14:paraId="1B8E7ACB" w14:textId="4AACF840" w:rsidR="00E731B4" w:rsidRPr="00005F90" w:rsidRDefault="00E731B4" w:rsidP="00E731B4">
            <w:pPr>
              <w:pStyle w:val="NumPlain2"/>
              <w:numPr>
                <w:ilvl w:val="0"/>
                <w:numId w:val="0"/>
              </w:numPr>
              <w:spacing w:after="120"/>
              <w:rPr>
                <w:szCs w:val="19"/>
              </w:rPr>
            </w:pPr>
            <w:r>
              <w:rPr>
                <w:szCs w:val="19"/>
              </w:rPr>
              <w:t>The airstrip site was level.</w:t>
            </w:r>
            <w:r w:rsidRPr="00005F90">
              <w:rPr>
                <w:szCs w:val="19"/>
              </w:rPr>
              <w:t xml:space="preserve"> Available land in the proximity of the </w:t>
            </w:r>
            <w:r>
              <w:rPr>
                <w:szCs w:val="19"/>
              </w:rPr>
              <w:t xml:space="preserve">airstrip site </w:t>
            </w:r>
            <w:r w:rsidRPr="00005F90">
              <w:rPr>
                <w:szCs w:val="19"/>
              </w:rPr>
              <w:t>was</w:t>
            </w:r>
            <w:r>
              <w:rPr>
                <w:szCs w:val="19"/>
              </w:rPr>
              <w:t xml:space="preserve"> undulating.</w:t>
            </w:r>
          </w:p>
        </w:tc>
      </w:tr>
      <w:tr w:rsidR="00E828E2" w14:paraId="0CF43BD1" w14:textId="77777777" w:rsidTr="00E731B4">
        <w:tc>
          <w:tcPr>
            <w:tcW w:w="8279" w:type="dxa"/>
            <w:tcBorders>
              <w:top w:val="nil"/>
              <w:bottom w:val="nil"/>
            </w:tcBorders>
          </w:tcPr>
          <w:p w14:paraId="56BDED1E" w14:textId="77777777" w:rsidR="009B59B5" w:rsidRPr="009C72DE" w:rsidRDefault="009B59B5" w:rsidP="009B59B5">
            <w:pPr>
              <w:pStyle w:val="NumIEPlain1"/>
              <w:widowControl w:val="0"/>
              <w:numPr>
                <w:ilvl w:val="0"/>
                <w:numId w:val="0"/>
              </w:numPr>
              <w:spacing w:before="60"/>
              <w:rPr>
                <w:b/>
                <w:bCs/>
                <w:szCs w:val="19"/>
              </w:rPr>
            </w:pPr>
            <w:r>
              <w:rPr>
                <w:b/>
                <w:bCs/>
                <w:szCs w:val="19"/>
                <w:u w:val="single"/>
              </w:rPr>
              <w:t>Site preparation</w:t>
            </w:r>
            <w:r w:rsidRPr="009C72DE">
              <w:rPr>
                <w:b/>
                <w:bCs/>
                <w:szCs w:val="19"/>
                <w:u w:val="single"/>
              </w:rPr>
              <w:t xml:space="preserve"> cost </w:t>
            </w:r>
            <w:r>
              <w:rPr>
                <w:b/>
                <w:bCs/>
                <w:szCs w:val="19"/>
                <w:u w:val="single"/>
              </w:rPr>
              <w:t>assessment</w:t>
            </w:r>
            <w:r w:rsidRPr="009C72DE">
              <w:rPr>
                <w:b/>
                <w:bCs/>
                <w:szCs w:val="19"/>
                <w:u w:val="single"/>
              </w:rPr>
              <w:t>s</w:t>
            </w:r>
            <w:r>
              <w:rPr>
                <w:b/>
                <w:bCs/>
                <w:szCs w:val="19"/>
                <w:u w:val="single"/>
              </w:rPr>
              <w:t xml:space="preserve"> as at 30 June 20X1</w:t>
            </w:r>
          </w:p>
          <w:p w14:paraId="4F3E7256" w14:textId="271796EF" w:rsidR="009B59B5" w:rsidRPr="00CB4034" w:rsidRDefault="00071152" w:rsidP="009B59B5">
            <w:pPr>
              <w:pStyle w:val="NumIEPlain1"/>
              <w:widowControl w:val="0"/>
              <w:numPr>
                <w:ilvl w:val="0"/>
                <w:numId w:val="0"/>
              </w:numPr>
              <w:spacing w:before="60"/>
              <w:rPr>
                <w:rStyle w:val="normaltextrun"/>
                <w:szCs w:val="19"/>
                <w:shd w:val="clear" w:color="auto" w:fill="FFFFFF"/>
              </w:rPr>
            </w:pPr>
            <w:r>
              <w:rPr>
                <w:i/>
                <w:iCs/>
              </w:rPr>
              <w:t>Jurisdiction</w:t>
            </w:r>
            <w:r w:rsidR="00E731B4">
              <w:rPr>
                <w:i/>
                <w:iCs/>
              </w:rPr>
              <w:t xml:space="preserve"> </w:t>
            </w:r>
            <w:r w:rsidR="009B59B5" w:rsidRPr="00C17641">
              <w:rPr>
                <w:i/>
                <w:iCs/>
                <w:szCs w:val="19"/>
              </w:rPr>
              <w:t>A</w:t>
            </w:r>
          </w:p>
          <w:p w14:paraId="29B5304D" w14:textId="4745A238" w:rsidR="009B59B5" w:rsidRPr="00005F90" w:rsidRDefault="4E49FA24" w:rsidP="603B2CFD">
            <w:pPr>
              <w:pStyle w:val="NumIEPlain1"/>
              <w:widowControl w:val="0"/>
              <w:numPr>
                <w:ilvl w:val="0"/>
                <w:numId w:val="0"/>
              </w:numPr>
              <w:spacing w:before="60"/>
              <w:rPr>
                <w:rStyle w:val="normaltextrun"/>
                <w:shd w:val="clear" w:color="auto" w:fill="FFFFFF"/>
              </w:rPr>
            </w:pPr>
            <w:r>
              <w:t>It</w:t>
            </w:r>
            <w:r w:rsidRPr="603B2CFD">
              <w:rPr>
                <w:rStyle w:val="normaltextrun"/>
                <w:shd w:val="clear" w:color="auto" w:fill="FFFFFF"/>
              </w:rPr>
              <w:t xml:space="preserve"> would be expected that another market participant buyer would need to incur </w:t>
            </w:r>
            <w:r w:rsidR="00BD0E7E">
              <w:rPr>
                <w:rStyle w:val="normaltextrun"/>
                <w:shd w:val="clear" w:color="auto" w:fill="FFFFFF"/>
              </w:rPr>
              <w:t xml:space="preserve">a cost of </w:t>
            </w:r>
            <w:r w:rsidR="00EF4E3C">
              <w:t xml:space="preserve">$3,000,000 </w:t>
            </w:r>
            <w:r w:rsidRPr="603B2CFD">
              <w:rPr>
                <w:rStyle w:val="normaltextrun"/>
                <w:shd w:val="clear" w:color="auto" w:fill="FFFFFF"/>
              </w:rPr>
              <w:t>to l</w:t>
            </w:r>
            <w:r>
              <w:rPr>
                <w:rStyle w:val="normaltextrun"/>
                <w:shd w:val="clear" w:color="auto" w:fill="FFFFFF"/>
              </w:rPr>
              <w:t xml:space="preserve">evel </w:t>
            </w:r>
            <w:r w:rsidRPr="603B2CFD">
              <w:rPr>
                <w:rStyle w:val="normaltextrun"/>
                <w:shd w:val="clear" w:color="auto" w:fill="FFFFFF"/>
              </w:rPr>
              <w:t xml:space="preserve">the </w:t>
            </w:r>
            <w:r w:rsidR="2C30FC5C" w:rsidRPr="603B2CFD">
              <w:rPr>
                <w:rStyle w:val="normaltextrun"/>
                <w:shd w:val="clear" w:color="auto" w:fill="FFFFFF"/>
              </w:rPr>
              <w:t>r</w:t>
            </w:r>
            <w:r w:rsidR="2C30FC5C">
              <w:rPr>
                <w:rStyle w:val="normaltextrun"/>
                <w:shd w:val="clear" w:color="auto" w:fill="FFFFFF"/>
              </w:rPr>
              <w:t xml:space="preserve">eference parcel of land </w:t>
            </w:r>
            <w:r w:rsidRPr="603B2CFD">
              <w:rPr>
                <w:rStyle w:val="normaltextrun"/>
                <w:shd w:val="clear" w:color="auto" w:fill="FFFFFF"/>
              </w:rPr>
              <w:t xml:space="preserve">to be a fit-for-purpose site for the modern equivalent airstrip, since the only available land in the proximity is also undulating. </w:t>
            </w:r>
            <w:r w:rsidR="4827CDE2" w:rsidRPr="603B2CFD">
              <w:rPr>
                <w:rStyle w:val="normaltextrun"/>
                <w:shd w:val="clear" w:color="auto" w:fill="FFFFFF"/>
              </w:rPr>
              <w:t>U</w:t>
            </w:r>
            <w:r w:rsidR="4827CDE2">
              <w:rPr>
                <w:rStyle w:val="normaltextrun"/>
                <w:shd w:val="clear" w:color="auto" w:fill="FFFFFF"/>
              </w:rPr>
              <w:t xml:space="preserve">sing the cost approach, </w:t>
            </w:r>
            <w:r w:rsidR="00BD0E7E">
              <w:t xml:space="preserve">the Health Department in Jurisdiction A </w:t>
            </w:r>
            <w:r w:rsidRPr="603B2CFD">
              <w:t>measures</w:t>
            </w:r>
            <w:r w:rsidRPr="00500790">
              <w:t xml:space="preserve"> the </w:t>
            </w:r>
            <w:r w:rsidR="150B8FE8">
              <w:t>replacement cost of</w:t>
            </w:r>
            <w:r w:rsidR="752B67EF">
              <w:t xml:space="preserve"> a reference</w:t>
            </w:r>
            <w:r w:rsidRPr="00005F90">
              <w:rPr>
                <w:szCs w:val="19"/>
              </w:rPr>
              <w:t xml:space="preserve"> </w:t>
            </w:r>
            <w:r w:rsidRPr="603B2CFD">
              <w:t>airstrip as at 30</w:t>
            </w:r>
            <w:r w:rsidR="00E731B4">
              <w:t xml:space="preserve"> </w:t>
            </w:r>
            <w:r w:rsidRPr="603B2CFD">
              <w:t xml:space="preserve">June 20X1 as </w:t>
            </w:r>
            <w:r w:rsidR="00E9514D">
              <w:rPr>
                <w:szCs w:val="19"/>
              </w:rPr>
              <w:t xml:space="preserve">$4,500,000 </w:t>
            </w:r>
            <w:r w:rsidR="77E27642">
              <w:rPr>
                <w:szCs w:val="19"/>
              </w:rPr>
              <w:t>(</w:t>
            </w:r>
            <w:r w:rsidR="00E9514D">
              <w:t xml:space="preserve">$3,000,000 </w:t>
            </w:r>
            <w:r w:rsidR="66DF5610" w:rsidRPr="603B2CFD">
              <w:t xml:space="preserve">site levelling cost and </w:t>
            </w:r>
            <w:r w:rsidR="0069130B">
              <w:t xml:space="preserve">$1,500,000 </w:t>
            </w:r>
            <w:r w:rsidR="66DF5610" w:rsidRPr="603B2CFD">
              <w:t xml:space="preserve">other </w:t>
            </w:r>
            <w:r w:rsidR="77E27642" w:rsidRPr="603B2CFD">
              <w:t>construction cost)</w:t>
            </w:r>
            <w:r w:rsidRPr="00005F90">
              <w:rPr>
                <w:szCs w:val="19"/>
              </w:rPr>
              <w:t>.</w:t>
            </w:r>
          </w:p>
          <w:p w14:paraId="270AB265" w14:textId="5E7A9E03" w:rsidR="009B59B5" w:rsidRPr="00CB4034" w:rsidRDefault="00F92931" w:rsidP="009B59B5">
            <w:pPr>
              <w:pStyle w:val="NumIEPlain1"/>
              <w:widowControl w:val="0"/>
              <w:numPr>
                <w:ilvl w:val="0"/>
                <w:numId w:val="0"/>
              </w:numPr>
              <w:spacing w:before="60"/>
              <w:rPr>
                <w:rStyle w:val="normaltextrun"/>
                <w:szCs w:val="19"/>
                <w:shd w:val="clear" w:color="auto" w:fill="FFFFFF"/>
              </w:rPr>
            </w:pPr>
            <w:r>
              <w:rPr>
                <w:i/>
                <w:iCs/>
              </w:rPr>
              <w:t>Jurisdiction</w:t>
            </w:r>
            <w:r w:rsidR="00E731B4">
              <w:rPr>
                <w:i/>
                <w:iCs/>
              </w:rPr>
              <w:t xml:space="preserve"> </w:t>
            </w:r>
            <w:r w:rsidR="009B59B5" w:rsidRPr="00C17641">
              <w:rPr>
                <w:i/>
                <w:iCs/>
                <w:szCs w:val="19"/>
              </w:rPr>
              <w:t>B</w:t>
            </w:r>
          </w:p>
          <w:p w14:paraId="606A9DE9" w14:textId="700DD342" w:rsidR="009B59B5" w:rsidRPr="00500790" w:rsidRDefault="009B59B5" w:rsidP="009B59B5">
            <w:pPr>
              <w:pStyle w:val="NumIEPlain1"/>
              <w:widowControl w:val="0"/>
              <w:numPr>
                <w:ilvl w:val="0"/>
                <w:numId w:val="0"/>
              </w:numPr>
              <w:spacing w:before="60"/>
            </w:pPr>
            <w:r>
              <w:t>It would be expected that</w:t>
            </w:r>
            <w:r w:rsidRPr="00005F90">
              <w:rPr>
                <w:rStyle w:val="normaltextrun"/>
                <w:szCs w:val="19"/>
                <w:shd w:val="clear" w:color="auto" w:fill="FFFFFF"/>
              </w:rPr>
              <w:t xml:space="preserve"> another market participant buyer could hypothetically purchase</w:t>
            </w:r>
            <w:r>
              <w:rPr>
                <w:rStyle w:val="normaltextrun"/>
                <w:szCs w:val="19"/>
                <w:shd w:val="clear" w:color="auto" w:fill="FFFFFF"/>
              </w:rPr>
              <w:t xml:space="preserve"> a level site</w:t>
            </w:r>
            <w:r w:rsidRPr="00005F90">
              <w:rPr>
                <w:rStyle w:val="normaltextrun"/>
                <w:szCs w:val="19"/>
                <w:shd w:val="clear" w:color="auto" w:fill="FFFFFF"/>
              </w:rPr>
              <w:t xml:space="preserve">, in which case, it would not need to incur the </w:t>
            </w:r>
            <w:r w:rsidR="00705300">
              <w:t xml:space="preserve">$3,000,000 </w:t>
            </w:r>
            <w:r w:rsidR="000E502E">
              <w:rPr>
                <w:rStyle w:val="normaltextrun"/>
                <w:szCs w:val="19"/>
                <w:shd w:val="clear" w:color="auto" w:fill="FFFFFF"/>
              </w:rPr>
              <w:t xml:space="preserve">site </w:t>
            </w:r>
            <w:r>
              <w:rPr>
                <w:rStyle w:val="normaltextrun"/>
                <w:szCs w:val="19"/>
                <w:shd w:val="clear" w:color="auto" w:fill="FFFFFF"/>
              </w:rPr>
              <w:t xml:space="preserve">levelling </w:t>
            </w:r>
            <w:r w:rsidRPr="00005F90">
              <w:rPr>
                <w:rStyle w:val="normaltextrun"/>
                <w:szCs w:val="19"/>
                <w:shd w:val="clear" w:color="auto" w:fill="FFFFFF"/>
              </w:rPr>
              <w:t xml:space="preserve">cost. Using the cost approach, </w:t>
            </w:r>
            <w:r w:rsidR="00651716">
              <w:t xml:space="preserve">the Health Department in Jurisdiction B measures </w:t>
            </w:r>
            <w:r w:rsidR="009C7F13">
              <w:rPr>
                <w:rStyle w:val="normaltextrun"/>
                <w:szCs w:val="19"/>
                <w:shd w:val="clear" w:color="auto" w:fill="FFFFFF"/>
              </w:rPr>
              <w:t xml:space="preserve">the </w:t>
            </w:r>
            <w:r w:rsidR="009C7F13">
              <w:t>replacement cost of a reference</w:t>
            </w:r>
            <w:r w:rsidR="009C7F13" w:rsidRPr="00005F90">
              <w:rPr>
                <w:szCs w:val="19"/>
              </w:rPr>
              <w:t xml:space="preserve"> </w:t>
            </w:r>
            <w:r w:rsidR="009C7F13">
              <w:rPr>
                <w:szCs w:val="19"/>
              </w:rPr>
              <w:t xml:space="preserve">airstrip </w:t>
            </w:r>
            <w:r w:rsidR="00167009">
              <w:rPr>
                <w:szCs w:val="19"/>
              </w:rPr>
              <w:t xml:space="preserve">as at 30 June 20X1 </w:t>
            </w:r>
            <w:r w:rsidR="00651716">
              <w:rPr>
                <w:szCs w:val="19"/>
              </w:rPr>
              <w:t xml:space="preserve">as </w:t>
            </w:r>
            <w:r w:rsidR="00025521">
              <w:rPr>
                <w:szCs w:val="19"/>
              </w:rPr>
              <w:t>$1,500,000</w:t>
            </w:r>
            <w:r w:rsidRPr="00005F90">
              <w:rPr>
                <w:szCs w:val="19"/>
              </w:rPr>
              <w:t>.</w:t>
            </w:r>
          </w:p>
          <w:p w14:paraId="7538EFF3" w14:textId="7318861F" w:rsidR="009B59B5" w:rsidRPr="00CB4034" w:rsidRDefault="00F92931" w:rsidP="009B59B5">
            <w:pPr>
              <w:pStyle w:val="NumIEPlain1"/>
              <w:widowControl w:val="0"/>
              <w:numPr>
                <w:ilvl w:val="0"/>
                <w:numId w:val="0"/>
              </w:numPr>
              <w:spacing w:before="60"/>
              <w:rPr>
                <w:rStyle w:val="normaltextrun"/>
                <w:szCs w:val="19"/>
                <w:shd w:val="clear" w:color="auto" w:fill="FFFFFF"/>
              </w:rPr>
            </w:pPr>
            <w:r>
              <w:rPr>
                <w:i/>
                <w:iCs/>
              </w:rPr>
              <w:t>Jurisdiction</w:t>
            </w:r>
            <w:r w:rsidR="00E731B4">
              <w:rPr>
                <w:i/>
                <w:iCs/>
              </w:rPr>
              <w:t xml:space="preserve"> </w:t>
            </w:r>
            <w:r w:rsidR="009B59B5" w:rsidRPr="00C17641">
              <w:rPr>
                <w:i/>
                <w:iCs/>
                <w:szCs w:val="19"/>
              </w:rPr>
              <w:t>C</w:t>
            </w:r>
          </w:p>
          <w:p w14:paraId="245A243B" w14:textId="6473212D" w:rsidR="009B59B5" w:rsidRPr="00005F90" w:rsidRDefault="009B59B5" w:rsidP="004C270A">
            <w:pPr>
              <w:pStyle w:val="NumIEPlain1"/>
              <w:numPr>
                <w:ilvl w:val="0"/>
                <w:numId w:val="0"/>
              </w:numPr>
              <w:spacing w:before="60"/>
              <w:rPr>
                <w:rStyle w:val="normaltextrun"/>
                <w:szCs w:val="19"/>
                <w:shd w:val="clear" w:color="auto" w:fill="FFFFFF"/>
              </w:rPr>
            </w:pPr>
            <w:r>
              <w:rPr>
                <w:rStyle w:val="normaltextrun"/>
                <w:shd w:val="clear" w:color="auto" w:fill="FFFFFF"/>
              </w:rPr>
              <w:t>It</w:t>
            </w:r>
            <w:r w:rsidRPr="00500790">
              <w:rPr>
                <w:rStyle w:val="normaltextrun"/>
                <w:shd w:val="clear" w:color="auto" w:fill="FFFFFF"/>
              </w:rPr>
              <w:t xml:space="preserve"> would be </w:t>
            </w:r>
            <w:r>
              <w:rPr>
                <w:rStyle w:val="normaltextrun"/>
                <w:shd w:val="clear" w:color="auto" w:fill="FFFFFF"/>
              </w:rPr>
              <w:t>expected</w:t>
            </w:r>
            <w:r w:rsidRPr="00005F90">
              <w:rPr>
                <w:szCs w:val="19"/>
              </w:rPr>
              <w:t xml:space="preserve"> that </w:t>
            </w:r>
            <w:r>
              <w:rPr>
                <w:szCs w:val="19"/>
              </w:rPr>
              <w:t>another</w:t>
            </w:r>
            <w:r w:rsidRPr="00005F90">
              <w:rPr>
                <w:szCs w:val="19"/>
              </w:rPr>
              <w:t xml:space="preserve"> market participant buyer, being unable to acquire </w:t>
            </w:r>
            <w:r>
              <w:rPr>
                <w:szCs w:val="19"/>
              </w:rPr>
              <w:t>a level site (to hypothetically construct a modern equivalent airstrip)</w:t>
            </w:r>
            <w:r w:rsidRPr="00005F90">
              <w:rPr>
                <w:szCs w:val="19"/>
              </w:rPr>
              <w:t xml:space="preserve"> as an alternative to acquiring </w:t>
            </w:r>
            <w:r w:rsidR="005461F8">
              <w:rPr>
                <w:szCs w:val="19"/>
              </w:rPr>
              <w:t xml:space="preserve">the Health Department’s </w:t>
            </w:r>
            <w:r>
              <w:rPr>
                <w:szCs w:val="19"/>
              </w:rPr>
              <w:t>airstrip</w:t>
            </w:r>
            <w:r w:rsidRPr="00005F90">
              <w:rPr>
                <w:szCs w:val="19"/>
              </w:rPr>
              <w:t xml:space="preserve">, would be prepared to pay for the cost of </w:t>
            </w:r>
            <w:r w:rsidR="008F5044">
              <w:rPr>
                <w:szCs w:val="19"/>
              </w:rPr>
              <w:t xml:space="preserve">site </w:t>
            </w:r>
            <w:r>
              <w:rPr>
                <w:szCs w:val="19"/>
              </w:rPr>
              <w:t xml:space="preserve">levelling </w:t>
            </w:r>
            <w:r w:rsidRPr="00005F90">
              <w:rPr>
                <w:szCs w:val="19"/>
              </w:rPr>
              <w:t>when pricing the</w:t>
            </w:r>
            <w:r>
              <w:rPr>
                <w:szCs w:val="19"/>
              </w:rPr>
              <w:t xml:space="preserve"> airstrip</w:t>
            </w:r>
            <w:r w:rsidRPr="00005F90">
              <w:rPr>
                <w:szCs w:val="19"/>
              </w:rPr>
              <w:t xml:space="preserve">. </w:t>
            </w:r>
            <w:r w:rsidR="005461F8">
              <w:rPr>
                <w:szCs w:val="19"/>
              </w:rPr>
              <w:t xml:space="preserve">The Health </w:t>
            </w:r>
            <w:r w:rsidRPr="00005F90">
              <w:rPr>
                <w:szCs w:val="19"/>
              </w:rPr>
              <w:t xml:space="preserve">Department </w:t>
            </w:r>
            <w:r w:rsidR="005461F8">
              <w:rPr>
                <w:szCs w:val="19"/>
              </w:rPr>
              <w:t xml:space="preserve">in Jurisdiction C </w:t>
            </w:r>
            <w:r w:rsidRPr="00005F90">
              <w:rPr>
                <w:szCs w:val="19"/>
              </w:rPr>
              <w:t xml:space="preserve">measures the </w:t>
            </w:r>
            <w:r w:rsidR="001D0BC5">
              <w:t>replacement cost of a reference</w:t>
            </w:r>
            <w:r w:rsidR="001D0BC5" w:rsidRPr="00005F90">
              <w:rPr>
                <w:szCs w:val="19"/>
              </w:rPr>
              <w:t xml:space="preserve"> </w:t>
            </w:r>
            <w:r w:rsidR="001D0BC5">
              <w:rPr>
                <w:szCs w:val="19"/>
              </w:rPr>
              <w:t xml:space="preserve">airstrip </w:t>
            </w:r>
            <w:r w:rsidRPr="00005F90">
              <w:rPr>
                <w:szCs w:val="19"/>
              </w:rPr>
              <w:t>as at 30</w:t>
            </w:r>
            <w:r w:rsidR="00E731B4">
              <w:rPr>
                <w:szCs w:val="19"/>
              </w:rPr>
              <w:t xml:space="preserve"> </w:t>
            </w:r>
            <w:r w:rsidRPr="00005F90">
              <w:rPr>
                <w:szCs w:val="19"/>
              </w:rPr>
              <w:t xml:space="preserve">June </w:t>
            </w:r>
            <w:r w:rsidRPr="00005F90">
              <w:rPr>
                <w:szCs w:val="19"/>
              </w:rPr>
              <w:lastRenderedPageBreak/>
              <w:t xml:space="preserve">20X1 as </w:t>
            </w:r>
            <w:r w:rsidR="00F94764">
              <w:rPr>
                <w:szCs w:val="19"/>
              </w:rPr>
              <w:t xml:space="preserve">$4,500,000 </w:t>
            </w:r>
            <w:r>
              <w:rPr>
                <w:szCs w:val="19"/>
              </w:rPr>
              <w:t>(</w:t>
            </w:r>
            <w:r w:rsidR="00F94764">
              <w:t xml:space="preserve">$3,000,000 </w:t>
            </w:r>
            <w:r w:rsidR="004B2C1E">
              <w:rPr>
                <w:szCs w:val="19"/>
              </w:rPr>
              <w:t xml:space="preserve">site levelling cost and </w:t>
            </w:r>
            <w:r w:rsidR="00F94764">
              <w:t xml:space="preserve">$1,500,000 </w:t>
            </w:r>
            <w:r w:rsidR="004B2C1E">
              <w:rPr>
                <w:szCs w:val="19"/>
              </w:rPr>
              <w:t xml:space="preserve">other </w:t>
            </w:r>
            <w:r>
              <w:rPr>
                <w:szCs w:val="19"/>
              </w:rPr>
              <w:t xml:space="preserve">construction cost), despite the fact that it did not actually incur any </w:t>
            </w:r>
            <w:r w:rsidR="008F5044">
              <w:rPr>
                <w:szCs w:val="19"/>
              </w:rPr>
              <w:t xml:space="preserve">site </w:t>
            </w:r>
            <w:r>
              <w:rPr>
                <w:szCs w:val="19"/>
              </w:rPr>
              <w:t>levelling costs when the airstrip was constructed</w:t>
            </w:r>
            <w:r w:rsidRPr="00005F90">
              <w:rPr>
                <w:szCs w:val="19"/>
              </w:rPr>
              <w:t>.</w:t>
            </w:r>
          </w:p>
          <w:p w14:paraId="470E5C35" w14:textId="3D0B99A1" w:rsidR="002E0267" w:rsidRPr="005C007B" w:rsidRDefault="009B59B5" w:rsidP="004B4F44">
            <w:pPr>
              <w:pStyle w:val="NumIEPlain1"/>
              <w:widowControl w:val="0"/>
              <w:numPr>
                <w:ilvl w:val="0"/>
                <w:numId w:val="0"/>
              </w:numPr>
              <w:spacing w:before="60"/>
              <w:rPr>
                <w:szCs w:val="19"/>
              </w:rPr>
            </w:pPr>
            <w:r>
              <w:rPr>
                <w:szCs w:val="19"/>
              </w:rPr>
              <w:t>Including t</w:t>
            </w:r>
            <w:r w:rsidRPr="00005F90">
              <w:rPr>
                <w:szCs w:val="19"/>
              </w:rPr>
              <w:t>h</w:t>
            </w:r>
            <w:r>
              <w:rPr>
                <w:szCs w:val="19"/>
              </w:rPr>
              <w:t>e</w:t>
            </w:r>
            <w:r w:rsidRPr="00005F90">
              <w:rPr>
                <w:szCs w:val="19"/>
              </w:rPr>
              <w:t xml:space="preserve"> </w:t>
            </w:r>
            <w:r w:rsidR="004C7EDB">
              <w:t xml:space="preserve">$3,000,000 </w:t>
            </w:r>
            <w:r w:rsidR="008676DC">
              <w:rPr>
                <w:szCs w:val="19"/>
              </w:rPr>
              <w:t xml:space="preserve">site </w:t>
            </w:r>
            <w:r>
              <w:rPr>
                <w:szCs w:val="19"/>
              </w:rPr>
              <w:t>levelling cost in the fair value measurement of the airstrip represents</w:t>
            </w:r>
            <w:r w:rsidRPr="00005F90">
              <w:rPr>
                <w:szCs w:val="19"/>
              </w:rPr>
              <w:t xml:space="preserve"> </w:t>
            </w:r>
            <w:r>
              <w:rPr>
                <w:szCs w:val="19"/>
              </w:rPr>
              <w:t xml:space="preserve">the advantage for </w:t>
            </w:r>
            <w:r w:rsidRPr="007747DD">
              <w:rPr>
                <w:szCs w:val="19"/>
              </w:rPr>
              <w:t xml:space="preserve">a market participant buyer </w:t>
            </w:r>
            <w:r>
              <w:rPr>
                <w:szCs w:val="19"/>
              </w:rPr>
              <w:t xml:space="preserve">to </w:t>
            </w:r>
            <w:r w:rsidRPr="007747DD">
              <w:rPr>
                <w:szCs w:val="19"/>
              </w:rPr>
              <w:t xml:space="preserve">possess </w:t>
            </w:r>
            <w:r w:rsidR="005461F8">
              <w:rPr>
                <w:szCs w:val="19"/>
              </w:rPr>
              <w:t xml:space="preserve">the Health Department’s </w:t>
            </w:r>
            <w:r>
              <w:rPr>
                <w:szCs w:val="19"/>
              </w:rPr>
              <w:t xml:space="preserve">airstrip (ie would be considered by a market participant buyer when pricing the airstrip). The advantage to a market participant buyer of possessing </w:t>
            </w:r>
            <w:r w:rsidR="005461F8">
              <w:rPr>
                <w:szCs w:val="19"/>
              </w:rPr>
              <w:t xml:space="preserve">the Health Department’s </w:t>
            </w:r>
            <w:r>
              <w:rPr>
                <w:szCs w:val="19"/>
              </w:rPr>
              <w:t xml:space="preserve">airstrip would include that the buyer would avoid the need to incur </w:t>
            </w:r>
            <w:r w:rsidR="008676DC">
              <w:rPr>
                <w:szCs w:val="19"/>
              </w:rPr>
              <w:t xml:space="preserve">site </w:t>
            </w:r>
            <w:r>
              <w:rPr>
                <w:szCs w:val="19"/>
              </w:rPr>
              <w:t xml:space="preserve">levelling costs to prepare an undulating parcel of land for </w:t>
            </w:r>
            <w:r w:rsidR="00314C3F">
              <w:rPr>
                <w:szCs w:val="19"/>
              </w:rPr>
              <w:t xml:space="preserve">the </w:t>
            </w:r>
            <w:r>
              <w:rPr>
                <w:szCs w:val="19"/>
              </w:rPr>
              <w:t>construction of a reference airstrip.</w:t>
            </w:r>
          </w:p>
        </w:tc>
      </w:tr>
      <w:tr w:rsidR="005C007B" w14:paraId="6C2E351F" w14:textId="77777777" w:rsidTr="005C007B">
        <w:tc>
          <w:tcPr>
            <w:tcW w:w="8279" w:type="dxa"/>
            <w:tcBorders>
              <w:top w:val="nil"/>
              <w:bottom w:val="single" w:sz="4" w:space="0" w:color="auto"/>
            </w:tcBorders>
          </w:tcPr>
          <w:p w14:paraId="4E92AE1C" w14:textId="1A7D5F3F" w:rsidR="005C007B" w:rsidRPr="00005F90" w:rsidRDefault="005C007B" w:rsidP="009B59B5">
            <w:pPr>
              <w:pStyle w:val="NumIEPlain1"/>
              <w:widowControl w:val="0"/>
              <w:numPr>
                <w:ilvl w:val="0"/>
                <w:numId w:val="0"/>
              </w:numPr>
              <w:spacing w:before="60"/>
              <w:rPr>
                <w:szCs w:val="19"/>
              </w:rPr>
            </w:pPr>
            <w:r w:rsidRPr="00882664">
              <w:rPr>
                <w:i/>
                <w:iCs/>
                <w:szCs w:val="19"/>
              </w:rPr>
              <w:lastRenderedPageBreak/>
              <w:t xml:space="preserve">This example assumes the value attributed by market participants to the site levelling is included in the estimated current replacement cost of the airstrip. That simplifying assumption would not necessarily be appropriate in </w:t>
            </w:r>
            <w:r>
              <w:rPr>
                <w:i/>
                <w:iCs/>
                <w:szCs w:val="19"/>
              </w:rPr>
              <w:t>all situations</w:t>
            </w:r>
            <w:r w:rsidRPr="00882664">
              <w:rPr>
                <w:i/>
                <w:iCs/>
                <w:szCs w:val="19"/>
              </w:rPr>
              <w:t xml:space="preserve">. For example, a particular entity with circumstances similar to </w:t>
            </w:r>
            <w:r>
              <w:rPr>
                <w:i/>
                <w:iCs/>
                <w:szCs w:val="19"/>
              </w:rPr>
              <w:t xml:space="preserve">those of the Health Department in Jurisdiction B </w:t>
            </w:r>
            <w:r w:rsidRPr="00882664">
              <w:rPr>
                <w:i/>
                <w:iCs/>
                <w:szCs w:val="19"/>
              </w:rPr>
              <w:t xml:space="preserve">might value the land under the airstrip using the market approach and the valuations before and after that site levelling might indicate that the site levelling increased the fair value of that parcel of land. Where </w:t>
            </w:r>
            <w:r>
              <w:rPr>
                <w:i/>
                <w:iCs/>
                <w:szCs w:val="19"/>
              </w:rPr>
              <w:t xml:space="preserve">the fair value of </w:t>
            </w:r>
            <w:r w:rsidRPr="00882664">
              <w:rPr>
                <w:i/>
                <w:iCs/>
                <w:szCs w:val="19"/>
              </w:rPr>
              <w:t>land incorporates the value attributed by market participants to site improvements, the cost of those improvements would, in accordance with paragraph</w:t>
            </w:r>
            <w:r w:rsidR="00E731B4">
              <w:rPr>
                <w:i/>
                <w:iCs/>
                <w:szCs w:val="19"/>
              </w:rPr>
              <w:t xml:space="preserve"> </w:t>
            </w:r>
            <w:r w:rsidRPr="00882664">
              <w:rPr>
                <w:i/>
                <w:iCs/>
                <w:szCs w:val="19"/>
              </w:rPr>
              <w:fldChar w:fldCharType="begin"/>
            </w:r>
            <w:r w:rsidRPr="00882664">
              <w:rPr>
                <w:i/>
                <w:iCs/>
                <w:szCs w:val="19"/>
              </w:rPr>
              <w:instrText xml:space="preserve"> REF _Ref90288055 \r \h </w:instrText>
            </w:r>
            <w:r>
              <w:rPr>
                <w:i/>
                <w:iCs/>
                <w:szCs w:val="19"/>
              </w:rPr>
              <w:instrText xml:space="preserve"> \* MERGEFORMAT </w:instrText>
            </w:r>
            <w:r w:rsidRPr="00882664">
              <w:rPr>
                <w:i/>
                <w:iCs/>
                <w:szCs w:val="19"/>
              </w:rPr>
            </w:r>
            <w:r w:rsidRPr="00882664">
              <w:rPr>
                <w:i/>
                <w:iCs/>
                <w:szCs w:val="19"/>
              </w:rPr>
              <w:fldChar w:fldCharType="separate"/>
            </w:r>
            <w:r w:rsidR="005A1B65">
              <w:rPr>
                <w:i/>
                <w:iCs/>
                <w:szCs w:val="19"/>
              </w:rPr>
              <w:t>F12</w:t>
            </w:r>
            <w:r w:rsidRPr="00882664">
              <w:rPr>
                <w:i/>
                <w:iCs/>
                <w:szCs w:val="19"/>
              </w:rPr>
              <w:fldChar w:fldCharType="end"/>
            </w:r>
            <w:r w:rsidRPr="00882664">
              <w:rPr>
                <w:i/>
                <w:iCs/>
                <w:szCs w:val="19"/>
              </w:rPr>
              <w:t>(c), be excluded from the current replacement cost of improvements measured using the cost approach.</w:t>
            </w:r>
          </w:p>
        </w:tc>
      </w:tr>
    </w:tbl>
    <w:p w14:paraId="499C698F" w14:textId="77777777" w:rsidR="00FA48EB" w:rsidRPr="0092264F" w:rsidRDefault="00FA48EB" w:rsidP="00FA48EB">
      <w:pPr>
        <w:pStyle w:val="NumBPlain1"/>
        <w:spacing w:after="100"/>
        <w:ind w:left="782"/>
        <w:rPr>
          <w:rFonts w:ascii="Arial" w:hAnsi="Arial" w:cs="Arial"/>
          <w:bCs/>
          <w:sz w:val="22"/>
          <w:szCs w:val="22"/>
        </w:rPr>
      </w:pPr>
    </w:p>
    <w:p w14:paraId="63368C7A" w14:textId="4287C4D3" w:rsidR="00A93FCA" w:rsidRPr="00B67DA5" w:rsidRDefault="00A93FCA" w:rsidP="00A93FCA">
      <w:pPr>
        <w:pStyle w:val="BoldNumHang1"/>
        <w:keepNext/>
        <w:keepLines/>
        <w:spacing w:after="100"/>
        <w:ind w:left="993" w:hanging="211"/>
        <w:rPr>
          <w:rFonts w:ascii="Arial" w:hAnsi="Arial" w:cs="Arial"/>
          <w:sz w:val="22"/>
          <w:szCs w:val="22"/>
        </w:rPr>
      </w:pPr>
      <w:r>
        <w:rPr>
          <w:rFonts w:ascii="Arial" w:hAnsi="Arial" w:cs="Arial"/>
          <w:sz w:val="22"/>
          <w:szCs w:val="22"/>
        </w:rPr>
        <w:t>Economic obsolescence</w:t>
      </w:r>
      <w:r w:rsidR="00334014">
        <w:rPr>
          <w:rFonts w:ascii="Arial" w:hAnsi="Arial" w:cs="Arial"/>
          <w:sz w:val="22"/>
          <w:szCs w:val="22"/>
        </w:rPr>
        <w:t xml:space="preserve"> (paragraphs </w:t>
      </w:r>
      <w:r w:rsidR="00334014">
        <w:rPr>
          <w:rFonts w:ascii="Arial" w:hAnsi="Arial" w:cs="Arial"/>
          <w:sz w:val="22"/>
          <w:szCs w:val="22"/>
        </w:rPr>
        <w:fldChar w:fldCharType="begin"/>
      </w:r>
      <w:r w:rsidR="00334014">
        <w:rPr>
          <w:rFonts w:ascii="Arial" w:hAnsi="Arial" w:cs="Arial"/>
          <w:sz w:val="22"/>
          <w:szCs w:val="22"/>
        </w:rPr>
        <w:instrText xml:space="preserve"> REF _Ref113947038 \r \h </w:instrText>
      </w:r>
      <w:r w:rsidR="00334014">
        <w:rPr>
          <w:rFonts w:ascii="Arial" w:hAnsi="Arial" w:cs="Arial"/>
          <w:sz w:val="22"/>
          <w:szCs w:val="22"/>
        </w:rPr>
      </w:r>
      <w:r w:rsidR="00334014">
        <w:rPr>
          <w:rFonts w:ascii="Arial" w:hAnsi="Arial" w:cs="Arial"/>
          <w:sz w:val="22"/>
          <w:szCs w:val="22"/>
        </w:rPr>
        <w:fldChar w:fldCharType="separate"/>
      </w:r>
      <w:r w:rsidR="005A1B65">
        <w:rPr>
          <w:rFonts w:ascii="Arial" w:hAnsi="Arial" w:cs="Arial"/>
          <w:sz w:val="22"/>
          <w:szCs w:val="22"/>
        </w:rPr>
        <w:t>F16</w:t>
      </w:r>
      <w:r w:rsidR="00334014">
        <w:rPr>
          <w:rFonts w:ascii="Arial" w:hAnsi="Arial" w:cs="Arial"/>
          <w:sz w:val="22"/>
          <w:szCs w:val="22"/>
        </w:rPr>
        <w:fldChar w:fldCharType="end"/>
      </w:r>
      <w:r w:rsidR="00334014">
        <w:rPr>
          <w:rFonts w:ascii="Arial" w:hAnsi="Arial" w:cs="Arial"/>
          <w:sz w:val="22"/>
          <w:szCs w:val="22"/>
        </w:rPr>
        <w:t>–</w:t>
      </w:r>
      <w:r w:rsidR="00334014">
        <w:rPr>
          <w:rFonts w:ascii="Arial" w:hAnsi="Arial" w:cs="Arial"/>
          <w:sz w:val="22"/>
          <w:szCs w:val="22"/>
        </w:rPr>
        <w:fldChar w:fldCharType="begin"/>
      </w:r>
      <w:r w:rsidR="00334014">
        <w:rPr>
          <w:rFonts w:ascii="Arial" w:hAnsi="Arial" w:cs="Arial"/>
          <w:sz w:val="22"/>
          <w:szCs w:val="22"/>
        </w:rPr>
        <w:instrText xml:space="preserve"> REF _Ref115209440 \r \h </w:instrText>
      </w:r>
      <w:r w:rsidR="00334014">
        <w:rPr>
          <w:rFonts w:ascii="Arial" w:hAnsi="Arial" w:cs="Arial"/>
          <w:sz w:val="22"/>
          <w:szCs w:val="22"/>
        </w:rPr>
      </w:r>
      <w:r w:rsidR="00334014">
        <w:rPr>
          <w:rFonts w:ascii="Arial" w:hAnsi="Arial" w:cs="Arial"/>
          <w:sz w:val="22"/>
          <w:szCs w:val="22"/>
        </w:rPr>
        <w:fldChar w:fldCharType="separate"/>
      </w:r>
      <w:r w:rsidR="005A1B65">
        <w:rPr>
          <w:rFonts w:ascii="Arial" w:hAnsi="Arial" w:cs="Arial"/>
          <w:sz w:val="22"/>
          <w:szCs w:val="22"/>
        </w:rPr>
        <w:t>F19</w:t>
      </w:r>
      <w:r w:rsidR="00334014">
        <w:rPr>
          <w:rFonts w:ascii="Arial" w:hAnsi="Arial" w:cs="Arial"/>
          <w:sz w:val="22"/>
          <w:szCs w:val="22"/>
        </w:rPr>
        <w:fldChar w:fldCharType="end"/>
      </w:r>
      <w:r w:rsidR="00334014">
        <w:rPr>
          <w:rFonts w:ascii="Arial" w:hAnsi="Arial" w:cs="Arial"/>
          <w:sz w:val="22"/>
          <w:szCs w:val="22"/>
        </w:rPr>
        <w:t>)</w:t>
      </w:r>
    </w:p>
    <w:p w14:paraId="3EB7FFBC" w14:textId="18CA1549" w:rsidR="00A93FCA" w:rsidRDefault="00A93FCA" w:rsidP="003276D3">
      <w:pPr>
        <w:pStyle w:val="NumIEPlain1"/>
      </w:pPr>
      <w:r>
        <w:t>Example</w:t>
      </w:r>
      <w:r w:rsidR="00FA48EB">
        <w:t xml:space="preserve"> </w:t>
      </w:r>
      <w:r w:rsidR="000B1BB0">
        <w:t>5</w:t>
      </w:r>
      <w:r>
        <w:t xml:space="preserve"> </w:t>
      </w:r>
      <w:r w:rsidRPr="00A17A54">
        <w:t>illustrate</w:t>
      </w:r>
      <w:r>
        <w:t>s</w:t>
      </w:r>
      <w:r w:rsidRPr="00A17A54">
        <w:t xml:space="preserve"> </w:t>
      </w:r>
      <w:r>
        <w:t xml:space="preserve">an assessment of whether </w:t>
      </w:r>
      <w:r w:rsidRPr="00025E06">
        <w:t xml:space="preserve">economic obsolescence </w:t>
      </w:r>
      <w:r w:rsidR="00B348C4" w:rsidRPr="00025E06">
        <w:t>should be identified</w:t>
      </w:r>
      <w:r w:rsidR="00B348C4">
        <w:t xml:space="preserve"> </w:t>
      </w:r>
      <w:r>
        <w:t xml:space="preserve">in relation to </w:t>
      </w:r>
      <w:r w:rsidRPr="00025E06">
        <w:t xml:space="preserve">an asset </w:t>
      </w:r>
      <w:r w:rsidR="000D79BE">
        <w:t xml:space="preserve">not </w:t>
      </w:r>
      <w:r w:rsidRPr="00025E06">
        <w:t xml:space="preserve">held </w:t>
      </w:r>
      <w:r>
        <w:t xml:space="preserve">primarily for its </w:t>
      </w:r>
      <w:r w:rsidR="000D79BE">
        <w:t>ability to generate net cash inflows</w:t>
      </w:r>
      <w:r w:rsidRPr="00025E06">
        <w:t>, if the asset is measured at current replacement cost</w:t>
      </w:r>
      <w:r>
        <w:t xml:space="preserve"> under the cost approach in paragraphs B8</w:t>
      </w:r>
      <w:r w:rsidR="00AA5EFC">
        <w:t xml:space="preserve"> and </w:t>
      </w:r>
      <w:r>
        <w:t>B9.</w:t>
      </w:r>
    </w:p>
    <w:p w14:paraId="33DA99DA" w14:textId="77777777" w:rsidR="00A93FCA" w:rsidRDefault="00A93FCA" w:rsidP="00A93FCA">
      <w:pPr>
        <w:spacing w:before="100"/>
        <w:jc w:val="left"/>
        <w:rPr>
          <w:b/>
          <w:sz w:val="18"/>
          <w:szCs w:val="18"/>
        </w:rPr>
      </w:pPr>
    </w:p>
    <w:tbl>
      <w:tblPr>
        <w:tblStyle w:val="TableGrid"/>
        <w:tblW w:w="0" w:type="auto"/>
        <w:tblInd w:w="782" w:type="dxa"/>
        <w:tblLook w:val="04A0" w:firstRow="1" w:lastRow="0" w:firstColumn="1" w:lastColumn="0" w:noHBand="0" w:noVBand="1"/>
        <w:tblCaption w:val="Example 5"/>
        <w:tblDescription w:val="Example 5 – Kitchen with underutilised potential "/>
      </w:tblPr>
      <w:tblGrid>
        <w:gridCol w:w="8279"/>
      </w:tblGrid>
      <w:tr w:rsidR="003C555D" w14:paraId="7E2E77BC" w14:textId="77777777" w:rsidTr="00563F9F">
        <w:tc>
          <w:tcPr>
            <w:tcW w:w="8279" w:type="dxa"/>
          </w:tcPr>
          <w:p w14:paraId="2F9EE7C7" w14:textId="489432D6" w:rsidR="003C555D" w:rsidRDefault="003C555D" w:rsidP="00563F9F">
            <w:pPr>
              <w:pStyle w:val="NumIEPlain1"/>
              <w:numPr>
                <w:ilvl w:val="0"/>
                <w:numId w:val="0"/>
              </w:numPr>
              <w:spacing w:before="100"/>
              <w:rPr>
                <w:b/>
                <w:noProof/>
                <w:lang w:eastAsia="en-AU"/>
              </w:rPr>
            </w:pPr>
            <w:r w:rsidRPr="00753A48">
              <w:rPr>
                <w:b/>
              </w:rPr>
              <w:t>Example </w:t>
            </w:r>
            <w:r w:rsidR="000B1BB0">
              <w:rPr>
                <w:b/>
              </w:rPr>
              <w:t>5</w:t>
            </w:r>
            <w:r w:rsidRPr="00753A48">
              <w:rPr>
                <w:b/>
              </w:rPr>
              <w:t xml:space="preserve"> –</w:t>
            </w:r>
            <w:r>
              <w:rPr>
                <w:b/>
              </w:rPr>
              <w:t xml:space="preserve"> Kitchen </w:t>
            </w:r>
            <w:r w:rsidRPr="00282C1C">
              <w:rPr>
                <w:b/>
                <w:bCs/>
              </w:rPr>
              <w:t xml:space="preserve">with underutilised potential </w:t>
            </w:r>
          </w:p>
        </w:tc>
      </w:tr>
      <w:tr w:rsidR="003C555D" w14:paraId="3BB496E5" w14:textId="77777777" w:rsidTr="00563F9F">
        <w:tc>
          <w:tcPr>
            <w:tcW w:w="8279" w:type="dxa"/>
          </w:tcPr>
          <w:p w14:paraId="57B45B36" w14:textId="1F74CB7C" w:rsidR="003C555D" w:rsidRDefault="0057514A" w:rsidP="00563F9F">
            <w:pPr>
              <w:pStyle w:val="NumIEPlain1"/>
              <w:widowControl w:val="0"/>
              <w:numPr>
                <w:ilvl w:val="0"/>
                <w:numId w:val="0"/>
              </w:numPr>
              <w:spacing w:before="60"/>
              <w:rPr>
                <w:szCs w:val="19"/>
              </w:rPr>
            </w:pPr>
            <w:r>
              <w:rPr>
                <w:szCs w:val="19"/>
              </w:rPr>
              <w:t>A</w:t>
            </w:r>
            <w:r>
              <w:t xml:space="preserve"> not-for-profit public sector </w:t>
            </w:r>
            <w:r w:rsidR="00B348C4">
              <w:t>institute (</w:t>
            </w:r>
            <w:r w:rsidR="00040F79">
              <w:t>C</w:t>
            </w:r>
            <w:r w:rsidR="007C31E7">
              <w:t>ollege A</w:t>
            </w:r>
            <w:r w:rsidR="00B348C4">
              <w:t>)</w:t>
            </w:r>
            <w:r w:rsidR="007C31E7">
              <w:t xml:space="preserve"> </w:t>
            </w:r>
            <w:r w:rsidR="008B2093">
              <w:rPr>
                <w:szCs w:val="19"/>
              </w:rPr>
              <w:t xml:space="preserve">measures </w:t>
            </w:r>
            <w:r w:rsidR="00D87D19">
              <w:rPr>
                <w:szCs w:val="19"/>
              </w:rPr>
              <w:t xml:space="preserve">the </w:t>
            </w:r>
            <w:r w:rsidR="000010AC">
              <w:rPr>
                <w:szCs w:val="19"/>
              </w:rPr>
              <w:t xml:space="preserve">furniture and fittings </w:t>
            </w:r>
            <w:r w:rsidR="00D87D19">
              <w:rPr>
                <w:szCs w:val="19"/>
              </w:rPr>
              <w:t xml:space="preserve">in </w:t>
            </w:r>
            <w:r w:rsidR="008B2093">
              <w:rPr>
                <w:szCs w:val="19"/>
              </w:rPr>
              <w:t xml:space="preserve">its </w:t>
            </w:r>
            <w:r w:rsidR="00812270">
              <w:rPr>
                <w:szCs w:val="19"/>
              </w:rPr>
              <w:t xml:space="preserve">college building </w:t>
            </w:r>
            <w:r w:rsidR="005370B7">
              <w:rPr>
                <w:szCs w:val="19"/>
              </w:rPr>
              <w:t xml:space="preserve">at fair value </w:t>
            </w:r>
            <w:r w:rsidR="00812270">
              <w:rPr>
                <w:szCs w:val="19"/>
              </w:rPr>
              <w:t xml:space="preserve">using the cost approach. </w:t>
            </w:r>
            <w:r w:rsidR="008833BB">
              <w:rPr>
                <w:szCs w:val="19"/>
              </w:rPr>
              <w:t xml:space="preserve">Its furniture and fittings include </w:t>
            </w:r>
            <w:r w:rsidR="000C226F">
              <w:rPr>
                <w:szCs w:val="19"/>
              </w:rPr>
              <w:t xml:space="preserve">a </w:t>
            </w:r>
            <w:r w:rsidR="009D4452">
              <w:rPr>
                <w:szCs w:val="19"/>
              </w:rPr>
              <w:t xml:space="preserve">kitchen of commercial </w:t>
            </w:r>
            <w:r w:rsidR="00333B05" w:rsidRPr="00D71656">
              <w:rPr>
                <w:szCs w:val="19"/>
              </w:rPr>
              <w:t xml:space="preserve">standard </w:t>
            </w:r>
            <w:r w:rsidR="003C555D" w:rsidRPr="00D71656">
              <w:rPr>
                <w:szCs w:val="19"/>
              </w:rPr>
              <w:t xml:space="preserve">necessary for training student chefs. </w:t>
            </w:r>
            <w:r w:rsidR="00044249">
              <w:rPr>
                <w:szCs w:val="19"/>
              </w:rPr>
              <w:t xml:space="preserve">The kitchen is an </w:t>
            </w:r>
            <w:r w:rsidR="009C1FF0">
              <w:rPr>
                <w:szCs w:val="19"/>
              </w:rPr>
              <w:t>essential asset for College A to fulfil its teaching objectives</w:t>
            </w:r>
            <w:r w:rsidR="005F06B3">
              <w:rPr>
                <w:szCs w:val="19"/>
              </w:rPr>
              <w:t>,</w:t>
            </w:r>
            <w:r w:rsidR="009C1FF0">
              <w:rPr>
                <w:szCs w:val="19"/>
              </w:rPr>
              <w:t xml:space="preserve"> although it </w:t>
            </w:r>
            <w:r w:rsidR="003A28CF">
              <w:rPr>
                <w:szCs w:val="19"/>
              </w:rPr>
              <w:t xml:space="preserve">was </w:t>
            </w:r>
            <w:r w:rsidR="006B3CA0">
              <w:rPr>
                <w:szCs w:val="19"/>
              </w:rPr>
              <w:t>planned</w:t>
            </w:r>
            <w:r w:rsidR="003A28CF">
              <w:rPr>
                <w:szCs w:val="19"/>
              </w:rPr>
              <w:t xml:space="preserve"> not to be</w:t>
            </w:r>
            <w:r w:rsidR="009C1FF0">
              <w:rPr>
                <w:szCs w:val="19"/>
              </w:rPr>
              <w:t xml:space="preserve"> </w:t>
            </w:r>
            <w:r w:rsidR="00201EBB">
              <w:rPr>
                <w:szCs w:val="19"/>
              </w:rPr>
              <w:t>utilised outside the scheduled class times</w:t>
            </w:r>
            <w:r w:rsidR="008919A1" w:rsidRPr="00D71656">
              <w:rPr>
                <w:szCs w:val="19"/>
              </w:rPr>
              <w:t>.</w:t>
            </w:r>
          </w:p>
          <w:p w14:paraId="24EC2984" w14:textId="58D28E88" w:rsidR="00D30001" w:rsidRDefault="00D30001" w:rsidP="00563F9F">
            <w:pPr>
              <w:pStyle w:val="NumIEPlain1"/>
              <w:widowControl w:val="0"/>
              <w:numPr>
                <w:ilvl w:val="0"/>
                <w:numId w:val="0"/>
              </w:numPr>
              <w:spacing w:before="60"/>
              <w:rPr>
                <w:szCs w:val="19"/>
              </w:rPr>
            </w:pPr>
            <w:r>
              <w:rPr>
                <w:szCs w:val="19"/>
              </w:rPr>
              <w:t xml:space="preserve">In this example, it </w:t>
            </w:r>
            <w:r w:rsidR="00D013E8">
              <w:rPr>
                <w:szCs w:val="19"/>
              </w:rPr>
              <w:t>is</w:t>
            </w:r>
            <w:r>
              <w:rPr>
                <w:szCs w:val="19"/>
              </w:rPr>
              <w:t xml:space="preserve"> assumed that:</w:t>
            </w:r>
          </w:p>
          <w:p w14:paraId="0D7ED8F1" w14:textId="77777777" w:rsidR="00AE07A6" w:rsidRPr="00AE07A6" w:rsidRDefault="00AE07A6" w:rsidP="00AE07A6">
            <w:pPr>
              <w:pStyle w:val="NumIEPlain1"/>
              <w:widowControl w:val="0"/>
              <w:numPr>
                <w:ilvl w:val="0"/>
                <w:numId w:val="44"/>
              </w:numPr>
              <w:spacing w:before="60"/>
              <w:rPr>
                <w:szCs w:val="19"/>
              </w:rPr>
            </w:pPr>
            <w:r w:rsidRPr="00AE07A6">
              <w:rPr>
                <w:szCs w:val="19"/>
              </w:rPr>
              <w:t>the kitchen is scheduled to be used four hours per week;</w:t>
            </w:r>
          </w:p>
          <w:p w14:paraId="56554B20" w14:textId="77777777" w:rsidR="00AE07A6" w:rsidRPr="00AE07A6" w:rsidRDefault="00AE07A6" w:rsidP="00AE07A6">
            <w:pPr>
              <w:pStyle w:val="NumIEPlain1"/>
              <w:widowControl w:val="0"/>
              <w:numPr>
                <w:ilvl w:val="0"/>
                <w:numId w:val="44"/>
              </w:numPr>
              <w:spacing w:before="60"/>
              <w:rPr>
                <w:szCs w:val="19"/>
              </w:rPr>
            </w:pPr>
            <w:r w:rsidRPr="00AE07A6">
              <w:rPr>
                <w:szCs w:val="19"/>
              </w:rPr>
              <w:t>the amount of kitchen equipment aligns with the intended number of students per class;</w:t>
            </w:r>
          </w:p>
          <w:p w14:paraId="212FDF99" w14:textId="77777777" w:rsidR="00AE07A6" w:rsidRPr="00AE07A6" w:rsidRDefault="00AE07A6" w:rsidP="00AE07A6">
            <w:pPr>
              <w:pStyle w:val="NumIEPlain1"/>
              <w:widowControl w:val="0"/>
              <w:numPr>
                <w:ilvl w:val="0"/>
                <w:numId w:val="44"/>
              </w:numPr>
              <w:spacing w:before="60"/>
              <w:rPr>
                <w:szCs w:val="19"/>
              </w:rPr>
            </w:pPr>
            <w:r w:rsidRPr="00AE07A6">
              <w:rPr>
                <w:szCs w:val="19"/>
              </w:rPr>
              <w:t>the current cost to replace the teaching kitchen with an identical capacity kitchen, less all forms of obsolescence other than any economic obsolescence, is estimated as at the measurement date (30 June 20X3) as $250,000; and</w:t>
            </w:r>
          </w:p>
          <w:p w14:paraId="44A1A34F" w14:textId="3B26930A" w:rsidR="00AE07A6" w:rsidRPr="00AE07A6" w:rsidRDefault="00AE07A6" w:rsidP="00AE07A6">
            <w:pPr>
              <w:pStyle w:val="NumIEPlain1"/>
              <w:widowControl w:val="0"/>
              <w:numPr>
                <w:ilvl w:val="0"/>
                <w:numId w:val="44"/>
              </w:numPr>
              <w:spacing w:before="60"/>
              <w:rPr>
                <w:szCs w:val="19"/>
              </w:rPr>
            </w:pPr>
            <w:r w:rsidRPr="00AE07A6">
              <w:rPr>
                <w:szCs w:val="19"/>
              </w:rPr>
              <w:t>if the kitchen requires replacing, College A w</w:t>
            </w:r>
            <w:r w:rsidR="00666E7F">
              <w:rPr>
                <w:szCs w:val="19"/>
              </w:rPr>
              <w:t>ould</w:t>
            </w:r>
            <w:r w:rsidRPr="00AE07A6">
              <w:rPr>
                <w:szCs w:val="19"/>
              </w:rPr>
              <w:t xml:space="preserve"> replace it with one that has the same physical capacity.</w:t>
            </w:r>
          </w:p>
          <w:p w14:paraId="4483A5F6" w14:textId="2E21018B" w:rsidR="003C555D" w:rsidRPr="00D71656" w:rsidRDefault="003C555D" w:rsidP="00B57832">
            <w:pPr>
              <w:pStyle w:val="NumIEPlain1"/>
              <w:keepNext/>
              <w:widowControl w:val="0"/>
              <w:numPr>
                <w:ilvl w:val="0"/>
                <w:numId w:val="0"/>
              </w:numPr>
              <w:spacing w:before="60"/>
              <w:rPr>
                <w:b/>
                <w:bCs/>
                <w:szCs w:val="19"/>
              </w:rPr>
            </w:pPr>
            <w:r w:rsidRPr="00D71656">
              <w:rPr>
                <w:b/>
                <w:bCs/>
                <w:szCs w:val="19"/>
                <w:u w:val="single"/>
              </w:rPr>
              <w:t xml:space="preserve">Current replacement cost </w:t>
            </w:r>
            <w:r w:rsidR="00CB4034">
              <w:rPr>
                <w:b/>
                <w:bCs/>
                <w:szCs w:val="19"/>
                <w:u w:val="single"/>
              </w:rPr>
              <w:t xml:space="preserve">assessment </w:t>
            </w:r>
            <w:r w:rsidRPr="00D71656">
              <w:rPr>
                <w:b/>
                <w:bCs/>
                <w:szCs w:val="19"/>
                <w:u w:val="single"/>
              </w:rPr>
              <w:t>as at 30 June 20X3</w:t>
            </w:r>
          </w:p>
          <w:p w14:paraId="4F6DEF59" w14:textId="7A1B929D" w:rsidR="00245CC5" w:rsidRPr="00D71656" w:rsidRDefault="003D2E68" w:rsidP="00566C27">
            <w:pPr>
              <w:pStyle w:val="NumIEPlain1"/>
              <w:widowControl w:val="0"/>
              <w:numPr>
                <w:ilvl w:val="0"/>
                <w:numId w:val="0"/>
              </w:numPr>
              <w:spacing w:before="60"/>
              <w:rPr>
                <w:szCs w:val="19"/>
              </w:rPr>
            </w:pPr>
            <w:r>
              <w:rPr>
                <w:szCs w:val="19"/>
              </w:rPr>
              <w:t>College</w:t>
            </w:r>
            <w:r w:rsidR="00FA48EB">
              <w:rPr>
                <w:szCs w:val="19"/>
              </w:rPr>
              <w:t xml:space="preserve"> </w:t>
            </w:r>
            <w:r w:rsidR="00245CC5" w:rsidRPr="00D71656">
              <w:rPr>
                <w:szCs w:val="19"/>
              </w:rPr>
              <w:t>A assesses whether any economic obsolescence of its teaching kitchen has arisen</w:t>
            </w:r>
            <w:r w:rsidR="00866465" w:rsidRPr="00D71656">
              <w:rPr>
                <w:szCs w:val="19"/>
              </w:rPr>
              <w:t xml:space="preserve"> as at the measurement date (30 June 20X3).</w:t>
            </w:r>
          </w:p>
          <w:p w14:paraId="53784715" w14:textId="299F1A29" w:rsidR="00566C27" w:rsidRPr="00D71656" w:rsidRDefault="00113C55" w:rsidP="00566C27">
            <w:pPr>
              <w:pStyle w:val="NumIEPlain1"/>
              <w:widowControl w:val="0"/>
              <w:numPr>
                <w:ilvl w:val="0"/>
                <w:numId w:val="0"/>
              </w:numPr>
              <w:spacing w:before="60"/>
              <w:rPr>
                <w:szCs w:val="19"/>
              </w:rPr>
            </w:pPr>
            <w:r w:rsidRPr="00D71656">
              <w:rPr>
                <w:szCs w:val="19"/>
              </w:rPr>
              <w:t xml:space="preserve">Although the </w:t>
            </w:r>
            <w:r w:rsidR="00A40943" w:rsidRPr="00D71656">
              <w:rPr>
                <w:szCs w:val="19"/>
              </w:rPr>
              <w:t xml:space="preserve">teaching </w:t>
            </w:r>
            <w:r w:rsidRPr="00D71656">
              <w:rPr>
                <w:szCs w:val="19"/>
              </w:rPr>
              <w:t xml:space="preserve">kitchen is operated with less intensity than physically possible, this does not indicate </w:t>
            </w:r>
            <w:r w:rsidR="00566C27" w:rsidRPr="00D71656">
              <w:rPr>
                <w:szCs w:val="19"/>
              </w:rPr>
              <w:t xml:space="preserve">economic obsolescence </w:t>
            </w:r>
            <w:r w:rsidRPr="00D71656">
              <w:rPr>
                <w:szCs w:val="19"/>
              </w:rPr>
              <w:t xml:space="preserve">has arisen. </w:t>
            </w:r>
            <w:r w:rsidR="00333B05" w:rsidRPr="00D71656">
              <w:rPr>
                <w:szCs w:val="19"/>
              </w:rPr>
              <w:t xml:space="preserve">This is because the </w:t>
            </w:r>
            <w:r w:rsidR="00742765" w:rsidRPr="00D71656">
              <w:rPr>
                <w:szCs w:val="19"/>
              </w:rPr>
              <w:t xml:space="preserve">teaching </w:t>
            </w:r>
            <w:r w:rsidR="008F55B4" w:rsidRPr="00D71656">
              <w:rPr>
                <w:szCs w:val="19"/>
              </w:rPr>
              <w:t>kitchen</w:t>
            </w:r>
            <w:r w:rsidR="00333B05" w:rsidRPr="00D71656">
              <w:rPr>
                <w:szCs w:val="19"/>
              </w:rPr>
              <w:t xml:space="preserve"> is necessary for </w:t>
            </w:r>
            <w:r w:rsidR="009C55A8">
              <w:rPr>
                <w:szCs w:val="19"/>
              </w:rPr>
              <w:t>College</w:t>
            </w:r>
            <w:r w:rsidR="00C03E54">
              <w:rPr>
                <w:szCs w:val="19"/>
              </w:rPr>
              <w:t xml:space="preserve"> </w:t>
            </w:r>
            <w:r w:rsidR="00333B05" w:rsidRPr="00D71656">
              <w:rPr>
                <w:szCs w:val="19"/>
              </w:rPr>
              <w:t>A to fulfil its teaching objectives</w:t>
            </w:r>
            <w:r w:rsidR="00BE3A55">
              <w:rPr>
                <w:szCs w:val="19"/>
              </w:rPr>
              <w:t xml:space="preserve"> and </w:t>
            </w:r>
            <w:r w:rsidR="00742765" w:rsidRPr="00D71656">
              <w:rPr>
                <w:szCs w:val="19"/>
              </w:rPr>
              <w:t>is achieving the level of output planned</w:t>
            </w:r>
            <w:r w:rsidR="008F55B4" w:rsidRPr="00D71656">
              <w:rPr>
                <w:szCs w:val="19"/>
              </w:rPr>
              <w:t>.</w:t>
            </w:r>
            <w:r w:rsidR="00333B05" w:rsidRPr="00D71656">
              <w:rPr>
                <w:szCs w:val="19"/>
              </w:rPr>
              <w:t xml:space="preserve"> </w:t>
            </w:r>
            <w:r w:rsidR="006420E9" w:rsidRPr="00D71656">
              <w:rPr>
                <w:szCs w:val="19"/>
              </w:rPr>
              <w:t xml:space="preserve">Another </w:t>
            </w:r>
            <w:r w:rsidR="00BE3A55">
              <w:rPr>
                <w:szCs w:val="19"/>
              </w:rPr>
              <w:t>college</w:t>
            </w:r>
            <w:r w:rsidR="00BE3A55" w:rsidRPr="00D71656">
              <w:rPr>
                <w:szCs w:val="19"/>
              </w:rPr>
              <w:t xml:space="preserve"> </w:t>
            </w:r>
            <w:r w:rsidR="006420E9" w:rsidRPr="00D71656">
              <w:rPr>
                <w:szCs w:val="19"/>
              </w:rPr>
              <w:t xml:space="preserve">‘stepping into the shoes’ of </w:t>
            </w:r>
            <w:r w:rsidR="00924E9C">
              <w:rPr>
                <w:szCs w:val="19"/>
              </w:rPr>
              <w:t>College</w:t>
            </w:r>
            <w:r w:rsidR="00FA48EB">
              <w:rPr>
                <w:szCs w:val="19"/>
              </w:rPr>
              <w:t xml:space="preserve"> </w:t>
            </w:r>
            <w:r w:rsidR="006420E9" w:rsidRPr="00D71656">
              <w:rPr>
                <w:szCs w:val="19"/>
              </w:rPr>
              <w:t>A would be willing to pay $</w:t>
            </w:r>
            <w:r w:rsidR="00292232">
              <w:rPr>
                <w:szCs w:val="19"/>
              </w:rPr>
              <w:t>250,000</w:t>
            </w:r>
            <w:r w:rsidR="006420E9" w:rsidRPr="00D71656">
              <w:rPr>
                <w:szCs w:val="19"/>
              </w:rPr>
              <w:t xml:space="preserve"> to replace the kitchen’s service capacity.</w:t>
            </w:r>
          </w:p>
          <w:p w14:paraId="667899E3" w14:textId="457BA4B5" w:rsidR="003C555D" w:rsidRPr="00D71656" w:rsidRDefault="006420E9" w:rsidP="006420E9">
            <w:pPr>
              <w:pStyle w:val="NumIEPlain1"/>
              <w:widowControl w:val="0"/>
              <w:numPr>
                <w:ilvl w:val="0"/>
                <w:numId w:val="0"/>
              </w:numPr>
              <w:spacing w:before="60"/>
              <w:rPr>
                <w:szCs w:val="19"/>
              </w:rPr>
            </w:pPr>
            <w:r w:rsidRPr="00D71656">
              <w:rPr>
                <w:szCs w:val="19"/>
              </w:rPr>
              <w:t>Therefore, no economic obsolescence is deducted from the amount of $</w:t>
            </w:r>
            <w:r w:rsidR="00E912D8">
              <w:rPr>
                <w:szCs w:val="19"/>
              </w:rPr>
              <w:t>250,000</w:t>
            </w:r>
            <w:r w:rsidRPr="00D71656">
              <w:rPr>
                <w:szCs w:val="19"/>
              </w:rPr>
              <w:t>, which is the kitchen’s current replacement cost</w:t>
            </w:r>
            <w:r w:rsidR="00D534D0">
              <w:rPr>
                <w:szCs w:val="19"/>
              </w:rPr>
              <w:t xml:space="preserve"> </w:t>
            </w:r>
            <w:r w:rsidR="00BF7971">
              <w:rPr>
                <w:szCs w:val="19"/>
              </w:rPr>
              <w:t xml:space="preserve">as </w:t>
            </w:r>
            <w:r w:rsidR="00D534D0">
              <w:rPr>
                <w:szCs w:val="19"/>
              </w:rPr>
              <w:t>at 30</w:t>
            </w:r>
            <w:r w:rsidR="00FA48EB">
              <w:rPr>
                <w:szCs w:val="19"/>
              </w:rPr>
              <w:t xml:space="preserve"> </w:t>
            </w:r>
            <w:r w:rsidR="00D534D0">
              <w:rPr>
                <w:szCs w:val="19"/>
              </w:rPr>
              <w:t>June 20X3</w:t>
            </w:r>
            <w:r w:rsidRPr="00D71656">
              <w:rPr>
                <w:szCs w:val="19"/>
              </w:rPr>
              <w:t>.</w:t>
            </w:r>
          </w:p>
        </w:tc>
      </w:tr>
    </w:tbl>
    <w:p w14:paraId="0B99A87C" w14:textId="77777777" w:rsidR="00497E93" w:rsidRPr="007C12DB" w:rsidRDefault="00497E93" w:rsidP="00497E93">
      <w:pPr>
        <w:jc w:val="left"/>
        <w:rPr>
          <w:b/>
          <w:szCs w:val="19"/>
        </w:rPr>
      </w:pPr>
    </w:p>
    <w:p w14:paraId="5D2CD63B" w14:textId="77777777" w:rsidR="00CA26B6" w:rsidRPr="003F32EC" w:rsidRDefault="00CA26B6" w:rsidP="006053CF">
      <w:pPr>
        <w:spacing w:before="100"/>
        <w:jc w:val="left"/>
        <w:rPr>
          <w:b/>
          <w:sz w:val="18"/>
          <w:szCs w:val="18"/>
        </w:rPr>
      </w:pPr>
    </w:p>
    <w:p w14:paraId="6B78265E" w14:textId="77777777" w:rsidR="00142AB1" w:rsidRPr="003F32EC" w:rsidRDefault="00142AB1" w:rsidP="006053CF">
      <w:pPr>
        <w:spacing w:before="100"/>
        <w:rPr>
          <w:sz w:val="18"/>
          <w:szCs w:val="18"/>
        </w:rPr>
        <w:sectPr w:rsidR="00142AB1" w:rsidRPr="003F32EC" w:rsidSect="003F32EC">
          <w:footerReference w:type="default" r:id="rId26"/>
          <w:pgSz w:w="11907" w:h="16840" w:code="9"/>
          <w:pgMar w:top="1418" w:right="1418" w:bottom="1418" w:left="1418" w:header="709" w:footer="709" w:gutter="0"/>
          <w:paperSrc w:first="7" w:other="7"/>
          <w:cols w:space="720"/>
        </w:sectPr>
      </w:pPr>
    </w:p>
    <w:p w14:paraId="7B64C1E1" w14:textId="705354F9" w:rsidR="00DA41B8" w:rsidRPr="00766E15" w:rsidRDefault="00DA41B8" w:rsidP="00DC0700">
      <w:pPr>
        <w:pStyle w:val="ConvSectionTitle"/>
        <w:jc w:val="both"/>
      </w:pPr>
      <w:r w:rsidRPr="00766E15">
        <w:lastRenderedPageBreak/>
        <w:t>Basis for Conclusions</w:t>
      </w:r>
    </w:p>
    <w:p w14:paraId="636EDDEE" w14:textId="1A9E7007" w:rsidR="00DA41B8" w:rsidRPr="00766E15" w:rsidRDefault="00DA41B8" w:rsidP="00DC0700">
      <w:pPr>
        <w:pStyle w:val="AppendixNote"/>
        <w:spacing w:after="100"/>
      </w:pPr>
      <w:r w:rsidRPr="00766E15">
        <w:t xml:space="preserve">This Basis for Conclusions accompanies, but is not part of, </w:t>
      </w:r>
      <w:r w:rsidR="00291416" w:rsidRPr="000C6E59">
        <w:t>AASB</w:t>
      </w:r>
      <w:r w:rsidR="004A6602">
        <w:t xml:space="preserve"> </w:t>
      </w:r>
      <w:r w:rsidR="00624722">
        <w:rPr>
          <w:iCs w:val="0"/>
        </w:rPr>
        <w:t>202</w:t>
      </w:r>
      <w:r w:rsidR="00E15AA4">
        <w:rPr>
          <w:iCs w:val="0"/>
        </w:rPr>
        <w:t>2</w:t>
      </w:r>
      <w:r w:rsidR="00624722">
        <w:rPr>
          <w:iCs w:val="0"/>
        </w:rPr>
        <w:t>-</w:t>
      </w:r>
      <w:r w:rsidR="00F71F72">
        <w:rPr>
          <w:iCs w:val="0"/>
        </w:rPr>
        <w:t>10</w:t>
      </w:r>
      <w:r w:rsidR="00456DFF" w:rsidRPr="000C6E59">
        <w:rPr>
          <w:iCs w:val="0"/>
        </w:rPr>
        <w:t xml:space="preserve"> </w:t>
      </w:r>
      <w:r w:rsidR="00456DFF" w:rsidRPr="00E15AA4">
        <w:rPr>
          <w:i w:val="0"/>
        </w:rPr>
        <w:t>Amendments to Australian Accounting Standards –</w:t>
      </w:r>
      <w:r w:rsidR="000C6E59" w:rsidRPr="00E15AA4">
        <w:rPr>
          <w:i w:val="0"/>
        </w:rPr>
        <w:t xml:space="preserve"> </w:t>
      </w:r>
      <w:r w:rsidR="00F20026" w:rsidRPr="00E15AA4">
        <w:rPr>
          <w:i w:val="0"/>
        </w:rPr>
        <w:t xml:space="preserve">Fair Value Measurement </w:t>
      </w:r>
      <w:r w:rsidR="0074780F" w:rsidRPr="00E15AA4">
        <w:rPr>
          <w:i w:val="0"/>
        </w:rPr>
        <w:t xml:space="preserve">of </w:t>
      </w:r>
      <w:r w:rsidR="00012A58" w:rsidRPr="00E15AA4">
        <w:rPr>
          <w:i w:val="0"/>
        </w:rPr>
        <w:t xml:space="preserve">Non-Financial </w:t>
      </w:r>
      <w:r w:rsidR="00B76BA2" w:rsidRPr="00E15AA4">
        <w:rPr>
          <w:i w:val="0"/>
        </w:rPr>
        <w:t xml:space="preserve">Assets of </w:t>
      </w:r>
      <w:r w:rsidR="00456DFF" w:rsidRPr="00E15AA4">
        <w:rPr>
          <w:i w:val="0"/>
        </w:rPr>
        <w:t xml:space="preserve">Not-for-Profit </w:t>
      </w:r>
      <w:r w:rsidR="003F16BD" w:rsidRPr="00E15AA4">
        <w:rPr>
          <w:i w:val="0"/>
        </w:rPr>
        <w:t xml:space="preserve">Public Sector </w:t>
      </w:r>
      <w:r w:rsidR="00F20026" w:rsidRPr="00E15AA4">
        <w:rPr>
          <w:i w:val="0"/>
        </w:rPr>
        <w:t>Entities</w:t>
      </w:r>
      <w:r w:rsidRPr="000C6E59">
        <w:t>.</w:t>
      </w:r>
    </w:p>
    <w:p w14:paraId="2F44E3C8" w14:textId="27A36D40" w:rsidR="00FE5D30" w:rsidRPr="00766E15" w:rsidRDefault="00FE5D30" w:rsidP="006C33D9">
      <w:pPr>
        <w:pStyle w:val="IASBSectionTitle1NonInd"/>
      </w:pPr>
      <w:r w:rsidRPr="00B87C2D">
        <w:t>Introduction</w:t>
      </w:r>
    </w:p>
    <w:p w14:paraId="00E32DDA" w14:textId="51A7B0E3" w:rsidR="00DA41B8" w:rsidRPr="00766E15" w:rsidRDefault="00DA41B8" w:rsidP="003276D3">
      <w:pPr>
        <w:pStyle w:val="NumBC1"/>
        <w:numPr>
          <w:ilvl w:val="0"/>
          <w:numId w:val="22"/>
        </w:numPr>
        <w:spacing w:before="0"/>
      </w:pPr>
      <w:bookmarkStart w:id="42" w:name="_Ref90907684"/>
      <w:r w:rsidRPr="00766E15">
        <w:t xml:space="preserve">This Basis for Conclusions summarises the Australian Accounting Standards Board’s considerations in reaching the conclusions </w:t>
      </w:r>
      <w:r w:rsidR="00456DFF">
        <w:t>i</w:t>
      </w:r>
      <w:r w:rsidR="00656065" w:rsidRPr="00766E15">
        <w:t xml:space="preserve">n this </w:t>
      </w:r>
      <w:r w:rsidR="0024109A">
        <w:t>Standard</w:t>
      </w:r>
      <w:r w:rsidR="002126F6">
        <w:t>, which</w:t>
      </w:r>
      <w:r w:rsidR="0024109A">
        <w:t xml:space="preserve"> </w:t>
      </w:r>
      <w:r w:rsidR="002B4DB4">
        <w:t xml:space="preserve">amends AASB 13 </w:t>
      </w:r>
      <w:r w:rsidR="002B4DB4" w:rsidRPr="00320ADC">
        <w:rPr>
          <w:i/>
          <w:iCs/>
        </w:rPr>
        <w:t>Fair Value Measurement</w:t>
      </w:r>
      <w:r w:rsidR="002B4DB4">
        <w:t xml:space="preserve"> for </w:t>
      </w:r>
      <w:r w:rsidR="002126F6">
        <w:t xml:space="preserve">application by </w:t>
      </w:r>
      <w:r w:rsidR="002B4DB4">
        <w:t>not-for-profit public sector entities</w:t>
      </w:r>
      <w:r w:rsidRPr="00766E15">
        <w:t xml:space="preserve">. It sets out the reasons why the Board developed the </w:t>
      </w:r>
      <w:r w:rsidR="00867139">
        <w:t>Standard</w:t>
      </w:r>
      <w:r w:rsidRPr="00766E15">
        <w:t xml:space="preserve">, the approach taken to developing the </w:t>
      </w:r>
      <w:r w:rsidR="00320ADC">
        <w:t xml:space="preserve">amendments </w:t>
      </w:r>
      <w:r w:rsidRPr="00766E15">
        <w:t>and the key decisions made. In making decisions, individual Board members gave greater weight to some factors than to others.</w:t>
      </w:r>
      <w:bookmarkEnd w:id="42"/>
      <w:r w:rsidRPr="00766E15">
        <w:t xml:space="preserve"> </w:t>
      </w:r>
    </w:p>
    <w:p w14:paraId="4EEA255E" w14:textId="243CE300" w:rsidR="005372B3" w:rsidRPr="00187726" w:rsidRDefault="000F442D">
      <w:pPr>
        <w:pStyle w:val="IASBSectionTitle1NonInd"/>
      </w:pPr>
      <w:r>
        <w:t xml:space="preserve">Reasons for </w:t>
      </w:r>
      <w:r w:rsidRPr="00BB57FA">
        <w:t>undertaking</w:t>
      </w:r>
      <w:r>
        <w:t xml:space="preserve"> the ‘</w:t>
      </w:r>
      <w:r w:rsidR="005372B3" w:rsidRPr="003B57D5">
        <w:t xml:space="preserve">Fair Value Measurement for </w:t>
      </w:r>
      <w:r w:rsidR="00D5286D">
        <w:t xml:space="preserve">Not-for-Profit </w:t>
      </w:r>
      <w:r w:rsidR="005372B3" w:rsidRPr="003B57D5">
        <w:t>Public Sector Entities</w:t>
      </w:r>
      <w:r>
        <w:t>’</w:t>
      </w:r>
      <w:r w:rsidR="005372B3" w:rsidRPr="003B57D5">
        <w:t xml:space="preserve"> Project</w:t>
      </w:r>
      <w:r>
        <w:t xml:space="preserve"> </w:t>
      </w:r>
    </w:p>
    <w:p w14:paraId="5B2ED998" w14:textId="77777777" w:rsidR="00FC0EB6" w:rsidRPr="00FC0EB6" w:rsidRDefault="00FC0EB6">
      <w:pPr>
        <w:pStyle w:val="IASBSectionTitle2Ind"/>
      </w:pPr>
      <w:r w:rsidRPr="00FC0EB6">
        <w:t xml:space="preserve">Majority of non-financial assets in the public sector </w:t>
      </w:r>
      <w:r w:rsidRPr="00B87C2D">
        <w:t>are</w:t>
      </w:r>
      <w:r w:rsidRPr="00FC0EB6">
        <w:t xml:space="preserve"> measured at fair value</w:t>
      </w:r>
    </w:p>
    <w:p w14:paraId="2F5E8D5D" w14:textId="59E6A36B" w:rsidR="00FC0EB6" w:rsidRDefault="00513068" w:rsidP="003276D3">
      <w:pPr>
        <w:pStyle w:val="NumBC1"/>
      </w:pPr>
      <w:r>
        <w:t xml:space="preserve">The Financial Reporting Council (FRC) issued a direction to the </w:t>
      </w:r>
      <w:r w:rsidR="00850675">
        <w:t xml:space="preserve">Board </w:t>
      </w:r>
      <w:r>
        <w:t xml:space="preserve">to require the Whole of Government (WoG) and the General Government Sector (GGS) to harmonise with Government Finance Statistics (GFS) requirements. Consequently, AASB 1049 </w:t>
      </w:r>
      <w:r w:rsidRPr="1A6D8EE6">
        <w:rPr>
          <w:i/>
          <w:iCs/>
        </w:rPr>
        <w:t>Whole of Government and General Government Sector Financial Reporting</w:t>
      </w:r>
      <w:r>
        <w:t xml:space="preserve"> requires </w:t>
      </w:r>
      <w:r w:rsidR="007A66AC">
        <w:t xml:space="preserve">each </w:t>
      </w:r>
      <w:r>
        <w:t xml:space="preserve">WoG and GGS to elect an accounting treatment that aligns with GFS principles and requirements where an </w:t>
      </w:r>
      <w:r w:rsidR="00850675">
        <w:t xml:space="preserve">Accounting Standard </w:t>
      </w:r>
      <w:r>
        <w:t xml:space="preserve">permits a choice (AASB 1049 </w:t>
      </w:r>
      <w:r w:rsidR="00A54CC0">
        <w:t>paragraph</w:t>
      </w:r>
      <w:r w:rsidR="006C004A">
        <w:t> </w:t>
      </w:r>
      <w:r>
        <w:t xml:space="preserve">13). </w:t>
      </w:r>
      <w:r w:rsidR="007A66AC">
        <w:t xml:space="preserve">Because </w:t>
      </w:r>
      <w:r>
        <w:t xml:space="preserve">GFS requires assets and liabilities to be measured at current market value, this has resulted in </w:t>
      </w:r>
      <w:r w:rsidR="007A66AC">
        <w:t xml:space="preserve">each </w:t>
      </w:r>
      <w:r>
        <w:t xml:space="preserve">WoG and GGS electing </w:t>
      </w:r>
      <w:r w:rsidR="007A66AC">
        <w:t xml:space="preserve">to apply </w:t>
      </w:r>
      <w:r>
        <w:t xml:space="preserve">the revaluation model as </w:t>
      </w:r>
      <w:r w:rsidR="00931FE2">
        <w:t xml:space="preserve">its </w:t>
      </w:r>
      <w:r>
        <w:t xml:space="preserve">accounting policy and </w:t>
      </w:r>
      <w:r w:rsidR="00AD5C98">
        <w:t xml:space="preserve">measure </w:t>
      </w:r>
      <w:r w:rsidR="00931FE2">
        <w:t xml:space="preserve">its </w:t>
      </w:r>
      <w:r>
        <w:t>non-financial assets, such as property, plant and equipment, at fair value</w:t>
      </w:r>
      <w:r w:rsidR="007A66AC">
        <w:t xml:space="preserve"> under AASB 13</w:t>
      </w:r>
      <w:r>
        <w:t xml:space="preserve">. </w:t>
      </w:r>
    </w:p>
    <w:p w14:paraId="5961E6E6" w14:textId="5B78C5D2" w:rsidR="00FC0EB6" w:rsidRDefault="00513068" w:rsidP="003276D3">
      <w:pPr>
        <w:pStyle w:val="NumBC1"/>
      </w:pPr>
      <w:r w:rsidRPr="00513068">
        <w:t xml:space="preserve">Although AASB 1049 requires only WoG and GGS to align with GFS principles, some stakeholders from the public sector have informed the </w:t>
      </w:r>
      <w:r w:rsidR="002B5B4F">
        <w:t>Board</w:t>
      </w:r>
      <w:r w:rsidRPr="00513068">
        <w:t xml:space="preserve"> that</w:t>
      </w:r>
      <w:r w:rsidR="00985A37">
        <w:t xml:space="preserve"> the</w:t>
      </w:r>
      <w:r w:rsidRPr="00513068">
        <w:t xml:space="preserve"> Treasury or Finance Department (or other authority) </w:t>
      </w:r>
      <w:r w:rsidR="00672A78">
        <w:t>or</w:t>
      </w:r>
      <w:r w:rsidR="000E4EEE">
        <w:t xml:space="preserve"> the </w:t>
      </w:r>
      <w:r w:rsidR="003A534B">
        <w:t xml:space="preserve">Office of Local Government </w:t>
      </w:r>
      <w:r w:rsidR="00A627F2">
        <w:t xml:space="preserve">in each </w:t>
      </w:r>
      <w:r w:rsidR="004C1A24">
        <w:t xml:space="preserve">jurisdiction </w:t>
      </w:r>
      <w:r w:rsidRPr="00513068">
        <w:t xml:space="preserve">has issued instructions to require </w:t>
      </w:r>
      <w:r w:rsidR="00246158">
        <w:t xml:space="preserve">the other </w:t>
      </w:r>
      <w:r w:rsidRPr="00513068">
        <w:t xml:space="preserve">public sector entities in their jurisdiction to also elect the accounting treatments that align with GFS principles, which has </w:t>
      </w:r>
      <w:r w:rsidR="00246158">
        <w:t xml:space="preserve">led </w:t>
      </w:r>
      <w:r w:rsidRPr="00513068">
        <w:t xml:space="preserve">to </w:t>
      </w:r>
      <w:r w:rsidR="00246158">
        <w:t xml:space="preserve">the </w:t>
      </w:r>
      <w:r w:rsidRPr="00513068">
        <w:t>majority of non-financial assets of public sector entities being measured at fair value.</w:t>
      </w:r>
    </w:p>
    <w:p w14:paraId="2AEE1612" w14:textId="44A164D0" w:rsidR="00A22175" w:rsidRPr="00B87C2D" w:rsidRDefault="00CA7A94">
      <w:pPr>
        <w:pStyle w:val="IASBSectionTitle2Ind"/>
      </w:pPr>
      <w:r>
        <w:t>I</w:t>
      </w:r>
      <w:r w:rsidR="00D84D11">
        <w:t xml:space="preserve">nconsistency in applying the requirements </w:t>
      </w:r>
      <w:r w:rsidR="00455D37">
        <w:t xml:space="preserve">of </w:t>
      </w:r>
      <w:r w:rsidR="00D84D11">
        <w:t>AASB</w:t>
      </w:r>
      <w:r w:rsidR="00DB3BD9">
        <w:t> </w:t>
      </w:r>
      <w:r w:rsidR="00D84D11">
        <w:t>13</w:t>
      </w:r>
    </w:p>
    <w:p w14:paraId="61419FB8" w14:textId="33DC2A8D" w:rsidR="005372B3" w:rsidRDefault="005372B3" w:rsidP="003276D3">
      <w:pPr>
        <w:pStyle w:val="NumBC1"/>
      </w:pPr>
      <w:bookmarkStart w:id="43" w:name="_Ref32408028"/>
      <w:r>
        <w:t xml:space="preserve">The Board initially considered the application of AASB 13 for not-for-profit and public sector entities in 2011 when IFRS 13 </w:t>
      </w:r>
      <w:r w:rsidRPr="000176AA">
        <w:rPr>
          <w:i/>
        </w:rPr>
        <w:t>Fair Value Measurement</w:t>
      </w:r>
      <w:r>
        <w:t xml:space="preserve"> was issued. At its March</w:t>
      </w:r>
      <w:r w:rsidR="00931FE2">
        <w:t xml:space="preserve"> 2011</w:t>
      </w:r>
      <w:r>
        <w:t xml:space="preserve"> and June 2011 meetings, the Board decided not to include any </w:t>
      </w:r>
      <w:r w:rsidR="00F93CCE">
        <w:t xml:space="preserve">not-for-profit entity </w:t>
      </w:r>
      <w:r>
        <w:t xml:space="preserve">modifications to </w:t>
      </w:r>
      <w:r w:rsidR="00085DDC">
        <w:t xml:space="preserve">the requirements of </w:t>
      </w:r>
      <w:r>
        <w:t xml:space="preserve">IFRS 13 </w:t>
      </w:r>
      <w:r w:rsidR="00085DDC">
        <w:t xml:space="preserve">adopted </w:t>
      </w:r>
      <w:r>
        <w:t>in AASB</w:t>
      </w:r>
      <w:r w:rsidR="00085DDC">
        <w:t> </w:t>
      </w:r>
      <w:r>
        <w:t>13.</w:t>
      </w:r>
      <w:r w:rsidR="007A1754">
        <w:t xml:space="preserve"> At th</w:t>
      </w:r>
      <w:r w:rsidR="00A3599D">
        <w:t>at</w:t>
      </w:r>
      <w:r w:rsidR="007A1754">
        <w:t xml:space="preserve"> time, the Board considered that </w:t>
      </w:r>
      <w:r w:rsidR="00DA0763">
        <w:t>even though many non-financial assets in the public sector might have a specialised nature</w:t>
      </w:r>
      <w:r w:rsidR="00686AC4">
        <w:t xml:space="preserve"> or that observable market inputs might not be readily available, a</w:t>
      </w:r>
      <w:r w:rsidR="005468D2">
        <w:t xml:space="preserve"> public sector</w:t>
      </w:r>
      <w:r w:rsidR="00686AC4">
        <w:t xml:space="preserve"> entity </w:t>
      </w:r>
      <w:r w:rsidR="005468D2">
        <w:t xml:space="preserve">would be able </w:t>
      </w:r>
      <w:r w:rsidR="00686AC4">
        <w:t>to measure the fair value of such assets at current replacement cost</w:t>
      </w:r>
      <w:r w:rsidR="005468D2">
        <w:t>, under the cost approach in IFRS</w:t>
      </w:r>
      <w:r w:rsidR="0060748D">
        <w:t> </w:t>
      </w:r>
      <w:r w:rsidR="005468D2">
        <w:t>13</w:t>
      </w:r>
      <w:r w:rsidR="00686AC4">
        <w:t>.</w:t>
      </w:r>
      <w:bookmarkEnd w:id="43"/>
      <w:r w:rsidR="00686AC4">
        <w:t xml:space="preserve"> </w:t>
      </w:r>
    </w:p>
    <w:p w14:paraId="2D994005" w14:textId="35DCFCBC" w:rsidR="005372B3" w:rsidRDefault="005372B3" w:rsidP="003276D3">
      <w:pPr>
        <w:pStyle w:val="NumBC1"/>
      </w:pPr>
      <w:r>
        <w:t xml:space="preserve">At its December 2014 meeting, the Board considered feedback from </w:t>
      </w:r>
      <w:r w:rsidR="002A5D84">
        <w:t>stakeholders</w:t>
      </w:r>
      <w:r>
        <w:t xml:space="preserve"> regarding the application of AASB</w:t>
      </w:r>
      <w:r w:rsidR="00F93CCE">
        <w:t> </w:t>
      </w:r>
      <w:r>
        <w:t>13. The Board decided to undertake a narrow-scope project to give relief from certain AASB</w:t>
      </w:r>
      <w:r w:rsidR="006E3639">
        <w:t> </w:t>
      </w:r>
      <w:r>
        <w:t xml:space="preserve">13 disclosures, limited to </w:t>
      </w:r>
      <w:r w:rsidR="00455D37">
        <w:t xml:space="preserve">items of </w:t>
      </w:r>
      <w:r>
        <w:t>property, plant and equipment within the scope of AASB</w:t>
      </w:r>
      <w:r w:rsidR="00112802">
        <w:t> </w:t>
      </w:r>
      <w:r>
        <w:t xml:space="preserve">116 </w:t>
      </w:r>
      <w:r w:rsidRPr="0085484F">
        <w:rPr>
          <w:i/>
        </w:rPr>
        <w:t>Property, Plant and Equipment</w:t>
      </w:r>
      <w:r>
        <w:t xml:space="preserve"> that are held </w:t>
      </w:r>
      <w:r w:rsidR="00CB6D1E">
        <w:t xml:space="preserve">primarily </w:t>
      </w:r>
      <w:r>
        <w:t xml:space="preserve">for their current service </w:t>
      </w:r>
      <w:r w:rsidR="006B3FA1">
        <w:t xml:space="preserve">capacity </w:t>
      </w:r>
      <w:r>
        <w:t xml:space="preserve">rather than </w:t>
      </w:r>
      <w:r w:rsidR="006B3FA1">
        <w:t xml:space="preserve">primarily </w:t>
      </w:r>
      <w:r>
        <w:t xml:space="preserve">to generate future </w:t>
      </w:r>
      <w:r w:rsidR="00455D37">
        <w:t xml:space="preserve">net </w:t>
      </w:r>
      <w:r>
        <w:t xml:space="preserve">cash inflows, </w:t>
      </w:r>
      <w:r w:rsidR="00455D37">
        <w:t xml:space="preserve">in relation to </w:t>
      </w:r>
      <w:r>
        <w:t xml:space="preserve">disclosure of quantitative and qualitative information about the significant unobservable inputs </w:t>
      </w:r>
      <w:r w:rsidR="00455D37">
        <w:t xml:space="preserve">used </w:t>
      </w:r>
      <w:r>
        <w:t>in the fair value measurement of such assets. This project resulted in AASB</w:t>
      </w:r>
      <w:r w:rsidR="002733C1">
        <w:t> </w:t>
      </w:r>
      <w:r>
        <w:t xml:space="preserve">2015-7 </w:t>
      </w:r>
      <w:r w:rsidRPr="0085484F">
        <w:rPr>
          <w:i/>
        </w:rPr>
        <w:t xml:space="preserve">Amendments to Australian Accounting Standards </w:t>
      </w:r>
      <w:r w:rsidR="002176E3">
        <w:rPr>
          <w:i/>
        </w:rPr>
        <w:t>–</w:t>
      </w:r>
      <w:r w:rsidRPr="0085484F">
        <w:rPr>
          <w:i/>
        </w:rPr>
        <w:t xml:space="preserve"> Fair Value Disclosures of Not-for-Profit Public Sector Entities</w:t>
      </w:r>
      <w:r>
        <w:t xml:space="preserve">. </w:t>
      </w:r>
    </w:p>
    <w:p w14:paraId="6B39C20D" w14:textId="49443465" w:rsidR="005372B3" w:rsidRDefault="005372B3" w:rsidP="003276D3">
      <w:pPr>
        <w:pStyle w:val="NumBC1"/>
      </w:pPr>
      <w:r>
        <w:t xml:space="preserve">During the due process of developing AASB 2015-7 and consideration of </w:t>
      </w:r>
      <w:r w:rsidR="00CC539B">
        <w:t xml:space="preserve">Invitation to Comment </w:t>
      </w:r>
      <w:r>
        <w:t>ITC</w:t>
      </w:r>
      <w:r w:rsidR="00EC2D63">
        <w:t> </w:t>
      </w:r>
      <w:r>
        <w:t xml:space="preserve">34 </w:t>
      </w:r>
      <w:r w:rsidRPr="007E11BC">
        <w:rPr>
          <w:i/>
        </w:rPr>
        <w:t>AASB Agenda Consultation 2017</w:t>
      </w:r>
      <w:r w:rsidR="00B83070">
        <w:t>–</w:t>
      </w:r>
      <w:r w:rsidRPr="007E11BC">
        <w:rPr>
          <w:i/>
        </w:rPr>
        <w:t>2019</w:t>
      </w:r>
      <w:r>
        <w:t xml:space="preserve"> </w:t>
      </w:r>
      <w:r w:rsidR="00774030">
        <w:t xml:space="preserve">(in which </w:t>
      </w:r>
      <w:r>
        <w:t xml:space="preserve">the Board sought views on </w:t>
      </w:r>
      <w:r w:rsidR="00CC539B">
        <w:t xml:space="preserve">its </w:t>
      </w:r>
      <w:r>
        <w:t>priorities for its work program for the period 2017–2019</w:t>
      </w:r>
      <w:r w:rsidR="00774030">
        <w:t>)</w:t>
      </w:r>
      <w:r>
        <w:t xml:space="preserve">, some </w:t>
      </w:r>
      <w:r w:rsidR="00B74ADD">
        <w:t>stakeholder</w:t>
      </w:r>
      <w:r>
        <w:t xml:space="preserve">s in the public sector </w:t>
      </w:r>
      <w:r w:rsidR="003A6F74">
        <w:t xml:space="preserve">asked </w:t>
      </w:r>
      <w:r>
        <w:t xml:space="preserve">the Board </w:t>
      </w:r>
      <w:r w:rsidR="00774030">
        <w:t xml:space="preserve">to </w:t>
      </w:r>
      <w:r>
        <w:t>provide guidance clarify</w:t>
      </w:r>
      <w:r w:rsidR="00774030">
        <w:t>ing</w:t>
      </w:r>
      <w:r>
        <w:t xml:space="preserve"> how </w:t>
      </w:r>
      <w:r w:rsidR="00643A61">
        <w:t xml:space="preserve">to apply </w:t>
      </w:r>
      <w:r>
        <w:t xml:space="preserve">the requirements in AASB 13 to the fair value measurement of public sector </w:t>
      </w:r>
      <w:r w:rsidR="00385BB4">
        <w:t xml:space="preserve">entity </w:t>
      </w:r>
      <w:r>
        <w:t xml:space="preserve">assets. </w:t>
      </w:r>
    </w:p>
    <w:p w14:paraId="21D65C71" w14:textId="0AFD48BF" w:rsidR="005372B3" w:rsidRDefault="005372B3" w:rsidP="003276D3">
      <w:pPr>
        <w:pStyle w:val="NumBC1"/>
      </w:pPr>
      <w:bookmarkStart w:id="44" w:name="_Ref88560802"/>
      <w:r>
        <w:lastRenderedPageBreak/>
        <w:t xml:space="preserve">Many </w:t>
      </w:r>
      <w:r w:rsidR="00B74ADD">
        <w:t>stakeholder</w:t>
      </w:r>
      <w:r>
        <w:t xml:space="preserve">s in the public sector commented that applying AASB 13 </w:t>
      </w:r>
      <w:r w:rsidR="00643A61">
        <w:t xml:space="preserve">had </w:t>
      </w:r>
      <w:r>
        <w:t>been challenging and costly</w:t>
      </w:r>
      <w:r w:rsidR="00643A61">
        <w:t>.</w:t>
      </w:r>
      <w:r>
        <w:t xml:space="preserve"> </w:t>
      </w:r>
      <w:r w:rsidR="00643A61">
        <w:t xml:space="preserve">They requested </w:t>
      </w:r>
      <w:r>
        <w:t xml:space="preserve">guidance on how to measure </w:t>
      </w:r>
      <w:r w:rsidR="00385BB4">
        <w:t xml:space="preserve">the fair value of </w:t>
      </w:r>
      <w:r w:rsidR="004E4347">
        <w:t>non-</w:t>
      </w:r>
      <w:r w:rsidR="00790372">
        <w:t>financial</w:t>
      </w:r>
      <w:r w:rsidR="004E4347">
        <w:t xml:space="preserve"> assets of </w:t>
      </w:r>
      <w:r w:rsidR="00593CAD">
        <w:t xml:space="preserve">not-for-profit </w:t>
      </w:r>
      <w:r>
        <w:t>public sector</w:t>
      </w:r>
      <w:r w:rsidR="00790372">
        <w:t xml:space="preserve"> entities</w:t>
      </w:r>
      <w:r w:rsidR="004358B0">
        <w:t xml:space="preserve"> </w:t>
      </w:r>
      <w:r w:rsidR="00FB452D">
        <w:t xml:space="preserve">not </w:t>
      </w:r>
      <w:r w:rsidR="004358B0">
        <w:t xml:space="preserve">held primarily for their </w:t>
      </w:r>
      <w:r w:rsidR="00FB452D">
        <w:t>ability to generate net cash inflows</w:t>
      </w:r>
      <w:r>
        <w:t>, in particular (but not limited to):</w:t>
      </w:r>
      <w:bookmarkEnd w:id="44"/>
    </w:p>
    <w:p w14:paraId="37A52E4C" w14:textId="77F9F427" w:rsidR="005372B3" w:rsidRDefault="00C73A5A" w:rsidP="003276D3">
      <w:pPr>
        <w:pStyle w:val="NumBC2"/>
      </w:pPr>
      <w:r>
        <w:t xml:space="preserve">the market participant assumptions to use </w:t>
      </w:r>
      <w:r w:rsidR="00824D44">
        <w:t xml:space="preserve">in measuring fair value </w:t>
      </w:r>
      <w:r>
        <w:t xml:space="preserve">where </w:t>
      </w:r>
      <w:r w:rsidR="005372B3">
        <w:t xml:space="preserve">a public sector </w:t>
      </w:r>
      <w:r w:rsidR="00935B3F">
        <w:t>entity</w:t>
      </w:r>
      <w:r w:rsidR="00643A61">
        <w:t>’s</w:t>
      </w:r>
      <w:r w:rsidR="00935B3F">
        <w:t xml:space="preserve"> </w:t>
      </w:r>
      <w:r w:rsidR="005372B3">
        <w:t xml:space="preserve">asset </w:t>
      </w:r>
      <w:r w:rsidR="00824D44">
        <w:t>has</w:t>
      </w:r>
      <w:r w:rsidR="005372B3">
        <w:t xml:space="preserve"> few or no market participants </w:t>
      </w:r>
      <w:r w:rsidR="00935B3F">
        <w:t xml:space="preserve">(other than the </w:t>
      </w:r>
      <w:r w:rsidR="00824D44">
        <w:t>holder of the asset</w:t>
      </w:r>
      <w:r w:rsidR="00935B3F">
        <w:t xml:space="preserve">) </w:t>
      </w:r>
      <w:r w:rsidR="005372B3">
        <w:t xml:space="preserve">and where information about </w:t>
      </w:r>
      <w:r w:rsidR="00643A61">
        <w:t xml:space="preserve">market participants’ </w:t>
      </w:r>
      <w:r w:rsidR="005372B3">
        <w:t>inputs to a current replacement cost model may be scarce;</w:t>
      </w:r>
    </w:p>
    <w:p w14:paraId="007F0184" w14:textId="639C2841" w:rsidR="005372B3" w:rsidRDefault="005372B3" w:rsidP="003276D3">
      <w:pPr>
        <w:pStyle w:val="NumBC2"/>
      </w:pPr>
      <w:r>
        <w:t xml:space="preserve">how government-imposed </w:t>
      </w:r>
      <w:r w:rsidR="00FD3F6E">
        <w:t xml:space="preserve">public-sector-specific </w:t>
      </w:r>
      <w:r>
        <w:t>restrictions on non-financial assets should be</w:t>
      </w:r>
      <w:r w:rsidR="00B82E77">
        <w:t xml:space="preserve"> taken into account</w:t>
      </w:r>
      <w:r>
        <w:t xml:space="preserve">; </w:t>
      </w:r>
    </w:p>
    <w:p w14:paraId="78A915C8" w14:textId="77777777" w:rsidR="000900BE" w:rsidRDefault="005372B3" w:rsidP="003276D3">
      <w:pPr>
        <w:pStyle w:val="NumBC2"/>
      </w:pPr>
      <w:r>
        <w:t xml:space="preserve">how to </w:t>
      </w:r>
      <w:r w:rsidR="00A4613D">
        <w:t xml:space="preserve">measure the fair </w:t>
      </w:r>
      <w:r>
        <w:t xml:space="preserve">value </w:t>
      </w:r>
      <w:r w:rsidR="00A4613D">
        <w:t xml:space="preserve">of </w:t>
      </w:r>
      <w:r>
        <w:t xml:space="preserve">public sector </w:t>
      </w:r>
      <w:r w:rsidR="00A4613D">
        <w:t xml:space="preserve">entity </w:t>
      </w:r>
      <w:r>
        <w:t>assets using the cost approach</w:t>
      </w:r>
      <w:r w:rsidR="000900BE">
        <w:t>; and</w:t>
      </w:r>
    </w:p>
    <w:p w14:paraId="2369D236" w14:textId="5290952E" w:rsidR="005372B3" w:rsidRDefault="000900BE" w:rsidP="003276D3">
      <w:pPr>
        <w:pStyle w:val="NumBC2"/>
      </w:pPr>
      <w:r>
        <w:t>the concept of obsolescence under the cost approach</w:t>
      </w:r>
      <w:r w:rsidR="005372B3">
        <w:t>.</w:t>
      </w:r>
    </w:p>
    <w:p w14:paraId="435AB148" w14:textId="455CE98C" w:rsidR="00C23DCC" w:rsidRDefault="005372B3" w:rsidP="003276D3">
      <w:pPr>
        <w:pStyle w:val="NumBC1"/>
      </w:pPr>
      <w:bookmarkStart w:id="45" w:name="_Ref118475092"/>
      <w:r>
        <w:t xml:space="preserve">The Board </w:t>
      </w:r>
      <w:r w:rsidR="009B5812">
        <w:t xml:space="preserve">was advised </w:t>
      </w:r>
      <w:r>
        <w:t xml:space="preserve">that the measurement issues </w:t>
      </w:r>
      <w:r w:rsidR="00E45CEB">
        <w:t xml:space="preserve">are pervasive in </w:t>
      </w:r>
      <w:r>
        <w:t xml:space="preserve">the not-for-profit public sector and </w:t>
      </w:r>
      <w:r w:rsidR="00375F2C">
        <w:t xml:space="preserve">involve </w:t>
      </w:r>
      <w:r w:rsidR="0005038C">
        <w:t xml:space="preserve">inconsistent </w:t>
      </w:r>
      <w:r w:rsidR="00C009FC">
        <w:t xml:space="preserve">practical </w:t>
      </w:r>
      <w:r w:rsidR="0005038C">
        <w:t xml:space="preserve">application of </w:t>
      </w:r>
      <w:r w:rsidR="00C009FC">
        <w:t xml:space="preserve">the </w:t>
      </w:r>
      <w:r w:rsidR="0005038C">
        <w:t>principles</w:t>
      </w:r>
      <w:r w:rsidR="00C009FC">
        <w:t xml:space="preserve"> of AASB 13</w:t>
      </w:r>
      <w:r>
        <w:t>.</w:t>
      </w:r>
      <w:bookmarkStart w:id="46" w:name="_Ref32408349"/>
      <w:bookmarkStart w:id="47" w:name="_Ref32411045"/>
      <w:bookmarkEnd w:id="45"/>
      <w:r w:rsidR="0056416F" w:rsidRPr="0056416F">
        <w:t xml:space="preserve"> </w:t>
      </w:r>
      <w:bookmarkEnd w:id="46"/>
      <w:bookmarkEnd w:id="47"/>
    </w:p>
    <w:p w14:paraId="2AF965D1" w14:textId="4C07B6F4" w:rsidR="00B63340" w:rsidRDefault="00B63340" w:rsidP="003276D3">
      <w:pPr>
        <w:pStyle w:val="NumBC1"/>
      </w:pPr>
      <w:r>
        <w:t>In addition, in consider</w:t>
      </w:r>
      <w:r w:rsidR="00413167">
        <w:t>ing</w:t>
      </w:r>
      <w:r>
        <w:t xml:space="preserve"> its Service Concession Arrangements: Grantors </w:t>
      </w:r>
      <w:r w:rsidR="29796204">
        <w:t>P</w:t>
      </w:r>
      <w:r>
        <w:t>roject, the Board decided at its February 2016 meeting that</w:t>
      </w:r>
      <w:r w:rsidR="006D77DD">
        <w:t>,</w:t>
      </w:r>
      <w:r>
        <w:t xml:space="preserve"> because a service concession asset is a</w:t>
      </w:r>
      <w:r w:rsidR="00690204">
        <w:t>n</w:t>
      </w:r>
      <w:r>
        <w:t xml:space="preserve"> asset that the grantor uses for its service potential to achieve public service objectives</w:t>
      </w:r>
      <w:r w:rsidR="003B3ACA">
        <w:t xml:space="preserve"> </w:t>
      </w:r>
      <w:r w:rsidR="00436262">
        <w:t>(</w:t>
      </w:r>
      <w:r w:rsidR="003B3ACA">
        <w:t>rather than to generate net cash inflows</w:t>
      </w:r>
      <w:r w:rsidR="00436262">
        <w:t>)</w:t>
      </w:r>
      <w:r>
        <w:t>, only the cost approach to measuring fair value is relevant and</w:t>
      </w:r>
      <w:r w:rsidR="006D77DD">
        <w:t>,</w:t>
      </w:r>
      <w:r>
        <w:t xml:space="preserve"> where the operator has been granted the right to future cash flows, this need not be considered in the measurement of the grantor’s service concession asset.</w:t>
      </w:r>
      <w:r w:rsidR="00307210">
        <w:t xml:space="preserve"> </w:t>
      </w:r>
      <w:r w:rsidR="00FD79E7">
        <w:t xml:space="preserve">In </w:t>
      </w:r>
      <w:r>
        <w:t xml:space="preserve">developing AASB 1059 </w:t>
      </w:r>
      <w:r w:rsidRPr="603B2CFD">
        <w:rPr>
          <w:i/>
          <w:iCs/>
        </w:rPr>
        <w:t>Service Concession Arrangements: Grantors</w:t>
      </w:r>
      <w:r>
        <w:t xml:space="preserve">, the Board noted that it </w:t>
      </w:r>
      <w:r w:rsidR="00CC539B">
        <w:t xml:space="preserve">did </w:t>
      </w:r>
      <w:r>
        <w:t xml:space="preserve">not </w:t>
      </w:r>
      <w:r w:rsidR="00CC539B">
        <w:t xml:space="preserve">provide </w:t>
      </w:r>
      <w:r>
        <w:t xml:space="preserve">guidance on the measurement of </w:t>
      </w:r>
      <w:r w:rsidR="00CD4C27">
        <w:t>service concession</w:t>
      </w:r>
      <w:r>
        <w:t xml:space="preserve"> assets on the grounds that this would best be developed in a future project on the measurement of public sector assets –</w:t>
      </w:r>
      <w:r w:rsidR="00F70EF6">
        <w:t xml:space="preserve"> </w:t>
      </w:r>
      <w:r>
        <w:t xml:space="preserve">the Fair Value Measurement for </w:t>
      </w:r>
      <w:r w:rsidR="002E2089">
        <w:t xml:space="preserve">Not-for-Profit </w:t>
      </w:r>
      <w:r>
        <w:t>Public Sector Entities Project</w:t>
      </w:r>
      <w:r w:rsidR="00382B8F">
        <w:t xml:space="preserve"> (FVM project)</w:t>
      </w:r>
      <w:r>
        <w:t>.</w:t>
      </w:r>
      <w:r w:rsidR="002176E3">
        <w:t xml:space="preserve"> </w:t>
      </w:r>
    </w:p>
    <w:p w14:paraId="53A4EDF3" w14:textId="07919AF4" w:rsidR="005372B3" w:rsidRDefault="002A5523">
      <w:pPr>
        <w:pStyle w:val="IASBSectionTitle1NonInd"/>
      </w:pPr>
      <w:r>
        <w:t>D</w:t>
      </w:r>
      <w:r w:rsidR="00054DE1">
        <w:t>ue process</w:t>
      </w:r>
    </w:p>
    <w:p w14:paraId="45AF5620" w14:textId="24F6A5BD" w:rsidR="00A649EE" w:rsidRDefault="00A649EE" w:rsidP="00500790">
      <w:pPr>
        <w:pStyle w:val="IASBSectionTitle2Ind"/>
      </w:pPr>
      <w:bookmarkStart w:id="48" w:name="_Ref31119704"/>
      <w:r>
        <w:t>Fair Value Project Advisory Panel</w:t>
      </w:r>
    </w:p>
    <w:p w14:paraId="79496821" w14:textId="26D99119" w:rsidR="005372B3" w:rsidRDefault="005372B3" w:rsidP="003276D3">
      <w:pPr>
        <w:pStyle w:val="NumBC1"/>
      </w:pPr>
      <w:r>
        <w:t xml:space="preserve">The </w:t>
      </w:r>
      <w:r w:rsidR="00AE0259">
        <w:t>Board</w:t>
      </w:r>
      <w:r>
        <w:t xml:space="preserve"> established the Fair Value Project Advisory Panel (the Panel) to provide a forum for the </w:t>
      </w:r>
      <w:r w:rsidR="00974071">
        <w:t>Board</w:t>
      </w:r>
      <w:r>
        <w:t xml:space="preserve"> to consult </w:t>
      </w:r>
      <w:r w:rsidR="00A63352">
        <w:t xml:space="preserve">with </w:t>
      </w:r>
      <w:r>
        <w:t>on specific fair value measurement issues.</w:t>
      </w:r>
      <w:r w:rsidR="00BE09D9">
        <w:t xml:space="preserve"> </w:t>
      </w:r>
      <w:r>
        <w:t xml:space="preserve">The Panel consists of industry experts </w:t>
      </w:r>
      <w:r w:rsidR="004E0DDC">
        <w:t>with</w:t>
      </w:r>
      <w:r>
        <w:t xml:space="preserve"> experience in dealing with fair value measurement issues,</w:t>
      </w:r>
      <w:r w:rsidR="00C94E81">
        <w:t xml:space="preserve"> </w:t>
      </w:r>
      <w:r>
        <w:t>and include</w:t>
      </w:r>
      <w:r w:rsidR="005113B1">
        <w:t>s</w:t>
      </w:r>
      <w:r>
        <w:t xml:space="preserve"> asset valuers </w:t>
      </w:r>
      <w:r w:rsidR="000B7326">
        <w:t xml:space="preserve">and </w:t>
      </w:r>
      <w:r>
        <w:t>preparers and auditors</w:t>
      </w:r>
      <w:r w:rsidR="000B7326">
        <w:t xml:space="preserve"> of financial statements</w:t>
      </w:r>
      <w:r>
        <w:t xml:space="preserve">. The </w:t>
      </w:r>
      <w:r w:rsidR="00974071">
        <w:t>Board</w:t>
      </w:r>
      <w:r>
        <w:t xml:space="preserve"> held </w:t>
      </w:r>
      <w:r w:rsidR="00351AA9">
        <w:t xml:space="preserve">numerous </w:t>
      </w:r>
      <w:r>
        <w:t>meetings with the Panel</w:t>
      </w:r>
      <w:r w:rsidR="00F16139">
        <w:t xml:space="preserve"> over the course of the project</w:t>
      </w:r>
      <w:r>
        <w:t xml:space="preserve">. The </w:t>
      </w:r>
      <w:r w:rsidR="00591B48">
        <w:t>FVM pr</w:t>
      </w:r>
      <w:r>
        <w:t xml:space="preserve">oject has been assisted considerably by extensive </w:t>
      </w:r>
      <w:r w:rsidR="001123BC">
        <w:t xml:space="preserve">input from </w:t>
      </w:r>
      <w:r>
        <w:t xml:space="preserve">Panel members. </w:t>
      </w:r>
      <w:bookmarkEnd w:id="48"/>
    </w:p>
    <w:p w14:paraId="102CA690" w14:textId="49A45D1F" w:rsidR="005372B3" w:rsidRDefault="005372B3" w:rsidP="003276D3">
      <w:pPr>
        <w:pStyle w:val="NumBC1"/>
      </w:pPr>
      <w:bookmarkStart w:id="49" w:name="_Ref31119706"/>
      <w:r>
        <w:t xml:space="preserve">As part of the </w:t>
      </w:r>
      <w:r w:rsidR="00687763">
        <w:t>FVM p</w:t>
      </w:r>
      <w:r>
        <w:t xml:space="preserve">roject, the </w:t>
      </w:r>
      <w:r w:rsidR="00974071">
        <w:t>Board</w:t>
      </w:r>
      <w:r>
        <w:t xml:space="preserve"> also consulted </w:t>
      </w:r>
      <w:r w:rsidR="00B13957">
        <w:t xml:space="preserve">with </w:t>
      </w:r>
      <w:r w:rsidR="007707CF">
        <w:t xml:space="preserve">some </w:t>
      </w:r>
      <w:r>
        <w:t xml:space="preserve">asset </w:t>
      </w:r>
      <w:r w:rsidRPr="006335A2">
        <w:t xml:space="preserve">valuers </w:t>
      </w:r>
      <w:r>
        <w:t xml:space="preserve">and the </w:t>
      </w:r>
      <w:r w:rsidR="00A87F75">
        <w:t>Australian Property Institute</w:t>
      </w:r>
      <w:r>
        <w:t xml:space="preserve"> to seek understanding of how asset valuations are carried out in practice,</w:t>
      </w:r>
      <w:r w:rsidRPr="006335A2">
        <w:t xml:space="preserve"> and whether (and, if so, in what manner) the principles in AASB 13 differ from these practices.</w:t>
      </w:r>
      <w:bookmarkEnd w:id="49"/>
    </w:p>
    <w:p w14:paraId="64DF91D3" w14:textId="02F7A70D" w:rsidR="00EA45F0" w:rsidRDefault="004D0C05" w:rsidP="00500790">
      <w:pPr>
        <w:pStyle w:val="IASBSectionTitle2Ind"/>
      </w:pPr>
      <w:r>
        <w:t>Stakeholder feedback on</w:t>
      </w:r>
      <w:r w:rsidR="00824435">
        <w:t xml:space="preserve"> the </w:t>
      </w:r>
      <w:r w:rsidR="00EA45F0">
        <w:t xml:space="preserve">IPSASB’s </w:t>
      </w:r>
      <w:r w:rsidR="00EA45F0" w:rsidRPr="00B87C2D">
        <w:t>Measurement</w:t>
      </w:r>
      <w:r w:rsidR="00EA45F0">
        <w:t xml:space="preserve"> project</w:t>
      </w:r>
    </w:p>
    <w:p w14:paraId="5DD73724" w14:textId="4CE54DD7" w:rsidR="002573AD" w:rsidRDefault="002573AD" w:rsidP="003276D3">
      <w:pPr>
        <w:pStyle w:val="NumBC1"/>
      </w:pPr>
      <w:r>
        <w:t xml:space="preserve">In </w:t>
      </w:r>
      <w:r w:rsidR="004D7575">
        <w:t xml:space="preserve">April </w:t>
      </w:r>
      <w:r>
        <w:t>2021, t</w:t>
      </w:r>
      <w:r w:rsidRPr="004E164C">
        <w:t>he I</w:t>
      </w:r>
      <w:r>
        <w:t xml:space="preserve">nternational </w:t>
      </w:r>
      <w:r w:rsidRPr="004E164C">
        <w:t>P</w:t>
      </w:r>
      <w:r>
        <w:t xml:space="preserve">ublic </w:t>
      </w:r>
      <w:r w:rsidRPr="004E164C">
        <w:t>S</w:t>
      </w:r>
      <w:r>
        <w:t xml:space="preserve">ector </w:t>
      </w:r>
      <w:r w:rsidRPr="004E164C">
        <w:t>A</w:t>
      </w:r>
      <w:r>
        <w:t xml:space="preserve">ccounting </w:t>
      </w:r>
      <w:r w:rsidRPr="004E164C">
        <w:t>S</w:t>
      </w:r>
      <w:r>
        <w:t xml:space="preserve">tandards </w:t>
      </w:r>
      <w:r w:rsidRPr="004E164C">
        <w:t>B</w:t>
      </w:r>
      <w:r>
        <w:t>oard (IPSASB)</w:t>
      </w:r>
      <w:r w:rsidRPr="004E164C">
        <w:t xml:space="preserve"> </w:t>
      </w:r>
      <w:r>
        <w:t xml:space="preserve">issued Exposure Draft </w:t>
      </w:r>
      <w:r w:rsidRPr="00B77968">
        <w:t xml:space="preserve">ED 77 </w:t>
      </w:r>
      <w:r w:rsidRPr="008A0118">
        <w:rPr>
          <w:i/>
          <w:iCs/>
        </w:rPr>
        <w:t>Measurement</w:t>
      </w:r>
      <w:r>
        <w:t>.</w:t>
      </w:r>
      <w:r w:rsidR="00F122F1">
        <w:t xml:space="preserve"> </w:t>
      </w:r>
      <w:r w:rsidR="00EB36AE">
        <w:t>I</w:t>
      </w:r>
      <w:r w:rsidR="00644B5F">
        <w:t xml:space="preserve">f </w:t>
      </w:r>
      <w:r w:rsidR="00724156">
        <w:t>approved</w:t>
      </w:r>
      <w:r w:rsidR="00351AA9">
        <w:t xml:space="preserve"> as a final pronouncement</w:t>
      </w:r>
      <w:r w:rsidR="00724156">
        <w:t>,</w:t>
      </w:r>
      <w:r w:rsidR="00F122F1">
        <w:t xml:space="preserve"> </w:t>
      </w:r>
      <w:r w:rsidR="00EB36AE">
        <w:t xml:space="preserve">ED 77 </w:t>
      </w:r>
      <w:r w:rsidR="00F122F1">
        <w:t xml:space="preserve">would </w:t>
      </w:r>
      <w:r w:rsidR="00F122F1" w:rsidRPr="00562F1B">
        <w:t xml:space="preserve">establish a single comprehensive </w:t>
      </w:r>
      <w:r w:rsidR="001D0F9E">
        <w:t>S</w:t>
      </w:r>
      <w:r w:rsidR="00F122F1" w:rsidRPr="00562F1B">
        <w:t>tandard that identifies and defines the measurement bases used in IPSAS</w:t>
      </w:r>
      <w:r w:rsidR="00F122F1">
        <w:t xml:space="preserve"> for not-for-profit public sector entities.</w:t>
      </w:r>
      <w:r w:rsidR="00F122F1" w:rsidRPr="00562F1B">
        <w:t xml:space="preserve"> </w:t>
      </w:r>
    </w:p>
    <w:p w14:paraId="0D29DEAC" w14:textId="500151A6" w:rsidR="001B053B" w:rsidRDefault="00724156" w:rsidP="003276D3">
      <w:pPr>
        <w:pStyle w:val="NumBC1"/>
      </w:pPr>
      <w:r>
        <w:t>ED 77</w:t>
      </w:r>
      <w:r w:rsidR="00BB2548">
        <w:t xml:space="preserve"> </w:t>
      </w:r>
      <w:r w:rsidR="003D51CC">
        <w:t>w</w:t>
      </w:r>
      <w:r>
        <w:t>as</w:t>
      </w:r>
      <w:r w:rsidR="003D51CC">
        <w:t xml:space="preserve"> </w:t>
      </w:r>
      <w:r w:rsidR="004B6384">
        <w:t>developed</w:t>
      </w:r>
      <w:r w:rsidR="003D51CC">
        <w:t xml:space="preserve"> based on the view </w:t>
      </w:r>
      <w:r w:rsidR="00D60CA4">
        <w:t xml:space="preserve">that the fair value measurement basis under IFRS 13 </w:t>
      </w:r>
      <w:r w:rsidR="009265E8">
        <w:t xml:space="preserve">(which is adopted in AASB 13) </w:t>
      </w:r>
      <w:r w:rsidR="003111CA">
        <w:t xml:space="preserve">would be applicable to assets held for their financial capacity, but </w:t>
      </w:r>
      <w:r w:rsidR="00D60CA4">
        <w:t>would be inappropriate for measuring the current value of assets</w:t>
      </w:r>
      <w:r w:rsidR="003D51CC">
        <w:t xml:space="preserve"> held for their operational capacity (</w:t>
      </w:r>
      <w:r w:rsidR="003E50C6">
        <w:t>ie</w:t>
      </w:r>
      <w:r w:rsidR="003D51CC">
        <w:t xml:space="preserve"> assets </w:t>
      </w:r>
      <w:r w:rsidR="00522EBE">
        <w:t xml:space="preserve">not </w:t>
      </w:r>
      <w:r w:rsidR="003D51CC">
        <w:t>held primarily for their</w:t>
      </w:r>
      <w:r w:rsidR="00522EBE">
        <w:t xml:space="preserve"> ability to generate net cash inflows</w:t>
      </w:r>
      <w:r w:rsidR="003D51CC">
        <w:t>)</w:t>
      </w:r>
      <w:r w:rsidR="00D60CA4">
        <w:t xml:space="preserve">. Instead, the IPSASB </w:t>
      </w:r>
      <w:r w:rsidR="003D51CC">
        <w:t>proposed</w:t>
      </w:r>
      <w:r w:rsidR="00D60CA4">
        <w:t xml:space="preserve"> a different current value measurement basis – current operational value – for measuring the current value of assets</w:t>
      </w:r>
      <w:r w:rsidR="003F116B" w:rsidRPr="003F116B">
        <w:t xml:space="preserve"> </w:t>
      </w:r>
      <w:r w:rsidR="003F116B">
        <w:t>held for their operational capacity</w:t>
      </w:r>
      <w:r w:rsidR="00D60CA4">
        <w:t xml:space="preserve">. </w:t>
      </w:r>
    </w:p>
    <w:p w14:paraId="58CA4F95" w14:textId="5E5157C2" w:rsidR="004964AB" w:rsidRDefault="00862BEC" w:rsidP="003276D3">
      <w:pPr>
        <w:pStyle w:val="NumBC1"/>
      </w:pPr>
      <w:r>
        <w:t>In contrast with fair value</w:t>
      </w:r>
      <w:r w:rsidR="003C0EAC">
        <w:t xml:space="preserve">, which is a </w:t>
      </w:r>
      <w:r w:rsidR="002126F6">
        <w:t xml:space="preserve">market-participant-based </w:t>
      </w:r>
      <w:r w:rsidR="003C0EAC">
        <w:t xml:space="preserve">exit value </w:t>
      </w:r>
      <w:r w:rsidR="00522EBE">
        <w:t xml:space="preserve">reflecting </w:t>
      </w:r>
      <w:r w:rsidR="003C0EAC">
        <w:t>an asset’s highest and best use, current operational value is proposed to be an entity</w:t>
      </w:r>
      <w:r w:rsidR="006F64FC">
        <w:t>-</w:t>
      </w:r>
      <w:r w:rsidR="003C0EAC">
        <w:t xml:space="preserve">specific entry value based on an asset’s </w:t>
      </w:r>
      <w:r w:rsidR="003F1BE5">
        <w:t xml:space="preserve">current </w:t>
      </w:r>
      <w:r w:rsidR="003C0EAC">
        <w:t>use.</w:t>
      </w:r>
      <w:r w:rsidR="00051C19">
        <w:t xml:space="preserve"> The IPSASB proposed that the same three measurement techniques </w:t>
      </w:r>
      <w:r w:rsidR="00C45D67">
        <w:t xml:space="preserve">– </w:t>
      </w:r>
      <w:r w:rsidR="00051C19">
        <w:t>the market, income and cost</w:t>
      </w:r>
      <w:r w:rsidR="008E4351">
        <w:t xml:space="preserve"> </w:t>
      </w:r>
      <w:r w:rsidR="002126F6">
        <w:t xml:space="preserve">approaches </w:t>
      </w:r>
      <w:r w:rsidR="00C45D67">
        <w:t xml:space="preserve">– </w:t>
      </w:r>
      <w:r w:rsidR="00FF1FFE">
        <w:t xml:space="preserve">would be applicable in estimating </w:t>
      </w:r>
      <w:r w:rsidR="004964AB">
        <w:t>both:</w:t>
      </w:r>
    </w:p>
    <w:p w14:paraId="4AAEC7CF" w14:textId="7FD8F0A9" w:rsidR="004964AB" w:rsidRDefault="00E16EBA" w:rsidP="003276D3">
      <w:pPr>
        <w:pStyle w:val="NumBC2"/>
      </w:pPr>
      <w:r>
        <w:t xml:space="preserve">an asset’s </w:t>
      </w:r>
      <w:r w:rsidR="00FF1FFE">
        <w:t>fair value</w:t>
      </w:r>
      <w:r>
        <w:t xml:space="preserve">, </w:t>
      </w:r>
      <w:r w:rsidR="00FF1FFE">
        <w:t xml:space="preserve">for assets held </w:t>
      </w:r>
      <w:r>
        <w:t xml:space="preserve">primarily </w:t>
      </w:r>
      <w:r w:rsidR="00FF1FFE">
        <w:t>for their financial capacity</w:t>
      </w:r>
      <w:r w:rsidR="004964AB">
        <w:t>;</w:t>
      </w:r>
      <w:r w:rsidR="00BD7366">
        <w:t xml:space="preserve"> and</w:t>
      </w:r>
    </w:p>
    <w:p w14:paraId="68B3156E" w14:textId="4669D6FA" w:rsidR="00862BEC" w:rsidRDefault="00E16EBA" w:rsidP="003276D3">
      <w:pPr>
        <w:pStyle w:val="NumBC2"/>
      </w:pPr>
      <w:r>
        <w:t xml:space="preserve">an asset’s </w:t>
      </w:r>
      <w:r w:rsidR="00FF1FFE">
        <w:t>current operation</w:t>
      </w:r>
      <w:r>
        <w:t xml:space="preserve">al value, for assets held primarily for their operational capacity. </w:t>
      </w:r>
    </w:p>
    <w:p w14:paraId="26E84A40" w14:textId="7FC4DE35" w:rsidR="003A2719" w:rsidRDefault="003A2719" w:rsidP="003276D3">
      <w:pPr>
        <w:pStyle w:val="NumBC1"/>
      </w:pPr>
      <w:r>
        <w:t>I</w:t>
      </w:r>
      <w:r w:rsidRPr="000D545B">
        <w:t xml:space="preserve">n accordance with paragraph 20 of </w:t>
      </w:r>
      <w:r w:rsidR="00494AC5" w:rsidRPr="00494AC5">
        <w:rPr>
          <w:i/>
          <w:iCs/>
        </w:rPr>
        <w:t>T</w:t>
      </w:r>
      <w:r w:rsidRPr="00494AC5">
        <w:rPr>
          <w:i/>
          <w:iCs/>
        </w:rPr>
        <w:t>he</w:t>
      </w:r>
      <w:r w:rsidRPr="000D545B">
        <w:t xml:space="preserve"> </w:t>
      </w:r>
      <w:r w:rsidRPr="00820139">
        <w:rPr>
          <w:i/>
          <w:iCs/>
        </w:rPr>
        <w:t>AASB’s Approach to International Public Sector Accounting Standards</w:t>
      </w:r>
      <w:r w:rsidR="00494AC5">
        <w:t xml:space="preserve"> (October 2019)</w:t>
      </w:r>
      <w:r w:rsidRPr="000D545B">
        <w:t xml:space="preserve">, </w:t>
      </w:r>
      <w:r w:rsidR="00EF4A70">
        <w:t xml:space="preserve">in May </w:t>
      </w:r>
      <w:r w:rsidR="002126F6">
        <w:t xml:space="preserve">2021 </w:t>
      </w:r>
      <w:r w:rsidRPr="000D545B">
        <w:t xml:space="preserve">the </w:t>
      </w:r>
      <w:r>
        <w:t xml:space="preserve">Board issued ITC 45 </w:t>
      </w:r>
      <w:r w:rsidRPr="002533F3">
        <w:rPr>
          <w:i/>
          <w:iCs/>
        </w:rPr>
        <w:t>Request for Comment on IPSASB Exposure Drafts</w:t>
      </w:r>
      <w:r w:rsidRPr="00616475">
        <w:t xml:space="preserve"> </w:t>
      </w:r>
      <w:r w:rsidRPr="0025632E">
        <w:rPr>
          <w:i/>
          <w:iCs/>
        </w:rPr>
        <w:t>ED 76</w:t>
      </w:r>
      <w:r w:rsidRPr="00616475">
        <w:t xml:space="preserve"> Conceptual Framework Update: Chapter 7, </w:t>
      </w:r>
      <w:r w:rsidRPr="002533F3">
        <w:rPr>
          <w:i/>
          <w:iCs/>
        </w:rPr>
        <w:t>Measurement of Assets and Liabilities in Financial Statements</w:t>
      </w:r>
      <w:r w:rsidRPr="00616475">
        <w:t xml:space="preserve"> </w:t>
      </w:r>
      <w:r w:rsidRPr="0025632E">
        <w:rPr>
          <w:i/>
          <w:iCs/>
        </w:rPr>
        <w:t>and ED 77</w:t>
      </w:r>
      <w:r w:rsidRPr="00616475">
        <w:t xml:space="preserve"> </w:t>
      </w:r>
      <w:r w:rsidRPr="0025632E">
        <w:t>Measurement</w:t>
      </w:r>
      <w:r>
        <w:t>,</w:t>
      </w:r>
      <w:r w:rsidRPr="000D545B">
        <w:t xml:space="preserve"> </w:t>
      </w:r>
      <w:r>
        <w:t>to obtain Australian stakeholders’ views on the IPSASB’s proposals</w:t>
      </w:r>
      <w:r w:rsidRPr="000D545B">
        <w:t xml:space="preserve">. </w:t>
      </w:r>
    </w:p>
    <w:p w14:paraId="296C8C82" w14:textId="02330595" w:rsidR="00D60CA4" w:rsidRDefault="00CB064F" w:rsidP="003276D3">
      <w:pPr>
        <w:pStyle w:val="NumBC1"/>
      </w:pPr>
      <w:r>
        <w:lastRenderedPageBreak/>
        <w:t>T</w:t>
      </w:r>
      <w:r w:rsidR="00D60CA4">
        <w:t xml:space="preserve">he </w:t>
      </w:r>
      <w:r w:rsidR="000E063A">
        <w:t>Board added</w:t>
      </w:r>
      <w:r w:rsidR="00080E15">
        <w:t xml:space="preserve"> </w:t>
      </w:r>
      <w:r w:rsidR="00D60CA4">
        <w:t xml:space="preserve">AASB </w:t>
      </w:r>
      <w:r w:rsidR="000B7326">
        <w:t>s</w:t>
      </w:r>
      <w:r w:rsidR="00D60CA4">
        <w:t xml:space="preserve">pecific </w:t>
      </w:r>
      <w:r w:rsidR="000B7326">
        <w:t>m</w:t>
      </w:r>
      <w:r w:rsidR="00D60CA4">
        <w:t xml:space="preserve">atters for </w:t>
      </w:r>
      <w:r w:rsidR="000B7326">
        <w:t>c</w:t>
      </w:r>
      <w:r w:rsidR="00D60CA4">
        <w:t xml:space="preserve">omment </w:t>
      </w:r>
      <w:r w:rsidR="00080E15">
        <w:t xml:space="preserve">in ITC 45 </w:t>
      </w:r>
      <w:r w:rsidR="00B674A4">
        <w:t xml:space="preserve">to </w:t>
      </w:r>
      <w:r w:rsidR="003C2AAA">
        <w:t xml:space="preserve">specifically </w:t>
      </w:r>
      <w:r w:rsidR="00B674A4">
        <w:t xml:space="preserve">obtain views on </w:t>
      </w:r>
      <w:r w:rsidR="00D60CA4">
        <w:t xml:space="preserve">whether Australian </w:t>
      </w:r>
      <w:r w:rsidR="003C2AAA">
        <w:t>stakeholder</w:t>
      </w:r>
      <w:r w:rsidR="00D60CA4">
        <w:t xml:space="preserve">s would prefer </w:t>
      </w:r>
      <w:r w:rsidR="00E94BBD">
        <w:t xml:space="preserve">that </w:t>
      </w:r>
      <w:r w:rsidR="00D60CA4">
        <w:t xml:space="preserve">the </w:t>
      </w:r>
      <w:r w:rsidR="00B674A4">
        <w:t>Board</w:t>
      </w:r>
      <w:r w:rsidR="00D60CA4">
        <w:t xml:space="preserve"> </w:t>
      </w:r>
      <w:r w:rsidR="00E94BBD">
        <w:t>adopts</w:t>
      </w:r>
      <w:r w:rsidR="00437BC3">
        <w:t>,</w:t>
      </w:r>
      <w:r w:rsidR="00E94BBD">
        <w:t xml:space="preserve"> </w:t>
      </w:r>
      <w:r w:rsidR="00115062">
        <w:t xml:space="preserve">in respect of current value measurement of </w:t>
      </w:r>
      <w:r w:rsidR="006B1630">
        <w:t xml:space="preserve">non-financial </w:t>
      </w:r>
      <w:r w:rsidR="00115062">
        <w:t xml:space="preserve">assets </w:t>
      </w:r>
      <w:r w:rsidR="00BB5EC8">
        <w:t xml:space="preserve">of not-for-profit entities not </w:t>
      </w:r>
      <w:r w:rsidR="00115062">
        <w:t>held primarily for their</w:t>
      </w:r>
      <w:r w:rsidR="00BB5EC8">
        <w:t xml:space="preserve"> ability to generate net cash inflows</w:t>
      </w:r>
      <w:r w:rsidR="00115062">
        <w:t>,</w:t>
      </w:r>
      <w:r w:rsidR="00111696">
        <w:t xml:space="preserve"> </w:t>
      </w:r>
      <w:r w:rsidR="00D60CA4">
        <w:t>the IPSASB’s proposed current operational value measurement basis or</w:t>
      </w:r>
      <w:r w:rsidR="00F61C3E">
        <w:t xml:space="preserve"> </w:t>
      </w:r>
      <w:r w:rsidR="00D60CA4">
        <w:t>continu</w:t>
      </w:r>
      <w:r w:rsidR="00BE1303">
        <w:t>e</w:t>
      </w:r>
      <w:r w:rsidR="00FD0276">
        <w:t>s</w:t>
      </w:r>
      <w:r w:rsidR="00D60CA4">
        <w:t xml:space="preserve"> </w:t>
      </w:r>
      <w:r w:rsidR="00F85D5D">
        <w:t xml:space="preserve">requiring </w:t>
      </w:r>
      <w:r w:rsidR="00887127">
        <w:t xml:space="preserve">the </w:t>
      </w:r>
      <w:r w:rsidR="00F61C3E">
        <w:t>fair value</w:t>
      </w:r>
      <w:r w:rsidR="00887127">
        <w:t xml:space="preserve"> measurement basis</w:t>
      </w:r>
      <w:r w:rsidR="00F61C3E">
        <w:t>.</w:t>
      </w:r>
    </w:p>
    <w:p w14:paraId="7710AB9D" w14:textId="17B2087F" w:rsidR="00D72108" w:rsidRDefault="008E00E7" w:rsidP="003276D3">
      <w:pPr>
        <w:pStyle w:val="NumBC1"/>
      </w:pPr>
      <w:r>
        <w:t>The Board</w:t>
      </w:r>
      <w:r w:rsidR="00E442EA">
        <w:t xml:space="preserve"> received </w:t>
      </w:r>
      <w:r w:rsidR="006B54EB">
        <w:t xml:space="preserve">six comment letters on ITC 45. Based on those comment letters and on the feedback received from </w:t>
      </w:r>
      <w:r w:rsidR="007F08B5">
        <w:t xml:space="preserve">related </w:t>
      </w:r>
      <w:r w:rsidR="006B54EB">
        <w:t xml:space="preserve">outreach activities, </w:t>
      </w:r>
      <w:r w:rsidR="00D745A4">
        <w:t>the Board</w:t>
      </w:r>
      <w:r w:rsidR="008E22CC">
        <w:t xml:space="preserve"> noted that a</w:t>
      </w:r>
      <w:r w:rsidR="00D72108">
        <w:t xml:space="preserve"> significant majority of stakeholders</w:t>
      </w:r>
      <w:r w:rsidR="00B51D7F">
        <w:t xml:space="preserve"> that responded to ITC 45</w:t>
      </w:r>
      <w:r w:rsidR="00FD0276">
        <w:t>,</w:t>
      </w:r>
      <w:r w:rsidR="00D72108">
        <w:t xml:space="preserve"> </w:t>
      </w:r>
      <w:r w:rsidR="00FD0276">
        <w:t xml:space="preserve">including </w:t>
      </w:r>
      <w:r w:rsidR="008E22CC">
        <w:t xml:space="preserve">not-for-profit </w:t>
      </w:r>
      <w:r w:rsidR="00D72108">
        <w:t>public sector entities’ financial statement preparers, auditors and valuers</w:t>
      </w:r>
      <w:r w:rsidR="00FD0276">
        <w:t>,</w:t>
      </w:r>
      <w:r w:rsidR="00D72108">
        <w:t xml:space="preserve"> indicated that fair value under AASB 13 is appropriate for measuring the current value of </w:t>
      </w:r>
      <w:r w:rsidR="001D0BD3">
        <w:t xml:space="preserve">all </w:t>
      </w:r>
      <w:r w:rsidR="00D72108">
        <w:t xml:space="preserve">non-financial assets held by </w:t>
      </w:r>
      <w:r w:rsidR="008E22CC">
        <w:t>not-for-profit</w:t>
      </w:r>
      <w:r w:rsidR="00D72108">
        <w:t xml:space="preserve"> public sector entities</w:t>
      </w:r>
      <w:r w:rsidR="00B5043E">
        <w:t xml:space="preserve">, whether </w:t>
      </w:r>
      <w:r w:rsidR="00837E4E">
        <w:t xml:space="preserve">held </w:t>
      </w:r>
      <w:r w:rsidR="00E322F8">
        <w:t xml:space="preserve">primarily </w:t>
      </w:r>
      <w:r w:rsidR="00837E4E">
        <w:t>for their financial capacity or operational capacity</w:t>
      </w:r>
      <w:r w:rsidR="00BF3007">
        <w:t xml:space="preserve">, </w:t>
      </w:r>
      <w:r w:rsidR="00D72108">
        <w:t xml:space="preserve">and should remain the </w:t>
      </w:r>
      <w:r w:rsidR="004E0DDC">
        <w:t xml:space="preserve">sole </w:t>
      </w:r>
      <w:r w:rsidR="00D72108">
        <w:t xml:space="preserve">current value measurement basis. </w:t>
      </w:r>
    </w:p>
    <w:p w14:paraId="55949F7E" w14:textId="10A73CD2" w:rsidR="00D72108" w:rsidRDefault="00977ADA" w:rsidP="003276D3">
      <w:pPr>
        <w:pStyle w:val="NumBC1"/>
      </w:pPr>
      <w:r>
        <w:t>The ma</w:t>
      </w:r>
      <w:r w:rsidR="001664D5">
        <w:t>jority of t</w:t>
      </w:r>
      <w:r w:rsidR="00D72108">
        <w:t>hese stakeholders also commented that they agree with applying the ‘highest and best use’ and ‘market participants’ concepts under fair value</w:t>
      </w:r>
      <w:r w:rsidR="0022523B">
        <w:t xml:space="preserve"> for measuring </w:t>
      </w:r>
      <w:r w:rsidR="00FD0276">
        <w:t xml:space="preserve">the current value of </w:t>
      </w:r>
      <w:r w:rsidR="004E0DDC">
        <w:t>non</w:t>
      </w:r>
      <w:r w:rsidR="0043764C">
        <w:t xml:space="preserve">-financial </w:t>
      </w:r>
      <w:r w:rsidR="0022523B">
        <w:t xml:space="preserve">assets </w:t>
      </w:r>
      <w:r w:rsidR="00BB2AAD">
        <w:t xml:space="preserve">not </w:t>
      </w:r>
      <w:r w:rsidR="0022523B">
        <w:t xml:space="preserve">held primarily for their </w:t>
      </w:r>
      <w:r w:rsidR="00BB2AAD">
        <w:t>ability to generate net cash inflows</w:t>
      </w:r>
      <w:r w:rsidR="00D72108">
        <w:t xml:space="preserve">, although some stakeholders </w:t>
      </w:r>
      <w:r w:rsidR="00426BDB">
        <w:t xml:space="preserve">have sought </w:t>
      </w:r>
      <w:r w:rsidR="008A1BEE">
        <w:t xml:space="preserve">the Board’s </w:t>
      </w:r>
      <w:r w:rsidR="00D72108">
        <w:t xml:space="preserve">guidance to assist entities to understand better how these concepts should be applied in the </w:t>
      </w:r>
      <w:r w:rsidR="0022523B">
        <w:t>not-for-profit</w:t>
      </w:r>
      <w:r w:rsidR="00D72108">
        <w:t xml:space="preserve"> public sector context. They consider</w:t>
      </w:r>
      <w:r w:rsidR="00C80855">
        <w:t>ed</w:t>
      </w:r>
      <w:r w:rsidR="00D72108">
        <w:t xml:space="preserve"> that applying the fair value basis to all non-financial assets, despite the need to exercise judgement in applying those concepts, would be preferable to applying two measurement bases, as proposed in </w:t>
      </w:r>
      <w:r w:rsidR="004A275B">
        <w:t xml:space="preserve">the </w:t>
      </w:r>
      <w:r w:rsidR="00C80855">
        <w:t>IPSASB’s Exposure Drafts</w:t>
      </w:r>
      <w:r w:rsidR="00D72108">
        <w:t xml:space="preserve">. This is because it would avoid: </w:t>
      </w:r>
    </w:p>
    <w:p w14:paraId="41B78F8C" w14:textId="1CB5D267" w:rsidR="00D72108" w:rsidRPr="00BC1461" w:rsidRDefault="00D72108" w:rsidP="003276D3">
      <w:pPr>
        <w:pStyle w:val="NumBC2"/>
      </w:pPr>
      <w:r>
        <w:t xml:space="preserve">the need for financial statement preparers, auditors and valuers to understand the requirements of two </w:t>
      </w:r>
      <w:r w:rsidRPr="00BC1461">
        <w:t>measurement bases;</w:t>
      </w:r>
    </w:p>
    <w:p w14:paraId="3A0AC17B" w14:textId="1B7FE877" w:rsidR="00D72108" w:rsidRPr="00BC1461" w:rsidRDefault="00D72108" w:rsidP="003276D3">
      <w:pPr>
        <w:pStyle w:val="NumBC2"/>
      </w:pPr>
      <w:r w:rsidRPr="00BC1461">
        <w:t>imposing potential additional costs and effort to assess which measurement basis is appropriate for each asset or class of assets, or to reassess the appropriate measurement basis when there is a change in how an entity uses an asset; and</w:t>
      </w:r>
    </w:p>
    <w:p w14:paraId="1E8255A8" w14:textId="12B062A1" w:rsidR="00EA45F0" w:rsidRDefault="00D72108" w:rsidP="003276D3">
      <w:pPr>
        <w:pStyle w:val="NumBC2"/>
      </w:pPr>
      <w:r w:rsidRPr="00BC1461">
        <w:t xml:space="preserve">reporting to users of financial statements of </w:t>
      </w:r>
      <w:r w:rsidR="0036086F" w:rsidRPr="00BC1461">
        <w:t>not-for-profit</w:t>
      </w:r>
      <w:r w:rsidRPr="00BC1461">
        <w:t xml:space="preserve"> public sector entities current values based on mixed measurement</w:t>
      </w:r>
      <w:r>
        <w:t xml:space="preserve"> bases, which would reduce the comparability and understandability of the totals reported.</w:t>
      </w:r>
    </w:p>
    <w:p w14:paraId="13C466EC" w14:textId="27F060D3" w:rsidR="009F7C8A" w:rsidRDefault="009F7C8A" w:rsidP="003276D3">
      <w:pPr>
        <w:pStyle w:val="NumBC1"/>
      </w:pPr>
      <w:r>
        <w:t xml:space="preserve">At the date of issue of this </w:t>
      </w:r>
      <w:r w:rsidR="00034823">
        <w:t>Standard</w:t>
      </w:r>
      <w:r>
        <w:t>, the IPSASB was continuing to develop a Measurement Standard and related amendments to its Conceptual Framework based on its proposals in ED 76 and ED 77.</w:t>
      </w:r>
    </w:p>
    <w:p w14:paraId="74E25A34" w14:textId="1E3674B4" w:rsidR="00CB1AEB" w:rsidRDefault="00CB1AEB" w:rsidP="00CB1AEB">
      <w:pPr>
        <w:pStyle w:val="IASBSectionTitle2Ind"/>
      </w:pPr>
      <w:r>
        <w:t xml:space="preserve">Stakeholder feedback on </w:t>
      </w:r>
      <w:r w:rsidR="0035732F">
        <w:t xml:space="preserve">AASB </w:t>
      </w:r>
      <w:r>
        <w:t>ED 320</w:t>
      </w:r>
    </w:p>
    <w:p w14:paraId="54871A21" w14:textId="45B24E7C" w:rsidR="00982B05" w:rsidRDefault="0071632C" w:rsidP="003276D3">
      <w:pPr>
        <w:pStyle w:val="NumBC1"/>
      </w:pPr>
      <w:r>
        <w:t xml:space="preserve">The Board considered the comments received on ITC 45 and </w:t>
      </w:r>
      <w:r w:rsidR="002130BC">
        <w:t>continue</w:t>
      </w:r>
      <w:r w:rsidR="00FD781C">
        <w:t>d</w:t>
      </w:r>
      <w:r w:rsidR="002130BC">
        <w:t xml:space="preserve"> developing guidance to assist not-for-profit public sector entities to apply the principles of AASB 13 more consistently in measuring their non-financial assets not held primarily for their ability to generate net cash inflows, in addressing the stakeholders’ requests noted in paragraph </w:t>
      </w:r>
      <w:r w:rsidR="002130BC">
        <w:fldChar w:fldCharType="begin"/>
      </w:r>
      <w:r w:rsidR="002130BC">
        <w:instrText xml:space="preserve"> REF _Ref88560802 \r \h  \* MERGEFORMAT </w:instrText>
      </w:r>
      <w:r w:rsidR="002130BC">
        <w:fldChar w:fldCharType="separate"/>
      </w:r>
      <w:r w:rsidR="005A1B65">
        <w:t>BC7</w:t>
      </w:r>
      <w:r w:rsidR="002130BC">
        <w:fldChar w:fldCharType="end"/>
      </w:r>
      <w:r w:rsidR="00982B05">
        <w:t>.</w:t>
      </w:r>
    </w:p>
    <w:p w14:paraId="32B653C3" w14:textId="10AB6DCD" w:rsidR="00545D6D" w:rsidRDefault="00982B05" w:rsidP="003276D3">
      <w:pPr>
        <w:pStyle w:val="NumBC1"/>
      </w:pPr>
      <w:r>
        <w:t xml:space="preserve">The Board </w:t>
      </w:r>
      <w:r w:rsidR="00461340">
        <w:t xml:space="preserve">issued Exposure Draft ED 320 </w:t>
      </w:r>
      <w:r w:rsidR="00461340" w:rsidRPr="00EB1E6D">
        <w:rPr>
          <w:i/>
          <w:iCs/>
        </w:rPr>
        <w:t>Fair Value Measurement of Non-Financial Assets of Not-for-Profit Public Sector Entities</w:t>
      </w:r>
      <w:r w:rsidR="00461340">
        <w:t xml:space="preserve"> in March 2022 to </w:t>
      </w:r>
      <w:r w:rsidR="0071632C">
        <w:t>propose addi</w:t>
      </w:r>
      <w:r w:rsidR="006D3B66">
        <w:t>ng authoritative implementation</w:t>
      </w:r>
      <w:r w:rsidR="0071632C">
        <w:t xml:space="preserve"> guidance</w:t>
      </w:r>
      <w:r w:rsidR="006D3B66">
        <w:t xml:space="preserve"> </w:t>
      </w:r>
      <w:bookmarkStart w:id="50" w:name="_Ref28008206"/>
      <w:bookmarkStart w:id="51" w:name="_Ref90907690"/>
      <w:bookmarkStart w:id="52" w:name="_Ref115158981"/>
      <w:r w:rsidR="005005B9">
        <w:t>on</w:t>
      </w:r>
      <w:r w:rsidR="00B94993" w:rsidRPr="00B94993">
        <w:t xml:space="preserve"> how to apply </w:t>
      </w:r>
      <w:r w:rsidR="00D67ED1">
        <w:t>the following</w:t>
      </w:r>
      <w:r w:rsidR="000A0E68">
        <w:t xml:space="preserve"> principles</w:t>
      </w:r>
      <w:r w:rsidR="00522459">
        <w:t xml:space="preserve"> in measuring the fair value of a non-financial asset not held primarily for its ability to generate net cash inflows</w:t>
      </w:r>
      <w:r w:rsidR="000A0E68">
        <w:t>:</w:t>
      </w:r>
      <w:bookmarkEnd w:id="50"/>
      <w:bookmarkEnd w:id="51"/>
      <w:bookmarkEnd w:id="52"/>
    </w:p>
    <w:p w14:paraId="626A7BAA" w14:textId="436BD30A" w:rsidR="0027272E" w:rsidRPr="00BC1461" w:rsidRDefault="0027272E" w:rsidP="003276D3">
      <w:pPr>
        <w:pStyle w:val="NumBC2"/>
      </w:pPr>
      <w:r>
        <w:t xml:space="preserve">the </w:t>
      </w:r>
      <w:r w:rsidRPr="00BC1461">
        <w:t xml:space="preserve">market participant </w:t>
      </w:r>
      <w:r w:rsidR="00E447B1" w:rsidRPr="00BC1461">
        <w:t>assumptions to use</w:t>
      </w:r>
      <w:r w:rsidRPr="00BC1461">
        <w:t xml:space="preserve">; </w:t>
      </w:r>
    </w:p>
    <w:p w14:paraId="06854472" w14:textId="0D4B165B" w:rsidR="0098242D" w:rsidRPr="00BC1461" w:rsidRDefault="0043330F" w:rsidP="003276D3">
      <w:pPr>
        <w:pStyle w:val="NumBC2"/>
      </w:pPr>
      <w:r w:rsidRPr="00BC1461">
        <w:t xml:space="preserve">the circumstances </w:t>
      </w:r>
      <w:r w:rsidR="00CD019F" w:rsidRPr="00BC1461">
        <w:t xml:space="preserve">in which </w:t>
      </w:r>
      <w:r w:rsidR="001A79E9" w:rsidRPr="00BC1461">
        <w:t>the asset’s</w:t>
      </w:r>
      <w:r w:rsidRPr="00BC1461">
        <w:t xml:space="preserve"> c</w:t>
      </w:r>
      <w:r w:rsidR="0098242D" w:rsidRPr="00BC1461">
        <w:t>urrent u</w:t>
      </w:r>
      <w:r w:rsidRPr="00BC1461">
        <w:t xml:space="preserve">se </w:t>
      </w:r>
      <w:r w:rsidR="001A79E9" w:rsidRPr="00BC1461">
        <w:t xml:space="preserve">is </w:t>
      </w:r>
      <w:r w:rsidR="00E70F29">
        <w:t xml:space="preserve">presumed to be </w:t>
      </w:r>
      <w:r w:rsidR="001A79E9" w:rsidRPr="00BC1461">
        <w:t>its highest and best use;</w:t>
      </w:r>
    </w:p>
    <w:p w14:paraId="17B83560" w14:textId="489928D1" w:rsidR="002223DE" w:rsidRPr="00BC1461" w:rsidRDefault="003F778C" w:rsidP="003276D3">
      <w:pPr>
        <w:pStyle w:val="NumBC2"/>
      </w:pPr>
      <w:r w:rsidRPr="00BC1461">
        <w:t xml:space="preserve">the </w:t>
      </w:r>
      <w:r w:rsidR="00D74BD0" w:rsidRPr="00BC1461">
        <w:t>‘</w:t>
      </w:r>
      <w:r w:rsidRPr="00BC1461">
        <w:t>financial</w:t>
      </w:r>
      <w:r w:rsidR="003B30A8" w:rsidRPr="00BC1461">
        <w:t>ly feasible use</w:t>
      </w:r>
      <w:r w:rsidR="00D74BD0" w:rsidRPr="00BC1461">
        <w:t>’</w:t>
      </w:r>
      <w:r w:rsidR="003B30A8" w:rsidRPr="00BC1461">
        <w:t xml:space="preserve"> aspect of </w:t>
      </w:r>
      <w:r w:rsidR="002223DE" w:rsidRPr="00BC1461">
        <w:t>highest and best use (</w:t>
      </w:r>
      <w:r w:rsidR="0051282F" w:rsidRPr="00BC1461">
        <w:t xml:space="preserve">AASB 13 </w:t>
      </w:r>
      <w:r w:rsidR="00A54CC0" w:rsidRPr="00BC1461">
        <w:t>paragraph</w:t>
      </w:r>
      <w:r w:rsidR="003B30A8" w:rsidRPr="00BC1461">
        <w:t xml:space="preserve"> 28</w:t>
      </w:r>
      <w:r w:rsidR="00C564B4">
        <w:t>(c)</w:t>
      </w:r>
      <w:r w:rsidR="003B30A8" w:rsidRPr="00BC1461">
        <w:t>)</w:t>
      </w:r>
      <w:r w:rsidR="002223DE" w:rsidRPr="00BC1461">
        <w:t>;</w:t>
      </w:r>
      <w:r w:rsidR="0098242D" w:rsidRPr="00BC1461">
        <w:t xml:space="preserve"> and</w:t>
      </w:r>
    </w:p>
    <w:p w14:paraId="221083C8" w14:textId="0CAF96F6" w:rsidR="002223DE" w:rsidRDefault="00384CD3" w:rsidP="003276D3">
      <w:pPr>
        <w:pStyle w:val="NumBC2"/>
      </w:pPr>
      <w:r w:rsidRPr="00BC1461">
        <w:t xml:space="preserve">how to measure the current replacement cost of </w:t>
      </w:r>
      <w:r w:rsidR="002D12F7" w:rsidRPr="00BC1461">
        <w:t xml:space="preserve">such </w:t>
      </w:r>
      <w:r w:rsidRPr="00BC1461">
        <w:t xml:space="preserve">a non-financial asset, </w:t>
      </w:r>
      <w:r w:rsidR="00F73097" w:rsidRPr="00BC1461">
        <w:t>including the nature of component costs</w:t>
      </w:r>
      <w:r w:rsidR="00F73097" w:rsidRPr="00F73097">
        <w:t xml:space="preserve"> </w:t>
      </w:r>
      <w:r w:rsidR="00FF41E9">
        <w:t xml:space="preserve">to include </w:t>
      </w:r>
      <w:r w:rsidR="00F73097" w:rsidRPr="00F73097">
        <w:t>in</w:t>
      </w:r>
      <w:r>
        <w:t xml:space="preserve"> that amount</w:t>
      </w:r>
      <w:r w:rsidR="00F73097" w:rsidRPr="00F73097">
        <w:t xml:space="preserve">, </w:t>
      </w:r>
      <w:r w:rsidR="00D74BD0">
        <w:t xml:space="preserve">the factors to consider in identifying </w:t>
      </w:r>
      <w:r w:rsidR="00F73097" w:rsidRPr="00F73097">
        <w:t xml:space="preserve">economic obsolescence, and whether current replacement cost should be measured </w:t>
      </w:r>
      <w:r w:rsidR="00EC10F9">
        <w:t xml:space="preserve">assuming the asset’s replacement </w:t>
      </w:r>
      <w:r w:rsidR="00E847C5">
        <w:t xml:space="preserve">occurs </w:t>
      </w:r>
      <w:r w:rsidR="00F73097" w:rsidRPr="00F73097">
        <w:t xml:space="preserve">in </w:t>
      </w:r>
      <w:r w:rsidR="00EC10F9">
        <w:t xml:space="preserve">its </w:t>
      </w:r>
      <w:r w:rsidR="00FD0387">
        <w:t xml:space="preserve">existing </w:t>
      </w:r>
      <w:r w:rsidR="00F73097" w:rsidRPr="00F73097">
        <w:t>location</w:t>
      </w:r>
      <w:r w:rsidR="00073DF8">
        <w:t>.</w:t>
      </w:r>
    </w:p>
    <w:p w14:paraId="70DA16F6" w14:textId="14A56386" w:rsidR="00593A58" w:rsidRDefault="00593A58" w:rsidP="003276D3">
      <w:pPr>
        <w:pStyle w:val="NumBC1"/>
      </w:pPr>
      <w:bookmarkStart w:id="53" w:name="_Ref31756410"/>
      <w:r>
        <w:t>Another key purpose of developing additional guidance is to enable application of AASB 13 in a more cost-effective manner by clarifying its application, including clarifying the extent to which preparers of financial statements need to search for information in the absence of observable market inputs</w:t>
      </w:r>
      <w:r w:rsidR="00180DBC">
        <w:t>.</w:t>
      </w:r>
    </w:p>
    <w:p w14:paraId="3041452D" w14:textId="15286AF5" w:rsidR="00180DBC" w:rsidRDefault="00B370BD" w:rsidP="00271894">
      <w:pPr>
        <w:pStyle w:val="NumBC1"/>
        <w:keepNext/>
      </w:pPr>
      <w:r>
        <w:t xml:space="preserve">ED 320 was exposed for 90 </w:t>
      </w:r>
      <w:r w:rsidR="006A5856">
        <w:t>days,</w:t>
      </w:r>
      <w:r>
        <w:t xml:space="preserve"> and t</w:t>
      </w:r>
      <w:r w:rsidR="00180DBC">
        <w:t>he Board conduct</w:t>
      </w:r>
      <w:r w:rsidR="00612E37">
        <w:t>ed</w:t>
      </w:r>
      <w:r w:rsidR="00180DBC">
        <w:t xml:space="preserve"> three virtual roundtables to elicit feedback on </w:t>
      </w:r>
      <w:r w:rsidR="006A5856">
        <w:t>the proposals</w:t>
      </w:r>
      <w:r w:rsidR="00180DBC">
        <w:t>.</w:t>
      </w:r>
      <w:r w:rsidR="00612E37">
        <w:t xml:space="preserve"> The </w:t>
      </w:r>
      <w:r w:rsidR="00CA66B4">
        <w:t>Board</w:t>
      </w:r>
      <w:r w:rsidR="00745C07">
        <w:t xml:space="preserve"> </w:t>
      </w:r>
      <w:r w:rsidR="00612E37">
        <w:t xml:space="preserve">received </w:t>
      </w:r>
      <w:r w:rsidR="00586701">
        <w:t xml:space="preserve">sixteen </w:t>
      </w:r>
      <w:r w:rsidR="00612E37">
        <w:t>written submissions</w:t>
      </w:r>
      <w:r w:rsidR="00CA66B4">
        <w:t xml:space="preserve"> and observed</w:t>
      </w:r>
      <w:r w:rsidR="00745C07">
        <w:t xml:space="preserve"> that:</w:t>
      </w:r>
    </w:p>
    <w:p w14:paraId="117C32DB" w14:textId="2D359924" w:rsidR="00C26303" w:rsidRDefault="00FE6DA4" w:rsidP="00271894">
      <w:pPr>
        <w:pStyle w:val="NumBC2"/>
      </w:pPr>
      <w:r>
        <w:t>o</w:t>
      </w:r>
      <w:r w:rsidR="00E2327C">
        <w:t xml:space="preserve">ther than one </w:t>
      </w:r>
      <w:r>
        <w:t xml:space="preserve">respondent who disagreed with most aspects of the ED 320 proposals, </w:t>
      </w:r>
      <w:r w:rsidR="00C26303">
        <w:t>generally, stakeholders support</w:t>
      </w:r>
      <w:r w:rsidR="00672A78">
        <w:t>ed</w:t>
      </w:r>
      <w:r w:rsidR="00C26303">
        <w:t xml:space="preserve"> modifying AASB 13 (to varying degrees) to assist not-for-profit public sector entities in applying t</w:t>
      </w:r>
      <w:r w:rsidR="008115DC">
        <w:t xml:space="preserve">he principles noted in paragraph </w:t>
      </w:r>
      <w:r w:rsidR="008115DC">
        <w:fldChar w:fldCharType="begin"/>
      </w:r>
      <w:r w:rsidR="008115DC">
        <w:instrText xml:space="preserve"> REF _Ref115158981 \r \h </w:instrText>
      </w:r>
      <w:r w:rsidR="00271894">
        <w:instrText xml:space="preserve"> \* MERGEFORMAT </w:instrText>
      </w:r>
      <w:r w:rsidR="008115DC">
        <w:fldChar w:fldCharType="separate"/>
      </w:r>
      <w:r w:rsidR="005A1B65">
        <w:t>BC21</w:t>
      </w:r>
      <w:r w:rsidR="008115DC">
        <w:fldChar w:fldCharType="end"/>
      </w:r>
      <w:r w:rsidR="00C26303">
        <w:t>; but</w:t>
      </w:r>
    </w:p>
    <w:p w14:paraId="64B7C8F5" w14:textId="7ADC3EED" w:rsidR="00C26303" w:rsidRDefault="00C26303" w:rsidP="00271894">
      <w:pPr>
        <w:pStyle w:val="NumBC2"/>
      </w:pPr>
      <w:r>
        <w:t xml:space="preserve">significant refinements would be needed in the drafting of the modifications to address potential application issues. </w:t>
      </w:r>
    </w:p>
    <w:p w14:paraId="730C5DEE" w14:textId="07D2115C" w:rsidR="00996484" w:rsidRDefault="00996484" w:rsidP="00271894">
      <w:pPr>
        <w:pStyle w:val="NumBC1"/>
      </w:pPr>
      <w:r>
        <w:lastRenderedPageBreak/>
        <w:t xml:space="preserve">The Board considered the </w:t>
      </w:r>
      <w:r w:rsidR="00725EF2">
        <w:t xml:space="preserve">feedback on ED 320 and </w:t>
      </w:r>
      <w:r w:rsidR="00BD787F">
        <w:t xml:space="preserve">revised </w:t>
      </w:r>
      <w:r w:rsidR="00725EF2">
        <w:t xml:space="preserve">the drafting of the </w:t>
      </w:r>
      <w:r w:rsidR="00B370BD">
        <w:t>modifications.</w:t>
      </w:r>
      <w:r w:rsidR="00E45B9B">
        <w:t xml:space="preserve"> </w:t>
      </w:r>
      <w:r w:rsidR="003131BD">
        <w:t>T</w:t>
      </w:r>
      <w:r w:rsidR="00E45B9B">
        <w:t xml:space="preserve">he Board </w:t>
      </w:r>
      <w:r w:rsidR="003131BD">
        <w:t xml:space="preserve">developed </w:t>
      </w:r>
      <w:r w:rsidR="00E45B9B" w:rsidRPr="00E45B9B">
        <w:t xml:space="preserve">a </w:t>
      </w:r>
      <w:r w:rsidR="00302290">
        <w:t>F</w:t>
      </w:r>
      <w:r w:rsidR="00E45B9B" w:rsidRPr="00E45B9B">
        <w:t>atal-</w:t>
      </w:r>
      <w:r w:rsidR="00302290">
        <w:t>F</w:t>
      </w:r>
      <w:r w:rsidR="00E45B9B" w:rsidRPr="00E45B9B">
        <w:t xml:space="preserve">law </w:t>
      </w:r>
      <w:r w:rsidR="00302290">
        <w:t>R</w:t>
      </w:r>
      <w:r w:rsidR="00E45B9B" w:rsidRPr="00E45B9B">
        <w:t xml:space="preserve">eview draft version of the Standard to identify any unintended consequences of the revisions made to the </w:t>
      </w:r>
      <w:r w:rsidR="00935650">
        <w:t xml:space="preserve">proposed </w:t>
      </w:r>
      <w:r w:rsidR="00E45B9B" w:rsidRPr="00E45B9B">
        <w:t>modifications</w:t>
      </w:r>
      <w:r w:rsidR="00537168">
        <w:t>.</w:t>
      </w:r>
    </w:p>
    <w:p w14:paraId="7D21DDFF" w14:textId="77777777" w:rsidR="00505B64" w:rsidRPr="00271894" w:rsidRDefault="00505B64" w:rsidP="00271894">
      <w:pPr>
        <w:pStyle w:val="IASBSectionTitle2Ind"/>
      </w:pPr>
      <w:r w:rsidRPr="00271894">
        <w:t xml:space="preserve">Stakeholder feedback on the Fatal-Flaw Review draft version </w:t>
      </w:r>
    </w:p>
    <w:p w14:paraId="174E799F" w14:textId="7492DFE7" w:rsidR="00505B64" w:rsidRPr="00271894" w:rsidRDefault="00D773A5" w:rsidP="00271894">
      <w:pPr>
        <w:pStyle w:val="NumBC1"/>
      </w:pPr>
      <w:r w:rsidRPr="00271894">
        <w:t>I</w:t>
      </w:r>
      <w:r w:rsidR="00B7765C" w:rsidRPr="00271894">
        <w:t>n October 2022</w:t>
      </w:r>
      <w:r w:rsidRPr="00271894">
        <w:t>, the Board issued for comment a Fatal-Flaw Review draft version of the Standard</w:t>
      </w:r>
      <w:r w:rsidR="00B7765C" w:rsidRPr="00271894">
        <w:t>.</w:t>
      </w:r>
      <w:r w:rsidR="008C00B3" w:rsidRPr="00271894">
        <w:t xml:space="preserve"> The Board received </w:t>
      </w:r>
      <w:r w:rsidR="000C5FEB" w:rsidRPr="00271894">
        <w:t xml:space="preserve">written </w:t>
      </w:r>
      <w:r w:rsidR="008C00B3" w:rsidRPr="00271894">
        <w:t>submissions</w:t>
      </w:r>
      <w:r w:rsidR="0053203D" w:rsidRPr="00271894">
        <w:t xml:space="preserve"> on the draft Standard</w:t>
      </w:r>
      <w:r w:rsidR="008C00B3" w:rsidRPr="00271894">
        <w:t xml:space="preserve"> </w:t>
      </w:r>
      <w:r w:rsidR="00A50C81" w:rsidRPr="00271894">
        <w:t>from three</w:t>
      </w:r>
      <w:r w:rsidR="0053203D" w:rsidRPr="00271894">
        <w:t xml:space="preserve"> respondents</w:t>
      </w:r>
      <w:r w:rsidR="00067C86">
        <w:t>,</w:t>
      </w:r>
      <w:r w:rsidR="00B81799" w:rsidRPr="00271894">
        <w:t xml:space="preserve"> who also responded to ED 320</w:t>
      </w:r>
      <w:r w:rsidR="00BA21AA" w:rsidRPr="00271894">
        <w:t xml:space="preserve">. The Board also received </w:t>
      </w:r>
      <w:r w:rsidR="008C00B3" w:rsidRPr="00271894">
        <w:t>comments fr</w:t>
      </w:r>
      <w:r w:rsidR="00D479A1" w:rsidRPr="00271894">
        <w:t>o</w:t>
      </w:r>
      <w:r w:rsidR="008C00B3" w:rsidRPr="00271894">
        <w:t xml:space="preserve">m </w:t>
      </w:r>
      <w:r w:rsidR="007B4DD2" w:rsidRPr="00271894">
        <w:t xml:space="preserve">Panel </w:t>
      </w:r>
      <w:r w:rsidR="00C0233D" w:rsidRPr="00271894">
        <w:t>members</w:t>
      </w:r>
      <w:r w:rsidR="00BA21AA" w:rsidRPr="00271894">
        <w:t xml:space="preserve"> during a Panel meeting</w:t>
      </w:r>
      <w:r w:rsidR="00B72D26" w:rsidRPr="00271894">
        <w:t xml:space="preserve"> held in November 2022</w:t>
      </w:r>
      <w:r w:rsidR="00D479A1" w:rsidRPr="00271894">
        <w:t>.</w:t>
      </w:r>
    </w:p>
    <w:p w14:paraId="15D7F926" w14:textId="3A7B523B" w:rsidR="00A17870" w:rsidRPr="00271894" w:rsidRDefault="000C5FEB" w:rsidP="00271894">
      <w:pPr>
        <w:pStyle w:val="NumBC1"/>
      </w:pPr>
      <w:bookmarkStart w:id="54" w:name="_Ref120192590"/>
      <w:r w:rsidRPr="00271894">
        <w:t xml:space="preserve">Of the three </w:t>
      </w:r>
      <w:r w:rsidR="00A17870" w:rsidRPr="00271894">
        <w:t>respondents who provided a written submission:</w:t>
      </w:r>
      <w:bookmarkEnd w:id="54"/>
    </w:p>
    <w:p w14:paraId="1EDC11F7" w14:textId="438B8C04" w:rsidR="00A17870" w:rsidRPr="00271894" w:rsidRDefault="000C5FEB" w:rsidP="00271894">
      <w:pPr>
        <w:pStyle w:val="NumBC2"/>
      </w:pPr>
      <w:r w:rsidRPr="00271894">
        <w:t>one support</w:t>
      </w:r>
      <w:r w:rsidR="00A17870" w:rsidRPr="00271894">
        <w:t>ed</w:t>
      </w:r>
      <w:r w:rsidRPr="00271894">
        <w:t xml:space="preserve"> all</w:t>
      </w:r>
      <w:r w:rsidR="00FE64F3" w:rsidRPr="00271894">
        <w:t xml:space="preserve"> the Board’s proposals</w:t>
      </w:r>
      <w:r w:rsidR="00A17870" w:rsidRPr="00271894">
        <w:t>;</w:t>
      </w:r>
    </w:p>
    <w:p w14:paraId="1CD9CE13" w14:textId="4264ACF2" w:rsidR="00A94C5F" w:rsidRPr="00271894" w:rsidRDefault="00FE64F3" w:rsidP="00271894">
      <w:pPr>
        <w:pStyle w:val="NumBC2"/>
      </w:pPr>
      <w:r w:rsidRPr="00271894">
        <w:t>one support</w:t>
      </w:r>
      <w:r w:rsidR="00A17870" w:rsidRPr="00271894">
        <w:t>ed</w:t>
      </w:r>
      <w:r w:rsidRPr="00271894">
        <w:t xml:space="preserve"> </w:t>
      </w:r>
      <w:r w:rsidR="00A94C5F" w:rsidRPr="00271894">
        <w:t xml:space="preserve">all </w:t>
      </w:r>
      <w:r w:rsidRPr="00271894">
        <w:t xml:space="preserve">the proposed principles in the draft Standard but commented that certain areas of the draft Standard can </w:t>
      </w:r>
      <w:r w:rsidR="002A1737" w:rsidRPr="00271894">
        <w:t xml:space="preserve">be </w:t>
      </w:r>
      <w:r w:rsidRPr="00271894">
        <w:t>refined</w:t>
      </w:r>
      <w:r w:rsidR="00A94C5F" w:rsidRPr="00271894">
        <w:t>; and</w:t>
      </w:r>
    </w:p>
    <w:p w14:paraId="07FFD883" w14:textId="6FE5CE55" w:rsidR="00505B64" w:rsidRPr="00271894" w:rsidRDefault="00C74C4A" w:rsidP="00271894">
      <w:pPr>
        <w:pStyle w:val="NumBC2"/>
      </w:pPr>
      <w:r w:rsidRPr="00271894">
        <w:t xml:space="preserve">the ED respondent who disagreed with most aspects of the ED 320 proposals </w:t>
      </w:r>
      <w:r w:rsidR="006F23F8" w:rsidRPr="00271894">
        <w:t>e</w:t>
      </w:r>
      <w:r w:rsidR="008A6AC1" w:rsidRPr="00271894">
        <w:t xml:space="preserve">laborated </w:t>
      </w:r>
      <w:r w:rsidR="003F3DCE" w:rsidRPr="00271894">
        <w:t xml:space="preserve">on </w:t>
      </w:r>
      <w:r w:rsidR="008A6AC1" w:rsidRPr="00271894">
        <w:t xml:space="preserve">their </w:t>
      </w:r>
      <w:r w:rsidR="006F23F8" w:rsidRPr="00271894">
        <w:t xml:space="preserve">disagreement with </w:t>
      </w:r>
      <w:r w:rsidR="008A6AC1" w:rsidRPr="00271894">
        <w:t>the</w:t>
      </w:r>
      <w:r w:rsidR="00A94C5F" w:rsidRPr="00271894">
        <w:t xml:space="preserve"> Board’s proposal</w:t>
      </w:r>
      <w:r w:rsidR="006F23F8" w:rsidRPr="00271894">
        <w:t>s</w:t>
      </w:r>
      <w:r w:rsidR="00A94C5F" w:rsidRPr="00271894">
        <w:t>.</w:t>
      </w:r>
    </w:p>
    <w:p w14:paraId="3416B70F" w14:textId="5AE41483" w:rsidR="006722F9" w:rsidRPr="00271894" w:rsidRDefault="00A94C5F" w:rsidP="00271894">
      <w:pPr>
        <w:pStyle w:val="NumBC1"/>
      </w:pPr>
      <w:r>
        <w:t xml:space="preserve">The respondent </w:t>
      </w:r>
      <w:r w:rsidR="004C69CA">
        <w:t>referred to in paragraph </w:t>
      </w:r>
      <w:r>
        <w:fldChar w:fldCharType="begin"/>
      </w:r>
      <w:r>
        <w:instrText xml:space="preserve"> REF _Ref120192590 \r \h  \* MERGEFORMAT </w:instrText>
      </w:r>
      <w:r>
        <w:fldChar w:fldCharType="separate"/>
      </w:r>
      <w:r w:rsidR="005A1B65">
        <w:t>BC26</w:t>
      </w:r>
      <w:r>
        <w:fldChar w:fldCharType="end"/>
      </w:r>
      <w:r w:rsidR="004C69CA">
        <w:t xml:space="preserve">(c) </w:t>
      </w:r>
      <w:r w:rsidR="006722F9">
        <w:t>expressed the following concerns about the proposals</w:t>
      </w:r>
      <w:r w:rsidR="00293BC1">
        <w:t xml:space="preserve"> in their submissions on ED 320 and </w:t>
      </w:r>
      <w:r w:rsidR="00724289">
        <w:t xml:space="preserve">the </w:t>
      </w:r>
      <w:r w:rsidR="00293BC1">
        <w:t>Fatal-Flaw Review draft</w:t>
      </w:r>
      <w:r w:rsidR="006722F9">
        <w:t>:</w:t>
      </w:r>
      <w:bookmarkStart w:id="55" w:name="_Ref119340728"/>
    </w:p>
    <w:bookmarkEnd w:id="55"/>
    <w:p w14:paraId="31369B08" w14:textId="6694EDCD" w:rsidR="00CD6F4E" w:rsidRPr="00271894" w:rsidRDefault="00CD6F4E" w:rsidP="00271894">
      <w:pPr>
        <w:pStyle w:val="NumBC2"/>
      </w:pPr>
      <w:r w:rsidRPr="00271894">
        <w:t>fair value measurements of some assets would be affected by an entity’s subjective assessment of whether the asset is held primarily for its ability to generate net cash inflows (which therefore would determine whether the asset’s fair value measurement is subject to the proposed modifications to AASB</w:t>
      </w:r>
      <w:r w:rsidR="00240E12">
        <w:t> </w:t>
      </w:r>
      <w:r w:rsidRPr="00271894">
        <w:t>13)</w:t>
      </w:r>
      <w:r w:rsidR="00293BC1" w:rsidRPr="00271894">
        <w:t xml:space="preserve">. </w:t>
      </w:r>
      <w:r w:rsidR="00724289" w:rsidRPr="00271894">
        <w:t>U</w:t>
      </w:r>
      <w:r w:rsidR="00293BC1" w:rsidRPr="00271894">
        <w:t>niform guidance on fair value measurement should be applicable to all reporting entities, regardless of their sector, because the principles of valuation hold regardless of the sector in which the entity controlling the asset operates</w:t>
      </w:r>
      <w:r w:rsidRPr="00271894">
        <w:t>;</w:t>
      </w:r>
    </w:p>
    <w:p w14:paraId="16E65408" w14:textId="60A306D4" w:rsidR="00CD6F4E" w:rsidRPr="00271894" w:rsidRDefault="00854D41" w:rsidP="00271894">
      <w:pPr>
        <w:pStyle w:val="NumBC2"/>
      </w:pPr>
      <w:r w:rsidRPr="00271894">
        <w:t>modifying AASB 13</w:t>
      </w:r>
      <w:r w:rsidR="00E02949" w:rsidRPr="00271894">
        <w:t xml:space="preserve">, such as </w:t>
      </w:r>
      <w:r w:rsidR="00CD6F4E" w:rsidRPr="00271894">
        <w:t>adding to AASB 13 criteria that constrain when an alternative use may be identified as an asset’s highest and best use</w:t>
      </w:r>
      <w:r w:rsidR="00FD23FD" w:rsidRPr="00271894">
        <w:t xml:space="preserve"> and introducing non-financial influences into the concept of financial feasibility</w:t>
      </w:r>
      <w:r w:rsidR="00E02949" w:rsidRPr="00271894">
        <w:t>,</w:t>
      </w:r>
      <w:r w:rsidR="00CD6F4E" w:rsidRPr="00271894">
        <w:t xml:space="preserve"> would be likely to result in departures from the principles of IFRS</w:t>
      </w:r>
      <w:r w:rsidR="00F715A4">
        <w:t> </w:t>
      </w:r>
      <w:r w:rsidR="00CD6F4E" w:rsidRPr="00271894">
        <w:t xml:space="preserve">13; </w:t>
      </w:r>
      <w:r w:rsidR="00A00DB9" w:rsidRPr="00271894">
        <w:t>and</w:t>
      </w:r>
    </w:p>
    <w:p w14:paraId="1D326D62" w14:textId="20BD4E02" w:rsidR="00CD6F4E" w:rsidRPr="00271894" w:rsidRDefault="00CD6F4E" w:rsidP="00271894">
      <w:pPr>
        <w:pStyle w:val="NumBC2"/>
      </w:pPr>
      <w:r w:rsidRPr="00271894">
        <w:t>the notion that hypothetical</w:t>
      </w:r>
      <w:r w:rsidR="006C7870" w:rsidRPr="00271894">
        <w:t xml:space="preserve"> not-for-profit</w:t>
      </w:r>
      <w:r w:rsidRPr="00271894">
        <w:t xml:space="preserve"> public sector market participant buyers exist for public sector entity assets is ethereal and unrealistic. The </w:t>
      </w:r>
      <w:r w:rsidR="00FC5204" w:rsidRPr="00271894">
        <w:t>respondent</w:t>
      </w:r>
      <w:r w:rsidRPr="00271894">
        <w:t xml:space="preserve"> considers that the hypothetical transaction underpinning the fair value concept in AASB 13 should be supported by actual market activity, or the generation of actual cash flows that support assumptions about what that market activity might be</w:t>
      </w:r>
      <w:r w:rsidR="00147354" w:rsidRPr="00271894">
        <w:t>.</w:t>
      </w:r>
    </w:p>
    <w:p w14:paraId="6AD1AA83" w14:textId="144069CF" w:rsidR="00B276FA" w:rsidRPr="00271894" w:rsidRDefault="00E8770E" w:rsidP="00271894">
      <w:pPr>
        <w:pStyle w:val="NumBC1"/>
      </w:pPr>
      <w:bookmarkStart w:id="56" w:name="_Ref119341645"/>
      <w:r>
        <w:t>In addition, t</w:t>
      </w:r>
      <w:r w:rsidR="00FC5204">
        <w:t xml:space="preserve">he respondent </w:t>
      </w:r>
      <w:r w:rsidR="00B276FA">
        <w:t xml:space="preserve">made the following </w:t>
      </w:r>
      <w:r>
        <w:t>comment</w:t>
      </w:r>
      <w:r w:rsidR="00B276FA">
        <w:t>s:</w:t>
      </w:r>
      <w:bookmarkEnd w:id="56"/>
    </w:p>
    <w:p w14:paraId="3F61B8E3" w14:textId="443B5B88" w:rsidR="002A0CAB" w:rsidRPr="00271894" w:rsidRDefault="002A0CAB" w:rsidP="00271894">
      <w:pPr>
        <w:pStyle w:val="NumBC2"/>
      </w:pPr>
      <w:r w:rsidRPr="00271894">
        <w:t>fair value and market value are one and the same</w:t>
      </w:r>
      <w:r w:rsidR="001935C1" w:rsidRPr="00271894">
        <w:t>. T</w:t>
      </w:r>
      <w:r w:rsidRPr="00271894">
        <w:t xml:space="preserve">he same </w:t>
      </w:r>
      <w:r w:rsidR="0054735E">
        <w:t xml:space="preserve">estimate of </w:t>
      </w:r>
      <w:r w:rsidRPr="00271894">
        <w:t>fair value should result for a given asset, regardless of whether the market approach, income approach or cost approach is used;</w:t>
      </w:r>
      <w:r w:rsidR="00E66746" w:rsidRPr="00271894">
        <w:t xml:space="preserve"> and</w:t>
      </w:r>
    </w:p>
    <w:p w14:paraId="79CE8C1E" w14:textId="31DB03BE" w:rsidR="002A0CAB" w:rsidRPr="00271894" w:rsidRDefault="002A0CAB" w:rsidP="00271894">
      <w:pPr>
        <w:pStyle w:val="NumBC2"/>
      </w:pPr>
      <w:r w:rsidRPr="00271894">
        <w:t>the costs associated with the provision of community service obligations are never more transparent than when a new public sector asset is valued at less than its cost of acquisition, and when the continuing use of a community asset is deemed not to be that asset’s highest and best use</w:t>
      </w:r>
      <w:r w:rsidR="00CB7438" w:rsidRPr="00271894">
        <w:t>. The p</w:t>
      </w:r>
      <w:r w:rsidRPr="00271894">
        <w:t>ublic sector does not necessarily make investment decisions based on the concept of highest and best use. However, users of financial statements should be provided the opportunity to identify when this occurs.</w:t>
      </w:r>
    </w:p>
    <w:p w14:paraId="29C39E6B" w14:textId="6AC1A2D0" w:rsidR="00D5484B" w:rsidRPr="00271894" w:rsidRDefault="009E0950" w:rsidP="00271894">
      <w:pPr>
        <w:pStyle w:val="NumBC1"/>
      </w:pPr>
      <w:r>
        <w:t xml:space="preserve">In respect of the respondent’s concerns noted in paragraph </w:t>
      </w:r>
      <w:r>
        <w:fldChar w:fldCharType="begin"/>
      </w:r>
      <w:r>
        <w:instrText xml:space="preserve"> REF _Ref119340728 \r \h  \* MERGEFORMAT </w:instrText>
      </w:r>
      <w:r>
        <w:fldChar w:fldCharType="separate"/>
      </w:r>
      <w:r w:rsidR="005A1B65">
        <w:t>BC27</w:t>
      </w:r>
      <w:r>
        <w:fldChar w:fldCharType="end"/>
      </w:r>
      <w:r>
        <w:t xml:space="preserve">(a), </w:t>
      </w:r>
      <w:r w:rsidR="00D5484B">
        <w:t xml:space="preserve">the Board observed that a precedent exists in the requirements of Australian Accounting Standards for </w:t>
      </w:r>
      <w:r w:rsidR="00220C7B">
        <w:t xml:space="preserve">not-for-profit </w:t>
      </w:r>
      <w:r w:rsidR="00D5484B">
        <w:t xml:space="preserve">entities to base the measurement of assets on whether they are held primarily to generate net cash inflows. AASB 136 </w:t>
      </w:r>
      <w:r w:rsidR="00D5484B" w:rsidRPr="021614C1">
        <w:rPr>
          <w:i/>
          <w:iCs/>
        </w:rPr>
        <w:t>Impairment of Assets</w:t>
      </w:r>
      <w:r w:rsidR="00D5484B">
        <w:t xml:space="preserve"> does not apply to specialised assets of </w:t>
      </w:r>
      <w:r w:rsidR="00220C7B">
        <w:t>not-for-profit</w:t>
      </w:r>
      <w:r w:rsidR="00D5484B">
        <w:t xml:space="preserve"> entities that are held for continuing use of their service capacity and not held primarily for their ability to generate net cash inflows if those assets are regularly revalued to fair value (AASB 136 paragraph Aus5.1).</w:t>
      </w:r>
      <w:r w:rsidR="00C76A81">
        <w:t xml:space="preserve"> </w:t>
      </w:r>
      <w:r w:rsidR="00D5484B">
        <w:t xml:space="preserve">In relation to the </w:t>
      </w:r>
      <w:r w:rsidR="00D52114">
        <w:t>respondent’s comment</w:t>
      </w:r>
      <w:r w:rsidR="00D5484B">
        <w:t xml:space="preserve"> </w:t>
      </w:r>
      <w:r w:rsidR="002176E3">
        <w:t>–</w:t>
      </w:r>
      <w:r w:rsidR="00D5484B">
        <w:t xml:space="preserve"> that uniform guidance on fair value measurement should be applicable to all reporting entities regardless of their sector </w:t>
      </w:r>
      <w:r w:rsidR="002176E3">
        <w:t>–</w:t>
      </w:r>
      <w:r w:rsidR="00D5484B">
        <w:t xml:space="preserve"> the </w:t>
      </w:r>
      <w:r w:rsidR="00D5484B" w:rsidRPr="021614C1">
        <w:rPr>
          <w:i/>
          <w:iCs/>
        </w:rPr>
        <w:t xml:space="preserve">AASB Not-for-Profit Entity Standard-Setting Framework </w:t>
      </w:r>
      <w:r w:rsidR="00D5484B">
        <w:t xml:space="preserve">sets out the circumstances in which </w:t>
      </w:r>
      <w:r w:rsidR="00D52114">
        <w:t>not-for-profit</w:t>
      </w:r>
      <w:r w:rsidR="00D5484B">
        <w:t xml:space="preserve"> or public-sector-specific modifications to IFRS Standards are justified. As discussed in </w:t>
      </w:r>
      <w:r w:rsidR="000D63F6">
        <w:t xml:space="preserve">paragraphs </w:t>
      </w:r>
      <w:r>
        <w:fldChar w:fldCharType="begin"/>
      </w:r>
      <w:r>
        <w:instrText xml:space="preserve"> REF _Ref119341013 \r \h  \* MERGEFORMAT </w:instrText>
      </w:r>
      <w:r>
        <w:fldChar w:fldCharType="separate"/>
      </w:r>
      <w:r w:rsidR="005A1B65">
        <w:t>BC39</w:t>
      </w:r>
      <w:r>
        <w:fldChar w:fldCharType="end"/>
      </w:r>
      <w:r w:rsidR="00C83CB0">
        <w:t>–</w:t>
      </w:r>
      <w:r>
        <w:fldChar w:fldCharType="begin"/>
      </w:r>
      <w:r>
        <w:instrText xml:space="preserve"> REF _Ref119341014 \r \h  \* MERGEFORMAT </w:instrText>
      </w:r>
      <w:r>
        <w:fldChar w:fldCharType="separate"/>
      </w:r>
      <w:r w:rsidR="005A1B65">
        <w:t>BC41</w:t>
      </w:r>
      <w:r>
        <w:fldChar w:fldCharType="end"/>
      </w:r>
      <w:r w:rsidR="00D5484B">
        <w:t xml:space="preserve">, </w:t>
      </w:r>
      <w:r w:rsidR="00C83CB0">
        <w:t xml:space="preserve">the Board </w:t>
      </w:r>
      <w:r w:rsidR="00D5484B">
        <w:t>consider</w:t>
      </w:r>
      <w:r w:rsidR="00080A54">
        <w:t>s</w:t>
      </w:r>
      <w:r w:rsidR="00D5484B">
        <w:t xml:space="preserve"> that </w:t>
      </w:r>
      <w:r w:rsidR="00F534B3">
        <w:t xml:space="preserve">all decisions </w:t>
      </w:r>
      <w:r w:rsidR="00D5484B">
        <w:t xml:space="preserve">leading to the </w:t>
      </w:r>
      <w:r w:rsidR="00F534B3">
        <w:t>modifications to AASB 13 set out in this</w:t>
      </w:r>
      <w:r w:rsidR="00D5484B">
        <w:t xml:space="preserve"> Standard complied with that Framework.</w:t>
      </w:r>
    </w:p>
    <w:p w14:paraId="042E6D21" w14:textId="126AFF63" w:rsidR="00517BA3" w:rsidRPr="00271894" w:rsidRDefault="00517BA3" w:rsidP="00271894">
      <w:pPr>
        <w:pStyle w:val="NumBC1"/>
      </w:pPr>
      <w:r>
        <w:t xml:space="preserve">In respect of the respondent’s comment </w:t>
      </w:r>
      <w:r w:rsidR="00080A54">
        <w:t xml:space="preserve">about departures from the principles of IFRS 13, </w:t>
      </w:r>
      <w:r>
        <w:t xml:space="preserve">noted in paragraph </w:t>
      </w:r>
      <w:r>
        <w:fldChar w:fldCharType="begin"/>
      </w:r>
      <w:r>
        <w:instrText xml:space="preserve"> REF _Ref119340728 \r \h  \* MERGEFORMAT </w:instrText>
      </w:r>
      <w:r>
        <w:fldChar w:fldCharType="separate"/>
      </w:r>
      <w:r w:rsidR="005A1B65">
        <w:t>BC27</w:t>
      </w:r>
      <w:r>
        <w:fldChar w:fldCharType="end"/>
      </w:r>
      <w:r>
        <w:t>(b)</w:t>
      </w:r>
      <w:r w:rsidR="00080A54">
        <w:t>,</w:t>
      </w:r>
      <w:r>
        <w:t xml:space="preserve"> </w:t>
      </w:r>
      <w:r w:rsidR="00080A54">
        <w:t>t</w:t>
      </w:r>
      <w:r>
        <w:t xml:space="preserve">he Board </w:t>
      </w:r>
      <w:r w:rsidR="00080A54">
        <w:t xml:space="preserve">took into account </w:t>
      </w:r>
      <w:r>
        <w:t>the possibility of non-conformity with IFRS</w:t>
      </w:r>
      <w:r w:rsidR="00AD2DED">
        <w:t> </w:t>
      </w:r>
      <w:r>
        <w:t>13 in some fair value measurements</w:t>
      </w:r>
      <w:r w:rsidR="008A23E2">
        <w:t xml:space="preserve">, as explained in paragraphs </w:t>
      </w:r>
      <w:r>
        <w:fldChar w:fldCharType="begin"/>
      </w:r>
      <w:r>
        <w:instrText xml:space="preserve"> REF _Ref118472862 \r \h  \* MERGEFORMAT </w:instrText>
      </w:r>
      <w:r>
        <w:fldChar w:fldCharType="separate"/>
      </w:r>
      <w:r w:rsidR="005A1B65">
        <w:t>BC37</w:t>
      </w:r>
      <w:r>
        <w:fldChar w:fldCharType="end"/>
      </w:r>
      <w:r w:rsidR="008A23E2">
        <w:t xml:space="preserve"> and </w:t>
      </w:r>
      <w:r>
        <w:fldChar w:fldCharType="begin"/>
      </w:r>
      <w:r>
        <w:instrText xml:space="preserve"> REF _Ref118472947 \r \h  \* MERGEFORMAT </w:instrText>
      </w:r>
      <w:r>
        <w:fldChar w:fldCharType="separate"/>
      </w:r>
      <w:r w:rsidR="005A1B65">
        <w:t>BC38</w:t>
      </w:r>
      <w:r>
        <w:fldChar w:fldCharType="end"/>
      </w:r>
      <w:r>
        <w:t xml:space="preserve">. </w:t>
      </w:r>
      <w:r w:rsidR="00122B52">
        <w:t>As noted in paragraph</w:t>
      </w:r>
      <w:r w:rsidR="00FA5167">
        <w:t>s</w:t>
      </w:r>
      <w:r w:rsidR="00122B52">
        <w:t xml:space="preserve"> </w:t>
      </w:r>
      <w:r>
        <w:fldChar w:fldCharType="begin"/>
      </w:r>
      <w:r>
        <w:instrText xml:space="preserve"> REF _Ref119341013 \r \h  \* MERGEFORMAT </w:instrText>
      </w:r>
      <w:r>
        <w:fldChar w:fldCharType="separate"/>
      </w:r>
      <w:r w:rsidR="005A1B65">
        <w:t>BC39</w:t>
      </w:r>
      <w:r>
        <w:fldChar w:fldCharType="end"/>
      </w:r>
      <w:r w:rsidR="00FA5167">
        <w:t>–</w:t>
      </w:r>
      <w:r>
        <w:fldChar w:fldCharType="begin"/>
      </w:r>
      <w:r>
        <w:instrText xml:space="preserve"> REF _Ref119341014 \r \h  \* MERGEFORMAT </w:instrText>
      </w:r>
      <w:r>
        <w:fldChar w:fldCharType="separate"/>
      </w:r>
      <w:r w:rsidR="005A1B65">
        <w:t>BC41</w:t>
      </w:r>
      <w:r>
        <w:fldChar w:fldCharType="end"/>
      </w:r>
      <w:r w:rsidR="00FA5167">
        <w:t>, t</w:t>
      </w:r>
      <w:r>
        <w:t xml:space="preserve">he Board </w:t>
      </w:r>
      <w:r>
        <w:lastRenderedPageBreak/>
        <w:t xml:space="preserve">concluded that the particular features of the public sector </w:t>
      </w:r>
      <w:r w:rsidR="002176E3">
        <w:t>–</w:t>
      </w:r>
      <w:r>
        <w:t xml:space="preserve"> together with cost/benefit considerations </w:t>
      </w:r>
      <w:r w:rsidR="002176E3">
        <w:t>–</w:t>
      </w:r>
      <w:r>
        <w:t xml:space="preserve"> warrant that risk. </w:t>
      </w:r>
    </w:p>
    <w:p w14:paraId="5A642AA9" w14:textId="3E1BCF59" w:rsidR="00660A99" w:rsidRPr="00271894" w:rsidRDefault="00621B53" w:rsidP="00271894">
      <w:pPr>
        <w:pStyle w:val="NumBC1"/>
        <w:rPr>
          <w:szCs w:val="19"/>
        </w:rPr>
      </w:pPr>
      <w:bookmarkStart w:id="57" w:name="_Ref117150658"/>
      <w:r w:rsidRPr="00271894">
        <w:rPr>
          <w:szCs w:val="19"/>
        </w:rPr>
        <w:t>The Board observed</w:t>
      </w:r>
      <w:r w:rsidR="00660A99" w:rsidRPr="00271894">
        <w:rPr>
          <w:szCs w:val="19"/>
        </w:rPr>
        <w:t xml:space="preserve"> that the notion of hypothetical </w:t>
      </w:r>
      <w:r w:rsidRPr="00271894">
        <w:rPr>
          <w:szCs w:val="19"/>
        </w:rPr>
        <w:t>not-for-profit</w:t>
      </w:r>
      <w:r w:rsidR="00660A99" w:rsidRPr="00271894">
        <w:rPr>
          <w:szCs w:val="19"/>
        </w:rPr>
        <w:t xml:space="preserve"> public sector market participant buyers referred to in </w:t>
      </w:r>
      <w:r w:rsidRPr="00271894">
        <w:t xml:space="preserve">paragraph </w:t>
      </w:r>
      <w:r w:rsidRPr="00271894">
        <w:fldChar w:fldCharType="begin"/>
      </w:r>
      <w:r w:rsidRPr="00271894">
        <w:instrText xml:space="preserve"> REF _Ref119340728 \r \h </w:instrText>
      </w:r>
      <w:r w:rsidR="00A37311" w:rsidRPr="00271894">
        <w:instrText xml:space="preserve"> \* MERGEFORMAT </w:instrText>
      </w:r>
      <w:r w:rsidRPr="00271894">
        <w:fldChar w:fldCharType="separate"/>
      </w:r>
      <w:r w:rsidR="005A1B65">
        <w:t>BC27</w:t>
      </w:r>
      <w:r w:rsidRPr="00271894">
        <w:fldChar w:fldCharType="end"/>
      </w:r>
      <w:r w:rsidRPr="00271894">
        <w:t xml:space="preserve">(c) </w:t>
      </w:r>
      <w:r w:rsidR="00660A99" w:rsidRPr="00271894">
        <w:rPr>
          <w:szCs w:val="19"/>
        </w:rPr>
        <w:t>above is key to not measuring the fair values of many public sector entity assets at scrap value. This is supported by the IASB’s Basis for Conclusions on IFRS 13, paragraph BC78, that “… In effect, the market participant buyer steps into the shoes of the entity that holds that specialised asset.”</w:t>
      </w:r>
      <w:bookmarkEnd w:id="57"/>
    </w:p>
    <w:p w14:paraId="4FC58A0F" w14:textId="1CF8DFAD" w:rsidR="00660A99" w:rsidRPr="00271894" w:rsidRDefault="00DB01B3" w:rsidP="00271894">
      <w:pPr>
        <w:pStyle w:val="NumBC1"/>
        <w:rPr>
          <w:szCs w:val="19"/>
        </w:rPr>
      </w:pPr>
      <w:bookmarkStart w:id="58" w:name="_Ref119342568"/>
      <w:r w:rsidRPr="00271894">
        <w:rPr>
          <w:szCs w:val="19"/>
        </w:rPr>
        <w:t>The</w:t>
      </w:r>
      <w:r w:rsidR="00660A99" w:rsidRPr="00271894">
        <w:rPr>
          <w:szCs w:val="19"/>
        </w:rPr>
        <w:t xml:space="preserve"> IASB noted in paragraph BC79 of its Basis for Conclusions on IFRS 13 that sometimes an observed market price </w:t>
      </w:r>
      <w:r w:rsidR="002176E3">
        <w:rPr>
          <w:szCs w:val="19"/>
        </w:rPr>
        <w:t>–</w:t>
      </w:r>
      <w:r w:rsidR="00660A99" w:rsidRPr="00271894">
        <w:rPr>
          <w:szCs w:val="19"/>
        </w:rPr>
        <w:t xml:space="preserve"> one for sale on a stand-alone basis </w:t>
      </w:r>
      <w:r w:rsidR="002176E3">
        <w:rPr>
          <w:szCs w:val="19"/>
        </w:rPr>
        <w:t>–</w:t>
      </w:r>
      <w:r w:rsidR="00660A99" w:rsidRPr="00271894">
        <w:rPr>
          <w:szCs w:val="19"/>
        </w:rPr>
        <w:t xml:space="preserve"> will not reflect a</w:t>
      </w:r>
      <w:r w:rsidR="009D28B2" w:rsidRPr="00271894">
        <w:rPr>
          <w:szCs w:val="19"/>
        </w:rPr>
        <w:t>n</w:t>
      </w:r>
      <w:r w:rsidR="00660A99" w:rsidRPr="00271894">
        <w:rPr>
          <w:szCs w:val="19"/>
        </w:rPr>
        <w:t xml:space="preserve"> asset’s fair value (because it does not reflect the value that the asset contributes to the entity, which is achieved by using the </w:t>
      </w:r>
      <w:r w:rsidR="009D28B2" w:rsidRPr="00271894">
        <w:rPr>
          <w:szCs w:val="19"/>
        </w:rPr>
        <w:t>subject</w:t>
      </w:r>
      <w:r w:rsidR="00660A99" w:rsidRPr="00271894">
        <w:rPr>
          <w:szCs w:val="19"/>
        </w:rPr>
        <w:t xml:space="preserve"> asset in combination with other assets). The IASB’s rationale seems to provide a precedent for </w:t>
      </w:r>
      <w:r w:rsidR="005B33F2" w:rsidRPr="00271894">
        <w:rPr>
          <w:szCs w:val="19"/>
        </w:rPr>
        <w:t xml:space="preserve">concluding that </w:t>
      </w:r>
      <w:r w:rsidR="00660A99" w:rsidRPr="00271894">
        <w:rPr>
          <w:szCs w:val="19"/>
        </w:rPr>
        <w:t xml:space="preserve">hypothetical </w:t>
      </w:r>
      <w:r w:rsidR="009D28B2" w:rsidRPr="00271894">
        <w:rPr>
          <w:szCs w:val="19"/>
        </w:rPr>
        <w:t>not-for-profit</w:t>
      </w:r>
      <w:r w:rsidR="00660A99" w:rsidRPr="00271894">
        <w:rPr>
          <w:szCs w:val="19"/>
        </w:rPr>
        <w:t xml:space="preserve"> public sector market participant buyers </w:t>
      </w:r>
      <w:r w:rsidR="00AF3650" w:rsidRPr="00271894">
        <w:rPr>
          <w:szCs w:val="19"/>
        </w:rPr>
        <w:t xml:space="preserve">would </w:t>
      </w:r>
      <w:r w:rsidR="00660A99" w:rsidRPr="00271894">
        <w:rPr>
          <w:szCs w:val="19"/>
        </w:rPr>
        <w:t>be willing to pay more than a stand-alone selling price for a</w:t>
      </w:r>
      <w:r w:rsidR="009D28B2" w:rsidRPr="00271894">
        <w:rPr>
          <w:szCs w:val="19"/>
        </w:rPr>
        <w:t>n</w:t>
      </w:r>
      <w:r w:rsidR="00660A99" w:rsidRPr="00271894">
        <w:rPr>
          <w:szCs w:val="19"/>
        </w:rPr>
        <w:t xml:space="preserve"> asset if the asset generates greater benefits when used in combination with other assets.</w:t>
      </w:r>
      <w:bookmarkEnd w:id="58"/>
      <w:r w:rsidR="00660A99" w:rsidRPr="00271894">
        <w:rPr>
          <w:szCs w:val="19"/>
        </w:rPr>
        <w:t xml:space="preserve"> </w:t>
      </w:r>
    </w:p>
    <w:p w14:paraId="684E342B" w14:textId="1040449D" w:rsidR="00660A99" w:rsidRPr="00271894" w:rsidRDefault="00083981" w:rsidP="00271894">
      <w:pPr>
        <w:pStyle w:val="NumBC1"/>
      </w:pPr>
      <w:bookmarkStart w:id="59" w:name="_Ref117150662"/>
      <w:r w:rsidRPr="007D2D21">
        <w:t>The Board considered</w:t>
      </w:r>
      <w:r w:rsidR="00660A99" w:rsidRPr="007D2D21">
        <w:t xml:space="preserve"> that the comments in paragraphs BC78 and BC79 of the IASB’s Basis for Conclusions on IFRS 13 suggest that the </w:t>
      </w:r>
      <w:r w:rsidRPr="007D2D21">
        <w:t>respondent’s</w:t>
      </w:r>
      <w:r w:rsidR="00660A99" w:rsidRPr="007D2D21">
        <w:t xml:space="preserve"> view noted in paragraph </w:t>
      </w:r>
      <w:r w:rsidR="001935C1" w:rsidRPr="00271894">
        <w:rPr>
          <w:szCs w:val="19"/>
        </w:rPr>
        <w:fldChar w:fldCharType="begin"/>
      </w:r>
      <w:r w:rsidR="001935C1" w:rsidRPr="00271894">
        <w:rPr>
          <w:szCs w:val="19"/>
        </w:rPr>
        <w:instrText xml:space="preserve"> REF _Ref119341645 \r \h </w:instrText>
      </w:r>
      <w:r w:rsidR="00A37311" w:rsidRPr="00271894">
        <w:rPr>
          <w:szCs w:val="19"/>
        </w:rPr>
        <w:instrText xml:space="preserve"> \* MERGEFORMAT </w:instrText>
      </w:r>
      <w:r w:rsidR="001935C1" w:rsidRPr="00271894">
        <w:rPr>
          <w:szCs w:val="19"/>
        </w:rPr>
      </w:r>
      <w:r w:rsidR="001935C1" w:rsidRPr="00271894">
        <w:rPr>
          <w:szCs w:val="19"/>
        </w:rPr>
        <w:fldChar w:fldCharType="separate"/>
      </w:r>
      <w:r w:rsidR="005A1B65" w:rsidRPr="005A1B65">
        <w:t>BC28</w:t>
      </w:r>
      <w:r w:rsidR="001935C1" w:rsidRPr="00271894">
        <w:rPr>
          <w:szCs w:val="19"/>
        </w:rPr>
        <w:fldChar w:fldCharType="end"/>
      </w:r>
      <w:r w:rsidR="001935C1" w:rsidRPr="007D2D21">
        <w:t>(a)</w:t>
      </w:r>
      <w:r w:rsidR="00660A99" w:rsidRPr="007D2D21">
        <w:t xml:space="preserve"> </w:t>
      </w:r>
      <w:r w:rsidR="002176E3">
        <w:t>–</w:t>
      </w:r>
      <w:r w:rsidR="00660A99" w:rsidRPr="007D2D21">
        <w:t xml:space="preserve"> that the same </w:t>
      </w:r>
      <w:r w:rsidR="0054735E">
        <w:t xml:space="preserve">estimate of </w:t>
      </w:r>
      <w:r w:rsidR="00660A99" w:rsidRPr="007D2D21">
        <w:t xml:space="preserve">fair value should result for a given asset, regardless of whether the market approach, income approach or cost approach is used </w:t>
      </w:r>
      <w:r w:rsidR="002176E3">
        <w:t>–</w:t>
      </w:r>
      <w:r w:rsidR="00660A99" w:rsidRPr="007D2D21">
        <w:t xml:space="preserve"> would not always hold true.</w:t>
      </w:r>
      <w:bookmarkEnd w:id="59"/>
    </w:p>
    <w:p w14:paraId="2FC28C7C" w14:textId="47B47317" w:rsidR="005F5826" w:rsidRPr="00271894" w:rsidRDefault="00844555" w:rsidP="00271894">
      <w:pPr>
        <w:pStyle w:val="NumBC1"/>
      </w:pPr>
      <w:r w:rsidRPr="00271894">
        <w:t>As noted in paragraph</w:t>
      </w:r>
      <w:r w:rsidR="00523940" w:rsidRPr="00271894">
        <w:t xml:space="preserve"> </w:t>
      </w:r>
      <w:r w:rsidR="00523940" w:rsidRPr="00271894">
        <w:rPr>
          <w:szCs w:val="19"/>
        </w:rPr>
        <w:fldChar w:fldCharType="begin"/>
      </w:r>
      <w:r w:rsidR="00523940" w:rsidRPr="00271894">
        <w:rPr>
          <w:szCs w:val="19"/>
        </w:rPr>
        <w:instrText xml:space="preserve"> REF _Ref119341645 \r \h </w:instrText>
      </w:r>
      <w:r w:rsidR="00A37311" w:rsidRPr="00271894">
        <w:rPr>
          <w:szCs w:val="19"/>
        </w:rPr>
        <w:instrText xml:space="preserve"> \* MERGEFORMAT </w:instrText>
      </w:r>
      <w:r w:rsidR="00523940" w:rsidRPr="00271894">
        <w:rPr>
          <w:szCs w:val="19"/>
        </w:rPr>
      </w:r>
      <w:r w:rsidR="00523940" w:rsidRPr="00271894">
        <w:rPr>
          <w:szCs w:val="19"/>
        </w:rPr>
        <w:fldChar w:fldCharType="separate"/>
      </w:r>
      <w:r w:rsidR="005A1B65" w:rsidRPr="005A1B65">
        <w:t>BC28</w:t>
      </w:r>
      <w:r w:rsidR="00523940" w:rsidRPr="00271894">
        <w:rPr>
          <w:szCs w:val="19"/>
        </w:rPr>
        <w:fldChar w:fldCharType="end"/>
      </w:r>
      <w:r w:rsidR="00523940" w:rsidRPr="007D2D21">
        <w:t>(b)</w:t>
      </w:r>
      <w:r w:rsidRPr="00271894">
        <w:t>, the</w:t>
      </w:r>
      <w:r w:rsidR="00523940" w:rsidRPr="00271894">
        <w:t xml:space="preserve"> respondent</w:t>
      </w:r>
      <w:r w:rsidRPr="00271894">
        <w:t xml:space="preserve"> expressed a view that users of financial statements should always be provided the opportunity to identify when an asset is not generating the return expected from the asset’s highest and best use. </w:t>
      </w:r>
      <w:r w:rsidR="004D2E9F" w:rsidRPr="00271894">
        <w:t>The Board</w:t>
      </w:r>
      <w:r w:rsidRPr="00271894">
        <w:t xml:space="preserve"> consider</w:t>
      </w:r>
      <w:r w:rsidR="004D2E9F" w:rsidRPr="00271894">
        <w:t>ed</w:t>
      </w:r>
      <w:r w:rsidRPr="00271894">
        <w:t xml:space="preserve"> that this concern stems </w:t>
      </w:r>
      <w:r w:rsidR="00C272F9" w:rsidRPr="00271894">
        <w:t xml:space="preserve">mainly </w:t>
      </w:r>
      <w:r w:rsidR="005F5826" w:rsidRPr="00271894">
        <w:t xml:space="preserve">from </w:t>
      </w:r>
      <w:r w:rsidR="00A24F33" w:rsidRPr="00271894">
        <w:t>the different per</w:t>
      </w:r>
      <w:r w:rsidR="00E769BA" w:rsidRPr="00271894">
        <w:t xml:space="preserve">ceptions of what an asset’s highest and best use is and </w:t>
      </w:r>
      <w:r w:rsidR="005F5826" w:rsidRPr="00271894">
        <w:t xml:space="preserve">the </w:t>
      </w:r>
      <w:r w:rsidR="00CD1F4E" w:rsidRPr="00271894">
        <w:t>respondent’</w:t>
      </w:r>
      <w:r w:rsidR="005F5826" w:rsidRPr="00271894">
        <w:t>s disagreement with the Board’s view that other</w:t>
      </w:r>
      <w:r w:rsidR="00CD1F4E" w:rsidRPr="00271894">
        <w:t xml:space="preserve"> not-for-profit</w:t>
      </w:r>
      <w:r w:rsidR="005F5826" w:rsidRPr="00271894">
        <w:t xml:space="preserve"> public sector entities should be considered market participants for a non-financial asset of </w:t>
      </w:r>
      <w:r w:rsidR="00CD1F4E" w:rsidRPr="00271894">
        <w:t>a not-for-profit</w:t>
      </w:r>
      <w:r w:rsidR="005F5826" w:rsidRPr="00271894">
        <w:t xml:space="preserve"> public sector entity held primarily for its service potential rather than to generate net cash inflows (the subject asset).  Under that Board view, another </w:t>
      </w:r>
      <w:r w:rsidR="00CD1F4E" w:rsidRPr="00271894">
        <w:t>not-for-profit</w:t>
      </w:r>
      <w:r w:rsidR="005F5826" w:rsidRPr="00271894">
        <w:t xml:space="preserve"> public sector market participant is likely to:</w:t>
      </w:r>
    </w:p>
    <w:p w14:paraId="55943D06" w14:textId="77777777" w:rsidR="005F5826" w:rsidRPr="00271894" w:rsidRDefault="005F5826" w:rsidP="00271894">
      <w:pPr>
        <w:pStyle w:val="NumBC2"/>
      </w:pPr>
      <w:r w:rsidRPr="00271894">
        <w:t>be willing to pay a higher price, if necessary, for the subject asset than the amount on which an investment return is expected from any net cash inflows the subject asset generates; and</w:t>
      </w:r>
    </w:p>
    <w:p w14:paraId="32F5F010" w14:textId="08C5D90F" w:rsidR="005F5826" w:rsidRPr="00271894" w:rsidRDefault="005F5826" w:rsidP="00271894">
      <w:pPr>
        <w:pStyle w:val="NumBC2"/>
      </w:pPr>
      <w:r w:rsidRPr="00271894">
        <w:t xml:space="preserve">continue the subject asset’s current use (unless the presumption is rebutted) on the basis that the market participant ‘stepping into the shoes’ of the </w:t>
      </w:r>
      <w:r w:rsidR="00540FB9" w:rsidRPr="00271894">
        <w:t>not-for-profit</w:t>
      </w:r>
      <w:r w:rsidRPr="00271894">
        <w:t xml:space="preserve"> public sector entity holding the subject asset would use the asset to continue providing services to the community rather than for an alternative use. </w:t>
      </w:r>
    </w:p>
    <w:p w14:paraId="3607A377" w14:textId="44131B64" w:rsidR="005F5826" w:rsidRPr="00271894" w:rsidRDefault="005F5826" w:rsidP="00271894">
      <w:pPr>
        <w:pStyle w:val="NumBC1"/>
      </w:pPr>
      <w:r w:rsidRPr="00271894">
        <w:t xml:space="preserve">As explained in paragraphs </w:t>
      </w:r>
      <w:r w:rsidR="007B239D" w:rsidRPr="00271894">
        <w:fldChar w:fldCharType="begin"/>
      </w:r>
      <w:r w:rsidR="007B239D" w:rsidRPr="00271894">
        <w:instrText xml:space="preserve"> REF _Ref117150658 \r \h </w:instrText>
      </w:r>
      <w:r w:rsidR="00A37311" w:rsidRPr="00271894">
        <w:instrText xml:space="preserve"> \* MERGEFORMAT </w:instrText>
      </w:r>
      <w:r w:rsidR="007B239D" w:rsidRPr="00271894">
        <w:fldChar w:fldCharType="separate"/>
      </w:r>
      <w:r w:rsidR="005A1B65">
        <w:t>BC31</w:t>
      </w:r>
      <w:r w:rsidR="007B239D" w:rsidRPr="00271894">
        <w:fldChar w:fldCharType="end"/>
      </w:r>
      <w:r w:rsidR="007319CC" w:rsidRPr="00271894">
        <w:t xml:space="preserve">and </w:t>
      </w:r>
      <w:r w:rsidR="007B239D" w:rsidRPr="00271894">
        <w:fldChar w:fldCharType="begin"/>
      </w:r>
      <w:r w:rsidR="007B239D" w:rsidRPr="00271894">
        <w:instrText xml:space="preserve"> REF _Ref119342568 \r \h </w:instrText>
      </w:r>
      <w:r w:rsidR="00A37311" w:rsidRPr="00271894">
        <w:instrText xml:space="preserve"> \* MERGEFORMAT </w:instrText>
      </w:r>
      <w:r w:rsidR="007B239D" w:rsidRPr="00271894">
        <w:fldChar w:fldCharType="separate"/>
      </w:r>
      <w:r w:rsidR="005A1B65">
        <w:t>BC32</w:t>
      </w:r>
      <w:r w:rsidR="007B239D" w:rsidRPr="00271894">
        <w:fldChar w:fldCharType="end"/>
      </w:r>
      <w:r w:rsidR="007319CC" w:rsidRPr="00271894">
        <w:t xml:space="preserve"> </w:t>
      </w:r>
      <w:r w:rsidRPr="00271894">
        <w:t xml:space="preserve">above, the Board’s view is consistent with the view of the IASB in IFRS 13. Other </w:t>
      </w:r>
      <w:r w:rsidR="007319CC" w:rsidRPr="00271894">
        <w:t>respondents to ED 320</w:t>
      </w:r>
      <w:r w:rsidR="00936D59" w:rsidRPr="00271894">
        <w:t>/Fatal-Flaw Review draft</w:t>
      </w:r>
      <w:r w:rsidR="007319CC" w:rsidRPr="00271894">
        <w:t xml:space="preserve"> </w:t>
      </w:r>
      <w:r w:rsidRPr="00271894">
        <w:t>expressed agreement with this view</w:t>
      </w:r>
      <w:r w:rsidR="00936D59" w:rsidRPr="00271894">
        <w:t xml:space="preserve"> and support the Board’s proposals.</w:t>
      </w:r>
      <w:r w:rsidR="00CC004C" w:rsidRPr="00271894">
        <w:t xml:space="preserve"> Accord</w:t>
      </w:r>
      <w:r w:rsidR="0037519E" w:rsidRPr="00271894">
        <w:t>ing</w:t>
      </w:r>
      <w:r w:rsidR="00CC004C" w:rsidRPr="00271894">
        <w:t>ly, the Board decided to proceed with the modifications to AASB</w:t>
      </w:r>
      <w:r w:rsidR="00215E9B">
        <w:t> </w:t>
      </w:r>
      <w:r w:rsidR="00CC004C" w:rsidRPr="00271894">
        <w:t>13.</w:t>
      </w:r>
      <w:r w:rsidRPr="00271894">
        <w:t xml:space="preserve"> </w:t>
      </w:r>
    </w:p>
    <w:p w14:paraId="0A07A9C9" w14:textId="77777777" w:rsidR="002606D0" w:rsidRPr="00271894" w:rsidRDefault="002606D0" w:rsidP="00271894">
      <w:pPr>
        <w:pStyle w:val="IASBSectionTitle1NonInd"/>
      </w:pPr>
      <w:r w:rsidRPr="00271894">
        <w:t>Comparison with IFRS 13</w:t>
      </w:r>
    </w:p>
    <w:p w14:paraId="63093D7D" w14:textId="61A00333" w:rsidR="002606D0" w:rsidRPr="00271894" w:rsidRDefault="00253B0B" w:rsidP="00271894">
      <w:pPr>
        <w:pStyle w:val="NumBC1"/>
      </w:pPr>
      <w:r>
        <w:t>The Board observed that n</w:t>
      </w:r>
      <w:r w:rsidR="002606D0">
        <w:t xml:space="preserve">ot-for-profit public sector entities complying with this Standard might not comply with IFRS 13. </w:t>
      </w:r>
    </w:p>
    <w:p w14:paraId="7488CA76" w14:textId="3AD21FC2" w:rsidR="002606D0" w:rsidRPr="00271894" w:rsidRDefault="002606D0" w:rsidP="00271894">
      <w:pPr>
        <w:pStyle w:val="NumBC1"/>
      </w:pPr>
      <w:bookmarkStart w:id="60" w:name="_Ref118472862"/>
      <w:r>
        <w:t xml:space="preserve">This Standard makes the following modifications </w:t>
      </w:r>
      <w:r w:rsidR="00762A18">
        <w:t xml:space="preserve">to </w:t>
      </w:r>
      <w:r w:rsidR="002F7A43">
        <w:t xml:space="preserve">the requirements </w:t>
      </w:r>
      <w:r w:rsidR="00D63AB5">
        <w:t>of</w:t>
      </w:r>
      <w:r w:rsidR="00853672">
        <w:t xml:space="preserve"> </w:t>
      </w:r>
      <w:r w:rsidR="00D63AB5">
        <w:t xml:space="preserve">IFRS 13 </w:t>
      </w:r>
      <w:r w:rsidR="002F7A43">
        <w:t>adopted in AASB</w:t>
      </w:r>
      <w:r w:rsidR="00D63AB5">
        <w:t> </w:t>
      </w:r>
      <w:r w:rsidR="002F7A43">
        <w:t>13, w</w:t>
      </w:r>
      <w:r>
        <w:t xml:space="preserve">hich </w:t>
      </w:r>
      <w:r w:rsidR="00C6471D">
        <w:t>appl</w:t>
      </w:r>
      <w:r w:rsidR="003A3B91">
        <w:t>y</w:t>
      </w:r>
      <w:r w:rsidR="00C6471D">
        <w:t xml:space="preserve"> only to</w:t>
      </w:r>
      <w:r w:rsidR="00911F1D">
        <w:t xml:space="preserve"> </w:t>
      </w:r>
      <w:r w:rsidR="005E4765">
        <w:t>fair value measurements of</w:t>
      </w:r>
      <w:r>
        <w:t xml:space="preserve"> non-financial assets of not-for-profit public sector entities not held primarily for their ability to generate net cash inflows:</w:t>
      </w:r>
      <w:bookmarkEnd w:id="60"/>
    </w:p>
    <w:p w14:paraId="7E5731B1" w14:textId="5EC59F49" w:rsidR="007B3E38" w:rsidRDefault="002A7BCB" w:rsidP="00271894">
      <w:pPr>
        <w:pStyle w:val="NumBC2"/>
      </w:pPr>
      <w:r>
        <w:t xml:space="preserve">an </w:t>
      </w:r>
      <w:r w:rsidR="00BE1F57">
        <w:t xml:space="preserve">entity is required to consider whether </w:t>
      </w:r>
      <w:r>
        <w:t xml:space="preserve">an </w:t>
      </w:r>
      <w:r w:rsidR="00BE1F57">
        <w:t xml:space="preserve">asset’s highest and best use differs from its current use </w:t>
      </w:r>
      <w:r w:rsidR="007B3E38">
        <w:t xml:space="preserve">only </w:t>
      </w:r>
      <w:r w:rsidR="00BE1F57">
        <w:t>when, at the measurement date, it is</w:t>
      </w:r>
      <w:r w:rsidR="004E6EF0">
        <w:t>:</w:t>
      </w:r>
      <w:r w:rsidR="00BE1F57">
        <w:t xml:space="preserve"> </w:t>
      </w:r>
    </w:p>
    <w:p w14:paraId="6B7723A7" w14:textId="107C3FDA" w:rsidR="004E6EF0" w:rsidRDefault="007D523A" w:rsidP="004E6EF0">
      <w:pPr>
        <w:pStyle w:val="NumBC3"/>
      </w:pPr>
      <w:r>
        <w:t xml:space="preserve">classified as held for sale or held for distribution to owners in accordance with AASB 5 </w:t>
      </w:r>
      <w:r w:rsidRPr="00371F0F">
        <w:rPr>
          <w:i/>
          <w:iCs/>
        </w:rPr>
        <w:t>Non-current Assets Held for Sale and Discontinued Operations</w:t>
      </w:r>
      <w:r>
        <w:t>; or</w:t>
      </w:r>
    </w:p>
    <w:p w14:paraId="3ECBF9D8" w14:textId="5B040725" w:rsidR="002606D0" w:rsidRDefault="00BE1F57" w:rsidP="004E6EF0">
      <w:pPr>
        <w:pStyle w:val="NumBC3"/>
      </w:pPr>
      <w:r>
        <w:t>highly probable that the asset will be used for an alternative purpose to its current use</w:t>
      </w:r>
      <w:r w:rsidR="002606D0" w:rsidRPr="00271894" w:rsidDel="00BD309B">
        <w:t xml:space="preserve"> </w:t>
      </w:r>
      <w:r w:rsidR="002606D0" w:rsidRPr="00271894">
        <w:t>(</w:t>
      </w:r>
      <w:r w:rsidR="005C612B">
        <w:t xml:space="preserve">see </w:t>
      </w:r>
      <w:r w:rsidR="002606D0" w:rsidRPr="00271894">
        <w:t xml:space="preserve">paragraphs Aus29.1 and Aus29.2); </w:t>
      </w:r>
    </w:p>
    <w:p w14:paraId="018ADED2" w14:textId="4F4FDAE8" w:rsidR="00513606" w:rsidRPr="00271894" w:rsidRDefault="00513606" w:rsidP="00271894">
      <w:pPr>
        <w:pStyle w:val="NumBC2"/>
      </w:pPr>
      <w:r>
        <w:t>an asset’s use is ‘financially feasible’ if market participants would be willing to invest in the asset’s service capacity, considering both the capability of the asset to be used to provide needed goods or services to beneficiaries and the resulting cost of those goods or services (</w:t>
      </w:r>
      <w:r w:rsidR="001603A4">
        <w:t xml:space="preserve">see </w:t>
      </w:r>
      <w:r>
        <w:t>paragraph Aus28.1)</w:t>
      </w:r>
      <w:r w:rsidR="00083AEB">
        <w:t>;</w:t>
      </w:r>
    </w:p>
    <w:p w14:paraId="323C9961" w14:textId="6814DE82" w:rsidR="002606D0" w:rsidRPr="00271894" w:rsidRDefault="002606D0" w:rsidP="00271894">
      <w:pPr>
        <w:pStyle w:val="NumBC2"/>
      </w:pPr>
      <w:r w:rsidRPr="00271894">
        <w:t xml:space="preserve">if both the market selling price of a comparable asset and some market participant data required to measure the fair value of </w:t>
      </w:r>
      <w:r w:rsidR="002A7BCB">
        <w:t xml:space="preserve">an </w:t>
      </w:r>
      <w:r w:rsidRPr="00271894">
        <w:t xml:space="preserve">asset are not observable, the entity is required to use its own assumptions as a starting point </w:t>
      </w:r>
      <w:r w:rsidR="00901635">
        <w:t xml:space="preserve">in developing unobservable inputs </w:t>
      </w:r>
      <w:r w:rsidR="002A7BCB">
        <w:t xml:space="preserve">to measure </w:t>
      </w:r>
      <w:r w:rsidRPr="00271894">
        <w:t xml:space="preserve">the fair value of the subject asset </w:t>
      </w:r>
      <w:r w:rsidRPr="00271894">
        <w:lastRenderedPageBreak/>
        <w:t>and adjust those assumptions to the extent that reasonably available information indicates that other market participants would use different data (</w:t>
      </w:r>
      <w:r w:rsidR="001603A4">
        <w:t xml:space="preserve">see </w:t>
      </w:r>
      <w:r w:rsidRPr="00271894">
        <w:t xml:space="preserve">paragraphs </w:t>
      </w:r>
      <w:r w:rsidRPr="00271894">
        <w:fldChar w:fldCharType="begin"/>
      </w:r>
      <w:r w:rsidRPr="00271894">
        <w:instrText xml:space="preserve"> REF _Ref115100654 \r \h </w:instrText>
      </w:r>
      <w:r w:rsidR="00C640CD" w:rsidRPr="00271894">
        <w:instrText xml:space="preserve"> \* MERGEFORMAT </w:instrText>
      </w:r>
      <w:r w:rsidRPr="00271894">
        <w:fldChar w:fldCharType="separate"/>
      </w:r>
      <w:r w:rsidR="005A1B65">
        <w:t>F5</w:t>
      </w:r>
      <w:r w:rsidRPr="00271894">
        <w:fldChar w:fldCharType="end"/>
      </w:r>
      <w:r w:rsidRPr="00271894">
        <w:t xml:space="preserve"> and </w:t>
      </w:r>
      <w:r w:rsidRPr="00271894">
        <w:fldChar w:fldCharType="begin"/>
      </w:r>
      <w:r w:rsidRPr="00271894">
        <w:instrText xml:space="preserve"> REF _Ref113946224 \r \h </w:instrText>
      </w:r>
      <w:r w:rsidR="00C640CD" w:rsidRPr="00271894">
        <w:instrText xml:space="preserve"> \* MERGEFORMAT </w:instrText>
      </w:r>
      <w:r w:rsidRPr="00271894">
        <w:fldChar w:fldCharType="separate"/>
      </w:r>
      <w:r w:rsidR="005A1B65">
        <w:t>F11</w:t>
      </w:r>
      <w:r w:rsidRPr="00271894">
        <w:fldChar w:fldCharType="end"/>
      </w:r>
      <w:r w:rsidRPr="00271894">
        <w:t>(b)); and</w:t>
      </w:r>
    </w:p>
    <w:p w14:paraId="59D4E3C5" w14:textId="1C5D4567" w:rsidR="002606D0" w:rsidRPr="00271894" w:rsidRDefault="002606D0" w:rsidP="00271894">
      <w:pPr>
        <w:pStyle w:val="NumBC2"/>
        <w:keepNext/>
      </w:pPr>
      <w:r w:rsidRPr="00271894">
        <w:t xml:space="preserve">if </w:t>
      </w:r>
      <w:r w:rsidR="002A7BCB">
        <w:t xml:space="preserve">an asset is </w:t>
      </w:r>
      <w:r w:rsidRPr="00271894">
        <w:t>measured using the cost approach,</w:t>
      </w:r>
      <w:r w:rsidR="002A7BCB">
        <w:t xml:space="preserve"> the entity is required</w:t>
      </w:r>
      <w:r w:rsidRPr="00271894">
        <w:t>:</w:t>
      </w:r>
    </w:p>
    <w:p w14:paraId="5732EBFC" w14:textId="071BB12D" w:rsidR="002606D0" w:rsidRPr="00271894" w:rsidRDefault="002A7BCB" w:rsidP="00271894">
      <w:pPr>
        <w:pStyle w:val="NumBC3"/>
      </w:pPr>
      <w:r>
        <w:t xml:space="preserve">to </w:t>
      </w:r>
      <w:r w:rsidR="002606D0">
        <w:t xml:space="preserve">assume that the asset will be replaced in its existing location, even if it would be feasible to replace the </w:t>
      </w:r>
      <w:r w:rsidR="00762A18">
        <w:t xml:space="preserve">asset </w:t>
      </w:r>
      <w:r w:rsidR="002606D0">
        <w:t>in a cheaper location at the measurement date (</w:t>
      </w:r>
      <w:r w:rsidR="000C5ABF">
        <w:t xml:space="preserve">see </w:t>
      </w:r>
      <w:r w:rsidR="002606D0">
        <w:t xml:space="preserve">paragraph </w:t>
      </w:r>
      <w:r>
        <w:fldChar w:fldCharType="begin"/>
      </w:r>
      <w:r>
        <w:instrText xml:space="preserve"> REF _Ref113946224 \r \h  \* MERGEFORMAT </w:instrText>
      </w:r>
      <w:r>
        <w:fldChar w:fldCharType="separate"/>
      </w:r>
      <w:r w:rsidR="005A1B65">
        <w:t>F11</w:t>
      </w:r>
      <w:r>
        <w:fldChar w:fldCharType="end"/>
      </w:r>
      <w:r w:rsidR="002606D0">
        <w:t>(a)); and</w:t>
      </w:r>
    </w:p>
    <w:p w14:paraId="57940035" w14:textId="696D7652" w:rsidR="002606D0" w:rsidRPr="00271894" w:rsidRDefault="002606D0" w:rsidP="00271894">
      <w:pPr>
        <w:pStyle w:val="NumBC3"/>
      </w:pPr>
      <w:r w:rsidRPr="00271894">
        <w:t xml:space="preserve">not </w:t>
      </w:r>
      <w:r w:rsidR="002A7BCB">
        <w:t xml:space="preserve">to </w:t>
      </w:r>
      <w:r w:rsidRPr="00271894">
        <w:t>identify economic obsolescence for the asset if the asset contains ‘surplus capacity’ necessary for stand-by or safety purposes (</w:t>
      </w:r>
      <w:r w:rsidR="000C5ABF">
        <w:t xml:space="preserve">see </w:t>
      </w:r>
      <w:r w:rsidRPr="00271894">
        <w:t xml:space="preserve">paragraph </w:t>
      </w:r>
      <w:r w:rsidRPr="00271894">
        <w:fldChar w:fldCharType="begin"/>
      </w:r>
      <w:r w:rsidRPr="00271894">
        <w:instrText xml:space="preserve"> REF _Ref113947078 \r \h </w:instrText>
      </w:r>
      <w:r w:rsidR="00C640CD" w:rsidRPr="00271894">
        <w:instrText xml:space="preserve"> \* MERGEFORMAT </w:instrText>
      </w:r>
      <w:r w:rsidRPr="00271894">
        <w:fldChar w:fldCharType="separate"/>
      </w:r>
      <w:r w:rsidR="005A1B65">
        <w:t>F17</w:t>
      </w:r>
      <w:r w:rsidRPr="00271894">
        <w:fldChar w:fldCharType="end"/>
      </w:r>
      <w:r w:rsidRPr="00271894">
        <w:t>).</w:t>
      </w:r>
    </w:p>
    <w:p w14:paraId="63D8CD0A" w14:textId="77777777" w:rsidR="002606D0" w:rsidRPr="00271894" w:rsidRDefault="002606D0" w:rsidP="00271894">
      <w:pPr>
        <w:pStyle w:val="NumBC1"/>
        <w:keepNext/>
      </w:pPr>
      <w:bookmarkStart w:id="61" w:name="_Ref118472947"/>
      <w:r w:rsidRPr="00271894">
        <w:t>IFRS 13 does not specify:</w:t>
      </w:r>
      <w:bookmarkEnd w:id="61"/>
    </w:p>
    <w:p w14:paraId="0F3EE608" w14:textId="77777777" w:rsidR="002606D0" w:rsidRPr="00271894" w:rsidRDefault="002606D0" w:rsidP="00271894">
      <w:pPr>
        <w:pStyle w:val="NumBC2"/>
      </w:pPr>
      <w:r w:rsidRPr="00271894">
        <w:t xml:space="preserve">that the entity’s own data is required to be used as a starting point under certain circumstances. IFRS 13 paragraph 89 states that the entity’s own data </w:t>
      </w:r>
      <w:r w:rsidRPr="00271894">
        <w:rPr>
          <w:i/>
          <w:iCs/>
        </w:rPr>
        <w:t>may</w:t>
      </w:r>
      <w:r w:rsidRPr="00271894">
        <w:t xml:space="preserve"> be used as a starting point when developing unobservable inputs; </w:t>
      </w:r>
    </w:p>
    <w:p w14:paraId="1D33E47B" w14:textId="7019D938" w:rsidR="00172C75" w:rsidRDefault="002606D0" w:rsidP="00271894">
      <w:pPr>
        <w:pStyle w:val="NumBC2"/>
      </w:pPr>
      <w:r w:rsidRPr="00271894">
        <w:t xml:space="preserve">any specific criteria for </w:t>
      </w:r>
      <w:r w:rsidR="00171564">
        <w:t xml:space="preserve">determining </w:t>
      </w:r>
      <w:r w:rsidRPr="00271894">
        <w:t xml:space="preserve">when market or other factors suggest that an alternative use of an asset by market participants would be the asset’s highest and best use. Consequently, the modification of AASB 13 in paragraphs Aus29.1 and Aus29.2 </w:t>
      </w:r>
      <w:r w:rsidR="002176E3">
        <w:t>–</w:t>
      </w:r>
      <w:r w:rsidR="001804E5">
        <w:t xml:space="preserve"> </w:t>
      </w:r>
      <w:r w:rsidRPr="00271894">
        <w:t xml:space="preserve">specifying that </w:t>
      </w:r>
      <w:r w:rsidR="00670360">
        <w:t>an</w:t>
      </w:r>
      <w:r w:rsidR="00790DFF">
        <w:t xml:space="preserve"> entity is required to consider whether the asset’s highest and best use differs from its current use </w:t>
      </w:r>
      <w:r w:rsidR="0011353F">
        <w:t xml:space="preserve">only </w:t>
      </w:r>
      <w:r w:rsidR="00790DFF">
        <w:t xml:space="preserve">when, at the measurement date, it is </w:t>
      </w:r>
      <w:r w:rsidR="00740BE4">
        <w:t xml:space="preserve">classified as held for sale or held for distribution to owners in accordance with AASB 5 or </w:t>
      </w:r>
      <w:r w:rsidR="00161D0A">
        <w:t xml:space="preserve">it is </w:t>
      </w:r>
      <w:r w:rsidR="00790DFF">
        <w:t>highly probable that the asset will be used for an alternative purpose to its current use</w:t>
      </w:r>
      <w:r w:rsidR="00167D96">
        <w:t xml:space="preserve"> </w:t>
      </w:r>
      <w:r w:rsidR="002176E3">
        <w:t>–</w:t>
      </w:r>
      <w:r w:rsidR="001804E5">
        <w:t xml:space="preserve"> </w:t>
      </w:r>
      <w:r w:rsidRPr="00271894">
        <w:t xml:space="preserve">creates the potential for particular fair value measurements to be non-compliant with IFRS 13. This is because applying paragraphs Aus29.1 and Aus29.2 might delay the identification of a higher and better alternative use compared with application of paragraph 29 of IFRS 13 alone. The Board concluded such potential for non-compliance with IFRS 13 is warranted by the unique aspects of the processes in the public sector for selling, distributing </w:t>
      </w:r>
      <w:r w:rsidR="0075433D">
        <w:t xml:space="preserve">to owners </w:t>
      </w:r>
      <w:r w:rsidRPr="00271894">
        <w:t>or redeploying assets (see paragraphs </w:t>
      </w:r>
      <w:r w:rsidRPr="00271894">
        <w:fldChar w:fldCharType="begin"/>
      </w:r>
      <w:r w:rsidRPr="00271894">
        <w:instrText xml:space="preserve"> REF _Ref115215807 \r \h </w:instrText>
      </w:r>
      <w:r w:rsidR="00C640CD" w:rsidRPr="00271894">
        <w:instrText xml:space="preserve"> \* MERGEFORMAT </w:instrText>
      </w:r>
      <w:r w:rsidRPr="00271894">
        <w:fldChar w:fldCharType="separate"/>
      </w:r>
      <w:r w:rsidR="005A1B65">
        <w:t>BC52</w:t>
      </w:r>
      <w:r w:rsidRPr="00271894">
        <w:fldChar w:fldCharType="end"/>
      </w:r>
      <w:r w:rsidRPr="00271894">
        <w:t>–</w:t>
      </w:r>
      <w:r w:rsidRPr="00271894">
        <w:fldChar w:fldCharType="begin"/>
      </w:r>
      <w:r w:rsidRPr="00271894">
        <w:instrText xml:space="preserve"> REF _Ref116442354 \r \h </w:instrText>
      </w:r>
      <w:r w:rsidR="00C640CD" w:rsidRPr="00271894">
        <w:instrText xml:space="preserve"> \* MERGEFORMAT </w:instrText>
      </w:r>
      <w:r w:rsidRPr="00271894">
        <w:fldChar w:fldCharType="separate"/>
      </w:r>
      <w:r w:rsidR="005A1B65">
        <w:t>BC59</w:t>
      </w:r>
      <w:r w:rsidRPr="00271894">
        <w:fldChar w:fldCharType="end"/>
      </w:r>
      <w:r w:rsidRPr="00271894">
        <w:t xml:space="preserve">); </w:t>
      </w:r>
    </w:p>
    <w:p w14:paraId="7B0B7BDF" w14:textId="7007E469" w:rsidR="002606D0" w:rsidRPr="00271894" w:rsidRDefault="00172C75" w:rsidP="00271894">
      <w:pPr>
        <w:pStyle w:val="NumBC2"/>
      </w:pPr>
      <w:r>
        <w:t xml:space="preserve">that </w:t>
      </w:r>
      <w:r w:rsidR="00254261" w:rsidRPr="00254261">
        <w:t xml:space="preserve">the capability of the asset to be used to provide needed goods or services and the resulting cost of those goods or services </w:t>
      </w:r>
      <w:r w:rsidR="00254261">
        <w:t xml:space="preserve">need to be considered </w:t>
      </w:r>
      <w:r w:rsidR="0075433D">
        <w:t xml:space="preserve">(instead of whether </w:t>
      </w:r>
      <w:r w:rsidR="00D5603E">
        <w:t xml:space="preserve">a use of the </w:t>
      </w:r>
      <w:r w:rsidR="0075433D">
        <w:t xml:space="preserve">asset would generate an investment return on that asset) </w:t>
      </w:r>
      <w:r w:rsidR="00254261">
        <w:t>when</w:t>
      </w:r>
      <w:r w:rsidR="00E461A2">
        <w:t xml:space="preserve"> considering whether a use of an asset is financially feasible</w:t>
      </w:r>
      <w:r w:rsidR="006F45E0">
        <w:t xml:space="preserve"> </w:t>
      </w:r>
      <w:r w:rsidR="006F45E0" w:rsidRPr="00271894">
        <w:t>(see paragraphs </w:t>
      </w:r>
      <w:r w:rsidR="006F45E0">
        <w:fldChar w:fldCharType="begin"/>
      </w:r>
      <w:r w:rsidR="006F45E0">
        <w:instrText xml:space="preserve"> REF _Ref85965314 \r \h </w:instrText>
      </w:r>
      <w:r w:rsidR="006F45E0">
        <w:fldChar w:fldCharType="separate"/>
      </w:r>
      <w:r w:rsidR="005A1B65">
        <w:t>BC82</w:t>
      </w:r>
      <w:r w:rsidR="006F45E0">
        <w:fldChar w:fldCharType="end"/>
      </w:r>
      <w:r w:rsidR="006F45E0" w:rsidRPr="00271894">
        <w:t>–</w:t>
      </w:r>
      <w:r w:rsidR="006F45E0">
        <w:fldChar w:fldCharType="begin"/>
      </w:r>
      <w:r w:rsidR="006F45E0">
        <w:instrText xml:space="preserve"> REF _Ref120349825 \r \h </w:instrText>
      </w:r>
      <w:r w:rsidR="006F45E0">
        <w:fldChar w:fldCharType="separate"/>
      </w:r>
      <w:r w:rsidR="005A1B65">
        <w:t>BC88</w:t>
      </w:r>
      <w:r w:rsidR="006F45E0">
        <w:fldChar w:fldCharType="end"/>
      </w:r>
      <w:r w:rsidR="006F45E0" w:rsidRPr="00271894">
        <w:t>)</w:t>
      </w:r>
      <w:r w:rsidR="00E461A2">
        <w:t xml:space="preserve">; </w:t>
      </w:r>
      <w:r w:rsidR="002606D0" w:rsidRPr="00271894">
        <w:t>and</w:t>
      </w:r>
    </w:p>
    <w:p w14:paraId="029C1858" w14:textId="3DD74D37" w:rsidR="002606D0" w:rsidRPr="00271894" w:rsidRDefault="002606D0" w:rsidP="00271894">
      <w:pPr>
        <w:pStyle w:val="NumBC2"/>
      </w:pPr>
      <w:r>
        <w:t xml:space="preserve">how the cost approach should be applied, beyond the brief requirements in </w:t>
      </w:r>
      <w:r w:rsidR="504FC590">
        <w:t xml:space="preserve">IFRS 13 </w:t>
      </w:r>
      <w:r>
        <w:t xml:space="preserve">paragraphs B8 and B9. </w:t>
      </w:r>
    </w:p>
    <w:p w14:paraId="395EA509" w14:textId="6DEB0638" w:rsidR="002606D0" w:rsidRPr="00271894" w:rsidRDefault="002606D0" w:rsidP="00271894">
      <w:pPr>
        <w:pStyle w:val="NumBC1"/>
        <w:numPr>
          <w:ilvl w:val="0"/>
          <w:numId w:val="0"/>
        </w:numPr>
        <w:ind w:left="782"/>
      </w:pPr>
      <w:r w:rsidRPr="00271894">
        <w:t xml:space="preserve">The requirements of this Standard noted in paragraphs </w:t>
      </w:r>
      <w:r w:rsidR="00566059" w:rsidRPr="00271894">
        <w:fldChar w:fldCharType="begin"/>
      </w:r>
      <w:r w:rsidR="00566059" w:rsidRPr="00271894">
        <w:instrText xml:space="preserve"> REF _Ref118472862 \r \h </w:instrText>
      </w:r>
      <w:r w:rsidR="00C640CD" w:rsidRPr="00271894">
        <w:instrText xml:space="preserve"> \* MERGEFORMAT </w:instrText>
      </w:r>
      <w:r w:rsidR="00566059" w:rsidRPr="00271894">
        <w:fldChar w:fldCharType="separate"/>
      </w:r>
      <w:r w:rsidR="005A1B65">
        <w:t>BC37</w:t>
      </w:r>
      <w:r w:rsidR="00566059" w:rsidRPr="00271894">
        <w:fldChar w:fldCharType="end"/>
      </w:r>
      <w:r w:rsidR="00AD3251" w:rsidRPr="00271894">
        <w:t xml:space="preserve"> and </w:t>
      </w:r>
      <w:r w:rsidR="00AD3251" w:rsidRPr="00271894">
        <w:fldChar w:fldCharType="begin"/>
      </w:r>
      <w:r w:rsidR="00AD3251" w:rsidRPr="00271894">
        <w:instrText xml:space="preserve"> REF _Ref118472947 \r \h </w:instrText>
      </w:r>
      <w:r w:rsidR="00C640CD" w:rsidRPr="00271894">
        <w:instrText xml:space="preserve"> \* MERGEFORMAT </w:instrText>
      </w:r>
      <w:r w:rsidR="00AD3251" w:rsidRPr="00271894">
        <w:fldChar w:fldCharType="separate"/>
      </w:r>
      <w:r w:rsidR="005A1B65">
        <w:t>BC38</w:t>
      </w:r>
      <w:r w:rsidR="00AD3251" w:rsidRPr="00271894">
        <w:fldChar w:fldCharType="end"/>
      </w:r>
      <w:r w:rsidR="00566059" w:rsidRPr="00271894">
        <w:t xml:space="preserve"> </w:t>
      </w:r>
      <w:r w:rsidRPr="00271894">
        <w:t xml:space="preserve">might not comply with IFRS 13. </w:t>
      </w:r>
    </w:p>
    <w:p w14:paraId="18A5AC30" w14:textId="36E1341E" w:rsidR="00C56343" w:rsidRPr="00271894" w:rsidRDefault="00C56343" w:rsidP="00271894">
      <w:pPr>
        <w:pStyle w:val="NumBC1"/>
      </w:pPr>
      <w:bookmarkStart w:id="62" w:name="_Ref119341013"/>
      <w:r w:rsidRPr="00271894">
        <w:t xml:space="preserve">The Board made reference to paragraphs 25 and 30 of the </w:t>
      </w:r>
      <w:r w:rsidRPr="00271894">
        <w:rPr>
          <w:i/>
          <w:iCs/>
        </w:rPr>
        <w:t>AASB Not-for-Profit Entity Standard-Setting Framework</w:t>
      </w:r>
      <w:r w:rsidRPr="00271894">
        <w:t xml:space="preserve">, which state that, when justified, the Board would </w:t>
      </w:r>
      <w:r w:rsidR="00C25E63" w:rsidRPr="00271894">
        <w:t>modify</w:t>
      </w:r>
      <w:r w:rsidRPr="00271894">
        <w:t xml:space="preserve"> IFRS Standards to address not-for-profit specific issues, including</w:t>
      </w:r>
      <w:r w:rsidR="00C564B5" w:rsidRPr="00271894">
        <w:t xml:space="preserve"> those involving</w:t>
      </w:r>
      <w:r w:rsidRPr="00271894">
        <w:t>:</w:t>
      </w:r>
      <w:bookmarkEnd w:id="62"/>
    </w:p>
    <w:p w14:paraId="26CB7A77" w14:textId="2EF4F449" w:rsidR="00C56343" w:rsidRPr="00271894" w:rsidRDefault="00C56343" w:rsidP="00271894">
      <w:pPr>
        <w:pStyle w:val="NumBC2"/>
      </w:pPr>
      <w:r w:rsidRPr="00271894">
        <w:t>undue widespread and significant diversity in accounting practices (</w:t>
      </w:r>
      <w:r w:rsidR="00C07E93">
        <w:t xml:space="preserve">see </w:t>
      </w:r>
      <w:r w:rsidRPr="00271894">
        <w:t>paragraph 25(</w:t>
      </w:r>
      <w:r w:rsidR="00003A0D" w:rsidRPr="00271894">
        <w:t>g</w:t>
      </w:r>
      <w:r w:rsidRPr="00271894">
        <w:t>)); and</w:t>
      </w:r>
    </w:p>
    <w:p w14:paraId="6725F694" w14:textId="3179527A" w:rsidR="00C56343" w:rsidRPr="00271894" w:rsidRDefault="00C56343" w:rsidP="00271894">
      <w:pPr>
        <w:pStyle w:val="NumBC2"/>
      </w:pPr>
      <w:r w:rsidRPr="00271894">
        <w:t xml:space="preserve">cost or effort of preparing and disclosing information </w:t>
      </w:r>
      <w:r w:rsidR="00C564B5" w:rsidRPr="00271894">
        <w:t xml:space="preserve">that </w:t>
      </w:r>
      <w:r w:rsidRPr="00271894">
        <w:t>outweighs the benefits to users (</w:t>
      </w:r>
      <w:r w:rsidR="00C07E93">
        <w:t xml:space="preserve">see </w:t>
      </w:r>
      <w:r w:rsidRPr="00271894">
        <w:t>paragraph 30(h)).</w:t>
      </w:r>
    </w:p>
    <w:p w14:paraId="31D68C3F" w14:textId="6E3F68FD" w:rsidR="00475936" w:rsidRPr="00271894" w:rsidRDefault="0005038C" w:rsidP="00271894">
      <w:pPr>
        <w:pStyle w:val="NumBC1"/>
      </w:pPr>
      <w:r w:rsidRPr="00271894">
        <w:t xml:space="preserve">As mentioned in paragraphs </w:t>
      </w:r>
      <w:r w:rsidRPr="00271894">
        <w:fldChar w:fldCharType="begin"/>
      </w:r>
      <w:r w:rsidRPr="00271894">
        <w:instrText xml:space="preserve"> REF _Ref88560802 \r \h </w:instrText>
      </w:r>
      <w:r w:rsidR="00C640CD" w:rsidRPr="00271894">
        <w:instrText xml:space="preserve"> \* MERGEFORMAT </w:instrText>
      </w:r>
      <w:r w:rsidRPr="00271894">
        <w:fldChar w:fldCharType="separate"/>
      </w:r>
      <w:r w:rsidR="005A1B65">
        <w:t>BC7</w:t>
      </w:r>
      <w:r w:rsidRPr="00271894">
        <w:fldChar w:fldCharType="end"/>
      </w:r>
      <w:r w:rsidRPr="00271894">
        <w:t xml:space="preserve"> and </w:t>
      </w:r>
      <w:r w:rsidRPr="00271894">
        <w:fldChar w:fldCharType="begin"/>
      </w:r>
      <w:r w:rsidRPr="00271894">
        <w:instrText xml:space="preserve"> REF _Ref118475092 \r \h </w:instrText>
      </w:r>
      <w:r w:rsidR="00C640CD" w:rsidRPr="00271894">
        <w:instrText xml:space="preserve"> \* MERGEFORMAT </w:instrText>
      </w:r>
      <w:r w:rsidRPr="00271894">
        <w:fldChar w:fldCharType="separate"/>
      </w:r>
      <w:r w:rsidR="005A1B65">
        <w:t>BC8</w:t>
      </w:r>
      <w:r w:rsidRPr="00271894">
        <w:fldChar w:fldCharType="end"/>
      </w:r>
      <w:r w:rsidRPr="00271894">
        <w:t>, many</w:t>
      </w:r>
      <w:r w:rsidR="00475936" w:rsidRPr="00271894">
        <w:t xml:space="preserve"> </w:t>
      </w:r>
      <w:r w:rsidR="0063528E" w:rsidRPr="00271894">
        <w:t xml:space="preserve">public sector </w:t>
      </w:r>
      <w:r w:rsidR="00475936" w:rsidRPr="00271894">
        <w:t>stakeholders commented that applying AASB</w:t>
      </w:r>
      <w:r w:rsidR="005120F6" w:rsidRPr="00271894">
        <w:t> </w:t>
      </w:r>
      <w:r w:rsidR="00475936" w:rsidRPr="00271894">
        <w:t>13 had been challenging and costly</w:t>
      </w:r>
      <w:r w:rsidRPr="00271894">
        <w:t xml:space="preserve"> and that the measurement issues are pervasive in the not-for-profit public sector and involve inconsistent </w:t>
      </w:r>
      <w:r w:rsidR="0063528E" w:rsidRPr="00271894">
        <w:t xml:space="preserve">practical </w:t>
      </w:r>
      <w:r w:rsidRPr="00271894">
        <w:t xml:space="preserve">application of </w:t>
      </w:r>
      <w:r w:rsidR="0063528E" w:rsidRPr="00271894">
        <w:t xml:space="preserve">the </w:t>
      </w:r>
      <w:r w:rsidRPr="00271894">
        <w:t>principles</w:t>
      </w:r>
      <w:r w:rsidR="0063528E" w:rsidRPr="00271894">
        <w:t xml:space="preserve"> of AASB 13</w:t>
      </w:r>
      <w:r w:rsidR="00475936" w:rsidRPr="00271894">
        <w:t>. Accordingly, the Board undertook the FVM project to provide guidance that:</w:t>
      </w:r>
    </w:p>
    <w:p w14:paraId="0ECF0862" w14:textId="1409CCCA" w:rsidR="00475936" w:rsidRPr="00271894" w:rsidRDefault="00475936" w:rsidP="00271894">
      <w:pPr>
        <w:pStyle w:val="NumBC2"/>
      </w:pPr>
      <w:r>
        <w:t xml:space="preserve">assists the </w:t>
      </w:r>
      <w:r w:rsidR="00144FA4">
        <w:t>not-for-profit</w:t>
      </w:r>
      <w:r>
        <w:t xml:space="preserve"> public sector to apply the principles of AASB 13 more consistently; and</w:t>
      </w:r>
    </w:p>
    <w:p w14:paraId="3781539F" w14:textId="333E1630" w:rsidR="00475936" w:rsidRPr="00271894" w:rsidRDefault="00475936" w:rsidP="00271894">
      <w:pPr>
        <w:pStyle w:val="NumBC2"/>
      </w:pPr>
      <w:r w:rsidRPr="00271894">
        <w:tab/>
        <w:t xml:space="preserve">enables </w:t>
      </w:r>
      <w:r w:rsidR="00144FA4" w:rsidRPr="00271894">
        <w:t xml:space="preserve">the </w:t>
      </w:r>
      <w:r w:rsidRPr="00271894">
        <w:t>application of AASB 13 in a more cost-effective manner by clarifying its application, including clarifying the extent to which preparers of financial statements need to search for information in the absence of observable market inputs</w:t>
      </w:r>
      <w:r w:rsidR="00324301" w:rsidRPr="00271894">
        <w:t xml:space="preserve"> to fair value measurements</w:t>
      </w:r>
      <w:r w:rsidRPr="00271894">
        <w:t>.</w:t>
      </w:r>
    </w:p>
    <w:p w14:paraId="394E1C3E" w14:textId="4554CDB8" w:rsidR="001F0CA0" w:rsidRPr="00271894" w:rsidRDefault="003E686F" w:rsidP="00271894">
      <w:pPr>
        <w:pStyle w:val="NumBC1"/>
      </w:pPr>
      <w:bookmarkStart w:id="63" w:name="_Ref119341014"/>
      <w:r w:rsidRPr="00271894">
        <w:t>In a</w:t>
      </w:r>
      <w:r w:rsidR="001F0CA0" w:rsidRPr="00271894">
        <w:t xml:space="preserve">ddition, the </w:t>
      </w:r>
      <w:r w:rsidR="001675E3" w:rsidRPr="00271894">
        <w:t>modification</w:t>
      </w:r>
      <w:r w:rsidRPr="00271894">
        <w:t>s</w:t>
      </w:r>
      <w:r w:rsidR="001675E3" w:rsidRPr="00271894">
        <w:t xml:space="preserve"> </w:t>
      </w:r>
      <w:r w:rsidR="00B64928" w:rsidRPr="00271894">
        <w:t xml:space="preserve">in paragraphs Aus29.1 and Aus29.2 </w:t>
      </w:r>
      <w:r w:rsidR="001675E3" w:rsidRPr="00271894">
        <w:t>regarding</w:t>
      </w:r>
      <w:r w:rsidR="001F0CA0" w:rsidRPr="00271894">
        <w:t xml:space="preserve"> an asset’s highest and best use </w:t>
      </w:r>
      <w:r w:rsidRPr="00271894">
        <w:t xml:space="preserve">are </w:t>
      </w:r>
      <w:r w:rsidR="001F0CA0" w:rsidRPr="00271894">
        <w:t>designed to reduce the cost and effort of a</w:t>
      </w:r>
      <w:r w:rsidR="00B64928" w:rsidRPr="00271894">
        <w:t xml:space="preserve"> not-for-profit</w:t>
      </w:r>
      <w:r w:rsidR="001F0CA0" w:rsidRPr="00271894">
        <w:t xml:space="preserve"> public sector entity resulting from searching unnecessarily for possible alternative uses of an asset not held primarily for its ability to generate net cash inflows.</w:t>
      </w:r>
      <w:bookmarkEnd w:id="63"/>
    </w:p>
    <w:p w14:paraId="5503B524" w14:textId="17DFCA7A" w:rsidR="009A0572" w:rsidRPr="00271894" w:rsidRDefault="004F4317" w:rsidP="00271894">
      <w:pPr>
        <w:pStyle w:val="NumBC1"/>
      </w:pPr>
      <w:r w:rsidRPr="00271894">
        <w:t>T</w:t>
      </w:r>
      <w:r w:rsidR="009A0572" w:rsidRPr="00271894">
        <w:t>he Board observe</w:t>
      </w:r>
      <w:r w:rsidR="003841BD" w:rsidRPr="00271894">
        <w:t>d</w:t>
      </w:r>
      <w:r w:rsidR="009A0572" w:rsidRPr="00271894">
        <w:t xml:space="preserve"> that the</w:t>
      </w:r>
      <w:r w:rsidR="002248BC" w:rsidRPr="00271894">
        <w:t xml:space="preserve"> </w:t>
      </w:r>
      <w:r w:rsidRPr="00271894">
        <w:t>modifications to AASB 13</w:t>
      </w:r>
      <w:r w:rsidR="0068662F" w:rsidRPr="00271894">
        <w:t xml:space="preserve"> in this </w:t>
      </w:r>
      <w:r w:rsidR="009B567F" w:rsidRPr="00271894">
        <w:t xml:space="preserve">Amending </w:t>
      </w:r>
      <w:r w:rsidR="0068662F" w:rsidRPr="00271894">
        <w:t>Standard</w:t>
      </w:r>
      <w:r w:rsidR="009A0572" w:rsidRPr="00271894">
        <w:t>:</w:t>
      </w:r>
      <w:bookmarkEnd w:id="53"/>
      <w:r w:rsidR="009A0572" w:rsidRPr="00271894">
        <w:t xml:space="preserve"> </w:t>
      </w:r>
    </w:p>
    <w:p w14:paraId="0A49059E" w14:textId="77777777" w:rsidR="009A0572" w:rsidRPr="00271894" w:rsidRDefault="009A0572" w:rsidP="00271894">
      <w:pPr>
        <w:pStyle w:val="NumBC2"/>
      </w:pPr>
      <w:r w:rsidRPr="00271894">
        <w:t>would not necessarily change practice for some not-for-profit public sector entities; and</w:t>
      </w:r>
    </w:p>
    <w:p w14:paraId="78C5D852" w14:textId="2C916150" w:rsidR="009A0572" w:rsidRPr="00271894" w:rsidRDefault="009A0572" w:rsidP="00271894">
      <w:pPr>
        <w:pStyle w:val="NumBC2"/>
      </w:pPr>
      <w:r w:rsidRPr="00271894">
        <w:t xml:space="preserve">do not indicate that entities changing practice in how they measure </w:t>
      </w:r>
      <w:r w:rsidR="0035732F" w:rsidRPr="00271894">
        <w:t xml:space="preserve">relevant </w:t>
      </w:r>
      <w:r w:rsidRPr="00271894">
        <w:t>assets made an error in applying the existing requirements of AASB 13.</w:t>
      </w:r>
    </w:p>
    <w:p w14:paraId="3146B0FA" w14:textId="5E3E627F" w:rsidR="004F1CF6" w:rsidRPr="00766E15" w:rsidRDefault="004F1CF6" w:rsidP="004F1CF6">
      <w:pPr>
        <w:pStyle w:val="IASBSectionTitle1NonInd"/>
      </w:pPr>
      <w:r w:rsidRPr="00271894">
        <w:lastRenderedPageBreak/>
        <w:t xml:space="preserve">The highest and best use of a non-financial asset not held primarily for its ability to generate net cash inflows </w:t>
      </w:r>
      <w:r w:rsidR="00195B70" w:rsidRPr="00271894">
        <w:t>(paragraphs Aus28.1, Aus29.1 and Aus29.2)</w:t>
      </w:r>
    </w:p>
    <w:p w14:paraId="00002E62" w14:textId="7B20414C" w:rsidR="004F1CF6" w:rsidRDefault="004F1CF6" w:rsidP="003276D3">
      <w:pPr>
        <w:pStyle w:val="NumBC1"/>
      </w:pPr>
      <w:bookmarkStart w:id="64" w:name="_Ref97014810"/>
      <w:bookmarkStart w:id="65" w:name="_Ref85803635"/>
      <w:r>
        <w:t xml:space="preserve">The Board noted that paragraph 29 </w:t>
      </w:r>
      <w:r w:rsidR="002F6D27">
        <w:t>of AASB</w:t>
      </w:r>
      <w:r w:rsidR="00AB077B">
        <w:t> </w:t>
      </w:r>
      <w:r w:rsidR="002F6D27">
        <w:t>13</w:t>
      </w:r>
      <w:r w:rsidR="00AB077B">
        <w:t xml:space="preserve"> </w:t>
      </w:r>
      <w:r>
        <w:t xml:space="preserve">states a rebuttable presumption that an asset’s current use is its highest and best use. </w:t>
      </w:r>
      <w:r w:rsidR="00C635FF">
        <w:t xml:space="preserve">Paragraph 29 of </w:t>
      </w:r>
      <w:r>
        <w:t>AASB</w:t>
      </w:r>
      <w:r w:rsidR="00C635FF">
        <w:t> </w:t>
      </w:r>
      <w:r>
        <w:t>13 states that “… an entity’s current use of a non-financial asset is presumed to be its highest and best use unless market or other factors suggest that a different use by market participants would maximise the value of the asset.”</w:t>
      </w:r>
      <w:bookmarkEnd w:id="64"/>
      <w:r>
        <w:t xml:space="preserve"> </w:t>
      </w:r>
    </w:p>
    <w:p w14:paraId="5D6EE917" w14:textId="7F7E7B13" w:rsidR="003C287A" w:rsidRDefault="003C287A" w:rsidP="003276D3">
      <w:pPr>
        <w:pStyle w:val="NumBC1"/>
      </w:pPr>
      <w:bookmarkStart w:id="66" w:name="_Ref88574642"/>
      <w:bookmarkStart w:id="67" w:name="_Ref85804418"/>
      <w:bookmarkStart w:id="68" w:name="_Ref84860276"/>
      <w:r>
        <w:t>Regarding whether the current use of a non-financial asset of a not-for-profit public sector entity not held primarily for its ability to generate net cash inflows is presumed to be its highest and best use, the Board observed that IFRS 13 paragraph 29 (quoted in paragraph </w:t>
      </w:r>
      <w:r>
        <w:fldChar w:fldCharType="begin"/>
      </w:r>
      <w:r>
        <w:instrText xml:space="preserve"> REF _Ref97014810 \r \h </w:instrText>
      </w:r>
      <w:r>
        <w:fldChar w:fldCharType="separate"/>
      </w:r>
      <w:r w:rsidR="005A1B65">
        <w:t>BC43</w:t>
      </w:r>
      <w:r>
        <w:fldChar w:fldCharType="end"/>
      </w:r>
      <w:r>
        <w:t>) and the related IASB Basis for Conclusions paragraph (quoted below) provide guidance:</w:t>
      </w:r>
      <w:bookmarkEnd w:id="66"/>
    </w:p>
    <w:p w14:paraId="02F0F7B8" w14:textId="23B1C2AB" w:rsidR="003C287A" w:rsidRPr="00DA6786" w:rsidRDefault="003C287A" w:rsidP="003C287A">
      <w:pPr>
        <w:pStyle w:val="NumBC1"/>
        <w:numPr>
          <w:ilvl w:val="0"/>
          <w:numId w:val="0"/>
        </w:numPr>
        <w:ind w:left="1564"/>
      </w:pPr>
      <w:bookmarkStart w:id="69" w:name="_Ref96694938"/>
      <w:r w:rsidRPr="00DA6786">
        <w:t xml:space="preserve">IFRS 13 does not require an entity to perform an exhaustive search for other potential uses of a non-financial asset if there is no evidence to suggest that the current use of an asset is not its highest and best use … the IASB concluded that </w:t>
      </w:r>
      <w:r w:rsidRPr="00C05F7C">
        <w:t>in many cases it would be unlikely for an asset’s current use not to be its highest and best use</w:t>
      </w:r>
      <w:r w:rsidRPr="00DA6786">
        <w:t xml:space="preserve"> after taking into account the costs to convert the asset to the alternative use. </w:t>
      </w:r>
      <w:bookmarkEnd w:id="69"/>
      <w:r>
        <w:t>(</w:t>
      </w:r>
      <w:r w:rsidRPr="00DA6786">
        <w:t xml:space="preserve">IFRS 13 </w:t>
      </w:r>
      <w:r>
        <w:t>paragraph</w:t>
      </w:r>
      <w:r w:rsidRPr="00DA6786">
        <w:t xml:space="preserve"> BC71</w:t>
      </w:r>
      <w:r>
        <w:t>)</w:t>
      </w:r>
    </w:p>
    <w:bookmarkEnd w:id="67"/>
    <w:p w14:paraId="715BF195" w14:textId="0C6DCB61" w:rsidR="003C287A" w:rsidRDefault="003C287A" w:rsidP="003276D3">
      <w:pPr>
        <w:pStyle w:val="NumBC1"/>
        <w:spacing w:before="0"/>
      </w:pPr>
      <w:r>
        <w:t xml:space="preserve">However, despite that IASB text, some stakeholders </w:t>
      </w:r>
      <w:r w:rsidRPr="00832B19">
        <w:t xml:space="preserve">requested the Board to provide additional guidance </w:t>
      </w:r>
      <w:r>
        <w:t xml:space="preserve">about the highest and best use </w:t>
      </w:r>
      <w:r w:rsidRPr="00832B19">
        <w:t xml:space="preserve">of </w:t>
      </w:r>
      <w:r>
        <w:t xml:space="preserve">non-financial </w:t>
      </w:r>
      <w:r w:rsidRPr="00832B19">
        <w:t>assets</w:t>
      </w:r>
      <w:r>
        <w:t xml:space="preserve"> referred to in paragraph </w:t>
      </w:r>
      <w:r>
        <w:fldChar w:fldCharType="begin"/>
      </w:r>
      <w:r>
        <w:instrText xml:space="preserve"> REF _Ref88574642 \r \h </w:instrText>
      </w:r>
      <w:r>
        <w:fldChar w:fldCharType="separate"/>
      </w:r>
      <w:r w:rsidR="005A1B65">
        <w:t>BC44</w:t>
      </w:r>
      <w:r>
        <w:fldChar w:fldCharType="end"/>
      </w:r>
      <w:r w:rsidRPr="00832B19">
        <w:t xml:space="preserve">. These stakeholders do not consider the cost incurred to search for possible alternative uses of </w:t>
      </w:r>
      <w:r>
        <w:t>such</w:t>
      </w:r>
      <w:r w:rsidRPr="00832B19">
        <w:t xml:space="preserve"> </w:t>
      </w:r>
      <w:r>
        <w:t xml:space="preserve">an </w:t>
      </w:r>
      <w:r w:rsidRPr="00832B19">
        <w:t>asset is justified when such an asset is very unlikely to</w:t>
      </w:r>
      <w:r w:rsidRPr="00023C30">
        <w:t xml:space="preserve"> </w:t>
      </w:r>
      <w:r w:rsidRPr="00832B19">
        <w:t xml:space="preserve">be used </w:t>
      </w:r>
      <w:r>
        <w:t xml:space="preserve">for a purpose </w:t>
      </w:r>
      <w:r w:rsidRPr="00832B19">
        <w:t>other than its current use</w:t>
      </w:r>
      <w:r w:rsidR="006C5264">
        <w:t>,</w:t>
      </w:r>
      <w:r>
        <w:t xml:space="preserve"> for the many cases in which the asset is:</w:t>
      </w:r>
    </w:p>
    <w:p w14:paraId="6F4FD39E" w14:textId="77777777" w:rsidR="003C287A" w:rsidRDefault="003C287A" w:rsidP="003276D3">
      <w:pPr>
        <w:pStyle w:val="NumBC2"/>
      </w:pPr>
      <w:r>
        <w:t xml:space="preserve">specialised, especially if the </w:t>
      </w:r>
      <w:r w:rsidRPr="007A6669">
        <w:t>costs to convert the asset to the alternative use</w:t>
      </w:r>
      <w:r>
        <w:t xml:space="preserve"> are high; and</w:t>
      </w:r>
    </w:p>
    <w:p w14:paraId="64765A4B" w14:textId="77777777" w:rsidR="003C287A" w:rsidRDefault="003C287A" w:rsidP="003276D3">
      <w:pPr>
        <w:pStyle w:val="NumBC2"/>
      </w:pPr>
      <w:r>
        <w:t xml:space="preserve">being used to provide necessary services to the public and, therefore, the public sector entity holding the asset is highly likely to continue using the asset to provide those services. </w:t>
      </w:r>
    </w:p>
    <w:p w14:paraId="1A716BE9" w14:textId="0E77669F" w:rsidR="003C287A" w:rsidRDefault="003C287A" w:rsidP="003276D3">
      <w:pPr>
        <w:pStyle w:val="NumBC1"/>
      </w:pPr>
      <w:r>
        <w:t>The Board considered the request and</w:t>
      </w:r>
      <w:r w:rsidR="00B5388B">
        <w:t xml:space="preserve"> decided to </w:t>
      </w:r>
      <w:r w:rsidR="00C54010">
        <w:t>modify</w:t>
      </w:r>
      <w:r w:rsidR="00B5388B">
        <w:t xml:space="preserve"> AASB 13</w:t>
      </w:r>
      <w:r>
        <w:t xml:space="preserve"> </w:t>
      </w:r>
      <w:r w:rsidR="00EB7397">
        <w:t xml:space="preserve">to </w:t>
      </w:r>
      <w:r w:rsidR="003B24BB">
        <w:t>reduce</w:t>
      </w:r>
      <w:r>
        <w:t xml:space="preserve"> the cost and effort of an entity searching unnecessarily for possible alternative uses of </w:t>
      </w:r>
      <w:r w:rsidR="0058435F">
        <w:t xml:space="preserve">a </w:t>
      </w:r>
      <w:r w:rsidR="003B24BB">
        <w:t xml:space="preserve">not-for-profit public sector entity’s non-financial asset not held primarily for its ability to generate net cash </w:t>
      </w:r>
      <w:r w:rsidR="003B24BB" w:rsidRPr="00EB7397">
        <w:t>inflows</w:t>
      </w:r>
      <w:r>
        <w:t>.</w:t>
      </w:r>
      <w:r w:rsidR="00685AFD">
        <w:t xml:space="preserve"> This is discussed in paragraphs </w:t>
      </w:r>
      <w:r w:rsidR="009C646F">
        <w:fldChar w:fldCharType="begin"/>
      </w:r>
      <w:r w:rsidR="009C646F">
        <w:instrText xml:space="preserve"> REF _Ref116367963 \r \h </w:instrText>
      </w:r>
      <w:r w:rsidR="009C646F">
        <w:fldChar w:fldCharType="separate"/>
      </w:r>
      <w:r w:rsidR="005A1B65">
        <w:t>BC49</w:t>
      </w:r>
      <w:r w:rsidR="009C646F">
        <w:fldChar w:fldCharType="end"/>
      </w:r>
      <w:r w:rsidR="002A7B03">
        <w:t xml:space="preserve"> to </w:t>
      </w:r>
      <w:r w:rsidR="009C646F">
        <w:fldChar w:fldCharType="begin"/>
      </w:r>
      <w:r w:rsidR="009C646F">
        <w:instrText xml:space="preserve"> REF _Ref112239816 \r \h </w:instrText>
      </w:r>
      <w:r w:rsidR="009C646F">
        <w:fldChar w:fldCharType="separate"/>
      </w:r>
      <w:r w:rsidR="005A1B65">
        <w:t>BC81</w:t>
      </w:r>
      <w:r w:rsidR="009C646F">
        <w:fldChar w:fldCharType="end"/>
      </w:r>
      <w:r w:rsidR="009C646F">
        <w:t>.</w:t>
      </w:r>
    </w:p>
    <w:bookmarkEnd w:id="68"/>
    <w:p w14:paraId="75BE293E" w14:textId="433904F2" w:rsidR="004F1CF6" w:rsidRDefault="004F1CF6" w:rsidP="003276D3">
      <w:pPr>
        <w:pStyle w:val="NumBC1"/>
      </w:pPr>
      <w:r>
        <w:t>In addition, s</w:t>
      </w:r>
      <w:r w:rsidRPr="003D28BC">
        <w:t xml:space="preserve">takeholders requested </w:t>
      </w:r>
      <w:r>
        <w:t xml:space="preserve">the Board to provide guidance assisting not-for-profit public sector entities to apply the three concepts specified in paragraph 28 </w:t>
      </w:r>
      <w:r w:rsidR="00A01FC4">
        <w:t xml:space="preserve">of AASB 13 </w:t>
      </w:r>
      <w:r>
        <w:t>for identifying the highest and best use of non-financial assets not held primarily for their ability to generate net cash inflows (which has practical effect when the presumption that the asset’s current use is its highest and best use is rebutted</w:t>
      </w:r>
      <w:r w:rsidR="000F7A4E">
        <w:t>,</w:t>
      </w:r>
      <w:r w:rsidR="00790271">
        <w:t xml:space="preserve"> </w:t>
      </w:r>
      <w:r w:rsidR="00143243">
        <w:t xml:space="preserve">after considering the circumstances in </w:t>
      </w:r>
      <w:r w:rsidR="00790271">
        <w:t>paragraph</w:t>
      </w:r>
      <w:r w:rsidR="00143243">
        <w:t>s</w:t>
      </w:r>
      <w:r w:rsidR="00790271">
        <w:t xml:space="preserve"> Aus29.1 </w:t>
      </w:r>
      <w:r w:rsidR="00143243">
        <w:t xml:space="preserve">and </w:t>
      </w:r>
      <w:r w:rsidR="00790271">
        <w:t>Aus29.2</w:t>
      </w:r>
      <w:r w:rsidR="00143243">
        <w:t xml:space="preserve"> in which that might be the case</w:t>
      </w:r>
      <w:r>
        <w:t xml:space="preserve">). The Board decided that, in respect of such assets, implementation guidance is needed for the ‘financially feasible use’ concept in paragraph 28(c) of AASB 13, but implementation guidance is not needed regarding the application of the ‘physically possible use’ and ‘legally permissible use’ concepts in paragraphs 28(a) and 28(b). The Board’s views on the ‘physically possible use’ and ‘legally permissible use’ concepts are set out in paragraphs </w:t>
      </w:r>
      <w:r>
        <w:fldChar w:fldCharType="begin"/>
      </w:r>
      <w:r>
        <w:instrText xml:space="preserve"> REF _Ref96692941 \r \h </w:instrText>
      </w:r>
      <w:r>
        <w:fldChar w:fldCharType="separate"/>
      </w:r>
      <w:r w:rsidR="005A1B65">
        <w:t>BC96</w:t>
      </w:r>
      <w:r>
        <w:fldChar w:fldCharType="end"/>
      </w:r>
      <w:r>
        <w:t>–</w:t>
      </w:r>
      <w:r>
        <w:fldChar w:fldCharType="begin"/>
      </w:r>
      <w:r>
        <w:instrText xml:space="preserve"> REF _Ref94625548 \r \h </w:instrText>
      </w:r>
      <w:r>
        <w:fldChar w:fldCharType="separate"/>
      </w:r>
      <w:r w:rsidR="005A1B65">
        <w:t>BC112</w:t>
      </w:r>
      <w:r>
        <w:fldChar w:fldCharType="end"/>
      </w:r>
      <w:r>
        <w:t>.</w:t>
      </w:r>
    </w:p>
    <w:p w14:paraId="1B412337" w14:textId="2A443D09" w:rsidR="004F1CF6" w:rsidRPr="00796326" w:rsidRDefault="004F1CF6" w:rsidP="003276D3">
      <w:pPr>
        <w:pStyle w:val="NumBC1"/>
      </w:pPr>
      <w:bookmarkStart w:id="70" w:name="_Ref96702795"/>
      <w:r>
        <w:t>T</w:t>
      </w:r>
      <w:r w:rsidRPr="00796326">
        <w:t xml:space="preserve">he Board concluded that, although </w:t>
      </w:r>
      <w:r>
        <w:t xml:space="preserve">the ‘financially feasible use’ concept </w:t>
      </w:r>
      <w:r w:rsidRPr="00796326">
        <w:t xml:space="preserve">should apply to fair value measurements of any non-financial asset, for an asset of a not-for-profit public sector entity not held primarily for its ability to generate net cash inflows, </w:t>
      </w:r>
      <w:r>
        <w:t>paragraph</w:t>
      </w:r>
      <w:r w:rsidRPr="00796326">
        <w:t xml:space="preserve"> 28(c) </w:t>
      </w:r>
      <w:r w:rsidR="0067301B">
        <w:t xml:space="preserve">of </w:t>
      </w:r>
      <w:r w:rsidR="0067301B" w:rsidRPr="00796326">
        <w:t xml:space="preserve">AASB 13 </w:t>
      </w:r>
      <w:r w:rsidRPr="00796326">
        <w:t xml:space="preserve">should be clarified in terms relevant to the not-for-profit public sector environment. </w:t>
      </w:r>
      <w:r>
        <w:t xml:space="preserve">Therefore, the Board </w:t>
      </w:r>
      <w:r w:rsidR="00F960A7">
        <w:t>added</w:t>
      </w:r>
      <w:r>
        <w:t xml:space="preserve"> paragraph </w:t>
      </w:r>
      <w:r w:rsidR="00815E46">
        <w:t xml:space="preserve">Aus28.1 </w:t>
      </w:r>
      <w:r>
        <w:t xml:space="preserve">in </w:t>
      </w:r>
      <w:r w:rsidR="00815E46">
        <w:t>AASB</w:t>
      </w:r>
      <w:r w:rsidR="00D10CA3">
        <w:t> </w:t>
      </w:r>
      <w:r w:rsidR="00815E46">
        <w:t>13</w:t>
      </w:r>
      <w:r>
        <w:t xml:space="preserve">. This is explained in paragraphs </w:t>
      </w:r>
      <w:r>
        <w:fldChar w:fldCharType="begin"/>
      </w:r>
      <w:r>
        <w:instrText xml:space="preserve"> REF _Ref85965314 \r \h </w:instrText>
      </w:r>
      <w:r>
        <w:fldChar w:fldCharType="separate"/>
      </w:r>
      <w:r w:rsidR="005A1B65">
        <w:t>BC82</w:t>
      </w:r>
      <w:r>
        <w:fldChar w:fldCharType="end"/>
      </w:r>
      <w:r w:rsidR="006F292A">
        <w:t>–</w:t>
      </w:r>
      <w:r w:rsidR="00E371EC">
        <w:fldChar w:fldCharType="begin"/>
      </w:r>
      <w:r w:rsidR="00E371EC">
        <w:instrText xml:space="preserve"> REF _Ref120349825 \r \h </w:instrText>
      </w:r>
      <w:r w:rsidR="00E371EC">
        <w:fldChar w:fldCharType="separate"/>
      </w:r>
      <w:r w:rsidR="005A1B65">
        <w:t>BC88</w:t>
      </w:r>
      <w:r w:rsidR="00E371EC">
        <w:fldChar w:fldCharType="end"/>
      </w:r>
      <w:r w:rsidR="00E371EC">
        <w:t>.</w:t>
      </w:r>
      <w:bookmarkEnd w:id="70"/>
    </w:p>
    <w:p w14:paraId="2CF0B9D7" w14:textId="59158260" w:rsidR="004F1CF6" w:rsidRPr="00956174" w:rsidRDefault="004F1CF6" w:rsidP="004F1CF6">
      <w:pPr>
        <w:pStyle w:val="IASBSectionTitle2Ind"/>
      </w:pPr>
      <w:r w:rsidRPr="00BC7525">
        <w:t>The presumption that an asset’s current use is its highest and best use (paragraphs</w:t>
      </w:r>
      <w:r w:rsidR="009A74DD">
        <w:t xml:space="preserve"> Aus29.1 and Aus29.2</w:t>
      </w:r>
      <w:r w:rsidRPr="00BC7525">
        <w:t>)</w:t>
      </w:r>
    </w:p>
    <w:p w14:paraId="6A401B3F" w14:textId="29378E9E" w:rsidR="004F1CF6" w:rsidRPr="00501D6A" w:rsidRDefault="004F1CF6" w:rsidP="004F1CF6">
      <w:pPr>
        <w:pStyle w:val="IASBSectionTitle3Ind"/>
      </w:pPr>
      <w:bookmarkStart w:id="71" w:name="_Ref97206874"/>
      <w:bookmarkStart w:id="72" w:name="_Ref89793594"/>
      <w:r>
        <w:t>Proposal in ED 320</w:t>
      </w:r>
    </w:p>
    <w:p w14:paraId="38623CDE" w14:textId="67FAE748" w:rsidR="004F1CF6" w:rsidRPr="00FA2234" w:rsidRDefault="004F1CF6" w:rsidP="003276D3">
      <w:pPr>
        <w:pStyle w:val="NumBC1"/>
        <w:spacing w:before="0"/>
        <w:rPr>
          <w:rFonts w:asciiTheme="minorHAnsi" w:hAnsiTheme="minorHAnsi" w:cstheme="minorBidi"/>
          <w:sz w:val="22"/>
          <w:szCs w:val="22"/>
        </w:rPr>
      </w:pPr>
      <w:bookmarkStart w:id="73" w:name="_Ref116367963"/>
      <w:r>
        <w:t>The Board proposed in ED 320 that, for a</w:t>
      </w:r>
      <w:r w:rsidRPr="00246610">
        <w:t xml:space="preserve"> </w:t>
      </w:r>
      <w:r>
        <w:t xml:space="preserve">non-financial </w:t>
      </w:r>
      <w:r w:rsidRPr="00832B19">
        <w:t>asset</w:t>
      </w:r>
      <w:r>
        <w:t xml:space="preserve"> of a not-for-profit public sector entity not held primarily for its ability to generate net cash inflows, the asset’s current use </w:t>
      </w:r>
      <w:r w:rsidR="002176E3">
        <w:t>–</w:t>
      </w:r>
      <w:r>
        <w:t xml:space="preserve"> to provide particular public services </w:t>
      </w:r>
      <w:r w:rsidR="002176E3">
        <w:t>–</w:t>
      </w:r>
      <w:r>
        <w:t xml:space="preserve"> should be presumed to maximise the value of the asset unless evidence exists that, at the measurement date, the appropriate level of management of the entity has committed to a plan to sell (including distribute) the asset or to use the asset for an alternative purpose. The Board considered that </w:t>
      </w:r>
      <w:r w:rsidR="00CA777F">
        <w:t xml:space="preserve">a higher and better use than the asset’s current use may be identified when the </w:t>
      </w:r>
      <w:r>
        <w:t xml:space="preserve">not-for-profit public sector entity has committed to a plan to sell such an asset or to use the asset for an alternative use, </w:t>
      </w:r>
      <w:r w:rsidR="00816FC5">
        <w:t xml:space="preserve">because </w:t>
      </w:r>
      <w:r>
        <w:t>the entity would have determined that the alternative use w</w:t>
      </w:r>
      <w:r w:rsidR="00816FC5">
        <w:t>ould</w:t>
      </w:r>
      <w:r>
        <w:t xml:space="preserve"> generate greater benefits than its current use. </w:t>
      </w:r>
      <w:bookmarkEnd w:id="71"/>
      <w:bookmarkEnd w:id="72"/>
      <w:bookmarkEnd w:id="73"/>
    </w:p>
    <w:p w14:paraId="629F10A2" w14:textId="342A431D" w:rsidR="004F1CF6" w:rsidRPr="008C4B7F" w:rsidRDefault="008925E6" w:rsidP="003276D3">
      <w:pPr>
        <w:pStyle w:val="NumBC1"/>
      </w:pPr>
      <w:r>
        <w:lastRenderedPageBreak/>
        <w:t>F</w:t>
      </w:r>
      <w:r w:rsidR="004F1CF6">
        <w:t xml:space="preserve">or an asset subject to a committed-to plan of sale by an appropriate level of management, a conclusion that the asset’s highest and best use differs from its current use could be reached earlier than when the asset meets the </w:t>
      </w:r>
      <w:r w:rsidR="00347D1E">
        <w:t>c</w:t>
      </w:r>
      <w:r w:rsidR="004F1CF6">
        <w:t>lassification requirement as ‘held for sale’ under AASB 5. Under paragraphs 6–8</w:t>
      </w:r>
      <w:r w:rsidR="00CF450B">
        <w:t xml:space="preserve"> of AASB 5</w:t>
      </w:r>
      <w:r w:rsidR="004F1CF6">
        <w:t>, among other conditions, a non-current asset is classified as held for sale only if the asset is available for immediate sale and its sale must be highly probable. For the sale to be highly probable, the appropriate level of management must be committed to a plan to sell the asset, and an active programme to locate a buyer and complete the plan must have been initiated. In addition, subject to limited exceptions, the sale should be expected to qualify for recognition as a completed sale within one year from the date of classification, and it must be unlikely that significant changes to (or withdrawal of) the plan will occur.</w:t>
      </w:r>
    </w:p>
    <w:p w14:paraId="0B4DFB55" w14:textId="079CF65A" w:rsidR="004F1CF6" w:rsidRPr="000F63F2" w:rsidRDefault="004F1CF6" w:rsidP="003276D3">
      <w:pPr>
        <w:pStyle w:val="NumBC1"/>
        <w:spacing w:before="0"/>
      </w:pPr>
      <w:bookmarkStart w:id="74" w:name="_Ref96694939"/>
      <w:bookmarkStart w:id="75" w:name="_Ref85361009"/>
      <w:bookmarkStart w:id="76" w:name="_Ref90902541"/>
      <w:r>
        <w:t xml:space="preserve">Under the Board’s proposal </w:t>
      </w:r>
      <w:r w:rsidR="00863F93">
        <w:t>in ED 320</w:t>
      </w:r>
      <w:r>
        <w:t>, for an asset subject to a committed-to plan of sale by an appropriate level of management, to conclude that the asset’s highest and best use differs from its current use, the entity’s appropriate level of management need not have initiated</w:t>
      </w:r>
      <w:r w:rsidR="2BA8BC29">
        <w:t>,</w:t>
      </w:r>
      <w:r>
        <w:t xml:space="preserve"> at the measurement date</w:t>
      </w:r>
      <w:r w:rsidR="2C46B40E">
        <w:t>,</w:t>
      </w:r>
      <w:r>
        <w:t xml:space="preserve"> an active programme to:</w:t>
      </w:r>
      <w:bookmarkEnd w:id="74"/>
    </w:p>
    <w:p w14:paraId="49AFB59C" w14:textId="77777777" w:rsidR="004F1CF6" w:rsidRPr="00DE0886" w:rsidRDefault="004F1CF6" w:rsidP="003276D3">
      <w:pPr>
        <w:pStyle w:val="NumBC2"/>
      </w:pPr>
      <w:r w:rsidRPr="005B1F1E">
        <w:t>locate a buyer</w:t>
      </w:r>
      <w:r>
        <w:t>;</w:t>
      </w:r>
      <w:r w:rsidRPr="005B1F1E">
        <w:t xml:space="preserve"> or </w:t>
      </w:r>
    </w:p>
    <w:p w14:paraId="74D6F151" w14:textId="77777777" w:rsidR="004F1CF6" w:rsidRPr="00DE0886" w:rsidRDefault="004F1CF6" w:rsidP="003276D3">
      <w:pPr>
        <w:pStyle w:val="NumBC2"/>
      </w:pPr>
      <w:r w:rsidRPr="005B1F1E">
        <w:t>complete the plan to use the asset for an alternative purpose.</w:t>
      </w:r>
      <w:bookmarkEnd w:id="75"/>
      <w:r w:rsidRPr="005B1F1E">
        <w:t xml:space="preserve"> </w:t>
      </w:r>
    </w:p>
    <w:p w14:paraId="6AA47CBF" w14:textId="3B968012" w:rsidR="004F1CF6" w:rsidRPr="00501D6A" w:rsidRDefault="009975DD" w:rsidP="004F1CF6">
      <w:pPr>
        <w:pStyle w:val="IASBSectionTitle3Ind"/>
      </w:pPr>
      <w:bookmarkStart w:id="77" w:name="_Ref97207276"/>
      <w:bookmarkStart w:id="78" w:name="_Ref97131790"/>
      <w:r>
        <w:t>Stakeholder feedback on ED 320 and t</w:t>
      </w:r>
      <w:r w:rsidR="004F1CF6">
        <w:t>he Board’s redeliberations</w:t>
      </w:r>
    </w:p>
    <w:p w14:paraId="3FC9F632" w14:textId="2C15DF61" w:rsidR="00B1411D" w:rsidRDefault="00B1411D" w:rsidP="003276D3">
      <w:pPr>
        <w:pStyle w:val="NumBC1"/>
      </w:pPr>
      <w:bookmarkStart w:id="79" w:name="_Ref115215807"/>
      <w:bookmarkStart w:id="80" w:name="_Ref115001664"/>
      <w:bookmarkStart w:id="81" w:name="_Ref115013978"/>
      <w:r>
        <w:t xml:space="preserve">Eleven of the twelve ED respondents to this topic expressed support for modifying AASB 13 to limit the circumstances in which the current use presumption </w:t>
      </w:r>
      <w:r w:rsidR="00BB2D9C">
        <w:t xml:space="preserve">would be </w:t>
      </w:r>
      <w:r>
        <w:t>rebutted. The respondent who disagreed with any modification to AASB 13 that would constrain identifying a higher and better alternative use of an asset considered that the hypothetical transaction underpinning the fair value concept in AASB 13 should be supported by actual market activity or the generation of actual cash flows that support assumptions about what that market activity might be. They consider that if an asset’s fair value measurement does not reflect its market value, it would inadvertently affect an entity’s assessment of the true cost of the assets being deployed for service delivery.</w:t>
      </w:r>
    </w:p>
    <w:p w14:paraId="41F6A06D" w14:textId="77777777" w:rsidR="00B1411D" w:rsidRDefault="00B1411D" w:rsidP="003276D3">
      <w:pPr>
        <w:pStyle w:val="NumBC1"/>
      </w:pPr>
      <w:r>
        <w:t>That respondent was concerned that the ED proposals would affect fair value measurements of some public sector assets due to:</w:t>
      </w:r>
    </w:p>
    <w:p w14:paraId="2D753B48" w14:textId="77777777" w:rsidR="00B1411D" w:rsidRDefault="00B1411D" w:rsidP="003276D3">
      <w:pPr>
        <w:pStyle w:val="NumBC2"/>
      </w:pPr>
      <w:r w:rsidRPr="00607CCA">
        <w:t xml:space="preserve">the subjective assessment by an entity’s management of whether </w:t>
      </w:r>
      <w:r>
        <w:t xml:space="preserve">an </w:t>
      </w:r>
      <w:r w:rsidRPr="00607CCA">
        <w:t>asset is held primarily for its ability to generate net cash inflows</w:t>
      </w:r>
      <w:r>
        <w:t xml:space="preserve">; </w:t>
      </w:r>
    </w:p>
    <w:p w14:paraId="05701027" w14:textId="77777777" w:rsidR="00B1411D" w:rsidRDefault="00B1411D" w:rsidP="003276D3">
      <w:pPr>
        <w:pStyle w:val="NumBC2"/>
      </w:pPr>
      <w:r>
        <w:t>the decision by the entity’s management about how the asset will be used; and</w:t>
      </w:r>
    </w:p>
    <w:p w14:paraId="37285739" w14:textId="19D8DF51" w:rsidR="00B1411D" w:rsidRDefault="00B1411D" w:rsidP="003276D3">
      <w:pPr>
        <w:pStyle w:val="NumBC2"/>
      </w:pPr>
      <w:r>
        <w:t xml:space="preserve">the notion of a hypothetical not-for-profit public sector entity market participant buyer </w:t>
      </w:r>
      <w:r w:rsidR="007A6883">
        <w:t xml:space="preserve">being </w:t>
      </w:r>
      <w:r>
        <w:t>ethereal and lacking market activity on which to base a fair value estimate.</w:t>
      </w:r>
    </w:p>
    <w:p w14:paraId="21A7023F" w14:textId="4303D861" w:rsidR="00B1411D" w:rsidRDefault="00B1411D" w:rsidP="003276D3">
      <w:pPr>
        <w:pStyle w:val="NumBC1"/>
      </w:pPr>
      <w:bookmarkStart w:id="82" w:name="_Ref118719140"/>
      <w:r>
        <w:t xml:space="preserve">In response to that respondent’s concerns, </w:t>
      </w:r>
      <w:r w:rsidR="004F65EB">
        <w:t>as noted in paragraphs </w:t>
      </w:r>
      <w:r w:rsidR="00710F1B">
        <w:fldChar w:fldCharType="begin"/>
      </w:r>
      <w:r w:rsidR="00710F1B">
        <w:instrText xml:space="preserve"> REF _Ref117150658 \r \h </w:instrText>
      </w:r>
      <w:r w:rsidR="00710F1B">
        <w:fldChar w:fldCharType="separate"/>
      </w:r>
      <w:r w:rsidR="005A1B65">
        <w:t>BC31</w:t>
      </w:r>
      <w:r w:rsidR="00710F1B">
        <w:fldChar w:fldCharType="end"/>
      </w:r>
      <w:r w:rsidR="004F65EB">
        <w:t xml:space="preserve"> and </w:t>
      </w:r>
      <w:r w:rsidR="00710F1B">
        <w:fldChar w:fldCharType="begin"/>
      </w:r>
      <w:r w:rsidR="00710F1B">
        <w:instrText xml:space="preserve"> REF _Ref119342568 \r \h </w:instrText>
      </w:r>
      <w:r w:rsidR="00710F1B">
        <w:fldChar w:fldCharType="separate"/>
      </w:r>
      <w:r w:rsidR="005A1B65">
        <w:t>BC32</w:t>
      </w:r>
      <w:r w:rsidR="00710F1B">
        <w:fldChar w:fldCharType="end"/>
      </w:r>
      <w:r w:rsidR="004F65EB">
        <w:t xml:space="preserve">, </w:t>
      </w:r>
      <w:r>
        <w:t xml:space="preserve">the Board observed that the notion of hypothetical not-for-profit public sector market participant buyers is key to not measuring the fair values of many specialised public sector entity assets at scrap value. This is supported by the IASB’s Basis for Conclusions on IFRS 13, paragraph BC78, </w:t>
      </w:r>
      <w:r w:rsidR="009B5BCB">
        <w:t xml:space="preserve">which states </w:t>
      </w:r>
      <w:r>
        <w:t xml:space="preserve">that “… In effect, the market participant buyer steps into the shoes of the entity that holds that specialised asset.” Also, the IASB noted in paragraph BC79 of its Basis for Conclusions that </w:t>
      </w:r>
      <w:bookmarkStart w:id="83" w:name="_Hlk118719991"/>
      <w:r>
        <w:t xml:space="preserve">sometimes an observed market price – one for sale on a stand-alone basis – will not reflect an asset’s fair value </w:t>
      </w:r>
      <w:bookmarkEnd w:id="83"/>
      <w:r>
        <w:t>(</w:t>
      </w:r>
      <w:r w:rsidR="00263593">
        <w:t xml:space="preserve">because </w:t>
      </w:r>
      <w:r>
        <w:t xml:space="preserve">it does not reflect the </w:t>
      </w:r>
      <w:r w:rsidR="007778A2">
        <w:t xml:space="preserve">value </w:t>
      </w:r>
      <w:r w:rsidR="009B168E">
        <w:t xml:space="preserve">that </w:t>
      </w:r>
      <w:r w:rsidR="007778A2">
        <w:t xml:space="preserve">the specialised asset </w:t>
      </w:r>
      <w:r w:rsidR="00030567">
        <w:t>contributes</w:t>
      </w:r>
      <w:r w:rsidR="007778A2">
        <w:t xml:space="preserve"> to the entity</w:t>
      </w:r>
      <w:r w:rsidR="009B168E">
        <w:t>,</w:t>
      </w:r>
      <w:r w:rsidR="00030567">
        <w:t xml:space="preserve"> </w:t>
      </w:r>
      <w:r w:rsidR="00263593">
        <w:t xml:space="preserve">which is achieved by using the </w:t>
      </w:r>
      <w:r>
        <w:t xml:space="preserve">specialised asset </w:t>
      </w:r>
      <w:r w:rsidR="00FD4077">
        <w:t>in combination with</w:t>
      </w:r>
      <w:r w:rsidR="007778A2">
        <w:t xml:space="preserve"> other assets</w:t>
      </w:r>
      <w:r>
        <w:t>).</w:t>
      </w:r>
      <w:bookmarkEnd w:id="82"/>
      <w:r>
        <w:t xml:space="preserve"> </w:t>
      </w:r>
    </w:p>
    <w:p w14:paraId="1F0DEAE1" w14:textId="77777777" w:rsidR="00B1411D" w:rsidRDefault="00B1411D" w:rsidP="003276D3">
      <w:pPr>
        <w:pStyle w:val="NumBC1"/>
      </w:pPr>
      <w:bookmarkStart w:id="84" w:name="_Ref118719141"/>
      <w:r>
        <w:t xml:space="preserve">The Board considered that the IASB’s rationale provides an equivalent precedent for hypothetical not-for-profit public sector market participant buyers existing for public sector entity assets at a higher level of aggregation than the unit of account for observed sales of individual public sector assets. In addition, the Board concluded that fair value estimates for non-financial assets not </w:t>
      </w:r>
      <w:r w:rsidRPr="00607CCA">
        <w:t xml:space="preserve">held primarily for </w:t>
      </w:r>
      <w:r>
        <w:t>their</w:t>
      </w:r>
      <w:r w:rsidRPr="00607CCA">
        <w:t xml:space="preserve"> ability to generate net cash inflows</w:t>
      </w:r>
      <w:r>
        <w:t xml:space="preserve"> should not depend on the net cash inflows expected to be generated by those assets.</w:t>
      </w:r>
      <w:bookmarkEnd w:id="84"/>
    </w:p>
    <w:p w14:paraId="7C011120" w14:textId="221195DA" w:rsidR="00761BE5" w:rsidRDefault="00B1411D" w:rsidP="003276D3">
      <w:pPr>
        <w:pStyle w:val="NumBC1"/>
      </w:pPr>
      <w:bookmarkStart w:id="85" w:name="_Ref116439627"/>
      <w:r>
        <w:t xml:space="preserve">The Board </w:t>
      </w:r>
      <w:r w:rsidR="003378D0">
        <w:t xml:space="preserve">acknowledged the concern </w:t>
      </w:r>
      <w:r w:rsidR="001E5FB9">
        <w:t>(noted in paragraph </w:t>
      </w:r>
      <w:r w:rsidR="004020A9">
        <w:fldChar w:fldCharType="begin"/>
      </w:r>
      <w:r w:rsidR="004020A9">
        <w:instrText xml:space="preserve"> REF _Ref118472947 \r \h </w:instrText>
      </w:r>
      <w:r w:rsidR="004020A9">
        <w:fldChar w:fldCharType="separate"/>
      </w:r>
      <w:r w:rsidR="005A1B65">
        <w:t>BC38</w:t>
      </w:r>
      <w:r w:rsidR="004020A9">
        <w:fldChar w:fldCharType="end"/>
      </w:r>
      <w:r w:rsidR="001E5FB9">
        <w:t xml:space="preserve">(b)) </w:t>
      </w:r>
      <w:r>
        <w:t xml:space="preserve">that limiting the circumstances in which the current use presumption </w:t>
      </w:r>
      <w:r w:rsidR="003378D0">
        <w:t xml:space="preserve">may be </w:t>
      </w:r>
      <w:r>
        <w:t xml:space="preserve">rebutted </w:t>
      </w:r>
      <w:r w:rsidR="007940B2">
        <w:t xml:space="preserve">could result in some </w:t>
      </w:r>
      <w:r>
        <w:t xml:space="preserve">fair value measurements </w:t>
      </w:r>
      <w:r w:rsidR="007940B2">
        <w:t xml:space="preserve">being </w:t>
      </w:r>
      <w:r>
        <w:t>non-compliant with IFRS 13</w:t>
      </w:r>
      <w:r w:rsidR="00122AD5">
        <w:t xml:space="preserve"> because they might delay the identification of a higher and better alternative use compared with application of paragraph 29 of IFRS 13 alone.</w:t>
      </w:r>
      <w:r>
        <w:t xml:space="preserve"> </w:t>
      </w:r>
    </w:p>
    <w:p w14:paraId="142AC240" w14:textId="664B90DB" w:rsidR="00B1411D" w:rsidRDefault="004F4F43" w:rsidP="003276D3">
      <w:pPr>
        <w:pStyle w:val="NumBC1"/>
      </w:pPr>
      <w:r>
        <w:t xml:space="preserve">However, the Board considered that this potential for IFRS non-compliance should be insignificant. </w:t>
      </w:r>
      <w:r w:rsidR="004D4D06">
        <w:t xml:space="preserve">This is because the Board </w:t>
      </w:r>
      <w:r w:rsidR="00B1411D">
        <w:t xml:space="preserve">considers that a non-financial </w:t>
      </w:r>
      <w:r w:rsidR="00B1411D" w:rsidRPr="00832B19">
        <w:t>asset</w:t>
      </w:r>
      <w:r w:rsidR="00B1411D">
        <w:t xml:space="preserve"> of a not-for-profit public sector entity not held primarily for its ability to generate net cash inflows:</w:t>
      </w:r>
      <w:bookmarkEnd w:id="85"/>
      <w:r w:rsidR="00B1411D">
        <w:t xml:space="preserve"> </w:t>
      </w:r>
    </w:p>
    <w:p w14:paraId="476AC27A" w14:textId="73CE67F0" w:rsidR="00B1411D" w:rsidRDefault="00424D70" w:rsidP="003276D3">
      <w:pPr>
        <w:pStyle w:val="NumBC2"/>
      </w:pPr>
      <w:r>
        <w:t xml:space="preserve">often </w:t>
      </w:r>
      <w:r w:rsidR="00B1411D">
        <w:t xml:space="preserve">is different in </w:t>
      </w:r>
      <w:r>
        <w:t xml:space="preserve">nature </w:t>
      </w:r>
      <w:r w:rsidR="00B1411D">
        <w:t xml:space="preserve">from an asset </w:t>
      </w:r>
      <w:r>
        <w:t xml:space="preserve">with similar features but </w:t>
      </w:r>
      <w:r w:rsidR="00B1411D">
        <w:t xml:space="preserve">held primarily for its ability to generate net cash inflows, because the nature of the benefits it provides is different; </w:t>
      </w:r>
    </w:p>
    <w:p w14:paraId="65B3A91F" w14:textId="21395331" w:rsidR="00B1411D" w:rsidRDefault="00B1411D" w:rsidP="003276D3">
      <w:pPr>
        <w:pStyle w:val="NumBC2"/>
      </w:pPr>
      <w:r>
        <w:t xml:space="preserve">is subject to a different operational (public sector) environment that reduces the likelihood – compared with that of an asset held by a private sector entity – of </w:t>
      </w:r>
      <w:r w:rsidR="00967877">
        <w:t xml:space="preserve">realising </w:t>
      </w:r>
      <w:r>
        <w:t xml:space="preserve">a potential opportunity </w:t>
      </w:r>
      <w:r>
        <w:lastRenderedPageBreak/>
        <w:t xml:space="preserve">to be sold for a higher and better </w:t>
      </w:r>
      <w:r w:rsidR="00917B83">
        <w:t xml:space="preserve">alternative </w:t>
      </w:r>
      <w:r>
        <w:t xml:space="preserve">use, and therefore reduces the relevance of such an opportunity to assumptions made by market participants when pricing the asset; </w:t>
      </w:r>
    </w:p>
    <w:p w14:paraId="386BEC32" w14:textId="49D719E9" w:rsidR="00B1411D" w:rsidRDefault="00B1411D" w:rsidP="003276D3">
      <w:pPr>
        <w:pStyle w:val="NumBC2"/>
      </w:pPr>
      <w:r>
        <w:t>if specialised, is unlikely to be used for another purpose</w:t>
      </w:r>
      <w:r w:rsidR="00E93F02">
        <w:t>,</w:t>
      </w:r>
      <w:r>
        <w:t xml:space="preserve"> especially if the costs to convert the asset to an alternative use are high; and</w:t>
      </w:r>
    </w:p>
    <w:p w14:paraId="1F50FD27" w14:textId="77777777" w:rsidR="00B1411D" w:rsidRDefault="00B1411D" w:rsidP="003276D3">
      <w:pPr>
        <w:pStyle w:val="NumBC2"/>
      </w:pPr>
      <w:r>
        <w:t>often is being used to provide necessary services to the public and, therefore, another not-for-profit public sector entity stepping into the shoes of the public sector entity holding the asset would base its pricing decisions on the asset’s current use.</w:t>
      </w:r>
    </w:p>
    <w:p w14:paraId="010C837C" w14:textId="1C360FF4" w:rsidR="00B1411D" w:rsidRDefault="00B1718E" w:rsidP="003276D3">
      <w:pPr>
        <w:pStyle w:val="NumBC1"/>
      </w:pPr>
      <w:r>
        <w:t>E</w:t>
      </w:r>
      <w:r w:rsidR="00B1411D">
        <w:t xml:space="preserve">ven if </w:t>
      </w:r>
      <w:r w:rsidR="00F16DCA">
        <w:t xml:space="preserve">particular fair value measurements under </w:t>
      </w:r>
      <w:r w:rsidR="00B1411D">
        <w:t xml:space="preserve">the proposed modifications to AASB 13 were considered </w:t>
      </w:r>
      <w:r w:rsidR="00E93F02">
        <w:t xml:space="preserve">not </w:t>
      </w:r>
      <w:r w:rsidR="00B1411D">
        <w:t>to be compliant with IFRS 13, the Board concluded they would be justified on cost-benefit grounds</w:t>
      </w:r>
      <w:r w:rsidR="00794DDA" w:rsidRPr="00794DDA">
        <w:t xml:space="preserve"> </w:t>
      </w:r>
      <w:r w:rsidR="00794DDA">
        <w:t xml:space="preserve">in accordance with paragraph 30(h) of the </w:t>
      </w:r>
      <w:r w:rsidR="00794DDA" w:rsidRPr="00556B5E">
        <w:rPr>
          <w:i/>
          <w:iCs/>
        </w:rPr>
        <w:t>AASB Not-for-Profit Entity Standard-Setting Framework</w:t>
      </w:r>
      <w:r w:rsidR="00B1411D">
        <w:t xml:space="preserve">. The proposal regarding the identification of an asset’s highest and best use is designed to reduce the cost and effort of a not-for-profit public sector entity searching unnecessarily for possible alternative uses of an asset. </w:t>
      </w:r>
    </w:p>
    <w:p w14:paraId="581CD601" w14:textId="0EC8BD32" w:rsidR="00B1411D" w:rsidRDefault="00B1411D" w:rsidP="003276D3">
      <w:pPr>
        <w:pStyle w:val="NumBC1"/>
      </w:pPr>
      <w:bookmarkStart w:id="86" w:name="_Ref116442354"/>
      <w:r>
        <w:t xml:space="preserve">Some Board members consider that if AASB 13 is modified to specify when the asset’s current use ceases to be its highest and best use, doing so should drive more consistency between the asset’s use and the asset’s value reported on financial statements, rather than reporting the asset’s value based on </w:t>
      </w:r>
      <w:r w:rsidR="00FA4565">
        <w:t xml:space="preserve">a </w:t>
      </w:r>
      <w:r>
        <w:t>possible alternative use. In addition, the proposal would not restrict the choice of valuation techniques to apply in measuring a not-for-profit public sector entity’s asset.</w:t>
      </w:r>
      <w:bookmarkEnd w:id="86"/>
    </w:p>
    <w:p w14:paraId="654AD9C6" w14:textId="3A1F68F6" w:rsidR="00B1411D" w:rsidRPr="00281393" w:rsidRDefault="00B1411D" w:rsidP="002C5A98">
      <w:pPr>
        <w:pStyle w:val="IASBSectionTitle4Ind"/>
        <w:spacing w:before="240"/>
      </w:pPr>
      <w:r w:rsidRPr="00281393">
        <w:t xml:space="preserve">Timing of when the current use presumption </w:t>
      </w:r>
      <w:r w:rsidR="005E5723">
        <w:t>may be</w:t>
      </w:r>
      <w:r w:rsidRPr="00281393">
        <w:t xml:space="preserve"> rebutted</w:t>
      </w:r>
    </w:p>
    <w:p w14:paraId="564B1F3C" w14:textId="2C9402AD" w:rsidR="00E9676B" w:rsidRDefault="00C455F7" w:rsidP="003276D3">
      <w:pPr>
        <w:pStyle w:val="NumBC1"/>
      </w:pPr>
      <w:bookmarkStart w:id="87" w:name="_Ref116439190"/>
      <w:r>
        <w:t>Although the significant majority of ED respondents agreed with</w:t>
      </w:r>
      <w:r w:rsidRPr="00766916">
        <w:t xml:space="preserve"> </w:t>
      </w:r>
      <w:r w:rsidRPr="005B6F52">
        <w:t>modifying AASB 13 to limit the circumstances in which the current use presumption</w:t>
      </w:r>
      <w:r w:rsidR="006B13A6">
        <w:t xml:space="preserve"> may be</w:t>
      </w:r>
      <w:r w:rsidRPr="005B6F52">
        <w:t xml:space="preserve"> rebutted</w:t>
      </w:r>
      <w:r>
        <w:t xml:space="preserve">, some </w:t>
      </w:r>
      <w:r w:rsidR="00D31DD0">
        <w:t xml:space="preserve">ED </w:t>
      </w:r>
      <w:r w:rsidR="004F1CF6">
        <w:t>respondents disagreed that an entity’s appropriate level of management having committed to a plan to sell the asset would, of itself, be sufficient to require an entity to reassess the asset’s highest and best use (with a potential consequence that the asset’s fair value would be remeasured). Those respondents argued that reassessing the asset’s highest and best use should not occur until the asset has met the criteria for classification as ‘held for sale’ under AASB</w:t>
      </w:r>
      <w:r w:rsidR="00105F1C">
        <w:t> </w:t>
      </w:r>
      <w:r w:rsidR="004F1CF6">
        <w:t xml:space="preserve">5 and/or formal approval has been made to sell </w:t>
      </w:r>
      <w:r w:rsidR="00751A64">
        <w:t xml:space="preserve">the asset </w:t>
      </w:r>
      <w:r w:rsidR="004F1CF6">
        <w:t>or distribute</w:t>
      </w:r>
      <w:r w:rsidR="00751A64">
        <w:t xml:space="preserve"> it to owners</w:t>
      </w:r>
      <w:r w:rsidR="004F1CF6">
        <w:t>.</w:t>
      </w:r>
      <w:bookmarkEnd w:id="79"/>
      <w:bookmarkEnd w:id="87"/>
      <w:r w:rsidR="004F1CF6">
        <w:t xml:space="preserve"> </w:t>
      </w:r>
    </w:p>
    <w:p w14:paraId="4352A166" w14:textId="7B17402F" w:rsidR="004F1CF6" w:rsidRDefault="004F1CF6" w:rsidP="003276D3">
      <w:pPr>
        <w:pStyle w:val="NumBC1"/>
      </w:pPr>
      <w:bookmarkStart w:id="88" w:name="_Ref116403371"/>
      <w:r>
        <w:t xml:space="preserve">They noted that, under the proposal in </w:t>
      </w:r>
      <w:r w:rsidR="00931EB2">
        <w:t>ED 320</w:t>
      </w:r>
      <w:r>
        <w:t xml:space="preserve">, when the asset subsequently meets the criteria for classification as ‘held for sale’ under AASB 5, another fair value estimate would need to be determined for the asset, and expressed concern that this outcome would cause undue cost and effort. They argued that, unlike for most assets held by for-profit entities, the sale of various assets held by not-for-profit public sector entities requires a complex and lengthy approval process (sometimes requiring legislative amendment) that can cause the elapse of a significant period between when an asset satisfies the ‘committed-to plan to sell the asset’ condition proposed </w:t>
      </w:r>
      <w:r w:rsidR="00936740">
        <w:t>in ED 320</w:t>
      </w:r>
      <w:r>
        <w:t xml:space="preserve"> and when the criteria for classification as ‘held for sale’ in AASB 5 are satisfied.</w:t>
      </w:r>
      <w:bookmarkEnd w:id="80"/>
      <w:r>
        <w:t xml:space="preserve"> For these reasons, they argued that applying the </w:t>
      </w:r>
      <w:r w:rsidR="00B56BF7">
        <w:t xml:space="preserve">ED </w:t>
      </w:r>
      <w:r>
        <w:t>proposals would:</w:t>
      </w:r>
      <w:bookmarkEnd w:id="81"/>
      <w:bookmarkEnd w:id="88"/>
    </w:p>
    <w:p w14:paraId="5406A31D" w14:textId="77777777" w:rsidR="004F1CF6" w:rsidRDefault="004F1CF6" w:rsidP="003276D3">
      <w:pPr>
        <w:pStyle w:val="NumBC2"/>
      </w:pPr>
      <w:r>
        <w:t>give rise to a significant risk of premature (and additional) remeasurement because of the greater risk of changes in management plans stemming from the complexity of public sector processes for selling or redeploying assets;</w:t>
      </w:r>
    </w:p>
    <w:p w14:paraId="1DAC804E" w14:textId="77777777" w:rsidR="004F1CF6" w:rsidRDefault="004F1CF6" w:rsidP="003276D3">
      <w:pPr>
        <w:pStyle w:val="NumBC2"/>
      </w:pPr>
      <w:r>
        <w:t xml:space="preserve">give rise to a significant risk of information leakage regarding sales of assets during a confidential tender process; </w:t>
      </w:r>
    </w:p>
    <w:p w14:paraId="7DC2F1F8" w14:textId="5857E2D0" w:rsidR="004F1CF6" w:rsidRDefault="004F1CF6" w:rsidP="003276D3">
      <w:pPr>
        <w:pStyle w:val="NumBC2"/>
      </w:pPr>
      <w:r>
        <w:t xml:space="preserve">obligate controlled entities to seek information about decisions by senior levels of government to which they might not be privy until sale of an asset becomes highly probable and/or imminent (ie when the criteria for classification as ‘held for sale’ are met). This is because, in the public sector environment, sometimes the plan to dispose of or redeploy an asset is initiated by a controlling entity of the </w:t>
      </w:r>
      <w:r w:rsidR="00594055">
        <w:t>holder of the asset, and the asset’s holder</w:t>
      </w:r>
      <w:r w:rsidR="008937A5">
        <w:t xml:space="preserve"> do</w:t>
      </w:r>
      <w:r w:rsidR="00260A92">
        <w:t>es</w:t>
      </w:r>
      <w:r>
        <w:t xml:space="preserve"> not learn of this plan until later (because the sale process for the asset is conducted confidentially for some time). Similarly, until an asset is ready for sale in the condition intended by an entity’s appropriate level of management, a higher and better use for the asset is unlikely to be evident;</w:t>
      </w:r>
    </w:p>
    <w:p w14:paraId="3AC9BBCB" w14:textId="58A59810" w:rsidR="004F1CF6" w:rsidRDefault="004F1CF6" w:rsidP="003276D3">
      <w:pPr>
        <w:pStyle w:val="NumBC2"/>
      </w:pPr>
      <w:r>
        <w:t xml:space="preserve">be potentially difficult and subjective to apply, because it would often be difficult in a public sector environment to determine exactly when an entity’s appropriate level of management has become ‘committed to a plan’ to sell an </w:t>
      </w:r>
      <w:r w:rsidR="00E27A91">
        <w:t xml:space="preserve">asset, and consequently be likely to result in significant </w:t>
      </w:r>
      <w:r w:rsidR="006C125B">
        <w:t xml:space="preserve">inconsistency </w:t>
      </w:r>
      <w:r w:rsidR="00E27A91">
        <w:t>in practice</w:t>
      </w:r>
      <w:r>
        <w:t>; and</w:t>
      </w:r>
    </w:p>
    <w:p w14:paraId="68362898" w14:textId="77777777" w:rsidR="004F1CF6" w:rsidRDefault="004F1CF6" w:rsidP="003276D3">
      <w:pPr>
        <w:pStyle w:val="NumBC2"/>
      </w:pPr>
      <w:r>
        <w:t>not be consistent with a GAAP/GFS harmonisation objective, because being ‘committed to a plan to sell an asset’ is not an explicit concept that can be applied from a macroeconomic statistics perspective.</w:t>
      </w:r>
    </w:p>
    <w:p w14:paraId="7CAA43E3" w14:textId="1B0456E7" w:rsidR="00A636F7" w:rsidRDefault="004F1CF6" w:rsidP="003276D3">
      <w:pPr>
        <w:pStyle w:val="NumBC1"/>
      </w:pPr>
      <w:r>
        <w:t xml:space="preserve">For the reasons </w:t>
      </w:r>
      <w:r w:rsidR="2213A9D1">
        <w:t xml:space="preserve">described </w:t>
      </w:r>
      <w:r>
        <w:t>in paragraph</w:t>
      </w:r>
      <w:r w:rsidR="00383F3F">
        <w:t> </w:t>
      </w:r>
      <w:r>
        <w:fldChar w:fldCharType="begin"/>
      </w:r>
      <w:r>
        <w:instrText xml:space="preserve"> REF _Ref116403371 \r \h </w:instrText>
      </w:r>
      <w:r>
        <w:fldChar w:fldCharType="separate"/>
      </w:r>
      <w:r w:rsidR="005A1B65">
        <w:t>BC61</w:t>
      </w:r>
      <w:r>
        <w:fldChar w:fldCharType="end"/>
      </w:r>
      <w:r>
        <w:t xml:space="preserve">, those respondents argued that this issue is a public-sector-specific issue that warrants deeming that a higher and better use than current use </w:t>
      </w:r>
      <w:r w:rsidR="006B13A6">
        <w:t xml:space="preserve">would </w:t>
      </w:r>
      <w:r>
        <w:t>not arise until an asset satisfies the criteria for classification as ‘held for sale’ under AASB 5.</w:t>
      </w:r>
      <w:bookmarkEnd w:id="77"/>
      <w:r>
        <w:t xml:space="preserve"> </w:t>
      </w:r>
      <w:bookmarkStart w:id="89" w:name="_Ref115014197"/>
      <w:bookmarkEnd w:id="78"/>
    </w:p>
    <w:p w14:paraId="00C044DC" w14:textId="322D5A98" w:rsidR="004F1CF6" w:rsidRDefault="004F1CF6" w:rsidP="003276D3">
      <w:pPr>
        <w:pStyle w:val="NumBC1"/>
      </w:pPr>
      <w:bookmarkStart w:id="90" w:name="_Ref116403385"/>
      <w:r w:rsidRPr="00E05E0A">
        <w:lastRenderedPageBreak/>
        <w:t xml:space="preserve">In developing </w:t>
      </w:r>
      <w:r w:rsidR="00A636F7">
        <w:t>ED 320</w:t>
      </w:r>
      <w:r w:rsidRPr="00E05E0A">
        <w:t xml:space="preserve">, the Board was concerned that waiting until all the </w:t>
      </w:r>
      <w:r w:rsidR="00CF36AC">
        <w:t xml:space="preserve">criteria </w:t>
      </w:r>
      <w:r>
        <w:t xml:space="preserve">in AASB 5 for </w:t>
      </w:r>
      <w:r w:rsidRPr="00E05E0A">
        <w:t>classif</w:t>
      </w:r>
      <w:r>
        <w:t>ying</w:t>
      </w:r>
      <w:r w:rsidRPr="00E05E0A">
        <w:t xml:space="preserve"> </w:t>
      </w:r>
      <w:r>
        <w:t xml:space="preserve">an asset as ‘held for sale’ </w:t>
      </w:r>
      <w:r w:rsidRPr="00E05E0A">
        <w:t>are met could</w:t>
      </w:r>
      <w:bookmarkEnd w:id="89"/>
      <w:r w:rsidRPr="00E05E0A">
        <w:t xml:space="preserve"> </w:t>
      </w:r>
      <w:r>
        <w:t>deprive users of financial statements of a not-for-profit public sector entity of useful information about an alternative use having become an asset’s highest and best use, as supported by the due diligence underpinning a decision by the entity’s appropriate level of management to commit to a plan to take one of those steps.</w:t>
      </w:r>
      <w:bookmarkEnd w:id="76"/>
      <w:r>
        <w:t xml:space="preserve"> For example, if an appropriate level of management commits to begin using an asset (such as equipment) for a commercial purpose (eg by leasing out that equipment) while awaiting approval of the asset’s sale, it could deprive users of information about the asset’s value if an entity waits until the classification </w:t>
      </w:r>
      <w:r w:rsidR="007729F4">
        <w:t xml:space="preserve">criteria </w:t>
      </w:r>
      <w:r>
        <w:t>for being ‘held for sale’ in AASB 5 are met before taking into account the commitment to change the asset’s use.</w:t>
      </w:r>
      <w:bookmarkEnd w:id="90"/>
      <w:r>
        <w:t xml:space="preserve"> </w:t>
      </w:r>
    </w:p>
    <w:p w14:paraId="08415218" w14:textId="0AA8DD2F" w:rsidR="004F1CF6" w:rsidRDefault="00E27A91" w:rsidP="003276D3">
      <w:pPr>
        <w:pStyle w:val="NumBC1"/>
        <w:spacing w:before="0"/>
      </w:pPr>
      <w:bookmarkStart w:id="91" w:name="_Ref115019881"/>
      <w:r>
        <w:t>On balance</w:t>
      </w:r>
      <w:r w:rsidR="004F1CF6">
        <w:t>, the Board considered that the concerns noted in paragraph </w:t>
      </w:r>
      <w:r w:rsidR="00D26A1C">
        <w:fldChar w:fldCharType="begin"/>
      </w:r>
      <w:r w:rsidR="00D26A1C">
        <w:instrText xml:space="preserve"> REF _Ref116403371 \r \h </w:instrText>
      </w:r>
      <w:r w:rsidR="00D26A1C">
        <w:fldChar w:fldCharType="separate"/>
      </w:r>
      <w:r w:rsidR="005A1B65">
        <w:t>BC61</w:t>
      </w:r>
      <w:r w:rsidR="00D26A1C">
        <w:fldChar w:fldCharType="end"/>
      </w:r>
      <w:r w:rsidR="004F1CF6">
        <w:t xml:space="preserve"> outweigh these concerns in paragraph</w:t>
      </w:r>
      <w:r w:rsidR="00D26A1C">
        <w:t xml:space="preserve"> </w:t>
      </w:r>
      <w:r w:rsidR="00D26A1C">
        <w:fldChar w:fldCharType="begin"/>
      </w:r>
      <w:r w:rsidR="00D26A1C">
        <w:instrText xml:space="preserve"> REF _Ref116403385 \r \h </w:instrText>
      </w:r>
      <w:r w:rsidR="00D26A1C">
        <w:fldChar w:fldCharType="separate"/>
      </w:r>
      <w:r w:rsidR="005A1B65">
        <w:t>BC63</w:t>
      </w:r>
      <w:r w:rsidR="00D26A1C">
        <w:fldChar w:fldCharType="end"/>
      </w:r>
      <w:r w:rsidR="004F1CF6">
        <w:t xml:space="preserve">. In addition, the Board noted that: </w:t>
      </w:r>
    </w:p>
    <w:p w14:paraId="4CF707A8" w14:textId="77777777" w:rsidR="004F1CF6" w:rsidRDefault="004F1CF6" w:rsidP="003276D3">
      <w:pPr>
        <w:pStyle w:val="NumBC2"/>
      </w:pPr>
      <w:r>
        <w:t>in the public sector, many non-financial assets other than land are specialised assets without alternative uses; and</w:t>
      </w:r>
    </w:p>
    <w:p w14:paraId="3BEDA6ED" w14:textId="44D761B5" w:rsidR="004F1CF6" w:rsidRDefault="004F1CF6" w:rsidP="003276D3">
      <w:pPr>
        <w:pStyle w:val="NumBC2"/>
      </w:pPr>
      <w:r>
        <w:t xml:space="preserve">the requirements of AASB 5 are well understood by preparers and auditors of financial statements of not-for-profit public sector entities. Therefore, aligning the timing of </w:t>
      </w:r>
      <w:r w:rsidR="00BF038D">
        <w:t xml:space="preserve">potentially </w:t>
      </w:r>
      <w:r>
        <w:t>identifying a higher and better alternative use with the criteria in AASB 5 should reduce the time and effort by preparers and auditors and reduce inconsistency in application.</w:t>
      </w:r>
    </w:p>
    <w:p w14:paraId="695855EE" w14:textId="61F0DC79" w:rsidR="004F1CF6" w:rsidRDefault="004F1CF6" w:rsidP="00B81849">
      <w:pPr>
        <w:pStyle w:val="NumBC1"/>
        <w:spacing w:before="0"/>
      </w:pPr>
      <w:bookmarkStart w:id="92" w:name="_Ref115215831"/>
      <w:r>
        <w:t>Therefore, the Board decided to</w:t>
      </w:r>
      <w:r w:rsidR="00CC2EEA">
        <w:t xml:space="preserve"> issue </w:t>
      </w:r>
      <w:r w:rsidR="00855908">
        <w:t xml:space="preserve">for comment </w:t>
      </w:r>
      <w:r w:rsidR="00CC2EEA">
        <w:t xml:space="preserve">a </w:t>
      </w:r>
      <w:r w:rsidR="002A363B">
        <w:t xml:space="preserve">Fatal-Flaw Review draft </w:t>
      </w:r>
      <w:r w:rsidR="00CE44C2">
        <w:t xml:space="preserve">version of the </w:t>
      </w:r>
      <w:r w:rsidR="002A363B">
        <w:t xml:space="preserve">Standard </w:t>
      </w:r>
      <w:r w:rsidR="00855908">
        <w:t xml:space="preserve">to propose that an entity is not required to consider whether an asset’s highest and best use differs from its current use unless the asset has met the criteria for classification as ‘held for sale’ under AASB 5 or </w:t>
      </w:r>
      <w:r w:rsidR="008D4D09">
        <w:t xml:space="preserve">it </w:t>
      </w:r>
      <w:r w:rsidR="00855908" w:rsidRPr="00483783">
        <w:t>is highly probable that the asset will be used for an alternative purpose to its current use</w:t>
      </w:r>
      <w:r w:rsidR="00562CBA">
        <w:t xml:space="preserve">. </w:t>
      </w:r>
      <w:bookmarkEnd w:id="91"/>
      <w:bookmarkEnd w:id="92"/>
    </w:p>
    <w:p w14:paraId="7CE58571" w14:textId="4EC460ED" w:rsidR="004F1CF6" w:rsidRDefault="004F1CF6" w:rsidP="003276D3">
      <w:pPr>
        <w:pStyle w:val="NumBC1"/>
        <w:spacing w:before="0"/>
      </w:pPr>
      <w:r>
        <w:t>In reaching its decision referred to in paragraph </w:t>
      </w:r>
      <w:r w:rsidR="004D7C98">
        <w:fldChar w:fldCharType="begin"/>
      </w:r>
      <w:r w:rsidR="004D7C98">
        <w:instrText xml:space="preserve"> REF _Ref115215831 \r \h </w:instrText>
      </w:r>
      <w:r w:rsidR="004D7C98">
        <w:fldChar w:fldCharType="separate"/>
      </w:r>
      <w:r w:rsidR="005A1B65">
        <w:t>BC65</w:t>
      </w:r>
      <w:r w:rsidR="004D7C98">
        <w:fldChar w:fldCharType="end"/>
      </w:r>
      <w:r>
        <w:t xml:space="preserve">, the Board considered the other alternative to the </w:t>
      </w:r>
      <w:r w:rsidR="00E51912">
        <w:t>ED proposals</w:t>
      </w:r>
      <w:r>
        <w:t xml:space="preserve"> expressed by respondents</w:t>
      </w:r>
      <w:r w:rsidR="00FA4270">
        <w:t xml:space="preserve">, </w:t>
      </w:r>
      <w:r>
        <w:t xml:space="preserve">namely, identifying a higher and better use of an asset upon formal approval of selling </w:t>
      </w:r>
      <w:r w:rsidR="00CE6F22">
        <w:t xml:space="preserve">the asset </w:t>
      </w:r>
      <w:r>
        <w:t>or distributing</w:t>
      </w:r>
      <w:r w:rsidR="00CE6F22">
        <w:t xml:space="preserve"> it to owners</w:t>
      </w:r>
      <w:r>
        <w:t xml:space="preserve">. The Board concluded that this other alternative would not sufficiently address the concerns expressed by respondents regarding the proposal in </w:t>
      </w:r>
      <w:r w:rsidR="00D6677C">
        <w:t>ED</w:t>
      </w:r>
      <w:r w:rsidR="00175F46">
        <w:t> </w:t>
      </w:r>
      <w:r w:rsidR="00D6677C">
        <w:t>320</w:t>
      </w:r>
      <w:r>
        <w:t xml:space="preserve">, because formal approval of sale or distribution </w:t>
      </w:r>
      <w:r w:rsidR="00175F46">
        <w:t xml:space="preserve">to owners </w:t>
      </w:r>
      <w:r>
        <w:t>can precede sale by an extended period. In contrast, the AASB 5 criteria for an asset being ‘held for sale’ include that the sale should be expected to qualify for recognition as a completed sale within one year from the date of classification.</w:t>
      </w:r>
    </w:p>
    <w:p w14:paraId="232D6281" w14:textId="225128CE" w:rsidR="004F1CF6" w:rsidRDefault="004F1CF6" w:rsidP="00C605FA">
      <w:pPr>
        <w:pStyle w:val="NumBC1"/>
        <w:spacing w:before="0"/>
      </w:pPr>
      <w:bookmarkStart w:id="93" w:name="_Ref120640196"/>
      <w:r>
        <w:t xml:space="preserve">Consistent with </w:t>
      </w:r>
      <w:r w:rsidR="00A02C9F">
        <w:t>ED 320</w:t>
      </w:r>
      <w:r>
        <w:t>, and i</w:t>
      </w:r>
      <w:r w:rsidRPr="005B1F1E">
        <w:t>n contrast with AASB</w:t>
      </w:r>
      <w:r>
        <w:t xml:space="preserve"> </w:t>
      </w:r>
      <w:r w:rsidRPr="005B1F1E">
        <w:t xml:space="preserve">5, </w:t>
      </w:r>
      <w:r w:rsidR="001B2F59">
        <w:t xml:space="preserve">the Board considered that </w:t>
      </w:r>
      <w:r w:rsidRPr="005B1F1E">
        <w:t xml:space="preserve">it is not essential that </w:t>
      </w:r>
      <w:r>
        <w:t xml:space="preserve">a </w:t>
      </w:r>
      <w:r w:rsidR="003531FA">
        <w:t xml:space="preserve">potential </w:t>
      </w:r>
      <w:r>
        <w:t xml:space="preserve">higher and better </w:t>
      </w:r>
      <w:r w:rsidR="00AA28F2">
        <w:t xml:space="preserve">alternative </w:t>
      </w:r>
      <w:r>
        <w:t xml:space="preserve">use of an asset </w:t>
      </w:r>
      <w:r w:rsidR="00E52E96">
        <w:t xml:space="preserve">is identified </w:t>
      </w:r>
      <w:r w:rsidR="00C15C00">
        <w:t xml:space="preserve">only </w:t>
      </w:r>
      <w:r w:rsidR="00E52E96">
        <w:t>through</w:t>
      </w:r>
      <w:r>
        <w:t xml:space="preserve"> a future </w:t>
      </w:r>
      <w:r w:rsidRPr="005B1F1E">
        <w:t xml:space="preserve">sale of the asset: the </w:t>
      </w:r>
      <w:r w:rsidR="00B97F39">
        <w:t xml:space="preserve">asset’s </w:t>
      </w:r>
      <w:r>
        <w:t xml:space="preserve">higher and better </w:t>
      </w:r>
      <w:r w:rsidR="009A12DB">
        <w:t xml:space="preserve">alternative </w:t>
      </w:r>
      <w:r w:rsidRPr="005B1F1E">
        <w:t xml:space="preserve">use </w:t>
      </w:r>
      <w:r w:rsidR="00413C31">
        <w:t xml:space="preserve">could </w:t>
      </w:r>
      <w:r w:rsidR="003631CA">
        <w:t>be identified through</w:t>
      </w:r>
      <w:r w:rsidR="00B97F39">
        <w:t xml:space="preserve"> </w:t>
      </w:r>
      <w:r w:rsidR="00413C31">
        <w:t xml:space="preserve">future redeployment </w:t>
      </w:r>
      <w:r w:rsidRPr="005B1F1E">
        <w:t xml:space="preserve">for an </w:t>
      </w:r>
      <w:r w:rsidRPr="00AB593D">
        <w:t>alternative</w:t>
      </w:r>
      <w:r w:rsidRPr="005B1F1E">
        <w:t xml:space="preserve"> purpose.</w:t>
      </w:r>
      <w:r>
        <w:t xml:space="preserve"> </w:t>
      </w:r>
      <w:r w:rsidR="001B2F59">
        <w:t>S</w:t>
      </w:r>
      <w:r>
        <w:t xml:space="preserve">ubstantially the same point for </w:t>
      </w:r>
      <w:r w:rsidR="00BB2FD9">
        <w:t xml:space="preserve">requiring an entity to consider whether </w:t>
      </w:r>
      <w:r>
        <w:t xml:space="preserve">a higher and better alternative use of an asset </w:t>
      </w:r>
      <w:r w:rsidR="005B1093">
        <w:t xml:space="preserve">might have arisen </w:t>
      </w:r>
      <w:r>
        <w:t>should apply to assets that would be sold or redeployed.</w:t>
      </w:r>
      <w:bookmarkEnd w:id="93"/>
      <w:r>
        <w:t xml:space="preserve"> </w:t>
      </w:r>
    </w:p>
    <w:p w14:paraId="2C40B2D6" w14:textId="60FD3635" w:rsidR="00FB5312" w:rsidRPr="00501D6A" w:rsidRDefault="00FB5312" w:rsidP="00FB5312">
      <w:pPr>
        <w:pStyle w:val="IASBSectionTitle3Ind"/>
      </w:pPr>
      <w:r>
        <w:t xml:space="preserve">Proposal in Fatal-Flaw Review draft </w:t>
      </w:r>
      <w:r w:rsidR="00CE44C2">
        <w:t>Standard</w:t>
      </w:r>
    </w:p>
    <w:p w14:paraId="272D500D" w14:textId="799E3378" w:rsidR="0036616B" w:rsidRDefault="0036616B" w:rsidP="00C605FA">
      <w:pPr>
        <w:pStyle w:val="NumBC1"/>
        <w:spacing w:before="0"/>
      </w:pPr>
      <w:bookmarkStart w:id="94" w:name="_Ref119570900"/>
      <w:r>
        <w:t xml:space="preserve">The Board noted that paragraphs 7 and 8 </w:t>
      </w:r>
      <w:r w:rsidR="000B309E">
        <w:t xml:space="preserve">of </w:t>
      </w:r>
      <w:r w:rsidR="000B309E" w:rsidRPr="00796326">
        <w:t>AASB </w:t>
      </w:r>
      <w:r w:rsidR="000B309E">
        <w:t>5</w:t>
      </w:r>
      <w:r w:rsidR="000B309E" w:rsidRPr="00796326">
        <w:t xml:space="preserve"> </w:t>
      </w:r>
      <w:r>
        <w:t xml:space="preserve">require all the following </w:t>
      </w:r>
      <w:r w:rsidRPr="00C97AC4">
        <w:t xml:space="preserve">criteria </w:t>
      </w:r>
      <w:r>
        <w:t xml:space="preserve">to be met for an asset to be </w:t>
      </w:r>
      <w:r w:rsidRPr="00C97AC4">
        <w:t>classifi</w:t>
      </w:r>
      <w:r>
        <w:t>ed</w:t>
      </w:r>
      <w:r w:rsidRPr="00C97AC4">
        <w:t xml:space="preserve"> as ‘held for sale’</w:t>
      </w:r>
      <w:r>
        <w:t>:</w:t>
      </w:r>
      <w:bookmarkEnd w:id="94"/>
    </w:p>
    <w:p w14:paraId="1064BA19" w14:textId="77777777" w:rsidR="0036616B" w:rsidRDefault="0036616B" w:rsidP="00C605FA">
      <w:pPr>
        <w:pStyle w:val="NumBC2"/>
      </w:pPr>
      <w:r>
        <w:t xml:space="preserve">the </w:t>
      </w:r>
      <w:r w:rsidRPr="00A63033">
        <w:t>asset must be available for immediate sale in its present condition subject only to terms that are usual and customary for sales of such assets</w:t>
      </w:r>
      <w:r>
        <w:t>;</w:t>
      </w:r>
    </w:p>
    <w:p w14:paraId="03440D7A" w14:textId="77777777" w:rsidR="0036616B" w:rsidRDefault="0036616B" w:rsidP="00C605FA">
      <w:pPr>
        <w:pStyle w:val="NumBC2"/>
      </w:pPr>
      <w:r>
        <w:t xml:space="preserve">the appropriate level of management is committed to a plan to sell the asset; </w:t>
      </w:r>
    </w:p>
    <w:p w14:paraId="64C5C43B" w14:textId="77777777" w:rsidR="0036616B" w:rsidRDefault="0036616B" w:rsidP="00C605FA">
      <w:pPr>
        <w:pStyle w:val="NumBC2"/>
      </w:pPr>
      <w:r>
        <w:t>an active programme to locate a buyer and complete the plan has been initiated;</w:t>
      </w:r>
    </w:p>
    <w:p w14:paraId="1205ED25" w14:textId="77777777" w:rsidR="0036616B" w:rsidRDefault="0036616B" w:rsidP="00C605FA">
      <w:pPr>
        <w:pStyle w:val="NumBC2"/>
      </w:pPr>
      <w:r>
        <w:t>the asset must be actively marketed for sale at a price that is reasonable in relation to its current fair value;</w:t>
      </w:r>
    </w:p>
    <w:p w14:paraId="08676987" w14:textId="452973F6" w:rsidR="0036616B" w:rsidRDefault="0036616B" w:rsidP="00C605FA">
      <w:pPr>
        <w:pStyle w:val="NumBC2"/>
      </w:pPr>
      <w:r>
        <w:t>the sale should be expected to qualify for recognition as a completed sale within one year from the date of classification (except for specific conditions permitted by paragraph 9</w:t>
      </w:r>
      <w:r w:rsidR="007F32C4">
        <w:t xml:space="preserve"> of AASB 5</w:t>
      </w:r>
      <w:r>
        <w:t>), and actions required to complete the plan should indicate that it is unlikely that significant changes to the plan will be made or that the plan will be withdrawn; and</w:t>
      </w:r>
    </w:p>
    <w:p w14:paraId="024825A8" w14:textId="77777777" w:rsidR="0036616B" w:rsidRDefault="0036616B" w:rsidP="00C605FA">
      <w:pPr>
        <w:pStyle w:val="NumBC2"/>
      </w:pPr>
      <w:r>
        <w:t>the probability of shareholders’ approval (if required in the jurisdiction) should be considered as part of the assessment of whether the sale is highly probable.</w:t>
      </w:r>
    </w:p>
    <w:p w14:paraId="3ABAFC4C" w14:textId="5F745BA3" w:rsidR="00DC2905" w:rsidRDefault="004F1CF6" w:rsidP="00C605FA">
      <w:pPr>
        <w:pStyle w:val="NumBC1"/>
        <w:spacing w:before="0"/>
      </w:pPr>
      <w:r>
        <w:t>The</w:t>
      </w:r>
      <w:r w:rsidR="007771C7">
        <w:t xml:space="preserve"> Board decided </w:t>
      </w:r>
      <w:r w:rsidR="00671680">
        <w:t xml:space="preserve">to propose in the Fatal-Flaw Review draft </w:t>
      </w:r>
      <w:r w:rsidR="007771C7">
        <w:t>the</w:t>
      </w:r>
      <w:r>
        <w:t xml:space="preserve"> overarching principle for </w:t>
      </w:r>
      <w:r w:rsidR="00A57867">
        <w:t xml:space="preserve">potentially </w:t>
      </w:r>
      <w:r>
        <w:t xml:space="preserve">identifying a higher and better alternative use is that the sale or alternative use must be ‘highly probable’. In the case of an asset with a </w:t>
      </w:r>
      <w:r w:rsidR="009D0C31">
        <w:t xml:space="preserve">potentially </w:t>
      </w:r>
      <w:r>
        <w:t xml:space="preserve">higher and better </w:t>
      </w:r>
      <w:r w:rsidR="009A12DB">
        <w:t xml:space="preserve">alternative </w:t>
      </w:r>
      <w:r>
        <w:t xml:space="preserve">use </w:t>
      </w:r>
      <w:r w:rsidR="003631CA">
        <w:t xml:space="preserve">identified </w:t>
      </w:r>
      <w:r>
        <w:t>from a future sale or distribution</w:t>
      </w:r>
      <w:r w:rsidR="00147620">
        <w:t xml:space="preserve"> to owners</w:t>
      </w:r>
      <w:r>
        <w:t xml:space="preserve">, the ‘highly probable’ test would be met when the asset meets the criteria for classification as ‘held for sale’ under AASB 5. For an asset with a higher and better </w:t>
      </w:r>
      <w:r w:rsidR="009A12DB">
        <w:t xml:space="preserve">alternative </w:t>
      </w:r>
      <w:r>
        <w:t xml:space="preserve">use </w:t>
      </w:r>
      <w:r w:rsidR="00BC6A38">
        <w:t xml:space="preserve">identified </w:t>
      </w:r>
      <w:r>
        <w:t xml:space="preserve">from a future redeployment, the </w:t>
      </w:r>
      <w:r w:rsidR="00E841E6">
        <w:t>Board adapted the criteria in paragraphs 7 and 8 of AASB</w:t>
      </w:r>
      <w:r w:rsidR="00CB0D1B">
        <w:t> </w:t>
      </w:r>
      <w:r w:rsidR="00551025">
        <w:t>5</w:t>
      </w:r>
      <w:r w:rsidR="00E841E6">
        <w:t xml:space="preserve">. </w:t>
      </w:r>
    </w:p>
    <w:p w14:paraId="630221DD" w14:textId="0451E2A6" w:rsidR="00E517EF" w:rsidRDefault="00E841E6" w:rsidP="00C605FA">
      <w:pPr>
        <w:pStyle w:val="NumBC1"/>
        <w:spacing w:before="0"/>
      </w:pPr>
      <w:bookmarkStart w:id="95" w:name="_Ref120182190"/>
      <w:r>
        <w:lastRenderedPageBreak/>
        <w:t xml:space="preserve">The following table </w:t>
      </w:r>
      <w:r w:rsidR="00DC2905" w:rsidRPr="00DC2905">
        <w:t xml:space="preserve">outlines the AASB 5 criteria and the </w:t>
      </w:r>
      <w:r w:rsidR="00AB4588">
        <w:t xml:space="preserve">conditions </w:t>
      </w:r>
      <w:r w:rsidR="00DC2905">
        <w:t xml:space="preserve">proposed in </w:t>
      </w:r>
      <w:r w:rsidR="00DC2905" w:rsidRPr="00DC2905">
        <w:t>the F</w:t>
      </w:r>
      <w:r w:rsidR="00A4788E">
        <w:t>atal-Flaw Review</w:t>
      </w:r>
      <w:r w:rsidR="00DC2905" w:rsidRPr="00DC2905">
        <w:t xml:space="preserve"> draft </w:t>
      </w:r>
      <w:r w:rsidR="00DC2905">
        <w:t>for determin</w:t>
      </w:r>
      <w:r w:rsidR="006F2610">
        <w:t>ing</w:t>
      </w:r>
      <w:r w:rsidR="00DC2905">
        <w:t xml:space="preserve"> whether it is </w:t>
      </w:r>
      <w:r w:rsidR="004F1CF6">
        <w:t xml:space="preserve">highly probable </w:t>
      </w:r>
      <w:r w:rsidR="00DC2905">
        <w:t>that the asset will be used for an alternative purpose</w:t>
      </w:r>
      <w:r w:rsidR="00947273">
        <w:t>.</w:t>
      </w:r>
      <w:bookmarkEnd w:id="95"/>
    </w:p>
    <w:tbl>
      <w:tblPr>
        <w:tblW w:w="82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ASB 5 criteria and proposal in the Fatal-Flaw Review draft"/>
        <w:tblDescription w:val="AASB 5 criteria and the conditions proposed in the Fatal-Flaw Review draft for determining whether it is highly probable that the asset will be used for an alternative purpose"/>
      </w:tblPr>
      <w:tblGrid>
        <w:gridCol w:w="4112"/>
        <w:gridCol w:w="4113"/>
      </w:tblGrid>
      <w:tr w:rsidR="00947273" w:rsidRPr="00852F0B" w14:paraId="5A1205CE" w14:textId="77777777" w:rsidTr="1A6D8EE6">
        <w:trPr>
          <w:tblHeader/>
        </w:trPr>
        <w:tc>
          <w:tcPr>
            <w:tcW w:w="4112" w:type="dxa"/>
            <w:shd w:val="clear" w:color="auto" w:fill="D9D9D9" w:themeFill="background1" w:themeFillShade="D9"/>
          </w:tcPr>
          <w:p w14:paraId="2185C92B" w14:textId="5A59DA8D" w:rsidR="00947273" w:rsidRPr="00852F0B" w:rsidRDefault="00947273" w:rsidP="00C605FA">
            <w:pPr>
              <w:pStyle w:val="TableHeading"/>
              <w:rPr>
                <w:sz w:val="19"/>
                <w:szCs w:val="19"/>
              </w:rPr>
            </w:pPr>
            <w:r w:rsidRPr="00852F0B">
              <w:rPr>
                <w:sz w:val="19"/>
                <w:szCs w:val="19"/>
              </w:rPr>
              <w:t>Criteria in paragraphs 7 and 8</w:t>
            </w:r>
            <w:r w:rsidR="008115BA">
              <w:rPr>
                <w:sz w:val="19"/>
                <w:szCs w:val="19"/>
              </w:rPr>
              <w:t xml:space="preserve"> of AASB 5</w:t>
            </w:r>
          </w:p>
        </w:tc>
        <w:tc>
          <w:tcPr>
            <w:tcW w:w="4113" w:type="dxa"/>
            <w:shd w:val="clear" w:color="auto" w:fill="D9D9D9" w:themeFill="background1" w:themeFillShade="D9"/>
          </w:tcPr>
          <w:p w14:paraId="24833EEE" w14:textId="06AE7D34" w:rsidR="00947273" w:rsidRPr="00852F0B" w:rsidRDefault="00ED5CD3" w:rsidP="00C605FA">
            <w:pPr>
              <w:pStyle w:val="TableHeading"/>
              <w:rPr>
                <w:sz w:val="19"/>
                <w:szCs w:val="19"/>
              </w:rPr>
            </w:pPr>
            <w:r>
              <w:rPr>
                <w:sz w:val="19"/>
                <w:szCs w:val="19"/>
              </w:rPr>
              <w:t xml:space="preserve">The Board’s decision when </w:t>
            </w:r>
            <w:r w:rsidR="00653926">
              <w:rPr>
                <w:sz w:val="19"/>
                <w:szCs w:val="19"/>
              </w:rPr>
              <w:t>developing the</w:t>
            </w:r>
            <w:r w:rsidR="00203822">
              <w:rPr>
                <w:sz w:val="19"/>
                <w:szCs w:val="19"/>
              </w:rPr>
              <w:t xml:space="preserve"> </w:t>
            </w:r>
            <w:r w:rsidR="00203822" w:rsidRPr="00203822">
              <w:rPr>
                <w:sz w:val="19"/>
                <w:szCs w:val="19"/>
              </w:rPr>
              <w:t>Fatal-Flaw Review draft</w:t>
            </w:r>
            <w:r w:rsidR="00AC17EA">
              <w:rPr>
                <w:sz w:val="19"/>
                <w:szCs w:val="19"/>
              </w:rPr>
              <w:t xml:space="preserve"> </w:t>
            </w:r>
          </w:p>
        </w:tc>
      </w:tr>
      <w:tr w:rsidR="00947273" w:rsidRPr="00852F0B" w14:paraId="0427CAF1" w14:textId="77777777" w:rsidTr="1A6D8EE6">
        <w:tc>
          <w:tcPr>
            <w:tcW w:w="4112" w:type="dxa"/>
            <w:shd w:val="clear" w:color="auto" w:fill="auto"/>
          </w:tcPr>
          <w:p w14:paraId="00758569" w14:textId="25861014" w:rsidR="00947273" w:rsidRPr="00852F0B" w:rsidRDefault="00947273" w:rsidP="00C605FA">
            <w:pPr>
              <w:pStyle w:val="TableRow"/>
              <w:rPr>
                <w:sz w:val="19"/>
                <w:szCs w:val="19"/>
              </w:rPr>
            </w:pPr>
            <w:r w:rsidRPr="00852F0B">
              <w:rPr>
                <w:sz w:val="19"/>
                <w:szCs w:val="19"/>
              </w:rPr>
              <w:t>N</w:t>
            </w:r>
            <w:r w:rsidR="00852F0B">
              <w:rPr>
                <w:sz w:val="19"/>
                <w:szCs w:val="19"/>
              </w:rPr>
              <w:t>ot applicable.</w:t>
            </w:r>
          </w:p>
        </w:tc>
        <w:tc>
          <w:tcPr>
            <w:tcW w:w="4113" w:type="dxa"/>
            <w:shd w:val="clear" w:color="auto" w:fill="auto"/>
          </w:tcPr>
          <w:p w14:paraId="378BAAE4" w14:textId="259FBCC7" w:rsidR="00947273" w:rsidRPr="00852F0B" w:rsidRDefault="003727A7" w:rsidP="00C605FA">
            <w:pPr>
              <w:pStyle w:val="TableRow"/>
              <w:ind w:left="357" w:hanging="357"/>
              <w:rPr>
                <w:sz w:val="19"/>
                <w:szCs w:val="19"/>
              </w:rPr>
            </w:pPr>
            <w:r>
              <w:rPr>
                <w:sz w:val="19"/>
                <w:szCs w:val="19"/>
              </w:rPr>
              <w:t>(i)</w:t>
            </w:r>
            <w:r>
              <w:rPr>
                <w:sz w:val="19"/>
                <w:szCs w:val="19"/>
              </w:rPr>
              <w:tab/>
            </w:r>
            <w:r w:rsidR="006077E8" w:rsidRPr="006077E8">
              <w:rPr>
                <w:sz w:val="19"/>
                <w:szCs w:val="19"/>
              </w:rPr>
              <w:t xml:space="preserve">Added </w:t>
            </w:r>
            <w:r w:rsidR="006077E8">
              <w:rPr>
                <w:sz w:val="19"/>
                <w:szCs w:val="19"/>
              </w:rPr>
              <w:t>a criterion that</w:t>
            </w:r>
            <w:r w:rsidR="006077E8" w:rsidRPr="006077E8">
              <w:rPr>
                <w:sz w:val="19"/>
                <w:szCs w:val="19"/>
              </w:rPr>
              <w:t xml:space="preserve"> the alternative use of the asset is physically possible, legally permissible and financially feasible in accordance with paragraph 28 and </w:t>
            </w:r>
            <w:r w:rsidR="0047668E">
              <w:rPr>
                <w:sz w:val="19"/>
                <w:szCs w:val="19"/>
              </w:rPr>
              <w:t xml:space="preserve">the proposed paragraph </w:t>
            </w:r>
            <w:r w:rsidR="006077E8" w:rsidRPr="006077E8">
              <w:rPr>
                <w:sz w:val="19"/>
                <w:szCs w:val="19"/>
              </w:rPr>
              <w:t>Aus28.1</w:t>
            </w:r>
            <w:r w:rsidR="00D167F2">
              <w:rPr>
                <w:sz w:val="19"/>
                <w:szCs w:val="19"/>
              </w:rPr>
              <w:t>.</w:t>
            </w:r>
          </w:p>
        </w:tc>
      </w:tr>
      <w:tr w:rsidR="00947273" w:rsidRPr="00852F0B" w14:paraId="652DD9C4" w14:textId="77777777" w:rsidTr="1A6D8EE6">
        <w:tc>
          <w:tcPr>
            <w:tcW w:w="4112" w:type="dxa"/>
            <w:shd w:val="clear" w:color="auto" w:fill="auto"/>
          </w:tcPr>
          <w:p w14:paraId="05A143E4" w14:textId="2CEBC9B1" w:rsidR="00947273" w:rsidRPr="00852F0B" w:rsidRDefault="00947273" w:rsidP="00C605FA">
            <w:pPr>
              <w:pStyle w:val="TableRow"/>
              <w:ind w:left="357" w:hanging="357"/>
              <w:rPr>
                <w:sz w:val="19"/>
                <w:szCs w:val="19"/>
              </w:rPr>
            </w:pPr>
            <w:r w:rsidRPr="00852F0B">
              <w:rPr>
                <w:sz w:val="19"/>
                <w:szCs w:val="19"/>
              </w:rPr>
              <w:t>(a)</w:t>
            </w:r>
            <w:r w:rsidRPr="00852F0B">
              <w:rPr>
                <w:sz w:val="19"/>
                <w:szCs w:val="19"/>
              </w:rPr>
              <w:tab/>
            </w:r>
            <w:r w:rsidR="00384663">
              <w:rPr>
                <w:sz w:val="19"/>
                <w:szCs w:val="19"/>
              </w:rPr>
              <w:t>T</w:t>
            </w:r>
            <w:r w:rsidRPr="00852F0B">
              <w:rPr>
                <w:sz w:val="19"/>
                <w:szCs w:val="19"/>
              </w:rPr>
              <w:t>he asset must be available for immediate sale in its present condition subject only to terms that are usual and customary for sales of such assets</w:t>
            </w:r>
            <w:r w:rsidR="00384663">
              <w:rPr>
                <w:sz w:val="19"/>
                <w:szCs w:val="19"/>
              </w:rPr>
              <w:t>.</w:t>
            </w:r>
          </w:p>
        </w:tc>
        <w:tc>
          <w:tcPr>
            <w:tcW w:w="4113" w:type="dxa"/>
            <w:shd w:val="clear" w:color="auto" w:fill="auto"/>
          </w:tcPr>
          <w:p w14:paraId="16B6281F" w14:textId="29843F96" w:rsidR="00947273" w:rsidRPr="00852F0B" w:rsidRDefault="2BA11301" w:rsidP="00C605FA">
            <w:pPr>
              <w:pStyle w:val="TableRow"/>
              <w:ind w:left="357" w:hanging="357"/>
              <w:rPr>
                <w:sz w:val="19"/>
                <w:szCs w:val="19"/>
              </w:rPr>
            </w:pPr>
            <w:r w:rsidRPr="1A6D8EE6">
              <w:rPr>
                <w:sz w:val="19"/>
                <w:szCs w:val="19"/>
              </w:rPr>
              <w:t xml:space="preserve">(ii) </w:t>
            </w:r>
            <w:r w:rsidR="003727A7">
              <w:tab/>
            </w:r>
            <w:r w:rsidR="5C60604E" w:rsidRPr="1A6D8EE6">
              <w:rPr>
                <w:sz w:val="19"/>
                <w:szCs w:val="19"/>
              </w:rPr>
              <w:t xml:space="preserve">Adapted this criterion </w:t>
            </w:r>
            <w:r w:rsidR="0572808D" w:rsidRPr="1A6D8EE6">
              <w:rPr>
                <w:sz w:val="19"/>
                <w:szCs w:val="19"/>
              </w:rPr>
              <w:t>as “</w:t>
            </w:r>
            <w:r w:rsidR="32D58832" w:rsidRPr="1A6D8EE6">
              <w:rPr>
                <w:sz w:val="19"/>
                <w:szCs w:val="19"/>
              </w:rPr>
              <w:t>the asset is immediately available to be used for the alternative purpose in its present condition</w:t>
            </w:r>
            <w:r w:rsidRPr="1A6D8EE6">
              <w:rPr>
                <w:sz w:val="19"/>
                <w:szCs w:val="19"/>
              </w:rPr>
              <w:t>.</w:t>
            </w:r>
            <w:r w:rsidR="0572808D" w:rsidRPr="1A6D8EE6">
              <w:rPr>
                <w:sz w:val="19"/>
                <w:szCs w:val="19"/>
              </w:rPr>
              <w:t>”</w:t>
            </w:r>
          </w:p>
        </w:tc>
      </w:tr>
      <w:tr w:rsidR="00947273" w:rsidRPr="00852F0B" w14:paraId="0CB42470" w14:textId="77777777" w:rsidTr="1A6D8EE6">
        <w:tc>
          <w:tcPr>
            <w:tcW w:w="4112" w:type="dxa"/>
            <w:shd w:val="clear" w:color="auto" w:fill="auto"/>
          </w:tcPr>
          <w:p w14:paraId="2B08305C" w14:textId="6D72ECC4" w:rsidR="00947273" w:rsidRPr="00852F0B" w:rsidRDefault="00947273" w:rsidP="00C605FA">
            <w:pPr>
              <w:pStyle w:val="TableRow"/>
              <w:ind w:left="357" w:hanging="357"/>
              <w:rPr>
                <w:sz w:val="19"/>
                <w:szCs w:val="19"/>
              </w:rPr>
            </w:pPr>
            <w:r w:rsidRPr="00852F0B">
              <w:rPr>
                <w:sz w:val="19"/>
                <w:szCs w:val="19"/>
              </w:rPr>
              <w:t>(b)</w:t>
            </w:r>
            <w:r w:rsidRPr="00852F0B">
              <w:rPr>
                <w:sz w:val="19"/>
                <w:szCs w:val="19"/>
              </w:rPr>
              <w:tab/>
            </w:r>
            <w:r w:rsidR="00384663">
              <w:rPr>
                <w:sz w:val="19"/>
                <w:szCs w:val="19"/>
              </w:rPr>
              <w:t>T</w:t>
            </w:r>
            <w:r w:rsidRPr="00852F0B">
              <w:rPr>
                <w:sz w:val="19"/>
                <w:szCs w:val="19"/>
              </w:rPr>
              <w:t>he appropriate level of management is committed to a plan to sell the asset</w:t>
            </w:r>
            <w:r w:rsidR="00384663">
              <w:rPr>
                <w:sz w:val="19"/>
                <w:szCs w:val="19"/>
              </w:rPr>
              <w:t>.</w:t>
            </w:r>
          </w:p>
        </w:tc>
        <w:tc>
          <w:tcPr>
            <w:tcW w:w="4113" w:type="dxa"/>
            <w:vMerge w:val="restart"/>
            <w:shd w:val="clear" w:color="auto" w:fill="auto"/>
          </w:tcPr>
          <w:p w14:paraId="7434126F" w14:textId="7CB4E6A2" w:rsidR="00947273" w:rsidRPr="00852F0B" w:rsidRDefault="2BA11301" w:rsidP="00C605FA">
            <w:pPr>
              <w:pStyle w:val="TableRow"/>
              <w:ind w:left="357" w:hanging="357"/>
              <w:rPr>
                <w:sz w:val="19"/>
                <w:szCs w:val="19"/>
              </w:rPr>
            </w:pPr>
            <w:r w:rsidRPr="1A6D8EE6">
              <w:rPr>
                <w:sz w:val="19"/>
                <w:szCs w:val="19"/>
              </w:rPr>
              <w:t xml:space="preserve">(iii) </w:t>
            </w:r>
            <w:r w:rsidR="003727A7">
              <w:tab/>
            </w:r>
            <w:r w:rsidR="0572808D" w:rsidRPr="1A6D8EE6">
              <w:rPr>
                <w:sz w:val="19"/>
                <w:szCs w:val="19"/>
              </w:rPr>
              <w:t>Adapted these two criteria as “</w:t>
            </w:r>
            <w:r w:rsidR="00DB0519" w:rsidRPr="1A6D8EE6">
              <w:rPr>
                <w:sz w:val="19"/>
                <w:szCs w:val="19"/>
              </w:rPr>
              <w:t>t</w:t>
            </w:r>
            <w:r w:rsidR="00947273" w:rsidRPr="1A6D8EE6">
              <w:rPr>
                <w:sz w:val="19"/>
                <w:szCs w:val="19"/>
              </w:rPr>
              <w:t>he appropriate level of management is committed to a plan to change the usage of the asset to that alternative purpose, and an active programme to complete the plan has been initiated</w:t>
            </w:r>
            <w:r w:rsidRPr="1A6D8EE6">
              <w:rPr>
                <w:sz w:val="19"/>
                <w:szCs w:val="19"/>
              </w:rPr>
              <w:t>.</w:t>
            </w:r>
            <w:r w:rsidR="0572808D" w:rsidRPr="1A6D8EE6">
              <w:rPr>
                <w:sz w:val="19"/>
                <w:szCs w:val="19"/>
              </w:rPr>
              <w:t>”</w:t>
            </w:r>
          </w:p>
        </w:tc>
      </w:tr>
      <w:tr w:rsidR="00947273" w:rsidRPr="00852F0B" w14:paraId="69D52660" w14:textId="77777777" w:rsidTr="1A6D8EE6">
        <w:tc>
          <w:tcPr>
            <w:tcW w:w="4112" w:type="dxa"/>
            <w:shd w:val="clear" w:color="auto" w:fill="auto"/>
          </w:tcPr>
          <w:p w14:paraId="75E696C1" w14:textId="47E82BA1" w:rsidR="00947273" w:rsidRPr="00852F0B" w:rsidRDefault="00947273" w:rsidP="00C605FA">
            <w:pPr>
              <w:pStyle w:val="TableRow"/>
              <w:ind w:left="357" w:hanging="357"/>
              <w:rPr>
                <w:sz w:val="19"/>
                <w:szCs w:val="19"/>
              </w:rPr>
            </w:pPr>
            <w:r w:rsidRPr="00852F0B">
              <w:rPr>
                <w:sz w:val="19"/>
                <w:szCs w:val="19"/>
              </w:rPr>
              <w:t>(c)</w:t>
            </w:r>
            <w:r w:rsidRPr="00852F0B">
              <w:rPr>
                <w:sz w:val="19"/>
                <w:szCs w:val="19"/>
              </w:rPr>
              <w:tab/>
            </w:r>
            <w:r w:rsidR="00384663">
              <w:rPr>
                <w:sz w:val="19"/>
                <w:szCs w:val="19"/>
              </w:rPr>
              <w:t>A</w:t>
            </w:r>
            <w:r w:rsidRPr="00852F0B">
              <w:rPr>
                <w:sz w:val="19"/>
                <w:szCs w:val="19"/>
              </w:rPr>
              <w:t>n active programme to locate a buyer and complete the plan has been initiated</w:t>
            </w:r>
            <w:r w:rsidR="00384663">
              <w:rPr>
                <w:sz w:val="19"/>
                <w:szCs w:val="19"/>
              </w:rPr>
              <w:t>.</w:t>
            </w:r>
          </w:p>
        </w:tc>
        <w:tc>
          <w:tcPr>
            <w:tcW w:w="4113" w:type="dxa"/>
            <w:vMerge/>
          </w:tcPr>
          <w:p w14:paraId="2A32618D" w14:textId="77777777" w:rsidR="00947273" w:rsidRPr="00852F0B" w:rsidRDefault="00947273" w:rsidP="00C605FA">
            <w:pPr>
              <w:pStyle w:val="TableRow"/>
              <w:rPr>
                <w:sz w:val="19"/>
                <w:szCs w:val="19"/>
              </w:rPr>
            </w:pPr>
          </w:p>
        </w:tc>
      </w:tr>
      <w:tr w:rsidR="00947273" w:rsidRPr="00852F0B" w14:paraId="65F9E40F" w14:textId="77777777" w:rsidTr="1A6D8EE6">
        <w:tc>
          <w:tcPr>
            <w:tcW w:w="4112" w:type="dxa"/>
            <w:shd w:val="clear" w:color="auto" w:fill="auto"/>
          </w:tcPr>
          <w:p w14:paraId="312E2E02" w14:textId="72E99B99" w:rsidR="00947273" w:rsidRPr="00852F0B" w:rsidRDefault="00947273" w:rsidP="00C605FA">
            <w:pPr>
              <w:pStyle w:val="TableRow"/>
              <w:widowControl w:val="0"/>
              <w:ind w:left="357" w:hanging="357"/>
              <w:rPr>
                <w:sz w:val="19"/>
                <w:szCs w:val="19"/>
              </w:rPr>
            </w:pPr>
            <w:r w:rsidRPr="00852F0B">
              <w:rPr>
                <w:sz w:val="19"/>
                <w:szCs w:val="19"/>
              </w:rPr>
              <w:t>(d)</w:t>
            </w:r>
            <w:r w:rsidRPr="00852F0B">
              <w:rPr>
                <w:sz w:val="19"/>
                <w:szCs w:val="19"/>
              </w:rPr>
              <w:tab/>
            </w:r>
            <w:r w:rsidR="00384663">
              <w:rPr>
                <w:sz w:val="19"/>
                <w:szCs w:val="19"/>
              </w:rPr>
              <w:t>T</w:t>
            </w:r>
            <w:r w:rsidRPr="00852F0B">
              <w:rPr>
                <w:sz w:val="19"/>
                <w:szCs w:val="19"/>
              </w:rPr>
              <w:t>he asset must be actively marketed for sale at a price that is reasonable in relation to its current fair value</w:t>
            </w:r>
            <w:r w:rsidR="00384663">
              <w:rPr>
                <w:sz w:val="19"/>
                <w:szCs w:val="19"/>
              </w:rPr>
              <w:t>.</w:t>
            </w:r>
          </w:p>
        </w:tc>
        <w:tc>
          <w:tcPr>
            <w:tcW w:w="4113" w:type="dxa"/>
            <w:shd w:val="clear" w:color="auto" w:fill="auto"/>
          </w:tcPr>
          <w:p w14:paraId="53A7C33D" w14:textId="56F412E1" w:rsidR="00947273" w:rsidRPr="00852F0B" w:rsidRDefault="00947273" w:rsidP="00C605FA">
            <w:pPr>
              <w:pStyle w:val="TableRow"/>
              <w:rPr>
                <w:sz w:val="19"/>
                <w:szCs w:val="19"/>
              </w:rPr>
            </w:pPr>
            <w:r w:rsidRPr="00852F0B">
              <w:rPr>
                <w:sz w:val="19"/>
                <w:szCs w:val="19"/>
              </w:rPr>
              <w:t>Omitted criterion (d) because it is specific to a sale transaction and is not relevant for determining whether it is highly probable that an asset will be redeployed</w:t>
            </w:r>
            <w:r w:rsidR="00384663">
              <w:rPr>
                <w:sz w:val="19"/>
                <w:szCs w:val="19"/>
              </w:rPr>
              <w:t>.</w:t>
            </w:r>
          </w:p>
        </w:tc>
      </w:tr>
      <w:tr w:rsidR="00947273" w:rsidRPr="00852F0B" w14:paraId="5C5CAE33" w14:textId="77777777" w:rsidTr="1A6D8EE6">
        <w:tc>
          <w:tcPr>
            <w:tcW w:w="4112" w:type="dxa"/>
            <w:shd w:val="clear" w:color="auto" w:fill="auto"/>
          </w:tcPr>
          <w:p w14:paraId="3EAEF8AE" w14:textId="7285BE2C" w:rsidR="00947273" w:rsidRPr="00852F0B" w:rsidRDefault="00947273" w:rsidP="00C605FA">
            <w:pPr>
              <w:pStyle w:val="TableRow"/>
              <w:widowControl w:val="0"/>
              <w:ind w:left="357" w:hanging="357"/>
              <w:rPr>
                <w:sz w:val="19"/>
                <w:szCs w:val="19"/>
              </w:rPr>
            </w:pPr>
            <w:r w:rsidRPr="00852F0B">
              <w:rPr>
                <w:sz w:val="19"/>
                <w:szCs w:val="19"/>
              </w:rPr>
              <w:t>(e)</w:t>
            </w:r>
            <w:r w:rsidRPr="00852F0B">
              <w:rPr>
                <w:sz w:val="19"/>
                <w:szCs w:val="19"/>
              </w:rPr>
              <w:tab/>
            </w:r>
            <w:r w:rsidR="00384663">
              <w:rPr>
                <w:sz w:val="19"/>
                <w:szCs w:val="19"/>
              </w:rPr>
              <w:t>T</w:t>
            </w:r>
            <w:r w:rsidRPr="00852F0B">
              <w:rPr>
                <w:sz w:val="19"/>
                <w:szCs w:val="19"/>
              </w:rPr>
              <w:t>he sale should be expected to qualify for recognition as a completed sale within one year from the date of classification (except for specific conditions permitted by paragraph</w:t>
            </w:r>
            <w:r w:rsidR="004E661D">
              <w:rPr>
                <w:sz w:val="19"/>
                <w:szCs w:val="19"/>
              </w:rPr>
              <w:t> </w:t>
            </w:r>
            <w:r w:rsidRPr="00852F0B">
              <w:rPr>
                <w:sz w:val="19"/>
                <w:szCs w:val="19"/>
              </w:rPr>
              <w:t>9</w:t>
            </w:r>
            <w:r w:rsidR="004E661D">
              <w:rPr>
                <w:sz w:val="19"/>
                <w:szCs w:val="19"/>
              </w:rPr>
              <w:t xml:space="preserve"> of AASB 5</w:t>
            </w:r>
            <w:r w:rsidRPr="00852F0B">
              <w:rPr>
                <w:sz w:val="19"/>
                <w:szCs w:val="19"/>
              </w:rPr>
              <w:t>), and actions required to complete the plan should indicate that it is unlikely that significant changes to the plan will be made or that the plan will be withdrawn</w:t>
            </w:r>
            <w:r w:rsidR="00384663">
              <w:rPr>
                <w:sz w:val="19"/>
                <w:szCs w:val="19"/>
              </w:rPr>
              <w:t>.</w:t>
            </w:r>
          </w:p>
        </w:tc>
        <w:tc>
          <w:tcPr>
            <w:tcW w:w="4113" w:type="dxa"/>
            <w:shd w:val="clear" w:color="auto" w:fill="auto"/>
          </w:tcPr>
          <w:p w14:paraId="3A474CDE" w14:textId="05F3BA0A" w:rsidR="00947273" w:rsidRPr="00852F0B" w:rsidRDefault="00947273" w:rsidP="00C605FA">
            <w:pPr>
              <w:pStyle w:val="TableRow"/>
              <w:widowControl w:val="0"/>
              <w:ind w:left="357" w:hanging="357"/>
              <w:rPr>
                <w:sz w:val="19"/>
                <w:szCs w:val="19"/>
              </w:rPr>
            </w:pPr>
            <w:r w:rsidRPr="1A6D8EE6">
              <w:rPr>
                <w:sz w:val="19"/>
                <w:szCs w:val="19"/>
              </w:rPr>
              <w:t>(</w:t>
            </w:r>
            <w:r w:rsidR="7FABBED9" w:rsidRPr="1A6D8EE6">
              <w:rPr>
                <w:sz w:val="19"/>
                <w:szCs w:val="19"/>
              </w:rPr>
              <w:t>i</w:t>
            </w:r>
            <w:r w:rsidRPr="1A6D8EE6">
              <w:rPr>
                <w:sz w:val="19"/>
                <w:szCs w:val="19"/>
              </w:rPr>
              <w:t xml:space="preserve">v) </w:t>
            </w:r>
            <w:r>
              <w:tab/>
            </w:r>
            <w:r w:rsidR="57EC1312" w:rsidRPr="1A6D8EE6">
              <w:rPr>
                <w:sz w:val="19"/>
                <w:szCs w:val="19"/>
              </w:rPr>
              <w:t>Adapted this criterion as “</w:t>
            </w:r>
            <w:r w:rsidR="7FABBED9" w:rsidRPr="1A6D8EE6">
              <w:rPr>
                <w:sz w:val="19"/>
                <w:szCs w:val="19"/>
              </w:rPr>
              <w:t>T</w:t>
            </w:r>
            <w:r w:rsidRPr="1A6D8EE6">
              <w:rPr>
                <w:sz w:val="19"/>
                <w:szCs w:val="19"/>
              </w:rPr>
              <w:t>he change in the asset’s use is expected to be completed within one year from the measurement date</w:t>
            </w:r>
            <w:r w:rsidR="7FABBED9" w:rsidRPr="1A6D8EE6">
              <w:rPr>
                <w:sz w:val="19"/>
                <w:szCs w:val="19"/>
              </w:rPr>
              <w:t>. Actions required to complete the plan should indicate that it is unlikely that significant changes to the plan will be made or that the plan will be withdrawn</w:t>
            </w:r>
            <w:r w:rsidRPr="1A6D8EE6">
              <w:rPr>
                <w:sz w:val="19"/>
                <w:szCs w:val="19"/>
              </w:rPr>
              <w:t>.</w:t>
            </w:r>
            <w:r w:rsidR="57EC1312" w:rsidRPr="1A6D8EE6">
              <w:rPr>
                <w:sz w:val="19"/>
                <w:szCs w:val="19"/>
              </w:rPr>
              <w:t>”</w:t>
            </w:r>
          </w:p>
        </w:tc>
      </w:tr>
      <w:tr w:rsidR="00947273" w:rsidRPr="00852F0B" w14:paraId="09D226CB" w14:textId="77777777" w:rsidTr="1A6D8EE6">
        <w:tc>
          <w:tcPr>
            <w:tcW w:w="4112" w:type="dxa"/>
            <w:shd w:val="clear" w:color="auto" w:fill="auto"/>
          </w:tcPr>
          <w:p w14:paraId="6A93B44A" w14:textId="7D8F69B2" w:rsidR="00947273" w:rsidRPr="00852F0B" w:rsidRDefault="00947273" w:rsidP="00C605FA">
            <w:pPr>
              <w:pStyle w:val="TableRow"/>
              <w:ind w:left="357" w:hanging="357"/>
              <w:rPr>
                <w:sz w:val="19"/>
                <w:szCs w:val="19"/>
              </w:rPr>
            </w:pPr>
            <w:r w:rsidRPr="00852F0B">
              <w:rPr>
                <w:sz w:val="19"/>
                <w:szCs w:val="19"/>
              </w:rPr>
              <w:t>(f)</w:t>
            </w:r>
            <w:r w:rsidRPr="00852F0B">
              <w:rPr>
                <w:sz w:val="19"/>
                <w:szCs w:val="19"/>
              </w:rPr>
              <w:tab/>
            </w:r>
            <w:r w:rsidR="00384663">
              <w:rPr>
                <w:sz w:val="19"/>
                <w:szCs w:val="19"/>
              </w:rPr>
              <w:t>T</w:t>
            </w:r>
            <w:r w:rsidRPr="00852F0B">
              <w:rPr>
                <w:sz w:val="19"/>
                <w:szCs w:val="19"/>
              </w:rPr>
              <w:t>he probability of shareholders’ approval (if required in the jurisdiction) should be considered as part of the assessment of whether the sale is highly probable</w:t>
            </w:r>
            <w:r w:rsidR="00384663">
              <w:rPr>
                <w:sz w:val="19"/>
                <w:szCs w:val="19"/>
              </w:rPr>
              <w:t>.</w:t>
            </w:r>
          </w:p>
        </w:tc>
        <w:tc>
          <w:tcPr>
            <w:tcW w:w="4113" w:type="dxa"/>
            <w:shd w:val="clear" w:color="auto" w:fill="auto"/>
          </w:tcPr>
          <w:p w14:paraId="3F786BF3" w14:textId="40522AB1" w:rsidR="00947273" w:rsidRPr="00852F0B" w:rsidRDefault="55EF9E8B" w:rsidP="00C605FA">
            <w:pPr>
              <w:pStyle w:val="TableRow"/>
              <w:ind w:left="357" w:hanging="357"/>
              <w:rPr>
                <w:sz w:val="19"/>
                <w:szCs w:val="19"/>
              </w:rPr>
            </w:pPr>
            <w:r w:rsidRPr="1A6D8EE6">
              <w:rPr>
                <w:sz w:val="19"/>
                <w:szCs w:val="19"/>
              </w:rPr>
              <w:t>(v)</w:t>
            </w:r>
            <w:r w:rsidR="003B4A3F">
              <w:tab/>
            </w:r>
            <w:r w:rsidR="57EC1312" w:rsidRPr="1A6D8EE6">
              <w:rPr>
                <w:sz w:val="19"/>
                <w:szCs w:val="19"/>
              </w:rPr>
              <w:t>Adapted this criterion as “</w:t>
            </w:r>
            <w:r w:rsidR="7FABBED9" w:rsidRPr="1A6D8EE6">
              <w:rPr>
                <w:sz w:val="19"/>
                <w:szCs w:val="19"/>
              </w:rPr>
              <w:t>A</w:t>
            </w:r>
            <w:r w:rsidR="00947273" w:rsidRPr="1A6D8EE6">
              <w:rPr>
                <w:sz w:val="19"/>
                <w:szCs w:val="19"/>
              </w:rPr>
              <w:t>ny approvals required to change the asset’s usage have been obtained</w:t>
            </w:r>
            <w:r w:rsidRPr="1A6D8EE6">
              <w:rPr>
                <w:sz w:val="19"/>
                <w:szCs w:val="19"/>
              </w:rPr>
              <w:t>.</w:t>
            </w:r>
            <w:r w:rsidR="57EC1312" w:rsidRPr="1A6D8EE6">
              <w:rPr>
                <w:sz w:val="19"/>
                <w:szCs w:val="19"/>
              </w:rPr>
              <w:t>”</w:t>
            </w:r>
          </w:p>
        </w:tc>
      </w:tr>
    </w:tbl>
    <w:p w14:paraId="4FAE4D6D" w14:textId="6F084EB4" w:rsidR="00E90638" w:rsidRPr="00501D6A" w:rsidRDefault="00E90638" w:rsidP="00C605FA">
      <w:pPr>
        <w:pStyle w:val="IASBSectionTitle3Ind"/>
      </w:pPr>
      <w:r>
        <w:t>Stakeholder feedback on the Fatal-Flaw Review draft and the Board’s redeliberations</w:t>
      </w:r>
    </w:p>
    <w:p w14:paraId="462463DC" w14:textId="4A31A903" w:rsidR="00D64659" w:rsidRDefault="00D64659" w:rsidP="00116AFA">
      <w:pPr>
        <w:pStyle w:val="IASBSectionTitle4Ind"/>
        <w:spacing w:before="240"/>
      </w:pPr>
      <w:r>
        <w:t>Assets that will be used for an alternative purpose</w:t>
      </w:r>
    </w:p>
    <w:p w14:paraId="3B07373C" w14:textId="1C32B6C7" w:rsidR="0005527C" w:rsidRDefault="00877E80" w:rsidP="00C605FA">
      <w:pPr>
        <w:pStyle w:val="NumBC1"/>
        <w:spacing w:before="0"/>
      </w:pPr>
      <w:bookmarkStart w:id="96" w:name="_Ref120350121"/>
      <w:r>
        <w:t xml:space="preserve">During the outreach connected to the Fatal-Flaw Review draft, some stakeholders requested the Board to clarify the </w:t>
      </w:r>
      <w:r w:rsidR="005E6FF1">
        <w:t xml:space="preserve">conditions </w:t>
      </w:r>
      <w:r w:rsidR="00DB0519">
        <w:t>determining whe</w:t>
      </w:r>
      <w:r w:rsidR="00866B95">
        <w:t>ther</w:t>
      </w:r>
      <w:r w:rsidR="00DB0519">
        <w:t xml:space="preserve"> </w:t>
      </w:r>
      <w:r w:rsidR="00175E89">
        <w:t xml:space="preserve">an asset </w:t>
      </w:r>
      <w:r w:rsidR="00DB0519">
        <w:t xml:space="preserve">would be </w:t>
      </w:r>
      <w:r w:rsidR="00A8674D">
        <w:t>judged</w:t>
      </w:r>
      <w:r w:rsidR="00175E89">
        <w:t xml:space="preserve"> to be highly probable </w:t>
      </w:r>
      <w:r w:rsidR="00A8674D">
        <w:t>to be used for an alternative purpose</w:t>
      </w:r>
      <w:r w:rsidR="00120FE5">
        <w:t>.</w:t>
      </w:r>
      <w:r w:rsidR="00D42217">
        <w:t xml:space="preserve"> </w:t>
      </w:r>
      <w:r w:rsidR="00120FE5">
        <w:t xml:space="preserve">After considering </w:t>
      </w:r>
      <w:r w:rsidR="00EF02AE">
        <w:t xml:space="preserve">those </w:t>
      </w:r>
      <w:r w:rsidR="00120FE5">
        <w:t>stakeholder comment</w:t>
      </w:r>
      <w:r w:rsidR="00EF02AE">
        <w:t>s</w:t>
      </w:r>
      <w:r w:rsidR="00717CA3">
        <w:t xml:space="preserve">, the Board decided to revise </w:t>
      </w:r>
      <w:r w:rsidR="003B6690">
        <w:t xml:space="preserve">those </w:t>
      </w:r>
      <w:r w:rsidR="00866B95">
        <w:t xml:space="preserve">proposed </w:t>
      </w:r>
      <w:r w:rsidR="00BE3D7B">
        <w:t xml:space="preserve">conditions </w:t>
      </w:r>
      <w:r w:rsidR="008E1966">
        <w:t>(</w:t>
      </w:r>
      <w:r w:rsidR="00F80C46">
        <w:t xml:space="preserve">noted in the table in paragraph </w:t>
      </w:r>
      <w:r w:rsidR="00F80C46">
        <w:fldChar w:fldCharType="begin"/>
      </w:r>
      <w:r w:rsidR="00F80C46">
        <w:instrText xml:space="preserve"> REF _Ref120182190 \r \h </w:instrText>
      </w:r>
      <w:r w:rsidR="002E5246">
        <w:instrText xml:space="preserve"> \* MERGEFORMAT </w:instrText>
      </w:r>
      <w:r w:rsidR="00F80C46">
        <w:fldChar w:fldCharType="separate"/>
      </w:r>
      <w:r w:rsidR="005A1B65">
        <w:t>BC70</w:t>
      </w:r>
      <w:r w:rsidR="00F80C46">
        <w:fldChar w:fldCharType="end"/>
      </w:r>
      <w:r w:rsidR="008E1966">
        <w:t>),</w:t>
      </w:r>
      <w:r w:rsidR="00F80C46">
        <w:t xml:space="preserve"> as follows</w:t>
      </w:r>
      <w:r w:rsidR="0005527C">
        <w:t>:</w:t>
      </w:r>
      <w:bookmarkEnd w:id="96"/>
    </w:p>
    <w:p w14:paraId="2C2837C4" w14:textId="1783B59C" w:rsidR="001B1C8A" w:rsidRDefault="000328CA" w:rsidP="00C605FA">
      <w:pPr>
        <w:pStyle w:val="NumBC2"/>
      </w:pPr>
      <w:r>
        <w:t xml:space="preserve">amend </w:t>
      </w:r>
      <w:r w:rsidR="00921897">
        <w:t xml:space="preserve">the criterion in </w:t>
      </w:r>
      <w:r w:rsidR="005D1D9F">
        <w:t>(</w:t>
      </w:r>
      <w:r w:rsidR="00E57302">
        <w:t>iv</w:t>
      </w:r>
      <w:r w:rsidR="005D1D9F">
        <w:t>)</w:t>
      </w:r>
      <w:r w:rsidR="00921897">
        <w:t xml:space="preserve"> </w:t>
      </w:r>
      <w:r w:rsidR="0046526F">
        <w:t xml:space="preserve">of the table </w:t>
      </w:r>
      <w:r w:rsidR="00A42313" w:rsidRPr="00A42313">
        <w:t>to</w:t>
      </w:r>
      <w:r w:rsidR="001B1C8A">
        <w:t>:</w:t>
      </w:r>
      <w:r w:rsidR="00A42313" w:rsidRPr="00A42313">
        <w:t xml:space="preserve"> </w:t>
      </w:r>
    </w:p>
    <w:p w14:paraId="3177FEF1" w14:textId="33FB8766" w:rsidR="003E0B3F" w:rsidRDefault="00556072" w:rsidP="001B1C8A">
      <w:pPr>
        <w:pStyle w:val="NumBC3"/>
      </w:pPr>
      <w:r>
        <w:t xml:space="preserve">clarify the proposed principle that </w:t>
      </w:r>
      <w:r w:rsidR="00A42313" w:rsidRPr="00A42313">
        <w:t xml:space="preserve">“the change in the asset’s use is expected to be completed within one year from the measurement date” </w:t>
      </w:r>
      <w:r w:rsidR="00544048">
        <w:t xml:space="preserve">by </w:t>
      </w:r>
      <w:r w:rsidR="006A28C2">
        <w:t xml:space="preserve">stipulating </w:t>
      </w:r>
      <w:r w:rsidR="00544048">
        <w:t xml:space="preserve">the more specific condition that </w:t>
      </w:r>
      <w:r w:rsidR="00A42313" w:rsidRPr="00A42313">
        <w:t>“</w:t>
      </w:r>
      <w:r w:rsidR="00192D8E">
        <w:t xml:space="preserve">based on reasonably available information, </w:t>
      </w:r>
      <w:r w:rsidR="0027272D">
        <w:t xml:space="preserve">it is highly probable that </w:t>
      </w:r>
      <w:r w:rsidR="00A42313" w:rsidRPr="00A42313">
        <w:t xml:space="preserve">the current use </w:t>
      </w:r>
      <w:r w:rsidR="0027272D">
        <w:t xml:space="preserve">of the asset will </w:t>
      </w:r>
      <w:r w:rsidR="00A42313" w:rsidRPr="00A42313">
        <w:t xml:space="preserve">cease </w:t>
      </w:r>
      <w:r w:rsidR="008747B3">
        <w:t xml:space="preserve">under the plan </w:t>
      </w:r>
      <w:r w:rsidR="004819B9">
        <w:t xml:space="preserve">within one year” (of </w:t>
      </w:r>
      <w:r w:rsidR="00A42313" w:rsidRPr="00A42313">
        <w:t>the measurement date</w:t>
      </w:r>
      <w:r w:rsidR="004819B9">
        <w:t>)</w:t>
      </w:r>
      <w:r w:rsidR="003E0B3F">
        <w:t>;</w:t>
      </w:r>
      <w:r w:rsidR="00151B7D">
        <w:t xml:space="preserve"> </w:t>
      </w:r>
      <w:r w:rsidR="00291EE1">
        <w:t>and</w:t>
      </w:r>
    </w:p>
    <w:p w14:paraId="105FF800" w14:textId="5D225848" w:rsidR="005E6FF1" w:rsidRDefault="005E6FF1" w:rsidP="00BE24AD">
      <w:pPr>
        <w:pStyle w:val="NumBC3"/>
      </w:pPr>
      <w:r>
        <w:rPr>
          <w:szCs w:val="19"/>
        </w:rPr>
        <w:t>delete the condition that: “</w:t>
      </w:r>
      <w:r w:rsidRPr="1A6D8EE6">
        <w:rPr>
          <w:szCs w:val="19"/>
        </w:rPr>
        <w:t>Actions required to complete the plan should indicate that it is unlikely that significant changes to the plan will be made or that the plan will be withdrawn</w:t>
      </w:r>
      <w:r>
        <w:rPr>
          <w:szCs w:val="19"/>
        </w:rPr>
        <w:t>”</w:t>
      </w:r>
      <w:r w:rsidR="00891926">
        <w:rPr>
          <w:szCs w:val="19"/>
        </w:rPr>
        <w:t xml:space="preserve"> because </w:t>
      </w:r>
      <w:r w:rsidR="00CC33F2">
        <w:rPr>
          <w:szCs w:val="19"/>
        </w:rPr>
        <w:t xml:space="preserve">that condition </w:t>
      </w:r>
      <w:r w:rsidR="00891926">
        <w:rPr>
          <w:szCs w:val="19"/>
        </w:rPr>
        <w:t xml:space="preserve">is encompassed by </w:t>
      </w:r>
      <w:r w:rsidR="00F62299">
        <w:rPr>
          <w:szCs w:val="19"/>
        </w:rPr>
        <w:t>the condition that cessation of the asset’s current use within one year is highly probable</w:t>
      </w:r>
      <w:r>
        <w:rPr>
          <w:szCs w:val="19"/>
        </w:rPr>
        <w:t>;</w:t>
      </w:r>
      <w:r w:rsidR="00BA017B">
        <w:rPr>
          <w:szCs w:val="19"/>
        </w:rPr>
        <w:t xml:space="preserve"> and</w:t>
      </w:r>
    </w:p>
    <w:p w14:paraId="288D7D4E" w14:textId="30432A44" w:rsidR="005B23B4" w:rsidRDefault="005B23B4" w:rsidP="0025351A">
      <w:pPr>
        <w:pStyle w:val="NumBC2"/>
      </w:pPr>
      <w:r>
        <w:t xml:space="preserve">remove the proposed </w:t>
      </w:r>
      <w:r w:rsidR="00BE3D7B">
        <w:t xml:space="preserve">condition </w:t>
      </w:r>
      <w:r>
        <w:t xml:space="preserve">in (ii) </w:t>
      </w:r>
      <w:r w:rsidR="00346A47">
        <w:t>of the table</w:t>
      </w:r>
      <w:r>
        <w:t xml:space="preserve"> </w:t>
      </w:r>
      <w:r w:rsidR="002176E3">
        <w:t>–</w:t>
      </w:r>
      <w:r>
        <w:t xml:space="preserve"> that </w:t>
      </w:r>
      <w:r w:rsidR="42844B0F">
        <w:t>“</w:t>
      </w:r>
      <w:r>
        <w:t>the asset is immediately available to be used for the alternative purpose in its present condition</w:t>
      </w:r>
      <w:r w:rsidR="650CD7F7">
        <w:t>”</w:t>
      </w:r>
      <w:r>
        <w:t xml:space="preserve">. In respect of an asset that will be redeployed, this </w:t>
      </w:r>
      <w:r w:rsidR="002B7EAC">
        <w:t xml:space="preserve">condition </w:t>
      </w:r>
      <w:r>
        <w:t xml:space="preserve">may sometimes be satisfied after satisfying </w:t>
      </w:r>
      <w:r w:rsidR="002B7EAC">
        <w:t>condition </w:t>
      </w:r>
      <w:r>
        <w:t xml:space="preserve">(iv). </w:t>
      </w:r>
    </w:p>
    <w:p w14:paraId="67C0DE6A" w14:textId="27F10996" w:rsidR="00E553F5" w:rsidRDefault="004312F0" w:rsidP="00C605FA">
      <w:pPr>
        <w:pStyle w:val="NumBC1"/>
      </w:pPr>
      <w:r>
        <w:lastRenderedPageBreak/>
        <w:t>In making the deci</w:t>
      </w:r>
      <w:r w:rsidR="00B504D5">
        <w:t>sion</w:t>
      </w:r>
      <w:r w:rsidR="00DF182C">
        <w:t>s</w:t>
      </w:r>
      <w:r w:rsidR="00B504D5">
        <w:t xml:space="preserve"> noted in paragraph </w:t>
      </w:r>
      <w:r w:rsidR="00B504D5">
        <w:fldChar w:fldCharType="begin"/>
      </w:r>
      <w:r w:rsidR="00B504D5">
        <w:instrText xml:space="preserve"> REF _Ref120350121 \r \h </w:instrText>
      </w:r>
      <w:r w:rsidR="005B4E66">
        <w:instrText xml:space="preserve"> \* MERGEFORMAT </w:instrText>
      </w:r>
      <w:r w:rsidR="00B504D5">
        <w:fldChar w:fldCharType="separate"/>
      </w:r>
      <w:r w:rsidR="005A1B65">
        <w:t>BC71</w:t>
      </w:r>
      <w:r w:rsidR="00B504D5">
        <w:fldChar w:fldCharType="end"/>
      </w:r>
      <w:r w:rsidR="00B504D5">
        <w:t>(a), the Board</w:t>
      </w:r>
      <w:r w:rsidR="00E553F5">
        <w:t>:</w:t>
      </w:r>
      <w:r w:rsidR="00B504D5">
        <w:t xml:space="preserve"> </w:t>
      </w:r>
    </w:p>
    <w:p w14:paraId="0C83B4C2" w14:textId="6F4D9099" w:rsidR="00E553F5" w:rsidRDefault="00B504D5" w:rsidP="00E553F5">
      <w:pPr>
        <w:pStyle w:val="NumBC2"/>
      </w:pPr>
      <w:r>
        <w:t>considered</w:t>
      </w:r>
      <w:r w:rsidR="00D13773">
        <w:t xml:space="preserve"> </w:t>
      </w:r>
      <w:r w:rsidR="001433BA">
        <w:t xml:space="preserve">that, if reasonably available information exists that </w:t>
      </w:r>
      <w:r w:rsidR="00793F12">
        <w:t xml:space="preserve">cessation of the asset’s current use will occur within one year of the measurement date, and the other </w:t>
      </w:r>
      <w:r w:rsidR="008C4E50">
        <w:t>conditions in paragraph Aus29.2 are met, there is sufficient evidence to indicate that the asset’s current use is no longer its highest and best use</w:t>
      </w:r>
      <w:r w:rsidR="00790DE0">
        <w:t xml:space="preserve">. It would be inappropriate for an asset to continue to be measured based on its current use when cessation of that use is imminent and </w:t>
      </w:r>
      <w:r w:rsidR="00DC1D68">
        <w:t>an active programme to complete the planned change of use has been initiated</w:t>
      </w:r>
      <w:r w:rsidR="00790DE0">
        <w:t>;</w:t>
      </w:r>
    </w:p>
    <w:p w14:paraId="14802F57" w14:textId="00745B17" w:rsidR="00EA4BB4" w:rsidRDefault="00EA4BB4" w:rsidP="00E553F5">
      <w:pPr>
        <w:pStyle w:val="NumBC2"/>
      </w:pPr>
      <w:r>
        <w:t xml:space="preserve">to </w:t>
      </w:r>
      <w:r w:rsidR="00E22D71">
        <w:t xml:space="preserve">avoid imposing a potential requirement to seek information about decisions made by senior levels of government </w:t>
      </w:r>
      <w:r w:rsidR="00DF182C">
        <w:t xml:space="preserve">but </w:t>
      </w:r>
      <w:r w:rsidR="00E22D71">
        <w:t xml:space="preserve">not yet communicated to the </w:t>
      </w:r>
      <w:r w:rsidR="005B2D11">
        <w:t>holder of the subject asset, added a qualifier in paragraph Aus29.2(d) that the condition would be triggered only if reasonably available information exists that it is met</w:t>
      </w:r>
      <w:r w:rsidR="00DF182C">
        <w:t>;</w:t>
      </w:r>
      <w:r w:rsidR="00893115">
        <w:t xml:space="preserve"> and</w:t>
      </w:r>
    </w:p>
    <w:p w14:paraId="55ACEECD" w14:textId="67732411" w:rsidR="00763345" w:rsidRDefault="00E553F5" w:rsidP="00E553F5">
      <w:pPr>
        <w:pStyle w:val="NumBC2"/>
      </w:pPr>
      <w:r>
        <w:t xml:space="preserve">noted that being </w:t>
      </w:r>
      <w:r w:rsidR="00D13773">
        <w:t>“</w:t>
      </w:r>
      <w:r>
        <w:t xml:space="preserve">highly probable that </w:t>
      </w:r>
      <w:r w:rsidR="0073126F" w:rsidRPr="0073126F">
        <w:t xml:space="preserve">the current use </w:t>
      </w:r>
      <w:r>
        <w:t xml:space="preserve">of the asset will </w:t>
      </w:r>
      <w:r w:rsidR="0073126F" w:rsidRPr="0073126F">
        <w:t>cease within one year</w:t>
      </w:r>
      <w:r w:rsidR="0073126F">
        <w:t>” align</w:t>
      </w:r>
      <w:r w:rsidR="001D78AE">
        <w:t>s</w:t>
      </w:r>
      <w:r w:rsidR="0073126F">
        <w:t xml:space="preserve"> with the text in </w:t>
      </w:r>
      <w:r w:rsidR="0037086A">
        <w:t>paragraph</w:t>
      </w:r>
      <w:r w:rsidR="00B56F65">
        <w:t> </w:t>
      </w:r>
      <w:r w:rsidR="0037086A">
        <w:t>8</w:t>
      </w:r>
      <w:r w:rsidR="00B56F65">
        <w:t xml:space="preserve"> of AASB 5</w:t>
      </w:r>
      <w:r w:rsidR="0037086A">
        <w:t xml:space="preserve">. </w:t>
      </w:r>
    </w:p>
    <w:p w14:paraId="6D91ACA4" w14:textId="6011A704" w:rsidR="00BD5DAD" w:rsidRDefault="00397913" w:rsidP="00C605FA">
      <w:pPr>
        <w:pStyle w:val="NumBC1"/>
      </w:pPr>
      <w:r>
        <w:t>In making the decision noted in paragraph </w:t>
      </w:r>
      <w:r>
        <w:fldChar w:fldCharType="begin"/>
      </w:r>
      <w:r>
        <w:instrText xml:space="preserve"> REF _Ref120350121 \r \h </w:instrText>
      </w:r>
      <w:r>
        <w:fldChar w:fldCharType="separate"/>
      </w:r>
      <w:r w:rsidR="005A1B65">
        <w:t>BC71</w:t>
      </w:r>
      <w:r>
        <w:fldChar w:fldCharType="end"/>
      </w:r>
      <w:r>
        <w:t xml:space="preserve">(b), </w:t>
      </w:r>
      <w:r w:rsidR="00AB0837">
        <w:t xml:space="preserve">the Board </w:t>
      </w:r>
      <w:r w:rsidR="00F709CC">
        <w:t>noted that applying the condition in (ii) of the table in paragraph </w:t>
      </w:r>
      <w:r w:rsidR="00F709CC">
        <w:fldChar w:fldCharType="begin"/>
      </w:r>
      <w:r w:rsidR="00F709CC">
        <w:instrText xml:space="preserve"> REF _Ref120182190 \r \h </w:instrText>
      </w:r>
      <w:r w:rsidR="00F709CC">
        <w:fldChar w:fldCharType="separate"/>
      </w:r>
      <w:r w:rsidR="005A1B65">
        <w:t>BC70</w:t>
      </w:r>
      <w:r w:rsidR="00F709CC">
        <w:fldChar w:fldCharType="end"/>
      </w:r>
      <w:r w:rsidR="00F709CC">
        <w:t xml:space="preserve"> could result, inappropriately, in </w:t>
      </w:r>
      <w:r w:rsidR="00AB0837">
        <w:t>an asset be</w:t>
      </w:r>
      <w:r w:rsidR="00F709CC">
        <w:t>ing</w:t>
      </w:r>
      <w:r w:rsidR="00AB0837">
        <w:t xml:space="preserve"> measured based on its original use when that use has ceased. </w:t>
      </w:r>
      <w:r w:rsidR="00E67F46">
        <w:t>For example, an asset might take several years to adapt for its alternative use. That alternative use might be the predominant source of benefits once cessation of the asset’s current use is imminent, and would be the only source of benefits if the asset’s original use has ceased</w:t>
      </w:r>
      <w:r w:rsidR="0019219C">
        <w:t xml:space="preserve"> (and its recommencement is unrealistic)</w:t>
      </w:r>
      <w:r w:rsidR="00E67F46">
        <w:t xml:space="preserve">. </w:t>
      </w:r>
      <w:r w:rsidR="00AB0837">
        <w:t>The Board also noted the objective of AASB 5 for initially classifying an asset as ‘held for sale’ is to determine the point from which the asset’s carrying amount will be recovered principally through a sale transaction rather than through continuing use (AASB 5 paragraph 6).</w:t>
      </w:r>
      <w:r w:rsidR="00BD5DAD">
        <w:t xml:space="preserve"> </w:t>
      </w:r>
    </w:p>
    <w:p w14:paraId="4C9F8C3C" w14:textId="77777777" w:rsidR="00667808" w:rsidRDefault="00667808" w:rsidP="00116AFA">
      <w:pPr>
        <w:pStyle w:val="IASBSectionTitle4Ind"/>
        <w:spacing w:before="240"/>
      </w:pPr>
      <w:r>
        <w:t xml:space="preserve">Transfers of assets </w:t>
      </w:r>
    </w:p>
    <w:p w14:paraId="1FD3C82B" w14:textId="7CE37889" w:rsidR="00667808" w:rsidRDefault="00667808" w:rsidP="00667808">
      <w:pPr>
        <w:pStyle w:val="NumBC1"/>
      </w:pPr>
      <w:r>
        <w:t xml:space="preserve">A stakeholder requested the Board to clarify whether </w:t>
      </w:r>
      <w:r w:rsidR="0078751A">
        <w:t xml:space="preserve">the proposed conditions in </w:t>
      </w:r>
      <w:r w:rsidR="0081535A">
        <w:t xml:space="preserve">(i)–(v) of </w:t>
      </w:r>
      <w:r w:rsidR="00DF3AE8">
        <w:t>the table in paragraph </w:t>
      </w:r>
      <w:r w:rsidR="00DF3AE8">
        <w:fldChar w:fldCharType="begin"/>
      </w:r>
      <w:r w:rsidR="00DF3AE8">
        <w:instrText xml:space="preserve"> REF _Ref120182190 \r \h </w:instrText>
      </w:r>
      <w:r w:rsidR="00DF3AE8">
        <w:fldChar w:fldCharType="separate"/>
      </w:r>
      <w:r w:rsidR="005A1B65">
        <w:t>BC70</w:t>
      </w:r>
      <w:r w:rsidR="00DF3AE8">
        <w:fldChar w:fldCharType="end"/>
      </w:r>
      <w:r w:rsidR="00DF3AE8">
        <w:t xml:space="preserve"> </w:t>
      </w:r>
      <w:r>
        <w:t xml:space="preserve">would apply to assets that will be transferred to another entity in neither a sale nor a distribution to owners. The Board considered that while the asset continues to be recognised (ie until transferred), the not-for-profit public sector entity is not required to consider whether the asset’s </w:t>
      </w:r>
      <w:r w:rsidR="00CB5820">
        <w:t xml:space="preserve">highest and best use differs from its </w:t>
      </w:r>
      <w:r>
        <w:t xml:space="preserve">current use unless all </w:t>
      </w:r>
      <w:r w:rsidR="004E037E">
        <w:t xml:space="preserve">conditions </w:t>
      </w:r>
      <w:r>
        <w:t>in paragraph Aus29.2 are met.</w:t>
      </w:r>
    </w:p>
    <w:p w14:paraId="1AB2E274" w14:textId="01C884F9" w:rsidR="00667808" w:rsidRDefault="001537B6" w:rsidP="00667808">
      <w:pPr>
        <w:pStyle w:val="NumBC1"/>
        <w:rPr>
          <w:szCs w:val="19"/>
        </w:rPr>
      </w:pPr>
      <w:r w:rsidRPr="008A5310">
        <w:rPr>
          <w:szCs w:val="19"/>
          <w:bdr w:val="none" w:sz="0" w:space="0" w:color="auto" w:frame="1"/>
          <w:shd w:val="clear" w:color="auto" w:fill="FFFFFF"/>
        </w:rPr>
        <w:t xml:space="preserve">Another stakeholder requested the Board to clarify whether an entity is required to assess whether an asset’s current use remains its highest and best use if the asset will be transferred to another entity in the same government and will be used for the same purpose as its current use, such as in a machinery of government transfer. The Board considered that, in the situation described by the stakeholder, an entity may determine that the asset’s current use remains its highest and best use until the asset is transferred, which would occur if one or more </w:t>
      </w:r>
      <w:r w:rsidR="00AB23FF">
        <w:rPr>
          <w:szCs w:val="19"/>
          <w:bdr w:val="none" w:sz="0" w:space="0" w:color="auto" w:frame="1"/>
          <w:shd w:val="clear" w:color="auto" w:fill="FFFFFF"/>
        </w:rPr>
        <w:t xml:space="preserve">conditions </w:t>
      </w:r>
      <w:r w:rsidRPr="008A5310">
        <w:rPr>
          <w:szCs w:val="19"/>
          <w:bdr w:val="none" w:sz="0" w:space="0" w:color="auto" w:frame="1"/>
          <w:shd w:val="clear" w:color="auto" w:fill="FFFFFF"/>
        </w:rPr>
        <w:t xml:space="preserve">in paragraph Aus29.2 have not been met (eg if </w:t>
      </w:r>
      <w:r w:rsidR="002E3F90">
        <w:rPr>
          <w:szCs w:val="19"/>
          <w:bdr w:val="none" w:sz="0" w:space="0" w:color="auto" w:frame="1"/>
          <w:shd w:val="clear" w:color="auto" w:fill="FFFFFF"/>
        </w:rPr>
        <w:t xml:space="preserve">cessation of </w:t>
      </w:r>
      <w:r w:rsidRPr="008A5310">
        <w:rPr>
          <w:szCs w:val="19"/>
          <w:bdr w:val="none" w:sz="0" w:space="0" w:color="auto" w:frame="1"/>
          <w:shd w:val="clear" w:color="auto" w:fill="FFFFFF"/>
        </w:rPr>
        <w:t xml:space="preserve">the asset’s current use </w:t>
      </w:r>
      <w:r w:rsidR="002E3F90">
        <w:rPr>
          <w:szCs w:val="19"/>
          <w:bdr w:val="none" w:sz="0" w:space="0" w:color="auto" w:frame="1"/>
          <w:shd w:val="clear" w:color="auto" w:fill="FFFFFF"/>
        </w:rPr>
        <w:t xml:space="preserve">within one year of </w:t>
      </w:r>
      <w:r w:rsidRPr="008A5310">
        <w:rPr>
          <w:szCs w:val="19"/>
          <w:bdr w:val="none" w:sz="0" w:space="0" w:color="auto" w:frame="1"/>
          <w:shd w:val="clear" w:color="auto" w:fill="FFFFFF"/>
        </w:rPr>
        <w:t xml:space="preserve">the measurement date </w:t>
      </w:r>
      <w:r w:rsidR="002E3F90">
        <w:rPr>
          <w:szCs w:val="19"/>
          <w:bdr w:val="none" w:sz="0" w:space="0" w:color="auto" w:frame="1"/>
          <w:shd w:val="clear" w:color="auto" w:fill="FFFFFF"/>
        </w:rPr>
        <w:t xml:space="preserve">is not (based on reasonably available information) highly probable </w:t>
      </w:r>
      <w:r w:rsidRPr="008A5310">
        <w:rPr>
          <w:szCs w:val="19"/>
          <w:bdr w:val="none" w:sz="0" w:space="0" w:color="auto" w:frame="1"/>
          <w:shd w:val="clear" w:color="auto" w:fill="FFFFFF"/>
        </w:rPr>
        <w:t>and, therefore, paragraph Aus29.2(</w:t>
      </w:r>
      <w:r w:rsidR="00191665">
        <w:rPr>
          <w:szCs w:val="19"/>
          <w:bdr w:val="none" w:sz="0" w:space="0" w:color="auto" w:frame="1"/>
          <w:shd w:val="clear" w:color="auto" w:fill="FFFFFF"/>
        </w:rPr>
        <w:t>d</w:t>
      </w:r>
      <w:r w:rsidRPr="008A5310">
        <w:rPr>
          <w:szCs w:val="19"/>
          <w:bdr w:val="none" w:sz="0" w:space="0" w:color="auto" w:frame="1"/>
          <w:shd w:val="clear" w:color="auto" w:fill="FFFFFF"/>
        </w:rPr>
        <w:t>) has not been met).</w:t>
      </w:r>
      <w:r w:rsidR="00667808" w:rsidRPr="008A5310">
        <w:rPr>
          <w:szCs w:val="19"/>
        </w:rPr>
        <w:t xml:space="preserve"> </w:t>
      </w:r>
    </w:p>
    <w:p w14:paraId="20FFDCA9" w14:textId="253DFC5E" w:rsidR="00693EAD" w:rsidRDefault="00F46F00" w:rsidP="00116AFA">
      <w:pPr>
        <w:pStyle w:val="IASBSectionTitle4Ind"/>
        <w:spacing w:before="240"/>
      </w:pPr>
      <w:r>
        <w:t>Other observation</w:t>
      </w:r>
    </w:p>
    <w:p w14:paraId="1A01FF11" w14:textId="2AEBCE03" w:rsidR="00FE1116" w:rsidRPr="002176E3" w:rsidRDefault="00F46F00" w:rsidP="00FE1116">
      <w:pPr>
        <w:pStyle w:val="NumBC1"/>
        <w:spacing w:before="0"/>
      </w:pPr>
      <w:r w:rsidRPr="002176E3">
        <w:rPr>
          <w:bdr w:val="none" w:sz="0" w:space="0" w:color="auto" w:frame="1"/>
          <w:shd w:val="clear" w:color="auto" w:fill="FFFFFF"/>
        </w:rPr>
        <w:t>T</w:t>
      </w:r>
      <w:r w:rsidR="00AD1925" w:rsidRPr="002176E3">
        <w:rPr>
          <w:bdr w:val="none" w:sz="0" w:space="0" w:color="auto" w:frame="1"/>
          <w:shd w:val="clear" w:color="auto" w:fill="FFFFFF"/>
        </w:rPr>
        <w:t>he Board observed that p</w:t>
      </w:r>
      <w:r w:rsidR="00FE1116" w:rsidRPr="002176E3">
        <w:rPr>
          <w:bdr w:val="none" w:sz="0" w:space="0" w:color="auto" w:frame="1"/>
          <w:shd w:val="clear" w:color="auto" w:fill="FFFFFF"/>
        </w:rPr>
        <w:t xml:space="preserve">aragraphs Aus29.1 and Aus29.2 provide guidance on conditions that must be met to </w:t>
      </w:r>
      <w:r w:rsidR="0060484A" w:rsidRPr="002176E3">
        <w:rPr>
          <w:bdr w:val="none" w:sz="0" w:space="0" w:color="auto" w:frame="1"/>
          <w:shd w:val="clear" w:color="auto" w:fill="FFFFFF"/>
        </w:rPr>
        <w:t xml:space="preserve">potentially </w:t>
      </w:r>
      <w:r w:rsidR="00FE1116" w:rsidRPr="002176E3">
        <w:rPr>
          <w:bdr w:val="none" w:sz="0" w:space="0" w:color="auto" w:frame="1"/>
          <w:shd w:val="clear" w:color="auto" w:fill="FFFFFF"/>
        </w:rPr>
        <w:t xml:space="preserve">conclude that, regarding paragraph 29 of AASB 13, factors suggest that a different use by market participants (including other not-for-profit public sector entities) would maximise the value of the asset. However, meeting the conditions in paragraphs Aus29.1 and Aus29.2 for needing to consider whether an asset’s highest and best use differs from its current use would not necessarily indicate that the asset’s highest and best use differs from its current use (although such a conclusion would typically be reached). Once an asset meets the applicable conditions in paragraphs Aus29.1 and Aus29.2, the entity reassesses the asset’s highest and best use </w:t>
      </w:r>
      <w:r w:rsidR="002176E3" w:rsidRPr="002176E3">
        <w:rPr>
          <w:bdr w:val="none" w:sz="0" w:space="0" w:color="auto" w:frame="1"/>
          <w:shd w:val="clear" w:color="auto" w:fill="FFFFFF"/>
        </w:rPr>
        <w:t>–</w:t>
      </w:r>
      <w:r w:rsidR="00FE1116" w:rsidRPr="002176E3">
        <w:rPr>
          <w:bdr w:val="none" w:sz="0" w:space="0" w:color="auto" w:frame="1"/>
          <w:shd w:val="clear" w:color="auto" w:fill="FFFFFF"/>
        </w:rPr>
        <w:t xml:space="preserve"> the outcome of which will depend on the facts and circumstances.</w:t>
      </w:r>
    </w:p>
    <w:p w14:paraId="00238F99" w14:textId="568B7306" w:rsidR="007D22E7" w:rsidRPr="00B83952" w:rsidRDefault="00BD79B3" w:rsidP="00C605FA">
      <w:pPr>
        <w:pStyle w:val="IASBSectionTitle3Ind"/>
      </w:pPr>
      <w:r w:rsidRPr="00B83952">
        <w:t>Appropriate level of management</w:t>
      </w:r>
    </w:p>
    <w:p w14:paraId="4F980B4C" w14:textId="7278EC72" w:rsidR="001C64EA" w:rsidRPr="00B83952" w:rsidRDefault="004F1CF6" w:rsidP="00C605FA">
      <w:pPr>
        <w:pStyle w:val="NumBC1"/>
        <w:rPr>
          <w:rFonts w:asciiTheme="minorHAnsi" w:hAnsiTheme="minorHAnsi" w:cstheme="minorBidi"/>
          <w:sz w:val="22"/>
          <w:szCs w:val="22"/>
        </w:rPr>
      </w:pPr>
      <w:r w:rsidRPr="00B83952">
        <w:t xml:space="preserve">Due to the unique characteristics of decision-making structures in the public sector, </w:t>
      </w:r>
      <w:r w:rsidR="008360F2" w:rsidRPr="00B83952">
        <w:t xml:space="preserve">some stakeholders requested the Board </w:t>
      </w:r>
      <w:r w:rsidR="00D872DD" w:rsidRPr="00B83952">
        <w:t>to provide guidance on who might be the appropriate level of management of an entity for the purposes of applying paragraph Aus29.2</w:t>
      </w:r>
      <w:r w:rsidR="005F4A46" w:rsidRPr="00B83952">
        <w:t>(b)</w:t>
      </w:r>
      <w:r w:rsidR="00D872DD" w:rsidRPr="00B83952">
        <w:t>. T</w:t>
      </w:r>
      <w:r w:rsidRPr="00B83952">
        <w:t xml:space="preserve">he Board </w:t>
      </w:r>
      <w:r w:rsidR="00D872DD" w:rsidRPr="00B83952">
        <w:t xml:space="preserve">considered that </w:t>
      </w:r>
      <w:r w:rsidR="003C5664" w:rsidRPr="00B83952">
        <w:t>an entity needs to apply judgement in determining the appropriate level of management</w:t>
      </w:r>
      <w:r w:rsidR="00EA1B50" w:rsidRPr="00B83952">
        <w:t>,</w:t>
      </w:r>
      <w:r w:rsidR="00BE076E" w:rsidRPr="00B83952">
        <w:t xml:space="preserve"> </w:t>
      </w:r>
      <w:r w:rsidR="00EA1B50" w:rsidRPr="00B83952">
        <w:t xml:space="preserve">which </w:t>
      </w:r>
      <w:r w:rsidR="00BE076E" w:rsidRPr="00B83952">
        <w:t>will depend on the</w:t>
      </w:r>
      <w:r w:rsidR="00D65BF6" w:rsidRPr="00B83952">
        <w:t xml:space="preserve"> facts and</w:t>
      </w:r>
      <w:r w:rsidR="00BE076E" w:rsidRPr="00B83952">
        <w:t xml:space="preserve"> circumstances of individual assets</w:t>
      </w:r>
      <w:r w:rsidR="00BF0E8C" w:rsidRPr="00B83952">
        <w:t xml:space="preserve">. </w:t>
      </w:r>
      <w:r w:rsidR="001C64EA" w:rsidRPr="00B83952">
        <w:t xml:space="preserve">In this context, the appropriate level of management might depend on, for example, the asset’s significance, the requirements (legislative and policy) and conventions for decision making in the public sector, and the resulting governance structure affecting the not-for-profit public sector entity. </w:t>
      </w:r>
    </w:p>
    <w:p w14:paraId="754D50BF" w14:textId="767C38EF" w:rsidR="004F1CF6" w:rsidRPr="00B83952" w:rsidRDefault="00BF0E8C" w:rsidP="00C605FA">
      <w:pPr>
        <w:pStyle w:val="NumBC1"/>
        <w:spacing w:before="0"/>
        <w:rPr>
          <w:rFonts w:asciiTheme="minorHAnsi" w:hAnsiTheme="minorHAnsi" w:cstheme="minorBidi"/>
          <w:sz w:val="22"/>
          <w:szCs w:val="22"/>
        </w:rPr>
      </w:pPr>
      <w:r w:rsidRPr="00B83952">
        <w:lastRenderedPageBreak/>
        <w:t xml:space="preserve">The Board observed that typical </w:t>
      </w:r>
      <w:r w:rsidR="00EA1B50" w:rsidRPr="00B83952">
        <w:t xml:space="preserve">examples of </w:t>
      </w:r>
      <w:r w:rsidR="00136E79" w:rsidRPr="00B83952">
        <w:t xml:space="preserve">the appropriate level of management of an entity holding an asset not primarily for its ability to generate net cash inflows </w:t>
      </w:r>
      <w:r w:rsidR="004F1CF6" w:rsidRPr="00B83952">
        <w:t xml:space="preserve">would </w:t>
      </w:r>
      <w:r w:rsidR="00BC6A38" w:rsidRPr="00B83952">
        <w:t>include</w:t>
      </w:r>
      <w:r w:rsidR="004F1CF6" w:rsidRPr="00B83952">
        <w:t xml:space="preserve"> a local government council</w:t>
      </w:r>
      <w:r w:rsidR="001C64EA" w:rsidRPr="00B83952">
        <w:t>, the entity’s chief executive officer</w:t>
      </w:r>
      <w:r w:rsidR="004F1CF6" w:rsidRPr="00B83952">
        <w:t xml:space="preserve"> and, where the entity is controlled by a government, the entity’s responsible Minister or the Cabinet of that government. </w:t>
      </w:r>
    </w:p>
    <w:p w14:paraId="321FB85B" w14:textId="3A741F81" w:rsidR="004F1CF6" w:rsidRPr="00B83952" w:rsidRDefault="004F1CF6" w:rsidP="00C605FA">
      <w:pPr>
        <w:pStyle w:val="NumBC1"/>
        <w:spacing w:before="0"/>
      </w:pPr>
      <w:r w:rsidRPr="00B83952">
        <w:rPr>
          <w:bCs/>
        </w:rPr>
        <w:t xml:space="preserve">It should be noted that if a non-financial asset’s alternative use is identified as its highest and best use and the alternative use has a primary purpose of generating net cash inflows, the asset would subsequently be outside the scope of </w:t>
      </w:r>
      <w:r w:rsidR="006F5E53" w:rsidRPr="00B83952">
        <w:rPr>
          <w:bCs/>
        </w:rPr>
        <w:t>this Amending Standard</w:t>
      </w:r>
      <w:r w:rsidRPr="00B83952">
        <w:rPr>
          <w:bCs/>
        </w:rPr>
        <w:t>.</w:t>
      </w:r>
    </w:p>
    <w:p w14:paraId="05F05666" w14:textId="6DFA0C0F" w:rsidR="004F1CF6" w:rsidRPr="00B83952" w:rsidRDefault="004F1CF6" w:rsidP="00C605FA">
      <w:pPr>
        <w:pStyle w:val="IASBSectionTitle3Ind"/>
      </w:pPr>
      <w:r w:rsidRPr="00B83952">
        <w:t>Disclosure where the highest and best use of an asset differs from its current use</w:t>
      </w:r>
      <w:r w:rsidR="00BB5A9C" w:rsidRPr="00B83952">
        <w:t xml:space="preserve"> (paragraph Aus93.2)</w:t>
      </w:r>
    </w:p>
    <w:p w14:paraId="702F4AA3" w14:textId="25EBEE5A" w:rsidR="004F1CF6" w:rsidRPr="00B83952" w:rsidRDefault="00C23B92" w:rsidP="00C605FA">
      <w:pPr>
        <w:pStyle w:val="NumBC1"/>
        <w:spacing w:before="0"/>
        <w:rPr>
          <w:szCs w:val="19"/>
        </w:rPr>
      </w:pPr>
      <w:r w:rsidRPr="00B83952">
        <w:rPr>
          <w:szCs w:val="19"/>
        </w:rPr>
        <w:t xml:space="preserve">Paragraph 93(i) of </w:t>
      </w:r>
      <w:r w:rsidR="004F1CF6" w:rsidRPr="00B83952">
        <w:rPr>
          <w:szCs w:val="19"/>
        </w:rPr>
        <w:t xml:space="preserve">AASB 13 includes the following disclosure requirement: “… for recurring and non-recurring fair value measurements, if the highest and best use of a non-financial asset differs from its current use, an entity shall disclose that fact and why the non-financial asset is being used in a manner that differs from its highest and best use.” </w:t>
      </w:r>
      <w:r w:rsidR="002008E1" w:rsidRPr="00B83952">
        <w:rPr>
          <w:szCs w:val="19"/>
        </w:rPr>
        <w:t xml:space="preserve">Some ED respondents commented </w:t>
      </w:r>
      <w:r w:rsidR="004F1CF6" w:rsidRPr="00B83952">
        <w:rPr>
          <w:szCs w:val="19"/>
        </w:rPr>
        <w:t xml:space="preserve">that there is uncertainty whether </w:t>
      </w:r>
      <w:r w:rsidR="00145812" w:rsidRPr="00B83952">
        <w:rPr>
          <w:szCs w:val="19"/>
        </w:rPr>
        <w:t xml:space="preserve">the proposed principle that </w:t>
      </w:r>
      <w:r w:rsidR="002008E1" w:rsidRPr="00B83952">
        <w:t>the asset’s current use is presumed to be its highest a</w:t>
      </w:r>
      <w:r w:rsidR="007460B0" w:rsidRPr="00B83952">
        <w:t xml:space="preserve">nd best use unless rebutted </w:t>
      </w:r>
      <w:r w:rsidR="004A00F2" w:rsidRPr="00B83952">
        <w:t xml:space="preserve">under </w:t>
      </w:r>
      <w:r w:rsidR="007460B0" w:rsidRPr="00B83952">
        <w:t>the ED</w:t>
      </w:r>
      <w:r w:rsidR="004A00F2" w:rsidRPr="00B83952">
        <w:t>’s</w:t>
      </w:r>
      <w:r w:rsidR="007460B0" w:rsidRPr="00B83952">
        <w:t xml:space="preserve"> propos</w:t>
      </w:r>
      <w:r w:rsidR="004A00F2" w:rsidRPr="00B83952">
        <w:t>ed criteria</w:t>
      </w:r>
      <w:r w:rsidR="007460B0" w:rsidRPr="00B83952">
        <w:t xml:space="preserve"> </w:t>
      </w:r>
      <w:r w:rsidR="004F1CF6" w:rsidRPr="00B83952">
        <w:t xml:space="preserve">would also be </w:t>
      </w:r>
      <w:r w:rsidR="004F1CF6" w:rsidRPr="00B83952">
        <w:rPr>
          <w:szCs w:val="19"/>
        </w:rPr>
        <w:t>applicable to the disclosure requirement in paragraph 93(i)</w:t>
      </w:r>
      <w:r w:rsidR="0000119B" w:rsidRPr="00B83952">
        <w:rPr>
          <w:szCs w:val="19"/>
        </w:rPr>
        <w:t xml:space="preserve"> of AASB 13</w:t>
      </w:r>
      <w:r w:rsidR="004F1CF6" w:rsidRPr="00B83952">
        <w:rPr>
          <w:szCs w:val="19"/>
        </w:rPr>
        <w:t xml:space="preserve">. That is, the Board was advised of concern that </w:t>
      </w:r>
      <w:r w:rsidR="00A04AD5" w:rsidRPr="00B83952">
        <w:rPr>
          <w:szCs w:val="19"/>
        </w:rPr>
        <w:t>the</w:t>
      </w:r>
      <w:r w:rsidR="004F1CF6" w:rsidRPr="00B83952">
        <w:rPr>
          <w:szCs w:val="19"/>
        </w:rPr>
        <w:t xml:space="preserve"> relief from having to search for nebulous possible higher and better uses of an asset might be negated if that relief does not apply to the requirements of paragraph</w:t>
      </w:r>
      <w:r w:rsidR="00FC4839" w:rsidRPr="00B83952">
        <w:rPr>
          <w:szCs w:val="19"/>
        </w:rPr>
        <w:t> </w:t>
      </w:r>
      <w:r w:rsidR="004F1CF6" w:rsidRPr="00B83952">
        <w:rPr>
          <w:szCs w:val="19"/>
        </w:rPr>
        <w:t xml:space="preserve">93(i) of AASB 13. </w:t>
      </w:r>
    </w:p>
    <w:p w14:paraId="614F4945" w14:textId="0D90ED87" w:rsidR="004F1CF6" w:rsidRPr="00B83952" w:rsidRDefault="004F1CF6" w:rsidP="00C605FA">
      <w:pPr>
        <w:pStyle w:val="NumBC1"/>
        <w:spacing w:before="0"/>
      </w:pPr>
      <w:bookmarkStart w:id="97" w:name="_Ref112239816"/>
      <w:r w:rsidRPr="00B83952">
        <w:rPr>
          <w:szCs w:val="19"/>
        </w:rPr>
        <w:t xml:space="preserve">The Board </w:t>
      </w:r>
      <w:r w:rsidR="00F3531E" w:rsidRPr="00B83952">
        <w:rPr>
          <w:szCs w:val="19"/>
        </w:rPr>
        <w:t xml:space="preserve">noted </w:t>
      </w:r>
      <w:r w:rsidRPr="00B83952">
        <w:rPr>
          <w:szCs w:val="19"/>
        </w:rPr>
        <w:t xml:space="preserve">that disclosures under paragraph 93(i) of AASB 13 would not be required </w:t>
      </w:r>
      <w:r w:rsidR="00393608" w:rsidRPr="00B83952">
        <w:rPr>
          <w:szCs w:val="19"/>
        </w:rPr>
        <w:t>unless the entity has determined that the asset’s highest and best use differs from its current use</w:t>
      </w:r>
      <w:r w:rsidR="00F3531E" w:rsidRPr="00B83952">
        <w:rPr>
          <w:szCs w:val="19"/>
        </w:rPr>
        <w:t>. In addition</w:t>
      </w:r>
      <w:r w:rsidR="00393608" w:rsidRPr="00B83952">
        <w:rPr>
          <w:szCs w:val="19"/>
        </w:rPr>
        <w:t xml:space="preserve">, </w:t>
      </w:r>
      <w:r w:rsidR="00F3531E" w:rsidRPr="00B83952">
        <w:rPr>
          <w:szCs w:val="19"/>
        </w:rPr>
        <w:t xml:space="preserve">the Board concluded that an entity should be </w:t>
      </w:r>
      <w:r w:rsidR="00393608" w:rsidRPr="00B83952">
        <w:rPr>
          <w:szCs w:val="19"/>
        </w:rPr>
        <w:t xml:space="preserve">required to </w:t>
      </w:r>
      <w:r w:rsidR="0079197E" w:rsidRPr="00B83952">
        <w:rPr>
          <w:szCs w:val="19"/>
        </w:rPr>
        <w:t xml:space="preserve">consider whether this difference exists </w:t>
      </w:r>
      <w:r w:rsidR="00657986" w:rsidRPr="00B83952">
        <w:rPr>
          <w:szCs w:val="19"/>
        </w:rPr>
        <w:t xml:space="preserve">only </w:t>
      </w:r>
      <w:r w:rsidR="0079197E" w:rsidRPr="00B83952">
        <w:rPr>
          <w:szCs w:val="19"/>
        </w:rPr>
        <w:t xml:space="preserve">when, in accordance with paragraphs Aus29.1 and Aus29.2, </w:t>
      </w:r>
      <w:r w:rsidR="00393608" w:rsidRPr="00B83952">
        <w:rPr>
          <w:szCs w:val="19"/>
        </w:rPr>
        <w:t xml:space="preserve">at the measurement date </w:t>
      </w:r>
      <w:r w:rsidR="005900D2" w:rsidRPr="00B83952">
        <w:rPr>
          <w:szCs w:val="19"/>
        </w:rPr>
        <w:t xml:space="preserve">the asset is classified as held for sale or held for distribution to owners in accordance with AASB 5 or </w:t>
      </w:r>
      <w:r w:rsidR="00393608" w:rsidRPr="00B83952">
        <w:rPr>
          <w:szCs w:val="19"/>
        </w:rPr>
        <w:t xml:space="preserve">it is highly probable that the asset will be used for an alternative purpose to its current use. </w:t>
      </w:r>
      <w:r w:rsidRPr="00B83952">
        <w:rPr>
          <w:szCs w:val="19"/>
        </w:rPr>
        <w:t>For the avoidance of doubt, the Board decided to include paragraph Aus93.2 to make this explicit.</w:t>
      </w:r>
      <w:bookmarkEnd w:id="97"/>
    </w:p>
    <w:bookmarkEnd w:id="65"/>
    <w:p w14:paraId="5012AA2E" w14:textId="38C35CF5" w:rsidR="004F1CF6" w:rsidRPr="00B83952" w:rsidRDefault="004F1CF6" w:rsidP="00C605FA">
      <w:pPr>
        <w:pStyle w:val="IASBSectionTitle2Ind"/>
      </w:pPr>
      <w:r w:rsidRPr="00B83952">
        <w:t xml:space="preserve">Financially feasible use (paragraph </w:t>
      </w:r>
      <w:r w:rsidR="0099256A" w:rsidRPr="00B83952">
        <w:t>Aus2</w:t>
      </w:r>
      <w:r w:rsidR="00540018" w:rsidRPr="00B83952">
        <w:t>8</w:t>
      </w:r>
      <w:r w:rsidR="0099256A" w:rsidRPr="00B83952">
        <w:t>.1</w:t>
      </w:r>
      <w:r w:rsidRPr="00B83952">
        <w:t>)</w:t>
      </w:r>
    </w:p>
    <w:p w14:paraId="77178963" w14:textId="53DD7797" w:rsidR="004F1CF6" w:rsidRPr="00B83952" w:rsidRDefault="004F1CF6" w:rsidP="003276D3">
      <w:pPr>
        <w:pStyle w:val="NumBC1"/>
      </w:pPr>
      <w:bookmarkStart w:id="98" w:name="_Ref85965314"/>
      <w:r w:rsidRPr="00B83952">
        <w:t xml:space="preserve">The Board was also asked to clarify the application of ‘financially feasible use’ in paragraph 28(c) </w:t>
      </w:r>
      <w:r w:rsidR="004D70C7" w:rsidRPr="00B83952">
        <w:t xml:space="preserve">of AASB 13 </w:t>
      </w:r>
      <w:r w:rsidRPr="00B83952">
        <w:t xml:space="preserve">to non-financial assets of not-for-profit public sector entities not held primarily for their ability to generate net cash inflows, because those assets are not held primarily to produce an investment return. </w:t>
      </w:r>
      <w:r w:rsidR="0086195F" w:rsidRPr="00B83952">
        <w:t>P</w:t>
      </w:r>
      <w:r w:rsidRPr="00B83952">
        <w:t xml:space="preserve">aragraph 28(c) </w:t>
      </w:r>
      <w:r w:rsidR="0086195F" w:rsidRPr="00B83952">
        <w:t xml:space="preserve">of AASB 13 </w:t>
      </w:r>
      <w:r w:rsidRPr="00B83952">
        <w:t>refers to an asset’s use that “generates adequate income or cash flows … to produce an investment return …”.</w:t>
      </w:r>
      <w:bookmarkEnd w:id="98"/>
      <w:r w:rsidRPr="00B83952">
        <w:t xml:space="preserve"> </w:t>
      </w:r>
    </w:p>
    <w:p w14:paraId="5CFEA3A2" w14:textId="3D6A0B7B" w:rsidR="004F1CF6" w:rsidRPr="00B83952" w:rsidRDefault="004F1CF6" w:rsidP="003276D3">
      <w:pPr>
        <w:pStyle w:val="NumBC1"/>
      </w:pPr>
      <w:bookmarkStart w:id="99" w:name="_Ref89690545"/>
      <w:r w:rsidRPr="00B83952">
        <w:t xml:space="preserve">The Board considered that </w:t>
      </w:r>
      <w:r w:rsidR="00742EC4" w:rsidRPr="00B83952">
        <w:t>modifyin</w:t>
      </w:r>
      <w:r w:rsidR="000D77B1" w:rsidRPr="00B83952">
        <w:t>g</w:t>
      </w:r>
      <w:r w:rsidR="00742EC4" w:rsidRPr="00B83952">
        <w:t xml:space="preserve"> AASB 13 </w:t>
      </w:r>
      <w:r w:rsidRPr="00B83952">
        <w:t xml:space="preserve">is necessary to avoid the risk that paragraph 28(c) </w:t>
      </w:r>
      <w:r w:rsidR="009B0096" w:rsidRPr="00B83952">
        <w:t xml:space="preserve">of AASB 13 </w:t>
      </w:r>
      <w:r w:rsidRPr="00B83952">
        <w:t>is interpreted to preclude measuring the fair value of a non-financial asset not held primarily for its ability to generate net cash inflows at an amount exceeding the present value of cash inflows generated directly by the asset. Such an interpretation could result in measurements that do not reflect faithfully the service potential embodied in those assets for which market participants would be prepared to pay in a hypothetical sale transaction. The Board noted that for many assets not held primarily for their ability to generate net cash inflows, their fair value would be measured at current replacement cost (under the cost approach), and although these assets often generate considerable cash inflows through ‘indirect’ sources, such as appropriations and grants, these cash inflows typically would not be included in assessments of ‘investment returns’ such as the cash inflows used in applying the income approach.</w:t>
      </w:r>
      <w:bookmarkEnd w:id="99"/>
    </w:p>
    <w:p w14:paraId="3E56EC22" w14:textId="5A6DEF85" w:rsidR="002D5FDB" w:rsidRPr="00B83952" w:rsidRDefault="002D5FDB" w:rsidP="00C605FA">
      <w:pPr>
        <w:pStyle w:val="NumBC1"/>
      </w:pPr>
      <w:bookmarkStart w:id="100" w:name="_Ref120220214"/>
      <w:r w:rsidRPr="00B83952">
        <w:t xml:space="preserve">In </w:t>
      </w:r>
      <w:r w:rsidR="00574C66" w:rsidRPr="00B83952">
        <w:t xml:space="preserve">commenting </w:t>
      </w:r>
      <w:r w:rsidRPr="00B83952">
        <w:t xml:space="preserve">on the ED and </w:t>
      </w:r>
      <w:r w:rsidR="005D2DC6" w:rsidRPr="00B83952">
        <w:t xml:space="preserve">the </w:t>
      </w:r>
      <w:r w:rsidRPr="00B83952">
        <w:t>Fatal</w:t>
      </w:r>
      <w:r w:rsidR="005D2DC6" w:rsidRPr="00B83952">
        <w:t>-</w:t>
      </w:r>
      <w:r w:rsidRPr="00B83952">
        <w:t xml:space="preserve">Flaw Review draft, a stakeholder </w:t>
      </w:r>
      <w:r w:rsidR="006B1F27" w:rsidRPr="00B83952">
        <w:t>expressed concern that the Board’s proposed not-for-profit public sector entity guidance on the concept of financially feasible use</w:t>
      </w:r>
      <w:r w:rsidR="000A5A99" w:rsidRPr="00B83952">
        <w:t xml:space="preserve"> in paragraph Aus28.1</w:t>
      </w:r>
      <w:r w:rsidR="009E7B7D" w:rsidRPr="00B83952">
        <w:t xml:space="preserve"> would introduce non-financial influences into the concept of financial feasibility and significantly distort the meaning of that concept. The stakeholder requested clarification of the following </w:t>
      </w:r>
      <w:r w:rsidR="00F60DAD" w:rsidRPr="00B83952">
        <w:t xml:space="preserve">questions related to </w:t>
      </w:r>
      <w:r w:rsidR="009E7B7D" w:rsidRPr="00B83952">
        <w:t>the Board’s proposed paragraph Aus28.1</w:t>
      </w:r>
      <w:r w:rsidR="00DF3056" w:rsidRPr="00B83952">
        <w:t>:</w:t>
      </w:r>
      <w:bookmarkEnd w:id="100"/>
    </w:p>
    <w:p w14:paraId="1660DFCA" w14:textId="24F5A019" w:rsidR="00473415" w:rsidRPr="00B83952" w:rsidRDefault="00F60DAD" w:rsidP="00C605FA">
      <w:pPr>
        <w:pStyle w:val="NumBC2"/>
      </w:pPr>
      <w:r w:rsidRPr="00B83952">
        <w:t>i</w:t>
      </w:r>
      <w:r w:rsidR="009604DC" w:rsidRPr="00B83952">
        <w:t xml:space="preserve">f </w:t>
      </w:r>
      <w:r w:rsidR="00473415" w:rsidRPr="00B83952">
        <w:t xml:space="preserve">fair value </w:t>
      </w:r>
      <w:r w:rsidR="009604DC" w:rsidRPr="00B83952">
        <w:t xml:space="preserve">is not </w:t>
      </w:r>
      <w:r w:rsidR="00C01EE5" w:rsidRPr="00B83952">
        <w:t>a measure of an asset’s capacity to generate an investment return</w:t>
      </w:r>
      <w:r w:rsidRPr="00B83952">
        <w:t>,</w:t>
      </w:r>
      <w:r w:rsidR="00C01EE5" w:rsidRPr="00B83952">
        <w:t xml:space="preserve"> </w:t>
      </w:r>
      <w:r w:rsidR="00473415" w:rsidRPr="00B83952">
        <w:t>wh</w:t>
      </w:r>
      <w:r w:rsidRPr="00B83952">
        <w:t>ich</w:t>
      </w:r>
      <w:r w:rsidR="00473415" w:rsidRPr="00B83952">
        <w:t xml:space="preserve"> benefits are to be measured under paragraph Aus28.1</w:t>
      </w:r>
      <w:r w:rsidR="299E368A" w:rsidRPr="00B83952">
        <w:t>;</w:t>
      </w:r>
      <w:r w:rsidRPr="00B83952">
        <w:t xml:space="preserve"> and</w:t>
      </w:r>
    </w:p>
    <w:p w14:paraId="25D73E2E" w14:textId="274B3A8A" w:rsidR="00DF3056" w:rsidRPr="00B83952" w:rsidRDefault="00400A97" w:rsidP="00C605FA">
      <w:pPr>
        <w:pStyle w:val="NumBC2"/>
      </w:pPr>
      <w:r w:rsidRPr="00B83952">
        <w:t xml:space="preserve">under paragraph Aus28.1, would there be any circumstances under which the income approach may be applied to measure the fair value of a </w:t>
      </w:r>
      <w:r w:rsidR="00F63DD1" w:rsidRPr="00B83952">
        <w:t xml:space="preserve">non-financial asset of a not-for-profit public sector entity not held primarily for </w:t>
      </w:r>
      <w:r w:rsidRPr="00B83952">
        <w:t xml:space="preserve">its </w:t>
      </w:r>
      <w:r w:rsidR="00F63DD1" w:rsidRPr="00B83952">
        <w:t>ability to generate net cash inflows</w:t>
      </w:r>
      <w:r w:rsidRPr="00B83952">
        <w:t>?</w:t>
      </w:r>
    </w:p>
    <w:p w14:paraId="4A236CA9" w14:textId="63DE3A28" w:rsidR="00F84E28" w:rsidRPr="00B83952" w:rsidRDefault="00F84E28" w:rsidP="00C605FA">
      <w:pPr>
        <w:pStyle w:val="NumBC1"/>
      </w:pPr>
      <w:r w:rsidRPr="00B83952">
        <w:t>In response to the stakeholder’s question noted in paragraph</w:t>
      </w:r>
      <w:r w:rsidR="006C6067" w:rsidRPr="00B83952">
        <w:t>s </w:t>
      </w:r>
      <w:r w:rsidR="006C6067" w:rsidRPr="00B83952">
        <w:rPr>
          <w:szCs w:val="19"/>
        </w:rPr>
        <w:fldChar w:fldCharType="begin"/>
      </w:r>
      <w:r w:rsidR="006C6067" w:rsidRPr="00B83952">
        <w:rPr>
          <w:szCs w:val="19"/>
        </w:rPr>
        <w:instrText xml:space="preserve"> REF _Ref120220214 \r \h </w:instrText>
      </w:r>
      <w:r w:rsidR="00470F9F" w:rsidRPr="00B83952">
        <w:rPr>
          <w:szCs w:val="19"/>
        </w:rPr>
        <w:instrText xml:space="preserve"> \* MERGEFORMAT </w:instrText>
      </w:r>
      <w:r w:rsidR="006C6067" w:rsidRPr="00B83952">
        <w:rPr>
          <w:szCs w:val="19"/>
        </w:rPr>
      </w:r>
      <w:r w:rsidR="006C6067" w:rsidRPr="00B83952">
        <w:rPr>
          <w:szCs w:val="19"/>
        </w:rPr>
        <w:fldChar w:fldCharType="separate"/>
      </w:r>
      <w:r w:rsidR="005A1B65" w:rsidRPr="005A1B65">
        <w:t>BC84</w:t>
      </w:r>
      <w:r w:rsidR="006C6067" w:rsidRPr="00B83952">
        <w:rPr>
          <w:szCs w:val="19"/>
        </w:rPr>
        <w:fldChar w:fldCharType="end"/>
      </w:r>
      <w:r w:rsidR="006C6067" w:rsidRPr="00B83952">
        <w:t xml:space="preserve"> </w:t>
      </w:r>
      <w:r w:rsidR="00755CD7" w:rsidRPr="00B83952">
        <w:t xml:space="preserve">(stem) </w:t>
      </w:r>
      <w:r w:rsidR="006C6067" w:rsidRPr="00B83952">
        <w:t xml:space="preserve">and </w:t>
      </w:r>
      <w:r w:rsidR="001F54BF" w:rsidRPr="00B83952">
        <w:rPr>
          <w:szCs w:val="19"/>
        </w:rPr>
        <w:fldChar w:fldCharType="begin"/>
      </w:r>
      <w:r w:rsidR="001F54BF" w:rsidRPr="00B83952">
        <w:rPr>
          <w:szCs w:val="19"/>
        </w:rPr>
        <w:instrText xml:space="preserve"> REF _Ref120220214 \r \h </w:instrText>
      </w:r>
      <w:r w:rsidR="00353AAE" w:rsidRPr="00B83952">
        <w:rPr>
          <w:szCs w:val="19"/>
        </w:rPr>
        <w:instrText xml:space="preserve"> \* MERGEFORMAT </w:instrText>
      </w:r>
      <w:r w:rsidR="001F54BF" w:rsidRPr="00B83952">
        <w:rPr>
          <w:szCs w:val="19"/>
        </w:rPr>
      </w:r>
      <w:r w:rsidR="001F54BF" w:rsidRPr="00B83952">
        <w:rPr>
          <w:szCs w:val="19"/>
        </w:rPr>
        <w:fldChar w:fldCharType="separate"/>
      </w:r>
      <w:r w:rsidR="005A1B65" w:rsidRPr="005A1B65">
        <w:t>BC84</w:t>
      </w:r>
      <w:r w:rsidR="001F54BF" w:rsidRPr="00B83952">
        <w:rPr>
          <w:szCs w:val="19"/>
        </w:rPr>
        <w:fldChar w:fldCharType="end"/>
      </w:r>
      <w:r w:rsidRPr="00B83952">
        <w:t xml:space="preserve">(a), the Board observes </w:t>
      </w:r>
      <w:r w:rsidRPr="00B83952" w:rsidDel="00464C65">
        <w:t>that</w:t>
      </w:r>
      <w:r w:rsidR="002B10DE" w:rsidRPr="00B83952">
        <w:t xml:space="preserve">, for any fair value measurement, regardless of the nature of the entity, </w:t>
      </w:r>
      <w:r w:rsidR="00B4364D" w:rsidRPr="00B83952">
        <w:t>the concept of future economic benefits or service potential must reflect benefits for which market participant buyers would be prepared to pay for the subject asset. The</w:t>
      </w:r>
      <w:r w:rsidR="00146207" w:rsidRPr="00B83952">
        <w:t xml:space="preserve"> Board considers that, if </w:t>
      </w:r>
      <w:r w:rsidR="00B4364D" w:rsidRPr="00B83952">
        <w:t xml:space="preserve">a </w:t>
      </w:r>
      <w:r w:rsidR="00754CFC" w:rsidRPr="00B83952">
        <w:t xml:space="preserve">not-for-profit </w:t>
      </w:r>
      <w:r w:rsidR="00B4364D" w:rsidRPr="00B83952">
        <w:t xml:space="preserve">market participant buyer would be </w:t>
      </w:r>
      <w:r w:rsidR="00CA4E95" w:rsidRPr="00B83952">
        <w:t xml:space="preserve">willing to pay more for an asset, if necessary, than the amount reflecting the net cash inflows the asset could generate </w:t>
      </w:r>
      <w:r w:rsidR="00784CB3" w:rsidRPr="00B83952">
        <w:rPr>
          <w:szCs w:val="19"/>
        </w:rPr>
        <w:lastRenderedPageBreak/>
        <w:t>(</w:t>
      </w:r>
      <w:r w:rsidR="00A705C5" w:rsidRPr="00B83952">
        <w:t xml:space="preserve">which might occur </w:t>
      </w:r>
      <w:r w:rsidR="00CA4E95" w:rsidRPr="00B83952">
        <w:t>if</w:t>
      </w:r>
      <w:r w:rsidR="00CA4E95" w:rsidRPr="00B83952" w:rsidDel="00D122A0">
        <w:rPr>
          <w:szCs w:val="19"/>
        </w:rPr>
        <w:t xml:space="preserve"> </w:t>
      </w:r>
      <w:r w:rsidR="00CA4E95" w:rsidRPr="00B83952">
        <w:t xml:space="preserve">the subject asset </w:t>
      </w:r>
      <w:r w:rsidR="00784CB3" w:rsidRPr="00B83952">
        <w:t xml:space="preserve">(e.g. a specialised asset) </w:t>
      </w:r>
      <w:r w:rsidR="00CA4E95" w:rsidRPr="00B83952">
        <w:t>is not available in the market for a price reflecting its cash-generating ability</w:t>
      </w:r>
      <w:r w:rsidR="00784CB3" w:rsidRPr="00B83952">
        <w:rPr>
          <w:szCs w:val="19"/>
        </w:rPr>
        <w:t>)</w:t>
      </w:r>
      <w:r w:rsidR="002B10DE" w:rsidRPr="00B83952">
        <w:rPr>
          <w:szCs w:val="19"/>
        </w:rPr>
        <w:t xml:space="preserve">, </w:t>
      </w:r>
      <w:r w:rsidR="00A705C5" w:rsidRPr="00B83952">
        <w:t xml:space="preserve">measuring the asset at that higher amount would </w:t>
      </w:r>
      <w:r w:rsidR="002B10DE" w:rsidRPr="00B83952">
        <w:t>not introduce non-financial influences into the concept of financial feasibility.</w:t>
      </w:r>
      <w:r w:rsidR="008172A0" w:rsidRPr="00B83952">
        <w:t xml:space="preserve"> In such a case, hypothetical market participant buyers would be willing to pay a cash price for the asset exceeding the amount on which a commercial return may be generated, because of non-commercial benefits they can derive.</w:t>
      </w:r>
      <w:r w:rsidR="000A1B91" w:rsidRPr="00B83952">
        <w:rPr>
          <w:szCs w:val="19"/>
        </w:rPr>
        <w:t xml:space="preserve"> </w:t>
      </w:r>
      <w:r w:rsidR="006E7304" w:rsidRPr="00B83952">
        <w:t xml:space="preserve">If the subject asset is not available in the market for a price reflecting its cash-generating ability, and in the circumstances that </w:t>
      </w:r>
      <w:r w:rsidR="000A1B91" w:rsidRPr="00B83952">
        <w:t xml:space="preserve">asset is measured using the cost approach based on acquisition for its highest and best use (including deductions for any obsolescence), its fair value measurement </w:t>
      </w:r>
      <w:r w:rsidR="007F3469" w:rsidRPr="00B83952">
        <w:t>would not involve non-financial influences</w:t>
      </w:r>
      <w:r w:rsidR="007F3469" w:rsidRPr="00B83952">
        <w:rPr>
          <w:szCs w:val="19"/>
        </w:rPr>
        <w:t xml:space="preserve">, </w:t>
      </w:r>
      <w:r w:rsidR="007F3469" w:rsidRPr="00B83952">
        <w:t xml:space="preserve">because </w:t>
      </w:r>
      <w:r w:rsidR="00AB00E6" w:rsidRPr="00B83952">
        <w:t xml:space="preserve">paragraph B9 </w:t>
      </w:r>
      <w:r w:rsidR="00F21164" w:rsidRPr="00B83952">
        <w:t xml:space="preserve">of AASB 13 </w:t>
      </w:r>
      <w:r w:rsidR="00AB00E6" w:rsidRPr="00B83952">
        <w:t xml:space="preserve">stipulates that </w:t>
      </w:r>
      <w:r w:rsidR="000A1B91" w:rsidRPr="00B83952">
        <w:t xml:space="preserve">current replacement cost </w:t>
      </w:r>
      <w:r w:rsidR="00AB00E6" w:rsidRPr="00B83952">
        <w:t xml:space="preserve">does </w:t>
      </w:r>
      <w:r w:rsidR="000A1B91" w:rsidRPr="00B83952">
        <w:t>not exceed the amount for which a market participant buyer could replace the asset’s service capacity</w:t>
      </w:r>
      <w:r w:rsidR="00AB00E6" w:rsidRPr="00B83952">
        <w:t>.</w:t>
      </w:r>
    </w:p>
    <w:p w14:paraId="3AF06DC6" w14:textId="0213D95A" w:rsidR="00183817" w:rsidRPr="00B83952" w:rsidRDefault="00183817" w:rsidP="00C605FA">
      <w:pPr>
        <w:pStyle w:val="NumBC1"/>
      </w:pPr>
      <w:r w:rsidRPr="00B83952">
        <w:t>In response to the stakeholder’s question noted in paragraph </w:t>
      </w:r>
      <w:r w:rsidR="001F54BF" w:rsidRPr="00B83952">
        <w:fldChar w:fldCharType="begin"/>
      </w:r>
      <w:r w:rsidR="001F54BF" w:rsidRPr="00B83952">
        <w:instrText xml:space="preserve"> REF _Ref120220214 \r \h </w:instrText>
      </w:r>
      <w:r w:rsidR="00470F9F" w:rsidRPr="00B83952">
        <w:instrText xml:space="preserve"> \* MERGEFORMAT </w:instrText>
      </w:r>
      <w:r w:rsidR="001F54BF" w:rsidRPr="00B83952">
        <w:fldChar w:fldCharType="separate"/>
      </w:r>
      <w:r w:rsidR="005A1B65">
        <w:t>BC84</w:t>
      </w:r>
      <w:r w:rsidR="001F54BF" w:rsidRPr="00B83952">
        <w:fldChar w:fldCharType="end"/>
      </w:r>
      <w:r w:rsidRPr="00B83952">
        <w:t xml:space="preserve">(b), the Board observes </w:t>
      </w:r>
      <w:r w:rsidRPr="00B83952" w:rsidDel="00464C65">
        <w:t>that the modifications to AASB 13 set out in this Standard</w:t>
      </w:r>
      <w:r w:rsidRPr="00B83952">
        <w:t xml:space="preserve">, including </w:t>
      </w:r>
      <w:r w:rsidRPr="00B83952" w:rsidDel="00464C65">
        <w:t>the modification of the guidance on ‘financially feasible use’ in paragraph Aus28.1</w:t>
      </w:r>
      <w:r w:rsidRPr="00B83952">
        <w:t>,</w:t>
      </w:r>
      <w:r w:rsidRPr="00B83952" w:rsidDel="00464C65">
        <w:t xml:space="preserve"> do not indicate that the income approach cannot be applied when measuring the fair value of a non-financial asset of a not-for-profit public sector entity not held primarily for its ability to generate net cash inflows. The entity uses judgement in determining which valuation technique (or combination of techniques) to apply, considering all facts and circumstances and the availability of observable inputs relevant to the subject asset</w:t>
      </w:r>
      <w:r w:rsidRPr="00B83952">
        <w:t>.</w:t>
      </w:r>
    </w:p>
    <w:p w14:paraId="5530A2A9" w14:textId="6DF86788" w:rsidR="009A3FCB" w:rsidRPr="00B83952" w:rsidRDefault="00B20A48" w:rsidP="00C605FA">
      <w:pPr>
        <w:pStyle w:val="NumBC1"/>
      </w:pPr>
      <w:r w:rsidRPr="00B83952">
        <w:t xml:space="preserve">The stakeholder also requested the Board to provide illustrative examples </w:t>
      </w:r>
      <w:r w:rsidR="002C78D5" w:rsidRPr="00B83952">
        <w:t xml:space="preserve">of </w:t>
      </w:r>
      <w:r w:rsidRPr="00B83952">
        <w:t xml:space="preserve">how to apply paragraph Aus28.1, including where the asset does, or does not, have the potential to derive income. </w:t>
      </w:r>
      <w:r w:rsidR="00927D7D" w:rsidRPr="00B83952">
        <w:t>The Board declined that request because</w:t>
      </w:r>
      <w:r w:rsidR="00AA3E70" w:rsidRPr="00B83952">
        <w:t>:</w:t>
      </w:r>
    </w:p>
    <w:p w14:paraId="2B5E208B" w14:textId="74EE87DA" w:rsidR="00AA3E70" w:rsidRPr="00B83952" w:rsidRDefault="00927D7D" w:rsidP="00C605FA">
      <w:pPr>
        <w:pStyle w:val="NumBC2"/>
      </w:pPr>
      <w:r w:rsidRPr="00B83952">
        <w:t xml:space="preserve">paragraph Aus28.1 </w:t>
      </w:r>
      <w:r w:rsidR="00AA3E70" w:rsidRPr="00B83952">
        <w:t>proposes a simple amendment to replace:</w:t>
      </w:r>
    </w:p>
    <w:p w14:paraId="3C07A437" w14:textId="7756689E" w:rsidR="00AA3E70" w:rsidRPr="00B83952" w:rsidRDefault="00CE6BBD" w:rsidP="00C605FA">
      <w:pPr>
        <w:pStyle w:val="NumBC3"/>
      </w:pPr>
      <w:r w:rsidRPr="00B83952">
        <w:t>assessing whether an asset’s use would generate an investment return on an investment in that asset, with</w:t>
      </w:r>
    </w:p>
    <w:p w14:paraId="48F8692A" w14:textId="5069EA31" w:rsidR="00CE6BBD" w:rsidRPr="00B83952" w:rsidRDefault="00CE6BBD" w:rsidP="00C605FA">
      <w:pPr>
        <w:pStyle w:val="NumBC3"/>
      </w:pPr>
      <w:r w:rsidRPr="00B83952">
        <w:t xml:space="preserve">assessing whether market participants would be willing to invest in the asset’s service capacity. This would be largely dependent on whether the asset provides essential (or </w:t>
      </w:r>
      <w:r w:rsidR="004231ED" w:rsidRPr="00B83952">
        <w:t>highly desired</w:t>
      </w:r>
      <w:r w:rsidRPr="00B83952">
        <w:t xml:space="preserve">) goods or services to beneficiaries of either the entity or a similar </w:t>
      </w:r>
      <w:r w:rsidR="00395273" w:rsidRPr="00B83952" w:rsidDel="00464C65">
        <w:t xml:space="preserve">not-for-profit </w:t>
      </w:r>
      <w:r w:rsidRPr="00B83952">
        <w:t xml:space="preserve">public sector market participant buyer hypothetically bidding for the asset, which </w:t>
      </w:r>
      <w:r w:rsidR="00C11712" w:rsidRPr="00B83952">
        <w:t xml:space="preserve">typically </w:t>
      </w:r>
      <w:r w:rsidRPr="00B83952">
        <w:t>would be the case for assets within the scope of this Amending Standard;</w:t>
      </w:r>
    </w:p>
    <w:p w14:paraId="37BD734C" w14:textId="303EF0FB" w:rsidR="00CE6BBD" w:rsidRPr="00B83952" w:rsidRDefault="00A608F1" w:rsidP="00C605FA">
      <w:pPr>
        <w:pStyle w:val="NumBC2"/>
      </w:pPr>
      <w:r w:rsidRPr="00B83952">
        <w:t>the illustrative examples on IFRS 13 do not include illustrative examples on ‘financially feasible use’; and</w:t>
      </w:r>
    </w:p>
    <w:p w14:paraId="79AFA0F3" w14:textId="6F794C89" w:rsidR="00A608F1" w:rsidRPr="00B83952" w:rsidRDefault="00A608F1" w:rsidP="00C605FA">
      <w:pPr>
        <w:pStyle w:val="NumBC2"/>
      </w:pPr>
      <w:r w:rsidRPr="00B83952">
        <w:t>neither (i) nor (ii) above involves estimating fair values (instead, ‘financially feasible use’ is a factor in developing fair value estimates).</w:t>
      </w:r>
    </w:p>
    <w:p w14:paraId="42EB7BC1" w14:textId="3E6F322A" w:rsidR="00DB2D53" w:rsidRPr="00B83952" w:rsidRDefault="00507944" w:rsidP="00C605FA">
      <w:pPr>
        <w:pStyle w:val="NumBC1"/>
      </w:pPr>
      <w:bookmarkStart w:id="101" w:name="_Ref120349825"/>
      <w:r w:rsidRPr="00B83952">
        <w:t xml:space="preserve">The Board also observed that, </w:t>
      </w:r>
      <w:r w:rsidR="00751CF2" w:rsidRPr="00B83952">
        <w:t>where the market or income approach is used, there should be no change to how financially feasible use would be assessed in light of paragraph Aus28.1.</w:t>
      </w:r>
      <w:bookmarkEnd w:id="101"/>
    </w:p>
    <w:p w14:paraId="389F9C9A" w14:textId="36FCABD7" w:rsidR="0057271F" w:rsidRPr="00B83952" w:rsidRDefault="0057271F" w:rsidP="00C605FA">
      <w:pPr>
        <w:pStyle w:val="IASBSectionTitle3Ind"/>
      </w:pPr>
      <w:r w:rsidRPr="00B83952">
        <w:t>Interaction with functional obsolescence</w:t>
      </w:r>
    </w:p>
    <w:p w14:paraId="4C800A43" w14:textId="60AE0087" w:rsidR="00F93CE1" w:rsidRPr="00B83952" w:rsidRDefault="0057271F" w:rsidP="00C605FA">
      <w:pPr>
        <w:pStyle w:val="NumBC1"/>
      </w:pPr>
      <w:r w:rsidRPr="00B83952">
        <w:t xml:space="preserve">During </w:t>
      </w:r>
      <w:r w:rsidR="0013510F" w:rsidRPr="00B83952">
        <w:t xml:space="preserve">the outreach related to the Fatal-Flaw Review draft Standard, a stakeholder questioned the interaction between the proposed paragraph Aus28.1 and functional obsolescence. With the introduction of a new financially feasible use concept in proposed paragraph Aus28.1 focused, in part, on the cost of providing goods or services, </w:t>
      </w:r>
      <w:r w:rsidR="00854A13" w:rsidRPr="00B83952">
        <w:t xml:space="preserve">the stakeholder commented </w:t>
      </w:r>
      <w:r w:rsidR="0013510F" w:rsidRPr="00B83952">
        <w:t>it is unclear whether a subject asset having excess operating costs compared with a modern equivalent reference asset might cause</w:t>
      </w:r>
      <w:r w:rsidR="00F93CE1" w:rsidRPr="00B83952">
        <w:t>:</w:t>
      </w:r>
    </w:p>
    <w:p w14:paraId="71164E88" w14:textId="090BB23F" w:rsidR="009F5151" w:rsidRPr="00B83952" w:rsidRDefault="004F38B4" w:rsidP="00C605FA">
      <w:pPr>
        <w:pStyle w:val="NumBC2"/>
      </w:pPr>
      <w:r w:rsidRPr="00B83952">
        <w:t>the</w:t>
      </w:r>
      <w:r w:rsidR="009F5151" w:rsidRPr="00B83952">
        <w:t xml:space="preserve"> </w:t>
      </w:r>
      <w:r w:rsidRPr="00B83952">
        <w:t>subject asset’s current use to be considered financially infeasible after considering functional obsolescence</w:t>
      </w:r>
      <w:r w:rsidR="009F5151" w:rsidRPr="00B83952">
        <w:t>; and</w:t>
      </w:r>
    </w:p>
    <w:p w14:paraId="4F4E896D" w14:textId="62B7124B" w:rsidR="0057271F" w:rsidRPr="00B83952" w:rsidRDefault="009F5151" w:rsidP="00C605FA">
      <w:pPr>
        <w:pStyle w:val="NumBC2"/>
      </w:pPr>
      <w:r w:rsidRPr="00B83952">
        <w:t>if th</w:t>
      </w:r>
      <w:r w:rsidR="00BC6C9F" w:rsidRPr="00B83952">
        <w:t>e</w:t>
      </w:r>
      <w:r w:rsidRPr="00B83952">
        <w:t xml:space="preserve"> </w:t>
      </w:r>
      <w:r w:rsidR="00BC6C9F" w:rsidRPr="00B83952">
        <w:t xml:space="preserve">subject </w:t>
      </w:r>
      <w:r w:rsidRPr="00B83952">
        <w:t xml:space="preserve">asset is measured under the cost approach, </w:t>
      </w:r>
      <w:r w:rsidR="00282F34" w:rsidRPr="00B83952">
        <w:t>the concept of functional obsolescence to be considered inapplicable because determining whether a use of the asset is ‘financially feasible’ has regard to the resulting cost of goods or services the asset provides and therefore the amount market participants would be willing to invest in the asset’s service capacity</w:t>
      </w:r>
      <w:r w:rsidR="0057271F" w:rsidRPr="00B83952">
        <w:t>.</w:t>
      </w:r>
    </w:p>
    <w:p w14:paraId="12FB07D9" w14:textId="58AD468A" w:rsidR="0057271F" w:rsidRPr="00B83952" w:rsidRDefault="0057271F" w:rsidP="00C605FA">
      <w:pPr>
        <w:pStyle w:val="NumBC1"/>
      </w:pPr>
      <w:r w:rsidRPr="00B83952">
        <w:t xml:space="preserve">Paragraph 80.6 of </w:t>
      </w:r>
      <w:r w:rsidR="00156B0A" w:rsidRPr="00B83952">
        <w:t xml:space="preserve">International Valuation Standard </w:t>
      </w:r>
      <w:r w:rsidRPr="00B83952">
        <w:t xml:space="preserve">IVS 105 </w:t>
      </w:r>
      <w:r w:rsidR="00156B0A" w:rsidRPr="00B83952">
        <w:rPr>
          <w:i/>
          <w:iCs/>
        </w:rPr>
        <w:t>Valuation Approaches and Methods</w:t>
      </w:r>
      <w:r w:rsidR="00156B0A" w:rsidRPr="00B83952">
        <w:t xml:space="preserve"> </w:t>
      </w:r>
      <w:r w:rsidR="0087687C" w:rsidRPr="00B83952">
        <w:t>provides international valuation standards guidance on the two forms of functional obsolescence. It states</w:t>
      </w:r>
      <w:r w:rsidRPr="00B83952">
        <w:t>:</w:t>
      </w:r>
    </w:p>
    <w:p w14:paraId="4368BCDD" w14:textId="18C0A3F4" w:rsidR="0057271F" w:rsidRPr="00B83952" w:rsidRDefault="0057271F" w:rsidP="00C605FA">
      <w:pPr>
        <w:pStyle w:val="NumBC1"/>
        <w:numPr>
          <w:ilvl w:val="0"/>
          <w:numId w:val="0"/>
        </w:numPr>
        <w:ind w:left="1565"/>
      </w:pPr>
      <w:r w:rsidRPr="00B83952">
        <w:t>There are two forms of functional obsolescence:</w:t>
      </w:r>
    </w:p>
    <w:p w14:paraId="24224A7F" w14:textId="77777777" w:rsidR="0057271F" w:rsidRPr="00B83952" w:rsidRDefault="0057271F" w:rsidP="00C605FA">
      <w:pPr>
        <w:pStyle w:val="NumBC1"/>
        <w:numPr>
          <w:ilvl w:val="0"/>
          <w:numId w:val="0"/>
        </w:numPr>
        <w:ind w:left="2347" w:hanging="782"/>
      </w:pPr>
      <w:r w:rsidRPr="00B83952">
        <w:t xml:space="preserve">(a) </w:t>
      </w:r>
      <w:r w:rsidRPr="00B83952">
        <w:tab/>
        <w:t xml:space="preserve">excess capital cost, which can be caused by changes in design, materials of construction, technology or manufacturing techniques resulting in the availability of modern equivalent </w:t>
      </w:r>
      <w:r w:rsidRPr="00B83952">
        <w:rPr>
          <w:i/>
          <w:iCs/>
        </w:rPr>
        <w:t>assets</w:t>
      </w:r>
      <w:r w:rsidRPr="00B83952">
        <w:t xml:space="preserve"> with lower capital costs than the subject </w:t>
      </w:r>
      <w:r w:rsidRPr="00B83952">
        <w:rPr>
          <w:i/>
          <w:iCs/>
        </w:rPr>
        <w:t>asset</w:t>
      </w:r>
      <w:r w:rsidRPr="00B83952">
        <w:t>, and</w:t>
      </w:r>
    </w:p>
    <w:p w14:paraId="5290A64E" w14:textId="315E7C77" w:rsidR="0057271F" w:rsidRPr="00B83952" w:rsidRDefault="0057271F" w:rsidP="00C605FA">
      <w:pPr>
        <w:pStyle w:val="NumBC1"/>
        <w:numPr>
          <w:ilvl w:val="0"/>
          <w:numId w:val="0"/>
        </w:numPr>
        <w:ind w:left="2347" w:hanging="782"/>
      </w:pPr>
      <w:r w:rsidRPr="00B83952">
        <w:t xml:space="preserve">(b) </w:t>
      </w:r>
      <w:r w:rsidRPr="00B83952">
        <w:tab/>
        <w:t xml:space="preserve">excess operating cost, which can be caused by improvements in design or excess capacity resulting in the availability of modern equivalent </w:t>
      </w:r>
      <w:r w:rsidRPr="00B83952">
        <w:rPr>
          <w:i/>
          <w:iCs/>
        </w:rPr>
        <w:t>assets</w:t>
      </w:r>
      <w:r w:rsidRPr="00B83952">
        <w:t xml:space="preserve"> with lower operating costs than the subject </w:t>
      </w:r>
      <w:r w:rsidRPr="00B83952">
        <w:rPr>
          <w:i/>
          <w:iCs/>
        </w:rPr>
        <w:t>asset</w:t>
      </w:r>
      <w:r w:rsidRPr="00B83952">
        <w:t xml:space="preserve">. </w:t>
      </w:r>
    </w:p>
    <w:p w14:paraId="50C9C69A" w14:textId="10D9BD3F" w:rsidR="00FD2A17" w:rsidRPr="00B83952" w:rsidRDefault="00FD2A17" w:rsidP="00C605FA">
      <w:pPr>
        <w:pStyle w:val="NumBC1"/>
      </w:pPr>
      <w:r w:rsidRPr="00B83952">
        <w:lastRenderedPageBreak/>
        <w:t>To explain their concern, the stakeholder provided an example assuming that the subject asset (a building) has in-built halogen lights and the modern equivalent reference asset has in-built LED lights, which are more cost</w:t>
      </w:r>
      <w:r w:rsidR="00EF277D" w:rsidRPr="00B83952">
        <w:t>-</w:t>
      </w:r>
      <w:r w:rsidRPr="00B83952">
        <w:t xml:space="preserve">effective to operate than halogen lights. In this case, paragraph 80.6(b) </w:t>
      </w:r>
      <w:r w:rsidR="00D67B54" w:rsidRPr="00B83952">
        <w:t xml:space="preserve">of IVS 105 </w:t>
      </w:r>
      <w:r w:rsidRPr="00B83952">
        <w:t>would indicate the fair value of the subject asset should be adjusted down to reflect the excess operating costs compared with the modern equivalent asset used as a reference asset. The stakeholder requested the Board to clarify whether, if making such adjustments would result in a small estimated fair value, the asset’s use could still be considered financially feasible under the new proposed paragraph Aus28.1, since it would require consideration of the cost of providing goods or services.</w:t>
      </w:r>
    </w:p>
    <w:p w14:paraId="67D4EA78" w14:textId="77777777" w:rsidR="00FD2A17" w:rsidRPr="00B83952" w:rsidRDefault="00FD2A17" w:rsidP="00C605FA">
      <w:pPr>
        <w:pStyle w:val="NumBC1"/>
      </w:pPr>
      <w:r w:rsidRPr="00B83952">
        <w:t>The Board noted that, under proposed paragraph Aus28.1, the cost of providing goods or services would be a consideration in determining whether market participants would be willing to invest in the asset’s service capacity; the other consideration being the capability of the asset to be used to provide needed goods or services to beneficiaries.</w:t>
      </w:r>
    </w:p>
    <w:p w14:paraId="6E33E657" w14:textId="77777777" w:rsidR="00FD2A17" w:rsidRPr="00B83952" w:rsidRDefault="00FD2A17" w:rsidP="00C605FA">
      <w:pPr>
        <w:pStyle w:val="NumBC1"/>
      </w:pPr>
      <w:r w:rsidRPr="00B83952">
        <w:t xml:space="preserve">Even if the subject asset is estimated to have a low fair value due to having higher operating costs than the modern equivalent reference asset, if it has been judged that market participants, including other not-for-profit public sector entities, would be willing to invest in the subject asset’s service capacity considering also the capability of the asset to be used to provide needed goods or services to beneficiaries, then the asset’s use would be considered financially feasible. </w:t>
      </w:r>
    </w:p>
    <w:p w14:paraId="58189542" w14:textId="1F6EA806" w:rsidR="00FD2A17" w:rsidRPr="00B83952" w:rsidRDefault="00FD2A17" w:rsidP="00C605FA">
      <w:pPr>
        <w:pStyle w:val="NumBC1"/>
      </w:pPr>
      <w:r w:rsidRPr="00B83952">
        <w:t xml:space="preserve">In addition, this Amending Standard would not modify the requirement in paragraph B9 of </w:t>
      </w:r>
      <w:r w:rsidR="003B6FA8" w:rsidRPr="00B83952">
        <w:t xml:space="preserve">AASB 13 </w:t>
      </w:r>
      <w:r w:rsidRPr="00B83952">
        <w:t xml:space="preserve">that, when the cost approach is applied, the asset’s fair value measurement takes into account physical deterioration, functional (technological) obsolescence and economic (external) obsolescence. An asset’s current replacement cost measured in accordance with paragraphs B8 and B9 of </w:t>
      </w:r>
      <w:r w:rsidR="003B6FA8" w:rsidRPr="00B83952">
        <w:t xml:space="preserve">AASB 13 </w:t>
      </w:r>
      <w:r w:rsidRPr="00B83952">
        <w:t xml:space="preserve">would be reduced by the effect of functional obsolescence because it reduces the amount market participant buyers would be willing to pay for the asset’s service capacity. </w:t>
      </w:r>
    </w:p>
    <w:p w14:paraId="0EAEFF5E" w14:textId="79D8EA57" w:rsidR="000D39DF" w:rsidRPr="00B83952" w:rsidRDefault="00FD2A17" w:rsidP="00C605FA">
      <w:pPr>
        <w:pStyle w:val="NumBC1"/>
      </w:pPr>
      <w:r w:rsidRPr="00B83952">
        <w:t xml:space="preserve">If, for example, an asset is required by a not-for-profit public sector market participant buyer to provide needed goods or services, that market participant buyer would be willing to pay the necessary cost to acquire or construct the asset, but no more. In contrast, if a subject asset does not provide essential </w:t>
      </w:r>
      <w:r w:rsidR="008A319C" w:rsidRPr="00B83952">
        <w:t xml:space="preserve">or highly desired </w:t>
      </w:r>
      <w:r w:rsidRPr="00B83952">
        <w:t xml:space="preserve">goods or services, it might be concluded in the circumstances that the cost of </w:t>
      </w:r>
      <w:r w:rsidR="005665E1" w:rsidRPr="00B83952">
        <w:t>acquiring</w:t>
      </w:r>
      <w:r w:rsidRPr="00B83952">
        <w:t xml:space="preserve"> or constructing the asset cannot be justified by a not-for-profit public sector market participant buyer. Depending on the other facts and circumstances, it might even be concluded that the only</w:t>
      </w:r>
      <w:r w:rsidR="00201E8B" w:rsidRPr="00B83952">
        <w:t xml:space="preserve"> </w:t>
      </w:r>
      <w:r w:rsidRPr="00B83952">
        <w:t>financially feasible use of the asset is to hold it for sale (this illustrates one of the reasons why, for assets of not-for-profit public sector entities not held primarily for their ability to generate net cash inflows, the Board decided not to constrain the selection of the market approach, income approach or cost approach).</w:t>
      </w:r>
    </w:p>
    <w:p w14:paraId="6BE35FCC" w14:textId="0BE7EDD6" w:rsidR="008C17D7" w:rsidRPr="00B83952" w:rsidRDefault="008661D4" w:rsidP="00C605FA">
      <w:pPr>
        <w:pStyle w:val="IASBSectionTitle1NonInd"/>
      </w:pPr>
      <w:r w:rsidRPr="00B83952">
        <w:t>A</w:t>
      </w:r>
      <w:r w:rsidR="008C17D7" w:rsidRPr="00B83952">
        <w:t xml:space="preserve">spects of highest and best use for which no </w:t>
      </w:r>
      <w:r w:rsidR="00725B56" w:rsidRPr="00B83952">
        <w:t xml:space="preserve">additional </w:t>
      </w:r>
      <w:r w:rsidR="008C17D7" w:rsidRPr="00B83952">
        <w:t xml:space="preserve">guidance is </w:t>
      </w:r>
      <w:r w:rsidR="001574F4" w:rsidRPr="00B83952">
        <w:t>warranted</w:t>
      </w:r>
    </w:p>
    <w:p w14:paraId="58A6E18F" w14:textId="5494CF59" w:rsidR="00AA1358" w:rsidRPr="00B83952" w:rsidRDefault="00AA1358" w:rsidP="00AA1358">
      <w:pPr>
        <w:pStyle w:val="IASBSectionTitle2Ind"/>
      </w:pPr>
      <w:r w:rsidRPr="00B83952">
        <w:t>Physically possible use</w:t>
      </w:r>
    </w:p>
    <w:p w14:paraId="1527FDE6" w14:textId="3186B675" w:rsidR="00AA1358" w:rsidRPr="00B83952" w:rsidRDefault="00AA1358" w:rsidP="003276D3">
      <w:pPr>
        <w:pStyle w:val="NumBC1"/>
        <w:keepNext/>
      </w:pPr>
      <w:bookmarkStart w:id="102" w:name="_Ref96692941"/>
      <w:r w:rsidRPr="00B83952">
        <w:t>As stated in paragraph 22</w:t>
      </w:r>
      <w:r w:rsidR="00694F29" w:rsidRPr="00B83952">
        <w:t xml:space="preserve"> of AASB 13</w:t>
      </w:r>
      <w:r w:rsidRPr="00B83952">
        <w:t xml:space="preserve">, fair value measurement of an asset is based on the assumptions that </w:t>
      </w:r>
      <w:r w:rsidRPr="00B83952">
        <w:rPr>
          <w:szCs w:val="19"/>
        </w:rPr>
        <w:t>market participants would use when pricing the asset. Specifically, when the presumption that an asset’s current use is its highest and best use is rebutted, to identify the highest and best use of an asset, an entity takes into account the use of the asset that is physically possible, legally permissible and financially feasible.</w:t>
      </w:r>
    </w:p>
    <w:p w14:paraId="3A4416F4" w14:textId="77777777" w:rsidR="00AA1358" w:rsidRPr="00B83952" w:rsidRDefault="00AA1358" w:rsidP="003276D3">
      <w:pPr>
        <w:pStyle w:val="NumBC1"/>
        <w:keepNext/>
      </w:pPr>
      <w:r w:rsidRPr="00B83952">
        <w:t>Stakeholders requested guidance regarding whether, and if so how, physical constraints should be considered when measuring an asset’s fair value. These physical constraints can be:</w:t>
      </w:r>
      <w:bookmarkEnd w:id="102"/>
    </w:p>
    <w:p w14:paraId="61316388" w14:textId="77777777" w:rsidR="00AA1358" w:rsidRPr="00B83952" w:rsidRDefault="00AA1358" w:rsidP="003276D3">
      <w:pPr>
        <w:pStyle w:val="NumBC2"/>
      </w:pPr>
      <w:r w:rsidRPr="00B83952">
        <w:t>naturally occurring, for example land under water (eg marine parks) and old growth forests (eg national parks), where both examples are of assets that are not readily replaceable or cannot be relocated to an alternative location; and</w:t>
      </w:r>
    </w:p>
    <w:p w14:paraId="3EC450E4" w14:textId="77777777" w:rsidR="00AA1358" w:rsidRPr="00B83952" w:rsidRDefault="00AA1358" w:rsidP="003276D3">
      <w:pPr>
        <w:pStyle w:val="NumBC2"/>
      </w:pPr>
      <w:r w:rsidRPr="00B83952">
        <w:t>the result of the entity’s activities, for example:</w:t>
      </w:r>
    </w:p>
    <w:p w14:paraId="0C6017AB" w14:textId="18128345" w:rsidR="00AA1358" w:rsidRPr="00B83952" w:rsidRDefault="00AA1358" w:rsidP="003276D3">
      <w:pPr>
        <w:pStyle w:val="NumBC3"/>
      </w:pPr>
      <w:r w:rsidRPr="00B83952">
        <w:t xml:space="preserve">land that has been used as a council garbage tip, where the resulting risk of methane emissions might limit the land’s potential uses to being suitable </w:t>
      </w:r>
      <w:r w:rsidR="003C2EA8" w:rsidRPr="00B83952">
        <w:t xml:space="preserve">only </w:t>
      </w:r>
      <w:r w:rsidRPr="00B83952">
        <w:t>for conversion to parkland; and</w:t>
      </w:r>
    </w:p>
    <w:p w14:paraId="5D78B09E" w14:textId="77777777" w:rsidR="00AA1358" w:rsidRPr="00B83952" w:rsidRDefault="00AA1358" w:rsidP="003276D3">
      <w:pPr>
        <w:pStyle w:val="NumBC3"/>
      </w:pPr>
      <w:r w:rsidRPr="00B83952">
        <w:t>cemetery land, where the issue is not only the legal restriction for use as a cemetery but involves human remains that cannot be moved to another location should the entity be required to ‘replace the service potential’ embodied in the cemetery.</w:t>
      </w:r>
    </w:p>
    <w:p w14:paraId="7A1C91C2" w14:textId="52EAFB95" w:rsidR="00AA1358" w:rsidRPr="00B83952" w:rsidRDefault="00AA1358" w:rsidP="00AA1358">
      <w:pPr>
        <w:pStyle w:val="NumBC2"/>
        <w:numPr>
          <w:ilvl w:val="0"/>
          <w:numId w:val="0"/>
        </w:numPr>
        <w:ind w:left="782"/>
      </w:pPr>
      <w:r w:rsidRPr="00B83952">
        <w:t>These physical constraints are discussed in paragraphs </w:t>
      </w:r>
      <w:r w:rsidRPr="00B83952">
        <w:fldChar w:fldCharType="begin"/>
      </w:r>
      <w:r w:rsidRPr="00B83952">
        <w:instrText xml:space="preserve"> REF _Ref115043735 \r \h </w:instrText>
      </w:r>
      <w:r w:rsidRPr="00B83952">
        <w:fldChar w:fldCharType="separate"/>
      </w:r>
      <w:r w:rsidR="005A1B65">
        <w:t>BC98</w:t>
      </w:r>
      <w:r w:rsidRPr="00B83952">
        <w:fldChar w:fldCharType="end"/>
      </w:r>
      <w:r w:rsidRPr="00B83952">
        <w:t>–</w:t>
      </w:r>
      <w:r w:rsidRPr="00B83952">
        <w:fldChar w:fldCharType="begin"/>
      </w:r>
      <w:r w:rsidRPr="00B83952">
        <w:instrText xml:space="preserve"> REF _Ref115043756 \r \h </w:instrText>
      </w:r>
      <w:r w:rsidRPr="00B83952">
        <w:fldChar w:fldCharType="separate"/>
      </w:r>
      <w:r w:rsidR="005A1B65">
        <w:t>BC102</w:t>
      </w:r>
      <w:r w:rsidRPr="00B83952">
        <w:fldChar w:fldCharType="end"/>
      </w:r>
      <w:r w:rsidRPr="00B83952">
        <w:t xml:space="preserve">. </w:t>
      </w:r>
    </w:p>
    <w:p w14:paraId="3510C30D" w14:textId="77777777" w:rsidR="00AA1358" w:rsidRPr="00B83952" w:rsidRDefault="00AA1358" w:rsidP="00AA1358">
      <w:pPr>
        <w:pStyle w:val="IASBSectionTitle3Ind"/>
      </w:pPr>
      <w:r w:rsidRPr="00B83952">
        <w:lastRenderedPageBreak/>
        <w:t>Naturally occurring physical constraints</w:t>
      </w:r>
    </w:p>
    <w:p w14:paraId="5F17A210" w14:textId="77777777" w:rsidR="00AA1358" w:rsidRPr="00B83952" w:rsidRDefault="00AA1358" w:rsidP="003276D3">
      <w:pPr>
        <w:pStyle w:val="NumBC1"/>
        <w:keepNext/>
        <w:widowControl w:val="0"/>
      </w:pPr>
      <w:bookmarkStart w:id="103" w:name="_Ref115043735"/>
      <w:r w:rsidRPr="00B83952">
        <w:t>The Board concluded that a naturally occurring physical constraint leading to an inability in practice (rather than hypothetically) to replace or relocate the asset, such as a marine park, does not of itself preclude measuring the asset at fair value because a fair value measurement assumes a hypothetical transaction.</w:t>
      </w:r>
      <w:bookmarkEnd w:id="103"/>
      <w:r w:rsidRPr="00B83952">
        <w:t xml:space="preserve"> </w:t>
      </w:r>
    </w:p>
    <w:p w14:paraId="28B11F93" w14:textId="58B6C8CB" w:rsidR="00AA1358" w:rsidRPr="00B83952" w:rsidRDefault="00AA1358" w:rsidP="003276D3">
      <w:pPr>
        <w:pStyle w:val="NumBC1"/>
      </w:pPr>
      <w:r w:rsidRPr="00B83952">
        <w:t>However, for some marine parks and old growth forests there might be insufficient market data available to enable reliable estimates of the asset’s fair value. The Board noted that paragraph</w:t>
      </w:r>
      <w:r w:rsidR="00295713" w:rsidRPr="00B83952">
        <w:t> </w:t>
      </w:r>
      <w:r w:rsidRPr="00B83952">
        <w:t xml:space="preserve">31 </w:t>
      </w:r>
      <w:r w:rsidR="00295713" w:rsidRPr="00B83952">
        <w:t xml:space="preserve">of AASB 116 </w:t>
      </w:r>
      <w:r w:rsidRPr="00B83952">
        <w:t xml:space="preserve">specifies that for an asset to be subsequently measured at a revalued amount, the fair value of the asset must be able to be measured reliably. </w:t>
      </w:r>
    </w:p>
    <w:p w14:paraId="2E150320" w14:textId="77777777" w:rsidR="00AA1358" w:rsidRPr="00B83952" w:rsidRDefault="00AA1358" w:rsidP="00AA1358">
      <w:pPr>
        <w:pStyle w:val="IASBSectionTitle3Ind"/>
      </w:pPr>
      <w:r w:rsidRPr="00B83952">
        <w:t xml:space="preserve">Physical constraints resulting from the entity’s activities </w:t>
      </w:r>
    </w:p>
    <w:p w14:paraId="7725A95B" w14:textId="49860E37" w:rsidR="00AA1358" w:rsidRPr="00B83952" w:rsidRDefault="00AA1358" w:rsidP="003276D3">
      <w:pPr>
        <w:pStyle w:val="NumBC1"/>
        <w:rPr>
          <w:szCs w:val="19"/>
        </w:rPr>
      </w:pPr>
      <w:r w:rsidRPr="00B83952">
        <w:t xml:space="preserve">The Board noted that some </w:t>
      </w:r>
      <w:r w:rsidRPr="00B83952">
        <w:rPr>
          <w:szCs w:val="19"/>
        </w:rPr>
        <w:t>activities of the entity, such as using a parcel of land as a garbage tip, affect the physical characteristics of the asset that market participants would take into account when pricing the asset (eg using land as a garbage tip would limit the physically possible use of the land, as referred to in paragraph</w:t>
      </w:r>
      <w:r w:rsidR="00E617B1" w:rsidRPr="00B83952">
        <w:rPr>
          <w:szCs w:val="19"/>
        </w:rPr>
        <w:t> </w:t>
      </w:r>
      <w:r w:rsidRPr="00B83952">
        <w:rPr>
          <w:szCs w:val="19"/>
        </w:rPr>
        <w:t>28(a)</w:t>
      </w:r>
      <w:r w:rsidR="00E617B1" w:rsidRPr="00B83952">
        <w:rPr>
          <w:szCs w:val="19"/>
        </w:rPr>
        <w:t xml:space="preserve"> of AASB 13</w:t>
      </w:r>
      <w:r w:rsidRPr="00B83952">
        <w:rPr>
          <w:szCs w:val="19"/>
        </w:rPr>
        <w:t xml:space="preserve">). </w:t>
      </w:r>
    </w:p>
    <w:p w14:paraId="7ADEF3E1" w14:textId="77777777" w:rsidR="00AA1358" w:rsidRPr="00B83952" w:rsidRDefault="00AA1358" w:rsidP="003276D3">
      <w:pPr>
        <w:pStyle w:val="NumBC1"/>
      </w:pPr>
      <w:r w:rsidRPr="00B83952">
        <w:t xml:space="preserve">In the case of cemetery land, </w:t>
      </w:r>
      <w:r w:rsidRPr="00B83952">
        <w:rPr>
          <w:szCs w:val="19"/>
        </w:rPr>
        <w:t xml:space="preserve">even </w:t>
      </w:r>
      <w:r w:rsidRPr="00B83952">
        <w:t xml:space="preserve">if the land were not legally restricted to being used only as a cemetery, the number of plots used for interred human remains would affect the cash-generating ability of the cemetery land because it reduces the number of remaining plots that a market participant could sell. This would be considered in measuring the fair value of cemetery land </w:t>
      </w:r>
      <w:r w:rsidRPr="00B83952">
        <w:rPr>
          <w:szCs w:val="19"/>
        </w:rPr>
        <w:t>by reference, directly or indirectly, to the land’s ability to generate net cash inflows or income</w:t>
      </w:r>
      <w:r w:rsidRPr="00B83952">
        <w:t xml:space="preserve">. </w:t>
      </w:r>
    </w:p>
    <w:p w14:paraId="563EE743" w14:textId="77777777" w:rsidR="00AA1358" w:rsidRPr="00B83952" w:rsidRDefault="00AA1358" w:rsidP="003276D3">
      <w:pPr>
        <w:pStyle w:val="NumBC1"/>
        <w:rPr>
          <w:szCs w:val="19"/>
        </w:rPr>
      </w:pPr>
      <w:bookmarkStart w:id="104" w:name="_Ref115043756"/>
      <w:r w:rsidRPr="00B83952">
        <w:rPr>
          <w:szCs w:val="19"/>
        </w:rPr>
        <w:t>The Board considered that any specific guidance regarding how physical constraints should be considered in estimating the fair value of an asset does not belong in principles-based Australian Accounting Standards.</w:t>
      </w:r>
      <w:bookmarkEnd w:id="104"/>
      <w:r w:rsidRPr="00B83952">
        <w:rPr>
          <w:szCs w:val="19"/>
        </w:rPr>
        <w:t xml:space="preserve"> </w:t>
      </w:r>
    </w:p>
    <w:p w14:paraId="463ADE2A" w14:textId="77777777" w:rsidR="00AA1358" w:rsidRPr="00B83952" w:rsidRDefault="00AA1358" w:rsidP="00AA1358">
      <w:pPr>
        <w:pStyle w:val="IASBSectionTitle2Ind"/>
      </w:pPr>
      <w:r w:rsidRPr="00B83952">
        <w:t>Legally permissible use</w:t>
      </w:r>
    </w:p>
    <w:p w14:paraId="5B69CF84" w14:textId="77777777" w:rsidR="00AA1358" w:rsidRPr="00B83952" w:rsidRDefault="00AA1358" w:rsidP="003276D3">
      <w:pPr>
        <w:pStyle w:val="NumBC1"/>
      </w:pPr>
      <w:bookmarkStart w:id="105" w:name="_Ref115166799"/>
      <w:bookmarkStart w:id="106" w:name="_Ref96692336"/>
      <w:r w:rsidRPr="00B83952">
        <w:t>Paragraph IE29 of the IASB’s Illustrative Examples accompanying IFRS 13 (which can be accessed via the AASB’s website) provides the following example of legally permissible uses of a non-financial asset:</w:t>
      </w:r>
      <w:bookmarkEnd w:id="105"/>
      <w:r w:rsidRPr="00B83952">
        <w:t xml:space="preserve"> </w:t>
      </w:r>
    </w:p>
    <w:p w14:paraId="054AE821" w14:textId="0873A3EF" w:rsidR="00AA1358" w:rsidRPr="00B83952" w:rsidRDefault="00AA1358" w:rsidP="00AA1358">
      <w:pPr>
        <w:pStyle w:val="NumBC1"/>
        <w:numPr>
          <w:ilvl w:val="0"/>
          <w:numId w:val="0"/>
        </w:numPr>
        <w:ind w:left="1565"/>
      </w:pPr>
      <w:r w:rsidRPr="00B83952">
        <w:t>A donor contributes land in an otherwise developed residential area to a not-for-profit neighbourhood association. The land is currently used as a playground. The donor specifies that the land must continue to be used by the association as a playground in perpetuity. Upon review of relevant documentation (eg legal and other), the association determines that the fiduciary responsibility to meet the donor’s restriction would not be transferred to market participants if the association sold the asset, ie the donor restriction on the use of the land is specific to the association. Furthermore, the association is not restricted from selling the land. Without the restriction on the use of the land by the association, the land could be used as a site for residential development. In addition, the land is subject to an easement (ie a legal right that enables a utility to run power lines across the land).</w:t>
      </w:r>
      <w:bookmarkEnd w:id="106"/>
    </w:p>
    <w:p w14:paraId="25B7E00E" w14:textId="09EE5950" w:rsidR="00AA1358" w:rsidRPr="00B83952" w:rsidRDefault="00AA1358" w:rsidP="003276D3">
      <w:pPr>
        <w:pStyle w:val="NumBC1"/>
      </w:pPr>
      <w:bookmarkStart w:id="107" w:name="_Ref84871173"/>
      <w:r w:rsidRPr="00B83952">
        <w:t>Consistent with the IASB’s analysis in the illustrative example quoted in</w:t>
      </w:r>
      <w:r w:rsidRPr="00B83952">
        <w:rPr>
          <w:szCs w:val="19"/>
        </w:rPr>
        <w:t xml:space="preserve"> paragraph </w:t>
      </w:r>
      <w:r w:rsidRPr="00B83952">
        <w:rPr>
          <w:szCs w:val="19"/>
        </w:rPr>
        <w:fldChar w:fldCharType="begin"/>
      </w:r>
      <w:r w:rsidRPr="00B83952">
        <w:rPr>
          <w:szCs w:val="19"/>
        </w:rPr>
        <w:instrText xml:space="preserve"> REF _Ref96692336 \r \h </w:instrText>
      </w:r>
      <w:r w:rsidRPr="00B83952">
        <w:rPr>
          <w:szCs w:val="19"/>
        </w:rPr>
      </w:r>
      <w:r w:rsidRPr="00B83952">
        <w:rPr>
          <w:szCs w:val="19"/>
        </w:rPr>
        <w:fldChar w:fldCharType="separate"/>
      </w:r>
      <w:r w:rsidR="005A1B65">
        <w:rPr>
          <w:szCs w:val="19"/>
        </w:rPr>
        <w:t>BC103</w:t>
      </w:r>
      <w:r w:rsidRPr="00B83952">
        <w:rPr>
          <w:szCs w:val="19"/>
        </w:rPr>
        <w:fldChar w:fldCharType="end"/>
      </w:r>
      <w:r w:rsidRPr="00B83952">
        <w:t>, the Board noted that the fair value measurement of an asset:</w:t>
      </w:r>
      <w:bookmarkEnd w:id="107"/>
    </w:p>
    <w:p w14:paraId="1A1B370E" w14:textId="77777777" w:rsidR="00AA1358" w:rsidRPr="00B83952" w:rsidRDefault="00AA1358" w:rsidP="003276D3">
      <w:pPr>
        <w:pStyle w:val="NumBC2"/>
      </w:pPr>
      <w:r w:rsidRPr="00B83952">
        <w:t xml:space="preserve">would not take into account a restriction that is specific to the entity holding the asset, ie would not transfer to market participants in a hypothetical sale transaction (eg the restriction on the use of land in the IASB’s example); but </w:t>
      </w:r>
    </w:p>
    <w:p w14:paraId="211BCFE2" w14:textId="77777777" w:rsidR="00AA1358" w:rsidRPr="00B83952" w:rsidRDefault="00AA1358" w:rsidP="003276D3">
      <w:pPr>
        <w:pStyle w:val="NumBC2"/>
      </w:pPr>
      <w:r w:rsidRPr="00B83952">
        <w:t>would take into account the effect of restrictions that would transfer to market participants in a hypothetical sale transaction (eg the easement restriction in the IASB’s example).</w:t>
      </w:r>
    </w:p>
    <w:p w14:paraId="4302C2A1" w14:textId="77777777" w:rsidR="00AA1358" w:rsidRPr="00B83952" w:rsidRDefault="00AA1358" w:rsidP="00AA1358">
      <w:pPr>
        <w:pStyle w:val="IASBSectionTitle3Ind"/>
      </w:pPr>
      <w:r w:rsidRPr="00B83952">
        <w:t>Prohibitions on sale</w:t>
      </w:r>
    </w:p>
    <w:p w14:paraId="5BF176CC" w14:textId="31A26AB2" w:rsidR="00AA1358" w:rsidRPr="00B83952" w:rsidRDefault="00896DB5" w:rsidP="003276D3">
      <w:pPr>
        <w:pStyle w:val="NumBC1"/>
      </w:pPr>
      <w:r w:rsidRPr="00B83952">
        <w:t>P</w:t>
      </w:r>
      <w:r w:rsidR="00AA1358" w:rsidRPr="00B83952">
        <w:t xml:space="preserve">aragraph 28(b) </w:t>
      </w:r>
      <w:r w:rsidRPr="00B83952">
        <w:t xml:space="preserve">of AASB 13 </w:t>
      </w:r>
      <w:r w:rsidR="00AA1358" w:rsidRPr="00B83952">
        <w:t xml:space="preserve">is silent regarding whether prohibitions on the sale of an asset are to be considered in identifying an asset’s highest and best use; that paragraph specifies </w:t>
      </w:r>
      <w:r w:rsidR="00F24825" w:rsidRPr="00B83952">
        <w:t xml:space="preserve">only </w:t>
      </w:r>
      <w:r w:rsidR="00AA1358" w:rsidRPr="00B83952">
        <w:t xml:space="preserve">that certain restrictions on the </w:t>
      </w:r>
      <w:r w:rsidR="00AA1358" w:rsidRPr="00B83952">
        <w:rPr>
          <w:i/>
          <w:iCs/>
        </w:rPr>
        <w:t xml:space="preserve">use </w:t>
      </w:r>
      <w:r w:rsidR="00AA1358" w:rsidRPr="00B83952">
        <w:t xml:space="preserve">of </w:t>
      </w:r>
      <w:r w:rsidR="00883BF4" w:rsidRPr="00B83952">
        <w:t xml:space="preserve">the </w:t>
      </w:r>
      <w:r w:rsidR="00AA1358" w:rsidRPr="00B83952">
        <w:t xml:space="preserve">asset should be taken into account when identifying an asset’s highest and best use. Some stakeholders requested guidance on the highest and best use of a non-financial asset of a not-for-profit public sector entity not held primarily for its ability to generate net cash inflows that the entity is prohibited from selling, and how that prohibition should be taken into account in measuring the asset’s fair value. </w:t>
      </w:r>
    </w:p>
    <w:p w14:paraId="596767EB" w14:textId="77777777" w:rsidR="00AA1358" w:rsidRPr="00B83952" w:rsidRDefault="00AA1358" w:rsidP="003276D3">
      <w:pPr>
        <w:pStyle w:val="NumBC1"/>
        <w:rPr>
          <w:szCs w:val="19"/>
        </w:rPr>
      </w:pPr>
      <w:r w:rsidRPr="00B83952">
        <w:rPr>
          <w:szCs w:val="19"/>
        </w:rPr>
        <w:t xml:space="preserve">The Board noted that the fair value of an asset is based on a hypothetical sale transaction, notwithstanding any prohibition on the asset’s sale. The restrictions taken into account when determining an asset’s highest and best use are those that transfer upon the asset’s sale to the hypothetical market participant. Therefore, a prohibition on sale of such an asset is not a factor in the determination of its highest and best use, and consequently should be disregarded when measuring the asset’s fair value. </w:t>
      </w:r>
    </w:p>
    <w:p w14:paraId="6F0A8D37" w14:textId="77777777" w:rsidR="00AA1358" w:rsidRPr="00B83952" w:rsidRDefault="00AA1358" w:rsidP="00AA1358">
      <w:pPr>
        <w:pStyle w:val="IASBSectionTitle3Ind"/>
      </w:pPr>
      <w:r w:rsidRPr="00B83952">
        <w:lastRenderedPageBreak/>
        <w:t>Legal restrictions on an asset’s use</w:t>
      </w:r>
    </w:p>
    <w:p w14:paraId="02D877F0" w14:textId="77777777" w:rsidR="00AA1358" w:rsidRPr="00B83952" w:rsidRDefault="00AA1358" w:rsidP="003276D3">
      <w:pPr>
        <w:pStyle w:val="NumBC1"/>
      </w:pPr>
      <w:r w:rsidRPr="00B83952">
        <w:t xml:space="preserve">Some stakeholders requested guidance regarding restrictions relating to caveats attached to land, such as where biodiversity rights have been sold through a biodiversity scheme and the land cannot be used for another purpose. The Board considered that if the caveats would remain attached to the land upon its sale to a market participant, such caveats should be considered in identifying the asset’s highest and best use. </w:t>
      </w:r>
    </w:p>
    <w:p w14:paraId="457DD687" w14:textId="77777777" w:rsidR="00AA1358" w:rsidRPr="00B83952" w:rsidRDefault="00AA1358" w:rsidP="00AA1358">
      <w:pPr>
        <w:pStyle w:val="IASBSectionTitle3Ind"/>
      </w:pPr>
      <w:r w:rsidRPr="00B83952">
        <w:t xml:space="preserve">‘Implied restrictions’ on an asset’s use </w:t>
      </w:r>
    </w:p>
    <w:p w14:paraId="079BD68F" w14:textId="77777777" w:rsidR="00AA1358" w:rsidRPr="00B83952" w:rsidRDefault="00AA1358" w:rsidP="003276D3">
      <w:pPr>
        <w:pStyle w:val="NumBC1"/>
      </w:pPr>
      <w:bookmarkStart w:id="108" w:name="_Ref85804416"/>
      <w:r w:rsidRPr="00B83952">
        <w:t>Some stakeholders have informed the Board that sometimes a non-financial asset of a not-for-profit public sector entity not held primarily for its ability to generate net cash inflows, although not subject to any legal restrictions, is subject to an ‘implied restriction’ limiting the asset’s use to its current use – that is, where there is no legal restriction imposed on the asset but, because of social or political expectations or other factors, the not-for-profit public sector entity holding the asset would be unable to use the asset for an alternative use.</w:t>
      </w:r>
      <w:bookmarkEnd w:id="108"/>
    </w:p>
    <w:p w14:paraId="0082EA72" w14:textId="77670495" w:rsidR="00AA1358" w:rsidRPr="00B83952" w:rsidRDefault="00AA1358" w:rsidP="003276D3">
      <w:pPr>
        <w:pStyle w:val="NumBC1"/>
      </w:pPr>
      <w:r w:rsidRPr="00B83952">
        <w:t xml:space="preserve">Those stakeholders consider that those assets with implied restrictions would never be sold by the entity holding them because of the legal mandates applying generally to the not-for-profit public sector entity. Therefore, they consider that the entity can use those assets </w:t>
      </w:r>
      <w:r w:rsidR="009D66AE" w:rsidRPr="00B83952">
        <w:t xml:space="preserve">only </w:t>
      </w:r>
      <w:r w:rsidRPr="00B83952">
        <w:t xml:space="preserve">for their current use. They argued that implied restrictions over the use of an asset should be treated as substantially the same as legal restrictions referred to in paragraph 28(b) </w:t>
      </w:r>
      <w:r w:rsidR="00FD4953" w:rsidRPr="00B83952">
        <w:t xml:space="preserve">of AASB 13 </w:t>
      </w:r>
      <w:r w:rsidRPr="00B83952">
        <w:t xml:space="preserve">in identifying the highest and best use of the asset when measuring the asset’s fair value. </w:t>
      </w:r>
    </w:p>
    <w:p w14:paraId="3968B742" w14:textId="1F40A522" w:rsidR="00AA1358" w:rsidRPr="00B83952" w:rsidRDefault="00AA1358" w:rsidP="003276D3">
      <w:pPr>
        <w:pStyle w:val="NumBC1"/>
      </w:pPr>
      <w:bookmarkStart w:id="109" w:name="_Ref90905845"/>
      <w:bookmarkStart w:id="110" w:name="_Ref94625266"/>
      <w:bookmarkStart w:id="111" w:name="_Ref89690838"/>
      <w:r w:rsidRPr="00B83952">
        <w:t xml:space="preserve">The Board decided that the general principles in AASB 13, as described in paragraph </w:t>
      </w:r>
      <w:r w:rsidRPr="00B83952">
        <w:fldChar w:fldCharType="begin"/>
      </w:r>
      <w:r w:rsidRPr="00B83952">
        <w:instrText xml:space="preserve"> REF _Ref84871173 \r \h </w:instrText>
      </w:r>
      <w:r w:rsidRPr="00B83952">
        <w:fldChar w:fldCharType="separate"/>
      </w:r>
      <w:r w:rsidR="005A1B65">
        <w:t>BC104</w:t>
      </w:r>
      <w:r w:rsidRPr="00B83952">
        <w:fldChar w:fldCharType="end"/>
      </w:r>
      <w:r w:rsidRPr="00B83952">
        <w:t xml:space="preserve">, are sufficient in determining the highest and best use of an asset subject to implied restrictions – that is, </w:t>
      </w:r>
      <w:bookmarkEnd w:id="109"/>
      <w:r w:rsidRPr="00B83952">
        <w:t>the highest and best use of an asset takes into account physical characteristics of the asset that market participants would take into account when pricing the asset, and legal restrictions on use that would be transferred to market participants in a hypothetical sale transaction.</w:t>
      </w:r>
      <w:bookmarkEnd w:id="110"/>
      <w:r w:rsidRPr="00B83952">
        <w:t xml:space="preserve"> In addition, the Board noted that </w:t>
      </w:r>
      <w:r w:rsidRPr="00B83952">
        <w:rPr>
          <w:szCs w:val="19"/>
          <w:lang w:val="en-US"/>
        </w:rPr>
        <w:t xml:space="preserve">the strict criteria in paragraphs Aus29.1 and Aus29.2 for </w:t>
      </w:r>
      <w:r w:rsidR="000E4F92" w:rsidRPr="00B83952">
        <w:rPr>
          <w:szCs w:val="19"/>
          <w:lang w:val="en-US"/>
        </w:rPr>
        <w:t xml:space="preserve">considering whether to </w:t>
      </w:r>
      <w:r w:rsidRPr="00B83952">
        <w:rPr>
          <w:szCs w:val="19"/>
          <w:lang w:val="en-US"/>
        </w:rPr>
        <w:t>measur</w:t>
      </w:r>
      <w:r w:rsidR="000E4F92" w:rsidRPr="00B83952">
        <w:rPr>
          <w:szCs w:val="19"/>
          <w:lang w:val="en-US"/>
        </w:rPr>
        <w:t>e</w:t>
      </w:r>
      <w:r w:rsidRPr="00B83952">
        <w:rPr>
          <w:szCs w:val="19"/>
          <w:lang w:val="en-US"/>
        </w:rPr>
        <w:t xml:space="preserve"> an asset based on an alternative use to its current use should restrict the circumstances in which the fair value of an asset with implied restrictions would be measured based on an alternative use.</w:t>
      </w:r>
    </w:p>
    <w:bookmarkEnd w:id="111"/>
    <w:p w14:paraId="014B4063" w14:textId="77777777" w:rsidR="00AA1358" w:rsidRPr="00B83952" w:rsidRDefault="00AA1358" w:rsidP="00AA1358">
      <w:pPr>
        <w:pStyle w:val="IASBSectionTitle3Ind"/>
      </w:pPr>
      <w:r w:rsidRPr="00B83952">
        <w:t>Public-sector-specific legal restrictions on prices that can be charged</w:t>
      </w:r>
    </w:p>
    <w:p w14:paraId="3EF1DA00" w14:textId="0C750A1F" w:rsidR="00AA1358" w:rsidRPr="00B83952" w:rsidRDefault="00AA1358" w:rsidP="003276D3">
      <w:pPr>
        <w:pStyle w:val="NumBC1"/>
      </w:pPr>
      <w:bookmarkStart w:id="112" w:name="_Ref90475553"/>
      <w:r w:rsidRPr="00B83952">
        <w:t>Consistent with the Board’s view noted in paragraph </w:t>
      </w:r>
      <w:r w:rsidRPr="00B83952">
        <w:fldChar w:fldCharType="begin"/>
      </w:r>
      <w:r w:rsidRPr="00B83952">
        <w:instrText xml:space="preserve"> REF _Ref84871173 \r \h </w:instrText>
      </w:r>
      <w:r w:rsidRPr="00B83952">
        <w:fldChar w:fldCharType="separate"/>
      </w:r>
      <w:r w:rsidR="005A1B65">
        <w:t>BC104</w:t>
      </w:r>
      <w:r w:rsidRPr="00B83952">
        <w:fldChar w:fldCharType="end"/>
      </w:r>
      <w:r w:rsidRPr="00B83952">
        <w:t>, if legal restrictions imposed on the prices that a not-for-profit public sector entity may charge for using an asset not held primarily for its ability to generate net cash inflows would not be transferred to market participants, those restrictions would not be considered in fair value measurement of the asset.</w:t>
      </w:r>
      <w:bookmarkEnd w:id="112"/>
      <w:r w:rsidRPr="00B83952">
        <w:t xml:space="preserve"> </w:t>
      </w:r>
      <w:bookmarkStart w:id="113" w:name="_Ref85963653"/>
      <w:r w:rsidRPr="00B83952">
        <w:t>The Board observed that, in various cases, such legal restrictions on prices that can be charged are entity-specific restrictions (ie restrictions that are not expected to transfer to market participant buyers).</w:t>
      </w:r>
    </w:p>
    <w:p w14:paraId="5F450924" w14:textId="77777777" w:rsidR="00AA1358" w:rsidRPr="00B83952" w:rsidRDefault="00AA1358" w:rsidP="003276D3">
      <w:pPr>
        <w:pStyle w:val="NumBC1"/>
      </w:pPr>
      <w:bookmarkStart w:id="114" w:name="_Ref94625548"/>
      <w:bookmarkEnd w:id="113"/>
      <w:r w:rsidRPr="00B83952">
        <w:t>For example, a city council might provide car parking at below-market prices to provide enhanced access (and entice more visitors) to the city centre. Because a market participant buyer in a hypothetical sale of the city council’s car park would not be restricted to providing car parking at below-market prices, it would price the city council’s car park without regard to the discounts currently provided to patrons. Therefore, the fair value estimate of the car park should not be reduced (compared with the value determined for a for-profit entity) because of a self-imposed restriction to charge below-market prices for the use of car spaces.</w:t>
      </w:r>
      <w:bookmarkEnd w:id="114"/>
    </w:p>
    <w:p w14:paraId="1B74DE48" w14:textId="0AF8609B" w:rsidR="004F1CF6" w:rsidRPr="00B83952" w:rsidRDefault="004F1CF6" w:rsidP="00860684">
      <w:pPr>
        <w:pStyle w:val="IASBSectionTitle2Ind"/>
      </w:pPr>
      <w:r w:rsidRPr="00B83952">
        <w:t>When the current use of land and improvements on land might not be their highest and best use</w:t>
      </w:r>
    </w:p>
    <w:p w14:paraId="6D80425A" w14:textId="77777777" w:rsidR="004F1CF6" w:rsidRPr="00B83952" w:rsidRDefault="004F1CF6" w:rsidP="003276D3">
      <w:pPr>
        <w:pStyle w:val="NumBC1"/>
      </w:pPr>
      <w:bookmarkStart w:id="115" w:name="_Ref98836794"/>
      <w:r w:rsidRPr="00B83952">
        <w:t>A group of stakeholders asked the Board to clarify whether, in relation to land and improvements of a not-for-profit public sector entity not held primarily to generate net cash inflows, the fair value of improvements on land should be measured at nil if it has been concluded that the highest and best use of the land used jointly with improvements is different from its current use (to provide services to the community) and the highest and best use assumes the existing improvements on the land would be demolished. The Board noted that:</w:t>
      </w:r>
      <w:bookmarkEnd w:id="115"/>
      <w:r w:rsidRPr="00B83952">
        <w:t xml:space="preserve"> </w:t>
      </w:r>
    </w:p>
    <w:p w14:paraId="6C7E5A7F" w14:textId="524BDFA1" w:rsidR="004F1CF6" w:rsidRPr="00B83952" w:rsidRDefault="004F1CF6" w:rsidP="003276D3">
      <w:pPr>
        <w:pStyle w:val="NumBC2"/>
      </w:pPr>
      <w:r w:rsidRPr="00B83952">
        <w:t>the IASB considered this issue in the context of for-profit entities when developing IFRS 13 (see paragraphs </w:t>
      </w:r>
      <w:r w:rsidRPr="00B83952">
        <w:fldChar w:fldCharType="begin"/>
      </w:r>
      <w:r w:rsidRPr="00B83952">
        <w:instrText xml:space="preserve"> REF _Ref98836921 \r \h </w:instrText>
      </w:r>
      <w:r w:rsidRPr="00B83952">
        <w:fldChar w:fldCharType="separate"/>
      </w:r>
      <w:r w:rsidR="005A1B65">
        <w:t>BC115</w:t>
      </w:r>
      <w:r w:rsidRPr="00B83952">
        <w:fldChar w:fldCharType="end"/>
      </w:r>
      <w:r w:rsidRPr="00B83952">
        <w:t xml:space="preserve"> and </w:t>
      </w:r>
      <w:r w:rsidRPr="00B83952">
        <w:fldChar w:fldCharType="begin"/>
      </w:r>
      <w:r w:rsidRPr="00B83952">
        <w:instrText xml:space="preserve"> REF _Ref98946902 \r \h </w:instrText>
      </w:r>
      <w:r w:rsidRPr="00B83952">
        <w:fldChar w:fldCharType="separate"/>
      </w:r>
      <w:r w:rsidR="005A1B65">
        <w:t>BC116</w:t>
      </w:r>
      <w:r w:rsidRPr="00B83952">
        <w:fldChar w:fldCharType="end"/>
      </w:r>
      <w:r w:rsidRPr="00B83952">
        <w:t>); however,</w:t>
      </w:r>
    </w:p>
    <w:p w14:paraId="4662B83E" w14:textId="784D0889" w:rsidR="004F1CF6" w:rsidRPr="00B83952" w:rsidRDefault="004F1CF6" w:rsidP="003276D3">
      <w:pPr>
        <w:pStyle w:val="NumBC2"/>
      </w:pPr>
      <w:r w:rsidRPr="00B83952">
        <w:t xml:space="preserve">the IFRS Interpretations Committee issued an Agenda Decision </w:t>
      </w:r>
      <w:r w:rsidRPr="00B83952">
        <w:rPr>
          <w:i/>
          <w:iCs/>
        </w:rPr>
        <w:t>Valuation of biological assets using a residual method</w:t>
      </w:r>
      <w:r w:rsidRPr="00B83952">
        <w:t xml:space="preserve"> in March 2013. The Agenda Decision concerned biological assets that are physically attached to land, which have no separate market value and are measured at fair value using a residual method. The Committee noted that “IFRS 13 does not explicitly address the accounting implications if those circumstances arise and the fair value measurement of the asset based on its highest and best use assumes that other assets in the group need to be converted or </w:t>
      </w:r>
      <w:r w:rsidRPr="00B83952">
        <w:lastRenderedPageBreak/>
        <w:t xml:space="preserve">destroyed.” The Committee also noted that this issue might affect the accounting for assets in </w:t>
      </w:r>
      <w:r w:rsidR="00417AAF" w:rsidRPr="00B83952">
        <w:t xml:space="preserve">the </w:t>
      </w:r>
      <w:r w:rsidRPr="00B83952">
        <w:t xml:space="preserve">scope of Standards </w:t>
      </w:r>
      <w:r w:rsidR="00417AAF" w:rsidRPr="00B83952">
        <w:t xml:space="preserve">other </w:t>
      </w:r>
      <w:r w:rsidRPr="00B83952">
        <w:t xml:space="preserve">than IAS 41 </w:t>
      </w:r>
      <w:r w:rsidRPr="00B83952">
        <w:rPr>
          <w:i/>
          <w:iCs/>
        </w:rPr>
        <w:t>Agriculture</w:t>
      </w:r>
      <w:r w:rsidRPr="00B83952">
        <w:t xml:space="preserve">, and for these reasons decided not to undertake a project to address this issue; and </w:t>
      </w:r>
    </w:p>
    <w:p w14:paraId="5442F0F9" w14:textId="77777777" w:rsidR="004F1CF6" w:rsidRPr="00B83952" w:rsidRDefault="004F1CF6" w:rsidP="003276D3">
      <w:pPr>
        <w:pStyle w:val="NumBC2"/>
      </w:pPr>
      <w:r w:rsidRPr="00B83952">
        <w:t xml:space="preserve">this issue is not specific to not-for-profit entities. </w:t>
      </w:r>
    </w:p>
    <w:p w14:paraId="2723611E" w14:textId="2708C845" w:rsidR="004F1CF6" w:rsidRPr="00B83952" w:rsidRDefault="004F1CF6" w:rsidP="003276D3">
      <w:pPr>
        <w:pStyle w:val="NumBC1"/>
      </w:pPr>
      <w:r w:rsidRPr="00B83952">
        <w:rPr>
          <w:szCs w:val="19"/>
        </w:rPr>
        <w:t xml:space="preserve">Therefore, the Board decided not to develop implementation guidance on this issue. In addition, the Board noted that, since receiving the stakeholder group’s request for guidance noted in paragraph </w:t>
      </w:r>
      <w:r w:rsidRPr="00B83952">
        <w:rPr>
          <w:szCs w:val="19"/>
        </w:rPr>
        <w:fldChar w:fldCharType="begin"/>
      </w:r>
      <w:r w:rsidRPr="00B83952">
        <w:rPr>
          <w:szCs w:val="19"/>
        </w:rPr>
        <w:instrText xml:space="preserve"> REF _Ref98836794 \r \h </w:instrText>
      </w:r>
      <w:r w:rsidRPr="00B83952">
        <w:rPr>
          <w:szCs w:val="19"/>
        </w:rPr>
      </w:r>
      <w:r w:rsidRPr="00B83952">
        <w:rPr>
          <w:szCs w:val="19"/>
        </w:rPr>
        <w:fldChar w:fldCharType="separate"/>
      </w:r>
      <w:r w:rsidR="005A1B65">
        <w:rPr>
          <w:szCs w:val="19"/>
        </w:rPr>
        <w:t>BC113</w:t>
      </w:r>
      <w:r w:rsidRPr="00B83952">
        <w:rPr>
          <w:szCs w:val="19"/>
        </w:rPr>
        <w:fldChar w:fldCharType="end"/>
      </w:r>
      <w:r w:rsidRPr="00B83952">
        <w:rPr>
          <w:szCs w:val="19"/>
        </w:rPr>
        <w:t xml:space="preserve">, the Board developed </w:t>
      </w:r>
      <w:r w:rsidR="002553B6" w:rsidRPr="00B83952">
        <w:rPr>
          <w:szCs w:val="19"/>
        </w:rPr>
        <w:t xml:space="preserve">conditions </w:t>
      </w:r>
      <w:r w:rsidR="008F775D" w:rsidRPr="00B83952">
        <w:rPr>
          <w:szCs w:val="19"/>
        </w:rPr>
        <w:t xml:space="preserve">in paragraphs Aus29.1 and Aus29.2 </w:t>
      </w:r>
      <w:r w:rsidRPr="00B83952">
        <w:rPr>
          <w:szCs w:val="19"/>
        </w:rPr>
        <w:t xml:space="preserve">that must be satisfied before </w:t>
      </w:r>
      <w:r w:rsidR="00973B74" w:rsidRPr="00B83952">
        <w:rPr>
          <w:szCs w:val="19"/>
        </w:rPr>
        <w:t xml:space="preserve">potentially </w:t>
      </w:r>
      <w:r w:rsidRPr="00B83952">
        <w:rPr>
          <w:szCs w:val="19"/>
        </w:rPr>
        <w:t xml:space="preserve">identifying a higher and better use of </w:t>
      </w:r>
      <w:r w:rsidR="003F1249" w:rsidRPr="00B83952">
        <w:rPr>
          <w:szCs w:val="19"/>
        </w:rPr>
        <w:t>a non-financial asset not hel</w:t>
      </w:r>
      <w:r w:rsidR="00063BF3" w:rsidRPr="00B83952">
        <w:rPr>
          <w:szCs w:val="19"/>
        </w:rPr>
        <w:t>d</w:t>
      </w:r>
      <w:r w:rsidR="003F1249" w:rsidRPr="00B83952">
        <w:rPr>
          <w:szCs w:val="19"/>
        </w:rPr>
        <w:t xml:space="preserve"> primarily for its ability to generate net cash inflows</w:t>
      </w:r>
      <w:r w:rsidR="008F775D" w:rsidRPr="00B83952">
        <w:rPr>
          <w:szCs w:val="19"/>
        </w:rPr>
        <w:t xml:space="preserve"> </w:t>
      </w:r>
      <w:r w:rsidRPr="00B83952">
        <w:rPr>
          <w:szCs w:val="19"/>
        </w:rPr>
        <w:t xml:space="preserve">– specifically, in various circumstances, </w:t>
      </w:r>
      <w:r w:rsidR="00DB0A05" w:rsidRPr="00B83952">
        <w:rPr>
          <w:szCs w:val="19"/>
        </w:rPr>
        <w:t xml:space="preserve">those </w:t>
      </w:r>
      <w:r w:rsidR="002553B6" w:rsidRPr="00B83952">
        <w:rPr>
          <w:szCs w:val="19"/>
        </w:rPr>
        <w:t xml:space="preserve">conditions </w:t>
      </w:r>
      <w:r w:rsidRPr="00B83952">
        <w:rPr>
          <w:szCs w:val="19"/>
        </w:rPr>
        <w:t xml:space="preserve">might nullify the premise of the question that the assets’ current use is not their highest and best use. </w:t>
      </w:r>
      <w:r w:rsidR="008F560C" w:rsidRPr="00B83952">
        <w:rPr>
          <w:szCs w:val="19"/>
        </w:rPr>
        <w:t>F</w:t>
      </w:r>
      <w:r w:rsidRPr="00B83952">
        <w:rPr>
          <w:szCs w:val="19"/>
        </w:rPr>
        <w:t xml:space="preserve">or </w:t>
      </w:r>
      <w:r w:rsidRPr="00B83952">
        <w:rPr>
          <w:szCs w:val="19"/>
          <w:lang w:val="en-US"/>
        </w:rPr>
        <w:t xml:space="preserve">an alternative feasible use of land and buildings currently used for a community purpose to </w:t>
      </w:r>
      <w:r w:rsidR="00D6224F" w:rsidRPr="00B83952">
        <w:rPr>
          <w:szCs w:val="19"/>
        </w:rPr>
        <w:t xml:space="preserve">potentially </w:t>
      </w:r>
      <w:r w:rsidRPr="00B83952">
        <w:rPr>
          <w:szCs w:val="19"/>
          <w:lang w:val="en-US"/>
        </w:rPr>
        <w:t>be identified as the highest and best use of those assets (thus potentially imply</w:t>
      </w:r>
      <w:r w:rsidR="00D6224F" w:rsidRPr="00B83952">
        <w:rPr>
          <w:szCs w:val="19"/>
          <w:lang w:val="en-US"/>
        </w:rPr>
        <w:t>ing</w:t>
      </w:r>
      <w:r w:rsidRPr="00B83952">
        <w:rPr>
          <w:szCs w:val="19"/>
          <w:lang w:val="en-US"/>
        </w:rPr>
        <w:t xml:space="preserve"> that the buildings have a fair value of nil), it would be necessary to meet the criteria in paragraph</w:t>
      </w:r>
      <w:r w:rsidR="007A5672" w:rsidRPr="00B83952">
        <w:rPr>
          <w:szCs w:val="19"/>
          <w:lang w:val="en-US"/>
        </w:rPr>
        <w:t>s</w:t>
      </w:r>
      <w:r w:rsidRPr="00B83952">
        <w:rPr>
          <w:szCs w:val="19"/>
          <w:lang w:val="en-US"/>
        </w:rPr>
        <w:t> Aus29.1</w:t>
      </w:r>
      <w:r w:rsidR="008F560C" w:rsidRPr="00B83952">
        <w:rPr>
          <w:szCs w:val="19"/>
          <w:lang w:val="en-US"/>
        </w:rPr>
        <w:t xml:space="preserve"> </w:t>
      </w:r>
      <w:r w:rsidR="007A5672" w:rsidRPr="00B83952">
        <w:rPr>
          <w:szCs w:val="19"/>
          <w:lang w:val="en-US"/>
        </w:rPr>
        <w:t xml:space="preserve">and Aus29.2 </w:t>
      </w:r>
      <w:r w:rsidRPr="00B83952">
        <w:rPr>
          <w:szCs w:val="19"/>
          <w:lang w:val="en-US"/>
        </w:rPr>
        <w:t xml:space="preserve">for </w:t>
      </w:r>
      <w:r w:rsidR="00062159" w:rsidRPr="00B83952">
        <w:rPr>
          <w:szCs w:val="19"/>
          <w:lang w:val="en-US"/>
        </w:rPr>
        <w:t xml:space="preserve">considering whether </w:t>
      </w:r>
      <w:r w:rsidRPr="00B83952">
        <w:rPr>
          <w:szCs w:val="19"/>
          <w:lang w:val="en-US"/>
        </w:rPr>
        <w:t>an asset’s current use is not its highest and best use. If those criteria are met, the discussion in paragraphs </w:t>
      </w:r>
      <w:r w:rsidRPr="00B83952">
        <w:rPr>
          <w:szCs w:val="19"/>
          <w:lang w:val="en-US"/>
        </w:rPr>
        <w:fldChar w:fldCharType="begin"/>
      </w:r>
      <w:r w:rsidRPr="00B83952">
        <w:rPr>
          <w:szCs w:val="19"/>
          <w:lang w:val="en-US"/>
        </w:rPr>
        <w:instrText xml:space="preserve"> REF _Ref98836921 \r \h </w:instrText>
      </w:r>
      <w:r w:rsidRPr="00B83952">
        <w:rPr>
          <w:szCs w:val="19"/>
          <w:lang w:val="en-US"/>
        </w:rPr>
      </w:r>
      <w:r w:rsidRPr="00B83952">
        <w:rPr>
          <w:szCs w:val="19"/>
          <w:lang w:val="en-US"/>
        </w:rPr>
        <w:fldChar w:fldCharType="separate"/>
      </w:r>
      <w:r w:rsidR="005A1B65">
        <w:rPr>
          <w:szCs w:val="19"/>
          <w:lang w:val="en-US"/>
        </w:rPr>
        <w:t>BC115</w:t>
      </w:r>
      <w:r w:rsidRPr="00B83952">
        <w:rPr>
          <w:szCs w:val="19"/>
          <w:lang w:val="en-US"/>
        </w:rPr>
        <w:fldChar w:fldCharType="end"/>
      </w:r>
      <w:r w:rsidRPr="00B83952">
        <w:rPr>
          <w:szCs w:val="19"/>
          <w:lang w:val="en-US"/>
        </w:rPr>
        <w:t>–</w:t>
      </w:r>
      <w:r w:rsidRPr="00B83952">
        <w:rPr>
          <w:szCs w:val="19"/>
          <w:lang w:val="en-US"/>
        </w:rPr>
        <w:fldChar w:fldCharType="begin"/>
      </w:r>
      <w:r w:rsidRPr="00B83952">
        <w:rPr>
          <w:szCs w:val="19"/>
          <w:lang w:val="en-US"/>
        </w:rPr>
        <w:instrText xml:space="preserve"> REF _Ref98836925 \r \h </w:instrText>
      </w:r>
      <w:r w:rsidRPr="00B83952">
        <w:rPr>
          <w:szCs w:val="19"/>
          <w:lang w:val="en-US"/>
        </w:rPr>
      </w:r>
      <w:r w:rsidRPr="00B83952">
        <w:rPr>
          <w:szCs w:val="19"/>
          <w:lang w:val="en-US"/>
        </w:rPr>
        <w:fldChar w:fldCharType="separate"/>
      </w:r>
      <w:r w:rsidR="005A1B65">
        <w:rPr>
          <w:szCs w:val="19"/>
          <w:lang w:val="en-US"/>
        </w:rPr>
        <w:t>BC119</w:t>
      </w:r>
      <w:r w:rsidRPr="00B83952">
        <w:rPr>
          <w:szCs w:val="19"/>
          <w:lang w:val="en-US"/>
        </w:rPr>
        <w:fldChar w:fldCharType="end"/>
      </w:r>
      <w:r w:rsidRPr="00B83952">
        <w:rPr>
          <w:szCs w:val="19"/>
          <w:lang w:val="en-US"/>
        </w:rPr>
        <w:t xml:space="preserve"> would be relevant.</w:t>
      </w:r>
    </w:p>
    <w:p w14:paraId="13517B84" w14:textId="1DFD8287" w:rsidR="004F1CF6" w:rsidRPr="00B83952" w:rsidRDefault="004F1CF6" w:rsidP="003276D3">
      <w:pPr>
        <w:pStyle w:val="NumBC1"/>
      </w:pPr>
      <w:bookmarkStart w:id="116" w:name="_Ref98836921"/>
      <w:r w:rsidRPr="00B83952">
        <w:t>In relation to this issue generally, paragraphs BC72 and BC73 of the IASB’s Basis for Conclusions for IFRS 13 use an example of a factory. Paragraph BC72 states that “The IASB concluded when developing the exposure draft [of IFRS 13] that measuring the factory at nil would not provide useful information when an entity is using that factory in its operations. In particular, users would want to see depreciation on that factory so that they could assess the economic resources consumed in generating cash flows from its operation.” Prior to finalising IFRS 13, the IASB had exposed a proposed requirement for an entity to separate the fair value of the asset group into its current use and fair value components.</w:t>
      </w:r>
      <w:bookmarkEnd w:id="116"/>
    </w:p>
    <w:p w14:paraId="37FC3299" w14:textId="015A1929" w:rsidR="004F1CF6" w:rsidRPr="00B83952" w:rsidRDefault="004F1CF6" w:rsidP="003276D3">
      <w:pPr>
        <w:pStyle w:val="NumBC1"/>
      </w:pPr>
      <w:bookmarkStart w:id="117" w:name="_Ref98946902"/>
      <w:r w:rsidRPr="00B83952">
        <w:t xml:space="preserve">However, after considering responses from its stakeholders that preparing separate valuations for each asset in the group of assets would be costly, the IASB noted in paragraph BC73 </w:t>
      </w:r>
      <w:r w:rsidR="6866B96D" w:rsidRPr="00B83952">
        <w:t xml:space="preserve">of </w:t>
      </w:r>
      <w:r w:rsidR="00E40CF8" w:rsidRPr="00B83952">
        <w:t xml:space="preserve">the IASB’s Basis for Conclusions for </w:t>
      </w:r>
      <w:r w:rsidR="6866B96D" w:rsidRPr="00B83952">
        <w:t xml:space="preserve">IFRS 13 </w:t>
      </w:r>
      <w:r w:rsidRPr="00B83952">
        <w:t>that “… when an entity uses a non-financial asset in a way that differs from its highest and best use (and that asset is measured at fair value), the entity must simply disclose that fact and why the asset is being used in a manner that differs from its highest and best use.” That disclosure requirement is stated in IFRS 13 paragraph 93(i).</w:t>
      </w:r>
      <w:bookmarkEnd w:id="117"/>
    </w:p>
    <w:p w14:paraId="612DE189" w14:textId="22E9E8F5" w:rsidR="004F1CF6" w:rsidRPr="00B83952" w:rsidRDefault="004F1CF6" w:rsidP="003276D3">
      <w:pPr>
        <w:pStyle w:val="NumBC1"/>
      </w:pPr>
      <w:r w:rsidRPr="00B83952">
        <w:t xml:space="preserve">Therefore, when the highest and best use of land and improvements collectively within a group of assets of a not-for-profit public sector entity not held primarily for its ability to generate net cash inflows is different from their current use by the entity (after applying the </w:t>
      </w:r>
      <w:r w:rsidR="00921C29" w:rsidRPr="00B83952">
        <w:t xml:space="preserve">principle </w:t>
      </w:r>
      <w:r w:rsidRPr="00B83952">
        <w:t>in paragraph</w:t>
      </w:r>
      <w:r w:rsidR="000C4ED4" w:rsidRPr="00B83952">
        <w:t>s</w:t>
      </w:r>
      <w:r w:rsidRPr="00B83952">
        <w:t xml:space="preserve"> Aus29.1 </w:t>
      </w:r>
      <w:r w:rsidR="000C4ED4" w:rsidRPr="00B83952">
        <w:t xml:space="preserve">and Aus29.2 </w:t>
      </w:r>
      <w:r w:rsidRPr="00B83952">
        <w:t xml:space="preserve">that </w:t>
      </w:r>
      <w:r w:rsidR="00921C29" w:rsidRPr="00B83952">
        <w:t xml:space="preserve">an entity is required to consider whether </w:t>
      </w:r>
      <w:r w:rsidRPr="00B83952">
        <w:t xml:space="preserve">an alternative use </w:t>
      </w:r>
      <w:r w:rsidR="00921C29" w:rsidRPr="00B83952">
        <w:t xml:space="preserve">of an asset </w:t>
      </w:r>
      <w:r w:rsidR="006200F0" w:rsidRPr="00B83952">
        <w:t xml:space="preserve">is </w:t>
      </w:r>
      <w:r w:rsidR="00921C29" w:rsidRPr="00B83952">
        <w:t xml:space="preserve">the asset’s </w:t>
      </w:r>
      <w:r w:rsidRPr="00B83952">
        <w:t xml:space="preserve">highest and best use </w:t>
      </w:r>
      <w:r w:rsidR="00921C29" w:rsidRPr="00B83952">
        <w:t xml:space="preserve">only when </w:t>
      </w:r>
      <w:r w:rsidR="006200F0" w:rsidRPr="00B83952">
        <w:t xml:space="preserve">either </w:t>
      </w:r>
      <w:r w:rsidR="00921C29" w:rsidRPr="00B83952">
        <w:rPr>
          <w:szCs w:val="19"/>
        </w:rPr>
        <w:t xml:space="preserve">the asset is classified as held for sale or held for distribution to owners in accordance with AASB 5 or </w:t>
      </w:r>
      <w:r w:rsidRPr="00B83952">
        <w:t>it is highly probable that the asset will be used for an alternative purpose), the entity would nonetheless conform to the general principle that each asset’s fair value is based on its highest and best use (which may mean that the factory in the IASB’s example would be measured at nil), but include a disclosure note explaining why the asset is being used in a manner that differs from its highest and best use, in accordance with paragraph</w:t>
      </w:r>
      <w:r w:rsidR="00ED3CC0" w:rsidRPr="00B83952">
        <w:t> </w:t>
      </w:r>
      <w:r w:rsidRPr="00B83952">
        <w:t>93(i)</w:t>
      </w:r>
      <w:r w:rsidR="00DA5FE1" w:rsidRPr="00B83952">
        <w:t xml:space="preserve"> of AASB 13</w:t>
      </w:r>
      <w:r w:rsidRPr="00B83952">
        <w:t>.</w:t>
      </w:r>
    </w:p>
    <w:p w14:paraId="38322953" w14:textId="3B1B728B" w:rsidR="004F1CF6" w:rsidRPr="00B83952" w:rsidRDefault="004F1CF6" w:rsidP="003276D3">
      <w:pPr>
        <w:pStyle w:val="NumBC1"/>
      </w:pPr>
      <w:r w:rsidRPr="00B83952">
        <w:t xml:space="preserve">The Board noted that paragraph 31(a)(iii) </w:t>
      </w:r>
      <w:r w:rsidR="00D87BEA" w:rsidRPr="00B83952">
        <w:t xml:space="preserve">of AASB 13 </w:t>
      </w:r>
      <w:r w:rsidRPr="00B83952">
        <w:t xml:space="preserve">states that: “assumptions about the highest and best use of a non-financial asset shall be consistent for all the assets (for which highest and best use is relevant) of the group of assets or the group of assets and liabilities within which the asset would be used.” In relation to the question from the group of stakeholders noted in paragraph </w:t>
      </w:r>
      <w:r w:rsidRPr="00B83952">
        <w:fldChar w:fldCharType="begin"/>
      </w:r>
      <w:r w:rsidRPr="00B83952">
        <w:instrText xml:space="preserve"> REF _Ref98836794 \r \h </w:instrText>
      </w:r>
      <w:r w:rsidRPr="00B83952">
        <w:fldChar w:fldCharType="separate"/>
      </w:r>
      <w:r w:rsidR="005A1B65">
        <w:t>BC113</w:t>
      </w:r>
      <w:r w:rsidRPr="00B83952">
        <w:fldChar w:fldCharType="end"/>
      </w:r>
      <w:r w:rsidRPr="00B83952">
        <w:t>, the Board noted a view that, consistent with paragraph 31(a)(iii)</w:t>
      </w:r>
      <w:r w:rsidR="00B44A48" w:rsidRPr="00B83952">
        <w:t xml:space="preserve"> of AASB 13</w:t>
      </w:r>
      <w:r w:rsidRPr="00B83952">
        <w:t xml:space="preserve">, it would be inappropriate for land and its improvements to have two different highest and best use assumptions if they are used in combination to maximise value to market participants. </w:t>
      </w:r>
    </w:p>
    <w:p w14:paraId="776825D9" w14:textId="53777526" w:rsidR="004F1CF6" w:rsidRPr="00B83952" w:rsidRDefault="004F1CF6" w:rsidP="003276D3">
      <w:pPr>
        <w:pStyle w:val="NumBC1"/>
      </w:pPr>
      <w:bookmarkStart w:id="118" w:name="_Ref98836925"/>
      <w:r w:rsidRPr="00B83952">
        <w:t xml:space="preserve">The Board also noted that paragraph 17 of AASB 101 </w:t>
      </w:r>
      <w:r w:rsidRPr="00B83952">
        <w:rPr>
          <w:i/>
          <w:iCs/>
        </w:rPr>
        <w:t>Presentation of Financial Statements</w:t>
      </w:r>
      <w:r w:rsidRPr="00B83952">
        <w:t xml:space="preserve"> states that to achieve a fair presentation of financial statements, an entity is required to “…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r w:rsidR="44480E86" w:rsidRPr="00B83952">
        <w:t>.</w:t>
      </w:r>
      <w:r w:rsidRPr="00B83952">
        <w:t xml:space="preserve">” The Board noted a view that, if an entity considers the current value of those improvements based on their current use and periodic depreciation </w:t>
      </w:r>
      <w:r w:rsidR="3C82E721" w:rsidRPr="00B83952">
        <w:t>is</w:t>
      </w:r>
      <w:r w:rsidRPr="00B83952">
        <w:t xml:space="preserve"> important to users of financial statements, it would consider whether it should disclose this information to comply with </w:t>
      </w:r>
      <w:r w:rsidR="00F77AB6" w:rsidRPr="00B83952">
        <w:t>paragraph</w:t>
      </w:r>
      <w:r w:rsidR="00193964" w:rsidRPr="00B83952">
        <w:t> </w:t>
      </w:r>
      <w:r w:rsidR="00F77AB6" w:rsidRPr="00B83952">
        <w:t xml:space="preserve">17 of </w:t>
      </w:r>
      <w:r w:rsidRPr="00B83952">
        <w:t>AASB 101.</w:t>
      </w:r>
      <w:bookmarkEnd w:id="118"/>
    </w:p>
    <w:p w14:paraId="57CD197D" w14:textId="4CDFC806" w:rsidR="003E03D6" w:rsidRPr="00B83952" w:rsidRDefault="00580976">
      <w:pPr>
        <w:pStyle w:val="IASBSectionTitle1NonInd"/>
      </w:pPr>
      <w:r w:rsidRPr="00B83952">
        <w:lastRenderedPageBreak/>
        <w:t xml:space="preserve">Market participant assumptions </w:t>
      </w:r>
      <w:r w:rsidR="00345BBF" w:rsidRPr="00B83952">
        <w:t xml:space="preserve">about </w:t>
      </w:r>
      <w:r w:rsidRPr="00B83952">
        <w:t>a non-financial</w:t>
      </w:r>
      <w:r w:rsidR="003E03D6" w:rsidRPr="00B83952">
        <w:t xml:space="preserve"> asset</w:t>
      </w:r>
      <w:r w:rsidRPr="00B83952">
        <w:t xml:space="preserve"> not held primarily for its ability to generate net cash inflows</w:t>
      </w:r>
      <w:r w:rsidR="0019082F" w:rsidRPr="00B83952">
        <w:t xml:space="preserve"> (paragraphs</w:t>
      </w:r>
      <w:r w:rsidR="004A1C34" w:rsidRPr="00B83952">
        <w:rPr>
          <w:szCs w:val="26"/>
        </w:rPr>
        <w:t xml:space="preserve"> </w:t>
      </w:r>
      <w:r w:rsidR="004A1C34" w:rsidRPr="00B83952">
        <w:rPr>
          <w:szCs w:val="26"/>
        </w:rPr>
        <w:fldChar w:fldCharType="begin"/>
      </w:r>
      <w:r w:rsidR="004A1C34" w:rsidRPr="00B83952">
        <w:rPr>
          <w:szCs w:val="26"/>
        </w:rPr>
        <w:instrText xml:space="preserve"> REF _Ref118718836 \r \h </w:instrText>
      </w:r>
      <w:r w:rsidR="004A1C34" w:rsidRPr="00B83952">
        <w:rPr>
          <w:szCs w:val="26"/>
        </w:rPr>
      </w:r>
      <w:r w:rsidR="004A1C34" w:rsidRPr="00B83952">
        <w:rPr>
          <w:szCs w:val="26"/>
        </w:rPr>
        <w:fldChar w:fldCharType="separate"/>
      </w:r>
      <w:r w:rsidR="005A1B65">
        <w:rPr>
          <w:szCs w:val="26"/>
        </w:rPr>
        <w:t>F2</w:t>
      </w:r>
      <w:r w:rsidR="004A1C34" w:rsidRPr="00B83952">
        <w:rPr>
          <w:szCs w:val="26"/>
        </w:rPr>
        <w:fldChar w:fldCharType="end"/>
      </w:r>
      <w:r w:rsidR="0019082F" w:rsidRPr="00B83952">
        <w:rPr>
          <w:szCs w:val="26"/>
        </w:rPr>
        <w:t>–</w:t>
      </w:r>
      <w:r w:rsidR="0063653A" w:rsidRPr="00B83952">
        <w:rPr>
          <w:szCs w:val="26"/>
        </w:rPr>
        <w:fldChar w:fldCharType="begin"/>
      </w:r>
      <w:r w:rsidR="0063653A" w:rsidRPr="00B83952">
        <w:rPr>
          <w:szCs w:val="26"/>
        </w:rPr>
        <w:instrText xml:space="preserve"> REF _Ref115159639 \r \h </w:instrText>
      </w:r>
      <w:r w:rsidR="0063653A" w:rsidRPr="00B83952">
        <w:rPr>
          <w:szCs w:val="26"/>
        </w:rPr>
      </w:r>
      <w:r w:rsidR="0063653A" w:rsidRPr="00B83952">
        <w:rPr>
          <w:szCs w:val="26"/>
        </w:rPr>
        <w:fldChar w:fldCharType="separate"/>
      </w:r>
      <w:r w:rsidR="005A1B65">
        <w:rPr>
          <w:szCs w:val="26"/>
        </w:rPr>
        <w:t>F7</w:t>
      </w:r>
      <w:r w:rsidR="0063653A" w:rsidRPr="00B83952">
        <w:rPr>
          <w:szCs w:val="26"/>
        </w:rPr>
        <w:fldChar w:fldCharType="end"/>
      </w:r>
      <w:r w:rsidR="0019082F" w:rsidRPr="00B83952">
        <w:rPr>
          <w:szCs w:val="26"/>
        </w:rPr>
        <w:t>)</w:t>
      </w:r>
    </w:p>
    <w:p w14:paraId="1A26AA43" w14:textId="3CAAF6AC" w:rsidR="00BB34FF" w:rsidRPr="00B83952" w:rsidRDefault="00BB34FF" w:rsidP="009875B0">
      <w:pPr>
        <w:pStyle w:val="IASBSectionTitle2Ind"/>
      </w:pPr>
      <w:bookmarkStart w:id="119" w:name="_Ref90904233"/>
      <w:bookmarkStart w:id="120" w:name="_Ref93412841"/>
      <w:bookmarkStart w:id="121" w:name="_Ref84861821"/>
      <w:bookmarkStart w:id="122" w:name="_Ref85206114"/>
      <w:bookmarkStart w:id="123" w:name="_Ref85197712"/>
      <w:r w:rsidRPr="00B83952">
        <w:t xml:space="preserve">Market participants for the subject asset </w:t>
      </w:r>
    </w:p>
    <w:p w14:paraId="35B38DE9" w14:textId="1260C305" w:rsidR="00F802AA" w:rsidRPr="00B83952" w:rsidRDefault="0042243A" w:rsidP="009875B0">
      <w:pPr>
        <w:pStyle w:val="NumBC1"/>
      </w:pPr>
      <w:r w:rsidRPr="00B83952">
        <w:t>Consistent with IFRS</w:t>
      </w:r>
      <w:r w:rsidR="00136BB5" w:rsidRPr="00B83952">
        <w:t xml:space="preserve"> </w:t>
      </w:r>
      <w:r w:rsidRPr="00B83952">
        <w:t>13, w</w:t>
      </w:r>
      <w:r w:rsidR="00D66CB6" w:rsidRPr="00B83952">
        <w:t>hen measuring the fair value of an asset</w:t>
      </w:r>
      <w:r w:rsidR="00C948BA" w:rsidRPr="00B83952">
        <w:t xml:space="preserve"> under </w:t>
      </w:r>
      <w:r w:rsidR="00FF653E" w:rsidRPr="00B83952">
        <w:t xml:space="preserve">AASB 13, </w:t>
      </w:r>
      <w:r w:rsidR="00C948BA" w:rsidRPr="00B83952">
        <w:t>the</w:t>
      </w:r>
      <w:r w:rsidR="00F802AA" w:rsidRPr="00B83952">
        <w:t xml:space="preserve"> objective </w:t>
      </w:r>
      <w:r w:rsidR="00C948BA" w:rsidRPr="00B83952">
        <w:t xml:space="preserve">is </w:t>
      </w:r>
      <w:r w:rsidR="00F802AA" w:rsidRPr="00B83952">
        <w:t>to estimate an exit price from the perspective of a market</w:t>
      </w:r>
      <w:r w:rsidR="00D10163" w:rsidRPr="00B83952">
        <w:t xml:space="preserve"> </w:t>
      </w:r>
      <w:r w:rsidR="00F802AA" w:rsidRPr="00B83952">
        <w:t xml:space="preserve">participant </w:t>
      </w:r>
      <w:r w:rsidR="00184ABB" w:rsidRPr="00B83952">
        <w:t>for</w:t>
      </w:r>
      <w:r w:rsidR="00F802AA" w:rsidRPr="00B83952">
        <w:t xml:space="preserve"> the asset at the measurement date.</w:t>
      </w:r>
      <w:r w:rsidR="00281299" w:rsidRPr="00B83952">
        <w:t xml:space="preserve"> Therefore, fair value assumes that a market participant</w:t>
      </w:r>
      <w:r w:rsidR="001B2FAE" w:rsidRPr="00B83952">
        <w:t>’s assumptions when pricing an asset</w:t>
      </w:r>
      <w:r w:rsidR="00281299" w:rsidRPr="00B83952">
        <w:t xml:space="preserve"> </w:t>
      </w:r>
      <w:r w:rsidR="001B2FAE" w:rsidRPr="00B83952">
        <w:t xml:space="preserve">are </w:t>
      </w:r>
      <w:r w:rsidR="00281299" w:rsidRPr="00B83952">
        <w:t>identifiable</w:t>
      </w:r>
      <w:r w:rsidR="00116036" w:rsidRPr="00B83952">
        <w:t>.</w:t>
      </w:r>
      <w:bookmarkEnd w:id="119"/>
      <w:bookmarkEnd w:id="120"/>
      <w:r w:rsidR="00116036" w:rsidRPr="00B83952">
        <w:t xml:space="preserve"> </w:t>
      </w:r>
    </w:p>
    <w:p w14:paraId="06EEE21A" w14:textId="77777777" w:rsidR="00DF758E" w:rsidRPr="00B83952" w:rsidRDefault="00DF758E" w:rsidP="009875B0">
      <w:pPr>
        <w:pStyle w:val="NumBC1"/>
        <w:rPr>
          <w:szCs w:val="19"/>
        </w:rPr>
      </w:pPr>
      <w:bookmarkStart w:id="124" w:name="_Ref93316330"/>
      <w:bookmarkStart w:id="125" w:name="_Ref89688377"/>
      <w:r w:rsidRPr="00B83952">
        <w:t xml:space="preserve">Some stakeholders expressed the view that, in some cases, a market participant for a non-financial asset of a not-for-profit public sector entity not </w:t>
      </w:r>
      <w:r w:rsidRPr="00B83952">
        <w:rPr>
          <w:szCs w:val="19"/>
        </w:rPr>
        <w:t>held primarily for its ability to generate net cash inflows is not readily identifiable. This is because the services provided by such an asset sometimes are unique; and therefore, they argued that:</w:t>
      </w:r>
      <w:bookmarkEnd w:id="124"/>
    </w:p>
    <w:p w14:paraId="1564B3AC" w14:textId="5A818C68" w:rsidR="00DF758E" w:rsidRPr="00B83952" w:rsidRDefault="00DF758E" w:rsidP="009875B0">
      <w:pPr>
        <w:pStyle w:val="NumBC2"/>
      </w:pPr>
      <w:r w:rsidRPr="00B83952">
        <w:t xml:space="preserve">there would not be a private sector entity, another </w:t>
      </w:r>
      <w:r w:rsidR="0053767A" w:rsidRPr="00B83952">
        <w:t>g</w:t>
      </w:r>
      <w:r w:rsidRPr="00B83952">
        <w:t>overnment or another not-for-profit public sector entity that would provide such services; and, in turn,</w:t>
      </w:r>
    </w:p>
    <w:p w14:paraId="534D981D" w14:textId="473F258C" w:rsidR="00DF758E" w:rsidRPr="00B83952" w:rsidRDefault="00DF758E" w:rsidP="009875B0">
      <w:pPr>
        <w:pStyle w:val="NumBC2"/>
      </w:pPr>
      <w:r w:rsidRPr="00B83952">
        <w:t xml:space="preserve">there would not be another identifiable market participant for many assets held by not-for-profit public sector entities. </w:t>
      </w:r>
      <w:r w:rsidR="00FA0E4B" w:rsidRPr="00B83952">
        <w:t xml:space="preserve">Therefore, </w:t>
      </w:r>
      <w:r w:rsidR="008D3937" w:rsidRPr="00B83952">
        <w:t xml:space="preserve">the </w:t>
      </w:r>
      <w:r w:rsidR="00CA7383" w:rsidRPr="00B83952">
        <w:t>market selling price of many such assets</w:t>
      </w:r>
      <w:r w:rsidR="008D3937" w:rsidRPr="00B83952">
        <w:t>,</w:t>
      </w:r>
      <w:r w:rsidR="00CA7383" w:rsidRPr="00B83952">
        <w:t xml:space="preserve"> or of identical asset</w:t>
      </w:r>
      <w:r w:rsidR="00B96FED" w:rsidRPr="00B83952">
        <w:t>s</w:t>
      </w:r>
      <w:r w:rsidR="008D3937" w:rsidRPr="00B83952">
        <w:t>,</w:t>
      </w:r>
      <w:r w:rsidR="00CA7383" w:rsidRPr="00B83952">
        <w:t xml:space="preserve"> </w:t>
      </w:r>
      <w:r w:rsidR="008D3937" w:rsidRPr="00B83952">
        <w:t xml:space="preserve">is </w:t>
      </w:r>
      <w:r w:rsidR="00CA7383" w:rsidRPr="00B83952">
        <w:t>unl</w:t>
      </w:r>
      <w:r w:rsidR="00583C1B" w:rsidRPr="00B83952">
        <w:t>ikely to be directly observable.</w:t>
      </w:r>
    </w:p>
    <w:p w14:paraId="144A2CA3" w14:textId="186E6486" w:rsidR="00DF6425" w:rsidRPr="00B83952" w:rsidRDefault="0093701C" w:rsidP="00C605FA">
      <w:pPr>
        <w:pStyle w:val="NumBC1"/>
      </w:pPr>
      <w:r w:rsidRPr="00B83952">
        <w:t>T</w:t>
      </w:r>
      <w:r w:rsidR="00DF758E" w:rsidRPr="00B83952">
        <w:t xml:space="preserve">he Board noted that </w:t>
      </w:r>
      <w:r w:rsidR="00A54CC0" w:rsidRPr="00B83952">
        <w:t>paragraph</w:t>
      </w:r>
      <w:r w:rsidR="006F2E14" w:rsidRPr="00B83952">
        <w:t xml:space="preserve"> 23 </w:t>
      </w:r>
      <w:r w:rsidR="00C35096" w:rsidRPr="00B83952">
        <w:t xml:space="preserve">of AASB 13 </w:t>
      </w:r>
      <w:r w:rsidR="00DF758E" w:rsidRPr="00B83952">
        <w:t xml:space="preserve">states that an entity need not identify specific market participants, reflecting the focus of </w:t>
      </w:r>
      <w:r w:rsidR="00A54CC0" w:rsidRPr="00B83952">
        <w:t>paragraph</w:t>
      </w:r>
      <w:r w:rsidR="00DF758E" w:rsidRPr="00B83952">
        <w:t xml:space="preserve"> 22 </w:t>
      </w:r>
      <w:r w:rsidR="004F4A53" w:rsidRPr="00B83952">
        <w:t xml:space="preserve">of AASB 13 </w:t>
      </w:r>
      <w:r w:rsidR="00DF758E" w:rsidRPr="00B83952">
        <w:t xml:space="preserve">on the </w:t>
      </w:r>
      <w:r w:rsidR="00DF758E" w:rsidRPr="00B83952">
        <w:rPr>
          <w:i/>
          <w:iCs/>
        </w:rPr>
        <w:t xml:space="preserve">assumptions </w:t>
      </w:r>
      <w:r w:rsidR="00DF758E" w:rsidRPr="00B83952">
        <w:t xml:space="preserve">that market participants would use when pricing the asset. </w:t>
      </w:r>
      <w:bookmarkStart w:id="126" w:name="_Ref93317777"/>
      <w:r w:rsidR="00D44C5E" w:rsidRPr="00B83952">
        <w:t xml:space="preserve">An </w:t>
      </w:r>
      <w:r w:rsidR="00DF758E" w:rsidRPr="00B83952">
        <w:t>entity estimate</w:t>
      </w:r>
      <w:r w:rsidR="00D44C5E" w:rsidRPr="00B83952">
        <w:t>s</w:t>
      </w:r>
      <w:r w:rsidR="00DF758E" w:rsidRPr="00B83952">
        <w:t xml:space="preserve"> the pricing assumptions that </w:t>
      </w:r>
      <w:r w:rsidR="00280B13" w:rsidRPr="00B83952">
        <w:t xml:space="preserve">other </w:t>
      </w:r>
      <w:r w:rsidR="00DF758E" w:rsidRPr="00B83952">
        <w:t xml:space="preserve">market participants </w:t>
      </w:r>
      <w:r w:rsidR="006B41B1" w:rsidRPr="00B83952">
        <w:t>(</w:t>
      </w:r>
      <w:r w:rsidR="003E50C6" w:rsidRPr="00B83952">
        <w:t>ie</w:t>
      </w:r>
      <w:r w:rsidR="006B41B1" w:rsidRPr="00B83952">
        <w:t xml:space="preserve"> market participants other than the holder of the asset) </w:t>
      </w:r>
      <w:r w:rsidR="00DF758E" w:rsidRPr="00B83952">
        <w:t>would use</w:t>
      </w:r>
      <w:r w:rsidR="00C53ACD" w:rsidRPr="00B83952">
        <w:t xml:space="preserve"> by maximising the use of relevant observable inputs and minimising the use of unobservable inputs</w:t>
      </w:r>
      <w:r w:rsidR="00DF758E" w:rsidRPr="00B83952">
        <w:t xml:space="preserve">. </w:t>
      </w:r>
      <w:bookmarkEnd w:id="126"/>
    </w:p>
    <w:p w14:paraId="629498ED" w14:textId="629233C5" w:rsidR="00245259" w:rsidRPr="00B83952" w:rsidRDefault="0018441D" w:rsidP="00C605FA">
      <w:pPr>
        <w:pStyle w:val="NumBC1"/>
      </w:pPr>
      <w:r w:rsidRPr="00B83952">
        <w:t>The Board observe</w:t>
      </w:r>
      <w:r w:rsidR="005764EF" w:rsidRPr="00B83952">
        <w:t>d</w:t>
      </w:r>
      <w:r w:rsidRPr="00B83952">
        <w:t xml:space="preserve"> that many not-for-profit public sector entity assets </w:t>
      </w:r>
      <w:r w:rsidR="00245871" w:rsidRPr="00B83952">
        <w:t xml:space="preserve">not held primarily for their ability to generate net cash inflows </w:t>
      </w:r>
      <w:r w:rsidRPr="00B83952">
        <w:t>are used in combination with other assets</w:t>
      </w:r>
      <w:r w:rsidR="00A83F53" w:rsidRPr="00B83952">
        <w:t xml:space="preserve"> rather than on a stand-alone basis</w:t>
      </w:r>
      <w:r w:rsidR="0089102A" w:rsidRPr="00B83952">
        <w:t>.</w:t>
      </w:r>
      <w:r w:rsidR="009E0813" w:rsidRPr="00B83952">
        <w:t xml:space="preserve"> </w:t>
      </w:r>
      <w:r w:rsidR="00245259" w:rsidRPr="00B83952">
        <w:t xml:space="preserve">As discussed in paragraphs </w:t>
      </w:r>
      <w:r w:rsidR="00245259" w:rsidRPr="00B83952">
        <w:fldChar w:fldCharType="begin"/>
      </w:r>
      <w:r w:rsidR="00245259" w:rsidRPr="00B83952">
        <w:instrText xml:space="preserve"> REF _Ref118719140 \r \h </w:instrText>
      </w:r>
      <w:r w:rsidR="006A6C0B" w:rsidRPr="00B83952">
        <w:instrText xml:space="preserve"> \* MERGEFORMAT </w:instrText>
      </w:r>
      <w:r w:rsidR="00245259" w:rsidRPr="00B83952">
        <w:fldChar w:fldCharType="separate"/>
      </w:r>
      <w:r w:rsidR="005A1B65">
        <w:t>BC54</w:t>
      </w:r>
      <w:r w:rsidR="00245259" w:rsidRPr="00B83952">
        <w:fldChar w:fldCharType="end"/>
      </w:r>
      <w:r w:rsidR="00245259" w:rsidRPr="00B83952">
        <w:t>–</w:t>
      </w:r>
      <w:r w:rsidR="00245259" w:rsidRPr="00B83952">
        <w:fldChar w:fldCharType="begin"/>
      </w:r>
      <w:r w:rsidR="00245259" w:rsidRPr="00B83952">
        <w:instrText xml:space="preserve"> REF _Ref118719141 \r \h </w:instrText>
      </w:r>
      <w:r w:rsidR="006A6C0B" w:rsidRPr="00B83952">
        <w:instrText xml:space="preserve"> \* MERGEFORMAT </w:instrText>
      </w:r>
      <w:r w:rsidR="00245259" w:rsidRPr="00B83952">
        <w:fldChar w:fldCharType="separate"/>
      </w:r>
      <w:r w:rsidR="005A1B65">
        <w:t>BC55</w:t>
      </w:r>
      <w:r w:rsidR="00245259" w:rsidRPr="00B83952">
        <w:fldChar w:fldCharType="end"/>
      </w:r>
      <w:r w:rsidR="00245259" w:rsidRPr="00B83952">
        <w:t>, the IASB</w:t>
      </w:r>
      <w:r w:rsidR="00925ED0" w:rsidRPr="00B83952">
        <w:t xml:space="preserve"> noted</w:t>
      </w:r>
      <w:r w:rsidR="00245259" w:rsidRPr="00B83952">
        <w:t xml:space="preserve"> in paragraphs BC78 and BC79 </w:t>
      </w:r>
      <w:r w:rsidR="005764EF" w:rsidRPr="00B83952">
        <w:t xml:space="preserve">of its </w:t>
      </w:r>
      <w:r w:rsidR="00245259" w:rsidRPr="00B83952">
        <w:t xml:space="preserve">Basis for Conclusions on IFRS 13 that </w:t>
      </w:r>
      <w:r w:rsidR="00F84965" w:rsidRPr="00B83952">
        <w:t xml:space="preserve">sometimes an observed market price – one for sale </w:t>
      </w:r>
      <w:r w:rsidR="00BE3847" w:rsidRPr="00B83952">
        <w:t xml:space="preserve">of an asset </w:t>
      </w:r>
      <w:r w:rsidR="00F84965" w:rsidRPr="00B83952">
        <w:t>on a stand-alone basis – will not reflect an asset’s fair value</w:t>
      </w:r>
      <w:r w:rsidR="002810AF" w:rsidRPr="00B83952">
        <w:t xml:space="preserve"> </w:t>
      </w:r>
      <w:r w:rsidR="005764EF" w:rsidRPr="00B83952">
        <w:t>(</w:t>
      </w:r>
      <w:r w:rsidR="002810AF" w:rsidRPr="00B83952">
        <w:t>because it does not reflect the value that the asset contributes to the entity, which is achieved by using the asset in combination with other assets</w:t>
      </w:r>
      <w:r w:rsidR="005764EF" w:rsidRPr="00B83952">
        <w:t>)</w:t>
      </w:r>
      <w:r w:rsidR="00A15570" w:rsidRPr="00B83952">
        <w:t>.</w:t>
      </w:r>
      <w:r w:rsidR="000F3C31" w:rsidRPr="00B83952">
        <w:t xml:space="preserve"> The IASB noted that </w:t>
      </w:r>
      <w:r w:rsidR="00A14F55" w:rsidRPr="00B83952">
        <w:t>fair value measurement for such an asset should assume that the market participant buyer steps into the shoes of the entity holding the subject asset.</w:t>
      </w:r>
    </w:p>
    <w:p w14:paraId="0C6EDF3E" w14:textId="7C08D117" w:rsidR="009E0813" w:rsidRPr="00B83952" w:rsidRDefault="0089102A" w:rsidP="00C605FA">
      <w:pPr>
        <w:pStyle w:val="NumBC1"/>
      </w:pPr>
      <w:r w:rsidRPr="00B83952">
        <w:t>T</w:t>
      </w:r>
      <w:r w:rsidR="009E0813" w:rsidRPr="00B83952">
        <w:t xml:space="preserve">herefore, </w:t>
      </w:r>
      <w:r w:rsidR="00925ED0" w:rsidRPr="00B83952">
        <w:t xml:space="preserve">consistent with the IASB’s view, the Board </w:t>
      </w:r>
      <w:r w:rsidR="00FC2259" w:rsidRPr="00B83952">
        <w:t xml:space="preserve">considered that when </w:t>
      </w:r>
      <w:r w:rsidR="009E0813" w:rsidRPr="00B83952">
        <w:t>measur</w:t>
      </w:r>
      <w:r w:rsidRPr="00B83952">
        <w:t>ing</w:t>
      </w:r>
      <w:r w:rsidR="009E0813" w:rsidRPr="00B83952">
        <w:t xml:space="preserve"> the fair value of a non-financial asset of a not-for-profit public sector entity (the subject asset), market participants for the subject asset </w:t>
      </w:r>
      <w:r w:rsidR="00AB1BC2" w:rsidRPr="00B83952">
        <w:t>w</w:t>
      </w:r>
      <w:r w:rsidR="00FC2259" w:rsidRPr="00B83952">
        <w:t xml:space="preserve">ould </w:t>
      </w:r>
      <w:r w:rsidR="009E0813" w:rsidRPr="00B83952">
        <w:t>include other not-for-profit public sector entities</w:t>
      </w:r>
      <w:r w:rsidR="001B676F" w:rsidRPr="00B83952">
        <w:t xml:space="preserve"> because </w:t>
      </w:r>
      <w:r w:rsidR="00AB1BC2" w:rsidRPr="00B83952">
        <w:t xml:space="preserve">they represent </w:t>
      </w:r>
      <w:r w:rsidR="001B676F" w:rsidRPr="00B83952">
        <w:t>market participant buyer</w:t>
      </w:r>
      <w:r w:rsidR="00AB1BC2" w:rsidRPr="00B83952">
        <w:t>s</w:t>
      </w:r>
      <w:r w:rsidR="001B676F" w:rsidRPr="00B83952">
        <w:t xml:space="preserve"> </w:t>
      </w:r>
      <w:r w:rsidR="00AB1BC2" w:rsidRPr="00B83952">
        <w:t xml:space="preserve">that </w:t>
      </w:r>
      <w:r w:rsidR="00D109A4" w:rsidRPr="00B83952">
        <w:t xml:space="preserve">hypothetically </w:t>
      </w:r>
      <w:r w:rsidR="001B676F" w:rsidRPr="00B83952">
        <w:t xml:space="preserve">“step into the shoes” of the </w:t>
      </w:r>
      <w:r w:rsidR="00C253E5" w:rsidRPr="00B83952">
        <w:t xml:space="preserve">not-for-profit public sector </w:t>
      </w:r>
      <w:r w:rsidR="001B676F" w:rsidRPr="00B83952">
        <w:t>entity holding the subject asset</w:t>
      </w:r>
      <w:r w:rsidR="009E0813" w:rsidRPr="00B83952">
        <w:t>. That is, the entity consider</w:t>
      </w:r>
      <w:r w:rsidR="00D17340" w:rsidRPr="00B83952">
        <w:t>s</w:t>
      </w:r>
      <w:r w:rsidR="009E0813" w:rsidRPr="00B83952">
        <w:t xml:space="preserve"> the assumptions other not-for-profit public sector entities would use when pricing the subject asset.</w:t>
      </w:r>
      <w:r w:rsidR="009B0C3E" w:rsidRPr="00B83952">
        <w:t xml:space="preserve"> The Board observed that </w:t>
      </w:r>
      <w:r w:rsidR="00D17340" w:rsidRPr="00B83952">
        <w:t xml:space="preserve">the </w:t>
      </w:r>
      <w:r w:rsidR="009B0C3E" w:rsidRPr="00B83952">
        <w:t xml:space="preserve">majority of </w:t>
      </w:r>
      <w:r w:rsidR="00A94B94" w:rsidRPr="00B83952">
        <w:t xml:space="preserve">respondents to ED </w:t>
      </w:r>
      <w:r w:rsidR="00837999" w:rsidRPr="00B83952">
        <w:t xml:space="preserve">320 </w:t>
      </w:r>
      <w:r w:rsidR="008E7A13" w:rsidRPr="00B83952">
        <w:t xml:space="preserve">who commented on this topic </w:t>
      </w:r>
      <w:r w:rsidR="009B0C3E" w:rsidRPr="00B83952">
        <w:t>agreed with this view.</w:t>
      </w:r>
    </w:p>
    <w:p w14:paraId="46ECD150" w14:textId="3EAE2C4C" w:rsidR="00E461F0" w:rsidRPr="00B83952" w:rsidRDefault="00E461F0" w:rsidP="00BC7128">
      <w:pPr>
        <w:pStyle w:val="IASBSectionTitle2Ind"/>
      </w:pPr>
      <w:r w:rsidRPr="00B83952">
        <w:t>Developing unobservable inputs</w:t>
      </w:r>
      <w:r w:rsidR="001D5140" w:rsidRPr="00B83952">
        <w:t xml:space="preserve"> (paragraphs </w:t>
      </w:r>
      <w:r w:rsidR="001D5140" w:rsidRPr="00B83952">
        <w:fldChar w:fldCharType="begin"/>
      </w:r>
      <w:r w:rsidR="001D5140" w:rsidRPr="00B83952">
        <w:instrText xml:space="preserve"> REF _Ref118719360 \r \h </w:instrText>
      </w:r>
      <w:r w:rsidR="006A6C0B" w:rsidRPr="00B83952">
        <w:instrText xml:space="preserve"> \* MERGEFORMAT </w:instrText>
      </w:r>
      <w:r w:rsidR="001D5140" w:rsidRPr="00B83952">
        <w:fldChar w:fldCharType="separate"/>
      </w:r>
      <w:r w:rsidR="005A1B65">
        <w:t>F3</w:t>
      </w:r>
      <w:r w:rsidR="001D5140" w:rsidRPr="00B83952">
        <w:fldChar w:fldCharType="end"/>
      </w:r>
      <w:r w:rsidR="001D5140" w:rsidRPr="00B83952">
        <w:t>–</w:t>
      </w:r>
      <w:r w:rsidR="001D5140" w:rsidRPr="00B83952">
        <w:fldChar w:fldCharType="begin"/>
      </w:r>
      <w:r w:rsidR="001D5140" w:rsidRPr="00B83952">
        <w:instrText xml:space="preserve"> REF _Ref116440349 \r \h </w:instrText>
      </w:r>
      <w:r w:rsidR="006A6C0B" w:rsidRPr="00B83952">
        <w:instrText xml:space="preserve"> \* MERGEFORMAT </w:instrText>
      </w:r>
      <w:r w:rsidR="001D5140" w:rsidRPr="00B83952">
        <w:fldChar w:fldCharType="separate"/>
      </w:r>
      <w:r w:rsidR="005A1B65">
        <w:t>F7</w:t>
      </w:r>
      <w:r w:rsidR="001D5140" w:rsidRPr="00B83952">
        <w:fldChar w:fldCharType="end"/>
      </w:r>
      <w:r w:rsidR="001D5140" w:rsidRPr="00B83952">
        <w:t>)</w:t>
      </w:r>
    </w:p>
    <w:p w14:paraId="4C2428D6" w14:textId="7F8880CC" w:rsidR="00DF6425" w:rsidRPr="00B83952" w:rsidRDefault="00DF6425" w:rsidP="003276D3">
      <w:pPr>
        <w:pStyle w:val="NumBC1"/>
      </w:pPr>
      <w:r w:rsidRPr="00B83952">
        <w:t xml:space="preserve">In light of the stakeholder comment that many non-financial assets of </w:t>
      </w:r>
      <w:r w:rsidR="007C7335" w:rsidRPr="00B83952">
        <w:t xml:space="preserve">not-for-profit </w:t>
      </w:r>
      <w:r w:rsidRPr="00B83952">
        <w:t>public sector entities not held primarily for their ability to generate net cash inflows are unique to the holder of the asset and another identifiable market participant for the asset would be unlikely to exist (</w:t>
      </w:r>
      <w:r w:rsidR="00DF15CA" w:rsidRPr="00B83952">
        <w:t>ie</w:t>
      </w:r>
      <w:r w:rsidRPr="00B83952">
        <w:t xml:space="preserve"> the entity would be unlikely to find observable inputs for measuring the fair value of such unique assets), </w:t>
      </w:r>
      <w:r w:rsidR="00BA6418" w:rsidRPr="00B83952">
        <w:t>the Board</w:t>
      </w:r>
      <w:r w:rsidRPr="00B83952">
        <w:t xml:space="preserve"> consider</w:t>
      </w:r>
      <w:r w:rsidR="00F2727E" w:rsidRPr="00B83952">
        <w:t>ed</w:t>
      </w:r>
      <w:r w:rsidRPr="00B83952">
        <w:t xml:space="preserve"> that the holder of </w:t>
      </w:r>
      <w:r w:rsidR="00D44C5E" w:rsidRPr="00B83952">
        <w:t xml:space="preserve">those </w:t>
      </w:r>
      <w:r w:rsidRPr="00B83952">
        <w:t xml:space="preserve">assets would need to develop </w:t>
      </w:r>
      <w:r w:rsidR="0073316C" w:rsidRPr="00B83952">
        <w:t xml:space="preserve">at least some </w:t>
      </w:r>
      <w:r w:rsidRPr="00B83952">
        <w:t>unobservable inputs in order to measure the fair value of those assets.</w:t>
      </w:r>
    </w:p>
    <w:p w14:paraId="418A97E4" w14:textId="460587FB" w:rsidR="00FF0137" w:rsidRPr="00B83952" w:rsidRDefault="009E58E4" w:rsidP="003276D3">
      <w:pPr>
        <w:pStyle w:val="NumBC1"/>
        <w:rPr>
          <w:szCs w:val="19"/>
        </w:rPr>
      </w:pPr>
      <w:r w:rsidRPr="00B83952">
        <w:t>I</w:t>
      </w:r>
      <w:r w:rsidR="00332C74" w:rsidRPr="00B83952">
        <w:t>n relation to developing unobservable inputs</w:t>
      </w:r>
      <w:r w:rsidRPr="00B83952">
        <w:t>,</w:t>
      </w:r>
      <w:r w:rsidR="00332C74" w:rsidRPr="00B83952">
        <w:t xml:space="preserve"> </w:t>
      </w:r>
      <w:r w:rsidRPr="00B83952">
        <w:t>paragraph 89 of AASB</w:t>
      </w:r>
      <w:r w:rsidR="00BC5143" w:rsidRPr="00B83952">
        <w:t> </w:t>
      </w:r>
      <w:r w:rsidRPr="00B83952">
        <w:t xml:space="preserve">13 </w:t>
      </w:r>
      <w:r w:rsidR="00332C74" w:rsidRPr="00B83952">
        <w:t>states that</w:t>
      </w:r>
      <w:r w:rsidR="007B534E" w:rsidRPr="00B83952">
        <w:t>:</w:t>
      </w:r>
      <w:r w:rsidR="00332C74" w:rsidRPr="00B83952">
        <w:t xml:space="preserve"> </w:t>
      </w:r>
    </w:p>
    <w:p w14:paraId="58C037DF" w14:textId="24051188" w:rsidR="007B534E" w:rsidRPr="00B83952" w:rsidRDefault="007B534E" w:rsidP="00D1491A">
      <w:pPr>
        <w:pStyle w:val="NumBC1"/>
        <w:numPr>
          <w:ilvl w:val="0"/>
          <w:numId w:val="0"/>
        </w:numPr>
        <w:ind w:left="1565"/>
      </w:pPr>
      <w:r w:rsidRPr="00B83952">
        <w:t xml:space="preserve">An entity shall develop unobservable inputs using the best information available in the circumstances, which might include the entity’s own data. In developing unobservable inputs, </w:t>
      </w:r>
      <w:r w:rsidRPr="00B83952">
        <w:rPr>
          <w:b/>
          <w:bCs/>
        </w:rPr>
        <w:t>an entity may begin with its own data</w:t>
      </w:r>
      <w:r w:rsidRPr="00B83952">
        <w:t xml:space="preserve">, but it shall </w:t>
      </w:r>
      <w:r w:rsidRPr="00B83952">
        <w:rPr>
          <w:b/>
          <w:bCs/>
        </w:rPr>
        <w:t>adjust those data if reasonably available information indicates that other market participants would use different data</w:t>
      </w:r>
      <w:r w:rsidRPr="00B83952">
        <w:t xml:space="preserve"> or there is something particular to the entity that is not available to other market participants (eg an entity-specific synergy). An entity need not undertake exhaustive efforts to obtain information about market participant assumptions. However, an entity shall take into account all information about market participant assumptions that is reasonably available. </w:t>
      </w:r>
      <w:r w:rsidRPr="00B83952">
        <w:rPr>
          <w:b/>
          <w:bCs/>
        </w:rPr>
        <w:t>Unobservable inputs developed in the manner described above are considered market participant assumptions and meet the objective of a fair value measurement</w:t>
      </w:r>
      <w:r w:rsidRPr="00B83952">
        <w:t xml:space="preserve">. </w:t>
      </w:r>
      <w:r w:rsidR="000E5687" w:rsidRPr="00B83952">
        <w:t>[emphasis added]</w:t>
      </w:r>
    </w:p>
    <w:p w14:paraId="5F067012" w14:textId="2AEC5CD5" w:rsidR="00DF758E" w:rsidRPr="00B83952" w:rsidRDefault="003B0C39" w:rsidP="003276D3">
      <w:pPr>
        <w:pStyle w:val="NumBC1"/>
      </w:pPr>
      <w:bookmarkStart w:id="127" w:name="_Ref120245715"/>
      <w:r w:rsidRPr="00B83952">
        <w:lastRenderedPageBreak/>
        <w:t>P</w:t>
      </w:r>
      <w:r w:rsidR="00A54CC0" w:rsidRPr="00B83952">
        <w:t>aragraph</w:t>
      </w:r>
      <w:r w:rsidR="006C6AB6" w:rsidRPr="00B83952">
        <w:t xml:space="preserve"> 89 </w:t>
      </w:r>
      <w:r w:rsidRPr="00B83952">
        <w:t xml:space="preserve">of AASB 13 </w:t>
      </w:r>
      <w:r w:rsidR="009F026C" w:rsidRPr="00B83952">
        <w:t>permits</w:t>
      </w:r>
      <w:r w:rsidR="006C6AB6" w:rsidRPr="00B83952">
        <w:t xml:space="preserve"> </w:t>
      </w:r>
      <w:r w:rsidR="004D5BBA" w:rsidRPr="00B83952">
        <w:t xml:space="preserve">the use of an entity’s own data </w:t>
      </w:r>
      <w:r w:rsidR="00E420A1" w:rsidRPr="00B83952">
        <w:t xml:space="preserve">in developing </w:t>
      </w:r>
      <w:r w:rsidR="004D5BBA" w:rsidRPr="00B83952">
        <w:t>unobservable</w:t>
      </w:r>
      <w:r w:rsidR="00E420A1" w:rsidRPr="00B83952">
        <w:t xml:space="preserve"> inputs</w:t>
      </w:r>
      <w:r w:rsidR="004D5BBA" w:rsidRPr="00B83952">
        <w:t xml:space="preserve">. </w:t>
      </w:r>
      <w:bookmarkStart w:id="128" w:name="_Ref93574245"/>
      <w:bookmarkStart w:id="129" w:name="_Ref94181762"/>
      <w:r w:rsidR="00BF1F91" w:rsidRPr="00B83952">
        <w:t>I</w:t>
      </w:r>
      <w:r w:rsidR="00DF758E" w:rsidRPr="00B83952">
        <w:t xml:space="preserve">n relation to applying the principle </w:t>
      </w:r>
      <w:r w:rsidR="00007D0B" w:rsidRPr="00B83952">
        <w:t xml:space="preserve">noted </w:t>
      </w:r>
      <w:r w:rsidR="00DF758E" w:rsidRPr="00B83952">
        <w:t>in paragraph </w:t>
      </w:r>
      <w:r w:rsidR="00DF758E" w:rsidRPr="00B83952">
        <w:fldChar w:fldCharType="begin"/>
      </w:r>
      <w:r w:rsidR="00DF758E" w:rsidRPr="00B83952">
        <w:instrText xml:space="preserve"> REF _Ref93317777 \r \h  \* MERGEFORMAT </w:instrText>
      </w:r>
      <w:r w:rsidR="00DF758E" w:rsidRPr="00B83952">
        <w:fldChar w:fldCharType="separate"/>
      </w:r>
      <w:r w:rsidR="005A1B65">
        <w:t>BC122</w:t>
      </w:r>
      <w:r w:rsidR="00DF758E" w:rsidRPr="00B83952">
        <w:fldChar w:fldCharType="end"/>
      </w:r>
      <w:r w:rsidR="00DF758E" w:rsidRPr="00B83952">
        <w:t xml:space="preserve">, the Board </w:t>
      </w:r>
      <w:r w:rsidR="00EB1437" w:rsidRPr="00B83952">
        <w:t xml:space="preserve">decided </w:t>
      </w:r>
      <w:r w:rsidR="00DF758E" w:rsidRPr="00B83952">
        <w:t>to</w:t>
      </w:r>
      <w:r w:rsidR="00D44C5E" w:rsidRPr="00B83952">
        <w:t xml:space="preserve"> </w:t>
      </w:r>
      <w:r w:rsidR="00CF121F" w:rsidRPr="00B83952">
        <w:t xml:space="preserve">add </w:t>
      </w:r>
      <w:r w:rsidR="00EB1437" w:rsidRPr="00B83952">
        <w:t>implementation guidance</w:t>
      </w:r>
      <w:r w:rsidR="00CF121F" w:rsidRPr="00B83952">
        <w:t xml:space="preserve"> </w:t>
      </w:r>
      <w:r w:rsidR="0045528A" w:rsidRPr="00B83952">
        <w:t xml:space="preserve">clarifying </w:t>
      </w:r>
      <w:r w:rsidR="00D44C5E" w:rsidRPr="00B83952">
        <w:t>paragraph 89</w:t>
      </w:r>
      <w:r w:rsidR="00EB1437" w:rsidRPr="00B83952">
        <w:t xml:space="preserve"> </w:t>
      </w:r>
      <w:r w:rsidR="00381E9F" w:rsidRPr="00B83952">
        <w:t xml:space="preserve">of AASB 13 </w:t>
      </w:r>
      <w:r w:rsidR="00EB1437" w:rsidRPr="00B83952">
        <w:t>by</w:t>
      </w:r>
      <w:r w:rsidR="00DF758E" w:rsidRPr="00B83952">
        <w:t>:</w:t>
      </w:r>
      <w:bookmarkEnd w:id="127"/>
      <w:bookmarkEnd w:id="128"/>
      <w:bookmarkEnd w:id="129"/>
    </w:p>
    <w:p w14:paraId="03028F76" w14:textId="41E26C39" w:rsidR="007612B8" w:rsidRPr="00B83952" w:rsidRDefault="00054DB4" w:rsidP="003276D3">
      <w:pPr>
        <w:pStyle w:val="NumBC2"/>
      </w:pPr>
      <w:r w:rsidRPr="00B83952">
        <w:t>re-express</w:t>
      </w:r>
      <w:r w:rsidR="00EB1437" w:rsidRPr="00B83952">
        <w:t>ing</w:t>
      </w:r>
      <w:r w:rsidRPr="00B83952">
        <w:t xml:space="preserve"> </w:t>
      </w:r>
      <w:r w:rsidR="00D84072" w:rsidRPr="00B83952">
        <w:t xml:space="preserve">the </w:t>
      </w:r>
      <w:r w:rsidR="00EF2204" w:rsidRPr="00B83952">
        <w:t xml:space="preserve">requirements </w:t>
      </w:r>
      <w:r w:rsidR="00AF0EF8" w:rsidRPr="00B83952">
        <w:t xml:space="preserve">of </w:t>
      </w:r>
      <w:r w:rsidR="00EB1437" w:rsidRPr="00B83952">
        <w:t xml:space="preserve">that </w:t>
      </w:r>
      <w:r w:rsidR="00A54CC0" w:rsidRPr="00B83952">
        <w:t>paragraph</w:t>
      </w:r>
      <w:r w:rsidR="00EB1437" w:rsidRPr="00B83952">
        <w:t>,</w:t>
      </w:r>
      <w:r w:rsidR="00137885" w:rsidRPr="00B83952">
        <w:t xml:space="preserve"> </w:t>
      </w:r>
      <w:r w:rsidR="00EB5A54" w:rsidRPr="00B83952">
        <w:t xml:space="preserve">so that an entity’s own </w:t>
      </w:r>
      <w:r w:rsidR="00E15EA3" w:rsidRPr="00B83952">
        <w:t xml:space="preserve">assumptions are </w:t>
      </w:r>
      <w:r w:rsidR="00EB5A54" w:rsidRPr="00B83952">
        <w:t xml:space="preserve">required to be used at a starting point </w:t>
      </w:r>
      <w:r w:rsidR="00FF1B1B" w:rsidRPr="00B83952">
        <w:t xml:space="preserve">if </w:t>
      </w:r>
      <w:r w:rsidR="00B73566" w:rsidRPr="00B83952">
        <w:t xml:space="preserve">some </w:t>
      </w:r>
      <w:r w:rsidR="00AA3DDD" w:rsidRPr="00B83952">
        <w:t xml:space="preserve">relevant information about </w:t>
      </w:r>
      <w:r w:rsidR="00D31E6D" w:rsidRPr="00B83952">
        <w:t xml:space="preserve">other </w:t>
      </w:r>
      <w:r w:rsidR="00AA3DDD" w:rsidRPr="00B83952">
        <w:t xml:space="preserve">market participant assumptions </w:t>
      </w:r>
      <w:r w:rsidR="006302F1" w:rsidRPr="00B83952">
        <w:t xml:space="preserve">needed to estimate the fair value of the asset </w:t>
      </w:r>
      <w:r w:rsidR="00AA3DDD" w:rsidRPr="00B83952">
        <w:t xml:space="preserve">is </w:t>
      </w:r>
      <w:r w:rsidR="00B73566" w:rsidRPr="00B83952">
        <w:t xml:space="preserve">not </w:t>
      </w:r>
      <w:r w:rsidR="00AA3DDD" w:rsidRPr="00B83952">
        <w:t>reasonably available</w:t>
      </w:r>
      <w:r w:rsidR="007612B8" w:rsidRPr="00B83952">
        <w:t>;</w:t>
      </w:r>
    </w:p>
    <w:p w14:paraId="2C86388E" w14:textId="265E9828" w:rsidR="00DF758E" w:rsidRPr="00B83952" w:rsidRDefault="00F414CC" w:rsidP="003276D3">
      <w:pPr>
        <w:pStyle w:val="NumBC2"/>
      </w:pPr>
      <w:r w:rsidRPr="00B83952">
        <w:t>retain</w:t>
      </w:r>
      <w:r w:rsidR="007F6099" w:rsidRPr="00B83952">
        <w:t>ing</w:t>
      </w:r>
      <w:r w:rsidRPr="00B83952">
        <w:t xml:space="preserve"> the</w:t>
      </w:r>
      <w:r w:rsidR="00F002EB" w:rsidRPr="00B83952">
        <w:t xml:space="preserve"> require</w:t>
      </w:r>
      <w:r w:rsidRPr="00B83952">
        <w:t>ment for</w:t>
      </w:r>
      <w:r w:rsidR="00F002EB" w:rsidRPr="00B83952">
        <w:t xml:space="preserve"> a not-for-profit </w:t>
      </w:r>
      <w:r w:rsidRPr="00B83952">
        <w:t xml:space="preserve">public sector </w:t>
      </w:r>
      <w:r w:rsidR="00F002EB" w:rsidRPr="00B83952">
        <w:t xml:space="preserve">entity </w:t>
      </w:r>
      <w:r w:rsidRPr="00B83952">
        <w:t>to</w:t>
      </w:r>
      <w:r w:rsidR="008C3FA7" w:rsidRPr="00B83952">
        <w:t xml:space="preserve"> </w:t>
      </w:r>
      <w:r w:rsidR="00DF758E" w:rsidRPr="00B83952">
        <w:t>adjust</w:t>
      </w:r>
      <w:r w:rsidR="008C3FA7" w:rsidRPr="00B83952">
        <w:t xml:space="preserve"> </w:t>
      </w:r>
      <w:r w:rsidRPr="00B83952">
        <w:t xml:space="preserve">its </w:t>
      </w:r>
      <w:r w:rsidR="00BF74DC" w:rsidRPr="00B83952">
        <w:t xml:space="preserve">own </w:t>
      </w:r>
      <w:r w:rsidRPr="00B83952">
        <w:t>data</w:t>
      </w:r>
      <w:r w:rsidR="008C3FA7" w:rsidRPr="00B83952">
        <w:t xml:space="preserve"> if reasonably available information indicates that other market participants would use different data or there is something particular to the entity that is not available to other market participants (</w:t>
      </w:r>
      <w:r w:rsidR="003E50C6" w:rsidRPr="00B83952">
        <w:t>eg</w:t>
      </w:r>
      <w:r w:rsidR="008C3FA7" w:rsidRPr="00B83952">
        <w:t xml:space="preserve"> an entity-specific synergy)</w:t>
      </w:r>
      <w:r w:rsidR="00DF758E" w:rsidRPr="00B83952">
        <w:t xml:space="preserve">. This would preclude an entity from using its own unadjusted data where those data are inconsistent with reasonably available information about the inputs that </w:t>
      </w:r>
      <w:r w:rsidR="008751E0" w:rsidRPr="00B83952">
        <w:t xml:space="preserve">other </w:t>
      </w:r>
      <w:r w:rsidR="00DF758E" w:rsidRPr="00B83952">
        <w:t>market participants (</w:t>
      </w:r>
      <w:r w:rsidR="003E50C6" w:rsidRPr="00B83952">
        <w:t>eg</w:t>
      </w:r>
      <w:r w:rsidR="00DF758E" w:rsidRPr="00B83952">
        <w:t xml:space="preserve"> other not-for-profit public sector entities, such as other local governments) would use in pricing the asset; and</w:t>
      </w:r>
    </w:p>
    <w:p w14:paraId="34347BE6" w14:textId="48839DA5" w:rsidR="00DF758E" w:rsidRPr="00B83952" w:rsidRDefault="00DF758E" w:rsidP="003276D3">
      <w:pPr>
        <w:pStyle w:val="NumBC2"/>
      </w:pPr>
      <w:r w:rsidRPr="00B83952">
        <w:t>replicat</w:t>
      </w:r>
      <w:r w:rsidR="00326756" w:rsidRPr="00B83952">
        <w:t>ing</w:t>
      </w:r>
      <w:r w:rsidRPr="00B83952">
        <w:t xml:space="preserve"> the</w:t>
      </w:r>
      <w:r w:rsidR="00466892" w:rsidRPr="00B83952">
        <w:t xml:space="preserve"> statement</w:t>
      </w:r>
      <w:r w:rsidRPr="00B83952">
        <w:t xml:space="preserve"> in </w:t>
      </w:r>
      <w:r w:rsidR="00A54CC0" w:rsidRPr="00B83952">
        <w:t>paragraph</w:t>
      </w:r>
      <w:r w:rsidR="00092A2F" w:rsidRPr="00B83952">
        <w:t xml:space="preserve"> 89 </w:t>
      </w:r>
      <w:r w:rsidR="00E73C4D" w:rsidRPr="00B83952">
        <w:t xml:space="preserve">of AASB 13 </w:t>
      </w:r>
      <w:r w:rsidRPr="00B83952">
        <w:t xml:space="preserve">that an entity need not undertake exhaustive efforts to obtain information about </w:t>
      </w:r>
      <w:r w:rsidR="005C73E5" w:rsidRPr="00B83952">
        <w:t xml:space="preserve">other </w:t>
      </w:r>
      <w:r w:rsidRPr="00B83952">
        <w:t>market participant assumptions.</w:t>
      </w:r>
    </w:p>
    <w:p w14:paraId="367F342F" w14:textId="7687497B" w:rsidR="00DE2CF4" w:rsidRPr="00B83952" w:rsidRDefault="00DE2CF4" w:rsidP="003276D3">
      <w:pPr>
        <w:pStyle w:val="NumBC1"/>
      </w:pPr>
      <w:bookmarkStart w:id="130" w:name="_Ref94181883"/>
      <w:r w:rsidRPr="00B83952">
        <w:t>In relation to paragraph </w:t>
      </w:r>
      <w:r w:rsidRPr="00B83952">
        <w:fldChar w:fldCharType="begin"/>
      </w:r>
      <w:r w:rsidRPr="00B83952">
        <w:instrText xml:space="preserve"> REF _Ref120245715 \r \h </w:instrText>
      </w:r>
      <w:r w:rsidRPr="00B83952">
        <w:fldChar w:fldCharType="separate"/>
      </w:r>
      <w:r w:rsidR="005A1B65">
        <w:t>BC127</w:t>
      </w:r>
      <w:r w:rsidRPr="00B83952">
        <w:fldChar w:fldCharType="end"/>
      </w:r>
      <w:r w:rsidRPr="00B83952">
        <w:t xml:space="preserve">(b), the use of data about the inputs that other not-for-profit public sector </w:t>
      </w:r>
      <w:r w:rsidR="008C637A" w:rsidRPr="00B83952">
        <w:t xml:space="preserve">market participants </w:t>
      </w:r>
      <w:r w:rsidRPr="00B83952">
        <w:t xml:space="preserve">would use in pricing the asset is based on the hypothetical assumption that </w:t>
      </w:r>
      <w:r w:rsidR="008C637A" w:rsidRPr="00B83952">
        <w:t xml:space="preserve">such market participants would </w:t>
      </w:r>
      <w:r w:rsidRPr="00B83952">
        <w:t>acquire the not-for-profit public sector reporting entity’s</w:t>
      </w:r>
      <w:r w:rsidR="0058204D" w:rsidRPr="00B83952">
        <w:t xml:space="preserve"> assets</w:t>
      </w:r>
      <w:r w:rsidR="00366DF6" w:rsidRPr="00B83952">
        <w:t xml:space="preserve">; it is not necessary that such an acquisition will actually occur. Where other not-for-profit public sector </w:t>
      </w:r>
      <w:r w:rsidR="00210574" w:rsidRPr="00B83952">
        <w:t xml:space="preserve">entities </w:t>
      </w:r>
      <w:r w:rsidR="00366DF6" w:rsidRPr="00B83952">
        <w:t xml:space="preserve">have comparable assets, information </w:t>
      </w:r>
      <w:r w:rsidR="00A404C4" w:rsidRPr="00B83952">
        <w:t xml:space="preserve">reasonably </w:t>
      </w:r>
      <w:r w:rsidR="00220CFD" w:rsidRPr="00B83952">
        <w:t xml:space="preserve">available to valuers </w:t>
      </w:r>
      <w:r w:rsidR="00997715" w:rsidRPr="00B83952">
        <w:t xml:space="preserve">about those assets </w:t>
      </w:r>
      <w:r w:rsidR="00A404C4" w:rsidRPr="00B83952">
        <w:t>enables valuers to assess whether other market participants would use different data from the entity’s own data.</w:t>
      </w:r>
    </w:p>
    <w:p w14:paraId="6EC9447C" w14:textId="73E86D67" w:rsidR="00154BD2" w:rsidRPr="00B83952" w:rsidRDefault="002C3885" w:rsidP="003276D3">
      <w:pPr>
        <w:pStyle w:val="NumBC1"/>
      </w:pPr>
      <w:r w:rsidRPr="00B83952">
        <w:t xml:space="preserve">Adding </w:t>
      </w:r>
      <w:r w:rsidR="004F5398" w:rsidRPr="00B83952">
        <w:t>paragraphs</w:t>
      </w:r>
      <w:r w:rsidR="00D86E87" w:rsidRPr="00B83952">
        <w:t> </w:t>
      </w:r>
      <w:r w:rsidR="0086409C" w:rsidRPr="00B83952">
        <w:fldChar w:fldCharType="begin"/>
      </w:r>
      <w:r w:rsidR="0086409C" w:rsidRPr="00B83952">
        <w:instrText xml:space="preserve"> REF _Ref115100654 \r \h </w:instrText>
      </w:r>
      <w:r w:rsidR="0086409C" w:rsidRPr="00B83952">
        <w:fldChar w:fldCharType="separate"/>
      </w:r>
      <w:r w:rsidR="005A1B65">
        <w:t>F5</w:t>
      </w:r>
      <w:r w:rsidR="0086409C" w:rsidRPr="00B83952">
        <w:fldChar w:fldCharType="end"/>
      </w:r>
      <w:r w:rsidR="00D86E87" w:rsidRPr="00B83952">
        <w:t>–</w:t>
      </w:r>
      <w:r w:rsidR="0086409C" w:rsidRPr="00B83952">
        <w:fldChar w:fldCharType="begin"/>
      </w:r>
      <w:r w:rsidR="0086409C" w:rsidRPr="00B83952">
        <w:instrText xml:space="preserve"> REF _Ref116440349 \r \h </w:instrText>
      </w:r>
      <w:r w:rsidR="0086409C" w:rsidRPr="00B83952">
        <w:fldChar w:fldCharType="separate"/>
      </w:r>
      <w:r w:rsidR="005A1B65">
        <w:t>F7</w:t>
      </w:r>
      <w:r w:rsidR="0086409C" w:rsidRPr="00B83952">
        <w:fldChar w:fldCharType="end"/>
      </w:r>
      <w:r w:rsidR="004F5398" w:rsidRPr="00B83952">
        <w:t xml:space="preserve"> to </w:t>
      </w:r>
      <w:r w:rsidR="008713FA" w:rsidRPr="00B83952">
        <w:t>AASB 13 is justified in</w:t>
      </w:r>
      <w:r w:rsidR="00AE6CEC" w:rsidRPr="00B83952">
        <w:t xml:space="preserve"> accordance with paragraphs 24(a)(iii) and 30(h) of the </w:t>
      </w:r>
      <w:r w:rsidR="00AE6CEC" w:rsidRPr="00B83952">
        <w:rPr>
          <w:i/>
          <w:iCs/>
        </w:rPr>
        <w:t>AASB Not-for-Profit Entity Standard-Setting Framework</w:t>
      </w:r>
      <w:r w:rsidR="00AE6CEC" w:rsidRPr="00B83952">
        <w:t xml:space="preserve">, </w:t>
      </w:r>
      <w:r w:rsidR="00760831" w:rsidRPr="00B83952">
        <w:t xml:space="preserve">to </w:t>
      </w:r>
      <w:r w:rsidR="00072B98" w:rsidRPr="00B83952">
        <w:t xml:space="preserve">reduce the potential for confusion regarding when the search for assumptions of other market participants ends, and in turn reduce the cost and effort required to identify which market participant assumptions to use in measuring the fair value of non-financial assets </w:t>
      </w:r>
      <w:r w:rsidR="00154BD2" w:rsidRPr="00B83952">
        <w:t xml:space="preserve">of </w:t>
      </w:r>
      <w:r w:rsidR="00D75C02" w:rsidRPr="00B83952">
        <w:t>not-for-profit</w:t>
      </w:r>
      <w:r w:rsidR="00154BD2" w:rsidRPr="00B83952">
        <w:t xml:space="preserve"> public sector entities not held primarily for their ability to generate net cash inflows. This </w:t>
      </w:r>
      <w:r w:rsidR="009610F6" w:rsidRPr="00B83952">
        <w:t>is because</w:t>
      </w:r>
      <w:r w:rsidR="00375ADE" w:rsidRPr="00B83952">
        <w:t xml:space="preserve">, unlike paragraph 89 of AASB 13, </w:t>
      </w:r>
      <w:r w:rsidR="00F0669E" w:rsidRPr="00B83952">
        <w:t>paragraphs </w:t>
      </w:r>
      <w:r w:rsidR="007404DA" w:rsidRPr="00B83952">
        <w:fldChar w:fldCharType="begin"/>
      </w:r>
      <w:r w:rsidR="007404DA" w:rsidRPr="00B83952">
        <w:instrText xml:space="preserve"> REF _Ref115100654 \r \h </w:instrText>
      </w:r>
      <w:r w:rsidR="007404DA" w:rsidRPr="00B83952">
        <w:fldChar w:fldCharType="separate"/>
      </w:r>
      <w:r w:rsidR="005A1B65">
        <w:t>F5</w:t>
      </w:r>
      <w:r w:rsidR="007404DA" w:rsidRPr="00B83952">
        <w:fldChar w:fldCharType="end"/>
      </w:r>
      <w:r w:rsidR="00F0669E" w:rsidRPr="00B83952">
        <w:t xml:space="preserve"> and </w:t>
      </w:r>
      <w:r w:rsidR="007404DA" w:rsidRPr="00B83952">
        <w:fldChar w:fldCharType="begin"/>
      </w:r>
      <w:r w:rsidR="007404DA" w:rsidRPr="00B83952">
        <w:instrText xml:space="preserve"> REF _Ref115161595 \r \h </w:instrText>
      </w:r>
      <w:r w:rsidR="007404DA" w:rsidRPr="00B83952">
        <w:fldChar w:fldCharType="separate"/>
      </w:r>
      <w:r w:rsidR="005A1B65">
        <w:t>F6</w:t>
      </w:r>
      <w:r w:rsidR="007404DA" w:rsidRPr="00B83952">
        <w:fldChar w:fldCharType="end"/>
      </w:r>
      <w:r w:rsidR="00F0669E" w:rsidRPr="00B83952">
        <w:t xml:space="preserve"> </w:t>
      </w:r>
      <w:r w:rsidR="00375ADE" w:rsidRPr="00B83952">
        <w:t>state that</w:t>
      </w:r>
      <w:r w:rsidR="00154BD2" w:rsidRPr="00B83952">
        <w:t>:</w:t>
      </w:r>
      <w:bookmarkEnd w:id="130"/>
    </w:p>
    <w:p w14:paraId="1E4A9E25" w14:textId="298EAFCA" w:rsidR="002C25C9" w:rsidRPr="00B83952" w:rsidRDefault="00FB03A3" w:rsidP="003276D3">
      <w:pPr>
        <w:pStyle w:val="NumBC2"/>
      </w:pPr>
      <w:r w:rsidRPr="00B83952">
        <w:t xml:space="preserve">if </w:t>
      </w:r>
      <w:r w:rsidR="00E22A0C" w:rsidRPr="00B83952">
        <w:t>some</w:t>
      </w:r>
      <w:r w:rsidRPr="00B83952">
        <w:t xml:space="preserve"> data of other market </w:t>
      </w:r>
      <w:r w:rsidR="00854A6D" w:rsidRPr="00B83952">
        <w:t>participants</w:t>
      </w:r>
      <w:r w:rsidRPr="00B83952">
        <w:t xml:space="preserve"> to measure the fair value of an asset are </w:t>
      </w:r>
      <w:r w:rsidR="00D16071" w:rsidRPr="00B83952">
        <w:t xml:space="preserve">not </w:t>
      </w:r>
      <w:r w:rsidRPr="00B83952">
        <w:t xml:space="preserve">observable, </w:t>
      </w:r>
      <w:r w:rsidR="004D13CD" w:rsidRPr="00B83952">
        <w:t xml:space="preserve">the entity uses its own assumptions as a starting point and adjusts them </w:t>
      </w:r>
      <w:r w:rsidR="003E0621" w:rsidRPr="00B83952">
        <w:t xml:space="preserve">to the extent that </w:t>
      </w:r>
      <w:r w:rsidR="004D13CD" w:rsidRPr="00B83952">
        <w:t xml:space="preserve">reasonably available information indicates that other market participants would use different data; </w:t>
      </w:r>
      <w:r w:rsidR="00683F01" w:rsidRPr="00B83952">
        <w:t>and</w:t>
      </w:r>
    </w:p>
    <w:p w14:paraId="723BCCC6" w14:textId="28B3A0A7" w:rsidR="00154BD2" w:rsidRPr="00B83952" w:rsidRDefault="00C52E54" w:rsidP="003276D3">
      <w:pPr>
        <w:pStyle w:val="NumBC2"/>
      </w:pPr>
      <w:r w:rsidRPr="00B83952">
        <w:t xml:space="preserve">to the extent that </w:t>
      </w:r>
      <w:r w:rsidR="00294162" w:rsidRPr="00B83952">
        <w:t xml:space="preserve">relevant information about </w:t>
      </w:r>
      <w:r w:rsidR="0066481E" w:rsidRPr="00B83952">
        <w:t xml:space="preserve">the assumptions of other market participants is </w:t>
      </w:r>
      <w:r w:rsidRPr="00B83952">
        <w:t xml:space="preserve">not </w:t>
      </w:r>
      <w:r w:rsidR="0066481E" w:rsidRPr="00B83952">
        <w:t>reasonably available</w:t>
      </w:r>
      <w:r w:rsidR="00294162" w:rsidRPr="00B83952">
        <w:t xml:space="preserve">, the entity would use its own data to estimate the fair value of the asset without the need to incur exhaustive efforts to identify </w:t>
      </w:r>
      <w:r w:rsidR="00725005" w:rsidRPr="00B83952">
        <w:t xml:space="preserve">other </w:t>
      </w:r>
      <w:r w:rsidR="00294162" w:rsidRPr="00B83952">
        <w:t>market participant data</w:t>
      </w:r>
      <w:r w:rsidR="00154BD2" w:rsidRPr="00B83952">
        <w:t xml:space="preserve">. </w:t>
      </w:r>
    </w:p>
    <w:p w14:paraId="494B5E03" w14:textId="2062E51B" w:rsidR="00E03966" w:rsidRPr="00B83952" w:rsidRDefault="00683F01" w:rsidP="003276D3">
      <w:pPr>
        <w:pStyle w:val="NumBC1"/>
      </w:pPr>
      <w:r w:rsidRPr="00B83952">
        <w:t xml:space="preserve">In addition, </w:t>
      </w:r>
      <w:r w:rsidR="00911E49" w:rsidRPr="00B83952">
        <w:t>paragraphs </w:t>
      </w:r>
      <w:r w:rsidR="003C59FF" w:rsidRPr="00B83952">
        <w:fldChar w:fldCharType="begin"/>
      </w:r>
      <w:r w:rsidR="003C59FF" w:rsidRPr="00B83952">
        <w:instrText xml:space="preserve"> REF _Ref115100654 \r \h </w:instrText>
      </w:r>
      <w:r w:rsidR="003C59FF" w:rsidRPr="00B83952">
        <w:fldChar w:fldCharType="separate"/>
      </w:r>
      <w:r w:rsidR="005A1B65">
        <w:t>F5</w:t>
      </w:r>
      <w:r w:rsidR="003C59FF" w:rsidRPr="00B83952">
        <w:fldChar w:fldCharType="end"/>
      </w:r>
      <w:r w:rsidR="003C59FF" w:rsidRPr="00B83952">
        <w:t>–</w:t>
      </w:r>
      <w:r w:rsidR="00F439C8" w:rsidRPr="00B83952">
        <w:fldChar w:fldCharType="begin"/>
      </w:r>
      <w:r w:rsidR="00F439C8" w:rsidRPr="00B83952">
        <w:instrText xml:space="preserve"> REF _Ref116440349 \r \h </w:instrText>
      </w:r>
      <w:r w:rsidR="00F439C8" w:rsidRPr="00B83952">
        <w:fldChar w:fldCharType="separate"/>
      </w:r>
      <w:r w:rsidR="005A1B65">
        <w:t>F7</w:t>
      </w:r>
      <w:r w:rsidR="00F439C8" w:rsidRPr="00B83952">
        <w:fldChar w:fldCharType="end"/>
      </w:r>
      <w:r w:rsidR="003C59FF" w:rsidRPr="00B83952">
        <w:t xml:space="preserve"> </w:t>
      </w:r>
      <w:r w:rsidR="00911E49" w:rsidRPr="00B83952">
        <w:t xml:space="preserve">should </w:t>
      </w:r>
      <w:r w:rsidR="00B2702D" w:rsidRPr="00B83952">
        <w:t>be clearer and more straight</w:t>
      </w:r>
      <w:r w:rsidR="005037EC" w:rsidRPr="00B83952">
        <w:t xml:space="preserve"> </w:t>
      </w:r>
      <w:r w:rsidR="00B2702D" w:rsidRPr="00B83952">
        <w:t xml:space="preserve">forward to apply than paragraph 89 of AASB 13 alone, </w:t>
      </w:r>
      <w:r w:rsidR="00911E49" w:rsidRPr="00B83952">
        <w:t xml:space="preserve">by </w:t>
      </w:r>
      <w:r w:rsidR="00B2702D" w:rsidRPr="00B83952">
        <w:t xml:space="preserve">treating </w:t>
      </w:r>
      <w:r w:rsidR="00E03966" w:rsidRPr="00B83952">
        <w:t xml:space="preserve">the reasonable availability of other market participant data </w:t>
      </w:r>
      <w:r w:rsidR="00B2702D" w:rsidRPr="00B83952">
        <w:t xml:space="preserve">as a </w:t>
      </w:r>
      <w:r w:rsidR="00E03966" w:rsidRPr="00B83952">
        <w:t>criterion for amending the entity’s own assumptions, thus stipulating a process</w:t>
      </w:r>
      <w:r w:rsidR="00FC6C5D" w:rsidRPr="00B83952">
        <w:t xml:space="preserve"> with two distinct steps</w:t>
      </w:r>
      <w:r w:rsidR="00E03966" w:rsidRPr="00B83952">
        <w:t xml:space="preserve">. </w:t>
      </w:r>
      <w:r w:rsidR="00B2702D" w:rsidRPr="00B83952">
        <w:t>P</w:t>
      </w:r>
      <w:r w:rsidR="00E03966" w:rsidRPr="00B83952">
        <w:t xml:space="preserve">aragraph 89 </w:t>
      </w:r>
      <w:r w:rsidR="00EF0C5C" w:rsidRPr="00B83952">
        <w:t xml:space="preserve">of AASB 13 refers to </w:t>
      </w:r>
      <w:r w:rsidR="00B54F85" w:rsidRPr="00B83952">
        <w:t>an entity needing to take into account all information about market participant assumptions that is reasonably available</w:t>
      </w:r>
      <w:r w:rsidR="005B5414" w:rsidRPr="00B83952">
        <w:t xml:space="preserve">, without </w:t>
      </w:r>
      <w:r w:rsidR="00AD696F" w:rsidRPr="00B83952">
        <w:t xml:space="preserve">indicating </w:t>
      </w:r>
      <w:r w:rsidR="00FC6C5D" w:rsidRPr="00B83952">
        <w:t xml:space="preserve">the sequence </w:t>
      </w:r>
      <w:r w:rsidR="00AD696F" w:rsidRPr="00B83952">
        <w:t>in which that information would be taken into account if an entity uses its own data as part of estimating an asset’s fair value.</w:t>
      </w:r>
    </w:p>
    <w:p w14:paraId="33852FB4" w14:textId="5185E58C" w:rsidR="0077393B" w:rsidRPr="00B83952" w:rsidRDefault="00B36FCC" w:rsidP="003276D3">
      <w:pPr>
        <w:pStyle w:val="NumBC1"/>
        <w:rPr>
          <w:szCs w:val="19"/>
        </w:rPr>
      </w:pPr>
      <w:r w:rsidRPr="00B83952">
        <w:t xml:space="preserve">The Board noted that respondents to </w:t>
      </w:r>
      <w:r w:rsidR="00980B24" w:rsidRPr="00B83952">
        <w:t>ED 320</w:t>
      </w:r>
      <w:r w:rsidRPr="00B83952">
        <w:t xml:space="preserve"> generally supported the Board’s proposed guidance, and decided to confirm that guidance with some editing for greater clarity. </w:t>
      </w:r>
    </w:p>
    <w:p w14:paraId="6CF63EC6" w14:textId="7164C7E2" w:rsidR="004055E4" w:rsidRPr="00B83952" w:rsidRDefault="00E85E00" w:rsidP="003276D3">
      <w:pPr>
        <w:pStyle w:val="NumBC1"/>
      </w:pPr>
      <w:r w:rsidRPr="00B83952">
        <w:t>T</w:t>
      </w:r>
      <w:r w:rsidR="005E25F1" w:rsidRPr="00B83952">
        <w:t xml:space="preserve">he Board observed that some stakeholders </w:t>
      </w:r>
      <w:r w:rsidRPr="00B83952">
        <w:t>commented</w:t>
      </w:r>
      <w:r w:rsidR="005E25F1" w:rsidRPr="00B83952">
        <w:t xml:space="preserve"> that </w:t>
      </w:r>
      <w:r w:rsidR="00B93C99" w:rsidRPr="00B83952">
        <w:t xml:space="preserve">infrastructure (eg roads, drainage and sewerage works), parliament houses, </w:t>
      </w:r>
      <w:r w:rsidR="00171731" w:rsidRPr="00B83952">
        <w:t xml:space="preserve">fire stations, police stations, </w:t>
      </w:r>
      <w:r w:rsidR="00B93C99" w:rsidRPr="00B83952">
        <w:t>war memorials, traffic or pedestrian facilities, and community facilities (eg toilet blocks)</w:t>
      </w:r>
      <w:r w:rsidR="00CF13B8" w:rsidRPr="00B83952">
        <w:t xml:space="preserve"> are </w:t>
      </w:r>
      <w:r w:rsidR="005677B6" w:rsidRPr="00B83952">
        <w:t xml:space="preserve">typical </w:t>
      </w:r>
      <w:r w:rsidR="00CF13B8" w:rsidRPr="00B83952">
        <w:t xml:space="preserve">assets </w:t>
      </w:r>
      <w:r w:rsidR="002D0191" w:rsidRPr="00B83952">
        <w:t xml:space="preserve">for </w:t>
      </w:r>
      <w:r w:rsidR="00CF13B8" w:rsidRPr="00B83952">
        <w:t>which information about other market participant assumptions often would neither be reasonably available nor indicate that those assumptions differ from the entity’s own assumptions</w:t>
      </w:r>
      <w:r w:rsidR="00B93C99" w:rsidRPr="00B83952">
        <w:t>.</w:t>
      </w:r>
      <w:r w:rsidR="00171731" w:rsidRPr="00B83952">
        <w:t xml:space="preserve"> However, the Board concluded it will depend on the</w:t>
      </w:r>
      <w:r w:rsidR="00D65BF6" w:rsidRPr="00B83952">
        <w:t xml:space="preserve"> facts and</w:t>
      </w:r>
      <w:r w:rsidR="00171731" w:rsidRPr="00B83952">
        <w:t xml:space="preserve"> circumstances of each non-financial asset whether it </w:t>
      </w:r>
      <w:r w:rsidR="00BC28B7" w:rsidRPr="00B83952">
        <w:t>exhibits neither of these characteristics.</w:t>
      </w:r>
    </w:p>
    <w:p w14:paraId="7B2BBE03" w14:textId="1721C05D" w:rsidR="00154BD2" w:rsidRPr="00B83952" w:rsidRDefault="00E256F9" w:rsidP="003276D3">
      <w:pPr>
        <w:pStyle w:val="NumBC1"/>
      </w:pPr>
      <w:r w:rsidRPr="00B83952">
        <w:t>T</w:t>
      </w:r>
      <w:r w:rsidR="00CD080D" w:rsidRPr="00B83952">
        <w:t xml:space="preserve">he Board </w:t>
      </w:r>
      <w:r w:rsidRPr="00B83952">
        <w:t xml:space="preserve">also considered </w:t>
      </w:r>
      <w:r w:rsidR="00CD080D" w:rsidRPr="00B83952">
        <w:t xml:space="preserve">a request from </w:t>
      </w:r>
      <w:r w:rsidR="000C3EBF" w:rsidRPr="00B83952">
        <w:t xml:space="preserve">ED </w:t>
      </w:r>
      <w:r w:rsidR="213A9496" w:rsidRPr="00B83952">
        <w:t xml:space="preserve">320 </w:t>
      </w:r>
      <w:r w:rsidR="00E20CCC" w:rsidRPr="00B83952">
        <w:t xml:space="preserve">respondents </w:t>
      </w:r>
      <w:r w:rsidR="00AE6CEC" w:rsidRPr="00B83952">
        <w:t xml:space="preserve">for clarification of </w:t>
      </w:r>
      <w:r w:rsidR="00CD080D" w:rsidRPr="00B83952">
        <w:t xml:space="preserve">whether the </w:t>
      </w:r>
      <w:r w:rsidR="00AB6E91" w:rsidRPr="00B83952">
        <w:t xml:space="preserve">proposed requirement to </w:t>
      </w:r>
      <w:r w:rsidR="00A206D1" w:rsidRPr="00B83952">
        <w:t>measure an asset’s fair value using the entity’s own assumptions as a starting point</w:t>
      </w:r>
      <w:r w:rsidR="00FC6C5D" w:rsidRPr="00B83952">
        <w:t xml:space="preserve"> would </w:t>
      </w:r>
      <w:r w:rsidR="00CD080D" w:rsidRPr="00B83952">
        <w:t>appl</w:t>
      </w:r>
      <w:r w:rsidR="00FC6C5D" w:rsidRPr="00B83952">
        <w:t>y</w:t>
      </w:r>
      <w:r w:rsidR="00CD080D" w:rsidRPr="00B83952">
        <w:t xml:space="preserve"> on a whole-of-asset basis or on a per-input </w:t>
      </w:r>
      <w:r w:rsidR="00FC6C5D" w:rsidRPr="00B83952">
        <w:t xml:space="preserve">basis </w:t>
      </w:r>
      <w:r w:rsidR="00CD080D" w:rsidRPr="00B83952">
        <w:t xml:space="preserve">to a fair value estimate. </w:t>
      </w:r>
      <w:r w:rsidR="00922749" w:rsidRPr="00B83952">
        <w:t>T</w:t>
      </w:r>
      <w:r w:rsidR="00FE3382" w:rsidRPr="00B83952">
        <w:t xml:space="preserve">he Board decided to clarify </w:t>
      </w:r>
      <w:r w:rsidR="00B45DA8" w:rsidRPr="00B83952">
        <w:t>in paragraph </w:t>
      </w:r>
      <w:r w:rsidRPr="00B83952">
        <w:fldChar w:fldCharType="begin"/>
      </w:r>
      <w:r w:rsidRPr="00B83952">
        <w:instrText xml:space="preserve"> REF _Ref116440349 \r \h </w:instrText>
      </w:r>
      <w:r w:rsidRPr="00B83952">
        <w:fldChar w:fldCharType="separate"/>
      </w:r>
      <w:r w:rsidR="005A1B65">
        <w:t>F7</w:t>
      </w:r>
      <w:r w:rsidRPr="00B83952">
        <w:fldChar w:fldCharType="end"/>
      </w:r>
      <w:r w:rsidR="00B45DA8" w:rsidRPr="00B83952">
        <w:t xml:space="preserve"> </w:t>
      </w:r>
      <w:r w:rsidR="00FE3382" w:rsidRPr="00B83952">
        <w:t xml:space="preserve">that, </w:t>
      </w:r>
      <w:r w:rsidR="00AE6CEC" w:rsidRPr="00B83952">
        <w:t xml:space="preserve">when some inputs </w:t>
      </w:r>
      <w:r w:rsidR="00FC3AA0" w:rsidRPr="00B83952">
        <w:t xml:space="preserve">to a fair value estimate are observable market data and other inputs are unobservable, </w:t>
      </w:r>
      <w:r w:rsidR="00C64EF0" w:rsidRPr="00B83952">
        <w:t xml:space="preserve">the </w:t>
      </w:r>
      <w:r w:rsidR="00AD6101" w:rsidRPr="00B83952">
        <w:t xml:space="preserve">unobservable inputs would be used for </w:t>
      </w:r>
      <w:r w:rsidR="00FE3382" w:rsidRPr="00B83952">
        <w:t xml:space="preserve">part of </w:t>
      </w:r>
      <w:r w:rsidR="00AD6101" w:rsidRPr="00B83952">
        <w:t xml:space="preserve">the asset’s fair value estimate. </w:t>
      </w:r>
      <w:r w:rsidR="009A6EDB" w:rsidRPr="00B83952">
        <w:t>Paragraph </w:t>
      </w:r>
      <w:r w:rsidRPr="00B83952">
        <w:fldChar w:fldCharType="begin"/>
      </w:r>
      <w:r w:rsidRPr="00B83952">
        <w:instrText xml:space="preserve"> REF _Ref116440349 \r \h </w:instrText>
      </w:r>
      <w:r w:rsidRPr="00B83952">
        <w:fldChar w:fldCharType="separate"/>
      </w:r>
      <w:r w:rsidR="005A1B65">
        <w:t>F7</w:t>
      </w:r>
      <w:r w:rsidRPr="00B83952">
        <w:fldChar w:fldCharType="end"/>
      </w:r>
      <w:r w:rsidR="009A6EDB" w:rsidRPr="00B83952">
        <w:t xml:space="preserve"> provides an example of a self-constructed specialised facility, </w:t>
      </w:r>
      <w:r w:rsidR="00AD6101" w:rsidRPr="00B83952">
        <w:t xml:space="preserve">the land component of </w:t>
      </w:r>
      <w:r w:rsidR="009A6EDB" w:rsidRPr="00B83952">
        <w:t xml:space="preserve">which has </w:t>
      </w:r>
      <w:r w:rsidR="00AD6101" w:rsidRPr="00B83952">
        <w:t>comparable land with an observable market price</w:t>
      </w:r>
      <w:r w:rsidR="00007FFC" w:rsidRPr="00B83952">
        <w:t xml:space="preserve">. If </w:t>
      </w:r>
      <w:r w:rsidR="00AD6101" w:rsidRPr="00B83952">
        <w:t xml:space="preserve">entity-specific data </w:t>
      </w:r>
      <w:r w:rsidR="0014612E" w:rsidRPr="00B83952">
        <w:t xml:space="preserve">are </w:t>
      </w:r>
      <w:r w:rsidR="00AD6101" w:rsidRPr="00B83952">
        <w:t>needed to measure the fair value of some or all of the improvements on that land</w:t>
      </w:r>
      <w:r w:rsidR="00007FFC" w:rsidRPr="00B83952">
        <w:t>,</w:t>
      </w:r>
      <w:r w:rsidR="00AD6101" w:rsidRPr="00B83952">
        <w:t xml:space="preserve"> </w:t>
      </w:r>
      <w:r w:rsidR="00007FFC" w:rsidRPr="00B83952">
        <w:t xml:space="preserve">those entity-specific data would be </w:t>
      </w:r>
      <w:r w:rsidR="00AD6101" w:rsidRPr="00B83952">
        <w:t>included in the fair value estimate for the facility</w:t>
      </w:r>
      <w:r w:rsidR="00007FFC" w:rsidRPr="00B83952">
        <w:t xml:space="preserve"> together with observable data about market participant assumptions for other components of the facility</w:t>
      </w:r>
      <w:r w:rsidR="00AD6101" w:rsidRPr="00B83952">
        <w:t>.</w:t>
      </w:r>
    </w:p>
    <w:p w14:paraId="6B6C252A" w14:textId="19E1C977" w:rsidR="004E574F" w:rsidRPr="00B83952" w:rsidRDefault="00974449">
      <w:pPr>
        <w:pStyle w:val="IASBSectionTitle2Ind"/>
      </w:pPr>
      <w:bookmarkStart w:id="131" w:name="_Hlk85205694"/>
      <w:bookmarkEnd w:id="121"/>
      <w:bookmarkEnd w:id="122"/>
      <w:bookmarkEnd w:id="123"/>
      <w:bookmarkEnd w:id="125"/>
      <w:r w:rsidRPr="00B83952">
        <w:lastRenderedPageBreak/>
        <w:t>S</w:t>
      </w:r>
      <w:r w:rsidR="00EC0251" w:rsidRPr="00B83952">
        <w:t xml:space="preserve">pecialised </w:t>
      </w:r>
      <w:r w:rsidR="009B5DEA" w:rsidRPr="00B83952">
        <w:t xml:space="preserve">asset </w:t>
      </w:r>
      <w:r w:rsidRPr="00B83952">
        <w:t>considerations</w:t>
      </w:r>
    </w:p>
    <w:p w14:paraId="132B00E1" w14:textId="11D05FD6" w:rsidR="009B5269" w:rsidRPr="00B83952" w:rsidRDefault="00F90421" w:rsidP="003276D3">
      <w:pPr>
        <w:pStyle w:val="NumBC1"/>
      </w:pPr>
      <w:bookmarkStart w:id="132" w:name="_Ref90896045"/>
      <w:r w:rsidRPr="00B83952">
        <w:t xml:space="preserve">Since </w:t>
      </w:r>
      <w:r w:rsidR="00B114CD" w:rsidRPr="00B83952">
        <w:t xml:space="preserve">most stakeholders’ requests for guidance on fair value measurement pertain to </w:t>
      </w:r>
      <w:r w:rsidR="00433C17" w:rsidRPr="00B83952">
        <w:t xml:space="preserve">non-financial </w:t>
      </w:r>
      <w:r w:rsidR="00B114CD" w:rsidRPr="00B83952">
        <w:t xml:space="preserve">assets that either have limited market inputs, </w:t>
      </w:r>
      <w:r w:rsidR="0087184A" w:rsidRPr="00B83952">
        <w:t xml:space="preserve">or </w:t>
      </w:r>
      <w:r w:rsidR="00B114CD" w:rsidRPr="00B83952">
        <w:t>are specialised, or both</w:t>
      </w:r>
      <w:r w:rsidR="0075580B" w:rsidRPr="00B83952">
        <w:t>, t</w:t>
      </w:r>
      <w:r w:rsidR="00EC0251" w:rsidRPr="00B83952">
        <w:t>he Board considered</w:t>
      </w:r>
      <w:r w:rsidR="00B5321F" w:rsidRPr="00B83952">
        <w:t xml:space="preserve"> </w:t>
      </w:r>
      <w:r w:rsidR="00A8641C" w:rsidRPr="00B83952">
        <w:t xml:space="preserve">whether to </w:t>
      </w:r>
      <w:r w:rsidR="00EC0251" w:rsidRPr="00B83952">
        <w:t>provid</w:t>
      </w:r>
      <w:r w:rsidR="00A8641C" w:rsidRPr="00B83952">
        <w:t>e</w:t>
      </w:r>
      <w:r w:rsidR="00EC0251" w:rsidRPr="00B83952">
        <w:t xml:space="preserve"> guidance on </w:t>
      </w:r>
      <w:r w:rsidR="005B3147" w:rsidRPr="00B83952">
        <w:t>identi</w:t>
      </w:r>
      <w:r w:rsidR="0025219C" w:rsidRPr="00B83952">
        <w:t xml:space="preserve">fying the market participant assumptions to use when measuring </w:t>
      </w:r>
      <w:r w:rsidR="009B5269" w:rsidRPr="00B83952">
        <w:t>specialised</w:t>
      </w:r>
      <w:r w:rsidR="005B3147" w:rsidRPr="00B83952">
        <w:t xml:space="preserve"> asset</w:t>
      </w:r>
      <w:r w:rsidR="00783A9B" w:rsidRPr="00B83952">
        <w:t>s</w:t>
      </w:r>
      <w:r w:rsidR="00B5321F" w:rsidRPr="00B83952">
        <w:t xml:space="preserve"> only</w:t>
      </w:r>
      <w:r w:rsidRPr="00B83952">
        <w:t xml:space="preserve">, rather than providing guidance </w:t>
      </w:r>
      <w:r w:rsidR="009B5269" w:rsidRPr="00B83952">
        <w:t>more broadly on all non-financial assets</w:t>
      </w:r>
      <w:r w:rsidR="002E2EF8" w:rsidRPr="00B83952">
        <w:t xml:space="preserve"> </w:t>
      </w:r>
      <w:r w:rsidR="009B5269" w:rsidRPr="00B83952">
        <w:t>not held primarily for their ability to generate net cash inflows.</w:t>
      </w:r>
      <w:bookmarkEnd w:id="132"/>
      <w:r w:rsidR="005B3147" w:rsidRPr="00B83952">
        <w:t xml:space="preserve"> </w:t>
      </w:r>
    </w:p>
    <w:p w14:paraId="55593C48" w14:textId="551E2CAB" w:rsidR="006E4DB8" w:rsidRPr="00B83952" w:rsidRDefault="009B5269" w:rsidP="003276D3">
      <w:pPr>
        <w:pStyle w:val="NumBC1"/>
      </w:pPr>
      <w:bookmarkStart w:id="133" w:name="_Ref90896046"/>
      <w:r w:rsidRPr="00B83952">
        <w:t xml:space="preserve">The Board decided not to provide guidance </w:t>
      </w:r>
      <w:r w:rsidR="00702BD6" w:rsidRPr="00B83952">
        <w:t xml:space="preserve">limited </w:t>
      </w:r>
      <w:r w:rsidRPr="00B83952">
        <w:t>to specialised asset</w:t>
      </w:r>
      <w:r w:rsidR="00702BD6" w:rsidRPr="00B83952">
        <w:t>s</w:t>
      </w:r>
      <w:r w:rsidRPr="00B83952">
        <w:t xml:space="preserve"> because</w:t>
      </w:r>
      <w:r w:rsidR="006E4DB8" w:rsidRPr="00B83952">
        <w:t>:</w:t>
      </w:r>
      <w:bookmarkEnd w:id="133"/>
    </w:p>
    <w:p w14:paraId="4057D24E" w14:textId="3B50B4A2" w:rsidR="00132E08" w:rsidRPr="00B83952" w:rsidRDefault="00C428DA" w:rsidP="003276D3">
      <w:pPr>
        <w:pStyle w:val="NumBC2"/>
      </w:pPr>
      <w:r w:rsidRPr="00B83952">
        <w:t xml:space="preserve">the </w:t>
      </w:r>
      <w:r w:rsidR="00132E08" w:rsidRPr="00B83952">
        <w:t>application of AASB 13 should not be based on the nature of the asset</w:t>
      </w:r>
      <w:r w:rsidR="00702BD6" w:rsidRPr="00B83952">
        <w:t xml:space="preserve">, in view of AASB 13 providing a fair value hierarchy focused on the </w:t>
      </w:r>
      <w:r w:rsidR="00D071DF" w:rsidRPr="00B83952">
        <w:t xml:space="preserve">nature and </w:t>
      </w:r>
      <w:r w:rsidR="00702BD6" w:rsidRPr="00B83952">
        <w:t>extent of observable inputs</w:t>
      </w:r>
      <w:r w:rsidR="00132E08" w:rsidRPr="00B83952">
        <w:t>; and</w:t>
      </w:r>
    </w:p>
    <w:p w14:paraId="1B78DA6D" w14:textId="459A5326" w:rsidR="004E574F" w:rsidRPr="00B83952" w:rsidRDefault="006E4DB8" w:rsidP="003276D3">
      <w:pPr>
        <w:pStyle w:val="NumBC2"/>
      </w:pPr>
      <w:r w:rsidRPr="00B83952">
        <w:t xml:space="preserve">it would be difficult to </w:t>
      </w:r>
      <w:r w:rsidR="00702BD6" w:rsidRPr="00B83952">
        <w:t xml:space="preserve">clearly distinguish </w:t>
      </w:r>
      <w:r w:rsidRPr="00B83952">
        <w:t>specialised assets from other assets</w:t>
      </w:r>
      <w:r w:rsidR="00132E08" w:rsidRPr="00B83952">
        <w:t>.</w:t>
      </w:r>
    </w:p>
    <w:p w14:paraId="325594B2" w14:textId="6436A86C" w:rsidR="00B60E7B" w:rsidRPr="00B83952" w:rsidRDefault="002B13B8">
      <w:pPr>
        <w:pStyle w:val="IASBSectionTitle2Ind"/>
      </w:pPr>
      <w:r w:rsidRPr="00B83952">
        <w:t>Other considerations</w:t>
      </w:r>
    </w:p>
    <w:p w14:paraId="119C4D1D" w14:textId="36C1F006" w:rsidR="00E85A38" w:rsidRPr="00B83952" w:rsidRDefault="002B13B8" w:rsidP="003276D3">
      <w:pPr>
        <w:pStyle w:val="NumBC1"/>
      </w:pPr>
      <w:bookmarkStart w:id="134" w:name="_Ref94782102"/>
      <w:bookmarkStart w:id="135" w:name="_Ref93504828"/>
      <w:r w:rsidRPr="00B83952">
        <w:t xml:space="preserve">The Board considered, but rejected, providing guidance on market participant assumptions based on whether </w:t>
      </w:r>
      <w:r w:rsidR="00BA46AF" w:rsidRPr="00B83952">
        <w:t xml:space="preserve">a market participant other than the holder of the </w:t>
      </w:r>
      <w:r w:rsidR="00D12BA1" w:rsidRPr="00B83952">
        <w:t xml:space="preserve">asset subject to measurement (the </w:t>
      </w:r>
      <w:r w:rsidR="00335AF9" w:rsidRPr="00B83952">
        <w:t xml:space="preserve">subject </w:t>
      </w:r>
      <w:r w:rsidR="00BA46AF" w:rsidRPr="00B83952">
        <w:t>asset</w:t>
      </w:r>
      <w:r w:rsidR="00D12BA1" w:rsidRPr="00B83952">
        <w:t>)</w:t>
      </w:r>
      <w:r w:rsidR="00BA46AF" w:rsidRPr="00B83952">
        <w:t xml:space="preserve"> is readily identifiable</w:t>
      </w:r>
      <w:r w:rsidR="00A731B2" w:rsidRPr="00B83952">
        <w:t xml:space="preserve">, and </w:t>
      </w:r>
      <w:r w:rsidR="00523CE6" w:rsidRPr="00B83952">
        <w:t xml:space="preserve">on identifying </w:t>
      </w:r>
      <w:r w:rsidR="00A731B2" w:rsidRPr="00B83952">
        <w:t xml:space="preserve">the entity likely </w:t>
      </w:r>
      <w:r w:rsidR="00523CE6" w:rsidRPr="00B83952">
        <w:t xml:space="preserve">to </w:t>
      </w:r>
      <w:r w:rsidR="00A731B2" w:rsidRPr="00B83952">
        <w:t>be the highest bidder for the</w:t>
      </w:r>
      <w:r w:rsidR="00EC4037" w:rsidRPr="00B83952">
        <w:t xml:space="preserve"> </w:t>
      </w:r>
      <w:r w:rsidR="00A06508" w:rsidRPr="00B83952">
        <w:t xml:space="preserve">subject </w:t>
      </w:r>
      <w:r w:rsidR="00EC4037" w:rsidRPr="00B83952">
        <w:t>asset in a hypothetical sale.</w:t>
      </w:r>
      <w:bookmarkEnd w:id="134"/>
      <w:r w:rsidR="00BA46AF" w:rsidRPr="00B83952">
        <w:t xml:space="preserve"> </w:t>
      </w:r>
    </w:p>
    <w:p w14:paraId="23C67480" w14:textId="407D01BD" w:rsidR="006C02EA" w:rsidRPr="00B83952" w:rsidRDefault="00B82B11" w:rsidP="003276D3">
      <w:pPr>
        <w:pStyle w:val="NumBC1"/>
      </w:pPr>
      <w:r w:rsidRPr="00B83952">
        <w:t xml:space="preserve">The Board </w:t>
      </w:r>
      <w:r w:rsidR="00E85A38" w:rsidRPr="00B83952">
        <w:t>made this decision after considering</w:t>
      </w:r>
      <w:r w:rsidR="00FD199B" w:rsidRPr="00B83952">
        <w:t xml:space="preserve"> comments received from stakeholders in targeted outreach</w:t>
      </w:r>
      <w:r w:rsidR="00486D6F" w:rsidRPr="00B83952">
        <w:t xml:space="preserve"> that </w:t>
      </w:r>
      <w:r w:rsidR="00EF7FFC" w:rsidRPr="00B83952">
        <w:t xml:space="preserve">many non-financial assets of not-for-profit public sector entities not held primarily for their ability to generate net cash inflows are not sold regularly and </w:t>
      </w:r>
      <w:r w:rsidR="002B1B2B" w:rsidRPr="00B83952">
        <w:t xml:space="preserve">may </w:t>
      </w:r>
      <w:r w:rsidR="00EF7FFC" w:rsidRPr="00B83952">
        <w:t xml:space="preserve">not have </w:t>
      </w:r>
      <w:r w:rsidR="005F48C5" w:rsidRPr="00B83952">
        <w:t xml:space="preserve">identifiable </w:t>
      </w:r>
      <w:r w:rsidR="00EF7FFC" w:rsidRPr="00B83952">
        <w:t xml:space="preserve">market participants other than the holder of </w:t>
      </w:r>
      <w:r w:rsidR="00E74E21" w:rsidRPr="00B83952">
        <w:t>the</w:t>
      </w:r>
      <w:r w:rsidR="000C4014" w:rsidRPr="00B83952">
        <w:t xml:space="preserve"> </w:t>
      </w:r>
      <w:r w:rsidR="00EF7FFC" w:rsidRPr="00B83952">
        <w:t>asset</w:t>
      </w:r>
      <w:r w:rsidR="002B1B2B" w:rsidRPr="00B83952">
        <w:t>.</w:t>
      </w:r>
      <w:r w:rsidR="00EF7FFC" w:rsidRPr="00B83952">
        <w:t xml:space="preserve"> </w:t>
      </w:r>
      <w:bookmarkEnd w:id="135"/>
      <w:r w:rsidR="00E85A38" w:rsidRPr="00B83952">
        <w:t>T</w:t>
      </w:r>
      <w:r w:rsidR="000B39BA" w:rsidRPr="00B83952">
        <w:t xml:space="preserve">wo main concerns </w:t>
      </w:r>
      <w:r w:rsidR="00E85A38" w:rsidRPr="00B83952">
        <w:t xml:space="preserve">were </w:t>
      </w:r>
      <w:r w:rsidR="005E5BED" w:rsidRPr="00B83952">
        <w:t>raised by stakeholders</w:t>
      </w:r>
      <w:r w:rsidR="001F4DDF" w:rsidRPr="00B83952">
        <w:t xml:space="preserve"> regarding the approach described in paragraph </w:t>
      </w:r>
      <w:r w:rsidR="001F4DDF" w:rsidRPr="00B83952">
        <w:fldChar w:fldCharType="begin"/>
      </w:r>
      <w:r w:rsidR="001F4DDF" w:rsidRPr="00B83952">
        <w:instrText xml:space="preserve"> REF _Ref94782102 \r \h </w:instrText>
      </w:r>
      <w:r w:rsidR="00DC0700" w:rsidRPr="00B83952">
        <w:instrText xml:space="preserve"> \* MERGEFORMAT </w:instrText>
      </w:r>
      <w:r w:rsidR="001F4DDF" w:rsidRPr="00B83952">
        <w:fldChar w:fldCharType="separate"/>
      </w:r>
      <w:r w:rsidR="005A1B65">
        <w:t>BC136</w:t>
      </w:r>
      <w:r w:rsidR="001F4DDF" w:rsidRPr="00B83952">
        <w:fldChar w:fldCharType="end"/>
      </w:r>
      <w:r w:rsidR="006C02EA" w:rsidRPr="00B83952">
        <w:t>, namely that:</w:t>
      </w:r>
    </w:p>
    <w:p w14:paraId="0F70284C" w14:textId="188BACF9" w:rsidR="006C02EA" w:rsidRPr="00B83952" w:rsidRDefault="006C02EA" w:rsidP="003276D3">
      <w:pPr>
        <w:pStyle w:val="NumBC2"/>
      </w:pPr>
      <w:r w:rsidRPr="00B83952">
        <w:t>some assets might have multiple market participants</w:t>
      </w:r>
      <w:r w:rsidR="00D60A31" w:rsidRPr="00B83952">
        <w:t>,</w:t>
      </w:r>
      <w:r w:rsidRPr="00B83952">
        <w:t xml:space="preserve"> and requiring an entity to identify the likely highest bidder for an asset would impose greater costs in preparing and auditing financial statements; and</w:t>
      </w:r>
    </w:p>
    <w:p w14:paraId="5CC69E42" w14:textId="05FAABC2" w:rsidR="006C02EA" w:rsidRPr="00B83952" w:rsidRDefault="006C02EA" w:rsidP="003276D3">
      <w:pPr>
        <w:pStyle w:val="NumBC2"/>
      </w:pPr>
      <w:r w:rsidRPr="00B83952">
        <w:t>it would be difficult to apply the concept of a hypothetical highest bidder for assets that are unlikely to be sold (</w:t>
      </w:r>
      <w:r w:rsidR="003E50C6" w:rsidRPr="00B83952">
        <w:t>eg</w:t>
      </w:r>
      <w:r w:rsidR="004C0917" w:rsidRPr="00B83952">
        <w:t xml:space="preserve"> </w:t>
      </w:r>
      <w:r w:rsidRPr="00B83952">
        <w:t>because of a Government directive preventing an entity from selling the asset).</w:t>
      </w:r>
    </w:p>
    <w:p w14:paraId="1D404F62" w14:textId="2DF1A163" w:rsidR="006C02EA" w:rsidRPr="00B83952" w:rsidRDefault="00BF2D18" w:rsidP="003276D3">
      <w:pPr>
        <w:pStyle w:val="NumBC1"/>
      </w:pPr>
      <w:bookmarkStart w:id="136" w:name="_Ref94182328"/>
      <w:r w:rsidRPr="00B83952">
        <w:t>The Board concluded that r</w:t>
      </w:r>
      <w:r w:rsidR="00AC5243" w:rsidRPr="00B83952">
        <w:t xml:space="preserve">e-expressing </w:t>
      </w:r>
      <w:r w:rsidR="00960B99" w:rsidRPr="00B83952">
        <w:t xml:space="preserve">the requirements </w:t>
      </w:r>
      <w:r w:rsidR="00966EAF" w:rsidRPr="00B83952">
        <w:t xml:space="preserve">of </w:t>
      </w:r>
      <w:r w:rsidR="00A54CC0" w:rsidRPr="00B83952">
        <w:t>paragraph</w:t>
      </w:r>
      <w:r w:rsidR="000B39BA" w:rsidRPr="00B83952">
        <w:t xml:space="preserve"> 89 </w:t>
      </w:r>
      <w:r w:rsidR="00CB3163" w:rsidRPr="00B83952">
        <w:t>of AASB</w:t>
      </w:r>
      <w:r w:rsidR="00136BB5" w:rsidRPr="00B83952">
        <w:t xml:space="preserve"> </w:t>
      </w:r>
      <w:r w:rsidR="00CB3163" w:rsidRPr="00B83952">
        <w:t xml:space="preserve">13 </w:t>
      </w:r>
      <w:r w:rsidR="000B39BA" w:rsidRPr="00B83952">
        <w:t xml:space="preserve">in the manner described in </w:t>
      </w:r>
      <w:r w:rsidR="009409AD" w:rsidRPr="00B83952">
        <w:t xml:space="preserve">paragraphs </w:t>
      </w:r>
      <w:r w:rsidR="009409AD" w:rsidRPr="00B83952">
        <w:fldChar w:fldCharType="begin"/>
      </w:r>
      <w:r w:rsidR="009409AD" w:rsidRPr="00B83952">
        <w:instrText xml:space="preserve"> REF _Ref115100654 \r \h </w:instrText>
      </w:r>
      <w:r w:rsidR="009409AD" w:rsidRPr="00B83952">
        <w:fldChar w:fldCharType="separate"/>
      </w:r>
      <w:r w:rsidR="005A1B65">
        <w:t>F5</w:t>
      </w:r>
      <w:r w:rsidR="009409AD" w:rsidRPr="00B83952">
        <w:fldChar w:fldCharType="end"/>
      </w:r>
      <w:r w:rsidR="00D56F46" w:rsidRPr="00B83952">
        <w:t>–</w:t>
      </w:r>
      <w:r w:rsidR="00D56F46" w:rsidRPr="00B83952">
        <w:fldChar w:fldCharType="begin"/>
      </w:r>
      <w:r w:rsidR="00D56F46" w:rsidRPr="00B83952">
        <w:instrText xml:space="preserve"> REF _Ref116440349 \r \h </w:instrText>
      </w:r>
      <w:r w:rsidR="00D56F46" w:rsidRPr="00B83952">
        <w:fldChar w:fldCharType="separate"/>
      </w:r>
      <w:r w:rsidR="005A1B65">
        <w:t>F7</w:t>
      </w:r>
      <w:r w:rsidR="00D56F46" w:rsidRPr="00B83952">
        <w:fldChar w:fldCharType="end"/>
      </w:r>
      <w:r w:rsidR="00D56F46" w:rsidRPr="00B83952">
        <w:t xml:space="preserve"> </w:t>
      </w:r>
      <w:r w:rsidR="000B39BA" w:rsidRPr="00B83952">
        <w:t>would address</w:t>
      </w:r>
      <w:r w:rsidR="00307233" w:rsidRPr="00B83952">
        <w:t xml:space="preserve"> these two key concerns raised by stakeholders.</w:t>
      </w:r>
      <w:bookmarkEnd w:id="136"/>
    </w:p>
    <w:bookmarkEnd w:id="131"/>
    <w:p w14:paraId="535E3558" w14:textId="2CDD11A9" w:rsidR="00E95208" w:rsidRPr="00B83952" w:rsidRDefault="00E95208" w:rsidP="00524A32">
      <w:pPr>
        <w:pStyle w:val="IASBSectionTitle1NonInd"/>
      </w:pPr>
      <w:r w:rsidRPr="00B83952">
        <w:t>Assumed location of an asset when applying the cost approach</w:t>
      </w:r>
      <w:r w:rsidR="00342413" w:rsidRPr="00B83952">
        <w:t xml:space="preserve"> (paragraph</w:t>
      </w:r>
      <w:r w:rsidR="00664BB0" w:rsidRPr="00B83952">
        <w:t> </w:t>
      </w:r>
      <w:r w:rsidR="00664BB0" w:rsidRPr="00B83952">
        <w:fldChar w:fldCharType="begin"/>
      </w:r>
      <w:r w:rsidR="00664BB0" w:rsidRPr="00B83952">
        <w:instrText xml:space="preserve"> REF _Ref113946224 \r \h </w:instrText>
      </w:r>
      <w:r w:rsidR="00664BB0" w:rsidRPr="00B83952">
        <w:fldChar w:fldCharType="separate"/>
      </w:r>
      <w:r w:rsidR="005A1B65">
        <w:t>F11</w:t>
      </w:r>
      <w:r w:rsidR="00664BB0" w:rsidRPr="00B83952">
        <w:fldChar w:fldCharType="end"/>
      </w:r>
      <w:r w:rsidR="00342413" w:rsidRPr="00B83952">
        <w:t>(a))</w:t>
      </w:r>
    </w:p>
    <w:p w14:paraId="4BC2DD75" w14:textId="278908A8" w:rsidR="00E95208" w:rsidRPr="00B83952" w:rsidRDefault="00EE143F" w:rsidP="003276D3">
      <w:pPr>
        <w:pStyle w:val="NumBC1"/>
      </w:pPr>
      <w:bookmarkStart w:id="137" w:name="_Ref85457671"/>
      <w:bookmarkStart w:id="138" w:name="_Ref90906189"/>
      <w:r w:rsidRPr="00B83952">
        <w:t xml:space="preserve">This </w:t>
      </w:r>
      <w:r w:rsidR="00E95208" w:rsidRPr="00B83952">
        <w:t xml:space="preserve">issue relates to </w:t>
      </w:r>
      <w:r w:rsidR="00FF194E" w:rsidRPr="00B83952">
        <w:t>an asset</w:t>
      </w:r>
      <w:r w:rsidR="00E95208" w:rsidRPr="00B83952">
        <w:t xml:space="preserve"> of a not-for-profit public sector entity </w:t>
      </w:r>
      <w:r w:rsidR="00AB163B" w:rsidRPr="00B83952">
        <w:t xml:space="preserve">not held primarily for its </w:t>
      </w:r>
      <w:r w:rsidR="006D673B" w:rsidRPr="00B83952">
        <w:t xml:space="preserve">ability to generate net cash inflows </w:t>
      </w:r>
      <w:r w:rsidR="00E95208" w:rsidRPr="00B83952">
        <w:t>and measured under the cost approach (</w:t>
      </w:r>
      <w:r w:rsidR="003E50C6" w:rsidRPr="00B83952">
        <w:t>eg</w:t>
      </w:r>
      <w:r w:rsidR="00E95208" w:rsidRPr="00B83952">
        <w:t xml:space="preserve"> a public school or public hospital).</w:t>
      </w:r>
      <w:bookmarkEnd w:id="137"/>
      <w:r w:rsidR="0090602F" w:rsidRPr="00B83952">
        <w:t xml:space="preserve"> This issue</w:t>
      </w:r>
      <w:r w:rsidR="007B2557" w:rsidRPr="00B83952">
        <w:t xml:space="preserve"> </w:t>
      </w:r>
      <w:r w:rsidR="0090602F" w:rsidRPr="00B83952">
        <w:t>mainly</w:t>
      </w:r>
      <w:r w:rsidR="007B2557" w:rsidRPr="00B83952">
        <w:t xml:space="preserve"> concerns the fair value measurement of real property.</w:t>
      </w:r>
      <w:bookmarkEnd w:id="138"/>
    </w:p>
    <w:p w14:paraId="0DB6BA68" w14:textId="638C6986" w:rsidR="00E95208" w:rsidRPr="00B83952" w:rsidRDefault="00E95208" w:rsidP="003276D3">
      <w:pPr>
        <w:pStyle w:val="NumBC1"/>
      </w:pPr>
      <w:r w:rsidRPr="00B83952">
        <w:t xml:space="preserve">The Board was asked to clarify whether the location of the </w:t>
      </w:r>
      <w:r w:rsidR="008609E5" w:rsidRPr="00B83952">
        <w:t>real property</w:t>
      </w:r>
      <w:r w:rsidRPr="00B83952">
        <w:t xml:space="preserve"> being valued should necessarily be the property’s existing location, particularly in view of the principle that an asset’s current replacement cost reflects replacement in the most economical manner. For example, if a facility could deliver its services equally well in a nearby location with cheaper land, the Board was asked whether it be assumed that “the cost to a market participant buyer to acquire or construct a substitute asset of comparable utility” (as referred to in </w:t>
      </w:r>
      <w:r w:rsidR="00A54CC0" w:rsidRPr="00B83952">
        <w:t>paragraph</w:t>
      </w:r>
      <w:r w:rsidRPr="00B83952">
        <w:t> B9</w:t>
      </w:r>
      <w:r w:rsidR="00CA44F7" w:rsidRPr="00B83952">
        <w:t xml:space="preserve"> of AASB 13</w:t>
      </w:r>
      <w:r w:rsidRPr="00B83952">
        <w:t xml:space="preserve">) reflects the price of the </w:t>
      </w:r>
      <w:r w:rsidR="0095584A" w:rsidRPr="00B83952">
        <w:t>facility</w:t>
      </w:r>
      <w:r w:rsidRPr="00B83952">
        <w:t xml:space="preserve"> in the cheaper location. </w:t>
      </w:r>
    </w:p>
    <w:p w14:paraId="3619E6A6" w14:textId="06981288" w:rsidR="00E95208" w:rsidRPr="00B83952" w:rsidRDefault="00587CE2" w:rsidP="003276D3">
      <w:pPr>
        <w:pStyle w:val="NumBC1"/>
      </w:pPr>
      <w:r w:rsidRPr="00B83952">
        <w:t xml:space="preserve">For the reasons </w:t>
      </w:r>
      <w:r w:rsidR="662AD72D" w:rsidRPr="00B83952">
        <w:t xml:space="preserve">described </w:t>
      </w:r>
      <w:r w:rsidRPr="00B83952">
        <w:t>in paragraph </w:t>
      </w:r>
      <w:r w:rsidRPr="00B83952">
        <w:fldChar w:fldCharType="begin"/>
      </w:r>
      <w:r w:rsidRPr="00B83952">
        <w:instrText xml:space="preserve"> REF _Ref115045095 \r \h </w:instrText>
      </w:r>
      <w:r w:rsidRPr="00B83952">
        <w:fldChar w:fldCharType="separate"/>
      </w:r>
      <w:r w:rsidR="005A1B65">
        <w:t>BC155</w:t>
      </w:r>
      <w:r w:rsidRPr="00B83952">
        <w:fldChar w:fldCharType="end"/>
      </w:r>
      <w:r w:rsidRPr="00B83952">
        <w:t xml:space="preserve">, a fair value estimate is based on an assumed hypothetical exchange transaction by considering data about a reference asset. </w:t>
      </w:r>
      <w:r w:rsidR="00E95208" w:rsidRPr="00B83952">
        <w:t xml:space="preserve">Some stakeholders argued that the </w:t>
      </w:r>
      <w:r w:rsidR="008609E5" w:rsidRPr="00B83952">
        <w:t>facility</w:t>
      </w:r>
      <w:r w:rsidR="00E95208" w:rsidRPr="00B83952">
        <w:t xml:space="preserve">’s </w:t>
      </w:r>
      <w:r w:rsidR="00437E7C" w:rsidRPr="00B83952">
        <w:t xml:space="preserve">fair </w:t>
      </w:r>
      <w:r w:rsidR="00E95208" w:rsidRPr="00B83952">
        <w:t xml:space="preserve">value estimate should reflect the price of suitable </w:t>
      </w:r>
      <w:r w:rsidR="008609E5" w:rsidRPr="00B83952">
        <w:t>property</w:t>
      </w:r>
      <w:r w:rsidR="0005193E" w:rsidRPr="00B83952">
        <w:t xml:space="preserve"> </w:t>
      </w:r>
      <w:r w:rsidR="00E95208" w:rsidRPr="00B83952">
        <w:t xml:space="preserve">in a cheaper feasible location </w:t>
      </w:r>
      <w:r w:rsidR="00FA6A62" w:rsidRPr="00B83952">
        <w:t xml:space="preserve">(the arguably suitable reference property) </w:t>
      </w:r>
      <w:r w:rsidR="00E95208" w:rsidRPr="00B83952">
        <w:t xml:space="preserve">because a market participant buyer would not be willing to pay for an asset at a more expensive location, if the facility could deliver its services equally well in a nearby location with cheaper land. They argued that applying the generally accepted principle that an asset’s current replacement cost is measured on an optimised basis </w:t>
      </w:r>
      <w:r w:rsidR="003A3E02" w:rsidRPr="00B83952">
        <w:t xml:space="preserve">typically </w:t>
      </w:r>
      <w:r w:rsidR="00E95208" w:rsidRPr="00B83952">
        <w:t xml:space="preserve">by reference to the price of a modern equivalent asset, the modern equivalent asset would be a nearby </w:t>
      </w:r>
      <w:r w:rsidR="003D30A4" w:rsidRPr="00B83952">
        <w:t>asset</w:t>
      </w:r>
      <w:r w:rsidR="00E95208" w:rsidRPr="00B83952">
        <w:t xml:space="preserve"> in a cheaper location. </w:t>
      </w:r>
    </w:p>
    <w:p w14:paraId="1AB230FE" w14:textId="77777777" w:rsidR="00E95208" w:rsidRPr="00B83952" w:rsidRDefault="00E95208" w:rsidP="003276D3">
      <w:pPr>
        <w:pStyle w:val="NumBC1"/>
      </w:pPr>
      <w:r w:rsidRPr="00B83952">
        <w:t xml:space="preserve">These stakeholders argued that the market value premium of property in its existing location over a suitable alternative location is a commercial element superfluous to the entity’s not-for-profit (service delivery) objectives. They note that their view is consistent with the following text of The Royal Institution of Chartered </w:t>
      </w:r>
      <w:r w:rsidRPr="00B83952">
        <w:lastRenderedPageBreak/>
        <w:t xml:space="preserve">Surveyors’ Guidance Note </w:t>
      </w:r>
      <w:r w:rsidRPr="00B83952">
        <w:rPr>
          <w:i/>
          <w:iCs/>
        </w:rPr>
        <w:t>Depreciated replacement cost method of valuation for financial reporting</w:t>
      </w:r>
      <w:r w:rsidRPr="00B83952">
        <w:t xml:space="preserve"> (November 2018):</w:t>
      </w:r>
      <w:r w:rsidRPr="00B83952">
        <w:rPr>
          <w:rStyle w:val="FootnoteReference"/>
        </w:rPr>
        <w:footnoteReference w:id="2"/>
      </w:r>
    </w:p>
    <w:p w14:paraId="410E4D13" w14:textId="544FF2D9" w:rsidR="00E95208" w:rsidRPr="00B83952" w:rsidRDefault="00E95208" w:rsidP="00E95208">
      <w:pPr>
        <w:pStyle w:val="NumBC1"/>
        <w:numPr>
          <w:ilvl w:val="0"/>
          <w:numId w:val="0"/>
        </w:numPr>
        <w:ind w:left="1565"/>
      </w:pPr>
      <w:r w:rsidRPr="00B83952">
        <w:t>Although the ultimate objective of the DRC method is to produce a valuation of the actual property in its actual location, the initial stage of estimating the gross replacement cost should reflect the cost of a site suitable for a modern equivalent facility. While this may be a site of a similar size and in a similar location to the actual site, if the actual site is clearly one that a prudent buyer would no longer consider appropriate because it would be commercially wasteful or would be an inappropriate use of resources, the modern equivalent site is assumed to have the appropriate characteristics to deliver the required service potential. The fundamental principle is that the hypothetical buyer for a modern equivalent asset would purchase the least expensive site that would realistically be suitable and appropriate for its proposed operations and the envisaged modern equivalent facility. … (paragraph 7.1)</w:t>
      </w:r>
    </w:p>
    <w:p w14:paraId="5CAFB2B5" w14:textId="7F57C562" w:rsidR="00E95208" w:rsidRPr="00B83952" w:rsidRDefault="00E95208" w:rsidP="00E95208">
      <w:pPr>
        <w:pStyle w:val="NumBC1"/>
        <w:numPr>
          <w:ilvl w:val="0"/>
          <w:numId w:val="0"/>
        </w:numPr>
        <w:ind w:left="1565"/>
      </w:pPr>
      <w:r w:rsidRPr="00B83952">
        <w:t>… An example could be a hospital that was originally constructed in the centre of a city that might now be better situated in the suburbs because of changes in the transport infrastructure or in the migration of the population it served. (paragraph 7.2)</w:t>
      </w:r>
    </w:p>
    <w:p w14:paraId="5B67BDAB" w14:textId="6A0127CF" w:rsidR="00E95208" w:rsidRPr="00B83952" w:rsidRDefault="00E95208" w:rsidP="003276D3">
      <w:pPr>
        <w:pStyle w:val="NumBC1"/>
      </w:pPr>
      <w:r w:rsidRPr="00B83952">
        <w:t xml:space="preserve">In contrast, some other stakeholders argued that the current replacement cost of real property should always reflect the property’s existing location, rather than the price of land in a cheaper feasible site. This is because the land’s characteristics include its location, and the price premium for the existing site (compared with a cheaper feasible site) could be realised through sale and reinvested in other assets used to provide services.  For example, the Application Guidance included in the New Zealand Accounting Standard for Public Benefit Entities entitled PBE IPSAS 17 </w:t>
      </w:r>
      <w:r w:rsidRPr="00B83952">
        <w:rPr>
          <w:i/>
          <w:iCs/>
        </w:rPr>
        <w:t>Property, Plant and Equipment</w:t>
      </w:r>
      <w:r w:rsidRPr="00B83952">
        <w:t xml:space="preserve"> states that:</w:t>
      </w:r>
    </w:p>
    <w:p w14:paraId="35E422E3" w14:textId="5221E0EE" w:rsidR="00E95208" w:rsidRPr="00B83952" w:rsidRDefault="00E95208" w:rsidP="00E95208">
      <w:pPr>
        <w:pStyle w:val="NumBC1"/>
        <w:numPr>
          <w:ilvl w:val="0"/>
          <w:numId w:val="0"/>
        </w:numPr>
        <w:ind w:left="1565"/>
      </w:pPr>
      <w:r w:rsidRPr="00B83952">
        <w:t xml:space="preserve">If depreciated replacement cost is used to measure the fair value of property, plant and equipment: (a) The value of the land shall reflect the fair value of the </w:t>
      </w:r>
      <w:r w:rsidR="00227FC5" w:rsidRPr="00B83952">
        <w:t xml:space="preserve">actual </w:t>
      </w:r>
      <w:r w:rsidRPr="00B83952">
        <w:t xml:space="preserve">land held, in terms of both its size and location; … (paragraph AG2) </w:t>
      </w:r>
    </w:p>
    <w:p w14:paraId="0C1B292C" w14:textId="51E9A5DF" w:rsidR="00E95208" w:rsidRPr="00B83952" w:rsidRDefault="00E95208" w:rsidP="00E95208">
      <w:pPr>
        <w:pStyle w:val="NumBC1"/>
        <w:numPr>
          <w:ilvl w:val="0"/>
          <w:numId w:val="0"/>
        </w:numPr>
        <w:ind w:left="1565"/>
      </w:pPr>
      <w:r w:rsidRPr="00B83952">
        <w:t>In instances where land is underutilised, the fair value of the land shall be determined by reference to the highest and best use of such land.  For example, in a case where specialised facilities are located in a prime central business district site but the operation would be able to run from a smaller sized and/or less valuable alternative site offering the same service potential, the fair value of the land would be the market value of the entire central business district-located site. (paragraph AG9)</w:t>
      </w:r>
    </w:p>
    <w:p w14:paraId="09073423" w14:textId="0F99483F" w:rsidR="00E95208" w:rsidRPr="00B83952" w:rsidRDefault="00E95208" w:rsidP="003276D3">
      <w:pPr>
        <w:pStyle w:val="NumBC1"/>
      </w:pPr>
      <w:r w:rsidRPr="00B83952">
        <w:t>Similarly, some stakeholders argued that, from the perspective of market participants, the property in a more expensive location provides superior services. For example, an office space in a central business district location provides greater service capacity than office space in an inner suburb by having greater proximity to stakeholders and urban infrastructure</w:t>
      </w:r>
      <w:r w:rsidR="4921BEC2" w:rsidRPr="00B83952">
        <w:t>,</w:t>
      </w:r>
      <w:r w:rsidRPr="00B83952">
        <w:t xml:space="preserve"> and by assisting the entity to attract and retain staff. These stakeholders are also of the view that if the property’s service capacity can be relocated to another location, then the highest and best use of the current property is not limited to its existing use; and therefore, should be valued at its current location, reflecting its highest and best use.</w:t>
      </w:r>
    </w:p>
    <w:p w14:paraId="7467CA33" w14:textId="1EB0FD69" w:rsidR="00E95208" w:rsidRPr="00B83952" w:rsidRDefault="00E95208" w:rsidP="00F3441B">
      <w:pPr>
        <w:pStyle w:val="NumBC1"/>
        <w:keepNext/>
      </w:pPr>
      <w:bookmarkStart w:id="139" w:name="_Ref90295670"/>
      <w:r w:rsidRPr="00B83952">
        <w:t xml:space="preserve">Having regard to these conflicting views, the Board noted that it could theoretically be argued that the current replacement cost of an </w:t>
      </w:r>
      <w:r w:rsidR="009F23CB" w:rsidRPr="00B83952">
        <w:t xml:space="preserve">item of real property </w:t>
      </w:r>
      <w:r w:rsidRPr="00B83952">
        <w:t>of a not-for-profit public sector entity should be measured as follows:</w:t>
      </w:r>
      <w:bookmarkEnd w:id="139"/>
    </w:p>
    <w:p w14:paraId="4CC4FC2A" w14:textId="5B93D70B" w:rsidR="00E95208" w:rsidRPr="00B83952" w:rsidRDefault="00E95208" w:rsidP="003276D3">
      <w:pPr>
        <w:pStyle w:val="NumBC2"/>
      </w:pPr>
      <w:r w:rsidRPr="00B83952">
        <w:t xml:space="preserve">if the </w:t>
      </w:r>
      <w:r w:rsidR="00DC57C1" w:rsidRPr="00B83952">
        <w:t xml:space="preserve">real </w:t>
      </w:r>
      <w:r w:rsidR="005F1417" w:rsidRPr="00B83952">
        <w:t>property</w:t>
      </w:r>
      <w:r w:rsidRPr="00B83952">
        <w:t xml:space="preserve"> needs to remain in its existing location due to legal restrictions or operational requirements, the </w:t>
      </w:r>
      <w:r w:rsidR="005F1417" w:rsidRPr="00B83952">
        <w:t>property</w:t>
      </w:r>
      <w:r w:rsidRPr="00B83952">
        <w:t xml:space="preserve">’s current replacement cost should </w:t>
      </w:r>
      <w:r w:rsidR="00CE46B9" w:rsidRPr="00B83952">
        <w:t>be based on replacement</w:t>
      </w:r>
      <w:r w:rsidRPr="00B83952">
        <w:t xml:space="preserve"> in the existing location; and</w:t>
      </w:r>
    </w:p>
    <w:p w14:paraId="3C0AB7FE" w14:textId="5963415F" w:rsidR="00E95208" w:rsidRPr="00B83952" w:rsidRDefault="00E95208" w:rsidP="003276D3">
      <w:pPr>
        <w:pStyle w:val="NumBC2"/>
      </w:pPr>
      <w:r w:rsidRPr="00B83952">
        <w:t xml:space="preserve">if the </w:t>
      </w:r>
      <w:r w:rsidR="00DC57C1" w:rsidRPr="00B83952">
        <w:t xml:space="preserve">real </w:t>
      </w:r>
      <w:r w:rsidR="005F1417" w:rsidRPr="00B83952">
        <w:t>property</w:t>
      </w:r>
      <w:r w:rsidRPr="00B83952">
        <w:t xml:space="preserve"> does not need to remain in its existing location, the </w:t>
      </w:r>
      <w:r w:rsidR="005F1417" w:rsidRPr="00B83952">
        <w:t>property</w:t>
      </w:r>
      <w:r w:rsidRPr="00B83952">
        <w:t>’s current replacement cost should be measured in the location that results in the higher of the following measures:</w:t>
      </w:r>
    </w:p>
    <w:p w14:paraId="024151DC" w14:textId="77777777" w:rsidR="00E95208" w:rsidRPr="00B83952" w:rsidRDefault="00E95208" w:rsidP="003276D3">
      <w:pPr>
        <w:pStyle w:val="NumBC3"/>
      </w:pPr>
      <w:r w:rsidRPr="00B83952">
        <w:t>the price a market participant would be prepared to pay to remove the improvements and then sell the property as a vacant site for an alternative use – reflecting the property’s existing location. This is because an asset’s fair value can never be less than the price for which that asset could be sold at the measurement date (excluding transaction costs); and</w:t>
      </w:r>
    </w:p>
    <w:p w14:paraId="1EEE1C72" w14:textId="77777777" w:rsidR="00E95208" w:rsidRPr="00B83952" w:rsidRDefault="00E95208" w:rsidP="003276D3">
      <w:pPr>
        <w:pStyle w:val="NumBC3"/>
      </w:pPr>
      <w:r w:rsidRPr="00B83952">
        <w:t xml:space="preserve">the price a market participant would be prepared to pay to replace the service capacity of the land and improvements in their existing use in the most economical manner. This amount would include the market price of land in the cheapest legally permissible location compatible with the entity’s operational requirements for the facility. This is because, as an alternative to purchasing the asset subject to measurement, a market </w:t>
      </w:r>
      <w:r w:rsidRPr="00B83952">
        <w:lastRenderedPageBreak/>
        <w:t>participant would build a modern equivalent property in an alternative site, if it would be cheaper than purchasing the asset in its existing location.</w:t>
      </w:r>
    </w:p>
    <w:p w14:paraId="2FC60BBF" w14:textId="3FCF964B" w:rsidR="00E95208" w:rsidRPr="00B83952" w:rsidRDefault="00E95208" w:rsidP="003276D3">
      <w:pPr>
        <w:pStyle w:val="NumBC1"/>
        <w:keepNext/>
      </w:pPr>
      <w:bookmarkStart w:id="140" w:name="_Ref90295727"/>
      <w:r w:rsidRPr="00B83952">
        <w:t xml:space="preserve">However, on further deliberation, the Board observed that the approach described in paragraph </w:t>
      </w:r>
      <w:r w:rsidR="00CB7E59" w:rsidRPr="00B83952">
        <w:fldChar w:fldCharType="begin"/>
      </w:r>
      <w:r w:rsidR="00CB7E59" w:rsidRPr="00B83952">
        <w:instrText xml:space="preserve"> REF _Ref90295670 \r \h </w:instrText>
      </w:r>
      <w:r w:rsidR="00CB7E59" w:rsidRPr="00B83952">
        <w:fldChar w:fldCharType="separate"/>
      </w:r>
      <w:r w:rsidR="005A1B65">
        <w:t>BC145</w:t>
      </w:r>
      <w:r w:rsidR="00CB7E59" w:rsidRPr="00B83952">
        <w:fldChar w:fldCharType="end"/>
      </w:r>
      <w:r w:rsidR="00CB7E59" w:rsidRPr="00B83952">
        <w:t xml:space="preserve"> </w:t>
      </w:r>
      <w:r w:rsidRPr="00B83952">
        <w:t>would have the following disadvantages:</w:t>
      </w:r>
      <w:bookmarkEnd w:id="140"/>
      <w:r w:rsidRPr="00B83952">
        <w:t xml:space="preserve"> </w:t>
      </w:r>
    </w:p>
    <w:p w14:paraId="5BBD700F" w14:textId="57335AF4" w:rsidR="00E95208" w:rsidRPr="00B83952" w:rsidRDefault="00E95208" w:rsidP="003276D3">
      <w:pPr>
        <w:pStyle w:val="NumBC2"/>
      </w:pPr>
      <w:r w:rsidRPr="00B83952">
        <w:t xml:space="preserve">it is inconsistent with the view, which the Board supports, that the current replacement cost of real property should always be measured in its </w:t>
      </w:r>
      <w:r w:rsidR="00703DE5" w:rsidRPr="00B83952">
        <w:t xml:space="preserve">existing </w:t>
      </w:r>
      <w:r w:rsidRPr="00B83952">
        <w:t>location because the service</w:t>
      </w:r>
      <w:r w:rsidRPr="00B83952" w:rsidDel="005A27A8">
        <w:t xml:space="preserve"> </w:t>
      </w:r>
      <w:r w:rsidRPr="00B83952">
        <w:t xml:space="preserve">capacity of a property being replaced is the sum of: </w:t>
      </w:r>
    </w:p>
    <w:p w14:paraId="0D80C8D8" w14:textId="4A4641CD" w:rsidR="00E95208" w:rsidRPr="00B83952" w:rsidRDefault="00E95208" w:rsidP="003276D3">
      <w:pPr>
        <w:pStyle w:val="NumBC3"/>
      </w:pPr>
      <w:r w:rsidRPr="00B83952">
        <w:t xml:space="preserve">its capacity to provide services in its </w:t>
      </w:r>
      <w:r w:rsidR="00EE30A9" w:rsidRPr="00B83952">
        <w:t xml:space="preserve">current </w:t>
      </w:r>
      <w:r w:rsidRPr="00B83952">
        <w:t xml:space="preserve">use; and </w:t>
      </w:r>
    </w:p>
    <w:p w14:paraId="20A5AE55" w14:textId="77777777" w:rsidR="00E95208" w:rsidRPr="00B83952" w:rsidRDefault="00E95208" w:rsidP="003276D3">
      <w:pPr>
        <w:pStyle w:val="NumBC3"/>
      </w:pPr>
      <w:r w:rsidRPr="00B83952">
        <w:t>its residual value (the present value of the net</w:t>
      </w:r>
      <w:r w:rsidRPr="00B83952" w:rsidDel="00C27E79">
        <w:t xml:space="preserve"> </w:t>
      </w:r>
      <w:r w:rsidRPr="00B83952">
        <w:t xml:space="preserve">cash inflows from sale of the property at the end of the useful life of the improvements on the land), including the subsequent sale of the land component of the property (at its existing location). An asset’s residual value contributes to the entity’s capacity to provide services (and thus, indirectly, is another component of the existing asset’s service capacity);  </w:t>
      </w:r>
    </w:p>
    <w:p w14:paraId="0F1DBEA2" w14:textId="77777777" w:rsidR="00E95208" w:rsidRPr="00B83952" w:rsidRDefault="00E95208" w:rsidP="003276D3">
      <w:pPr>
        <w:pStyle w:val="NumBC2"/>
      </w:pPr>
      <w:r w:rsidRPr="00B83952">
        <w:t>it is unnecessarily complex. It would generally be very difficult to identify which location, of a potential variety of alternative locations with possibly significantly different market prices of land, might be used as the assumed alternative location; and</w:t>
      </w:r>
    </w:p>
    <w:p w14:paraId="032718D5" w14:textId="77777777" w:rsidR="00E95208" w:rsidRPr="00B83952" w:rsidRDefault="00E95208" w:rsidP="003276D3">
      <w:pPr>
        <w:pStyle w:val="NumBC2"/>
      </w:pPr>
      <w:r w:rsidRPr="00B83952">
        <w:t>it would be time-consuming and costly for preparers and auditors of financial statements. The additional cost of potentially preparing multiple valuations and due diligence assessments would be unlikely to be justified by the benefits to users of the financial statements.</w:t>
      </w:r>
    </w:p>
    <w:p w14:paraId="0B3FC07C" w14:textId="45CEF89B" w:rsidR="00E95208" w:rsidRPr="00B83952" w:rsidRDefault="00E95208" w:rsidP="003276D3">
      <w:pPr>
        <w:pStyle w:val="NumBC1"/>
      </w:pPr>
      <w:bookmarkStart w:id="141" w:name="_Ref85457709"/>
      <w:r w:rsidRPr="00B83952">
        <w:t>In light of the concerns in paragraph </w:t>
      </w:r>
      <w:r w:rsidRPr="00B83952">
        <w:fldChar w:fldCharType="begin"/>
      </w:r>
      <w:r w:rsidRPr="00B83952">
        <w:instrText xml:space="preserve"> REF _Ref90295727 \r \h  \* MERGEFORMAT </w:instrText>
      </w:r>
      <w:r w:rsidRPr="00B83952">
        <w:fldChar w:fldCharType="separate"/>
      </w:r>
      <w:r w:rsidR="005A1B65">
        <w:t>BC146</w:t>
      </w:r>
      <w:r w:rsidRPr="00B83952">
        <w:fldChar w:fldCharType="end"/>
      </w:r>
      <w:r w:rsidRPr="00B83952">
        <w:t>, the Board concluded that the current replacement cost of an</w:t>
      </w:r>
      <w:r w:rsidR="00451804" w:rsidRPr="00B83952">
        <w:t xml:space="preserve"> </w:t>
      </w:r>
      <w:r w:rsidR="00F77A31" w:rsidRPr="00B83952">
        <w:t>asset</w:t>
      </w:r>
      <w:r w:rsidR="0089711A" w:rsidRPr="00B83952">
        <w:t>, including real property,</w:t>
      </w:r>
      <w:r w:rsidRPr="00B83952">
        <w:t xml:space="preserve"> of a not-for-profit public sector entity </w:t>
      </w:r>
      <w:r w:rsidR="00AB163B" w:rsidRPr="00B83952">
        <w:t xml:space="preserve">not held primarily for its ability to generate net cash inflows </w:t>
      </w:r>
      <w:r w:rsidR="001578F6" w:rsidRPr="00B83952">
        <w:t xml:space="preserve">should </w:t>
      </w:r>
      <w:r w:rsidRPr="00B83952">
        <w:t xml:space="preserve">be measured by assuming </w:t>
      </w:r>
      <w:r w:rsidR="00E5259A" w:rsidRPr="00B83952">
        <w:t xml:space="preserve">the asset </w:t>
      </w:r>
      <w:r w:rsidRPr="00B83952">
        <w:t xml:space="preserve">is replaced in its existing location, even if it would be feasible to relocate the </w:t>
      </w:r>
      <w:r w:rsidR="00F77A31" w:rsidRPr="00B83952">
        <w:t>asset</w:t>
      </w:r>
      <w:r w:rsidRPr="00B83952">
        <w:t xml:space="preserve"> to a cheaper</w:t>
      </w:r>
      <w:r w:rsidR="001578F6" w:rsidRPr="00B83952">
        <w:t xml:space="preserve"> </w:t>
      </w:r>
      <w:r w:rsidR="00E5259A" w:rsidRPr="00B83952">
        <w:t>location</w:t>
      </w:r>
      <w:r w:rsidRPr="00B83952">
        <w:t>.</w:t>
      </w:r>
      <w:bookmarkEnd w:id="141"/>
      <w:r w:rsidRPr="00B83952">
        <w:t xml:space="preserve"> </w:t>
      </w:r>
      <w:r w:rsidR="00B3221C" w:rsidRPr="00B83952">
        <w:t xml:space="preserve">The Board noted that respondents to </w:t>
      </w:r>
      <w:r w:rsidR="00BC4C54" w:rsidRPr="00B83952">
        <w:t>ED</w:t>
      </w:r>
      <w:r w:rsidR="003743C2" w:rsidRPr="00B83952">
        <w:t> </w:t>
      </w:r>
      <w:r w:rsidR="00BC4C54" w:rsidRPr="00B83952">
        <w:t xml:space="preserve">320 </w:t>
      </w:r>
      <w:r w:rsidR="00B3221C" w:rsidRPr="00B83952">
        <w:t xml:space="preserve">strongly supported the Board’s </w:t>
      </w:r>
      <w:r w:rsidR="006B011B" w:rsidRPr="00B83952">
        <w:t>view</w:t>
      </w:r>
      <w:r w:rsidR="00B3221C" w:rsidRPr="00B83952">
        <w:t xml:space="preserve">, and decided to </w:t>
      </w:r>
      <w:r w:rsidR="00BC4C54" w:rsidRPr="00B83952">
        <w:t>add</w:t>
      </w:r>
      <w:r w:rsidR="00B3221C" w:rsidRPr="00B83952">
        <w:t xml:space="preserve"> paragraph </w:t>
      </w:r>
      <w:r w:rsidRPr="00B83952">
        <w:fldChar w:fldCharType="begin"/>
      </w:r>
      <w:r w:rsidRPr="00B83952">
        <w:instrText xml:space="preserve"> REF _Ref113946224 \r \h </w:instrText>
      </w:r>
      <w:r w:rsidRPr="00B83952">
        <w:fldChar w:fldCharType="separate"/>
      </w:r>
      <w:r w:rsidR="005A1B65">
        <w:t>F11</w:t>
      </w:r>
      <w:r w:rsidRPr="00B83952">
        <w:fldChar w:fldCharType="end"/>
      </w:r>
      <w:r w:rsidR="008724A7" w:rsidRPr="00B83952">
        <w:t>(a)</w:t>
      </w:r>
      <w:r w:rsidR="00BC4C54" w:rsidRPr="00B83952">
        <w:t xml:space="preserve"> </w:t>
      </w:r>
      <w:r w:rsidR="78BB31CE" w:rsidRPr="00B83952">
        <w:t>to</w:t>
      </w:r>
      <w:r w:rsidR="00BC4C54" w:rsidRPr="00B83952">
        <w:t xml:space="preserve"> </w:t>
      </w:r>
      <w:r w:rsidR="00372277" w:rsidRPr="00B83952">
        <w:t>Appendix F of AASB</w:t>
      </w:r>
      <w:r w:rsidR="00EB01C6" w:rsidRPr="00B83952">
        <w:t> </w:t>
      </w:r>
      <w:r w:rsidR="00372277" w:rsidRPr="00B83952">
        <w:t>13</w:t>
      </w:r>
      <w:r w:rsidR="00B3221C" w:rsidRPr="00B83952">
        <w:t>.</w:t>
      </w:r>
    </w:p>
    <w:p w14:paraId="5F6C94AA" w14:textId="20E7E734" w:rsidR="00741AEC" w:rsidRPr="00B83952" w:rsidRDefault="00741AEC" w:rsidP="00524A32">
      <w:pPr>
        <w:pStyle w:val="IASBSectionTitle1NonInd"/>
      </w:pPr>
      <w:r w:rsidRPr="00B83952">
        <w:t>Nature of costs included in current replacement cost</w:t>
      </w:r>
      <w:r w:rsidR="00E00710" w:rsidRPr="00B83952">
        <w:t xml:space="preserve"> (paragraphs </w:t>
      </w:r>
      <w:r w:rsidR="00E00710" w:rsidRPr="00B83952">
        <w:fldChar w:fldCharType="begin"/>
      </w:r>
      <w:r w:rsidR="00E00710" w:rsidRPr="00B83952">
        <w:instrText xml:space="preserve"> REF _Ref90288026 \r \h </w:instrText>
      </w:r>
      <w:r w:rsidR="00E00710" w:rsidRPr="00B83952">
        <w:fldChar w:fldCharType="separate"/>
      </w:r>
      <w:r w:rsidR="005A1B65">
        <w:t>F8</w:t>
      </w:r>
      <w:r w:rsidR="00E00710" w:rsidRPr="00B83952">
        <w:fldChar w:fldCharType="end"/>
      </w:r>
      <w:r w:rsidR="001E2382" w:rsidRPr="00B83952">
        <w:t>–</w:t>
      </w:r>
      <w:r w:rsidR="00245AAB" w:rsidRPr="00B83952">
        <w:fldChar w:fldCharType="begin"/>
      </w:r>
      <w:r w:rsidR="00245AAB" w:rsidRPr="00B83952">
        <w:instrText xml:space="preserve"> REF _Ref113946817 \r \h </w:instrText>
      </w:r>
      <w:r w:rsidR="00245AAB" w:rsidRPr="00B83952">
        <w:fldChar w:fldCharType="separate"/>
      </w:r>
      <w:r w:rsidR="005A1B65">
        <w:t>F15</w:t>
      </w:r>
      <w:r w:rsidR="00245AAB" w:rsidRPr="00B83952">
        <w:fldChar w:fldCharType="end"/>
      </w:r>
      <w:r w:rsidR="00E00710" w:rsidRPr="00B83952">
        <w:t>)</w:t>
      </w:r>
    </w:p>
    <w:p w14:paraId="0F1345B6" w14:textId="114F0C7B" w:rsidR="00367780" w:rsidRPr="00B83952" w:rsidRDefault="00741AEC" w:rsidP="003276D3">
      <w:pPr>
        <w:pStyle w:val="NumBC1"/>
      </w:pPr>
      <w:bookmarkStart w:id="142" w:name="_Ref90907443"/>
      <w:bookmarkStart w:id="143" w:name="_Ref115393983"/>
      <w:r w:rsidRPr="00B83952">
        <w:t>The Board was asked to</w:t>
      </w:r>
      <w:r w:rsidR="001C3091" w:rsidRPr="00B83952">
        <w:t xml:space="preserve"> </w:t>
      </w:r>
      <w:r w:rsidRPr="00B83952">
        <w:t xml:space="preserve">clarify which costs should be included in the current replacement cost of an asset held by a not-for-profit public sector entity when applying the cost approach under </w:t>
      </w:r>
      <w:r w:rsidR="00A54CC0" w:rsidRPr="00B83952">
        <w:t>paragraphs</w:t>
      </w:r>
      <w:r w:rsidRPr="00B83952">
        <w:t xml:space="preserve"> B8–B9</w:t>
      </w:r>
      <w:r w:rsidR="00A309DD" w:rsidRPr="00B83952">
        <w:t xml:space="preserve"> of AASB 13</w:t>
      </w:r>
      <w:r w:rsidRPr="00B83952">
        <w:t>, particularly where such an asset is constructed by or on behalf of the entity (</w:t>
      </w:r>
      <w:r w:rsidR="003E50C6" w:rsidRPr="00B83952">
        <w:t>ie</w:t>
      </w:r>
      <w:r w:rsidRPr="00B83952">
        <w:t xml:space="preserve"> not replaced in a single transaction).</w:t>
      </w:r>
      <w:bookmarkEnd w:id="142"/>
      <w:r w:rsidR="00037A28" w:rsidRPr="00B83952">
        <w:t xml:space="preserve"> Specifically, stakeholders </w:t>
      </w:r>
      <w:r w:rsidR="00367780" w:rsidRPr="00B83952">
        <w:t>requested the Board to clarify</w:t>
      </w:r>
      <w:r w:rsidR="00011DF5" w:rsidRPr="00B83952">
        <w:t xml:space="preserve"> whether the following costs should </w:t>
      </w:r>
      <w:r w:rsidR="00FC63FA" w:rsidRPr="00B83952">
        <w:t xml:space="preserve">(among other costs) </w:t>
      </w:r>
      <w:r w:rsidR="00011DF5" w:rsidRPr="00B83952">
        <w:t xml:space="preserve">be included in </w:t>
      </w:r>
      <w:r w:rsidR="00061C93" w:rsidRPr="00B83952">
        <w:t>the</w:t>
      </w:r>
      <w:r w:rsidR="000B3DA8" w:rsidRPr="00B83952">
        <w:t xml:space="preserve"> current replacement cost</w:t>
      </w:r>
      <w:r w:rsidR="00061C93" w:rsidRPr="00B83952">
        <w:t xml:space="preserve"> of the asset subject to measurement (the subject asset)</w:t>
      </w:r>
      <w:r w:rsidR="00367780" w:rsidRPr="00B83952">
        <w:t>:</w:t>
      </w:r>
      <w:bookmarkEnd w:id="143"/>
    </w:p>
    <w:p w14:paraId="1E27E753" w14:textId="0E9E9DD7" w:rsidR="00741AEC" w:rsidRPr="00B83952" w:rsidRDefault="007A35C0" w:rsidP="003276D3">
      <w:pPr>
        <w:pStyle w:val="NumBC2"/>
      </w:pPr>
      <w:r w:rsidRPr="00B83952">
        <w:t>costs of parts of an asset not expected to actually be replaced in the future</w:t>
      </w:r>
      <w:r w:rsidR="00E46817" w:rsidRPr="00B83952">
        <w:t>,</w:t>
      </w:r>
      <w:r w:rsidRPr="00B83952">
        <w:t xml:space="preserve"> because they are not expected to wear out</w:t>
      </w:r>
      <w:r w:rsidR="00E46817" w:rsidRPr="00B83952">
        <w:t>,</w:t>
      </w:r>
      <w:r w:rsidRPr="00B83952">
        <w:t xml:space="preserve"> but that would need to be incurred in a hypothetical acquisition or construction of the subject asset</w:t>
      </w:r>
      <w:r w:rsidR="00C83384" w:rsidRPr="00B83952">
        <w:t xml:space="preserve"> by a market participant buyer</w:t>
      </w:r>
      <w:r w:rsidRPr="00B83952">
        <w:t>;</w:t>
      </w:r>
    </w:p>
    <w:p w14:paraId="2B914463" w14:textId="78238740" w:rsidR="00011DF5" w:rsidRPr="00B83952" w:rsidRDefault="007E5E2A" w:rsidP="003276D3">
      <w:pPr>
        <w:pStyle w:val="NumBC2"/>
      </w:pPr>
      <w:r w:rsidRPr="00B83952">
        <w:t>site preparation costs</w:t>
      </w:r>
      <w:r w:rsidR="00E13A29" w:rsidRPr="00B83952">
        <w:t>,</w:t>
      </w:r>
      <w:r w:rsidRPr="00B83952">
        <w:t xml:space="preserve"> including </w:t>
      </w:r>
      <w:r w:rsidR="00011DF5" w:rsidRPr="00B83952">
        <w:t xml:space="preserve">costs of removal and disposal of </w:t>
      </w:r>
      <w:r w:rsidR="000B3DA8" w:rsidRPr="00B83952">
        <w:t xml:space="preserve">unwanted </w:t>
      </w:r>
      <w:r w:rsidR="00011DF5" w:rsidRPr="00B83952">
        <w:t>existing structures</w:t>
      </w:r>
      <w:r w:rsidR="000B3DA8" w:rsidRPr="00B83952">
        <w:t xml:space="preserve"> on land</w:t>
      </w:r>
      <w:r w:rsidR="00011DF5" w:rsidRPr="00B83952">
        <w:t>;</w:t>
      </w:r>
      <w:r w:rsidR="00D7318D" w:rsidRPr="00B83952">
        <w:t xml:space="preserve"> and</w:t>
      </w:r>
    </w:p>
    <w:p w14:paraId="2DF264A2" w14:textId="63760E1E" w:rsidR="002F1D40" w:rsidRPr="00B83952" w:rsidRDefault="002F1D40" w:rsidP="003276D3">
      <w:pPr>
        <w:pStyle w:val="NumBC2"/>
      </w:pPr>
      <w:r w:rsidRPr="00B83952">
        <w:t xml:space="preserve">intrinsically linked </w:t>
      </w:r>
      <w:r w:rsidR="008F2736" w:rsidRPr="00B83952">
        <w:t xml:space="preserve">disruption costs, </w:t>
      </w:r>
      <w:r w:rsidRPr="00B83952">
        <w:t>including</w:t>
      </w:r>
      <w:r w:rsidR="00011DF5" w:rsidRPr="00B83952">
        <w:t xml:space="preserve"> </w:t>
      </w:r>
      <w:r w:rsidRPr="00B83952">
        <w:t xml:space="preserve">costs </w:t>
      </w:r>
      <w:r w:rsidR="008F2736" w:rsidRPr="00B83952">
        <w:t xml:space="preserve">of restoring </w:t>
      </w:r>
      <w:r w:rsidRPr="00B83952">
        <w:t xml:space="preserve">another entity’s asset </w:t>
      </w:r>
      <w:r w:rsidR="00011DF5" w:rsidRPr="00B83952">
        <w:t xml:space="preserve">that </w:t>
      </w:r>
      <w:r w:rsidRPr="00B83952">
        <w:t>would be</w:t>
      </w:r>
      <w:r w:rsidR="00011DF5" w:rsidRPr="00B83952">
        <w:t xml:space="preserve"> </w:t>
      </w:r>
      <w:r w:rsidR="000F51F6" w:rsidRPr="00B83952">
        <w:t>disrupted</w:t>
      </w:r>
      <w:r w:rsidR="00011DF5" w:rsidRPr="00B83952">
        <w:t xml:space="preserve"> </w:t>
      </w:r>
      <w:r w:rsidRPr="00B83952">
        <w:t xml:space="preserve">in a hypothetical replacement of the </w:t>
      </w:r>
      <w:r w:rsidR="0093368C" w:rsidRPr="00B83952">
        <w:t>subject asset</w:t>
      </w:r>
      <w:r w:rsidR="00A04652" w:rsidRPr="00B83952">
        <w:t xml:space="preserve"> (the nature of disruption costs is explained in paragraph </w:t>
      </w:r>
      <w:r w:rsidR="00464AEB" w:rsidRPr="00B83952">
        <w:fldChar w:fldCharType="begin"/>
      </w:r>
      <w:r w:rsidR="00464AEB" w:rsidRPr="00B83952">
        <w:instrText xml:space="preserve"> REF _Ref94928774 \r \h </w:instrText>
      </w:r>
      <w:r w:rsidR="00464AEB" w:rsidRPr="00B83952">
        <w:fldChar w:fldCharType="separate"/>
      </w:r>
      <w:r w:rsidR="005A1B65">
        <w:t>BC179</w:t>
      </w:r>
      <w:r w:rsidR="00464AEB" w:rsidRPr="00B83952">
        <w:fldChar w:fldCharType="end"/>
      </w:r>
      <w:r w:rsidR="00A04652" w:rsidRPr="00B83952">
        <w:t>)</w:t>
      </w:r>
      <w:r w:rsidR="00D7318D" w:rsidRPr="00B83952">
        <w:t>.</w:t>
      </w:r>
    </w:p>
    <w:p w14:paraId="5AD8F198" w14:textId="76D31B18" w:rsidR="007A35C0" w:rsidRPr="00B83952" w:rsidRDefault="00545849" w:rsidP="003276D3">
      <w:pPr>
        <w:pStyle w:val="NumBC1"/>
      </w:pPr>
      <w:r w:rsidRPr="00B83952">
        <w:t>Stakeholders also requested the Board to clarify</w:t>
      </w:r>
      <w:r w:rsidR="00DE067C" w:rsidRPr="00B83952">
        <w:t>,</w:t>
      </w:r>
      <w:r w:rsidRPr="00B83952">
        <w:t xml:space="preserve"> </w:t>
      </w:r>
      <w:r w:rsidR="001B332B" w:rsidRPr="00B83952">
        <w:t xml:space="preserve">when </w:t>
      </w:r>
      <w:r w:rsidR="00DE067C" w:rsidRPr="00B83952">
        <w:t>identifying the component costs to include in an asset’s current replacement cost</w:t>
      </w:r>
      <w:r w:rsidR="001B332B" w:rsidRPr="00B83952">
        <w:t xml:space="preserve">, </w:t>
      </w:r>
      <w:r w:rsidR="00DE067C" w:rsidRPr="00B83952">
        <w:t xml:space="preserve">whether it should always be assumed </w:t>
      </w:r>
      <w:r w:rsidR="001B332B" w:rsidRPr="00B83952">
        <w:t>that th</w:t>
      </w:r>
      <w:r w:rsidR="00083240" w:rsidRPr="00B83952">
        <w:t>e</w:t>
      </w:r>
      <w:r w:rsidR="001B332B" w:rsidRPr="00B83952">
        <w:t xml:space="preserve"> asset would be replaced in the most economical manner</w:t>
      </w:r>
      <w:r w:rsidR="00461673" w:rsidRPr="00B83952">
        <w:t xml:space="preserve">, even </w:t>
      </w:r>
      <w:r w:rsidR="001049B0" w:rsidRPr="00B83952">
        <w:t xml:space="preserve">if the entity would, in its ordinary </w:t>
      </w:r>
      <w:r w:rsidR="00C92AAB" w:rsidRPr="00B83952">
        <w:t xml:space="preserve">course of operations, </w:t>
      </w:r>
      <w:r w:rsidR="00F4132C" w:rsidRPr="00B83952">
        <w:t>be required to incur additional costs</w:t>
      </w:r>
      <w:r w:rsidR="001B332B" w:rsidRPr="00B83952">
        <w:t>.</w:t>
      </w:r>
    </w:p>
    <w:p w14:paraId="6734FF4E" w14:textId="2773E3A5" w:rsidR="000D303E" w:rsidRPr="00B83952" w:rsidRDefault="000D303E" w:rsidP="003276D3">
      <w:pPr>
        <w:pStyle w:val="NumBC1"/>
      </w:pPr>
      <w:r w:rsidRPr="00B83952">
        <w:t xml:space="preserve">The majority of respondents to ED 320 expressed in-principle support for most of the proposed implementation guidance on the nature of the costs to include in the current replacement cost of an asset, but also expressed concerns about the practical challenges of applying that proposed guidance. </w:t>
      </w:r>
      <w:r w:rsidR="0036513F" w:rsidRPr="00B83952">
        <w:t>The Board considered the feedback and revised the guidance to address those concerns.</w:t>
      </w:r>
    </w:p>
    <w:p w14:paraId="5DB0CB2E" w14:textId="6549DA17" w:rsidR="00056F68" w:rsidRPr="00B83952" w:rsidRDefault="00056F68" w:rsidP="003276D3">
      <w:pPr>
        <w:pStyle w:val="NumBC1"/>
      </w:pPr>
      <w:r w:rsidRPr="00B83952">
        <w:t xml:space="preserve">In particular, the Board </w:t>
      </w:r>
      <w:r w:rsidR="001D17E8" w:rsidRPr="00B83952">
        <w:t>observed that respondents’</w:t>
      </w:r>
      <w:r w:rsidRPr="00B83952">
        <w:t xml:space="preserve"> concerns about the difficulty of identifying and measuring some costs are mainly related to assets within the scope of the guidance in paragraph 89 of </w:t>
      </w:r>
      <w:r w:rsidR="00266FCF" w:rsidRPr="00B83952">
        <w:t>AASB</w:t>
      </w:r>
      <w:r w:rsidR="00BB0DDB" w:rsidRPr="00B83952">
        <w:t> </w:t>
      </w:r>
      <w:r w:rsidR="00266FCF" w:rsidRPr="00B83952">
        <w:t>13</w:t>
      </w:r>
      <w:r w:rsidR="004B6BFD" w:rsidRPr="00B83952">
        <w:t xml:space="preserve"> – when </w:t>
      </w:r>
      <w:r w:rsidR="00EA041B" w:rsidRPr="00B83952">
        <w:t xml:space="preserve">the </w:t>
      </w:r>
      <w:r w:rsidR="004B6BFD" w:rsidRPr="00B83952">
        <w:t xml:space="preserve">market selling price of a comparable asset </w:t>
      </w:r>
      <w:r w:rsidR="00EA041B" w:rsidRPr="00B83952">
        <w:t xml:space="preserve">and at least some other market participant data are </w:t>
      </w:r>
      <w:r w:rsidR="004B6BFD" w:rsidRPr="00B83952">
        <w:t>not observable. The Board added p</w:t>
      </w:r>
      <w:r w:rsidRPr="00B83952">
        <w:t>aragraph </w:t>
      </w:r>
      <w:r w:rsidRPr="00B83952">
        <w:fldChar w:fldCharType="begin"/>
      </w:r>
      <w:r w:rsidRPr="00B83952">
        <w:instrText xml:space="preserve"> REF _Ref115100654 \r \h </w:instrText>
      </w:r>
      <w:r w:rsidRPr="00B83952">
        <w:fldChar w:fldCharType="separate"/>
      </w:r>
      <w:r w:rsidR="005A1B65">
        <w:t>F5</w:t>
      </w:r>
      <w:r w:rsidRPr="00B83952">
        <w:fldChar w:fldCharType="end"/>
      </w:r>
      <w:r w:rsidRPr="00B83952">
        <w:t xml:space="preserve"> </w:t>
      </w:r>
      <w:r w:rsidR="004B6BFD" w:rsidRPr="00B83952">
        <w:t>to require an</w:t>
      </w:r>
      <w:r w:rsidRPr="00B83952">
        <w:t xml:space="preserve"> entity </w:t>
      </w:r>
      <w:r w:rsidR="004B6BFD" w:rsidRPr="00B83952">
        <w:t xml:space="preserve">to </w:t>
      </w:r>
      <w:r w:rsidRPr="00B83952">
        <w:t>use its own assumptions as a starting point and adjust them only to the extent that reasonably available information indicates that other market participants would use different data. In addition, the Board decided</w:t>
      </w:r>
      <w:r w:rsidR="00FB2D3E" w:rsidRPr="00B83952">
        <w:t xml:space="preserve"> </w:t>
      </w:r>
      <w:r w:rsidRPr="00B83952">
        <w:t xml:space="preserve">to provide a practical expedient </w:t>
      </w:r>
      <w:r w:rsidR="00E239CA" w:rsidRPr="00B83952">
        <w:t>in paragraph </w:t>
      </w:r>
      <w:r w:rsidR="00E6257C" w:rsidRPr="00B83952">
        <w:fldChar w:fldCharType="begin"/>
      </w:r>
      <w:r w:rsidR="00E6257C" w:rsidRPr="00B83952">
        <w:instrText xml:space="preserve"> REF _Ref113942548 \r \h </w:instrText>
      </w:r>
      <w:r w:rsidR="00E6257C" w:rsidRPr="00B83952">
        <w:fldChar w:fldCharType="separate"/>
      </w:r>
      <w:r w:rsidR="005A1B65">
        <w:t>F14</w:t>
      </w:r>
      <w:r w:rsidR="00E6257C" w:rsidRPr="00B83952">
        <w:fldChar w:fldCharType="end"/>
      </w:r>
      <w:r w:rsidR="00E239CA" w:rsidRPr="00B83952">
        <w:t xml:space="preserve"> </w:t>
      </w:r>
      <w:r w:rsidRPr="00B83952">
        <w:lastRenderedPageBreak/>
        <w:t>whereby a</w:t>
      </w:r>
      <w:r w:rsidRPr="00B83952">
        <w:rPr>
          <w:szCs w:val="19"/>
        </w:rPr>
        <w:t>n entity need not undertake exhaustive efforts to obtain information about the cost</w:t>
      </w:r>
      <w:r w:rsidR="00C166F3" w:rsidRPr="00B83952">
        <w:rPr>
          <w:szCs w:val="19"/>
        </w:rPr>
        <w:t>s</w:t>
      </w:r>
      <w:r w:rsidR="009D012F" w:rsidRPr="00B83952">
        <w:rPr>
          <w:szCs w:val="19"/>
        </w:rPr>
        <w:t xml:space="preserve"> </w:t>
      </w:r>
      <w:r w:rsidR="00C166F3" w:rsidRPr="00B83952">
        <w:rPr>
          <w:szCs w:val="19"/>
        </w:rPr>
        <w:t>referred to in paragraph </w:t>
      </w:r>
      <w:r w:rsidR="003A2AC3" w:rsidRPr="00B83952">
        <w:rPr>
          <w:szCs w:val="19"/>
        </w:rPr>
        <w:fldChar w:fldCharType="begin"/>
      </w:r>
      <w:r w:rsidR="003A2AC3" w:rsidRPr="00B83952">
        <w:rPr>
          <w:szCs w:val="19"/>
        </w:rPr>
        <w:instrText xml:space="preserve"> REF _Ref115393983 \r \h </w:instrText>
      </w:r>
      <w:r w:rsidR="003A2AC3" w:rsidRPr="00B83952">
        <w:rPr>
          <w:szCs w:val="19"/>
        </w:rPr>
      </w:r>
      <w:r w:rsidR="003A2AC3" w:rsidRPr="00B83952">
        <w:rPr>
          <w:szCs w:val="19"/>
        </w:rPr>
        <w:fldChar w:fldCharType="separate"/>
      </w:r>
      <w:r w:rsidR="005A1B65">
        <w:rPr>
          <w:szCs w:val="19"/>
        </w:rPr>
        <w:t>BC148</w:t>
      </w:r>
      <w:r w:rsidR="003A2AC3" w:rsidRPr="00B83952">
        <w:rPr>
          <w:szCs w:val="19"/>
        </w:rPr>
        <w:fldChar w:fldCharType="end"/>
      </w:r>
      <w:r w:rsidRPr="00B83952">
        <w:rPr>
          <w:szCs w:val="19"/>
        </w:rPr>
        <w:t>, provided that the entity includes all such costs for which data are reasonably available</w:t>
      </w:r>
      <w:r w:rsidRPr="00B83952">
        <w:t>.</w:t>
      </w:r>
    </w:p>
    <w:p w14:paraId="626F808C" w14:textId="10A8B9A5" w:rsidR="00056F68" w:rsidRPr="00B83952" w:rsidRDefault="00347E3A" w:rsidP="003276D3">
      <w:pPr>
        <w:pStyle w:val="NumBC1"/>
      </w:pPr>
      <w:r w:rsidRPr="00B83952">
        <w:t xml:space="preserve">The </w:t>
      </w:r>
      <w:r w:rsidR="00056F68" w:rsidRPr="00B83952">
        <w:t xml:space="preserve">Board </w:t>
      </w:r>
      <w:r w:rsidRPr="00B83952">
        <w:t xml:space="preserve">also considered the </w:t>
      </w:r>
      <w:r w:rsidR="00056F68" w:rsidRPr="00B83952">
        <w:t xml:space="preserve">feedback that identifying </w:t>
      </w:r>
      <w:r w:rsidRPr="00B83952">
        <w:t>an asset’s current replacement cost</w:t>
      </w:r>
      <w:r w:rsidR="00056F68" w:rsidRPr="00B83952">
        <w:t xml:space="preserve"> </w:t>
      </w:r>
      <w:r w:rsidR="00567FE0" w:rsidRPr="00B83952">
        <w:t>as including the costs referred to in paragraph </w:t>
      </w:r>
      <w:r w:rsidR="00371598" w:rsidRPr="00B83952">
        <w:fldChar w:fldCharType="begin"/>
      </w:r>
      <w:r w:rsidR="00371598" w:rsidRPr="00B83952">
        <w:instrText xml:space="preserve"> REF _Ref115393983 \r \h </w:instrText>
      </w:r>
      <w:r w:rsidR="00371598" w:rsidRPr="00B83952">
        <w:fldChar w:fldCharType="separate"/>
      </w:r>
      <w:r w:rsidR="005A1B65">
        <w:t>BC148</w:t>
      </w:r>
      <w:r w:rsidR="00371598" w:rsidRPr="00B83952">
        <w:fldChar w:fldCharType="end"/>
      </w:r>
      <w:r w:rsidR="00567FE0" w:rsidRPr="00B83952">
        <w:t xml:space="preserve"> </w:t>
      </w:r>
      <w:r w:rsidR="00056F68" w:rsidRPr="00B83952">
        <w:t xml:space="preserve">might require an entity to recognise and measure separately </w:t>
      </w:r>
      <w:r w:rsidR="00D324F0" w:rsidRPr="00B83952">
        <w:t xml:space="preserve">some </w:t>
      </w:r>
      <w:r w:rsidR="00056F68" w:rsidRPr="00B83952">
        <w:t>assets</w:t>
      </w:r>
      <w:r w:rsidR="00D324F0" w:rsidRPr="00B83952">
        <w:t xml:space="preserve"> at a considerably more disaggregated level</w:t>
      </w:r>
      <w:r w:rsidR="002A5C8B" w:rsidRPr="00B83952">
        <w:t>, resulting in increased cost and effort</w:t>
      </w:r>
      <w:r w:rsidR="00056F68" w:rsidRPr="00B83952">
        <w:t xml:space="preserve">. For example, concerns were expressed that </w:t>
      </w:r>
      <w:r w:rsidR="00C434C1" w:rsidRPr="00B83952">
        <w:t xml:space="preserve">greater disaggregation </w:t>
      </w:r>
      <w:r w:rsidR="00056F68" w:rsidRPr="00B83952">
        <w:t xml:space="preserve">might </w:t>
      </w:r>
      <w:r w:rsidR="00C434C1" w:rsidRPr="00B83952">
        <w:t xml:space="preserve">become necessary </w:t>
      </w:r>
      <w:r w:rsidR="00056F68" w:rsidRPr="00B83952">
        <w:t>for costs to restore assets of other entities disturbed upon replacement of the subject asset, because those restoration costs would vary considerably according to location-specific factors. The Board observed that the implementation guidance on the application of the cost approach does not preclude the use of unit rates or standard costing methodologies that approximate the total amounts of individual assets, particularly in applying the concept of materiality. Similarly, the implementation guidance does not mandate the unit of account for assets measured at fair value by applying the cost approach.</w:t>
      </w:r>
    </w:p>
    <w:p w14:paraId="4F6476D7" w14:textId="617D2480" w:rsidR="00EA1CF5" w:rsidRPr="00B83952" w:rsidRDefault="00EA1CF5">
      <w:pPr>
        <w:pStyle w:val="IASBSectionTitle2Ind"/>
      </w:pPr>
      <w:bookmarkStart w:id="144" w:name="_Ref92986969"/>
      <w:r w:rsidRPr="00B83952">
        <w:t xml:space="preserve">The </w:t>
      </w:r>
      <w:r w:rsidR="00B302E0" w:rsidRPr="00B83952">
        <w:t xml:space="preserve">overarching </w:t>
      </w:r>
      <w:r w:rsidRPr="00B83952">
        <w:t>principle</w:t>
      </w:r>
    </w:p>
    <w:p w14:paraId="203213B5" w14:textId="631DA21C" w:rsidR="00E85314" w:rsidRPr="00B83952" w:rsidRDefault="00526EE3" w:rsidP="003276D3">
      <w:pPr>
        <w:pStyle w:val="NumBC1"/>
      </w:pPr>
      <w:bookmarkStart w:id="145" w:name="_Ref115229753"/>
      <w:bookmarkStart w:id="146" w:name="_Ref94935978"/>
      <w:r w:rsidRPr="00B83952">
        <w:t xml:space="preserve">The definition of fair value in paragraph 9 </w:t>
      </w:r>
      <w:r w:rsidR="00277EA5" w:rsidRPr="00B83952">
        <w:t xml:space="preserve">of AASB 13 </w:t>
      </w:r>
      <w:r w:rsidRPr="00B83952">
        <w:t xml:space="preserve">refers to the price that would be received to </w:t>
      </w:r>
      <w:r w:rsidRPr="00B83952">
        <w:rPr>
          <w:i/>
          <w:iCs/>
        </w:rPr>
        <w:t xml:space="preserve">sell </w:t>
      </w:r>
      <w:r w:rsidRPr="00B83952">
        <w:t>an asset (ie exit price). However, when the best evidence of a</w:t>
      </w:r>
      <w:r w:rsidR="007355BB" w:rsidRPr="00B83952">
        <w:t xml:space="preserve"> subject</w:t>
      </w:r>
      <w:r w:rsidRPr="00B83952">
        <w:t xml:space="preserve"> asset’s fair value (maximising the use of relevant observable inputs) is not data about </w:t>
      </w:r>
      <w:r w:rsidR="007355BB" w:rsidRPr="00B83952">
        <w:t xml:space="preserve">that </w:t>
      </w:r>
      <w:r w:rsidRPr="00B83952">
        <w:t xml:space="preserve">asset’s selling price or net cash inflows from use (and therefore the cost approach is applied), the asset’s fair value is derived by regard to the asset’s market </w:t>
      </w:r>
      <w:r w:rsidRPr="00B83952">
        <w:rPr>
          <w:i/>
          <w:iCs/>
        </w:rPr>
        <w:t>buying price</w:t>
      </w:r>
      <w:r w:rsidRPr="00B83952">
        <w:t xml:space="preserve"> (often the sum of a number of purchase prices for the asset’s </w:t>
      </w:r>
      <w:r w:rsidR="00621C6D" w:rsidRPr="00B83952">
        <w:t>parts</w:t>
      </w:r>
      <w:r w:rsidRPr="00B83952">
        <w:t xml:space="preserve">). </w:t>
      </w:r>
      <w:r w:rsidR="009F3BE7" w:rsidRPr="00B83952">
        <w:t xml:space="preserve">In </w:t>
      </w:r>
      <w:r w:rsidR="00645144" w:rsidRPr="00B83952">
        <w:t xml:space="preserve">relation to applying the cost approach, </w:t>
      </w:r>
      <w:r w:rsidR="009F3BE7" w:rsidRPr="00B83952">
        <w:t>paragraph B9 of AASB 13 states that: “From the perspective of a market participant seller, the price that would be received for the asset is based on the cost to a market participant buyer to acquire or construct a substitute asset of comparable utility, adjusted for obsolescence. That is because a market participant buyer would not pay more for an asset than the amount for which it could replace the service capacity of that asset.”</w:t>
      </w:r>
      <w:bookmarkEnd w:id="145"/>
      <w:r w:rsidR="003D669B" w:rsidRPr="00B83952">
        <w:t xml:space="preserve"> </w:t>
      </w:r>
    </w:p>
    <w:p w14:paraId="1A8D39BD" w14:textId="535F5A40" w:rsidR="00526EE3" w:rsidRPr="00B83952" w:rsidRDefault="00526EE3" w:rsidP="003276D3">
      <w:pPr>
        <w:pStyle w:val="NumBC1"/>
      </w:pPr>
      <w:bookmarkStart w:id="147" w:name="_Ref115225172"/>
      <w:r w:rsidRPr="00B83952">
        <w:t xml:space="preserve">In this regard, the price a market participant buyer would be prepared to pay for a </w:t>
      </w:r>
      <w:r w:rsidR="00C01322" w:rsidRPr="00B83952">
        <w:t xml:space="preserve">subject </w:t>
      </w:r>
      <w:r w:rsidRPr="00B83952">
        <w:t>asset is estimated by reflecting the fact that the market participant buyer presently does not possess the subject asset</w:t>
      </w:r>
      <w:r w:rsidR="00DF1275" w:rsidRPr="00B83952">
        <w:t xml:space="preserve"> and needs to acquire </w:t>
      </w:r>
      <w:r w:rsidR="000647AC" w:rsidRPr="00B83952">
        <w:t xml:space="preserve">or construct </w:t>
      </w:r>
      <w:r w:rsidR="00DF1275" w:rsidRPr="00B83952">
        <w:t>it in its entirety</w:t>
      </w:r>
      <w:r w:rsidRPr="00B83952">
        <w:t>.</w:t>
      </w:r>
      <w:r w:rsidR="00A03659" w:rsidRPr="00B83952">
        <w:t xml:space="preserve"> The Board concluded that, t</w:t>
      </w:r>
      <w:r w:rsidR="001B3F30" w:rsidRPr="00B83952">
        <w:t>o</w:t>
      </w:r>
      <w:r w:rsidR="00A03659" w:rsidRPr="00B83952">
        <w:t xml:space="preserve"> estimate this amount, an entity would include all necessary costs intrinsically linked to acquiring or constructing the asset at the measurement date. This is because a market participant buyer of the subject asset would need to incur </w:t>
      </w:r>
      <w:r w:rsidR="007372B3" w:rsidRPr="00B83952">
        <w:t xml:space="preserve">all </w:t>
      </w:r>
      <w:r w:rsidR="00A03659" w:rsidRPr="00B83952">
        <w:t>those costs if it acquire</w:t>
      </w:r>
      <w:r w:rsidR="007372B3" w:rsidRPr="00B83952">
        <w:t>d</w:t>
      </w:r>
      <w:r w:rsidR="00A03659" w:rsidRPr="00B83952">
        <w:t xml:space="preserve"> </w:t>
      </w:r>
      <w:r w:rsidR="000647AC" w:rsidRPr="00B83952">
        <w:t xml:space="preserve">or constructed </w:t>
      </w:r>
      <w:r w:rsidR="00A03659" w:rsidRPr="00B83952">
        <w:t xml:space="preserve">the subject asset at the measurement date, whether that buyer </w:t>
      </w:r>
      <w:r w:rsidR="007372B3" w:rsidRPr="00B83952">
        <w:t xml:space="preserve">hypothetically </w:t>
      </w:r>
      <w:r w:rsidR="00A03659" w:rsidRPr="00B83952">
        <w:t xml:space="preserve">acquires the subject asset from the entity or constructs </w:t>
      </w:r>
      <w:r w:rsidR="007372B3" w:rsidRPr="00B83952">
        <w:t xml:space="preserve">a substitute </w:t>
      </w:r>
      <w:r w:rsidR="00A03659" w:rsidRPr="00B83952">
        <w:t>asset itself.</w:t>
      </w:r>
      <w:r w:rsidR="005F5355" w:rsidRPr="00B83952">
        <w:t xml:space="preserve"> </w:t>
      </w:r>
      <w:bookmarkEnd w:id="147"/>
    </w:p>
    <w:p w14:paraId="0815FAEC" w14:textId="124E90AD" w:rsidR="00463C0C" w:rsidRPr="00B83952" w:rsidRDefault="00933F31" w:rsidP="003276D3">
      <w:pPr>
        <w:pStyle w:val="NumBC1"/>
      </w:pPr>
      <w:bookmarkStart w:id="148" w:name="_Ref115045095"/>
      <w:r w:rsidRPr="00B83952">
        <w:t>Because the subject asset is held by the reporting entity at the measurement date, an actual sale of the subject asset by the reporting entity to a market participant buyer did not occur on the measurement date. Consequently</w:t>
      </w:r>
      <w:r w:rsidR="00DE6DD0" w:rsidRPr="00B83952">
        <w:t>,</w:t>
      </w:r>
      <w:r w:rsidRPr="00B83952">
        <w:t xml:space="preserve"> as</w:t>
      </w:r>
      <w:r w:rsidR="004C2281" w:rsidRPr="00B83952">
        <w:t xml:space="preserve"> noted in </w:t>
      </w:r>
      <w:r w:rsidR="00463C0C" w:rsidRPr="00B83952">
        <w:t>IFRS 13 paragraph BC30</w:t>
      </w:r>
      <w:r w:rsidR="004D1E24" w:rsidRPr="00B83952">
        <w:t>,</w:t>
      </w:r>
      <w:r w:rsidR="00463C0C" w:rsidRPr="00B83952">
        <w:t xml:space="preserve"> the definition of fair value assumes a hypothetical exchange transaction.</w:t>
      </w:r>
      <w:r w:rsidRPr="00B83952">
        <w:t xml:space="preserve"> </w:t>
      </w:r>
      <w:r w:rsidR="00990D84" w:rsidRPr="00B83952">
        <w:t xml:space="preserve">Assuming a hypothetical acquisition or construction of a substitute asset by the market participant buyer </w:t>
      </w:r>
      <w:r w:rsidR="00FF64B6" w:rsidRPr="00B83952">
        <w:t xml:space="preserve">requires the consideration of data about </w:t>
      </w:r>
      <w:r w:rsidR="00346853" w:rsidRPr="00B83952">
        <w:t xml:space="preserve">a </w:t>
      </w:r>
      <w:r w:rsidR="00FF64B6" w:rsidRPr="00B83952">
        <w:t>reference asset</w:t>
      </w:r>
      <w:r w:rsidR="00360E77" w:rsidRPr="00B83952">
        <w:t>.</w:t>
      </w:r>
      <w:r w:rsidR="00346853" w:rsidRPr="00B83952">
        <w:t xml:space="preserve"> </w:t>
      </w:r>
      <w:r w:rsidR="008D7928" w:rsidRPr="00B83952">
        <w:t xml:space="preserve">Therefore, </w:t>
      </w:r>
      <w:r w:rsidR="00B13B68" w:rsidRPr="00B83952">
        <w:t xml:space="preserve">an estimate of an asset’s current replacement cost includes </w:t>
      </w:r>
      <w:r w:rsidR="008D7928" w:rsidRPr="00B83952">
        <w:t xml:space="preserve">all necessary costs intrinsically linked to hypothetically acquiring or constructing a </w:t>
      </w:r>
      <w:r w:rsidR="008D7928" w:rsidRPr="00B83952">
        <w:rPr>
          <w:i/>
          <w:iCs/>
        </w:rPr>
        <w:t>reference asset</w:t>
      </w:r>
      <w:r w:rsidR="008D7928" w:rsidRPr="00B83952">
        <w:t xml:space="preserve"> at the measurement date</w:t>
      </w:r>
      <w:r w:rsidR="00766417" w:rsidRPr="00B83952">
        <w:t>.</w:t>
      </w:r>
      <w:r w:rsidR="008D7928" w:rsidRPr="00B83952">
        <w:t xml:space="preserve"> </w:t>
      </w:r>
      <w:r w:rsidR="00375EE6" w:rsidRPr="00B83952">
        <w:t xml:space="preserve">The process of identifying and using data about reference assets, </w:t>
      </w:r>
      <w:r w:rsidR="00052B11" w:rsidRPr="00B83952">
        <w:t>while maximising the use of relevant observable inputs and minimising the use of unobservable inputs, is discussed in paragraphs </w:t>
      </w:r>
      <w:r w:rsidR="00775E93" w:rsidRPr="00B83952">
        <w:fldChar w:fldCharType="begin"/>
      </w:r>
      <w:r w:rsidR="00775E93" w:rsidRPr="00B83952">
        <w:instrText xml:space="preserve"> REF _Ref115229603 \r \h </w:instrText>
      </w:r>
      <w:r w:rsidR="00775E93" w:rsidRPr="00B83952">
        <w:fldChar w:fldCharType="separate"/>
      </w:r>
      <w:r w:rsidR="005A1B65">
        <w:t>BC157</w:t>
      </w:r>
      <w:r w:rsidR="00775E93" w:rsidRPr="00B83952">
        <w:fldChar w:fldCharType="end"/>
      </w:r>
      <w:r w:rsidR="00052B11" w:rsidRPr="00B83952">
        <w:t>–</w:t>
      </w:r>
      <w:r w:rsidR="00775E93" w:rsidRPr="00B83952">
        <w:fldChar w:fldCharType="begin"/>
      </w:r>
      <w:r w:rsidR="00775E93" w:rsidRPr="00B83952">
        <w:instrText xml:space="preserve"> REF _Ref115229655 \r \h </w:instrText>
      </w:r>
      <w:r w:rsidR="00775E93" w:rsidRPr="00B83952">
        <w:fldChar w:fldCharType="separate"/>
      </w:r>
      <w:r w:rsidR="005A1B65">
        <w:t>BC161</w:t>
      </w:r>
      <w:r w:rsidR="00775E93" w:rsidRPr="00B83952">
        <w:fldChar w:fldCharType="end"/>
      </w:r>
      <w:r w:rsidR="00052B11" w:rsidRPr="00B83952">
        <w:t>.</w:t>
      </w:r>
      <w:bookmarkEnd w:id="148"/>
    </w:p>
    <w:p w14:paraId="52264287" w14:textId="79ABB527" w:rsidR="000A467E" w:rsidRPr="00B83952" w:rsidRDefault="00DF34B8" w:rsidP="003276D3">
      <w:pPr>
        <w:pStyle w:val="NumBC1"/>
      </w:pPr>
      <w:r w:rsidRPr="00B83952">
        <w:t xml:space="preserve">ED 320 proposed </w:t>
      </w:r>
      <w:r w:rsidR="00D0344C" w:rsidRPr="00B83952">
        <w:t>the concept of “assuming the subject asset presently does not exist” as the overa</w:t>
      </w:r>
      <w:r w:rsidR="007336FC" w:rsidRPr="00B83952">
        <w:t>rching</w:t>
      </w:r>
      <w:r w:rsidR="00D0344C" w:rsidRPr="00B83952">
        <w:t xml:space="preserve"> principle of the cost approach</w:t>
      </w:r>
      <w:r w:rsidR="00740BBB" w:rsidRPr="00B83952">
        <w:t>.</w:t>
      </w:r>
      <w:r w:rsidR="00D0344C" w:rsidRPr="00B83952">
        <w:t xml:space="preserve"> </w:t>
      </w:r>
      <w:r w:rsidR="00740BBB" w:rsidRPr="00B83952">
        <w:t>T</w:t>
      </w:r>
      <w:r w:rsidR="000A467E" w:rsidRPr="00B83952">
        <w:t xml:space="preserve">he Board </w:t>
      </w:r>
      <w:r w:rsidR="00740BBB" w:rsidRPr="00B83952">
        <w:t xml:space="preserve">proposed that </w:t>
      </w:r>
      <w:r w:rsidR="000A467E" w:rsidRPr="00B83952">
        <w:t>assumption as ‘shorthand’ for the principle that the market participant buyer presently does not possess the subject asset and needs to acquire that asset in its entirety.</w:t>
      </w:r>
      <w:r w:rsidR="00083183" w:rsidRPr="00B83952">
        <w:t xml:space="preserve"> However, </w:t>
      </w:r>
      <w:r w:rsidR="00CE4F05" w:rsidRPr="00B83952">
        <w:t>a few respondents commented that th</w:t>
      </w:r>
      <w:r w:rsidR="006F6F3C" w:rsidRPr="00B83952">
        <w:t>e</w:t>
      </w:r>
      <w:r w:rsidR="00CE4F05" w:rsidRPr="00B83952">
        <w:t xml:space="preserve"> concept </w:t>
      </w:r>
      <w:r w:rsidR="006F6F3C" w:rsidRPr="00B83952">
        <w:t xml:space="preserve">that the subject asset presently does not exist </w:t>
      </w:r>
      <w:r w:rsidR="00CE4F05" w:rsidRPr="00B83952">
        <w:t xml:space="preserve">conflicts with the </w:t>
      </w:r>
      <w:r w:rsidR="00580EBE" w:rsidRPr="00B83952">
        <w:t xml:space="preserve">proposed </w:t>
      </w:r>
      <w:r w:rsidR="006F6F3C" w:rsidRPr="00B83952">
        <w:t>requirement</w:t>
      </w:r>
      <w:r w:rsidR="00800E5F" w:rsidRPr="00B83952">
        <w:t>s</w:t>
      </w:r>
      <w:r w:rsidR="006F6F3C" w:rsidRPr="00B83952">
        <w:t xml:space="preserve"> to </w:t>
      </w:r>
      <w:r w:rsidR="00800E5F" w:rsidRPr="00B83952">
        <w:t xml:space="preserve">include </w:t>
      </w:r>
      <w:r w:rsidR="00792CDD" w:rsidRPr="00B83952">
        <w:t>certain asset-specific costs</w:t>
      </w:r>
      <w:r w:rsidR="00800E5F" w:rsidRPr="00B83952">
        <w:t xml:space="preserve"> in current replacement cost</w:t>
      </w:r>
      <w:r w:rsidR="009B313C" w:rsidRPr="00B83952">
        <w:t>.</w:t>
      </w:r>
      <w:r w:rsidR="00373E70" w:rsidRPr="00B83952">
        <w:t xml:space="preserve"> </w:t>
      </w:r>
      <w:r w:rsidR="00580988" w:rsidRPr="00B83952">
        <w:t xml:space="preserve">The Board decided </w:t>
      </w:r>
      <w:r w:rsidR="00EC4513" w:rsidRPr="00B83952">
        <w:t xml:space="preserve">not </w:t>
      </w:r>
      <w:r w:rsidR="00580988" w:rsidRPr="00B83952">
        <w:t xml:space="preserve">to </w:t>
      </w:r>
      <w:r w:rsidR="00BC5C92" w:rsidRPr="00B83952">
        <w:t xml:space="preserve">state an overarching principle for the cost approach in the implementation guidance because </w:t>
      </w:r>
      <w:r w:rsidR="00673798" w:rsidRPr="00B83952">
        <w:t xml:space="preserve">paragraphs B8 and B9 </w:t>
      </w:r>
      <w:r w:rsidR="00211B87" w:rsidRPr="00B83952">
        <w:t xml:space="preserve">clearly </w:t>
      </w:r>
      <w:r w:rsidR="00673798" w:rsidRPr="00B83952">
        <w:t xml:space="preserve">state that the cost approach reflects the amount that would be required currently to replace the service capacity of an </w:t>
      </w:r>
      <w:r w:rsidR="00211B87" w:rsidRPr="00B83952">
        <w:t xml:space="preserve">asset, which </w:t>
      </w:r>
      <w:r w:rsidR="00AD7D6C" w:rsidRPr="00B83952">
        <w:t xml:space="preserve">requires </w:t>
      </w:r>
      <w:r w:rsidR="007A3F99" w:rsidRPr="00B83952">
        <w:t xml:space="preserve">all necessary costs </w:t>
      </w:r>
      <w:r w:rsidR="00B302E0" w:rsidRPr="00B83952">
        <w:t>intrinsically</w:t>
      </w:r>
      <w:r w:rsidR="007A3F99" w:rsidRPr="00B83952">
        <w:t xml:space="preserve"> linked to the </w:t>
      </w:r>
      <w:r w:rsidR="00B302E0" w:rsidRPr="00B83952">
        <w:t xml:space="preserve">hypothetical acquisition or replacement of a reference asset </w:t>
      </w:r>
      <w:r w:rsidR="00AD7D6C" w:rsidRPr="00B83952">
        <w:t xml:space="preserve">to </w:t>
      </w:r>
      <w:r w:rsidR="00B302E0" w:rsidRPr="00B83952">
        <w:t>be included in the subject asset’s current replacement cost.</w:t>
      </w:r>
      <w:r w:rsidR="000A467E" w:rsidRPr="00B83952">
        <w:t xml:space="preserve"> </w:t>
      </w:r>
    </w:p>
    <w:p w14:paraId="01D39BB4" w14:textId="77777777" w:rsidR="00BA2B50" w:rsidRPr="00B83952" w:rsidRDefault="00B8483C" w:rsidP="00BA2B50">
      <w:pPr>
        <w:pStyle w:val="IASBSectionTitle2Ind"/>
      </w:pPr>
      <w:r w:rsidRPr="00B83952">
        <w:t>Reference assets</w:t>
      </w:r>
    </w:p>
    <w:p w14:paraId="0D96D3CD" w14:textId="4506EA78" w:rsidR="00241E8B" w:rsidRPr="00B83952" w:rsidRDefault="00241E8B" w:rsidP="00136BB5">
      <w:pPr>
        <w:pStyle w:val="NumBC1"/>
      </w:pPr>
      <w:bookmarkStart w:id="149" w:name="_Ref115229603"/>
      <w:r w:rsidRPr="00B83952">
        <w:t xml:space="preserve">The Board noted that, consistent with International Valuation Standard IVS 105 </w:t>
      </w:r>
      <w:r w:rsidR="00A91482" w:rsidRPr="00B83952">
        <w:t>(effective 31 January 2022)</w:t>
      </w:r>
      <w:r w:rsidRPr="00B83952">
        <w:t>, measuring the fair value of an asset applying the cost approach generally requires an entity to:</w:t>
      </w:r>
      <w:bookmarkEnd w:id="146"/>
      <w:bookmarkEnd w:id="149"/>
    </w:p>
    <w:p w14:paraId="6E482262" w14:textId="6FE19A9C" w:rsidR="00241E8B" w:rsidRPr="00B83952" w:rsidRDefault="00241E8B" w:rsidP="00136BB5">
      <w:pPr>
        <w:pStyle w:val="NumBC2"/>
      </w:pPr>
      <w:r w:rsidRPr="00B83952">
        <w:t xml:space="preserve">estimate the replacement cost of a reference asset as input; </w:t>
      </w:r>
      <w:r w:rsidR="007A33AB" w:rsidRPr="00B83952">
        <w:t>and</w:t>
      </w:r>
    </w:p>
    <w:p w14:paraId="734F0AC9" w14:textId="77777777" w:rsidR="00E13A29" w:rsidRPr="00B83952" w:rsidRDefault="00241E8B" w:rsidP="00D2348A">
      <w:pPr>
        <w:pStyle w:val="NumBC2"/>
        <w:keepNext/>
      </w:pPr>
      <w:r w:rsidRPr="00B83952">
        <w:lastRenderedPageBreak/>
        <w:t>adjust that estimated replacement cost of a reference asset for</w:t>
      </w:r>
      <w:r w:rsidR="00E13A29" w:rsidRPr="00B83952">
        <w:t>:</w:t>
      </w:r>
      <w:r w:rsidRPr="00B83952">
        <w:t xml:space="preserve"> </w:t>
      </w:r>
    </w:p>
    <w:p w14:paraId="2B5AE800" w14:textId="77777777" w:rsidR="00025DB1" w:rsidRPr="00B83952" w:rsidRDefault="00241E8B" w:rsidP="00D2348A">
      <w:pPr>
        <w:pStyle w:val="NumBC3"/>
        <w:keepNext/>
      </w:pPr>
      <w:r w:rsidRPr="00B83952">
        <w:t>any differences between the current service capacity</w:t>
      </w:r>
      <w:r w:rsidR="0068178F" w:rsidRPr="00B83952">
        <w:t xml:space="preserve"> of the reference asset</w:t>
      </w:r>
      <w:r w:rsidR="00142B70" w:rsidRPr="00B83952">
        <w:t xml:space="preserve"> </w:t>
      </w:r>
      <w:r w:rsidRPr="00B83952">
        <w:t>and the subject asset</w:t>
      </w:r>
      <w:r w:rsidR="00025DB1" w:rsidRPr="00B83952">
        <w:t>;</w:t>
      </w:r>
      <w:r w:rsidR="00BD63AA" w:rsidRPr="00B83952">
        <w:t xml:space="preserve"> and </w:t>
      </w:r>
    </w:p>
    <w:p w14:paraId="605BEB4E" w14:textId="17EC7E0F" w:rsidR="00241E8B" w:rsidRPr="00B83952" w:rsidRDefault="00BD63AA" w:rsidP="003276D3">
      <w:pPr>
        <w:pStyle w:val="NumBC3"/>
      </w:pPr>
      <w:r w:rsidRPr="00B83952">
        <w:t>any obsolescence.</w:t>
      </w:r>
      <w:r w:rsidR="00241E8B" w:rsidRPr="00B83952">
        <w:t xml:space="preserve"> </w:t>
      </w:r>
    </w:p>
    <w:p w14:paraId="415F0A25" w14:textId="0F688A62" w:rsidR="00241E8B" w:rsidRPr="00B83952" w:rsidRDefault="00241E8B" w:rsidP="003276D3">
      <w:pPr>
        <w:pStyle w:val="NumBC1"/>
      </w:pPr>
      <w:bookmarkStart w:id="150" w:name="_Ref93507445"/>
      <w:r w:rsidRPr="00B83952">
        <w:t>IVS 105 mentions that a reference asset could be a modern equivalent asset or a replica asset. Paragraph</w:t>
      </w:r>
      <w:r w:rsidR="00BA0AED" w:rsidRPr="00B83952">
        <w:t> </w:t>
      </w:r>
      <w:r w:rsidRPr="00B83952">
        <w:t>70.5 of IVS 105 describes a modern equivalent asset as an asset “… that provides similar function and equivalent utility to the asset being valued, but which is of a current design and constructed or made using current cost-effective materials and techniques.”</w:t>
      </w:r>
      <w:bookmarkEnd w:id="150"/>
    </w:p>
    <w:p w14:paraId="1A7D6BE8" w14:textId="777FBF79" w:rsidR="009A402A" w:rsidRPr="00B83952" w:rsidRDefault="00573187" w:rsidP="003276D3">
      <w:pPr>
        <w:pStyle w:val="NumBC1"/>
      </w:pPr>
      <w:r w:rsidRPr="00B83952">
        <w:t>Paragraph</w:t>
      </w:r>
      <w:r w:rsidR="00914842" w:rsidRPr="00B83952">
        <w:t> </w:t>
      </w:r>
      <w:r w:rsidRPr="00B83952">
        <w:t xml:space="preserve">70.6 of IVS 105 states </w:t>
      </w:r>
      <w:r w:rsidR="00502163" w:rsidRPr="00B83952">
        <w:t xml:space="preserve">that </w:t>
      </w:r>
      <w:r w:rsidR="00DD41F8" w:rsidRPr="00B83952">
        <w:t>using the</w:t>
      </w:r>
      <w:r w:rsidRPr="00B83952">
        <w:t xml:space="preserve"> </w:t>
      </w:r>
      <w:r w:rsidR="009A402A" w:rsidRPr="00B83952">
        <w:t xml:space="preserve">reproduction cost </w:t>
      </w:r>
      <w:r w:rsidR="00DD41F8" w:rsidRPr="00B83952">
        <w:t xml:space="preserve">method </w:t>
      </w:r>
      <w:r w:rsidR="009D4FF6" w:rsidRPr="00B83952">
        <w:t xml:space="preserve">(ie </w:t>
      </w:r>
      <w:r w:rsidR="0052762C" w:rsidRPr="00B83952">
        <w:t>the</w:t>
      </w:r>
      <w:r w:rsidR="00F93136" w:rsidRPr="00B83952">
        <w:t xml:space="preserve"> reference asset is a replica</w:t>
      </w:r>
      <w:r w:rsidR="0052762C" w:rsidRPr="00B83952">
        <w:t xml:space="preserve"> of the subject asset</w:t>
      </w:r>
      <w:r w:rsidR="00F93136" w:rsidRPr="00B83952">
        <w:t xml:space="preserve">) </w:t>
      </w:r>
      <w:r w:rsidR="00502163" w:rsidRPr="00B83952">
        <w:t xml:space="preserve">to measure </w:t>
      </w:r>
      <w:r w:rsidR="004A7399" w:rsidRPr="00B83952">
        <w:t>the value of the subject</w:t>
      </w:r>
      <w:r w:rsidR="00502163" w:rsidRPr="00B83952">
        <w:t xml:space="preserve"> </w:t>
      </w:r>
      <w:r w:rsidR="007C58A7" w:rsidRPr="00B83952">
        <w:t xml:space="preserve">asset </w:t>
      </w:r>
      <w:r w:rsidR="009A402A" w:rsidRPr="00B83952">
        <w:t>is appropriate in circumstances such as the following:</w:t>
      </w:r>
    </w:p>
    <w:p w14:paraId="40FFFCD9" w14:textId="3D16F09C" w:rsidR="009A402A" w:rsidRPr="00B83952" w:rsidRDefault="009A402A" w:rsidP="003276D3">
      <w:pPr>
        <w:pStyle w:val="NumBC2"/>
      </w:pPr>
      <w:r w:rsidRPr="00B83952">
        <w:t>the cost of a modern equivalent asset is greater than the cost of</w:t>
      </w:r>
      <w:r w:rsidR="007C58A7" w:rsidRPr="00B83952">
        <w:t xml:space="preserve"> </w:t>
      </w:r>
      <w:r w:rsidRPr="00B83952">
        <w:t>recreating a replica of the subject asset</w:t>
      </w:r>
      <w:r w:rsidR="00941CF9" w:rsidRPr="00B83952">
        <w:t>;</w:t>
      </w:r>
      <w:r w:rsidRPr="00B83952">
        <w:t xml:space="preserve"> or</w:t>
      </w:r>
    </w:p>
    <w:p w14:paraId="78A7852F" w14:textId="699664B2" w:rsidR="00573187" w:rsidRPr="00B83952" w:rsidRDefault="009A402A" w:rsidP="003276D3">
      <w:pPr>
        <w:pStyle w:val="NumBC2"/>
      </w:pPr>
      <w:r w:rsidRPr="00B83952">
        <w:t xml:space="preserve">the utility offered by the subject asset could be provided </w:t>
      </w:r>
      <w:r w:rsidR="000A15A4" w:rsidRPr="00B83952">
        <w:t xml:space="preserve">only </w:t>
      </w:r>
      <w:r w:rsidRPr="00B83952">
        <w:t>by a replica</w:t>
      </w:r>
      <w:r w:rsidR="007C58A7" w:rsidRPr="00B83952">
        <w:t xml:space="preserve"> </w:t>
      </w:r>
      <w:r w:rsidRPr="00B83952">
        <w:t>rather than a modern equivalent</w:t>
      </w:r>
      <w:r w:rsidR="007C58A7" w:rsidRPr="00B83952">
        <w:t>.</w:t>
      </w:r>
    </w:p>
    <w:p w14:paraId="58377A33" w14:textId="59B9FFBB" w:rsidR="003F5A4A" w:rsidRPr="00B83952" w:rsidRDefault="009F4283" w:rsidP="003276D3">
      <w:pPr>
        <w:pStyle w:val="NumBC1"/>
      </w:pPr>
      <w:r w:rsidRPr="00B83952">
        <w:t>Some</w:t>
      </w:r>
      <w:r w:rsidR="00541353" w:rsidRPr="00B83952">
        <w:t xml:space="preserve"> respondents to </w:t>
      </w:r>
      <w:r w:rsidR="00090D57" w:rsidRPr="00B83952">
        <w:t xml:space="preserve">ED 320 </w:t>
      </w:r>
      <w:r w:rsidR="00541353" w:rsidRPr="00B83952">
        <w:t xml:space="preserve">argued that </w:t>
      </w:r>
      <w:r w:rsidR="0088593E" w:rsidRPr="00B83952">
        <w:t xml:space="preserve">the implementation guidance should stipulate that </w:t>
      </w:r>
      <w:r w:rsidR="00541353" w:rsidRPr="00B83952">
        <w:t xml:space="preserve">a modern equivalent asset should be used as a reference asset only where a replica of the subject asset is </w:t>
      </w:r>
      <w:r w:rsidR="000A4E8C" w:rsidRPr="00B83952">
        <w:t>un</w:t>
      </w:r>
      <w:r w:rsidR="00541353" w:rsidRPr="00B83952">
        <w:t xml:space="preserve">available. </w:t>
      </w:r>
      <w:r w:rsidR="000A4E8C" w:rsidRPr="00B83952">
        <w:t>The Board disagreed with that suggestion because:</w:t>
      </w:r>
    </w:p>
    <w:p w14:paraId="044DFF61" w14:textId="50F743B5" w:rsidR="000A4E8C" w:rsidRPr="00B83952" w:rsidRDefault="000A4E8C" w:rsidP="003276D3">
      <w:pPr>
        <w:pStyle w:val="NumBC2"/>
      </w:pPr>
      <w:r w:rsidRPr="00B83952">
        <w:t>if the current service capacity of an asset can be replaced more economically by a modern equivalent asset, it would be unlikely that a market participant buyer would be willing to pay the higher cost of a replica; and</w:t>
      </w:r>
    </w:p>
    <w:p w14:paraId="38ED5EE8" w14:textId="320515BA" w:rsidR="000A4E8C" w:rsidRPr="00B83952" w:rsidRDefault="000A4E8C" w:rsidP="003276D3">
      <w:pPr>
        <w:pStyle w:val="NumBC2"/>
      </w:pPr>
      <w:r w:rsidRPr="00B83952">
        <w:t xml:space="preserve">it </w:t>
      </w:r>
      <w:r w:rsidR="00B7409E" w:rsidRPr="00B83952">
        <w:t>would make AASB 13 more restrictive than IVS 105</w:t>
      </w:r>
      <w:r w:rsidR="00DB6328" w:rsidRPr="00B83952">
        <w:t xml:space="preserve"> and thus provide guidance on matters relating to detailed valuation assessments, which does not belong within the scope of an Australian Accounting Standard.</w:t>
      </w:r>
    </w:p>
    <w:p w14:paraId="23784B45" w14:textId="5A463BC7" w:rsidR="000A4E8C" w:rsidRPr="00B83952" w:rsidRDefault="007859AB" w:rsidP="003276D3">
      <w:pPr>
        <w:pStyle w:val="NumBC1"/>
      </w:pPr>
      <w:bookmarkStart w:id="151" w:name="_Ref115229655"/>
      <w:r w:rsidRPr="00B83952">
        <w:t xml:space="preserve">A </w:t>
      </w:r>
      <w:r w:rsidR="009F4283" w:rsidRPr="00B83952">
        <w:t>few</w:t>
      </w:r>
      <w:r w:rsidRPr="00B83952">
        <w:t xml:space="preserve"> </w:t>
      </w:r>
      <w:r w:rsidR="00F2226B" w:rsidRPr="00B83952">
        <w:t xml:space="preserve">ED </w:t>
      </w:r>
      <w:r w:rsidRPr="00B83952">
        <w:t>respondents argued that</w:t>
      </w:r>
      <w:r w:rsidR="000B78BE" w:rsidRPr="00B83952">
        <w:t>,</w:t>
      </w:r>
      <w:r w:rsidRPr="00B83952">
        <w:t xml:space="preserve"> </w:t>
      </w:r>
      <w:r w:rsidR="003A0A14" w:rsidRPr="00B83952">
        <w:t xml:space="preserve">for heritage assets held for their heritage significance, their replacement cost should be based on replication </w:t>
      </w:r>
      <w:r w:rsidR="000B55D8" w:rsidRPr="00B83952">
        <w:t xml:space="preserve">of the original heritage design but using modern cost-effective materials and processes (which are aspects of a modern equivalent asset). The Board </w:t>
      </w:r>
      <w:r w:rsidR="007E3EF1" w:rsidRPr="00B83952">
        <w:t xml:space="preserve">agreed with that argument and added </w:t>
      </w:r>
      <w:r w:rsidR="00755448" w:rsidRPr="00B83952">
        <w:t xml:space="preserve">implementation guidance to that effect in </w:t>
      </w:r>
      <w:r w:rsidR="007E3EF1" w:rsidRPr="00B83952">
        <w:t>paragraph </w:t>
      </w:r>
      <w:r w:rsidRPr="00B83952">
        <w:fldChar w:fldCharType="begin"/>
      </w:r>
      <w:r w:rsidRPr="00B83952">
        <w:instrText xml:space="preserve"> REF _Ref113946817 \r \h </w:instrText>
      </w:r>
      <w:r w:rsidRPr="00B83952">
        <w:fldChar w:fldCharType="separate"/>
      </w:r>
      <w:r w:rsidR="005A1B65">
        <w:t>F15</w:t>
      </w:r>
      <w:r w:rsidRPr="00B83952">
        <w:fldChar w:fldCharType="end"/>
      </w:r>
      <w:r w:rsidR="00755448" w:rsidRPr="00B83952">
        <w:t>.</w:t>
      </w:r>
      <w:bookmarkEnd w:id="151"/>
    </w:p>
    <w:bookmarkEnd w:id="144"/>
    <w:p w14:paraId="2A8514C9" w14:textId="157A7AD6" w:rsidR="00E87150" w:rsidRPr="00B83952" w:rsidRDefault="00AE4590">
      <w:pPr>
        <w:pStyle w:val="IASBSectionTitle2Ind"/>
      </w:pPr>
      <w:r w:rsidRPr="00B83952">
        <w:t>C</w:t>
      </w:r>
      <w:r w:rsidR="00E87150" w:rsidRPr="00B83952">
        <w:t>osts</w:t>
      </w:r>
      <w:r w:rsidRPr="00B83952">
        <w:t xml:space="preserve"> of parts of assets that will not </w:t>
      </w:r>
      <w:r w:rsidR="00511C4D" w:rsidRPr="00B83952">
        <w:t xml:space="preserve">actually </w:t>
      </w:r>
      <w:r w:rsidRPr="00B83952">
        <w:t>require replacement</w:t>
      </w:r>
    </w:p>
    <w:p w14:paraId="76CD1027" w14:textId="7D62A061" w:rsidR="00452A8C" w:rsidRPr="00B83952" w:rsidRDefault="00E5114A" w:rsidP="003276D3">
      <w:pPr>
        <w:pStyle w:val="NumBC1"/>
      </w:pPr>
      <w:r w:rsidRPr="00B83952">
        <w:t xml:space="preserve">The Board was requested to provide guidance on whether </w:t>
      </w:r>
      <w:r w:rsidR="000B3C3B" w:rsidRPr="00B83952">
        <w:t xml:space="preserve">an asset’s current replacement cost should exclude costs of any parts of the asset that will not </w:t>
      </w:r>
      <w:r w:rsidR="004F16DA" w:rsidRPr="00B83952">
        <w:t xml:space="preserve">actually </w:t>
      </w:r>
      <w:r w:rsidR="000B3C3B" w:rsidRPr="00B83952">
        <w:t>require replacement in the future because their service capacity does not expire over time</w:t>
      </w:r>
      <w:r w:rsidR="00E83062" w:rsidRPr="00B83952">
        <w:t xml:space="preserve"> (ie </w:t>
      </w:r>
      <w:r w:rsidR="002C2EA1" w:rsidRPr="00B83952">
        <w:t>‘</w:t>
      </w:r>
      <w:r w:rsidR="00E83062" w:rsidRPr="00B83952">
        <w:t>once-only costs</w:t>
      </w:r>
      <w:r w:rsidR="002C2EA1" w:rsidRPr="00B83952">
        <w:t>’</w:t>
      </w:r>
      <w:r w:rsidR="00E83062" w:rsidRPr="00B83952">
        <w:t>)</w:t>
      </w:r>
      <w:r w:rsidR="000B3C3B" w:rsidRPr="00B83952">
        <w:t xml:space="preserve">. </w:t>
      </w:r>
      <w:r w:rsidR="004F16DA" w:rsidRPr="00B83952">
        <w:t xml:space="preserve">This issue has been the subject of debate and </w:t>
      </w:r>
      <w:r w:rsidR="00E727F6" w:rsidRPr="00B83952">
        <w:t xml:space="preserve">inconsistent </w:t>
      </w:r>
      <w:r w:rsidR="004F16DA" w:rsidRPr="00B83952">
        <w:t>practice</w:t>
      </w:r>
      <w:r w:rsidR="00452A8C" w:rsidRPr="00B83952">
        <w:t xml:space="preserve"> (for example, the current replacement cost of some roads has been estimated by excluding the cost of design work, earthworks and formation costs because those components do not wear out or become otherwise obsolete, and therefore do not require replacement in the future)</w:t>
      </w:r>
      <w:r w:rsidR="004F16DA" w:rsidRPr="00B83952">
        <w:t xml:space="preserve">. </w:t>
      </w:r>
    </w:p>
    <w:p w14:paraId="574628C1" w14:textId="2DCE7AE6" w:rsidR="00224177" w:rsidRPr="00B83952" w:rsidRDefault="00027140" w:rsidP="003276D3">
      <w:pPr>
        <w:pStyle w:val="NumBC1"/>
      </w:pPr>
      <w:r w:rsidRPr="00B83952">
        <w:t>T</w:t>
      </w:r>
      <w:r w:rsidR="00452A8C" w:rsidRPr="00B83952">
        <w:t xml:space="preserve">he Board </w:t>
      </w:r>
      <w:r w:rsidRPr="00B83952">
        <w:t xml:space="preserve">concluded it would be inappropriate to exclude any costs from an estimate of an asset’s current replacement cost on the grounds that they relate to parts of an asset that </w:t>
      </w:r>
      <w:r w:rsidR="00A9267A" w:rsidRPr="00B83952">
        <w:t xml:space="preserve">are </w:t>
      </w:r>
      <w:r w:rsidRPr="00B83952">
        <w:t xml:space="preserve">not </w:t>
      </w:r>
      <w:r w:rsidR="00A9267A" w:rsidRPr="00B83952">
        <w:t xml:space="preserve">expected to </w:t>
      </w:r>
      <w:r w:rsidRPr="00B83952">
        <w:t xml:space="preserve">actually </w:t>
      </w:r>
      <w:r w:rsidR="00A9267A" w:rsidRPr="00B83952">
        <w:t xml:space="preserve">be </w:t>
      </w:r>
      <w:r w:rsidRPr="00B83952">
        <w:t>replace</w:t>
      </w:r>
      <w:r w:rsidR="00A9267A" w:rsidRPr="00B83952">
        <w:t xml:space="preserve">d in the future. </w:t>
      </w:r>
      <w:r w:rsidR="000A745B" w:rsidRPr="00B83952">
        <w:t xml:space="preserve">For the reasons </w:t>
      </w:r>
      <w:r w:rsidR="5A1C1278" w:rsidRPr="00B83952">
        <w:t xml:space="preserve">described </w:t>
      </w:r>
      <w:r w:rsidR="000A745B" w:rsidRPr="00B83952">
        <w:t>in paragraphs </w:t>
      </w:r>
      <w:r w:rsidRPr="00B83952">
        <w:fldChar w:fldCharType="begin"/>
      </w:r>
      <w:r w:rsidRPr="00B83952">
        <w:instrText xml:space="preserve"> REF _Ref115229753 \r \h </w:instrText>
      </w:r>
      <w:r w:rsidRPr="00B83952">
        <w:fldChar w:fldCharType="separate"/>
      </w:r>
      <w:r w:rsidR="005A1B65">
        <w:t>BC153</w:t>
      </w:r>
      <w:r w:rsidRPr="00B83952">
        <w:fldChar w:fldCharType="end"/>
      </w:r>
      <w:r w:rsidR="000A745B" w:rsidRPr="00B83952">
        <w:t>–</w:t>
      </w:r>
      <w:r w:rsidRPr="00B83952">
        <w:fldChar w:fldCharType="begin"/>
      </w:r>
      <w:r w:rsidRPr="00B83952">
        <w:instrText xml:space="preserve"> REF _Ref115045095 \r \h </w:instrText>
      </w:r>
      <w:r w:rsidRPr="00B83952">
        <w:fldChar w:fldCharType="separate"/>
      </w:r>
      <w:r w:rsidR="005A1B65">
        <w:t>BC155</w:t>
      </w:r>
      <w:r w:rsidRPr="00B83952">
        <w:fldChar w:fldCharType="end"/>
      </w:r>
      <w:r w:rsidR="000A745B" w:rsidRPr="00B83952">
        <w:t xml:space="preserve">, an estimate of an asset’s current replacement cost should include all necessary costs intrinsically linked to </w:t>
      </w:r>
      <w:r w:rsidR="00A1066C" w:rsidRPr="00B83952">
        <w:t xml:space="preserve">hypothetically </w:t>
      </w:r>
      <w:r w:rsidR="000A745B" w:rsidRPr="00B83952">
        <w:t xml:space="preserve">acquiring or constructing </w:t>
      </w:r>
      <w:r w:rsidR="00F64167" w:rsidRPr="00B83952">
        <w:t xml:space="preserve">a reference asset </w:t>
      </w:r>
      <w:r w:rsidR="000A745B" w:rsidRPr="00B83952">
        <w:t>at the measurement date</w:t>
      </w:r>
      <w:r w:rsidR="00DE7A58" w:rsidRPr="00B83952">
        <w:t>, reflecting that the hypothetical acquisition or construction costs are incurred by a market participant buyer that does not possess the subject asset at the measurement date</w:t>
      </w:r>
      <w:r w:rsidR="000A745B" w:rsidRPr="00B83952">
        <w:t xml:space="preserve">. </w:t>
      </w:r>
    </w:p>
    <w:p w14:paraId="4F1B4C86" w14:textId="5DCEC1E3" w:rsidR="00741AEC" w:rsidRPr="00B83952" w:rsidRDefault="00741AEC" w:rsidP="003276D3">
      <w:pPr>
        <w:pStyle w:val="NumBC1"/>
      </w:pPr>
      <w:r w:rsidRPr="00B83952">
        <w:t xml:space="preserve">Current replacement cost assumes hypothetical replacement </w:t>
      </w:r>
      <w:r w:rsidR="00F54DC2" w:rsidRPr="00B83952">
        <w:t xml:space="preserve">or reconstruction </w:t>
      </w:r>
      <w:r w:rsidRPr="00B83952">
        <w:t xml:space="preserve">of </w:t>
      </w:r>
      <w:r w:rsidR="00152843" w:rsidRPr="00B83952">
        <w:t>a reference</w:t>
      </w:r>
      <w:r w:rsidR="00B477DA" w:rsidRPr="00B83952">
        <w:t xml:space="preserve"> asset</w:t>
      </w:r>
      <w:r w:rsidRPr="00B83952">
        <w:t xml:space="preserve">, and is not limited to costs of replacements the entity expects to incur in the future (which is a matter of budgeting rather than measurement of existing resources). </w:t>
      </w:r>
      <w:r w:rsidR="00711DAD" w:rsidRPr="00B83952">
        <w:t xml:space="preserve">To exclude any costs from an estimate of an asset’s current replacement cost on the grounds that they relate to parts of an asset that are not expected to actually be replaced in the future </w:t>
      </w:r>
      <w:r w:rsidRPr="00B83952">
        <w:t>would imply that the fair value of an asset measured under the cost approach would be zero if, at the measurement date, the holder of the asset expects the asset neither to be replaced at the end of its useful life nor to have components replaced during its remaining useful life.</w:t>
      </w:r>
    </w:p>
    <w:p w14:paraId="48BC59C5" w14:textId="7A4C7C5C" w:rsidR="00B02FB0" w:rsidRPr="00B83952" w:rsidRDefault="00B02FB0" w:rsidP="003276D3">
      <w:pPr>
        <w:pStyle w:val="NumBC1"/>
      </w:pPr>
      <w:r w:rsidRPr="00B83952">
        <w:t xml:space="preserve">One respondent to ED 320 and some other stakeholders requested clarification of the ‘starting point’ for identifying </w:t>
      </w:r>
      <w:r w:rsidR="004E4737" w:rsidRPr="00B83952">
        <w:t>once-only costs</w:t>
      </w:r>
      <w:r w:rsidRPr="00B83952">
        <w:t>. For example, they commented that the ‘starting point’ that should be the focus of measuring the current replacement cost of parts of an asset could be the conditions prevailing at the site of the subject asset when it was initially acquired or constructed (but with the resulting costs measured using prices current at the measurement date), a vacant site with all site preparation works completed, or some other as-yet undefined point.</w:t>
      </w:r>
    </w:p>
    <w:p w14:paraId="7CCCB4A0" w14:textId="36ACD8B8" w:rsidR="00B02FB0" w:rsidRPr="00B83952" w:rsidRDefault="00B02FB0" w:rsidP="003276D3">
      <w:pPr>
        <w:pStyle w:val="NumBC1"/>
      </w:pPr>
      <w:r w:rsidRPr="00B83952">
        <w:lastRenderedPageBreak/>
        <w:t>The Board considers that this question has conceptual and practical dimensions. From a conceptual viewpoint, paragraphs B8</w:t>
      </w:r>
      <w:r w:rsidR="00B96C91" w:rsidRPr="00B83952">
        <w:t xml:space="preserve"> and </w:t>
      </w:r>
      <w:r w:rsidRPr="00B83952">
        <w:t xml:space="preserve">B9 </w:t>
      </w:r>
      <w:r w:rsidR="0023618A" w:rsidRPr="00B83952">
        <w:t xml:space="preserve">of AASB 13 </w:t>
      </w:r>
      <w:r w:rsidRPr="00B83952">
        <w:t xml:space="preserve">state that the cost approach to measuring an asset’s fair value reflects the amount that would be required </w:t>
      </w:r>
      <w:r w:rsidRPr="00B83952">
        <w:rPr>
          <w:i/>
          <w:iCs/>
        </w:rPr>
        <w:t>currently</w:t>
      </w:r>
      <w:r w:rsidRPr="00B83952">
        <w:t xml:space="preserve"> to replace the asset’s service capacity. Therefore, in concept, the ‘starting point’ for considering the costs to include in an asset’s current replacement cost is the current conditions (including market conditions and current operating environment) of the subject asset</w:t>
      </w:r>
      <w:r w:rsidR="00B33845" w:rsidRPr="00B83952">
        <w:t xml:space="preserve"> at the measurement date</w:t>
      </w:r>
      <w:r w:rsidRPr="00B83952">
        <w:t xml:space="preserve">, estimated using a reference asset as input. </w:t>
      </w:r>
    </w:p>
    <w:p w14:paraId="4DB43BD6" w14:textId="7767F4B7" w:rsidR="00B02FB0" w:rsidRPr="00B83952" w:rsidRDefault="00B02FB0" w:rsidP="003276D3">
      <w:pPr>
        <w:pStyle w:val="NumBC1"/>
      </w:pPr>
      <w:r w:rsidRPr="00B83952">
        <w:t>From a practical viewpoint, the entity might have limited information about some of the costs required currently to replace the service capacity of a reference asset. Although some costs to acquire or construct parts of an asset often have industry-wide data available to assist their estimation (eg costs of drainage pipes), some other parts of assets have costs that tend to be site-specific, and it may be necessary to use historical data retained by the holder of the subject asset. This can present practical difficulties, especially for costs of any parts that have not been incurred in recent years</w:t>
      </w:r>
      <w:r w:rsidR="000959CB" w:rsidRPr="00B83952">
        <w:t>.</w:t>
      </w:r>
    </w:p>
    <w:p w14:paraId="00EB5550" w14:textId="6D8536BE" w:rsidR="00CE2359" w:rsidRPr="00B83952" w:rsidRDefault="00CE2359" w:rsidP="003276D3">
      <w:pPr>
        <w:pStyle w:val="NumBC1"/>
      </w:pPr>
      <w:r w:rsidRPr="00B83952">
        <w:t>The Board concluded that an entity should not need to undertake exhaustive efforts to obtain information about the costs composing an asset’s current replacement cost; however, an entity includes all such costs for which data are reasonably available. That is, under paragraph </w:t>
      </w:r>
      <w:r w:rsidRPr="00B83952">
        <w:fldChar w:fldCharType="begin"/>
      </w:r>
      <w:r w:rsidRPr="00B83952">
        <w:instrText xml:space="preserve"> REF _Ref113942548 \r \h </w:instrText>
      </w:r>
      <w:r w:rsidRPr="00B83952">
        <w:fldChar w:fldCharType="separate"/>
      </w:r>
      <w:r w:rsidR="005A1B65">
        <w:t>F14</w:t>
      </w:r>
      <w:r w:rsidRPr="00B83952">
        <w:fldChar w:fldCharType="end"/>
      </w:r>
      <w:r w:rsidRPr="00B83952">
        <w:t>, if data about certain costs of some parts of an asset are not reasonably available, those costs would be omitted from an estimate of the subject asset’s current replacement cost. However, those costs are not omitted simply because they relate to parts of an asset that are not expected to actually be replaced in the future.</w:t>
      </w:r>
    </w:p>
    <w:p w14:paraId="4A0E6723" w14:textId="7192BDB9" w:rsidR="0041215F" w:rsidRPr="00B83952" w:rsidRDefault="00481E07">
      <w:pPr>
        <w:pStyle w:val="IASBSectionTitle2Ind"/>
      </w:pPr>
      <w:r w:rsidRPr="00B83952">
        <w:t xml:space="preserve">Site </w:t>
      </w:r>
      <w:r w:rsidR="00624EDA" w:rsidRPr="00B83952">
        <w:t>preparation</w:t>
      </w:r>
      <w:r w:rsidRPr="00B83952">
        <w:t xml:space="preserve"> costs </w:t>
      </w:r>
    </w:p>
    <w:p w14:paraId="65538FFD" w14:textId="5F461EAE" w:rsidR="00741AEC" w:rsidRPr="00B83952" w:rsidRDefault="00741AEC" w:rsidP="003276D3">
      <w:pPr>
        <w:pStyle w:val="NumBC1"/>
      </w:pPr>
      <w:bookmarkStart w:id="152" w:name="_Ref94938668"/>
      <w:r w:rsidRPr="00B83952">
        <w:t xml:space="preserve">Entities would need to apply judgement in the circumstances of the </w:t>
      </w:r>
      <w:r w:rsidR="00EE3B9C" w:rsidRPr="00B83952">
        <w:t xml:space="preserve">subject </w:t>
      </w:r>
      <w:r w:rsidRPr="00B83952">
        <w:t xml:space="preserve">asset to determine the necessary costs intrinsically linked to acquiring or constructing </w:t>
      </w:r>
      <w:r w:rsidR="002252C1" w:rsidRPr="00B83952">
        <w:t xml:space="preserve">the </w:t>
      </w:r>
      <w:r w:rsidRPr="00B83952">
        <w:t>asset at the measurement date</w:t>
      </w:r>
      <w:r w:rsidR="00385092" w:rsidRPr="00B83952">
        <w:t>.</w:t>
      </w:r>
      <w:r w:rsidR="001D72E4" w:rsidRPr="00B83952">
        <w:t xml:space="preserve"> </w:t>
      </w:r>
      <w:r w:rsidR="005D1472" w:rsidRPr="00B83952">
        <w:t>For an asset fixed to a parcel of land, t</w:t>
      </w:r>
      <w:r w:rsidR="00385092" w:rsidRPr="00B83952">
        <w:t xml:space="preserve">his would </w:t>
      </w:r>
      <w:r w:rsidR="00174852" w:rsidRPr="00B83952">
        <w:t>includ</w:t>
      </w:r>
      <w:r w:rsidR="00385092" w:rsidRPr="00B83952">
        <w:t>e</w:t>
      </w:r>
      <w:r w:rsidR="00F8691D" w:rsidRPr="00B83952">
        <w:t xml:space="preserve"> </w:t>
      </w:r>
      <w:r w:rsidRPr="00B83952">
        <w:t xml:space="preserve">whether it would be necessary for the market participant to </w:t>
      </w:r>
      <w:r w:rsidR="00481E07" w:rsidRPr="00B83952">
        <w:t xml:space="preserve">incur site </w:t>
      </w:r>
      <w:r w:rsidR="00600DBF" w:rsidRPr="00B83952">
        <w:t xml:space="preserve">preparation </w:t>
      </w:r>
      <w:r w:rsidR="00481E07" w:rsidRPr="00B83952">
        <w:t xml:space="preserve">costs </w:t>
      </w:r>
      <w:r w:rsidR="00766FF8" w:rsidRPr="00B83952">
        <w:t xml:space="preserve">in order to </w:t>
      </w:r>
      <w:r w:rsidR="002D079C" w:rsidRPr="00B83952">
        <w:t>hypothetically construct a reference asset</w:t>
      </w:r>
      <w:r w:rsidR="00511544" w:rsidRPr="00B83952">
        <w:t xml:space="preserve"> at the subject asset’s location</w:t>
      </w:r>
      <w:r w:rsidRPr="00B83952">
        <w:t>.</w:t>
      </w:r>
      <w:bookmarkEnd w:id="152"/>
      <w:r w:rsidRPr="00B83952">
        <w:t xml:space="preserve"> </w:t>
      </w:r>
    </w:p>
    <w:p w14:paraId="51C7B88C" w14:textId="66EDF26B" w:rsidR="00741AEC" w:rsidRPr="00B83952" w:rsidRDefault="00741AEC" w:rsidP="003276D3">
      <w:pPr>
        <w:pStyle w:val="NumBC1"/>
      </w:pPr>
      <w:r w:rsidRPr="00B83952">
        <w:t>For example, to measure the current replacement cost of a</w:t>
      </w:r>
      <w:r w:rsidR="00FD4AF5" w:rsidRPr="00B83952">
        <w:t xml:space="preserve"> b</w:t>
      </w:r>
      <w:r w:rsidRPr="00B83952">
        <w:t xml:space="preserve">uilding, an entity would consider whether a market participant buyer would be able to acquire </w:t>
      </w:r>
      <w:r w:rsidR="009F3B3C" w:rsidRPr="00B83952">
        <w:t xml:space="preserve">a </w:t>
      </w:r>
      <w:r w:rsidRPr="00B83952">
        <w:t>vacant site</w:t>
      </w:r>
      <w:r w:rsidR="009F3B3C" w:rsidRPr="00B83952">
        <w:t xml:space="preserve"> in</w:t>
      </w:r>
      <w:r w:rsidR="000C6A49" w:rsidRPr="00B83952">
        <w:t xml:space="preserve"> </w:t>
      </w:r>
      <w:r w:rsidR="00F15E45" w:rsidRPr="00B83952">
        <w:t xml:space="preserve">the </w:t>
      </w:r>
      <w:r w:rsidR="00532208" w:rsidRPr="00B83952">
        <w:t xml:space="preserve">area </w:t>
      </w:r>
      <w:r w:rsidR="000C6A49" w:rsidRPr="00B83952">
        <w:t>surrounding the existing location</w:t>
      </w:r>
      <w:r w:rsidRPr="00B83952">
        <w:t xml:space="preserve">. If suitable vacant sites are available, market participants would be unlikely to pay for the current cost to demolish existing structures on the site (and, therefore, it would be unlikely that such a cost would be considered ‘necessarily incurred’). </w:t>
      </w:r>
      <w:r w:rsidR="000F255E" w:rsidRPr="00B83952">
        <w:t>Similarly</w:t>
      </w:r>
      <w:r w:rsidR="009765C4" w:rsidRPr="00B83952">
        <w:t xml:space="preserve">, if market participants are able to acquire a suitable parcel of land with an existing structure that they could modify as necessary to create a modern equivalent </w:t>
      </w:r>
      <w:r w:rsidR="001D3396" w:rsidRPr="00B83952">
        <w:t>of the subject asset</w:t>
      </w:r>
      <w:r w:rsidR="009765C4" w:rsidRPr="00B83952">
        <w:t>, it would be unnecessary to remove and dispose of existing structures on</w:t>
      </w:r>
      <w:r w:rsidR="00DC6B1C" w:rsidRPr="00B83952">
        <w:t xml:space="preserve"> the reference parcel of</w:t>
      </w:r>
      <w:r w:rsidR="009765C4" w:rsidRPr="00B83952">
        <w:t xml:space="preserve"> land</w:t>
      </w:r>
      <w:r w:rsidR="004D23CE" w:rsidRPr="00B83952">
        <w:t>.</w:t>
      </w:r>
      <w:r w:rsidR="00011C65" w:rsidRPr="00B83952">
        <w:t xml:space="preserve"> If there are no suitable alternative sites for a particular facility because the facility must be sited in its existing location, market participant buyers would be prepared to pay the location-specific costs of site preparation for that facility.</w:t>
      </w:r>
    </w:p>
    <w:p w14:paraId="2DA26620" w14:textId="502F6B70" w:rsidR="005E3906" w:rsidRPr="00B83952" w:rsidRDefault="00955582" w:rsidP="003276D3">
      <w:pPr>
        <w:pStyle w:val="NumBC1"/>
      </w:pPr>
      <w:bookmarkStart w:id="153" w:name="_Ref94533586"/>
      <w:r w:rsidRPr="00B83952">
        <w:t>T</w:t>
      </w:r>
      <w:r w:rsidR="00726BA7" w:rsidRPr="00B83952">
        <w:t xml:space="preserve">he costs included in an asset’s current replacement cost, as a measure of the amount a market participant buyer would be prepared to pay for the asset, </w:t>
      </w:r>
      <w:r w:rsidR="00770A53" w:rsidRPr="00B83952">
        <w:t>represent</w:t>
      </w:r>
      <w:r w:rsidR="00B2480E" w:rsidRPr="00B83952">
        <w:t xml:space="preserve"> the </w:t>
      </w:r>
      <w:r w:rsidR="00726BA7" w:rsidRPr="00B83952">
        <w:t xml:space="preserve">costs </w:t>
      </w:r>
      <w:r w:rsidR="008D25C9" w:rsidRPr="00B83952">
        <w:t xml:space="preserve">avoided </w:t>
      </w:r>
      <w:r w:rsidR="00B86931" w:rsidRPr="00B83952">
        <w:t xml:space="preserve">by a market participant </w:t>
      </w:r>
      <w:r w:rsidR="00DE5B6F" w:rsidRPr="00B83952">
        <w:t xml:space="preserve">buyer </w:t>
      </w:r>
      <w:r w:rsidR="008D25C9" w:rsidRPr="00B83952">
        <w:t xml:space="preserve">as a result of </w:t>
      </w:r>
      <w:r w:rsidR="00BF2420" w:rsidRPr="00B83952">
        <w:t xml:space="preserve">the entity </w:t>
      </w:r>
      <w:r w:rsidR="008D25C9" w:rsidRPr="00B83952">
        <w:t xml:space="preserve">possessing the service capacity embodied in the </w:t>
      </w:r>
      <w:r w:rsidR="005F2A78" w:rsidRPr="00B83952">
        <w:t xml:space="preserve">subject </w:t>
      </w:r>
      <w:r w:rsidR="008D25C9" w:rsidRPr="00B83952">
        <w:t xml:space="preserve">asset. Consistent with the related comment in </w:t>
      </w:r>
      <w:r w:rsidR="00A54CC0" w:rsidRPr="00B83952">
        <w:t>paragraph</w:t>
      </w:r>
      <w:r w:rsidR="008D25C9" w:rsidRPr="00B83952">
        <w:t> B9</w:t>
      </w:r>
      <w:r w:rsidR="00311FB0" w:rsidRPr="00B83952">
        <w:t xml:space="preserve"> of AASB 13</w:t>
      </w:r>
      <w:r w:rsidR="008D25C9" w:rsidRPr="00B83952">
        <w:t>, the market participant buyer is prepared to pay the current amount of those costs avoided, and no more.</w:t>
      </w:r>
      <w:r w:rsidR="009130C1" w:rsidRPr="00B83952">
        <w:t xml:space="preserve"> </w:t>
      </w:r>
      <w:r w:rsidR="00BF2420" w:rsidRPr="00B83952">
        <w:t xml:space="preserve">For example, </w:t>
      </w:r>
      <w:r w:rsidR="009130C1" w:rsidRPr="00B83952">
        <w:t>if</w:t>
      </w:r>
      <w:r w:rsidR="005E3906" w:rsidRPr="00B83952">
        <w:t>:</w:t>
      </w:r>
      <w:bookmarkEnd w:id="153"/>
    </w:p>
    <w:p w14:paraId="0C9C8EF8" w14:textId="17614140" w:rsidR="00CE136E" w:rsidRPr="00B83952" w:rsidRDefault="003F4899" w:rsidP="003276D3">
      <w:pPr>
        <w:pStyle w:val="NumBC2"/>
      </w:pPr>
      <w:r w:rsidRPr="00B83952">
        <w:t>i</w:t>
      </w:r>
      <w:r w:rsidR="005F2A78" w:rsidRPr="00B83952">
        <w:t xml:space="preserve">nstead of acquiring the subject asset, </w:t>
      </w:r>
      <w:r w:rsidR="00BA33DE" w:rsidRPr="00B83952">
        <w:t>a</w:t>
      </w:r>
      <w:r w:rsidR="009130C1" w:rsidRPr="00B83952">
        <w:t xml:space="preserve"> market participant buyer would have no choice but to incur costs</w:t>
      </w:r>
      <w:r w:rsidR="009E18A3" w:rsidRPr="00B83952">
        <w:t xml:space="preserve"> to </w:t>
      </w:r>
      <w:r w:rsidR="00191789" w:rsidRPr="00B83952">
        <w:t xml:space="preserve">remove and dispose of unwanted existing structures on land as part of the costs to </w:t>
      </w:r>
      <w:r w:rsidR="00336FA8" w:rsidRPr="00B83952">
        <w:t>construct</w:t>
      </w:r>
      <w:r w:rsidR="009E18A3" w:rsidRPr="00B83952">
        <w:t xml:space="preserve"> an asset with service capacity </w:t>
      </w:r>
      <w:r w:rsidR="00DE5B6F" w:rsidRPr="00B83952">
        <w:t xml:space="preserve">equivalent </w:t>
      </w:r>
      <w:r w:rsidR="009E18A3" w:rsidRPr="00B83952">
        <w:t xml:space="preserve">to that of the </w:t>
      </w:r>
      <w:r w:rsidR="00842A86" w:rsidRPr="00B83952">
        <w:t xml:space="preserve">subject </w:t>
      </w:r>
      <w:r w:rsidR="009E18A3" w:rsidRPr="00B83952">
        <w:t>asset</w:t>
      </w:r>
      <w:r w:rsidR="00D6749A" w:rsidRPr="00B83952">
        <w:t xml:space="preserve"> </w:t>
      </w:r>
      <w:r w:rsidR="009130C1" w:rsidRPr="00B83952">
        <w:t xml:space="preserve">(because of a lack of suitable vacant </w:t>
      </w:r>
      <w:r w:rsidR="00DE5B6F" w:rsidRPr="00B83952">
        <w:t xml:space="preserve">sites </w:t>
      </w:r>
      <w:r w:rsidR="00A60BB6" w:rsidRPr="00B83952">
        <w:t>at</w:t>
      </w:r>
      <w:r w:rsidR="004C5896" w:rsidRPr="00B83952">
        <w:t xml:space="preserve"> the</w:t>
      </w:r>
      <w:r w:rsidR="00A60BB6" w:rsidRPr="00B83952">
        <w:t xml:space="preserve"> measurement date</w:t>
      </w:r>
      <w:r w:rsidR="00EA2620" w:rsidRPr="00B83952">
        <w:t>)</w:t>
      </w:r>
      <w:r w:rsidR="00CE136E" w:rsidRPr="00B83952">
        <w:t>; and</w:t>
      </w:r>
    </w:p>
    <w:p w14:paraId="01037818" w14:textId="4EBD495D" w:rsidR="00DE5B6F" w:rsidRPr="00B83952" w:rsidRDefault="00CE136E" w:rsidP="003276D3">
      <w:pPr>
        <w:pStyle w:val="NumBC2"/>
      </w:pPr>
      <w:r w:rsidRPr="00B83952">
        <w:t>the subject asset (land or improvements, or both) does not have any of those unwanted structures</w:t>
      </w:r>
      <w:r w:rsidR="004E2F00" w:rsidRPr="00B83952">
        <w:t xml:space="preserve"> </w:t>
      </w:r>
      <w:r w:rsidR="00F56FC3" w:rsidRPr="00B83952">
        <w:t xml:space="preserve">(either because the entity removed them or they never existed) </w:t>
      </w:r>
      <w:r w:rsidRPr="00B83952">
        <w:t>and</w:t>
      </w:r>
      <w:r w:rsidR="005E2FA3" w:rsidRPr="00B83952">
        <w:t xml:space="preserve"> </w:t>
      </w:r>
      <w:r w:rsidRPr="00B83952">
        <w:t xml:space="preserve">therefore acquiring the subject asset would save a market participant buyer from incurring those removal </w:t>
      </w:r>
      <w:r w:rsidR="005E2FA3" w:rsidRPr="00B83952">
        <w:t xml:space="preserve">and disposal </w:t>
      </w:r>
      <w:r w:rsidRPr="00B83952">
        <w:t>costs</w:t>
      </w:r>
      <w:r w:rsidR="00DE5B6F" w:rsidRPr="00B83952">
        <w:t>,</w:t>
      </w:r>
    </w:p>
    <w:p w14:paraId="61425D73" w14:textId="08A48C98" w:rsidR="002670AC" w:rsidRPr="00B83952" w:rsidRDefault="00AF2202" w:rsidP="00DE5B6F">
      <w:pPr>
        <w:pStyle w:val="NumBC2"/>
        <w:numPr>
          <w:ilvl w:val="0"/>
          <w:numId w:val="0"/>
        </w:numPr>
        <w:ind w:left="782"/>
      </w:pPr>
      <w:r w:rsidRPr="00B83952">
        <w:t>those costs to remove and dispose of unwanted existing structures on land would be included in the subject asset’s current replacement cost</w:t>
      </w:r>
      <w:r w:rsidR="00BD0B86" w:rsidRPr="00B83952">
        <w:t>.</w:t>
      </w:r>
    </w:p>
    <w:p w14:paraId="114DFB41" w14:textId="377825D4" w:rsidR="000A72AA" w:rsidRPr="00B83952" w:rsidRDefault="0077625E" w:rsidP="003276D3">
      <w:pPr>
        <w:pStyle w:val="NumBC1"/>
      </w:pPr>
      <w:r w:rsidRPr="00B83952">
        <w:t xml:space="preserve">Where the conditions in paragraphs </w:t>
      </w:r>
      <w:r w:rsidRPr="00B83952">
        <w:fldChar w:fldCharType="begin"/>
      </w:r>
      <w:r w:rsidRPr="00B83952">
        <w:instrText xml:space="preserve"> REF _Ref94533586 \r \h </w:instrText>
      </w:r>
      <w:r w:rsidRPr="00B83952">
        <w:fldChar w:fldCharType="separate"/>
      </w:r>
      <w:r w:rsidR="005A1B65">
        <w:t>BC171</w:t>
      </w:r>
      <w:r w:rsidRPr="00B83952">
        <w:fldChar w:fldCharType="end"/>
      </w:r>
      <w:r w:rsidRPr="00B83952">
        <w:t>(a) and (b) are satisfied,</w:t>
      </w:r>
      <w:r w:rsidR="00F90529" w:rsidRPr="00B83952">
        <w:t xml:space="preserve"> the </w:t>
      </w:r>
      <w:r w:rsidR="00E87465" w:rsidRPr="00B83952">
        <w:t xml:space="preserve">costs to remove and dispose of </w:t>
      </w:r>
      <w:r w:rsidR="00C01BB3" w:rsidRPr="00B83952">
        <w:t>unwanted existing</w:t>
      </w:r>
      <w:r w:rsidR="00E87465" w:rsidRPr="00B83952">
        <w:t xml:space="preserve"> structures on land would be those of the </w:t>
      </w:r>
      <w:r w:rsidR="00933EC8" w:rsidRPr="00B83952">
        <w:t xml:space="preserve">typical </w:t>
      </w:r>
      <w:r w:rsidR="00E87465" w:rsidRPr="00B83952">
        <w:t xml:space="preserve">market </w:t>
      </w:r>
      <w:r w:rsidR="00B5625B" w:rsidRPr="00B83952">
        <w:t>participant buyer</w:t>
      </w:r>
      <w:r w:rsidR="00E87465" w:rsidRPr="00B83952">
        <w:t xml:space="preserve">. </w:t>
      </w:r>
      <w:r w:rsidR="00B5625B" w:rsidRPr="00B83952">
        <w:t xml:space="preserve">However, </w:t>
      </w:r>
      <w:r w:rsidR="008706AD" w:rsidRPr="00B83952">
        <w:t>in accordance with paragraph</w:t>
      </w:r>
      <w:r w:rsidR="009F4314" w:rsidRPr="00B83952">
        <w:t>s</w:t>
      </w:r>
      <w:r w:rsidR="008706AD" w:rsidRPr="00B83952">
        <w:t xml:space="preserve"> </w:t>
      </w:r>
      <w:r w:rsidR="00951F17" w:rsidRPr="00B83952">
        <w:fldChar w:fldCharType="begin"/>
      </w:r>
      <w:r w:rsidR="00951F17" w:rsidRPr="00B83952">
        <w:instrText xml:space="preserve"> REF _Ref115100654 \r \h </w:instrText>
      </w:r>
      <w:r w:rsidR="00951F17" w:rsidRPr="00B83952">
        <w:fldChar w:fldCharType="separate"/>
      </w:r>
      <w:r w:rsidR="005A1B65">
        <w:t>F5</w:t>
      </w:r>
      <w:r w:rsidR="00951F17" w:rsidRPr="00B83952">
        <w:fldChar w:fldCharType="end"/>
      </w:r>
      <w:r w:rsidR="008E68B9" w:rsidRPr="00B83952">
        <w:t>, F6</w:t>
      </w:r>
      <w:r w:rsidR="0082610F" w:rsidRPr="00B83952">
        <w:t xml:space="preserve"> and </w:t>
      </w:r>
      <w:r w:rsidR="0082610F" w:rsidRPr="00B83952">
        <w:fldChar w:fldCharType="begin"/>
      </w:r>
      <w:r w:rsidR="0082610F" w:rsidRPr="00B83952">
        <w:instrText xml:space="preserve"> REF _Ref113942548 \r \h </w:instrText>
      </w:r>
      <w:r w:rsidR="0082610F" w:rsidRPr="00B83952">
        <w:fldChar w:fldCharType="separate"/>
      </w:r>
      <w:r w:rsidR="005A1B65">
        <w:t>F14</w:t>
      </w:r>
      <w:r w:rsidR="0082610F" w:rsidRPr="00B83952">
        <w:fldChar w:fldCharType="end"/>
      </w:r>
      <w:r w:rsidR="00A37774" w:rsidRPr="00B83952">
        <w:t>,</w:t>
      </w:r>
      <w:r w:rsidR="0082610F" w:rsidRPr="00B83952">
        <w:t xml:space="preserve"> </w:t>
      </w:r>
      <w:r w:rsidR="00B5625B" w:rsidRPr="00B83952">
        <w:t xml:space="preserve">in the absence of reasonably available observable data about the costs saved by the market participant buyer, </w:t>
      </w:r>
      <w:r w:rsidR="00075278" w:rsidRPr="00B83952">
        <w:t xml:space="preserve">the entity would use its own assumptions about </w:t>
      </w:r>
      <w:r w:rsidR="00B5625B" w:rsidRPr="00B83952">
        <w:t xml:space="preserve">the </w:t>
      </w:r>
      <w:r w:rsidR="001A69BD" w:rsidRPr="00B83952">
        <w:t xml:space="preserve">removal </w:t>
      </w:r>
      <w:r w:rsidR="00B5625B" w:rsidRPr="00B83952">
        <w:t xml:space="preserve">costs </w:t>
      </w:r>
      <w:r w:rsidR="001A69BD" w:rsidRPr="00B83952">
        <w:t xml:space="preserve">it </w:t>
      </w:r>
      <w:r w:rsidR="009C4785" w:rsidRPr="00B83952">
        <w:t xml:space="preserve">would </w:t>
      </w:r>
      <w:r w:rsidR="00E57B54" w:rsidRPr="00B83952">
        <w:t>incur</w:t>
      </w:r>
      <w:r w:rsidR="001A69BD" w:rsidRPr="00B83952">
        <w:t xml:space="preserve"> if</w:t>
      </w:r>
      <w:r w:rsidR="009C4785" w:rsidRPr="00B83952">
        <w:t>, hypothetically,</w:t>
      </w:r>
      <w:r w:rsidR="001A69BD" w:rsidRPr="00B83952">
        <w:t xml:space="preserve"> those unwanted structures existed</w:t>
      </w:r>
      <w:r w:rsidR="008A37A3" w:rsidRPr="00B83952">
        <w:t>.</w:t>
      </w:r>
    </w:p>
    <w:p w14:paraId="52A74978" w14:textId="73A88B4F" w:rsidR="00C5679E" w:rsidRPr="00B83952" w:rsidRDefault="000807CD" w:rsidP="003276D3">
      <w:pPr>
        <w:pStyle w:val="NumBC1"/>
      </w:pPr>
      <w:r w:rsidRPr="00B83952">
        <w:t xml:space="preserve">Some </w:t>
      </w:r>
      <w:r w:rsidR="00E93AE1" w:rsidRPr="00B83952">
        <w:t xml:space="preserve">ED respondents commented that </w:t>
      </w:r>
      <w:r w:rsidR="008A6779" w:rsidRPr="00B83952">
        <w:t xml:space="preserve">the fair value of the land </w:t>
      </w:r>
      <w:r w:rsidR="00816ADD" w:rsidRPr="00B83952">
        <w:t xml:space="preserve">on which </w:t>
      </w:r>
      <w:r w:rsidR="008A6779" w:rsidRPr="00B83952">
        <w:t>the subject asset</w:t>
      </w:r>
      <w:r w:rsidR="00816ADD" w:rsidRPr="00B83952">
        <w:t xml:space="preserve"> is fixed would</w:t>
      </w:r>
      <w:r w:rsidR="0033081D" w:rsidRPr="00B83952">
        <w:t>,</w:t>
      </w:r>
      <w:r w:rsidR="00C5679E" w:rsidRPr="00B83952">
        <w:t xml:space="preserve"> </w:t>
      </w:r>
      <w:r w:rsidR="00C9604D" w:rsidRPr="00B83952">
        <w:t>in some cases</w:t>
      </w:r>
      <w:r w:rsidR="00816ADD" w:rsidRPr="00B83952">
        <w:t>,</w:t>
      </w:r>
      <w:r w:rsidR="00C9604D" w:rsidRPr="00B83952">
        <w:t xml:space="preserve"> </w:t>
      </w:r>
      <w:r w:rsidR="00AE56AB" w:rsidRPr="00B83952">
        <w:t>reflect</w:t>
      </w:r>
      <w:r w:rsidR="0075686D" w:rsidRPr="00B83952">
        <w:t xml:space="preserve"> the fact that it is fit-for-purpose for the subject asset; and therefore,</w:t>
      </w:r>
      <w:r w:rsidR="0033081D" w:rsidRPr="00B83952">
        <w:t xml:space="preserve"> </w:t>
      </w:r>
      <w:r w:rsidR="007F14D1" w:rsidRPr="00B83952">
        <w:t xml:space="preserve">any hypothetical </w:t>
      </w:r>
      <w:r w:rsidR="0033081D" w:rsidRPr="00B83952">
        <w:t xml:space="preserve">site preparation </w:t>
      </w:r>
      <w:r w:rsidR="007F14D1" w:rsidRPr="00B83952">
        <w:t xml:space="preserve">costs </w:t>
      </w:r>
      <w:r w:rsidR="0033081D" w:rsidRPr="00B83952">
        <w:t>should be excluded from the estimated current replacement cost of fixed improvements on that land</w:t>
      </w:r>
      <w:r w:rsidR="00C9604D" w:rsidRPr="00B83952">
        <w:t xml:space="preserve"> to avoid</w:t>
      </w:r>
      <w:r w:rsidR="00DC45A2" w:rsidRPr="00B83952">
        <w:t xml:space="preserve"> double-count</w:t>
      </w:r>
      <w:r w:rsidR="00C9604D" w:rsidRPr="00B83952">
        <w:t>ing</w:t>
      </w:r>
      <w:r w:rsidR="00DC45A2" w:rsidRPr="00B83952">
        <w:t xml:space="preserve"> </w:t>
      </w:r>
      <w:r w:rsidR="005D3711" w:rsidRPr="00B83952">
        <w:t xml:space="preserve">the </w:t>
      </w:r>
      <w:r w:rsidR="00DC45A2" w:rsidRPr="00B83952">
        <w:t xml:space="preserve">site </w:t>
      </w:r>
      <w:r w:rsidR="00600DBF" w:rsidRPr="00B83952">
        <w:t xml:space="preserve">preparation </w:t>
      </w:r>
      <w:r w:rsidR="00FF201E" w:rsidRPr="00B83952">
        <w:t>costs</w:t>
      </w:r>
      <w:r w:rsidR="00DC45A2" w:rsidRPr="00B83952">
        <w:t xml:space="preserve">. </w:t>
      </w:r>
      <w:r w:rsidR="00865947" w:rsidRPr="00B83952">
        <w:t xml:space="preserve">The Board </w:t>
      </w:r>
      <w:r w:rsidR="00613031" w:rsidRPr="00B83952">
        <w:t xml:space="preserve">included guidance on this issue in </w:t>
      </w:r>
      <w:r w:rsidR="008E3687" w:rsidRPr="00B83952">
        <w:t xml:space="preserve">paragraph </w:t>
      </w:r>
      <w:r w:rsidR="008E3687" w:rsidRPr="00B83952">
        <w:fldChar w:fldCharType="begin"/>
      </w:r>
      <w:r w:rsidR="008E3687" w:rsidRPr="00B83952">
        <w:instrText xml:space="preserve"> REF _Ref90288055 \r \h </w:instrText>
      </w:r>
      <w:r w:rsidR="008E3687" w:rsidRPr="00B83952">
        <w:fldChar w:fldCharType="separate"/>
      </w:r>
      <w:r w:rsidR="005A1B65">
        <w:t>F12</w:t>
      </w:r>
      <w:r w:rsidR="008E3687" w:rsidRPr="00B83952">
        <w:fldChar w:fldCharType="end"/>
      </w:r>
      <w:r w:rsidR="008E3687" w:rsidRPr="00B83952">
        <w:t>(c)</w:t>
      </w:r>
      <w:r w:rsidR="00F13FF4" w:rsidRPr="00B83952">
        <w:t>.</w:t>
      </w:r>
      <w:r w:rsidR="00570115" w:rsidRPr="00B83952">
        <w:t xml:space="preserve"> An entity may need to apply judgement to determine whether necessarily incurred site preparation costs are reflected (explicitly or implicitly) in the fair value measurement of a subject parcel of </w:t>
      </w:r>
      <w:r w:rsidR="00570115" w:rsidRPr="00B83952">
        <w:lastRenderedPageBreak/>
        <w:t>land; where it is unclear whether this is the case, an entity might deem that such costs are reflected in the fair value measurement of the subject parcel of land and therefore exclude those costs from the current replacement cost of the subject asset fixed to the land.</w:t>
      </w:r>
    </w:p>
    <w:p w14:paraId="442B6F29" w14:textId="6B669745" w:rsidR="00DB071D" w:rsidRPr="00B83952" w:rsidRDefault="0021045E" w:rsidP="00196544">
      <w:pPr>
        <w:pStyle w:val="NumBC1"/>
      </w:pPr>
      <w:bookmarkStart w:id="154" w:name="_Ref120382714"/>
      <w:r w:rsidRPr="00B83952">
        <w:rPr>
          <w:szCs w:val="19"/>
        </w:rPr>
        <w:t xml:space="preserve">A stakeholder </w:t>
      </w:r>
      <w:r w:rsidR="00F37C8F" w:rsidRPr="00B83952">
        <w:rPr>
          <w:szCs w:val="19"/>
        </w:rPr>
        <w:t>provided comment on the circumstance</w:t>
      </w:r>
      <w:r w:rsidR="003479B2" w:rsidRPr="00B83952">
        <w:rPr>
          <w:szCs w:val="19"/>
        </w:rPr>
        <w:t xml:space="preserve"> described</w:t>
      </w:r>
      <w:r w:rsidR="00122D52" w:rsidRPr="00B83952">
        <w:rPr>
          <w:szCs w:val="19"/>
        </w:rPr>
        <w:t xml:space="preserve"> </w:t>
      </w:r>
      <w:r w:rsidR="0039672C" w:rsidRPr="00B83952">
        <w:rPr>
          <w:szCs w:val="19"/>
        </w:rPr>
        <w:t xml:space="preserve">for Jurisdiction B </w:t>
      </w:r>
      <w:r w:rsidR="00122D52" w:rsidRPr="00B83952">
        <w:rPr>
          <w:szCs w:val="19"/>
        </w:rPr>
        <w:t xml:space="preserve">of Illustrative Example 4 – </w:t>
      </w:r>
      <w:r w:rsidR="004D61C8" w:rsidRPr="00B83952">
        <w:rPr>
          <w:szCs w:val="19"/>
        </w:rPr>
        <w:t>where</w:t>
      </w:r>
      <w:r w:rsidR="00642BBE" w:rsidRPr="00B83952">
        <w:rPr>
          <w:szCs w:val="19"/>
        </w:rPr>
        <w:t xml:space="preserve"> </w:t>
      </w:r>
      <w:r w:rsidR="003F71CC" w:rsidRPr="00B83952">
        <w:rPr>
          <w:szCs w:val="19"/>
        </w:rPr>
        <w:t>the entity incurred costs</w:t>
      </w:r>
      <w:r w:rsidR="00642BBE" w:rsidRPr="00B83952">
        <w:rPr>
          <w:szCs w:val="19"/>
        </w:rPr>
        <w:t xml:space="preserve"> to level the </w:t>
      </w:r>
      <w:r w:rsidR="008F2CAF" w:rsidRPr="00B83952">
        <w:rPr>
          <w:szCs w:val="19"/>
        </w:rPr>
        <w:t>subject site</w:t>
      </w:r>
      <w:r w:rsidR="007D330C" w:rsidRPr="00B83952">
        <w:rPr>
          <w:szCs w:val="19"/>
        </w:rPr>
        <w:t xml:space="preserve"> prior to constructing a facility on the site</w:t>
      </w:r>
      <w:r w:rsidR="000D0DCC" w:rsidRPr="00B83952">
        <w:rPr>
          <w:szCs w:val="19"/>
        </w:rPr>
        <w:t>, but a</w:t>
      </w:r>
      <w:r w:rsidR="00642BBE" w:rsidRPr="00B83952">
        <w:rPr>
          <w:szCs w:val="19"/>
        </w:rPr>
        <w:t xml:space="preserve">vailable land in the proximity </w:t>
      </w:r>
      <w:r w:rsidR="000D0DCC" w:rsidRPr="00B83952">
        <w:rPr>
          <w:szCs w:val="19"/>
        </w:rPr>
        <w:t>of the subject site</w:t>
      </w:r>
      <w:r w:rsidR="00642BBE" w:rsidRPr="00B83952">
        <w:rPr>
          <w:szCs w:val="19"/>
        </w:rPr>
        <w:t xml:space="preserve"> was level</w:t>
      </w:r>
      <w:r w:rsidR="003479B2" w:rsidRPr="00B83952">
        <w:rPr>
          <w:szCs w:val="19"/>
        </w:rPr>
        <w:t xml:space="preserve">. The example concluded that </w:t>
      </w:r>
      <w:r w:rsidR="009841D4" w:rsidRPr="00B83952">
        <w:rPr>
          <w:szCs w:val="19"/>
        </w:rPr>
        <w:t>a market participant buyer could hypothetically purchase a level site</w:t>
      </w:r>
      <w:r w:rsidR="003F7E1C" w:rsidRPr="00B83952">
        <w:rPr>
          <w:szCs w:val="19"/>
        </w:rPr>
        <w:t xml:space="preserve"> and therefore the levelling costs should not be included in the current </w:t>
      </w:r>
      <w:r w:rsidR="00A43AD3" w:rsidRPr="00B83952">
        <w:rPr>
          <w:szCs w:val="19"/>
        </w:rPr>
        <w:t>replacement</w:t>
      </w:r>
      <w:r w:rsidR="003F7E1C" w:rsidRPr="00B83952">
        <w:rPr>
          <w:szCs w:val="19"/>
        </w:rPr>
        <w:t xml:space="preserve"> cost of the </w:t>
      </w:r>
      <w:r w:rsidR="004C2EE1" w:rsidRPr="00B83952">
        <w:rPr>
          <w:szCs w:val="19"/>
        </w:rPr>
        <w:t xml:space="preserve">subject </w:t>
      </w:r>
      <w:r w:rsidR="00915B63" w:rsidRPr="00B83952">
        <w:rPr>
          <w:szCs w:val="19"/>
        </w:rPr>
        <w:t>facility</w:t>
      </w:r>
      <w:r w:rsidR="00A43AD3" w:rsidRPr="00B83952">
        <w:rPr>
          <w:szCs w:val="19"/>
        </w:rPr>
        <w:t xml:space="preserve">. </w:t>
      </w:r>
      <w:r w:rsidR="003479B2" w:rsidRPr="00B83952">
        <w:rPr>
          <w:szCs w:val="19"/>
        </w:rPr>
        <w:t xml:space="preserve">The stakeholder </w:t>
      </w:r>
      <w:r w:rsidR="00C2746D" w:rsidRPr="00B83952">
        <w:rPr>
          <w:szCs w:val="19"/>
        </w:rPr>
        <w:t>was</w:t>
      </w:r>
      <w:r w:rsidRPr="00B83952">
        <w:rPr>
          <w:szCs w:val="19"/>
        </w:rPr>
        <w:t xml:space="preserve"> concerned that</w:t>
      </w:r>
      <w:r w:rsidR="0068054F" w:rsidRPr="00B83952">
        <w:rPr>
          <w:szCs w:val="19"/>
        </w:rPr>
        <w:t xml:space="preserve">, if an entity had </w:t>
      </w:r>
      <w:r w:rsidR="000404E5" w:rsidRPr="00B83952">
        <w:rPr>
          <w:szCs w:val="19"/>
        </w:rPr>
        <w:t>incurred</w:t>
      </w:r>
      <w:r w:rsidR="0068054F" w:rsidRPr="00B83952">
        <w:rPr>
          <w:szCs w:val="19"/>
        </w:rPr>
        <w:t xml:space="preserve"> site levelling costs</w:t>
      </w:r>
      <w:r w:rsidR="003A66F2" w:rsidRPr="00B83952">
        <w:t xml:space="preserve"> (</w:t>
      </w:r>
      <w:r w:rsidR="003A66F2" w:rsidRPr="00B83952">
        <w:rPr>
          <w:szCs w:val="19"/>
        </w:rPr>
        <w:t xml:space="preserve">that </w:t>
      </w:r>
      <w:r w:rsidR="0067727A" w:rsidRPr="00B83952">
        <w:rPr>
          <w:szCs w:val="19"/>
        </w:rPr>
        <w:t xml:space="preserve">were </w:t>
      </w:r>
      <w:r w:rsidR="003A66F2" w:rsidRPr="00B83952">
        <w:rPr>
          <w:szCs w:val="19"/>
        </w:rPr>
        <w:t>capitalised in the facility’s carrying amount)</w:t>
      </w:r>
      <w:r w:rsidR="0068054F" w:rsidRPr="00B83952">
        <w:rPr>
          <w:szCs w:val="19"/>
        </w:rPr>
        <w:t xml:space="preserve">, but in </w:t>
      </w:r>
      <w:r w:rsidR="0067727A" w:rsidRPr="00B83952">
        <w:rPr>
          <w:szCs w:val="19"/>
        </w:rPr>
        <w:t xml:space="preserve">a </w:t>
      </w:r>
      <w:r w:rsidR="0068054F" w:rsidRPr="00B83952">
        <w:rPr>
          <w:szCs w:val="19"/>
        </w:rPr>
        <w:t>subsequent measurement of the facility</w:t>
      </w:r>
      <w:r w:rsidR="00590472" w:rsidRPr="00B83952">
        <w:rPr>
          <w:szCs w:val="19"/>
        </w:rPr>
        <w:t>,</w:t>
      </w:r>
      <w:r w:rsidR="00980E27" w:rsidRPr="00B83952">
        <w:rPr>
          <w:szCs w:val="19"/>
        </w:rPr>
        <w:t xml:space="preserve"> site levelling costs are excluded </w:t>
      </w:r>
      <w:r w:rsidR="000404E5" w:rsidRPr="00B83952">
        <w:rPr>
          <w:szCs w:val="19"/>
        </w:rPr>
        <w:t>from</w:t>
      </w:r>
      <w:r w:rsidR="00980E27" w:rsidRPr="00B83952">
        <w:rPr>
          <w:szCs w:val="19"/>
        </w:rPr>
        <w:t xml:space="preserve"> the current replacement cost of the subject </w:t>
      </w:r>
      <w:r w:rsidR="00BE70C5" w:rsidRPr="00B83952">
        <w:rPr>
          <w:szCs w:val="19"/>
        </w:rPr>
        <w:t>facility</w:t>
      </w:r>
      <w:r w:rsidR="00980E27" w:rsidRPr="00B83952">
        <w:rPr>
          <w:szCs w:val="19"/>
        </w:rPr>
        <w:t xml:space="preserve">, </w:t>
      </w:r>
      <w:r w:rsidR="00FE4D8C" w:rsidRPr="00B83952">
        <w:rPr>
          <w:szCs w:val="19"/>
        </w:rPr>
        <w:t xml:space="preserve">the reduction in the asset’s value would </w:t>
      </w:r>
      <w:r w:rsidRPr="00B83952">
        <w:rPr>
          <w:szCs w:val="19"/>
        </w:rPr>
        <w:t xml:space="preserve">misleadingly indicate that </w:t>
      </w:r>
      <w:r w:rsidR="00FE4D8C" w:rsidRPr="00B83952">
        <w:rPr>
          <w:szCs w:val="19"/>
        </w:rPr>
        <w:t>the entity had made an</w:t>
      </w:r>
      <w:r w:rsidRPr="00B83952">
        <w:rPr>
          <w:szCs w:val="19"/>
        </w:rPr>
        <w:t xml:space="preserve"> economically unjustified</w:t>
      </w:r>
      <w:r w:rsidR="00FE4D8C" w:rsidRPr="00B83952">
        <w:rPr>
          <w:szCs w:val="19"/>
        </w:rPr>
        <w:t xml:space="preserve"> decision in incurring th</w:t>
      </w:r>
      <w:r w:rsidR="001D50F2" w:rsidRPr="00B83952">
        <w:rPr>
          <w:szCs w:val="19"/>
        </w:rPr>
        <w:t>e site levelling costs</w:t>
      </w:r>
      <w:r w:rsidRPr="00B83952">
        <w:rPr>
          <w:szCs w:val="19"/>
        </w:rPr>
        <w:t>.</w:t>
      </w:r>
      <w:bookmarkEnd w:id="154"/>
      <w:r w:rsidRPr="00B83952">
        <w:rPr>
          <w:szCs w:val="19"/>
        </w:rPr>
        <w:t xml:space="preserve"> </w:t>
      </w:r>
    </w:p>
    <w:p w14:paraId="00521983" w14:textId="6369B0C8" w:rsidR="0021045E" w:rsidRPr="00B83952" w:rsidRDefault="0066646D" w:rsidP="00196544">
      <w:pPr>
        <w:pStyle w:val="NumBC1"/>
      </w:pPr>
      <w:r w:rsidRPr="00B83952">
        <w:rPr>
          <w:szCs w:val="19"/>
        </w:rPr>
        <w:t xml:space="preserve">In respect of the stakeholder’s concern noted in paragraph </w:t>
      </w:r>
      <w:r w:rsidRPr="00B83952">
        <w:rPr>
          <w:szCs w:val="19"/>
        </w:rPr>
        <w:fldChar w:fldCharType="begin"/>
      </w:r>
      <w:r w:rsidRPr="00B83952">
        <w:rPr>
          <w:szCs w:val="19"/>
        </w:rPr>
        <w:instrText xml:space="preserve"> REF _Ref120382714 \r \h </w:instrText>
      </w:r>
      <w:r w:rsidRPr="00B83952">
        <w:rPr>
          <w:szCs w:val="19"/>
        </w:rPr>
      </w:r>
      <w:r w:rsidRPr="00B83952">
        <w:rPr>
          <w:szCs w:val="19"/>
        </w:rPr>
        <w:fldChar w:fldCharType="separate"/>
      </w:r>
      <w:r w:rsidR="005A1B65">
        <w:rPr>
          <w:szCs w:val="19"/>
        </w:rPr>
        <w:t>BC174</w:t>
      </w:r>
      <w:r w:rsidRPr="00B83952">
        <w:rPr>
          <w:szCs w:val="19"/>
        </w:rPr>
        <w:fldChar w:fldCharType="end"/>
      </w:r>
      <w:r w:rsidRPr="00B83952">
        <w:rPr>
          <w:szCs w:val="19"/>
        </w:rPr>
        <w:t>, t</w:t>
      </w:r>
      <w:r w:rsidR="001D50F2" w:rsidRPr="00B83952">
        <w:rPr>
          <w:szCs w:val="19"/>
        </w:rPr>
        <w:t xml:space="preserve">he Board </w:t>
      </w:r>
      <w:r w:rsidR="00E82122" w:rsidRPr="00B83952">
        <w:rPr>
          <w:szCs w:val="19"/>
        </w:rPr>
        <w:t xml:space="preserve">was informed by some stakeholders that, in </w:t>
      </w:r>
      <w:r w:rsidR="0021045E" w:rsidRPr="00B83952">
        <w:rPr>
          <w:szCs w:val="19"/>
        </w:rPr>
        <w:t xml:space="preserve">many cases, </w:t>
      </w:r>
      <w:r w:rsidR="00DC627D" w:rsidRPr="00B83952">
        <w:rPr>
          <w:szCs w:val="19"/>
        </w:rPr>
        <w:t xml:space="preserve">if the market approach is applied to measure the value of the land under a facility, </w:t>
      </w:r>
      <w:r w:rsidR="009A4BFE" w:rsidRPr="00B83952">
        <w:rPr>
          <w:szCs w:val="19"/>
        </w:rPr>
        <w:t xml:space="preserve">any </w:t>
      </w:r>
      <w:r w:rsidR="0021045E" w:rsidRPr="00B83952">
        <w:rPr>
          <w:szCs w:val="19"/>
        </w:rPr>
        <w:t xml:space="preserve">site preparation works </w:t>
      </w:r>
      <w:r w:rsidR="009A4BFE" w:rsidRPr="00B83952">
        <w:rPr>
          <w:szCs w:val="19"/>
        </w:rPr>
        <w:t>incurred would be</w:t>
      </w:r>
      <w:r w:rsidR="0021045E" w:rsidRPr="00B83952">
        <w:rPr>
          <w:szCs w:val="19"/>
        </w:rPr>
        <w:t xml:space="preserve"> reflected in the </w:t>
      </w:r>
      <w:r w:rsidR="009A4BFE" w:rsidRPr="00B83952">
        <w:rPr>
          <w:szCs w:val="19"/>
        </w:rPr>
        <w:t xml:space="preserve">land’s </w:t>
      </w:r>
      <w:r w:rsidR="0021045E" w:rsidRPr="00B83952">
        <w:rPr>
          <w:szCs w:val="19"/>
        </w:rPr>
        <w:t>market value. In those cases, the aggregate fair value measurement of the land and facility would not indicate that the necessarily incurred site preparation costs are economically unjustified. The particular outcome in Scenario B of Illustrative Example 4 reflects a simplif</w:t>
      </w:r>
      <w:r w:rsidR="00EE3D23" w:rsidRPr="00B83952">
        <w:rPr>
          <w:szCs w:val="19"/>
        </w:rPr>
        <w:t>ied</w:t>
      </w:r>
      <w:r w:rsidR="0021045E" w:rsidRPr="00B83952">
        <w:rPr>
          <w:szCs w:val="19"/>
        </w:rPr>
        <w:t xml:space="preserve"> assumption (ie that the value created by site preparation works affects the improvements rather than the land)</w:t>
      </w:r>
      <w:r w:rsidR="000462DB" w:rsidRPr="00B83952">
        <w:rPr>
          <w:szCs w:val="19"/>
        </w:rPr>
        <w:t>.</w:t>
      </w:r>
      <w:r w:rsidR="0021045E" w:rsidRPr="00B83952">
        <w:rPr>
          <w:szCs w:val="19"/>
        </w:rPr>
        <w:t xml:space="preserve"> Illustrative examples are included to illustrate particular aspects and considerations, rather than provide a template for the treatment of particular fact patterns. As noted in paragraph </w:t>
      </w:r>
      <w:r w:rsidR="0021045E" w:rsidRPr="00B83952">
        <w:rPr>
          <w:szCs w:val="19"/>
        </w:rPr>
        <w:fldChar w:fldCharType="begin"/>
      </w:r>
      <w:r w:rsidR="0021045E" w:rsidRPr="00B83952">
        <w:rPr>
          <w:szCs w:val="19"/>
        </w:rPr>
        <w:instrText xml:space="preserve"> REF _Ref461528189 \r \h </w:instrText>
      </w:r>
      <w:r w:rsidR="0021045E" w:rsidRPr="00B83952">
        <w:rPr>
          <w:szCs w:val="19"/>
        </w:rPr>
      </w:r>
      <w:r w:rsidR="0021045E" w:rsidRPr="00B83952">
        <w:rPr>
          <w:szCs w:val="19"/>
        </w:rPr>
        <w:fldChar w:fldCharType="separate"/>
      </w:r>
      <w:r w:rsidR="005A1B65">
        <w:rPr>
          <w:szCs w:val="19"/>
        </w:rPr>
        <w:t>IE1</w:t>
      </w:r>
      <w:r w:rsidR="0021045E" w:rsidRPr="00B83952">
        <w:rPr>
          <w:szCs w:val="19"/>
        </w:rPr>
        <w:fldChar w:fldCharType="end"/>
      </w:r>
      <w:r w:rsidR="0021045E" w:rsidRPr="00B83952">
        <w:rPr>
          <w:szCs w:val="19"/>
        </w:rPr>
        <w:t>, t</w:t>
      </w:r>
      <w:r w:rsidR="0021045E" w:rsidRPr="00B83952">
        <w:t>he evaluations in each illustrative example are not intended to represent the only manner in which AASB</w:t>
      </w:r>
      <w:r w:rsidR="0041741B" w:rsidRPr="00B83952">
        <w:t> </w:t>
      </w:r>
      <w:r w:rsidR="0021045E" w:rsidRPr="00B83952">
        <w:t>13 could be applied.</w:t>
      </w:r>
    </w:p>
    <w:p w14:paraId="5107021F" w14:textId="32D8BEB7" w:rsidR="00D17074" w:rsidRPr="00B83952" w:rsidRDefault="00D17074" w:rsidP="003276D3">
      <w:pPr>
        <w:pStyle w:val="NumBC1"/>
      </w:pPr>
      <w:r w:rsidRPr="00B83952">
        <w:t xml:space="preserve">Some stakeholders commented that the treatment of costs to remove and dispose of unwanted existing structures on land in order to hypothetically construct </w:t>
      </w:r>
      <w:r w:rsidR="00987351" w:rsidRPr="00B83952">
        <w:t>a reference</w:t>
      </w:r>
      <w:r w:rsidRPr="00B83952">
        <w:t xml:space="preserve"> asset at the measurement date should be consistent with the treatment of costs of dismantling and removing an item of property, plant and equipment and restoring the site on which it is located (paragraph</w:t>
      </w:r>
      <w:r w:rsidR="0041741B" w:rsidRPr="00B83952">
        <w:t> </w:t>
      </w:r>
      <w:r w:rsidRPr="00B83952">
        <w:t xml:space="preserve">16 </w:t>
      </w:r>
      <w:r w:rsidR="0041741B" w:rsidRPr="00B83952">
        <w:t xml:space="preserve">of AASB 116 </w:t>
      </w:r>
      <w:r w:rsidRPr="00B83952">
        <w:t>identifies this latter type of costs as part of the cost of an item of property, plant and equipment). Those stakeholders commented that if there is no present obligation for an entity to incur costs to remove and dispose of unwanted existing structures on land in order to hypothetically construct the subject asset at the measurement date, such costs should not be included in an asset’s current replacement cost. Some other stakeholders asked for clarification of the relationship between those costs and the costs of dismantling and removing an item of property, plant and equipment and restoring the site on which it is located.</w:t>
      </w:r>
    </w:p>
    <w:p w14:paraId="0E0A53B7" w14:textId="67D7DF02" w:rsidR="00B56F2C" w:rsidRPr="00B83952" w:rsidRDefault="00D17074" w:rsidP="003276D3">
      <w:pPr>
        <w:pStyle w:val="NumBC1"/>
      </w:pPr>
      <w:r w:rsidRPr="00B83952">
        <w:t>The Board observed that, i</w:t>
      </w:r>
      <w:r w:rsidR="002021F5" w:rsidRPr="00B83952">
        <w:t xml:space="preserve">n contrast with costs to remove and dispose of </w:t>
      </w:r>
      <w:r w:rsidR="00C01BB3" w:rsidRPr="00B83952">
        <w:t>unwanted existing</w:t>
      </w:r>
      <w:r w:rsidR="002021F5" w:rsidRPr="00B83952">
        <w:t xml:space="preserve"> structures on land, the costs of dismantling and removing an item of property, plant and equipment and restoring the site on which it is located are end-of-economic-life costs</w:t>
      </w:r>
      <w:r w:rsidR="004B170D" w:rsidRPr="00B83952">
        <w:t xml:space="preserve">. </w:t>
      </w:r>
      <w:r w:rsidR="008E4F34" w:rsidRPr="00B83952">
        <w:t>T</w:t>
      </w:r>
      <w:r w:rsidR="004B170D" w:rsidRPr="00B83952">
        <w:t xml:space="preserve">hose latter costs </w:t>
      </w:r>
      <w:r w:rsidR="0004651D" w:rsidRPr="00B83952">
        <w:t xml:space="preserve">would </w:t>
      </w:r>
      <w:r w:rsidR="008E4F34" w:rsidRPr="00B83952">
        <w:t xml:space="preserve">not </w:t>
      </w:r>
      <w:r w:rsidR="0004651D" w:rsidRPr="00B83952">
        <w:t xml:space="preserve">merit inclusion in the asset’s current replacement cost </w:t>
      </w:r>
      <w:r w:rsidR="008E4F34" w:rsidRPr="00B83952">
        <w:t xml:space="preserve">because </w:t>
      </w:r>
      <w:r w:rsidR="0004651D" w:rsidRPr="00B83952">
        <w:t>the market participant buyer of the</w:t>
      </w:r>
      <w:r w:rsidR="007015E8" w:rsidRPr="00B83952">
        <w:t xml:space="preserve"> subject</w:t>
      </w:r>
      <w:r w:rsidR="0004651D" w:rsidRPr="00B83952">
        <w:t xml:space="preserve"> asset </w:t>
      </w:r>
      <w:r w:rsidR="008E4F34" w:rsidRPr="00B83952">
        <w:t xml:space="preserve">logically </w:t>
      </w:r>
      <w:r w:rsidR="0004651D" w:rsidRPr="00B83952">
        <w:t xml:space="preserve">would </w:t>
      </w:r>
      <w:r w:rsidR="008E4F34" w:rsidRPr="00B83952">
        <w:t xml:space="preserve">not </w:t>
      </w:r>
      <w:r w:rsidR="00640D2B" w:rsidRPr="00B83952">
        <w:t xml:space="preserve">pay </w:t>
      </w:r>
      <w:r w:rsidR="00563424" w:rsidRPr="00B83952">
        <w:t xml:space="preserve">for those costs, </w:t>
      </w:r>
      <w:r w:rsidR="00020A8F" w:rsidRPr="00B83952">
        <w:t xml:space="preserve">which in turn is </w:t>
      </w:r>
      <w:r w:rsidR="00B70F62" w:rsidRPr="00B83952">
        <w:t xml:space="preserve">because </w:t>
      </w:r>
      <w:r w:rsidR="00563424" w:rsidRPr="00B83952">
        <w:t xml:space="preserve">possessing the </w:t>
      </w:r>
      <w:r w:rsidR="00286610" w:rsidRPr="00B83952">
        <w:t xml:space="preserve">subject </w:t>
      </w:r>
      <w:r w:rsidR="00563424" w:rsidRPr="00B83952">
        <w:t xml:space="preserve">asset </w:t>
      </w:r>
      <w:r w:rsidR="00922A86" w:rsidRPr="00B83952">
        <w:t xml:space="preserve">would </w:t>
      </w:r>
      <w:r w:rsidR="00B70F62" w:rsidRPr="00B83952">
        <w:t xml:space="preserve">not </w:t>
      </w:r>
      <w:r w:rsidR="00922A86" w:rsidRPr="00B83952">
        <w:t xml:space="preserve">save the market participant buyer from having to incur those </w:t>
      </w:r>
      <w:r w:rsidR="005B122E" w:rsidRPr="00B83952">
        <w:t xml:space="preserve">end-of-economic-life </w:t>
      </w:r>
      <w:r w:rsidR="00922A86" w:rsidRPr="00B83952">
        <w:t xml:space="preserve">costs. </w:t>
      </w:r>
    </w:p>
    <w:p w14:paraId="283D6033" w14:textId="186B9B54" w:rsidR="002021F5" w:rsidRPr="00B83952" w:rsidRDefault="00E12D52" w:rsidP="003276D3">
      <w:pPr>
        <w:pStyle w:val="NumBC1"/>
      </w:pPr>
      <w:r w:rsidRPr="00B83952">
        <w:t>However, t</w:t>
      </w:r>
      <w:r w:rsidR="00C84101" w:rsidRPr="00B83952">
        <w:t xml:space="preserve">he Board </w:t>
      </w:r>
      <w:r w:rsidRPr="00B83952">
        <w:t xml:space="preserve">also </w:t>
      </w:r>
      <w:r w:rsidR="00C84101" w:rsidRPr="00B83952">
        <w:t>observed that Illustrative Example 2 accompanying AASB Interpretation</w:t>
      </w:r>
      <w:r w:rsidR="00974B1D" w:rsidRPr="00B83952">
        <w:t> </w:t>
      </w:r>
      <w:r w:rsidR="00C84101" w:rsidRPr="00B83952">
        <w:t xml:space="preserve">1 </w:t>
      </w:r>
      <w:r w:rsidR="00C84101" w:rsidRPr="00B83952">
        <w:rPr>
          <w:i/>
          <w:iCs/>
        </w:rPr>
        <w:t>Changes in Existing Decommissioning, Restoration and Similar Liabilities</w:t>
      </w:r>
      <w:r w:rsidR="00C84101" w:rsidRPr="00B83952">
        <w:t xml:space="preserve"> states that, if an asset’s valuation does not include an amount for these end-of-economic-life costs for which the entity has recognised a provision, the carrying amount of the asset will need to be adjusted by adding back an appropriate amount for the provision (Interpretation 1 paragraph IE7(b)). The IFRS Interpretation Committee’s Basis for Conclusions on the IFRS Interpretation adopted as AASB Interpretation 1 states that the provision is accounted for separately from the valuation of the asset to ensure it is not counted twice (paragraph BC25(a))</w:t>
      </w:r>
      <w:r w:rsidR="00AC3CAD" w:rsidRPr="00B83952">
        <w:t>.</w:t>
      </w:r>
    </w:p>
    <w:p w14:paraId="75FFB251" w14:textId="6C7DECFA" w:rsidR="00741AEC" w:rsidRPr="00B83952" w:rsidRDefault="00FF49DA">
      <w:pPr>
        <w:pStyle w:val="IASBSectionTitle2Ind"/>
      </w:pPr>
      <w:r w:rsidRPr="00B83952">
        <w:t>Disruption costs, including c</w:t>
      </w:r>
      <w:r w:rsidR="008F46F5" w:rsidRPr="00B83952">
        <w:t>osts</w:t>
      </w:r>
      <w:r w:rsidR="001A5806" w:rsidRPr="00B83952">
        <w:t xml:space="preserve"> </w:t>
      </w:r>
      <w:r w:rsidR="00C139D3" w:rsidRPr="00B83952">
        <w:t xml:space="preserve">to </w:t>
      </w:r>
      <w:r w:rsidR="005A7632" w:rsidRPr="00B83952">
        <w:t>restore</w:t>
      </w:r>
      <w:r w:rsidR="001A5806" w:rsidRPr="00B83952">
        <w:t xml:space="preserve"> </w:t>
      </w:r>
      <w:r w:rsidR="00C139D3" w:rsidRPr="00B83952">
        <w:t xml:space="preserve">another entity’s </w:t>
      </w:r>
      <w:r w:rsidR="001A5806" w:rsidRPr="00B83952">
        <w:t>assets</w:t>
      </w:r>
      <w:r w:rsidR="00046363" w:rsidRPr="00B83952">
        <w:t xml:space="preserve"> </w:t>
      </w:r>
    </w:p>
    <w:p w14:paraId="78E6F2E9" w14:textId="0BA98A23" w:rsidR="00F12E17" w:rsidRPr="00B83952" w:rsidRDefault="00E7116F" w:rsidP="003276D3">
      <w:pPr>
        <w:pStyle w:val="NumBC1"/>
      </w:pPr>
      <w:bookmarkStart w:id="155" w:name="_Ref94928774"/>
      <w:bookmarkStart w:id="156" w:name="_Ref85976906"/>
      <w:r w:rsidRPr="00B83952">
        <w:t xml:space="preserve">The Board was asked to clarify whether </w:t>
      </w:r>
      <w:r w:rsidR="00D11B5D" w:rsidRPr="00B83952">
        <w:t xml:space="preserve">the subject </w:t>
      </w:r>
      <w:r w:rsidR="00F12E17" w:rsidRPr="00B83952">
        <w:t xml:space="preserve">asset’s current replacement cost </w:t>
      </w:r>
      <w:r w:rsidRPr="00B83952">
        <w:t xml:space="preserve">should include </w:t>
      </w:r>
      <w:r w:rsidR="00F12E17" w:rsidRPr="00B83952">
        <w:t xml:space="preserve">the cost to </w:t>
      </w:r>
      <w:r w:rsidR="005A7632" w:rsidRPr="00B83952">
        <w:t>restore</w:t>
      </w:r>
      <w:r w:rsidR="00F12E17" w:rsidRPr="00B83952">
        <w:t xml:space="preserve"> an</w:t>
      </w:r>
      <w:r w:rsidR="00830402" w:rsidRPr="00B83952">
        <w:t>other entity’s</w:t>
      </w:r>
      <w:r w:rsidR="00F12E17" w:rsidRPr="00B83952">
        <w:t xml:space="preserve"> asset </w:t>
      </w:r>
      <w:r w:rsidR="00830402" w:rsidRPr="00B83952">
        <w:t xml:space="preserve">that would be </w:t>
      </w:r>
      <w:r w:rsidR="007E46EF" w:rsidRPr="00B83952">
        <w:t>disrupted</w:t>
      </w:r>
      <w:r w:rsidR="00F12E17" w:rsidRPr="00B83952">
        <w:t xml:space="preserve"> during the hypothetical construction </w:t>
      </w:r>
      <w:r w:rsidR="001C76CF" w:rsidRPr="00B83952">
        <w:t xml:space="preserve">of </w:t>
      </w:r>
      <w:r w:rsidR="00D11B5D" w:rsidRPr="00B83952">
        <w:t>the subject</w:t>
      </w:r>
      <w:r w:rsidR="00F12E17" w:rsidRPr="00B83952">
        <w:t xml:space="preserve"> asset</w:t>
      </w:r>
      <w:r w:rsidR="00AD6C65" w:rsidRPr="00B83952">
        <w:t xml:space="preserve"> (</w:t>
      </w:r>
      <w:r w:rsidR="003E50C6" w:rsidRPr="00B83952">
        <w:t>eg</w:t>
      </w:r>
      <w:r w:rsidR="00AD6C65" w:rsidRPr="00B83952">
        <w:t xml:space="preserve"> drainage works </w:t>
      </w:r>
      <w:r w:rsidR="009F3FD8" w:rsidRPr="00B83952">
        <w:t xml:space="preserve">of another entity </w:t>
      </w:r>
      <w:r w:rsidR="00AD6C65" w:rsidRPr="00B83952">
        <w:t>dis</w:t>
      </w:r>
      <w:r w:rsidR="000F51F6" w:rsidRPr="00B83952">
        <w:t>rupted</w:t>
      </w:r>
      <w:r w:rsidR="00AD6C65" w:rsidRPr="00B83952">
        <w:t xml:space="preserve"> when replacing a road)</w:t>
      </w:r>
      <w:r w:rsidR="00830402" w:rsidRPr="00B83952">
        <w:t>.</w:t>
      </w:r>
      <w:r w:rsidR="001B6CB2" w:rsidRPr="00B83952">
        <w:t xml:space="preserve"> The Board decided to develop proposed guidance on such restoration costs and other disruption costs arising upon the hypothetical construction of the subject asset; those costs are collectively termed ‘disruption costs’ </w:t>
      </w:r>
      <w:r w:rsidR="00FE2B9D" w:rsidRPr="00B83952">
        <w:t xml:space="preserve">in </w:t>
      </w:r>
      <w:r w:rsidR="0015166E" w:rsidRPr="00B83952">
        <w:t>paragraph </w:t>
      </w:r>
      <w:r w:rsidR="00AB3DC4" w:rsidRPr="00B83952">
        <w:fldChar w:fldCharType="begin"/>
      </w:r>
      <w:r w:rsidR="00AB3DC4" w:rsidRPr="00B83952">
        <w:instrText xml:space="preserve"> REF _Ref90288055 \r \h </w:instrText>
      </w:r>
      <w:r w:rsidR="00AB3DC4" w:rsidRPr="00B83952">
        <w:fldChar w:fldCharType="separate"/>
      </w:r>
      <w:r w:rsidR="005A1B65">
        <w:t>F12</w:t>
      </w:r>
      <w:r w:rsidR="00AB3DC4" w:rsidRPr="00B83952">
        <w:fldChar w:fldCharType="end"/>
      </w:r>
      <w:r w:rsidR="0015166E" w:rsidRPr="00B83952">
        <w:t xml:space="preserve"> and </w:t>
      </w:r>
      <w:r w:rsidR="00FE2B9D" w:rsidRPr="00B83952">
        <w:t>this section of the Basis for Conclusions</w:t>
      </w:r>
      <w:r w:rsidR="001B6CB2" w:rsidRPr="00B83952">
        <w:t>.</w:t>
      </w:r>
      <w:r w:rsidR="00670DE3" w:rsidRPr="00B83952">
        <w:t xml:space="preserve"> Examples of disruption costs other than costs of restoring another entity’s assets </w:t>
      </w:r>
      <w:r w:rsidR="00C07DD4" w:rsidRPr="00B83952">
        <w:t xml:space="preserve">are costs of </w:t>
      </w:r>
      <w:r w:rsidR="006D6A23" w:rsidRPr="00B83952">
        <w:t xml:space="preserve">directing and diverting traffic (including the hire of safety barriers) </w:t>
      </w:r>
      <w:r w:rsidR="004A0929" w:rsidRPr="00B83952">
        <w:t xml:space="preserve">and </w:t>
      </w:r>
      <w:r w:rsidR="006D6A23" w:rsidRPr="00B83952">
        <w:t xml:space="preserve">costs of </w:t>
      </w:r>
      <w:r w:rsidR="00C07DD4" w:rsidRPr="00B83952">
        <w:t>employing safety officers</w:t>
      </w:r>
      <w:r w:rsidR="004A0929" w:rsidRPr="00B83952">
        <w:t>.</w:t>
      </w:r>
      <w:bookmarkEnd w:id="155"/>
      <w:r w:rsidR="00C07DD4" w:rsidRPr="00B83952">
        <w:t xml:space="preserve"> </w:t>
      </w:r>
    </w:p>
    <w:p w14:paraId="57E1AAA1" w14:textId="3B2CA3A5" w:rsidR="00345C71" w:rsidRPr="00B83952" w:rsidRDefault="00345C71" w:rsidP="003276D3">
      <w:pPr>
        <w:pStyle w:val="NumBC1"/>
        <w:tabs>
          <w:tab w:val="left" w:pos="1134"/>
        </w:tabs>
      </w:pPr>
      <w:r w:rsidRPr="00B83952">
        <w:t xml:space="preserve">The </w:t>
      </w:r>
      <w:r w:rsidR="00B95E41" w:rsidRPr="00B83952">
        <w:t xml:space="preserve">key </w:t>
      </w:r>
      <w:r w:rsidR="00B84265" w:rsidRPr="00B83952">
        <w:t xml:space="preserve">principle </w:t>
      </w:r>
      <w:r w:rsidRPr="00B83952">
        <w:t>underpinning the inclusion of disruption costs (including, but not limited to, costs to restore another entity’s assets that would be disrupted during the hypothetical construction of the subject asset) in the current replacement cost of a subject asset is that</w:t>
      </w:r>
      <w:r w:rsidR="00597AA3" w:rsidRPr="00B83952">
        <w:t xml:space="preserve">, as </w:t>
      </w:r>
      <w:r w:rsidR="00EC50B5" w:rsidRPr="00B83952">
        <w:t xml:space="preserve">discussed </w:t>
      </w:r>
      <w:r w:rsidR="00597AA3" w:rsidRPr="00B83952">
        <w:t>in paragraph </w:t>
      </w:r>
      <w:r w:rsidR="00317C83" w:rsidRPr="00B83952">
        <w:fldChar w:fldCharType="begin"/>
      </w:r>
      <w:r w:rsidR="00317C83" w:rsidRPr="00B83952">
        <w:instrText xml:space="preserve"> REF _Ref115225172 \r \h </w:instrText>
      </w:r>
      <w:r w:rsidR="00317C83" w:rsidRPr="00B83952">
        <w:fldChar w:fldCharType="separate"/>
      </w:r>
      <w:r w:rsidR="005A1B65">
        <w:t>BC154</w:t>
      </w:r>
      <w:r w:rsidR="00317C83" w:rsidRPr="00B83952">
        <w:fldChar w:fldCharType="end"/>
      </w:r>
      <w:r w:rsidR="00597AA3" w:rsidRPr="00B83952">
        <w:t xml:space="preserve">, to reflect the pricing </w:t>
      </w:r>
      <w:r w:rsidR="00597AA3" w:rsidRPr="00B83952">
        <w:lastRenderedPageBreak/>
        <w:t xml:space="preserve">assumptions of market </w:t>
      </w:r>
      <w:r w:rsidR="00274B83" w:rsidRPr="00B83952">
        <w:t>participants</w:t>
      </w:r>
      <w:r w:rsidR="00597AA3" w:rsidRPr="00B83952">
        <w:t xml:space="preserve">, </w:t>
      </w:r>
      <w:r w:rsidR="002473B8" w:rsidRPr="00B83952">
        <w:t>a subject asset’s current replacement cost includes a</w:t>
      </w:r>
      <w:r w:rsidR="00597AA3" w:rsidRPr="00B83952">
        <w:t>ll necessary costs intrinsically linked to acquiring or constructing th</w:t>
      </w:r>
      <w:r w:rsidR="002473B8" w:rsidRPr="00B83952">
        <w:t>at</w:t>
      </w:r>
      <w:r w:rsidR="00597AA3" w:rsidRPr="00B83952">
        <w:t xml:space="preserve"> asset at the measurement date</w:t>
      </w:r>
      <w:r w:rsidR="002473B8" w:rsidRPr="00B83952">
        <w:t>.</w:t>
      </w:r>
    </w:p>
    <w:p w14:paraId="7441DB31" w14:textId="4FFB3075" w:rsidR="00544162" w:rsidRPr="00B83952" w:rsidRDefault="00AD0245" w:rsidP="003276D3">
      <w:pPr>
        <w:pStyle w:val="NumBC1"/>
      </w:pPr>
      <w:bookmarkStart w:id="157" w:name="_Ref94621311"/>
      <w:r w:rsidRPr="00B83952">
        <w:t xml:space="preserve">The Board </w:t>
      </w:r>
      <w:r w:rsidR="00930506" w:rsidRPr="00B83952">
        <w:t xml:space="preserve">considered </w:t>
      </w:r>
      <w:r w:rsidR="00544162" w:rsidRPr="00B83952">
        <w:t>the following comments expressed by some stakeholders</w:t>
      </w:r>
      <w:r w:rsidR="00A93790" w:rsidRPr="00B83952">
        <w:t xml:space="preserve"> that it would be inappropriate to include the cost to </w:t>
      </w:r>
      <w:r w:rsidR="00FC2478" w:rsidRPr="00B83952">
        <w:t>restore</w:t>
      </w:r>
      <w:r w:rsidR="00A93790" w:rsidRPr="00B83952">
        <w:t xml:space="preserve"> another entity’s asset in the current replacement cost of an asset held by the entity</w:t>
      </w:r>
      <w:r w:rsidR="00544162" w:rsidRPr="00B83952">
        <w:t>:</w:t>
      </w:r>
      <w:bookmarkEnd w:id="157"/>
    </w:p>
    <w:p w14:paraId="574FBC19" w14:textId="68C04AFA" w:rsidR="00D739AD" w:rsidRPr="00B83952" w:rsidRDefault="00D739AD" w:rsidP="003276D3">
      <w:pPr>
        <w:pStyle w:val="NumBC2"/>
      </w:pPr>
      <w:r w:rsidRPr="00B83952">
        <w:t xml:space="preserve">because the entity does not control the other entity’s asset that is being </w:t>
      </w:r>
      <w:r w:rsidR="005F4792" w:rsidRPr="00B83952">
        <w:t>restored</w:t>
      </w:r>
      <w:r w:rsidR="000F0F2B" w:rsidRPr="00B83952">
        <w:t xml:space="preserve">, it would be </w:t>
      </w:r>
      <w:r w:rsidR="00640112" w:rsidRPr="00B83952">
        <w:t>in</w:t>
      </w:r>
      <w:r w:rsidR="000F0F2B" w:rsidRPr="00B83952">
        <w:t xml:space="preserve">appropriate to </w:t>
      </w:r>
      <w:r w:rsidR="003F35BB" w:rsidRPr="00B83952">
        <w:t xml:space="preserve">include in the measurement of </w:t>
      </w:r>
      <w:r w:rsidR="000F0F2B" w:rsidRPr="00B83952">
        <w:t xml:space="preserve">the subject asset costs </w:t>
      </w:r>
      <w:r w:rsidR="003F35BB" w:rsidRPr="00B83952">
        <w:t xml:space="preserve">relating to the </w:t>
      </w:r>
      <w:r w:rsidR="00FE30E2" w:rsidRPr="00B83952">
        <w:t xml:space="preserve">asset </w:t>
      </w:r>
      <w:r w:rsidR="003F35BB" w:rsidRPr="00B83952">
        <w:t>that would be restored</w:t>
      </w:r>
      <w:r w:rsidR="00FE30E2" w:rsidRPr="00B83952">
        <w:t>;</w:t>
      </w:r>
      <w:r w:rsidRPr="00B83952">
        <w:t xml:space="preserve"> </w:t>
      </w:r>
    </w:p>
    <w:p w14:paraId="3EAEFFD9" w14:textId="4C7278A9" w:rsidR="00544162" w:rsidRPr="00B83952" w:rsidRDefault="001730CD" w:rsidP="003276D3">
      <w:pPr>
        <w:pStyle w:val="NumBC2"/>
      </w:pPr>
      <w:r w:rsidRPr="00B83952">
        <w:t xml:space="preserve">if the entity did not incur those costs when the subject asset was initially constructed, or if those disrupted assets did not exist when the subject asset was initially </w:t>
      </w:r>
      <w:r w:rsidR="001270AF" w:rsidRPr="00B83952">
        <w:t>constructed</w:t>
      </w:r>
      <w:r w:rsidRPr="00B83952">
        <w:t>.</w:t>
      </w:r>
      <w:r w:rsidR="001270AF" w:rsidRPr="00B83952">
        <w:t xml:space="preserve"> </w:t>
      </w:r>
      <w:r w:rsidR="0092259E" w:rsidRPr="00B83952">
        <w:t>This is because i</w:t>
      </w:r>
      <w:r w:rsidR="001270AF" w:rsidRPr="00B83952">
        <w:t xml:space="preserve">ncluding such </w:t>
      </w:r>
      <w:r w:rsidR="000029A7" w:rsidRPr="00B83952">
        <w:t>restoration costs</w:t>
      </w:r>
      <w:r w:rsidRPr="00B83952">
        <w:t xml:space="preserve"> </w:t>
      </w:r>
      <w:r w:rsidR="0092259E" w:rsidRPr="00B83952">
        <w:t xml:space="preserve">would increase </w:t>
      </w:r>
      <w:r w:rsidR="00E96860" w:rsidRPr="00B83952">
        <w:t xml:space="preserve">the </w:t>
      </w:r>
      <w:r w:rsidR="00C40535" w:rsidRPr="00B83952">
        <w:t xml:space="preserve">subject </w:t>
      </w:r>
      <w:r w:rsidR="00E96860" w:rsidRPr="00B83952">
        <w:t>asset’s fair value simply because of a change in the asset’s operating environment (without the entity having improved the asset’s service capacity)</w:t>
      </w:r>
      <w:r w:rsidR="00527D7F" w:rsidRPr="00B83952">
        <w:t xml:space="preserve">, which would not </w:t>
      </w:r>
      <w:r w:rsidR="00C137DD" w:rsidRPr="00B83952">
        <w:t>faithfully represent the entity’s performance</w:t>
      </w:r>
      <w:r w:rsidR="007B13DF" w:rsidRPr="00B83952">
        <w:t>;</w:t>
      </w:r>
      <w:r w:rsidR="00F7691B" w:rsidRPr="00B83952">
        <w:t xml:space="preserve"> and</w:t>
      </w:r>
    </w:p>
    <w:p w14:paraId="5567212C" w14:textId="50C1CD0C" w:rsidR="00614B5E" w:rsidRPr="00B83952" w:rsidRDefault="005313F2" w:rsidP="003276D3">
      <w:pPr>
        <w:pStyle w:val="NumBC2"/>
      </w:pPr>
      <w:r w:rsidRPr="00B83952">
        <w:t xml:space="preserve">if the </w:t>
      </w:r>
      <w:r w:rsidR="003A1CF6" w:rsidRPr="00B83952">
        <w:t xml:space="preserve">other </w:t>
      </w:r>
      <w:r w:rsidRPr="00B83952">
        <w:t xml:space="preserve">entity is within the same consolidated group as the holder of the </w:t>
      </w:r>
      <w:r w:rsidR="003A1CF6" w:rsidRPr="00B83952">
        <w:t>subjec</w:t>
      </w:r>
      <w:r w:rsidR="00236B1B" w:rsidRPr="00B83952">
        <w:t>t</w:t>
      </w:r>
      <w:r w:rsidR="003A1CF6" w:rsidRPr="00B83952">
        <w:t xml:space="preserve"> </w:t>
      </w:r>
      <w:r w:rsidRPr="00B83952">
        <w:t>asset</w:t>
      </w:r>
      <w:r w:rsidR="00226B6B" w:rsidRPr="00B83952">
        <w:t>,</w:t>
      </w:r>
      <w:r w:rsidRPr="00B83952">
        <w:t xml:space="preserve"> </w:t>
      </w:r>
      <w:r w:rsidR="00226B6B" w:rsidRPr="00B83952">
        <w:t>i</w:t>
      </w:r>
      <w:r w:rsidR="00867223" w:rsidRPr="00B83952">
        <w:t xml:space="preserve">ncluding </w:t>
      </w:r>
      <w:r w:rsidR="000C4FDE" w:rsidRPr="00B83952">
        <w:t xml:space="preserve">those costs would result in double counting the </w:t>
      </w:r>
      <w:r w:rsidR="000029A7" w:rsidRPr="00B83952">
        <w:t>restoration costs</w:t>
      </w:r>
      <w:r w:rsidR="000C4FDE" w:rsidRPr="00B83952">
        <w:t xml:space="preserve"> in the consolidated financial statements for the group</w:t>
      </w:r>
      <w:r w:rsidR="00226B6B" w:rsidRPr="00B83952">
        <w:t>.</w:t>
      </w:r>
      <w:r w:rsidR="000C4FDE" w:rsidRPr="00B83952">
        <w:t xml:space="preserve"> </w:t>
      </w:r>
      <w:r w:rsidR="00226B6B" w:rsidRPr="00B83952">
        <w:t>This is because</w:t>
      </w:r>
      <w:r w:rsidR="000C4FDE" w:rsidRPr="00B83952">
        <w:t xml:space="preserve"> the consolidated financial statements would include both of the following costs used under the cost approach:</w:t>
      </w:r>
      <w:r w:rsidR="00AD21C9" w:rsidRPr="00B83952">
        <w:t xml:space="preserve"> </w:t>
      </w:r>
    </w:p>
    <w:p w14:paraId="763D824C" w14:textId="22254DA5" w:rsidR="000861C7" w:rsidRPr="00B83952" w:rsidRDefault="000C4FDE" w:rsidP="003276D3">
      <w:pPr>
        <w:pStyle w:val="NumBC3"/>
      </w:pPr>
      <w:r w:rsidRPr="00B83952">
        <w:t xml:space="preserve">the current replacement cost of the </w:t>
      </w:r>
      <w:r w:rsidR="000F51F6" w:rsidRPr="00B83952">
        <w:t>disrupted</w:t>
      </w:r>
      <w:r w:rsidRPr="00B83952">
        <w:t xml:space="preserve"> asset of the other entity; and </w:t>
      </w:r>
    </w:p>
    <w:p w14:paraId="3544EE0B" w14:textId="5B8D88F9" w:rsidR="000861C7" w:rsidRPr="00B83952" w:rsidRDefault="000C4FDE" w:rsidP="003276D3">
      <w:pPr>
        <w:pStyle w:val="NumBC3"/>
      </w:pPr>
      <w:r w:rsidRPr="00B83952">
        <w:t xml:space="preserve">the current replacement cost of the subject asset, including the costs to </w:t>
      </w:r>
      <w:r w:rsidR="005A7632" w:rsidRPr="00B83952">
        <w:t>restore</w:t>
      </w:r>
      <w:r w:rsidRPr="00B83952">
        <w:t xml:space="preserve"> the other entity’s asset</w:t>
      </w:r>
      <w:r w:rsidR="00AD21C9" w:rsidRPr="00B83952">
        <w:t>.</w:t>
      </w:r>
    </w:p>
    <w:bookmarkEnd w:id="156"/>
    <w:p w14:paraId="19C5D927" w14:textId="4BEB45C5" w:rsidR="00766132" w:rsidRPr="00B83952" w:rsidRDefault="00EE3F21" w:rsidP="003276D3">
      <w:pPr>
        <w:pStyle w:val="NumBC1"/>
      </w:pPr>
      <w:r w:rsidRPr="00B83952">
        <w:t xml:space="preserve">In relation to the </w:t>
      </w:r>
      <w:r w:rsidR="00C915C3" w:rsidRPr="00B83952">
        <w:t xml:space="preserve">concern </w:t>
      </w:r>
      <w:r w:rsidRPr="00B83952">
        <w:t>noted in paragraph </w:t>
      </w:r>
      <w:r w:rsidRPr="00B83952">
        <w:fldChar w:fldCharType="begin"/>
      </w:r>
      <w:r w:rsidRPr="00B83952">
        <w:instrText xml:space="preserve"> REF _Ref94621311 \r \h  \* MERGEFORMAT </w:instrText>
      </w:r>
      <w:r w:rsidRPr="00B83952">
        <w:fldChar w:fldCharType="separate"/>
      </w:r>
      <w:r w:rsidR="005A1B65">
        <w:t>BC181</w:t>
      </w:r>
      <w:r w:rsidRPr="00B83952">
        <w:fldChar w:fldCharType="end"/>
      </w:r>
      <w:r w:rsidRPr="00B83952">
        <w:t>(a), t</w:t>
      </w:r>
      <w:r w:rsidR="00766132" w:rsidRPr="00B83952">
        <w:t xml:space="preserve">he Board regards such </w:t>
      </w:r>
      <w:r w:rsidR="0006306C" w:rsidRPr="00B83952">
        <w:t>restoration</w:t>
      </w:r>
      <w:r w:rsidR="00766132" w:rsidRPr="00B83952">
        <w:t xml:space="preserve"> costs as costs of obtaining access to the service capacity embodied in the </w:t>
      </w:r>
      <w:r w:rsidR="00CD4333" w:rsidRPr="00B83952">
        <w:t xml:space="preserve">entity’s </w:t>
      </w:r>
      <w:r w:rsidR="005F713A" w:rsidRPr="00B83952">
        <w:t xml:space="preserve">subject </w:t>
      </w:r>
      <w:r w:rsidR="00766132" w:rsidRPr="00B83952">
        <w:t xml:space="preserve">asset. The Board noted that </w:t>
      </w:r>
      <w:r w:rsidR="00AC6DD6" w:rsidRPr="00B83952">
        <w:t xml:space="preserve">such </w:t>
      </w:r>
      <w:r w:rsidR="00766132" w:rsidRPr="00B83952">
        <w:t xml:space="preserve">costs restore, rather than enhance, the </w:t>
      </w:r>
      <w:r w:rsidR="004C5E14" w:rsidRPr="00B83952">
        <w:t>disrupted asset</w:t>
      </w:r>
      <w:r w:rsidR="00486994" w:rsidRPr="00B83952">
        <w:t xml:space="preserve"> and</w:t>
      </w:r>
      <w:r w:rsidR="00820228" w:rsidRPr="00B83952">
        <w:t>,</w:t>
      </w:r>
      <w:r w:rsidR="00486994" w:rsidRPr="00B83952">
        <w:t xml:space="preserve"> accordingly</w:t>
      </w:r>
      <w:r w:rsidR="00820228" w:rsidRPr="00B83952">
        <w:t>,</w:t>
      </w:r>
      <w:r w:rsidR="00486994" w:rsidRPr="00B83952">
        <w:t xml:space="preserve"> are confined to the consequences of acquiring or replacing the</w:t>
      </w:r>
      <w:r w:rsidR="00CD4333" w:rsidRPr="00B83952">
        <w:t xml:space="preserve"> entity’s</w:t>
      </w:r>
      <w:r w:rsidR="00486994" w:rsidRPr="00B83952">
        <w:t xml:space="preserve"> subject asset</w:t>
      </w:r>
      <w:r w:rsidR="007F71CD" w:rsidRPr="00B83952">
        <w:t>.</w:t>
      </w:r>
    </w:p>
    <w:p w14:paraId="23642900" w14:textId="0D1F8DA1" w:rsidR="008503C7" w:rsidRPr="00B83952" w:rsidRDefault="003628B3" w:rsidP="003276D3">
      <w:pPr>
        <w:pStyle w:val="NumBC1"/>
      </w:pPr>
      <w:r w:rsidRPr="00B83952">
        <w:t>I</w:t>
      </w:r>
      <w:r w:rsidR="00EF0762" w:rsidRPr="00B83952">
        <w:t xml:space="preserve">n relation to the </w:t>
      </w:r>
      <w:r w:rsidR="00C915C3" w:rsidRPr="00B83952">
        <w:t xml:space="preserve">concern </w:t>
      </w:r>
      <w:r w:rsidR="00EF0762" w:rsidRPr="00B83952">
        <w:t>noted in paragraph </w:t>
      </w:r>
      <w:r w:rsidRPr="00B83952">
        <w:fldChar w:fldCharType="begin"/>
      </w:r>
      <w:r w:rsidRPr="00B83952">
        <w:instrText xml:space="preserve"> REF _Ref94621311 \r \h  \* MERGEFORMAT </w:instrText>
      </w:r>
      <w:r w:rsidRPr="00B83952">
        <w:fldChar w:fldCharType="separate"/>
      </w:r>
      <w:r w:rsidR="005A1B65">
        <w:t>BC181</w:t>
      </w:r>
      <w:r w:rsidRPr="00B83952">
        <w:fldChar w:fldCharType="end"/>
      </w:r>
      <w:r w:rsidR="00EF0762" w:rsidRPr="00B83952">
        <w:t>(</w:t>
      </w:r>
      <w:r w:rsidR="00EE3F21" w:rsidRPr="00B83952">
        <w:t>b</w:t>
      </w:r>
      <w:r w:rsidR="00EF0762" w:rsidRPr="00B83952">
        <w:t xml:space="preserve">) </w:t>
      </w:r>
      <w:r w:rsidR="00B36A08" w:rsidRPr="00B83952">
        <w:t xml:space="preserve">about </w:t>
      </w:r>
      <w:r w:rsidR="005F27E3" w:rsidRPr="00B83952">
        <w:t xml:space="preserve">recognition of an increase in an asset’s fair value </w:t>
      </w:r>
      <w:r w:rsidR="00B36A08" w:rsidRPr="00B83952">
        <w:t xml:space="preserve">without the entity incurring a related cost (and therefore a gain being recognised), </w:t>
      </w:r>
      <w:r w:rsidR="00847618" w:rsidRPr="00B83952">
        <w:t xml:space="preserve">the Board noted that </w:t>
      </w:r>
      <w:r w:rsidR="000246F7" w:rsidRPr="00B83952">
        <w:t xml:space="preserve">these </w:t>
      </w:r>
      <w:r w:rsidR="00140FF6" w:rsidRPr="00B83952">
        <w:t xml:space="preserve">increases </w:t>
      </w:r>
      <w:r w:rsidR="00FD054D" w:rsidRPr="00B83952">
        <w:t xml:space="preserve">are examples of </w:t>
      </w:r>
      <w:r w:rsidR="0091652B" w:rsidRPr="00B83952">
        <w:t xml:space="preserve">various </w:t>
      </w:r>
      <w:r w:rsidR="00F12BC8" w:rsidRPr="00B83952">
        <w:t xml:space="preserve">increases </w:t>
      </w:r>
      <w:r w:rsidR="00140FF6" w:rsidRPr="00B83952">
        <w:t>in the market buying prices of components of assets</w:t>
      </w:r>
      <w:r w:rsidR="00B61B12" w:rsidRPr="00B83952">
        <w:t xml:space="preserve"> that continue to be held by the entity</w:t>
      </w:r>
      <w:r w:rsidR="00FD054D" w:rsidRPr="00B83952">
        <w:t xml:space="preserve"> and do not involve a related cost to the entity</w:t>
      </w:r>
      <w:r w:rsidR="00F12BC8" w:rsidRPr="00B83952">
        <w:t>.</w:t>
      </w:r>
      <w:r w:rsidR="008503C7" w:rsidRPr="00B83952">
        <w:t xml:space="preserve"> </w:t>
      </w:r>
      <w:r w:rsidR="003C03B0" w:rsidRPr="00B83952">
        <w:t>T</w:t>
      </w:r>
      <w:r w:rsidR="008503C7" w:rsidRPr="00B83952">
        <w:t>he Board considered that a market participant would be willing to pay more for an asset due to the change in the asset’s operating environment, despite the asset’s service capacity to produce outputs not having improved. This is because all costs to restore another entity’s asset would necessarily be incurred by a market participant if it were to acquire or construct the subject asset at the measurement date. Those additional restoration costs are necessarily incurred to obtain access to the services the subject asset is expected to generate. Similarly, a market participant would consider the costs currently avoided by possessing the subject asset</w:t>
      </w:r>
      <w:r w:rsidR="66F1D5A0" w:rsidRPr="00B83952">
        <w:t>;</w:t>
      </w:r>
      <w:r w:rsidR="008503C7" w:rsidRPr="00B83952">
        <w:t xml:space="preserve"> these costs are not limited to those already incurred by the entity or to restoration costs that would have been incurred to initially acquire or construct the asset.</w:t>
      </w:r>
    </w:p>
    <w:p w14:paraId="7633996F" w14:textId="39C07D0B" w:rsidR="00282F89" w:rsidRPr="00B83952" w:rsidRDefault="00252831" w:rsidP="003276D3">
      <w:pPr>
        <w:pStyle w:val="NumBC1"/>
      </w:pPr>
      <w:bookmarkStart w:id="158" w:name="_Ref94894285"/>
      <w:r w:rsidRPr="00B83952">
        <w:t xml:space="preserve">The Board agrees with </w:t>
      </w:r>
      <w:r w:rsidR="00072CD9" w:rsidRPr="00B83952">
        <w:t xml:space="preserve">the </w:t>
      </w:r>
      <w:r w:rsidR="005C3C54" w:rsidRPr="00B83952">
        <w:t xml:space="preserve">concern </w:t>
      </w:r>
      <w:r w:rsidR="00A078B9" w:rsidRPr="00B83952">
        <w:t xml:space="preserve">noted </w:t>
      </w:r>
      <w:r w:rsidR="00072CD9" w:rsidRPr="00B83952">
        <w:t xml:space="preserve">in paragraph </w:t>
      </w:r>
      <w:r w:rsidR="00072CD9" w:rsidRPr="00B83952">
        <w:fldChar w:fldCharType="begin"/>
      </w:r>
      <w:r w:rsidR="00072CD9" w:rsidRPr="00B83952">
        <w:instrText xml:space="preserve"> REF _Ref94621311 \r \h </w:instrText>
      </w:r>
      <w:r w:rsidR="000D21EF" w:rsidRPr="00B83952">
        <w:instrText xml:space="preserve"> \* MERGEFORMAT </w:instrText>
      </w:r>
      <w:r w:rsidR="00072CD9" w:rsidRPr="00B83952">
        <w:fldChar w:fldCharType="separate"/>
      </w:r>
      <w:r w:rsidR="005A1B65">
        <w:t>BC181</w:t>
      </w:r>
      <w:r w:rsidR="00072CD9" w:rsidRPr="00B83952">
        <w:fldChar w:fldCharType="end"/>
      </w:r>
      <w:r w:rsidR="00072CD9" w:rsidRPr="00B83952">
        <w:t>(</w:t>
      </w:r>
      <w:r w:rsidRPr="00B83952">
        <w:t>c</w:t>
      </w:r>
      <w:r w:rsidR="00072CD9" w:rsidRPr="00B83952">
        <w:t>)</w:t>
      </w:r>
      <w:r w:rsidR="00A078B9" w:rsidRPr="00B83952">
        <w:t xml:space="preserve"> that </w:t>
      </w:r>
      <w:r w:rsidR="00F73E9B" w:rsidRPr="00B83952">
        <w:t xml:space="preserve">the </w:t>
      </w:r>
      <w:r w:rsidR="00DF7BE8" w:rsidRPr="00B83952">
        <w:t>consolidated</w:t>
      </w:r>
      <w:r w:rsidR="00F73E9B" w:rsidRPr="00B83952">
        <w:t xml:space="preserve"> financial statements of the group </w:t>
      </w:r>
      <w:r w:rsidR="001C6D31" w:rsidRPr="00B83952">
        <w:t xml:space="preserve">to which the entity belongs </w:t>
      </w:r>
      <w:r w:rsidR="00F73E9B" w:rsidRPr="00B83952">
        <w:t xml:space="preserve">would </w:t>
      </w:r>
      <w:r w:rsidR="00A531DB" w:rsidRPr="00B83952">
        <w:t>be overstated</w:t>
      </w:r>
      <w:r w:rsidR="00F73E9B" w:rsidRPr="00B83952">
        <w:t xml:space="preserve"> if both the </w:t>
      </w:r>
      <w:r w:rsidR="000F51F6" w:rsidRPr="00B83952">
        <w:t>disrupted</w:t>
      </w:r>
      <w:r w:rsidR="00F73E9B" w:rsidRPr="00B83952">
        <w:t xml:space="preserve"> asset and the subject asset are measured at their current replacement cost and </w:t>
      </w:r>
      <w:r w:rsidR="00C502AA" w:rsidRPr="00B83952">
        <w:t xml:space="preserve">included in the </w:t>
      </w:r>
      <w:r w:rsidR="00F73E9B" w:rsidRPr="00B83952">
        <w:t xml:space="preserve">consolidated </w:t>
      </w:r>
      <w:r w:rsidR="00DF7BE8" w:rsidRPr="00B83952">
        <w:t xml:space="preserve">financial statements. Therefore, the Board decided that </w:t>
      </w:r>
      <w:r w:rsidR="00742754" w:rsidRPr="00B83952">
        <w:t>the current replacement cost of the subject asset should exclude</w:t>
      </w:r>
      <w:r w:rsidR="00837A4E" w:rsidRPr="00B83952">
        <w:t xml:space="preserve"> </w:t>
      </w:r>
      <w:r w:rsidR="007725C5" w:rsidRPr="00B83952">
        <w:t xml:space="preserve">any costs that hypothetically would be incurred to </w:t>
      </w:r>
      <w:r w:rsidR="005A7632" w:rsidRPr="00B83952">
        <w:t>restore</w:t>
      </w:r>
      <w:r w:rsidR="007725C5" w:rsidRPr="00B83952">
        <w:t xml:space="preserve"> assets </w:t>
      </w:r>
      <w:r w:rsidR="0014131C" w:rsidRPr="00B83952">
        <w:t>of</w:t>
      </w:r>
      <w:r w:rsidR="007725C5" w:rsidRPr="00B83952">
        <w:t xml:space="preserve"> </w:t>
      </w:r>
      <w:r w:rsidR="000E6A58" w:rsidRPr="00B83952">
        <w:t xml:space="preserve">an </w:t>
      </w:r>
      <w:r w:rsidR="007725C5" w:rsidRPr="00B83952">
        <w:t xml:space="preserve">entity </w:t>
      </w:r>
      <w:r w:rsidR="003B6B3A" w:rsidRPr="00B83952">
        <w:t xml:space="preserve">within the same consolidated group as the holder of the </w:t>
      </w:r>
      <w:r w:rsidR="00AF2857" w:rsidRPr="00B83952">
        <w:t xml:space="preserve">subject </w:t>
      </w:r>
      <w:r w:rsidR="003B6B3A" w:rsidRPr="00B83952">
        <w:t>asset</w:t>
      </w:r>
      <w:r w:rsidR="007725C5" w:rsidRPr="00B83952">
        <w:t>.</w:t>
      </w:r>
      <w:bookmarkEnd w:id="158"/>
      <w:r w:rsidR="00F24BCE" w:rsidRPr="00B83952">
        <w:t xml:space="preserve"> </w:t>
      </w:r>
    </w:p>
    <w:p w14:paraId="55B0F654" w14:textId="0276A032" w:rsidR="00A45A5C" w:rsidRPr="00B83952" w:rsidRDefault="00805406" w:rsidP="003276D3">
      <w:pPr>
        <w:pStyle w:val="NumBC1"/>
      </w:pPr>
      <w:r w:rsidRPr="00B83952">
        <w:t xml:space="preserve">In </w:t>
      </w:r>
      <w:r w:rsidR="0088043E" w:rsidRPr="00B83952">
        <w:t xml:space="preserve">reaching that decision </w:t>
      </w:r>
      <w:r w:rsidR="003E0D1B" w:rsidRPr="00B83952">
        <w:t>noted</w:t>
      </w:r>
      <w:r w:rsidR="004C6925" w:rsidRPr="00B83952">
        <w:t xml:space="preserve"> in paragraph </w:t>
      </w:r>
      <w:r w:rsidRPr="00B83952">
        <w:fldChar w:fldCharType="begin"/>
      </w:r>
      <w:r w:rsidRPr="00B83952">
        <w:instrText xml:space="preserve"> REF _Ref94894285 \r \h  \* MERGEFORMAT </w:instrText>
      </w:r>
      <w:r w:rsidRPr="00B83952">
        <w:fldChar w:fldCharType="separate"/>
      </w:r>
      <w:r w:rsidR="005A1B65">
        <w:t>BC184</w:t>
      </w:r>
      <w:r w:rsidRPr="00B83952">
        <w:fldChar w:fldCharType="end"/>
      </w:r>
      <w:r w:rsidR="004C6925" w:rsidRPr="00B83952">
        <w:t xml:space="preserve"> </w:t>
      </w:r>
      <w:r w:rsidR="0088043E" w:rsidRPr="00B83952">
        <w:t xml:space="preserve">about </w:t>
      </w:r>
      <w:r w:rsidRPr="00B83952">
        <w:t>the double-counting issue described in paragraph</w:t>
      </w:r>
      <w:r w:rsidR="00B05003" w:rsidRPr="00B83952">
        <w:t> </w:t>
      </w:r>
      <w:r w:rsidRPr="00B83952">
        <w:fldChar w:fldCharType="begin"/>
      </w:r>
      <w:r w:rsidRPr="00B83952">
        <w:instrText xml:space="preserve"> REF _Ref94621311 \r \h  \* MERGEFORMAT </w:instrText>
      </w:r>
      <w:r w:rsidRPr="00B83952">
        <w:fldChar w:fldCharType="separate"/>
      </w:r>
      <w:r w:rsidR="005A1B65">
        <w:t>BC181</w:t>
      </w:r>
      <w:r w:rsidRPr="00B83952">
        <w:fldChar w:fldCharType="end"/>
      </w:r>
      <w:r w:rsidRPr="00B83952">
        <w:t>(</w:t>
      </w:r>
      <w:r w:rsidR="0088043E" w:rsidRPr="00B83952">
        <w:t>c</w:t>
      </w:r>
      <w:r w:rsidRPr="00B83952">
        <w:t xml:space="preserve">), </w:t>
      </w:r>
      <w:r w:rsidR="00F96CD4" w:rsidRPr="00B83952">
        <w:t>the Board</w:t>
      </w:r>
      <w:r w:rsidR="00A45A5C" w:rsidRPr="00B83952">
        <w:t xml:space="preserve"> considered </w:t>
      </w:r>
      <w:r w:rsidR="003900F0" w:rsidRPr="00B83952">
        <w:t>whether</w:t>
      </w:r>
      <w:r w:rsidR="007F2D2C" w:rsidRPr="00B83952">
        <w:t>, instead,</w:t>
      </w:r>
      <w:r w:rsidR="003900F0" w:rsidRPr="00B83952">
        <w:t xml:space="preserve"> it would be appropriate to exclude </w:t>
      </w:r>
      <w:r w:rsidR="007947B4" w:rsidRPr="00B83952">
        <w:t>such restoration</w:t>
      </w:r>
      <w:r w:rsidR="00A45A5C" w:rsidRPr="00B83952">
        <w:t xml:space="preserve"> costs from </w:t>
      </w:r>
      <w:r w:rsidR="003900F0" w:rsidRPr="00B83952">
        <w:t>current replacement cost</w:t>
      </w:r>
      <w:r w:rsidR="003E4FBA" w:rsidRPr="00B83952">
        <w:t>,</w:t>
      </w:r>
      <w:r w:rsidR="003900F0" w:rsidRPr="00B83952">
        <w:t xml:space="preserve"> on the grounds of simplicity</w:t>
      </w:r>
      <w:r w:rsidR="003A264F" w:rsidRPr="00B83952">
        <w:t>,</w:t>
      </w:r>
      <w:r w:rsidR="003900F0" w:rsidRPr="00B83952">
        <w:t xml:space="preserve"> for</w:t>
      </w:r>
      <w:r w:rsidR="00A45A5C" w:rsidRPr="00B83952">
        <w:t xml:space="preserve"> all </w:t>
      </w:r>
      <w:r w:rsidR="003900F0" w:rsidRPr="00B83952">
        <w:t xml:space="preserve">non-financial assets of not-for-profit public sector </w:t>
      </w:r>
      <w:r w:rsidR="00A45A5C" w:rsidRPr="00B83952">
        <w:t>entities</w:t>
      </w:r>
      <w:r w:rsidR="003900F0" w:rsidRPr="00B83952">
        <w:t xml:space="preserve"> not held primarily for their ability to generate net cash inflows</w:t>
      </w:r>
      <w:r w:rsidR="001D5AB8" w:rsidRPr="00B83952">
        <w:t>. However, the Board decided against this approach</w:t>
      </w:r>
      <w:r w:rsidR="00932EA8" w:rsidRPr="00B83952">
        <w:t xml:space="preserve"> because f</w:t>
      </w:r>
      <w:r w:rsidR="00A45A5C" w:rsidRPr="00B83952">
        <w:t>eedback from some stakeholders (in particular</w:t>
      </w:r>
      <w:r w:rsidR="00C41E8D" w:rsidRPr="00B83952">
        <w:t>,</w:t>
      </w:r>
      <w:r w:rsidR="00A45A5C" w:rsidRPr="00B83952">
        <w:t xml:space="preserve"> local government</w:t>
      </w:r>
      <w:r w:rsidR="00676E5E" w:rsidRPr="00B83952">
        <w:t>s</w:t>
      </w:r>
      <w:r w:rsidR="00A45A5C" w:rsidRPr="00B83952">
        <w:t xml:space="preserve">) </w:t>
      </w:r>
      <w:r w:rsidR="003873AC" w:rsidRPr="00B83952">
        <w:t xml:space="preserve">supported </w:t>
      </w:r>
      <w:r w:rsidR="001D5AB8" w:rsidRPr="00B83952">
        <w:t>including</w:t>
      </w:r>
      <w:r w:rsidR="00A45A5C" w:rsidRPr="00B83952">
        <w:t xml:space="preserve"> </w:t>
      </w:r>
      <w:r w:rsidR="000A0764" w:rsidRPr="00B83952">
        <w:t>restoration</w:t>
      </w:r>
      <w:r w:rsidR="00A45A5C" w:rsidRPr="00B83952">
        <w:t xml:space="preserve"> costs</w:t>
      </w:r>
      <w:r w:rsidR="001D5AB8" w:rsidRPr="00B83952">
        <w:t xml:space="preserve"> for another entity’s assets</w:t>
      </w:r>
      <w:r w:rsidR="00A45A5C" w:rsidRPr="00B83952">
        <w:t xml:space="preserve"> – consistent with local governments not being identified as entities</w:t>
      </w:r>
      <w:r w:rsidR="004530DC" w:rsidRPr="00B83952">
        <w:t xml:space="preserve"> included in a group of entities that prepares consolidated financial statements</w:t>
      </w:r>
      <w:r w:rsidR="00A45A5C" w:rsidRPr="00B83952">
        <w:t xml:space="preserve">. </w:t>
      </w:r>
    </w:p>
    <w:p w14:paraId="1FC94C8F" w14:textId="557A8170" w:rsidR="00A45A5C" w:rsidRPr="00B83952" w:rsidRDefault="00720019" w:rsidP="003276D3">
      <w:pPr>
        <w:pStyle w:val="NumBC1"/>
      </w:pPr>
      <w:bookmarkStart w:id="159" w:name="_Ref93509243"/>
      <w:r w:rsidRPr="00B83952">
        <w:t xml:space="preserve">The Board </w:t>
      </w:r>
      <w:r w:rsidR="00A45A5C" w:rsidRPr="00B83952">
        <w:t>acknowledge</w:t>
      </w:r>
      <w:r w:rsidRPr="00B83952">
        <w:t>d</w:t>
      </w:r>
      <w:r w:rsidR="00A45A5C" w:rsidRPr="00B83952">
        <w:t xml:space="preserve"> that the proposed exclusion of such </w:t>
      </w:r>
      <w:r w:rsidR="000A0764" w:rsidRPr="00B83952">
        <w:t>restoration</w:t>
      </w:r>
      <w:r w:rsidR="00A45A5C" w:rsidRPr="00B83952">
        <w:t xml:space="preserve"> costs for assets of entities </w:t>
      </w:r>
      <w:r w:rsidR="009D0E15" w:rsidRPr="00B83952">
        <w:t xml:space="preserve">within </w:t>
      </w:r>
      <w:r w:rsidR="000A639D" w:rsidRPr="00B83952">
        <w:t xml:space="preserve">the consolidated group to which the holder of the </w:t>
      </w:r>
      <w:r w:rsidR="00CA68CE" w:rsidRPr="00B83952">
        <w:t xml:space="preserve">subject </w:t>
      </w:r>
      <w:r w:rsidR="000A639D" w:rsidRPr="00B83952">
        <w:t xml:space="preserve">asset belongs </w:t>
      </w:r>
      <w:r w:rsidR="00A45A5C" w:rsidRPr="00B83952">
        <w:t xml:space="preserve">would depart from the conceptual principle that an individual entity’s assets are accounted for by reflecting the entity’s perspective (rather than the perspective of the group). </w:t>
      </w:r>
      <w:r w:rsidR="00C0189A" w:rsidRPr="00B83952">
        <w:t xml:space="preserve">The Board considered that a </w:t>
      </w:r>
      <w:r w:rsidR="00A45A5C" w:rsidRPr="00B83952">
        <w:t xml:space="preserve">more conceptual variation of the </w:t>
      </w:r>
      <w:r w:rsidR="00486C5E" w:rsidRPr="00B83952">
        <w:t>approach noted in paragraph</w:t>
      </w:r>
      <w:r w:rsidR="00510F3D" w:rsidRPr="00B83952">
        <w:t> </w:t>
      </w:r>
      <w:r w:rsidR="00683436" w:rsidRPr="00B83952">
        <w:fldChar w:fldCharType="begin"/>
      </w:r>
      <w:r w:rsidR="00683436" w:rsidRPr="00B83952">
        <w:instrText xml:space="preserve"> REF _Ref94894285 \r \h </w:instrText>
      </w:r>
      <w:r w:rsidR="000D21EF" w:rsidRPr="00B83952">
        <w:instrText xml:space="preserve"> \* MERGEFORMAT </w:instrText>
      </w:r>
      <w:r w:rsidR="00683436" w:rsidRPr="00B83952">
        <w:fldChar w:fldCharType="separate"/>
      </w:r>
      <w:r w:rsidR="005A1B65">
        <w:t>BC184</w:t>
      </w:r>
      <w:r w:rsidR="00683436" w:rsidRPr="00B83952">
        <w:fldChar w:fldCharType="end"/>
      </w:r>
      <w:r w:rsidR="00486C5E" w:rsidRPr="00B83952">
        <w:t xml:space="preserve"> </w:t>
      </w:r>
      <w:r w:rsidR="00A45A5C" w:rsidRPr="00B83952">
        <w:t xml:space="preserve">would be to provide guidance that such </w:t>
      </w:r>
      <w:r w:rsidR="00385D1C" w:rsidRPr="00B83952">
        <w:t>restoration</w:t>
      </w:r>
      <w:r w:rsidR="00A45A5C" w:rsidRPr="00B83952">
        <w:t xml:space="preserve"> costs are included in an individual entity’s financial statements where</w:t>
      </w:r>
      <w:r w:rsidR="00AB0956" w:rsidRPr="00B83952">
        <w:t xml:space="preserve"> the entity is part of a group of entities that prepares consolidated financial statements</w:t>
      </w:r>
      <w:r w:rsidR="00A45A5C" w:rsidRPr="00B83952">
        <w:t xml:space="preserve">, but eliminated on consolidation. However, in view of the cost involved in tracking such </w:t>
      </w:r>
      <w:r w:rsidR="00953AEA" w:rsidRPr="00B83952">
        <w:t>restoration</w:t>
      </w:r>
      <w:r w:rsidR="00A45A5C" w:rsidRPr="00B83952">
        <w:t xml:space="preserve"> costs at each measurement date, </w:t>
      </w:r>
      <w:r w:rsidR="00374D9A" w:rsidRPr="00B83952">
        <w:t xml:space="preserve">only to omit those restoration costs from the consolidated financial statements for the group, </w:t>
      </w:r>
      <w:r w:rsidR="0073730D" w:rsidRPr="00B83952">
        <w:t xml:space="preserve">the Board </w:t>
      </w:r>
      <w:r w:rsidR="00A45A5C" w:rsidRPr="00B83952">
        <w:t>consider</w:t>
      </w:r>
      <w:r w:rsidR="00374D9A" w:rsidRPr="00B83952">
        <w:t>s</w:t>
      </w:r>
      <w:r w:rsidR="00A45A5C" w:rsidRPr="00B83952">
        <w:t xml:space="preserve"> that the costs of applying that more conceptual variation would be likely to outweigh the benefits of that approach</w:t>
      </w:r>
      <w:r w:rsidR="0073730D" w:rsidRPr="00B83952">
        <w:t>.</w:t>
      </w:r>
      <w:bookmarkEnd w:id="159"/>
    </w:p>
    <w:p w14:paraId="084CCB6B" w14:textId="2B3F3EDF" w:rsidR="00AC3D55" w:rsidRPr="00B83952" w:rsidRDefault="00F96998" w:rsidP="003276D3">
      <w:pPr>
        <w:pStyle w:val="NumBC1"/>
        <w:rPr>
          <w:u w:val="single"/>
        </w:rPr>
      </w:pPr>
      <w:bookmarkStart w:id="160" w:name="_Ref94935935"/>
      <w:r w:rsidRPr="00B83952">
        <w:lastRenderedPageBreak/>
        <w:t>Paragraph </w:t>
      </w:r>
      <w:r w:rsidR="00D829A7" w:rsidRPr="00B83952">
        <w:fldChar w:fldCharType="begin"/>
      </w:r>
      <w:r w:rsidR="00D829A7" w:rsidRPr="00B83952">
        <w:instrText xml:space="preserve"> REF _Ref90288055 \r \h </w:instrText>
      </w:r>
      <w:r w:rsidR="00D829A7" w:rsidRPr="00B83952">
        <w:fldChar w:fldCharType="separate"/>
      </w:r>
      <w:r w:rsidR="005A1B65">
        <w:t>F12</w:t>
      </w:r>
      <w:r w:rsidR="00D829A7" w:rsidRPr="00B83952">
        <w:fldChar w:fldCharType="end"/>
      </w:r>
      <w:r w:rsidR="00D829A7" w:rsidRPr="00B83952">
        <w:t>(a)</w:t>
      </w:r>
      <w:r w:rsidRPr="00B83952">
        <w:t xml:space="preserve"> does not require </w:t>
      </w:r>
      <w:r w:rsidR="00AC3D55" w:rsidRPr="00B83952">
        <w:t xml:space="preserve">including in the subject asset’s current replacement cost any costs to restore </w:t>
      </w:r>
      <w:r w:rsidR="00F7691B" w:rsidRPr="00B83952">
        <w:t xml:space="preserve">other assets of </w:t>
      </w:r>
      <w:r w:rsidR="00AC3D55" w:rsidRPr="00B83952">
        <w:t xml:space="preserve">the </w:t>
      </w:r>
      <w:r w:rsidR="005A7470" w:rsidRPr="00B83952">
        <w:t xml:space="preserve">same </w:t>
      </w:r>
      <w:r w:rsidR="00AC3D55" w:rsidRPr="00B83952">
        <w:t>entity</w:t>
      </w:r>
      <w:r w:rsidR="00F7691B" w:rsidRPr="00B83952">
        <w:t xml:space="preserve"> </w:t>
      </w:r>
      <w:r w:rsidR="00AC3D55" w:rsidRPr="00B83952">
        <w:t xml:space="preserve">that would be </w:t>
      </w:r>
      <w:r w:rsidR="000F51F6" w:rsidRPr="00B83952">
        <w:t>disrupted</w:t>
      </w:r>
      <w:r w:rsidR="00AC3D55" w:rsidRPr="00B83952">
        <w:t xml:space="preserve"> in a hypothetical construction of the subject asset</w:t>
      </w:r>
      <w:r w:rsidR="00F7691B" w:rsidRPr="00B83952">
        <w:t>.</w:t>
      </w:r>
      <w:r w:rsidR="00AC3D55" w:rsidRPr="00B83952">
        <w:t xml:space="preserve"> </w:t>
      </w:r>
      <w:r w:rsidR="00F7691B" w:rsidRPr="00B83952">
        <w:t xml:space="preserve">This is because including </w:t>
      </w:r>
      <w:r w:rsidR="00AC3D55" w:rsidRPr="00B83952">
        <w:t>those costs</w:t>
      </w:r>
      <w:r w:rsidR="00F7691B" w:rsidRPr="00B83952">
        <w:t xml:space="preserve"> would double count them in fair value measurements of the entity’s assets</w:t>
      </w:r>
      <w:r w:rsidR="00AC3D55" w:rsidRPr="00B83952">
        <w:t xml:space="preserve">. </w:t>
      </w:r>
      <w:r w:rsidR="00A76750" w:rsidRPr="00B83952">
        <w:t>I</w:t>
      </w:r>
      <w:r w:rsidR="00AC3D55" w:rsidRPr="00B83952">
        <w:t xml:space="preserve">f those other assets controlled by the entity are measured under the cost approach, their current replacement cost would include all costs of constructing them (or paying another entity to construct them) in their entirety. </w:t>
      </w:r>
      <w:r w:rsidR="00C84D59" w:rsidRPr="00B83952">
        <w:t xml:space="preserve">Therefore, </w:t>
      </w:r>
      <w:r w:rsidR="00AC3D55" w:rsidRPr="00B83952">
        <w:t>the sum of the current replacement cost</w:t>
      </w:r>
      <w:r w:rsidR="00676E5E" w:rsidRPr="00B83952">
        <w:t>s</w:t>
      </w:r>
      <w:r w:rsidR="00AC3D55" w:rsidRPr="00B83952">
        <w:t xml:space="preserve"> of each of the entity’s assets should exclude any restoration costs relating to the entity’s own assets</w:t>
      </w:r>
      <w:r w:rsidR="00C84D59" w:rsidRPr="00B83952">
        <w:t>.</w:t>
      </w:r>
      <w:bookmarkEnd w:id="160"/>
    </w:p>
    <w:p w14:paraId="00B0D954" w14:textId="148C5637" w:rsidR="007A1671" w:rsidRPr="00B83952" w:rsidRDefault="00FF7DDB">
      <w:pPr>
        <w:pStyle w:val="IASBSectionTitle2Ind"/>
      </w:pPr>
      <w:bookmarkStart w:id="161" w:name="_Ref94496561"/>
      <w:r w:rsidRPr="00B83952">
        <w:t xml:space="preserve">Whether calibration </w:t>
      </w:r>
      <w:r w:rsidR="00C303C1" w:rsidRPr="00B83952">
        <w:t>is needed</w:t>
      </w:r>
    </w:p>
    <w:p w14:paraId="684C9331" w14:textId="33060F5A" w:rsidR="00006E4D" w:rsidRPr="00B83952" w:rsidRDefault="00E8779C" w:rsidP="003276D3">
      <w:pPr>
        <w:pStyle w:val="NumBC1"/>
      </w:pPr>
      <w:bookmarkStart w:id="162" w:name="_Ref94800950"/>
      <w:bookmarkStart w:id="163" w:name="_Ref94939207"/>
      <w:r w:rsidRPr="00B83952">
        <w:t xml:space="preserve">In relation to including in the current replacement cost of a subject asset </w:t>
      </w:r>
      <w:r w:rsidR="004067FC" w:rsidRPr="00B83952">
        <w:t xml:space="preserve">restoration costs of another entity’s assets that </w:t>
      </w:r>
      <w:r w:rsidR="00A00439" w:rsidRPr="00B83952">
        <w:t>were not incurred on initial acquisition of the subject asset</w:t>
      </w:r>
      <w:r w:rsidR="003F1B31" w:rsidRPr="00B83952">
        <w:t xml:space="preserve"> (see paragraph </w:t>
      </w:r>
      <w:r w:rsidR="0092102E" w:rsidRPr="00B83952">
        <w:fldChar w:fldCharType="begin"/>
      </w:r>
      <w:r w:rsidR="0092102E" w:rsidRPr="00B83952">
        <w:instrText xml:space="preserve"> REF _Ref94621311 \r \h </w:instrText>
      </w:r>
      <w:r w:rsidR="000D21EF" w:rsidRPr="00B83952">
        <w:instrText xml:space="preserve"> \* MERGEFORMAT </w:instrText>
      </w:r>
      <w:r w:rsidR="0092102E" w:rsidRPr="00B83952">
        <w:fldChar w:fldCharType="separate"/>
      </w:r>
      <w:r w:rsidR="005A1B65">
        <w:t>BC181</w:t>
      </w:r>
      <w:r w:rsidR="0092102E" w:rsidRPr="00B83952">
        <w:fldChar w:fldCharType="end"/>
      </w:r>
      <w:r w:rsidR="003F1B31" w:rsidRPr="00B83952">
        <w:t>(b))</w:t>
      </w:r>
      <w:r w:rsidR="00A00439" w:rsidRPr="00B83952">
        <w:t xml:space="preserve">, </w:t>
      </w:r>
      <w:r w:rsidR="002354C2" w:rsidRPr="00B83952">
        <w:t>o</w:t>
      </w:r>
      <w:r w:rsidR="001D7F05" w:rsidRPr="00B83952">
        <w:t xml:space="preserve">ne </w:t>
      </w:r>
      <w:r w:rsidR="00E66AAE" w:rsidRPr="00B83952">
        <w:t xml:space="preserve">stakeholder </w:t>
      </w:r>
      <w:r w:rsidR="003F6BEE" w:rsidRPr="00B83952">
        <w:t xml:space="preserve">requested the Board to clarify whether </w:t>
      </w:r>
      <w:r w:rsidR="00E66AAE" w:rsidRPr="00B83952">
        <w:t xml:space="preserve">including in </w:t>
      </w:r>
      <w:r w:rsidR="00B35B28" w:rsidRPr="00B83952">
        <w:t xml:space="preserve">an asset’s </w:t>
      </w:r>
      <w:r w:rsidR="00E66AAE" w:rsidRPr="00B83952">
        <w:t xml:space="preserve">current replacement cost any costs not yet actually incurred by the entity </w:t>
      </w:r>
      <w:r w:rsidR="00E2756C" w:rsidRPr="00B83952">
        <w:t>(</w:t>
      </w:r>
      <w:r w:rsidR="003F6BEE" w:rsidRPr="00B83952">
        <w:t>and therefore resulting in a higher fair value of the asset</w:t>
      </w:r>
      <w:r w:rsidR="006102C9" w:rsidRPr="00B83952">
        <w:t xml:space="preserve"> compared </w:t>
      </w:r>
      <w:r w:rsidR="002354C2" w:rsidRPr="00B83952">
        <w:t xml:space="preserve">with </w:t>
      </w:r>
      <w:r w:rsidR="006102C9" w:rsidRPr="00B83952">
        <w:t>the initial capitalisation of cost</w:t>
      </w:r>
      <w:r w:rsidR="00E2756C" w:rsidRPr="00B83952">
        <w:t xml:space="preserve">) </w:t>
      </w:r>
      <w:r w:rsidR="003F6BEE" w:rsidRPr="00B83952">
        <w:t>would require the</w:t>
      </w:r>
      <w:r w:rsidR="00317A5C" w:rsidRPr="00B83952">
        <w:t xml:space="preserve"> application of the </w:t>
      </w:r>
      <w:r w:rsidR="001D7F05" w:rsidRPr="00B83952">
        <w:t xml:space="preserve">‘calibration’ techniques referred to in </w:t>
      </w:r>
      <w:r w:rsidR="00A54CC0" w:rsidRPr="00B83952">
        <w:t>paragraph</w:t>
      </w:r>
      <w:r w:rsidR="001F4ABF" w:rsidRPr="00B83952">
        <w:t> </w:t>
      </w:r>
      <w:r w:rsidR="009624B2" w:rsidRPr="00B83952">
        <w:t>64</w:t>
      </w:r>
      <w:r w:rsidR="001F4ABF" w:rsidRPr="00B83952">
        <w:t xml:space="preserve"> of AASB 13</w:t>
      </w:r>
      <w:r w:rsidR="00317A5C" w:rsidRPr="00B83952">
        <w:t xml:space="preserve">. </w:t>
      </w:r>
      <w:r w:rsidR="0038365B" w:rsidRPr="00B83952">
        <w:t xml:space="preserve">The </w:t>
      </w:r>
      <w:r w:rsidR="00CE605B" w:rsidRPr="00B83952">
        <w:t xml:space="preserve">stakeholder </w:t>
      </w:r>
      <w:r w:rsidR="0038365B" w:rsidRPr="00B83952">
        <w:t>commented that, i</w:t>
      </w:r>
      <w:r w:rsidR="00317A5C" w:rsidRPr="00B83952">
        <w:t xml:space="preserve">f </w:t>
      </w:r>
      <w:r w:rsidR="006102C9" w:rsidRPr="00B83952">
        <w:t>calibration</w:t>
      </w:r>
      <w:r w:rsidR="00317A5C" w:rsidRPr="00B83952">
        <w:t xml:space="preserve"> were required, the </w:t>
      </w:r>
      <w:r w:rsidR="00666EDF" w:rsidRPr="00B83952">
        <w:t xml:space="preserve">estimate of an asset’s current replacement cost would be calibrated in such a manner that the estimate </w:t>
      </w:r>
      <w:r w:rsidR="0038365B" w:rsidRPr="00B83952">
        <w:t>reflects actual transaction prices (</w:t>
      </w:r>
      <w:r w:rsidR="003E50C6" w:rsidRPr="00B83952">
        <w:t>ie</w:t>
      </w:r>
      <w:r w:rsidR="0038365B" w:rsidRPr="00B83952">
        <w:t xml:space="preserve"> </w:t>
      </w:r>
      <w:r w:rsidR="00B66299" w:rsidRPr="00B83952">
        <w:t>excludes any cost components not yet incurred by the entity</w:t>
      </w:r>
      <w:r w:rsidR="00BD47B4" w:rsidRPr="00B83952">
        <w:t xml:space="preserve">, such as those hypothetical costs to </w:t>
      </w:r>
      <w:r w:rsidR="005A7632" w:rsidRPr="00B83952">
        <w:t>restore</w:t>
      </w:r>
      <w:r w:rsidR="00BD47B4" w:rsidRPr="00B83952">
        <w:t xml:space="preserve"> another entity’s assets described above</w:t>
      </w:r>
      <w:r w:rsidR="0038365B" w:rsidRPr="00B83952">
        <w:t>)</w:t>
      </w:r>
      <w:r w:rsidR="00B66299" w:rsidRPr="00B83952">
        <w:t>.</w:t>
      </w:r>
      <w:bookmarkEnd w:id="162"/>
      <w:r w:rsidR="00B66299" w:rsidRPr="00B83952">
        <w:t xml:space="preserve"> </w:t>
      </w:r>
      <w:r w:rsidR="00304917" w:rsidRPr="00B83952">
        <w:t>P</w:t>
      </w:r>
      <w:r w:rsidR="00A54CC0" w:rsidRPr="00B83952">
        <w:t>aragraph</w:t>
      </w:r>
      <w:r w:rsidR="00304917" w:rsidRPr="00B83952">
        <w:t> </w:t>
      </w:r>
      <w:r w:rsidR="002354C2" w:rsidRPr="00B83952">
        <w:t xml:space="preserve">64 </w:t>
      </w:r>
      <w:r w:rsidR="00304917" w:rsidRPr="00B83952">
        <w:t xml:space="preserve">of AASB 13 </w:t>
      </w:r>
      <w:r w:rsidR="002354C2" w:rsidRPr="00B83952">
        <w:t>states that:</w:t>
      </w:r>
      <w:bookmarkEnd w:id="163"/>
    </w:p>
    <w:p w14:paraId="69025925" w14:textId="65BB5CD9" w:rsidR="00E66AAE" w:rsidRPr="00B83952" w:rsidRDefault="00394864" w:rsidP="00D1491A">
      <w:pPr>
        <w:pStyle w:val="NumBC1"/>
        <w:numPr>
          <w:ilvl w:val="0"/>
          <w:numId w:val="0"/>
        </w:numPr>
        <w:ind w:left="1565"/>
      </w:pPr>
      <w:r w:rsidRPr="00B83952">
        <w:t xml:space="preserve">If the transaction price is fair value at initial recognition and a valuation technique that uses unobservable inputs will be used to measure fair value in subsequent periods, the valuation technique shall be calibrated so that </w:t>
      </w:r>
      <w:r w:rsidR="00B7293C" w:rsidRPr="00B83952">
        <w:t>at</w:t>
      </w:r>
      <w:r w:rsidRPr="00B83952">
        <w:t xml:space="preserve"> initial recognition the result of the valuation technique </w:t>
      </w:r>
      <w:r w:rsidR="00D91CF7" w:rsidRPr="00B83952">
        <w:t>equals the transaction price. Calibration ensures that the valuation technique reflects current market conditions, and it helps an entity to determine whether an adjustment to the valuation technique is necessary</w:t>
      </w:r>
      <w:r w:rsidR="003F069F" w:rsidRPr="00B83952">
        <w:t xml:space="preserve"> (eg there might be a characteristic of the asset … that is not captured by the valuation technique). </w:t>
      </w:r>
      <w:r w:rsidR="00FD2739" w:rsidRPr="00B83952">
        <w:t xml:space="preserve">After initial recognition, when measuring fair value using a valuation technique or techniques that use unobservable inputs, </w:t>
      </w:r>
      <w:r w:rsidR="00CC0751" w:rsidRPr="00B83952">
        <w:t>an entity shall ensure that those valuation techniques reflect observable market data (eg the price for a similar asset …) at the measurement date.</w:t>
      </w:r>
      <w:bookmarkEnd w:id="161"/>
    </w:p>
    <w:p w14:paraId="53DBCA31" w14:textId="57583ECD" w:rsidR="005E72DF" w:rsidRPr="00B83952" w:rsidRDefault="00957939" w:rsidP="003276D3">
      <w:pPr>
        <w:pStyle w:val="NumBC1"/>
        <w:keepNext/>
      </w:pPr>
      <w:bookmarkStart w:id="164" w:name="_Ref94497714"/>
      <w:r w:rsidRPr="00B83952">
        <w:t>The Board considered the suggestion in paragraph </w:t>
      </w:r>
      <w:r w:rsidR="008955E5" w:rsidRPr="00B83952">
        <w:fldChar w:fldCharType="begin"/>
      </w:r>
      <w:r w:rsidR="008955E5" w:rsidRPr="00B83952">
        <w:instrText xml:space="preserve"> REF _Ref94800950 \r \h </w:instrText>
      </w:r>
      <w:r w:rsidR="000D21EF" w:rsidRPr="00B83952">
        <w:instrText xml:space="preserve"> \* MERGEFORMAT </w:instrText>
      </w:r>
      <w:r w:rsidR="008955E5" w:rsidRPr="00B83952">
        <w:fldChar w:fldCharType="separate"/>
      </w:r>
      <w:r w:rsidR="005A1B65">
        <w:t>BC188</w:t>
      </w:r>
      <w:r w:rsidR="008955E5" w:rsidRPr="00B83952">
        <w:fldChar w:fldCharType="end"/>
      </w:r>
      <w:r w:rsidRPr="00B83952">
        <w:t xml:space="preserve"> and decided not to requir</w:t>
      </w:r>
      <w:r w:rsidR="001C06EC" w:rsidRPr="00B83952">
        <w:t>e</w:t>
      </w:r>
      <w:r w:rsidRPr="00B83952">
        <w:t xml:space="preserve"> estimates of a non-financial asset’s current replacement cost to be restricted to actual transactions</w:t>
      </w:r>
      <w:r w:rsidR="00E042FC" w:rsidRPr="00B83952">
        <w:t xml:space="preserve">, as an application of </w:t>
      </w:r>
      <w:r w:rsidR="00A54CC0" w:rsidRPr="00B83952">
        <w:t>paragraph</w:t>
      </w:r>
      <w:r w:rsidR="00726A9D" w:rsidRPr="00B83952">
        <w:t> </w:t>
      </w:r>
      <w:r w:rsidR="00846C68" w:rsidRPr="00B83952">
        <w:t>64</w:t>
      </w:r>
      <w:r w:rsidR="00726A9D" w:rsidRPr="00B83952">
        <w:t xml:space="preserve"> of AASB 13</w:t>
      </w:r>
      <w:r w:rsidRPr="00B83952">
        <w:t xml:space="preserve">. </w:t>
      </w:r>
      <w:r w:rsidR="005E72DF" w:rsidRPr="00B83952">
        <w:t>This is because:</w:t>
      </w:r>
      <w:bookmarkEnd w:id="164"/>
    </w:p>
    <w:p w14:paraId="4F9AD2A9" w14:textId="60F74EA8" w:rsidR="008E6D2E" w:rsidRPr="00B83952" w:rsidRDefault="005E72DF" w:rsidP="003276D3">
      <w:pPr>
        <w:pStyle w:val="NumBC2"/>
      </w:pPr>
      <w:r w:rsidRPr="00B83952">
        <w:t xml:space="preserve">the Board </w:t>
      </w:r>
      <w:r w:rsidR="00E042FC" w:rsidRPr="00B83952">
        <w:t xml:space="preserve">considers that </w:t>
      </w:r>
      <w:r w:rsidR="00D14934" w:rsidRPr="00B83952">
        <w:t xml:space="preserve">many inputs to estimates of the current cost of </w:t>
      </w:r>
      <w:r w:rsidR="00D05E77" w:rsidRPr="00B83952">
        <w:t>res</w:t>
      </w:r>
      <w:r w:rsidR="003B35E0" w:rsidRPr="00B83952">
        <w:t xml:space="preserve">toring </w:t>
      </w:r>
      <w:r w:rsidR="0031679F" w:rsidRPr="00B83952">
        <w:t>an</w:t>
      </w:r>
      <w:r w:rsidR="003B35E0" w:rsidRPr="00B83952">
        <w:t xml:space="preserve">other entity’s asset </w:t>
      </w:r>
      <w:r w:rsidR="00D14934" w:rsidRPr="00B83952">
        <w:t>(</w:t>
      </w:r>
      <w:r w:rsidR="003E50C6" w:rsidRPr="00B83952">
        <w:t>eg</w:t>
      </w:r>
      <w:r w:rsidR="00D14934" w:rsidRPr="00B83952">
        <w:t xml:space="preserve"> current unit costs, including costs of labour and materials)</w:t>
      </w:r>
      <w:r w:rsidR="004321CA" w:rsidRPr="00B83952">
        <w:t xml:space="preserve"> are likely to be observable</w:t>
      </w:r>
      <w:r w:rsidR="00D14934" w:rsidRPr="00B83952">
        <w:t xml:space="preserve">, whereas </w:t>
      </w:r>
      <w:r w:rsidR="00A54CC0" w:rsidRPr="00B83952">
        <w:t>paragraph</w:t>
      </w:r>
      <w:r w:rsidR="000C7321" w:rsidRPr="00B83952">
        <w:t> </w:t>
      </w:r>
      <w:r w:rsidR="008C0464" w:rsidRPr="00B83952">
        <w:t xml:space="preserve">64 </w:t>
      </w:r>
      <w:r w:rsidR="000C7321" w:rsidRPr="00B83952">
        <w:t xml:space="preserve">of AASB 13 </w:t>
      </w:r>
      <w:r w:rsidR="00A03678" w:rsidRPr="00B83952">
        <w:t>applies to valuation techniques that use unobservable inputs;</w:t>
      </w:r>
      <w:r w:rsidR="00E2756C" w:rsidRPr="00B83952">
        <w:t xml:space="preserve"> and</w:t>
      </w:r>
    </w:p>
    <w:p w14:paraId="34A6FB7F" w14:textId="662E121B" w:rsidR="001D23EC" w:rsidRPr="00B83952" w:rsidRDefault="00E2756C" w:rsidP="003276D3">
      <w:pPr>
        <w:pStyle w:val="NumBC2"/>
      </w:pPr>
      <w:r w:rsidRPr="00B83952">
        <w:t xml:space="preserve">using costs </w:t>
      </w:r>
      <w:r w:rsidR="000B2E6F" w:rsidRPr="00B83952">
        <w:t xml:space="preserve">of </w:t>
      </w:r>
      <w:r w:rsidR="003B35E0" w:rsidRPr="00B83952">
        <w:t>restoration</w:t>
      </w:r>
      <w:r w:rsidR="000B2E6F" w:rsidRPr="00B83952">
        <w:t xml:space="preserve"> work yet to be incurred involves neither of the circumstances specifically mentioned in </w:t>
      </w:r>
      <w:r w:rsidR="00A54CC0" w:rsidRPr="00B83952">
        <w:t>paragraph</w:t>
      </w:r>
      <w:r w:rsidR="000C7321" w:rsidRPr="00B83952">
        <w:t> </w:t>
      </w:r>
      <w:r w:rsidR="00923A4F" w:rsidRPr="00B83952">
        <w:t>64</w:t>
      </w:r>
      <w:r w:rsidR="000C7321" w:rsidRPr="00B83952">
        <w:t xml:space="preserve"> of AASB 13</w:t>
      </w:r>
      <w:r w:rsidR="000B2E6F" w:rsidRPr="00B83952">
        <w:t xml:space="preserve">, namely: </w:t>
      </w:r>
    </w:p>
    <w:p w14:paraId="1AF26A5A" w14:textId="77777777" w:rsidR="001D23EC" w:rsidRPr="00B83952" w:rsidRDefault="000B2E6F" w:rsidP="003276D3">
      <w:pPr>
        <w:pStyle w:val="NumBC3"/>
      </w:pPr>
      <w:r w:rsidRPr="00B83952">
        <w:t>calibration being necessary to ensure the fair value estimate reflects current market conditions; and</w:t>
      </w:r>
    </w:p>
    <w:p w14:paraId="253347A5" w14:textId="77777777" w:rsidR="006552AE" w:rsidRPr="00B83952" w:rsidRDefault="00DA7772" w:rsidP="003276D3">
      <w:pPr>
        <w:pStyle w:val="NumBC3"/>
      </w:pPr>
      <w:r w:rsidRPr="00B83952">
        <w:t>the valuation technique does not capture a characteristic of the asset</w:t>
      </w:r>
      <w:r w:rsidR="00923191" w:rsidRPr="00B83952">
        <w:t xml:space="preserve">. </w:t>
      </w:r>
    </w:p>
    <w:p w14:paraId="58AA891C" w14:textId="5DE22278" w:rsidR="00B946B4" w:rsidRPr="00B83952" w:rsidRDefault="00B946B4" w:rsidP="003276D3">
      <w:pPr>
        <w:pStyle w:val="NumBC1"/>
      </w:pPr>
      <w:bookmarkStart w:id="165" w:name="_Ref94498498"/>
      <w:r w:rsidRPr="00B83952">
        <w:t>In relation to paragraph </w:t>
      </w:r>
      <w:r w:rsidR="000D2B2A" w:rsidRPr="00B83952">
        <w:fldChar w:fldCharType="begin"/>
      </w:r>
      <w:r w:rsidR="000D2B2A" w:rsidRPr="00B83952">
        <w:instrText xml:space="preserve"> REF _Ref94497714 \r \h </w:instrText>
      </w:r>
      <w:r w:rsidR="003E025E" w:rsidRPr="00B83952">
        <w:instrText xml:space="preserve"> \* MERGEFORMAT </w:instrText>
      </w:r>
      <w:r w:rsidR="000D2B2A" w:rsidRPr="00B83952">
        <w:fldChar w:fldCharType="separate"/>
      </w:r>
      <w:r w:rsidR="005A1B65">
        <w:t>BC189</w:t>
      </w:r>
      <w:r w:rsidR="000D2B2A" w:rsidRPr="00B83952">
        <w:fldChar w:fldCharType="end"/>
      </w:r>
      <w:r w:rsidRPr="00B83952">
        <w:t xml:space="preserve">(b), the Board noted that </w:t>
      </w:r>
      <w:r w:rsidR="00A54CC0" w:rsidRPr="00B83952">
        <w:t>paragraphs</w:t>
      </w:r>
      <w:r w:rsidR="00355106" w:rsidRPr="00B83952">
        <w:t xml:space="preserve"> BC143–BC146 of </w:t>
      </w:r>
      <w:r w:rsidRPr="00B83952">
        <w:t xml:space="preserve">the IASB’s Basis for Conclusions on IFRS 13 </w:t>
      </w:r>
      <w:r w:rsidR="00355106" w:rsidRPr="00B83952">
        <w:t xml:space="preserve">indicate that </w:t>
      </w:r>
      <w:r w:rsidR="00290A4B" w:rsidRPr="00B83952">
        <w:t xml:space="preserve">the valuation adjustments involving calibration relate to measurement uncertainty, mainly in respect of financial assets and liabilities. </w:t>
      </w:r>
      <w:r w:rsidR="00C300A0" w:rsidRPr="00B83952">
        <w:t xml:space="preserve">The two circumstances identified in IASB </w:t>
      </w:r>
      <w:r w:rsidR="00A54CC0" w:rsidRPr="00B83952">
        <w:t>paragraph</w:t>
      </w:r>
      <w:r w:rsidR="00C300A0" w:rsidRPr="00B83952">
        <w:t xml:space="preserve"> BC145 </w:t>
      </w:r>
      <w:r w:rsidR="00393FFD" w:rsidRPr="00B83952">
        <w:t>that are not confined to financial assets and liabilities are</w:t>
      </w:r>
      <w:r w:rsidR="00E1425E" w:rsidRPr="00B83952">
        <w:t xml:space="preserve"> where</w:t>
      </w:r>
      <w:r w:rsidR="00393FFD" w:rsidRPr="00B83952">
        <w:t>:</w:t>
      </w:r>
      <w:bookmarkEnd w:id="165"/>
    </w:p>
    <w:p w14:paraId="7471974F" w14:textId="35988F6F" w:rsidR="00393FFD" w:rsidRPr="00B83952" w:rsidRDefault="00721D8F" w:rsidP="003276D3">
      <w:pPr>
        <w:pStyle w:val="NumBC2"/>
      </w:pPr>
      <w:r w:rsidRPr="00B83952">
        <w:t>calibration is necessary to capture a characteristic of the asset or liability; and</w:t>
      </w:r>
    </w:p>
    <w:p w14:paraId="79A23A28" w14:textId="0E399B75" w:rsidR="00721D8F" w:rsidRPr="00B83952" w:rsidRDefault="00721D8F" w:rsidP="003276D3">
      <w:pPr>
        <w:pStyle w:val="NumBC2"/>
      </w:pPr>
      <w:r w:rsidRPr="00B83952">
        <w:t xml:space="preserve">measurement uncertainty has arisen from a significant decrease in the volume or level of market activity </w:t>
      </w:r>
      <w:r w:rsidR="00E1425E" w:rsidRPr="00B83952">
        <w:t>for the asset or liability.</w:t>
      </w:r>
    </w:p>
    <w:p w14:paraId="530D9924" w14:textId="263165E4" w:rsidR="00E1425E" w:rsidRPr="00B83952" w:rsidRDefault="003A1547" w:rsidP="003276D3">
      <w:pPr>
        <w:pStyle w:val="NumBC1"/>
      </w:pPr>
      <w:bookmarkStart w:id="166" w:name="_Ref94538052"/>
      <w:r w:rsidRPr="00B83952">
        <w:t>The Board considers that neither of the circumstances referred to in paragraph </w:t>
      </w:r>
      <w:r w:rsidR="00884A9B" w:rsidRPr="00B83952">
        <w:fldChar w:fldCharType="begin"/>
      </w:r>
      <w:r w:rsidR="00884A9B" w:rsidRPr="00B83952">
        <w:instrText xml:space="preserve"> REF _Ref94498498 \r \h </w:instrText>
      </w:r>
      <w:r w:rsidR="003E025E" w:rsidRPr="00B83952">
        <w:instrText xml:space="preserve"> \* MERGEFORMAT </w:instrText>
      </w:r>
      <w:r w:rsidR="00884A9B" w:rsidRPr="00B83952">
        <w:fldChar w:fldCharType="separate"/>
      </w:r>
      <w:r w:rsidR="005A1B65">
        <w:t>BC190</w:t>
      </w:r>
      <w:r w:rsidR="00884A9B" w:rsidRPr="00B83952">
        <w:fldChar w:fldCharType="end"/>
      </w:r>
      <w:r w:rsidRPr="00B83952">
        <w:t xml:space="preserve"> seems particularly applicable to the treatment of </w:t>
      </w:r>
      <w:r w:rsidR="005A7632" w:rsidRPr="00B83952">
        <w:t>restoration costs</w:t>
      </w:r>
      <w:r w:rsidRPr="00B83952">
        <w:t xml:space="preserve"> yet to be incurred by the entity at the measurement date.</w:t>
      </w:r>
      <w:bookmarkEnd w:id="166"/>
    </w:p>
    <w:p w14:paraId="435FFB3F" w14:textId="7CA38B52" w:rsidR="001A5629" w:rsidRPr="00B83952" w:rsidRDefault="004B0F2D" w:rsidP="001A5629">
      <w:pPr>
        <w:pStyle w:val="IASBSectionTitle3Ind"/>
        <w:rPr>
          <w:sz w:val="26"/>
        </w:rPr>
      </w:pPr>
      <w:r w:rsidRPr="00B83952">
        <w:rPr>
          <w:sz w:val="26"/>
        </w:rPr>
        <w:t xml:space="preserve">Piecemeal replacement </w:t>
      </w:r>
    </w:p>
    <w:p w14:paraId="0C7EC6CD" w14:textId="4126A25B" w:rsidR="00654221" w:rsidRPr="00B83952" w:rsidRDefault="00654221" w:rsidP="003276D3">
      <w:pPr>
        <w:pStyle w:val="NumBC1"/>
      </w:pPr>
      <w:bookmarkStart w:id="167" w:name="_Ref115134277"/>
      <w:r w:rsidRPr="00B83952">
        <w:t xml:space="preserve">Some ED respondents commented that, in some cases, an actual replacement of an asset is undertaken in different </w:t>
      </w:r>
      <w:r w:rsidR="00064C18" w:rsidRPr="00B83952">
        <w:t xml:space="preserve">phases </w:t>
      </w:r>
      <w:r w:rsidRPr="00B83952">
        <w:t xml:space="preserve">(ie a part of an asset rather than the whole asset is replaced) and </w:t>
      </w:r>
      <w:r w:rsidR="008931A0" w:rsidRPr="00B83952">
        <w:t xml:space="preserve">asked </w:t>
      </w:r>
      <w:r w:rsidRPr="00B83952">
        <w:t>whether, when developing unobservable inputs using its own assumptions in accordance with paragraph 89</w:t>
      </w:r>
      <w:r w:rsidR="008332C7" w:rsidRPr="00B83952">
        <w:t xml:space="preserve"> of AASB 13</w:t>
      </w:r>
      <w:r w:rsidRPr="00B83952">
        <w:t xml:space="preserve">, the entity should assume the asset will be replaced on a piecemeal basis or in its entirety. The Board concluded that using data of replacing an asset on a piecemeal basis might not be fully consistent with the objective of a fair value measurement under the cost approach. This is because a market participant buyer needing to acquire </w:t>
      </w:r>
      <w:r w:rsidRPr="00B83952">
        <w:lastRenderedPageBreak/>
        <w:t>or construct an asset in its entirety would not need to incur additional costs that arise from replacing an existing asset on a piecemeal basis (such as security costs incurred to provide continuity of service delivery), nor would it logically be willing to pay the holder of the subject asset for incurring those additional costs.</w:t>
      </w:r>
    </w:p>
    <w:p w14:paraId="046E09E8" w14:textId="521830D5" w:rsidR="00654221" w:rsidRPr="00B83952" w:rsidRDefault="00654221" w:rsidP="003276D3">
      <w:pPr>
        <w:pStyle w:val="NumBC1"/>
      </w:pPr>
      <w:r w:rsidRPr="00B83952">
        <w:t>The guidance in paragraph</w:t>
      </w:r>
      <w:r w:rsidR="00917F11" w:rsidRPr="00B83952">
        <w:t> </w:t>
      </w:r>
      <w:r w:rsidRPr="00B83952">
        <w:fldChar w:fldCharType="begin"/>
      </w:r>
      <w:r w:rsidRPr="00B83952">
        <w:instrText xml:space="preserve"> REF _Ref113942548 \r \h </w:instrText>
      </w:r>
      <w:r w:rsidRPr="00B83952">
        <w:fldChar w:fldCharType="separate"/>
      </w:r>
      <w:r w:rsidR="005A1B65">
        <w:t>F14</w:t>
      </w:r>
      <w:r w:rsidRPr="00B83952">
        <w:fldChar w:fldCharType="end"/>
      </w:r>
      <w:r w:rsidRPr="00B83952">
        <w:t xml:space="preserve"> that an entity need not undertake exhaustive efforts to obtain information about the costs referred to in paragraphs</w:t>
      </w:r>
      <w:r w:rsidR="007570D5" w:rsidRPr="00B83952">
        <w:t> </w:t>
      </w:r>
      <w:r w:rsidRPr="00B83952">
        <w:fldChar w:fldCharType="begin"/>
      </w:r>
      <w:r w:rsidRPr="00B83952">
        <w:instrText xml:space="preserve"> REF _Ref90288055 \r \h </w:instrText>
      </w:r>
      <w:r w:rsidRPr="00B83952">
        <w:fldChar w:fldCharType="separate"/>
      </w:r>
      <w:r w:rsidR="005A1B65">
        <w:t>F12</w:t>
      </w:r>
      <w:r w:rsidRPr="00B83952">
        <w:fldChar w:fldCharType="end"/>
      </w:r>
      <w:r w:rsidRPr="00B83952">
        <w:t xml:space="preserve"> and</w:t>
      </w:r>
      <w:r w:rsidR="00A358CC" w:rsidRPr="00B83952">
        <w:t> </w:t>
      </w:r>
      <w:r w:rsidRPr="00B83952">
        <w:fldChar w:fldCharType="begin"/>
      </w:r>
      <w:r w:rsidRPr="00B83952">
        <w:instrText xml:space="preserve"> REF _Ref115168257 \r \h </w:instrText>
      </w:r>
      <w:r w:rsidRPr="00B83952">
        <w:fldChar w:fldCharType="separate"/>
      </w:r>
      <w:r w:rsidR="005A1B65">
        <w:t>F13</w:t>
      </w:r>
      <w:r w:rsidRPr="00B83952">
        <w:fldChar w:fldCharType="end"/>
      </w:r>
      <w:r w:rsidRPr="00B83952">
        <w:t>, provided that the entity includes all such costs for which data are reasonably available, should address concerns about practical difficulties of measuring the current cost to hypothetically replace an asset in its entirety if the asset’s parts are actually replaced on a piecemeal basis. Where specific additional costs arising from piecemeal replacement are identifiable, they can readily be excluded from the estimate of the asset’s current replacement cost. Where it is unclear whether some ‘piecemeal costs’ would differ if incurred as part of an entire replacement, when paragraph</w:t>
      </w:r>
      <w:r w:rsidR="00B947B9" w:rsidRPr="00B83952">
        <w:t> </w:t>
      </w:r>
      <w:r w:rsidRPr="00B83952">
        <w:fldChar w:fldCharType="begin"/>
      </w:r>
      <w:r w:rsidRPr="00B83952">
        <w:instrText xml:space="preserve"> REF _Ref115100654 \r \h </w:instrText>
      </w:r>
      <w:r w:rsidRPr="00B83952">
        <w:fldChar w:fldCharType="separate"/>
      </w:r>
      <w:r w:rsidR="005A1B65">
        <w:t>F5</w:t>
      </w:r>
      <w:r w:rsidRPr="00B83952">
        <w:fldChar w:fldCharType="end"/>
      </w:r>
      <w:r w:rsidRPr="00B83952">
        <w:t xml:space="preserve"> applies, applying its principle to use the entity’s own assumptions as a starting point and adjust them only to the extent that reasonably available information indicates that other market participants would use different data</w:t>
      </w:r>
      <w:r w:rsidR="7E6DBF42" w:rsidRPr="00B83952">
        <w:t>,</w:t>
      </w:r>
      <w:r w:rsidRPr="00B83952">
        <w:t xml:space="preserve"> would generally mean that the entity’s own costs would be used, thus overcoming the practical difficulty of estimating the cost to hypothetically replace an asset in its entirety.</w:t>
      </w:r>
    </w:p>
    <w:bookmarkEnd w:id="167"/>
    <w:p w14:paraId="2A0B6152" w14:textId="6D5FF314" w:rsidR="00D874D2" w:rsidRPr="00B83952" w:rsidRDefault="00EB10F7">
      <w:pPr>
        <w:pStyle w:val="IASBSectionTitle2Ind"/>
      </w:pPr>
      <w:r w:rsidRPr="00B83952">
        <w:t xml:space="preserve">The </w:t>
      </w:r>
      <w:r w:rsidR="00822AAE" w:rsidRPr="00B83952">
        <w:t>m</w:t>
      </w:r>
      <w:r w:rsidR="001B0374" w:rsidRPr="00B83952">
        <w:t xml:space="preserve">ost economical </w:t>
      </w:r>
      <w:r w:rsidR="00A50825" w:rsidRPr="00B83952">
        <w:t>manner</w:t>
      </w:r>
      <w:r w:rsidR="005E7D21" w:rsidRPr="00B83952">
        <w:t xml:space="preserve"> of </w:t>
      </w:r>
      <w:r w:rsidRPr="00B83952">
        <w:t xml:space="preserve">hypothetical replacement </w:t>
      </w:r>
    </w:p>
    <w:p w14:paraId="4A659FC5" w14:textId="325901FA" w:rsidR="00E34CCC" w:rsidRPr="00B83952" w:rsidRDefault="00634BC3" w:rsidP="003276D3">
      <w:pPr>
        <w:pStyle w:val="NumBC1"/>
      </w:pPr>
      <w:bookmarkStart w:id="168" w:name="_Ref94939212"/>
      <w:bookmarkStart w:id="169" w:name="_Ref115231840"/>
      <w:r w:rsidRPr="00B83952">
        <w:t>A</w:t>
      </w:r>
      <w:r w:rsidR="00C5167B" w:rsidRPr="00B83952">
        <w:t xml:space="preserve">pplication of the cost approach assumes </w:t>
      </w:r>
      <w:r w:rsidRPr="00B83952">
        <w:t xml:space="preserve">implicitly </w:t>
      </w:r>
      <w:r w:rsidR="00C5167B" w:rsidRPr="00B83952">
        <w:t xml:space="preserve">a </w:t>
      </w:r>
      <w:r w:rsidR="007319E2" w:rsidRPr="00B83952">
        <w:t>hypothetical acquisition or construction of the subject asset</w:t>
      </w:r>
      <w:r w:rsidR="009167FD" w:rsidRPr="00B83952">
        <w:t xml:space="preserve"> </w:t>
      </w:r>
      <w:r w:rsidRPr="00B83952">
        <w:t xml:space="preserve">occurs </w:t>
      </w:r>
      <w:r w:rsidR="009167FD" w:rsidRPr="00B83952">
        <w:t xml:space="preserve">in the </w:t>
      </w:r>
      <w:r w:rsidR="00C5167B" w:rsidRPr="00B83952">
        <w:t xml:space="preserve">most economical </w:t>
      </w:r>
      <w:r w:rsidR="009167FD" w:rsidRPr="00B83952">
        <w:t>manner</w:t>
      </w:r>
      <w:r w:rsidR="00C5167B" w:rsidRPr="00B83952">
        <w:t xml:space="preserve">. </w:t>
      </w:r>
      <w:r w:rsidR="008D532D" w:rsidRPr="00B83952">
        <w:t xml:space="preserve">However, stakeholders informed the Board that in many cases, </w:t>
      </w:r>
      <w:r w:rsidR="004819EA" w:rsidRPr="00B83952">
        <w:t xml:space="preserve">not-for-profit </w:t>
      </w:r>
      <w:r w:rsidR="008D532D" w:rsidRPr="00B83952">
        <w:t xml:space="preserve">public sector entities </w:t>
      </w:r>
      <w:r w:rsidR="0068366F" w:rsidRPr="00B83952">
        <w:t>would incur costs additional to the cheapest legally permitted costs</w:t>
      </w:r>
      <w:r w:rsidR="003557C6" w:rsidRPr="00B83952">
        <w:t xml:space="preserve"> in order to </w:t>
      </w:r>
      <w:r w:rsidR="00700563" w:rsidRPr="00B83952">
        <w:t>maintain an adequate quality of services</w:t>
      </w:r>
      <w:r w:rsidR="00E34CCC" w:rsidRPr="00B83952">
        <w:t xml:space="preserve"> to the public</w:t>
      </w:r>
      <w:r w:rsidR="00F64A59" w:rsidRPr="00B83952">
        <w:t xml:space="preserve"> or to adhere to unlegislated Government policies that direct or limit replacement options, eg in relation to Australian industry content or security</w:t>
      </w:r>
      <w:r w:rsidR="00700563" w:rsidRPr="00B83952">
        <w:t>.</w:t>
      </w:r>
      <w:r w:rsidRPr="00B83952">
        <w:t xml:space="preserve"> Where the entity or another market participant replaces an asset, and it would necessarily incur </w:t>
      </w:r>
      <w:r w:rsidR="00FF0044" w:rsidRPr="00B83952">
        <w:t xml:space="preserve">greater </w:t>
      </w:r>
      <w:r w:rsidRPr="00B83952">
        <w:t>costs than the cheapest legally permitted costs</w:t>
      </w:r>
      <w:r w:rsidR="00E96582" w:rsidRPr="00B83952">
        <w:t>,</w:t>
      </w:r>
      <w:r w:rsidRPr="00B83952">
        <w:t xml:space="preserve"> the more </w:t>
      </w:r>
      <w:r w:rsidR="00E96582" w:rsidRPr="00B83952">
        <w:t xml:space="preserve">expensive </w:t>
      </w:r>
      <w:r w:rsidR="004840D4" w:rsidRPr="00B83952">
        <w:t xml:space="preserve">costs would be those most likely to be included in the pricing assumptions of the market participant and to be incurred in </w:t>
      </w:r>
      <w:r w:rsidR="00B70081" w:rsidRPr="00B83952">
        <w:t>the ordinary course of operations.</w:t>
      </w:r>
      <w:bookmarkEnd w:id="168"/>
      <w:r w:rsidR="00B70081" w:rsidRPr="00B83952">
        <w:t xml:space="preserve"> </w:t>
      </w:r>
      <w:r w:rsidR="00AE152F" w:rsidRPr="00B83952">
        <w:t>This view was included in ED 320 and was supported by a majority of respondents.</w:t>
      </w:r>
      <w:bookmarkEnd w:id="169"/>
    </w:p>
    <w:p w14:paraId="1363F365" w14:textId="62F28344" w:rsidR="00FE585E" w:rsidRPr="00B83952" w:rsidRDefault="00DD3AC2" w:rsidP="003276D3">
      <w:pPr>
        <w:pStyle w:val="NumBC1"/>
      </w:pPr>
      <w:bookmarkStart w:id="170" w:name="_Ref94624959"/>
      <w:r w:rsidRPr="00B83952">
        <w:t>The</w:t>
      </w:r>
      <w:r w:rsidR="00A42C83" w:rsidRPr="00B83952">
        <w:t>refore, the</w:t>
      </w:r>
      <w:r w:rsidRPr="00B83952">
        <w:t xml:space="preserve"> Board decided </w:t>
      </w:r>
      <w:r w:rsidR="00A42C83" w:rsidRPr="00B83952">
        <w:t xml:space="preserve">to </w:t>
      </w:r>
      <w:r w:rsidR="009C27B1" w:rsidRPr="00B83952">
        <w:t xml:space="preserve">include </w:t>
      </w:r>
      <w:r w:rsidR="00843E66" w:rsidRPr="00B83952">
        <w:t xml:space="preserve">an </w:t>
      </w:r>
      <w:r w:rsidR="009C27B1" w:rsidRPr="00B83952">
        <w:t xml:space="preserve">illustrative example (Example 3) illustrating </w:t>
      </w:r>
      <w:r w:rsidRPr="00B83952">
        <w:t>that</w:t>
      </w:r>
      <w:r w:rsidR="00A42C83" w:rsidRPr="00B83952">
        <w:t>,</w:t>
      </w:r>
      <w:r w:rsidR="009C27B1" w:rsidRPr="00B83952">
        <w:t xml:space="preserve"> when </w:t>
      </w:r>
      <w:r w:rsidR="009C27B1" w:rsidRPr="00B83952">
        <w:rPr>
          <w:rStyle w:val="normaltextrun"/>
          <w:shd w:val="clear" w:color="auto" w:fill="FFFFFF"/>
        </w:rPr>
        <w:t>paragraphs </w:t>
      </w:r>
      <w:r w:rsidR="009C27B1" w:rsidRPr="00B83952">
        <w:rPr>
          <w:rStyle w:val="normaltextrun"/>
          <w:shd w:val="clear" w:color="auto" w:fill="FFFFFF"/>
        </w:rPr>
        <w:fldChar w:fldCharType="begin"/>
      </w:r>
      <w:r w:rsidR="009C27B1" w:rsidRPr="00B83952">
        <w:rPr>
          <w:rStyle w:val="normaltextrun"/>
          <w:shd w:val="clear" w:color="auto" w:fill="FFFFFF"/>
        </w:rPr>
        <w:instrText xml:space="preserve"> REF _Ref110858606 \r \h </w:instrText>
      </w:r>
      <w:r w:rsidR="009C27B1" w:rsidRPr="00B83952">
        <w:rPr>
          <w:rStyle w:val="normaltextrun"/>
          <w:shd w:val="clear" w:color="auto" w:fill="FFFFFF"/>
        </w:rPr>
      </w:r>
      <w:r w:rsidR="009C27B1" w:rsidRPr="00B83952">
        <w:rPr>
          <w:rStyle w:val="normaltextrun"/>
          <w:shd w:val="clear" w:color="auto" w:fill="FFFFFF"/>
        </w:rPr>
        <w:fldChar w:fldCharType="separate"/>
      </w:r>
      <w:r w:rsidR="005A1B65">
        <w:rPr>
          <w:rStyle w:val="normaltextrun"/>
          <w:shd w:val="clear" w:color="auto" w:fill="FFFFFF"/>
        </w:rPr>
        <w:t>F5</w:t>
      </w:r>
      <w:r w:rsidR="009C27B1" w:rsidRPr="00B83952">
        <w:rPr>
          <w:rStyle w:val="normaltextrun"/>
          <w:shd w:val="clear" w:color="auto" w:fill="FFFFFF"/>
        </w:rPr>
        <w:fldChar w:fldCharType="end"/>
      </w:r>
      <w:r w:rsidR="009C27B1" w:rsidRPr="00B83952">
        <w:rPr>
          <w:rStyle w:val="normaltextrun"/>
          <w:shd w:val="clear" w:color="auto" w:fill="FFFFFF"/>
        </w:rPr>
        <w:t xml:space="preserve"> and </w:t>
      </w:r>
      <w:r w:rsidR="009C27B1" w:rsidRPr="00B83952">
        <w:rPr>
          <w:rStyle w:val="normaltextrun"/>
          <w:shd w:val="clear" w:color="auto" w:fill="FFFFFF"/>
        </w:rPr>
        <w:fldChar w:fldCharType="begin"/>
      </w:r>
      <w:r w:rsidR="009C27B1" w:rsidRPr="00B83952">
        <w:rPr>
          <w:rStyle w:val="normaltextrun"/>
          <w:shd w:val="clear" w:color="auto" w:fill="FFFFFF"/>
        </w:rPr>
        <w:instrText xml:space="preserve"> REF _Ref113946224 \r \h </w:instrText>
      </w:r>
      <w:r w:rsidR="009C27B1" w:rsidRPr="00B83952">
        <w:rPr>
          <w:rStyle w:val="normaltextrun"/>
          <w:shd w:val="clear" w:color="auto" w:fill="FFFFFF"/>
        </w:rPr>
      </w:r>
      <w:r w:rsidR="009C27B1" w:rsidRPr="00B83952">
        <w:rPr>
          <w:rStyle w:val="normaltextrun"/>
          <w:shd w:val="clear" w:color="auto" w:fill="FFFFFF"/>
        </w:rPr>
        <w:fldChar w:fldCharType="separate"/>
      </w:r>
      <w:r w:rsidR="005A1B65">
        <w:rPr>
          <w:rStyle w:val="normaltextrun"/>
          <w:shd w:val="clear" w:color="auto" w:fill="FFFFFF"/>
        </w:rPr>
        <w:t>F11</w:t>
      </w:r>
      <w:r w:rsidR="009C27B1" w:rsidRPr="00B83952">
        <w:rPr>
          <w:rStyle w:val="normaltextrun"/>
          <w:shd w:val="clear" w:color="auto" w:fill="FFFFFF"/>
        </w:rPr>
        <w:fldChar w:fldCharType="end"/>
      </w:r>
      <w:r w:rsidR="009C27B1" w:rsidRPr="00B83952">
        <w:rPr>
          <w:rStyle w:val="normaltextrun"/>
          <w:shd w:val="clear" w:color="auto" w:fill="FFFFFF"/>
        </w:rPr>
        <w:t>(b) apply, the entity estimates the cost currently required for a market participant buyer to acquire or construct a reference asset by using its own assumptions as a starting point and adjusting those assumptions</w:t>
      </w:r>
      <w:r w:rsidR="00514E1C" w:rsidRPr="00B83952">
        <w:rPr>
          <w:rStyle w:val="normaltextrun"/>
          <w:shd w:val="clear" w:color="auto" w:fill="FFFFFF"/>
        </w:rPr>
        <w:t xml:space="preserve"> to the extent that</w:t>
      </w:r>
      <w:r w:rsidR="009C27B1" w:rsidRPr="00B83952">
        <w:rPr>
          <w:rStyle w:val="normaltextrun"/>
          <w:shd w:val="clear" w:color="auto" w:fill="FFFFFF"/>
        </w:rPr>
        <w:t xml:space="preserve"> reasonably available information indicates that other market participants would use different data. Where, for the reasons </w:t>
      </w:r>
      <w:r w:rsidR="0D1D82A9" w:rsidRPr="00B83952">
        <w:rPr>
          <w:rStyle w:val="normaltextrun"/>
          <w:shd w:val="clear" w:color="auto" w:fill="FFFFFF"/>
        </w:rPr>
        <w:t xml:space="preserve">noted </w:t>
      </w:r>
      <w:r w:rsidR="009C27B1" w:rsidRPr="00B83952">
        <w:rPr>
          <w:rStyle w:val="normaltextrun"/>
          <w:shd w:val="clear" w:color="auto" w:fill="FFFFFF"/>
        </w:rPr>
        <w:t>in paragraph </w:t>
      </w:r>
      <w:r w:rsidR="005434A4" w:rsidRPr="00B83952">
        <w:rPr>
          <w:rStyle w:val="normaltextrun"/>
          <w:shd w:val="clear" w:color="auto" w:fill="FFFFFF"/>
        </w:rPr>
        <w:fldChar w:fldCharType="begin"/>
      </w:r>
      <w:r w:rsidR="005434A4" w:rsidRPr="00B83952">
        <w:rPr>
          <w:rStyle w:val="normaltextrun"/>
          <w:shd w:val="clear" w:color="auto" w:fill="FFFFFF"/>
        </w:rPr>
        <w:instrText xml:space="preserve"> REF _Ref115231840 \r \h </w:instrText>
      </w:r>
      <w:r w:rsidR="005434A4" w:rsidRPr="00B83952">
        <w:rPr>
          <w:rStyle w:val="normaltextrun"/>
          <w:shd w:val="clear" w:color="auto" w:fill="FFFFFF"/>
        </w:rPr>
      </w:r>
      <w:r w:rsidR="005434A4" w:rsidRPr="00B83952">
        <w:rPr>
          <w:rStyle w:val="normaltextrun"/>
          <w:shd w:val="clear" w:color="auto" w:fill="FFFFFF"/>
        </w:rPr>
        <w:fldChar w:fldCharType="separate"/>
      </w:r>
      <w:r w:rsidR="005A1B65">
        <w:rPr>
          <w:rStyle w:val="normaltextrun"/>
          <w:shd w:val="clear" w:color="auto" w:fill="FFFFFF"/>
        </w:rPr>
        <w:t>BC194</w:t>
      </w:r>
      <w:r w:rsidR="005434A4" w:rsidRPr="00B83952">
        <w:rPr>
          <w:rStyle w:val="normaltextrun"/>
          <w:shd w:val="clear" w:color="auto" w:fill="FFFFFF"/>
        </w:rPr>
        <w:fldChar w:fldCharType="end"/>
      </w:r>
      <w:r w:rsidR="009C27B1" w:rsidRPr="00B83952">
        <w:rPr>
          <w:rStyle w:val="normaltextrun"/>
          <w:shd w:val="clear" w:color="auto" w:fill="FFFFFF"/>
        </w:rPr>
        <w:t xml:space="preserve">, </w:t>
      </w:r>
      <w:r w:rsidR="009C27B1" w:rsidRPr="00B83952">
        <w:t>not-for-profit public sector entities would incur costs additional to the cheapest legally permitted costs,</w:t>
      </w:r>
      <w:r w:rsidR="009C27B1" w:rsidRPr="00B83952">
        <w:rPr>
          <w:rStyle w:val="normaltextrun"/>
          <w:shd w:val="clear" w:color="auto" w:fill="FFFFFF"/>
        </w:rPr>
        <w:t xml:space="preserve"> typically those additional costs would be included in the measurement of the asset’s current replacement cost because there would not be reasonably available information indicating that other market participants would use different data. </w:t>
      </w:r>
      <w:r w:rsidR="009C27B1" w:rsidRPr="00B83952">
        <w:t>However, the treatment of such additional costs would depend on the</w:t>
      </w:r>
      <w:r w:rsidR="00A37FCF" w:rsidRPr="00B83952">
        <w:t xml:space="preserve"> facts and</w:t>
      </w:r>
      <w:r w:rsidR="009C27B1" w:rsidRPr="00B83952">
        <w:t xml:space="preserve"> circumstances.</w:t>
      </w:r>
      <w:bookmarkEnd w:id="170"/>
    </w:p>
    <w:p w14:paraId="2951EC55" w14:textId="68D97FF0" w:rsidR="004F6EC4" w:rsidRPr="00B83952" w:rsidRDefault="007A0492">
      <w:pPr>
        <w:pStyle w:val="IASBSectionTitle2Ind"/>
      </w:pPr>
      <w:r w:rsidRPr="00B83952">
        <w:t>Financ</w:t>
      </w:r>
      <w:r w:rsidR="00946E5C" w:rsidRPr="00B83952">
        <w:t>e</w:t>
      </w:r>
      <w:r w:rsidR="004F6EC4" w:rsidRPr="00B83952">
        <w:t xml:space="preserve"> costs </w:t>
      </w:r>
    </w:p>
    <w:p w14:paraId="1FF815B1" w14:textId="43D86CD7" w:rsidR="004F6EC4" w:rsidRPr="00B83952" w:rsidRDefault="004F6EC4" w:rsidP="003276D3">
      <w:pPr>
        <w:pStyle w:val="NumBC1"/>
      </w:pPr>
      <w:bookmarkStart w:id="171" w:name="_Ref85974448"/>
      <w:bookmarkStart w:id="172" w:name="_Ref90978625"/>
      <w:r w:rsidRPr="00B83952">
        <w:t xml:space="preserve">The Board was asked to provide guidance to not-for-profit public sector entities on whether they should include </w:t>
      </w:r>
      <w:r w:rsidR="007A0492" w:rsidRPr="00B83952">
        <w:t>financ</w:t>
      </w:r>
      <w:r w:rsidR="0072219F" w:rsidRPr="00B83952">
        <w:t>e</w:t>
      </w:r>
      <w:r w:rsidRPr="00B83952">
        <w:t xml:space="preserve"> costs</w:t>
      </w:r>
      <w:r w:rsidR="007A0492" w:rsidRPr="00B83952">
        <w:t>, including borrowing costs,</w:t>
      </w:r>
      <w:r w:rsidRPr="00B83952">
        <w:t xml:space="preserve"> in the fair value of </w:t>
      </w:r>
      <w:r w:rsidR="007A0492" w:rsidRPr="00B83952">
        <w:t>an</w:t>
      </w:r>
      <w:r w:rsidRPr="00B83952">
        <w:t xml:space="preserve"> asset </w:t>
      </w:r>
      <w:r w:rsidR="001833C2" w:rsidRPr="00B83952">
        <w:t xml:space="preserve">that is not held primarily for its ability to generate net cash inflows </w:t>
      </w:r>
      <w:r w:rsidR="00770296" w:rsidRPr="00B83952">
        <w:t xml:space="preserve">and </w:t>
      </w:r>
      <w:r w:rsidR="003461C7" w:rsidRPr="00B83952">
        <w:t xml:space="preserve">is </w:t>
      </w:r>
      <w:r w:rsidRPr="00B83952">
        <w:t xml:space="preserve">measured at current replacement cost under the cost approach </w:t>
      </w:r>
      <w:r w:rsidR="00770296" w:rsidRPr="00B83952">
        <w:t xml:space="preserve">if it necessarily takes a substantial period of time to get ready for its intended use </w:t>
      </w:r>
      <w:r w:rsidRPr="00B83952">
        <w:t>(</w:t>
      </w:r>
      <w:r w:rsidR="003E50C6" w:rsidRPr="00B83952">
        <w:t>ie</w:t>
      </w:r>
      <w:r w:rsidRPr="00B83952">
        <w:t xml:space="preserve"> whether the current replacement cost of </w:t>
      </w:r>
      <w:r w:rsidR="00D747FE" w:rsidRPr="00B83952">
        <w:t xml:space="preserve">such </w:t>
      </w:r>
      <w:r w:rsidR="008E6008" w:rsidRPr="00B83952">
        <w:t>an asset</w:t>
      </w:r>
      <w:r w:rsidRPr="00B83952">
        <w:t xml:space="preserve"> should include </w:t>
      </w:r>
      <w:r w:rsidR="0022079C" w:rsidRPr="00B83952">
        <w:t>financ</w:t>
      </w:r>
      <w:r w:rsidR="00D747FE" w:rsidRPr="00B83952">
        <w:t>e</w:t>
      </w:r>
      <w:r w:rsidR="0022079C" w:rsidRPr="00B83952">
        <w:t xml:space="preserve"> </w:t>
      </w:r>
      <w:r w:rsidRPr="00B83952">
        <w:t xml:space="preserve">costs </w:t>
      </w:r>
      <w:r w:rsidR="008E6008" w:rsidRPr="00B83952">
        <w:t xml:space="preserve">that would be </w:t>
      </w:r>
      <w:r w:rsidRPr="00B83952">
        <w:t xml:space="preserve">incurred during </w:t>
      </w:r>
      <w:r w:rsidR="008E6008" w:rsidRPr="00B83952">
        <w:t xml:space="preserve">a hypothetical </w:t>
      </w:r>
      <w:r w:rsidRPr="00B83952">
        <w:t>construction).</w:t>
      </w:r>
      <w:bookmarkEnd w:id="171"/>
      <w:r w:rsidRPr="00B83952">
        <w:t xml:space="preserve"> </w:t>
      </w:r>
      <w:r w:rsidR="003A5207" w:rsidRPr="00B83952">
        <w:t xml:space="preserve">In particular, if a private sector entity constructs an asset on behalf of the </w:t>
      </w:r>
      <w:r w:rsidR="00D747FE" w:rsidRPr="00B83952">
        <w:t xml:space="preserve">not-for-profit </w:t>
      </w:r>
      <w:r w:rsidR="003A5207" w:rsidRPr="00B83952">
        <w:t xml:space="preserve">public sector entity, </w:t>
      </w:r>
      <w:r w:rsidR="00864CED" w:rsidRPr="00B83952">
        <w:t xml:space="preserve">and if </w:t>
      </w:r>
      <w:r w:rsidR="003479B7" w:rsidRPr="00B83952">
        <w:t>financ</w:t>
      </w:r>
      <w:r w:rsidR="004C0D51" w:rsidRPr="00B83952">
        <w:t>e</w:t>
      </w:r>
      <w:r w:rsidR="00864CED" w:rsidRPr="00B83952">
        <w:t xml:space="preserve"> costs </w:t>
      </w:r>
      <w:r w:rsidR="00623189" w:rsidRPr="00B83952">
        <w:t xml:space="preserve">were to </w:t>
      </w:r>
      <w:r w:rsidR="00864CED" w:rsidRPr="00B83952">
        <w:t xml:space="preserve">be included in the asset’s current replacement cost, </w:t>
      </w:r>
      <w:r w:rsidR="004C0D51" w:rsidRPr="00B83952">
        <w:t xml:space="preserve">some stakeholders asked for guidance on </w:t>
      </w:r>
      <w:r w:rsidR="00864CED" w:rsidRPr="00B83952">
        <w:t>whether the private sector entity’s</w:t>
      </w:r>
      <w:r w:rsidR="004C0D51" w:rsidRPr="00B83952">
        <w:t>,</w:t>
      </w:r>
      <w:r w:rsidR="00864CED" w:rsidRPr="00B83952">
        <w:t xml:space="preserve"> </w:t>
      </w:r>
      <w:r w:rsidR="004C0D51" w:rsidRPr="00B83952">
        <w:t xml:space="preserve">or public sector entity’s, asset-specific </w:t>
      </w:r>
      <w:r w:rsidR="00864CED" w:rsidRPr="00B83952">
        <w:t xml:space="preserve">borrowing rate </w:t>
      </w:r>
      <w:r w:rsidR="003479B7" w:rsidRPr="00B83952">
        <w:t>should be used in estimating the financ</w:t>
      </w:r>
      <w:r w:rsidR="00F67424" w:rsidRPr="00B83952">
        <w:t>e</w:t>
      </w:r>
      <w:r w:rsidR="003479B7" w:rsidRPr="00B83952">
        <w:t xml:space="preserve"> costs.</w:t>
      </w:r>
      <w:bookmarkEnd w:id="172"/>
    </w:p>
    <w:p w14:paraId="0B64DE01" w14:textId="796B202D" w:rsidR="004F6EC4" w:rsidRPr="00B83952" w:rsidRDefault="004F6EC4" w:rsidP="003276D3">
      <w:pPr>
        <w:pStyle w:val="NumBC1"/>
      </w:pPr>
      <w:bookmarkStart w:id="173" w:name="_Ref115232076"/>
      <w:r w:rsidRPr="00B83952">
        <w:t>The Board observed that the treatment of borrowing costs and other finance costs when measuring the current replacement cost of</w:t>
      </w:r>
      <w:r w:rsidR="00F434FE" w:rsidRPr="00B83952">
        <w:t xml:space="preserve"> </w:t>
      </w:r>
      <w:r w:rsidRPr="00B83952">
        <w:t>a</w:t>
      </w:r>
      <w:r w:rsidR="0022079C" w:rsidRPr="00B83952">
        <w:t>n</w:t>
      </w:r>
      <w:r w:rsidRPr="00B83952">
        <w:t xml:space="preserve"> asset is not specific to not-for-profit entities in the public or private sector. It concluded that, in light of AASB 13 not specifying the treatment of those costs for fair value measurements by for-profit entities, it would be inappropriate to mandate a particular treatment for not-for-profit entities applying AASB 13.</w:t>
      </w:r>
      <w:bookmarkEnd w:id="173"/>
    </w:p>
    <w:p w14:paraId="03152909" w14:textId="042D39AE" w:rsidR="004F6EC4" w:rsidRPr="00B83952" w:rsidRDefault="004F6EC4" w:rsidP="003276D3">
      <w:pPr>
        <w:pStyle w:val="NumBC1"/>
      </w:pPr>
      <w:r w:rsidRPr="00B83952">
        <w:t xml:space="preserve">The International Valuation Standards Committee (IVSC) has indicated that consideration should be given to including borrowing costs and equity costs in the fair value of property, plant and equipment. IVS 105 </w:t>
      </w:r>
      <w:r w:rsidR="0067413C" w:rsidRPr="00B83952">
        <w:t>states</w:t>
      </w:r>
      <w:r w:rsidRPr="00B83952">
        <w:t>:</w:t>
      </w:r>
    </w:p>
    <w:p w14:paraId="5DD3E036" w14:textId="03A0FD56" w:rsidR="004F6EC4" w:rsidRPr="00B83952" w:rsidRDefault="004F6EC4" w:rsidP="00D1491A">
      <w:pPr>
        <w:pStyle w:val="NumBC1"/>
        <w:numPr>
          <w:ilvl w:val="0"/>
          <w:numId w:val="0"/>
        </w:numPr>
        <w:ind w:left="1565"/>
      </w:pPr>
      <w:r w:rsidRPr="00B83952">
        <w:t xml:space="preserve">The cost elements </w:t>
      </w:r>
      <w:r w:rsidRPr="00B83952">
        <w:rPr>
          <w:i/>
          <w:iCs/>
        </w:rPr>
        <w:t>may</w:t>
      </w:r>
      <w:r w:rsidRPr="00B83952">
        <w:t xml:space="preserve"> differ depending on the type of the asset and </w:t>
      </w:r>
      <w:r w:rsidRPr="00B83952">
        <w:rPr>
          <w:i/>
          <w:iCs/>
        </w:rPr>
        <w:t>should</w:t>
      </w:r>
      <w:r w:rsidRPr="00B83952">
        <w:t xml:space="preserve"> include the direct and indirect costs that would be required to replace/recreate the asset as of the valuation date.  Some common items to consider include: (a) direct costs … (b) indirect costs: … </w:t>
      </w:r>
      <w:r w:rsidRPr="00B83952">
        <w:rPr>
          <w:b/>
          <w:bCs/>
        </w:rPr>
        <w:t>7. finance costs (eg, interest on debt financing)</w:t>
      </w:r>
      <w:r w:rsidRPr="00B83952">
        <w:t>, and 8. profit margin/entrepreneurial profit to the creator of the asset (eg, return to investors). (paragraph 70.11, emphasis added)</w:t>
      </w:r>
    </w:p>
    <w:p w14:paraId="7F60F1C5" w14:textId="5A36FEB5" w:rsidR="00DE1382" w:rsidRPr="00B83952" w:rsidRDefault="00345672" w:rsidP="003276D3">
      <w:pPr>
        <w:pStyle w:val="NumBC1"/>
      </w:pPr>
      <w:r w:rsidRPr="00B83952">
        <w:lastRenderedPageBreak/>
        <w:t xml:space="preserve">The Board noted that some stakeholders argue that a not-for-profit public sector entity should exclude borrowing costs from the current replacement cost of an asset if that entity elects, under </w:t>
      </w:r>
      <w:r w:rsidR="008039DF" w:rsidRPr="00B83952">
        <w:t xml:space="preserve">paragraph Aus8.1 of </w:t>
      </w:r>
      <w:r w:rsidRPr="00B83952">
        <w:t xml:space="preserve">AASB 123 </w:t>
      </w:r>
      <w:r w:rsidRPr="00B83952">
        <w:rPr>
          <w:i/>
          <w:iCs/>
        </w:rPr>
        <w:t>Borrowing Costs</w:t>
      </w:r>
      <w:r w:rsidRPr="00B83952">
        <w:t xml:space="preserve">, not to capitalise borrowing costs into the cost of qualifying assets. </w:t>
      </w:r>
      <w:r w:rsidR="00DE1382" w:rsidRPr="00B83952">
        <w:t xml:space="preserve">Some of those stakeholders argued that </w:t>
      </w:r>
      <w:r w:rsidR="006E04E9" w:rsidRPr="00B83952">
        <w:t xml:space="preserve">including borrowing costs in an asset’s current replacement cost after writing them off on initial recognition of a qualifying asset would give rise to a revaluation gain </w:t>
      </w:r>
      <w:r w:rsidR="009C4721" w:rsidRPr="00B83952">
        <w:t>that reflects inconsistent treatment of borrowing costs at different measurement dates</w:t>
      </w:r>
      <w:r w:rsidR="00687866" w:rsidRPr="00B83952">
        <w:t xml:space="preserve"> – which they argue would not faithfully represent </w:t>
      </w:r>
      <w:r w:rsidR="004E2DB2" w:rsidRPr="00B83952">
        <w:t>a change in the asset’s value.</w:t>
      </w:r>
      <w:r w:rsidR="00167F9C" w:rsidRPr="00B83952">
        <w:t xml:space="preserve"> The Board notes that this is a similar concern to that noted in paragraph </w:t>
      </w:r>
      <w:r w:rsidR="002107DD" w:rsidRPr="00B83952">
        <w:fldChar w:fldCharType="begin"/>
      </w:r>
      <w:r w:rsidR="002107DD" w:rsidRPr="00B83952">
        <w:instrText xml:space="preserve"> REF _Ref94621311 \r \h </w:instrText>
      </w:r>
      <w:r w:rsidR="00F8582C" w:rsidRPr="00B83952">
        <w:instrText xml:space="preserve"> \* MERGEFORMAT </w:instrText>
      </w:r>
      <w:r w:rsidR="002107DD" w:rsidRPr="00B83952">
        <w:fldChar w:fldCharType="separate"/>
      </w:r>
      <w:r w:rsidR="005A1B65">
        <w:t>BC181</w:t>
      </w:r>
      <w:r w:rsidR="002107DD" w:rsidRPr="00B83952">
        <w:fldChar w:fldCharType="end"/>
      </w:r>
      <w:r w:rsidR="00691848" w:rsidRPr="00B83952">
        <w:t>(b)</w:t>
      </w:r>
      <w:r w:rsidR="00167F9C" w:rsidRPr="00B83952">
        <w:t xml:space="preserve"> regarding </w:t>
      </w:r>
      <w:r w:rsidR="005A7632" w:rsidRPr="00B83952">
        <w:t>restoration costs</w:t>
      </w:r>
      <w:r w:rsidR="00167F9C" w:rsidRPr="00B83952">
        <w:t xml:space="preserve"> included in the current replacement cost of an asset without having been incurred during the asset’s initial construction, </w:t>
      </w:r>
      <w:r w:rsidR="00691848" w:rsidRPr="00B83952">
        <w:t xml:space="preserve">giving rise to what </w:t>
      </w:r>
      <w:r w:rsidR="000A24C9" w:rsidRPr="00B83952">
        <w:t xml:space="preserve">some </w:t>
      </w:r>
      <w:r w:rsidR="00691848" w:rsidRPr="00B83952">
        <w:t>stakeholders regard as an anomalous gain</w:t>
      </w:r>
      <w:r w:rsidR="000A24C9" w:rsidRPr="00B83952">
        <w:t>.</w:t>
      </w:r>
      <w:r w:rsidR="00691848" w:rsidRPr="00B83952">
        <w:t xml:space="preserve"> </w:t>
      </w:r>
    </w:p>
    <w:p w14:paraId="3F4E1096" w14:textId="35727FAB" w:rsidR="00345672" w:rsidRPr="00B83952" w:rsidRDefault="00345672" w:rsidP="003276D3">
      <w:pPr>
        <w:pStyle w:val="NumBC1"/>
      </w:pPr>
      <w:r w:rsidRPr="00B83952">
        <w:t>The Board consider</w:t>
      </w:r>
      <w:r w:rsidR="00542203" w:rsidRPr="00B83952">
        <w:t>ed</w:t>
      </w:r>
      <w:r w:rsidRPr="00B83952">
        <w:t xml:space="preserve"> that the accounting policy choice regarding capitalisation of borrowing costs at the asset’s initial recognition under AASB 123 is irrelevant to how those costs should be treated in subsequent measurements of </w:t>
      </w:r>
      <w:r w:rsidR="0029775F" w:rsidRPr="00B83952">
        <w:t xml:space="preserve">an </w:t>
      </w:r>
      <w:r w:rsidRPr="00B83952">
        <w:t xml:space="preserve">asset that necessarily takes a substantial period of time to get ready for its intended use. This is because the price that market participant buyers would pay for an asset is unaffected by accounting policies adopted in respect of that asset. The recognition of initial costs and subsequent measurement are fundamentally different processes. Therefore, there should be no presumption that the treatment of borrowing costs should be consistent for both. </w:t>
      </w:r>
      <w:r w:rsidR="004E6223" w:rsidRPr="00B83952">
        <w:t>The Board observe</w:t>
      </w:r>
      <w:r w:rsidR="00542203" w:rsidRPr="00B83952">
        <w:t>d</w:t>
      </w:r>
      <w:r w:rsidR="004E6223" w:rsidRPr="00B83952">
        <w:t xml:space="preserve"> that </w:t>
      </w:r>
      <w:r w:rsidR="00A54CC0" w:rsidRPr="00B83952">
        <w:t>paragraph</w:t>
      </w:r>
      <w:r w:rsidR="001D02BF" w:rsidRPr="00B83952">
        <w:t xml:space="preserve"> B4 </w:t>
      </w:r>
      <w:r w:rsidR="003302DF" w:rsidRPr="00B83952">
        <w:t xml:space="preserve">of AASB 13 </w:t>
      </w:r>
      <w:r w:rsidR="004E6223" w:rsidRPr="00B83952">
        <w:t xml:space="preserve">identifies a range of circumstances in which an asset’s fair value </w:t>
      </w:r>
      <w:r w:rsidR="009D652D" w:rsidRPr="00B83952">
        <w:t>at</w:t>
      </w:r>
      <w:r w:rsidR="004E6223" w:rsidRPr="00B83952">
        <w:t xml:space="preserve"> initial recognition can differ from its transaction price</w:t>
      </w:r>
      <w:r w:rsidR="009D652D" w:rsidRPr="00B83952">
        <w:t xml:space="preserve">, indicating </w:t>
      </w:r>
      <w:r w:rsidR="00EA6E9A" w:rsidRPr="00B83952">
        <w:t>that items of comprehensive income can arise from differences between the transaction price reflected in initial measurement and fair value.</w:t>
      </w:r>
    </w:p>
    <w:p w14:paraId="52CAE5FC" w14:textId="1658C299" w:rsidR="00B14C9A" w:rsidRPr="00B83952" w:rsidRDefault="00B14C9A">
      <w:pPr>
        <w:pStyle w:val="IASBSectionTitle3Ind"/>
      </w:pPr>
      <w:r w:rsidRPr="00B83952">
        <w:t>Which entity’s borrowing rate should be used?</w:t>
      </w:r>
    </w:p>
    <w:p w14:paraId="3DBE4CA8" w14:textId="1A8ECB6A" w:rsidR="00FB7A2D" w:rsidRPr="00B83952" w:rsidRDefault="00B14C9A" w:rsidP="003276D3">
      <w:pPr>
        <w:pStyle w:val="NumBC1"/>
      </w:pPr>
      <w:bookmarkStart w:id="174" w:name="_Ref85971193"/>
      <w:bookmarkStart w:id="175" w:name="_Ref95136282"/>
      <w:r w:rsidRPr="00B83952">
        <w:t xml:space="preserve">The Board was also asked to provide guidance to not-for-profit public sector entities about which entity’s borrowing rate should be used to measure those borrowing costs, if borrowing costs </w:t>
      </w:r>
      <w:r w:rsidR="008E7283" w:rsidRPr="00B83952">
        <w:t xml:space="preserve">were </w:t>
      </w:r>
      <w:r w:rsidRPr="00B83952">
        <w:t xml:space="preserve">to be included in the asset’s current replacement cost. </w:t>
      </w:r>
      <w:bookmarkStart w:id="176" w:name="_Ref96698477"/>
      <w:bookmarkStart w:id="177" w:name="_Ref93419310"/>
      <w:bookmarkEnd w:id="174"/>
      <w:bookmarkEnd w:id="175"/>
      <w:r w:rsidR="00D4335E" w:rsidRPr="00B83952">
        <w:t>Where the cost approach is used</w:t>
      </w:r>
      <w:r w:rsidR="00442BC0" w:rsidRPr="00B83952">
        <w:t xml:space="preserve">, </w:t>
      </w:r>
      <w:r w:rsidR="000A5238" w:rsidRPr="00B83952">
        <w:t xml:space="preserve">if borrowing costs or other finance costs are included in the asset’s fair value measurement, </w:t>
      </w:r>
      <w:r w:rsidR="00442BC0" w:rsidRPr="00B83952">
        <w:t>under the guidance in paragraphs </w:t>
      </w:r>
      <w:r w:rsidR="008C5635" w:rsidRPr="00B83952">
        <w:fldChar w:fldCharType="begin"/>
      </w:r>
      <w:r w:rsidR="008C5635" w:rsidRPr="00B83952">
        <w:instrText xml:space="preserve"> REF _Ref115100654 \r \h </w:instrText>
      </w:r>
      <w:r w:rsidR="008C5635" w:rsidRPr="00B83952">
        <w:fldChar w:fldCharType="separate"/>
      </w:r>
      <w:r w:rsidR="005A1B65">
        <w:t>F5</w:t>
      </w:r>
      <w:r w:rsidR="008C5635" w:rsidRPr="00B83952">
        <w:fldChar w:fldCharType="end"/>
      </w:r>
      <w:r w:rsidR="00143D0B" w:rsidRPr="00B83952">
        <w:t xml:space="preserve"> and </w:t>
      </w:r>
      <w:r w:rsidR="00896BE6" w:rsidRPr="00B83952">
        <w:fldChar w:fldCharType="begin"/>
      </w:r>
      <w:r w:rsidR="00896BE6" w:rsidRPr="00B83952">
        <w:instrText xml:space="preserve"> REF _Ref93419124 \r \h </w:instrText>
      </w:r>
      <w:r w:rsidR="00896BE6" w:rsidRPr="00B83952">
        <w:fldChar w:fldCharType="separate"/>
      </w:r>
      <w:r w:rsidR="005A1B65">
        <w:t>F6</w:t>
      </w:r>
      <w:r w:rsidR="00896BE6" w:rsidRPr="00B83952">
        <w:fldChar w:fldCharType="end"/>
      </w:r>
      <w:r w:rsidR="00FB7A2D" w:rsidRPr="00B83952">
        <w:t>:</w:t>
      </w:r>
      <w:bookmarkEnd w:id="176"/>
    </w:p>
    <w:p w14:paraId="307E641F" w14:textId="56A8ECA6" w:rsidR="001B2366" w:rsidRPr="00B83952" w:rsidRDefault="00102DC1" w:rsidP="003276D3">
      <w:pPr>
        <w:pStyle w:val="NumBC2"/>
      </w:pPr>
      <w:r w:rsidRPr="00B83952">
        <w:t xml:space="preserve">if all relevant information about market participant assumptions needed to estimate the fair value of the asset is reasonably available, including information about finance costs assumptions, the entity </w:t>
      </w:r>
      <w:r w:rsidR="000A5238" w:rsidRPr="00B83952">
        <w:t>would</w:t>
      </w:r>
      <w:r w:rsidRPr="00B83952">
        <w:t xml:space="preserve"> use those assumptions in measuring the fair value of the asset</w:t>
      </w:r>
      <w:r w:rsidR="001B2366" w:rsidRPr="00B83952">
        <w:t xml:space="preserve">; </w:t>
      </w:r>
      <w:r w:rsidR="003A7879" w:rsidRPr="00B83952">
        <w:t>or</w:t>
      </w:r>
    </w:p>
    <w:p w14:paraId="47256148" w14:textId="3E646EB4" w:rsidR="0085487D" w:rsidRPr="00B83952" w:rsidRDefault="003A7879" w:rsidP="003276D3">
      <w:pPr>
        <w:pStyle w:val="NumBC2"/>
      </w:pPr>
      <w:r w:rsidRPr="00B83952">
        <w:t xml:space="preserve">if </w:t>
      </w:r>
      <w:r w:rsidR="00952F9C" w:rsidRPr="00B83952">
        <w:t xml:space="preserve">some </w:t>
      </w:r>
      <w:r w:rsidRPr="00B83952">
        <w:t xml:space="preserve">relevant information about market participant assumptions needed to estimate the fair value of the asset is </w:t>
      </w:r>
      <w:r w:rsidR="00952F9C" w:rsidRPr="00B83952">
        <w:t xml:space="preserve">not </w:t>
      </w:r>
      <w:r w:rsidRPr="00B83952">
        <w:t xml:space="preserve">reasonably available, </w:t>
      </w:r>
      <w:r w:rsidR="001B2366" w:rsidRPr="00B83952">
        <w:t xml:space="preserve">the entity’s own </w:t>
      </w:r>
      <w:r w:rsidR="00AE05C4" w:rsidRPr="00B83952">
        <w:t xml:space="preserve">assumptions </w:t>
      </w:r>
      <w:r w:rsidR="001B2366" w:rsidRPr="00B83952">
        <w:t xml:space="preserve">would be used as a starting point to determine </w:t>
      </w:r>
      <w:r w:rsidR="006367DB" w:rsidRPr="00B83952">
        <w:t>the amount of</w:t>
      </w:r>
      <w:r w:rsidR="001B2366" w:rsidRPr="00B83952">
        <w:t xml:space="preserve"> finance costs </w:t>
      </w:r>
      <w:r w:rsidR="006367DB" w:rsidRPr="00B83952">
        <w:t>to</w:t>
      </w:r>
      <w:r w:rsidR="001B2366" w:rsidRPr="00B83952">
        <w:t xml:space="preserve"> include in the asset’s </w:t>
      </w:r>
      <w:r w:rsidR="004F050A" w:rsidRPr="00B83952">
        <w:t>current replacement cost</w:t>
      </w:r>
      <w:r w:rsidR="001B2366" w:rsidRPr="00B83952">
        <w:t xml:space="preserve">. The entity </w:t>
      </w:r>
      <w:r w:rsidR="002A27FC" w:rsidRPr="00B83952">
        <w:t>would adjust</w:t>
      </w:r>
      <w:r w:rsidR="001B2366" w:rsidRPr="00B83952">
        <w:t xml:space="preserve"> those </w:t>
      </w:r>
      <w:r w:rsidR="00AE05C4" w:rsidRPr="00B83952">
        <w:t xml:space="preserve">assumptions </w:t>
      </w:r>
      <w:r w:rsidR="001B2366" w:rsidRPr="00B83952">
        <w:t>for any reasonably available information about any different data used by other market participants relating to borrowing and other finance costs.</w:t>
      </w:r>
    </w:p>
    <w:p w14:paraId="29271E89" w14:textId="70DF747D" w:rsidR="006367DB" w:rsidRPr="00B83952" w:rsidRDefault="00082DC0" w:rsidP="003276D3">
      <w:pPr>
        <w:pStyle w:val="NumBC1"/>
        <w:rPr>
          <w:szCs w:val="19"/>
        </w:rPr>
      </w:pPr>
      <w:bookmarkStart w:id="178" w:name="_Ref95136430"/>
      <w:r w:rsidRPr="00B83952">
        <w:rPr>
          <w:szCs w:val="19"/>
        </w:rPr>
        <w:t xml:space="preserve">However, in respect of the situation described in paragraph </w:t>
      </w:r>
      <w:r w:rsidR="003F2039" w:rsidRPr="00B83952">
        <w:rPr>
          <w:szCs w:val="19"/>
        </w:rPr>
        <w:fldChar w:fldCharType="begin"/>
      </w:r>
      <w:r w:rsidR="003F2039" w:rsidRPr="00B83952">
        <w:rPr>
          <w:szCs w:val="19"/>
        </w:rPr>
        <w:instrText xml:space="preserve"> REF _Ref96698477 \r \h </w:instrText>
      </w:r>
      <w:r w:rsidR="003F2039" w:rsidRPr="00B83952">
        <w:rPr>
          <w:szCs w:val="19"/>
        </w:rPr>
      </w:r>
      <w:r w:rsidR="003F2039" w:rsidRPr="00B83952">
        <w:rPr>
          <w:szCs w:val="19"/>
        </w:rPr>
        <w:fldChar w:fldCharType="separate"/>
      </w:r>
      <w:r w:rsidR="005A1B65">
        <w:rPr>
          <w:szCs w:val="19"/>
        </w:rPr>
        <w:t>BC201</w:t>
      </w:r>
      <w:r w:rsidR="003F2039" w:rsidRPr="00B83952">
        <w:rPr>
          <w:szCs w:val="19"/>
        </w:rPr>
        <w:fldChar w:fldCharType="end"/>
      </w:r>
      <w:r w:rsidRPr="00B83952">
        <w:rPr>
          <w:szCs w:val="19"/>
        </w:rPr>
        <w:t xml:space="preserve">(b), the Board observed that, in most cases in which the asset subject to measurement has specialised features, </w:t>
      </w:r>
      <w:bookmarkStart w:id="179" w:name="_Hlk97209186"/>
      <w:r w:rsidRPr="00B83952">
        <w:rPr>
          <w:szCs w:val="19"/>
        </w:rPr>
        <w:t xml:space="preserve">information about other market participants’ finance costs (including borrowing costs) specific to constructing the subject asset is unlikely to be reasonably available because </w:t>
      </w:r>
      <w:bookmarkEnd w:id="179"/>
      <w:r w:rsidRPr="00B83952">
        <w:rPr>
          <w:szCs w:val="19"/>
        </w:rPr>
        <w:t>applicable finance costs would depend on the financial circumstances of the constructor of the asset. When information about other market participants’ finance costs is not reasonably available, the holder of the asset would use its own assumptions in estimating the amount of any finance costs to include in the subject asset’s current replacement cost (if the entity determines that finance costs should be included in that asset’s current replacement cost).</w:t>
      </w:r>
    </w:p>
    <w:bookmarkEnd w:id="178"/>
    <w:p w14:paraId="4CE156BB" w14:textId="4C8C7DEC" w:rsidR="008D3AE8" w:rsidRPr="00B83952" w:rsidRDefault="005B4738" w:rsidP="003276D3">
      <w:pPr>
        <w:pStyle w:val="NumBC1"/>
      </w:pPr>
      <w:r w:rsidRPr="00B83952">
        <w:t xml:space="preserve">One respondent to ED 320 requested the Board to clarify the factors to consider regarding whether finance costs should be included in current replacement cost measurements of fair value (but without mandating either the inclusion or exclusion of funding costs in every circumstance). </w:t>
      </w:r>
      <w:r w:rsidR="002B5BC0" w:rsidRPr="00B83952">
        <w:t xml:space="preserve">Consistent with </w:t>
      </w:r>
      <w:r w:rsidRPr="00B83952">
        <w:t>paragraph </w:t>
      </w:r>
      <w:r w:rsidR="006D07F9" w:rsidRPr="00B83952">
        <w:fldChar w:fldCharType="begin"/>
      </w:r>
      <w:r w:rsidR="006D07F9" w:rsidRPr="00B83952">
        <w:instrText xml:space="preserve"> REF _Ref115232076 \r \h </w:instrText>
      </w:r>
      <w:r w:rsidR="006D07F9" w:rsidRPr="00B83952">
        <w:fldChar w:fldCharType="separate"/>
      </w:r>
      <w:r w:rsidR="005A1B65">
        <w:t>BC197</w:t>
      </w:r>
      <w:r w:rsidR="006D07F9" w:rsidRPr="00B83952">
        <w:fldChar w:fldCharType="end"/>
      </w:r>
      <w:r w:rsidR="002B5BC0" w:rsidRPr="00B83952">
        <w:t>, the Board decided not to provide implementation guidance on those factors</w:t>
      </w:r>
      <w:r w:rsidR="007B37A3" w:rsidRPr="00B83952">
        <w:t>;</w:t>
      </w:r>
      <w:r w:rsidR="002B5BC0" w:rsidRPr="00B83952">
        <w:t xml:space="preserve"> since the IASB did</w:t>
      </w:r>
      <w:r w:rsidRPr="00B83952">
        <w:t xml:space="preserve"> not specify the treatment of finance costs for fair value measurements by for-profit entities, it would be inappropriate to mandate particular </w:t>
      </w:r>
      <w:r w:rsidR="007B37A3" w:rsidRPr="00B83952">
        <w:t xml:space="preserve">factors </w:t>
      </w:r>
      <w:r w:rsidRPr="00B83952">
        <w:t xml:space="preserve">for not-for-profit entities </w:t>
      </w:r>
      <w:r w:rsidR="007B37A3" w:rsidRPr="00B83952">
        <w:t xml:space="preserve">to consider in </w:t>
      </w:r>
      <w:r w:rsidRPr="00B83952">
        <w:t>applying AASB 13.</w:t>
      </w:r>
    </w:p>
    <w:p w14:paraId="763BC4E0" w14:textId="4F21C4CD" w:rsidR="00DA798F" w:rsidRPr="00B83952" w:rsidRDefault="00C1049C" w:rsidP="00C92200">
      <w:pPr>
        <w:pStyle w:val="IASBSectionTitle2Ind"/>
      </w:pPr>
      <w:r w:rsidRPr="00B83952">
        <w:t>Other types of costs</w:t>
      </w:r>
    </w:p>
    <w:p w14:paraId="6DFCC9D9" w14:textId="052E32AC" w:rsidR="00DA798F" w:rsidRPr="00B83952" w:rsidRDefault="00DA798F" w:rsidP="00C92200">
      <w:pPr>
        <w:pStyle w:val="NumBC1"/>
      </w:pPr>
      <w:bookmarkStart w:id="180" w:name="_Ref119889358"/>
      <w:r w:rsidRPr="00B83952">
        <w:t>During the outreach connected with the Fatal-Flaw Review draft, a stakeholder suggested the Board consider setting out all types of costs that would need to be considered in measuring the current replacement cost of an asset, for example the additional costs of compulsory acquisition of properties acquired to build a road. Furthermore, they suggested the Board include</w:t>
      </w:r>
      <w:r w:rsidR="0003158A" w:rsidRPr="00B83952">
        <w:t>s</w:t>
      </w:r>
      <w:r w:rsidRPr="00B83952">
        <w:t xml:space="preserve"> an example illustrating a common circumstance in which the value for land and improvements is estimated jointly, with the value for the improvements being a residual after deducting the value of the land.</w:t>
      </w:r>
      <w:bookmarkEnd w:id="180"/>
      <w:r w:rsidRPr="00B83952">
        <w:t xml:space="preserve"> The Board noted that the illustrative examples are meant to illustrate how to apply principles, not necessarily to reflect a particular or typical set of circumstances, and considers that illustrating how values are apportioned between land and improvements: </w:t>
      </w:r>
    </w:p>
    <w:p w14:paraId="15D86912" w14:textId="77777777" w:rsidR="00DA798F" w:rsidRPr="00B83952" w:rsidRDefault="00DA798F" w:rsidP="00C92200">
      <w:pPr>
        <w:pStyle w:val="NumBC2"/>
      </w:pPr>
      <w:r w:rsidRPr="00B83952">
        <w:t xml:space="preserve">would be a matter for detailed valuation assessments; and </w:t>
      </w:r>
    </w:p>
    <w:p w14:paraId="2A4385EC" w14:textId="77777777" w:rsidR="00DA798F" w:rsidRPr="00B83952" w:rsidRDefault="00DA798F" w:rsidP="00C92200">
      <w:pPr>
        <w:pStyle w:val="NumBC2"/>
      </w:pPr>
      <w:r w:rsidRPr="00B83952">
        <w:lastRenderedPageBreak/>
        <w:t>might imply restrictions on how valuers apply the market, income or cost approach.</w:t>
      </w:r>
    </w:p>
    <w:p w14:paraId="4D1C4D27" w14:textId="30F7D924" w:rsidR="00DA798F" w:rsidRPr="00B83952" w:rsidRDefault="00DA798F" w:rsidP="00C92200">
      <w:pPr>
        <w:pStyle w:val="NumBC2"/>
        <w:numPr>
          <w:ilvl w:val="0"/>
          <w:numId w:val="0"/>
        </w:numPr>
        <w:ind w:left="782"/>
      </w:pPr>
      <w:r w:rsidRPr="00B83952">
        <w:t>Therefore, the Board decided not to add such an example.</w:t>
      </w:r>
    </w:p>
    <w:bookmarkEnd w:id="177"/>
    <w:p w14:paraId="3480D7DD" w14:textId="1D28E7DC" w:rsidR="00DD051C" w:rsidRPr="00B83952" w:rsidRDefault="00DD051C" w:rsidP="00C92200">
      <w:pPr>
        <w:pStyle w:val="IASBSectionTitle1NonInd"/>
      </w:pPr>
      <w:r w:rsidRPr="00B83952">
        <w:t xml:space="preserve">Obsolescence and </w:t>
      </w:r>
      <w:r w:rsidR="009824CE" w:rsidRPr="00B83952">
        <w:t>depreciation expense</w:t>
      </w:r>
    </w:p>
    <w:p w14:paraId="41698C35" w14:textId="77777777" w:rsidR="00FB6328" w:rsidRPr="00B83952" w:rsidRDefault="00EC4950" w:rsidP="003276D3">
      <w:pPr>
        <w:pStyle w:val="NumBC1"/>
      </w:pPr>
      <w:r w:rsidRPr="00B83952">
        <w:t>The Board has been requested to provide guidance on:</w:t>
      </w:r>
    </w:p>
    <w:p w14:paraId="5C87505E" w14:textId="564011C1" w:rsidR="006F5749" w:rsidRPr="00B83952" w:rsidRDefault="00514D73" w:rsidP="003276D3">
      <w:pPr>
        <w:pStyle w:val="NumBC2"/>
      </w:pPr>
      <w:r w:rsidRPr="00B83952">
        <w:t>e</w:t>
      </w:r>
      <w:r w:rsidR="006F5749" w:rsidRPr="00B83952">
        <w:t>conomic obsolescence</w:t>
      </w:r>
      <w:r w:rsidR="00384B70" w:rsidRPr="00B83952">
        <w:t>;</w:t>
      </w:r>
      <w:r w:rsidR="006F5749" w:rsidRPr="00B83952">
        <w:t xml:space="preserve"> </w:t>
      </w:r>
    </w:p>
    <w:p w14:paraId="731001CA" w14:textId="65BEA71C" w:rsidR="00514D73" w:rsidRPr="00B83952" w:rsidRDefault="006C452F" w:rsidP="003276D3">
      <w:pPr>
        <w:pStyle w:val="NumBC2"/>
      </w:pPr>
      <w:r w:rsidRPr="00B83952">
        <w:t>cu</w:t>
      </w:r>
      <w:r w:rsidR="001A0889" w:rsidRPr="00B83952">
        <w:t xml:space="preserve">rable and incurable </w:t>
      </w:r>
      <w:r w:rsidR="00514D73" w:rsidRPr="00B83952">
        <w:t>physical obsolescence;</w:t>
      </w:r>
    </w:p>
    <w:p w14:paraId="024988DA" w14:textId="56EDD6C1" w:rsidR="003B6300" w:rsidRPr="00B83952" w:rsidRDefault="001A0889" w:rsidP="003276D3">
      <w:pPr>
        <w:pStyle w:val="NumBC2"/>
      </w:pPr>
      <w:r w:rsidRPr="00B83952">
        <w:t>adjusting for additional functional</w:t>
      </w:r>
      <w:r w:rsidR="00B170BF" w:rsidRPr="00B83952">
        <w:t>ity in the modern equivalent reference asset</w:t>
      </w:r>
      <w:r w:rsidR="003B6300" w:rsidRPr="00B83952">
        <w:t>;</w:t>
      </w:r>
      <w:r w:rsidR="00CC5180" w:rsidRPr="00B83952">
        <w:t xml:space="preserve"> </w:t>
      </w:r>
    </w:p>
    <w:p w14:paraId="19739CAD" w14:textId="75C231AE" w:rsidR="00FB6328" w:rsidRPr="00B83952" w:rsidRDefault="00CC5180" w:rsidP="003276D3">
      <w:pPr>
        <w:pStyle w:val="NumBC2"/>
      </w:pPr>
      <w:r w:rsidRPr="00B83952">
        <w:t>asset depreciation</w:t>
      </w:r>
      <w:r w:rsidR="001A4B8B" w:rsidRPr="00B83952">
        <w:t>; and</w:t>
      </w:r>
    </w:p>
    <w:p w14:paraId="27393AAB" w14:textId="46DFB6E9" w:rsidR="001A4B8B" w:rsidRPr="00B83952" w:rsidRDefault="001A4B8B" w:rsidP="003276D3">
      <w:pPr>
        <w:pStyle w:val="NumBC2"/>
      </w:pPr>
      <w:r w:rsidRPr="00B83952">
        <w:t>whether another description than ‘accumulated depreciation’ is permitted for disclosing the amount of accumulated obsolescence in financial statements.</w:t>
      </w:r>
    </w:p>
    <w:p w14:paraId="53E9E471" w14:textId="2EB95272" w:rsidR="00ED5779" w:rsidRPr="00B83952" w:rsidRDefault="00ED5779" w:rsidP="003276D3">
      <w:pPr>
        <w:pStyle w:val="NumBC1"/>
      </w:pPr>
      <w:r w:rsidRPr="00B83952">
        <w:t>Two respondents to ED 320 reiterated their requests for guidance on issues (</w:t>
      </w:r>
      <w:r w:rsidR="00AE63B7" w:rsidRPr="00B83952">
        <w:t>b</w:t>
      </w:r>
      <w:r w:rsidRPr="00B83952">
        <w:t>) and (</w:t>
      </w:r>
      <w:r w:rsidR="00AE63B7" w:rsidRPr="00B83952">
        <w:t>d</w:t>
      </w:r>
      <w:r w:rsidRPr="00B83952">
        <w:t>) and on the appropriate disaggregation of parts of an asset to ensure the correct calculation of depreciation expense</w:t>
      </w:r>
      <w:r w:rsidR="00AE63B7" w:rsidRPr="00B83952">
        <w:t>.</w:t>
      </w:r>
    </w:p>
    <w:p w14:paraId="0B8B5CC5" w14:textId="221C5422" w:rsidR="00F2290B" w:rsidRPr="00B83952" w:rsidRDefault="00946A63" w:rsidP="003276D3">
      <w:pPr>
        <w:pStyle w:val="NumBC1"/>
      </w:pPr>
      <w:r w:rsidRPr="00B83952">
        <w:t xml:space="preserve">Other than in respect of economic obsolescence (see paragraphs </w:t>
      </w:r>
      <w:r w:rsidRPr="00B83952">
        <w:fldChar w:fldCharType="begin"/>
      </w:r>
      <w:r w:rsidRPr="00B83952">
        <w:instrText xml:space="preserve"> REF _Ref85458314 \r \h </w:instrText>
      </w:r>
      <w:r w:rsidRPr="00B83952">
        <w:fldChar w:fldCharType="separate"/>
      </w:r>
      <w:r w:rsidR="005A1B65">
        <w:t>BC209</w:t>
      </w:r>
      <w:r w:rsidRPr="00B83952">
        <w:fldChar w:fldCharType="end"/>
      </w:r>
      <w:r w:rsidRPr="00B83952">
        <w:t>–</w:t>
      </w:r>
      <w:r w:rsidRPr="00B83952">
        <w:fldChar w:fldCharType="begin"/>
      </w:r>
      <w:r w:rsidRPr="00B83952">
        <w:instrText xml:space="preserve"> REF _Ref118983691 \r \h </w:instrText>
      </w:r>
      <w:r w:rsidRPr="00B83952">
        <w:fldChar w:fldCharType="separate"/>
      </w:r>
      <w:r w:rsidR="005A1B65">
        <w:t>BC217</w:t>
      </w:r>
      <w:r w:rsidRPr="00B83952">
        <w:fldChar w:fldCharType="end"/>
      </w:r>
      <w:r w:rsidRPr="00B83952">
        <w:t>)</w:t>
      </w:r>
      <w:r w:rsidR="00963947" w:rsidRPr="00B83952">
        <w:t xml:space="preserve">, the Board decided that </w:t>
      </w:r>
      <w:r w:rsidR="00C76349" w:rsidRPr="00B83952">
        <w:t>further guidance is not warranted regard</w:t>
      </w:r>
      <w:r w:rsidR="005A198C" w:rsidRPr="00B83952">
        <w:t>ing</w:t>
      </w:r>
      <w:r w:rsidR="00C76349" w:rsidRPr="00B83952">
        <w:t xml:space="preserve"> (b)–(</w:t>
      </w:r>
      <w:r w:rsidR="001A4B8B" w:rsidRPr="00B83952">
        <w:t>e</w:t>
      </w:r>
      <w:r w:rsidR="00C76349" w:rsidRPr="00B83952">
        <w:t>) above because</w:t>
      </w:r>
      <w:r w:rsidR="00F2290B" w:rsidRPr="00B83952">
        <w:t>:</w:t>
      </w:r>
      <w:r w:rsidR="00C76349" w:rsidRPr="00B83952">
        <w:t xml:space="preserve"> </w:t>
      </w:r>
    </w:p>
    <w:p w14:paraId="179CCEA6" w14:textId="77777777" w:rsidR="00F2290B" w:rsidRPr="00B83952" w:rsidRDefault="00085711" w:rsidP="003276D3">
      <w:pPr>
        <w:pStyle w:val="NumBC2"/>
      </w:pPr>
      <w:r w:rsidRPr="00B83952">
        <w:t>those issues are not specific to not-for-profit entities</w:t>
      </w:r>
      <w:r w:rsidR="00F2290B" w:rsidRPr="00B83952">
        <w:t>;</w:t>
      </w:r>
      <w:r w:rsidRPr="00B83952">
        <w:t xml:space="preserve"> and </w:t>
      </w:r>
    </w:p>
    <w:p w14:paraId="4863A20B" w14:textId="247E2D4E" w:rsidR="00C76349" w:rsidRPr="00B83952" w:rsidRDefault="00C76349" w:rsidP="003276D3">
      <w:pPr>
        <w:pStyle w:val="NumBC2"/>
      </w:pPr>
      <w:r w:rsidRPr="00B83952">
        <w:t>there does not appear to be any gap or other flaw in existing pronouncements that would cause financial statements of not-for-profit public sector entities to inadequately reflect the objectives and qualitative characteristics of financial reporting or not reflect economic reality.</w:t>
      </w:r>
    </w:p>
    <w:p w14:paraId="5346AE22" w14:textId="1C156467" w:rsidR="00310B19" w:rsidRPr="00B83952" w:rsidRDefault="00310B19" w:rsidP="003276D3">
      <w:pPr>
        <w:pStyle w:val="NumBC1"/>
      </w:pPr>
      <w:r w:rsidRPr="00B83952">
        <w:t>In addition, the Board noted that existing AASB pronouncements include guidance addressing some issues listed in (</w:t>
      </w:r>
      <w:r w:rsidR="009A2E50" w:rsidRPr="00B83952">
        <w:t>d</w:t>
      </w:r>
      <w:r w:rsidRPr="00B83952">
        <w:t>)</w:t>
      </w:r>
      <w:r w:rsidR="009A2E50" w:rsidRPr="00B83952">
        <w:t xml:space="preserve"> and </w:t>
      </w:r>
      <w:r w:rsidRPr="00B83952">
        <w:t>(</w:t>
      </w:r>
      <w:r w:rsidR="001A4B8B" w:rsidRPr="00B83952">
        <w:t>e</w:t>
      </w:r>
      <w:r w:rsidRPr="00B83952">
        <w:t>). These items of guidance are noted in paragraphs</w:t>
      </w:r>
      <w:r w:rsidR="00D42535" w:rsidRPr="00B83952">
        <w:t xml:space="preserve"> </w:t>
      </w:r>
      <w:r w:rsidR="00D42535" w:rsidRPr="00B83952">
        <w:fldChar w:fldCharType="begin"/>
      </w:r>
      <w:r w:rsidR="00D42535" w:rsidRPr="00B83952">
        <w:instrText xml:space="preserve"> REF _Ref118986816 \r \h </w:instrText>
      </w:r>
      <w:r w:rsidR="00D42535" w:rsidRPr="00B83952">
        <w:fldChar w:fldCharType="separate"/>
      </w:r>
      <w:r w:rsidR="005A1B65">
        <w:t>BC222</w:t>
      </w:r>
      <w:r w:rsidR="00D42535" w:rsidRPr="00B83952">
        <w:fldChar w:fldCharType="end"/>
      </w:r>
      <w:r w:rsidR="00D42535" w:rsidRPr="00B83952">
        <w:t>–</w:t>
      </w:r>
      <w:r w:rsidR="00D42535" w:rsidRPr="00B83952">
        <w:fldChar w:fldCharType="begin"/>
      </w:r>
      <w:r w:rsidR="00D42535" w:rsidRPr="00B83952">
        <w:instrText xml:space="preserve"> REF _Ref118984202 \r \h </w:instrText>
      </w:r>
      <w:r w:rsidR="00D42535" w:rsidRPr="00B83952">
        <w:fldChar w:fldCharType="separate"/>
      </w:r>
      <w:r w:rsidR="005A1B65">
        <w:t>BC225</w:t>
      </w:r>
      <w:r w:rsidR="00D42535" w:rsidRPr="00B83952">
        <w:fldChar w:fldCharType="end"/>
      </w:r>
      <w:r w:rsidR="003A6216" w:rsidRPr="00B83952">
        <w:t>.</w:t>
      </w:r>
    </w:p>
    <w:p w14:paraId="46CE74E7" w14:textId="4904B332" w:rsidR="00E04EFF" w:rsidRPr="00B83952" w:rsidRDefault="00E04EFF" w:rsidP="00910025">
      <w:pPr>
        <w:pStyle w:val="IASBSectionTitle2Ind"/>
      </w:pPr>
      <w:r w:rsidRPr="00B83952">
        <w:t>Economic obsolescence (paragraph</w:t>
      </w:r>
      <w:r w:rsidR="00ED7A05" w:rsidRPr="00B83952">
        <w:t>s</w:t>
      </w:r>
      <w:r w:rsidR="00307425" w:rsidRPr="00B83952">
        <w:t xml:space="preserve"> </w:t>
      </w:r>
      <w:r w:rsidR="00E7193B" w:rsidRPr="00B83952">
        <w:fldChar w:fldCharType="begin"/>
      </w:r>
      <w:r w:rsidR="00E7193B" w:rsidRPr="00B83952">
        <w:instrText xml:space="preserve"> REF _Ref113947038 \r \h </w:instrText>
      </w:r>
      <w:r w:rsidR="00E7193B" w:rsidRPr="00B83952">
        <w:fldChar w:fldCharType="separate"/>
      </w:r>
      <w:r w:rsidR="005A1B65">
        <w:t>F16</w:t>
      </w:r>
      <w:r w:rsidR="00E7193B" w:rsidRPr="00B83952">
        <w:fldChar w:fldCharType="end"/>
      </w:r>
      <w:r w:rsidR="00ED7A05" w:rsidRPr="00B83952">
        <w:t>–</w:t>
      </w:r>
      <w:r w:rsidR="00E7193B" w:rsidRPr="00B83952">
        <w:fldChar w:fldCharType="begin"/>
      </w:r>
      <w:r w:rsidR="00E7193B" w:rsidRPr="00B83952">
        <w:instrText xml:space="preserve"> REF _Ref115209440 \r \h </w:instrText>
      </w:r>
      <w:r w:rsidR="00E7193B" w:rsidRPr="00B83952">
        <w:fldChar w:fldCharType="separate"/>
      </w:r>
      <w:r w:rsidR="005A1B65">
        <w:t>F19</w:t>
      </w:r>
      <w:r w:rsidR="00E7193B" w:rsidRPr="00B83952">
        <w:fldChar w:fldCharType="end"/>
      </w:r>
      <w:r w:rsidRPr="00B83952">
        <w:t>)</w:t>
      </w:r>
    </w:p>
    <w:p w14:paraId="5360956B" w14:textId="733A6A41" w:rsidR="00E04EFF" w:rsidRPr="00B83952" w:rsidRDefault="001028E4" w:rsidP="003276D3">
      <w:pPr>
        <w:pStyle w:val="NumBC1"/>
      </w:pPr>
      <w:bookmarkStart w:id="181" w:name="_Ref85458314"/>
      <w:r w:rsidRPr="00B83952">
        <w:t>P</w:t>
      </w:r>
      <w:r w:rsidR="00A54CC0" w:rsidRPr="00B83952">
        <w:t>aragraph</w:t>
      </w:r>
      <w:r w:rsidR="009839CA" w:rsidRPr="00B83952">
        <w:t xml:space="preserve"> </w:t>
      </w:r>
      <w:r w:rsidR="00E04EFF" w:rsidRPr="00B83952">
        <w:t xml:space="preserve">B9 </w:t>
      </w:r>
      <w:r w:rsidRPr="00B83952">
        <w:t xml:space="preserve">of AASB 13 </w:t>
      </w:r>
      <w:r w:rsidR="00E04EFF" w:rsidRPr="00B83952">
        <w:t>states that obsolescence incorporated in an asset’s current replacement cost includes ‘external (economic) obsolescence’. Paragraph IE12(b) of IFRS 13 gives an example of economic obsolescence of a machine held for use, namely, “conditions external to the condition of the machine such as a decline in the market demand for similar machines”.</w:t>
      </w:r>
      <w:bookmarkEnd w:id="181"/>
      <w:r w:rsidR="00E04EFF" w:rsidRPr="00B83952">
        <w:t xml:space="preserve"> </w:t>
      </w:r>
    </w:p>
    <w:p w14:paraId="3B5101EA" w14:textId="688ED5A0" w:rsidR="00E04EFF" w:rsidRPr="00B83952" w:rsidRDefault="00E04EFF" w:rsidP="003276D3">
      <w:pPr>
        <w:pStyle w:val="NumBC1"/>
      </w:pPr>
      <w:r w:rsidRPr="00B83952">
        <w:t xml:space="preserve">An equivalent notion of economic obsolescence of an asset or </w:t>
      </w:r>
      <w:r w:rsidR="00A45031" w:rsidRPr="00B83952">
        <w:t xml:space="preserve">a </w:t>
      </w:r>
      <w:r w:rsidRPr="00B83952">
        <w:t xml:space="preserve">facility held by a not-for-profit </w:t>
      </w:r>
      <w:r w:rsidR="00226BF0" w:rsidRPr="00B83952">
        <w:t xml:space="preserve">public sector </w:t>
      </w:r>
      <w:r w:rsidRPr="00B83952">
        <w:t xml:space="preserve">entity is </w:t>
      </w:r>
      <w:r w:rsidR="00D1012D" w:rsidRPr="00B83952">
        <w:t xml:space="preserve">obsolescence arising from </w:t>
      </w:r>
      <w:r w:rsidRPr="00B83952">
        <w:t xml:space="preserve">a decline in demand for the services provided by the asset or facility, such as a school. The Board was asked to provide guidance on </w:t>
      </w:r>
      <w:r w:rsidR="00311CF2" w:rsidRPr="00B83952">
        <w:rPr>
          <w:szCs w:val="19"/>
          <w:lang w:val="en-US"/>
        </w:rPr>
        <w:t>the circumstances in which a not-for-profit public sector entity should</w:t>
      </w:r>
      <w:r w:rsidR="00311CF2" w:rsidRPr="00B83952">
        <w:t xml:space="preserve"> </w:t>
      </w:r>
      <w:r w:rsidRPr="00B83952">
        <w:t xml:space="preserve">identify economic obsolescence of assets measured at fair value using the cost approach, in light of uncertainty and diverse interpretations. In particular, the Board was asked to clarify whether an entity should identify economic obsolescence of a facility that has suffered a reduction in demand for its services before a formal decision has been made to reduce the facility’s physical capacity, including a plan for when that decision will be implemented. </w:t>
      </w:r>
    </w:p>
    <w:p w14:paraId="2DC331E5" w14:textId="78EAF2A4" w:rsidR="00E04EFF" w:rsidRPr="00B83952" w:rsidRDefault="00E04EFF" w:rsidP="003276D3">
      <w:pPr>
        <w:pStyle w:val="NumBC1"/>
      </w:pPr>
      <w:r w:rsidRPr="00B83952">
        <w:t xml:space="preserve">Some stakeholders argued that an entity should not identify economic obsolescence of a facility before a formal decision has been made to reduce the facility’s physical capacity because, until then, it is highly unlikely to be clear whether – and to what extent – economic obsolescence exists. The Board noted that the primary consideration in assessing when to identify economic obsolescence is whether market participants would deduct an amount for economic obsolescence from the asset’s replacement cost when pricing the asset. This would depend on the entity’s circumstances, and not on whether a formal decision has been made to reduce the asset’s physical capacity. </w:t>
      </w:r>
    </w:p>
    <w:p w14:paraId="345DE766" w14:textId="72A9FAE1" w:rsidR="00E04EFF" w:rsidRPr="00B83952" w:rsidRDefault="00E04EFF" w:rsidP="003276D3">
      <w:pPr>
        <w:pStyle w:val="NumBC1"/>
      </w:pPr>
      <w:r w:rsidRPr="00B83952">
        <w:t xml:space="preserve">In some instances, it might be clear that market participants would deduct an amount for economic obsolescence when pricing an asset, even if a formal decision has not been made. Deferring inclusion of economic obsolescence in the measurement of the asset’s current replacement cost until a formal decision is made would not result in a faithful representation of the adjustment for obsolescence required by </w:t>
      </w:r>
      <w:r w:rsidR="00A54CC0" w:rsidRPr="00B83952">
        <w:t>paragraph</w:t>
      </w:r>
      <w:r w:rsidRPr="00B83952">
        <w:t> B9</w:t>
      </w:r>
      <w:r w:rsidR="00150085" w:rsidRPr="00B83952">
        <w:t xml:space="preserve"> of AASB 13</w:t>
      </w:r>
      <w:r w:rsidRPr="00B83952">
        <w:t xml:space="preserve">. In addition, such deferral would not result in the best estimate of the price that market participant buyers would pay for the asset, and therefore would be inconsistent with the requirement in </w:t>
      </w:r>
      <w:r w:rsidR="00A54CC0" w:rsidRPr="00B83952">
        <w:t>paragraph</w:t>
      </w:r>
      <w:r w:rsidRPr="00B83952">
        <w:t xml:space="preserve"> 22 </w:t>
      </w:r>
      <w:r w:rsidR="001838DD" w:rsidRPr="00B83952">
        <w:t xml:space="preserve">of AASB 13 </w:t>
      </w:r>
      <w:r w:rsidRPr="00B83952">
        <w:t xml:space="preserve">to measure an asset’s fair value using the assumptions that market participants would use when pricing the asset. </w:t>
      </w:r>
    </w:p>
    <w:p w14:paraId="1182F94B" w14:textId="77777777" w:rsidR="00E04EFF" w:rsidRPr="00B83952" w:rsidRDefault="00E04EFF" w:rsidP="003276D3">
      <w:pPr>
        <w:pStyle w:val="NumBC1"/>
      </w:pPr>
      <w:r w:rsidRPr="00B83952">
        <w:t xml:space="preserve">The Board observed that its conclusion on this issue is consistent with the guidance on the measurement of replacement cost in the IPSASB’s Conceptual Framework (paragraph 7.41 of which states that an asset’s </w:t>
      </w:r>
      <w:r w:rsidRPr="00B83952">
        <w:lastRenderedPageBreak/>
        <w:t>replacement cost reflects reductions in required service capacity, without mentioning a need to formally decide to reduce the asset’s capacity).</w:t>
      </w:r>
    </w:p>
    <w:p w14:paraId="68A25F6D" w14:textId="77F9B95B" w:rsidR="00E04EFF" w:rsidRPr="00B83952" w:rsidRDefault="00E04EFF" w:rsidP="003276D3">
      <w:pPr>
        <w:pStyle w:val="NumBC1"/>
      </w:pPr>
      <w:bookmarkStart w:id="182" w:name="_Ref94774363"/>
      <w:r w:rsidRPr="00B83952">
        <w:t xml:space="preserve">The Board noted that part of the debate about </w:t>
      </w:r>
      <w:r w:rsidR="00D40006" w:rsidRPr="00B83952">
        <w:rPr>
          <w:szCs w:val="19"/>
          <w:lang w:val="en-US"/>
        </w:rPr>
        <w:t>the circumstances in which</w:t>
      </w:r>
      <w:r w:rsidR="00D40006" w:rsidRPr="00B83952">
        <w:t xml:space="preserve"> </w:t>
      </w:r>
      <w:r w:rsidRPr="00B83952">
        <w:t xml:space="preserve">to identify economic obsolescence stemmed from perceptions that AASB 13 does not have regard to the temporary or cyclical nature of shortfalls in demand for services rendered by an asset when determining whether economic obsolescence exists. Therefore, the Board decided to clarify that </w:t>
      </w:r>
      <w:r w:rsidR="00A47D06" w:rsidRPr="00B83952">
        <w:rPr>
          <w:szCs w:val="19"/>
          <w:lang w:val="en-US"/>
        </w:rPr>
        <w:t>surplus</w:t>
      </w:r>
      <w:r w:rsidR="00A47D06" w:rsidRPr="00B83952">
        <w:rPr>
          <w:szCs w:val="19"/>
        </w:rPr>
        <w:t xml:space="preserve"> </w:t>
      </w:r>
      <w:r w:rsidR="00A47D06" w:rsidRPr="00B83952">
        <w:rPr>
          <w:szCs w:val="19"/>
          <w:lang w:val="en-US"/>
        </w:rPr>
        <w:t>capacity</w:t>
      </w:r>
      <w:r w:rsidR="00C70311" w:rsidRPr="00B83952">
        <w:rPr>
          <w:szCs w:val="19"/>
          <w:lang w:val="en-US"/>
        </w:rPr>
        <w:t xml:space="preserve"> of an asset that is necessary for stand-by or safety purposes should not be identified as </w:t>
      </w:r>
      <w:r w:rsidRPr="00B83952">
        <w:rPr>
          <w:szCs w:val="19"/>
          <w:lang w:val="en-US"/>
        </w:rPr>
        <w:t>economic obsolescence</w:t>
      </w:r>
      <w:r w:rsidRPr="00B83952">
        <w:t>.</w:t>
      </w:r>
      <w:bookmarkEnd w:id="182"/>
      <w:r w:rsidRPr="00B83952">
        <w:t xml:space="preserve"> </w:t>
      </w:r>
    </w:p>
    <w:p w14:paraId="3833C6BE" w14:textId="7BB75694" w:rsidR="00E04EFF" w:rsidRPr="00B83952" w:rsidRDefault="00E04EFF" w:rsidP="003276D3">
      <w:pPr>
        <w:pStyle w:val="NumBC1"/>
      </w:pPr>
      <w:bookmarkStart w:id="183" w:name="_Ref85458367"/>
      <w:r w:rsidRPr="00B83952">
        <w:t>Increases in demand that eliminate an apparent, but illusory, overcapacity need not be long-term in nature. For example, a school in a mining town might presently appear to have overcapacity but require a higher service capacity than indicated by present enrolments, because its enrolments are cyclical due to peaks and troughs in mining activity. Such apparent overcapacity is similar to standby assets held by entities to cope with peaks in demand: such standby assets are not affected by economic obsolescence simply because they are presently inactive. The Board observed that this is consistent with the guidance in:</w:t>
      </w:r>
      <w:bookmarkEnd w:id="183"/>
      <w:r w:rsidRPr="00B83952">
        <w:t xml:space="preserve"> </w:t>
      </w:r>
    </w:p>
    <w:p w14:paraId="355C4150" w14:textId="77777777" w:rsidR="00E04EFF" w:rsidRPr="00B83952" w:rsidRDefault="00E04EFF" w:rsidP="003276D3">
      <w:pPr>
        <w:pStyle w:val="NumBC2"/>
      </w:pPr>
      <w:r w:rsidRPr="00B83952">
        <w:t>the IPSASB Conceptual Framework, paragraph 7.41 of which states that the appropriate service potential included in measuring an asset’s replacement cost “is that which the entity is capable of using or expects to use, having regard to the need to hold sufficient service capacity to deal with contingencies”; and</w:t>
      </w:r>
    </w:p>
    <w:p w14:paraId="2F426F2F" w14:textId="58CBE193" w:rsidR="00E04EFF" w:rsidRPr="00B83952" w:rsidRDefault="00E04EFF" w:rsidP="003276D3">
      <w:pPr>
        <w:pStyle w:val="NumBC2"/>
      </w:pPr>
      <w:r w:rsidRPr="00B83952">
        <w:t>the New Zealand Accounting Standard for Public Benefit Entities entitled PBE IPSAS 17. Paragraph AG21 of the Application Guidance included in PBE IPSAS 17</w:t>
      </w:r>
      <w:r w:rsidRPr="00B83952">
        <w:rPr>
          <w:rStyle w:val="FootnoteReference"/>
        </w:rPr>
        <w:footnoteReference w:id="3"/>
      </w:r>
      <w:r w:rsidRPr="00B83952">
        <w:t xml:space="preserve"> states that: “No obsolescence adjustment is made in respect of surplus capacity that, while rarely or never used, is necessary for stand-by or safety purposes.”</w:t>
      </w:r>
    </w:p>
    <w:p w14:paraId="39C72E8F" w14:textId="53831690" w:rsidR="004F6EC4" w:rsidRPr="00B83952" w:rsidRDefault="00E04EFF" w:rsidP="003276D3">
      <w:pPr>
        <w:pStyle w:val="NumBC1"/>
      </w:pPr>
      <w:bookmarkStart w:id="184" w:name="_Ref85983649"/>
      <w:r w:rsidRPr="00B83952">
        <w:t>The Board was asked to provide guidance on whether, for assets measured at current replacement cost and affected by economic obsolescence (</w:t>
      </w:r>
      <w:r w:rsidR="003E50C6" w:rsidRPr="00B83952">
        <w:t>eg</w:t>
      </w:r>
      <w:r w:rsidRPr="00B83952">
        <w:t xml:space="preserve"> excess capacity)</w:t>
      </w:r>
      <w:r w:rsidR="48570795" w:rsidRPr="00B83952">
        <w:t>,</w:t>
      </w:r>
      <w:r w:rsidRPr="00B83952">
        <w:t xml:space="preserve"> an entity is required to perform two valuations (one based on the existing capacity, and another based on the estimated </w:t>
      </w:r>
      <w:r w:rsidR="00DF421F" w:rsidRPr="00B83952">
        <w:t xml:space="preserve">required </w:t>
      </w:r>
      <w:r w:rsidRPr="00B83952">
        <w:t xml:space="preserve">capacity) in order to estimate the gross replacement cost and related accumulated obsolescence of the asset. The Board concluded that only one valuation, based on the </w:t>
      </w:r>
      <w:r w:rsidR="00DF421F" w:rsidRPr="00B83952">
        <w:t xml:space="preserve">required </w:t>
      </w:r>
      <w:r w:rsidRPr="00B83952">
        <w:t>capacity (</w:t>
      </w:r>
      <w:r w:rsidR="003E50C6" w:rsidRPr="00B83952">
        <w:t>eg</w:t>
      </w:r>
      <w:r w:rsidRPr="00B83952">
        <w:t xml:space="preserve"> based on a school for 100 students in the example in paragraph</w:t>
      </w:r>
      <w:r w:rsidR="00BA332D" w:rsidRPr="00B83952">
        <w:t> </w:t>
      </w:r>
      <w:r w:rsidRPr="00B83952">
        <w:fldChar w:fldCharType="begin"/>
      </w:r>
      <w:r w:rsidRPr="00B83952">
        <w:instrText xml:space="preserve"> REF _Ref115232361 \r \h </w:instrText>
      </w:r>
      <w:r w:rsidRPr="00B83952">
        <w:fldChar w:fldCharType="separate"/>
      </w:r>
      <w:r w:rsidR="005A1B65">
        <w:t>F18</w:t>
      </w:r>
      <w:r w:rsidRPr="00B83952">
        <w:fldChar w:fldCharType="end"/>
      </w:r>
      <w:r w:rsidR="007E20BF" w:rsidRPr="00B83952">
        <w:t xml:space="preserve"> in the implementation </w:t>
      </w:r>
      <w:r w:rsidR="00024B9F" w:rsidRPr="00B83952">
        <w:t>guidance</w:t>
      </w:r>
      <w:r w:rsidRPr="00B83952">
        <w:t>) would be required at the measurement date.</w:t>
      </w:r>
      <w:bookmarkEnd w:id="184"/>
      <w:r w:rsidR="00005ABF" w:rsidRPr="00B83952">
        <w:t xml:space="preserve"> However, the Board also noted that a linear relationship should not be assumed between the extent of economic obsolescence and a reduction in demand for a facility’s services. Some assets composing a facility (such as a school) might need to be replaced in full to replace the facility’s service capacity</w:t>
      </w:r>
      <w:r w:rsidR="001A6286" w:rsidRPr="00B83952">
        <w:t xml:space="preserve">. </w:t>
      </w:r>
      <w:r w:rsidR="00F764D7" w:rsidRPr="00B83952">
        <w:t>Therefore</w:t>
      </w:r>
      <w:r w:rsidR="00005ABF" w:rsidRPr="00B83952">
        <w:t xml:space="preserve">, simply </w:t>
      </w:r>
      <w:r w:rsidR="00E40179" w:rsidRPr="00B83952">
        <w:t xml:space="preserve">adjusting the asset’s value for obsolescence by </w:t>
      </w:r>
      <w:r w:rsidR="00005ABF" w:rsidRPr="00B83952">
        <w:t xml:space="preserve">the percentage reduction </w:t>
      </w:r>
      <w:r w:rsidR="00855CF9" w:rsidRPr="00B83952">
        <w:t>in</w:t>
      </w:r>
      <w:r w:rsidR="00005ABF" w:rsidRPr="00B83952">
        <w:t xml:space="preserve"> demand for the facility’s services</w:t>
      </w:r>
      <w:r w:rsidR="00855CF9" w:rsidRPr="00B83952">
        <w:t xml:space="preserve"> would result in a value that is less than the asset’s fair value</w:t>
      </w:r>
      <w:r w:rsidR="00005ABF" w:rsidRPr="00B83952">
        <w:t xml:space="preserve">. </w:t>
      </w:r>
      <w:r w:rsidR="0068237B" w:rsidRPr="00B83952">
        <w:t>I</w:t>
      </w:r>
      <w:r w:rsidR="00005ABF" w:rsidRPr="00B83952">
        <w:t xml:space="preserve">n the example presented of a school, the current replacement cost of </w:t>
      </w:r>
      <w:r w:rsidR="0068237B" w:rsidRPr="00B83952">
        <w:t>the school</w:t>
      </w:r>
      <w:r w:rsidR="00AE3F71" w:rsidRPr="00B83952">
        <w:t xml:space="preserve"> would not reduce by a linear amount </w:t>
      </w:r>
      <w:r w:rsidR="00005ABF" w:rsidRPr="00B83952">
        <w:t>per student attending</w:t>
      </w:r>
      <w:r w:rsidR="004F0517" w:rsidRPr="00B83952">
        <w:t>, due to the need to maintain certain components of the school, even as student numbers decline.</w:t>
      </w:r>
    </w:p>
    <w:p w14:paraId="6AB060D4" w14:textId="77777777" w:rsidR="00005ABF" w:rsidRPr="00B83952" w:rsidRDefault="00005ABF" w:rsidP="00891977">
      <w:pPr>
        <w:pStyle w:val="NumBC1"/>
        <w:keepNext/>
      </w:pPr>
      <w:bookmarkStart w:id="185" w:name="_Ref118983691"/>
      <w:r w:rsidRPr="00B83952">
        <w:t>In response to requests for clarification of the proposed guidance in ED 320 or additional examples, the Board included:</w:t>
      </w:r>
      <w:bookmarkEnd w:id="185"/>
    </w:p>
    <w:p w14:paraId="0B7FA1B3" w14:textId="77777777" w:rsidR="00005ABF" w:rsidRPr="00B83952" w:rsidRDefault="00005ABF" w:rsidP="003276D3">
      <w:pPr>
        <w:pStyle w:val="NumBC2"/>
      </w:pPr>
      <w:r w:rsidRPr="00B83952">
        <w:t>in the implementation guidance, an example of an asset with ‘surplus capacity’ necessary to cater for periods of peak demand, and clarification (in the context of the example of a school with a strong indicator of economic obsolescence) that a linear relationship should not be assumed between the extent of any economic obsolescence and a reduction in demand for a facility’s services; and</w:t>
      </w:r>
    </w:p>
    <w:p w14:paraId="4FE40031" w14:textId="495950CC" w:rsidR="00005ABF" w:rsidRPr="00B83952" w:rsidRDefault="00005ABF" w:rsidP="003276D3">
      <w:pPr>
        <w:pStyle w:val="NumBC2"/>
      </w:pPr>
      <w:r w:rsidRPr="00B83952">
        <w:t>an illustrative example (Example </w:t>
      </w:r>
      <w:r w:rsidR="000459FF" w:rsidRPr="00B83952">
        <w:t>5</w:t>
      </w:r>
      <w:r w:rsidRPr="00B83952">
        <w:t xml:space="preserve">) illustrating that operating an asset </w:t>
      </w:r>
      <w:r w:rsidR="00F95DD6" w:rsidRPr="00B83952">
        <w:t xml:space="preserve">for shorter periods </w:t>
      </w:r>
      <w:r w:rsidRPr="00B83952">
        <w:t xml:space="preserve">than physically is possible, due to the operating environment of the not-for-profit public sector entity, does not of itself indicate economic obsolescence has arisen. </w:t>
      </w:r>
    </w:p>
    <w:p w14:paraId="66A0523C" w14:textId="4AE114EE" w:rsidR="00C0714C" w:rsidRPr="00B83952" w:rsidRDefault="00C0714C" w:rsidP="00C92200">
      <w:pPr>
        <w:pStyle w:val="IASBSectionTitle2Ind"/>
      </w:pPr>
      <w:r w:rsidRPr="00B83952">
        <w:t xml:space="preserve">Physical </w:t>
      </w:r>
      <w:r w:rsidR="00C672F6" w:rsidRPr="00B83952">
        <w:t xml:space="preserve">and functional </w:t>
      </w:r>
      <w:r w:rsidRPr="00B83952">
        <w:t>obsolescence</w:t>
      </w:r>
    </w:p>
    <w:p w14:paraId="2F7FBC50" w14:textId="080D2550" w:rsidR="00C0714C" w:rsidRPr="00B83952" w:rsidRDefault="00382B28" w:rsidP="00C92200">
      <w:pPr>
        <w:pStyle w:val="NumBC1"/>
      </w:pPr>
      <w:bookmarkStart w:id="186" w:name="_Ref118716000"/>
      <w:bookmarkStart w:id="187" w:name="_Ref118986258"/>
      <w:r w:rsidRPr="00B83952">
        <w:t xml:space="preserve">Some stakeholders requested the Board to consider adding guidance in Australian Accounting Standards to clarify how the curable and incurable parts of an asset’s </w:t>
      </w:r>
      <w:r w:rsidR="003D2AFE" w:rsidRPr="00B83952">
        <w:t xml:space="preserve">physical </w:t>
      </w:r>
      <w:r w:rsidRPr="00B83952">
        <w:t xml:space="preserve">obsolescence </w:t>
      </w:r>
      <w:r w:rsidR="00806361" w:rsidRPr="00B83952">
        <w:t xml:space="preserve">(as described in IVS 105) </w:t>
      </w:r>
      <w:r w:rsidRPr="00B83952">
        <w:t xml:space="preserve">should be considered when applying the cost approach. </w:t>
      </w:r>
      <w:r w:rsidR="00C0714C" w:rsidRPr="00B83952">
        <w:t xml:space="preserve">IVS 105 paragraph 80.5 </w:t>
      </w:r>
      <w:bookmarkEnd w:id="186"/>
      <w:r w:rsidR="00DF688C" w:rsidRPr="00B83952">
        <w:t>states</w:t>
      </w:r>
      <w:r w:rsidR="00E8089F" w:rsidRPr="00B83952">
        <w:t>:</w:t>
      </w:r>
      <w:bookmarkEnd w:id="187"/>
    </w:p>
    <w:p w14:paraId="52680DD9" w14:textId="36D3A32A" w:rsidR="00C0714C" w:rsidRPr="00B83952" w:rsidRDefault="00C0714C" w:rsidP="00C16675">
      <w:pPr>
        <w:pStyle w:val="NumBC1"/>
        <w:keepNext/>
        <w:numPr>
          <w:ilvl w:val="0"/>
          <w:numId w:val="0"/>
        </w:numPr>
        <w:ind w:left="2347" w:hanging="782"/>
      </w:pPr>
      <w:r w:rsidRPr="00B83952">
        <w:t>Physical obsolescence can be measured in two different ways:</w:t>
      </w:r>
    </w:p>
    <w:p w14:paraId="7CE80DED" w14:textId="77777777" w:rsidR="00C0714C" w:rsidRPr="00B83952" w:rsidRDefault="00C0714C" w:rsidP="00C92200">
      <w:pPr>
        <w:pStyle w:val="NumBC1"/>
        <w:numPr>
          <w:ilvl w:val="0"/>
          <w:numId w:val="0"/>
        </w:numPr>
        <w:ind w:left="3129" w:hanging="782"/>
      </w:pPr>
      <w:r w:rsidRPr="00B83952">
        <w:t xml:space="preserve">(a) </w:t>
      </w:r>
      <w:r w:rsidRPr="00B83952">
        <w:tab/>
        <w:t>curable physical obsolescence, ie, the cost to fix/cure the obsolescence, or</w:t>
      </w:r>
    </w:p>
    <w:p w14:paraId="6D6B43F7" w14:textId="7027471D" w:rsidR="00C0714C" w:rsidRPr="00B83952" w:rsidRDefault="00C0714C" w:rsidP="00C92200">
      <w:pPr>
        <w:pStyle w:val="NumBC1"/>
        <w:numPr>
          <w:ilvl w:val="0"/>
          <w:numId w:val="0"/>
        </w:numPr>
        <w:ind w:left="3129" w:hanging="782"/>
      </w:pPr>
      <w:r w:rsidRPr="00B83952">
        <w:t xml:space="preserve">(b) </w:t>
      </w:r>
      <w:r w:rsidRPr="00B83952">
        <w:tab/>
        <w:t>incurable physical obsolescence which considers the asset’s age, expected total and remaining life where the adjustment for physical obsolescence is equivalent to the proportion of the expected total life consumed. Total expected life may be expressed in any reasonable way, including expected life in years, mileage, units produced, etc.</w:t>
      </w:r>
    </w:p>
    <w:p w14:paraId="3CCD87D8" w14:textId="2DE020F7" w:rsidR="00090C31" w:rsidRPr="00B83952" w:rsidRDefault="00090C31" w:rsidP="00C92200">
      <w:pPr>
        <w:pStyle w:val="NumBC1"/>
      </w:pPr>
      <w:bookmarkStart w:id="188" w:name="_Ref118986035"/>
      <w:r w:rsidRPr="00B83952">
        <w:lastRenderedPageBreak/>
        <w:t xml:space="preserve">In relation to consideration of the </w:t>
      </w:r>
      <w:r w:rsidR="00F41376" w:rsidRPr="00B83952">
        <w:t xml:space="preserve">replacement </w:t>
      </w:r>
      <w:r w:rsidRPr="00B83952">
        <w:t xml:space="preserve">cost of a </w:t>
      </w:r>
      <w:r w:rsidR="009E3781" w:rsidRPr="00B83952">
        <w:t xml:space="preserve">modern equivalent </w:t>
      </w:r>
      <w:r w:rsidRPr="00B83952">
        <w:t xml:space="preserve">reference asset to estimate the fair value of </w:t>
      </w:r>
      <w:r w:rsidR="00613B4E" w:rsidRPr="00B83952">
        <w:t>the</w:t>
      </w:r>
      <w:r w:rsidRPr="00B83952">
        <w:t xml:space="preserve"> </w:t>
      </w:r>
      <w:r w:rsidR="007F78DA" w:rsidRPr="00B83952">
        <w:t xml:space="preserve">subject </w:t>
      </w:r>
      <w:r w:rsidRPr="00B83952">
        <w:t xml:space="preserve">asset under the cost approach, </w:t>
      </w:r>
      <w:r w:rsidR="007F78DA" w:rsidRPr="00B83952">
        <w:t xml:space="preserve">a stakeholder </w:t>
      </w:r>
      <w:r w:rsidR="0098146C" w:rsidRPr="00B83952">
        <w:t xml:space="preserve">commented </w:t>
      </w:r>
      <w:r w:rsidRPr="00B83952">
        <w:t xml:space="preserve">that AASB 13 deals inadequately with the modern equivalent asset having more features and therefore a higher replacement cost than the </w:t>
      </w:r>
      <w:r w:rsidR="00613B4E" w:rsidRPr="00B83952">
        <w:t xml:space="preserve">subject </w:t>
      </w:r>
      <w:r w:rsidRPr="00B83952">
        <w:t>asset</w:t>
      </w:r>
      <w:r w:rsidR="00A927EA" w:rsidRPr="00B83952">
        <w:t>, and requested the Board provide</w:t>
      </w:r>
      <w:r w:rsidR="00F22123" w:rsidRPr="00B83952">
        <w:t>s</w:t>
      </w:r>
      <w:r w:rsidR="00A927EA" w:rsidRPr="00B83952">
        <w:t xml:space="preserve"> </w:t>
      </w:r>
      <w:r w:rsidRPr="00B83952">
        <w:t xml:space="preserve">guidance on how to measure the adjustment for the difference in cost between the service levels provided by such a </w:t>
      </w:r>
      <w:r w:rsidR="00A927EA" w:rsidRPr="00B83952">
        <w:t>reference</w:t>
      </w:r>
      <w:r w:rsidRPr="00B83952">
        <w:t xml:space="preserve"> asset and the </w:t>
      </w:r>
      <w:r w:rsidR="00A927EA" w:rsidRPr="00B83952">
        <w:t>subject asset</w:t>
      </w:r>
      <w:r w:rsidRPr="00B83952">
        <w:t xml:space="preserve"> (which </w:t>
      </w:r>
      <w:r w:rsidR="0098146C" w:rsidRPr="00B83952">
        <w:t xml:space="preserve">generally </w:t>
      </w:r>
      <w:r w:rsidRPr="00B83952">
        <w:t>is a less-modern asset).</w:t>
      </w:r>
      <w:bookmarkEnd w:id="188"/>
    </w:p>
    <w:p w14:paraId="00524342" w14:textId="376399B7" w:rsidR="00F95652" w:rsidRPr="00B83952" w:rsidRDefault="00764EDC" w:rsidP="00C92200">
      <w:pPr>
        <w:pStyle w:val="NumBC1"/>
      </w:pPr>
      <w:r w:rsidRPr="00B83952">
        <w:t>In respect of the request</w:t>
      </w:r>
      <w:r w:rsidR="00130BB2" w:rsidRPr="00B83952">
        <w:t>s</w:t>
      </w:r>
      <w:r w:rsidRPr="00B83952">
        <w:t xml:space="preserve"> noted in paragraph</w:t>
      </w:r>
      <w:r w:rsidR="001A38A1" w:rsidRPr="00B83952">
        <w:t>s</w:t>
      </w:r>
      <w:r w:rsidR="00532D98" w:rsidRPr="00B83952">
        <w:t xml:space="preserve"> </w:t>
      </w:r>
      <w:r w:rsidR="00532D98" w:rsidRPr="00B83952">
        <w:fldChar w:fldCharType="begin"/>
      </w:r>
      <w:r w:rsidR="00532D98" w:rsidRPr="00B83952">
        <w:instrText xml:space="preserve"> REF _Ref118986258 \r \h </w:instrText>
      </w:r>
      <w:r w:rsidR="001272CA" w:rsidRPr="00B83952">
        <w:instrText xml:space="preserve"> \* MERGEFORMAT </w:instrText>
      </w:r>
      <w:r w:rsidR="00532D98" w:rsidRPr="00B83952">
        <w:fldChar w:fldCharType="separate"/>
      </w:r>
      <w:r w:rsidR="005A1B65">
        <w:t>BC218</w:t>
      </w:r>
      <w:r w:rsidR="00532D98" w:rsidRPr="00B83952">
        <w:fldChar w:fldCharType="end"/>
      </w:r>
      <w:r w:rsidR="00532D98" w:rsidRPr="00B83952">
        <w:t xml:space="preserve"> and </w:t>
      </w:r>
      <w:r w:rsidR="00532D98" w:rsidRPr="00B83952">
        <w:fldChar w:fldCharType="begin"/>
      </w:r>
      <w:r w:rsidR="00532D98" w:rsidRPr="00B83952">
        <w:instrText xml:space="preserve"> REF _Ref118986035 \r \h </w:instrText>
      </w:r>
      <w:r w:rsidR="001272CA" w:rsidRPr="00B83952">
        <w:instrText xml:space="preserve"> \* MERGEFORMAT </w:instrText>
      </w:r>
      <w:r w:rsidR="00532D98" w:rsidRPr="00B83952">
        <w:fldChar w:fldCharType="separate"/>
      </w:r>
      <w:r w:rsidR="005A1B65">
        <w:t>BC219</w:t>
      </w:r>
      <w:r w:rsidR="00532D98" w:rsidRPr="00B83952">
        <w:fldChar w:fldCharType="end"/>
      </w:r>
      <w:r w:rsidR="001A38A1" w:rsidRPr="00B83952">
        <w:t>, t</w:t>
      </w:r>
      <w:r w:rsidR="002C398D" w:rsidRPr="00B83952">
        <w:t xml:space="preserve">he </w:t>
      </w:r>
      <w:r w:rsidR="00A95353" w:rsidRPr="00B83952">
        <w:t>Board observed</w:t>
      </w:r>
      <w:r w:rsidR="00DB5AD8" w:rsidRPr="00B83952">
        <w:t xml:space="preserve"> that</w:t>
      </w:r>
      <w:r w:rsidR="00F95652" w:rsidRPr="00B83952">
        <w:t>:</w:t>
      </w:r>
      <w:r w:rsidR="00DB5AD8" w:rsidRPr="00B83952">
        <w:t xml:space="preserve"> </w:t>
      </w:r>
    </w:p>
    <w:p w14:paraId="38F42FA3" w14:textId="4FFB5BCD" w:rsidR="00F95652" w:rsidRPr="00B83952" w:rsidRDefault="00F95652" w:rsidP="00C92200">
      <w:pPr>
        <w:pStyle w:val="NumBC2"/>
      </w:pPr>
      <w:r w:rsidRPr="00B83952">
        <w:t xml:space="preserve">paragraphs B8–B9 </w:t>
      </w:r>
      <w:r w:rsidR="000B4102" w:rsidRPr="00B83952">
        <w:t xml:space="preserve">of AASB 13 </w:t>
      </w:r>
      <w:r w:rsidRPr="00B83952">
        <w:t xml:space="preserve">do not distinguish curable and incurable </w:t>
      </w:r>
      <w:r w:rsidR="00DF1C3B" w:rsidRPr="00B83952">
        <w:t xml:space="preserve">physical </w:t>
      </w:r>
      <w:r w:rsidRPr="00B83952">
        <w:t>obsolescence</w:t>
      </w:r>
      <w:r w:rsidR="006E27AF" w:rsidRPr="00B83952">
        <w:t xml:space="preserve">; </w:t>
      </w:r>
      <w:r w:rsidR="00922375" w:rsidRPr="00B83952">
        <w:t>and</w:t>
      </w:r>
    </w:p>
    <w:p w14:paraId="58181A3D" w14:textId="36344952" w:rsidR="00DB5AD8" w:rsidRPr="00B83952" w:rsidRDefault="00DB5AD8" w:rsidP="00C92200">
      <w:pPr>
        <w:pStyle w:val="NumBC2"/>
      </w:pPr>
      <w:r w:rsidRPr="00B83952">
        <w:t xml:space="preserve">the IASB did not include guidance on </w:t>
      </w:r>
      <w:r w:rsidR="00D17281" w:rsidRPr="00B83952">
        <w:t>how to measure obso</w:t>
      </w:r>
      <w:r w:rsidR="00D453E5" w:rsidRPr="00B83952">
        <w:t>lescence when the cost approach is applied</w:t>
      </w:r>
      <w:r w:rsidRPr="00B83952">
        <w:t>. Implicit in IFRS 13 is a view that determining adjustments to the prices of modern equivalent reference assets is an application issue beyond the scope of IFRS. In the IASB’s Report on its Post-implementation Review of IFRS 13 (December 2018), the IASB noted that many respondents asked it to develop additional guidance on the application of judgement regarding particular circumstances, and it decided not to develop additional guidance because, amongst other reasons:</w:t>
      </w:r>
    </w:p>
    <w:p w14:paraId="2FB376BE" w14:textId="0C0BFA0E" w:rsidR="00DB5AD8" w:rsidRPr="00B83952" w:rsidRDefault="00782F2D" w:rsidP="00C92200">
      <w:pPr>
        <w:pStyle w:val="NumBC3"/>
      </w:pPr>
      <w:r w:rsidRPr="00B83952">
        <w:t>“</w:t>
      </w:r>
      <w:r w:rsidR="00DB5AD8" w:rsidRPr="00B83952">
        <w:t>the requirements are principle-based, and there will always be a need for exercise of judgement in making th</w:t>
      </w:r>
      <w:r w:rsidR="001C4357" w:rsidRPr="00B83952">
        <w:t>e</w:t>
      </w:r>
      <w:r w:rsidR="00DB5AD8" w:rsidRPr="00B83952">
        <w:t>se assessments</w:t>
      </w:r>
      <w:r w:rsidR="001C4357" w:rsidRPr="00B83952">
        <w:t>”</w:t>
      </w:r>
      <w:r w:rsidR="00DB5AD8" w:rsidRPr="00B83952">
        <w:t>; and</w:t>
      </w:r>
    </w:p>
    <w:p w14:paraId="12DF3609" w14:textId="2AA3A135" w:rsidR="00DB5AD8" w:rsidRPr="00B83952" w:rsidRDefault="006421DF" w:rsidP="00C92200">
      <w:pPr>
        <w:pStyle w:val="NumBC3"/>
      </w:pPr>
      <w:r w:rsidRPr="00B83952">
        <w:t>“</w:t>
      </w:r>
      <w:r w:rsidR="00DB5AD8" w:rsidRPr="00B83952">
        <w:t>the challenges raised are detailed valuation assessments and an accounting standard-setter may not be best placed to provide guidance in this area</w:t>
      </w:r>
      <w:r w:rsidR="004C5C59" w:rsidRPr="00B83952">
        <w:t>”</w:t>
      </w:r>
      <w:r w:rsidR="00DB5AD8" w:rsidRPr="00B83952">
        <w:t xml:space="preserve"> (page 16).</w:t>
      </w:r>
    </w:p>
    <w:p w14:paraId="3DEE7117" w14:textId="673F853E" w:rsidR="00C672F6" w:rsidRPr="00B83952" w:rsidRDefault="00C672F6" w:rsidP="00C92200">
      <w:pPr>
        <w:pStyle w:val="NumBC1"/>
      </w:pPr>
      <w:r w:rsidRPr="00B83952">
        <w:t>The Board considered that the issue</w:t>
      </w:r>
      <w:r w:rsidR="00922375" w:rsidRPr="00B83952">
        <w:t>s</w:t>
      </w:r>
      <w:r w:rsidRPr="00B83952">
        <w:t xml:space="preserve"> regarding the distinction between curable and incurable physical obsolescence </w:t>
      </w:r>
      <w:r w:rsidR="00B7454D" w:rsidRPr="00B83952">
        <w:t xml:space="preserve">and </w:t>
      </w:r>
      <w:r w:rsidR="00922375" w:rsidRPr="00B83952">
        <w:t xml:space="preserve">the </w:t>
      </w:r>
      <w:r w:rsidR="00B7454D" w:rsidRPr="00B83952">
        <w:t xml:space="preserve">measurement of functional obsolescence </w:t>
      </w:r>
      <w:r w:rsidR="00922375" w:rsidRPr="00B83952">
        <w:t xml:space="preserve">are </w:t>
      </w:r>
      <w:r w:rsidRPr="00B83952">
        <w:t>not justifiable circumstance</w:t>
      </w:r>
      <w:r w:rsidR="00922375" w:rsidRPr="00B83952">
        <w:t>s</w:t>
      </w:r>
      <w:r w:rsidRPr="00B83952">
        <w:t xml:space="preserve"> under the </w:t>
      </w:r>
      <w:r w:rsidRPr="00B83952">
        <w:rPr>
          <w:i/>
          <w:iCs/>
        </w:rPr>
        <w:t>AASB Not-for-Profit Entity Standard-Setting Framework</w:t>
      </w:r>
      <w:r w:rsidRPr="00B83952">
        <w:t xml:space="preserve"> that would require amendments or guidance because </w:t>
      </w:r>
      <w:r w:rsidR="00922375" w:rsidRPr="00B83952">
        <w:t xml:space="preserve">they are </w:t>
      </w:r>
      <w:r w:rsidR="0012766E" w:rsidRPr="00B83952">
        <w:t>not</w:t>
      </w:r>
      <w:r w:rsidRPr="00B83952">
        <w:t xml:space="preserve"> </w:t>
      </w:r>
      <w:r w:rsidR="0012766E" w:rsidRPr="00B83952">
        <w:t xml:space="preserve">specific to </w:t>
      </w:r>
      <w:r w:rsidRPr="00B83952">
        <w:t>not-for-profit</w:t>
      </w:r>
      <w:r w:rsidR="0012766E" w:rsidRPr="00B83952">
        <w:t xml:space="preserve"> or public sector entities.</w:t>
      </w:r>
      <w:r w:rsidRPr="00B83952">
        <w:t xml:space="preserve"> </w:t>
      </w:r>
      <w:r w:rsidR="007955AE" w:rsidRPr="00B83952">
        <w:t xml:space="preserve">The Board </w:t>
      </w:r>
      <w:r w:rsidR="001813B6" w:rsidRPr="00B83952">
        <w:t xml:space="preserve">concluded </w:t>
      </w:r>
      <w:r w:rsidR="007955AE" w:rsidRPr="00B83952">
        <w:t>that t</w:t>
      </w:r>
      <w:r w:rsidRPr="00B83952">
        <w:t>h</w:t>
      </w:r>
      <w:r w:rsidR="007955AE" w:rsidRPr="00B83952">
        <w:t>e</w:t>
      </w:r>
      <w:r w:rsidRPr="00B83952">
        <w:t xml:space="preserve"> issue</w:t>
      </w:r>
      <w:r w:rsidR="005B1921" w:rsidRPr="00B83952">
        <w:t>s</w:t>
      </w:r>
      <w:r w:rsidRPr="00B83952">
        <w:t xml:space="preserve"> relate to detailed valuation assessments and enforcing consistent estimation of the pattern of obsolescence over time in the particular circumstances of each valuation</w:t>
      </w:r>
      <w:r w:rsidR="006561E3" w:rsidRPr="00B83952">
        <w:t xml:space="preserve"> is outside the scope of </w:t>
      </w:r>
      <w:r w:rsidR="577D7942" w:rsidRPr="00B83952">
        <w:t xml:space="preserve">Australian </w:t>
      </w:r>
      <w:r w:rsidR="006561E3" w:rsidRPr="00B83952">
        <w:t>Accounting Standards</w:t>
      </w:r>
      <w:r w:rsidRPr="00B83952">
        <w:t>.</w:t>
      </w:r>
    </w:p>
    <w:p w14:paraId="5EDC9F71" w14:textId="2D00720E" w:rsidR="00C0714C" w:rsidRPr="00B83952" w:rsidRDefault="00C0714C" w:rsidP="00C92200">
      <w:pPr>
        <w:pStyle w:val="IASBSectionTitle2Ind"/>
      </w:pPr>
      <w:r w:rsidRPr="00B83952">
        <w:t xml:space="preserve">Distinguishing obsolescence from depreciation </w:t>
      </w:r>
    </w:p>
    <w:p w14:paraId="50DD93E8" w14:textId="5E7D5B4F" w:rsidR="00C0714C" w:rsidRPr="00B83952" w:rsidRDefault="00C0714C" w:rsidP="00C92200">
      <w:pPr>
        <w:pStyle w:val="NumBC1"/>
      </w:pPr>
      <w:bookmarkStart w:id="189" w:name="_Ref118986816"/>
      <w:r w:rsidRPr="00B83952">
        <w:t xml:space="preserve">Some stakeholders asked the Board to clarify in Australian Accounting Standards that obsolescence for fair value measurement is different from depreciation. Since paragraph B9 </w:t>
      </w:r>
      <w:r w:rsidR="009E6E2A" w:rsidRPr="00B83952">
        <w:t xml:space="preserve">of AASB 13 </w:t>
      </w:r>
      <w:r w:rsidRPr="00B83952">
        <w:t xml:space="preserve">specifies that obsolescence for fair value measurement under the cost approach is different from depreciation under AASB 116, the Board decided that additional guidance is not warranted. </w:t>
      </w:r>
      <w:r w:rsidR="005E0E16" w:rsidRPr="00B83952">
        <w:t>P</w:t>
      </w:r>
      <w:r w:rsidRPr="00B83952">
        <w:t>aragraph</w:t>
      </w:r>
      <w:r w:rsidR="00D52F53" w:rsidRPr="00B83952">
        <w:t> </w:t>
      </w:r>
      <w:r w:rsidRPr="00B83952">
        <w:t xml:space="preserve">B9 </w:t>
      </w:r>
      <w:r w:rsidR="005E0E16" w:rsidRPr="00B83952">
        <w:t xml:space="preserve">of AASB 13 </w:t>
      </w:r>
      <w:r w:rsidRPr="00B83952">
        <w:t xml:space="preserve">states that: </w:t>
      </w:r>
      <w:r w:rsidRPr="00B83952">
        <w:rPr>
          <w:szCs w:val="19"/>
        </w:rPr>
        <w:t>“Obsolescence … is broader than depreciation for financial reporting purposes (an allocation of historical cost) or tax purposes (using specified service lives).”</w:t>
      </w:r>
      <w:bookmarkEnd w:id="189"/>
      <w:r w:rsidRPr="00B83952">
        <w:rPr>
          <w:szCs w:val="19"/>
        </w:rPr>
        <w:t xml:space="preserve"> </w:t>
      </w:r>
    </w:p>
    <w:p w14:paraId="5F800DA9" w14:textId="1BF50A12" w:rsidR="00C0714C" w:rsidRPr="00B83952" w:rsidRDefault="00C0714C" w:rsidP="00C92200">
      <w:pPr>
        <w:pStyle w:val="NumBC1"/>
      </w:pPr>
      <w:r w:rsidRPr="00B83952">
        <w:rPr>
          <w:szCs w:val="19"/>
        </w:rPr>
        <w:t xml:space="preserve">The Board observed that aspects in addition to the depreciation of an asset need to be considered in measuring the fair value of an asset. </w:t>
      </w:r>
      <w:r w:rsidR="003C2B83" w:rsidRPr="00B83952">
        <w:t>P</w:t>
      </w:r>
      <w:r w:rsidRPr="00B83952">
        <w:t>aragraph</w:t>
      </w:r>
      <w:r w:rsidR="003C2B83" w:rsidRPr="00B83952">
        <w:t> </w:t>
      </w:r>
      <w:r w:rsidRPr="00B83952">
        <w:t xml:space="preserve">11 </w:t>
      </w:r>
      <w:r w:rsidR="003C2B83" w:rsidRPr="00B83952">
        <w:t xml:space="preserve">of AASB 13 </w:t>
      </w:r>
      <w:r w:rsidRPr="00B83952">
        <w:t>specifies that fair value measurements take into account characteristics of an asset that market participants would take into account, including, for example, the condition and location of the asset, and any restrictions on the sale or use of the asset.</w:t>
      </w:r>
    </w:p>
    <w:p w14:paraId="4E98F931" w14:textId="77777777" w:rsidR="00C0714C" w:rsidRPr="00B83952" w:rsidRDefault="00C0714C" w:rsidP="00C0714C">
      <w:pPr>
        <w:pStyle w:val="IASBSectionTitle2Ind"/>
      </w:pPr>
      <w:r w:rsidRPr="00B83952">
        <w:t>Method of depreciation</w:t>
      </w:r>
    </w:p>
    <w:p w14:paraId="5D9C9CBF" w14:textId="0AE96F1F" w:rsidR="00C0714C" w:rsidRPr="00B83952" w:rsidRDefault="00C0714C" w:rsidP="003276D3">
      <w:pPr>
        <w:pStyle w:val="NumBC1"/>
      </w:pPr>
      <w:r w:rsidRPr="00B83952">
        <w:t xml:space="preserve">Regarding comments by some stakeholders that many entities are applying the straight-line depreciation method by default, the Board considers that AASB 116 addresses this issue adequately. </w:t>
      </w:r>
      <w:r w:rsidR="000A7B34" w:rsidRPr="00B83952">
        <w:t xml:space="preserve">Paragraph 60 of </w:t>
      </w:r>
      <w:r w:rsidRPr="00B83952">
        <w:t xml:space="preserve">AASB 116 states that: “The depreciation method used shall reflect the pattern in which the asset’s future economic benefits are expected to be consumed by the entity.” </w:t>
      </w:r>
    </w:p>
    <w:p w14:paraId="5C364452" w14:textId="77777777" w:rsidR="00C0714C" w:rsidRPr="00B83952" w:rsidRDefault="00C0714C" w:rsidP="00C0714C">
      <w:pPr>
        <w:pStyle w:val="IASBSectionTitle2Ind"/>
      </w:pPr>
      <w:r w:rsidRPr="00B83952">
        <w:t>Description used in disclosures of accumulated obsolescence</w:t>
      </w:r>
    </w:p>
    <w:p w14:paraId="6EDB1ACE" w14:textId="35523312" w:rsidR="00C0714C" w:rsidRPr="00B83952" w:rsidRDefault="00C0714C" w:rsidP="003276D3">
      <w:pPr>
        <w:pStyle w:val="NumBC1"/>
      </w:pPr>
      <w:bookmarkStart w:id="190" w:name="_Ref118984202"/>
      <w:r w:rsidRPr="00B83952">
        <w:t xml:space="preserve">In relation to the requirement in paragraph 73(d) </w:t>
      </w:r>
      <w:r w:rsidR="007631F5" w:rsidRPr="00B83952">
        <w:t xml:space="preserve">of AASB 116 </w:t>
      </w:r>
      <w:r w:rsidRPr="00B83952">
        <w:t>to disclose accumulated depreciation for each class of property, plant and equipment, some stakeholders asked whether another description than ‘accumulated depreciation’ is permitted for disclosing the amount of accumulated obsolescence in financial statements. In accordance with the principle in paragraph 57(b) of AASB</w:t>
      </w:r>
      <w:r w:rsidR="001A1CB8" w:rsidRPr="00B83952">
        <w:t> </w:t>
      </w:r>
      <w:r w:rsidRPr="00B83952">
        <w:t>101 that the use of other terms, line items or subtotals in financial statements is permitted where such presentation is relevant to the understanding of the entity’s financial position or financial performance, the Board considered that using a term other than ‘accumulated depreciation’ to describe accumulated obsolescence would not be a breach of AASB 116.</w:t>
      </w:r>
      <w:bookmarkEnd w:id="190"/>
    </w:p>
    <w:p w14:paraId="2A969747" w14:textId="625777BD" w:rsidR="00DC4535" w:rsidRPr="00B83952" w:rsidRDefault="00DC4535" w:rsidP="003B3F7C">
      <w:pPr>
        <w:pStyle w:val="IASBSectionTitle1NonInd"/>
      </w:pPr>
      <w:r w:rsidRPr="00B83952">
        <w:lastRenderedPageBreak/>
        <w:t xml:space="preserve">Approaches to estimating the fair value of specific </w:t>
      </w:r>
      <w:r w:rsidR="002E619F" w:rsidRPr="00B83952">
        <w:t xml:space="preserve">public sector </w:t>
      </w:r>
      <w:r w:rsidRPr="00B83952">
        <w:t>assets</w:t>
      </w:r>
    </w:p>
    <w:p w14:paraId="21CDCCD5" w14:textId="4285C376" w:rsidR="00DC4535" w:rsidRPr="00B83952" w:rsidRDefault="00DC4535" w:rsidP="003276D3">
      <w:pPr>
        <w:pStyle w:val="NumBC1"/>
        <w:keepNext/>
      </w:pPr>
      <w:bookmarkStart w:id="191" w:name="_Ref85447050"/>
      <w:r w:rsidRPr="00B83952">
        <w:t xml:space="preserve">The Board </w:t>
      </w:r>
      <w:r w:rsidR="00857C58" w:rsidRPr="00B83952">
        <w:t xml:space="preserve">was asked </w:t>
      </w:r>
      <w:r w:rsidRPr="00B83952">
        <w:t xml:space="preserve">to </w:t>
      </w:r>
      <w:r w:rsidR="00D2234B" w:rsidRPr="00B83952">
        <w:t xml:space="preserve">provide </w:t>
      </w:r>
      <w:r w:rsidRPr="00B83952">
        <w:t>guidance:</w:t>
      </w:r>
      <w:bookmarkEnd w:id="191"/>
    </w:p>
    <w:p w14:paraId="6F37BC47" w14:textId="1E26E3A4" w:rsidR="00DC4535" w:rsidRPr="00B83952" w:rsidRDefault="00DC4535" w:rsidP="003276D3">
      <w:pPr>
        <w:pStyle w:val="NumBC2"/>
      </w:pPr>
      <w:r w:rsidRPr="00B83952">
        <w:t xml:space="preserve">on which types of </w:t>
      </w:r>
      <w:r w:rsidR="00D21B99" w:rsidRPr="00B83952">
        <w:t xml:space="preserve">public sector </w:t>
      </w:r>
      <w:r w:rsidR="00D619CC" w:rsidRPr="00B83952">
        <w:t xml:space="preserve">entity </w:t>
      </w:r>
      <w:r w:rsidRPr="00B83952">
        <w:t>assets should be valued under the market, income or cost approach in AASB 13, respectively; and</w:t>
      </w:r>
    </w:p>
    <w:p w14:paraId="483ED2C6" w14:textId="20A84B1A" w:rsidR="00DC4535" w:rsidRPr="00B83952" w:rsidRDefault="00DC4535" w:rsidP="003276D3">
      <w:pPr>
        <w:pStyle w:val="NumBC2"/>
      </w:pPr>
      <w:r w:rsidRPr="00B83952">
        <w:t>if the market approach is applied to measure the fair value of assets</w:t>
      </w:r>
      <w:r w:rsidR="002E7BBF" w:rsidRPr="00B83952">
        <w:t xml:space="preserve"> subject to public-sector-specific restrictions</w:t>
      </w:r>
      <w:r w:rsidRPr="00B83952">
        <w:t xml:space="preserve">, on the quantum of </w:t>
      </w:r>
      <w:r w:rsidR="00CA64C4" w:rsidRPr="00B83952">
        <w:t xml:space="preserve">the </w:t>
      </w:r>
      <w:r w:rsidRPr="00B83952">
        <w:t>discount</w:t>
      </w:r>
      <w:r w:rsidR="00CA64C4" w:rsidRPr="00B83952">
        <w:t xml:space="preserve">s deducted from the price of </w:t>
      </w:r>
      <w:r w:rsidR="002E7BBF" w:rsidRPr="00B83952">
        <w:t xml:space="preserve">comparable assets </w:t>
      </w:r>
      <w:r w:rsidR="00CA64C4" w:rsidRPr="00B83952">
        <w:t xml:space="preserve">that </w:t>
      </w:r>
      <w:r w:rsidR="002E7BBF" w:rsidRPr="00B83952">
        <w:t>are not subject to those restrictions</w:t>
      </w:r>
      <w:r w:rsidRPr="00B83952">
        <w:t xml:space="preserve">. </w:t>
      </w:r>
    </w:p>
    <w:p w14:paraId="2D28CDD2" w14:textId="1E10386E" w:rsidR="00DC4535" w:rsidRPr="00B83952" w:rsidRDefault="00DC4535" w:rsidP="003276D3">
      <w:pPr>
        <w:pStyle w:val="NumBC1"/>
      </w:pPr>
      <w:bookmarkStart w:id="192" w:name="_Ref85272326"/>
      <w:r w:rsidRPr="00B83952">
        <w:t>In relation to the request noted in paragraph </w:t>
      </w:r>
      <w:r w:rsidRPr="00B83952">
        <w:fldChar w:fldCharType="begin"/>
      </w:r>
      <w:r w:rsidRPr="00B83952">
        <w:instrText xml:space="preserve"> REF _Ref85447050 \r \h </w:instrText>
      </w:r>
      <w:r w:rsidRPr="00B83952">
        <w:fldChar w:fldCharType="separate"/>
      </w:r>
      <w:r w:rsidR="005A1B65">
        <w:t>BC226</w:t>
      </w:r>
      <w:r w:rsidRPr="00B83952">
        <w:fldChar w:fldCharType="end"/>
      </w:r>
      <w:r w:rsidRPr="00B83952">
        <w:t>(a), the asset types on which stakeholders requested guidance include:</w:t>
      </w:r>
      <w:bookmarkEnd w:id="192"/>
      <w:r w:rsidRPr="00B83952">
        <w:t xml:space="preserve"> </w:t>
      </w:r>
    </w:p>
    <w:p w14:paraId="116CCD9B" w14:textId="77777777" w:rsidR="00DC4535" w:rsidRPr="00B83952" w:rsidRDefault="00DC4535" w:rsidP="003276D3">
      <w:pPr>
        <w:pStyle w:val="NumBC2"/>
      </w:pPr>
      <w:r w:rsidRPr="00B83952">
        <w:t>freehold land for which there is an active and liquid market;</w:t>
      </w:r>
    </w:p>
    <w:p w14:paraId="16185E65" w14:textId="77777777" w:rsidR="00DC4535" w:rsidRPr="00B83952" w:rsidRDefault="00DC4535" w:rsidP="003276D3">
      <w:pPr>
        <w:pStyle w:val="NumBC2"/>
      </w:pPr>
      <w:r w:rsidRPr="00B83952">
        <w:t>land not held in freehold title;</w:t>
      </w:r>
    </w:p>
    <w:p w14:paraId="3FEA0D2D" w14:textId="77777777" w:rsidR="00DC4535" w:rsidRPr="00B83952" w:rsidRDefault="00DC4535" w:rsidP="003276D3">
      <w:pPr>
        <w:pStyle w:val="NumBC2"/>
      </w:pPr>
      <w:r w:rsidRPr="00B83952">
        <w:t>residential or commercial properties located on freehold title;</w:t>
      </w:r>
    </w:p>
    <w:p w14:paraId="110851F0" w14:textId="77777777" w:rsidR="00DC4535" w:rsidRPr="00B83952" w:rsidRDefault="00DC4535" w:rsidP="003276D3">
      <w:pPr>
        <w:pStyle w:val="NumBC2"/>
      </w:pPr>
      <w:r w:rsidRPr="00B83952">
        <w:t>motor vehicles and other plant for which a primary market exists;</w:t>
      </w:r>
    </w:p>
    <w:p w14:paraId="073C2ED2" w14:textId="5062A32F" w:rsidR="00DC4535" w:rsidRPr="00B83952" w:rsidRDefault="00DC4535" w:rsidP="003276D3">
      <w:pPr>
        <w:pStyle w:val="NumBC2"/>
      </w:pPr>
      <w:r w:rsidRPr="00B83952">
        <w:t>buildings and other man-made structures other than those located on freehold title</w:t>
      </w:r>
      <w:r w:rsidR="000C038B" w:rsidRPr="00B83952">
        <w:t>,</w:t>
      </w:r>
      <w:r w:rsidRPr="00B83952">
        <w:t xml:space="preserve"> where the buildings are of </w:t>
      </w:r>
      <w:r w:rsidR="00D619CC" w:rsidRPr="00B83952">
        <w:t xml:space="preserve">a </w:t>
      </w:r>
      <w:r w:rsidRPr="00B83952">
        <w:t>nature and type similar to those traded in an active and liquid market; and</w:t>
      </w:r>
    </w:p>
    <w:p w14:paraId="2ADCDE78" w14:textId="77777777" w:rsidR="00DC4535" w:rsidRPr="00B83952" w:rsidRDefault="00DC4535" w:rsidP="003276D3">
      <w:pPr>
        <w:pStyle w:val="NumBC2"/>
      </w:pPr>
      <w:r w:rsidRPr="00B83952">
        <w:t>infrastructure and other man-made assets other than those used primarily to generate profits (including roads, water, sewerage, recreational and park infrastructure assets).</w:t>
      </w:r>
    </w:p>
    <w:p w14:paraId="61115093" w14:textId="0CF27F0E" w:rsidR="00DC4535" w:rsidRPr="00B83952" w:rsidRDefault="00DC4535" w:rsidP="003276D3">
      <w:pPr>
        <w:pStyle w:val="NumBC1"/>
      </w:pPr>
      <w:bookmarkStart w:id="193" w:name="_Ref85983982"/>
      <w:r w:rsidRPr="00B83952">
        <w:t xml:space="preserve">The Board observed that for </w:t>
      </w:r>
      <w:r w:rsidR="00FF2ECA" w:rsidRPr="00B83952">
        <w:t>many of</w:t>
      </w:r>
      <w:r w:rsidRPr="00B83952">
        <w:t xml:space="preserve"> these types of assets, there does not appear to be a not-for-profit-specific aspect to the issue; therefore, issuing guidance for not-for-profit entities in relation to their application of AASB 13 could result in the guidance being applied by for-profit entities, potentially leading to their inadvertent non-conformity with IFRS</w:t>
      </w:r>
      <w:r w:rsidR="0035732F" w:rsidRPr="00B83952">
        <w:t xml:space="preserve"> Standards</w:t>
      </w:r>
      <w:r w:rsidRPr="00B83952">
        <w:t>.</w:t>
      </w:r>
      <w:bookmarkEnd w:id="193"/>
    </w:p>
    <w:p w14:paraId="704CFB94" w14:textId="75220AFD" w:rsidR="00DC4535" w:rsidRPr="00B83952" w:rsidRDefault="00A32C63" w:rsidP="003276D3">
      <w:pPr>
        <w:pStyle w:val="NumBC1"/>
        <w:keepNext/>
      </w:pPr>
      <w:r w:rsidRPr="00B83952">
        <w:t>P</w:t>
      </w:r>
      <w:r w:rsidR="00A54CC0" w:rsidRPr="00B83952">
        <w:t>aragraph</w:t>
      </w:r>
      <w:r w:rsidR="00DC4535" w:rsidRPr="00B83952">
        <w:t xml:space="preserve"> 61 </w:t>
      </w:r>
      <w:r w:rsidRPr="00B83952">
        <w:t xml:space="preserve">of AASB 13 </w:t>
      </w:r>
      <w:r w:rsidR="00DC4535" w:rsidRPr="00B83952">
        <w:t>requires an entity to use valuation techniques that:</w:t>
      </w:r>
    </w:p>
    <w:p w14:paraId="545C5759" w14:textId="77777777" w:rsidR="00DC4535" w:rsidRPr="00B83952" w:rsidRDefault="00DC4535" w:rsidP="003276D3">
      <w:pPr>
        <w:pStyle w:val="NumBC2"/>
      </w:pPr>
      <w:r w:rsidRPr="00B83952">
        <w:t>are appropriate in the circumstances and for which sufficient data are available to measure fair value; and</w:t>
      </w:r>
    </w:p>
    <w:p w14:paraId="758FD176" w14:textId="77777777" w:rsidR="00DC4535" w:rsidRPr="00B83952" w:rsidRDefault="00DC4535" w:rsidP="003276D3">
      <w:pPr>
        <w:pStyle w:val="NumBC2"/>
      </w:pPr>
      <w:r w:rsidRPr="00B83952">
        <w:t>maximise the use of relevant observable inputs and minimise the use of unobservable inputs.</w:t>
      </w:r>
    </w:p>
    <w:p w14:paraId="29639DCB" w14:textId="360C8CF0" w:rsidR="00DC4535" w:rsidRPr="00B83952" w:rsidRDefault="00DC4535" w:rsidP="003276D3">
      <w:pPr>
        <w:pStyle w:val="NumBC1"/>
      </w:pPr>
      <w:r w:rsidRPr="00B83952">
        <w:t xml:space="preserve">A majority of stakeholders who provided input to the FVM project commented that the ability to apply judgement in the circumstances in choosing among the market approach, income approach and cost approach (or a combination of those approaches) generally works well for measuring the fair value of an asset. The Board considered this comment and formed the view that </w:t>
      </w:r>
      <w:r w:rsidR="00507121" w:rsidRPr="00B83952">
        <w:t xml:space="preserve">Australian </w:t>
      </w:r>
      <w:r w:rsidRPr="00B83952">
        <w:t xml:space="preserve">Accounting Standards should not limit the application of the market approach, income approach or cost approach beyond </w:t>
      </w:r>
      <w:r w:rsidR="00507121" w:rsidRPr="00B83952">
        <w:t xml:space="preserve">any limits in </w:t>
      </w:r>
      <w:r w:rsidRPr="00B83952">
        <w:t xml:space="preserve">the requirements </w:t>
      </w:r>
      <w:r w:rsidR="00AE05C4" w:rsidRPr="00B83952">
        <w:t xml:space="preserve">of </w:t>
      </w:r>
      <w:r w:rsidR="00A54CC0" w:rsidRPr="00B83952">
        <w:t>paragraph</w:t>
      </w:r>
      <w:r w:rsidRPr="00B83952">
        <w:t xml:space="preserve"> 61</w:t>
      </w:r>
      <w:r w:rsidR="006D45FA" w:rsidRPr="00B83952">
        <w:t xml:space="preserve"> of AASB 13</w:t>
      </w:r>
      <w:r w:rsidRPr="00B83952">
        <w:t>.</w:t>
      </w:r>
    </w:p>
    <w:p w14:paraId="313E1E71" w14:textId="0B8A8D40" w:rsidR="00A35CEC" w:rsidRPr="00B83952" w:rsidRDefault="00507121" w:rsidP="003276D3">
      <w:pPr>
        <w:pStyle w:val="NumBC1"/>
      </w:pPr>
      <w:bookmarkStart w:id="194" w:name="_Ref85450724"/>
      <w:bookmarkStart w:id="195" w:name="_Ref85983983"/>
      <w:r w:rsidRPr="00B83952">
        <w:t>Issuing the guidance requested by</w:t>
      </w:r>
      <w:r w:rsidR="0018520F" w:rsidRPr="00B83952">
        <w:t xml:space="preserve"> </w:t>
      </w:r>
      <w:r w:rsidR="00BC7C6F" w:rsidRPr="00B83952">
        <w:t xml:space="preserve">some </w:t>
      </w:r>
      <w:r w:rsidR="0018520F" w:rsidRPr="00B83952">
        <w:t>stakeholders</w:t>
      </w:r>
      <w:r w:rsidRPr="00B83952">
        <w:t xml:space="preserve"> (</w:t>
      </w:r>
      <w:r w:rsidR="003E50C6" w:rsidRPr="00B83952">
        <w:t>ie</w:t>
      </w:r>
      <w:r w:rsidRPr="00B83952">
        <w:t xml:space="preserve"> </w:t>
      </w:r>
      <w:r w:rsidR="00DC4535" w:rsidRPr="00B83952">
        <w:t xml:space="preserve">specifying the approach to apply to </w:t>
      </w:r>
      <w:r w:rsidR="00277705" w:rsidRPr="00B83952">
        <w:t xml:space="preserve">different </w:t>
      </w:r>
      <w:r w:rsidR="00DC4535" w:rsidRPr="00B83952">
        <w:t>type</w:t>
      </w:r>
      <w:r w:rsidR="00277705" w:rsidRPr="00B83952">
        <w:t>s</w:t>
      </w:r>
      <w:r w:rsidR="00DC4535" w:rsidRPr="00B83952">
        <w:t xml:space="preserve"> of asset</w:t>
      </w:r>
      <w:r w:rsidR="00277705" w:rsidRPr="00B83952">
        <w:t>)</w:t>
      </w:r>
      <w:r w:rsidR="00DC4535" w:rsidRPr="00B83952">
        <w:t xml:space="preserve"> would </w:t>
      </w:r>
      <w:r w:rsidR="00277705" w:rsidRPr="00B83952">
        <w:t xml:space="preserve">appear to </w:t>
      </w:r>
      <w:r w:rsidR="00DC4535" w:rsidRPr="00B83952">
        <w:t xml:space="preserve">conflict with the requirements of </w:t>
      </w:r>
      <w:r w:rsidR="00A54CC0" w:rsidRPr="00B83952">
        <w:t>paragraph</w:t>
      </w:r>
      <w:r w:rsidR="00DC4535" w:rsidRPr="00B83952">
        <w:t xml:space="preserve"> 61 </w:t>
      </w:r>
      <w:r w:rsidR="006036EC" w:rsidRPr="00B83952">
        <w:t xml:space="preserve">of AASB 13 </w:t>
      </w:r>
      <w:r w:rsidR="00DC4535" w:rsidRPr="00B83952">
        <w:t xml:space="preserve">because it might constrain entities from using the best evidence of fair value in the circumstances. In addition, </w:t>
      </w:r>
      <w:r w:rsidR="00A54CC0" w:rsidRPr="00B83952">
        <w:t>paragraphs</w:t>
      </w:r>
      <w:r w:rsidR="005724BA" w:rsidRPr="00B83952">
        <w:t> </w:t>
      </w:r>
      <w:r w:rsidR="00DC4535" w:rsidRPr="00B83952">
        <w:t>62</w:t>
      </w:r>
      <w:r w:rsidR="001675D7" w:rsidRPr="00B83952">
        <w:t xml:space="preserve"> and</w:t>
      </w:r>
      <w:r w:rsidR="005724BA" w:rsidRPr="00B83952">
        <w:t> </w:t>
      </w:r>
      <w:r w:rsidR="00DC4535" w:rsidRPr="00B83952">
        <w:t xml:space="preserve">63 </w:t>
      </w:r>
      <w:r w:rsidR="005724BA" w:rsidRPr="00B83952">
        <w:t xml:space="preserve">of AASB 13 </w:t>
      </w:r>
      <w:r w:rsidR="00DC4535" w:rsidRPr="00B83952">
        <w:t>indicate that using a combination of the market, income and cost approaches might be appropriate for various assets. Issuing guidance favouring particular approaches for particular types of assets might be incompatible with that ‘combination of approaches’ guidance in AASB</w:t>
      </w:r>
      <w:r w:rsidR="00D30069" w:rsidRPr="00B83952">
        <w:t> </w:t>
      </w:r>
      <w:r w:rsidR="00DC4535" w:rsidRPr="00B83952">
        <w:t>13.</w:t>
      </w:r>
      <w:bookmarkEnd w:id="194"/>
      <w:bookmarkEnd w:id="195"/>
      <w:r w:rsidR="009C6A19" w:rsidRPr="00B83952">
        <w:t xml:space="preserve"> </w:t>
      </w:r>
    </w:p>
    <w:p w14:paraId="6DA94D62" w14:textId="5A9EBF89" w:rsidR="00DC4535" w:rsidRPr="00B83952" w:rsidRDefault="009C6A19" w:rsidP="003276D3">
      <w:pPr>
        <w:pStyle w:val="NumBC1"/>
      </w:pPr>
      <w:r w:rsidRPr="00B83952">
        <w:t xml:space="preserve">Accordingly, </w:t>
      </w:r>
      <w:r w:rsidR="00BB6747" w:rsidRPr="00B83952">
        <w:t>the modi</w:t>
      </w:r>
      <w:r w:rsidR="008048C8" w:rsidRPr="00B83952">
        <w:t xml:space="preserve">fications to AASB 13 set out in this Standard </w:t>
      </w:r>
      <w:r w:rsidR="0055381B" w:rsidRPr="00B83952">
        <w:t xml:space="preserve">(eg the modification of the guidance on ‘financially feasible use’ in paragraph Aus28.1) </w:t>
      </w:r>
      <w:r w:rsidR="003A6D78" w:rsidRPr="00B83952">
        <w:t>do</w:t>
      </w:r>
      <w:r w:rsidR="008048C8" w:rsidRPr="00B83952">
        <w:t xml:space="preserve"> not </w:t>
      </w:r>
      <w:r w:rsidR="006A35BF" w:rsidRPr="00B83952">
        <w:t xml:space="preserve">indicate that the income approach cannot be applied when measuring </w:t>
      </w:r>
      <w:r w:rsidR="00C02B42" w:rsidRPr="00B83952">
        <w:t xml:space="preserve">the fair value of </w:t>
      </w:r>
      <w:r w:rsidR="006A35BF" w:rsidRPr="00B83952">
        <w:t>a non-financial asset of a not-for-profit public sector entity not held primarily for its ability to generate net cash inflows.</w:t>
      </w:r>
      <w:r w:rsidR="00176855" w:rsidRPr="00B83952">
        <w:t xml:space="preserve"> The entity needs to </w:t>
      </w:r>
      <w:r w:rsidR="00377AC2" w:rsidRPr="00B83952">
        <w:t xml:space="preserve">use </w:t>
      </w:r>
      <w:r w:rsidR="00176855" w:rsidRPr="00B83952">
        <w:t xml:space="preserve">judgement </w:t>
      </w:r>
      <w:r w:rsidR="005540A1" w:rsidRPr="00B83952">
        <w:t xml:space="preserve">in determining which </w:t>
      </w:r>
      <w:r w:rsidR="00864B5B" w:rsidRPr="00B83952">
        <w:t>valuation technique</w:t>
      </w:r>
      <w:r w:rsidR="005540A1" w:rsidRPr="00B83952">
        <w:t xml:space="preserve"> (or combination of techniques)</w:t>
      </w:r>
      <w:r w:rsidR="00864B5B" w:rsidRPr="00B83952">
        <w:t xml:space="preserve"> </w:t>
      </w:r>
      <w:r w:rsidR="005540A1" w:rsidRPr="00B83952">
        <w:t>to apply</w:t>
      </w:r>
      <w:r w:rsidR="00E95696" w:rsidRPr="00B83952">
        <w:t>,</w:t>
      </w:r>
      <w:r w:rsidR="005540A1" w:rsidRPr="00B83952">
        <w:t xml:space="preserve"> considering all </w:t>
      </w:r>
      <w:r w:rsidR="005541E5" w:rsidRPr="00B83952">
        <w:t>facts and circumstances and the availability of observable inputs</w:t>
      </w:r>
      <w:r w:rsidR="00F725B6" w:rsidRPr="00B83952">
        <w:t xml:space="preserve"> relevant to the subject asset</w:t>
      </w:r>
      <w:r w:rsidR="005541E5" w:rsidRPr="00B83952">
        <w:t>.</w:t>
      </w:r>
    </w:p>
    <w:p w14:paraId="130AA43C" w14:textId="7CCECC60" w:rsidR="00DC4535" w:rsidRPr="00B83952" w:rsidRDefault="00DC4535" w:rsidP="003276D3">
      <w:pPr>
        <w:pStyle w:val="NumBC1"/>
      </w:pPr>
      <w:r w:rsidRPr="00B83952">
        <w:t>In relation to the request for guidance on the quantum of discounts deducted for the effects of restrictions when measuring the fair value of restricted assets using the market approach (see paragraph </w:t>
      </w:r>
      <w:r w:rsidRPr="00B83952">
        <w:fldChar w:fldCharType="begin"/>
      </w:r>
      <w:r w:rsidRPr="00B83952">
        <w:instrText xml:space="preserve"> REF _Ref85447050 \r \h </w:instrText>
      </w:r>
      <w:r w:rsidRPr="00B83952">
        <w:fldChar w:fldCharType="separate"/>
      </w:r>
      <w:r w:rsidR="005A1B65">
        <w:t>BC226</w:t>
      </w:r>
      <w:r w:rsidRPr="00B83952">
        <w:fldChar w:fldCharType="end"/>
      </w:r>
      <w:r w:rsidRPr="00B83952">
        <w:t>(b)), the Board noted that</w:t>
      </w:r>
      <w:r w:rsidR="001E49B8" w:rsidRPr="00B83952">
        <w:t>,</w:t>
      </w:r>
      <w:r w:rsidRPr="00B83952">
        <w:t xml:space="preserve"> for </w:t>
      </w:r>
      <w:r w:rsidR="001E49B8" w:rsidRPr="00B83952">
        <w:t xml:space="preserve">land held </w:t>
      </w:r>
      <w:r w:rsidRPr="00B83952">
        <w:t>by not-for-profit public sector entities</w:t>
      </w:r>
      <w:r w:rsidR="001E49B8" w:rsidRPr="00B83952">
        <w:t>, the market approach is primarily applied</w:t>
      </w:r>
      <w:r w:rsidRPr="00B83952">
        <w:t>. The Board rejected the notion of developing guidance on the quantum of discounts in relation to land for the reasons set out in paragraph</w:t>
      </w:r>
      <w:r w:rsidR="00BD743D" w:rsidRPr="00B83952">
        <w:t>s</w:t>
      </w:r>
      <w:r w:rsidRPr="00B83952">
        <w:t> </w:t>
      </w:r>
      <w:r w:rsidRPr="00B83952">
        <w:fldChar w:fldCharType="begin"/>
      </w:r>
      <w:r w:rsidRPr="00B83952">
        <w:instrText xml:space="preserve"> REF _Ref85713475 \r \h </w:instrText>
      </w:r>
      <w:r w:rsidRPr="00B83952">
        <w:fldChar w:fldCharType="separate"/>
      </w:r>
      <w:r w:rsidR="005A1B65">
        <w:t>BC253</w:t>
      </w:r>
      <w:r w:rsidRPr="00B83952">
        <w:fldChar w:fldCharType="end"/>
      </w:r>
      <w:r w:rsidR="00DD4C2F" w:rsidRPr="00B83952">
        <w:t xml:space="preserve"> and </w:t>
      </w:r>
      <w:r w:rsidR="000E3A82" w:rsidRPr="00B83952">
        <w:fldChar w:fldCharType="begin"/>
      </w:r>
      <w:r w:rsidR="000E3A82" w:rsidRPr="00B83952">
        <w:instrText xml:space="preserve"> REF _Ref90981694 \r \h </w:instrText>
      </w:r>
      <w:r w:rsidR="000E3A82" w:rsidRPr="00B83952">
        <w:fldChar w:fldCharType="separate"/>
      </w:r>
      <w:r w:rsidR="005A1B65">
        <w:t>BC254</w:t>
      </w:r>
      <w:r w:rsidR="000E3A82" w:rsidRPr="00B83952">
        <w:fldChar w:fldCharType="end"/>
      </w:r>
      <w:r w:rsidRPr="00B83952">
        <w:t>.</w:t>
      </w:r>
    </w:p>
    <w:p w14:paraId="71319D78" w14:textId="16CBBC2E" w:rsidR="003A20F4" w:rsidRPr="00B83952" w:rsidRDefault="00311813" w:rsidP="003276D3">
      <w:pPr>
        <w:pStyle w:val="NumBC1"/>
      </w:pPr>
      <w:bookmarkStart w:id="196" w:name="_Ref97205727"/>
      <w:r w:rsidRPr="00B83952">
        <w:t>Further, t</w:t>
      </w:r>
      <w:r w:rsidR="003A20F4" w:rsidRPr="00B83952">
        <w:t>he Board observed that most public sector entities do not determine their own accounting policies</w:t>
      </w:r>
      <w:r w:rsidR="00CD3E07" w:rsidRPr="00B83952">
        <w:t xml:space="preserve"> for applying the requirements of Australian Accounting Standards</w:t>
      </w:r>
      <w:r w:rsidR="003A20F4" w:rsidRPr="00B83952">
        <w:t xml:space="preserve">, particularly in relation to policies for transactions that are common across the public sector – those policies are determined by the Treasury or Finance Department (or other authority) </w:t>
      </w:r>
      <w:r w:rsidR="00720B1C" w:rsidRPr="00B83952">
        <w:t>or</w:t>
      </w:r>
      <w:r w:rsidR="003A20F4" w:rsidRPr="00B83952">
        <w:t xml:space="preserve"> the Office of Local Government in each jurisdiction. </w:t>
      </w:r>
      <w:r w:rsidR="00E3164F" w:rsidRPr="00B83952">
        <w:t>In relation to the Board’s conclusion not to develop guidance beyond the scope of that in this Standard, i</w:t>
      </w:r>
      <w:r w:rsidR="003A20F4" w:rsidRPr="00B83952">
        <w:t xml:space="preserve">f the Treasury or Finance Department (or other authority) and/or the Office of Local Government in a jurisdiction desires </w:t>
      </w:r>
      <w:r w:rsidR="003A20F4" w:rsidRPr="00B83952">
        <w:lastRenderedPageBreak/>
        <w:t xml:space="preserve">greater consistency in </w:t>
      </w:r>
      <w:r w:rsidR="00B66309" w:rsidRPr="00B83952">
        <w:t xml:space="preserve">the valuation approach(es) used to measure the </w:t>
      </w:r>
      <w:r w:rsidR="003A20F4" w:rsidRPr="00B83952">
        <w:t xml:space="preserve">fair value of </w:t>
      </w:r>
      <w:r w:rsidR="00B66309" w:rsidRPr="00B83952">
        <w:t xml:space="preserve">particular types or classes of </w:t>
      </w:r>
      <w:r w:rsidR="003A20F4" w:rsidRPr="00B83952">
        <w:t>non-financial assets in a jurisdiction</w:t>
      </w:r>
      <w:r w:rsidR="007777A6" w:rsidRPr="00B83952">
        <w:t>,</w:t>
      </w:r>
      <w:r w:rsidR="003A20F4" w:rsidRPr="00B83952">
        <w:t xml:space="preserve"> it may choose to designate </w:t>
      </w:r>
      <w:r w:rsidR="00F924EA" w:rsidRPr="00B83952">
        <w:t xml:space="preserve">a </w:t>
      </w:r>
      <w:r w:rsidR="003A20F4" w:rsidRPr="00B83952">
        <w:t xml:space="preserve">valuation approach for application </w:t>
      </w:r>
      <w:r w:rsidR="005A5513" w:rsidRPr="00B83952">
        <w:t xml:space="preserve">to those </w:t>
      </w:r>
      <w:r w:rsidR="003A20F4" w:rsidRPr="00B83952">
        <w:t xml:space="preserve">assets </w:t>
      </w:r>
      <w:r w:rsidR="005A5513" w:rsidRPr="00B83952">
        <w:t xml:space="preserve">held by </w:t>
      </w:r>
      <w:r w:rsidR="003A20F4" w:rsidRPr="00B83952">
        <w:t>public sector entities in its jurisdiction</w:t>
      </w:r>
      <w:r w:rsidR="00EC486B" w:rsidRPr="00B83952">
        <w:t>.</w:t>
      </w:r>
      <w:r w:rsidR="00360313" w:rsidRPr="00B83952">
        <w:t xml:space="preserve"> </w:t>
      </w:r>
      <w:r w:rsidR="00EC486B" w:rsidRPr="00B83952">
        <w:t>I</w:t>
      </w:r>
      <w:r w:rsidR="001F3254" w:rsidRPr="00B83952">
        <w:t xml:space="preserve">n effect, </w:t>
      </w:r>
      <w:r w:rsidR="00C14C5D" w:rsidRPr="00B83952">
        <w:t>where AASB</w:t>
      </w:r>
      <w:r w:rsidR="005D1BAA" w:rsidRPr="00B83952">
        <w:t> </w:t>
      </w:r>
      <w:r w:rsidR="00C14C5D" w:rsidRPr="00B83952">
        <w:t xml:space="preserve">13 </w:t>
      </w:r>
      <w:r w:rsidR="00E4191F" w:rsidRPr="00B83952">
        <w:t>requires</w:t>
      </w:r>
      <w:r w:rsidR="00C14C5D" w:rsidRPr="00B83952">
        <w:t xml:space="preserve"> the exercise of judgement regarding the appropriate valuation approach, the Treasury or Finance Department (or other authority) and/or the Office of Local Government </w:t>
      </w:r>
      <w:r w:rsidR="0066328A" w:rsidRPr="00B83952">
        <w:t xml:space="preserve">may </w:t>
      </w:r>
      <w:r w:rsidR="001F4B4C" w:rsidRPr="00B83952">
        <w:t>appl</w:t>
      </w:r>
      <w:r w:rsidR="0016485E" w:rsidRPr="00B83952">
        <w:t>y</w:t>
      </w:r>
      <w:r w:rsidR="001F4B4C" w:rsidRPr="00B83952">
        <w:t xml:space="preserve"> judgement on behalf of </w:t>
      </w:r>
      <w:r w:rsidR="0020241F" w:rsidRPr="00B83952">
        <w:t>entities in its jurisdiction</w:t>
      </w:r>
      <w:r w:rsidR="003A20F4" w:rsidRPr="00B83952">
        <w:t>.</w:t>
      </w:r>
      <w:bookmarkEnd w:id="196"/>
    </w:p>
    <w:p w14:paraId="40393EFA" w14:textId="4D9CB9F3" w:rsidR="000358BD" w:rsidRPr="00B83952" w:rsidRDefault="000358BD">
      <w:pPr>
        <w:pStyle w:val="IASBSectionTitle2Ind"/>
      </w:pPr>
      <w:bookmarkStart w:id="197" w:name="_Ref32408817"/>
      <w:r w:rsidRPr="00B83952">
        <w:t xml:space="preserve">Fair value measurement of land and improvements on land subject to public-sector-specific </w:t>
      </w:r>
      <w:r w:rsidR="00BD0680" w:rsidRPr="00B83952">
        <w:t xml:space="preserve">legal </w:t>
      </w:r>
      <w:r w:rsidRPr="00B83952">
        <w:t>restrictions</w:t>
      </w:r>
    </w:p>
    <w:p w14:paraId="3C1AB2E3" w14:textId="208679BE" w:rsidR="00DE199B" w:rsidRPr="00B83952" w:rsidRDefault="00DE199B">
      <w:pPr>
        <w:pStyle w:val="IASBSectionTitle3Ind"/>
      </w:pPr>
      <w:r w:rsidRPr="00B83952">
        <w:t>Original request from stakeholders</w:t>
      </w:r>
      <w:r w:rsidR="001A1EE9" w:rsidRPr="00B83952">
        <w:t xml:space="preserve"> in 2017</w:t>
      </w:r>
    </w:p>
    <w:p w14:paraId="63F79B36" w14:textId="6A6808C1" w:rsidR="001C1FBC" w:rsidRPr="00B83952" w:rsidRDefault="006B7767" w:rsidP="003276D3">
      <w:pPr>
        <w:pStyle w:val="NumBC1"/>
      </w:pPr>
      <w:bookmarkStart w:id="198" w:name="_Ref90992079"/>
      <w:r w:rsidRPr="00B83952">
        <w:t>All land is subject to zoning restrictions</w:t>
      </w:r>
      <w:r w:rsidR="00534A91" w:rsidRPr="00B83952">
        <w:t>, and some land may have an easement restriction</w:t>
      </w:r>
      <w:r w:rsidRPr="00B83952">
        <w:t xml:space="preserve">. </w:t>
      </w:r>
      <w:r w:rsidR="00DB72C2" w:rsidRPr="00B83952">
        <w:t>S</w:t>
      </w:r>
      <w:r w:rsidRPr="00B83952">
        <w:t xml:space="preserve">takeholders have informed the Board that many </w:t>
      </w:r>
      <w:r w:rsidR="00F950CA" w:rsidRPr="00B83952">
        <w:t xml:space="preserve">not-for-profit </w:t>
      </w:r>
      <w:r w:rsidRPr="00B83952">
        <w:t xml:space="preserve">public sector entities are subject to </w:t>
      </w:r>
      <w:r w:rsidR="00E8380F" w:rsidRPr="00B83952">
        <w:t xml:space="preserve">public-sector-specific legal restrictions </w:t>
      </w:r>
      <w:r w:rsidR="00B56EA3" w:rsidRPr="00B83952">
        <w:t xml:space="preserve">beyond the zoning </w:t>
      </w:r>
      <w:r w:rsidR="00C44208" w:rsidRPr="00B83952">
        <w:t xml:space="preserve">and easement </w:t>
      </w:r>
      <w:r w:rsidR="00B56EA3" w:rsidRPr="00B83952">
        <w:t xml:space="preserve">restrictions </w:t>
      </w:r>
      <w:r w:rsidRPr="00B83952">
        <w:t>(such as</w:t>
      </w:r>
      <w:r w:rsidR="00D12CD6" w:rsidRPr="00B83952">
        <w:t xml:space="preserve"> legislation specific to public sector entit</w:t>
      </w:r>
      <w:r w:rsidR="003D0A98" w:rsidRPr="00B83952">
        <w:t>ies</w:t>
      </w:r>
      <w:r w:rsidR="00D12CD6" w:rsidRPr="00B83952">
        <w:t xml:space="preserve"> or direction</w:t>
      </w:r>
      <w:r w:rsidR="00F950CA" w:rsidRPr="00B83952">
        <w:t>s</w:t>
      </w:r>
      <w:r w:rsidR="00D12CD6" w:rsidRPr="00B83952">
        <w:t xml:space="preserve"> from Ministers)</w:t>
      </w:r>
      <w:r w:rsidR="00B56EA3" w:rsidRPr="00B83952">
        <w:t xml:space="preserve"> </w:t>
      </w:r>
      <w:r w:rsidR="00AA5E8B" w:rsidRPr="00B83952">
        <w:t>prohibiting the entity from</w:t>
      </w:r>
      <w:r w:rsidR="00B56EA3" w:rsidRPr="00B83952">
        <w:t xml:space="preserve"> us</w:t>
      </w:r>
      <w:r w:rsidR="00AA5E8B" w:rsidRPr="00B83952">
        <w:t>ing</w:t>
      </w:r>
      <w:r w:rsidR="00B56EA3" w:rsidRPr="00B83952">
        <w:t xml:space="preserve"> </w:t>
      </w:r>
      <w:r w:rsidR="00AA5E8B" w:rsidRPr="00B83952">
        <w:t>the</w:t>
      </w:r>
      <w:r w:rsidR="00B56EA3" w:rsidRPr="00B83952">
        <w:t xml:space="preserve"> land and improvements on land</w:t>
      </w:r>
      <w:r w:rsidR="00657E35" w:rsidRPr="00B83952">
        <w:t xml:space="preserve"> </w:t>
      </w:r>
      <w:r w:rsidR="00BF1821" w:rsidRPr="00B83952">
        <w:t xml:space="preserve">for </w:t>
      </w:r>
      <w:r w:rsidR="00F950CA" w:rsidRPr="00B83952">
        <w:t xml:space="preserve">a </w:t>
      </w:r>
      <w:r w:rsidR="00BF1821" w:rsidRPr="00B83952">
        <w:t xml:space="preserve">purpose other than its </w:t>
      </w:r>
      <w:r w:rsidR="00EC36F8" w:rsidRPr="00B83952">
        <w:t xml:space="preserve">current </w:t>
      </w:r>
      <w:r w:rsidR="00BF1821" w:rsidRPr="00B83952">
        <w:t>use</w:t>
      </w:r>
      <w:r w:rsidR="00657E35" w:rsidRPr="00B83952">
        <w:t xml:space="preserve">. </w:t>
      </w:r>
      <w:r w:rsidR="0004286C" w:rsidRPr="00B83952">
        <w:t xml:space="preserve">For example, a </w:t>
      </w:r>
      <w:r w:rsidR="00F950CA" w:rsidRPr="00B83952">
        <w:t xml:space="preserve">not-for-profit </w:t>
      </w:r>
      <w:r w:rsidR="0004286C" w:rsidRPr="00B83952">
        <w:t xml:space="preserve">public sector entity might be subject to a legal restriction prohibiting it from </w:t>
      </w:r>
      <w:r w:rsidR="00437C42" w:rsidRPr="00B83952">
        <w:t xml:space="preserve">using a hospital and the hospital land for </w:t>
      </w:r>
      <w:r w:rsidR="00F950CA" w:rsidRPr="00B83952">
        <w:t xml:space="preserve">a </w:t>
      </w:r>
      <w:r w:rsidR="00437C42" w:rsidRPr="00B83952">
        <w:t>purpose</w:t>
      </w:r>
      <w:r w:rsidR="00F950CA" w:rsidRPr="00B83952">
        <w:t xml:space="preserve"> other than as a hospital</w:t>
      </w:r>
      <w:r w:rsidR="00437C42" w:rsidRPr="00B83952">
        <w:t>.</w:t>
      </w:r>
      <w:bookmarkEnd w:id="198"/>
    </w:p>
    <w:p w14:paraId="1DC2843D" w14:textId="6E1E4603" w:rsidR="006B7767" w:rsidRPr="00B83952" w:rsidRDefault="002E4919" w:rsidP="003276D3">
      <w:pPr>
        <w:pStyle w:val="NumBC1"/>
      </w:pPr>
      <w:r w:rsidRPr="00B83952">
        <w:t>T</w:t>
      </w:r>
      <w:r w:rsidR="006A5D87" w:rsidRPr="00B83952">
        <w:t xml:space="preserve">his </w:t>
      </w:r>
      <w:r w:rsidR="00842877" w:rsidRPr="00B83952">
        <w:t xml:space="preserve">section of the </w:t>
      </w:r>
      <w:r w:rsidR="006A5D87" w:rsidRPr="00B83952">
        <w:t>Basis for Conclusions</w:t>
      </w:r>
      <w:r w:rsidR="006D5199" w:rsidRPr="00B83952">
        <w:t xml:space="preserve"> (paragraphs </w:t>
      </w:r>
      <w:r w:rsidR="006D5199" w:rsidRPr="00B83952">
        <w:fldChar w:fldCharType="begin"/>
      </w:r>
      <w:r w:rsidR="006D5199" w:rsidRPr="00B83952">
        <w:instrText xml:space="preserve"> REF _Ref97133327 \r \h </w:instrText>
      </w:r>
      <w:r w:rsidR="006D5199" w:rsidRPr="00B83952">
        <w:fldChar w:fldCharType="separate"/>
      </w:r>
      <w:r w:rsidR="005A1B65">
        <w:t>BC237</w:t>
      </w:r>
      <w:r w:rsidR="006D5199" w:rsidRPr="00B83952">
        <w:fldChar w:fldCharType="end"/>
      </w:r>
      <w:r w:rsidR="000D4533" w:rsidRPr="00B83952">
        <w:t>–</w:t>
      </w:r>
      <w:r w:rsidR="000D4533" w:rsidRPr="00B83952">
        <w:fldChar w:fldCharType="begin"/>
      </w:r>
      <w:r w:rsidR="000D4533" w:rsidRPr="00B83952">
        <w:instrText xml:space="preserve"> REF _Ref116441792 \r \h </w:instrText>
      </w:r>
      <w:r w:rsidR="000D4533" w:rsidRPr="00B83952">
        <w:fldChar w:fldCharType="separate"/>
      </w:r>
      <w:r w:rsidR="005A1B65">
        <w:t>BC259</w:t>
      </w:r>
      <w:r w:rsidR="000D4533" w:rsidRPr="00B83952">
        <w:fldChar w:fldCharType="end"/>
      </w:r>
      <w:r w:rsidR="005F2273" w:rsidRPr="00B83952">
        <w:t>)</w:t>
      </w:r>
      <w:r w:rsidR="006A5D87" w:rsidRPr="00B83952">
        <w:t xml:space="preserve"> </w:t>
      </w:r>
      <w:r w:rsidR="005A4257" w:rsidRPr="00B83952">
        <w:t xml:space="preserve">discusses </w:t>
      </w:r>
      <w:r w:rsidR="005C2B8F" w:rsidRPr="00B83952">
        <w:t xml:space="preserve">public-sector-specific </w:t>
      </w:r>
      <w:r w:rsidR="00241DF2" w:rsidRPr="00B83952">
        <w:t xml:space="preserve">legal restrictions </w:t>
      </w:r>
      <w:r w:rsidR="005A4257" w:rsidRPr="00B83952">
        <w:t>that</w:t>
      </w:r>
      <w:r w:rsidR="00F967F7" w:rsidRPr="00B83952">
        <w:t xml:space="preserve"> are expected to be transferred to </w:t>
      </w:r>
      <w:r w:rsidR="00F26607" w:rsidRPr="00B83952">
        <w:t xml:space="preserve">other not-for-profit public sector </w:t>
      </w:r>
      <w:r w:rsidR="00F967F7" w:rsidRPr="00B83952">
        <w:t>market participants</w:t>
      </w:r>
      <w:r w:rsidR="009271A4" w:rsidRPr="00B83952">
        <w:t xml:space="preserve"> in a hypothetic</w:t>
      </w:r>
      <w:r w:rsidR="00FF3259" w:rsidRPr="00B83952">
        <w:t>al</w:t>
      </w:r>
      <w:r w:rsidR="009271A4" w:rsidRPr="00B83952">
        <w:t xml:space="preserve"> sale transaction</w:t>
      </w:r>
      <w:r w:rsidR="00241DF2" w:rsidRPr="00B83952">
        <w:t xml:space="preserve">. </w:t>
      </w:r>
      <w:r w:rsidR="00CF1350" w:rsidRPr="00B83952">
        <w:t xml:space="preserve">Legal restrictions that </w:t>
      </w:r>
      <w:r w:rsidR="00D34891" w:rsidRPr="00B83952">
        <w:t xml:space="preserve">would </w:t>
      </w:r>
      <w:r w:rsidR="00CF1350" w:rsidRPr="00B83952">
        <w:t xml:space="preserve">not transfer to other market participants </w:t>
      </w:r>
      <w:r w:rsidR="00A750B6" w:rsidRPr="00B83952">
        <w:t>in a hypothetic</w:t>
      </w:r>
      <w:r w:rsidR="00FF3259" w:rsidRPr="00B83952">
        <w:t>al</w:t>
      </w:r>
      <w:r w:rsidR="00A750B6" w:rsidRPr="00B83952">
        <w:t xml:space="preserve"> sale transaction </w:t>
      </w:r>
      <w:r w:rsidR="00CF1350" w:rsidRPr="00B83952">
        <w:t>are no</w:t>
      </w:r>
      <w:r w:rsidR="00C10C86" w:rsidRPr="00B83952">
        <w:t>t considered in fair value measurement of an asset.</w:t>
      </w:r>
    </w:p>
    <w:p w14:paraId="01814778" w14:textId="57A4FA83" w:rsidR="00164AF8" w:rsidRPr="00B83952" w:rsidRDefault="00164AF8" w:rsidP="003276D3">
      <w:pPr>
        <w:pStyle w:val="NumBC1"/>
      </w:pPr>
      <w:bookmarkStart w:id="199" w:name="_Ref97133327"/>
      <w:r w:rsidRPr="00B83952">
        <w:t xml:space="preserve">The Board noted that in many cases, the current zoning of the land would reflect </w:t>
      </w:r>
      <w:r w:rsidR="002A4C46" w:rsidRPr="00B83952">
        <w:t xml:space="preserve">the </w:t>
      </w:r>
      <w:r w:rsidR="007F1572" w:rsidRPr="00B83952">
        <w:t xml:space="preserve">land’s </w:t>
      </w:r>
      <w:r w:rsidRPr="00B83952">
        <w:t xml:space="preserve">public-sector-specific </w:t>
      </w:r>
      <w:r w:rsidR="00C92C63" w:rsidRPr="00B83952">
        <w:t xml:space="preserve">legal </w:t>
      </w:r>
      <w:r w:rsidRPr="00B83952">
        <w:t>restrictions, such as</w:t>
      </w:r>
      <w:r w:rsidR="00007BC7" w:rsidRPr="00B83952">
        <w:t xml:space="preserve"> having a co</w:t>
      </w:r>
      <w:r w:rsidR="00C17ABD" w:rsidRPr="00B83952">
        <w:t xml:space="preserve">mmunity </w:t>
      </w:r>
      <w:r w:rsidRPr="00B83952">
        <w:t xml:space="preserve">zoning </w:t>
      </w:r>
      <w:r w:rsidR="00BB4011" w:rsidRPr="00B83952">
        <w:t xml:space="preserve">that </w:t>
      </w:r>
      <w:r w:rsidR="00AE6609" w:rsidRPr="00B83952">
        <w:t>restrict</w:t>
      </w:r>
      <w:r w:rsidR="00BB4011" w:rsidRPr="00B83952">
        <w:t>s</w:t>
      </w:r>
      <w:r w:rsidR="00AE6609" w:rsidRPr="00B83952">
        <w:t xml:space="preserve"> </w:t>
      </w:r>
      <w:r w:rsidRPr="00B83952">
        <w:t xml:space="preserve">a parcel of land </w:t>
      </w:r>
      <w:r w:rsidR="00AE6609" w:rsidRPr="00B83952">
        <w:t>to be used for community purpose</w:t>
      </w:r>
      <w:r w:rsidR="007F1572" w:rsidRPr="00B83952">
        <w:t>s</w:t>
      </w:r>
      <w:r w:rsidR="00AE6609" w:rsidRPr="00B83952">
        <w:t xml:space="preserve">. However, there might be situations </w:t>
      </w:r>
      <w:r w:rsidR="00150F55" w:rsidRPr="00B83952">
        <w:t xml:space="preserve">in which </w:t>
      </w:r>
      <w:r w:rsidR="0013280F" w:rsidRPr="00B83952">
        <w:t>land is zone</w:t>
      </w:r>
      <w:r w:rsidR="00150F55" w:rsidRPr="00B83952">
        <w:t>d</w:t>
      </w:r>
      <w:r w:rsidR="0013280F" w:rsidRPr="00B83952">
        <w:t xml:space="preserve"> for a commercial purpose, but the </w:t>
      </w:r>
      <w:r w:rsidR="00150F55" w:rsidRPr="00B83952">
        <w:t xml:space="preserve">not-for-profit </w:t>
      </w:r>
      <w:r w:rsidR="0013280F" w:rsidRPr="00B83952">
        <w:t xml:space="preserve">public sector entity holding the land is subject to </w:t>
      </w:r>
      <w:r w:rsidR="00C17ABD" w:rsidRPr="00B83952">
        <w:t xml:space="preserve">legislation preventing </w:t>
      </w:r>
      <w:r w:rsidR="00150F55" w:rsidRPr="00B83952">
        <w:t xml:space="preserve">that </w:t>
      </w:r>
      <w:r w:rsidR="00C17ABD" w:rsidRPr="00B83952">
        <w:t xml:space="preserve">entity </w:t>
      </w:r>
      <w:r w:rsidR="00517604" w:rsidRPr="00B83952">
        <w:t>from using any of its non-financial assets for a commercial purpose.</w:t>
      </w:r>
      <w:bookmarkEnd w:id="199"/>
      <w:r w:rsidR="001826CB" w:rsidRPr="00B83952">
        <w:t xml:space="preserve"> </w:t>
      </w:r>
    </w:p>
    <w:p w14:paraId="352D7956" w14:textId="5DA3201B" w:rsidR="006F267F" w:rsidRPr="00B83952" w:rsidRDefault="003B394C" w:rsidP="003276D3">
      <w:pPr>
        <w:pStyle w:val="NumBC1"/>
        <w:keepNext/>
      </w:pPr>
      <w:bookmarkStart w:id="200" w:name="_Ref90898446"/>
      <w:r w:rsidRPr="00B83952">
        <w:t>Panel members and other s</w:t>
      </w:r>
      <w:r w:rsidR="00193C77" w:rsidRPr="00B83952">
        <w:t xml:space="preserve">takeholders </w:t>
      </w:r>
      <w:r w:rsidR="006658E3" w:rsidRPr="00B83952">
        <w:t xml:space="preserve">who responded to </w:t>
      </w:r>
      <w:r w:rsidR="008B4C3D" w:rsidRPr="00B83952">
        <w:t xml:space="preserve">ITC 34 originally </w:t>
      </w:r>
      <w:r w:rsidRPr="00B83952">
        <w:t xml:space="preserve">asked </w:t>
      </w:r>
      <w:r w:rsidR="00193C77" w:rsidRPr="00B83952">
        <w:t>the Board to provid</w:t>
      </w:r>
      <w:r w:rsidRPr="00B83952">
        <w:t>e</w:t>
      </w:r>
      <w:r w:rsidR="00193C77" w:rsidRPr="00B83952">
        <w:t xml:space="preserve"> guidance on:</w:t>
      </w:r>
      <w:bookmarkEnd w:id="200"/>
    </w:p>
    <w:p w14:paraId="6D3FC9B0" w14:textId="58909A97" w:rsidR="00193C77" w:rsidRPr="00B83952" w:rsidRDefault="00C92C63" w:rsidP="003276D3">
      <w:pPr>
        <w:pStyle w:val="NumBC2"/>
      </w:pPr>
      <w:r w:rsidRPr="00B83952">
        <w:t xml:space="preserve">how public-sector-specific legal restrictions </w:t>
      </w:r>
      <w:r w:rsidR="002A361E" w:rsidRPr="00B83952">
        <w:t xml:space="preserve">that </w:t>
      </w:r>
      <w:r w:rsidR="00A750B6" w:rsidRPr="00B83952">
        <w:t xml:space="preserve">would be </w:t>
      </w:r>
      <w:r w:rsidR="002A361E" w:rsidRPr="00B83952">
        <w:t xml:space="preserve">expected to transfer to other public-sector market participants </w:t>
      </w:r>
      <w:r w:rsidR="00D60EF5" w:rsidRPr="00B83952">
        <w:t xml:space="preserve">should </w:t>
      </w:r>
      <w:r w:rsidRPr="00B83952">
        <w:t>be treated</w:t>
      </w:r>
      <w:r w:rsidR="0007751B" w:rsidRPr="00B83952">
        <w:t xml:space="preserve"> </w:t>
      </w:r>
      <w:r w:rsidR="00D60EF5" w:rsidRPr="00B83952">
        <w:t xml:space="preserve">when measuring </w:t>
      </w:r>
      <w:r w:rsidR="0007751B" w:rsidRPr="00B83952">
        <w:t xml:space="preserve">the fair value of land and improvements on land that are </w:t>
      </w:r>
      <w:r w:rsidR="00F77137" w:rsidRPr="00B83952">
        <w:t>not held primarily for their ability to generate net cash inflows;</w:t>
      </w:r>
      <w:r w:rsidR="008B4C3D" w:rsidRPr="00B83952">
        <w:t xml:space="preserve"> and</w:t>
      </w:r>
    </w:p>
    <w:p w14:paraId="551812A3" w14:textId="7ECD21AF" w:rsidR="00F77137" w:rsidRPr="00B83952" w:rsidRDefault="00F77137" w:rsidP="003276D3">
      <w:pPr>
        <w:pStyle w:val="NumBC2"/>
      </w:pPr>
      <w:r w:rsidRPr="00B83952">
        <w:t>which measurement techniques should be used in measuring the fair value of such land</w:t>
      </w:r>
      <w:r w:rsidR="00DB4A1A" w:rsidRPr="00B83952">
        <w:t>.</w:t>
      </w:r>
    </w:p>
    <w:p w14:paraId="4318DAEC" w14:textId="20999AA6" w:rsidR="00715258" w:rsidRPr="00B83952" w:rsidRDefault="00715258" w:rsidP="003276D3">
      <w:pPr>
        <w:pStyle w:val="NumBC1"/>
      </w:pPr>
      <w:r w:rsidRPr="00B83952">
        <w:t xml:space="preserve">Stakeholders informed the Board that the fair value of some land </w:t>
      </w:r>
      <w:r w:rsidR="00DA353F" w:rsidRPr="00B83952">
        <w:t xml:space="preserve">subject to public-sector-specific legal restrictions </w:t>
      </w:r>
      <w:r w:rsidR="004232D1" w:rsidRPr="00B83952">
        <w:t xml:space="preserve">and </w:t>
      </w:r>
      <w:r w:rsidR="00A024E9" w:rsidRPr="00B83952">
        <w:t xml:space="preserve">not held </w:t>
      </w:r>
      <w:r w:rsidRPr="00B83952">
        <w:t xml:space="preserve">primarily for </w:t>
      </w:r>
      <w:r w:rsidR="00A024E9" w:rsidRPr="00B83952">
        <w:t>its ability to generate net cash inflows</w:t>
      </w:r>
      <w:r w:rsidRPr="00B83952">
        <w:t xml:space="preserve"> has been valued at a very low amount; sometimes a nominal amount (</w:t>
      </w:r>
      <w:r w:rsidR="003E50C6" w:rsidRPr="00B83952">
        <w:t>eg</w:t>
      </w:r>
      <w:r w:rsidRPr="00B83952">
        <w:t xml:space="preserve"> $1 for some restricted land). They questioned whether measuring such restricted land at such a low value appropriately reflects the service potential of the restricted land. This question was asked in the context of </w:t>
      </w:r>
      <w:r w:rsidR="00A54CC0" w:rsidRPr="00B83952">
        <w:t>paragraph</w:t>
      </w:r>
      <w:r w:rsidRPr="00B83952">
        <w:t xml:space="preserve"> Aus49.1 of the </w:t>
      </w:r>
      <w:r w:rsidRPr="00B83952">
        <w:rPr>
          <w:i/>
          <w:iCs/>
        </w:rPr>
        <w:t>Framework for the Preparation and Presentation of Financial Statements</w:t>
      </w:r>
      <w:r w:rsidRPr="00B83952">
        <w:t xml:space="preserve"> (applicable to not-for-profit entities), which states that ‘future economic benefits’ or ‘service potential’ can be described as ‘the scarce capacity to provide benefits to the </w:t>
      </w:r>
      <w:r w:rsidR="009B1DF9" w:rsidRPr="00B83952">
        <w:t xml:space="preserve">entities </w:t>
      </w:r>
      <w:r w:rsidRPr="00B83952">
        <w:t>that use them’.</w:t>
      </w:r>
    </w:p>
    <w:p w14:paraId="2B9362FB" w14:textId="3FCE8867" w:rsidR="00715258" w:rsidRPr="00B83952" w:rsidRDefault="00715258" w:rsidP="003276D3">
      <w:pPr>
        <w:pStyle w:val="NumBC1"/>
      </w:pPr>
      <w:r w:rsidRPr="00B83952">
        <w:t xml:space="preserve">The Board did not form a view on whether measuring such restricted land at a low amount or nominal amount would reflect the capacity of the restricted land available to provide benefits to the holder of the land (or to provide services to the community). The Board is undertaking a project to adapt its </w:t>
      </w:r>
      <w:r w:rsidRPr="00B83952">
        <w:rPr>
          <w:i/>
          <w:iCs/>
        </w:rPr>
        <w:t>Conceptual Framework for Financial Reporting</w:t>
      </w:r>
      <w:r w:rsidRPr="00B83952">
        <w:t xml:space="preserve"> </w:t>
      </w:r>
      <w:r w:rsidR="00F94A80" w:rsidRPr="00B83952">
        <w:t>(</w:t>
      </w:r>
      <w:r w:rsidR="00AB5434" w:rsidRPr="00B83952">
        <w:t>2021</w:t>
      </w:r>
      <w:r w:rsidR="00F94A80" w:rsidRPr="00B83952">
        <w:t xml:space="preserve">) </w:t>
      </w:r>
      <w:r w:rsidRPr="00B83952">
        <w:t xml:space="preserve">for application by not-for-profit entities, including </w:t>
      </w:r>
      <w:r w:rsidR="00CC4236" w:rsidRPr="00B83952">
        <w:t xml:space="preserve">those in the </w:t>
      </w:r>
      <w:r w:rsidRPr="00B83952">
        <w:t>public sector. The Board plans to consider the description of service potential in the context of an asset of a not-for-profit entity as part of that project.</w:t>
      </w:r>
      <w:r w:rsidR="004A4E14" w:rsidRPr="00B83952">
        <w:t xml:space="preserve"> At </w:t>
      </w:r>
      <w:r w:rsidR="00535606" w:rsidRPr="00B83952">
        <w:t>this stage</w:t>
      </w:r>
      <w:r w:rsidR="004A4E14" w:rsidRPr="00B83952">
        <w:t xml:space="preserve"> it is unclear whether that </w:t>
      </w:r>
      <w:r w:rsidR="00535606" w:rsidRPr="00B83952">
        <w:t>Board</w:t>
      </w:r>
      <w:r w:rsidR="004A4E14" w:rsidRPr="00B83952">
        <w:t xml:space="preserve"> consideration would have </w:t>
      </w:r>
      <w:r w:rsidR="00535606" w:rsidRPr="00B83952">
        <w:t>implications</w:t>
      </w:r>
      <w:r w:rsidR="004A4E14" w:rsidRPr="00B83952">
        <w:t xml:space="preserve"> for</w:t>
      </w:r>
      <w:r w:rsidR="00535606" w:rsidRPr="00B83952">
        <w:t xml:space="preserve"> the measurement of</w:t>
      </w:r>
      <w:r w:rsidR="004A4E14" w:rsidRPr="00B83952">
        <w:t xml:space="preserve"> restricted land.</w:t>
      </w:r>
    </w:p>
    <w:bookmarkEnd w:id="197"/>
    <w:p w14:paraId="47E247F4" w14:textId="7D4EA579" w:rsidR="00DC4535" w:rsidRPr="00B83952" w:rsidRDefault="00DC4535">
      <w:pPr>
        <w:pStyle w:val="IASBSectionTitle3Ind"/>
      </w:pPr>
      <w:r w:rsidRPr="00B83952">
        <w:t>Feedback from public sector stakeholders</w:t>
      </w:r>
      <w:r w:rsidR="00CC642E" w:rsidRPr="00B83952">
        <w:t xml:space="preserve"> during outreach</w:t>
      </w:r>
    </w:p>
    <w:p w14:paraId="4EEF39AD" w14:textId="4568BBD0" w:rsidR="00DC4535" w:rsidRPr="00B83952" w:rsidRDefault="00DC4535" w:rsidP="003276D3">
      <w:pPr>
        <w:pStyle w:val="NumBC1"/>
      </w:pPr>
      <w:bookmarkStart w:id="201" w:name="_Ref84430645"/>
      <w:r w:rsidRPr="00B83952">
        <w:t xml:space="preserve">After conducting wide-ranging outreach, including outreach on ITC 45, the Board noted feedback that there is not significant </w:t>
      </w:r>
      <w:r w:rsidR="006C125B" w:rsidRPr="00B83952">
        <w:t xml:space="preserve">inconsistency </w:t>
      </w:r>
      <w:r w:rsidRPr="00B83952">
        <w:t xml:space="preserve">in how the fair value of restricted land and improvements on restricted land </w:t>
      </w:r>
      <w:r w:rsidR="00AB163B" w:rsidRPr="00B83952">
        <w:t xml:space="preserve">not held primarily for their </w:t>
      </w:r>
      <w:r w:rsidR="007B32E2" w:rsidRPr="00B83952">
        <w:t>ability to generate net cash inflows</w:t>
      </w:r>
      <w:r w:rsidR="00AB163B" w:rsidRPr="00B83952">
        <w:t xml:space="preserve"> </w:t>
      </w:r>
      <w:r w:rsidRPr="00B83952">
        <w:t>are being measured. In this regard:</w:t>
      </w:r>
      <w:bookmarkEnd w:id="201"/>
    </w:p>
    <w:p w14:paraId="4A848594" w14:textId="67BB0AEE" w:rsidR="00DC4535" w:rsidRPr="00B83952" w:rsidRDefault="00DC4535" w:rsidP="003276D3">
      <w:pPr>
        <w:pStyle w:val="NumBC2"/>
      </w:pPr>
      <w:r w:rsidRPr="00B83952">
        <w:t>most stakeholders commented that the market approach is used to measure the fair value of land, including land</w:t>
      </w:r>
      <w:r w:rsidR="00752CD4" w:rsidRPr="00B83952">
        <w:t xml:space="preserve"> subject to public-sector-specific legal restrictions</w:t>
      </w:r>
      <w:r w:rsidRPr="00B83952">
        <w:t xml:space="preserve">; whereas improvements on </w:t>
      </w:r>
      <w:r w:rsidR="004542E9" w:rsidRPr="00B83952">
        <w:t xml:space="preserve">such </w:t>
      </w:r>
      <w:r w:rsidRPr="00B83952">
        <w:t xml:space="preserve">restricted land are generally considered specialised assets, for which the cost approach is </w:t>
      </w:r>
      <w:r w:rsidR="00FF154E" w:rsidRPr="00B83952">
        <w:t xml:space="preserve">generally </w:t>
      </w:r>
      <w:r w:rsidRPr="00B83952">
        <w:t>applied in measuring their fair value; but</w:t>
      </w:r>
    </w:p>
    <w:p w14:paraId="59054F8A" w14:textId="27FDD178" w:rsidR="00DC4535" w:rsidRPr="00B83952" w:rsidRDefault="00DC4535" w:rsidP="003276D3">
      <w:pPr>
        <w:pStyle w:val="NumBC2"/>
      </w:pPr>
      <w:r w:rsidRPr="00B83952">
        <w:lastRenderedPageBreak/>
        <w:t xml:space="preserve">a minority of stakeholders commented that, when a parcel of land of a not-for-profit public sector entity </w:t>
      </w:r>
      <w:r w:rsidR="00AB163B" w:rsidRPr="00B83952">
        <w:t xml:space="preserve">not held primarily for its </w:t>
      </w:r>
      <w:r w:rsidR="002F1B21" w:rsidRPr="00B83952">
        <w:t>ability to generate net cash inflows</w:t>
      </w:r>
      <w:r w:rsidR="00AB163B" w:rsidRPr="00B83952">
        <w:t xml:space="preserve"> </w:t>
      </w:r>
      <w:r w:rsidRPr="00B83952">
        <w:t xml:space="preserve">is subject to public-sector-specific </w:t>
      </w:r>
      <w:r w:rsidR="004011C0" w:rsidRPr="00B83952">
        <w:t xml:space="preserve">legal </w:t>
      </w:r>
      <w:r w:rsidRPr="00B83952">
        <w:t>restrictions, but an equivalent</w:t>
      </w:r>
      <w:r w:rsidR="00021EAA" w:rsidRPr="00B83952">
        <w:t xml:space="preserve"> </w:t>
      </w:r>
      <w:r w:rsidRPr="00B83952">
        <w:t xml:space="preserve">parcel of land </w:t>
      </w:r>
      <w:r w:rsidR="00A53CF7" w:rsidRPr="00B83952">
        <w:t xml:space="preserve">with the same public-sector-specific legal restrictions </w:t>
      </w:r>
      <w:r w:rsidRPr="00B83952">
        <w:t>is not obtainable in the marketplace at the measurement date for a price supported by observable market evidence, the fair value of such land should be measured using the cost approach.</w:t>
      </w:r>
    </w:p>
    <w:p w14:paraId="3BC933A1" w14:textId="101E0EA8" w:rsidR="00DC4535" w:rsidRPr="00B83952" w:rsidRDefault="00DC4535" w:rsidP="003276D3">
      <w:pPr>
        <w:pStyle w:val="NumBC1"/>
      </w:pPr>
      <w:r w:rsidRPr="00B83952">
        <w:t>The views of these stakeholder groups are elaborated on in paragraphs </w:t>
      </w:r>
      <w:r w:rsidRPr="00B83952">
        <w:fldChar w:fldCharType="begin"/>
      </w:r>
      <w:r w:rsidRPr="00B83952">
        <w:instrText xml:space="preserve"> REF _Ref84432001 \r \h </w:instrText>
      </w:r>
      <w:r w:rsidRPr="00B83952">
        <w:fldChar w:fldCharType="separate"/>
      </w:r>
      <w:r w:rsidR="005A1B65">
        <w:t>BC243</w:t>
      </w:r>
      <w:r w:rsidRPr="00B83952">
        <w:fldChar w:fldCharType="end"/>
      </w:r>
      <w:r w:rsidRPr="00B83952">
        <w:t>–</w:t>
      </w:r>
      <w:r w:rsidRPr="00B83952">
        <w:fldChar w:fldCharType="begin"/>
      </w:r>
      <w:r w:rsidRPr="00B83952">
        <w:instrText xml:space="preserve"> REF _Ref84871433 \r \h </w:instrText>
      </w:r>
      <w:r w:rsidRPr="00B83952">
        <w:fldChar w:fldCharType="separate"/>
      </w:r>
      <w:r w:rsidR="005A1B65">
        <w:t>BC253</w:t>
      </w:r>
      <w:r w:rsidRPr="00B83952">
        <w:fldChar w:fldCharType="end"/>
      </w:r>
      <w:r w:rsidRPr="00B83952">
        <w:t>.</w:t>
      </w:r>
    </w:p>
    <w:p w14:paraId="30CE80CE" w14:textId="4F59AF8D" w:rsidR="00DC4535" w:rsidRPr="00B83952" w:rsidRDefault="00DC4535" w:rsidP="00116AFA">
      <w:pPr>
        <w:pStyle w:val="IASBSectionTitle4Ind"/>
        <w:spacing w:before="240"/>
      </w:pPr>
      <w:r w:rsidRPr="00B83952">
        <w:t>The minority view regarding land</w:t>
      </w:r>
      <w:r w:rsidR="00D67C41" w:rsidRPr="00B83952">
        <w:t xml:space="preserve"> subject </w:t>
      </w:r>
      <w:r w:rsidR="002D1024" w:rsidRPr="00B83952">
        <w:t>t</w:t>
      </w:r>
      <w:r w:rsidR="00D67C41" w:rsidRPr="00B83952">
        <w:t>o public-sector-specific legal restrictions</w:t>
      </w:r>
    </w:p>
    <w:p w14:paraId="7D302617" w14:textId="59E50BF3" w:rsidR="00DC4535" w:rsidRPr="00B83952" w:rsidRDefault="00DC4535" w:rsidP="003276D3">
      <w:pPr>
        <w:pStyle w:val="NumBC1"/>
      </w:pPr>
      <w:bookmarkStart w:id="202" w:name="_Ref84432001"/>
      <w:r w:rsidRPr="00B83952">
        <w:t xml:space="preserve">The minority of stakeholders mentioned in paragraph </w:t>
      </w:r>
      <w:r w:rsidRPr="00B83952">
        <w:fldChar w:fldCharType="begin"/>
      </w:r>
      <w:r w:rsidRPr="00B83952">
        <w:instrText xml:space="preserve"> REF _Ref84430645 \r \h </w:instrText>
      </w:r>
      <w:r w:rsidRPr="00B83952">
        <w:fldChar w:fldCharType="separate"/>
      </w:r>
      <w:r w:rsidR="005A1B65">
        <w:t>BC241</w:t>
      </w:r>
      <w:r w:rsidRPr="00B83952">
        <w:fldChar w:fldCharType="end"/>
      </w:r>
      <w:r w:rsidRPr="00B83952">
        <w:t>(b) considered that the cost approach would be the most appropriate measurement technique for measuring the fair value of restricted land where an equivalent parcel of</w:t>
      </w:r>
      <w:r w:rsidR="00524F80" w:rsidRPr="00B83952" w:rsidDel="006F6FBB">
        <w:t xml:space="preserve"> </w:t>
      </w:r>
      <w:r w:rsidRPr="00B83952">
        <w:t xml:space="preserve">land </w:t>
      </w:r>
      <w:r w:rsidR="002D1024" w:rsidRPr="00B83952">
        <w:t xml:space="preserve">subject to the same public-sector-specific legal restrictions </w:t>
      </w:r>
      <w:r w:rsidRPr="00B83952">
        <w:t xml:space="preserve">is not obtainable in the marketplace at the measurement date for a price supported by observable market evidence. They also commented that if the cost approach is applied, </w:t>
      </w:r>
      <w:r w:rsidR="006F6FBB" w:rsidRPr="00B83952">
        <w:t xml:space="preserve">those public-sector-specific legal restrictions would not reduce </w:t>
      </w:r>
      <w:r w:rsidRPr="00B83952">
        <w:t xml:space="preserve">the fair value of </w:t>
      </w:r>
      <w:r w:rsidR="006F6FBB" w:rsidRPr="00B83952">
        <w:t xml:space="preserve">such </w:t>
      </w:r>
      <w:r w:rsidRPr="00B83952">
        <w:t xml:space="preserve">restricted land </w:t>
      </w:r>
      <w:r w:rsidR="006F6FBB" w:rsidRPr="00B83952">
        <w:t xml:space="preserve">to an amount less </w:t>
      </w:r>
      <w:r w:rsidRPr="00B83952">
        <w:t>than the price of equivalent</w:t>
      </w:r>
      <w:r w:rsidR="005415F0" w:rsidRPr="00B83952">
        <w:t xml:space="preserve"> land without those restrictions</w:t>
      </w:r>
      <w:r w:rsidRPr="00B83952">
        <w:t xml:space="preserve">. This is because, if an equivalent restricted parcel of land is not obtainable in the marketplace, the entity would need to purchase an equivalent parcel of land </w:t>
      </w:r>
      <w:r w:rsidR="00AA7526" w:rsidRPr="00B83952">
        <w:t xml:space="preserve">without those restrictions </w:t>
      </w:r>
      <w:r w:rsidRPr="00B83952">
        <w:t xml:space="preserve">to continue delivering services, and the existence of </w:t>
      </w:r>
      <w:r w:rsidR="008235DF" w:rsidRPr="00B83952">
        <w:t xml:space="preserve">such </w:t>
      </w:r>
      <w:r w:rsidRPr="00B83952">
        <w:t>a restriction does not affect the price of this purchase.</w:t>
      </w:r>
      <w:bookmarkEnd w:id="202"/>
    </w:p>
    <w:p w14:paraId="106530F9" w14:textId="563F407A" w:rsidR="00DC4535" w:rsidRPr="00B83952" w:rsidRDefault="00DC4535" w:rsidP="003276D3">
      <w:pPr>
        <w:pStyle w:val="NumBC1"/>
      </w:pPr>
      <w:bookmarkStart w:id="203" w:name="_Ref98837343"/>
      <w:r w:rsidRPr="00B83952">
        <w:t>Those stakeholders reached this view because they interpreted that, when applying the IASB’s views in IFRS</w:t>
      </w:r>
      <w:r w:rsidR="00CF57D5" w:rsidRPr="00B83952">
        <w:t> </w:t>
      </w:r>
      <w:r w:rsidRPr="00B83952">
        <w:t xml:space="preserve">13 </w:t>
      </w:r>
      <w:r w:rsidR="00A54CC0" w:rsidRPr="00B83952">
        <w:t>paragraphs</w:t>
      </w:r>
      <w:r w:rsidRPr="00B83952">
        <w:t xml:space="preserve"> BC78–BC79:</w:t>
      </w:r>
      <w:bookmarkEnd w:id="203"/>
      <w:r w:rsidRPr="00B83952">
        <w:t xml:space="preserve"> </w:t>
      </w:r>
    </w:p>
    <w:p w14:paraId="15148C70" w14:textId="1C143863" w:rsidR="00DC4535" w:rsidRPr="00B83952" w:rsidRDefault="00DC4535" w:rsidP="003276D3">
      <w:pPr>
        <w:pStyle w:val="NumBC2"/>
      </w:pPr>
      <w:r w:rsidRPr="00B83952">
        <w:t>many parcels of land might have little value if sold</w:t>
      </w:r>
      <w:r w:rsidR="00076477" w:rsidRPr="00B83952">
        <w:t xml:space="preserve"> on a stand-alone basis</w:t>
      </w:r>
      <w:r w:rsidRPr="00B83952">
        <w:t xml:space="preserve"> (due to the restrictions), but would have a significant value </w:t>
      </w:r>
      <w:r w:rsidR="00146644" w:rsidRPr="00B83952">
        <w:t>to the holder of the asset</w:t>
      </w:r>
      <w:r w:rsidR="006F503D" w:rsidRPr="00B83952">
        <w:t xml:space="preserve"> (in terms of the</w:t>
      </w:r>
      <w:r w:rsidR="001B4D4C" w:rsidRPr="00B83952">
        <w:t xml:space="preserve"> asset’s</w:t>
      </w:r>
      <w:r w:rsidR="006F503D" w:rsidRPr="00B83952">
        <w:t xml:space="preserve"> ability to provide goods or services to beneficiaries) </w:t>
      </w:r>
      <w:r w:rsidRPr="00B83952">
        <w:t>when used together with other non-financial assets; and</w:t>
      </w:r>
    </w:p>
    <w:p w14:paraId="505C5F35" w14:textId="57A4857A" w:rsidR="00DC4535" w:rsidRPr="00B83952" w:rsidRDefault="00DC4535" w:rsidP="003276D3">
      <w:pPr>
        <w:pStyle w:val="NumBC2"/>
      </w:pPr>
      <w:r w:rsidRPr="00B83952">
        <w:t xml:space="preserve">the </w:t>
      </w:r>
      <w:r w:rsidR="008235DF" w:rsidRPr="00B83952">
        <w:t xml:space="preserve">market </w:t>
      </w:r>
      <w:r w:rsidRPr="00B83952">
        <w:t xml:space="preserve">approach might be </w:t>
      </w:r>
      <w:r w:rsidR="006801C9" w:rsidRPr="00B83952">
        <w:t xml:space="preserve">inappropriate </w:t>
      </w:r>
      <w:r w:rsidRPr="00B83952">
        <w:t xml:space="preserve">in measuring the land’s fair value when the market price of the land represents the use of the land on a stand-alone basis rather than in combination with complementary assets. </w:t>
      </w:r>
    </w:p>
    <w:p w14:paraId="02BD48C7" w14:textId="169AB442" w:rsidR="00DC4535" w:rsidRPr="00B83952" w:rsidRDefault="00DC4535" w:rsidP="003276D3">
      <w:pPr>
        <w:pStyle w:val="NumBC1"/>
      </w:pPr>
      <w:bookmarkStart w:id="204" w:name="_Ref98837345"/>
      <w:r w:rsidRPr="00B83952">
        <w:t xml:space="preserve">Further, those stakeholders considered that, because the land </w:t>
      </w:r>
      <w:r w:rsidR="001C591F" w:rsidRPr="00B83952">
        <w:t xml:space="preserve">subject to public-sector-specific legal restrictions </w:t>
      </w:r>
      <w:r w:rsidRPr="00B83952">
        <w:t xml:space="preserve">is </w:t>
      </w:r>
      <w:r w:rsidR="00AB163B" w:rsidRPr="00B83952">
        <w:t>not held primarily</w:t>
      </w:r>
      <w:r w:rsidR="00871507" w:rsidRPr="00B83952">
        <w:t xml:space="preserve"> for its</w:t>
      </w:r>
      <w:r w:rsidR="00AB163B" w:rsidRPr="00B83952">
        <w:t xml:space="preserve"> </w:t>
      </w:r>
      <w:r w:rsidR="00871507" w:rsidRPr="00B83952">
        <w:t>ability to generate net cash inflows</w:t>
      </w:r>
      <w:r w:rsidRPr="00B83952">
        <w:t>, it would generally be inappropriate to apply the income approach as an alternative to the market approach and, consequently, the cost approach should be used to measure the fair value of such restricted land.</w:t>
      </w:r>
      <w:bookmarkEnd w:id="204"/>
    </w:p>
    <w:p w14:paraId="329DA993" w14:textId="4CC1BEA7" w:rsidR="00DC4535" w:rsidRPr="00B83952" w:rsidRDefault="00DC4535" w:rsidP="00116AFA">
      <w:pPr>
        <w:pStyle w:val="IASBSectionTitle4Ind"/>
        <w:spacing w:before="240"/>
      </w:pPr>
      <w:r w:rsidRPr="00B83952">
        <w:t>The majority view regarding land</w:t>
      </w:r>
      <w:r w:rsidR="00816F31" w:rsidRPr="00B83952">
        <w:t xml:space="preserve"> subject to public-sector-specific legal restrictions</w:t>
      </w:r>
    </w:p>
    <w:p w14:paraId="657F377B" w14:textId="65E7043C" w:rsidR="00DC4535" w:rsidRPr="00B83952" w:rsidRDefault="00DC4535" w:rsidP="003276D3">
      <w:pPr>
        <w:pStyle w:val="NumBC1"/>
      </w:pPr>
      <w:r w:rsidRPr="00B83952">
        <w:t xml:space="preserve">The majority of stakeholders mentioned in paragraph </w:t>
      </w:r>
      <w:r w:rsidRPr="00B83952">
        <w:fldChar w:fldCharType="begin"/>
      </w:r>
      <w:r w:rsidRPr="00B83952">
        <w:instrText xml:space="preserve"> REF _Ref84430645 \r \h </w:instrText>
      </w:r>
      <w:r w:rsidRPr="00B83952">
        <w:fldChar w:fldCharType="separate"/>
      </w:r>
      <w:r w:rsidR="005A1B65">
        <w:t>BC241</w:t>
      </w:r>
      <w:r w:rsidRPr="00B83952">
        <w:fldChar w:fldCharType="end"/>
      </w:r>
      <w:r w:rsidRPr="00B83952">
        <w:t>(a) expressed the view that land, including land</w:t>
      </w:r>
      <w:r w:rsidR="00A72F05" w:rsidRPr="00B83952">
        <w:t xml:space="preserve"> subject to public-sector-specific </w:t>
      </w:r>
      <w:r w:rsidR="00A86AB8" w:rsidRPr="00B83952">
        <w:t xml:space="preserve">legal </w:t>
      </w:r>
      <w:r w:rsidR="00A72F05" w:rsidRPr="00B83952">
        <w:t>restrictions</w:t>
      </w:r>
      <w:r w:rsidRPr="00B83952">
        <w:t xml:space="preserve">, should generally be measured using the market approach. They disagree with the view expressed by the minority of stakeholders noted in </w:t>
      </w:r>
      <w:r w:rsidRPr="00B83952">
        <w:fldChar w:fldCharType="begin"/>
      </w:r>
      <w:r w:rsidRPr="00B83952">
        <w:instrText xml:space="preserve"> REF _Ref84432001 \r \h </w:instrText>
      </w:r>
      <w:r w:rsidRPr="00B83952">
        <w:fldChar w:fldCharType="separate"/>
      </w:r>
      <w:r w:rsidR="005A1B65">
        <w:t>BC243</w:t>
      </w:r>
      <w:r w:rsidRPr="00B83952">
        <w:fldChar w:fldCharType="end"/>
      </w:r>
      <w:r w:rsidRPr="00B83952">
        <w:t xml:space="preserve"> – that the cost approach should be applied in measuring </w:t>
      </w:r>
      <w:r w:rsidR="001C591F" w:rsidRPr="00B83952">
        <w:t xml:space="preserve">such </w:t>
      </w:r>
      <w:r w:rsidRPr="00B83952">
        <w:t xml:space="preserve">restricted land, and the fair value of </w:t>
      </w:r>
      <w:r w:rsidR="001C591F" w:rsidRPr="00B83952">
        <w:t xml:space="preserve">such </w:t>
      </w:r>
      <w:r w:rsidRPr="00B83952">
        <w:t>restricted land would not be lower than the price of equivalent</w:t>
      </w:r>
      <w:r w:rsidR="002F106A" w:rsidRPr="00B83952" w:rsidDel="001C591F">
        <w:t xml:space="preserve"> </w:t>
      </w:r>
      <w:r w:rsidRPr="00B83952">
        <w:t xml:space="preserve">land </w:t>
      </w:r>
      <w:r w:rsidR="001C591F" w:rsidRPr="00B83952">
        <w:t xml:space="preserve">without such restrictions </w:t>
      </w:r>
      <w:r w:rsidRPr="00B83952">
        <w:t xml:space="preserve">because of the effect of </w:t>
      </w:r>
      <w:r w:rsidR="00DE29D5" w:rsidRPr="00B83952">
        <w:t>public-sector-specific</w:t>
      </w:r>
      <w:r w:rsidR="00A86AB8" w:rsidRPr="00B83952">
        <w:t xml:space="preserve"> legal</w:t>
      </w:r>
      <w:r w:rsidR="00DE29D5" w:rsidRPr="00B83952">
        <w:t xml:space="preserve"> </w:t>
      </w:r>
      <w:r w:rsidRPr="00B83952">
        <w:t>restrictions, if an equivalent restricted parcel of land is not obtainable in the marketplace at the measurement date for a price supported by observable market evidence. Under the market approach, the fair value of a parcel of land should reflect any restrictions</w:t>
      </w:r>
      <w:r w:rsidR="00AC3A8A" w:rsidRPr="00B83952">
        <w:t xml:space="preserve"> on that land, including any public-sector-specific legal restrictions,</w:t>
      </w:r>
      <w:r w:rsidRPr="00B83952">
        <w:t xml:space="preserve"> that would transfer to market participants in a hypothetical sale transaction. </w:t>
      </w:r>
    </w:p>
    <w:p w14:paraId="5C805AAD" w14:textId="2A7D0955" w:rsidR="00DC4535" w:rsidRPr="00B83952" w:rsidRDefault="00DC4535" w:rsidP="003276D3">
      <w:pPr>
        <w:pStyle w:val="NumBC1"/>
      </w:pPr>
      <w:bookmarkStart w:id="205" w:name="_Ref93008760"/>
      <w:r w:rsidRPr="00B83952">
        <w:t xml:space="preserve">This majority of stakeholders commented that although an ‘equivalent’ parcel of land with the same public-sector-specific </w:t>
      </w:r>
      <w:r w:rsidR="0052668B" w:rsidRPr="00B83952">
        <w:t>legal</w:t>
      </w:r>
      <w:r w:rsidR="00532BC6" w:rsidRPr="00B83952">
        <w:t xml:space="preserve"> </w:t>
      </w:r>
      <w:r w:rsidRPr="00B83952">
        <w:t>restrictions might not be obtainable in the marketplace at the measurement date for a price supported by observable market evidence</w:t>
      </w:r>
      <w:r w:rsidR="00FB6B7F" w:rsidRPr="00B83952">
        <w:t xml:space="preserve"> (because public-sector-specific legal restrictions </w:t>
      </w:r>
      <w:r w:rsidR="008F6A97" w:rsidRPr="00B83952">
        <w:t xml:space="preserve">often </w:t>
      </w:r>
      <w:r w:rsidR="00FB6B7F" w:rsidRPr="00B83952">
        <w:t xml:space="preserve">prevent </w:t>
      </w:r>
      <w:r w:rsidR="008F6A97" w:rsidRPr="00B83952">
        <w:t xml:space="preserve">an </w:t>
      </w:r>
      <w:r w:rsidR="00FB6B7F" w:rsidRPr="00B83952">
        <w:t>entity from selling the land)</w:t>
      </w:r>
      <w:r w:rsidRPr="00B83952">
        <w:t>, there are market transactions for other parcels of land that are suitable reference assets. Therefore, those stakeholders consider there are more relevant observable inputs for applying the market approach, rather than the cost approach, in measuring the fair value of land</w:t>
      </w:r>
      <w:r w:rsidR="008F6A97" w:rsidRPr="00B83952">
        <w:t xml:space="preserve"> subject to such restrictions</w:t>
      </w:r>
      <w:r w:rsidRPr="00B83952">
        <w:t>.</w:t>
      </w:r>
      <w:bookmarkEnd w:id="205"/>
    </w:p>
    <w:p w14:paraId="43237564" w14:textId="41B55FF1" w:rsidR="00DC4535" w:rsidRPr="00B83952" w:rsidRDefault="008F6A97" w:rsidP="003276D3">
      <w:pPr>
        <w:pStyle w:val="NumBC1"/>
      </w:pPr>
      <w:r w:rsidRPr="00B83952">
        <w:t xml:space="preserve">Some of the </w:t>
      </w:r>
      <w:r w:rsidR="00DC4535" w:rsidRPr="00B83952">
        <w:t xml:space="preserve">stakeholders </w:t>
      </w:r>
      <w:r w:rsidR="0072039A" w:rsidRPr="00B83952">
        <w:t>referred to in paragraph </w:t>
      </w:r>
      <w:r w:rsidR="000C4A7E" w:rsidRPr="00B83952">
        <w:fldChar w:fldCharType="begin"/>
      </w:r>
      <w:r w:rsidR="000C4A7E" w:rsidRPr="00B83952">
        <w:instrText xml:space="preserve"> REF _Ref93008760 \r \h </w:instrText>
      </w:r>
      <w:r w:rsidR="00EA4088" w:rsidRPr="00B83952">
        <w:instrText xml:space="preserve"> \* MERGEFORMAT </w:instrText>
      </w:r>
      <w:r w:rsidR="000C4A7E" w:rsidRPr="00B83952">
        <w:fldChar w:fldCharType="separate"/>
      </w:r>
      <w:r w:rsidR="005A1B65">
        <w:t>BC247</w:t>
      </w:r>
      <w:r w:rsidR="000C4A7E" w:rsidRPr="00B83952">
        <w:fldChar w:fldCharType="end"/>
      </w:r>
      <w:r w:rsidR="0072039A" w:rsidRPr="00B83952">
        <w:t xml:space="preserve"> </w:t>
      </w:r>
      <w:r w:rsidR="00DC4535" w:rsidRPr="00B83952">
        <w:t xml:space="preserve">also commented that </w:t>
      </w:r>
      <w:r w:rsidR="00AC77A1" w:rsidRPr="00B83952">
        <w:t>any</w:t>
      </w:r>
      <w:r w:rsidR="0049625E" w:rsidRPr="00B83952">
        <w:t xml:space="preserve"> </w:t>
      </w:r>
      <w:r w:rsidR="00DC4535" w:rsidRPr="00B83952">
        <w:t>improvements (</w:t>
      </w:r>
      <w:r w:rsidR="003E50C6" w:rsidRPr="00B83952">
        <w:t>eg</w:t>
      </w:r>
      <w:r w:rsidR="00DC4535" w:rsidRPr="00B83952">
        <w:t xml:space="preserve"> a hospital building)</w:t>
      </w:r>
      <w:r w:rsidR="00AC77A1" w:rsidRPr="00B83952">
        <w:t xml:space="preserve"> on a parcel of land</w:t>
      </w:r>
      <w:r w:rsidR="00DC4535" w:rsidRPr="00B83952">
        <w:t xml:space="preserve"> reduce the </w:t>
      </w:r>
      <w:r w:rsidR="00626A0D" w:rsidRPr="00B83952">
        <w:t xml:space="preserve">land’s </w:t>
      </w:r>
      <w:r w:rsidR="00DC4535" w:rsidRPr="00B83952">
        <w:t xml:space="preserve">service potential. They </w:t>
      </w:r>
      <w:r w:rsidR="000C4A7E" w:rsidRPr="00B83952">
        <w:t xml:space="preserve">consider </w:t>
      </w:r>
      <w:r w:rsidR="00DC4535" w:rsidRPr="00B83952">
        <w:t xml:space="preserve">that improvements on land would reduce the options the not-for-profit public sector entity holder of the land has to use the land for another purpose, unless the improvements are demolished. </w:t>
      </w:r>
    </w:p>
    <w:p w14:paraId="57E0700F" w14:textId="7153B6CD" w:rsidR="00DC4535" w:rsidRPr="00B83952" w:rsidRDefault="00DC4535" w:rsidP="00657A2B">
      <w:pPr>
        <w:pStyle w:val="IASBSectionTitle3Ind"/>
      </w:pPr>
      <w:r w:rsidRPr="00B83952">
        <w:t xml:space="preserve">The Board’s decision not </w:t>
      </w:r>
      <w:r w:rsidR="006F3BB0" w:rsidRPr="00B83952">
        <w:t xml:space="preserve">to </w:t>
      </w:r>
      <w:r w:rsidRPr="00B83952">
        <w:t>provide authoritative implementation guidance</w:t>
      </w:r>
    </w:p>
    <w:p w14:paraId="5837CAA3" w14:textId="20E0DF18" w:rsidR="00DC4535" w:rsidRPr="00B83952" w:rsidRDefault="00DC4535" w:rsidP="003276D3">
      <w:pPr>
        <w:pStyle w:val="NumBC1"/>
      </w:pPr>
      <w:bookmarkStart w:id="206" w:name="_Ref98392360"/>
      <w:r w:rsidRPr="00B83952">
        <w:t xml:space="preserve">Notwithstanding the interpretation of </w:t>
      </w:r>
      <w:r w:rsidR="00FF775D" w:rsidRPr="00B83952">
        <w:t xml:space="preserve">paragraphs </w:t>
      </w:r>
      <w:r w:rsidR="000C3D86" w:rsidRPr="00B83952">
        <w:t xml:space="preserve">BC78 and BC79 of </w:t>
      </w:r>
      <w:r w:rsidRPr="00B83952">
        <w:t xml:space="preserve">IFRS 13 </w:t>
      </w:r>
      <w:r w:rsidR="00FF775D" w:rsidRPr="00B83952">
        <w:t xml:space="preserve">in </w:t>
      </w:r>
      <w:r w:rsidR="00A54CC0" w:rsidRPr="00B83952">
        <w:t>paragraphs</w:t>
      </w:r>
      <w:r w:rsidRPr="00B83952">
        <w:t xml:space="preserve"> </w:t>
      </w:r>
      <w:r w:rsidR="00812232" w:rsidRPr="00B83952">
        <w:fldChar w:fldCharType="begin"/>
      </w:r>
      <w:r w:rsidR="00812232" w:rsidRPr="00B83952">
        <w:instrText xml:space="preserve"> REF _Ref98837343 \r \h </w:instrText>
      </w:r>
      <w:r w:rsidR="00812232" w:rsidRPr="00B83952">
        <w:fldChar w:fldCharType="separate"/>
      </w:r>
      <w:r w:rsidR="005A1B65">
        <w:t>BC244</w:t>
      </w:r>
      <w:r w:rsidR="00812232" w:rsidRPr="00B83952">
        <w:fldChar w:fldCharType="end"/>
      </w:r>
      <w:r w:rsidR="00FF775D" w:rsidRPr="00B83952">
        <w:t xml:space="preserve"> and </w:t>
      </w:r>
      <w:r w:rsidR="00812232" w:rsidRPr="00B83952">
        <w:fldChar w:fldCharType="begin"/>
      </w:r>
      <w:r w:rsidR="00812232" w:rsidRPr="00B83952">
        <w:instrText xml:space="preserve"> REF _Ref98837345 \r \h </w:instrText>
      </w:r>
      <w:r w:rsidR="00812232" w:rsidRPr="00B83952">
        <w:fldChar w:fldCharType="separate"/>
      </w:r>
      <w:r w:rsidR="005A1B65">
        <w:t>BC245</w:t>
      </w:r>
      <w:r w:rsidR="00812232" w:rsidRPr="00B83952">
        <w:fldChar w:fldCharType="end"/>
      </w:r>
      <w:r w:rsidRPr="00B83952">
        <w:t xml:space="preserve"> by a minority of stakeholders, in which they conclude</w:t>
      </w:r>
      <w:r w:rsidR="00593929" w:rsidRPr="00B83952">
        <w:t>d</w:t>
      </w:r>
      <w:r w:rsidRPr="00B83952">
        <w:t xml:space="preserve"> that the cost approach would often be appropriate in measuring the fair value of</w:t>
      </w:r>
      <w:r w:rsidR="008D01C5" w:rsidRPr="00B83952">
        <w:t xml:space="preserve"> </w:t>
      </w:r>
      <w:r w:rsidRPr="00B83952">
        <w:t>land</w:t>
      </w:r>
      <w:r w:rsidR="00593929" w:rsidRPr="00B83952">
        <w:t xml:space="preserve"> subject to public-sector-specific legal restrictions</w:t>
      </w:r>
      <w:r w:rsidRPr="00B83952">
        <w:t xml:space="preserve">, the Board noted that paragraph 61 </w:t>
      </w:r>
      <w:r w:rsidR="00D30069" w:rsidRPr="00B83952">
        <w:t xml:space="preserve">of AASB 13 </w:t>
      </w:r>
      <w:r w:rsidRPr="00B83952">
        <w:t>requires an entity to select measurement techniques:</w:t>
      </w:r>
      <w:bookmarkEnd w:id="206"/>
    </w:p>
    <w:p w14:paraId="6F65B99C" w14:textId="77777777" w:rsidR="00DC4535" w:rsidRPr="00B83952" w:rsidRDefault="00DC4535" w:rsidP="003276D3">
      <w:pPr>
        <w:pStyle w:val="NumBC2"/>
      </w:pPr>
      <w:r w:rsidRPr="00B83952">
        <w:lastRenderedPageBreak/>
        <w:t>that are appropriate in the circumstances;</w:t>
      </w:r>
    </w:p>
    <w:p w14:paraId="2C8E932E" w14:textId="77777777" w:rsidR="00DC4535" w:rsidRPr="00B83952" w:rsidRDefault="00DC4535" w:rsidP="003276D3">
      <w:pPr>
        <w:pStyle w:val="NumBC2"/>
      </w:pPr>
      <w:r w:rsidRPr="00B83952">
        <w:t>for which sufficient data are available to measure fair value; and</w:t>
      </w:r>
    </w:p>
    <w:p w14:paraId="74B108C6" w14:textId="77777777" w:rsidR="00DC4535" w:rsidRPr="00B83952" w:rsidRDefault="00DC4535" w:rsidP="003276D3">
      <w:pPr>
        <w:pStyle w:val="NumBC2"/>
      </w:pPr>
      <w:r w:rsidRPr="00B83952">
        <w:t xml:space="preserve">that maximise the use of relevant observable inputs and minimise the use of unobservable inputs. </w:t>
      </w:r>
    </w:p>
    <w:p w14:paraId="46AA958E" w14:textId="43A829BB" w:rsidR="00DC4535" w:rsidRPr="00B83952" w:rsidRDefault="00DC4535" w:rsidP="003276D3">
      <w:pPr>
        <w:pStyle w:val="NumBC1"/>
      </w:pPr>
      <w:r w:rsidRPr="00B83952">
        <w:t>Therefore, the Board consider</w:t>
      </w:r>
      <w:r w:rsidR="00987F18" w:rsidRPr="00B83952">
        <w:t>ed</w:t>
      </w:r>
      <w:r w:rsidRPr="00B83952">
        <w:t xml:space="preserve"> that determining appropriate measurement techniques for measuring the fair value of an asset is best regarded as </w:t>
      </w:r>
      <w:r w:rsidR="00536CA1" w:rsidRPr="00B83952">
        <w:t xml:space="preserve">relating to detailed </w:t>
      </w:r>
      <w:r w:rsidRPr="00B83952">
        <w:t xml:space="preserve">valuation </w:t>
      </w:r>
      <w:r w:rsidR="00536CA1" w:rsidRPr="00B83952">
        <w:t xml:space="preserve">assessments </w:t>
      </w:r>
      <w:r w:rsidRPr="00B83952">
        <w:t xml:space="preserve">and should not be mandated in Australian Accounting Standards. Unless there is significant </w:t>
      </w:r>
      <w:r w:rsidR="006C125B" w:rsidRPr="00B83952">
        <w:t xml:space="preserve">inconsistency </w:t>
      </w:r>
      <w:r w:rsidRPr="00B83952">
        <w:t xml:space="preserve">in applying accounting principles in practice, there is no clear case for mandating the use of a particular valuation technique in measuring the fair value of a particular </w:t>
      </w:r>
      <w:r w:rsidR="00365EC6" w:rsidRPr="00B83952">
        <w:t xml:space="preserve">type or class of </w:t>
      </w:r>
      <w:r w:rsidRPr="00B83952">
        <w:t>asset</w:t>
      </w:r>
      <w:r w:rsidR="00365EC6" w:rsidRPr="00B83952">
        <w:t>s</w:t>
      </w:r>
      <w:r w:rsidRPr="00B83952">
        <w:t>.</w:t>
      </w:r>
    </w:p>
    <w:p w14:paraId="19384BB8" w14:textId="723CF609" w:rsidR="00DC4535" w:rsidRPr="00B83952" w:rsidRDefault="00DC4535" w:rsidP="003276D3">
      <w:pPr>
        <w:pStyle w:val="NumBC1"/>
      </w:pPr>
      <w:r w:rsidRPr="00B83952">
        <w:t>Despite the debate regarding fair value measurement of land</w:t>
      </w:r>
      <w:r w:rsidR="009F0DB9" w:rsidRPr="00B83952">
        <w:t xml:space="preserve"> </w:t>
      </w:r>
      <w:bookmarkStart w:id="207" w:name="_Hlk93065289"/>
      <w:r w:rsidR="009F0DB9" w:rsidRPr="00B83952">
        <w:t>subject to public-sector-specific legal restrictions</w:t>
      </w:r>
      <w:bookmarkEnd w:id="207"/>
      <w:r w:rsidRPr="00B83952">
        <w:t xml:space="preserve">, feedback from most stakeholders in targeted outreach and </w:t>
      </w:r>
      <w:r w:rsidR="000E7685" w:rsidRPr="00B83952">
        <w:t xml:space="preserve">most </w:t>
      </w:r>
      <w:r w:rsidRPr="00B83952">
        <w:t xml:space="preserve">feedback on ITC 45 indicated that, in practice, the fair value of each </w:t>
      </w:r>
      <w:r w:rsidR="00826E28" w:rsidRPr="00B83952">
        <w:t xml:space="preserve">type or </w:t>
      </w:r>
      <w:r w:rsidRPr="00B83952">
        <w:t xml:space="preserve">class of assets </w:t>
      </w:r>
      <w:r w:rsidR="00905B42" w:rsidRPr="00B83952">
        <w:t xml:space="preserve">affected by this issue </w:t>
      </w:r>
      <w:r w:rsidRPr="00B83952">
        <w:t xml:space="preserve">is being measured using a largely consistent approach – that is: </w:t>
      </w:r>
    </w:p>
    <w:p w14:paraId="1FBD913C" w14:textId="035F8AC3" w:rsidR="00DC4535" w:rsidRPr="00B83952" w:rsidRDefault="00DC4535" w:rsidP="003276D3">
      <w:pPr>
        <w:pStyle w:val="NumBC2"/>
      </w:pPr>
      <w:r w:rsidRPr="00B83952">
        <w:t>for land</w:t>
      </w:r>
      <w:r w:rsidR="00905B42" w:rsidRPr="00B83952">
        <w:t xml:space="preserve"> </w:t>
      </w:r>
      <w:r w:rsidR="00CF62F4" w:rsidRPr="00B83952">
        <w:t>subject to public-sector-specific legal restrictions</w:t>
      </w:r>
      <w:r w:rsidRPr="00B83952">
        <w:t xml:space="preserve">, the market approach is used (although, as noted in paragraph </w:t>
      </w:r>
      <w:r w:rsidRPr="00B83952">
        <w:fldChar w:fldCharType="begin"/>
      </w:r>
      <w:r w:rsidRPr="00B83952">
        <w:instrText xml:space="preserve"> REF _Ref84871433 \r \h </w:instrText>
      </w:r>
      <w:r w:rsidR="00B55325" w:rsidRPr="00B83952">
        <w:instrText xml:space="preserve"> \* MERGEFORMAT </w:instrText>
      </w:r>
      <w:r w:rsidRPr="00B83952">
        <w:fldChar w:fldCharType="separate"/>
      </w:r>
      <w:r w:rsidR="005A1B65">
        <w:t>BC253</w:t>
      </w:r>
      <w:r w:rsidRPr="00B83952">
        <w:fldChar w:fldCharType="end"/>
      </w:r>
      <w:r w:rsidR="00EB56FC" w:rsidRPr="00B83952">
        <w:t xml:space="preserve"> below</w:t>
      </w:r>
      <w:r w:rsidRPr="00B83952">
        <w:t xml:space="preserve">, </w:t>
      </w:r>
      <w:r w:rsidR="0081058D" w:rsidRPr="00B83952">
        <w:t xml:space="preserve">at a more detailed level, </w:t>
      </w:r>
      <w:r w:rsidRPr="00B83952">
        <w:t xml:space="preserve">different methods are being used to calculate the adjustments to reflect restrictions); and </w:t>
      </w:r>
    </w:p>
    <w:p w14:paraId="2E417FC8" w14:textId="3FBBE515" w:rsidR="007C27CA" w:rsidRPr="00B83952" w:rsidRDefault="00DC4535" w:rsidP="003276D3">
      <w:pPr>
        <w:pStyle w:val="NumBC2"/>
      </w:pPr>
      <w:r w:rsidRPr="00B83952">
        <w:t xml:space="preserve">for improvements on </w:t>
      </w:r>
      <w:r w:rsidR="007C27CA" w:rsidRPr="00B83952">
        <w:t xml:space="preserve">such </w:t>
      </w:r>
      <w:r w:rsidRPr="00B83952">
        <w:t xml:space="preserve">restricted land, the cost approach is generally used, and an adjustment is not deducted to reflect the effect of public-sector-specific </w:t>
      </w:r>
      <w:r w:rsidR="00705596" w:rsidRPr="00B83952">
        <w:t xml:space="preserve">legal </w:t>
      </w:r>
      <w:r w:rsidRPr="00B83952">
        <w:t xml:space="preserve">restrictions because </w:t>
      </w:r>
      <w:r w:rsidR="00075824" w:rsidRPr="00B83952">
        <w:t>the existence of a public-sector-specific legal restriction does not affect the price that the entity would need to incur to replace the asset at the measurement date.</w:t>
      </w:r>
    </w:p>
    <w:p w14:paraId="6E457812" w14:textId="1F516910" w:rsidR="00075824" w:rsidRPr="00B83952" w:rsidRDefault="001B69CB" w:rsidP="003276D3">
      <w:pPr>
        <w:pStyle w:val="NumBC1"/>
      </w:pPr>
      <w:r w:rsidRPr="00B83952">
        <w:t>In addition</w:t>
      </w:r>
      <w:r w:rsidR="00DC4535" w:rsidRPr="00B83952">
        <w:t>, the Board noted that paragraph</w:t>
      </w:r>
      <w:r w:rsidR="000F7CDF" w:rsidRPr="00B83952">
        <w:t> </w:t>
      </w:r>
      <w:r w:rsidR="00DC4535" w:rsidRPr="00B83952">
        <w:t xml:space="preserve">11 </w:t>
      </w:r>
      <w:r w:rsidR="00896D9A" w:rsidRPr="00B83952">
        <w:t xml:space="preserve">of AASB 13 </w:t>
      </w:r>
      <w:r w:rsidR="00DC4535" w:rsidRPr="00B83952">
        <w:t>states that a fair value measurement is for a particular asset; and</w:t>
      </w:r>
      <w:r w:rsidR="00547156" w:rsidRPr="00B83952">
        <w:t>,</w:t>
      </w:r>
      <w:r w:rsidR="00DC4535" w:rsidRPr="00B83952">
        <w:t xml:space="preserve"> therefore, when measuring the fair value of an asset, the entity considers the characteristics of the asset if market participants would take those characteristics into account when pricing the asset at the measurement date, including the condition and location of the asset, as well as any restrictions on the sale or use of the asset.</w:t>
      </w:r>
      <w:r w:rsidR="004832C7" w:rsidRPr="00B83952">
        <w:t xml:space="preserve"> This would include consideration of any public-sector-specific legal restriction that would be transferred to a market participant.</w:t>
      </w:r>
    </w:p>
    <w:p w14:paraId="0A03C80F" w14:textId="1FFB19B8" w:rsidR="00E44824" w:rsidRPr="00B83952" w:rsidRDefault="00E44824" w:rsidP="003276D3">
      <w:pPr>
        <w:pStyle w:val="NumBC1"/>
      </w:pPr>
      <w:bookmarkStart w:id="208" w:name="_Ref85713475"/>
      <w:r w:rsidRPr="00B83952">
        <w:t xml:space="preserve">Some stakeholders commented that there is </w:t>
      </w:r>
      <w:r w:rsidR="006C125B" w:rsidRPr="00B83952">
        <w:t xml:space="preserve">inconsistency </w:t>
      </w:r>
      <w:r w:rsidRPr="00B83952">
        <w:t xml:space="preserve">in practice </w:t>
      </w:r>
      <w:r w:rsidR="00547156" w:rsidRPr="00B83952">
        <w:t xml:space="preserve">regarding </w:t>
      </w:r>
      <w:r w:rsidRPr="00B83952">
        <w:t>the amounts (</w:t>
      </w:r>
      <w:r w:rsidR="003E50C6" w:rsidRPr="00B83952">
        <w:t>eg</w:t>
      </w:r>
      <w:r w:rsidRPr="00B83952">
        <w:t xml:space="preserve"> percentages) of adjustments being deducted from the </w:t>
      </w:r>
      <w:r w:rsidR="00770BBB" w:rsidRPr="00B83952">
        <w:t xml:space="preserve">value </w:t>
      </w:r>
      <w:r w:rsidR="00547156" w:rsidRPr="00B83952">
        <w:t xml:space="preserve">of land </w:t>
      </w:r>
      <w:r w:rsidR="00770BBB" w:rsidRPr="00B83952">
        <w:t>to reflect public-sector-specific legal restriction</w:t>
      </w:r>
      <w:r w:rsidR="00547156" w:rsidRPr="00B83952">
        <w:t>s,</w:t>
      </w:r>
      <w:r w:rsidR="00770BBB" w:rsidRPr="00B83952">
        <w:t xml:space="preserve"> </w:t>
      </w:r>
      <w:r w:rsidRPr="00B83952">
        <w:t xml:space="preserve">and asked the Board to </w:t>
      </w:r>
      <w:r w:rsidR="001422BE" w:rsidRPr="00B83952">
        <w:t xml:space="preserve">provide </w:t>
      </w:r>
      <w:r w:rsidRPr="00B83952">
        <w:t xml:space="preserve">guidance to reduce </w:t>
      </w:r>
      <w:r w:rsidR="00930A6E" w:rsidRPr="00B83952">
        <w:t xml:space="preserve">that </w:t>
      </w:r>
      <w:r w:rsidR="006C125B" w:rsidRPr="00B83952">
        <w:t>inconsistency</w:t>
      </w:r>
      <w:r w:rsidRPr="00B83952">
        <w:t>.</w:t>
      </w:r>
      <w:r w:rsidR="00F011FB" w:rsidRPr="00B83952">
        <w:t xml:space="preserve"> </w:t>
      </w:r>
      <w:bookmarkStart w:id="209" w:name="_Ref84871433"/>
      <w:r w:rsidRPr="00B83952">
        <w:t>Further, some stakeholders informed the Board that different valuers use different methods in calculating the adjustments, for example:</w:t>
      </w:r>
      <w:bookmarkEnd w:id="209"/>
    </w:p>
    <w:p w14:paraId="4E1EA304" w14:textId="59C047E0" w:rsidR="00E44824" w:rsidRPr="00B83952" w:rsidRDefault="00E44824" w:rsidP="003276D3">
      <w:pPr>
        <w:pStyle w:val="NumBC2"/>
      </w:pPr>
      <w:r w:rsidRPr="00B83952">
        <w:t xml:space="preserve">using the price of nearby land </w:t>
      </w:r>
      <w:r w:rsidR="005F392F" w:rsidRPr="00B83952">
        <w:t xml:space="preserve">not subject to the same public-sector-specific legal restriction </w:t>
      </w:r>
      <w:r w:rsidRPr="00B83952">
        <w:t>and explicitly deducting an adjustment for the effect of the restriction</w:t>
      </w:r>
      <w:r w:rsidR="00150289" w:rsidRPr="00B83952">
        <w:t xml:space="preserve"> </w:t>
      </w:r>
      <w:r w:rsidRPr="00B83952">
        <w:t>(explicit adjustment); or</w:t>
      </w:r>
    </w:p>
    <w:p w14:paraId="0860B9CE" w14:textId="40923624" w:rsidR="00E44824" w:rsidRPr="00B83952" w:rsidRDefault="00E44824" w:rsidP="003276D3">
      <w:pPr>
        <w:pStyle w:val="NumBC2"/>
      </w:pPr>
      <w:r w:rsidRPr="00B83952">
        <w:t xml:space="preserve">using the price of land with a much lower intensity of use – and, consequently, a much lower value – than that of nearby land </w:t>
      </w:r>
      <w:r w:rsidR="00930A6E" w:rsidRPr="00B83952">
        <w:t xml:space="preserve">without a public-sector-specific legal restriction </w:t>
      </w:r>
      <w:r w:rsidRPr="00B83952">
        <w:t>and not explicitly deducting an adjustment for the effect of the restriction because it is implicitly taken into account by using cheaper land in a lower-intensity-of-use location as a reference asset (implicit adjustment).</w:t>
      </w:r>
    </w:p>
    <w:p w14:paraId="0049CEFE" w14:textId="7F80D3B5" w:rsidR="00DC4535" w:rsidRPr="00B83952" w:rsidRDefault="00DC4535" w:rsidP="003276D3">
      <w:pPr>
        <w:pStyle w:val="NumBC1"/>
      </w:pPr>
      <w:bookmarkStart w:id="210" w:name="_Ref90981694"/>
      <w:r w:rsidRPr="00B83952">
        <w:t xml:space="preserve">Since the condition and location of every parcel of land are likely to differ, and the effect of </w:t>
      </w:r>
      <w:r w:rsidR="0054091B" w:rsidRPr="00B83952">
        <w:t xml:space="preserve">public-sector-specific legal </w:t>
      </w:r>
      <w:r w:rsidRPr="00B83952">
        <w:t>restrictions on fair value measurements of land might vary depending on the likelihood of the restrictions being lifted and whether the land is urban, suburban or rural, the Board considered that it would neither be practical nor appropriate for Australian Accounting Standards to specify the amount of appropriate adjustments (</w:t>
      </w:r>
      <w:r w:rsidR="003E50C6" w:rsidRPr="00B83952">
        <w:t>eg</w:t>
      </w:r>
      <w:r w:rsidRPr="00B83952">
        <w:t xml:space="preserve"> in percentage terms) </w:t>
      </w:r>
      <w:r w:rsidR="00146267" w:rsidRPr="00B83952">
        <w:t xml:space="preserve">under the market approach </w:t>
      </w:r>
      <w:r w:rsidRPr="00B83952">
        <w:t>to reflect the effect of restrictions that would transfer to market participants.</w:t>
      </w:r>
      <w:bookmarkEnd w:id="208"/>
      <w:bookmarkEnd w:id="210"/>
    </w:p>
    <w:p w14:paraId="4BF75302" w14:textId="57B405EC" w:rsidR="00C76E7F" w:rsidRPr="00B83952" w:rsidRDefault="00C76E7F" w:rsidP="003276D3">
      <w:pPr>
        <w:pStyle w:val="NumBC1"/>
      </w:pPr>
      <w:bookmarkStart w:id="211" w:name="_Ref98392385"/>
      <w:r w:rsidRPr="00B83952">
        <w:t>A</w:t>
      </w:r>
      <w:r w:rsidR="00383D13" w:rsidRPr="00B83952">
        <w:t xml:space="preserve">s noted in paragraph </w:t>
      </w:r>
      <w:r w:rsidR="00383D13" w:rsidRPr="00B83952">
        <w:fldChar w:fldCharType="begin"/>
      </w:r>
      <w:r w:rsidR="00383D13" w:rsidRPr="00B83952">
        <w:instrText xml:space="preserve"> REF _Ref97205727 \r \h </w:instrText>
      </w:r>
      <w:r w:rsidR="00383D13" w:rsidRPr="00B83952">
        <w:fldChar w:fldCharType="separate"/>
      </w:r>
      <w:r w:rsidR="005A1B65">
        <w:t>BC234</w:t>
      </w:r>
      <w:r w:rsidR="00383D13" w:rsidRPr="00B83952">
        <w:fldChar w:fldCharType="end"/>
      </w:r>
      <w:r w:rsidR="00383D13" w:rsidRPr="00B83952">
        <w:t xml:space="preserve">, </w:t>
      </w:r>
      <w:r w:rsidR="00826B45" w:rsidRPr="00B83952">
        <w:t>i</w:t>
      </w:r>
      <w:r w:rsidRPr="00B83952">
        <w:t xml:space="preserve">n </w:t>
      </w:r>
      <w:r w:rsidR="00826B45" w:rsidRPr="00B83952">
        <w:t xml:space="preserve">deciding </w:t>
      </w:r>
      <w:r w:rsidRPr="00B83952">
        <w:t xml:space="preserve">not to develop guidance </w:t>
      </w:r>
      <w:r w:rsidR="00E62130" w:rsidRPr="00B83952">
        <w:t>specific to fair value measurement of land subject to public-sector-specific legal restrictions</w:t>
      </w:r>
      <w:r w:rsidRPr="00B83952">
        <w:t xml:space="preserve">, </w:t>
      </w:r>
      <w:r w:rsidR="00E62130" w:rsidRPr="00B83952">
        <w:t xml:space="preserve">the Board observed that </w:t>
      </w:r>
      <w:r w:rsidRPr="00B83952">
        <w:t>if the Treasury or Finance Department (or other authority) and/or the Office of Local Government in a jurisdiction desires greater consistency in the valuation approach(es) used to measure the fair value of particular types or classes of non-financial assets in a jurisdiction, it may choose to designate a valuation approach for application to those assets held by public sector entities in its jurisdiction.</w:t>
      </w:r>
      <w:bookmarkEnd w:id="211"/>
    </w:p>
    <w:p w14:paraId="6C714113" w14:textId="2DA1B1B5" w:rsidR="001B0297" w:rsidRPr="00B83952" w:rsidRDefault="001A17C7" w:rsidP="001B0297">
      <w:pPr>
        <w:pStyle w:val="IASBSectionTitle3Ind"/>
      </w:pPr>
      <w:r w:rsidRPr="00B83952">
        <w:t>Stakeholder f</w:t>
      </w:r>
      <w:r w:rsidR="001B0297" w:rsidRPr="00B83952">
        <w:t>eedback on ED 320</w:t>
      </w:r>
    </w:p>
    <w:p w14:paraId="312D14A2" w14:textId="5EF99318" w:rsidR="00261FB2" w:rsidRPr="00B83952" w:rsidRDefault="00C729AE" w:rsidP="003276D3">
      <w:pPr>
        <w:pStyle w:val="NumBC1"/>
      </w:pPr>
      <w:r w:rsidRPr="00B83952">
        <w:t xml:space="preserve">A majority of </w:t>
      </w:r>
      <w:r w:rsidR="00C17B1D" w:rsidRPr="00B83952">
        <w:t xml:space="preserve">respondents </w:t>
      </w:r>
      <w:r w:rsidRPr="00B83952">
        <w:t xml:space="preserve">who commented on this topic </w:t>
      </w:r>
      <w:r w:rsidR="00C17B1D" w:rsidRPr="00B83952">
        <w:t>agreed with the Board’s decision not to mandate the measurement technique to apply for measuring the fair value of specific assets</w:t>
      </w:r>
      <w:r w:rsidRPr="00B83952">
        <w:t>, including land subject to public-sector-specific legal restriction</w:t>
      </w:r>
      <w:r w:rsidR="00F752C6" w:rsidRPr="00B83952">
        <w:t>s</w:t>
      </w:r>
      <w:r w:rsidR="0001405C" w:rsidRPr="00B83952">
        <w:t xml:space="preserve">. </w:t>
      </w:r>
      <w:r w:rsidR="00D44827" w:rsidRPr="00B83952">
        <w:t xml:space="preserve">However, </w:t>
      </w:r>
      <w:r w:rsidR="003C18D9" w:rsidRPr="00B83952">
        <w:t xml:space="preserve">a few </w:t>
      </w:r>
      <w:r w:rsidR="00D44827" w:rsidRPr="00B83952">
        <w:t>respondent</w:t>
      </w:r>
      <w:r w:rsidR="003C18D9" w:rsidRPr="00B83952">
        <w:t>s</w:t>
      </w:r>
      <w:r w:rsidR="00D44827" w:rsidRPr="00B83952">
        <w:t xml:space="preserve"> requested the Board to mandate the use of the cost approach in measuring the fair value</w:t>
      </w:r>
      <w:r w:rsidR="007916AE" w:rsidRPr="00B83952">
        <w:t xml:space="preserve">, </w:t>
      </w:r>
      <w:r w:rsidR="003C18D9" w:rsidRPr="00B83952">
        <w:t>or the use of an entity-specific entry price to measure the current value</w:t>
      </w:r>
      <w:r w:rsidR="007916AE" w:rsidRPr="00B83952">
        <w:t>,</w:t>
      </w:r>
      <w:r w:rsidR="003C18D9" w:rsidRPr="00B83952">
        <w:t xml:space="preserve"> </w:t>
      </w:r>
      <w:r w:rsidR="00D44827" w:rsidRPr="00B83952">
        <w:t>of all non-financial assets of not-for-profit public sector entities not primarily held for their ability to generate net cash in</w:t>
      </w:r>
      <w:r w:rsidR="00F3084D" w:rsidRPr="00B83952">
        <w:t>flows</w:t>
      </w:r>
      <w:r w:rsidR="0073003C" w:rsidRPr="00B83952">
        <w:t xml:space="preserve">. The Board observed that </w:t>
      </w:r>
      <w:r w:rsidR="00FB731D" w:rsidRPr="00B83952">
        <w:t>the feedback received on ED 320</w:t>
      </w:r>
      <w:r w:rsidR="0073003C" w:rsidRPr="00B83952">
        <w:t xml:space="preserve"> did not </w:t>
      </w:r>
      <w:r w:rsidR="0097043D" w:rsidRPr="00B83952">
        <w:t xml:space="preserve">identify any supporting or opposing arguments that had not yet been considered by the Board in deciding </w:t>
      </w:r>
      <w:r w:rsidR="007916AE" w:rsidRPr="00B83952">
        <w:t xml:space="preserve">that fair </w:t>
      </w:r>
      <w:r w:rsidR="007916AE" w:rsidRPr="00B83952">
        <w:lastRenderedPageBreak/>
        <w:t>value should remain the sole current value measurement for non-</w:t>
      </w:r>
      <w:r w:rsidR="00747E9F" w:rsidRPr="00B83952">
        <w:t>financial</w:t>
      </w:r>
      <w:r w:rsidR="007916AE" w:rsidRPr="00B83952">
        <w:t xml:space="preserve"> assets and </w:t>
      </w:r>
      <w:r w:rsidR="0097043D" w:rsidRPr="00B83952">
        <w:t>not to mandate the measurement technique to apply for measuring the fair value of specific assets, including restricted land</w:t>
      </w:r>
      <w:r w:rsidR="0018330F" w:rsidRPr="00B83952">
        <w:t xml:space="preserve">. </w:t>
      </w:r>
      <w:r w:rsidR="00F3084D" w:rsidRPr="00B83952">
        <w:t xml:space="preserve"> </w:t>
      </w:r>
    </w:p>
    <w:p w14:paraId="0277FF5C" w14:textId="37CCC3CF" w:rsidR="001B0297" w:rsidRPr="00B83952" w:rsidRDefault="00261FB2" w:rsidP="003276D3">
      <w:pPr>
        <w:pStyle w:val="NumBC1"/>
      </w:pPr>
      <w:r w:rsidRPr="00B83952">
        <w:t>In addition</w:t>
      </w:r>
      <w:r w:rsidR="0073003C" w:rsidRPr="00B83952">
        <w:t>,</w:t>
      </w:r>
      <w:r w:rsidR="00F3084D" w:rsidRPr="00B83952">
        <w:t xml:space="preserve"> </w:t>
      </w:r>
      <w:r w:rsidR="00AE3EA2" w:rsidRPr="00B83952">
        <w:t>a few</w:t>
      </w:r>
      <w:r w:rsidR="00F3084D" w:rsidRPr="00B83952">
        <w:t xml:space="preserve"> other </w:t>
      </w:r>
      <w:r w:rsidR="00AE3EA2" w:rsidRPr="00B83952">
        <w:t>respondent</w:t>
      </w:r>
      <w:r w:rsidR="00F3084D" w:rsidRPr="00B83952">
        <w:t xml:space="preserve">s </w:t>
      </w:r>
      <w:r w:rsidR="001568E5" w:rsidRPr="00B83952">
        <w:t xml:space="preserve">asked </w:t>
      </w:r>
      <w:r w:rsidR="00F3084D" w:rsidRPr="00B83952">
        <w:t xml:space="preserve">the Board to </w:t>
      </w:r>
      <w:r w:rsidR="00AE3EA2" w:rsidRPr="00B83952">
        <w:t xml:space="preserve">elevate </w:t>
      </w:r>
      <w:r w:rsidR="006D32C9" w:rsidRPr="00B83952">
        <w:t xml:space="preserve">paragraph IE29 of the IASB’s Illustrative Examples accompanying IFRS 13 </w:t>
      </w:r>
      <w:r w:rsidR="002D2521" w:rsidRPr="00B83952">
        <w:t xml:space="preserve">(quoted in paragraph </w:t>
      </w:r>
      <w:r w:rsidR="006D32C9" w:rsidRPr="00B83952">
        <w:fldChar w:fldCharType="begin"/>
      </w:r>
      <w:r w:rsidR="006D32C9" w:rsidRPr="00B83952">
        <w:instrText xml:space="preserve"> REF _Ref115166799 \r \h </w:instrText>
      </w:r>
      <w:r w:rsidR="006D32C9" w:rsidRPr="00B83952">
        <w:fldChar w:fldCharType="separate"/>
      </w:r>
      <w:r w:rsidR="005A1B65">
        <w:t>BC103</w:t>
      </w:r>
      <w:r w:rsidR="006D32C9" w:rsidRPr="00B83952">
        <w:fldChar w:fldCharType="end"/>
      </w:r>
      <w:r w:rsidR="006D32C9" w:rsidRPr="00B83952">
        <w:t>)</w:t>
      </w:r>
      <w:r w:rsidR="00C61739" w:rsidRPr="00B83952">
        <w:t xml:space="preserve"> to</w:t>
      </w:r>
      <w:r w:rsidR="002D2521" w:rsidRPr="00B83952">
        <w:t xml:space="preserve"> authoritative guidance. That </w:t>
      </w:r>
      <w:r w:rsidR="009D7946" w:rsidRPr="00B83952">
        <w:t xml:space="preserve">IASB </w:t>
      </w:r>
      <w:r w:rsidR="00C61739" w:rsidRPr="00B83952">
        <w:t>i</w:t>
      </w:r>
      <w:r w:rsidR="002D2521" w:rsidRPr="00B83952">
        <w:t xml:space="preserve">llustrative </w:t>
      </w:r>
      <w:r w:rsidR="00C61739" w:rsidRPr="00B83952">
        <w:t>e</w:t>
      </w:r>
      <w:r w:rsidR="002D2521" w:rsidRPr="00B83952">
        <w:t xml:space="preserve">xample included a comment </w:t>
      </w:r>
      <w:r w:rsidR="008970ED" w:rsidRPr="00B83952">
        <w:t xml:space="preserve">indicating </w:t>
      </w:r>
      <w:r w:rsidR="002D2521" w:rsidRPr="00B83952">
        <w:t xml:space="preserve">that restrictions would be taken into account </w:t>
      </w:r>
      <w:r w:rsidR="005F5120" w:rsidRPr="00B83952">
        <w:t xml:space="preserve">only </w:t>
      </w:r>
      <w:r w:rsidR="002D2521" w:rsidRPr="00B83952">
        <w:t xml:space="preserve">if they transfer to </w:t>
      </w:r>
      <w:r w:rsidR="008970ED" w:rsidRPr="00B83952">
        <w:t xml:space="preserve">the </w:t>
      </w:r>
      <w:r w:rsidR="002D2521" w:rsidRPr="00B83952">
        <w:t>market participant buyer</w:t>
      </w:r>
      <w:r w:rsidR="005A0850" w:rsidRPr="00B83952">
        <w:t>,</w:t>
      </w:r>
      <w:r w:rsidR="002D2521" w:rsidRPr="00B83952">
        <w:t xml:space="preserve"> and those respondents envisage that </w:t>
      </w:r>
      <w:r w:rsidR="001568E5" w:rsidRPr="00B83952">
        <w:t xml:space="preserve">elevating </w:t>
      </w:r>
      <w:r w:rsidR="002D2521" w:rsidRPr="00B83952">
        <w:t xml:space="preserve">the specific comment to authoritative guidance would effectively preclude the </w:t>
      </w:r>
      <w:r w:rsidR="001568E5" w:rsidRPr="00B83952">
        <w:t xml:space="preserve">deduction </w:t>
      </w:r>
      <w:r w:rsidR="002D2521" w:rsidRPr="00B83952">
        <w:t>of discounts for restricted land</w:t>
      </w:r>
      <w:r w:rsidRPr="00B83952">
        <w:t xml:space="preserve">. </w:t>
      </w:r>
    </w:p>
    <w:p w14:paraId="2754B4C1" w14:textId="0CF79B8C" w:rsidR="00B222EE" w:rsidRPr="00B83952" w:rsidRDefault="00B222EE" w:rsidP="003276D3">
      <w:pPr>
        <w:pStyle w:val="NumBC1"/>
      </w:pPr>
      <w:r w:rsidRPr="00B83952">
        <w:t xml:space="preserve">The Board observed that the IASB decided to include that example in supplementary supporting material rather than as part of IFRS 13. The IASB stated that its Illustrative Examples illustrate aspects of IFRS 13 but are not intended to provide interpretative guidance. </w:t>
      </w:r>
      <w:r w:rsidR="007337B4" w:rsidRPr="00B83952">
        <w:t xml:space="preserve">Accordingly, </w:t>
      </w:r>
      <w:r w:rsidRPr="00B83952">
        <w:t xml:space="preserve">adding such an example in the Board’s implementation guidance (which will be an integral part of AASB 13) would, inappropriately, elevate the status of the IASB example above that accorded to it by the IASB. In addition, it would create a risk that readers </w:t>
      </w:r>
      <w:r w:rsidR="001568E5" w:rsidRPr="00B83952">
        <w:t xml:space="preserve">interpret </w:t>
      </w:r>
      <w:r w:rsidRPr="00B83952">
        <w:t>the example as a rule of thumb. This is because:</w:t>
      </w:r>
    </w:p>
    <w:p w14:paraId="77A70875" w14:textId="06550C12" w:rsidR="00B222EE" w:rsidRPr="00B83952" w:rsidRDefault="00B222EE" w:rsidP="003276D3">
      <w:pPr>
        <w:pStyle w:val="NumBC2"/>
      </w:pPr>
      <w:r w:rsidRPr="00B83952">
        <w:t xml:space="preserve">the IASB’s conclusion </w:t>
      </w:r>
      <w:r w:rsidR="00B8467D" w:rsidRPr="00B83952">
        <w:t xml:space="preserve">in the above-mentioned paragraph IE29 of its Illustrative Examples </w:t>
      </w:r>
      <w:r w:rsidRPr="00B83952">
        <w:t xml:space="preserve">that “the </w:t>
      </w:r>
      <w:r w:rsidR="00216C2B" w:rsidRPr="00B83952">
        <w:t xml:space="preserve">donor </w:t>
      </w:r>
      <w:r w:rsidRPr="00B83952">
        <w:t xml:space="preserve">restriction on the use of </w:t>
      </w:r>
      <w:r w:rsidR="00216C2B" w:rsidRPr="00B83952">
        <w:t xml:space="preserve">the </w:t>
      </w:r>
      <w:r w:rsidRPr="00B83952">
        <w:t>land” would not be taken into account in the fair value measurement of the land is drawn only after “Upon review of relevant documentation (eg legal and other), the association determines that the fiduciary responsibility to meet the donor’s restriction would not be transferred to market participants if the association sold the asset”; and</w:t>
      </w:r>
    </w:p>
    <w:p w14:paraId="5DFC611F" w14:textId="3FA4D304" w:rsidR="00B222EE" w:rsidRPr="00B83952" w:rsidRDefault="00B222EE" w:rsidP="003276D3">
      <w:pPr>
        <w:pStyle w:val="NumBC2"/>
      </w:pPr>
      <w:r w:rsidRPr="00B83952">
        <w:t xml:space="preserve">that example did not include consideration of the zoning of the land and the likelihood that the zoning would change as </w:t>
      </w:r>
      <w:r w:rsidR="001568E5" w:rsidRPr="00B83952">
        <w:t xml:space="preserve">stated in </w:t>
      </w:r>
      <w:r w:rsidR="00096EAD" w:rsidRPr="00B83952">
        <w:t xml:space="preserve">paragraph 140.5 of International Valuation </w:t>
      </w:r>
      <w:r w:rsidR="00AC0873" w:rsidRPr="00B83952">
        <w:t>Standard IVS </w:t>
      </w:r>
      <w:r w:rsidR="00096EAD" w:rsidRPr="00B83952">
        <w:t>104</w:t>
      </w:r>
      <w:r w:rsidR="00AC0873" w:rsidRPr="00B83952">
        <w:t xml:space="preserve"> </w:t>
      </w:r>
      <w:r w:rsidR="00096EAD" w:rsidRPr="00B83952">
        <w:rPr>
          <w:i/>
          <w:iCs/>
        </w:rPr>
        <w:t>Bases of Value</w:t>
      </w:r>
      <w:r w:rsidRPr="00B83952">
        <w:t>.</w:t>
      </w:r>
    </w:p>
    <w:p w14:paraId="3626BC67" w14:textId="221C2314" w:rsidR="00B222EE" w:rsidRPr="00B83952" w:rsidRDefault="009511C8" w:rsidP="003276D3">
      <w:pPr>
        <w:pStyle w:val="NumBC1"/>
      </w:pPr>
      <w:bookmarkStart w:id="212" w:name="_Ref116441792"/>
      <w:r w:rsidRPr="00B83952">
        <w:t>The Board considered</w:t>
      </w:r>
      <w:r w:rsidR="00B222EE" w:rsidRPr="00B83952">
        <w:t xml:space="preserve"> that financial statement preparers, auditors and valuers need to apply judgement</w:t>
      </w:r>
      <w:r w:rsidR="001555D2" w:rsidRPr="00B83952">
        <w:t>,</w:t>
      </w:r>
      <w:r w:rsidR="00B222EE" w:rsidRPr="00B83952">
        <w:t xml:space="preserve"> based on the circumstance</w:t>
      </w:r>
      <w:r w:rsidR="001555D2" w:rsidRPr="00B83952">
        <w:t>s</w:t>
      </w:r>
      <w:r w:rsidR="00B222EE" w:rsidRPr="00B83952">
        <w:t xml:space="preserve"> of each asset</w:t>
      </w:r>
      <w:r w:rsidR="001555D2" w:rsidRPr="00B83952">
        <w:t>,</w:t>
      </w:r>
      <w:r w:rsidR="00B222EE" w:rsidRPr="00B83952">
        <w:t xml:space="preserve"> in determining whether a restriction imposed on an asset would transfer to market participants.</w:t>
      </w:r>
      <w:r w:rsidR="00EC436F" w:rsidRPr="00B83952">
        <w:t xml:space="preserve"> Therefore, the Board decided not to </w:t>
      </w:r>
      <w:r w:rsidR="00E51A5F" w:rsidRPr="00B83952">
        <w:t xml:space="preserve">add that IASB example </w:t>
      </w:r>
      <w:r w:rsidR="001555D2" w:rsidRPr="00B83952">
        <w:t xml:space="preserve">to </w:t>
      </w:r>
      <w:r w:rsidR="00E51A5F" w:rsidRPr="00B83952">
        <w:t>AASB 13.</w:t>
      </w:r>
      <w:bookmarkEnd w:id="212"/>
    </w:p>
    <w:p w14:paraId="2C79F967" w14:textId="77777777" w:rsidR="00BA2EE7" w:rsidRPr="00B83952" w:rsidRDefault="00BA2EE7" w:rsidP="00524A32">
      <w:pPr>
        <w:pStyle w:val="IASBSectionTitle1NonInd"/>
      </w:pPr>
      <w:r w:rsidRPr="00B83952">
        <w:t xml:space="preserve">Other measurement issues </w:t>
      </w:r>
    </w:p>
    <w:p w14:paraId="5E61BDF5" w14:textId="1B92994A" w:rsidR="00BA2EE7" w:rsidRPr="00B83952" w:rsidRDefault="00D475DF" w:rsidP="003276D3">
      <w:pPr>
        <w:pStyle w:val="NumBC1"/>
      </w:pPr>
      <w:bookmarkStart w:id="213" w:name="_Ref90982683"/>
      <w:r w:rsidRPr="00B83952">
        <w:t>Some s</w:t>
      </w:r>
      <w:r w:rsidR="00BA2EE7" w:rsidRPr="00B83952">
        <w:t xml:space="preserve">takeholders </w:t>
      </w:r>
      <w:r w:rsidR="00031CDD" w:rsidRPr="00B83952">
        <w:t xml:space="preserve">asked </w:t>
      </w:r>
      <w:r w:rsidR="00BA2EE7" w:rsidRPr="00B83952">
        <w:t xml:space="preserve">the Board to </w:t>
      </w:r>
      <w:r w:rsidR="00164C95" w:rsidRPr="00B83952">
        <w:t xml:space="preserve">provide </w:t>
      </w:r>
      <w:r w:rsidR="00BA2EE7" w:rsidRPr="00B83952">
        <w:t>guidance regarding the following:</w:t>
      </w:r>
      <w:bookmarkEnd w:id="213"/>
    </w:p>
    <w:p w14:paraId="0069D31C" w14:textId="1719FCAD" w:rsidR="00BA2EE7" w:rsidRPr="00B83952" w:rsidRDefault="005F5B48" w:rsidP="003276D3">
      <w:pPr>
        <w:pStyle w:val="NumBC2"/>
      </w:pPr>
      <w:r w:rsidRPr="00B83952">
        <w:t>t</w:t>
      </w:r>
      <w:r w:rsidR="00BA2EE7" w:rsidRPr="00B83952">
        <w:t>reatment of changes in an asset’s estimated remaining service potential;</w:t>
      </w:r>
    </w:p>
    <w:p w14:paraId="51EB3C13" w14:textId="0D64FA86" w:rsidR="00BA2EE7" w:rsidRPr="00B83952" w:rsidRDefault="005F5B48" w:rsidP="003276D3">
      <w:pPr>
        <w:pStyle w:val="NumBC2"/>
      </w:pPr>
      <w:r w:rsidRPr="00B83952">
        <w:t>t</w:t>
      </w:r>
      <w:r w:rsidR="00BA2EE7" w:rsidRPr="00B83952">
        <w:t>reatment of damage of an asset;</w:t>
      </w:r>
    </w:p>
    <w:p w14:paraId="486C8197" w14:textId="75EB8D31" w:rsidR="00BA2EE7" w:rsidRPr="00B83952" w:rsidRDefault="005F5B48" w:rsidP="003276D3">
      <w:pPr>
        <w:pStyle w:val="NumBC2"/>
      </w:pPr>
      <w:r w:rsidRPr="00B83952">
        <w:t>a</w:t>
      </w:r>
      <w:r w:rsidR="00BA2EE7" w:rsidRPr="00B83952">
        <w:t>llocating the fair value of groups of assets measured under the income approach to component assets;</w:t>
      </w:r>
    </w:p>
    <w:p w14:paraId="05B44BC9" w14:textId="50B7964C" w:rsidR="00BA2EE7" w:rsidRPr="00B83952" w:rsidRDefault="005F5B48" w:rsidP="003276D3">
      <w:pPr>
        <w:pStyle w:val="NumBC2"/>
      </w:pPr>
      <w:r w:rsidRPr="00B83952">
        <w:t>t</w:t>
      </w:r>
      <w:r w:rsidR="00BA2EE7" w:rsidRPr="00B83952">
        <w:t xml:space="preserve">reatment of deferred maintenance expenditure; </w:t>
      </w:r>
      <w:r w:rsidR="000C7850" w:rsidRPr="00B83952">
        <w:t>and</w:t>
      </w:r>
    </w:p>
    <w:p w14:paraId="70CC0DE5" w14:textId="219145F3" w:rsidR="00BA2EE7" w:rsidRPr="00B83952" w:rsidRDefault="005F5B48" w:rsidP="003276D3">
      <w:pPr>
        <w:pStyle w:val="NumBC2"/>
      </w:pPr>
      <w:r w:rsidRPr="00B83952">
        <w:t>u</w:t>
      </w:r>
      <w:r w:rsidR="00BA2EE7" w:rsidRPr="00B83952">
        <w:t>nit of account for an infrastructure asset</w:t>
      </w:r>
      <w:r w:rsidR="000C7850" w:rsidRPr="00B83952">
        <w:t>.</w:t>
      </w:r>
    </w:p>
    <w:p w14:paraId="6A8631FC" w14:textId="736A6B1B" w:rsidR="00BA2EE7" w:rsidRPr="00B83952" w:rsidRDefault="00BA2EE7" w:rsidP="003276D3">
      <w:pPr>
        <w:pStyle w:val="NumBC1"/>
      </w:pPr>
      <w:r w:rsidRPr="00B83952">
        <w:t xml:space="preserve">The Board noted that none of the issues in </w:t>
      </w:r>
      <w:r w:rsidR="00D92583" w:rsidRPr="00B83952">
        <w:t xml:space="preserve">paragraph </w:t>
      </w:r>
      <w:r w:rsidR="00E26DE0" w:rsidRPr="00B83952">
        <w:fldChar w:fldCharType="begin"/>
      </w:r>
      <w:r w:rsidR="00E26DE0" w:rsidRPr="00B83952">
        <w:instrText xml:space="preserve"> REF _Ref90982683 \r \h </w:instrText>
      </w:r>
      <w:r w:rsidR="00E26DE0" w:rsidRPr="00B83952">
        <w:fldChar w:fldCharType="separate"/>
      </w:r>
      <w:r w:rsidR="005A1B65">
        <w:t>BC260</w:t>
      </w:r>
      <w:r w:rsidR="00E26DE0" w:rsidRPr="00B83952">
        <w:fldChar w:fldCharType="end"/>
      </w:r>
      <w:r w:rsidRPr="00B83952">
        <w:t xml:space="preserve"> </w:t>
      </w:r>
      <w:r w:rsidR="00AC0873" w:rsidRPr="00B83952">
        <w:t>represent</w:t>
      </w:r>
      <w:r w:rsidR="00073D51" w:rsidRPr="00B83952">
        <w:t>s</w:t>
      </w:r>
      <w:r w:rsidR="00AC0873" w:rsidRPr="00B83952">
        <w:t xml:space="preserve"> </w:t>
      </w:r>
      <w:r w:rsidRPr="00B83952">
        <w:t xml:space="preserve">a justifiable circumstance under the </w:t>
      </w:r>
      <w:r w:rsidRPr="00B83952">
        <w:rPr>
          <w:i/>
          <w:iCs/>
        </w:rPr>
        <w:t>AASB Not-for-Profit Entity Standard-Setting Framework</w:t>
      </w:r>
      <w:r w:rsidRPr="00B83952">
        <w:t xml:space="preserve"> that would require not-for-profit-specific </w:t>
      </w:r>
      <w:r w:rsidR="00006383" w:rsidRPr="00B83952">
        <w:t>modifications</w:t>
      </w:r>
      <w:r w:rsidRPr="00B83952">
        <w:t xml:space="preserve"> or guidance. This is because:</w:t>
      </w:r>
    </w:p>
    <w:p w14:paraId="39388117" w14:textId="77777777" w:rsidR="00BA2EE7" w:rsidRPr="00B83952" w:rsidRDefault="00BA2EE7" w:rsidP="003276D3">
      <w:pPr>
        <w:pStyle w:val="NumBC2"/>
      </w:pPr>
      <w:r w:rsidRPr="00B83952">
        <w:t>those issues are not specific to not-for-profit entities and the IASB did not provide any further guidance on those issues; and</w:t>
      </w:r>
    </w:p>
    <w:p w14:paraId="47BD2273" w14:textId="77777777" w:rsidR="00BA2EE7" w:rsidRPr="00B83952" w:rsidRDefault="00BA2EE7" w:rsidP="003276D3">
      <w:pPr>
        <w:pStyle w:val="NumBC2"/>
      </w:pPr>
      <w:r w:rsidRPr="00B83952">
        <w:t>there does not appear to be any gap or other flaw in existing pronouncements that would cause financial statements of not-for-profit public sector entities to inadequately reflect the objectives and qualitative characteristics of financial reporting or not reflect economic reality.</w:t>
      </w:r>
    </w:p>
    <w:p w14:paraId="3DDF807A" w14:textId="7492A143" w:rsidR="00BA2EE7" w:rsidRPr="00B83952" w:rsidRDefault="00BA2EE7" w:rsidP="003276D3">
      <w:pPr>
        <w:pStyle w:val="NumBC1"/>
      </w:pPr>
      <w:r w:rsidRPr="00B83952">
        <w:t xml:space="preserve">The Board considered that some of those issues relate to detailed valuation assessments, and specific guidance on them should not be included in </w:t>
      </w:r>
      <w:r w:rsidR="009814A7" w:rsidRPr="00B83952">
        <w:t xml:space="preserve">Australian </w:t>
      </w:r>
      <w:r w:rsidRPr="00B83952">
        <w:t>Accounting Standards. The Board also considered that the treatment of many of the issues would depend on facts and circumstances, and the role of principles-based Standards does not include providing detailed guidance about the various outcomes that can arise.</w:t>
      </w:r>
    </w:p>
    <w:p w14:paraId="1C99ABA7" w14:textId="01AE7E6A" w:rsidR="00101D0A" w:rsidRPr="00B83952" w:rsidRDefault="009A2CFB" w:rsidP="00524A32">
      <w:pPr>
        <w:pStyle w:val="IASBSectionTitle1NonInd"/>
      </w:pPr>
      <w:r w:rsidRPr="00B83952">
        <w:t xml:space="preserve">Effective </w:t>
      </w:r>
      <w:r w:rsidR="00CA4E6E" w:rsidRPr="00B83952">
        <w:t>d</w:t>
      </w:r>
      <w:r w:rsidRPr="00B83952">
        <w:t xml:space="preserve">ate and </w:t>
      </w:r>
      <w:r w:rsidR="00076328" w:rsidRPr="00B83952">
        <w:t>application</w:t>
      </w:r>
    </w:p>
    <w:p w14:paraId="3DD09A1B" w14:textId="4033594B" w:rsidR="00D613E7" w:rsidRPr="00B83952" w:rsidRDefault="008C63E9" w:rsidP="00D613E7">
      <w:pPr>
        <w:pStyle w:val="IASBSectionTitle2Ind"/>
      </w:pPr>
      <w:bookmarkStart w:id="214" w:name="_Ref90889886"/>
      <w:bookmarkStart w:id="215" w:name="_Ref31931565"/>
      <w:bookmarkStart w:id="216" w:name="_Ref31705778"/>
      <w:r w:rsidRPr="00B83952">
        <w:t>Prospective</w:t>
      </w:r>
      <w:r w:rsidR="00D613E7" w:rsidRPr="00B83952">
        <w:t xml:space="preserve"> application</w:t>
      </w:r>
    </w:p>
    <w:p w14:paraId="5BB19204" w14:textId="67FC84CC" w:rsidR="00EE4EA1" w:rsidRPr="00B83952" w:rsidRDefault="00FD333E" w:rsidP="003276D3">
      <w:pPr>
        <w:pStyle w:val="NumBC1"/>
      </w:pPr>
      <w:r w:rsidRPr="00B83952">
        <w:t xml:space="preserve">In accordance with paragraph 7.9.2 of the </w:t>
      </w:r>
      <w:r w:rsidRPr="00B83952">
        <w:rPr>
          <w:i/>
          <w:iCs/>
        </w:rPr>
        <w:t>AASB Due Process Framework for Setting Standards</w:t>
      </w:r>
      <w:r w:rsidRPr="00B83952">
        <w:t>, t</w:t>
      </w:r>
      <w:r w:rsidR="00C01D0F" w:rsidRPr="00B83952">
        <w:t xml:space="preserve">he Board decided </w:t>
      </w:r>
      <w:r w:rsidR="003D6C8F" w:rsidRPr="00B83952">
        <w:t xml:space="preserve">that </w:t>
      </w:r>
      <w:r w:rsidR="00FF3730" w:rsidRPr="00B83952">
        <w:t xml:space="preserve">the </w:t>
      </w:r>
      <w:r w:rsidR="00BA3471" w:rsidRPr="00B83952">
        <w:t>modifications</w:t>
      </w:r>
      <w:r w:rsidR="00174972" w:rsidRPr="00B83952">
        <w:t xml:space="preserve"> to AASB 13 made by this Standard</w:t>
      </w:r>
      <w:r w:rsidR="00C01D0F" w:rsidRPr="00B83952">
        <w:t xml:space="preserve"> should </w:t>
      </w:r>
      <w:r w:rsidR="00FF3730" w:rsidRPr="00B83952">
        <w:t>be applied prospective</w:t>
      </w:r>
      <w:r w:rsidR="00FB2C70" w:rsidRPr="00B83952">
        <w:t>ly</w:t>
      </w:r>
      <w:r w:rsidR="00FF3730" w:rsidRPr="00B83952">
        <w:t xml:space="preserve"> </w:t>
      </w:r>
      <w:r w:rsidR="004832C4" w:rsidRPr="00B83952">
        <w:t xml:space="preserve">for </w:t>
      </w:r>
      <w:r w:rsidR="00C01D0F" w:rsidRPr="00B83952">
        <w:t>annual period</w:t>
      </w:r>
      <w:r w:rsidR="0051388F" w:rsidRPr="00B83952">
        <w:t>s</w:t>
      </w:r>
      <w:r w:rsidR="00C01D0F" w:rsidRPr="00B83952">
        <w:t xml:space="preserve"> beginning </w:t>
      </w:r>
      <w:r w:rsidR="00E275BF" w:rsidRPr="00B83952">
        <w:t>on or after 1 January 202</w:t>
      </w:r>
      <w:r w:rsidR="00562A30" w:rsidRPr="00B83952">
        <w:t>4</w:t>
      </w:r>
      <w:r w:rsidR="00E275BF" w:rsidRPr="00B83952">
        <w:t>.</w:t>
      </w:r>
      <w:bookmarkEnd w:id="214"/>
      <w:r w:rsidR="00C01D0F" w:rsidRPr="00B83952">
        <w:t xml:space="preserve"> </w:t>
      </w:r>
    </w:p>
    <w:p w14:paraId="70BB7715" w14:textId="5BA32EF0" w:rsidR="002A1309" w:rsidRPr="00B83952" w:rsidRDefault="00936C98" w:rsidP="003276D3">
      <w:pPr>
        <w:pStyle w:val="NumBC1"/>
      </w:pPr>
      <w:bookmarkStart w:id="217" w:name="_Ref31959489"/>
      <w:bookmarkEnd w:id="215"/>
      <w:bookmarkEnd w:id="216"/>
      <w:r w:rsidRPr="00B83952">
        <w:lastRenderedPageBreak/>
        <w:t xml:space="preserve">The Board noted that </w:t>
      </w:r>
      <w:r w:rsidR="00F25538" w:rsidRPr="00B83952">
        <w:t>the existing Standard was initially required to be applied prospectively</w:t>
      </w:r>
      <w:r w:rsidR="005B3AE0" w:rsidRPr="00B83952">
        <w:t xml:space="preserve">, consistent with IFRS 13 </w:t>
      </w:r>
      <w:r w:rsidR="005B3AE0" w:rsidRPr="00B83952">
        <w:rPr>
          <w:i/>
          <w:iCs/>
        </w:rPr>
        <w:t>Fair Value Measurement</w:t>
      </w:r>
      <w:r w:rsidR="005B3AE0" w:rsidRPr="00B83952">
        <w:t xml:space="preserve">. </w:t>
      </w:r>
      <w:r w:rsidR="001B3326" w:rsidRPr="00B83952">
        <w:t xml:space="preserve">As stated in paragraph BC229 of </w:t>
      </w:r>
      <w:r w:rsidR="00E874F3" w:rsidRPr="00B83952">
        <w:t>the</w:t>
      </w:r>
      <w:r w:rsidR="001B3326" w:rsidRPr="00B83952">
        <w:t xml:space="preserve"> Basis for Conclusions on IFRS 13, </w:t>
      </w:r>
      <w:r w:rsidR="007479B3" w:rsidRPr="00B83952">
        <w:t>“… the IASB concluded that a change in the methods used to measure fair value would be inseparable from a change in the fair value measurements (ie as new events occur or as new information is obtained, eg through better insight or improved judgement) ... Therefore, the IASB concluded that IFRS 13 should be applied prospectively (in the same way as a change in accounting estimate).”</w:t>
      </w:r>
      <w:bookmarkEnd w:id="217"/>
      <w:r w:rsidR="003F6639" w:rsidRPr="00B83952">
        <w:t xml:space="preserve"> For the same reason, the Board </w:t>
      </w:r>
      <w:r w:rsidR="00072B85" w:rsidRPr="00B83952">
        <w:t xml:space="preserve">decided </w:t>
      </w:r>
      <w:r w:rsidR="003F6639" w:rsidRPr="00B83952">
        <w:t xml:space="preserve">that the </w:t>
      </w:r>
      <w:r w:rsidR="00072B85" w:rsidRPr="00B83952">
        <w:t xml:space="preserve">modifications to AASB 13 </w:t>
      </w:r>
      <w:r w:rsidR="003F6639" w:rsidRPr="00B83952">
        <w:t>should be applied prospectively</w:t>
      </w:r>
      <w:r w:rsidR="00F8672B" w:rsidRPr="00B83952">
        <w:t>.</w:t>
      </w:r>
    </w:p>
    <w:p w14:paraId="3D15F886" w14:textId="57BC2112" w:rsidR="003D2D3A" w:rsidRPr="00B83952" w:rsidRDefault="00235A63" w:rsidP="003276D3">
      <w:pPr>
        <w:pStyle w:val="NumBC1"/>
      </w:pPr>
      <w:bookmarkStart w:id="218" w:name="_Ref97208048"/>
      <w:bookmarkStart w:id="219" w:name="_Ref90889888"/>
      <w:r w:rsidRPr="00B83952">
        <w:t xml:space="preserve">The Board considered that </w:t>
      </w:r>
      <w:r w:rsidR="009F3F35" w:rsidRPr="00B83952">
        <w:t xml:space="preserve">the </w:t>
      </w:r>
      <w:r w:rsidR="003659A2" w:rsidRPr="00B83952">
        <w:t xml:space="preserve">modifications to </w:t>
      </w:r>
      <w:r w:rsidR="009F3F35" w:rsidRPr="00B83952">
        <w:t>AASB 13</w:t>
      </w:r>
      <w:r w:rsidR="003659A2" w:rsidRPr="00B83952">
        <w:t xml:space="preserve"> mainly clarify that Standard</w:t>
      </w:r>
      <w:r w:rsidR="009F3F35" w:rsidRPr="00B83952">
        <w:t xml:space="preserve">, rather than changing </w:t>
      </w:r>
      <w:r w:rsidR="003659A2" w:rsidRPr="00B83952">
        <w:t xml:space="preserve">its </w:t>
      </w:r>
      <w:r w:rsidR="009F3F35" w:rsidRPr="00B83952">
        <w:t>requirements.</w:t>
      </w:r>
      <w:bookmarkStart w:id="220" w:name="_Ref31961419"/>
      <w:r w:rsidR="009F3F35" w:rsidRPr="00B83952">
        <w:t xml:space="preserve"> </w:t>
      </w:r>
      <w:bookmarkEnd w:id="220"/>
      <w:r w:rsidR="005B4C2F" w:rsidRPr="00B83952">
        <w:t>I</w:t>
      </w:r>
      <w:r w:rsidR="003D2D3A" w:rsidRPr="00B83952">
        <w:t>n applying the</w:t>
      </w:r>
      <w:r w:rsidR="008A79D7" w:rsidRPr="00B83952">
        <w:t xml:space="preserve"> modifications</w:t>
      </w:r>
      <w:r w:rsidR="003D2D3A" w:rsidRPr="00B83952">
        <w:t>, an entity</w:t>
      </w:r>
      <w:r w:rsidR="002E02CC" w:rsidRPr="00B83952">
        <w:t>’s</w:t>
      </w:r>
      <w:r w:rsidR="003D2D3A" w:rsidRPr="00B83952">
        <w:t xml:space="preserve"> changing practice in how </w:t>
      </w:r>
      <w:r w:rsidR="00112075" w:rsidRPr="00B83952">
        <w:t>it</w:t>
      </w:r>
      <w:r w:rsidR="003D2D3A" w:rsidRPr="00B83952">
        <w:t xml:space="preserve"> measure</w:t>
      </w:r>
      <w:r w:rsidR="00112075" w:rsidRPr="00B83952">
        <w:t>s the fair value of</w:t>
      </w:r>
      <w:r w:rsidR="003D2D3A" w:rsidRPr="00B83952">
        <w:t xml:space="preserve"> non-financial assets not held primarily for their ability to generate net cash inflows</w:t>
      </w:r>
      <w:r w:rsidR="00955C8F" w:rsidRPr="00B83952">
        <w:t xml:space="preserve"> </w:t>
      </w:r>
      <w:r w:rsidR="003D2D3A" w:rsidRPr="00B83952">
        <w:t>do</w:t>
      </w:r>
      <w:r w:rsidR="00B4540E" w:rsidRPr="00B83952">
        <w:t>es</w:t>
      </w:r>
      <w:r w:rsidR="003D2D3A" w:rsidRPr="00B83952">
        <w:t xml:space="preserve"> not indicate an error </w:t>
      </w:r>
      <w:r w:rsidR="00B4540E" w:rsidRPr="00B83952">
        <w:t xml:space="preserve">had been made </w:t>
      </w:r>
      <w:r w:rsidR="00BE747F" w:rsidRPr="00B83952">
        <w:t xml:space="preserve">previously </w:t>
      </w:r>
      <w:r w:rsidR="003D2D3A" w:rsidRPr="00B83952">
        <w:t>in applying the existing requirements of AASB 13.</w:t>
      </w:r>
      <w:bookmarkEnd w:id="218"/>
    </w:p>
    <w:p w14:paraId="7E5F4605" w14:textId="153B85A0" w:rsidR="002A4315" w:rsidRPr="00B83952" w:rsidRDefault="002A4315" w:rsidP="003276D3">
      <w:pPr>
        <w:pStyle w:val="NumBC1"/>
        <w:numPr>
          <w:ilvl w:val="0"/>
          <w:numId w:val="22"/>
        </w:numPr>
      </w:pPr>
      <w:r w:rsidRPr="00B83952">
        <w:t>In accordance with para</w:t>
      </w:r>
      <w:r w:rsidR="00F96A6A" w:rsidRPr="00B83952">
        <w:t>graphs</w:t>
      </w:r>
      <w:r w:rsidRPr="00B83952">
        <w:t xml:space="preserve"> 37–40 of AASB 108</w:t>
      </w:r>
      <w:r w:rsidR="00025A76" w:rsidRPr="00B83952">
        <w:rPr>
          <w:i/>
          <w:iCs/>
        </w:rPr>
        <w:t xml:space="preserve"> Accounting Policies, Changes in Accounting Estimates and Errors</w:t>
      </w:r>
      <w:r w:rsidR="00025A76" w:rsidRPr="00B83952">
        <w:t xml:space="preserve">, </w:t>
      </w:r>
      <w:r w:rsidRPr="00B83952">
        <w:t>prospective application of the authoritative implementation guidance would require an entity to:</w:t>
      </w:r>
    </w:p>
    <w:p w14:paraId="280E24F4" w14:textId="4A29752C" w:rsidR="002A4315" w:rsidRPr="00B83952" w:rsidRDefault="002A4315" w:rsidP="003276D3">
      <w:pPr>
        <w:pStyle w:val="NumBC2"/>
      </w:pPr>
      <w:r w:rsidRPr="00B83952">
        <w:t xml:space="preserve">recognise any change in asset values by adjusting the carrying amount of the affected assets </w:t>
      </w:r>
      <w:r w:rsidR="00797AD1" w:rsidRPr="00B83952">
        <w:t xml:space="preserve">and equity items </w:t>
      </w:r>
      <w:r w:rsidRPr="00B83952">
        <w:t>in the period of the change;</w:t>
      </w:r>
      <w:r w:rsidR="00B43AB8" w:rsidRPr="00B83952">
        <w:t xml:space="preserve"> and</w:t>
      </w:r>
    </w:p>
    <w:p w14:paraId="106912C6" w14:textId="302EB126" w:rsidR="002A4315" w:rsidRPr="00B83952" w:rsidRDefault="002A4315" w:rsidP="003276D3">
      <w:pPr>
        <w:pStyle w:val="NumBC2"/>
      </w:pPr>
      <w:r w:rsidRPr="00B83952">
        <w:t>disclose the nature and amount of the change in asset values</w:t>
      </w:r>
      <w:r w:rsidR="00FC1123" w:rsidRPr="00B83952">
        <w:t xml:space="preserve"> that has an effect in the current period or is expected to have an effect </w:t>
      </w:r>
      <w:r w:rsidR="002746B0" w:rsidRPr="00B83952">
        <w:t>in</w:t>
      </w:r>
      <w:r w:rsidR="00FC1123" w:rsidRPr="00B83952">
        <w:t xml:space="preserve"> future periods</w:t>
      </w:r>
      <w:r w:rsidR="002746B0" w:rsidRPr="00B83952">
        <w:t>, except for the disclosure of the effect on future periods when it is impracticable to estimate that effect</w:t>
      </w:r>
      <w:r w:rsidRPr="00B83952">
        <w:t>.</w:t>
      </w:r>
    </w:p>
    <w:p w14:paraId="602DD822" w14:textId="585CE5AA" w:rsidR="003D2D3A" w:rsidRPr="00B83952" w:rsidRDefault="006F3CE3" w:rsidP="00A85C6C">
      <w:pPr>
        <w:pStyle w:val="IASBSectionTitle2Ind"/>
      </w:pPr>
      <w:r w:rsidRPr="00B83952">
        <w:t>Voluntary restatement of comparative information</w:t>
      </w:r>
    </w:p>
    <w:p w14:paraId="7F9E4079" w14:textId="77777777" w:rsidR="00D32A25" w:rsidRPr="00B83952" w:rsidRDefault="005453F5" w:rsidP="003276D3">
      <w:pPr>
        <w:pStyle w:val="NumBC1"/>
        <w:rPr>
          <w:szCs w:val="19"/>
        </w:rPr>
      </w:pPr>
      <w:r w:rsidRPr="00B83952">
        <w:rPr>
          <w:szCs w:val="19"/>
        </w:rPr>
        <w:t xml:space="preserve">In ED 320, </w:t>
      </w:r>
      <w:r w:rsidR="009E17DC" w:rsidRPr="00B83952">
        <w:rPr>
          <w:szCs w:val="19"/>
        </w:rPr>
        <w:t xml:space="preserve">the Board </w:t>
      </w:r>
      <w:r w:rsidRPr="00B83952">
        <w:rPr>
          <w:szCs w:val="19"/>
        </w:rPr>
        <w:t xml:space="preserve">invited comments on </w:t>
      </w:r>
      <w:r w:rsidR="009E17DC" w:rsidRPr="00B83952">
        <w:rPr>
          <w:szCs w:val="19"/>
        </w:rPr>
        <w:t xml:space="preserve">whether </w:t>
      </w:r>
      <w:r w:rsidR="00973C70" w:rsidRPr="00B83952">
        <w:rPr>
          <w:szCs w:val="19"/>
        </w:rPr>
        <w:t>a</w:t>
      </w:r>
      <w:r w:rsidR="00992CF8" w:rsidRPr="00B83952">
        <w:rPr>
          <w:szCs w:val="19"/>
        </w:rPr>
        <w:t>n option</w:t>
      </w:r>
      <w:r w:rsidR="00973C70" w:rsidRPr="00B83952">
        <w:rPr>
          <w:szCs w:val="19"/>
        </w:rPr>
        <w:t xml:space="preserve"> </w:t>
      </w:r>
      <w:r w:rsidR="009E17DC" w:rsidRPr="00B83952">
        <w:rPr>
          <w:szCs w:val="19"/>
        </w:rPr>
        <w:t xml:space="preserve">should be provided </w:t>
      </w:r>
      <w:r w:rsidR="008D1100" w:rsidRPr="00B83952">
        <w:rPr>
          <w:szCs w:val="19"/>
        </w:rPr>
        <w:t>for</w:t>
      </w:r>
      <w:r w:rsidR="00632620" w:rsidRPr="00B83952">
        <w:rPr>
          <w:szCs w:val="19"/>
        </w:rPr>
        <w:t xml:space="preserve"> not-for-profit public sector entities</w:t>
      </w:r>
      <w:r w:rsidR="008D1100" w:rsidRPr="00B83952">
        <w:rPr>
          <w:szCs w:val="19"/>
        </w:rPr>
        <w:t xml:space="preserve"> </w:t>
      </w:r>
      <w:bookmarkEnd w:id="219"/>
      <w:r w:rsidR="00581944" w:rsidRPr="00B83952">
        <w:rPr>
          <w:szCs w:val="19"/>
        </w:rPr>
        <w:t>to elect to restat</w:t>
      </w:r>
      <w:r w:rsidR="00973C70" w:rsidRPr="00B83952">
        <w:rPr>
          <w:szCs w:val="19"/>
        </w:rPr>
        <w:t>e</w:t>
      </w:r>
      <w:r w:rsidR="00581944" w:rsidRPr="00B83952">
        <w:rPr>
          <w:szCs w:val="19"/>
        </w:rPr>
        <w:t xml:space="preserve"> comparative information</w:t>
      </w:r>
      <w:r w:rsidR="008D1100" w:rsidRPr="00B83952">
        <w:rPr>
          <w:szCs w:val="19"/>
        </w:rPr>
        <w:t xml:space="preserve"> to the extent practicable</w:t>
      </w:r>
      <w:r w:rsidRPr="00B83952">
        <w:rPr>
          <w:szCs w:val="19"/>
        </w:rPr>
        <w:t>, instead of applying the amendments to AASB 13 prospectively</w:t>
      </w:r>
      <w:r w:rsidR="008D1100" w:rsidRPr="00B83952">
        <w:rPr>
          <w:szCs w:val="19"/>
        </w:rPr>
        <w:t>.</w:t>
      </w:r>
      <w:r w:rsidR="00581944" w:rsidRPr="00B83952">
        <w:rPr>
          <w:szCs w:val="19"/>
        </w:rPr>
        <w:t xml:space="preserve"> </w:t>
      </w:r>
      <w:r w:rsidRPr="00B83952">
        <w:rPr>
          <w:szCs w:val="19"/>
        </w:rPr>
        <w:t>A majority of those responding to that question disagreed with the provision of such an option, because</w:t>
      </w:r>
      <w:r w:rsidR="00D32A25" w:rsidRPr="00B83952">
        <w:rPr>
          <w:szCs w:val="19"/>
        </w:rPr>
        <w:t>:</w:t>
      </w:r>
    </w:p>
    <w:p w14:paraId="4FC4DDDB" w14:textId="5894F37C" w:rsidR="002554BE" w:rsidRPr="00B83952" w:rsidRDefault="005453F5" w:rsidP="003276D3">
      <w:pPr>
        <w:pStyle w:val="NumBC2"/>
      </w:pPr>
      <w:r w:rsidRPr="00B83952">
        <w:t>restat</w:t>
      </w:r>
      <w:r w:rsidR="002554BE" w:rsidRPr="00B83952">
        <w:t>ing</w:t>
      </w:r>
      <w:r w:rsidRPr="00B83952">
        <w:t xml:space="preserve"> comparative information </w:t>
      </w:r>
      <w:r w:rsidR="001920F3" w:rsidRPr="00B83952">
        <w:t xml:space="preserve">about fair values </w:t>
      </w:r>
      <w:r w:rsidRPr="00B83952">
        <w:t>for prior periods</w:t>
      </w:r>
      <w:r w:rsidR="002554BE" w:rsidRPr="00B83952">
        <w:t xml:space="preserve"> would </w:t>
      </w:r>
      <w:r w:rsidR="001920F3" w:rsidRPr="00B83952">
        <w:t xml:space="preserve">be </w:t>
      </w:r>
      <w:r w:rsidR="002554BE" w:rsidRPr="00B83952">
        <w:t xml:space="preserve">likely </w:t>
      </w:r>
      <w:r w:rsidR="001920F3" w:rsidRPr="00B83952">
        <w:t xml:space="preserve">to involve </w:t>
      </w:r>
      <w:r w:rsidR="002554BE" w:rsidRPr="00B83952">
        <w:t>the use of hindsight;</w:t>
      </w:r>
    </w:p>
    <w:p w14:paraId="41D7B1E2" w14:textId="74A5F056" w:rsidR="002554BE" w:rsidRPr="00B83952" w:rsidRDefault="005453F5" w:rsidP="003276D3">
      <w:pPr>
        <w:pStyle w:val="NumBC2"/>
      </w:pPr>
      <w:r w:rsidRPr="00B83952">
        <w:t>a change in fair value should be treated as a change in an accounting estimate (ie prospectively)</w:t>
      </w:r>
      <w:r w:rsidR="002554BE" w:rsidRPr="00B83952">
        <w:t>;</w:t>
      </w:r>
      <w:r w:rsidRPr="00B83952">
        <w:t xml:space="preserve"> and</w:t>
      </w:r>
    </w:p>
    <w:p w14:paraId="03399F73" w14:textId="6DF0A253" w:rsidR="00C27045" w:rsidRPr="00B83952" w:rsidRDefault="00192652" w:rsidP="003276D3">
      <w:pPr>
        <w:pStyle w:val="NumBC2"/>
      </w:pPr>
      <w:r w:rsidRPr="00B83952">
        <w:t xml:space="preserve">it might be </w:t>
      </w:r>
      <w:r w:rsidR="005453F5" w:rsidRPr="00B83952">
        <w:t>confusin</w:t>
      </w:r>
      <w:r w:rsidRPr="00B83952">
        <w:t>g for users</w:t>
      </w:r>
      <w:r w:rsidR="001A05C7" w:rsidRPr="00B83952">
        <w:t xml:space="preserve"> to understand</w:t>
      </w:r>
      <w:r w:rsidR="006225AF" w:rsidRPr="00B83952">
        <w:t xml:space="preserve"> </w:t>
      </w:r>
      <w:r w:rsidR="001A05C7" w:rsidRPr="00B83952">
        <w:t xml:space="preserve">the </w:t>
      </w:r>
      <w:r w:rsidR="00725C73" w:rsidRPr="00B83952">
        <w:t>fair value</w:t>
      </w:r>
      <w:r w:rsidR="001A05C7" w:rsidRPr="00B83952">
        <w:t>s presented in financial statements if</w:t>
      </w:r>
      <w:r w:rsidR="00725C73" w:rsidRPr="00B83952">
        <w:t xml:space="preserve"> </w:t>
      </w:r>
      <w:r w:rsidR="002A69B6" w:rsidRPr="00B83952">
        <w:t>prior period</w:t>
      </w:r>
      <w:r w:rsidR="001A05C7" w:rsidRPr="00B83952">
        <w:t xml:space="preserve"> balances were restated</w:t>
      </w:r>
      <w:r w:rsidR="0029598E" w:rsidRPr="00B83952">
        <w:t>,</w:t>
      </w:r>
      <w:r w:rsidR="002A69B6" w:rsidRPr="00B83952">
        <w:t xml:space="preserve"> </w:t>
      </w:r>
      <w:r w:rsidR="001A05C7" w:rsidRPr="00B83952">
        <w:t>which would have a flow-on effect</w:t>
      </w:r>
      <w:r w:rsidR="00D762F3" w:rsidRPr="00B83952">
        <w:t xml:space="preserve"> to the </w:t>
      </w:r>
      <w:r w:rsidR="002A69B6" w:rsidRPr="00B83952">
        <w:t xml:space="preserve">depreciation </w:t>
      </w:r>
      <w:r w:rsidR="00D762F3" w:rsidRPr="00B83952">
        <w:t>amounts previously recognised</w:t>
      </w:r>
      <w:r w:rsidR="005453F5" w:rsidRPr="00B83952">
        <w:t xml:space="preserve">. </w:t>
      </w:r>
    </w:p>
    <w:p w14:paraId="6C1A8D8E" w14:textId="491D4700" w:rsidR="007E0F3C" w:rsidRPr="00B83952" w:rsidRDefault="005453F5" w:rsidP="003276D3">
      <w:pPr>
        <w:pStyle w:val="NumBC1"/>
      </w:pPr>
      <w:r w:rsidRPr="00B83952">
        <w:t>Having regard to the comments received, the Board decided not to provide an option to restate comparative information upon initial application of the Amending Standard.</w:t>
      </w:r>
    </w:p>
    <w:p w14:paraId="32898166" w14:textId="598A4B4A" w:rsidR="005C7AD5" w:rsidRPr="00B83952" w:rsidRDefault="005C7AD5" w:rsidP="005C7AD5">
      <w:pPr>
        <w:pStyle w:val="IASBSectionTitle2Ind"/>
      </w:pPr>
      <w:r w:rsidRPr="00B83952">
        <w:t>Not-for-profit private sector entit</w:t>
      </w:r>
      <w:r w:rsidR="004341D7" w:rsidRPr="00B83952">
        <w:t>y consideration</w:t>
      </w:r>
    </w:p>
    <w:p w14:paraId="78FF6EA6" w14:textId="34CAC5E8" w:rsidR="00A754D1" w:rsidRPr="00B83952" w:rsidRDefault="004341D7" w:rsidP="003276D3">
      <w:pPr>
        <w:pStyle w:val="NumBC1"/>
      </w:pPr>
      <w:r w:rsidRPr="00B83952">
        <w:rPr>
          <w:szCs w:val="19"/>
        </w:rPr>
        <w:t>When developing ED 320, t</w:t>
      </w:r>
      <w:r w:rsidR="007C5FA0" w:rsidRPr="00B83952">
        <w:rPr>
          <w:szCs w:val="19"/>
        </w:rPr>
        <w:t xml:space="preserve">he Board </w:t>
      </w:r>
      <w:r w:rsidR="001C76E6" w:rsidRPr="00B83952">
        <w:rPr>
          <w:szCs w:val="19"/>
        </w:rPr>
        <w:t xml:space="preserve">observed that </w:t>
      </w:r>
      <w:r w:rsidR="001C76E6" w:rsidRPr="00B83952">
        <w:t xml:space="preserve">limiting the AASB 13 modifications to </w:t>
      </w:r>
      <w:r w:rsidR="001C76E6" w:rsidRPr="00B83952">
        <w:rPr>
          <w:szCs w:val="19"/>
        </w:rPr>
        <w:t>not-for-profit</w:t>
      </w:r>
      <w:r w:rsidR="001C76E6" w:rsidRPr="00B83952">
        <w:t xml:space="preserve"> entities in the public sector might be perceived as being inconsistent with </w:t>
      </w:r>
      <w:r w:rsidR="00267FAD" w:rsidRPr="00B83952">
        <w:t>its</w:t>
      </w:r>
      <w:r w:rsidR="001C76E6" w:rsidRPr="00B83952">
        <w:t xml:space="preserve"> transaction neutrality policy</w:t>
      </w:r>
      <w:r w:rsidR="00A754D1" w:rsidRPr="00B83952">
        <w:t xml:space="preserve">. Therefore, ED 320 included a question asking respondents </w:t>
      </w:r>
      <w:r w:rsidR="00A754D1" w:rsidRPr="00B83952">
        <w:rPr>
          <w:szCs w:val="19"/>
        </w:rPr>
        <w:t>whether the proposed modifications to AASB</w:t>
      </w:r>
      <w:r w:rsidR="002F7B63" w:rsidRPr="00B83952">
        <w:rPr>
          <w:szCs w:val="19"/>
        </w:rPr>
        <w:t> </w:t>
      </w:r>
      <w:r w:rsidR="00A754D1" w:rsidRPr="00B83952">
        <w:rPr>
          <w:szCs w:val="19"/>
        </w:rPr>
        <w:t>13 should be applicable also to entities in the not-for-profit private sector</w:t>
      </w:r>
      <w:r w:rsidR="00D2150D" w:rsidRPr="00B83952">
        <w:rPr>
          <w:szCs w:val="19"/>
        </w:rPr>
        <w:t>.</w:t>
      </w:r>
      <w:r w:rsidR="007C5FA0" w:rsidRPr="00B83952">
        <w:rPr>
          <w:szCs w:val="19"/>
        </w:rPr>
        <w:t xml:space="preserve"> </w:t>
      </w:r>
      <w:r w:rsidR="000B16A3" w:rsidRPr="00B83952">
        <w:rPr>
          <w:szCs w:val="19"/>
        </w:rPr>
        <w:t>Mixed feedback was received on that ED question.</w:t>
      </w:r>
    </w:p>
    <w:p w14:paraId="130ACAA8" w14:textId="4BB60AE6" w:rsidR="00D2150D" w:rsidRPr="00B83952" w:rsidRDefault="007C5FA0" w:rsidP="003276D3">
      <w:pPr>
        <w:pStyle w:val="NumBC1"/>
      </w:pPr>
      <w:bookmarkStart w:id="221" w:name="_Ref115337299"/>
      <w:r w:rsidRPr="00B83952">
        <w:rPr>
          <w:szCs w:val="19"/>
        </w:rPr>
        <w:t>T</w:t>
      </w:r>
      <w:r w:rsidR="00D2150D" w:rsidRPr="00B83952">
        <w:t xml:space="preserve">he Board decided to limit the scope of </w:t>
      </w:r>
      <w:r w:rsidR="006069CA" w:rsidRPr="00B83952">
        <w:t xml:space="preserve">this </w:t>
      </w:r>
      <w:r w:rsidR="00C55A1B" w:rsidRPr="00B83952">
        <w:t xml:space="preserve">Amending </w:t>
      </w:r>
      <w:r w:rsidR="006069CA" w:rsidRPr="00B83952">
        <w:t>Standard</w:t>
      </w:r>
      <w:r w:rsidR="00D2150D" w:rsidRPr="00B83952">
        <w:t xml:space="preserve"> to </w:t>
      </w:r>
      <w:r w:rsidR="00A67D68" w:rsidRPr="00B83952">
        <w:t>not-for-profit</w:t>
      </w:r>
      <w:r w:rsidR="00D2150D" w:rsidRPr="00B83952">
        <w:t xml:space="preserve"> public sector entities </w:t>
      </w:r>
      <w:r w:rsidR="007B305B" w:rsidRPr="00B83952">
        <w:t xml:space="preserve">because the Board did not receive any </w:t>
      </w:r>
      <w:r w:rsidR="00EF2CEC" w:rsidRPr="00B83952">
        <w:t xml:space="preserve">requests for guidance </w:t>
      </w:r>
      <w:r w:rsidR="00A62FDA" w:rsidRPr="00B83952">
        <w:t xml:space="preserve">from stakeholders in </w:t>
      </w:r>
      <w:r w:rsidR="0073042A" w:rsidRPr="00B83952">
        <w:t xml:space="preserve">the </w:t>
      </w:r>
      <w:r w:rsidR="00EF2CEC" w:rsidRPr="00B83952">
        <w:t xml:space="preserve">not-for-profit </w:t>
      </w:r>
      <w:r w:rsidR="0073042A" w:rsidRPr="00B83952">
        <w:t xml:space="preserve">private </w:t>
      </w:r>
      <w:r w:rsidR="00A62FDA" w:rsidRPr="00B83952">
        <w:t xml:space="preserve">sector </w:t>
      </w:r>
      <w:r w:rsidR="002C37CE" w:rsidRPr="00B83952">
        <w:t xml:space="preserve">during </w:t>
      </w:r>
      <w:r w:rsidR="00A62FDA" w:rsidRPr="00B83952">
        <w:t>the project. T</w:t>
      </w:r>
      <w:r w:rsidR="00D2150D" w:rsidRPr="00B83952">
        <w:t xml:space="preserve">o </w:t>
      </w:r>
      <w:r w:rsidR="0098008F" w:rsidRPr="00B83952">
        <w:t xml:space="preserve">the </w:t>
      </w:r>
      <w:r w:rsidR="00D2150D" w:rsidRPr="00B83952">
        <w:t xml:space="preserve">date </w:t>
      </w:r>
      <w:r w:rsidR="0098008F" w:rsidRPr="00B83952">
        <w:t xml:space="preserve">of issuing this Standard, </w:t>
      </w:r>
      <w:r w:rsidR="00D2150D" w:rsidRPr="00B83952">
        <w:t xml:space="preserve">the Board </w:t>
      </w:r>
      <w:r w:rsidR="0098008F" w:rsidRPr="00B83952">
        <w:t>has not been</w:t>
      </w:r>
      <w:r w:rsidR="00D2150D" w:rsidRPr="00B83952">
        <w:t xml:space="preserve"> informed that:</w:t>
      </w:r>
      <w:bookmarkEnd w:id="221"/>
    </w:p>
    <w:p w14:paraId="200D3A6B" w14:textId="555F4396" w:rsidR="00D2150D" w:rsidRPr="00B83952" w:rsidRDefault="00D2150D" w:rsidP="003276D3">
      <w:pPr>
        <w:pStyle w:val="NumBC2"/>
      </w:pPr>
      <w:r w:rsidRPr="00B83952">
        <w:t xml:space="preserve">a significant number of </w:t>
      </w:r>
      <w:r w:rsidR="0098008F" w:rsidRPr="00B83952">
        <w:t>not-for-profit</w:t>
      </w:r>
      <w:r w:rsidRPr="00B83952">
        <w:t xml:space="preserve"> private sector entities measure their non-financial assets at fair value; </w:t>
      </w:r>
    </w:p>
    <w:p w14:paraId="3686D4DE" w14:textId="400518D9" w:rsidR="00D2150D" w:rsidRPr="00B83952" w:rsidRDefault="008768C0" w:rsidP="003276D3">
      <w:pPr>
        <w:pStyle w:val="NumBC2"/>
      </w:pPr>
      <w:r w:rsidRPr="00B83952">
        <w:t>not-for-profit</w:t>
      </w:r>
      <w:r w:rsidR="00D2150D" w:rsidRPr="00B83952">
        <w:t xml:space="preserve"> private sector entities are encountering significant issues with applying AASB 13</w:t>
      </w:r>
      <w:r w:rsidR="00E970E4" w:rsidRPr="00B83952">
        <w:t xml:space="preserve"> in measuring non-financial assets</w:t>
      </w:r>
      <w:r w:rsidR="00D2150D" w:rsidRPr="00B83952">
        <w:t xml:space="preserve">; or </w:t>
      </w:r>
    </w:p>
    <w:p w14:paraId="6DA112C0" w14:textId="413FD1A8" w:rsidR="00D2150D" w:rsidRPr="00B83952" w:rsidRDefault="00D2150D" w:rsidP="003276D3">
      <w:pPr>
        <w:pStyle w:val="NumBC2"/>
      </w:pPr>
      <w:r w:rsidRPr="00B83952">
        <w:t>some principles of AASB 13 have been applied inconsistently in this sector</w:t>
      </w:r>
      <w:r w:rsidR="008768C0" w:rsidRPr="00B83952">
        <w:t xml:space="preserve"> in measuring non-financial assets</w:t>
      </w:r>
      <w:r w:rsidRPr="00B83952">
        <w:t xml:space="preserve"> (unlike in the public sector). </w:t>
      </w:r>
    </w:p>
    <w:p w14:paraId="7E6A7A8A" w14:textId="14DEAD39" w:rsidR="0022763D" w:rsidRPr="00B83952" w:rsidRDefault="002C17E7" w:rsidP="003276D3">
      <w:pPr>
        <w:pStyle w:val="NumBC1"/>
      </w:pPr>
      <w:r w:rsidRPr="00B83952">
        <w:t xml:space="preserve">The Board </w:t>
      </w:r>
      <w:r w:rsidR="00C21DF2" w:rsidRPr="00B83952">
        <w:t>note</w:t>
      </w:r>
      <w:r w:rsidRPr="00B83952">
        <w:t xml:space="preserve">d that </w:t>
      </w:r>
      <w:r w:rsidR="0022763D" w:rsidRPr="00B83952">
        <w:t xml:space="preserve">limiting the scope of </w:t>
      </w:r>
      <w:r w:rsidRPr="00B83952">
        <w:t>modifications</w:t>
      </w:r>
      <w:r w:rsidR="0022763D" w:rsidRPr="00B83952">
        <w:t xml:space="preserve"> to</w:t>
      </w:r>
      <w:r w:rsidRPr="00B83952">
        <w:rPr>
          <w:szCs w:val="19"/>
        </w:rPr>
        <w:t xml:space="preserve"> not-for-profit</w:t>
      </w:r>
      <w:r w:rsidR="0022763D" w:rsidRPr="00B83952">
        <w:t xml:space="preserve"> public sector entities </w:t>
      </w:r>
      <w:r w:rsidR="0076425F" w:rsidRPr="00B83952">
        <w:t>may</w:t>
      </w:r>
      <w:r w:rsidR="0022763D" w:rsidRPr="00B83952">
        <w:t xml:space="preserve"> not necessarily breach </w:t>
      </w:r>
      <w:r w:rsidR="0076425F" w:rsidRPr="00B83952">
        <w:t xml:space="preserve">its </w:t>
      </w:r>
      <w:r w:rsidR="0022763D" w:rsidRPr="00B83952">
        <w:t xml:space="preserve">transaction neutrality policy because many assets held by </w:t>
      </w:r>
      <w:r w:rsidR="0076425F" w:rsidRPr="00B83952">
        <w:rPr>
          <w:szCs w:val="19"/>
        </w:rPr>
        <w:t>not-for-profit</w:t>
      </w:r>
      <w:r w:rsidR="0022763D" w:rsidRPr="00B83952">
        <w:t xml:space="preserve"> public sector entities are largely unique to the public sector</w:t>
      </w:r>
      <w:r w:rsidR="000A2E06" w:rsidRPr="00B83952">
        <w:t>. T</w:t>
      </w:r>
      <w:r w:rsidR="0022763D" w:rsidRPr="00B83952">
        <w:t xml:space="preserve">hat is, </w:t>
      </w:r>
      <w:r w:rsidR="000A2E06" w:rsidRPr="00B83952">
        <w:t xml:space="preserve">for many assets, </w:t>
      </w:r>
      <w:r w:rsidR="0022763D" w:rsidRPr="00B83952">
        <w:t xml:space="preserve">it is unlikely that private sector entities would hold similar assets to those held in the public sector. </w:t>
      </w:r>
    </w:p>
    <w:p w14:paraId="3B0164A6" w14:textId="7125FBCB" w:rsidR="00CE0E26" w:rsidRPr="00B83952" w:rsidRDefault="00B232F7" w:rsidP="003276D3">
      <w:pPr>
        <w:pStyle w:val="NumBC1"/>
      </w:pPr>
      <w:bookmarkStart w:id="222" w:name="_Ref115337828"/>
      <w:r w:rsidRPr="00B83952">
        <w:lastRenderedPageBreak/>
        <w:t>E</w:t>
      </w:r>
      <w:r w:rsidR="004D7759" w:rsidRPr="00B83952">
        <w:t xml:space="preserve">ven if it were considered that limiting the modifications to </w:t>
      </w:r>
      <w:r w:rsidR="004D7759" w:rsidRPr="00B83952">
        <w:rPr>
          <w:szCs w:val="19"/>
        </w:rPr>
        <w:t>not-for-profit</w:t>
      </w:r>
      <w:r w:rsidR="004D7759" w:rsidRPr="00B83952">
        <w:t xml:space="preserve"> public sector entities would be inconsistent with the transaction neutrality policy</w:t>
      </w:r>
      <w:r w:rsidRPr="00B83952">
        <w:t>, the Board</w:t>
      </w:r>
      <w:r w:rsidR="000224B1" w:rsidRPr="00B83952">
        <w:t xml:space="preserve"> consider</w:t>
      </w:r>
      <w:r w:rsidRPr="00B83952">
        <w:t>ed</w:t>
      </w:r>
      <w:r w:rsidR="000224B1" w:rsidRPr="00B83952">
        <w:t xml:space="preserve"> that this would be justified. This is because, unlike public sector entities, private sector entities have a choice to subsequently measure their non-financial assets using the cost model </w:t>
      </w:r>
      <w:r w:rsidR="007A603A" w:rsidRPr="00B83952">
        <w:t>rather than</w:t>
      </w:r>
      <w:r w:rsidR="00311B7B" w:rsidRPr="00B83952">
        <w:t xml:space="preserve"> </w:t>
      </w:r>
      <w:r w:rsidR="000224B1" w:rsidRPr="00B83952">
        <w:t>the revaluation model</w:t>
      </w:r>
      <w:r w:rsidR="00154A2F" w:rsidRPr="00B83952">
        <w:t xml:space="preserve"> </w:t>
      </w:r>
      <w:r w:rsidR="0041291C" w:rsidRPr="00B83952">
        <w:t>(</w:t>
      </w:r>
      <w:r w:rsidR="00154A2F" w:rsidRPr="00B83952">
        <w:t>in AASB 116 or AASB 138</w:t>
      </w:r>
      <w:r w:rsidR="003613FC" w:rsidRPr="00B83952">
        <w:t xml:space="preserve"> </w:t>
      </w:r>
      <w:r w:rsidR="003613FC" w:rsidRPr="00B83952">
        <w:rPr>
          <w:i/>
          <w:iCs/>
        </w:rPr>
        <w:t>Intangible Assets</w:t>
      </w:r>
      <w:r w:rsidR="0041291C" w:rsidRPr="00B83952">
        <w:t>)</w:t>
      </w:r>
      <w:r w:rsidR="000224B1" w:rsidRPr="00B83952">
        <w:t xml:space="preserve">. This results in </w:t>
      </w:r>
      <w:r w:rsidR="00385BB7" w:rsidRPr="00B83952">
        <w:t xml:space="preserve">non-financial </w:t>
      </w:r>
      <w:r w:rsidR="000224B1" w:rsidRPr="00B83952">
        <w:t>asset values measured using different models among private sector entities’ financial statements</w:t>
      </w:r>
      <w:r w:rsidR="00F549A9" w:rsidRPr="00B83952">
        <w:t>,</w:t>
      </w:r>
      <w:r w:rsidR="000224B1" w:rsidRPr="00B83952">
        <w:t xml:space="preserve"> </w:t>
      </w:r>
      <w:r w:rsidR="00F549A9" w:rsidRPr="00B83952">
        <w:t xml:space="preserve">thus </w:t>
      </w:r>
      <w:r w:rsidR="000224B1" w:rsidRPr="00B83952">
        <w:t xml:space="preserve">being </w:t>
      </w:r>
      <w:r w:rsidR="00F549A9" w:rsidRPr="00B83952">
        <w:t xml:space="preserve">less </w:t>
      </w:r>
      <w:r w:rsidR="000224B1" w:rsidRPr="00B83952">
        <w:t xml:space="preserve">comparable </w:t>
      </w:r>
      <w:r w:rsidR="00F549A9" w:rsidRPr="00B83952">
        <w:t xml:space="preserve">than </w:t>
      </w:r>
      <w:r w:rsidR="000224B1" w:rsidRPr="00B83952">
        <w:t xml:space="preserve">the asset values reported by public sector entities. Accordingly, </w:t>
      </w:r>
      <w:r w:rsidR="0077001F" w:rsidRPr="00B83952">
        <w:t>apply</w:t>
      </w:r>
      <w:r w:rsidR="00496725" w:rsidRPr="00B83952">
        <w:t>ing</w:t>
      </w:r>
      <w:r w:rsidR="0077001F" w:rsidRPr="00B83952">
        <w:t xml:space="preserve"> </w:t>
      </w:r>
      <w:r w:rsidR="00B37A32" w:rsidRPr="00B83952">
        <w:t>this Amending Standard</w:t>
      </w:r>
      <w:r w:rsidR="00496725" w:rsidRPr="00B83952">
        <w:t>, which</w:t>
      </w:r>
      <w:r w:rsidR="005E371A" w:rsidRPr="00B83952">
        <w:t xml:space="preserve"> is limited to measuring non-financial assets using the revaluation model,</w:t>
      </w:r>
      <w:r w:rsidR="00B37A32" w:rsidRPr="00B83952">
        <w:t xml:space="preserve"> </w:t>
      </w:r>
      <w:r w:rsidR="00F56647" w:rsidRPr="00B83952">
        <w:t xml:space="preserve">would not fully achieve </w:t>
      </w:r>
      <w:r w:rsidR="000224B1" w:rsidRPr="00B83952">
        <w:t xml:space="preserve">comparability </w:t>
      </w:r>
      <w:r w:rsidR="009603A4" w:rsidRPr="00B83952">
        <w:t xml:space="preserve">among not-for-profit </w:t>
      </w:r>
      <w:r w:rsidR="00200711" w:rsidRPr="00B83952">
        <w:t xml:space="preserve">private sector </w:t>
      </w:r>
      <w:r w:rsidR="009603A4" w:rsidRPr="00B83952">
        <w:t xml:space="preserve">entities </w:t>
      </w:r>
      <w:r w:rsidR="000224B1" w:rsidRPr="00B83952">
        <w:t xml:space="preserve">in </w:t>
      </w:r>
      <w:r w:rsidR="0077001F" w:rsidRPr="00B83952">
        <w:t xml:space="preserve">measuring </w:t>
      </w:r>
      <w:r w:rsidR="009603A4" w:rsidRPr="00B83952">
        <w:t xml:space="preserve">their </w:t>
      </w:r>
      <w:r w:rsidR="000224B1" w:rsidRPr="00B83952">
        <w:t>non-financial asset</w:t>
      </w:r>
      <w:r w:rsidR="0077001F" w:rsidRPr="00B83952">
        <w:t>s</w:t>
      </w:r>
      <w:r w:rsidR="000224B1" w:rsidRPr="00B83952">
        <w:t>.</w:t>
      </w:r>
      <w:bookmarkEnd w:id="222"/>
      <w:r w:rsidR="008612BA" w:rsidRPr="00B83952">
        <w:t xml:space="preserve"> </w:t>
      </w:r>
    </w:p>
    <w:p w14:paraId="5759423D" w14:textId="0EAA7750" w:rsidR="00D2150D" w:rsidRPr="00B83952" w:rsidRDefault="006F5B90" w:rsidP="003276D3">
      <w:pPr>
        <w:pStyle w:val="NumBC1"/>
      </w:pPr>
      <w:r w:rsidRPr="00B83952">
        <w:t>I</w:t>
      </w:r>
      <w:r w:rsidR="00F62B65" w:rsidRPr="00B83952">
        <w:t xml:space="preserve">n accordance with the </w:t>
      </w:r>
      <w:r w:rsidR="00F62B65" w:rsidRPr="00B83952">
        <w:rPr>
          <w:i/>
          <w:iCs/>
        </w:rPr>
        <w:t>AASB Not-for-Profit Entity Standard-Setting Framework</w:t>
      </w:r>
      <w:r w:rsidR="00F62B65" w:rsidRPr="00B83952">
        <w:t xml:space="preserve">, </w:t>
      </w:r>
      <w:r w:rsidR="00C85BFC" w:rsidRPr="00B83952">
        <w:t xml:space="preserve">for the reasons noted in paragraphs </w:t>
      </w:r>
      <w:r w:rsidR="00C85BFC" w:rsidRPr="00B83952">
        <w:fldChar w:fldCharType="begin"/>
      </w:r>
      <w:r w:rsidR="00C85BFC" w:rsidRPr="00B83952">
        <w:instrText xml:space="preserve"> REF _Ref115337299 \r \h </w:instrText>
      </w:r>
      <w:r w:rsidR="00C85BFC" w:rsidRPr="00B83952">
        <w:fldChar w:fldCharType="separate"/>
      </w:r>
      <w:r w:rsidR="005A1B65">
        <w:t>BC270</w:t>
      </w:r>
      <w:r w:rsidR="00C85BFC" w:rsidRPr="00B83952">
        <w:fldChar w:fldCharType="end"/>
      </w:r>
      <w:r w:rsidR="00C85BFC" w:rsidRPr="00B83952">
        <w:t>–</w:t>
      </w:r>
      <w:r w:rsidR="00C85BFC" w:rsidRPr="00B83952">
        <w:fldChar w:fldCharType="begin"/>
      </w:r>
      <w:r w:rsidR="00C85BFC" w:rsidRPr="00B83952">
        <w:instrText xml:space="preserve"> REF _Ref115337828 \r \h </w:instrText>
      </w:r>
      <w:r w:rsidR="00C85BFC" w:rsidRPr="00B83952">
        <w:fldChar w:fldCharType="separate"/>
      </w:r>
      <w:r w:rsidR="005A1B65">
        <w:t>BC272</w:t>
      </w:r>
      <w:r w:rsidR="00C85BFC" w:rsidRPr="00B83952">
        <w:fldChar w:fldCharType="end"/>
      </w:r>
      <w:r w:rsidR="00C85BFC" w:rsidRPr="00B83952">
        <w:t xml:space="preserve">, </w:t>
      </w:r>
      <w:r w:rsidR="00722183" w:rsidRPr="00B83952">
        <w:t xml:space="preserve">the Board </w:t>
      </w:r>
      <w:r w:rsidR="00597178" w:rsidRPr="00B83952">
        <w:t>de</w:t>
      </w:r>
      <w:r w:rsidR="00545FF3" w:rsidRPr="00B83952">
        <w:t>termined</w:t>
      </w:r>
      <w:r w:rsidR="00597178" w:rsidRPr="00B83952">
        <w:t xml:space="preserve"> </w:t>
      </w:r>
      <w:r w:rsidR="00DA5FFE" w:rsidRPr="00B83952">
        <w:t xml:space="preserve">that a case has not been made </w:t>
      </w:r>
      <w:r w:rsidR="0070367A" w:rsidRPr="00B83952">
        <w:t xml:space="preserve">for it </w:t>
      </w:r>
      <w:r w:rsidR="00DA5FFE" w:rsidRPr="00B83952">
        <w:t xml:space="preserve">to </w:t>
      </w:r>
      <w:r w:rsidR="00F23E64" w:rsidRPr="00B83952">
        <w:t xml:space="preserve">undertake </w:t>
      </w:r>
      <w:r w:rsidR="0070367A" w:rsidRPr="00B83952">
        <w:t xml:space="preserve">standard-setting </w:t>
      </w:r>
      <w:r w:rsidR="00F23E64" w:rsidRPr="00B83952">
        <w:t xml:space="preserve">work to investigate whether </w:t>
      </w:r>
      <w:r w:rsidR="00F36BA7" w:rsidRPr="00B83952">
        <w:t xml:space="preserve">there is a need to modify AASB 13 for </w:t>
      </w:r>
      <w:r w:rsidR="00456866" w:rsidRPr="00B83952">
        <w:t xml:space="preserve">application by </w:t>
      </w:r>
      <w:r w:rsidR="00F36BA7" w:rsidRPr="00B83952">
        <w:t>not-for-profit</w:t>
      </w:r>
      <w:r w:rsidR="00D2150D" w:rsidRPr="00B83952">
        <w:t xml:space="preserve"> private sector entities.</w:t>
      </w:r>
    </w:p>
    <w:p w14:paraId="76D8C106" w14:textId="68C608DC" w:rsidR="00C507F0" w:rsidRPr="00B83952" w:rsidRDefault="00C507F0" w:rsidP="00F232E5">
      <w:pPr>
        <w:pStyle w:val="NumBC1"/>
        <w:numPr>
          <w:ilvl w:val="0"/>
          <w:numId w:val="0"/>
        </w:numPr>
        <w:ind w:left="782"/>
      </w:pPr>
    </w:p>
    <w:sectPr w:rsidR="00C507F0" w:rsidRPr="00B83952" w:rsidSect="005420ED">
      <w:headerReference w:type="even" r:id="rId27"/>
      <w:headerReference w:type="default" r:id="rId28"/>
      <w:footerReference w:type="default" r:id="rId29"/>
      <w:headerReference w:type="first" r:id="rId30"/>
      <w:footerReference w:type="first" r:id="rId31"/>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B637" w14:textId="77777777" w:rsidR="009E32E1" w:rsidRDefault="009E32E1">
      <w:r>
        <w:separator/>
      </w:r>
    </w:p>
  </w:endnote>
  <w:endnote w:type="continuationSeparator" w:id="0">
    <w:p w14:paraId="143C81A7" w14:textId="77777777" w:rsidR="009E32E1" w:rsidRDefault="009E32E1">
      <w:r>
        <w:continuationSeparator/>
      </w:r>
    </w:p>
  </w:endnote>
  <w:endnote w:type="continuationNotice" w:id="1">
    <w:p w14:paraId="6096E74D" w14:textId="77777777" w:rsidR="009E32E1" w:rsidRDefault="009E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95F2" w14:textId="77777777" w:rsidR="000E4F36" w:rsidRDefault="000E4F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9BD8" w14:textId="1F4AD16A" w:rsidR="00EF2A65" w:rsidRDefault="007035F8" w:rsidP="00801CE1">
    <w:pPr>
      <w:pStyle w:val="Footer"/>
      <w:rPr>
        <w:b/>
      </w:rPr>
    </w:pPr>
    <w:r>
      <w:rPr>
        <w:b/>
      </w:rPr>
      <w:t>AASB 2022-</w:t>
    </w:r>
    <w:r w:rsidR="006908F7">
      <w:rPr>
        <w:b/>
      </w:rPr>
      <w:t>10</w:t>
    </w:r>
    <w:r w:rsidR="00EF2A65">
      <w:rPr>
        <w:b/>
      </w:rPr>
      <w:tab/>
    </w:r>
    <w:r w:rsidR="00EF2A65" w:rsidRPr="008831EB">
      <w:rPr>
        <w:bCs/>
      </w:rPr>
      <w:fldChar w:fldCharType="begin"/>
    </w:r>
    <w:r w:rsidR="00EF2A65" w:rsidRPr="008831EB">
      <w:rPr>
        <w:bCs/>
      </w:rPr>
      <w:instrText xml:space="preserve"> PAGE   \* MERGEFORMAT </w:instrText>
    </w:r>
    <w:r w:rsidR="00EF2A65" w:rsidRPr="008831EB">
      <w:rPr>
        <w:bCs/>
      </w:rPr>
      <w:fldChar w:fldCharType="separate"/>
    </w:r>
    <w:r w:rsidR="00EF2A65" w:rsidRPr="008831EB">
      <w:rPr>
        <w:bCs/>
        <w:noProof/>
      </w:rPr>
      <w:t>1</w:t>
    </w:r>
    <w:r w:rsidR="00EF2A65" w:rsidRPr="008831EB">
      <w:rPr>
        <w:bCs/>
        <w:noProof/>
      </w:rPr>
      <w:fldChar w:fldCharType="end"/>
    </w:r>
    <w:r w:rsidR="00EF2A65">
      <w:tab/>
    </w:r>
    <w:r w:rsidR="00EF2A65">
      <w:rPr>
        <w:b/>
      </w:rPr>
      <w:t>BASIS FOR CONCLUSIONS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3FF1" w14:textId="77777777" w:rsidR="00EF2A65" w:rsidRDefault="00EF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A768" w14:textId="77777777" w:rsidR="000E4F36" w:rsidRDefault="000E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2077" w14:textId="77777777" w:rsidR="000E4F36" w:rsidRDefault="000E4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C00" w14:textId="050ECAF3" w:rsidR="00B83982" w:rsidRDefault="007035F8">
    <w:pPr>
      <w:pStyle w:val="Footer"/>
      <w:rPr>
        <w:b/>
      </w:rPr>
    </w:pPr>
    <w:r>
      <w:rPr>
        <w:b/>
      </w:rPr>
      <w:t>AASB 2022-</w:t>
    </w:r>
    <w:r w:rsidR="003D22A1">
      <w:rPr>
        <w:b/>
      </w:rPr>
      <w:t>10</w:t>
    </w:r>
    <w:r w:rsidR="00B83982">
      <w:rPr>
        <w:b/>
      </w:rPr>
      <w:tab/>
    </w:r>
    <w:r w:rsidR="00B83982" w:rsidRPr="00D50B5E">
      <w:rPr>
        <w:bCs/>
      </w:rPr>
      <w:fldChar w:fldCharType="begin"/>
    </w:r>
    <w:r w:rsidR="00B83982" w:rsidRPr="00D50B5E">
      <w:rPr>
        <w:bCs/>
      </w:rPr>
      <w:instrText xml:space="preserve"> PAGE   \* MERGEFORMAT </w:instrText>
    </w:r>
    <w:r w:rsidR="00B83982" w:rsidRPr="00D50B5E">
      <w:rPr>
        <w:bCs/>
      </w:rPr>
      <w:fldChar w:fldCharType="separate"/>
    </w:r>
    <w:r w:rsidR="00B83982" w:rsidRPr="00D50B5E">
      <w:rPr>
        <w:bCs/>
        <w:noProof/>
      </w:rPr>
      <w:t>1</w:t>
    </w:r>
    <w:r w:rsidR="00B83982" w:rsidRPr="00D50B5E">
      <w:rPr>
        <w:bCs/>
        <w:noProof/>
      </w:rPr>
      <w:fldChar w:fldCharType="end"/>
    </w:r>
    <w:r w:rsidR="00B83982">
      <w:tab/>
    </w:r>
    <w:r w:rsidR="0095373C">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26CE" w14:textId="2EFB9F65" w:rsidR="0095373C" w:rsidRDefault="007035F8">
    <w:pPr>
      <w:pStyle w:val="Footer"/>
      <w:rPr>
        <w:b/>
      </w:rPr>
    </w:pPr>
    <w:r>
      <w:rPr>
        <w:b/>
      </w:rPr>
      <w:t>AASB 2022-</w:t>
    </w:r>
    <w:r w:rsidR="003D22A1">
      <w:rPr>
        <w:b/>
      </w:rPr>
      <w:t>10</w:t>
    </w:r>
    <w:r w:rsidR="0095373C">
      <w:rPr>
        <w:b/>
      </w:rPr>
      <w:tab/>
    </w:r>
    <w:r w:rsidR="0095373C" w:rsidRPr="00D50B5E">
      <w:rPr>
        <w:bCs/>
      </w:rPr>
      <w:fldChar w:fldCharType="begin"/>
    </w:r>
    <w:r w:rsidR="0095373C" w:rsidRPr="00D50B5E">
      <w:rPr>
        <w:bCs/>
      </w:rPr>
      <w:instrText xml:space="preserve"> PAGE   \* MERGEFORMAT </w:instrText>
    </w:r>
    <w:r w:rsidR="0095373C" w:rsidRPr="00D50B5E">
      <w:rPr>
        <w:bCs/>
      </w:rPr>
      <w:fldChar w:fldCharType="separate"/>
    </w:r>
    <w:r w:rsidR="0095373C" w:rsidRPr="00D50B5E">
      <w:rPr>
        <w:bCs/>
        <w:noProof/>
      </w:rPr>
      <w:t>1</w:t>
    </w:r>
    <w:r w:rsidR="0095373C" w:rsidRPr="00D50B5E">
      <w:rPr>
        <w:bCs/>
        <w:noProof/>
      </w:rPr>
      <w:fldChar w:fldCharType="end"/>
    </w:r>
    <w:r w:rsidR="0095373C">
      <w:tab/>
    </w:r>
    <w:r w:rsidR="0095373C">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CCCF" w14:textId="4BFEE476" w:rsidR="0095373C" w:rsidRDefault="007035F8">
    <w:pPr>
      <w:pStyle w:val="Footer"/>
      <w:rPr>
        <w:b/>
      </w:rPr>
    </w:pPr>
    <w:r>
      <w:rPr>
        <w:b/>
      </w:rPr>
      <w:t>AASB 2022-</w:t>
    </w:r>
    <w:r w:rsidR="003D22A1">
      <w:rPr>
        <w:b/>
      </w:rPr>
      <w:t>10</w:t>
    </w:r>
    <w:r w:rsidR="0095373C">
      <w:rPr>
        <w:b/>
      </w:rPr>
      <w:tab/>
    </w:r>
    <w:r w:rsidR="0095373C" w:rsidRPr="00D50B5E">
      <w:rPr>
        <w:bCs/>
      </w:rPr>
      <w:fldChar w:fldCharType="begin"/>
    </w:r>
    <w:r w:rsidR="0095373C" w:rsidRPr="00D50B5E">
      <w:rPr>
        <w:bCs/>
      </w:rPr>
      <w:instrText xml:space="preserve"> PAGE   \* MERGEFORMAT </w:instrText>
    </w:r>
    <w:r w:rsidR="0095373C" w:rsidRPr="00D50B5E">
      <w:rPr>
        <w:bCs/>
      </w:rPr>
      <w:fldChar w:fldCharType="separate"/>
    </w:r>
    <w:r w:rsidR="0095373C" w:rsidRPr="00D50B5E">
      <w:rPr>
        <w:bCs/>
        <w:noProof/>
      </w:rPr>
      <w:t>1</w:t>
    </w:r>
    <w:r w:rsidR="0095373C" w:rsidRPr="00D50B5E">
      <w:rPr>
        <w:bCs/>
        <w:noProof/>
      </w:rPr>
      <w:fldChar w:fldCharType="end"/>
    </w:r>
    <w:r w:rsidR="0095373C">
      <w:tab/>
    </w:r>
    <w:r w:rsidR="0095373C" w:rsidRPr="0095373C">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E7A8" w14:textId="2FF52A02" w:rsidR="0095373C" w:rsidRDefault="00AD5D31">
    <w:pPr>
      <w:pStyle w:val="Footer"/>
      <w:rPr>
        <w:b/>
      </w:rPr>
    </w:pPr>
    <w:r>
      <w:rPr>
        <w:b/>
      </w:rPr>
      <w:t>AA</w:t>
    </w:r>
    <w:r w:rsidR="005D1DB0">
      <w:rPr>
        <w:b/>
      </w:rPr>
      <w:t>SB 2022-</w:t>
    </w:r>
    <w:r w:rsidR="003D22A1">
      <w:rPr>
        <w:b/>
      </w:rPr>
      <w:t>10</w:t>
    </w:r>
    <w:r w:rsidR="0095373C">
      <w:rPr>
        <w:b/>
      </w:rPr>
      <w:tab/>
    </w:r>
    <w:r w:rsidR="0095373C" w:rsidRPr="00D50B5E">
      <w:rPr>
        <w:bCs/>
      </w:rPr>
      <w:fldChar w:fldCharType="begin"/>
    </w:r>
    <w:r w:rsidR="0095373C" w:rsidRPr="00D50B5E">
      <w:rPr>
        <w:bCs/>
      </w:rPr>
      <w:instrText xml:space="preserve"> PAGE   \* MERGEFORMAT </w:instrText>
    </w:r>
    <w:r w:rsidR="0095373C" w:rsidRPr="00D50B5E">
      <w:rPr>
        <w:bCs/>
      </w:rPr>
      <w:fldChar w:fldCharType="separate"/>
    </w:r>
    <w:r w:rsidR="0095373C" w:rsidRPr="00D50B5E">
      <w:rPr>
        <w:bCs/>
        <w:noProof/>
      </w:rPr>
      <w:t>1</w:t>
    </w:r>
    <w:r w:rsidR="0095373C" w:rsidRPr="00D50B5E">
      <w:rPr>
        <w:bCs/>
        <w:noProof/>
      </w:rPr>
      <w:fldChar w:fldCharType="end"/>
    </w:r>
    <w:r w:rsidR="0095373C">
      <w:tab/>
    </w:r>
    <w:r w:rsidR="00DF22B3">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2FDE" w14:textId="3FE59CAC" w:rsidR="0095373C" w:rsidRDefault="007035F8">
    <w:pPr>
      <w:pStyle w:val="Footer"/>
      <w:rPr>
        <w:b/>
      </w:rPr>
    </w:pPr>
    <w:r>
      <w:rPr>
        <w:b/>
      </w:rPr>
      <w:t>AASB 2022-</w:t>
    </w:r>
    <w:r w:rsidR="003D22A1">
      <w:rPr>
        <w:b/>
      </w:rPr>
      <w:t>10</w:t>
    </w:r>
    <w:r w:rsidR="0095373C">
      <w:rPr>
        <w:b/>
      </w:rPr>
      <w:tab/>
    </w:r>
    <w:r w:rsidR="0095373C" w:rsidRPr="00D50B5E">
      <w:rPr>
        <w:bCs/>
      </w:rPr>
      <w:fldChar w:fldCharType="begin"/>
    </w:r>
    <w:r w:rsidR="0095373C" w:rsidRPr="00D50B5E">
      <w:rPr>
        <w:bCs/>
      </w:rPr>
      <w:instrText xml:space="preserve"> PAGE   \* MERGEFORMAT </w:instrText>
    </w:r>
    <w:r w:rsidR="0095373C" w:rsidRPr="00D50B5E">
      <w:rPr>
        <w:bCs/>
      </w:rPr>
      <w:fldChar w:fldCharType="separate"/>
    </w:r>
    <w:r w:rsidR="0095373C" w:rsidRPr="00D50B5E">
      <w:rPr>
        <w:bCs/>
        <w:noProof/>
      </w:rPr>
      <w:t>1</w:t>
    </w:r>
    <w:r w:rsidR="0095373C" w:rsidRPr="00D50B5E">
      <w:rPr>
        <w:bCs/>
        <w:noProof/>
      </w:rPr>
      <w:fldChar w:fldCharType="end"/>
    </w:r>
    <w:r w:rsidR="0095373C">
      <w:tab/>
    </w:r>
    <w:r w:rsidR="00A5355A">
      <w:rPr>
        <w:b/>
        <w:bCs/>
      </w:rPr>
      <w:t xml:space="preserve">IMPLEMENTATION </w:t>
    </w:r>
    <w:r w:rsidR="00DF22B3">
      <w:rPr>
        <w:b/>
        <w:bCs/>
      </w:rPr>
      <w:t>GUIDANCE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34E4" w14:textId="7A3C77B7" w:rsidR="0095373C" w:rsidRDefault="00B4442C">
    <w:pPr>
      <w:pStyle w:val="Footer"/>
      <w:rPr>
        <w:b/>
      </w:rPr>
    </w:pPr>
    <w:r>
      <w:rPr>
        <w:b/>
      </w:rPr>
      <w:t>AASB 2022-</w:t>
    </w:r>
    <w:r w:rsidR="003D22A1">
      <w:rPr>
        <w:b/>
      </w:rPr>
      <w:t>10</w:t>
    </w:r>
    <w:r w:rsidR="0095373C">
      <w:rPr>
        <w:b/>
      </w:rPr>
      <w:tab/>
    </w:r>
    <w:r w:rsidR="0095373C" w:rsidRPr="00D50B5E">
      <w:rPr>
        <w:bCs/>
      </w:rPr>
      <w:fldChar w:fldCharType="begin"/>
    </w:r>
    <w:r w:rsidR="0095373C" w:rsidRPr="00D50B5E">
      <w:rPr>
        <w:bCs/>
      </w:rPr>
      <w:instrText xml:space="preserve"> PAGE   \* MERGEFORMAT </w:instrText>
    </w:r>
    <w:r w:rsidR="0095373C" w:rsidRPr="00D50B5E">
      <w:rPr>
        <w:bCs/>
      </w:rPr>
      <w:fldChar w:fldCharType="separate"/>
    </w:r>
    <w:r w:rsidR="0095373C" w:rsidRPr="00D50B5E">
      <w:rPr>
        <w:bCs/>
        <w:noProof/>
      </w:rPr>
      <w:t>1</w:t>
    </w:r>
    <w:r w:rsidR="0095373C" w:rsidRPr="00D50B5E">
      <w:rPr>
        <w:bCs/>
        <w:noProof/>
      </w:rPr>
      <w:fldChar w:fldCharType="end"/>
    </w:r>
    <w:r w:rsidR="0095373C">
      <w:tab/>
    </w:r>
    <w:r w:rsidR="00A5355A">
      <w:rPr>
        <w:b/>
        <w:bCs/>
      </w:rPr>
      <w:t xml:space="preserve">ILLUSTRATIVE </w:t>
    </w:r>
    <w:r w:rsidR="00DF22B3">
      <w:rPr>
        <w:b/>
        <w:bCs/>
      </w:rPr>
      <w:t>EXAMPLES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11DE" w14:textId="77777777" w:rsidR="009E32E1" w:rsidRDefault="009E32E1">
      <w:r>
        <w:separator/>
      </w:r>
    </w:p>
  </w:footnote>
  <w:footnote w:type="continuationSeparator" w:id="0">
    <w:p w14:paraId="21B7BE85" w14:textId="77777777" w:rsidR="009E32E1" w:rsidRDefault="009E32E1">
      <w:r>
        <w:continuationSeparator/>
      </w:r>
    </w:p>
  </w:footnote>
  <w:footnote w:type="continuationNotice" w:id="1">
    <w:p w14:paraId="35892DF7" w14:textId="77777777" w:rsidR="009E32E1" w:rsidRDefault="009E32E1"/>
  </w:footnote>
  <w:footnote w:id="2">
    <w:p w14:paraId="594F1513" w14:textId="77777777" w:rsidR="00E95208" w:rsidRPr="00B93AC3" w:rsidRDefault="00E95208" w:rsidP="00651459">
      <w:pPr>
        <w:pStyle w:val="FootnoteText"/>
        <w:ind w:left="284" w:hanging="284"/>
        <w:rPr>
          <w:szCs w:val="16"/>
        </w:rPr>
      </w:pPr>
      <w:r w:rsidRPr="00651459">
        <w:rPr>
          <w:rStyle w:val="FootnoteReference"/>
          <w:szCs w:val="16"/>
          <w:vertAlign w:val="baseline"/>
        </w:rPr>
        <w:footnoteRef/>
      </w:r>
      <w:r w:rsidRPr="00B93AC3">
        <w:rPr>
          <w:szCs w:val="16"/>
        </w:rPr>
        <w:t xml:space="preserve"> </w:t>
      </w:r>
      <w:r w:rsidRPr="00B93AC3">
        <w:rPr>
          <w:szCs w:val="16"/>
        </w:rPr>
        <w:tab/>
        <w:t>This Guidance Note is not explicitly identified as applying to fair value measurements, or non-fair value measurements, using depreciated replacement cost. However, paragraphs 2.1 and 2.2 of the Guidance Note refer to depreciated replacement cost being used in relation to the ‘cost approach’ to valuation, and to the market and income approaches as the other principal approaches to valuation, implying the Guidance Note would be relevant to fair value measurements (even if not exclusively).</w:t>
      </w:r>
    </w:p>
  </w:footnote>
  <w:footnote w:id="3">
    <w:p w14:paraId="59980922" w14:textId="77777777" w:rsidR="00E04EFF" w:rsidRPr="00B93AC3" w:rsidRDefault="00E04EFF" w:rsidP="00651459">
      <w:pPr>
        <w:pStyle w:val="FootnoteText"/>
        <w:ind w:left="284" w:hanging="284"/>
      </w:pPr>
      <w:r w:rsidRPr="00651459">
        <w:rPr>
          <w:rStyle w:val="FootnoteReference"/>
          <w:szCs w:val="16"/>
          <w:vertAlign w:val="baseline"/>
        </w:rPr>
        <w:footnoteRef/>
      </w:r>
      <w:r w:rsidRPr="00651459">
        <w:t xml:space="preserve"> </w:t>
      </w:r>
      <w:r w:rsidRPr="00B93AC3">
        <w:tab/>
      </w:r>
      <w:r w:rsidRPr="00651459">
        <w:t>That Application Guidance was created by the New Zealand Accounting Standards Board and is additional to the text of IPSAS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FFC4" w14:textId="77777777" w:rsidR="000E4F36" w:rsidRDefault="000E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AA5F" w14:textId="77777777" w:rsidR="000E4F36" w:rsidRDefault="000E4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3DE" w14:textId="77777777" w:rsidR="000E4F36" w:rsidRDefault="000E4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7A15" w14:textId="7AA11A72" w:rsidR="00EF2A65" w:rsidRDefault="00EF2A65">
    <w:pPr>
      <w:pStyle w:val="Header"/>
    </w:pPr>
    <w:r>
      <w:rPr>
        <w:noProof/>
      </w:rPr>
      <mc:AlternateContent>
        <mc:Choice Requires="wps">
          <w:drawing>
            <wp:anchor distT="0" distB="0" distL="114300" distR="114300" simplePos="0" relativeHeight="251658241" behindDoc="1" locked="0" layoutInCell="0" allowOverlap="1" wp14:anchorId="1D481428" wp14:editId="075BD8CD">
              <wp:simplePos x="0" y="0"/>
              <wp:positionH relativeFrom="margin">
                <wp:align>center</wp:align>
              </wp:positionH>
              <wp:positionV relativeFrom="margin">
                <wp:align>center</wp:align>
              </wp:positionV>
              <wp:extent cx="7105650" cy="1014730"/>
              <wp:effectExtent l="0" t="0" r="0" b="0"/>
              <wp:wrapNone/>
              <wp:docPr id="3" name="PowerPlusWaterMarkObject11856156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10565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164ED6" w14:textId="77777777" w:rsidR="00EF2A65" w:rsidRDefault="00EF2A65" w:rsidP="00FC5899">
                          <w:pPr>
                            <w:jc w:val="center"/>
                            <w:rPr>
                              <w:sz w:val="24"/>
                              <w:szCs w:val="24"/>
                            </w:rPr>
                          </w:pPr>
                          <w:r>
                            <w:rPr>
                              <w:color w:val="C0C0C0"/>
                              <w:sz w:val="16"/>
                              <w:szCs w:val="16"/>
                              <w:lang w:val="en-GB"/>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481428" id="_x0000_t202" coordsize="21600,21600" o:spt="202" path="m,l,21600r21600,l21600,xe">
              <v:stroke joinstyle="miter"/>
              <v:path gradientshapeok="t" o:connecttype="rect"/>
            </v:shapetype>
            <v:shape id="PowerPlusWaterMarkObject118561568" o:spid="_x0000_s1026" type="#_x0000_t202" style="position:absolute;left:0;text-align:left;margin-left:0;margin-top:0;width:559.5pt;height:7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" o:allowincell="f" filled="f" stroked="f">
              <v:stroke joinstyle="round"/>
              <o:lock v:ext="edit" rotation="t" aspectratio="t" verticies="t" adjusthandles="t" grouping="t" shapetype="t"/>
              <v:textbox>
                <w:txbxContent>
                  <w:p w14:paraId="42164ED6" w14:textId="77777777" w:rsidR="00EF2A65" w:rsidRDefault="00EF2A65" w:rsidP="00FC5899">
                    <w:pPr>
                      <w:jc w:val="center"/>
                      <w:rPr>
                        <w:sz w:val="24"/>
                        <w:szCs w:val="24"/>
                      </w:rPr>
                    </w:pPr>
                    <w:r>
                      <w:rPr>
                        <w:color w:val="C0C0C0"/>
                        <w:sz w:val="16"/>
                        <w:szCs w:val="16"/>
                        <w:lang w:val="en-GB"/>
                        <w14:textFill>
                          <w14:solidFill>
                            <w14:srgbClr w14:val="C0C0C0">
                              <w14:alpha w14:val="50000"/>
                            </w14:srgbClr>
                          </w14:solidFill>
                        </w14:textFill>
                      </w:rPr>
                      <w:t>WORKING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ECA" w14:textId="23882D93" w:rsidR="00EF2A65" w:rsidRPr="003F32EC" w:rsidRDefault="00EF2A65" w:rsidP="003F32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5B5F" w14:textId="5E54E9FB" w:rsidR="00EF2A65" w:rsidRDefault="00EF2A65">
    <w:pPr>
      <w:pStyle w:val="Header"/>
    </w:pPr>
    <w:r>
      <w:rPr>
        <w:noProof/>
      </w:rPr>
      <mc:AlternateContent>
        <mc:Choice Requires="wps">
          <w:drawing>
            <wp:anchor distT="0" distB="0" distL="114300" distR="114300" simplePos="0" relativeHeight="251658240" behindDoc="1" locked="0" layoutInCell="0" allowOverlap="1" wp14:anchorId="579C9C87" wp14:editId="28C9F151">
              <wp:simplePos x="0" y="0"/>
              <wp:positionH relativeFrom="margin">
                <wp:align>center</wp:align>
              </wp:positionH>
              <wp:positionV relativeFrom="margin">
                <wp:align>center</wp:align>
              </wp:positionV>
              <wp:extent cx="7105650" cy="1014730"/>
              <wp:effectExtent l="0" t="0" r="0" b="0"/>
              <wp:wrapNone/>
              <wp:docPr id="1" name="PowerPlusWaterMarkObject11856156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10565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B72810" w14:textId="77777777" w:rsidR="00EF2A65" w:rsidRDefault="00EF2A65" w:rsidP="00FC5899">
                          <w:pPr>
                            <w:jc w:val="center"/>
                            <w:rPr>
                              <w:sz w:val="24"/>
                              <w:szCs w:val="24"/>
                            </w:rPr>
                          </w:pPr>
                          <w:r>
                            <w:rPr>
                              <w:color w:val="C0C0C0"/>
                              <w:sz w:val="16"/>
                              <w:szCs w:val="16"/>
                              <w:lang w:val="en-GB"/>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9C9C87" id="_x0000_t202" coordsize="21600,21600" o:spt="202" path="m,l,21600r21600,l21600,xe">
              <v:stroke joinstyle="miter"/>
              <v:path gradientshapeok="t" o:connecttype="rect"/>
            </v:shapetype>
            <v:shape id="PowerPlusWaterMarkObject118561567" o:spid="_x0000_s1027" type="#_x0000_t202" style="position:absolute;left:0;text-align:left;margin-left:0;margin-top:0;width:559.5pt;height:7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" o:allowincell="f" filled="f" stroked="f">
              <v:stroke joinstyle="round"/>
              <o:lock v:ext="edit" rotation="t" aspectratio="t" verticies="t" adjusthandles="t" grouping="t" shapetype="t"/>
              <v:textbox>
                <w:txbxContent>
                  <w:p w14:paraId="22B72810" w14:textId="77777777" w:rsidR="00EF2A65" w:rsidRDefault="00EF2A65" w:rsidP="00FC5899">
                    <w:pPr>
                      <w:jc w:val="center"/>
                      <w:rPr>
                        <w:sz w:val="24"/>
                        <w:szCs w:val="24"/>
                      </w:rPr>
                    </w:pPr>
                    <w:r>
                      <w:rPr>
                        <w:color w:val="C0C0C0"/>
                        <w:sz w:val="16"/>
                        <w:szCs w:val="16"/>
                        <w:lang w:val="en-GB"/>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1623A63"/>
    <w:multiLevelType w:val="multilevel"/>
    <w:tmpl w:val="56BA6F00"/>
    <w:lvl w:ilvl="0">
      <w:start w:val="1"/>
      <w:numFmt w:val="bullet"/>
      <w:lvlText w:val=""/>
      <w:lvlJc w:val="left"/>
      <w:pPr>
        <w:ind w:left="782" w:hanging="782"/>
      </w:pPr>
      <w:rPr>
        <w:rFonts w:ascii="Symbol" w:hAnsi="Symbol" w:hint="default"/>
      </w:rPr>
    </w:lvl>
    <w:lvl w:ilvl="1">
      <w:start w:val="1"/>
      <w:numFmt w:val="lowerLetter"/>
      <w:lvlText w:val="(%2)"/>
      <w:lvlJc w:val="left"/>
      <w:pPr>
        <w:tabs>
          <w:tab w:val="num" w:pos="993"/>
        </w:tabs>
        <w:ind w:left="1776" w:hanging="783"/>
      </w:pPr>
      <w:rPr>
        <w:rFonts w:hint="default"/>
      </w:rPr>
    </w:lvl>
    <w:lvl w:ilvl="2">
      <w:start w:val="1"/>
      <w:numFmt w:val="lowerRoman"/>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1205C"/>
    <w:multiLevelType w:val="hybridMultilevel"/>
    <w:tmpl w:val="6224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92581"/>
    <w:multiLevelType w:val="multilevel"/>
    <w:tmpl w:val="AD5ABFF2"/>
    <w:numStyleLink w:val="AASBSubNumbers"/>
  </w:abstractNum>
  <w:abstractNum w:abstractNumId="4"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0958B2"/>
    <w:multiLevelType w:val="multilevel"/>
    <w:tmpl w:val="028AB2EE"/>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6" w15:restartNumberingAfterBreak="0">
    <w:nsid w:val="09606B65"/>
    <w:multiLevelType w:val="multilevel"/>
    <w:tmpl w:val="EE9C98C8"/>
    <w:numStyleLink w:val="DNos"/>
  </w:abstractNum>
  <w:abstractNum w:abstractNumId="7" w15:restartNumberingAfterBreak="0">
    <w:nsid w:val="0CA13EC8"/>
    <w:multiLevelType w:val="hybridMultilevel"/>
    <w:tmpl w:val="CFEE9A94"/>
    <w:lvl w:ilvl="0" w:tplc="8702C5EE">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042995"/>
    <w:multiLevelType w:val="hybridMultilevel"/>
    <w:tmpl w:val="7B4EE25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00AD3"/>
    <w:multiLevelType w:val="multilevel"/>
    <w:tmpl w:val="073E59B6"/>
    <w:lvl w:ilvl="0">
      <w:start w:val="1"/>
      <w:numFmt w:val="decimal"/>
      <w:pStyle w:val="Head1Numbered"/>
      <w:lvlText w:val="%1"/>
      <w:lvlJc w:val="left"/>
      <w:pPr>
        <w:tabs>
          <w:tab w:val="num" w:pos="680"/>
        </w:tabs>
        <w:ind w:left="680" w:hanging="680"/>
      </w:pPr>
      <w:rPr>
        <w:rFonts w:ascii="Arial" w:hAnsi="Arial" w:hint="default"/>
        <w:b/>
        <w:color w:val="0070C0"/>
        <w:sz w:val="36"/>
      </w:rPr>
    </w:lvl>
    <w:lvl w:ilvl="1">
      <w:start w:val="1"/>
      <w:numFmt w:val="decimal"/>
      <w:pStyle w:val="Head2Numbered"/>
      <w:lvlText w:val="%1.%2"/>
      <w:lvlJc w:val="left"/>
      <w:pPr>
        <w:tabs>
          <w:tab w:val="num" w:pos="576"/>
        </w:tabs>
        <w:ind w:left="576" w:hanging="576"/>
      </w:pPr>
      <w:rPr>
        <w:rFonts w:hint="default"/>
      </w:rPr>
    </w:lvl>
    <w:lvl w:ilvl="2">
      <w:start w:val="1"/>
      <w:numFmt w:val="decimal"/>
      <w:pStyle w:val="Head3Numbered"/>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632239"/>
    <w:multiLevelType w:val="hybridMultilevel"/>
    <w:tmpl w:val="5464F196"/>
    <w:lvl w:ilvl="0" w:tplc="FE5A5AA2">
      <w:start w:val="1"/>
      <w:numFmt w:val="decimal"/>
      <w:lvlText w:val="N%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15:restartNumberingAfterBreak="0">
    <w:nsid w:val="24E64954"/>
    <w:multiLevelType w:val="multilevel"/>
    <w:tmpl w:val="494A2F20"/>
    <w:lvl w:ilvl="0">
      <w:start w:val="1"/>
      <w:numFmt w:val="decimal"/>
      <w:pStyle w:val="NumBC1"/>
      <w:lvlText w:val="BC%1"/>
      <w:lvlJc w:val="left"/>
      <w:pPr>
        <w:ind w:left="782" w:hanging="782"/>
      </w:pPr>
      <w:rPr>
        <w:rFonts w:ascii="Times New Roman" w:hAnsi="Times New Roman" w:cs="Times New Roman" w:hint="default"/>
        <w:b w:val="0"/>
        <w:bCs w:val="0"/>
        <w:i w:val="0"/>
        <w:strike w:val="0"/>
        <w:color w:val="auto"/>
        <w:sz w:val="19"/>
        <w:szCs w:val="19"/>
        <w:u w:val="none"/>
      </w:rPr>
    </w:lvl>
    <w:lvl w:ilvl="1">
      <w:start w:val="1"/>
      <w:numFmt w:val="lowerLetter"/>
      <w:pStyle w:val="NumBC2"/>
      <w:lvlText w:val="(%2)"/>
      <w:lvlJc w:val="left"/>
      <w:pPr>
        <w:ind w:left="1281" w:hanging="499"/>
      </w:pPr>
      <w:rPr>
        <w:rFonts w:hint="default"/>
        <w:b w:val="0"/>
        <w:bCs w:val="0"/>
        <w:sz w:val="19"/>
        <w:szCs w:val="19"/>
        <w:u w:val="none"/>
      </w:rPr>
    </w:lvl>
    <w:lvl w:ilvl="2">
      <w:start w:val="1"/>
      <w:numFmt w:val="lowerRoman"/>
      <w:pStyle w:val="NumBC3"/>
      <w:lvlText w:val="(%3)"/>
      <w:lvlJc w:val="left"/>
      <w:pPr>
        <w:ind w:left="2063" w:hanging="782"/>
      </w:pPr>
      <w:rPr>
        <w:rFonts w:hint="default"/>
        <w:b w:val="0"/>
        <w:bCs w:val="0"/>
        <w:u w:val="none"/>
      </w:rPr>
    </w:lvl>
    <w:lvl w:ilvl="3">
      <w:start w:val="1"/>
      <w:numFmt w:val="upperLetter"/>
      <w:pStyle w:val="NumBC4"/>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13"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5"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6"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8" w15:restartNumberingAfterBreak="0">
    <w:nsid w:val="340F5C5B"/>
    <w:multiLevelType w:val="hybridMultilevel"/>
    <w:tmpl w:val="2A1825F0"/>
    <w:lvl w:ilvl="0" w:tplc="D1A8CA40">
      <w:start w:val="1"/>
      <w:numFmt w:val="decimal"/>
      <w:pStyle w:val="StandardparaH"/>
      <w:lvlText w:val="H%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353692"/>
    <w:multiLevelType w:val="hybridMultilevel"/>
    <w:tmpl w:val="92D0B68A"/>
    <w:lvl w:ilvl="0" w:tplc="67A4808E">
      <w:start w:val="1"/>
      <w:numFmt w:val="lowerLetter"/>
      <w:pStyle w:val="NumPlain2"/>
      <w:lvlText w:val="(%1)"/>
      <w:lvlJc w:val="left"/>
      <w:pPr>
        <w:ind w:left="1502" w:hanging="360"/>
      </w:pPr>
      <w:rPr>
        <w:rFonts w:hint="default"/>
        <w:sz w:val="19"/>
        <w:szCs w:val="19"/>
      </w:rPr>
    </w:lvl>
    <w:lvl w:ilvl="1" w:tplc="0C090019" w:tentative="1">
      <w:start w:val="1"/>
      <w:numFmt w:val="lowerLetter"/>
      <w:lvlText w:val="%2."/>
      <w:lvlJc w:val="left"/>
      <w:pPr>
        <w:ind w:left="2222" w:hanging="360"/>
      </w:pPr>
    </w:lvl>
    <w:lvl w:ilvl="2" w:tplc="0C09001B" w:tentative="1">
      <w:start w:val="1"/>
      <w:numFmt w:val="lowerRoman"/>
      <w:pStyle w:val="NumPlain3"/>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0" w15:restartNumberingAfterBreak="0">
    <w:nsid w:val="3C5829FE"/>
    <w:multiLevelType w:val="hybridMultilevel"/>
    <w:tmpl w:val="623C05C2"/>
    <w:lvl w:ilvl="0" w:tplc="0FDCE776">
      <w:start w:val="1"/>
      <w:numFmt w:val="lowerLetter"/>
      <w:pStyle w:val="NumBPlain2"/>
      <w:lvlText w:val="(%1)"/>
      <w:lvlJc w:val="left"/>
      <w:pPr>
        <w:ind w:left="1502" w:hanging="360"/>
      </w:pPr>
      <w:rPr>
        <w:rFonts w:hint="default"/>
        <w:sz w:val="19"/>
        <w:szCs w:val="19"/>
      </w:rPr>
    </w:lvl>
    <w:lvl w:ilvl="1" w:tplc="0C090019" w:tentative="1">
      <w:start w:val="1"/>
      <w:numFmt w:val="lowerLetter"/>
      <w:lvlText w:val="%2."/>
      <w:lvlJc w:val="left"/>
      <w:pPr>
        <w:ind w:left="2222" w:hanging="360"/>
      </w:pPr>
    </w:lvl>
    <w:lvl w:ilvl="2" w:tplc="0C09001B" w:tentative="1">
      <w:start w:val="1"/>
      <w:numFmt w:val="lowerRoman"/>
      <w:pStyle w:val="NumBPlain3"/>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1"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E574C6"/>
    <w:multiLevelType w:val="hybridMultilevel"/>
    <w:tmpl w:val="73C01B48"/>
    <w:lvl w:ilvl="0" w:tplc="1116B612">
      <w:start w:val="1"/>
      <w:numFmt w:val="lowerLetter"/>
      <w:lvlText w:val="(%1)"/>
      <w:lvlJc w:val="left"/>
      <w:pPr>
        <w:ind w:left="1142" w:hanging="360"/>
      </w:pPr>
      <w:rPr>
        <w:rFonts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4" w15:restartNumberingAfterBreak="0">
    <w:nsid w:val="47F54520"/>
    <w:multiLevelType w:val="hybridMultilevel"/>
    <w:tmpl w:val="64F695DC"/>
    <w:lvl w:ilvl="0" w:tplc="AAF2B596">
      <w:start w:val="1"/>
      <w:numFmt w:val="lowerRoman"/>
      <w:pStyle w:val="NumberedList2"/>
      <w:lvlText w:val="(%1)"/>
      <w:lvlJc w:val="left"/>
      <w:pPr>
        <w:ind w:left="753" w:hanging="360"/>
      </w:pPr>
      <w:rPr>
        <w:rFonts w:ascii="Times New Roman" w:eastAsia="SimSun" w:hAnsi="Times New Roman" w:cs="Times New Roman" w:hint="default"/>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25" w15:restartNumberingAfterBreak="0">
    <w:nsid w:val="4F0F4503"/>
    <w:multiLevelType w:val="multilevel"/>
    <w:tmpl w:val="B0761008"/>
    <w:lvl w:ilvl="0">
      <w:start w:val="1"/>
      <w:numFmt w:val="decimal"/>
      <w:lvlText w:val="F%1"/>
      <w:lvlJc w:val="left"/>
      <w:pPr>
        <w:tabs>
          <w:tab w:val="num" w:pos="782"/>
        </w:tabs>
        <w:ind w:left="782" w:hanging="782"/>
      </w:pPr>
      <w:rPr>
        <w:rFonts w:ascii="Times New Roman" w:hAnsi="Times New Roman" w:cs="Times New Roman" w:hint="default"/>
        <w:b w:val="0"/>
        <w:bCs/>
        <w:sz w:val="19"/>
        <w:szCs w:val="19"/>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ascii="Times New Roman" w:hAnsi="Times New Roman" w:cs="Times New Roman" w:hint="default"/>
        <w:b w:val="0"/>
        <w:bCs/>
        <w:sz w:val="19"/>
        <w:szCs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06F7666"/>
    <w:multiLevelType w:val="hybridMultilevel"/>
    <w:tmpl w:val="7B4EE254"/>
    <w:lvl w:ilvl="0" w:tplc="2E18B574">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5CE176A9"/>
    <w:multiLevelType w:val="hybridMultilevel"/>
    <w:tmpl w:val="20583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086057"/>
    <w:multiLevelType w:val="multilevel"/>
    <w:tmpl w:val="130E4A1C"/>
    <w:lvl w:ilvl="0">
      <w:start w:val="1"/>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542243"/>
    <w:multiLevelType w:val="multilevel"/>
    <w:tmpl w:val="867EEFEE"/>
    <w:lvl w:ilvl="0">
      <w:start w:val="1"/>
      <w:numFmt w:val="decimal"/>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1"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5C4316"/>
    <w:multiLevelType w:val="multilevel"/>
    <w:tmpl w:val="0360D62A"/>
    <w:styleLink w:val="BulletedParas"/>
    <w:lvl w:ilvl="0">
      <w:start w:val="1"/>
      <w:numFmt w:val="bullet"/>
      <w:pStyle w:val="BulletPara1"/>
      <w:lvlText w:val=""/>
      <w:lvlJc w:val="left"/>
      <w:pPr>
        <w:tabs>
          <w:tab w:val="num" w:pos="709"/>
        </w:tabs>
        <w:ind w:left="709" w:hanging="709"/>
      </w:pPr>
      <w:rPr>
        <w:rFonts w:ascii="Symbol" w:hAnsi="Symbol" w:hint="default"/>
      </w:rPr>
    </w:lvl>
    <w:lvl w:ilvl="1">
      <w:start w:val="1"/>
      <w:numFmt w:val="bullet"/>
      <w:pStyle w:val="BulletPara2"/>
      <w:lvlText w:val="o"/>
      <w:lvlJc w:val="left"/>
      <w:pPr>
        <w:tabs>
          <w:tab w:val="num" w:pos="1418"/>
        </w:tabs>
        <w:ind w:left="1418" w:hanging="709"/>
      </w:pPr>
      <w:rPr>
        <w:rFonts w:ascii="Courier New" w:hAnsi="Courier New" w:hint="default"/>
      </w:rPr>
    </w:lvl>
    <w:lvl w:ilvl="2">
      <w:start w:val="1"/>
      <w:numFmt w:val="bullet"/>
      <w:pStyle w:val="BulletPara3"/>
      <w:lvlText w:val=""/>
      <w:lvlJc w:val="left"/>
      <w:pPr>
        <w:tabs>
          <w:tab w:val="num" w:pos="2126"/>
        </w:tabs>
        <w:ind w:left="2126" w:hanging="708"/>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34" w15:restartNumberingAfterBreak="0">
    <w:nsid w:val="7034512C"/>
    <w:multiLevelType w:val="hybridMultilevel"/>
    <w:tmpl w:val="C44AF750"/>
    <w:lvl w:ilvl="0" w:tplc="6D885A54">
      <w:start w:val="1"/>
      <w:numFmt w:val="lowerLetter"/>
      <w:pStyle w:val="NumberedList1"/>
      <w:lvlText w:val="(%1)"/>
      <w:lvlJc w:val="left"/>
      <w:pPr>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4C7003"/>
    <w:multiLevelType w:val="hybridMultilevel"/>
    <w:tmpl w:val="CFEE9A9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7D25CB"/>
    <w:multiLevelType w:val="hybridMultilevel"/>
    <w:tmpl w:val="27C62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EB195B"/>
    <w:multiLevelType w:val="hybridMultilevel"/>
    <w:tmpl w:val="B852A99E"/>
    <w:lvl w:ilvl="0" w:tplc="8CE6CD8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5F71F4"/>
    <w:multiLevelType w:val="multilevel"/>
    <w:tmpl w:val="4AC27B8A"/>
    <w:numStyleLink w:val="IENos"/>
  </w:abstractNum>
  <w:abstractNum w:abstractNumId="39" w15:restartNumberingAfterBreak="0">
    <w:nsid w:val="7A724955"/>
    <w:multiLevelType w:val="hybridMultilevel"/>
    <w:tmpl w:val="59F47D9A"/>
    <w:lvl w:ilvl="0" w:tplc="0C090001">
      <w:start w:val="1"/>
      <w:numFmt w:val="bullet"/>
      <w:lvlText w:val=""/>
      <w:lvlJc w:val="left"/>
      <w:pPr>
        <w:ind w:left="360" w:hanging="360"/>
      </w:pPr>
      <w:rPr>
        <w:rFonts w:ascii="Symbol" w:hAnsi="Symbo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BC227B9"/>
    <w:multiLevelType w:val="hybridMultilevel"/>
    <w:tmpl w:val="31A4F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7884638">
    <w:abstractNumId w:val="34"/>
  </w:num>
  <w:num w:numId="2" w16cid:durableId="1478566856">
    <w:abstractNumId w:val="11"/>
  </w:num>
  <w:num w:numId="3" w16cid:durableId="1683630618">
    <w:abstractNumId w:val="33"/>
  </w:num>
  <w:num w:numId="4" w16cid:durableId="426536847">
    <w:abstractNumId w:val="13"/>
  </w:num>
  <w:num w:numId="5" w16cid:durableId="1016077023">
    <w:abstractNumId w:val="15"/>
  </w:num>
  <w:num w:numId="6" w16cid:durableId="1363483712">
    <w:abstractNumId w:val="3"/>
  </w:num>
  <w:num w:numId="7" w16cid:durableId="650256753">
    <w:abstractNumId w:val="0"/>
  </w:num>
  <w:num w:numId="8" w16cid:durableId="916742211">
    <w:abstractNumId w:val="21"/>
  </w:num>
  <w:num w:numId="9" w16cid:durableId="760294631">
    <w:abstractNumId w:val="29"/>
  </w:num>
  <w:num w:numId="10" w16cid:durableId="1587495524">
    <w:abstractNumId w:val="27"/>
  </w:num>
  <w:num w:numId="11" w16cid:durableId="1353843840">
    <w:abstractNumId w:val="5"/>
  </w:num>
  <w:num w:numId="12" w16cid:durableId="724334790">
    <w:abstractNumId w:val="17"/>
  </w:num>
  <w:num w:numId="13" w16cid:durableId="1222864495">
    <w:abstractNumId w:val="6"/>
  </w:num>
  <w:num w:numId="14" w16cid:durableId="2042780130">
    <w:abstractNumId w:val="31"/>
  </w:num>
  <w:num w:numId="15" w16cid:durableId="1625622793">
    <w:abstractNumId w:val="37"/>
  </w:num>
  <w:num w:numId="16" w16cid:durableId="1810584380">
    <w:abstractNumId w:val="16"/>
  </w:num>
  <w:num w:numId="17" w16cid:durableId="261571627">
    <w:abstractNumId w:val="12"/>
  </w:num>
  <w:num w:numId="18" w16cid:durableId="1027102567">
    <w:abstractNumId w:val="14"/>
  </w:num>
  <w:num w:numId="19" w16cid:durableId="1412462235">
    <w:abstractNumId w:val="38"/>
  </w:num>
  <w:num w:numId="20" w16cid:durableId="266888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0908334">
    <w:abstractNumId w:val="22"/>
  </w:num>
  <w:num w:numId="22" w16cid:durableId="1583297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231012">
    <w:abstractNumId w:val="4"/>
  </w:num>
  <w:num w:numId="24" w16cid:durableId="632488262">
    <w:abstractNumId w:val="25"/>
  </w:num>
  <w:num w:numId="25" w16cid:durableId="1958442947">
    <w:abstractNumId w:val="32"/>
  </w:num>
  <w:num w:numId="26" w16cid:durableId="1393574403">
    <w:abstractNumId w:val="24"/>
  </w:num>
  <w:num w:numId="27" w16cid:durableId="405299874">
    <w:abstractNumId w:val="18"/>
  </w:num>
  <w:num w:numId="28" w16cid:durableId="814570030">
    <w:abstractNumId w:val="28"/>
  </w:num>
  <w:num w:numId="29" w16cid:durableId="921795026">
    <w:abstractNumId w:val="23"/>
  </w:num>
  <w:num w:numId="30" w16cid:durableId="626546146">
    <w:abstractNumId w:val="9"/>
  </w:num>
  <w:num w:numId="31" w16cid:durableId="1622297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53094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9210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0622448">
    <w:abstractNumId w:val="19"/>
  </w:num>
  <w:num w:numId="35" w16cid:durableId="700782347">
    <w:abstractNumId w:val="20"/>
  </w:num>
  <w:num w:numId="36" w16cid:durableId="1815678857">
    <w:abstractNumId w:val="10"/>
  </w:num>
  <w:num w:numId="37" w16cid:durableId="1779446333">
    <w:abstractNumId w:val="7"/>
  </w:num>
  <w:num w:numId="38" w16cid:durableId="506402488">
    <w:abstractNumId w:val="26"/>
  </w:num>
  <w:num w:numId="39" w16cid:durableId="1855147586">
    <w:abstractNumId w:val="8"/>
  </w:num>
  <w:num w:numId="40" w16cid:durableId="1930498785">
    <w:abstractNumId w:val="35"/>
  </w:num>
  <w:num w:numId="41" w16cid:durableId="2049603632">
    <w:abstractNumId w:val="39"/>
  </w:num>
  <w:num w:numId="42" w16cid:durableId="404769624">
    <w:abstractNumId w:val="1"/>
  </w:num>
  <w:num w:numId="43" w16cid:durableId="1689674916">
    <w:abstractNumId w:val="29"/>
  </w:num>
  <w:num w:numId="44" w16cid:durableId="1038357437">
    <w:abstractNumId w:val="36"/>
  </w:num>
  <w:num w:numId="45" w16cid:durableId="1797990502">
    <w:abstractNumId w:val="40"/>
  </w:num>
  <w:num w:numId="46" w16cid:durableId="1032343460">
    <w:abstractNumId w:val="29"/>
  </w:num>
  <w:num w:numId="47" w16cid:durableId="1302730538">
    <w:abstractNumId w:val="20"/>
    <w:lvlOverride w:ilvl="0">
      <w:startOverride w:val="1"/>
    </w:lvlOverride>
  </w:num>
  <w:num w:numId="48" w16cid:durableId="591283413">
    <w:abstractNumId w:val="2"/>
  </w:num>
  <w:num w:numId="49" w16cid:durableId="363560486">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3srQwMLI0MbYwNbJU0lEKTi0uzszPAykwM6gFAGKHfxQtAAAA"/>
  </w:docVars>
  <w:rsids>
    <w:rsidRoot w:val="00797EB5"/>
    <w:rsid w:val="000000A9"/>
    <w:rsid w:val="00000133"/>
    <w:rsid w:val="0000024F"/>
    <w:rsid w:val="0000033B"/>
    <w:rsid w:val="00000626"/>
    <w:rsid w:val="00000651"/>
    <w:rsid w:val="00000770"/>
    <w:rsid w:val="0000088E"/>
    <w:rsid w:val="000008AD"/>
    <w:rsid w:val="00000988"/>
    <w:rsid w:val="00000B22"/>
    <w:rsid w:val="000010AC"/>
    <w:rsid w:val="000010B9"/>
    <w:rsid w:val="00001148"/>
    <w:rsid w:val="0000119B"/>
    <w:rsid w:val="0000170C"/>
    <w:rsid w:val="00001725"/>
    <w:rsid w:val="00001804"/>
    <w:rsid w:val="00001AC3"/>
    <w:rsid w:val="00001C99"/>
    <w:rsid w:val="00001E0C"/>
    <w:rsid w:val="00001EEB"/>
    <w:rsid w:val="00001FF0"/>
    <w:rsid w:val="000021BC"/>
    <w:rsid w:val="00002257"/>
    <w:rsid w:val="00002325"/>
    <w:rsid w:val="00002381"/>
    <w:rsid w:val="000023B6"/>
    <w:rsid w:val="00002556"/>
    <w:rsid w:val="0000263D"/>
    <w:rsid w:val="000026DF"/>
    <w:rsid w:val="00002733"/>
    <w:rsid w:val="00002867"/>
    <w:rsid w:val="000028C8"/>
    <w:rsid w:val="0000292B"/>
    <w:rsid w:val="000029A7"/>
    <w:rsid w:val="000029BF"/>
    <w:rsid w:val="00002B19"/>
    <w:rsid w:val="00002B81"/>
    <w:rsid w:val="00002BDE"/>
    <w:rsid w:val="00002D17"/>
    <w:rsid w:val="00002F29"/>
    <w:rsid w:val="00002FFC"/>
    <w:rsid w:val="0000342A"/>
    <w:rsid w:val="00003471"/>
    <w:rsid w:val="00003527"/>
    <w:rsid w:val="00003566"/>
    <w:rsid w:val="00003688"/>
    <w:rsid w:val="00003824"/>
    <w:rsid w:val="0000385F"/>
    <w:rsid w:val="00003A0D"/>
    <w:rsid w:val="00003B4B"/>
    <w:rsid w:val="00003B57"/>
    <w:rsid w:val="00003CD7"/>
    <w:rsid w:val="00003D8B"/>
    <w:rsid w:val="00003DBE"/>
    <w:rsid w:val="00003DD5"/>
    <w:rsid w:val="00004052"/>
    <w:rsid w:val="000041D1"/>
    <w:rsid w:val="000043FD"/>
    <w:rsid w:val="00004443"/>
    <w:rsid w:val="00004521"/>
    <w:rsid w:val="00004630"/>
    <w:rsid w:val="0000469C"/>
    <w:rsid w:val="000048E0"/>
    <w:rsid w:val="00004953"/>
    <w:rsid w:val="00004E6D"/>
    <w:rsid w:val="00004EB7"/>
    <w:rsid w:val="00004EC5"/>
    <w:rsid w:val="00005077"/>
    <w:rsid w:val="00005118"/>
    <w:rsid w:val="00005200"/>
    <w:rsid w:val="0000525E"/>
    <w:rsid w:val="0000528C"/>
    <w:rsid w:val="000055B7"/>
    <w:rsid w:val="0000586D"/>
    <w:rsid w:val="000059CC"/>
    <w:rsid w:val="00005ABF"/>
    <w:rsid w:val="00005B94"/>
    <w:rsid w:val="00005CBC"/>
    <w:rsid w:val="00005CEE"/>
    <w:rsid w:val="00005D66"/>
    <w:rsid w:val="00005D73"/>
    <w:rsid w:val="00005F90"/>
    <w:rsid w:val="00006039"/>
    <w:rsid w:val="0000606D"/>
    <w:rsid w:val="00006278"/>
    <w:rsid w:val="000062F8"/>
    <w:rsid w:val="00006311"/>
    <w:rsid w:val="00006383"/>
    <w:rsid w:val="0000645A"/>
    <w:rsid w:val="0000654D"/>
    <w:rsid w:val="00006615"/>
    <w:rsid w:val="000066F1"/>
    <w:rsid w:val="000068DC"/>
    <w:rsid w:val="00006925"/>
    <w:rsid w:val="00006A07"/>
    <w:rsid w:val="00006AD4"/>
    <w:rsid w:val="00006B85"/>
    <w:rsid w:val="00006D8E"/>
    <w:rsid w:val="00006E23"/>
    <w:rsid w:val="00006E4D"/>
    <w:rsid w:val="00006E9E"/>
    <w:rsid w:val="00006F06"/>
    <w:rsid w:val="00006F67"/>
    <w:rsid w:val="00006FD8"/>
    <w:rsid w:val="00006FE9"/>
    <w:rsid w:val="000070DE"/>
    <w:rsid w:val="00007328"/>
    <w:rsid w:val="00007433"/>
    <w:rsid w:val="00007605"/>
    <w:rsid w:val="00007616"/>
    <w:rsid w:val="000076D3"/>
    <w:rsid w:val="00007899"/>
    <w:rsid w:val="00007A9D"/>
    <w:rsid w:val="00007BC7"/>
    <w:rsid w:val="00007C88"/>
    <w:rsid w:val="00007D0B"/>
    <w:rsid w:val="00007FFC"/>
    <w:rsid w:val="00010160"/>
    <w:rsid w:val="00010201"/>
    <w:rsid w:val="00010230"/>
    <w:rsid w:val="000102DD"/>
    <w:rsid w:val="0001045F"/>
    <w:rsid w:val="0001047B"/>
    <w:rsid w:val="000104E8"/>
    <w:rsid w:val="00010533"/>
    <w:rsid w:val="0001057B"/>
    <w:rsid w:val="0001073C"/>
    <w:rsid w:val="00010915"/>
    <w:rsid w:val="00010987"/>
    <w:rsid w:val="00010A87"/>
    <w:rsid w:val="00010B22"/>
    <w:rsid w:val="00010B42"/>
    <w:rsid w:val="00010C9D"/>
    <w:rsid w:val="00010D2B"/>
    <w:rsid w:val="00010DB9"/>
    <w:rsid w:val="00010E37"/>
    <w:rsid w:val="00010E6C"/>
    <w:rsid w:val="00011237"/>
    <w:rsid w:val="00011447"/>
    <w:rsid w:val="000114A4"/>
    <w:rsid w:val="000115DB"/>
    <w:rsid w:val="00011646"/>
    <w:rsid w:val="00011912"/>
    <w:rsid w:val="000119BF"/>
    <w:rsid w:val="00011B2C"/>
    <w:rsid w:val="00011C65"/>
    <w:rsid w:val="00011D15"/>
    <w:rsid w:val="00011DF5"/>
    <w:rsid w:val="00011EBD"/>
    <w:rsid w:val="00011EC4"/>
    <w:rsid w:val="00011EEC"/>
    <w:rsid w:val="00011F3C"/>
    <w:rsid w:val="00012005"/>
    <w:rsid w:val="00012397"/>
    <w:rsid w:val="00012670"/>
    <w:rsid w:val="000126F1"/>
    <w:rsid w:val="00012786"/>
    <w:rsid w:val="00012794"/>
    <w:rsid w:val="00012A58"/>
    <w:rsid w:val="00012A8D"/>
    <w:rsid w:val="00012BBC"/>
    <w:rsid w:val="00012E18"/>
    <w:rsid w:val="00012E99"/>
    <w:rsid w:val="00012EF5"/>
    <w:rsid w:val="00012F2C"/>
    <w:rsid w:val="00012FCA"/>
    <w:rsid w:val="00013089"/>
    <w:rsid w:val="000131D2"/>
    <w:rsid w:val="00013404"/>
    <w:rsid w:val="00013415"/>
    <w:rsid w:val="00013492"/>
    <w:rsid w:val="0001350E"/>
    <w:rsid w:val="000135F9"/>
    <w:rsid w:val="000136B2"/>
    <w:rsid w:val="00013797"/>
    <w:rsid w:val="00013852"/>
    <w:rsid w:val="00013A1B"/>
    <w:rsid w:val="00013B26"/>
    <w:rsid w:val="00013BC5"/>
    <w:rsid w:val="00013D57"/>
    <w:rsid w:val="00013D85"/>
    <w:rsid w:val="00013DC2"/>
    <w:rsid w:val="00013E9A"/>
    <w:rsid w:val="00013F52"/>
    <w:rsid w:val="0001405C"/>
    <w:rsid w:val="00014068"/>
    <w:rsid w:val="00014307"/>
    <w:rsid w:val="00014347"/>
    <w:rsid w:val="000143A4"/>
    <w:rsid w:val="00014421"/>
    <w:rsid w:val="0001451D"/>
    <w:rsid w:val="0001463F"/>
    <w:rsid w:val="0001471F"/>
    <w:rsid w:val="00014787"/>
    <w:rsid w:val="0001495A"/>
    <w:rsid w:val="00014A6D"/>
    <w:rsid w:val="00014B4B"/>
    <w:rsid w:val="00014C8F"/>
    <w:rsid w:val="00014E4B"/>
    <w:rsid w:val="00014EA3"/>
    <w:rsid w:val="000150B7"/>
    <w:rsid w:val="00015147"/>
    <w:rsid w:val="0001514A"/>
    <w:rsid w:val="00015325"/>
    <w:rsid w:val="00015563"/>
    <w:rsid w:val="000155D1"/>
    <w:rsid w:val="0001560F"/>
    <w:rsid w:val="000157B3"/>
    <w:rsid w:val="00015A05"/>
    <w:rsid w:val="00015A69"/>
    <w:rsid w:val="00015A6B"/>
    <w:rsid w:val="00015AF3"/>
    <w:rsid w:val="00015C90"/>
    <w:rsid w:val="00015D18"/>
    <w:rsid w:val="00015D33"/>
    <w:rsid w:val="00016166"/>
    <w:rsid w:val="000161A5"/>
    <w:rsid w:val="00016239"/>
    <w:rsid w:val="00016290"/>
    <w:rsid w:val="00016589"/>
    <w:rsid w:val="0001665F"/>
    <w:rsid w:val="00016674"/>
    <w:rsid w:val="00016B07"/>
    <w:rsid w:val="00016B5A"/>
    <w:rsid w:val="00016C73"/>
    <w:rsid w:val="0001727A"/>
    <w:rsid w:val="00017365"/>
    <w:rsid w:val="0001743B"/>
    <w:rsid w:val="00017753"/>
    <w:rsid w:val="0001778D"/>
    <w:rsid w:val="000177F4"/>
    <w:rsid w:val="00017CE5"/>
    <w:rsid w:val="00017E00"/>
    <w:rsid w:val="00017F4D"/>
    <w:rsid w:val="00020244"/>
    <w:rsid w:val="00020267"/>
    <w:rsid w:val="00020525"/>
    <w:rsid w:val="00020736"/>
    <w:rsid w:val="00020867"/>
    <w:rsid w:val="000208EB"/>
    <w:rsid w:val="0002092F"/>
    <w:rsid w:val="00020A2A"/>
    <w:rsid w:val="00020A8F"/>
    <w:rsid w:val="00020C27"/>
    <w:rsid w:val="00020DCA"/>
    <w:rsid w:val="00020DDE"/>
    <w:rsid w:val="00020EF0"/>
    <w:rsid w:val="00020F6C"/>
    <w:rsid w:val="00020FE8"/>
    <w:rsid w:val="000210D3"/>
    <w:rsid w:val="0002141A"/>
    <w:rsid w:val="0002147D"/>
    <w:rsid w:val="000214AF"/>
    <w:rsid w:val="0002158C"/>
    <w:rsid w:val="000215D2"/>
    <w:rsid w:val="000215F4"/>
    <w:rsid w:val="00021640"/>
    <w:rsid w:val="00021B40"/>
    <w:rsid w:val="00021B8B"/>
    <w:rsid w:val="00021D33"/>
    <w:rsid w:val="00021EAA"/>
    <w:rsid w:val="00021F26"/>
    <w:rsid w:val="000220F5"/>
    <w:rsid w:val="0002214E"/>
    <w:rsid w:val="0002225A"/>
    <w:rsid w:val="000223A2"/>
    <w:rsid w:val="00022490"/>
    <w:rsid w:val="000224B1"/>
    <w:rsid w:val="000224F7"/>
    <w:rsid w:val="000225FB"/>
    <w:rsid w:val="000227F1"/>
    <w:rsid w:val="000227F2"/>
    <w:rsid w:val="000227FC"/>
    <w:rsid w:val="0002286E"/>
    <w:rsid w:val="000229B1"/>
    <w:rsid w:val="00022B29"/>
    <w:rsid w:val="00022BCC"/>
    <w:rsid w:val="00022D09"/>
    <w:rsid w:val="00022FD4"/>
    <w:rsid w:val="000230EB"/>
    <w:rsid w:val="00023306"/>
    <w:rsid w:val="00023382"/>
    <w:rsid w:val="0002369C"/>
    <w:rsid w:val="000236B4"/>
    <w:rsid w:val="00023962"/>
    <w:rsid w:val="00023ACA"/>
    <w:rsid w:val="00023C01"/>
    <w:rsid w:val="00023C30"/>
    <w:rsid w:val="00023DB8"/>
    <w:rsid w:val="0002419B"/>
    <w:rsid w:val="00024434"/>
    <w:rsid w:val="0002467D"/>
    <w:rsid w:val="000246D0"/>
    <w:rsid w:val="000246F7"/>
    <w:rsid w:val="00024A16"/>
    <w:rsid w:val="00024A25"/>
    <w:rsid w:val="00024B9F"/>
    <w:rsid w:val="00024BAE"/>
    <w:rsid w:val="00024D75"/>
    <w:rsid w:val="00024FC3"/>
    <w:rsid w:val="000250AF"/>
    <w:rsid w:val="000250F2"/>
    <w:rsid w:val="00025177"/>
    <w:rsid w:val="000252CA"/>
    <w:rsid w:val="0002543D"/>
    <w:rsid w:val="00025510"/>
    <w:rsid w:val="00025521"/>
    <w:rsid w:val="00025616"/>
    <w:rsid w:val="000256D9"/>
    <w:rsid w:val="00025704"/>
    <w:rsid w:val="0002575D"/>
    <w:rsid w:val="00025800"/>
    <w:rsid w:val="00025A76"/>
    <w:rsid w:val="00025A9F"/>
    <w:rsid w:val="00025BF3"/>
    <w:rsid w:val="00025DB1"/>
    <w:rsid w:val="00025E06"/>
    <w:rsid w:val="00025F0F"/>
    <w:rsid w:val="00026167"/>
    <w:rsid w:val="0002633E"/>
    <w:rsid w:val="00026376"/>
    <w:rsid w:val="00026392"/>
    <w:rsid w:val="0002657A"/>
    <w:rsid w:val="0002675F"/>
    <w:rsid w:val="000269A6"/>
    <w:rsid w:val="00026A0E"/>
    <w:rsid w:val="00026B32"/>
    <w:rsid w:val="00026C80"/>
    <w:rsid w:val="00026DB4"/>
    <w:rsid w:val="000270FB"/>
    <w:rsid w:val="00027140"/>
    <w:rsid w:val="00027161"/>
    <w:rsid w:val="000271B1"/>
    <w:rsid w:val="00027344"/>
    <w:rsid w:val="00027546"/>
    <w:rsid w:val="000275FA"/>
    <w:rsid w:val="0002762D"/>
    <w:rsid w:val="00027780"/>
    <w:rsid w:val="00027817"/>
    <w:rsid w:val="0002798E"/>
    <w:rsid w:val="000279BC"/>
    <w:rsid w:val="00027AAE"/>
    <w:rsid w:val="00027BD8"/>
    <w:rsid w:val="00027D9A"/>
    <w:rsid w:val="00027E8B"/>
    <w:rsid w:val="00027F0A"/>
    <w:rsid w:val="00030028"/>
    <w:rsid w:val="000300A4"/>
    <w:rsid w:val="000300BA"/>
    <w:rsid w:val="00030165"/>
    <w:rsid w:val="00030279"/>
    <w:rsid w:val="000302A3"/>
    <w:rsid w:val="00030567"/>
    <w:rsid w:val="00030632"/>
    <w:rsid w:val="00030845"/>
    <w:rsid w:val="00030B6B"/>
    <w:rsid w:val="00030E0D"/>
    <w:rsid w:val="00031070"/>
    <w:rsid w:val="0003107B"/>
    <w:rsid w:val="000313CB"/>
    <w:rsid w:val="000313E7"/>
    <w:rsid w:val="00031465"/>
    <w:rsid w:val="000314DD"/>
    <w:rsid w:val="0003150E"/>
    <w:rsid w:val="0003158A"/>
    <w:rsid w:val="0003184A"/>
    <w:rsid w:val="000318CF"/>
    <w:rsid w:val="00031B21"/>
    <w:rsid w:val="00031B57"/>
    <w:rsid w:val="00031CDD"/>
    <w:rsid w:val="00031D83"/>
    <w:rsid w:val="00031DB2"/>
    <w:rsid w:val="00031E1A"/>
    <w:rsid w:val="00031F14"/>
    <w:rsid w:val="00031F29"/>
    <w:rsid w:val="00032007"/>
    <w:rsid w:val="0003200C"/>
    <w:rsid w:val="0003206B"/>
    <w:rsid w:val="000320E7"/>
    <w:rsid w:val="0003219B"/>
    <w:rsid w:val="000322CD"/>
    <w:rsid w:val="0003237B"/>
    <w:rsid w:val="00032474"/>
    <w:rsid w:val="00032571"/>
    <w:rsid w:val="00032665"/>
    <w:rsid w:val="000327B3"/>
    <w:rsid w:val="00032845"/>
    <w:rsid w:val="000328CA"/>
    <w:rsid w:val="00032C5B"/>
    <w:rsid w:val="00032C84"/>
    <w:rsid w:val="00032DC8"/>
    <w:rsid w:val="00033034"/>
    <w:rsid w:val="00033079"/>
    <w:rsid w:val="00033309"/>
    <w:rsid w:val="0003357D"/>
    <w:rsid w:val="0003358D"/>
    <w:rsid w:val="000335F0"/>
    <w:rsid w:val="00033841"/>
    <w:rsid w:val="00033BC1"/>
    <w:rsid w:val="00033D28"/>
    <w:rsid w:val="00033D4A"/>
    <w:rsid w:val="00033E7E"/>
    <w:rsid w:val="00033F35"/>
    <w:rsid w:val="00033F97"/>
    <w:rsid w:val="00033FC0"/>
    <w:rsid w:val="00034226"/>
    <w:rsid w:val="000342EA"/>
    <w:rsid w:val="00034368"/>
    <w:rsid w:val="00034701"/>
    <w:rsid w:val="0003474D"/>
    <w:rsid w:val="000347CF"/>
    <w:rsid w:val="00034823"/>
    <w:rsid w:val="0003495C"/>
    <w:rsid w:val="00034BD4"/>
    <w:rsid w:val="00034CDC"/>
    <w:rsid w:val="00034DC9"/>
    <w:rsid w:val="00034F60"/>
    <w:rsid w:val="00035279"/>
    <w:rsid w:val="00035397"/>
    <w:rsid w:val="000354E3"/>
    <w:rsid w:val="00035525"/>
    <w:rsid w:val="0003589B"/>
    <w:rsid w:val="000358BD"/>
    <w:rsid w:val="000358F7"/>
    <w:rsid w:val="00035A3B"/>
    <w:rsid w:val="00035A99"/>
    <w:rsid w:val="00035B0A"/>
    <w:rsid w:val="00035B5A"/>
    <w:rsid w:val="00035CDA"/>
    <w:rsid w:val="00035D2F"/>
    <w:rsid w:val="00035DAB"/>
    <w:rsid w:val="00036021"/>
    <w:rsid w:val="000360B8"/>
    <w:rsid w:val="000366F9"/>
    <w:rsid w:val="00036898"/>
    <w:rsid w:val="0003692E"/>
    <w:rsid w:val="00036AD6"/>
    <w:rsid w:val="00036B22"/>
    <w:rsid w:val="00036B6F"/>
    <w:rsid w:val="00036D36"/>
    <w:rsid w:val="00036FB3"/>
    <w:rsid w:val="000370AD"/>
    <w:rsid w:val="000370C1"/>
    <w:rsid w:val="000370FD"/>
    <w:rsid w:val="0003731F"/>
    <w:rsid w:val="000373BC"/>
    <w:rsid w:val="0003768A"/>
    <w:rsid w:val="000376A2"/>
    <w:rsid w:val="0003770A"/>
    <w:rsid w:val="000377CB"/>
    <w:rsid w:val="000377F3"/>
    <w:rsid w:val="00037A28"/>
    <w:rsid w:val="00037AA1"/>
    <w:rsid w:val="00037B36"/>
    <w:rsid w:val="00037B69"/>
    <w:rsid w:val="00037D5B"/>
    <w:rsid w:val="00037E6A"/>
    <w:rsid w:val="0004019B"/>
    <w:rsid w:val="000404E5"/>
    <w:rsid w:val="000404F9"/>
    <w:rsid w:val="000405A1"/>
    <w:rsid w:val="000407C3"/>
    <w:rsid w:val="00040988"/>
    <w:rsid w:val="00040A44"/>
    <w:rsid w:val="00040A9D"/>
    <w:rsid w:val="00040B10"/>
    <w:rsid w:val="00040D91"/>
    <w:rsid w:val="00040E08"/>
    <w:rsid w:val="00040F79"/>
    <w:rsid w:val="000410F4"/>
    <w:rsid w:val="0004117D"/>
    <w:rsid w:val="000411AF"/>
    <w:rsid w:val="000411FF"/>
    <w:rsid w:val="00041269"/>
    <w:rsid w:val="00041499"/>
    <w:rsid w:val="00041760"/>
    <w:rsid w:val="000417C5"/>
    <w:rsid w:val="00041984"/>
    <w:rsid w:val="00041B60"/>
    <w:rsid w:val="00041C93"/>
    <w:rsid w:val="00041CE1"/>
    <w:rsid w:val="00041D44"/>
    <w:rsid w:val="00041D53"/>
    <w:rsid w:val="00041D5D"/>
    <w:rsid w:val="00041D98"/>
    <w:rsid w:val="00041DD7"/>
    <w:rsid w:val="00042213"/>
    <w:rsid w:val="00042451"/>
    <w:rsid w:val="00042570"/>
    <w:rsid w:val="000425C6"/>
    <w:rsid w:val="000427F9"/>
    <w:rsid w:val="0004286C"/>
    <w:rsid w:val="000428C1"/>
    <w:rsid w:val="000428D2"/>
    <w:rsid w:val="00042934"/>
    <w:rsid w:val="00042C03"/>
    <w:rsid w:val="00042C0F"/>
    <w:rsid w:val="00042D7B"/>
    <w:rsid w:val="00042FF6"/>
    <w:rsid w:val="0004300C"/>
    <w:rsid w:val="00043045"/>
    <w:rsid w:val="0004321A"/>
    <w:rsid w:val="000433D9"/>
    <w:rsid w:val="00043562"/>
    <w:rsid w:val="000435EA"/>
    <w:rsid w:val="0004360D"/>
    <w:rsid w:val="000436FA"/>
    <w:rsid w:val="00043754"/>
    <w:rsid w:val="00043868"/>
    <w:rsid w:val="00043974"/>
    <w:rsid w:val="00043A02"/>
    <w:rsid w:val="00043B62"/>
    <w:rsid w:val="00043B70"/>
    <w:rsid w:val="00043D59"/>
    <w:rsid w:val="00043E9F"/>
    <w:rsid w:val="00043EC6"/>
    <w:rsid w:val="00043F1E"/>
    <w:rsid w:val="00043FA7"/>
    <w:rsid w:val="00043FE5"/>
    <w:rsid w:val="00044005"/>
    <w:rsid w:val="000440B8"/>
    <w:rsid w:val="00044249"/>
    <w:rsid w:val="000442D7"/>
    <w:rsid w:val="000444E0"/>
    <w:rsid w:val="0004453F"/>
    <w:rsid w:val="0004455B"/>
    <w:rsid w:val="000446D7"/>
    <w:rsid w:val="00044D69"/>
    <w:rsid w:val="00044EF3"/>
    <w:rsid w:val="00045088"/>
    <w:rsid w:val="000450BD"/>
    <w:rsid w:val="000450ED"/>
    <w:rsid w:val="000451E4"/>
    <w:rsid w:val="000452D8"/>
    <w:rsid w:val="000452EF"/>
    <w:rsid w:val="000453AB"/>
    <w:rsid w:val="00045446"/>
    <w:rsid w:val="000454D7"/>
    <w:rsid w:val="00045597"/>
    <w:rsid w:val="00045695"/>
    <w:rsid w:val="00045895"/>
    <w:rsid w:val="000459FF"/>
    <w:rsid w:val="00045AF9"/>
    <w:rsid w:val="00045FAB"/>
    <w:rsid w:val="00045FC8"/>
    <w:rsid w:val="000460CB"/>
    <w:rsid w:val="000462DB"/>
    <w:rsid w:val="00046363"/>
    <w:rsid w:val="00046507"/>
    <w:rsid w:val="00046514"/>
    <w:rsid w:val="0004651D"/>
    <w:rsid w:val="000465AE"/>
    <w:rsid w:val="000466E5"/>
    <w:rsid w:val="00046832"/>
    <w:rsid w:val="0004698E"/>
    <w:rsid w:val="00046E19"/>
    <w:rsid w:val="000474E4"/>
    <w:rsid w:val="000477D3"/>
    <w:rsid w:val="00047865"/>
    <w:rsid w:val="00047A28"/>
    <w:rsid w:val="0005037E"/>
    <w:rsid w:val="0005038C"/>
    <w:rsid w:val="000504EC"/>
    <w:rsid w:val="00050509"/>
    <w:rsid w:val="0005080D"/>
    <w:rsid w:val="00050894"/>
    <w:rsid w:val="00050968"/>
    <w:rsid w:val="00050A21"/>
    <w:rsid w:val="00050C62"/>
    <w:rsid w:val="00050C9E"/>
    <w:rsid w:val="00050EBB"/>
    <w:rsid w:val="00050EDB"/>
    <w:rsid w:val="00050F23"/>
    <w:rsid w:val="00051097"/>
    <w:rsid w:val="0005109E"/>
    <w:rsid w:val="000510C0"/>
    <w:rsid w:val="00051104"/>
    <w:rsid w:val="00051213"/>
    <w:rsid w:val="0005127A"/>
    <w:rsid w:val="000517C7"/>
    <w:rsid w:val="0005188F"/>
    <w:rsid w:val="000518A7"/>
    <w:rsid w:val="0005193E"/>
    <w:rsid w:val="00051998"/>
    <w:rsid w:val="00051A23"/>
    <w:rsid w:val="00051C19"/>
    <w:rsid w:val="00051C36"/>
    <w:rsid w:val="00051C3E"/>
    <w:rsid w:val="00051C94"/>
    <w:rsid w:val="00051D01"/>
    <w:rsid w:val="00051E45"/>
    <w:rsid w:val="00052165"/>
    <w:rsid w:val="00052183"/>
    <w:rsid w:val="0005223A"/>
    <w:rsid w:val="00052243"/>
    <w:rsid w:val="0005246A"/>
    <w:rsid w:val="000524F0"/>
    <w:rsid w:val="0005267A"/>
    <w:rsid w:val="00052978"/>
    <w:rsid w:val="00052A23"/>
    <w:rsid w:val="00052A42"/>
    <w:rsid w:val="00052A87"/>
    <w:rsid w:val="00052AF4"/>
    <w:rsid w:val="00052B11"/>
    <w:rsid w:val="00052C79"/>
    <w:rsid w:val="00052D94"/>
    <w:rsid w:val="00052E92"/>
    <w:rsid w:val="000530F2"/>
    <w:rsid w:val="00053196"/>
    <w:rsid w:val="000533C5"/>
    <w:rsid w:val="0005351D"/>
    <w:rsid w:val="00053593"/>
    <w:rsid w:val="000535B0"/>
    <w:rsid w:val="00053608"/>
    <w:rsid w:val="0005360B"/>
    <w:rsid w:val="000537A3"/>
    <w:rsid w:val="00053AC5"/>
    <w:rsid w:val="00053F8F"/>
    <w:rsid w:val="00054069"/>
    <w:rsid w:val="00054274"/>
    <w:rsid w:val="0005445F"/>
    <w:rsid w:val="00054490"/>
    <w:rsid w:val="00054598"/>
    <w:rsid w:val="000545D6"/>
    <w:rsid w:val="00054728"/>
    <w:rsid w:val="00054939"/>
    <w:rsid w:val="0005494C"/>
    <w:rsid w:val="00054A61"/>
    <w:rsid w:val="00054B4F"/>
    <w:rsid w:val="00054B6E"/>
    <w:rsid w:val="00054D9F"/>
    <w:rsid w:val="00054DB4"/>
    <w:rsid w:val="00054DE1"/>
    <w:rsid w:val="00054E08"/>
    <w:rsid w:val="00054E3B"/>
    <w:rsid w:val="00054F3A"/>
    <w:rsid w:val="00055072"/>
    <w:rsid w:val="0005512F"/>
    <w:rsid w:val="0005527C"/>
    <w:rsid w:val="0005540C"/>
    <w:rsid w:val="000554EC"/>
    <w:rsid w:val="0005552D"/>
    <w:rsid w:val="0005569C"/>
    <w:rsid w:val="000556AD"/>
    <w:rsid w:val="000556E4"/>
    <w:rsid w:val="000557F2"/>
    <w:rsid w:val="00055918"/>
    <w:rsid w:val="00055A6C"/>
    <w:rsid w:val="00055A79"/>
    <w:rsid w:val="00055A91"/>
    <w:rsid w:val="00055AAD"/>
    <w:rsid w:val="00055CDD"/>
    <w:rsid w:val="00055D3B"/>
    <w:rsid w:val="00055E2D"/>
    <w:rsid w:val="00055E7B"/>
    <w:rsid w:val="0005605C"/>
    <w:rsid w:val="000562C2"/>
    <w:rsid w:val="00056306"/>
    <w:rsid w:val="000565EE"/>
    <w:rsid w:val="000566B3"/>
    <w:rsid w:val="000566C5"/>
    <w:rsid w:val="000568B6"/>
    <w:rsid w:val="00056959"/>
    <w:rsid w:val="000569E5"/>
    <w:rsid w:val="00056C62"/>
    <w:rsid w:val="00056C7B"/>
    <w:rsid w:val="00056F2D"/>
    <w:rsid w:val="00056F68"/>
    <w:rsid w:val="00056F74"/>
    <w:rsid w:val="000570B3"/>
    <w:rsid w:val="0005711D"/>
    <w:rsid w:val="000571F5"/>
    <w:rsid w:val="0005743E"/>
    <w:rsid w:val="00057449"/>
    <w:rsid w:val="0005745A"/>
    <w:rsid w:val="00057658"/>
    <w:rsid w:val="00057702"/>
    <w:rsid w:val="00057771"/>
    <w:rsid w:val="000577C7"/>
    <w:rsid w:val="00057824"/>
    <w:rsid w:val="00057861"/>
    <w:rsid w:val="00057A7E"/>
    <w:rsid w:val="00057F13"/>
    <w:rsid w:val="00060389"/>
    <w:rsid w:val="00060513"/>
    <w:rsid w:val="0006056C"/>
    <w:rsid w:val="000605A3"/>
    <w:rsid w:val="00060620"/>
    <w:rsid w:val="00060632"/>
    <w:rsid w:val="000608C0"/>
    <w:rsid w:val="000608EB"/>
    <w:rsid w:val="0006097A"/>
    <w:rsid w:val="00060A21"/>
    <w:rsid w:val="00060A2E"/>
    <w:rsid w:val="00060EEB"/>
    <w:rsid w:val="00060FFD"/>
    <w:rsid w:val="000610F9"/>
    <w:rsid w:val="000612FC"/>
    <w:rsid w:val="0006130E"/>
    <w:rsid w:val="000613CB"/>
    <w:rsid w:val="000614E9"/>
    <w:rsid w:val="0006165B"/>
    <w:rsid w:val="00061931"/>
    <w:rsid w:val="00061941"/>
    <w:rsid w:val="00061A01"/>
    <w:rsid w:val="00061B03"/>
    <w:rsid w:val="00061BDD"/>
    <w:rsid w:val="00061C93"/>
    <w:rsid w:val="00061F06"/>
    <w:rsid w:val="00062159"/>
    <w:rsid w:val="000622B6"/>
    <w:rsid w:val="00062312"/>
    <w:rsid w:val="00062336"/>
    <w:rsid w:val="0006238A"/>
    <w:rsid w:val="000623BD"/>
    <w:rsid w:val="00062519"/>
    <w:rsid w:val="000625F2"/>
    <w:rsid w:val="0006279C"/>
    <w:rsid w:val="000628E9"/>
    <w:rsid w:val="00062A1B"/>
    <w:rsid w:val="00062B3B"/>
    <w:rsid w:val="00062B94"/>
    <w:rsid w:val="00062C07"/>
    <w:rsid w:val="00062E37"/>
    <w:rsid w:val="00062EA9"/>
    <w:rsid w:val="00062FF5"/>
    <w:rsid w:val="0006306C"/>
    <w:rsid w:val="000630B6"/>
    <w:rsid w:val="000630CA"/>
    <w:rsid w:val="000630D2"/>
    <w:rsid w:val="000630EB"/>
    <w:rsid w:val="000630FE"/>
    <w:rsid w:val="00063191"/>
    <w:rsid w:val="000632DD"/>
    <w:rsid w:val="000632DF"/>
    <w:rsid w:val="000632EC"/>
    <w:rsid w:val="00063444"/>
    <w:rsid w:val="0006358E"/>
    <w:rsid w:val="00063604"/>
    <w:rsid w:val="0006368E"/>
    <w:rsid w:val="0006375E"/>
    <w:rsid w:val="000638D0"/>
    <w:rsid w:val="00063A97"/>
    <w:rsid w:val="00063AEB"/>
    <w:rsid w:val="00063AF0"/>
    <w:rsid w:val="00063BF3"/>
    <w:rsid w:val="00063C04"/>
    <w:rsid w:val="00063D41"/>
    <w:rsid w:val="00063D56"/>
    <w:rsid w:val="00063DC0"/>
    <w:rsid w:val="00063E1B"/>
    <w:rsid w:val="00063FD9"/>
    <w:rsid w:val="00063FEB"/>
    <w:rsid w:val="0006402D"/>
    <w:rsid w:val="00064135"/>
    <w:rsid w:val="0006417C"/>
    <w:rsid w:val="0006419A"/>
    <w:rsid w:val="00064622"/>
    <w:rsid w:val="00064684"/>
    <w:rsid w:val="0006478E"/>
    <w:rsid w:val="000647AC"/>
    <w:rsid w:val="000647DC"/>
    <w:rsid w:val="00064848"/>
    <w:rsid w:val="00064C18"/>
    <w:rsid w:val="00064C36"/>
    <w:rsid w:val="00064D08"/>
    <w:rsid w:val="00064E91"/>
    <w:rsid w:val="00064EC8"/>
    <w:rsid w:val="00064ED2"/>
    <w:rsid w:val="0006519C"/>
    <w:rsid w:val="000651D4"/>
    <w:rsid w:val="000651F4"/>
    <w:rsid w:val="000652FF"/>
    <w:rsid w:val="00065365"/>
    <w:rsid w:val="0006542D"/>
    <w:rsid w:val="000655B0"/>
    <w:rsid w:val="00065648"/>
    <w:rsid w:val="00065652"/>
    <w:rsid w:val="0006596D"/>
    <w:rsid w:val="000659D0"/>
    <w:rsid w:val="00065A4D"/>
    <w:rsid w:val="00065C10"/>
    <w:rsid w:val="00065CF3"/>
    <w:rsid w:val="00065DE7"/>
    <w:rsid w:val="00065E25"/>
    <w:rsid w:val="00065E5E"/>
    <w:rsid w:val="00065E91"/>
    <w:rsid w:val="00066370"/>
    <w:rsid w:val="00066442"/>
    <w:rsid w:val="00066524"/>
    <w:rsid w:val="000666CD"/>
    <w:rsid w:val="0006679E"/>
    <w:rsid w:val="00066BA3"/>
    <w:rsid w:val="00066BC5"/>
    <w:rsid w:val="00066F36"/>
    <w:rsid w:val="00067111"/>
    <w:rsid w:val="000671A8"/>
    <w:rsid w:val="000672C9"/>
    <w:rsid w:val="00067486"/>
    <w:rsid w:val="000678B8"/>
    <w:rsid w:val="00067A59"/>
    <w:rsid w:val="00067B06"/>
    <w:rsid w:val="00067C86"/>
    <w:rsid w:val="00067CBE"/>
    <w:rsid w:val="00067DF8"/>
    <w:rsid w:val="00067E40"/>
    <w:rsid w:val="00067F6F"/>
    <w:rsid w:val="00067F75"/>
    <w:rsid w:val="00067F77"/>
    <w:rsid w:val="00070141"/>
    <w:rsid w:val="0007019C"/>
    <w:rsid w:val="000701B5"/>
    <w:rsid w:val="00070264"/>
    <w:rsid w:val="00070324"/>
    <w:rsid w:val="0007056F"/>
    <w:rsid w:val="00070603"/>
    <w:rsid w:val="000706E1"/>
    <w:rsid w:val="0007073A"/>
    <w:rsid w:val="00070766"/>
    <w:rsid w:val="000708D3"/>
    <w:rsid w:val="000708EE"/>
    <w:rsid w:val="00070A5E"/>
    <w:rsid w:val="00070EFD"/>
    <w:rsid w:val="000710D0"/>
    <w:rsid w:val="00071152"/>
    <w:rsid w:val="000712BA"/>
    <w:rsid w:val="0007148C"/>
    <w:rsid w:val="00071510"/>
    <w:rsid w:val="0007153E"/>
    <w:rsid w:val="00071A14"/>
    <w:rsid w:val="00071D45"/>
    <w:rsid w:val="00071F2A"/>
    <w:rsid w:val="00071F95"/>
    <w:rsid w:val="00071FA4"/>
    <w:rsid w:val="00071FDF"/>
    <w:rsid w:val="00072003"/>
    <w:rsid w:val="00072066"/>
    <w:rsid w:val="00072122"/>
    <w:rsid w:val="00072412"/>
    <w:rsid w:val="00072467"/>
    <w:rsid w:val="00072506"/>
    <w:rsid w:val="000726D9"/>
    <w:rsid w:val="0007277D"/>
    <w:rsid w:val="00072847"/>
    <w:rsid w:val="00072A19"/>
    <w:rsid w:val="00072B85"/>
    <w:rsid w:val="00072B98"/>
    <w:rsid w:val="00072C2A"/>
    <w:rsid w:val="00072CD9"/>
    <w:rsid w:val="00072CDC"/>
    <w:rsid w:val="00072CDD"/>
    <w:rsid w:val="0007314E"/>
    <w:rsid w:val="00073564"/>
    <w:rsid w:val="00073832"/>
    <w:rsid w:val="00073AEE"/>
    <w:rsid w:val="00073B71"/>
    <w:rsid w:val="00073D51"/>
    <w:rsid w:val="00073DF8"/>
    <w:rsid w:val="00074133"/>
    <w:rsid w:val="00074141"/>
    <w:rsid w:val="0007431A"/>
    <w:rsid w:val="000743E3"/>
    <w:rsid w:val="00074472"/>
    <w:rsid w:val="000748E5"/>
    <w:rsid w:val="00074958"/>
    <w:rsid w:val="00074A80"/>
    <w:rsid w:val="00074A83"/>
    <w:rsid w:val="00074A85"/>
    <w:rsid w:val="00074BE5"/>
    <w:rsid w:val="00074C4A"/>
    <w:rsid w:val="00074CF2"/>
    <w:rsid w:val="00074D1C"/>
    <w:rsid w:val="00074D76"/>
    <w:rsid w:val="00074D8E"/>
    <w:rsid w:val="00074E16"/>
    <w:rsid w:val="00074EBE"/>
    <w:rsid w:val="00075095"/>
    <w:rsid w:val="00075278"/>
    <w:rsid w:val="00075279"/>
    <w:rsid w:val="00075344"/>
    <w:rsid w:val="000753CE"/>
    <w:rsid w:val="000753EB"/>
    <w:rsid w:val="00075469"/>
    <w:rsid w:val="00075543"/>
    <w:rsid w:val="00075671"/>
    <w:rsid w:val="00075681"/>
    <w:rsid w:val="00075824"/>
    <w:rsid w:val="0007586E"/>
    <w:rsid w:val="00075AB7"/>
    <w:rsid w:val="00075FA1"/>
    <w:rsid w:val="0007612E"/>
    <w:rsid w:val="0007623A"/>
    <w:rsid w:val="00076328"/>
    <w:rsid w:val="00076439"/>
    <w:rsid w:val="00076477"/>
    <w:rsid w:val="00076534"/>
    <w:rsid w:val="00076657"/>
    <w:rsid w:val="00076819"/>
    <w:rsid w:val="00076B38"/>
    <w:rsid w:val="00076C65"/>
    <w:rsid w:val="00076DEC"/>
    <w:rsid w:val="00076DF1"/>
    <w:rsid w:val="00076E1E"/>
    <w:rsid w:val="00076F2C"/>
    <w:rsid w:val="00077016"/>
    <w:rsid w:val="000773B7"/>
    <w:rsid w:val="0007751B"/>
    <w:rsid w:val="000775C1"/>
    <w:rsid w:val="000776E7"/>
    <w:rsid w:val="000776F8"/>
    <w:rsid w:val="00077775"/>
    <w:rsid w:val="00077940"/>
    <w:rsid w:val="00077AE4"/>
    <w:rsid w:val="00077AE5"/>
    <w:rsid w:val="00077B95"/>
    <w:rsid w:val="00077D83"/>
    <w:rsid w:val="00077E04"/>
    <w:rsid w:val="00077F0B"/>
    <w:rsid w:val="00077FD7"/>
    <w:rsid w:val="000800B9"/>
    <w:rsid w:val="0008011E"/>
    <w:rsid w:val="0008018F"/>
    <w:rsid w:val="000801B1"/>
    <w:rsid w:val="0008066A"/>
    <w:rsid w:val="000807CD"/>
    <w:rsid w:val="00080875"/>
    <w:rsid w:val="00080944"/>
    <w:rsid w:val="00080A54"/>
    <w:rsid w:val="00080AFC"/>
    <w:rsid w:val="00080E15"/>
    <w:rsid w:val="00080FDA"/>
    <w:rsid w:val="000810FA"/>
    <w:rsid w:val="00081118"/>
    <w:rsid w:val="000812F8"/>
    <w:rsid w:val="000815D8"/>
    <w:rsid w:val="0008181B"/>
    <w:rsid w:val="00081894"/>
    <w:rsid w:val="000818B5"/>
    <w:rsid w:val="00081A75"/>
    <w:rsid w:val="00081FA0"/>
    <w:rsid w:val="0008202C"/>
    <w:rsid w:val="00082177"/>
    <w:rsid w:val="000822DA"/>
    <w:rsid w:val="00082333"/>
    <w:rsid w:val="00082416"/>
    <w:rsid w:val="0008243B"/>
    <w:rsid w:val="000824AC"/>
    <w:rsid w:val="000824EA"/>
    <w:rsid w:val="000826F7"/>
    <w:rsid w:val="00082794"/>
    <w:rsid w:val="0008288D"/>
    <w:rsid w:val="00082B16"/>
    <w:rsid w:val="00082BDD"/>
    <w:rsid w:val="00082C47"/>
    <w:rsid w:val="00082C7F"/>
    <w:rsid w:val="00082DAD"/>
    <w:rsid w:val="00082DC0"/>
    <w:rsid w:val="00082E42"/>
    <w:rsid w:val="00082E52"/>
    <w:rsid w:val="00083183"/>
    <w:rsid w:val="000831EA"/>
    <w:rsid w:val="00083240"/>
    <w:rsid w:val="000832F7"/>
    <w:rsid w:val="000833D6"/>
    <w:rsid w:val="0008345B"/>
    <w:rsid w:val="0008359F"/>
    <w:rsid w:val="000835F9"/>
    <w:rsid w:val="000836B8"/>
    <w:rsid w:val="000837B4"/>
    <w:rsid w:val="00083810"/>
    <w:rsid w:val="00083981"/>
    <w:rsid w:val="00083AEB"/>
    <w:rsid w:val="00083B10"/>
    <w:rsid w:val="00083B2F"/>
    <w:rsid w:val="00083B33"/>
    <w:rsid w:val="00083B5F"/>
    <w:rsid w:val="00083BC4"/>
    <w:rsid w:val="00084029"/>
    <w:rsid w:val="000843E1"/>
    <w:rsid w:val="0008448F"/>
    <w:rsid w:val="000844DE"/>
    <w:rsid w:val="000845B3"/>
    <w:rsid w:val="000845FE"/>
    <w:rsid w:val="00084612"/>
    <w:rsid w:val="00084846"/>
    <w:rsid w:val="00084C57"/>
    <w:rsid w:val="00084E04"/>
    <w:rsid w:val="0008521A"/>
    <w:rsid w:val="000852C4"/>
    <w:rsid w:val="000852E0"/>
    <w:rsid w:val="00085372"/>
    <w:rsid w:val="000853E5"/>
    <w:rsid w:val="00085499"/>
    <w:rsid w:val="0008560F"/>
    <w:rsid w:val="000856D9"/>
    <w:rsid w:val="00085711"/>
    <w:rsid w:val="00085748"/>
    <w:rsid w:val="000857F6"/>
    <w:rsid w:val="000858EE"/>
    <w:rsid w:val="00085D25"/>
    <w:rsid w:val="00085D4B"/>
    <w:rsid w:val="00085D82"/>
    <w:rsid w:val="00085DCF"/>
    <w:rsid w:val="00085DDC"/>
    <w:rsid w:val="00085E8D"/>
    <w:rsid w:val="00085FA5"/>
    <w:rsid w:val="00085FB5"/>
    <w:rsid w:val="000861C7"/>
    <w:rsid w:val="000861F6"/>
    <w:rsid w:val="00086415"/>
    <w:rsid w:val="00086954"/>
    <w:rsid w:val="00086B5F"/>
    <w:rsid w:val="00086B82"/>
    <w:rsid w:val="00086C71"/>
    <w:rsid w:val="00086E71"/>
    <w:rsid w:val="00087018"/>
    <w:rsid w:val="00087025"/>
    <w:rsid w:val="0008702E"/>
    <w:rsid w:val="00087074"/>
    <w:rsid w:val="0008731C"/>
    <w:rsid w:val="00087339"/>
    <w:rsid w:val="0008735C"/>
    <w:rsid w:val="000874A6"/>
    <w:rsid w:val="0008777C"/>
    <w:rsid w:val="00087826"/>
    <w:rsid w:val="00087895"/>
    <w:rsid w:val="000879C1"/>
    <w:rsid w:val="00087A8D"/>
    <w:rsid w:val="00087ACD"/>
    <w:rsid w:val="00087BFA"/>
    <w:rsid w:val="00087C01"/>
    <w:rsid w:val="00087DB0"/>
    <w:rsid w:val="00087DD8"/>
    <w:rsid w:val="000900BE"/>
    <w:rsid w:val="000902B9"/>
    <w:rsid w:val="00090347"/>
    <w:rsid w:val="00090408"/>
    <w:rsid w:val="0009048B"/>
    <w:rsid w:val="000904D6"/>
    <w:rsid w:val="000904FF"/>
    <w:rsid w:val="0009083F"/>
    <w:rsid w:val="00090844"/>
    <w:rsid w:val="00090908"/>
    <w:rsid w:val="000909C0"/>
    <w:rsid w:val="00090A6F"/>
    <w:rsid w:val="00090AE6"/>
    <w:rsid w:val="00090C31"/>
    <w:rsid w:val="00090C8F"/>
    <w:rsid w:val="00090D46"/>
    <w:rsid w:val="00090D57"/>
    <w:rsid w:val="00090D8D"/>
    <w:rsid w:val="00090DCA"/>
    <w:rsid w:val="00090EC1"/>
    <w:rsid w:val="00090FBB"/>
    <w:rsid w:val="00091039"/>
    <w:rsid w:val="000911E9"/>
    <w:rsid w:val="0009141C"/>
    <w:rsid w:val="00091459"/>
    <w:rsid w:val="000914CC"/>
    <w:rsid w:val="00091503"/>
    <w:rsid w:val="00091902"/>
    <w:rsid w:val="00091A83"/>
    <w:rsid w:val="00091A9A"/>
    <w:rsid w:val="00091B38"/>
    <w:rsid w:val="00091C40"/>
    <w:rsid w:val="00091F7B"/>
    <w:rsid w:val="00091F8B"/>
    <w:rsid w:val="00092003"/>
    <w:rsid w:val="00092141"/>
    <w:rsid w:val="0009219A"/>
    <w:rsid w:val="000921C0"/>
    <w:rsid w:val="00092361"/>
    <w:rsid w:val="00092406"/>
    <w:rsid w:val="00092487"/>
    <w:rsid w:val="000924C3"/>
    <w:rsid w:val="000925DC"/>
    <w:rsid w:val="0009266B"/>
    <w:rsid w:val="000929CE"/>
    <w:rsid w:val="00092A2F"/>
    <w:rsid w:val="00092B26"/>
    <w:rsid w:val="00092DEB"/>
    <w:rsid w:val="00092F49"/>
    <w:rsid w:val="00092F92"/>
    <w:rsid w:val="00092FB8"/>
    <w:rsid w:val="000932D9"/>
    <w:rsid w:val="0009335C"/>
    <w:rsid w:val="000933D5"/>
    <w:rsid w:val="000936EA"/>
    <w:rsid w:val="000937D5"/>
    <w:rsid w:val="0009395A"/>
    <w:rsid w:val="000939F2"/>
    <w:rsid w:val="00093B2F"/>
    <w:rsid w:val="00093C2C"/>
    <w:rsid w:val="00093CE9"/>
    <w:rsid w:val="00093D6E"/>
    <w:rsid w:val="00093DAC"/>
    <w:rsid w:val="00093E90"/>
    <w:rsid w:val="00093F5F"/>
    <w:rsid w:val="00093F70"/>
    <w:rsid w:val="00094525"/>
    <w:rsid w:val="00094663"/>
    <w:rsid w:val="00094728"/>
    <w:rsid w:val="000947D3"/>
    <w:rsid w:val="00094951"/>
    <w:rsid w:val="00094A62"/>
    <w:rsid w:val="00094A78"/>
    <w:rsid w:val="00094B16"/>
    <w:rsid w:val="00094B71"/>
    <w:rsid w:val="00094E28"/>
    <w:rsid w:val="00094EAE"/>
    <w:rsid w:val="00095120"/>
    <w:rsid w:val="000952B8"/>
    <w:rsid w:val="00095405"/>
    <w:rsid w:val="00095418"/>
    <w:rsid w:val="00095506"/>
    <w:rsid w:val="00095512"/>
    <w:rsid w:val="00095519"/>
    <w:rsid w:val="000955FC"/>
    <w:rsid w:val="00095657"/>
    <w:rsid w:val="000956A2"/>
    <w:rsid w:val="0009597D"/>
    <w:rsid w:val="000959CB"/>
    <w:rsid w:val="00095B26"/>
    <w:rsid w:val="00095ED0"/>
    <w:rsid w:val="00095FAF"/>
    <w:rsid w:val="00095FB0"/>
    <w:rsid w:val="00095FF0"/>
    <w:rsid w:val="00096027"/>
    <w:rsid w:val="00096123"/>
    <w:rsid w:val="00096387"/>
    <w:rsid w:val="00096546"/>
    <w:rsid w:val="000965C9"/>
    <w:rsid w:val="000969E9"/>
    <w:rsid w:val="00096A2B"/>
    <w:rsid w:val="00096AEC"/>
    <w:rsid w:val="00096C6C"/>
    <w:rsid w:val="00096DB4"/>
    <w:rsid w:val="00096EAD"/>
    <w:rsid w:val="00097308"/>
    <w:rsid w:val="000976A9"/>
    <w:rsid w:val="00097745"/>
    <w:rsid w:val="000978F4"/>
    <w:rsid w:val="00097A09"/>
    <w:rsid w:val="00097DAC"/>
    <w:rsid w:val="00097E60"/>
    <w:rsid w:val="00097EAC"/>
    <w:rsid w:val="000A02FE"/>
    <w:rsid w:val="000A048A"/>
    <w:rsid w:val="000A0654"/>
    <w:rsid w:val="000A0764"/>
    <w:rsid w:val="000A07F3"/>
    <w:rsid w:val="000A08D6"/>
    <w:rsid w:val="000A0942"/>
    <w:rsid w:val="000A09D2"/>
    <w:rsid w:val="000A0C2B"/>
    <w:rsid w:val="000A0D0C"/>
    <w:rsid w:val="000A0E68"/>
    <w:rsid w:val="000A0F43"/>
    <w:rsid w:val="000A11A3"/>
    <w:rsid w:val="000A1423"/>
    <w:rsid w:val="000A14EC"/>
    <w:rsid w:val="000A15A4"/>
    <w:rsid w:val="000A16C6"/>
    <w:rsid w:val="000A178F"/>
    <w:rsid w:val="000A1A14"/>
    <w:rsid w:val="000A1B91"/>
    <w:rsid w:val="000A1CD1"/>
    <w:rsid w:val="000A1E34"/>
    <w:rsid w:val="000A200C"/>
    <w:rsid w:val="000A2065"/>
    <w:rsid w:val="000A2253"/>
    <w:rsid w:val="000A2366"/>
    <w:rsid w:val="000A24C9"/>
    <w:rsid w:val="000A2626"/>
    <w:rsid w:val="000A2637"/>
    <w:rsid w:val="000A2753"/>
    <w:rsid w:val="000A2804"/>
    <w:rsid w:val="000A2980"/>
    <w:rsid w:val="000A2C72"/>
    <w:rsid w:val="000A2E06"/>
    <w:rsid w:val="000A30FB"/>
    <w:rsid w:val="000A320A"/>
    <w:rsid w:val="000A3274"/>
    <w:rsid w:val="000A3294"/>
    <w:rsid w:val="000A345C"/>
    <w:rsid w:val="000A3652"/>
    <w:rsid w:val="000A3788"/>
    <w:rsid w:val="000A37F9"/>
    <w:rsid w:val="000A3829"/>
    <w:rsid w:val="000A3B08"/>
    <w:rsid w:val="000A3B14"/>
    <w:rsid w:val="000A3B9F"/>
    <w:rsid w:val="000A3EE3"/>
    <w:rsid w:val="000A3EF6"/>
    <w:rsid w:val="000A407F"/>
    <w:rsid w:val="000A42FB"/>
    <w:rsid w:val="000A4331"/>
    <w:rsid w:val="000A43B3"/>
    <w:rsid w:val="000A467E"/>
    <w:rsid w:val="000A4789"/>
    <w:rsid w:val="000A4A67"/>
    <w:rsid w:val="000A4BE8"/>
    <w:rsid w:val="000A4D1E"/>
    <w:rsid w:val="000A4E63"/>
    <w:rsid w:val="000A4E8C"/>
    <w:rsid w:val="000A502D"/>
    <w:rsid w:val="000A5086"/>
    <w:rsid w:val="000A5238"/>
    <w:rsid w:val="000A5310"/>
    <w:rsid w:val="000A53D0"/>
    <w:rsid w:val="000A53E1"/>
    <w:rsid w:val="000A57D3"/>
    <w:rsid w:val="000A591F"/>
    <w:rsid w:val="000A5A52"/>
    <w:rsid w:val="000A5A83"/>
    <w:rsid w:val="000A5A99"/>
    <w:rsid w:val="000A5AC4"/>
    <w:rsid w:val="000A5BF4"/>
    <w:rsid w:val="000A5D11"/>
    <w:rsid w:val="000A5EDD"/>
    <w:rsid w:val="000A5F11"/>
    <w:rsid w:val="000A60FF"/>
    <w:rsid w:val="000A6154"/>
    <w:rsid w:val="000A639D"/>
    <w:rsid w:val="000A64C4"/>
    <w:rsid w:val="000A650F"/>
    <w:rsid w:val="000A6527"/>
    <w:rsid w:val="000A65AB"/>
    <w:rsid w:val="000A663F"/>
    <w:rsid w:val="000A6794"/>
    <w:rsid w:val="000A6914"/>
    <w:rsid w:val="000A6BFB"/>
    <w:rsid w:val="000A6C6D"/>
    <w:rsid w:val="000A6D40"/>
    <w:rsid w:val="000A7065"/>
    <w:rsid w:val="000A71EB"/>
    <w:rsid w:val="000A72AA"/>
    <w:rsid w:val="000A745B"/>
    <w:rsid w:val="000A74A1"/>
    <w:rsid w:val="000A74F2"/>
    <w:rsid w:val="000A751E"/>
    <w:rsid w:val="000A7558"/>
    <w:rsid w:val="000A7648"/>
    <w:rsid w:val="000A764E"/>
    <w:rsid w:val="000A7912"/>
    <w:rsid w:val="000A79E6"/>
    <w:rsid w:val="000A7A3B"/>
    <w:rsid w:val="000A7B34"/>
    <w:rsid w:val="000A7EE2"/>
    <w:rsid w:val="000B0021"/>
    <w:rsid w:val="000B01C6"/>
    <w:rsid w:val="000B05C5"/>
    <w:rsid w:val="000B08C2"/>
    <w:rsid w:val="000B0A46"/>
    <w:rsid w:val="000B0B39"/>
    <w:rsid w:val="000B0BF3"/>
    <w:rsid w:val="000B100D"/>
    <w:rsid w:val="000B110A"/>
    <w:rsid w:val="000B1147"/>
    <w:rsid w:val="000B1340"/>
    <w:rsid w:val="000B15AD"/>
    <w:rsid w:val="000B15FD"/>
    <w:rsid w:val="000B16A3"/>
    <w:rsid w:val="000B17BB"/>
    <w:rsid w:val="000B1847"/>
    <w:rsid w:val="000B18BB"/>
    <w:rsid w:val="000B18EF"/>
    <w:rsid w:val="000B1A9A"/>
    <w:rsid w:val="000B1B76"/>
    <w:rsid w:val="000B1BB0"/>
    <w:rsid w:val="000B1C00"/>
    <w:rsid w:val="000B1CFE"/>
    <w:rsid w:val="000B1E23"/>
    <w:rsid w:val="000B1EDD"/>
    <w:rsid w:val="000B20DB"/>
    <w:rsid w:val="000B2141"/>
    <w:rsid w:val="000B229B"/>
    <w:rsid w:val="000B2451"/>
    <w:rsid w:val="000B289C"/>
    <w:rsid w:val="000B2992"/>
    <w:rsid w:val="000B2E6F"/>
    <w:rsid w:val="000B2F91"/>
    <w:rsid w:val="000B309E"/>
    <w:rsid w:val="000B31DA"/>
    <w:rsid w:val="000B3460"/>
    <w:rsid w:val="000B34DF"/>
    <w:rsid w:val="000B3688"/>
    <w:rsid w:val="000B36F4"/>
    <w:rsid w:val="000B376A"/>
    <w:rsid w:val="000B39BA"/>
    <w:rsid w:val="000B3C3B"/>
    <w:rsid w:val="000B3CF4"/>
    <w:rsid w:val="000B3DA8"/>
    <w:rsid w:val="000B3F46"/>
    <w:rsid w:val="000B4102"/>
    <w:rsid w:val="000B41B6"/>
    <w:rsid w:val="000B43CA"/>
    <w:rsid w:val="000B4486"/>
    <w:rsid w:val="000B4772"/>
    <w:rsid w:val="000B481A"/>
    <w:rsid w:val="000B4871"/>
    <w:rsid w:val="000B48B5"/>
    <w:rsid w:val="000B48C3"/>
    <w:rsid w:val="000B4A86"/>
    <w:rsid w:val="000B4A8A"/>
    <w:rsid w:val="000B4A93"/>
    <w:rsid w:val="000B4B06"/>
    <w:rsid w:val="000B4BAD"/>
    <w:rsid w:val="000B4C60"/>
    <w:rsid w:val="000B4CD3"/>
    <w:rsid w:val="000B4D2D"/>
    <w:rsid w:val="000B4EC5"/>
    <w:rsid w:val="000B4EE0"/>
    <w:rsid w:val="000B5095"/>
    <w:rsid w:val="000B52D1"/>
    <w:rsid w:val="000B5316"/>
    <w:rsid w:val="000B5357"/>
    <w:rsid w:val="000B5383"/>
    <w:rsid w:val="000B55BA"/>
    <w:rsid w:val="000B55D8"/>
    <w:rsid w:val="000B591B"/>
    <w:rsid w:val="000B5A22"/>
    <w:rsid w:val="000B5A54"/>
    <w:rsid w:val="000B5ADB"/>
    <w:rsid w:val="000B5B2A"/>
    <w:rsid w:val="000B5C74"/>
    <w:rsid w:val="000B5CF8"/>
    <w:rsid w:val="000B5DF4"/>
    <w:rsid w:val="000B60FF"/>
    <w:rsid w:val="000B6168"/>
    <w:rsid w:val="000B61C8"/>
    <w:rsid w:val="000B6626"/>
    <w:rsid w:val="000B669A"/>
    <w:rsid w:val="000B66BF"/>
    <w:rsid w:val="000B66F0"/>
    <w:rsid w:val="000B6807"/>
    <w:rsid w:val="000B6AA2"/>
    <w:rsid w:val="000B6D38"/>
    <w:rsid w:val="000B6DE2"/>
    <w:rsid w:val="000B6DE6"/>
    <w:rsid w:val="000B6DE7"/>
    <w:rsid w:val="000B70B9"/>
    <w:rsid w:val="000B72C9"/>
    <w:rsid w:val="000B7317"/>
    <w:rsid w:val="000B7326"/>
    <w:rsid w:val="000B733C"/>
    <w:rsid w:val="000B75C0"/>
    <w:rsid w:val="000B7608"/>
    <w:rsid w:val="000B7651"/>
    <w:rsid w:val="000B774D"/>
    <w:rsid w:val="000B779C"/>
    <w:rsid w:val="000B78BE"/>
    <w:rsid w:val="000B78F1"/>
    <w:rsid w:val="000B7900"/>
    <w:rsid w:val="000B7951"/>
    <w:rsid w:val="000B7A21"/>
    <w:rsid w:val="000B7AD4"/>
    <w:rsid w:val="000B7BD4"/>
    <w:rsid w:val="000B7C2A"/>
    <w:rsid w:val="000B7EEF"/>
    <w:rsid w:val="000C0046"/>
    <w:rsid w:val="000C00F1"/>
    <w:rsid w:val="000C00FC"/>
    <w:rsid w:val="000C038B"/>
    <w:rsid w:val="000C0469"/>
    <w:rsid w:val="000C0B0F"/>
    <w:rsid w:val="000C0BAA"/>
    <w:rsid w:val="000C0EEE"/>
    <w:rsid w:val="000C0FAB"/>
    <w:rsid w:val="000C1055"/>
    <w:rsid w:val="000C111E"/>
    <w:rsid w:val="000C1379"/>
    <w:rsid w:val="000C1474"/>
    <w:rsid w:val="000C1673"/>
    <w:rsid w:val="000C1704"/>
    <w:rsid w:val="000C18AF"/>
    <w:rsid w:val="000C1975"/>
    <w:rsid w:val="000C1D3D"/>
    <w:rsid w:val="000C20F9"/>
    <w:rsid w:val="000C226F"/>
    <w:rsid w:val="000C2711"/>
    <w:rsid w:val="000C281A"/>
    <w:rsid w:val="000C2837"/>
    <w:rsid w:val="000C2846"/>
    <w:rsid w:val="000C2895"/>
    <w:rsid w:val="000C29C4"/>
    <w:rsid w:val="000C2A91"/>
    <w:rsid w:val="000C2B91"/>
    <w:rsid w:val="000C2C75"/>
    <w:rsid w:val="000C2D8F"/>
    <w:rsid w:val="000C2E33"/>
    <w:rsid w:val="000C2E46"/>
    <w:rsid w:val="000C2F0C"/>
    <w:rsid w:val="000C2FCF"/>
    <w:rsid w:val="000C316E"/>
    <w:rsid w:val="000C322E"/>
    <w:rsid w:val="000C32E4"/>
    <w:rsid w:val="000C33EF"/>
    <w:rsid w:val="000C3526"/>
    <w:rsid w:val="000C3574"/>
    <w:rsid w:val="000C3627"/>
    <w:rsid w:val="000C36F7"/>
    <w:rsid w:val="000C38C9"/>
    <w:rsid w:val="000C38E4"/>
    <w:rsid w:val="000C3A2D"/>
    <w:rsid w:val="000C3C09"/>
    <w:rsid w:val="000C3D3F"/>
    <w:rsid w:val="000C3D59"/>
    <w:rsid w:val="000C3D6A"/>
    <w:rsid w:val="000C3D86"/>
    <w:rsid w:val="000C3DD2"/>
    <w:rsid w:val="000C3E3D"/>
    <w:rsid w:val="000C3EB0"/>
    <w:rsid w:val="000C3EBF"/>
    <w:rsid w:val="000C3F33"/>
    <w:rsid w:val="000C3FC1"/>
    <w:rsid w:val="000C4014"/>
    <w:rsid w:val="000C41DA"/>
    <w:rsid w:val="000C420E"/>
    <w:rsid w:val="000C432F"/>
    <w:rsid w:val="000C4436"/>
    <w:rsid w:val="000C45F5"/>
    <w:rsid w:val="000C4601"/>
    <w:rsid w:val="000C47E1"/>
    <w:rsid w:val="000C480E"/>
    <w:rsid w:val="000C49A2"/>
    <w:rsid w:val="000C4A7E"/>
    <w:rsid w:val="000C4D05"/>
    <w:rsid w:val="000C4D49"/>
    <w:rsid w:val="000C4DD2"/>
    <w:rsid w:val="000C4ED4"/>
    <w:rsid w:val="000C4F8B"/>
    <w:rsid w:val="000C4FDE"/>
    <w:rsid w:val="000C50F2"/>
    <w:rsid w:val="000C5104"/>
    <w:rsid w:val="000C5170"/>
    <w:rsid w:val="000C52C8"/>
    <w:rsid w:val="000C5384"/>
    <w:rsid w:val="000C5386"/>
    <w:rsid w:val="000C5498"/>
    <w:rsid w:val="000C54AF"/>
    <w:rsid w:val="000C5680"/>
    <w:rsid w:val="000C5733"/>
    <w:rsid w:val="000C57D9"/>
    <w:rsid w:val="000C5844"/>
    <w:rsid w:val="000C5ABF"/>
    <w:rsid w:val="000C5D0B"/>
    <w:rsid w:val="000C5D32"/>
    <w:rsid w:val="000C5F0C"/>
    <w:rsid w:val="000C5F7B"/>
    <w:rsid w:val="000C5FEB"/>
    <w:rsid w:val="000C60EE"/>
    <w:rsid w:val="000C6128"/>
    <w:rsid w:val="000C613C"/>
    <w:rsid w:val="000C624B"/>
    <w:rsid w:val="000C632D"/>
    <w:rsid w:val="000C63EF"/>
    <w:rsid w:val="000C648A"/>
    <w:rsid w:val="000C64F0"/>
    <w:rsid w:val="000C6612"/>
    <w:rsid w:val="000C66BE"/>
    <w:rsid w:val="000C67DA"/>
    <w:rsid w:val="000C6A49"/>
    <w:rsid w:val="000C6ACC"/>
    <w:rsid w:val="000C6BAC"/>
    <w:rsid w:val="000C6E10"/>
    <w:rsid w:val="000C6E17"/>
    <w:rsid w:val="000C6E59"/>
    <w:rsid w:val="000C6F2A"/>
    <w:rsid w:val="000C6F2C"/>
    <w:rsid w:val="000C6FFB"/>
    <w:rsid w:val="000C7226"/>
    <w:rsid w:val="000C7321"/>
    <w:rsid w:val="000C745A"/>
    <w:rsid w:val="000C74C4"/>
    <w:rsid w:val="000C74DD"/>
    <w:rsid w:val="000C76A4"/>
    <w:rsid w:val="000C7850"/>
    <w:rsid w:val="000C7993"/>
    <w:rsid w:val="000C7B21"/>
    <w:rsid w:val="000C7B49"/>
    <w:rsid w:val="000C7B8A"/>
    <w:rsid w:val="000C7DC8"/>
    <w:rsid w:val="000C7F85"/>
    <w:rsid w:val="000D0081"/>
    <w:rsid w:val="000D011C"/>
    <w:rsid w:val="000D0491"/>
    <w:rsid w:val="000D04FB"/>
    <w:rsid w:val="000D05A3"/>
    <w:rsid w:val="000D07A6"/>
    <w:rsid w:val="000D0903"/>
    <w:rsid w:val="000D09A5"/>
    <w:rsid w:val="000D09C1"/>
    <w:rsid w:val="000D0A00"/>
    <w:rsid w:val="000D0A27"/>
    <w:rsid w:val="000D0D83"/>
    <w:rsid w:val="000D0DCC"/>
    <w:rsid w:val="000D0F7A"/>
    <w:rsid w:val="000D0F9A"/>
    <w:rsid w:val="000D1067"/>
    <w:rsid w:val="000D109D"/>
    <w:rsid w:val="000D1426"/>
    <w:rsid w:val="000D167F"/>
    <w:rsid w:val="000D171D"/>
    <w:rsid w:val="000D17AA"/>
    <w:rsid w:val="000D1B43"/>
    <w:rsid w:val="000D1BC9"/>
    <w:rsid w:val="000D1E51"/>
    <w:rsid w:val="000D216A"/>
    <w:rsid w:val="000D21EF"/>
    <w:rsid w:val="000D236C"/>
    <w:rsid w:val="000D242D"/>
    <w:rsid w:val="000D2676"/>
    <w:rsid w:val="000D26B2"/>
    <w:rsid w:val="000D281A"/>
    <w:rsid w:val="000D2861"/>
    <w:rsid w:val="000D2A46"/>
    <w:rsid w:val="000D2A79"/>
    <w:rsid w:val="000D2B2A"/>
    <w:rsid w:val="000D2CF1"/>
    <w:rsid w:val="000D2D25"/>
    <w:rsid w:val="000D2DE8"/>
    <w:rsid w:val="000D2E44"/>
    <w:rsid w:val="000D2E81"/>
    <w:rsid w:val="000D303E"/>
    <w:rsid w:val="000D308B"/>
    <w:rsid w:val="000D3484"/>
    <w:rsid w:val="000D35D6"/>
    <w:rsid w:val="000D39DF"/>
    <w:rsid w:val="000D3AB1"/>
    <w:rsid w:val="000D3AE8"/>
    <w:rsid w:val="000D3BB1"/>
    <w:rsid w:val="000D3EBA"/>
    <w:rsid w:val="000D3ED2"/>
    <w:rsid w:val="000D3FA5"/>
    <w:rsid w:val="000D40D1"/>
    <w:rsid w:val="000D4344"/>
    <w:rsid w:val="000D4533"/>
    <w:rsid w:val="000D4622"/>
    <w:rsid w:val="000D4701"/>
    <w:rsid w:val="000D472B"/>
    <w:rsid w:val="000D472D"/>
    <w:rsid w:val="000D4994"/>
    <w:rsid w:val="000D49DA"/>
    <w:rsid w:val="000D4BD4"/>
    <w:rsid w:val="000D4CA3"/>
    <w:rsid w:val="000D4DDC"/>
    <w:rsid w:val="000D4E0F"/>
    <w:rsid w:val="000D5079"/>
    <w:rsid w:val="000D5167"/>
    <w:rsid w:val="000D545B"/>
    <w:rsid w:val="000D561B"/>
    <w:rsid w:val="000D56CB"/>
    <w:rsid w:val="000D576A"/>
    <w:rsid w:val="000D59CA"/>
    <w:rsid w:val="000D5B47"/>
    <w:rsid w:val="000D5EF8"/>
    <w:rsid w:val="000D6087"/>
    <w:rsid w:val="000D6154"/>
    <w:rsid w:val="000D61B2"/>
    <w:rsid w:val="000D620F"/>
    <w:rsid w:val="000D6252"/>
    <w:rsid w:val="000D635E"/>
    <w:rsid w:val="000D63F6"/>
    <w:rsid w:val="000D6549"/>
    <w:rsid w:val="000D67C5"/>
    <w:rsid w:val="000D6809"/>
    <w:rsid w:val="000D6842"/>
    <w:rsid w:val="000D68F2"/>
    <w:rsid w:val="000D6994"/>
    <w:rsid w:val="000D6AB7"/>
    <w:rsid w:val="000D6B6D"/>
    <w:rsid w:val="000D6C14"/>
    <w:rsid w:val="000D6E12"/>
    <w:rsid w:val="000D6F37"/>
    <w:rsid w:val="000D6FAD"/>
    <w:rsid w:val="000D702F"/>
    <w:rsid w:val="000D724B"/>
    <w:rsid w:val="000D72DD"/>
    <w:rsid w:val="000D7323"/>
    <w:rsid w:val="000D756D"/>
    <w:rsid w:val="000D75C5"/>
    <w:rsid w:val="000D76FA"/>
    <w:rsid w:val="000D77B1"/>
    <w:rsid w:val="000D79BE"/>
    <w:rsid w:val="000D7B09"/>
    <w:rsid w:val="000D7B40"/>
    <w:rsid w:val="000D7C0B"/>
    <w:rsid w:val="000E019A"/>
    <w:rsid w:val="000E063A"/>
    <w:rsid w:val="000E0AA8"/>
    <w:rsid w:val="000E0C13"/>
    <w:rsid w:val="000E0DAB"/>
    <w:rsid w:val="000E0DAD"/>
    <w:rsid w:val="000E104A"/>
    <w:rsid w:val="000E10A4"/>
    <w:rsid w:val="000E12B4"/>
    <w:rsid w:val="000E1309"/>
    <w:rsid w:val="000E135E"/>
    <w:rsid w:val="000E1436"/>
    <w:rsid w:val="000E14AB"/>
    <w:rsid w:val="000E14D3"/>
    <w:rsid w:val="000E15F5"/>
    <w:rsid w:val="000E171E"/>
    <w:rsid w:val="000E1945"/>
    <w:rsid w:val="000E198E"/>
    <w:rsid w:val="000E1C32"/>
    <w:rsid w:val="000E1F49"/>
    <w:rsid w:val="000E2019"/>
    <w:rsid w:val="000E2574"/>
    <w:rsid w:val="000E2625"/>
    <w:rsid w:val="000E26EF"/>
    <w:rsid w:val="000E299B"/>
    <w:rsid w:val="000E29A4"/>
    <w:rsid w:val="000E2B0B"/>
    <w:rsid w:val="000E2B26"/>
    <w:rsid w:val="000E2B45"/>
    <w:rsid w:val="000E2D8C"/>
    <w:rsid w:val="000E2FEA"/>
    <w:rsid w:val="000E312B"/>
    <w:rsid w:val="000E31AE"/>
    <w:rsid w:val="000E31C3"/>
    <w:rsid w:val="000E31C9"/>
    <w:rsid w:val="000E356B"/>
    <w:rsid w:val="000E3683"/>
    <w:rsid w:val="000E37EB"/>
    <w:rsid w:val="000E3829"/>
    <w:rsid w:val="000E3978"/>
    <w:rsid w:val="000E39D2"/>
    <w:rsid w:val="000E3A06"/>
    <w:rsid w:val="000E3A82"/>
    <w:rsid w:val="000E3C5E"/>
    <w:rsid w:val="000E3F4E"/>
    <w:rsid w:val="000E3FDB"/>
    <w:rsid w:val="000E40A7"/>
    <w:rsid w:val="000E43E1"/>
    <w:rsid w:val="000E4403"/>
    <w:rsid w:val="000E4682"/>
    <w:rsid w:val="000E46FC"/>
    <w:rsid w:val="000E47CB"/>
    <w:rsid w:val="000E47E6"/>
    <w:rsid w:val="000E482E"/>
    <w:rsid w:val="000E48E2"/>
    <w:rsid w:val="000E49B8"/>
    <w:rsid w:val="000E4A75"/>
    <w:rsid w:val="000E4C20"/>
    <w:rsid w:val="000E4C80"/>
    <w:rsid w:val="000E4DA0"/>
    <w:rsid w:val="000E4E41"/>
    <w:rsid w:val="000E4E8D"/>
    <w:rsid w:val="000E4EEE"/>
    <w:rsid w:val="000E4EF3"/>
    <w:rsid w:val="000E4F36"/>
    <w:rsid w:val="000E4F92"/>
    <w:rsid w:val="000E502E"/>
    <w:rsid w:val="000E5154"/>
    <w:rsid w:val="000E5310"/>
    <w:rsid w:val="000E5437"/>
    <w:rsid w:val="000E5687"/>
    <w:rsid w:val="000E57C5"/>
    <w:rsid w:val="000E580F"/>
    <w:rsid w:val="000E584E"/>
    <w:rsid w:val="000E5AB0"/>
    <w:rsid w:val="000E5ACA"/>
    <w:rsid w:val="000E5CE2"/>
    <w:rsid w:val="000E5F27"/>
    <w:rsid w:val="000E6353"/>
    <w:rsid w:val="000E651D"/>
    <w:rsid w:val="000E6671"/>
    <w:rsid w:val="000E6702"/>
    <w:rsid w:val="000E6774"/>
    <w:rsid w:val="000E6838"/>
    <w:rsid w:val="000E6A58"/>
    <w:rsid w:val="000E6CAE"/>
    <w:rsid w:val="000E6F96"/>
    <w:rsid w:val="000E71F4"/>
    <w:rsid w:val="000E73EC"/>
    <w:rsid w:val="000E748F"/>
    <w:rsid w:val="000E7685"/>
    <w:rsid w:val="000E78F0"/>
    <w:rsid w:val="000E792A"/>
    <w:rsid w:val="000E7977"/>
    <w:rsid w:val="000E7993"/>
    <w:rsid w:val="000E7B20"/>
    <w:rsid w:val="000E7BF4"/>
    <w:rsid w:val="000E7C2F"/>
    <w:rsid w:val="000E7C99"/>
    <w:rsid w:val="000E7CC4"/>
    <w:rsid w:val="000E7D36"/>
    <w:rsid w:val="000E7D81"/>
    <w:rsid w:val="000F0507"/>
    <w:rsid w:val="000F0541"/>
    <w:rsid w:val="000F0575"/>
    <w:rsid w:val="000F05CD"/>
    <w:rsid w:val="000F0744"/>
    <w:rsid w:val="000F09DA"/>
    <w:rsid w:val="000F0AA3"/>
    <w:rsid w:val="000F0F20"/>
    <w:rsid w:val="000F0F2B"/>
    <w:rsid w:val="000F0F84"/>
    <w:rsid w:val="000F0FC3"/>
    <w:rsid w:val="000F12F0"/>
    <w:rsid w:val="000F16CD"/>
    <w:rsid w:val="000F17D6"/>
    <w:rsid w:val="000F1843"/>
    <w:rsid w:val="000F1A34"/>
    <w:rsid w:val="000F1B14"/>
    <w:rsid w:val="000F1EC3"/>
    <w:rsid w:val="000F1EDA"/>
    <w:rsid w:val="000F21E9"/>
    <w:rsid w:val="000F2262"/>
    <w:rsid w:val="000F227D"/>
    <w:rsid w:val="000F22FA"/>
    <w:rsid w:val="000F2461"/>
    <w:rsid w:val="000F251D"/>
    <w:rsid w:val="000F255E"/>
    <w:rsid w:val="000F27EF"/>
    <w:rsid w:val="000F2840"/>
    <w:rsid w:val="000F29E2"/>
    <w:rsid w:val="000F29E7"/>
    <w:rsid w:val="000F2AB3"/>
    <w:rsid w:val="000F2AF0"/>
    <w:rsid w:val="000F2C42"/>
    <w:rsid w:val="000F2D51"/>
    <w:rsid w:val="000F2D8B"/>
    <w:rsid w:val="000F2E5A"/>
    <w:rsid w:val="000F310B"/>
    <w:rsid w:val="000F31C3"/>
    <w:rsid w:val="000F32EA"/>
    <w:rsid w:val="000F3577"/>
    <w:rsid w:val="000F38DC"/>
    <w:rsid w:val="000F3977"/>
    <w:rsid w:val="000F39E2"/>
    <w:rsid w:val="000F3A77"/>
    <w:rsid w:val="000F3ADF"/>
    <w:rsid w:val="000F3B3F"/>
    <w:rsid w:val="000F3C31"/>
    <w:rsid w:val="000F3D52"/>
    <w:rsid w:val="000F3EF5"/>
    <w:rsid w:val="000F3F4A"/>
    <w:rsid w:val="000F3FAE"/>
    <w:rsid w:val="000F4012"/>
    <w:rsid w:val="000F4224"/>
    <w:rsid w:val="000F4251"/>
    <w:rsid w:val="000F4419"/>
    <w:rsid w:val="000F442D"/>
    <w:rsid w:val="000F442E"/>
    <w:rsid w:val="000F449B"/>
    <w:rsid w:val="000F46A2"/>
    <w:rsid w:val="000F485E"/>
    <w:rsid w:val="000F4956"/>
    <w:rsid w:val="000F4CBD"/>
    <w:rsid w:val="000F4F01"/>
    <w:rsid w:val="000F5046"/>
    <w:rsid w:val="000F5076"/>
    <w:rsid w:val="000F5174"/>
    <w:rsid w:val="000F5178"/>
    <w:rsid w:val="000F51E8"/>
    <w:rsid w:val="000F51F6"/>
    <w:rsid w:val="000F5200"/>
    <w:rsid w:val="000F5402"/>
    <w:rsid w:val="000F541A"/>
    <w:rsid w:val="000F545C"/>
    <w:rsid w:val="000F563D"/>
    <w:rsid w:val="000F5761"/>
    <w:rsid w:val="000F5975"/>
    <w:rsid w:val="000F598E"/>
    <w:rsid w:val="000F5B63"/>
    <w:rsid w:val="000F5BC7"/>
    <w:rsid w:val="000F5D59"/>
    <w:rsid w:val="000F5DC0"/>
    <w:rsid w:val="000F5EA1"/>
    <w:rsid w:val="000F62AB"/>
    <w:rsid w:val="000F63B9"/>
    <w:rsid w:val="000F63F2"/>
    <w:rsid w:val="000F64CC"/>
    <w:rsid w:val="000F6603"/>
    <w:rsid w:val="000F67BE"/>
    <w:rsid w:val="000F68FC"/>
    <w:rsid w:val="000F6928"/>
    <w:rsid w:val="000F6AA4"/>
    <w:rsid w:val="000F6AC0"/>
    <w:rsid w:val="000F6C3D"/>
    <w:rsid w:val="000F6CCD"/>
    <w:rsid w:val="000F6D3E"/>
    <w:rsid w:val="000F6DB3"/>
    <w:rsid w:val="000F7066"/>
    <w:rsid w:val="000F70FB"/>
    <w:rsid w:val="000F71C3"/>
    <w:rsid w:val="000F71D1"/>
    <w:rsid w:val="000F7520"/>
    <w:rsid w:val="000F756C"/>
    <w:rsid w:val="000F75BC"/>
    <w:rsid w:val="000F75C6"/>
    <w:rsid w:val="000F75D5"/>
    <w:rsid w:val="000F768B"/>
    <w:rsid w:val="000F7723"/>
    <w:rsid w:val="000F780D"/>
    <w:rsid w:val="000F79E1"/>
    <w:rsid w:val="000F7A4E"/>
    <w:rsid w:val="000F7B1F"/>
    <w:rsid w:val="000F7CDF"/>
    <w:rsid w:val="000F7E02"/>
    <w:rsid w:val="000F7E87"/>
    <w:rsid w:val="00100005"/>
    <w:rsid w:val="00100060"/>
    <w:rsid w:val="001000EC"/>
    <w:rsid w:val="00100136"/>
    <w:rsid w:val="001001C1"/>
    <w:rsid w:val="001003EE"/>
    <w:rsid w:val="001003F0"/>
    <w:rsid w:val="00100557"/>
    <w:rsid w:val="001005B5"/>
    <w:rsid w:val="0010066B"/>
    <w:rsid w:val="0010073D"/>
    <w:rsid w:val="001008F1"/>
    <w:rsid w:val="00100C03"/>
    <w:rsid w:val="00100D70"/>
    <w:rsid w:val="00100FDE"/>
    <w:rsid w:val="001010AC"/>
    <w:rsid w:val="00101555"/>
    <w:rsid w:val="00101717"/>
    <w:rsid w:val="0010173C"/>
    <w:rsid w:val="0010184C"/>
    <w:rsid w:val="0010192D"/>
    <w:rsid w:val="00101975"/>
    <w:rsid w:val="00101B6D"/>
    <w:rsid w:val="00101B8A"/>
    <w:rsid w:val="00101D0A"/>
    <w:rsid w:val="00101D2D"/>
    <w:rsid w:val="00101E87"/>
    <w:rsid w:val="00101F9F"/>
    <w:rsid w:val="00101FBD"/>
    <w:rsid w:val="001020F6"/>
    <w:rsid w:val="001021F6"/>
    <w:rsid w:val="00102357"/>
    <w:rsid w:val="001023FE"/>
    <w:rsid w:val="00102535"/>
    <w:rsid w:val="001025F9"/>
    <w:rsid w:val="00102773"/>
    <w:rsid w:val="00102850"/>
    <w:rsid w:val="001028E4"/>
    <w:rsid w:val="00102AC7"/>
    <w:rsid w:val="00102C3A"/>
    <w:rsid w:val="00102CB7"/>
    <w:rsid w:val="00102CD0"/>
    <w:rsid w:val="00102DC1"/>
    <w:rsid w:val="00102DF7"/>
    <w:rsid w:val="001030CF"/>
    <w:rsid w:val="001030F3"/>
    <w:rsid w:val="0010311E"/>
    <w:rsid w:val="00103180"/>
    <w:rsid w:val="001031B7"/>
    <w:rsid w:val="00103411"/>
    <w:rsid w:val="00103564"/>
    <w:rsid w:val="00103591"/>
    <w:rsid w:val="001035D1"/>
    <w:rsid w:val="001038FA"/>
    <w:rsid w:val="00103AA0"/>
    <w:rsid w:val="00103ABD"/>
    <w:rsid w:val="00103BB0"/>
    <w:rsid w:val="00103C28"/>
    <w:rsid w:val="00103C38"/>
    <w:rsid w:val="00103F17"/>
    <w:rsid w:val="0010406D"/>
    <w:rsid w:val="00104084"/>
    <w:rsid w:val="00104134"/>
    <w:rsid w:val="0010421F"/>
    <w:rsid w:val="00104376"/>
    <w:rsid w:val="0010466E"/>
    <w:rsid w:val="0010474D"/>
    <w:rsid w:val="0010475F"/>
    <w:rsid w:val="0010496B"/>
    <w:rsid w:val="001049B0"/>
    <w:rsid w:val="001049F5"/>
    <w:rsid w:val="001049FF"/>
    <w:rsid w:val="00104B47"/>
    <w:rsid w:val="00104B91"/>
    <w:rsid w:val="00104CFD"/>
    <w:rsid w:val="00104DA5"/>
    <w:rsid w:val="00105010"/>
    <w:rsid w:val="00105167"/>
    <w:rsid w:val="00105404"/>
    <w:rsid w:val="00105481"/>
    <w:rsid w:val="00105539"/>
    <w:rsid w:val="0010560C"/>
    <w:rsid w:val="001057CE"/>
    <w:rsid w:val="001057FB"/>
    <w:rsid w:val="0010580F"/>
    <w:rsid w:val="00105A67"/>
    <w:rsid w:val="00105EEE"/>
    <w:rsid w:val="00105F19"/>
    <w:rsid w:val="00105F1C"/>
    <w:rsid w:val="00105F57"/>
    <w:rsid w:val="00105FCB"/>
    <w:rsid w:val="00105FD4"/>
    <w:rsid w:val="001061F7"/>
    <w:rsid w:val="001063C8"/>
    <w:rsid w:val="0010650D"/>
    <w:rsid w:val="00106629"/>
    <w:rsid w:val="0010667F"/>
    <w:rsid w:val="001068B5"/>
    <w:rsid w:val="001068C2"/>
    <w:rsid w:val="001068DA"/>
    <w:rsid w:val="001068ED"/>
    <w:rsid w:val="00106B64"/>
    <w:rsid w:val="00106B84"/>
    <w:rsid w:val="00106E32"/>
    <w:rsid w:val="00106FA2"/>
    <w:rsid w:val="00106FB1"/>
    <w:rsid w:val="00107328"/>
    <w:rsid w:val="00107340"/>
    <w:rsid w:val="0010734E"/>
    <w:rsid w:val="0010737D"/>
    <w:rsid w:val="001074A9"/>
    <w:rsid w:val="001074FD"/>
    <w:rsid w:val="00107664"/>
    <w:rsid w:val="0010776B"/>
    <w:rsid w:val="001077B1"/>
    <w:rsid w:val="001078F0"/>
    <w:rsid w:val="001078F6"/>
    <w:rsid w:val="00107906"/>
    <w:rsid w:val="0010795C"/>
    <w:rsid w:val="00107A65"/>
    <w:rsid w:val="00107B77"/>
    <w:rsid w:val="00107C60"/>
    <w:rsid w:val="00107D11"/>
    <w:rsid w:val="00107E79"/>
    <w:rsid w:val="00107F23"/>
    <w:rsid w:val="001102EE"/>
    <w:rsid w:val="00110491"/>
    <w:rsid w:val="00110605"/>
    <w:rsid w:val="00110AB6"/>
    <w:rsid w:val="00110B96"/>
    <w:rsid w:val="00110D2C"/>
    <w:rsid w:val="00110D48"/>
    <w:rsid w:val="00110DC8"/>
    <w:rsid w:val="00110E17"/>
    <w:rsid w:val="00110FC4"/>
    <w:rsid w:val="0011110B"/>
    <w:rsid w:val="001113AD"/>
    <w:rsid w:val="0011141D"/>
    <w:rsid w:val="00111457"/>
    <w:rsid w:val="001115DF"/>
    <w:rsid w:val="0011165C"/>
    <w:rsid w:val="00111696"/>
    <w:rsid w:val="001116A1"/>
    <w:rsid w:val="00111B87"/>
    <w:rsid w:val="00111DC6"/>
    <w:rsid w:val="00111DE8"/>
    <w:rsid w:val="00111E56"/>
    <w:rsid w:val="00111E96"/>
    <w:rsid w:val="00112075"/>
    <w:rsid w:val="001121E0"/>
    <w:rsid w:val="00112282"/>
    <w:rsid w:val="001123BC"/>
    <w:rsid w:val="00112411"/>
    <w:rsid w:val="0011256E"/>
    <w:rsid w:val="001126A4"/>
    <w:rsid w:val="001126B8"/>
    <w:rsid w:val="00112751"/>
    <w:rsid w:val="00112802"/>
    <w:rsid w:val="00112A50"/>
    <w:rsid w:val="00112A92"/>
    <w:rsid w:val="00112AA6"/>
    <w:rsid w:val="00112C24"/>
    <w:rsid w:val="00112C2B"/>
    <w:rsid w:val="00112D91"/>
    <w:rsid w:val="00112E19"/>
    <w:rsid w:val="00112FC0"/>
    <w:rsid w:val="00113090"/>
    <w:rsid w:val="00113279"/>
    <w:rsid w:val="00113326"/>
    <w:rsid w:val="00113339"/>
    <w:rsid w:val="00113385"/>
    <w:rsid w:val="0011349C"/>
    <w:rsid w:val="0011353F"/>
    <w:rsid w:val="00113597"/>
    <w:rsid w:val="001136D1"/>
    <w:rsid w:val="00113776"/>
    <w:rsid w:val="0011384B"/>
    <w:rsid w:val="001138D5"/>
    <w:rsid w:val="00113A08"/>
    <w:rsid w:val="00113A11"/>
    <w:rsid w:val="00113A8A"/>
    <w:rsid w:val="00113AB2"/>
    <w:rsid w:val="00113B63"/>
    <w:rsid w:val="00113B64"/>
    <w:rsid w:val="00113C55"/>
    <w:rsid w:val="00113F9C"/>
    <w:rsid w:val="00113FF1"/>
    <w:rsid w:val="001141A3"/>
    <w:rsid w:val="001141EE"/>
    <w:rsid w:val="001142C1"/>
    <w:rsid w:val="00114342"/>
    <w:rsid w:val="0011434F"/>
    <w:rsid w:val="0011441C"/>
    <w:rsid w:val="00114453"/>
    <w:rsid w:val="001144F2"/>
    <w:rsid w:val="00114536"/>
    <w:rsid w:val="001145D7"/>
    <w:rsid w:val="00114C0E"/>
    <w:rsid w:val="00114C9F"/>
    <w:rsid w:val="00114F10"/>
    <w:rsid w:val="0011502A"/>
    <w:rsid w:val="00115062"/>
    <w:rsid w:val="001150B8"/>
    <w:rsid w:val="001152E8"/>
    <w:rsid w:val="001153A0"/>
    <w:rsid w:val="001154FC"/>
    <w:rsid w:val="0011588A"/>
    <w:rsid w:val="00115ABB"/>
    <w:rsid w:val="00115B09"/>
    <w:rsid w:val="00115B89"/>
    <w:rsid w:val="00115C14"/>
    <w:rsid w:val="00115C84"/>
    <w:rsid w:val="00116036"/>
    <w:rsid w:val="0011604F"/>
    <w:rsid w:val="001162C5"/>
    <w:rsid w:val="001162FA"/>
    <w:rsid w:val="00116345"/>
    <w:rsid w:val="0011634D"/>
    <w:rsid w:val="001163DC"/>
    <w:rsid w:val="0011656F"/>
    <w:rsid w:val="0011658C"/>
    <w:rsid w:val="001165A9"/>
    <w:rsid w:val="00116695"/>
    <w:rsid w:val="001167EC"/>
    <w:rsid w:val="001167FE"/>
    <w:rsid w:val="001168AA"/>
    <w:rsid w:val="001168CF"/>
    <w:rsid w:val="001169BA"/>
    <w:rsid w:val="00116AB2"/>
    <w:rsid w:val="00116ABC"/>
    <w:rsid w:val="00116AFA"/>
    <w:rsid w:val="00116FFE"/>
    <w:rsid w:val="00117012"/>
    <w:rsid w:val="00117459"/>
    <w:rsid w:val="0011751C"/>
    <w:rsid w:val="001176ED"/>
    <w:rsid w:val="0011772D"/>
    <w:rsid w:val="0011781D"/>
    <w:rsid w:val="00117A2D"/>
    <w:rsid w:val="00117BF6"/>
    <w:rsid w:val="00117C9E"/>
    <w:rsid w:val="00117E4E"/>
    <w:rsid w:val="00120011"/>
    <w:rsid w:val="0012023F"/>
    <w:rsid w:val="001204B6"/>
    <w:rsid w:val="001204E1"/>
    <w:rsid w:val="00120633"/>
    <w:rsid w:val="00120687"/>
    <w:rsid w:val="001206CF"/>
    <w:rsid w:val="001209F8"/>
    <w:rsid w:val="00120A64"/>
    <w:rsid w:val="00120CF1"/>
    <w:rsid w:val="00120D01"/>
    <w:rsid w:val="00120DF7"/>
    <w:rsid w:val="00120E16"/>
    <w:rsid w:val="00120F68"/>
    <w:rsid w:val="00120FE5"/>
    <w:rsid w:val="00121123"/>
    <w:rsid w:val="00121164"/>
    <w:rsid w:val="00121190"/>
    <w:rsid w:val="00121334"/>
    <w:rsid w:val="0012135E"/>
    <w:rsid w:val="00121486"/>
    <w:rsid w:val="001215AD"/>
    <w:rsid w:val="00121797"/>
    <w:rsid w:val="00121A67"/>
    <w:rsid w:val="00121D63"/>
    <w:rsid w:val="0012268E"/>
    <w:rsid w:val="00122826"/>
    <w:rsid w:val="00122875"/>
    <w:rsid w:val="00122978"/>
    <w:rsid w:val="00122AD5"/>
    <w:rsid w:val="00122B52"/>
    <w:rsid w:val="00122CF4"/>
    <w:rsid w:val="00122D52"/>
    <w:rsid w:val="00122E48"/>
    <w:rsid w:val="00122F8A"/>
    <w:rsid w:val="00122FA2"/>
    <w:rsid w:val="00123107"/>
    <w:rsid w:val="0012317A"/>
    <w:rsid w:val="00123286"/>
    <w:rsid w:val="00123356"/>
    <w:rsid w:val="00123439"/>
    <w:rsid w:val="0012344A"/>
    <w:rsid w:val="0012348C"/>
    <w:rsid w:val="00123585"/>
    <w:rsid w:val="0012370C"/>
    <w:rsid w:val="00123744"/>
    <w:rsid w:val="00123771"/>
    <w:rsid w:val="00123833"/>
    <w:rsid w:val="0012399D"/>
    <w:rsid w:val="00123A3E"/>
    <w:rsid w:val="00123B7A"/>
    <w:rsid w:val="00123CF1"/>
    <w:rsid w:val="00123D15"/>
    <w:rsid w:val="00123DF4"/>
    <w:rsid w:val="00124047"/>
    <w:rsid w:val="001240E0"/>
    <w:rsid w:val="001242CE"/>
    <w:rsid w:val="00124619"/>
    <w:rsid w:val="00124641"/>
    <w:rsid w:val="001246EE"/>
    <w:rsid w:val="0012494C"/>
    <w:rsid w:val="0012497F"/>
    <w:rsid w:val="00124AB7"/>
    <w:rsid w:val="00124C86"/>
    <w:rsid w:val="00124DBB"/>
    <w:rsid w:val="00124E2C"/>
    <w:rsid w:val="00124E77"/>
    <w:rsid w:val="00124FA2"/>
    <w:rsid w:val="00125054"/>
    <w:rsid w:val="0012515B"/>
    <w:rsid w:val="00125325"/>
    <w:rsid w:val="0012533A"/>
    <w:rsid w:val="0012561F"/>
    <w:rsid w:val="001256FF"/>
    <w:rsid w:val="00125A44"/>
    <w:rsid w:val="00125B1F"/>
    <w:rsid w:val="00125CEA"/>
    <w:rsid w:val="00125E2E"/>
    <w:rsid w:val="00126406"/>
    <w:rsid w:val="00126533"/>
    <w:rsid w:val="00126ADA"/>
    <w:rsid w:val="00126C00"/>
    <w:rsid w:val="00126D9A"/>
    <w:rsid w:val="00126DF0"/>
    <w:rsid w:val="00127014"/>
    <w:rsid w:val="001270AF"/>
    <w:rsid w:val="00127220"/>
    <w:rsid w:val="0012722E"/>
    <w:rsid w:val="00127257"/>
    <w:rsid w:val="0012726A"/>
    <w:rsid w:val="001272CA"/>
    <w:rsid w:val="001275CD"/>
    <w:rsid w:val="0012766E"/>
    <w:rsid w:val="00127750"/>
    <w:rsid w:val="00127995"/>
    <w:rsid w:val="00127A8B"/>
    <w:rsid w:val="00127B68"/>
    <w:rsid w:val="00127CB7"/>
    <w:rsid w:val="00127E42"/>
    <w:rsid w:val="00127E60"/>
    <w:rsid w:val="00127F04"/>
    <w:rsid w:val="001300F2"/>
    <w:rsid w:val="00130168"/>
    <w:rsid w:val="0013020B"/>
    <w:rsid w:val="00130322"/>
    <w:rsid w:val="0013034D"/>
    <w:rsid w:val="00130726"/>
    <w:rsid w:val="001307AE"/>
    <w:rsid w:val="001308A5"/>
    <w:rsid w:val="00130961"/>
    <w:rsid w:val="00130A77"/>
    <w:rsid w:val="00130BB2"/>
    <w:rsid w:val="00130BB5"/>
    <w:rsid w:val="00130ECA"/>
    <w:rsid w:val="00130EEA"/>
    <w:rsid w:val="00130F68"/>
    <w:rsid w:val="00130FC6"/>
    <w:rsid w:val="00131138"/>
    <w:rsid w:val="0013132E"/>
    <w:rsid w:val="00131559"/>
    <w:rsid w:val="00131647"/>
    <w:rsid w:val="00131659"/>
    <w:rsid w:val="00131973"/>
    <w:rsid w:val="00131AF1"/>
    <w:rsid w:val="00132027"/>
    <w:rsid w:val="00132277"/>
    <w:rsid w:val="001324EC"/>
    <w:rsid w:val="00132666"/>
    <w:rsid w:val="001326F5"/>
    <w:rsid w:val="00132747"/>
    <w:rsid w:val="0013280F"/>
    <w:rsid w:val="00132849"/>
    <w:rsid w:val="001329E4"/>
    <w:rsid w:val="00132BD5"/>
    <w:rsid w:val="00132D47"/>
    <w:rsid w:val="00132E08"/>
    <w:rsid w:val="00133281"/>
    <w:rsid w:val="0013331F"/>
    <w:rsid w:val="0013337D"/>
    <w:rsid w:val="001334A9"/>
    <w:rsid w:val="001336E0"/>
    <w:rsid w:val="00133742"/>
    <w:rsid w:val="0013377C"/>
    <w:rsid w:val="001337F5"/>
    <w:rsid w:val="00133823"/>
    <w:rsid w:val="00133905"/>
    <w:rsid w:val="00133A76"/>
    <w:rsid w:val="00133C4F"/>
    <w:rsid w:val="00133E8F"/>
    <w:rsid w:val="00133FB7"/>
    <w:rsid w:val="001341C5"/>
    <w:rsid w:val="001341F3"/>
    <w:rsid w:val="001341FC"/>
    <w:rsid w:val="001344B2"/>
    <w:rsid w:val="00134A43"/>
    <w:rsid w:val="00134A7E"/>
    <w:rsid w:val="00134C2B"/>
    <w:rsid w:val="00134EC8"/>
    <w:rsid w:val="00134ED2"/>
    <w:rsid w:val="00134FF0"/>
    <w:rsid w:val="00135068"/>
    <w:rsid w:val="0013510F"/>
    <w:rsid w:val="0013512B"/>
    <w:rsid w:val="001351A1"/>
    <w:rsid w:val="00135369"/>
    <w:rsid w:val="001353E8"/>
    <w:rsid w:val="00135468"/>
    <w:rsid w:val="00135480"/>
    <w:rsid w:val="00135560"/>
    <w:rsid w:val="001355EB"/>
    <w:rsid w:val="0013573F"/>
    <w:rsid w:val="001358C7"/>
    <w:rsid w:val="001359A9"/>
    <w:rsid w:val="00135C24"/>
    <w:rsid w:val="00135C84"/>
    <w:rsid w:val="00135CB6"/>
    <w:rsid w:val="00135CFC"/>
    <w:rsid w:val="00135F1D"/>
    <w:rsid w:val="00135F64"/>
    <w:rsid w:val="00136351"/>
    <w:rsid w:val="001363FB"/>
    <w:rsid w:val="0013691D"/>
    <w:rsid w:val="00136A7B"/>
    <w:rsid w:val="00136B18"/>
    <w:rsid w:val="00136BB5"/>
    <w:rsid w:val="00136C5A"/>
    <w:rsid w:val="00136D3F"/>
    <w:rsid w:val="00136E2B"/>
    <w:rsid w:val="00136E79"/>
    <w:rsid w:val="001370C1"/>
    <w:rsid w:val="00137255"/>
    <w:rsid w:val="001372C1"/>
    <w:rsid w:val="001376A9"/>
    <w:rsid w:val="00137753"/>
    <w:rsid w:val="00137885"/>
    <w:rsid w:val="001378E3"/>
    <w:rsid w:val="00137947"/>
    <w:rsid w:val="00137957"/>
    <w:rsid w:val="001379F6"/>
    <w:rsid w:val="00137A64"/>
    <w:rsid w:val="00137AF7"/>
    <w:rsid w:val="00137D53"/>
    <w:rsid w:val="00137DD9"/>
    <w:rsid w:val="00137DE7"/>
    <w:rsid w:val="00137ED0"/>
    <w:rsid w:val="00137F4D"/>
    <w:rsid w:val="001400BB"/>
    <w:rsid w:val="00140320"/>
    <w:rsid w:val="001404D1"/>
    <w:rsid w:val="0014059C"/>
    <w:rsid w:val="0014064F"/>
    <w:rsid w:val="00140676"/>
    <w:rsid w:val="0014071A"/>
    <w:rsid w:val="001409E1"/>
    <w:rsid w:val="00140B38"/>
    <w:rsid w:val="00140BCE"/>
    <w:rsid w:val="00140DEC"/>
    <w:rsid w:val="00140E0B"/>
    <w:rsid w:val="00140E97"/>
    <w:rsid w:val="00140FF6"/>
    <w:rsid w:val="00141169"/>
    <w:rsid w:val="0014131C"/>
    <w:rsid w:val="0014139B"/>
    <w:rsid w:val="00141518"/>
    <w:rsid w:val="0014159C"/>
    <w:rsid w:val="001416A7"/>
    <w:rsid w:val="001416BD"/>
    <w:rsid w:val="001416C5"/>
    <w:rsid w:val="00141793"/>
    <w:rsid w:val="00141807"/>
    <w:rsid w:val="00141917"/>
    <w:rsid w:val="00141956"/>
    <w:rsid w:val="00141B20"/>
    <w:rsid w:val="00141B50"/>
    <w:rsid w:val="00141C3A"/>
    <w:rsid w:val="00141DD0"/>
    <w:rsid w:val="00141EA8"/>
    <w:rsid w:val="00141EB3"/>
    <w:rsid w:val="00141F2B"/>
    <w:rsid w:val="001422BE"/>
    <w:rsid w:val="00142390"/>
    <w:rsid w:val="001424AF"/>
    <w:rsid w:val="00142659"/>
    <w:rsid w:val="00142968"/>
    <w:rsid w:val="001429CA"/>
    <w:rsid w:val="00142A2C"/>
    <w:rsid w:val="00142AB1"/>
    <w:rsid w:val="00142B70"/>
    <w:rsid w:val="00142D41"/>
    <w:rsid w:val="00142FD3"/>
    <w:rsid w:val="0014305D"/>
    <w:rsid w:val="0014310D"/>
    <w:rsid w:val="00143243"/>
    <w:rsid w:val="001432B0"/>
    <w:rsid w:val="001433BA"/>
    <w:rsid w:val="0014369D"/>
    <w:rsid w:val="0014377C"/>
    <w:rsid w:val="0014379B"/>
    <w:rsid w:val="00143837"/>
    <w:rsid w:val="00143A10"/>
    <w:rsid w:val="00143D0B"/>
    <w:rsid w:val="00143D21"/>
    <w:rsid w:val="00143D7D"/>
    <w:rsid w:val="00143D8B"/>
    <w:rsid w:val="00143DD4"/>
    <w:rsid w:val="00144048"/>
    <w:rsid w:val="00144068"/>
    <w:rsid w:val="00144357"/>
    <w:rsid w:val="0014446A"/>
    <w:rsid w:val="00144519"/>
    <w:rsid w:val="00144541"/>
    <w:rsid w:val="00144593"/>
    <w:rsid w:val="0014461F"/>
    <w:rsid w:val="00144783"/>
    <w:rsid w:val="00144B10"/>
    <w:rsid w:val="00144B7A"/>
    <w:rsid w:val="00144B8F"/>
    <w:rsid w:val="00144BD3"/>
    <w:rsid w:val="00144FA4"/>
    <w:rsid w:val="0014502A"/>
    <w:rsid w:val="0014506A"/>
    <w:rsid w:val="001450F9"/>
    <w:rsid w:val="0014538C"/>
    <w:rsid w:val="0014544E"/>
    <w:rsid w:val="001454F5"/>
    <w:rsid w:val="00145696"/>
    <w:rsid w:val="00145707"/>
    <w:rsid w:val="00145812"/>
    <w:rsid w:val="0014585A"/>
    <w:rsid w:val="00145BD6"/>
    <w:rsid w:val="00145F60"/>
    <w:rsid w:val="0014612E"/>
    <w:rsid w:val="00146207"/>
    <w:rsid w:val="00146229"/>
    <w:rsid w:val="00146267"/>
    <w:rsid w:val="001462BE"/>
    <w:rsid w:val="0014643D"/>
    <w:rsid w:val="001465C9"/>
    <w:rsid w:val="00146644"/>
    <w:rsid w:val="001467DF"/>
    <w:rsid w:val="00146E9E"/>
    <w:rsid w:val="00146F61"/>
    <w:rsid w:val="00147354"/>
    <w:rsid w:val="0014740C"/>
    <w:rsid w:val="0014757A"/>
    <w:rsid w:val="00147620"/>
    <w:rsid w:val="00147711"/>
    <w:rsid w:val="00147795"/>
    <w:rsid w:val="001477E0"/>
    <w:rsid w:val="00147910"/>
    <w:rsid w:val="00147B8E"/>
    <w:rsid w:val="00147B92"/>
    <w:rsid w:val="00147BDB"/>
    <w:rsid w:val="00147C68"/>
    <w:rsid w:val="00147C9E"/>
    <w:rsid w:val="00147E63"/>
    <w:rsid w:val="00150085"/>
    <w:rsid w:val="0015022E"/>
    <w:rsid w:val="00150289"/>
    <w:rsid w:val="001503A0"/>
    <w:rsid w:val="0015079E"/>
    <w:rsid w:val="00150AA5"/>
    <w:rsid w:val="00150B5F"/>
    <w:rsid w:val="00150C4E"/>
    <w:rsid w:val="00150CC3"/>
    <w:rsid w:val="00150D88"/>
    <w:rsid w:val="00150E46"/>
    <w:rsid w:val="00150F55"/>
    <w:rsid w:val="00151056"/>
    <w:rsid w:val="00151462"/>
    <w:rsid w:val="0015153C"/>
    <w:rsid w:val="00151577"/>
    <w:rsid w:val="001515EC"/>
    <w:rsid w:val="0015160B"/>
    <w:rsid w:val="0015166E"/>
    <w:rsid w:val="0015170A"/>
    <w:rsid w:val="00151711"/>
    <w:rsid w:val="00151793"/>
    <w:rsid w:val="00151A4E"/>
    <w:rsid w:val="00151B7D"/>
    <w:rsid w:val="00151B82"/>
    <w:rsid w:val="00151C37"/>
    <w:rsid w:val="00151CEF"/>
    <w:rsid w:val="00151D25"/>
    <w:rsid w:val="00151D59"/>
    <w:rsid w:val="00151F91"/>
    <w:rsid w:val="001521A8"/>
    <w:rsid w:val="0015224F"/>
    <w:rsid w:val="00152361"/>
    <w:rsid w:val="0015236E"/>
    <w:rsid w:val="0015245F"/>
    <w:rsid w:val="001526C0"/>
    <w:rsid w:val="001527FD"/>
    <w:rsid w:val="00152843"/>
    <w:rsid w:val="00152953"/>
    <w:rsid w:val="001529DC"/>
    <w:rsid w:val="00152BCC"/>
    <w:rsid w:val="00152C4E"/>
    <w:rsid w:val="00152DD5"/>
    <w:rsid w:val="00152E1C"/>
    <w:rsid w:val="00153229"/>
    <w:rsid w:val="0015324C"/>
    <w:rsid w:val="001534CC"/>
    <w:rsid w:val="00153557"/>
    <w:rsid w:val="0015365C"/>
    <w:rsid w:val="001536C2"/>
    <w:rsid w:val="001537B6"/>
    <w:rsid w:val="001537FE"/>
    <w:rsid w:val="00153BBA"/>
    <w:rsid w:val="00153BC2"/>
    <w:rsid w:val="00153C6A"/>
    <w:rsid w:val="00153D21"/>
    <w:rsid w:val="00153DFE"/>
    <w:rsid w:val="00154080"/>
    <w:rsid w:val="0015410C"/>
    <w:rsid w:val="001541C1"/>
    <w:rsid w:val="0015432D"/>
    <w:rsid w:val="00154430"/>
    <w:rsid w:val="00154777"/>
    <w:rsid w:val="0015479E"/>
    <w:rsid w:val="00154843"/>
    <w:rsid w:val="00154A2F"/>
    <w:rsid w:val="00154B4C"/>
    <w:rsid w:val="00154BD2"/>
    <w:rsid w:val="00154D65"/>
    <w:rsid w:val="00154E72"/>
    <w:rsid w:val="00154F1E"/>
    <w:rsid w:val="00154F33"/>
    <w:rsid w:val="00155091"/>
    <w:rsid w:val="001552D1"/>
    <w:rsid w:val="001553D5"/>
    <w:rsid w:val="001553FF"/>
    <w:rsid w:val="0015551F"/>
    <w:rsid w:val="00155560"/>
    <w:rsid w:val="0015557F"/>
    <w:rsid w:val="001555D2"/>
    <w:rsid w:val="001557B6"/>
    <w:rsid w:val="00155801"/>
    <w:rsid w:val="0015580C"/>
    <w:rsid w:val="0015580F"/>
    <w:rsid w:val="00155844"/>
    <w:rsid w:val="001559F7"/>
    <w:rsid w:val="00155ABC"/>
    <w:rsid w:val="00155C9B"/>
    <w:rsid w:val="00155E57"/>
    <w:rsid w:val="0015629B"/>
    <w:rsid w:val="0015632D"/>
    <w:rsid w:val="0015637D"/>
    <w:rsid w:val="001564BE"/>
    <w:rsid w:val="00156584"/>
    <w:rsid w:val="0015660B"/>
    <w:rsid w:val="00156637"/>
    <w:rsid w:val="001568E5"/>
    <w:rsid w:val="0015690E"/>
    <w:rsid w:val="0015697D"/>
    <w:rsid w:val="00156A53"/>
    <w:rsid w:val="00156B0A"/>
    <w:rsid w:val="00156B8C"/>
    <w:rsid w:val="00156BC5"/>
    <w:rsid w:val="00156EB8"/>
    <w:rsid w:val="00156F47"/>
    <w:rsid w:val="001571AB"/>
    <w:rsid w:val="001571B0"/>
    <w:rsid w:val="001573C5"/>
    <w:rsid w:val="00157465"/>
    <w:rsid w:val="001574F4"/>
    <w:rsid w:val="001577FE"/>
    <w:rsid w:val="001578A1"/>
    <w:rsid w:val="001578B8"/>
    <w:rsid w:val="001578F6"/>
    <w:rsid w:val="0015795B"/>
    <w:rsid w:val="0015797E"/>
    <w:rsid w:val="00157CE9"/>
    <w:rsid w:val="00157E21"/>
    <w:rsid w:val="00157E5B"/>
    <w:rsid w:val="00160096"/>
    <w:rsid w:val="00160168"/>
    <w:rsid w:val="0016037D"/>
    <w:rsid w:val="001603A4"/>
    <w:rsid w:val="001603E1"/>
    <w:rsid w:val="00160407"/>
    <w:rsid w:val="001608DB"/>
    <w:rsid w:val="00160948"/>
    <w:rsid w:val="00160B07"/>
    <w:rsid w:val="00160B24"/>
    <w:rsid w:val="00160BB7"/>
    <w:rsid w:val="00160C17"/>
    <w:rsid w:val="00160DD8"/>
    <w:rsid w:val="00160EA1"/>
    <w:rsid w:val="00160F2B"/>
    <w:rsid w:val="00160F69"/>
    <w:rsid w:val="00161023"/>
    <w:rsid w:val="001612CF"/>
    <w:rsid w:val="00161492"/>
    <w:rsid w:val="001614BC"/>
    <w:rsid w:val="00161822"/>
    <w:rsid w:val="001618DD"/>
    <w:rsid w:val="0016196D"/>
    <w:rsid w:val="00161974"/>
    <w:rsid w:val="00161A3E"/>
    <w:rsid w:val="00161CCB"/>
    <w:rsid w:val="00161D0A"/>
    <w:rsid w:val="00161D3C"/>
    <w:rsid w:val="00162048"/>
    <w:rsid w:val="001621C5"/>
    <w:rsid w:val="0016232C"/>
    <w:rsid w:val="0016238A"/>
    <w:rsid w:val="0016273A"/>
    <w:rsid w:val="0016274C"/>
    <w:rsid w:val="0016279F"/>
    <w:rsid w:val="001627F0"/>
    <w:rsid w:val="00162892"/>
    <w:rsid w:val="00162967"/>
    <w:rsid w:val="00162979"/>
    <w:rsid w:val="00162B19"/>
    <w:rsid w:val="00162B71"/>
    <w:rsid w:val="00162C0B"/>
    <w:rsid w:val="00162D62"/>
    <w:rsid w:val="00162EBC"/>
    <w:rsid w:val="00163043"/>
    <w:rsid w:val="00163049"/>
    <w:rsid w:val="001630E1"/>
    <w:rsid w:val="001634C7"/>
    <w:rsid w:val="00163546"/>
    <w:rsid w:val="00163942"/>
    <w:rsid w:val="00163AE9"/>
    <w:rsid w:val="00163B96"/>
    <w:rsid w:val="00164044"/>
    <w:rsid w:val="0016412F"/>
    <w:rsid w:val="00164253"/>
    <w:rsid w:val="00164337"/>
    <w:rsid w:val="0016453D"/>
    <w:rsid w:val="0016456A"/>
    <w:rsid w:val="001645E7"/>
    <w:rsid w:val="00164743"/>
    <w:rsid w:val="0016485E"/>
    <w:rsid w:val="0016496E"/>
    <w:rsid w:val="001649CB"/>
    <w:rsid w:val="001649FD"/>
    <w:rsid w:val="00164AA6"/>
    <w:rsid w:val="00164ABD"/>
    <w:rsid w:val="00164AF8"/>
    <w:rsid w:val="00164B78"/>
    <w:rsid w:val="00164C95"/>
    <w:rsid w:val="00164CBC"/>
    <w:rsid w:val="00164FF8"/>
    <w:rsid w:val="001652B4"/>
    <w:rsid w:val="001652BB"/>
    <w:rsid w:val="00165389"/>
    <w:rsid w:val="00165916"/>
    <w:rsid w:val="00165BA7"/>
    <w:rsid w:val="00165D76"/>
    <w:rsid w:val="00165F3B"/>
    <w:rsid w:val="001660D2"/>
    <w:rsid w:val="00166206"/>
    <w:rsid w:val="001662B8"/>
    <w:rsid w:val="0016630F"/>
    <w:rsid w:val="001663A4"/>
    <w:rsid w:val="0016643A"/>
    <w:rsid w:val="00166494"/>
    <w:rsid w:val="001664D5"/>
    <w:rsid w:val="001664EA"/>
    <w:rsid w:val="00166604"/>
    <w:rsid w:val="00166680"/>
    <w:rsid w:val="00166B0F"/>
    <w:rsid w:val="00166B33"/>
    <w:rsid w:val="00166BBA"/>
    <w:rsid w:val="00166DC7"/>
    <w:rsid w:val="00166F7B"/>
    <w:rsid w:val="00167009"/>
    <w:rsid w:val="00167054"/>
    <w:rsid w:val="00167055"/>
    <w:rsid w:val="00167082"/>
    <w:rsid w:val="0016712D"/>
    <w:rsid w:val="00167321"/>
    <w:rsid w:val="00167522"/>
    <w:rsid w:val="001675D7"/>
    <w:rsid w:val="001675E3"/>
    <w:rsid w:val="001676DF"/>
    <w:rsid w:val="00167707"/>
    <w:rsid w:val="00167788"/>
    <w:rsid w:val="0016779F"/>
    <w:rsid w:val="0016784C"/>
    <w:rsid w:val="001678C5"/>
    <w:rsid w:val="00167953"/>
    <w:rsid w:val="00167A8A"/>
    <w:rsid w:val="00167D96"/>
    <w:rsid w:val="00167DF1"/>
    <w:rsid w:val="00167F9C"/>
    <w:rsid w:val="001700C0"/>
    <w:rsid w:val="0017013F"/>
    <w:rsid w:val="001701F1"/>
    <w:rsid w:val="00170252"/>
    <w:rsid w:val="00170376"/>
    <w:rsid w:val="001704AC"/>
    <w:rsid w:val="001704DD"/>
    <w:rsid w:val="0017088F"/>
    <w:rsid w:val="001708AD"/>
    <w:rsid w:val="00170A9C"/>
    <w:rsid w:val="00170ADE"/>
    <w:rsid w:val="00170CE7"/>
    <w:rsid w:val="00170D95"/>
    <w:rsid w:val="00171122"/>
    <w:rsid w:val="00171163"/>
    <w:rsid w:val="00171431"/>
    <w:rsid w:val="00171564"/>
    <w:rsid w:val="0017164C"/>
    <w:rsid w:val="0017168E"/>
    <w:rsid w:val="00171694"/>
    <w:rsid w:val="0017172D"/>
    <w:rsid w:val="00171731"/>
    <w:rsid w:val="001719E2"/>
    <w:rsid w:val="001719E9"/>
    <w:rsid w:val="00171B41"/>
    <w:rsid w:val="00171B77"/>
    <w:rsid w:val="00171BA4"/>
    <w:rsid w:val="00171BCB"/>
    <w:rsid w:val="00171C67"/>
    <w:rsid w:val="00171C89"/>
    <w:rsid w:val="00171D32"/>
    <w:rsid w:val="00171D65"/>
    <w:rsid w:val="00171F0D"/>
    <w:rsid w:val="00171F24"/>
    <w:rsid w:val="00171F51"/>
    <w:rsid w:val="0017242B"/>
    <w:rsid w:val="0017252F"/>
    <w:rsid w:val="0017279E"/>
    <w:rsid w:val="001727FC"/>
    <w:rsid w:val="001728F1"/>
    <w:rsid w:val="00172BBD"/>
    <w:rsid w:val="00172C4E"/>
    <w:rsid w:val="00172C75"/>
    <w:rsid w:val="00172D3C"/>
    <w:rsid w:val="00172E74"/>
    <w:rsid w:val="00172ECC"/>
    <w:rsid w:val="00172F89"/>
    <w:rsid w:val="00172FDE"/>
    <w:rsid w:val="001730CD"/>
    <w:rsid w:val="00173101"/>
    <w:rsid w:val="00173186"/>
    <w:rsid w:val="00173210"/>
    <w:rsid w:val="0017390B"/>
    <w:rsid w:val="00173922"/>
    <w:rsid w:val="001739B4"/>
    <w:rsid w:val="001739EC"/>
    <w:rsid w:val="001739F0"/>
    <w:rsid w:val="00173C48"/>
    <w:rsid w:val="00173CC9"/>
    <w:rsid w:val="00173CE6"/>
    <w:rsid w:val="00173DA9"/>
    <w:rsid w:val="00173EC1"/>
    <w:rsid w:val="0017466A"/>
    <w:rsid w:val="00174693"/>
    <w:rsid w:val="00174852"/>
    <w:rsid w:val="0017485E"/>
    <w:rsid w:val="00174972"/>
    <w:rsid w:val="00174A44"/>
    <w:rsid w:val="00174B57"/>
    <w:rsid w:val="00174F2B"/>
    <w:rsid w:val="0017501B"/>
    <w:rsid w:val="001751D9"/>
    <w:rsid w:val="00175409"/>
    <w:rsid w:val="001757EE"/>
    <w:rsid w:val="001758F1"/>
    <w:rsid w:val="00175A13"/>
    <w:rsid w:val="00175AB0"/>
    <w:rsid w:val="00175ABA"/>
    <w:rsid w:val="00175CD9"/>
    <w:rsid w:val="00175E89"/>
    <w:rsid w:val="00175F46"/>
    <w:rsid w:val="00175F58"/>
    <w:rsid w:val="001761C6"/>
    <w:rsid w:val="0017622A"/>
    <w:rsid w:val="00176290"/>
    <w:rsid w:val="001762ED"/>
    <w:rsid w:val="00176768"/>
    <w:rsid w:val="001767AF"/>
    <w:rsid w:val="001767B9"/>
    <w:rsid w:val="001767E1"/>
    <w:rsid w:val="00176810"/>
    <w:rsid w:val="00176855"/>
    <w:rsid w:val="00176927"/>
    <w:rsid w:val="00176C30"/>
    <w:rsid w:val="001770D7"/>
    <w:rsid w:val="00177144"/>
    <w:rsid w:val="00177201"/>
    <w:rsid w:val="001772C0"/>
    <w:rsid w:val="00177693"/>
    <w:rsid w:val="001777A7"/>
    <w:rsid w:val="0017783E"/>
    <w:rsid w:val="00177892"/>
    <w:rsid w:val="00177BEC"/>
    <w:rsid w:val="00177DB5"/>
    <w:rsid w:val="00177E1A"/>
    <w:rsid w:val="00180142"/>
    <w:rsid w:val="00180279"/>
    <w:rsid w:val="001804E5"/>
    <w:rsid w:val="001806AE"/>
    <w:rsid w:val="00180746"/>
    <w:rsid w:val="00180851"/>
    <w:rsid w:val="0018092B"/>
    <w:rsid w:val="001809DB"/>
    <w:rsid w:val="00180A4D"/>
    <w:rsid w:val="00180C22"/>
    <w:rsid w:val="00180DBC"/>
    <w:rsid w:val="00180DC2"/>
    <w:rsid w:val="00180DF2"/>
    <w:rsid w:val="00180E8D"/>
    <w:rsid w:val="001810F5"/>
    <w:rsid w:val="0018122E"/>
    <w:rsid w:val="001813B6"/>
    <w:rsid w:val="001813FC"/>
    <w:rsid w:val="001814A7"/>
    <w:rsid w:val="001814F6"/>
    <w:rsid w:val="001819DF"/>
    <w:rsid w:val="00181CE9"/>
    <w:rsid w:val="00181DDA"/>
    <w:rsid w:val="00181DF2"/>
    <w:rsid w:val="00182039"/>
    <w:rsid w:val="00182162"/>
    <w:rsid w:val="001821BC"/>
    <w:rsid w:val="00182220"/>
    <w:rsid w:val="00182244"/>
    <w:rsid w:val="0018228C"/>
    <w:rsid w:val="00182312"/>
    <w:rsid w:val="00182590"/>
    <w:rsid w:val="001825FF"/>
    <w:rsid w:val="001826CB"/>
    <w:rsid w:val="00182702"/>
    <w:rsid w:val="00182A71"/>
    <w:rsid w:val="00182A77"/>
    <w:rsid w:val="00182D28"/>
    <w:rsid w:val="00182E1C"/>
    <w:rsid w:val="00182ECD"/>
    <w:rsid w:val="00182FF9"/>
    <w:rsid w:val="001830F7"/>
    <w:rsid w:val="00183119"/>
    <w:rsid w:val="0018312E"/>
    <w:rsid w:val="0018330F"/>
    <w:rsid w:val="001833C2"/>
    <w:rsid w:val="001833DB"/>
    <w:rsid w:val="0018347F"/>
    <w:rsid w:val="001834B2"/>
    <w:rsid w:val="00183817"/>
    <w:rsid w:val="00183852"/>
    <w:rsid w:val="001838DD"/>
    <w:rsid w:val="001839E0"/>
    <w:rsid w:val="00183BBA"/>
    <w:rsid w:val="00183C0D"/>
    <w:rsid w:val="00183ED8"/>
    <w:rsid w:val="00183EF1"/>
    <w:rsid w:val="00183F68"/>
    <w:rsid w:val="00183F9B"/>
    <w:rsid w:val="00184015"/>
    <w:rsid w:val="00184128"/>
    <w:rsid w:val="0018435D"/>
    <w:rsid w:val="00184409"/>
    <w:rsid w:val="0018441D"/>
    <w:rsid w:val="0018450D"/>
    <w:rsid w:val="0018468C"/>
    <w:rsid w:val="00184706"/>
    <w:rsid w:val="001847B0"/>
    <w:rsid w:val="00184936"/>
    <w:rsid w:val="00184998"/>
    <w:rsid w:val="00184ABB"/>
    <w:rsid w:val="00184B11"/>
    <w:rsid w:val="00184C26"/>
    <w:rsid w:val="00184C4D"/>
    <w:rsid w:val="00184DAB"/>
    <w:rsid w:val="00184E11"/>
    <w:rsid w:val="0018503A"/>
    <w:rsid w:val="001850CC"/>
    <w:rsid w:val="0018520B"/>
    <w:rsid w:val="0018520F"/>
    <w:rsid w:val="0018523E"/>
    <w:rsid w:val="00185255"/>
    <w:rsid w:val="00185392"/>
    <w:rsid w:val="00185479"/>
    <w:rsid w:val="00185483"/>
    <w:rsid w:val="0018562F"/>
    <w:rsid w:val="00185679"/>
    <w:rsid w:val="001856CB"/>
    <w:rsid w:val="00185759"/>
    <w:rsid w:val="001858FC"/>
    <w:rsid w:val="00185949"/>
    <w:rsid w:val="001859C5"/>
    <w:rsid w:val="00185B91"/>
    <w:rsid w:val="00185BA0"/>
    <w:rsid w:val="00185BBF"/>
    <w:rsid w:val="00185F45"/>
    <w:rsid w:val="00185FFC"/>
    <w:rsid w:val="0018613B"/>
    <w:rsid w:val="001864D4"/>
    <w:rsid w:val="0018656E"/>
    <w:rsid w:val="001869CD"/>
    <w:rsid w:val="00186B60"/>
    <w:rsid w:val="00186C8B"/>
    <w:rsid w:val="00186DB6"/>
    <w:rsid w:val="00186DE1"/>
    <w:rsid w:val="00186DEF"/>
    <w:rsid w:val="00186FC5"/>
    <w:rsid w:val="00186FE5"/>
    <w:rsid w:val="00187228"/>
    <w:rsid w:val="00187232"/>
    <w:rsid w:val="0018759E"/>
    <w:rsid w:val="00187692"/>
    <w:rsid w:val="00187726"/>
    <w:rsid w:val="00187834"/>
    <w:rsid w:val="00187966"/>
    <w:rsid w:val="00187A0D"/>
    <w:rsid w:val="00187A54"/>
    <w:rsid w:val="00187E2A"/>
    <w:rsid w:val="00187EDB"/>
    <w:rsid w:val="00187F07"/>
    <w:rsid w:val="00190138"/>
    <w:rsid w:val="00190395"/>
    <w:rsid w:val="001905AE"/>
    <w:rsid w:val="00190699"/>
    <w:rsid w:val="0019082F"/>
    <w:rsid w:val="00190844"/>
    <w:rsid w:val="0019097A"/>
    <w:rsid w:val="00190A9D"/>
    <w:rsid w:val="00190AAD"/>
    <w:rsid w:val="00190B06"/>
    <w:rsid w:val="00190BEA"/>
    <w:rsid w:val="00190DEF"/>
    <w:rsid w:val="00190DFA"/>
    <w:rsid w:val="00190F3E"/>
    <w:rsid w:val="00190F4D"/>
    <w:rsid w:val="00190FD2"/>
    <w:rsid w:val="0019114B"/>
    <w:rsid w:val="001911F3"/>
    <w:rsid w:val="001912D8"/>
    <w:rsid w:val="0019136A"/>
    <w:rsid w:val="0019141E"/>
    <w:rsid w:val="00191608"/>
    <w:rsid w:val="00191665"/>
    <w:rsid w:val="00191675"/>
    <w:rsid w:val="001916A1"/>
    <w:rsid w:val="00191789"/>
    <w:rsid w:val="00191813"/>
    <w:rsid w:val="00191892"/>
    <w:rsid w:val="00191955"/>
    <w:rsid w:val="00191ABF"/>
    <w:rsid w:val="00191ADA"/>
    <w:rsid w:val="00191D16"/>
    <w:rsid w:val="00191FE4"/>
    <w:rsid w:val="001920CF"/>
    <w:rsid w:val="001920F3"/>
    <w:rsid w:val="0019219C"/>
    <w:rsid w:val="00192225"/>
    <w:rsid w:val="00192358"/>
    <w:rsid w:val="001924C5"/>
    <w:rsid w:val="001925FA"/>
    <w:rsid w:val="00192652"/>
    <w:rsid w:val="001926C2"/>
    <w:rsid w:val="001926CF"/>
    <w:rsid w:val="001926D5"/>
    <w:rsid w:val="001927BB"/>
    <w:rsid w:val="0019283F"/>
    <w:rsid w:val="0019286F"/>
    <w:rsid w:val="00192A4B"/>
    <w:rsid w:val="00192BAA"/>
    <w:rsid w:val="00192D8E"/>
    <w:rsid w:val="00193012"/>
    <w:rsid w:val="00193026"/>
    <w:rsid w:val="0019302C"/>
    <w:rsid w:val="00193111"/>
    <w:rsid w:val="0019312E"/>
    <w:rsid w:val="00193140"/>
    <w:rsid w:val="001931BC"/>
    <w:rsid w:val="0019350F"/>
    <w:rsid w:val="001935C1"/>
    <w:rsid w:val="00193643"/>
    <w:rsid w:val="0019365E"/>
    <w:rsid w:val="00193727"/>
    <w:rsid w:val="00193964"/>
    <w:rsid w:val="00193C77"/>
    <w:rsid w:val="00193E8F"/>
    <w:rsid w:val="00193EFF"/>
    <w:rsid w:val="0019403A"/>
    <w:rsid w:val="001940D3"/>
    <w:rsid w:val="00194158"/>
    <w:rsid w:val="001941B9"/>
    <w:rsid w:val="0019433E"/>
    <w:rsid w:val="001943BA"/>
    <w:rsid w:val="00194451"/>
    <w:rsid w:val="0019451A"/>
    <w:rsid w:val="00194605"/>
    <w:rsid w:val="001946A9"/>
    <w:rsid w:val="001946C7"/>
    <w:rsid w:val="0019480F"/>
    <w:rsid w:val="00194827"/>
    <w:rsid w:val="001948F5"/>
    <w:rsid w:val="00194920"/>
    <w:rsid w:val="001949EA"/>
    <w:rsid w:val="00194EFF"/>
    <w:rsid w:val="001950B7"/>
    <w:rsid w:val="001950E9"/>
    <w:rsid w:val="001951A4"/>
    <w:rsid w:val="001952B3"/>
    <w:rsid w:val="00195449"/>
    <w:rsid w:val="00195460"/>
    <w:rsid w:val="00195589"/>
    <w:rsid w:val="00195650"/>
    <w:rsid w:val="001958A2"/>
    <w:rsid w:val="00195950"/>
    <w:rsid w:val="00195B70"/>
    <w:rsid w:val="00195C7C"/>
    <w:rsid w:val="00195D86"/>
    <w:rsid w:val="00195FAA"/>
    <w:rsid w:val="00195FB9"/>
    <w:rsid w:val="00196023"/>
    <w:rsid w:val="00196188"/>
    <w:rsid w:val="0019621F"/>
    <w:rsid w:val="001963DA"/>
    <w:rsid w:val="00196427"/>
    <w:rsid w:val="001964CD"/>
    <w:rsid w:val="00196607"/>
    <w:rsid w:val="001966F3"/>
    <w:rsid w:val="00196876"/>
    <w:rsid w:val="0019689D"/>
    <w:rsid w:val="00196992"/>
    <w:rsid w:val="00196998"/>
    <w:rsid w:val="001969A5"/>
    <w:rsid w:val="001969E0"/>
    <w:rsid w:val="00196C3D"/>
    <w:rsid w:val="00196C3F"/>
    <w:rsid w:val="00196CE7"/>
    <w:rsid w:val="00196F23"/>
    <w:rsid w:val="00196F5E"/>
    <w:rsid w:val="00196FCF"/>
    <w:rsid w:val="00196FD0"/>
    <w:rsid w:val="0019706B"/>
    <w:rsid w:val="0019720B"/>
    <w:rsid w:val="001973C0"/>
    <w:rsid w:val="001974BD"/>
    <w:rsid w:val="00197545"/>
    <w:rsid w:val="00197666"/>
    <w:rsid w:val="00197848"/>
    <w:rsid w:val="00197994"/>
    <w:rsid w:val="001979D2"/>
    <w:rsid w:val="00197A0C"/>
    <w:rsid w:val="00197B29"/>
    <w:rsid w:val="00197FDF"/>
    <w:rsid w:val="001A0122"/>
    <w:rsid w:val="001A0153"/>
    <w:rsid w:val="001A01C4"/>
    <w:rsid w:val="001A01D6"/>
    <w:rsid w:val="001A0308"/>
    <w:rsid w:val="001A04A9"/>
    <w:rsid w:val="001A0528"/>
    <w:rsid w:val="001A058E"/>
    <w:rsid w:val="001A05C7"/>
    <w:rsid w:val="001A067C"/>
    <w:rsid w:val="001A0889"/>
    <w:rsid w:val="001A0892"/>
    <w:rsid w:val="001A09AE"/>
    <w:rsid w:val="001A0A6A"/>
    <w:rsid w:val="001A0AE6"/>
    <w:rsid w:val="001A0BA2"/>
    <w:rsid w:val="001A0E9F"/>
    <w:rsid w:val="001A0F32"/>
    <w:rsid w:val="001A0F86"/>
    <w:rsid w:val="001A0FDF"/>
    <w:rsid w:val="001A1044"/>
    <w:rsid w:val="001A121D"/>
    <w:rsid w:val="001A16B7"/>
    <w:rsid w:val="001A16E6"/>
    <w:rsid w:val="001A17C7"/>
    <w:rsid w:val="001A17FB"/>
    <w:rsid w:val="001A1869"/>
    <w:rsid w:val="001A1898"/>
    <w:rsid w:val="001A18EF"/>
    <w:rsid w:val="001A1BE6"/>
    <w:rsid w:val="001A1CB8"/>
    <w:rsid w:val="001A1E4C"/>
    <w:rsid w:val="001A1EE9"/>
    <w:rsid w:val="001A2010"/>
    <w:rsid w:val="001A204D"/>
    <w:rsid w:val="001A20CD"/>
    <w:rsid w:val="001A210A"/>
    <w:rsid w:val="001A213F"/>
    <w:rsid w:val="001A21A9"/>
    <w:rsid w:val="001A222B"/>
    <w:rsid w:val="001A22F9"/>
    <w:rsid w:val="001A26EB"/>
    <w:rsid w:val="001A2946"/>
    <w:rsid w:val="001A2A93"/>
    <w:rsid w:val="001A2AB2"/>
    <w:rsid w:val="001A2AE4"/>
    <w:rsid w:val="001A2B9D"/>
    <w:rsid w:val="001A2CF0"/>
    <w:rsid w:val="001A2D1F"/>
    <w:rsid w:val="001A2D36"/>
    <w:rsid w:val="001A2E45"/>
    <w:rsid w:val="001A3192"/>
    <w:rsid w:val="001A32E7"/>
    <w:rsid w:val="001A35DA"/>
    <w:rsid w:val="001A3634"/>
    <w:rsid w:val="001A367E"/>
    <w:rsid w:val="001A3893"/>
    <w:rsid w:val="001A38A1"/>
    <w:rsid w:val="001A38B9"/>
    <w:rsid w:val="001A3D09"/>
    <w:rsid w:val="001A3EA5"/>
    <w:rsid w:val="001A3F7C"/>
    <w:rsid w:val="001A418C"/>
    <w:rsid w:val="001A42BC"/>
    <w:rsid w:val="001A43C1"/>
    <w:rsid w:val="001A4B8B"/>
    <w:rsid w:val="001A4E0C"/>
    <w:rsid w:val="001A4F12"/>
    <w:rsid w:val="001A502C"/>
    <w:rsid w:val="001A5163"/>
    <w:rsid w:val="001A5218"/>
    <w:rsid w:val="001A5304"/>
    <w:rsid w:val="001A5629"/>
    <w:rsid w:val="001A57CF"/>
    <w:rsid w:val="001A5806"/>
    <w:rsid w:val="001A58CC"/>
    <w:rsid w:val="001A59C9"/>
    <w:rsid w:val="001A5A83"/>
    <w:rsid w:val="001A5AFB"/>
    <w:rsid w:val="001A5BB8"/>
    <w:rsid w:val="001A5BBC"/>
    <w:rsid w:val="001A5C91"/>
    <w:rsid w:val="001A5CFD"/>
    <w:rsid w:val="001A5D83"/>
    <w:rsid w:val="001A5DAA"/>
    <w:rsid w:val="001A5F93"/>
    <w:rsid w:val="001A6039"/>
    <w:rsid w:val="001A604B"/>
    <w:rsid w:val="001A60E3"/>
    <w:rsid w:val="001A6286"/>
    <w:rsid w:val="001A62F4"/>
    <w:rsid w:val="001A669F"/>
    <w:rsid w:val="001A688D"/>
    <w:rsid w:val="001A68D8"/>
    <w:rsid w:val="001A68E1"/>
    <w:rsid w:val="001A69BD"/>
    <w:rsid w:val="001A6A22"/>
    <w:rsid w:val="001A6D0F"/>
    <w:rsid w:val="001A6F27"/>
    <w:rsid w:val="001A6FD9"/>
    <w:rsid w:val="001A7044"/>
    <w:rsid w:val="001A7135"/>
    <w:rsid w:val="001A73A1"/>
    <w:rsid w:val="001A7405"/>
    <w:rsid w:val="001A7573"/>
    <w:rsid w:val="001A75E9"/>
    <w:rsid w:val="001A76F4"/>
    <w:rsid w:val="001A7827"/>
    <w:rsid w:val="001A7896"/>
    <w:rsid w:val="001A78A5"/>
    <w:rsid w:val="001A7915"/>
    <w:rsid w:val="001A79E9"/>
    <w:rsid w:val="001A79FC"/>
    <w:rsid w:val="001A7AFD"/>
    <w:rsid w:val="001A7D31"/>
    <w:rsid w:val="001A7E6F"/>
    <w:rsid w:val="001A7EBF"/>
    <w:rsid w:val="001B0044"/>
    <w:rsid w:val="001B00C0"/>
    <w:rsid w:val="001B028B"/>
    <w:rsid w:val="001B0297"/>
    <w:rsid w:val="001B02CA"/>
    <w:rsid w:val="001B0374"/>
    <w:rsid w:val="001B0496"/>
    <w:rsid w:val="001B051B"/>
    <w:rsid w:val="001B0534"/>
    <w:rsid w:val="001B053B"/>
    <w:rsid w:val="001B0DFC"/>
    <w:rsid w:val="001B0F18"/>
    <w:rsid w:val="001B0F1B"/>
    <w:rsid w:val="001B1002"/>
    <w:rsid w:val="001B113D"/>
    <w:rsid w:val="001B1149"/>
    <w:rsid w:val="001B130E"/>
    <w:rsid w:val="001B13FF"/>
    <w:rsid w:val="001B1447"/>
    <w:rsid w:val="001B1465"/>
    <w:rsid w:val="001B1790"/>
    <w:rsid w:val="001B18CC"/>
    <w:rsid w:val="001B1998"/>
    <w:rsid w:val="001B1A54"/>
    <w:rsid w:val="001B1B3E"/>
    <w:rsid w:val="001B1C4C"/>
    <w:rsid w:val="001B1C8A"/>
    <w:rsid w:val="001B1C8C"/>
    <w:rsid w:val="001B1D3B"/>
    <w:rsid w:val="001B1DC0"/>
    <w:rsid w:val="001B1E6F"/>
    <w:rsid w:val="001B1EE5"/>
    <w:rsid w:val="001B2145"/>
    <w:rsid w:val="001B2166"/>
    <w:rsid w:val="001B2366"/>
    <w:rsid w:val="001B249B"/>
    <w:rsid w:val="001B249D"/>
    <w:rsid w:val="001B2564"/>
    <w:rsid w:val="001B2586"/>
    <w:rsid w:val="001B265E"/>
    <w:rsid w:val="001B2692"/>
    <w:rsid w:val="001B2778"/>
    <w:rsid w:val="001B2799"/>
    <w:rsid w:val="001B2930"/>
    <w:rsid w:val="001B29B1"/>
    <w:rsid w:val="001B29B7"/>
    <w:rsid w:val="001B2A42"/>
    <w:rsid w:val="001B2E4D"/>
    <w:rsid w:val="001B2E94"/>
    <w:rsid w:val="001B2F59"/>
    <w:rsid w:val="001B2F70"/>
    <w:rsid w:val="001B2FAE"/>
    <w:rsid w:val="001B2FB7"/>
    <w:rsid w:val="001B3131"/>
    <w:rsid w:val="001B324C"/>
    <w:rsid w:val="001B3326"/>
    <w:rsid w:val="001B332B"/>
    <w:rsid w:val="001B33A5"/>
    <w:rsid w:val="001B33B2"/>
    <w:rsid w:val="001B34A6"/>
    <w:rsid w:val="001B34BD"/>
    <w:rsid w:val="001B3558"/>
    <w:rsid w:val="001B3593"/>
    <w:rsid w:val="001B3793"/>
    <w:rsid w:val="001B382E"/>
    <w:rsid w:val="001B39A7"/>
    <w:rsid w:val="001B39F4"/>
    <w:rsid w:val="001B3B13"/>
    <w:rsid w:val="001B3F30"/>
    <w:rsid w:val="001B3FB8"/>
    <w:rsid w:val="001B40D7"/>
    <w:rsid w:val="001B4142"/>
    <w:rsid w:val="001B41D0"/>
    <w:rsid w:val="001B422A"/>
    <w:rsid w:val="001B4385"/>
    <w:rsid w:val="001B43F0"/>
    <w:rsid w:val="001B4590"/>
    <w:rsid w:val="001B463F"/>
    <w:rsid w:val="001B48FD"/>
    <w:rsid w:val="001B4900"/>
    <w:rsid w:val="001B4AF4"/>
    <w:rsid w:val="001B4C90"/>
    <w:rsid w:val="001B4D4C"/>
    <w:rsid w:val="001B4D75"/>
    <w:rsid w:val="001B4DD4"/>
    <w:rsid w:val="001B510E"/>
    <w:rsid w:val="001B5253"/>
    <w:rsid w:val="001B52A6"/>
    <w:rsid w:val="001B538F"/>
    <w:rsid w:val="001B5421"/>
    <w:rsid w:val="001B5534"/>
    <w:rsid w:val="001B558C"/>
    <w:rsid w:val="001B581F"/>
    <w:rsid w:val="001B588A"/>
    <w:rsid w:val="001B58AD"/>
    <w:rsid w:val="001B58D0"/>
    <w:rsid w:val="001B5AC7"/>
    <w:rsid w:val="001B5C35"/>
    <w:rsid w:val="001B5C69"/>
    <w:rsid w:val="001B5CA3"/>
    <w:rsid w:val="001B5EB6"/>
    <w:rsid w:val="001B60DC"/>
    <w:rsid w:val="001B6330"/>
    <w:rsid w:val="001B6530"/>
    <w:rsid w:val="001B6681"/>
    <w:rsid w:val="001B6716"/>
    <w:rsid w:val="001B676F"/>
    <w:rsid w:val="001B6854"/>
    <w:rsid w:val="001B68ED"/>
    <w:rsid w:val="001B6926"/>
    <w:rsid w:val="001B6938"/>
    <w:rsid w:val="001B69CB"/>
    <w:rsid w:val="001B6A62"/>
    <w:rsid w:val="001B6CB2"/>
    <w:rsid w:val="001B6D1D"/>
    <w:rsid w:val="001B6D4B"/>
    <w:rsid w:val="001B6E5D"/>
    <w:rsid w:val="001B6EC8"/>
    <w:rsid w:val="001B6F46"/>
    <w:rsid w:val="001B709E"/>
    <w:rsid w:val="001B71A4"/>
    <w:rsid w:val="001B72D9"/>
    <w:rsid w:val="001B7362"/>
    <w:rsid w:val="001B73D7"/>
    <w:rsid w:val="001B7405"/>
    <w:rsid w:val="001B7560"/>
    <w:rsid w:val="001B7690"/>
    <w:rsid w:val="001B7784"/>
    <w:rsid w:val="001B79F3"/>
    <w:rsid w:val="001B7B39"/>
    <w:rsid w:val="001B7CA4"/>
    <w:rsid w:val="001B7CB9"/>
    <w:rsid w:val="001B7CF4"/>
    <w:rsid w:val="001B7CFF"/>
    <w:rsid w:val="001B7D91"/>
    <w:rsid w:val="001B7E7F"/>
    <w:rsid w:val="001B7EBA"/>
    <w:rsid w:val="001B7EED"/>
    <w:rsid w:val="001C0006"/>
    <w:rsid w:val="001C00BA"/>
    <w:rsid w:val="001C00FA"/>
    <w:rsid w:val="001C020C"/>
    <w:rsid w:val="001C06EC"/>
    <w:rsid w:val="001C06F5"/>
    <w:rsid w:val="001C072B"/>
    <w:rsid w:val="001C073A"/>
    <w:rsid w:val="001C07CC"/>
    <w:rsid w:val="001C0929"/>
    <w:rsid w:val="001C09F4"/>
    <w:rsid w:val="001C0A92"/>
    <w:rsid w:val="001C0AFA"/>
    <w:rsid w:val="001C0BF7"/>
    <w:rsid w:val="001C0C74"/>
    <w:rsid w:val="001C0CB1"/>
    <w:rsid w:val="001C0D31"/>
    <w:rsid w:val="001C0DEE"/>
    <w:rsid w:val="001C1187"/>
    <w:rsid w:val="001C123F"/>
    <w:rsid w:val="001C145A"/>
    <w:rsid w:val="001C1467"/>
    <w:rsid w:val="001C14BF"/>
    <w:rsid w:val="001C156B"/>
    <w:rsid w:val="001C1712"/>
    <w:rsid w:val="001C1790"/>
    <w:rsid w:val="001C17BE"/>
    <w:rsid w:val="001C194B"/>
    <w:rsid w:val="001C1E51"/>
    <w:rsid w:val="001C1F96"/>
    <w:rsid w:val="001C1FBC"/>
    <w:rsid w:val="001C225F"/>
    <w:rsid w:val="001C2604"/>
    <w:rsid w:val="001C26B4"/>
    <w:rsid w:val="001C277B"/>
    <w:rsid w:val="001C2813"/>
    <w:rsid w:val="001C2A5B"/>
    <w:rsid w:val="001C2AEC"/>
    <w:rsid w:val="001C2C60"/>
    <w:rsid w:val="001C2C9E"/>
    <w:rsid w:val="001C2CD9"/>
    <w:rsid w:val="001C2E01"/>
    <w:rsid w:val="001C2F22"/>
    <w:rsid w:val="001C3091"/>
    <w:rsid w:val="001C3308"/>
    <w:rsid w:val="001C3336"/>
    <w:rsid w:val="001C33F4"/>
    <w:rsid w:val="001C347E"/>
    <w:rsid w:val="001C36AC"/>
    <w:rsid w:val="001C37CD"/>
    <w:rsid w:val="001C3978"/>
    <w:rsid w:val="001C39D8"/>
    <w:rsid w:val="001C3BAC"/>
    <w:rsid w:val="001C3DDA"/>
    <w:rsid w:val="001C3EEC"/>
    <w:rsid w:val="001C3F33"/>
    <w:rsid w:val="001C41E3"/>
    <w:rsid w:val="001C4291"/>
    <w:rsid w:val="001C4357"/>
    <w:rsid w:val="001C4387"/>
    <w:rsid w:val="001C43EF"/>
    <w:rsid w:val="001C47ED"/>
    <w:rsid w:val="001C486A"/>
    <w:rsid w:val="001C487C"/>
    <w:rsid w:val="001C4885"/>
    <w:rsid w:val="001C4898"/>
    <w:rsid w:val="001C4921"/>
    <w:rsid w:val="001C4A47"/>
    <w:rsid w:val="001C4C77"/>
    <w:rsid w:val="001C4CAD"/>
    <w:rsid w:val="001C4CCC"/>
    <w:rsid w:val="001C4D52"/>
    <w:rsid w:val="001C4DB9"/>
    <w:rsid w:val="001C4EEA"/>
    <w:rsid w:val="001C50E7"/>
    <w:rsid w:val="001C5125"/>
    <w:rsid w:val="001C513A"/>
    <w:rsid w:val="001C54B1"/>
    <w:rsid w:val="001C591F"/>
    <w:rsid w:val="001C5993"/>
    <w:rsid w:val="001C5A9C"/>
    <w:rsid w:val="001C6022"/>
    <w:rsid w:val="001C6071"/>
    <w:rsid w:val="001C623A"/>
    <w:rsid w:val="001C635A"/>
    <w:rsid w:val="001C63E5"/>
    <w:rsid w:val="001C640D"/>
    <w:rsid w:val="001C64EA"/>
    <w:rsid w:val="001C653C"/>
    <w:rsid w:val="001C6543"/>
    <w:rsid w:val="001C664E"/>
    <w:rsid w:val="001C66A3"/>
    <w:rsid w:val="001C6725"/>
    <w:rsid w:val="001C67FB"/>
    <w:rsid w:val="001C69DA"/>
    <w:rsid w:val="001C6B00"/>
    <w:rsid w:val="001C6B35"/>
    <w:rsid w:val="001C6CEF"/>
    <w:rsid w:val="001C6D31"/>
    <w:rsid w:val="001C6D89"/>
    <w:rsid w:val="001C6E22"/>
    <w:rsid w:val="001C6E61"/>
    <w:rsid w:val="001C705C"/>
    <w:rsid w:val="001C7060"/>
    <w:rsid w:val="001C7090"/>
    <w:rsid w:val="001C70C9"/>
    <w:rsid w:val="001C70F6"/>
    <w:rsid w:val="001C724E"/>
    <w:rsid w:val="001C72EC"/>
    <w:rsid w:val="001C7441"/>
    <w:rsid w:val="001C763D"/>
    <w:rsid w:val="001C76CF"/>
    <w:rsid w:val="001C76E6"/>
    <w:rsid w:val="001C7772"/>
    <w:rsid w:val="001C779F"/>
    <w:rsid w:val="001C79ED"/>
    <w:rsid w:val="001C7AF6"/>
    <w:rsid w:val="001C7B70"/>
    <w:rsid w:val="001C7BCC"/>
    <w:rsid w:val="001C7D39"/>
    <w:rsid w:val="001C7D8C"/>
    <w:rsid w:val="001D0008"/>
    <w:rsid w:val="001D0094"/>
    <w:rsid w:val="001D0098"/>
    <w:rsid w:val="001D0123"/>
    <w:rsid w:val="001D02BF"/>
    <w:rsid w:val="001D034D"/>
    <w:rsid w:val="001D0369"/>
    <w:rsid w:val="001D0471"/>
    <w:rsid w:val="001D0743"/>
    <w:rsid w:val="001D0958"/>
    <w:rsid w:val="001D0BC4"/>
    <w:rsid w:val="001D0BC5"/>
    <w:rsid w:val="001D0BD3"/>
    <w:rsid w:val="001D0C63"/>
    <w:rsid w:val="001D0D4D"/>
    <w:rsid w:val="001D0D73"/>
    <w:rsid w:val="001D0F9E"/>
    <w:rsid w:val="001D1076"/>
    <w:rsid w:val="001D11DD"/>
    <w:rsid w:val="001D13A0"/>
    <w:rsid w:val="001D1489"/>
    <w:rsid w:val="001D1532"/>
    <w:rsid w:val="001D1755"/>
    <w:rsid w:val="001D1790"/>
    <w:rsid w:val="001D17E8"/>
    <w:rsid w:val="001D17F6"/>
    <w:rsid w:val="001D1877"/>
    <w:rsid w:val="001D1895"/>
    <w:rsid w:val="001D1896"/>
    <w:rsid w:val="001D195C"/>
    <w:rsid w:val="001D19A4"/>
    <w:rsid w:val="001D1A87"/>
    <w:rsid w:val="001D1AD1"/>
    <w:rsid w:val="001D1C56"/>
    <w:rsid w:val="001D1C5A"/>
    <w:rsid w:val="001D1D78"/>
    <w:rsid w:val="001D219B"/>
    <w:rsid w:val="001D21B1"/>
    <w:rsid w:val="001D23EC"/>
    <w:rsid w:val="001D2481"/>
    <w:rsid w:val="001D255C"/>
    <w:rsid w:val="001D2751"/>
    <w:rsid w:val="001D28F0"/>
    <w:rsid w:val="001D2BC7"/>
    <w:rsid w:val="001D2C36"/>
    <w:rsid w:val="001D2C75"/>
    <w:rsid w:val="001D2D5D"/>
    <w:rsid w:val="001D2EC5"/>
    <w:rsid w:val="001D2F28"/>
    <w:rsid w:val="001D2F46"/>
    <w:rsid w:val="001D3396"/>
    <w:rsid w:val="001D33F0"/>
    <w:rsid w:val="001D340C"/>
    <w:rsid w:val="001D356B"/>
    <w:rsid w:val="001D3580"/>
    <w:rsid w:val="001D35CC"/>
    <w:rsid w:val="001D38E7"/>
    <w:rsid w:val="001D3A41"/>
    <w:rsid w:val="001D3A90"/>
    <w:rsid w:val="001D3B46"/>
    <w:rsid w:val="001D3B88"/>
    <w:rsid w:val="001D3BCE"/>
    <w:rsid w:val="001D3E42"/>
    <w:rsid w:val="001D4231"/>
    <w:rsid w:val="001D42AC"/>
    <w:rsid w:val="001D42DF"/>
    <w:rsid w:val="001D4350"/>
    <w:rsid w:val="001D43FD"/>
    <w:rsid w:val="001D44D8"/>
    <w:rsid w:val="001D44E7"/>
    <w:rsid w:val="001D4517"/>
    <w:rsid w:val="001D4625"/>
    <w:rsid w:val="001D470D"/>
    <w:rsid w:val="001D4760"/>
    <w:rsid w:val="001D4BB5"/>
    <w:rsid w:val="001D4FD0"/>
    <w:rsid w:val="001D50F2"/>
    <w:rsid w:val="001D5140"/>
    <w:rsid w:val="001D529D"/>
    <w:rsid w:val="001D533A"/>
    <w:rsid w:val="001D536F"/>
    <w:rsid w:val="001D5453"/>
    <w:rsid w:val="001D5666"/>
    <w:rsid w:val="001D5848"/>
    <w:rsid w:val="001D5AB8"/>
    <w:rsid w:val="001D5BB3"/>
    <w:rsid w:val="001D5BEB"/>
    <w:rsid w:val="001D5C8C"/>
    <w:rsid w:val="001D5CA2"/>
    <w:rsid w:val="001D5D3A"/>
    <w:rsid w:val="001D5D59"/>
    <w:rsid w:val="001D5DFB"/>
    <w:rsid w:val="001D5E2A"/>
    <w:rsid w:val="001D5FD2"/>
    <w:rsid w:val="001D608D"/>
    <w:rsid w:val="001D6129"/>
    <w:rsid w:val="001D61D8"/>
    <w:rsid w:val="001D6213"/>
    <w:rsid w:val="001D6295"/>
    <w:rsid w:val="001D662C"/>
    <w:rsid w:val="001D66B8"/>
    <w:rsid w:val="001D66DC"/>
    <w:rsid w:val="001D68FC"/>
    <w:rsid w:val="001D6C78"/>
    <w:rsid w:val="001D6CEF"/>
    <w:rsid w:val="001D6F7E"/>
    <w:rsid w:val="001D72A2"/>
    <w:rsid w:val="001D72E4"/>
    <w:rsid w:val="001D7375"/>
    <w:rsid w:val="001D73C1"/>
    <w:rsid w:val="001D74D1"/>
    <w:rsid w:val="001D7531"/>
    <w:rsid w:val="001D758B"/>
    <w:rsid w:val="001D77C5"/>
    <w:rsid w:val="001D78AE"/>
    <w:rsid w:val="001D7938"/>
    <w:rsid w:val="001D795B"/>
    <w:rsid w:val="001D799A"/>
    <w:rsid w:val="001D79BF"/>
    <w:rsid w:val="001D7B29"/>
    <w:rsid w:val="001D7BA2"/>
    <w:rsid w:val="001D7CE0"/>
    <w:rsid w:val="001D7D68"/>
    <w:rsid w:val="001D7DFE"/>
    <w:rsid w:val="001D7EDF"/>
    <w:rsid w:val="001D7EFE"/>
    <w:rsid w:val="001D7F05"/>
    <w:rsid w:val="001D7FD8"/>
    <w:rsid w:val="001E002B"/>
    <w:rsid w:val="001E01E5"/>
    <w:rsid w:val="001E0232"/>
    <w:rsid w:val="001E0434"/>
    <w:rsid w:val="001E046B"/>
    <w:rsid w:val="001E04D8"/>
    <w:rsid w:val="001E05C8"/>
    <w:rsid w:val="001E0771"/>
    <w:rsid w:val="001E0895"/>
    <w:rsid w:val="001E0913"/>
    <w:rsid w:val="001E0A45"/>
    <w:rsid w:val="001E0DD2"/>
    <w:rsid w:val="001E0E41"/>
    <w:rsid w:val="001E1127"/>
    <w:rsid w:val="001E11BC"/>
    <w:rsid w:val="001E12B4"/>
    <w:rsid w:val="001E1330"/>
    <w:rsid w:val="001E135F"/>
    <w:rsid w:val="001E163A"/>
    <w:rsid w:val="001E17F0"/>
    <w:rsid w:val="001E1AD2"/>
    <w:rsid w:val="001E1BFD"/>
    <w:rsid w:val="001E1C33"/>
    <w:rsid w:val="001E1D6B"/>
    <w:rsid w:val="001E1E0A"/>
    <w:rsid w:val="001E1E2F"/>
    <w:rsid w:val="001E1F33"/>
    <w:rsid w:val="001E1F9C"/>
    <w:rsid w:val="001E2177"/>
    <w:rsid w:val="001E2382"/>
    <w:rsid w:val="001E238A"/>
    <w:rsid w:val="001E2392"/>
    <w:rsid w:val="001E241F"/>
    <w:rsid w:val="001E2531"/>
    <w:rsid w:val="001E253A"/>
    <w:rsid w:val="001E262B"/>
    <w:rsid w:val="001E26E1"/>
    <w:rsid w:val="001E286C"/>
    <w:rsid w:val="001E2878"/>
    <w:rsid w:val="001E28D1"/>
    <w:rsid w:val="001E28DB"/>
    <w:rsid w:val="001E2B56"/>
    <w:rsid w:val="001E2BFA"/>
    <w:rsid w:val="001E2C37"/>
    <w:rsid w:val="001E2D9D"/>
    <w:rsid w:val="001E2DFE"/>
    <w:rsid w:val="001E2E90"/>
    <w:rsid w:val="001E3085"/>
    <w:rsid w:val="001E30E6"/>
    <w:rsid w:val="001E31E7"/>
    <w:rsid w:val="001E3552"/>
    <w:rsid w:val="001E3612"/>
    <w:rsid w:val="001E3680"/>
    <w:rsid w:val="001E36E3"/>
    <w:rsid w:val="001E3781"/>
    <w:rsid w:val="001E3905"/>
    <w:rsid w:val="001E39F3"/>
    <w:rsid w:val="001E3B56"/>
    <w:rsid w:val="001E3B80"/>
    <w:rsid w:val="001E3C70"/>
    <w:rsid w:val="001E3F04"/>
    <w:rsid w:val="001E3F1A"/>
    <w:rsid w:val="001E4068"/>
    <w:rsid w:val="001E42C5"/>
    <w:rsid w:val="001E43B6"/>
    <w:rsid w:val="001E43F1"/>
    <w:rsid w:val="001E4459"/>
    <w:rsid w:val="001E45B7"/>
    <w:rsid w:val="001E46BD"/>
    <w:rsid w:val="001E472D"/>
    <w:rsid w:val="001E48EF"/>
    <w:rsid w:val="001E49B8"/>
    <w:rsid w:val="001E49DA"/>
    <w:rsid w:val="001E4BC8"/>
    <w:rsid w:val="001E4C18"/>
    <w:rsid w:val="001E4D33"/>
    <w:rsid w:val="001E51B9"/>
    <w:rsid w:val="001E5381"/>
    <w:rsid w:val="001E5489"/>
    <w:rsid w:val="001E5616"/>
    <w:rsid w:val="001E5842"/>
    <w:rsid w:val="001E5C24"/>
    <w:rsid w:val="001E5C88"/>
    <w:rsid w:val="001E5D78"/>
    <w:rsid w:val="001E5E40"/>
    <w:rsid w:val="001E5F95"/>
    <w:rsid w:val="001E5FB9"/>
    <w:rsid w:val="001E602F"/>
    <w:rsid w:val="001E6116"/>
    <w:rsid w:val="001E6123"/>
    <w:rsid w:val="001E61B0"/>
    <w:rsid w:val="001E6208"/>
    <w:rsid w:val="001E6340"/>
    <w:rsid w:val="001E66B7"/>
    <w:rsid w:val="001E683E"/>
    <w:rsid w:val="001E69B6"/>
    <w:rsid w:val="001E6B0E"/>
    <w:rsid w:val="001E6BB4"/>
    <w:rsid w:val="001E6D98"/>
    <w:rsid w:val="001E7008"/>
    <w:rsid w:val="001E701B"/>
    <w:rsid w:val="001E71B8"/>
    <w:rsid w:val="001E71DB"/>
    <w:rsid w:val="001E72C9"/>
    <w:rsid w:val="001E7544"/>
    <w:rsid w:val="001E75DA"/>
    <w:rsid w:val="001E766D"/>
    <w:rsid w:val="001E79A5"/>
    <w:rsid w:val="001E7B09"/>
    <w:rsid w:val="001E7C3F"/>
    <w:rsid w:val="001E7D77"/>
    <w:rsid w:val="001E7E7E"/>
    <w:rsid w:val="001E7EA3"/>
    <w:rsid w:val="001E7FF4"/>
    <w:rsid w:val="001F0273"/>
    <w:rsid w:val="001F03F5"/>
    <w:rsid w:val="001F0576"/>
    <w:rsid w:val="001F05A8"/>
    <w:rsid w:val="001F06AA"/>
    <w:rsid w:val="001F0997"/>
    <w:rsid w:val="001F0CA0"/>
    <w:rsid w:val="001F0ECD"/>
    <w:rsid w:val="001F0FB6"/>
    <w:rsid w:val="001F0FEA"/>
    <w:rsid w:val="001F106D"/>
    <w:rsid w:val="001F1210"/>
    <w:rsid w:val="001F125E"/>
    <w:rsid w:val="001F12D4"/>
    <w:rsid w:val="001F143D"/>
    <w:rsid w:val="001F155B"/>
    <w:rsid w:val="001F15B4"/>
    <w:rsid w:val="001F1828"/>
    <w:rsid w:val="001F1860"/>
    <w:rsid w:val="001F18AA"/>
    <w:rsid w:val="001F1939"/>
    <w:rsid w:val="001F19AE"/>
    <w:rsid w:val="001F19D0"/>
    <w:rsid w:val="001F1A1B"/>
    <w:rsid w:val="001F1ADE"/>
    <w:rsid w:val="001F1B98"/>
    <w:rsid w:val="001F21D0"/>
    <w:rsid w:val="001F2208"/>
    <w:rsid w:val="001F220D"/>
    <w:rsid w:val="001F226D"/>
    <w:rsid w:val="001F2448"/>
    <w:rsid w:val="001F24AD"/>
    <w:rsid w:val="001F2633"/>
    <w:rsid w:val="001F265A"/>
    <w:rsid w:val="001F27DE"/>
    <w:rsid w:val="001F2929"/>
    <w:rsid w:val="001F29F4"/>
    <w:rsid w:val="001F2CCB"/>
    <w:rsid w:val="001F2D3D"/>
    <w:rsid w:val="001F2E40"/>
    <w:rsid w:val="001F2FE1"/>
    <w:rsid w:val="001F304B"/>
    <w:rsid w:val="001F30CA"/>
    <w:rsid w:val="001F30EA"/>
    <w:rsid w:val="001F3109"/>
    <w:rsid w:val="001F3254"/>
    <w:rsid w:val="001F332E"/>
    <w:rsid w:val="001F3523"/>
    <w:rsid w:val="001F35DD"/>
    <w:rsid w:val="001F3770"/>
    <w:rsid w:val="001F3786"/>
    <w:rsid w:val="001F3977"/>
    <w:rsid w:val="001F39AE"/>
    <w:rsid w:val="001F3BEC"/>
    <w:rsid w:val="001F3DDE"/>
    <w:rsid w:val="001F3E95"/>
    <w:rsid w:val="001F4068"/>
    <w:rsid w:val="001F4183"/>
    <w:rsid w:val="001F4226"/>
    <w:rsid w:val="001F42B2"/>
    <w:rsid w:val="001F45AE"/>
    <w:rsid w:val="001F45B0"/>
    <w:rsid w:val="001F4601"/>
    <w:rsid w:val="001F4756"/>
    <w:rsid w:val="001F47EF"/>
    <w:rsid w:val="001F4ABF"/>
    <w:rsid w:val="001F4B4C"/>
    <w:rsid w:val="001F4B81"/>
    <w:rsid w:val="001F4D83"/>
    <w:rsid w:val="001F4DDF"/>
    <w:rsid w:val="001F4EBA"/>
    <w:rsid w:val="001F5269"/>
    <w:rsid w:val="001F53D3"/>
    <w:rsid w:val="001F53D9"/>
    <w:rsid w:val="001F54BF"/>
    <w:rsid w:val="001F555B"/>
    <w:rsid w:val="001F5636"/>
    <w:rsid w:val="001F5821"/>
    <w:rsid w:val="001F587F"/>
    <w:rsid w:val="001F5C74"/>
    <w:rsid w:val="001F5CF7"/>
    <w:rsid w:val="001F5E42"/>
    <w:rsid w:val="001F5F9F"/>
    <w:rsid w:val="001F6025"/>
    <w:rsid w:val="001F6073"/>
    <w:rsid w:val="001F6286"/>
    <w:rsid w:val="001F6479"/>
    <w:rsid w:val="001F650F"/>
    <w:rsid w:val="001F6596"/>
    <w:rsid w:val="001F659A"/>
    <w:rsid w:val="001F65D5"/>
    <w:rsid w:val="001F6645"/>
    <w:rsid w:val="001F6652"/>
    <w:rsid w:val="001F6770"/>
    <w:rsid w:val="001F6BA6"/>
    <w:rsid w:val="001F6DFF"/>
    <w:rsid w:val="001F6E62"/>
    <w:rsid w:val="001F70E9"/>
    <w:rsid w:val="001F711E"/>
    <w:rsid w:val="001F726D"/>
    <w:rsid w:val="001F7313"/>
    <w:rsid w:val="001F7412"/>
    <w:rsid w:val="001F774F"/>
    <w:rsid w:val="001F78DF"/>
    <w:rsid w:val="001F7907"/>
    <w:rsid w:val="001F7B23"/>
    <w:rsid w:val="001F7C13"/>
    <w:rsid w:val="001F7D58"/>
    <w:rsid w:val="001F7DDF"/>
    <w:rsid w:val="001F7EB5"/>
    <w:rsid w:val="001F7F00"/>
    <w:rsid w:val="001F7F11"/>
    <w:rsid w:val="001F7F3C"/>
    <w:rsid w:val="001F7F6D"/>
    <w:rsid w:val="002003EC"/>
    <w:rsid w:val="002004B3"/>
    <w:rsid w:val="0020057F"/>
    <w:rsid w:val="00200608"/>
    <w:rsid w:val="002006AE"/>
    <w:rsid w:val="002006C3"/>
    <w:rsid w:val="00200711"/>
    <w:rsid w:val="002008E0"/>
    <w:rsid w:val="002008E1"/>
    <w:rsid w:val="00200A21"/>
    <w:rsid w:val="00200A26"/>
    <w:rsid w:val="00200BA1"/>
    <w:rsid w:val="00200BE9"/>
    <w:rsid w:val="00200C18"/>
    <w:rsid w:val="00200D7C"/>
    <w:rsid w:val="0020104C"/>
    <w:rsid w:val="0020108E"/>
    <w:rsid w:val="002013BF"/>
    <w:rsid w:val="00201407"/>
    <w:rsid w:val="00201448"/>
    <w:rsid w:val="002015A7"/>
    <w:rsid w:val="0020167D"/>
    <w:rsid w:val="002017EE"/>
    <w:rsid w:val="00201843"/>
    <w:rsid w:val="00201A16"/>
    <w:rsid w:val="00201AAC"/>
    <w:rsid w:val="00201AEB"/>
    <w:rsid w:val="00201B9A"/>
    <w:rsid w:val="00201BA0"/>
    <w:rsid w:val="00201CD4"/>
    <w:rsid w:val="00201D9E"/>
    <w:rsid w:val="00201E8B"/>
    <w:rsid w:val="00201EBB"/>
    <w:rsid w:val="00201FA6"/>
    <w:rsid w:val="0020207D"/>
    <w:rsid w:val="002020C9"/>
    <w:rsid w:val="002021F5"/>
    <w:rsid w:val="0020220D"/>
    <w:rsid w:val="00202260"/>
    <w:rsid w:val="00202269"/>
    <w:rsid w:val="002022BB"/>
    <w:rsid w:val="00202347"/>
    <w:rsid w:val="00202407"/>
    <w:rsid w:val="0020241F"/>
    <w:rsid w:val="002024F6"/>
    <w:rsid w:val="0020255B"/>
    <w:rsid w:val="00202839"/>
    <w:rsid w:val="00202876"/>
    <w:rsid w:val="00202909"/>
    <w:rsid w:val="0020290E"/>
    <w:rsid w:val="00202AC6"/>
    <w:rsid w:val="00202C9E"/>
    <w:rsid w:val="00202E02"/>
    <w:rsid w:val="00202EBE"/>
    <w:rsid w:val="002030EA"/>
    <w:rsid w:val="00203245"/>
    <w:rsid w:val="00203573"/>
    <w:rsid w:val="00203577"/>
    <w:rsid w:val="0020357A"/>
    <w:rsid w:val="00203679"/>
    <w:rsid w:val="00203712"/>
    <w:rsid w:val="002037AC"/>
    <w:rsid w:val="00203822"/>
    <w:rsid w:val="0020385A"/>
    <w:rsid w:val="002038CA"/>
    <w:rsid w:val="00203978"/>
    <w:rsid w:val="00203984"/>
    <w:rsid w:val="00203BE1"/>
    <w:rsid w:val="00203C32"/>
    <w:rsid w:val="00203C7B"/>
    <w:rsid w:val="00203D2F"/>
    <w:rsid w:val="002040D2"/>
    <w:rsid w:val="002040D8"/>
    <w:rsid w:val="002041C3"/>
    <w:rsid w:val="002041DF"/>
    <w:rsid w:val="0020424F"/>
    <w:rsid w:val="002042D1"/>
    <w:rsid w:val="00204349"/>
    <w:rsid w:val="002043C3"/>
    <w:rsid w:val="00204720"/>
    <w:rsid w:val="00204849"/>
    <w:rsid w:val="00204881"/>
    <w:rsid w:val="002049D5"/>
    <w:rsid w:val="00204D01"/>
    <w:rsid w:val="00204E2E"/>
    <w:rsid w:val="00204E3E"/>
    <w:rsid w:val="00204ED7"/>
    <w:rsid w:val="00204ED8"/>
    <w:rsid w:val="00205144"/>
    <w:rsid w:val="00205206"/>
    <w:rsid w:val="00205296"/>
    <w:rsid w:val="0020592D"/>
    <w:rsid w:val="002059E8"/>
    <w:rsid w:val="00205B7C"/>
    <w:rsid w:val="00205C46"/>
    <w:rsid w:val="00205D2F"/>
    <w:rsid w:val="00206018"/>
    <w:rsid w:val="00206031"/>
    <w:rsid w:val="00206071"/>
    <w:rsid w:val="00206141"/>
    <w:rsid w:val="00206607"/>
    <w:rsid w:val="00206690"/>
    <w:rsid w:val="00206980"/>
    <w:rsid w:val="00206B62"/>
    <w:rsid w:val="00206BB9"/>
    <w:rsid w:val="00206CD3"/>
    <w:rsid w:val="00206F90"/>
    <w:rsid w:val="00207037"/>
    <w:rsid w:val="00207079"/>
    <w:rsid w:val="00207198"/>
    <w:rsid w:val="0020786E"/>
    <w:rsid w:val="002079AD"/>
    <w:rsid w:val="00207C51"/>
    <w:rsid w:val="00207CA2"/>
    <w:rsid w:val="00207D49"/>
    <w:rsid w:val="00207E43"/>
    <w:rsid w:val="00207F1D"/>
    <w:rsid w:val="0021045E"/>
    <w:rsid w:val="002104D4"/>
    <w:rsid w:val="00210574"/>
    <w:rsid w:val="002107D2"/>
    <w:rsid w:val="002107DD"/>
    <w:rsid w:val="00210968"/>
    <w:rsid w:val="002109CE"/>
    <w:rsid w:val="00210B99"/>
    <w:rsid w:val="00210F0E"/>
    <w:rsid w:val="00210FBC"/>
    <w:rsid w:val="002110FA"/>
    <w:rsid w:val="00211148"/>
    <w:rsid w:val="002113E2"/>
    <w:rsid w:val="002114D9"/>
    <w:rsid w:val="002114DD"/>
    <w:rsid w:val="002114EF"/>
    <w:rsid w:val="0021154D"/>
    <w:rsid w:val="002115F0"/>
    <w:rsid w:val="002115F9"/>
    <w:rsid w:val="002116BA"/>
    <w:rsid w:val="002116EA"/>
    <w:rsid w:val="00211814"/>
    <w:rsid w:val="00211A36"/>
    <w:rsid w:val="00211A83"/>
    <w:rsid w:val="00211B87"/>
    <w:rsid w:val="00211CDF"/>
    <w:rsid w:val="00211CE0"/>
    <w:rsid w:val="00211E8C"/>
    <w:rsid w:val="00211EE1"/>
    <w:rsid w:val="00212219"/>
    <w:rsid w:val="002124E1"/>
    <w:rsid w:val="002126F6"/>
    <w:rsid w:val="00212758"/>
    <w:rsid w:val="002128F5"/>
    <w:rsid w:val="002129E6"/>
    <w:rsid w:val="00212A22"/>
    <w:rsid w:val="00212C50"/>
    <w:rsid w:val="00212CB6"/>
    <w:rsid w:val="00212E2D"/>
    <w:rsid w:val="00212F35"/>
    <w:rsid w:val="002130BC"/>
    <w:rsid w:val="002130FB"/>
    <w:rsid w:val="0021345D"/>
    <w:rsid w:val="002135E5"/>
    <w:rsid w:val="00213659"/>
    <w:rsid w:val="00213745"/>
    <w:rsid w:val="002139F6"/>
    <w:rsid w:val="00213AE1"/>
    <w:rsid w:val="00213BBD"/>
    <w:rsid w:val="00213C56"/>
    <w:rsid w:val="00213C66"/>
    <w:rsid w:val="00213D69"/>
    <w:rsid w:val="00214074"/>
    <w:rsid w:val="0021415C"/>
    <w:rsid w:val="00214214"/>
    <w:rsid w:val="002143E6"/>
    <w:rsid w:val="00214444"/>
    <w:rsid w:val="002144CB"/>
    <w:rsid w:val="0021459B"/>
    <w:rsid w:val="002147C0"/>
    <w:rsid w:val="00214826"/>
    <w:rsid w:val="00214B17"/>
    <w:rsid w:val="00214C82"/>
    <w:rsid w:val="00214DA5"/>
    <w:rsid w:val="00214DA9"/>
    <w:rsid w:val="00214DC6"/>
    <w:rsid w:val="00214F49"/>
    <w:rsid w:val="00215368"/>
    <w:rsid w:val="0021585C"/>
    <w:rsid w:val="00215CE6"/>
    <w:rsid w:val="00215E69"/>
    <w:rsid w:val="00215E9B"/>
    <w:rsid w:val="00215EA9"/>
    <w:rsid w:val="00215F42"/>
    <w:rsid w:val="002163EE"/>
    <w:rsid w:val="002164E7"/>
    <w:rsid w:val="0021656B"/>
    <w:rsid w:val="002166DA"/>
    <w:rsid w:val="00216814"/>
    <w:rsid w:val="002168C1"/>
    <w:rsid w:val="00216A8C"/>
    <w:rsid w:val="00216BA7"/>
    <w:rsid w:val="00216C2B"/>
    <w:rsid w:val="00216CD1"/>
    <w:rsid w:val="0021702B"/>
    <w:rsid w:val="002170E7"/>
    <w:rsid w:val="00217132"/>
    <w:rsid w:val="002171C4"/>
    <w:rsid w:val="00217307"/>
    <w:rsid w:val="00217365"/>
    <w:rsid w:val="002175C2"/>
    <w:rsid w:val="0021767B"/>
    <w:rsid w:val="002176E3"/>
    <w:rsid w:val="002176E4"/>
    <w:rsid w:val="0021776A"/>
    <w:rsid w:val="002177A8"/>
    <w:rsid w:val="00217906"/>
    <w:rsid w:val="00217912"/>
    <w:rsid w:val="00217919"/>
    <w:rsid w:val="00217A81"/>
    <w:rsid w:val="00217A85"/>
    <w:rsid w:val="00217E11"/>
    <w:rsid w:val="00220038"/>
    <w:rsid w:val="0022006D"/>
    <w:rsid w:val="002200A4"/>
    <w:rsid w:val="002200DB"/>
    <w:rsid w:val="00220109"/>
    <w:rsid w:val="0022016C"/>
    <w:rsid w:val="0022016E"/>
    <w:rsid w:val="0022022E"/>
    <w:rsid w:val="00220397"/>
    <w:rsid w:val="0022050A"/>
    <w:rsid w:val="0022079C"/>
    <w:rsid w:val="00220827"/>
    <w:rsid w:val="00220923"/>
    <w:rsid w:val="00220960"/>
    <w:rsid w:val="0022097D"/>
    <w:rsid w:val="00220B6D"/>
    <w:rsid w:val="00220BEA"/>
    <w:rsid w:val="00220C7B"/>
    <w:rsid w:val="00220CAB"/>
    <w:rsid w:val="00220CEC"/>
    <w:rsid w:val="00220CFD"/>
    <w:rsid w:val="00220D01"/>
    <w:rsid w:val="00220DCA"/>
    <w:rsid w:val="00221312"/>
    <w:rsid w:val="00221501"/>
    <w:rsid w:val="00221616"/>
    <w:rsid w:val="002217F2"/>
    <w:rsid w:val="002219E6"/>
    <w:rsid w:val="00221AEC"/>
    <w:rsid w:val="00221AF7"/>
    <w:rsid w:val="00221EA4"/>
    <w:rsid w:val="00221F68"/>
    <w:rsid w:val="00221FB0"/>
    <w:rsid w:val="00222201"/>
    <w:rsid w:val="00222239"/>
    <w:rsid w:val="002222D0"/>
    <w:rsid w:val="002222F5"/>
    <w:rsid w:val="002223DE"/>
    <w:rsid w:val="0022260B"/>
    <w:rsid w:val="002227BF"/>
    <w:rsid w:val="0022281A"/>
    <w:rsid w:val="002228EB"/>
    <w:rsid w:val="00222AAC"/>
    <w:rsid w:val="00222AF5"/>
    <w:rsid w:val="00222C1F"/>
    <w:rsid w:val="00222F91"/>
    <w:rsid w:val="00222FE0"/>
    <w:rsid w:val="00223090"/>
    <w:rsid w:val="0022317A"/>
    <w:rsid w:val="0022334F"/>
    <w:rsid w:val="0022336F"/>
    <w:rsid w:val="002234E1"/>
    <w:rsid w:val="002234EF"/>
    <w:rsid w:val="002235C5"/>
    <w:rsid w:val="0022373A"/>
    <w:rsid w:val="00223909"/>
    <w:rsid w:val="002239F1"/>
    <w:rsid w:val="00223BD3"/>
    <w:rsid w:val="00223C37"/>
    <w:rsid w:val="00223E26"/>
    <w:rsid w:val="002240BE"/>
    <w:rsid w:val="0022410A"/>
    <w:rsid w:val="00224177"/>
    <w:rsid w:val="002241BF"/>
    <w:rsid w:val="00224614"/>
    <w:rsid w:val="002246B9"/>
    <w:rsid w:val="002246BF"/>
    <w:rsid w:val="002247D0"/>
    <w:rsid w:val="002247DF"/>
    <w:rsid w:val="00224842"/>
    <w:rsid w:val="002248BC"/>
    <w:rsid w:val="002249B1"/>
    <w:rsid w:val="002249BD"/>
    <w:rsid w:val="002249EA"/>
    <w:rsid w:val="00224A91"/>
    <w:rsid w:val="00224F5D"/>
    <w:rsid w:val="0022523B"/>
    <w:rsid w:val="002252B8"/>
    <w:rsid w:val="002252C1"/>
    <w:rsid w:val="00225353"/>
    <w:rsid w:val="002256C8"/>
    <w:rsid w:val="00225778"/>
    <w:rsid w:val="00225795"/>
    <w:rsid w:val="002257E0"/>
    <w:rsid w:val="00225A69"/>
    <w:rsid w:val="00225ABD"/>
    <w:rsid w:val="00225BE2"/>
    <w:rsid w:val="00225C65"/>
    <w:rsid w:val="00225E27"/>
    <w:rsid w:val="00225FE8"/>
    <w:rsid w:val="00226147"/>
    <w:rsid w:val="00226159"/>
    <w:rsid w:val="00226213"/>
    <w:rsid w:val="00226265"/>
    <w:rsid w:val="0022632D"/>
    <w:rsid w:val="00226584"/>
    <w:rsid w:val="00226608"/>
    <w:rsid w:val="00226949"/>
    <w:rsid w:val="002269F4"/>
    <w:rsid w:val="00226A49"/>
    <w:rsid w:val="00226A89"/>
    <w:rsid w:val="00226B6B"/>
    <w:rsid w:val="00226BF0"/>
    <w:rsid w:val="00226C74"/>
    <w:rsid w:val="00226CBC"/>
    <w:rsid w:val="00226D9C"/>
    <w:rsid w:val="00226DE1"/>
    <w:rsid w:val="002270F0"/>
    <w:rsid w:val="00227194"/>
    <w:rsid w:val="002271D2"/>
    <w:rsid w:val="0022732F"/>
    <w:rsid w:val="00227371"/>
    <w:rsid w:val="00227447"/>
    <w:rsid w:val="00227484"/>
    <w:rsid w:val="002274B1"/>
    <w:rsid w:val="0022763D"/>
    <w:rsid w:val="00227805"/>
    <w:rsid w:val="00227844"/>
    <w:rsid w:val="00227AAD"/>
    <w:rsid w:val="00227AC6"/>
    <w:rsid w:val="00227AEC"/>
    <w:rsid w:val="00227B2F"/>
    <w:rsid w:val="00227B93"/>
    <w:rsid w:val="00227C08"/>
    <w:rsid w:val="00227CF0"/>
    <w:rsid w:val="00227D25"/>
    <w:rsid w:val="00227F91"/>
    <w:rsid w:val="00227FC5"/>
    <w:rsid w:val="0023000A"/>
    <w:rsid w:val="002300B0"/>
    <w:rsid w:val="002300B2"/>
    <w:rsid w:val="00230156"/>
    <w:rsid w:val="0023034C"/>
    <w:rsid w:val="00230665"/>
    <w:rsid w:val="00230692"/>
    <w:rsid w:val="00230806"/>
    <w:rsid w:val="00230A3A"/>
    <w:rsid w:val="00230A8A"/>
    <w:rsid w:val="00230D04"/>
    <w:rsid w:val="00230E7F"/>
    <w:rsid w:val="00230F97"/>
    <w:rsid w:val="00231003"/>
    <w:rsid w:val="00231022"/>
    <w:rsid w:val="002311B0"/>
    <w:rsid w:val="00231387"/>
    <w:rsid w:val="00231412"/>
    <w:rsid w:val="002316C2"/>
    <w:rsid w:val="0023179E"/>
    <w:rsid w:val="002317D8"/>
    <w:rsid w:val="00231A5F"/>
    <w:rsid w:val="00231B33"/>
    <w:rsid w:val="00231BD0"/>
    <w:rsid w:val="00231CA7"/>
    <w:rsid w:val="00231D34"/>
    <w:rsid w:val="00232003"/>
    <w:rsid w:val="002320DC"/>
    <w:rsid w:val="002320E1"/>
    <w:rsid w:val="002321BC"/>
    <w:rsid w:val="002321F5"/>
    <w:rsid w:val="00232403"/>
    <w:rsid w:val="002326C1"/>
    <w:rsid w:val="002329DD"/>
    <w:rsid w:val="00232A39"/>
    <w:rsid w:val="00232A3A"/>
    <w:rsid w:val="0023351E"/>
    <w:rsid w:val="002336BF"/>
    <w:rsid w:val="002336E3"/>
    <w:rsid w:val="0023375B"/>
    <w:rsid w:val="00233931"/>
    <w:rsid w:val="0023394F"/>
    <w:rsid w:val="00233B99"/>
    <w:rsid w:val="00233CAD"/>
    <w:rsid w:val="00233CC5"/>
    <w:rsid w:val="00233DA0"/>
    <w:rsid w:val="00233DD3"/>
    <w:rsid w:val="0023405B"/>
    <w:rsid w:val="0023411D"/>
    <w:rsid w:val="00234321"/>
    <w:rsid w:val="0023437B"/>
    <w:rsid w:val="002344B3"/>
    <w:rsid w:val="0023470A"/>
    <w:rsid w:val="002347FB"/>
    <w:rsid w:val="00234AD8"/>
    <w:rsid w:val="00234C4E"/>
    <w:rsid w:val="00234D8A"/>
    <w:rsid w:val="0023515B"/>
    <w:rsid w:val="002352F4"/>
    <w:rsid w:val="002354C2"/>
    <w:rsid w:val="00235521"/>
    <w:rsid w:val="00235618"/>
    <w:rsid w:val="002356B0"/>
    <w:rsid w:val="002356FE"/>
    <w:rsid w:val="0023572D"/>
    <w:rsid w:val="002357A3"/>
    <w:rsid w:val="00235A40"/>
    <w:rsid w:val="00235A63"/>
    <w:rsid w:val="00235AC0"/>
    <w:rsid w:val="00235CD0"/>
    <w:rsid w:val="00235DBA"/>
    <w:rsid w:val="00235DC5"/>
    <w:rsid w:val="00235DF9"/>
    <w:rsid w:val="00235EB6"/>
    <w:rsid w:val="0023606A"/>
    <w:rsid w:val="00236098"/>
    <w:rsid w:val="002360F9"/>
    <w:rsid w:val="0023618A"/>
    <w:rsid w:val="002361BC"/>
    <w:rsid w:val="00236484"/>
    <w:rsid w:val="00236498"/>
    <w:rsid w:val="00236A8D"/>
    <w:rsid w:val="00236B1B"/>
    <w:rsid w:val="00236B77"/>
    <w:rsid w:val="00236C56"/>
    <w:rsid w:val="00236CA9"/>
    <w:rsid w:val="00236E81"/>
    <w:rsid w:val="00236E8C"/>
    <w:rsid w:val="00236F9A"/>
    <w:rsid w:val="00236FDF"/>
    <w:rsid w:val="00237194"/>
    <w:rsid w:val="002373F6"/>
    <w:rsid w:val="00237564"/>
    <w:rsid w:val="002375C8"/>
    <w:rsid w:val="002377B1"/>
    <w:rsid w:val="00237A88"/>
    <w:rsid w:val="00237CD8"/>
    <w:rsid w:val="00237EE6"/>
    <w:rsid w:val="00240060"/>
    <w:rsid w:val="00240266"/>
    <w:rsid w:val="00240587"/>
    <w:rsid w:val="002408B9"/>
    <w:rsid w:val="002409EF"/>
    <w:rsid w:val="00240B0C"/>
    <w:rsid w:val="00240B37"/>
    <w:rsid w:val="00240E12"/>
    <w:rsid w:val="0024109A"/>
    <w:rsid w:val="0024113F"/>
    <w:rsid w:val="00241495"/>
    <w:rsid w:val="00241598"/>
    <w:rsid w:val="00241627"/>
    <w:rsid w:val="0024171D"/>
    <w:rsid w:val="00241749"/>
    <w:rsid w:val="002417FC"/>
    <w:rsid w:val="00241950"/>
    <w:rsid w:val="002419BD"/>
    <w:rsid w:val="00241B3F"/>
    <w:rsid w:val="00241C23"/>
    <w:rsid w:val="00241CE4"/>
    <w:rsid w:val="00241D58"/>
    <w:rsid w:val="00241DC7"/>
    <w:rsid w:val="00241DF2"/>
    <w:rsid w:val="00241E8B"/>
    <w:rsid w:val="00241FA5"/>
    <w:rsid w:val="00241FD2"/>
    <w:rsid w:val="002420D3"/>
    <w:rsid w:val="00242125"/>
    <w:rsid w:val="002423E7"/>
    <w:rsid w:val="00242572"/>
    <w:rsid w:val="002425D1"/>
    <w:rsid w:val="00242659"/>
    <w:rsid w:val="002426FB"/>
    <w:rsid w:val="00242B56"/>
    <w:rsid w:val="00242D24"/>
    <w:rsid w:val="00242DD5"/>
    <w:rsid w:val="00242F42"/>
    <w:rsid w:val="00243024"/>
    <w:rsid w:val="002431DB"/>
    <w:rsid w:val="002433D5"/>
    <w:rsid w:val="00243482"/>
    <w:rsid w:val="00243564"/>
    <w:rsid w:val="0024371E"/>
    <w:rsid w:val="00243734"/>
    <w:rsid w:val="0024373A"/>
    <w:rsid w:val="0024377A"/>
    <w:rsid w:val="00243786"/>
    <w:rsid w:val="00243811"/>
    <w:rsid w:val="002438BD"/>
    <w:rsid w:val="00243923"/>
    <w:rsid w:val="002439DB"/>
    <w:rsid w:val="00243ADC"/>
    <w:rsid w:val="00243B10"/>
    <w:rsid w:val="00243D49"/>
    <w:rsid w:val="00243DB4"/>
    <w:rsid w:val="00243E6C"/>
    <w:rsid w:val="00243EAC"/>
    <w:rsid w:val="00244023"/>
    <w:rsid w:val="00244060"/>
    <w:rsid w:val="00244135"/>
    <w:rsid w:val="00244268"/>
    <w:rsid w:val="002443AD"/>
    <w:rsid w:val="00244508"/>
    <w:rsid w:val="0024453D"/>
    <w:rsid w:val="00244579"/>
    <w:rsid w:val="002447B8"/>
    <w:rsid w:val="00244832"/>
    <w:rsid w:val="0024496E"/>
    <w:rsid w:val="00244AA8"/>
    <w:rsid w:val="00244B0F"/>
    <w:rsid w:val="00244D2E"/>
    <w:rsid w:val="00244D5C"/>
    <w:rsid w:val="00244ED8"/>
    <w:rsid w:val="0024510C"/>
    <w:rsid w:val="0024515F"/>
    <w:rsid w:val="00245259"/>
    <w:rsid w:val="0024551A"/>
    <w:rsid w:val="002455BD"/>
    <w:rsid w:val="00245748"/>
    <w:rsid w:val="00245871"/>
    <w:rsid w:val="002458F2"/>
    <w:rsid w:val="00245913"/>
    <w:rsid w:val="002459C8"/>
    <w:rsid w:val="00245A93"/>
    <w:rsid w:val="00245AAB"/>
    <w:rsid w:val="00245ACB"/>
    <w:rsid w:val="00245B95"/>
    <w:rsid w:val="00245CC5"/>
    <w:rsid w:val="00245DC3"/>
    <w:rsid w:val="00245EB3"/>
    <w:rsid w:val="00245F53"/>
    <w:rsid w:val="002460F5"/>
    <w:rsid w:val="00246158"/>
    <w:rsid w:val="0024619C"/>
    <w:rsid w:val="002461D1"/>
    <w:rsid w:val="002462A2"/>
    <w:rsid w:val="00246316"/>
    <w:rsid w:val="0024635E"/>
    <w:rsid w:val="0024646C"/>
    <w:rsid w:val="002464F7"/>
    <w:rsid w:val="002465D9"/>
    <w:rsid w:val="002465FB"/>
    <w:rsid w:val="00246610"/>
    <w:rsid w:val="002466A1"/>
    <w:rsid w:val="0024670A"/>
    <w:rsid w:val="00246856"/>
    <w:rsid w:val="002468EA"/>
    <w:rsid w:val="00246AED"/>
    <w:rsid w:val="00246D28"/>
    <w:rsid w:val="00246E11"/>
    <w:rsid w:val="00246F1F"/>
    <w:rsid w:val="00246F30"/>
    <w:rsid w:val="00247304"/>
    <w:rsid w:val="002473A0"/>
    <w:rsid w:val="002473B8"/>
    <w:rsid w:val="002475CD"/>
    <w:rsid w:val="00247672"/>
    <w:rsid w:val="00247708"/>
    <w:rsid w:val="00247780"/>
    <w:rsid w:val="002477CB"/>
    <w:rsid w:val="0024792B"/>
    <w:rsid w:val="0024799C"/>
    <w:rsid w:val="00247A7E"/>
    <w:rsid w:val="00247CB9"/>
    <w:rsid w:val="00247E2E"/>
    <w:rsid w:val="00250178"/>
    <w:rsid w:val="00250197"/>
    <w:rsid w:val="002501B1"/>
    <w:rsid w:val="00250233"/>
    <w:rsid w:val="00250315"/>
    <w:rsid w:val="00250385"/>
    <w:rsid w:val="002504C4"/>
    <w:rsid w:val="002505AD"/>
    <w:rsid w:val="00250652"/>
    <w:rsid w:val="00250738"/>
    <w:rsid w:val="00250867"/>
    <w:rsid w:val="00250914"/>
    <w:rsid w:val="00250A54"/>
    <w:rsid w:val="00250CC9"/>
    <w:rsid w:val="00250D28"/>
    <w:rsid w:val="00250DB6"/>
    <w:rsid w:val="00250F5D"/>
    <w:rsid w:val="00250FD4"/>
    <w:rsid w:val="00250FEE"/>
    <w:rsid w:val="0025110C"/>
    <w:rsid w:val="002511A6"/>
    <w:rsid w:val="002512F6"/>
    <w:rsid w:val="00251502"/>
    <w:rsid w:val="002515EE"/>
    <w:rsid w:val="00251667"/>
    <w:rsid w:val="002516BD"/>
    <w:rsid w:val="002516E4"/>
    <w:rsid w:val="00251833"/>
    <w:rsid w:val="0025184A"/>
    <w:rsid w:val="002518A1"/>
    <w:rsid w:val="002518CC"/>
    <w:rsid w:val="00251A5E"/>
    <w:rsid w:val="00251A9B"/>
    <w:rsid w:val="00251D87"/>
    <w:rsid w:val="00251E70"/>
    <w:rsid w:val="0025207D"/>
    <w:rsid w:val="002520D8"/>
    <w:rsid w:val="0025219C"/>
    <w:rsid w:val="002522C6"/>
    <w:rsid w:val="00252352"/>
    <w:rsid w:val="00252831"/>
    <w:rsid w:val="00252C4D"/>
    <w:rsid w:val="00252E7B"/>
    <w:rsid w:val="00252F12"/>
    <w:rsid w:val="00252F4E"/>
    <w:rsid w:val="00253092"/>
    <w:rsid w:val="0025319B"/>
    <w:rsid w:val="002531FA"/>
    <w:rsid w:val="002532A9"/>
    <w:rsid w:val="00253377"/>
    <w:rsid w:val="002533B0"/>
    <w:rsid w:val="002533C3"/>
    <w:rsid w:val="002533F3"/>
    <w:rsid w:val="0025352D"/>
    <w:rsid w:val="002536A6"/>
    <w:rsid w:val="002536D5"/>
    <w:rsid w:val="00253716"/>
    <w:rsid w:val="002537C2"/>
    <w:rsid w:val="002537CF"/>
    <w:rsid w:val="002537D9"/>
    <w:rsid w:val="00253841"/>
    <w:rsid w:val="002538FA"/>
    <w:rsid w:val="002539BB"/>
    <w:rsid w:val="00253A3F"/>
    <w:rsid w:val="00253A69"/>
    <w:rsid w:val="00253B0B"/>
    <w:rsid w:val="00253B37"/>
    <w:rsid w:val="00253CDB"/>
    <w:rsid w:val="00254028"/>
    <w:rsid w:val="0025405F"/>
    <w:rsid w:val="00254136"/>
    <w:rsid w:val="002541BF"/>
    <w:rsid w:val="00254261"/>
    <w:rsid w:val="0025428E"/>
    <w:rsid w:val="002542E9"/>
    <w:rsid w:val="00254368"/>
    <w:rsid w:val="0025441E"/>
    <w:rsid w:val="0025447A"/>
    <w:rsid w:val="0025486A"/>
    <w:rsid w:val="00254AFA"/>
    <w:rsid w:val="00254B16"/>
    <w:rsid w:val="00254B78"/>
    <w:rsid w:val="00254D52"/>
    <w:rsid w:val="00254F5D"/>
    <w:rsid w:val="002550BF"/>
    <w:rsid w:val="0025514C"/>
    <w:rsid w:val="00255294"/>
    <w:rsid w:val="002552E8"/>
    <w:rsid w:val="00255344"/>
    <w:rsid w:val="002553B6"/>
    <w:rsid w:val="002554BE"/>
    <w:rsid w:val="002554C8"/>
    <w:rsid w:val="00255547"/>
    <w:rsid w:val="0025563F"/>
    <w:rsid w:val="0025567B"/>
    <w:rsid w:val="002557C9"/>
    <w:rsid w:val="002559A9"/>
    <w:rsid w:val="00255B4D"/>
    <w:rsid w:val="00255C70"/>
    <w:rsid w:val="00255CE3"/>
    <w:rsid w:val="00255E83"/>
    <w:rsid w:val="00255EFB"/>
    <w:rsid w:val="0025616E"/>
    <w:rsid w:val="00256203"/>
    <w:rsid w:val="0025632E"/>
    <w:rsid w:val="00256519"/>
    <w:rsid w:val="00256627"/>
    <w:rsid w:val="002567D2"/>
    <w:rsid w:val="0025688A"/>
    <w:rsid w:val="002568EB"/>
    <w:rsid w:val="00256A51"/>
    <w:rsid w:val="00256B81"/>
    <w:rsid w:val="00256BBB"/>
    <w:rsid w:val="00256C3F"/>
    <w:rsid w:val="00256DAA"/>
    <w:rsid w:val="00256F87"/>
    <w:rsid w:val="0025701E"/>
    <w:rsid w:val="002572B7"/>
    <w:rsid w:val="002573AD"/>
    <w:rsid w:val="00257486"/>
    <w:rsid w:val="0025756E"/>
    <w:rsid w:val="0025773E"/>
    <w:rsid w:val="00257AF6"/>
    <w:rsid w:val="00260601"/>
    <w:rsid w:val="00260617"/>
    <w:rsid w:val="002606D0"/>
    <w:rsid w:val="002608D4"/>
    <w:rsid w:val="00260941"/>
    <w:rsid w:val="00260A92"/>
    <w:rsid w:val="00260D6E"/>
    <w:rsid w:val="00260FD5"/>
    <w:rsid w:val="0026133D"/>
    <w:rsid w:val="00261363"/>
    <w:rsid w:val="00261558"/>
    <w:rsid w:val="00261568"/>
    <w:rsid w:val="00261638"/>
    <w:rsid w:val="00261677"/>
    <w:rsid w:val="0026171F"/>
    <w:rsid w:val="002617BF"/>
    <w:rsid w:val="00261A2D"/>
    <w:rsid w:val="00261C73"/>
    <w:rsid w:val="00261ED6"/>
    <w:rsid w:val="00261FB2"/>
    <w:rsid w:val="0026215E"/>
    <w:rsid w:val="0026222B"/>
    <w:rsid w:val="00262380"/>
    <w:rsid w:val="002623A6"/>
    <w:rsid w:val="002623D4"/>
    <w:rsid w:val="00262503"/>
    <w:rsid w:val="002625FF"/>
    <w:rsid w:val="002626CE"/>
    <w:rsid w:val="00262736"/>
    <w:rsid w:val="00262779"/>
    <w:rsid w:val="0026297C"/>
    <w:rsid w:val="00262A52"/>
    <w:rsid w:val="00262C44"/>
    <w:rsid w:val="00262C83"/>
    <w:rsid w:val="00262DAF"/>
    <w:rsid w:val="00262DC7"/>
    <w:rsid w:val="00262E54"/>
    <w:rsid w:val="00262E9B"/>
    <w:rsid w:val="00262FC7"/>
    <w:rsid w:val="00263045"/>
    <w:rsid w:val="00263593"/>
    <w:rsid w:val="002635E0"/>
    <w:rsid w:val="0026364B"/>
    <w:rsid w:val="00263817"/>
    <w:rsid w:val="00263C05"/>
    <w:rsid w:val="00263C87"/>
    <w:rsid w:val="00263D02"/>
    <w:rsid w:val="00263DDF"/>
    <w:rsid w:val="00263DF8"/>
    <w:rsid w:val="00263F2B"/>
    <w:rsid w:val="00263F9B"/>
    <w:rsid w:val="0026403D"/>
    <w:rsid w:val="002640A7"/>
    <w:rsid w:val="0026450E"/>
    <w:rsid w:val="002646CC"/>
    <w:rsid w:val="002649F9"/>
    <w:rsid w:val="00264B76"/>
    <w:rsid w:val="00264B8F"/>
    <w:rsid w:val="00264EAB"/>
    <w:rsid w:val="00264EC1"/>
    <w:rsid w:val="0026505A"/>
    <w:rsid w:val="002651BB"/>
    <w:rsid w:val="002652DE"/>
    <w:rsid w:val="002655FF"/>
    <w:rsid w:val="00265611"/>
    <w:rsid w:val="00265699"/>
    <w:rsid w:val="002656B8"/>
    <w:rsid w:val="002657B0"/>
    <w:rsid w:val="00265877"/>
    <w:rsid w:val="002658B6"/>
    <w:rsid w:val="00265A01"/>
    <w:rsid w:val="00265BCD"/>
    <w:rsid w:val="00265C25"/>
    <w:rsid w:val="00265CEB"/>
    <w:rsid w:val="00265FF7"/>
    <w:rsid w:val="002660AE"/>
    <w:rsid w:val="002660D7"/>
    <w:rsid w:val="0026647D"/>
    <w:rsid w:val="00266496"/>
    <w:rsid w:val="002665E5"/>
    <w:rsid w:val="0026664D"/>
    <w:rsid w:val="00266791"/>
    <w:rsid w:val="002668A7"/>
    <w:rsid w:val="00266D6B"/>
    <w:rsid w:val="00266FCF"/>
    <w:rsid w:val="00267017"/>
    <w:rsid w:val="0026709A"/>
    <w:rsid w:val="002670AC"/>
    <w:rsid w:val="0026726D"/>
    <w:rsid w:val="0026750D"/>
    <w:rsid w:val="00267681"/>
    <w:rsid w:val="0026796C"/>
    <w:rsid w:val="00267A08"/>
    <w:rsid w:val="00267BA4"/>
    <w:rsid w:val="00267BC7"/>
    <w:rsid w:val="00267D28"/>
    <w:rsid w:val="00267F5A"/>
    <w:rsid w:val="00267F8E"/>
    <w:rsid w:val="00267FAD"/>
    <w:rsid w:val="00270068"/>
    <w:rsid w:val="0027017B"/>
    <w:rsid w:val="00270201"/>
    <w:rsid w:val="00270256"/>
    <w:rsid w:val="00270274"/>
    <w:rsid w:val="002702AA"/>
    <w:rsid w:val="00270378"/>
    <w:rsid w:val="0027046E"/>
    <w:rsid w:val="00270691"/>
    <w:rsid w:val="002706E8"/>
    <w:rsid w:val="00270838"/>
    <w:rsid w:val="002709A2"/>
    <w:rsid w:val="00270C33"/>
    <w:rsid w:val="0027103D"/>
    <w:rsid w:val="0027110E"/>
    <w:rsid w:val="002711CD"/>
    <w:rsid w:val="002712DA"/>
    <w:rsid w:val="0027135C"/>
    <w:rsid w:val="0027143C"/>
    <w:rsid w:val="0027155B"/>
    <w:rsid w:val="002715D3"/>
    <w:rsid w:val="00271894"/>
    <w:rsid w:val="00271AA6"/>
    <w:rsid w:val="00271DDF"/>
    <w:rsid w:val="00271EC0"/>
    <w:rsid w:val="00271EE2"/>
    <w:rsid w:val="0027202A"/>
    <w:rsid w:val="002720ED"/>
    <w:rsid w:val="002721F0"/>
    <w:rsid w:val="00272257"/>
    <w:rsid w:val="00272327"/>
    <w:rsid w:val="0027237E"/>
    <w:rsid w:val="0027248C"/>
    <w:rsid w:val="0027272D"/>
    <w:rsid w:val="0027272E"/>
    <w:rsid w:val="00272957"/>
    <w:rsid w:val="0027296D"/>
    <w:rsid w:val="002729D3"/>
    <w:rsid w:val="00272A70"/>
    <w:rsid w:val="00272A7F"/>
    <w:rsid w:val="00272A87"/>
    <w:rsid w:val="00272AC9"/>
    <w:rsid w:val="00272CDB"/>
    <w:rsid w:val="00272FC9"/>
    <w:rsid w:val="00273088"/>
    <w:rsid w:val="002730CB"/>
    <w:rsid w:val="002730F2"/>
    <w:rsid w:val="00273140"/>
    <w:rsid w:val="002732AF"/>
    <w:rsid w:val="002733C1"/>
    <w:rsid w:val="00273487"/>
    <w:rsid w:val="002734F2"/>
    <w:rsid w:val="00273591"/>
    <w:rsid w:val="002735DA"/>
    <w:rsid w:val="002735FF"/>
    <w:rsid w:val="002737AA"/>
    <w:rsid w:val="00273BBE"/>
    <w:rsid w:val="00273DC5"/>
    <w:rsid w:val="00274080"/>
    <w:rsid w:val="0027421C"/>
    <w:rsid w:val="00274427"/>
    <w:rsid w:val="00274453"/>
    <w:rsid w:val="0027449F"/>
    <w:rsid w:val="00274613"/>
    <w:rsid w:val="002746B0"/>
    <w:rsid w:val="0027480C"/>
    <w:rsid w:val="00274A25"/>
    <w:rsid w:val="00274B43"/>
    <w:rsid w:val="00274B83"/>
    <w:rsid w:val="00274FCA"/>
    <w:rsid w:val="002750A1"/>
    <w:rsid w:val="002750B7"/>
    <w:rsid w:val="0027521E"/>
    <w:rsid w:val="002752AD"/>
    <w:rsid w:val="00275346"/>
    <w:rsid w:val="00275389"/>
    <w:rsid w:val="002754A3"/>
    <w:rsid w:val="00275565"/>
    <w:rsid w:val="0027578E"/>
    <w:rsid w:val="00275AAF"/>
    <w:rsid w:val="00275F1A"/>
    <w:rsid w:val="00275F64"/>
    <w:rsid w:val="0027601B"/>
    <w:rsid w:val="0027604E"/>
    <w:rsid w:val="0027604F"/>
    <w:rsid w:val="0027625B"/>
    <w:rsid w:val="00276631"/>
    <w:rsid w:val="00276960"/>
    <w:rsid w:val="00276BC5"/>
    <w:rsid w:val="00276C55"/>
    <w:rsid w:val="00276E33"/>
    <w:rsid w:val="00276F4B"/>
    <w:rsid w:val="00277186"/>
    <w:rsid w:val="002771EC"/>
    <w:rsid w:val="0027735F"/>
    <w:rsid w:val="0027736E"/>
    <w:rsid w:val="002776D5"/>
    <w:rsid w:val="00277705"/>
    <w:rsid w:val="0027790B"/>
    <w:rsid w:val="00277968"/>
    <w:rsid w:val="002779D7"/>
    <w:rsid w:val="00277A5F"/>
    <w:rsid w:val="00277AA2"/>
    <w:rsid w:val="00277B5B"/>
    <w:rsid w:val="00277BFA"/>
    <w:rsid w:val="00277C9B"/>
    <w:rsid w:val="00277E54"/>
    <w:rsid w:val="00277EA5"/>
    <w:rsid w:val="00277F7C"/>
    <w:rsid w:val="00280002"/>
    <w:rsid w:val="002800BA"/>
    <w:rsid w:val="002800E7"/>
    <w:rsid w:val="00280111"/>
    <w:rsid w:val="00280118"/>
    <w:rsid w:val="0028031F"/>
    <w:rsid w:val="00280333"/>
    <w:rsid w:val="00280495"/>
    <w:rsid w:val="002805E1"/>
    <w:rsid w:val="00280816"/>
    <w:rsid w:val="0028086D"/>
    <w:rsid w:val="002808FA"/>
    <w:rsid w:val="00280A61"/>
    <w:rsid w:val="00280B13"/>
    <w:rsid w:val="00280C26"/>
    <w:rsid w:val="00280D42"/>
    <w:rsid w:val="00281005"/>
    <w:rsid w:val="002810AF"/>
    <w:rsid w:val="00281160"/>
    <w:rsid w:val="002811CD"/>
    <w:rsid w:val="0028124A"/>
    <w:rsid w:val="00281299"/>
    <w:rsid w:val="0028131E"/>
    <w:rsid w:val="002813CB"/>
    <w:rsid w:val="0028157C"/>
    <w:rsid w:val="002815E4"/>
    <w:rsid w:val="002816DA"/>
    <w:rsid w:val="00281891"/>
    <w:rsid w:val="00281AD8"/>
    <w:rsid w:val="00281AE2"/>
    <w:rsid w:val="00281B3F"/>
    <w:rsid w:val="00281BAC"/>
    <w:rsid w:val="00281BD8"/>
    <w:rsid w:val="00281CDC"/>
    <w:rsid w:val="00281D03"/>
    <w:rsid w:val="00281E93"/>
    <w:rsid w:val="00281EC4"/>
    <w:rsid w:val="002824A3"/>
    <w:rsid w:val="002824C0"/>
    <w:rsid w:val="00282500"/>
    <w:rsid w:val="00282638"/>
    <w:rsid w:val="0028293B"/>
    <w:rsid w:val="002829D3"/>
    <w:rsid w:val="00282C1C"/>
    <w:rsid w:val="00282D2A"/>
    <w:rsid w:val="00282DE8"/>
    <w:rsid w:val="00282E4B"/>
    <w:rsid w:val="00282EBE"/>
    <w:rsid w:val="00282F34"/>
    <w:rsid w:val="00282F89"/>
    <w:rsid w:val="0028336F"/>
    <w:rsid w:val="00283482"/>
    <w:rsid w:val="002835AC"/>
    <w:rsid w:val="00283776"/>
    <w:rsid w:val="00283A92"/>
    <w:rsid w:val="00283C94"/>
    <w:rsid w:val="00283D42"/>
    <w:rsid w:val="00283ED6"/>
    <w:rsid w:val="00284119"/>
    <w:rsid w:val="002843AF"/>
    <w:rsid w:val="002847AD"/>
    <w:rsid w:val="002848F3"/>
    <w:rsid w:val="00284AA8"/>
    <w:rsid w:val="00284ADE"/>
    <w:rsid w:val="00284B19"/>
    <w:rsid w:val="00284C63"/>
    <w:rsid w:val="002851B7"/>
    <w:rsid w:val="002851C8"/>
    <w:rsid w:val="00285504"/>
    <w:rsid w:val="002855E5"/>
    <w:rsid w:val="002856EE"/>
    <w:rsid w:val="0028574E"/>
    <w:rsid w:val="002858B3"/>
    <w:rsid w:val="002858C8"/>
    <w:rsid w:val="0028596C"/>
    <w:rsid w:val="00285AAB"/>
    <w:rsid w:val="00285B76"/>
    <w:rsid w:val="0028603F"/>
    <w:rsid w:val="0028606C"/>
    <w:rsid w:val="002860AF"/>
    <w:rsid w:val="002860C9"/>
    <w:rsid w:val="00286111"/>
    <w:rsid w:val="0028618A"/>
    <w:rsid w:val="00286336"/>
    <w:rsid w:val="002864AA"/>
    <w:rsid w:val="00286610"/>
    <w:rsid w:val="0028689A"/>
    <w:rsid w:val="002869BE"/>
    <w:rsid w:val="002869CC"/>
    <w:rsid w:val="002869E2"/>
    <w:rsid w:val="00286AA2"/>
    <w:rsid w:val="00286BF3"/>
    <w:rsid w:val="00286D94"/>
    <w:rsid w:val="00286F16"/>
    <w:rsid w:val="00286F99"/>
    <w:rsid w:val="002870E0"/>
    <w:rsid w:val="00287712"/>
    <w:rsid w:val="002877C7"/>
    <w:rsid w:val="002877FE"/>
    <w:rsid w:val="00287864"/>
    <w:rsid w:val="002878BF"/>
    <w:rsid w:val="00287956"/>
    <w:rsid w:val="00287A1C"/>
    <w:rsid w:val="00287A4C"/>
    <w:rsid w:val="00287A7C"/>
    <w:rsid w:val="00287B8F"/>
    <w:rsid w:val="00287BD2"/>
    <w:rsid w:val="00287E96"/>
    <w:rsid w:val="00287F5F"/>
    <w:rsid w:val="00287FDA"/>
    <w:rsid w:val="002900EF"/>
    <w:rsid w:val="00290132"/>
    <w:rsid w:val="002901C5"/>
    <w:rsid w:val="0029075B"/>
    <w:rsid w:val="002907D3"/>
    <w:rsid w:val="00290804"/>
    <w:rsid w:val="00290814"/>
    <w:rsid w:val="002908F4"/>
    <w:rsid w:val="00290946"/>
    <w:rsid w:val="002909A0"/>
    <w:rsid w:val="00290A2C"/>
    <w:rsid w:val="00290A4B"/>
    <w:rsid w:val="00290ADB"/>
    <w:rsid w:val="00290C4E"/>
    <w:rsid w:val="00290CDB"/>
    <w:rsid w:val="00290E41"/>
    <w:rsid w:val="00290F27"/>
    <w:rsid w:val="00290F8F"/>
    <w:rsid w:val="00290FAA"/>
    <w:rsid w:val="002910B7"/>
    <w:rsid w:val="002912B8"/>
    <w:rsid w:val="002913D7"/>
    <w:rsid w:val="00291416"/>
    <w:rsid w:val="00291497"/>
    <w:rsid w:val="0029160D"/>
    <w:rsid w:val="0029167A"/>
    <w:rsid w:val="00291817"/>
    <w:rsid w:val="00291C50"/>
    <w:rsid w:val="00291D43"/>
    <w:rsid w:val="00291E2A"/>
    <w:rsid w:val="00291E2C"/>
    <w:rsid w:val="00291E6F"/>
    <w:rsid w:val="00291E86"/>
    <w:rsid w:val="00291EE1"/>
    <w:rsid w:val="0029207D"/>
    <w:rsid w:val="002921A2"/>
    <w:rsid w:val="002921F6"/>
    <w:rsid w:val="00292232"/>
    <w:rsid w:val="002924AA"/>
    <w:rsid w:val="002924ED"/>
    <w:rsid w:val="002925AD"/>
    <w:rsid w:val="0029269F"/>
    <w:rsid w:val="00292797"/>
    <w:rsid w:val="00292897"/>
    <w:rsid w:val="002929FC"/>
    <w:rsid w:val="00292F16"/>
    <w:rsid w:val="002930E0"/>
    <w:rsid w:val="002932DE"/>
    <w:rsid w:val="00293352"/>
    <w:rsid w:val="00293368"/>
    <w:rsid w:val="00293452"/>
    <w:rsid w:val="0029350A"/>
    <w:rsid w:val="002935DB"/>
    <w:rsid w:val="0029361E"/>
    <w:rsid w:val="00293667"/>
    <w:rsid w:val="00293787"/>
    <w:rsid w:val="00293840"/>
    <w:rsid w:val="00293896"/>
    <w:rsid w:val="0029393A"/>
    <w:rsid w:val="0029397C"/>
    <w:rsid w:val="002939FC"/>
    <w:rsid w:val="00293A2C"/>
    <w:rsid w:val="00293A39"/>
    <w:rsid w:val="00293BC1"/>
    <w:rsid w:val="00293D56"/>
    <w:rsid w:val="00293F02"/>
    <w:rsid w:val="00293F1B"/>
    <w:rsid w:val="00293F60"/>
    <w:rsid w:val="00294019"/>
    <w:rsid w:val="0029401A"/>
    <w:rsid w:val="00294162"/>
    <w:rsid w:val="0029428C"/>
    <w:rsid w:val="002942A4"/>
    <w:rsid w:val="0029435C"/>
    <w:rsid w:val="00294441"/>
    <w:rsid w:val="00294446"/>
    <w:rsid w:val="002946E1"/>
    <w:rsid w:val="002949AB"/>
    <w:rsid w:val="002949D5"/>
    <w:rsid w:val="00294A2C"/>
    <w:rsid w:val="00294A5F"/>
    <w:rsid w:val="00294BD7"/>
    <w:rsid w:val="00294EC7"/>
    <w:rsid w:val="00294FAA"/>
    <w:rsid w:val="00294FB3"/>
    <w:rsid w:val="002952B3"/>
    <w:rsid w:val="002952F1"/>
    <w:rsid w:val="00295542"/>
    <w:rsid w:val="00295554"/>
    <w:rsid w:val="00295713"/>
    <w:rsid w:val="00295796"/>
    <w:rsid w:val="0029593E"/>
    <w:rsid w:val="0029598E"/>
    <w:rsid w:val="00295AAA"/>
    <w:rsid w:val="00295E0B"/>
    <w:rsid w:val="00295ECC"/>
    <w:rsid w:val="00295F69"/>
    <w:rsid w:val="00295F8D"/>
    <w:rsid w:val="002962D6"/>
    <w:rsid w:val="002962E9"/>
    <w:rsid w:val="00296354"/>
    <w:rsid w:val="002963BE"/>
    <w:rsid w:val="00296457"/>
    <w:rsid w:val="0029647E"/>
    <w:rsid w:val="002965F4"/>
    <w:rsid w:val="00296792"/>
    <w:rsid w:val="002967C5"/>
    <w:rsid w:val="00296A43"/>
    <w:rsid w:val="00296C9A"/>
    <w:rsid w:val="00297202"/>
    <w:rsid w:val="0029722E"/>
    <w:rsid w:val="00297234"/>
    <w:rsid w:val="00297302"/>
    <w:rsid w:val="0029746C"/>
    <w:rsid w:val="00297475"/>
    <w:rsid w:val="0029751B"/>
    <w:rsid w:val="0029775F"/>
    <w:rsid w:val="00297880"/>
    <w:rsid w:val="002978B5"/>
    <w:rsid w:val="0029797D"/>
    <w:rsid w:val="002979E5"/>
    <w:rsid w:val="00297AF1"/>
    <w:rsid w:val="00297B1D"/>
    <w:rsid w:val="00297C44"/>
    <w:rsid w:val="00297FAA"/>
    <w:rsid w:val="002A0076"/>
    <w:rsid w:val="002A0484"/>
    <w:rsid w:val="002A0580"/>
    <w:rsid w:val="002A0881"/>
    <w:rsid w:val="002A0A1C"/>
    <w:rsid w:val="002A0B24"/>
    <w:rsid w:val="002A0CAB"/>
    <w:rsid w:val="002A0F74"/>
    <w:rsid w:val="002A0FF2"/>
    <w:rsid w:val="002A0FF6"/>
    <w:rsid w:val="002A1309"/>
    <w:rsid w:val="002A16C7"/>
    <w:rsid w:val="002A1737"/>
    <w:rsid w:val="002A1796"/>
    <w:rsid w:val="002A19E6"/>
    <w:rsid w:val="002A1A03"/>
    <w:rsid w:val="002A1A6E"/>
    <w:rsid w:val="002A1B5B"/>
    <w:rsid w:val="002A1B6D"/>
    <w:rsid w:val="002A1CA7"/>
    <w:rsid w:val="002A1CC1"/>
    <w:rsid w:val="002A1DBC"/>
    <w:rsid w:val="002A1DD7"/>
    <w:rsid w:val="002A1E90"/>
    <w:rsid w:val="002A200C"/>
    <w:rsid w:val="002A2017"/>
    <w:rsid w:val="002A201D"/>
    <w:rsid w:val="002A20C9"/>
    <w:rsid w:val="002A21D4"/>
    <w:rsid w:val="002A22C6"/>
    <w:rsid w:val="002A2439"/>
    <w:rsid w:val="002A262C"/>
    <w:rsid w:val="002A27FC"/>
    <w:rsid w:val="002A2A5F"/>
    <w:rsid w:val="002A2A7C"/>
    <w:rsid w:val="002A2BC1"/>
    <w:rsid w:val="002A2C22"/>
    <w:rsid w:val="002A2E0B"/>
    <w:rsid w:val="002A2ECD"/>
    <w:rsid w:val="002A2F9B"/>
    <w:rsid w:val="002A2FF9"/>
    <w:rsid w:val="002A3077"/>
    <w:rsid w:val="002A3178"/>
    <w:rsid w:val="002A319A"/>
    <w:rsid w:val="002A325D"/>
    <w:rsid w:val="002A3335"/>
    <w:rsid w:val="002A33EB"/>
    <w:rsid w:val="002A340E"/>
    <w:rsid w:val="002A361E"/>
    <w:rsid w:val="002A363B"/>
    <w:rsid w:val="002A3723"/>
    <w:rsid w:val="002A3755"/>
    <w:rsid w:val="002A3779"/>
    <w:rsid w:val="002A382F"/>
    <w:rsid w:val="002A388F"/>
    <w:rsid w:val="002A38F1"/>
    <w:rsid w:val="002A3CF4"/>
    <w:rsid w:val="002A3CFF"/>
    <w:rsid w:val="002A3E85"/>
    <w:rsid w:val="002A3EF7"/>
    <w:rsid w:val="002A3F95"/>
    <w:rsid w:val="002A404B"/>
    <w:rsid w:val="002A417C"/>
    <w:rsid w:val="002A41B4"/>
    <w:rsid w:val="002A42A4"/>
    <w:rsid w:val="002A4315"/>
    <w:rsid w:val="002A433B"/>
    <w:rsid w:val="002A4602"/>
    <w:rsid w:val="002A46FD"/>
    <w:rsid w:val="002A4777"/>
    <w:rsid w:val="002A4794"/>
    <w:rsid w:val="002A47CC"/>
    <w:rsid w:val="002A48C0"/>
    <w:rsid w:val="002A48F1"/>
    <w:rsid w:val="002A49DC"/>
    <w:rsid w:val="002A4A42"/>
    <w:rsid w:val="002A4AA6"/>
    <w:rsid w:val="002A4B12"/>
    <w:rsid w:val="002A4C46"/>
    <w:rsid w:val="002A4C57"/>
    <w:rsid w:val="002A4C58"/>
    <w:rsid w:val="002A4F16"/>
    <w:rsid w:val="002A4F70"/>
    <w:rsid w:val="002A5044"/>
    <w:rsid w:val="002A5251"/>
    <w:rsid w:val="002A52F9"/>
    <w:rsid w:val="002A54C4"/>
    <w:rsid w:val="002A5523"/>
    <w:rsid w:val="002A5727"/>
    <w:rsid w:val="002A5B1B"/>
    <w:rsid w:val="002A5B8C"/>
    <w:rsid w:val="002A5C71"/>
    <w:rsid w:val="002A5C8B"/>
    <w:rsid w:val="002A5D6B"/>
    <w:rsid w:val="002A5D84"/>
    <w:rsid w:val="002A5EB4"/>
    <w:rsid w:val="002A60F2"/>
    <w:rsid w:val="002A614D"/>
    <w:rsid w:val="002A6178"/>
    <w:rsid w:val="002A61C1"/>
    <w:rsid w:val="002A6293"/>
    <w:rsid w:val="002A646E"/>
    <w:rsid w:val="002A651A"/>
    <w:rsid w:val="002A6660"/>
    <w:rsid w:val="002A6691"/>
    <w:rsid w:val="002A66B7"/>
    <w:rsid w:val="002A697D"/>
    <w:rsid w:val="002A69B6"/>
    <w:rsid w:val="002A6B06"/>
    <w:rsid w:val="002A6B85"/>
    <w:rsid w:val="002A6B9C"/>
    <w:rsid w:val="002A6C28"/>
    <w:rsid w:val="002A6D5C"/>
    <w:rsid w:val="002A6DF7"/>
    <w:rsid w:val="002A6EF1"/>
    <w:rsid w:val="002A6F01"/>
    <w:rsid w:val="002A70C6"/>
    <w:rsid w:val="002A724F"/>
    <w:rsid w:val="002A74C3"/>
    <w:rsid w:val="002A778A"/>
    <w:rsid w:val="002A78DF"/>
    <w:rsid w:val="002A7ADC"/>
    <w:rsid w:val="002A7B03"/>
    <w:rsid w:val="002A7BCB"/>
    <w:rsid w:val="002A7E32"/>
    <w:rsid w:val="002A7E5A"/>
    <w:rsid w:val="002A7F21"/>
    <w:rsid w:val="002A7F5D"/>
    <w:rsid w:val="002A7FB7"/>
    <w:rsid w:val="002A7FED"/>
    <w:rsid w:val="002B00D4"/>
    <w:rsid w:val="002B0148"/>
    <w:rsid w:val="002B0185"/>
    <w:rsid w:val="002B0265"/>
    <w:rsid w:val="002B04DA"/>
    <w:rsid w:val="002B054C"/>
    <w:rsid w:val="002B0571"/>
    <w:rsid w:val="002B0728"/>
    <w:rsid w:val="002B0D79"/>
    <w:rsid w:val="002B0E54"/>
    <w:rsid w:val="002B0E7E"/>
    <w:rsid w:val="002B0FB6"/>
    <w:rsid w:val="002B1000"/>
    <w:rsid w:val="002B109D"/>
    <w:rsid w:val="002B10DE"/>
    <w:rsid w:val="002B121B"/>
    <w:rsid w:val="002B12DD"/>
    <w:rsid w:val="002B13B8"/>
    <w:rsid w:val="002B13FB"/>
    <w:rsid w:val="002B15BF"/>
    <w:rsid w:val="002B166C"/>
    <w:rsid w:val="002B17F4"/>
    <w:rsid w:val="002B197F"/>
    <w:rsid w:val="002B19F5"/>
    <w:rsid w:val="002B1B2B"/>
    <w:rsid w:val="002B1B5C"/>
    <w:rsid w:val="002B1BAB"/>
    <w:rsid w:val="002B1BB0"/>
    <w:rsid w:val="002B1E1D"/>
    <w:rsid w:val="002B203D"/>
    <w:rsid w:val="002B2047"/>
    <w:rsid w:val="002B21D5"/>
    <w:rsid w:val="002B248A"/>
    <w:rsid w:val="002B2496"/>
    <w:rsid w:val="002B24E1"/>
    <w:rsid w:val="002B2684"/>
    <w:rsid w:val="002B2A5E"/>
    <w:rsid w:val="002B2C84"/>
    <w:rsid w:val="002B2D64"/>
    <w:rsid w:val="002B2F05"/>
    <w:rsid w:val="002B2F89"/>
    <w:rsid w:val="002B2FB2"/>
    <w:rsid w:val="002B2FD6"/>
    <w:rsid w:val="002B30EA"/>
    <w:rsid w:val="002B3115"/>
    <w:rsid w:val="002B330A"/>
    <w:rsid w:val="002B34BE"/>
    <w:rsid w:val="002B3689"/>
    <w:rsid w:val="002B3697"/>
    <w:rsid w:val="002B37CE"/>
    <w:rsid w:val="002B39B3"/>
    <w:rsid w:val="002B39C4"/>
    <w:rsid w:val="002B3B5E"/>
    <w:rsid w:val="002B3B90"/>
    <w:rsid w:val="002B3C66"/>
    <w:rsid w:val="002B3F8C"/>
    <w:rsid w:val="002B4000"/>
    <w:rsid w:val="002B4014"/>
    <w:rsid w:val="002B4144"/>
    <w:rsid w:val="002B4174"/>
    <w:rsid w:val="002B42B4"/>
    <w:rsid w:val="002B42E6"/>
    <w:rsid w:val="002B42FD"/>
    <w:rsid w:val="002B4359"/>
    <w:rsid w:val="002B45F2"/>
    <w:rsid w:val="002B471C"/>
    <w:rsid w:val="002B472F"/>
    <w:rsid w:val="002B4808"/>
    <w:rsid w:val="002B48FA"/>
    <w:rsid w:val="002B4C54"/>
    <w:rsid w:val="002B4C62"/>
    <w:rsid w:val="002B4C9C"/>
    <w:rsid w:val="002B4CCA"/>
    <w:rsid w:val="002B4D2D"/>
    <w:rsid w:val="002B4DB4"/>
    <w:rsid w:val="002B4F98"/>
    <w:rsid w:val="002B500A"/>
    <w:rsid w:val="002B51C7"/>
    <w:rsid w:val="002B5298"/>
    <w:rsid w:val="002B5335"/>
    <w:rsid w:val="002B5336"/>
    <w:rsid w:val="002B53D8"/>
    <w:rsid w:val="002B53E7"/>
    <w:rsid w:val="002B5542"/>
    <w:rsid w:val="002B558E"/>
    <w:rsid w:val="002B56BE"/>
    <w:rsid w:val="002B588C"/>
    <w:rsid w:val="002B599E"/>
    <w:rsid w:val="002B59B1"/>
    <w:rsid w:val="002B5ADA"/>
    <w:rsid w:val="002B5B37"/>
    <w:rsid w:val="002B5B3C"/>
    <w:rsid w:val="002B5B4F"/>
    <w:rsid w:val="002B5BC0"/>
    <w:rsid w:val="002B5EFD"/>
    <w:rsid w:val="002B5FBC"/>
    <w:rsid w:val="002B61D4"/>
    <w:rsid w:val="002B6306"/>
    <w:rsid w:val="002B6309"/>
    <w:rsid w:val="002B6311"/>
    <w:rsid w:val="002B6470"/>
    <w:rsid w:val="002B64B7"/>
    <w:rsid w:val="002B66CA"/>
    <w:rsid w:val="002B6752"/>
    <w:rsid w:val="002B6885"/>
    <w:rsid w:val="002B6B42"/>
    <w:rsid w:val="002B6BCC"/>
    <w:rsid w:val="002B6C27"/>
    <w:rsid w:val="002B6C2C"/>
    <w:rsid w:val="002B70E3"/>
    <w:rsid w:val="002B7230"/>
    <w:rsid w:val="002B72A1"/>
    <w:rsid w:val="002B7597"/>
    <w:rsid w:val="002B75F4"/>
    <w:rsid w:val="002B7803"/>
    <w:rsid w:val="002B78DA"/>
    <w:rsid w:val="002B7D34"/>
    <w:rsid w:val="002B7D78"/>
    <w:rsid w:val="002B7D93"/>
    <w:rsid w:val="002B7EAC"/>
    <w:rsid w:val="002C0049"/>
    <w:rsid w:val="002C011A"/>
    <w:rsid w:val="002C0213"/>
    <w:rsid w:val="002C023D"/>
    <w:rsid w:val="002C0246"/>
    <w:rsid w:val="002C0325"/>
    <w:rsid w:val="002C04D4"/>
    <w:rsid w:val="002C0595"/>
    <w:rsid w:val="002C06FF"/>
    <w:rsid w:val="002C0727"/>
    <w:rsid w:val="002C07A4"/>
    <w:rsid w:val="002C07C6"/>
    <w:rsid w:val="002C07FD"/>
    <w:rsid w:val="002C0804"/>
    <w:rsid w:val="002C09C3"/>
    <w:rsid w:val="002C09CC"/>
    <w:rsid w:val="002C0B33"/>
    <w:rsid w:val="002C0B89"/>
    <w:rsid w:val="002C0D2E"/>
    <w:rsid w:val="002C0E3A"/>
    <w:rsid w:val="002C0E73"/>
    <w:rsid w:val="002C0EFB"/>
    <w:rsid w:val="002C10C9"/>
    <w:rsid w:val="002C118A"/>
    <w:rsid w:val="002C122F"/>
    <w:rsid w:val="002C13C7"/>
    <w:rsid w:val="002C162A"/>
    <w:rsid w:val="002C1652"/>
    <w:rsid w:val="002C17E7"/>
    <w:rsid w:val="002C18EA"/>
    <w:rsid w:val="002C192D"/>
    <w:rsid w:val="002C1CD8"/>
    <w:rsid w:val="002C1F1F"/>
    <w:rsid w:val="002C1F28"/>
    <w:rsid w:val="002C2202"/>
    <w:rsid w:val="002C2294"/>
    <w:rsid w:val="002C25C9"/>
    <w:rsid w:val="002C25FB"/>
    <w:rsid w:val="002C27C0"/>
    <w:rsid w:val="002C2AA7"/>
    <w:rsid w:val="002C2AC8"/>
    <w:rsid w:val="002C2AD9"/>
    <w:rsid w:val="002C2AE4"/>
    <w:rsid w:val="002C2B7D"/>
    <w:rsid w:val="002C2BB4"/>
    <w:rsid w:val="002C2C35"/>
    <w:rsid w:val="002C2E28"/>
    <w:rsid w:val="002C2EA1"/>
    <w:rsid w:val="002C2ED0"/>
    <w:rsid w:val="002C323A"/>
    <w:rsid w:val="002C3731"/>
    <w:rsid w:val="002C379C"/>
    <w:rsid w:val="002C37CE"/>
    <w:rsid w:val="002C3864"/>
    <w:rsid w:val="002C3885"/>
    <w:rsid w:val="002C398D"/>
    <w:rsid w:val="002C3A2E"/>
    <w:rsid w:val="002C3B47"/>
    <w:rsid w:val="002C400B"/>
    <w:rsid w:val="002C40B5"/>
    <w:rsid w:val="002C4330"/>
    <w:rsid w:val="002C4591"/>
    <w:rsid w:val="002C4754"/>
    <w:rsid w:val="002C47F6"/>
    <w:rsid w:val="002C4995"/>
    <w:rsid w:val="002C4A0D"/>
    <w:rsid w:val="002C4A11"/>
    <w:rsid w:val="002C4A8D"/>
    <w:rsid w:val="002C4B4D"/>
    <w:rsid w:val="002C4D11"/>
    <w:rsid w:val="002C4E52"/>
    <w:rsid w:val="002C4FCF"/>
    <w:rsid w:val="002C50C5"/>
    <w:rsid w:val="002C518F"/>
    <w:rsid w:val="002C53D2"/>
    <w:rsid w:val="002C53ED"/>
    <w:rsid w:val="002C5505"/>
    <w:rsid w:val="002C58AF"/>
    <w:rsid w:val="002C5A98"/>
    <w:rsid w:val="002C5AF3"/>
    <w:rsid w:val="002C5C49"/>
    <w:rsid w:val="002C5FC4"/>
    <w:rsid w:val="002C5FDA"/>
    <w:rsid w:val="002C607C"/>
    <w:rsid w:val="002C6088"/>
    <w:rsid w:val="002C60EE"/>
    <w:rsid w:val="002C60F7"/>
    <w:rsid w:val="002C6388"/>
    <w:rsid w:val="002C64E1"/>
    <w:rsid w:val="002C6546"/>
    <w:rsid w:val="002C674B"/>
    <w:rsid w:val="002C67EE"/>
    <w:rsid w:val="002C6942"/>
    <w:rsid w:val="002C6A60"/>
    <w:rsid w:val="002C6B14"/>
    <w:rsid w:val="002C6D62"/>
    <w:rsid w:val="002C6F2A"/>
    <w:rsid w:val="002C6FB3"/>
    <w:rsid w:val="002C6FE8"/>
    <w:rsid w:val="002C70E5"/>
    <w:rsid w:val="002C736E"/>
    <w:rsid w:val="002C7426"/>
    <w:rsid w:val="002C7656"/>
    <w:rsid w:val="002C76B1"/>
    <w:rsid w:val="002C770C"/>
    <w:rsid w:val="002C78D5"/>
    <w:rsid w:val="002C7B12"/>
    <w:rsid w:val="002C7B80"/>
    <w:rsid w:val="002C7B92"/>
    <w:rsid w:val="002C7D90"/>
    <w:rsid w:val="002C7F18"/>
    <w:rsid w:val="002C7F20"/>
    <w:rsid w:val="002D00D7"/>
    <w:rsid w:val="002D0179"/>
    <w:rsid w:val="002D0191"/>
    <w:rsid w:val="002D0302"/>
    <w:rsid w:val="002D0631"/>
    <w:rsid w:val="002D064C"/>
    <w:rsid w:val="002D077C"/>
    <w:rsid w:val="002D079C"/>
    <w:rsid w:val="002D087C"/>
    <w:rsid w:val="002D0AA2"/>
    <w:rsid w:val="002D0B32"/>
    <w:rsid w:val="002D0D81"/>
    <w:rsid w:val="002D1024"/>
    <w:rsid w:val="002D1163"/>
    <w:rsid w:val="002D12F7"/>
    <w:rsid w:val="002D132E"/>
    <w:rsid w:val="002D14DD"/>
    <w:rsid w:val="002D18F8"/>
    <w:rsid w:val="002D1B04"/>
    <w:rsid w:val="002D1B0C"/>
    <w:rsid w:val="002D1B9C"/>
    <w:rsid w:val="002D1ED8"/>
    <w:rsid w:val="002D1F3F"/>
    <w:rsid w:val="002D2094"/>
    <w:rsid w:val="002D216E"/>
    <w:rsid w:val="002D247D"/>
    <w:rsid w:val="002D2521"/>
    <w:rsid w:val="002D264D"/>
    <w:rsid w:val="002D299F"/>
    <w:rsid w:val="002D2B37"/>
    <w:rsid w:val="002D2CCC"/>
    <w:rsid w:val="002D2D71"/>
    <w:rsid w:val="002D2DB1"/>
    <w:rsid w:val="002D2F1B"/>
    <w:rsid w:val="002D2F32"/>
    <w:rsid w:val="002D30AD"/>
    <w:rsid w:val="002D325C"/>
    <w:rsid w:val="002D33BC"/>
    <w:rsid w:val="002D3446"/>
    <w:rsid w:val="002D34AE"/>
    <w:rsid w:val="002D3558"/>
    <w:rsid w:val="002D35A1"/>
    <w:rsid w:val="002D363F"/>
    <w:rsid w:val="002D374F"/>
    <w:rsid w:val="002D3766"/>
    <w:rsid w:val="002D37E2"/>
    <w:rsid w:val="002D3836"/>
    <w:rsid w:val="002D3A25"/>
    <w:rsid w:val="002D3A3F"/>
    <w:rsid w:val="002D3AD9"/>
    <w:rsid w:val="002D3C2D"/>
    <w:rsid w:val="002D3C40"/>
    <w:rsid w:val="002D3CB1"/>
    <w:rsid w:val="002D3DC7"/>
    <w:rsid w:val="002D3FC1"/>
    <w:rsid w:val="002D4218"/>
    <w:rsid w:val="002D4368"/>
    <w:rsid w:val="002D438B"/>
    <w:rsid w:val="002D441C"/>
    <w:rsid w:val="002D46CA"/>
    <w:rsid w:val="002D4973"/>
    <w:rsid w:val="002D4C20"/>
    <w:rsid w:val="002D4E0B"/>
    <w:rsid w:val="002D4E11"/>
    <w:rsid w:val="002D4EFD"/>
    <w:rsid w:val="002D4FF2"/>
    <w:rsid w:val="002D5022"/>
    <w:rsid w:val="002D50DD"/>
    <w:rsid w:val="002D531E"/>
    <w:rsid w:val="002D534B"/>
    <w:rsid w:val="002D5652"/>
    <w:rsid w:val="002D56EF"/>
    <w:rsid w:val="002D5922"/>
    <w:rsid w:val="002D5AC2"/>
    <w:rsid w:val="002D5B3D"/>
    <w:rsid w:val="002D5C01"/>
    <w:rsid w:val="002D5E94"/>
    <w:rsid w:val="002D5FCB"/>
    <w:rsid w:val="002D5FDB"/>
    <w:rsid w:val="002D6173"/>
    <w:rsid w:val="002D6362"/>
    <w:rsid w:val="002D66FE"/>
    <w:rsid w:val="002D6795"/>
    <w:rsid w:val="002D6887"/>
    <w:rsid w:val="002D6AFF"/>
    <w:rsid w:val="002D6D25"/>
    <w:rsid w:val="002D6E25"/>
    <w:rsid w:val="002D6EB5"/>
    <w:rsid w:val="002D7043"/>
    <w:rsid w:val="002D7233"/>
    <w:rsid w:val="002D7276"/>
    <w:rsid w:val="002D754A"/>
    <w:rsid w:val="002D75FA"/>
    <w:rsid w:val="002D7832"/>
    <w:rsid w:val="002D792B"/>
    <w:rsid w:val="002D797E"/>
    <w:rsid w:val="002D7A6C"/>
    <w:rsid w:val="002D7AB9"/>
    <w:rsid w:val="002D7AD0"/>
    <w:rsid w:val="002D7E24"/>
    <w:rsid w:val="002D7FFE"/>
    <w:rsid w:val="002E007A"/>
    <w:rsid w:val="002E0267"/>
    <w:rsid w:val="002E02CC"/>
    <w:rsid w:val="002E093B"/>
    <w:rsid w:val="002E099B"/>
    <w:rsid w:val="002E0A74"/>
    <w:rsid w:val="002E0B21"/>
    <w:rsid w:val="002E0B63"/>
    <w:rsid w:val="002E0C48"/>
    <w:rsid w:val="002E0F52"/>
    <w:rsid w:val="002E0FDC"/>
    <w:rsid w:val="002E100D"/>
    <w:rsid w:val="002E1052"/>
    <w:rsid w:val="002E107F"/>
    <w:rsid w:val="002E1144"/>
    <w:rsid w:val="002E1398"/>
    <w:rsid w:val="002E1448"/>
    <w:rsid w:val="002E144F"/>
    <w:rsid w:val="002E155E"/>
    <w:rsid w:val="002E15B1"/>
    <w:rsid w:val="002E1766"/>
    <w:rsid w:val="002E1915"/>
    <w:rsid w:val="002E1C53"/>
    <w:rsid w:val="002E1C71"/>
    <w:rsid w:val="002E1D43"/>
    <w:rsid w:val="002E1E6B"/>
    <w:rsid w:val="002E1E90"/>
    <w:rsid w:val="002E1ECC"/>
    <w:rsid w:val="002E1EE7"/>
    <w:rsid w:val="002E2059"/>
    <w:rsid w:val="002E2089"/>
    <w:rsid w:val="002E2120"/>
    <w:rsid w:val="002E25DE"/>
    <w:rsid w:val="002E261E"/>
    <w:rsid w:val="002E2629"/>
    <w:rsid w:val="002E281E"/>
    <w:rsid w:val="002E28D0"/>
    <w:rsid w:val="002E2977"/>
    <w:rsid w:val="002E2A84"/>
    <w:rsid w:val="002E2AC2"/>
    <w:rsid w:val="002E2DCC"/>
    <w:rsid w:val="002E2EF8"/>
    <w:rsid w:val="002E2FC9"/>
    <w:rsid w:val="002E31C4"/>
    <w:rsid w:val="002E3249"/>
    <w:rsid w:val="002E3259"/>
    <w:rsid w:val="002E3273"/>
    <w:rsid w:val="002E3413"/>
    <w:rsid w:val="002E35F5"/>
    <w:rsid w:val="002E3897"/>
    <w:rsid w:val="002E3A33"/>
    <w:rsid w:val="002E3CB6"/>
    <w:rsid w:val="002E3CD8"/>
    <w:rsid w:val="002E3F90"/>
    <w:rsid w:val="002E4037"/>
    <w:rsid w:val="002E4099"/>
    <w:rsid w:val="002E4208"/>
    <w:rsid w:val="002E4267"/>
    <w:rsid w:val="002E4321"/>
    <w:rsid w:val="002E43E1"/>
    <w:rsid w:val="002E44C7"/>
    <w:rsid w:val="002E47FC"/>
    <w:rsid w:val="002E48A7"/>
    <w:rsid w:val="002E4919"/>
    <w:rsid w:val="002E4A50"/>
    <w:rsid w:val="002E4BBF"/>
    <w:rsid w:val="002E4CA3"/>
    <w:rsid w:val="002E4CB8"/>
    <w:rsid w:val="002E4CD0"/>
    <w:rsid w:val="002E4DB8"/>
    <w:rsid w:val="002E4E1F"/>
    <w:rsid w:val="002E5107"/>
    <w:rsid w:val="002E51B0"/>
    <w:rsid w:val="002E5227"/>
    <w:rsid w:val="002E523C"/>
    <w:rsid w:val="002E5246"/>
    <w:rsid w:val="002E5588"/>
    <w:rsid w:val="002E55F1"/>
    <w:rsid w:val="002E5659"/>
    <w:rsid w:val="002E5758"/>
    <w:rsid w:val="002E5923"/>
    <w:rsid w:val="002E5AC4"/>
    <w:rsid w:val="002E5B82"/>
    <w:rsid w:val="002E5BBF"/>
    <w:rsid w:val="002E5DCD"/>
    <w:rsid w:val="002E5DDE"/>
    <w:rsid w:val="002E5E06"/>
    <w:rsid w:val="002E619F"/>
    <w:rsid w:val="002E61B1"/>
    <w:rsid w:val="002E62F3"/>
    <w:rsid w:val="002E63D5"/>
    <w:rsid w:val="002E6490"/>
    <w:rsid w:val="002E65ED"/>
    <w:rsid w:val="002E660D"/>
    <w:rsid w:val="002E6A2F"/>
    <w:rsid w:val="002E6B69"/>
    <w:rsid w:val="002E6D30"/>
    <w:rsid w:val="002E6E59"/>
    <w:rsid w:val="002E6E77"/>
    <w:rsid w:val="002E700A"/>
    <w:rsid w:val="002E70DE"/>
    <w:rsid w:val="002E7105"/>
    <w:rsid w:val="002E7122"/>
    <w:rsid w:val="002E7215"/>
    <w:rsid w:val="002E7768"/>
    <w:rsid w:val="002E783A"/>
    <w:rsid w:val="002E7926"/>
    <w:rsid w:val="002E7BBF"/>
    <w:rsid w:val="002E7DC8"/>
    <w:rsid w:val="002E7F19"/>
    <w:rsid w:val="002E7FBD"/>
    <w:rsid w:val="002F0190"/>
    <w:rsid w:val="002F0282"/>
    <w:rsid w:val="002F034E"/>
    <w:rsid w:val="002F0711"/>
    <w:rsid w:val="002F0793"/>
    <w:rsid w:val="002F0864"/>
    <w:rsid w:val="002F0967"/>
    <w:rsid w:val="002F0B93"/>
    <w:rsid w:val="002F0BFA"/>
    <w:rsid w:val="002F0F96"/>
    <w:rsid w:val="002F106A"/>
    <w:rsid w:val="002F10C0"/>
    <w:rsid w:val="002F12CD"/>
    <w:rsid w:val="002F130D"/>
    <w:rsid w:val="002F147E"/>
    <w:rsid w:val="002F1490"/>
    <w:rsid w:val="002F1567"/>
    <w:rsid w:val="002F184B"/>
    <w:rsid w:val="002F1A72"/>
    <w:rsid w:val="002F1B21"/>
    <w:rsid w:val="002F1CAE"/>
    <w:rsid w:val="002F1CBC"/>
    <w:rsid w:val="002F1CD0"/>
    <w:rsid w:val="002F1D40"/>
    <w:rsid w:val="002F1DE3"/>
    <w:rsid w:val="002F240E"/>
    <w:rsid w:val="002F24BA"/>
    <w:rsid w:val="002F2538"/>
    <w:rsid w:val="002F259C"/>
    <w:rsid w:val="002F26AB"/>
    <w:rsid w:val="002F28B8"/>
    <w:rsid w:val="002F29B7"/>
    <w:rsid w:val="002F2A12"/>
    <w:rsid w:val="002F2AB9"/>
    <w:rsid w:val="002F2DDC"/>
    <w:rsid w:val="002F2EC3"/>
    <w:rsid w:val="002F30CA"/>
    <w:rsid w:val="002F3145"/>
    <w:rsid w:val="002F32BD"/>
    <w:rsid w:val="002F3568"/>
    <w:rsid w:val="002F368E"/>
    <w:rsid w:val="002F3723"/>
    <w:rsid w:val="002F3741"/>
    <w:rsid w:val="002F3796"/>
    <w:rsid w:val="002F397A"/>
    <w:rsid w:val="002F3A37"/>
    <w:rsid w:val="002F3B98"/>
    <w:rsid w:val="002F3D9B"/>
    <w:rsid w:val="002F4019"/>
    <w:rsid w:val="002F40D8"/>
    <w:rsid w:val="002F4129"/>
    <w:rsid w:val="002F41CC"/>
    <w:rsid w:val="002F4218"/>
    <w:rsid w:val="002F4316"/>
    <w:rsid w:val="002F4383"/>
    <w:rsid w:val="002F45E7"/>
    <w:rsid w:val="002F47D3"/>
    <w:rsid w:val="002F48D0"/>
    <w:rsid w:val="002F4932"/>
    <w:rsid w:val="002F4A3E"/>
    <w:rsid w:val="002F4C70"/>
    <w:rsid w:val="002F4DFA"/>
    <w:rsid w:val="002F50EF"/>
    <w:rsid w:val="002F515E"/>
    <w:rsid w:val="002F528D"/>
    <w:rsid w:val="002F5418"/>
    <w:rsid w:val="002F5534"/>
    <w:rsid w:val="002F565C"/>
    <w:rsid w:val="002F5845"/>
    <w:rsid w:val="002F59FC"/>
    <w:rsid w:val="002F5C20"/>
    <w:rsid w:val="002F5F05"/>
    <w:rsid w:val="002F62AC"/>
    <w:rsid w:val="002F62BC"/>
    <w:rsid w:val="002F6561"/>
    <w:rsid w:val="002F6591"/>
    <w:rsid w:val="002F65A8"/>
    <w:rsid w:val="002F675B"/>
    <w:rsid w:val="002F678D"/>
    <w:rsid w:val="002F67C4"/>
    <w:rsid w:val="002F68FE"/>
    <w:rsid w:val="002F6A54"/>
    <w:rsid w:val="002F6B08"/>
    <w:rsid w:val="002F6D27"/>
    <w:rsid w:val="002F70EC"/>
    <w:rsid w:val="002F71B2"/>
    <w:rsid w:val="002F71F2"/>
    <w:rsid w:val="002F755E"/>
    <w:rsid w:val="002F76BE"/>
    <w:rsid w:val="002F7A34"/>
    <w:rsid w:val="002F7A43"/>
    <w:rsid w:val="002F7ACC"/>
    <w:rsid w:val="002F7B63"/>
    <w:rsid w:val="002F7B9B"/>
    <w:rsid w:val="002F7D6D"/>
    <w:rsid w:val="002F7F9C"/>
    <w:rsid w:val="002F7FF2"/>
    <w:rsid w:val="00300167"/>
    <w:rsid w:val="00300237"/>
    <w:rsid w:val="003004BC"/>
    <w:rsid w:val="00300BF3"/>
    <w:rsid w:val="00300C1B"/>
    <w:rsid w:val="00300C80"/>
    <w:rsid w:val="00300CAB"/>
    <w:rsid w:val="00300F99"/>
    <w:rsid w:val="003010E0"/>
    <w:rsid w:val="0030113B"/>
    <w:rsid w:val="00301152"/>
    <w:rsid w:val="00301347"/>
    <w:rsid w:val="003016F9"/>
    <w:rsid w:val="00301760"/>
    <w:rsid w:val="003017CD"/>
    <w:rsid w:val="0030180B"/>
    <w:rsid w:val="003018E8"/>
    <w:rsid w:val="0030197B"/>
    <w:rsid w:val="00301A5F"/>
    <w:rsid w:val="00301A78"/>
    <w:rsid w:val="00301C89"/>
    <w:rsid w:val="00301CD6"/>
    <w:rsid w:val="00301F39"/>
    <w:rsid w:val="0030203F"/>
    <w:rsid w:val="00302103"/>
    <w:rsid w:val="00302290"/>
    <w:rsid w:val="003022FC"/>
    <w:rsid w:val="00302360"/>
    <w:rsid w:val="003023CF"/>
    <w:rsid w:val="00302484"/>
    <w:rsid w:val="00302504"/>
    <w:rsid w:val="003027DC"/>
    <w:rsid w:val="0030293D"/>
    <w:rsid w:val="00302A6B"/>
    <w:rsid w:val="00302D74"/>
    <w:rsid w:val="0030304E"/>
    <w:rsid w:val="00303059"/>
    <w:rsid w:val="00303108"/>
    <w:rsid w:val="003031ED"/>
    <w:rsid w:val="00303292"/>
    <w:rsid w:val="003033B5"/>
    <w:rsid w:val="00303517"/>
    <w:rsid w:val="00303799"/>
    <w:rsid w:val="0030388E"/>
    <w:rsid w:val="003039E8"/>
    <w:rsid w:val="00303A47"/>
    <w:rsid w:val="00303B3C"/>
    <w:rsid w:val="00303CB9"/>
    <w:rsid w:val="00303D23"/>
    <w:rsid w:val="00303EFC"/>
    <w:rsid w:val="0030407D"/>
    <w:rsid w:val="003040B9"/>
    <w:rsid w:val="0030426A"/>
    <w:rsid w:val="0030429E"/>
    <w:rsid w:val="003043CA"/>
    <w:rsid w:val="0030446F"/>
    <w:rsid w:val="0030452E"/>
    <w:rsid w:val="00304618"/>
    <w:rsid w:val="003046AE"/>
    <w:rsid w:val="003046EE"/>
    <w:rsid w:val="00304750"/>
    <w:rsid w:val="00304799"/>
    <w:rsid w:val="003047E0"/>
    <w:rsid w:val="003048FC"/>
    <w:rsid w:val="00304917"/>
    <w:rsid w:val="00304995"/>
    <w:rsid w:val="00304B9C"/>
    <w:rsid w:val="00304BB0"/>
    <w:rsid w:val="00304DAF"/>
    <w:rsid w:val="00304DD1"/>
    <w:rsid w:val="00304E1A"/>
    <w:rsid w:val="00304EB0"/>
    <w:rsid w:val="00304F23"/>
    <w:rsid w:val="00304FD7"/>
    <w:rsid w:val="0030508A"/>
    <w:rsid w:val="003052D3"/>
    <w:rsid w:val="003053CC"/>
    <w:rsid w:val="003059D2"/>
    <w:rsid w:val="00305AFA"/>
    <w:rsid w:val="00305C9C"/>
    <w:rsid w:val="00305CFF"/>
    <w:rsid w:val="00305D98"/>
    <w:rsid w:val="003060BB"/>
    <w:rsid w:val="003061BE"/>
    <w:rsid w:val="0030635C"/>
    <w:rsid w:val="003064E6"/>
    <w:rsid w:val="003065E3"/>
    <w:rsid w:val="0030664E"/>
    <w:rsid w:val="003066E9"/>
    <w:rsid w:val="00306836"/>
    <w:rsid w:val="00306912"/>
    <w:rsid w:val="00306A66"/>
    <w:rsid w:val="00306C4A"/>
    <w:rsid w:val="00307107"/>
    <w:rsid w:val="00307210"/>
    <w:rsid w:val="00307233"/>
    <w:rsid w:val="00307425"/>
    <w:rsid w:val="003076AB"/>
    <w:rsid w:val="0030778A"/>
    <w:rsid w:val="00307CBF"/>
    <w:rsid w:val="00307D4A"/>
    <w:rsid w:val="00307F26"/>
    <w:rsid w:val="00310087"/>
    <w:rsid w:val="003103BE"/>
    <w:rsid w:val="00310893"/>
    <w:rsid w:val="00310A5C"/>
    <w:rsid w:val="00310A6A"/>
    <w:rsid w:val="00310B19"/>
    <w:rsid w:val="00310C6F"/>
    <w:rsid w:val="00310DBE"/>
    <w:rsid w:val="00310F15"/>
    <w:rsid w:val="00310F33"/>
    <w:rsid w:val="00311121"/>
    <w:rsid w:val="003111CA"/>
    <w:rsid w:val="003112DC"/>
    <w:rsid w:val="003113E0"/>
    <w:rsid w:val="003115EF"/>
    <w:rsid w:val="003115F2"/>
    <w:rsid w:val="00311813"/>
    <w:rsid w:val="003118A9"/>
    <w:rsid w:val="00311921"/>
    <w:rsid w:val="00311B7B"/>
    <w:rsid w:val="00311BFA"/>
    <w:rsid w:val="00311CF2"/>
    <w:rsid w:val="00311DCA"/>
    <w:rsid w:val="00311E98"/>
    <w:rsid w:val="00311F9C"/>
    <w:rsid w:val="00311FB0"/>
    <w:rsid w:val="003121AF"/>
    <w:rsid w:val="00312301"/>
    <w:rsid w:val="003123A5"/>
    <w:rsid w:val="0031257B"/>
    <w:rsid w:val="003126DE"/>
    <w:rsid w:val="003127BB"/>
    <w:rsid w:val="0031290F"/>
    <w:rsid w:val="00312929"/>
    <w:rsid w:val="003129DB"/>
    <w:rsid w:val="00312A6F"/>
    <w:rsid w:val="00312B54"/>
    <w:rsid w:val="00312B94"/>
    <w:rsid w:val="00312D9D"/>
    <w:rsid w:val="00312DB9"/>
    <w:rsid w:val="00312E8F"/>
    <w:rsid w:val="003131BD"/>
    <w:rsid w:val="0031329D"/>
    <w:rsid w:val="003132B3"/>
    <w:rsid w:val="00313580"/>
    <w:rsid w:val="003135D1"/>
    <w:rsid w:val="00313731"/>
    <w:rsid w:val="003139E5"/>
    <w:rsid w:val="00313BC8"/>
    <w:rsid w:val="00313E0B"/>
    <w:rsid w:val="00313F3A"/>
    <w:rsid w:val="00313F42"/>
    <w:rsid w:val="00313F7C"/>
    <w:rsid w:val="0031401E"/>
    <w:rsid w:val="0031403A"/>
    <w:rsid w:val="003140A6"/>
    <w:rsid w:val="00314149"/>
    <w:rsid w:val="0031418E"/>
    <w:rsid w:val="00314586"/>
    <w:rsid w:val="003145DC"/>
    <w:rsid w:val="003146EE"/>
    <w:rsid w:val="00314C2A"/>
    <w:rsid w:val="00314C3F"/>
    <w:rsid w:val="00315025"/>
    <w:rsid w:val="003152B8"/>
    <w:rsid w:val="003156F5"/>
    <w:rsid w:val="00315918"/>
    <w:rsid w:val="003159E8"/>
    <w:rsid w:val="00315A55"/>
    <w:rsid w:val="00315C06"/>
    <w:rsid w:val="00315C9D"/>
    <w:rsid w:val="00315DA1"/>
    <w:rsid w:val="00315DD3"/>
    <w:rsid w:val="00315DF9"/>
    <w:rsid w:val="003161B2"/>
    <w:rsid w:val="0031634E"/>
    <w:rsid w:val="00316460"/>
    <w:rsid w:val="00316502"/>
    <w:rsid w:val="00316528"/>
    <w:rsid w:val="00316590"/>
    <w:rsid w:val="0031665F"/>
    <w:rsid w:val="00316738"/>
    <w:rsid w:val="00316793"/>
    <w:rsid w:val="0031679F"/>
    <w:rsid w:val="003169B8"/>
    <w:rsid w:val="00316A12"/>
    <w:rsid w:val="00316A39"/>
    <w:rsid w:val="00316BE0"/>
    <w:rsid w:val="00316D4C"/>
    <w:rsid w:val="00316D65"/>
    <w:rsid w:val="00316DE9"/>
    <w:rsid w:val="00316E1C"/>
    <w:rsid w:val="00316EB4"/>
    <w:rsid w:val="00316F05"/>
    <w:rsid w:val="00317070"/>
    <w:rsid w:val="003170E7"/>
    <w:rsid w:val="003172B2"/>
    <w:rsid w:val="00317620"/>
    <w:rsid w:val="003176CF"/>
    <w:rsid w:val="0031786E"/>
    <w:rsid w:val="0031791E"/>
    <w:rsid w:val="0031799C"/>
    <w:rsid w:val="00317A5C"/>
    <w:rsid w:val="00317A8E"/>
    <w:rsid w:val="00317C6E"/>
    <w:rsid w:val="00317C83"/>
    <w:rsid w:val="00317CBF"/>
    <w:rsid w:val="00317FE7"/>
    <w:rsid w:val="003200C1"/>
    <w:rsid w:val="00320132"/>
    <w:rsid w:val="00320270"/>
    <w:rsid w:val="00320313"/>
    <w:rsid w:val="00320486"/>
    <w:rsid w:val="003205BF"/>
    <w:rsid w:val="00320619"/>
    <w:rsid w:val="003206EB"/>
    <w:rsid w:val="0032092A"/>
    <w:rsid w:val="00320A8E"/>
    <w:rsid w:val="00320A90"/>
    <w:rsid w:val="00320AD8"/>
    <w:rsid w:val="00320ADC"/>
    <w:rsid w:val="00320AEB"/>
    <w:rsid w:val="00320C91"/>
    <w:rsid w:val="00320E32"/>
    <w:rsid w:val="00320EDD"/>
    <w:rsid w:val="00320FB5"/>
    <w:rsid w:val="00321186"/>
    <w:rsid w:val="00321366"/>
    <w:rsid w:val="003213C8"/>
    <w:rsid w:val="0032159B"/>
    <w:rsid w:val="00321630"/>
    <w:rsid w:val="00321632"/>
    <w:rsid w:val="00321797"/>
    <w:rsid w:val="00321AD0"/>
    <w:rsid w:val="00321BD7"/>
    <w:rsid w:val="00321C84"/>
    <w:rsid w:val="00321D75"/>
    <w:rsid w:val="00321E87"/>
    <w:rsid w:val="00321F4C"/>
    <w:rsid w:val="003220F2"/>
    <w:rsid w:val="00322559"/>
    <w:rsid w:val="003225AE"/>
    <w:rsid w:val="00322627"/>
    <w:rsid w:val="00322643"/>
    <w:rsid w:val="003227D3"/>
    <w:rsid w:val="0032284F"/>
    <w:rsid w:val="00322D3E"/>
    <w:rsid w:val="00322F12"/>
    <w:rsid w:val="00323369"/>
    <w:rsid w:val="003234D0"/>
    <w:rsid w:val="00323562"/>
    <w:rsid w:val="00323710"/>
    <w:rsid w:val="003237EC"/>
    <w:rsid w:val="0032381E"/>
    <w:rsid w:val="00323B67"/>
    <w:rsid w:val="00323BA3"/>
    <w:rsid w:val="00323D40"/>
    <w:rsid w:val="00323E19"/>
    <w:rsid w:val="00324223"/>
    <w:rsid w:val="00324301"/>
    <w:rsid w:val="00324393"/>
    <w:rsid w:val="0032443E"/>
    <w:rsid w:val="003245BB"/>
    <w:rsid w:val="00324729"/>
    <w:rsid w:val="00324854"/>
    <w:rsid w:val="003248FF"/>
    <w:rsid w:val="00324AC9"/>
    <w:rsid w:val="00324B4C"/>
    <w:rsid w:val="00324C38"/>
    <w:rsid w:val="00324EB2"/>
    <w:rsid w:val="00324FC3"/>
    <w:rsid w:val="0032510E"/>
    <w:rsid w:val="003251BB"/>
    <w:rsid w:val="003251C5"/>
    <w:rsid w:val="003251D8"/>
    <w:rsid w:val="00325281"/>
    <w:rsid w:val="00325458"/>
    <w:rsid w:val="00325464"/>
    <w:rsid w:val="0032548D"/>
    <w:rsid w:val="003255DD"/>
    <w:rsid w:val="003257B7"/>
    <w:rsid w:val="0032580A"/>
    <w:rsid w:val="003258C7"/>
    <w:rsid w:val="003258FA"/>
    <w:rsid w:val="0032596C"/>
    <w:rsid w:val="0032599C"/>
    <w:rsid w:val="00325B5A"/>
    <w:rsid w:val="00325B81"/>
    <w:rsid w:val="00325B98"/>
    <w:rsid w:val="00325D67"/>
    <w:rsid w:val="00325F77"/>
    <w:rsid w:val="00325F95"/>
    <w:rsid w:val="003261A0"/>
    <w:rsid w:val="00326248"/>
    <w:rsid w:val="00326504"/>
    <w:rsid w:val="00326549"/>
    <w:rsid w:val="003265C2"/>
    <w:rsid w:val="003266B4"/>
    <w:rsid w:val="00326749"/>
    <w:rsid w:val="00326756"/>
    <w:rsid w:val="0032678F"/>
    <w:rsid w:val="0032679F"/>
    <w:rsid w:val="00326802"/>
    <w:rsid w:val="0032682D"/>
    <w:rsid w:val="003268D9"/>
    <w:rsid w:val="00326A65"/>
    <w:rsid w:val="00326B55"/>
    <w:rsid w:val="00326B98"/>
    <w:rsid w:val="00326B9B"/>
    <w:rsid w:val="00326C97"/>
    <w:rsid w:val="00326CB2"/>
    <w:rsid w:val="00327008"/>
    <w:rsid w:val="003270D8"/>
    <w:rsid w:val="00327455"/>
    <w:rsid w:val="00327479"/>
    <w:rsid w:val="00327493"/>
    <w:rsid w:val="003275A0"/>
    <w:rsid w:val="003275F6"/>
    <w:rsid w:val="0032765F"/>
    <w:rsid w:val="003276D3"/>
    <w:rsid w:val="003277C7"/>
    <w:rsid w:val="003277E0"/>
    <w:rsid w:val="00327835"/>
    <w:rsid w:val="0032784A"/>
    <w:rsid w:val="00327890"/>
    <w:rsid w:val="0032795B"/>
    <w:rsid w:val="00327B1A"/>
    <w:rsid w:val="00327B1E"/>
    <w:rsid w:val="00327CE1"/>
    <w:rsid w:val="00327F07"/>
    <w:rsid w:val="00327F7D"/>
    <w:rsid w:val="00330164"/>
    <w:rsid w:val="003302DF"/>
    <w:rsid w:val="00330390"/>
    <w:rsid w:val="003304E9"/>
    <w:rsid w:val="003304F1"/>
    <w:rsid w:val="00330503"/>
    <w:rsid w:val="0033050C"/>
    <w:rsid w:val="0033053A"/>
    <w:rsid w:val="00330561"/>
    <w:rsid w:val="00330684"/>
    <w:rsid w:val="0033081D"/>
    <w:rsid w:val="00330A2B"/>
    <w:rsid w:val="00330A42"/>
    <w:rsid w:val="00330D85"/>
    <w:rsid w:val="00330DF9"/>
    <w:rsid w:val="003310CD"/>
    <w:rsid w:val="00331121"/>
    <w:rsid w:val="00331306"/>
    <w:rsid w:val="0033134C"/>
    <w:rsid w:val="003313A0"/>
    <w:rsid w:val="003313AE"/>
    <w:rsid w:val="0033146B"/>
    <w:rsid w:val="003314D7"/>
    <w:rsid w:val="00331778"/>
    <w:rsid w:val="00331785"/>
    <w:rsid w:val="003318A7"/>
    <w:rsid w:val="003318D2"/>
    <w:rsid w:val="00331970"/>
    <w:rsid w:val="003319BF"/>
    <w:rsid w:val="00331DC5"/>
    <w:rsid w:val="00331DD4"/>
    <w:rsid w:val="00331F45"/>
    <w:rsid w:val="00332090"/>
    <w:rsid w:val="00332180"/>
    <w:rsid w:val="003322CC"/>
    <w:rsid w:val="00332309"/>
    <w:rsid w:val="0033231A"/>
    <w:rsid w:val="0033253E"/>
    <w:rsid w:val="00332791"/>
    <w:rsid w:val="00332830"/>
    <w:rsid w:val="003329D5"/>
    <w:rsid w:val="00332AC6"/>
    <w:rsid w:val="00332C69"/>
    <w:rsid w:val="00332C74"/>
    <w:rsid w:val="00332C91"/>
    <w:rsid w:val="00332D1B"/>
    <w:rsid w:val="00332FB1"/>
    <w:rsid w:val="00332FD5"/>
    <w:rsid w:val="003331DD"/>
    <w:rsid w:val="00333248"/>
    <w:rsid w:val="003333C9"/>
    <w:rsid w:val="0033396C"/>
    <w:rsid w:val="003339A5"/>
    <w:rsid w:val="00333B05"/>
    <w:rsid w:val="00333B8F"/>
    <w:rsid w:val="00333D3C"/>
    <w:rsid w:val="00333E27"/>
    <w:rsid w:val="00333F14"/>
    <w:rsid w:val="00334014"/>
    <w:rsid w:val="00334933"/>
    <w:rsid w:val="00334ADA"/>
    <w:rsid w:val="00334B5C"/>
    <w:rsid w:val="00334F77"/>
    <w:rsid w:val="00334FF1"/>
    <w:rsid w:val="00335210"/>
    <w:rsid w:val="0033529A"/>
    <w:rsid w:val="003353B1"/>
    <w:rsid w:val="0033567A"/>
    <w:rsid w:val="003357C7"/>
    <w:rsid w:val="0033581C"/>
    <w:rsid w:val="00335AF9"/>
    <w:rsid w:val="00335ECD"/>
    <w:rsid w:val="00335F1C"/>
    <w:rsid w:val="00335F3C"/>
    <w:rsid w:val="0033606C"/>
    <w:rsid w:val="00336137"/>
    <w:rsid w:val="003362F5"/>
    <w:rsid w:val="00336374"/>
    <w:rsid w:val="003364EA"/>
    <w:rsid w:val="00336656"/>
    <w:rsid w:val="00336719"/>
    <w:rsid w:val="0033676C"/>
    <w:rsid w:val="0033682A"/>
    <w:rsid w:val="00336869"/>
    <w:rsid w:val="0033697C"/>
    <w:rsid w:val="0033698F"/>
    <w:rsid w:val="00336B13"/>
    <w:rsid w:val="00336B33"/>
    <w:rsid w:val="00336B4A"/>
    <w:rsid w:val="00336B94"/>
    <w:rsid w:val="00336D40"/>
    <w:rsid w:val="00336DD9"/>
    <w:rsid w:val="00336FA8"/>
    <w:rsid w:val="00336FEF"/>
    <w:rsid w:val="0033716F"/>
    <w:rsid w:val="003371AC"/>
    <w:rsid w:val="003371F9"/>
    <w:rsid w:val="00337219"/>
    <w:rsid w:val="00337223"/>
    <w:rsid w:val="00337228"/>
    <w:rsid w:val="0033728E"/>
    <w:rsid w:val="003372FC"/>
    <w:rsid w:val="00337364"/>
    <w:rsid w:val="00337441"/>
    <w:rsid w:val="003375F7"/>
    <w:rsid w:val="00337670"/>
    <w:rsid w:val="003378D0"/>
    <w:rsid w:val="0033790E"/>
    <w:rsid w:val="00337B2B"/>
    <w:rsid w:val="00337D1F"/>
    <w:rsid w:val="00337D38"/>
    <w:rsid w:val="00337FC2"/>
    <w:rsid w:val="00340112"/>
    <w:rsid w:val="003404D0"/>
    <w:rsid w:val="003404E0"/>
    <w:rsid w:val="00340571"/>
    <w:rsid w:val="0034059D"/>
    <w:rsid w:val="003408A7"/>
    <w:rsid w:val="00340944"/>
    <w:rsid w:val="00340B05"/>
    <w:rsid w:val="00340BF3"/>
    <w:rsid w:val="00340DC9"/>
    <w:rsid w:val="00340DFA"/>
    <w:rsid w:val="00341038"/>
    <w:rsid w:val="0034121C"/>
    <w:rsid w:val="003412CD"/>
    <w:rsid w:val="00341351"/>
    <w:rsid w:val="00341962"/>
    <w:rsid w:val="00341ACC"/>
    <w:rsid w:val="00341CD3"/>
    <w:rsid w:val="00341D48"/>
    <w:rsid w:val="00341D9A"/>
    <w:rsid w:val="00341FD0"/>
    <w:rsid w:val="0034202B"/>
    <w:rsid w:val="0034214F"/>
    <w:rsid w:val="003422AD"/>
    <w:rsid w:val="003423F5"/>
    <w:rsid w:val="00342408"/>
    <w:rsid w:val="00342413"/>
    <w:rsid w:val="00342450"/>
    <w:rsid w:val="0034298E"/>
    <w:rsid w:val="00342A28"/>
    <w:rsid w:val="00342D57"/>
    <w:rsid w:val="00343026"/>
    <w:rsid w:val="003430D3"/>
    <w:rsid w:val="003430E3"/>
    <w:rsid w:val="0034314C"/>
    <w:rsid w:val="00343159"/>
    <w:rsid w:val="0034317E"/>
    <w:rsid w:val="00343326"/>
    <w:rsid w:val="003433D4"/>
    <w:rsid w:val="00343823"/>
    <w:rsid w:val="00343857"/>
    <w:rsid w:val="00343870"/>
    <w:rsid w:val="00343884"/>
    <w:rsid w:val="00343A86"/>
    <w:rsid w:val="00343AF1"/>
    <w:rsid w:val="00343C08"/>
    <w:rsid w:val="00343CC4"/>
    <w:rsid w:val="00343D30"/>
    <w:rsid w:val="00344285"/>
    <w:rsid w:val="00344359"/>
    <w:rsid w:val="00344485"/>
    <w:rsid w:val="0034457B"/>
    <w:rsid w:val="003446F1"/>
    <w:rsid w:val="003447D5"/>
    <w:rsid w:val="00344914"/>
    <w:rsid w:val="00344B61"/>
    <w:rsid w:val="00345120"/>
    <w:rsid w:val="00345177"/>
    <w:rsid w:val="0034522D"/>
    <w:rsid w:val="003452B7"/>
    <w:rsid w:val="003454BF"/>
    <w:rsid w:val="00345672"/>
    <w:rsid w:val="00345806"/>
    <w:rsid w:val="00345BBF"/>
    <w:rsid w:val="00345C71"/>
    <w:rsid w:val="00345C97"/>
    <w:rsid w:val="00345CE0"/>
    <w:rsid w:val="00345D5A"/>
    <w:rsid w:val="00345DDF"/>
    <w:rsid w:val="00345E23"/>
    <w:rsid w:val="00345E2F"/>
    <w:rsid w:val="00346017"/>
    <w:rsid w:val="0034608C"/>
    <w:rsid w:val="0034616E"/>
    <w:rsid w:val="003461B9"/>
    <w:rsid w:val="003461C7"/>
    <w:rsid w:val="003462FA"/>
    <w:rsid w:val="0034643D"/>
    <w:rsid w:val="00346578"/>
    <w:rsid w:val="003465E9"/>
    <w:rsid w:val="00346700"/>
    <w:rsid w:val="003467DD"/>
    <w:rsid w:val="00346845"/>
    <w:rsid w:val="00346853"/>
    <w:rsid w:val="003468E3"/>
    <w:rsid w:val="00346A47"/>
    <w:rsid w:val="00346A63"/>
    <w:rsid w:val="00346A72"/>
    <w:rsid w:val="00346C37"/>
    <w:rsid w:val="00346C81"/>
    <w:rsid w:val="00346ECC"/>
    <w:rsid w:val="003471F2"/>
    <w:rsid w:val="00347230"/>
    <w:rsid w:val="00347329"/>
    <w:rsid w:val="003474E0"/>
    <w:rsid w:val="003476B9"/>
    <w:rsid w:val="003477E3"/>
    <w:rsid w:val="003477FC"/>
    <w:rsid w:val="00347996"/>
    <w:rsid w:val="003479B2"/>
    <w:rsid w:val="003479B7"/>
    <w:rsid w:val="003479E0"/>
    <w:rsid w:val="00347A48"/>
    <w:rsid w:val="00347D1E"/>
    <w:rsid w:val="00347E3A"/>
    <w:rsid w:val="00347F1F"/>
    <w:rsid w:val="00347F59"/>
    <w:rsid w:val="00347F72"/>
    <w:rsid w:val="00350053"/>
    <w:rsid w:val="00350179"/>
    <w:rsid w:val="003501A1"/>
    <w:rsid w:val="0035020C"/>
    <w:rsid w:val="003503ED"/>
    <w:rsid w:val="00350471"/>
    <w:rsid w:val="0035049E"/>
    <w:rsid w:val="003504AA"/>
    <w:rsid w:val="003504F4"/>
    <w:rsid w:val="0035052D"/>
    <w:rsid w:val="0035052E"/>
    <w:rsid w:val="00350570"/>
    <w:rsid w:val="003506D5"/>
    <w:rsid w:val="003507FF"/>
    <w:rsid w:val="00350938"/>
    <w:rsid w:val="003509BF"/>
    <w:rsid w:val="00350DFC"/>
    <w:rsid w:val="00350FAA"/>
    <w:rsid w:val="00351053"/>
    <w:rsid w:val="00351099"/>
    <w:rsid w:val="00351558"/>
    <w:rsid w:val="0035156E"/>
    <w:rsid w:val="003518B8"/>
    <w:rsid w:val="00351A77"/>
    <w:rsid w:val="00351AA9"/>
    <w:rsid w:val="00351D8E"/>
    <w:rsid w:val="00351DDD"/>
    <w:rsid w:val="00351E28"/>
    <w:rsid w:val="00351E60"/>
    <w:rsid w:val="0035213B"/>
    <w:rsid w:val="00352187"/>
    <w:rsid w:val="003521B4"/>
    <w:rsid w:val="003526C3"/>
    <w:rsid w:val="00352829"/>
    <w:rsid w:val="003528F4"/>
    <w:rsid w:val="003529A9"/>
    <w:rsid w:val="003529BD"/>
    <w:rsid w:val="00352A02"/>
    <w:rsid w:val="00352BAC"/>
    <w:rsid w:val="00352C3A"/>
    <w:rsid w:val="00352DBC"/>
    <w:rsid w:val="00352F24"/>
    <w:rsid w:val="00353090"/>
    <w:rsid w:val="003530DC"/>
    <w:rsid w:val="003531E4"/>
    <w:rsid w:val="003531FA"/>
    <w:rsid w:val="00353440"/>
    <w:rsid w:val="00353480"/>
    <w:rsid w:val="0035348E"/>
    <w:rsid w:val="0035358F"/>
    <w:rsid w:val="00353621"/>
    <w:rsid w:val="003537BA"/>
    <w:rsid w:val="00353964"/>
    <w:rsid w:val="003539A2"/>
    <w:rsid w:val="003539FE"/>
    <w:rsid w:val="00353AAE"/>
    <w:rsid w:val="00353AD1"/>
    <w:rsid w:val="00353BBE"/>
    <w:rsid w:val="00353BD7"/>
    <w:rsid w:val="00353DB9"/>
    <w:rsid w:val="00353DFC"/>
    <w:rsid w:val="00354273"/>
    <w:rsid w:val="003544CC"/>
    <w:rsid w:val="003544D5"/>
    <w:rsid w:val="003546D0"/>
    <w:rsid w:val="003547C0"/>
    <w:rsid w:val="003549C3"/>
    <w:rsid w:val="00354B36"/>
    <w:rsid w:val="00354B47"/>
    <w:rsid w:val="00354B51"/>
    <w:rsid w:val="00354BA6"/>
    <w:rsid w:val="00354BAA"/>
    <w:rsid w:val="00354BAF"/>
    <w:rsid w:val="00354BB9"/>
    <w:rsid w:val="00354CD7"/>
    <w:rsid w:val="00354F01"/>
    <w:rsid w:val="00354F09"/>
    <w:rsid w:val="00354F6E"/>
    <w:rsid w:val="00355106"/>
    <w:rsid w:val="0035512A"/>
    <w:rsid w:val="00355167"/>
    <w:rsid w:val="003552FD"/>
    <w:rsid w:val="00355338"/>
    <w:rsid w:val="0035537B"/>
    <w:rsid w:val="0035553C"/>
    <w:rsid w:val="00355749"/>
    <w:rsid w:val="003557C6"/>
    <w:rsid w:val="0035583D"/>
    <w:rsid w:val="00355850"/>
    <w:rsid w:val="003558EB"/>
    <w:rsid w:val="003559C9"/>
    <w:rsid w:val="00355AD7"/>
    <w:rsid w:val="00355AF6"/>
    <w:rsid w:val="00355CB1"/>
    <w:rsid w:val="00355D85"/>
    <w:rsid w:val="00356048"/>
    <w:rsid w:val="0035614B"/>
    <w:rsid w:val="0035618D"/>
    <w:rsid w:val="003562B6"/>
    <w:rsid w:val="0035637D"/>
    <w:rsid w:val="003564F0"/>
    <w:rsid w:val="0035657E"/>
    <w:rsid w:val="00356AE7"/>
    <w:rsid w:val="00356B03"/>
    <w:rsid w:val="00356B6F"/>
    <w:rsid w:val="00356C2C"/>
    <w:rsid w:val="00356C4B"/>
    <w:rsid w:val="00356D1E"/>
    <w:rsid w:val="00356DCE"/>
    <w:rsid w:val="00356E53"/>
    <w:rsid w:val="00357062"/>
    <w:rsid w:val="00357165"/>
    <w:rsid w:val="0035728A"/>
    <w:rsid w:val="0035732F"/>
    <w:rsid w:val="003573E0"/>
    <w:rsid w:val="0035749B"/>
    <w:rsid w:val="003574EE"/>
    <w:rsid w:val="00357526"/>
    <w:rsid w:val="003576CA"/>
    <w:rsid w:val="003576DE"/>
    <w:rsid w:val="0035773D"/>
    <w:rsid w:val="00357814"/>
    <w:rsid w:val="003578D8"/>
    <w:rsid w:val="00357900"/>
    <w:rsid w:val="00357902"/>
    <w:rsid w:val="0035790C"/>
    <w:rsid w:val="00357B46"/>
    <w:rsid w:val="00357CB2"/>
    <w:rsid w:val="00357ED8"/>
    <w:rsid w:val="00357EF9"/>
    <w:rsid w:val="00360050"/>
    <w:rsid w:val="00360171"/>
    <w:rsid w:val="003602A1"/>
    <w:rsid w:val="00360313"/>
    <w:rsid w:val="00360733"/>
    <w:rsid w:val="0036086F"/>
    <w:rsid w:val="00360952"/>
    <w:rsid w:val="003609D0"/>
    <w:rsid w:val="00360A68"/>
    <w:rsid w:val="00360B7A"/>
    <w:rsid w:val="00360C5B"/>
    <w:rsid w:val="00360E5F"/>
    <w:rsid w:val="00360E77"/>
    <w:rsid w:val="00360F08"/>
    <w:rsid w:val="00360F5E"/>
    <w:rsid w:val="00361179"/>
    <w:rsid w:val="0036126A"/>
    <w:rsid w:val="003613FC"/>
    <w:rsid w:val="003615A3"/>
    <w:rsid w:val="003615D4"/>
    <w:rsid w:val="00361777"/>
    <w:rsid w:val="00361837"/>
    <w:rsid w:val="00361B3C"/>
    <w:rsid w:val="00361BE0"/>
    <w:rsid w:val="00361BF9"/>
    <w:rsid w:val="00361ED0"/>
    <w:rsid w:val="00361F69"/>
    <w:rsid w:val="0036208D"/>
    <w:rsid w:val="00362158"/>
    <w:rsid w:val="00362313"/>
    <w:rsid w:val="003624A7"/>
    <w:rsid w:val="003625F2"/>
    <w:rsid w:val="003626C9"/>
    <w:rsid w:val="0036275A"/>
    <w:rsid w:val="003628B3"/>
    <w:rsid w:val="00362C96"/>
    <w:rsid w:val="00362E37"/>
    <w:rsid w:val="00363110"/>
    <w:rsid w:val="003631CA"/>
    <w:rsid w:val="003631D5"/>
    <w:rsid w:val="00363326"/>
    <w:rsid w:val="0036360F"/>
    <w:rsid w:val="0036362E"/>
    <w:rsid w:val="00363772"/>
    <w:rsid w:val="003637F3"/>
    <w:rsid w:val="00363842"/>
    <w:rsid w:val="00363A26"/>
    <w:rsid w:val="00363B76"/>
    <w:rsid w:val="00363B8F"/>
    <w:rsid w:val="00363B96"/>
    <w:rsid w:val="00363B9B"/>
    <w:rsid w:val="00363C59"/>
    <w:rsid w:val="00363C99"/>
    <w:rsid w:val="00363CA9"/>
    <w:rsid w:val="00363ED1"/>
    <w:rsid w:val="00363F3F"/>
    <w:rsid w:val="0036416E"/>
    <w:rsid w:val="0036444F"/>
    <w:rsid w:val="00364556"/>
    <w:rsid w:val="00364635"/>
    <w:rsid w:val="0036467A"/>
    <w:rsid w:val="003646B5"/>
    <w:rsid w:val="0036479C"/>
    <w:rsid w:val="003648E4"/>
    <w:rsid w:val="00364A04"/>
    <w:rsid w:val="00364B30"/>
    <w:rsid w:val="00364C74"/>
    <w:rsid w:val="00364DA9"/>
    <w:rsid w:val="00364DDC"/>
    <w:rsid w:val="00365054"/>
    <w:rsid w:val="0036513F"/>
    <w:rsid w:val="00365155"/>
    <w:rsid w:val="0036545C"/>
    <w:rsid w:val="00365525"/>
    <w:rsid w:val="003658FB"/>
    <w:rsid w:val="00365920"/>
    <w:rsid w:val="00365974"/>
    <w:rsid w:val="003659A2"/>
    <w:rsid w:val="00365A00"/>
    <w:rsid w:val="00365A54"/>
    <w:rsid w:val="00365AE1"/>
    <w:rsid w:val="00365B91"/>
    <w:rsid w:val="00365B9B"/>
    <w:rsid w:val="00365CDB"/>
    <w:rsid w:val="00365D18"/>
    <w:rsid w:val="00365E2A"/>
    <w:rsid w:val="00365E85"/>
    <w:rsid w:val="00365EC6"/>
    <w:rsid w:val="00365F92"/>
    <w:rsid w:val="00365FC0"/>
    <w:rsid w:val="00366026"/>
    <w:rsid w:val="0036603C"/>
    <w:rsid w:val="0036616B"/>
    <w:rsid w:val="003661F5"/>
    <w:rsid w:val="00366318"/>
    <w:rsid w:val="0036635A"/>
    <w:rsid w:val="00366541"/>
    <w:rsid w:val="00366587"/>
    <w:rsid w:val="003665CB"/>
    <w:rsid w:val="0036675C"/>
    <w:rsid w:val="00366DF0"/>
    <w:rsid w:val="00366DF6"/>
    <w:rsid w:val="00366E42"/>
    <w:rsid w:val="00366E55"/>
    <w:rsid w:val="00366E83"/>
    <w:rsid w:val="00366FC5"/>
    <w:rsid w:val="00366FD7"/>
    <w:rsid w:val="003670D0"/>
    <w:rsid w:val="0036712C"/>
    <w:rsid w:val="0036756C"/>
    <w:rsid w:val="00367780"/>
    <w:rsid w:val="003678AE"/>
    <w:rsid w:val="003679C2"/>
    <w:rsid w:val="00367C80"/>
    <w:rsid w:val="00367CFC"/>
    <w:rsid w:val="00367DC9"/>
    <w:rsid w:val="00367F6A"/>
    <w:rsid w:val="00367F8D"/>
    <w:rsid w:val="0037005D"/>
    <w:rsid w:val="0037029F"/>
    <w:rsid w:val="00370326"/>
    <w:rsid w:val="00370352"/>
    <w:rsid w:val="00370454"/>
    <w:rsid w:val="00370492"/>
    <w:rsid w:val="0037086A"/>
    <w:rsid w:val="003708C0"/>
    <w:rsid w:val="00370ABD"/>
    <w:rsid w:val="00370C14"/>
    <w:rsid w:val="00370CEB"/>
    <w:rsid w:val="00370CFA"/>
    <w:rsid w:val="00371284"/>
    <w:rsid w:val="00371376"/>
    <w:rsid w:val="003713BB"/>
    <w:rsid w:val="0037149E"/>
    <w:rsid w:val="00371521"/>
    <w:rsid w:val="00371598"/>
    <w:rsid w:val="003716B0"/>
    <w:rsid w:val="00371761"/>
    <w:rsid w:val="00371D76"/>
    <w:rsid w:val="00371F0F"/>
    <w:rsid w:val="00372273"/>
    <w:rsid w:val="00372277"/>
    <w:rsid w:val="00372376"/>
    <w:rsid w:val="0037239E"/>
    <w:rsid w:val="00372543"/>
    <w:rsid w:val="00372737"/>
    <w:rsid w:val="003727A7"/>
    <w:rsid w:val="0037293B"/>
    <w:rsid w:val="00372A9C"/>
    <w:rsid w:val="00372ACF"/>
    <w:rsid w:val="00372AFA"/>
    <w:rsid w:val="00372D54"/>
    <w:rsid w:val="00372F64"/>
    <w:rsid w:val="00372FA6"/>
    <w:rsid w:val="003730F5"/>
    <w:rsid w:val="0037328D"/>
    <w:rsid w:val="003732A0"/>
    <w:rsid w:val="00373378"/>
    <w:rsid w:val="00373484"/>
    <w:rsid w:val="0037353E"/>
    <w:rsid w:val="00373800"/>
    <w:rsid w:val="00373817"/>
    <w:rsid w:val="0037397C"/>
    <w:rsid w:val="00373ADD"/>
    <w:rsid w:val="00373C3B"/>
    <w:rsid w:val="00373E52"/>
    <w:rsid w:val="00373E70"/>
    <w:rsid w:val="00374081"/>
    <w:rsid w:val="003740D5"/>
    <w:rsid w:val="003741AF"/>
    <w:rsid w:val="00374276"/>
    <w:rsid w:val="003743C2"/>
    <w:rsid w:val="00374596"/>
    <w:rsid w:val="0037461B"/>
    <w:rsid w:val="003746BE"/>
    <w:rsid w:val="00374A26"/>
    <w:rsid w:val="00374B25"/>
    <w:rsid w:val="00374BFC"/>
    <w:rsid w:val="00374D5C"/>
    <w:rsid w:val="00374D9A"/>
    <w:rsid w:val="00374DF7"/>
    <w:rsid w:val="00374F42"/>
    <w:rsid w:val="003750D8"/>
    <w:rsid w:val="0037519E"/>
    <w:rsid w:val="00375299"/>
    <w:rsid w:val="003752EF"/>
    <w:rsid w:val="00375367"/>
    <w:rsid w:val="003753C5"/>
    <w:rsid w:val="0037555C"/>
    <w:rsid w:val="0037571A"/>
    <w:rsid w:val="003757A1"/>
    <w:rsid w:val="003757C7"/>
    <w:rsid w:val="00375843"/>
    <w:rsid w:val="00375A0A"/>
    <w:rsid w:val="00375ADE"/>
    <w:rsid w:val="00375AE1"/>
    <w:rsid w:val="00375B00"/>
    <w:rsid w:val="00375B1D"/>
    <w:rsid w:val="00375C8D"/>
    <w:rsid w:val="00375D4B"/>
    <w:rsid w:val="00375E04"/>
    <w:rsid w:val="00375EE6"/>
    <w:rsid w:val="00375F2C"/>
    <w:rsid w:val="00376179"/>
    <w:rsid w:val="00376188"/>
    <w:rsid w:val="003763D9"/>
    <w:rsid w:val="003764A2"/>
    <w:rsid w:val="00376616"/>
    <w:rsid w:val="0037664D"/>
    <w:rsid w:val="003767F7"/>
    <w:rsid w:val="003768B2"/>
    <w:rsid w:val="0037695C"/>
    <w:rsid w:val="00376A42"/>
    <w:rsid w:val="00376A82"/>
    <w:rsid w:val="00376B4F"/>
    <w:rsid w:val="00376C56"/>
    <w:rsid w:val="00376CF5"/>
    <w:rsid w:val="00376DD4"/>
    <w:rsid w:val="003773DB"/>
    <w:rsid w:val="0037746E"/>
    <w:rsid w:val="00377580"/>
    <w:rsid w:val="00377659"/>
    <w:rsid w:val="003776F5"/>
    <w:rsid w:val="00377AC2"/>
    <w:rsid w:val="00377B8D"/>
    <w:rsid w:val="00377C0E"/>
    <w:rsid w:val="00377D61"/>
    <w:rsid w:val="00377E4E"/>
    <w:rsid w:val="00377F82"/>
    <w:rsid w:val="00380065"/>
    <w:rsid w:val="00380070"/>
    <w:rsid w:val="00380071"/>
    <w:rsid w:val="00380203"/>
    <w:rsid w:val="0038022A"/>
    <w:rsid w:val="00380411"/>
    <w:rsid w:val="003805E0"/>
    <w:rsid w:val="003806EF"/>
    <w:rsid w:val="00380817"/>
    <w:rsid w:val="0038089D"/>
    <w:rsid w:val="00380D94"/>
    <w:rsid w:val="00380DB0"/>
    <w:rsid w:val="00380DBE"/>
    <w:rsid w:val="00380EDC"/>
    <w:rsid w:val="00380F3B"/>
    <w:rsid w:val="00380FF6"/>
    <w:rsid w:val="003810FF"/>
    <w:rsid w:val="00381112"/>
    <w:rsid w:val="0038112E"/>
    <w:rsid w:val="003813AA"/>
    <w:rsid w:val="0038143D"/>
    <w:rsid w:val="00381473"/>
    <w:rsid w:val="00381491"/>
    <w:rsid w:val="00381636"/>
    <w:rsid w:val="00381706"/>
    <w:rsid w:val="003817E5"/>
    <w:rsid w:val="003818BC"/>
    <w:rsid w:val="003819B2"/>
    <w:rsid w:val="00381C14"/>
    <w:rsid w:val="00381CA1"/>
    <w:rsid w:val="00381E6C"/>
    <w:rsid w:val="00381E6F"/>
    <w:rsid w:val="00381E9F"/>
    <w:rsid w:val="00381F5E"/>
    <w:rsid w:val="00381F9C"/>
    <w:rsid w:val="0038200B"/>
    <w:rsid w:val="00382049"/>
    <w:rsid w:val="003820ED"/>
    <w:rsid w:val="003820EE"/>
    <w:rsid w:val="00382316"/>
    <w:rsid w:val="00382759"/>
    <w:rsid w:val="00382796"/>
    <w:rsid w:val="00382B28"/>
    <w:rsid w:val="00382B8F"/>
    <w:rsid w:val="00382C4F"/>
    <w:rsid w:val="00382C9C"/>
    <w:rsid w:val="00382E47"/>
    <w:rsid w:val="00382F39"/>
    <w:rsid w:val="003830DB"/>
    <w:rsid w:val="0038327C"/>
    <w:rsid w:val="00383381"/>
    <w:rsid w:val="003833C1"/>
    <w:rsid w:val="00383634"/>
    <w:rsid w:val="0038365B"/>
    <w:rsid w:val="0038370B"/>
    <w:rsid w:val="003838BE"/>
    <w:rsid w:val="003838E1"/>
    <w:rsid w:val="00383955"/>
    <w:rsid w:val="0038396D"/>
    <w:rsid w:val="00383AA1"/>
    <w:rsid w:val="00383BE3"/>
    <w:rsid w:val="00383D13"/>
    <w:rsid w:val="00383E4B"/>
    <w:rsid w:val="00383EDF"/>
    <w:rsid w:val="00383F3F"/>
    <w:rsid w:val="00384198"/>
    <w:rsid w:val="003841BD"/>
    <w:rsid w:val="00384239"/>
    <w:rsid w:val="00384258"/>
    <w:rsid w:val="0038437C"/>
    <w:rsid w:val="00384589"/>
    <w:rsid w:val="00384663"/>
    <w:rsid w:val="00384695"/>
    <w:rsid w:val="003846F0"/>
    <w:rsid w:val="003847F5"/>
    <w:rsid w:val="00384995"/>
    <w:rsid w:val="00384A2C"/>
    <w:rsid w:val="00384A7B"/>
    <w:rsid w:val="00384A88"/>
    <w:rsid w:val="00384B70"/>
    <w:rsid w:val="00384CD3"/>
    <w:rsid w:val="00384E55"/>
    <w:rsid w:val="00385092"/>
    <w:rsid w:val="00385147"/>
    <w:rsid w:val="0038529E"/>
    <w:rsid w:val="003855BF"/>
    <w:rsid w:val="00385733"/>
    <w:rsid w:val="00385820"/>
    <w:rsid w:val="00385947"/>
    <w:rsid w:val="00385BB4"/>
    <w:rsid w:val="00385BB7"/>
    <w:rsid w:val="00385BCD"/>
    <w:rsid w:val="00385C37"/>
    <w:rsid w:val="00385D1C"/>
    <w:rsid w:val="00385D67"/>
    <w:rsid w:val="00385EAF"/>
    <w:rsid w:val="00385EF3"/>
    <w:rsid w:val="003862D0"/>
    <w:rsid w:val="0038649E"/>
    <w:rsid w:val="003866E2"/>
    <w:rsid w:val="0038671F"/>
    <w:rsid w:val="003867FA"/>
    <w:rsid w:val="00386AA5"/>
    <w:rsid w:val="00386DDB"/>
    <w:rsid w:val="00386F58"/>
    <w:rsid w:val="00387378"/>
    <w:rsid w:val="003873AC"/>
    <w:rsid w:val="00387493"/>
    <w:rsid w:val="003874D9"/>
    <w:rsid w:val="003877AB"/>
    <w:rsid w:val="0038792D"/>
    <w:rsid w:val="0038799F"/>
    <w:rsid w:val="00387A28"/>
    <w:rsid w:val="00387CEE"/>
    <w:rsid w:val="00387CF9"/>
    <w:rsid w:val="00387DEB"/>
    <w:rsid w:val="00387E85"/>
    <w:rsid w:val="00387EEF"/>
    <w:rsid w:val="0039002E"/>
    <w:rsid w:val="0039004F"/>
    <w:rsid w:val="0039009E"/>
    <w:rsid w:val="003900F0"/>
    <w:rsid w:val="003901B1"/>
    <w:rsid w:val="0039031C"/>
    <w:rsid w:val="00390461"/>
    <w:rsid w:val="00390622"/>
    <w:rsid w:val="003907E2"/>
    <w:rsid w:val="003907FA"/>
    <w:rsid w:val="003907FC"/>
    <w:rsid w:val="00390923"/>
    <w:rsid w:val="00390AF1"/>
    <w:rsid w:val="00390C2C"/>
    <w:rsid w:val="00390EBF"/>
    <w:rsid w:val="00390FDA"/>
    <w:rsid w:val="003910A6"/>
    <w:rsid w:val="003912FE"/>
    <w:rsid w:val="00391485"/>
    <w:rsid w:val="00391507"/>
    <w:rsid w:val="003915A9"/>
    <w:rsid w:val="00391642"/>
    <w:rsid w:val="00391735"/>
    <w:rsid w:val="003917EC"/>
    <w:rsid w:val="00391B93"/>
    <w:rsid w:val="00391EB6"/>
    <w:rsid w:val="00391F22"/>
    <w:rsid w:val="00391F68"/>
    <w:rsid w:val="00391FB0"/>
    <w:rsid w:val="00391FC6"/>
    <w:rsid w:val="00392244"/>
    <w:rsid w:val="00392441"/>
    <w:rsid w:val="0039254E"/>
    <w:rsid w:val="0039260C"/>
    <w:rsid w:val="0039269A"/>
    <w:rsid w:val="0039273D"/>
    <w:rsid w:val="00392747"/>
    <w:rsid w:val="00392750"/>
    <w:rsid w:val="003927DE"/>
    <w:rsid w:val="0039283A"/>
    <w:rsid w:val="0039287A"/>
    <w:rsid w:val="00392916"/>
    <w:rsid w:val="0039298E"/>
    <w:rsid w:val="00392AB3"/>
    <w:rsid w:val="00392B01"/>
    <w:rsid w:val="00392CDD"/>
    <w:rsid w:val="00392D83"/>
    <w:rsid w:val="00392DE5"/>
    <w:rsid w:val="00392F64"/>
    <w:rsid w:val="00393201"/>
    <w:rsid w:val="0039336A"/>
    <w:rsid w:val="0039340E"/>
    <w:rsid w:val="0039344A"/>
    <w:rsid w:val="00393608"/>
    <w:rsid w:val="00393668"/>
    <w:rsid w:val="003936FF"/>
    <w:rsid w:val="00393755"/>
    <w:rsid w:val="00393890"/>
    <w:rsid w:val="003938E6"/>
    <w:rsid w:val="00393971"/>
    <w:rsid w:val="00393C30"/>
    <w:rsid w:val="00393C7C"/>
    <w:rsid w:val="00393F26"/>
    <w:rsid w:val="00393FFD"/>
    <w:rsid w:val="00394058"/>
    <w:rsid w:val="003941BE"/>
    <w:rsid w:val="00394400"/>
    <w:rsid w:val="0039474C"/>
    <w:rsid w:val="00394826"/>
    <w:rsid w:val="00394864"/>
    <w:rsid w:val="0039499B"/>
    <w:rsid w:val="003949A1"/>
    <w:rsid w:val="00394BA8"/>
    <w:rsid w:val="00394C08"/>
    <w:rsid w:val="00394C93"/>
    <w:rsid w:val="00394CC5"/>
    <w:rsid w:val="00394EFB"/>
    <w:rsid w:val="00394F1D"/>
    <w:rsid w:val="003951A5"/>
    <w:rsid w:val="00395273"/>
    <w:rsid w:val="00395279"/>
    <w:rsid w:val="003952BD"/>
    <w:rsid w:val="003952FF"/>
    <w:rsid w:val="003953F6"/>
    <w:rsid w:val="00395513"/>
    <w:rsid w:val="00395A2E"/>
    <w:rsid w:val="00395B56"/>
    <w:rsid w:val="00395B7C"/>
    <w:rsid w:val="00395BF9"/>
    <w:rsid w:val="00395C0B"/>
    <w:rsid w:val="00395C9F"/>
    <w:rsid w:val="00395EE1"/>
    <w:rsid w:val="00395F5C"/>
    <w:rsid w:val="00395F92"/>
    <w:rsid w:val="0039601F"/>
    <w:rsid w:val="00396186"/>
    <w:rsid w:val="003961E8"/>
    <w:rsid w:val="00396242"/>
    <w:rsid w:val="00396271"/>
    <w:rsid w:val="00396283"/>
    <w:rsid w:val="00396290"/>
    <w:rsid w:val="003962D0"/>
    <w:rsid w:val="0039638F"/>
    <w:rsid w:val="00396645"/>
    <w:rsid w:val="0039672C"/>
    <w:rsid w:val="00396737"/>
    <w:rsid w:val="003967A7"/>
    <w:rsid w:val="0039686B"/>
    <w:rsid w:val="00396BAA"/>
    <w:rsid w:val="00396BC5"/>
    <w:rsid w:val="00396BFE"/>
    <w:rsid w:val="00396C21"/>
    <w:rsid w:val="00396C58"/>
    <w:rsid w:val="00397267"/>
    <w:rsid w:val="003972AC"/>
    <w:rsid w:val="00397364"/>
    <w:rsid w:val="00397390"/>
    <w:rsid w:val="003973E2"/>
    <w:rsid w:val="003973F3"/>
    <w:rsid w:val="00397683"/>
    <w:rsid w:val="003976CB"/>
    <w:rsid w:val="00397720"/>
    <w:rsid w:val="0039781C"/>
    <w:rsid w:val="00397913"/>
    <w:rsid w:val="00397967"/>
    <w:rsid w:val="00397BC1"/>
    <w:rsid w:val="00397CAE"/>
    <w:rsid w:val="00397D05"/>
    <w:rsid w:val="00397D46"/>
    <w:rsid w:val="00397EED"/>
    <w:rsid w:val="00397F23"/>
    <w:rsid w:val="003A0108"/>
    <w:rsid w:val="003A013A"/>
    <w:rsid w:val="003A014C"/>
    <w:rsid w:val="003A0174"/>
    <w:rsid w:val="003A04B4"/>
    <w:rsid w:val="003A052F"/>
    <w:rsid w:val="003A0598"/>
    <w:rsid w:val="003A0599"/>
    <w:rsid w:val="003A086F"/>
    <w:rsid w:val="003A0A0A"/>
    <w:rsid w:val="003A0A14"/>
    <w:rsid w:val="003A0AEF"/>
    <w:rsid w:val="003A0C78"/>
    <w:rsid w:val="003A0DE4"/>
    <w:rsid w:val="003A102B"/>
    <w:rsid w:val="003A11D0"/>
    <w:rsid w:val="003A1303"/>
    <w:rsid w:val="003A140F"/>
    <w:rsid w:val="003A1514"/>
    <w:rsid w:val="003A1547"/>
    <w:rsid w:val="003A164C"/>
    <w:rsid w:val="003A1799"/>
    <w:rsid w:val="003A17EF"/>
    <w:rsid w:val="003A18BA"/>
    <w:rsid w:val="003A18FE"/>
    <w:rsid w:val="003A1933"/>
    <w:rsid w:val="003A1CA3"/>
    <w:rsid w:val="003A1CD5"/>
    <w:rsid w:val="003A1CF6"/>
    <w:rsid w:val="003A1DE4"/>
    <w:rsid w:val="003A1F82"/>
    <w:rsid w:val="003A2006"/>
    <w:rsid w:val="003A20F4"/>
    <w:rsid w:val="003A2184"/>
    <w:rsid w:val="003A21E5"/>
    <w:rsid w:val="003A22E3"/>
    <w:rsid w:val="003A23B6"/>
    <w:rsid w:val="003A23FF"/>
    <w:rsid w:val="003A260D"/>
    <w:rsid w:val="003A264F"/>
    <w:rsid w:val="003A26B9"/>
    <w:rsid w:val="003A2719"/>
    <w:rsid w:val="003A2828"/>
    <w:rsid w:val="003A28CF"/>
    <w:rsid w:val="003A2907"/>
    <w:rsid w:val="003A291D"/>
    <w:rsid w:val="003A2AC3"/>
    <w:rsid w:val="003A2AE3"/>
    <w:rsid w:val="003A2B7D"/>
    <w:rsid w:val="003A2CAB"/>
    <w:rsid w:val="003A2E6D"/>
    <w:rsid w:val="003A3087"/>
    <w:rsid w:val="003A31E5"/>
    <w:rsid w:val="003A33A4"/>
    <w:rsid w:val="003A3683"/>
    <w:rsid w:val="003A382D"/>
    <w:rsid w:val="003A39AC"/>
    <w:rsid w:val="003A3A49"/>
    <w:rsid w:val="003A3B05"/>
    <w:rsid w:val="003A3B91"/>
    <w:rsid w:val="003A3BE1"/>
    <w:rsid w:val="003A3C9F"/>
    <w:rsid w:val="003A3E02"/>
    <w:rsid w:val="003A3E53"/>
    <w:rsid w:val="003A402E"/>
    <w:rsid w:val="003A4134"/>
    <w:rsid w:val="003A42A9"/>
    <w:rsid w:val="003A453A"/>
    <w:rsid w:val="003A45FA"/>
    <w:rsid w:val="003A4759"/>
    <w:rsid w:val="003A4837"/>
    <w:rsid w:val="003A4886"/>
    <w:rsid w:val="003A488F"/>
    <w:rsid w:val="003A48AF"/>
    <w:rsid w:val="003A491C"/>
    <w:rsid w:val="003A492A"/>
    <w:rsid w:val="003A4961"/>
    <w:rsid w:val="003A4C1C"/>
    <w:rsid w:val="003A4C27"/>
    <w:rsid w:val="003A4C7D"/>
    <w:rsid w:val="003A4DF6"/>
    <w:rsid w:val="003A4E23"/>
    <w:rsid w:val="003A4EB4"/>
    <w:rsid w:val="003A4EE4"/>
    <w:rsid w:val="003A5207"/>
    <w:rsid w:val="003A5256"/>
    <w:rsid w:val="003A5341"/>
    <w:rsid w:val="003A534B"/>
    <w:rsid w:val="003A536D"/>
    <w:rsid w:val="003A5385"/>
    <w:rsid w:val="003A5407"/>
    <w:rsid w:val="003A5663"/>
    <w:rsid w:val="003A569F"/>
    <w:rsid w:val="003A5A94"/>
    <w:rsid w:val="003A5CE2"/>
    <w:rsid w:val="003A5D7D"/>
    <w:rsid w:val="003A5EA5"/>
    <w:rsid w:val="003A5EDC"/>
    <w:rsid w:val="003A6216"/>
    <w:rsid w:val="003A6307"/>
    <w:rsid w:val="003A64FC"/>
    <w:rsid w:val="003A6584"/>
    <w:rsid w:val="003A65BD"/>
    <w:rsid w:val="003A66F2"/>
    <w:rsid w:val="003A676C"/>
    <w:rsid w:val="003A6812"/>
    <w:rsid w:val="003A68BB"/>
    <w:rsid w:val="003A6BF4"/>
    <w:rsid w:val="003A6D78"/>
    <w:rsid w:val="003A6E21"/>
    <w:rsid w:val="003A6EF0"/>
    <w:rsid w:val="003A6F1A"/>
    <w:rsid w:val="003A6F52"/>
    <w:rsid w:val="003A6F74"/>
    <w:rsid w:val="003A71AB"/>
    <w:rsid w:val="003A7560"/>
    <w:rsid w:val="003A758C"/>
    <w:rsid w:val="003A76BA"/>
    <w:rsid w:val="003A779F"/>
    <w:rsid w:val="003A7879"/>
    <w:rsid w:val="003A79B8"/>
    <w:rsid w:val="003A7A9E"/>
    <w:rsid w:val="003A7ADC"/>
    <w:rsid w:val="003A7AE8"/>
    <w:rsid w:val="003A7CD1"/>
    <w:rsid w:val="003A7DD6"/>
    <w:rsid w:val="003A7E26"/>
    <w:rsid w:val="003A7F0B"/>
    <w:rsid w:val="003A7F61"/>
    <w:rsid w:val="003A7FAB"/>
    <w:rsid w:val="003A7FB5"/>
    <w:rsid w:val="003B002E"/>
    <w:rsid w:val="003B008C"/>
    <w:rsid w:val="003B01CD"/>
    <w:rsid w:val="003B01CF"/>
    <w:rsid w:val="003B024F"/>
    <w:rsid w:val="003B027A"/>
    <w:rsid w:val="003B039B"/>
    <w:rsid w:val="003B05A8"/>
    <w:rsid w:val="003B05E1"/>
    <w:rsid w:val="003B061F"/>
    <w:rsid w:val="003B06BB"/>
    <w:rsid w:val="003B06E7"/>
    <w:rsid w:val="003B088B"/>
    <w:rsid w:val="003B0C39"/>
    <w:rsid w:val="003B0CAA"/>
    <w:rsid w:val="003B0E71"/>
    <w:rsid w:val="003B0FB9"/>
    <w:rsid w:val="003B10C8"/>
    <w:rsid w:val="003B1168"/>
    <w:rsid w:val="003B13AE"/>
    <w:rsid w:val="003B145B"/>
    <w:rsid w:val="003B1532"/>
    <w:rsid w:val="003B18E6"/>
    <w:rsid w:val="003B1B5E"/>
    <w:rsid w:val="003B1B86"/>
    <w:rsid w:val="003B1BEC"/>
    <w:rsid w:val="003B1E82"/>
    <w:rsid w:val="003B1FE2"/>
    <w:rsid w:val="003B1FE8"/>
    <w:rsid w:val="003B207D"/>
    <w:rsid w:val="003B22B4"/>
    <w:rsid w:val="003B23CA"/>
    <w:rsid w:val="003B24BB"/>
    <w:rsid w:val="003B25B6"/>
    <w:rsid w:val="003B272C"/>
    <w:rsid w:val="003B2790"/>
    <w:rsid w:val="003B27BB"/>
    <w:rsid w:val="003B2889"/>
    <w:rsid w:val="003B29F0"/>
    <w:rsid w:val="003B2CA7"/>
    <w:rsid w:val="003B2DE6"/>
    <w:rsid w:val="003B30A8"/>
    <w:rsid w:val="003B31B1"/>
    <w:rsid w:val="003B328B"/>
    <w:rsid w:val="003B3406"/>
    <w:rsid w:val="003B3482"/>
    <w:rsid w:val="003B3570"/>
    <w:rsid w:val="003B3598"/>
    <w:rsid w:val="003B35E0"/>
    <w:rsid w:val="003B366E"/>
    <w:rsid w:val="003B367E"/>
    <w:rsid w:val="003B36B3"/>
    <w:rsid w:val="003B394C"/>
    <w:rsid w:val="003B3AA0"/>
    <w:rsid w:val="003B3ACA"/>
    <w:rsid w:val="003B3AD1"/>
    <w:rsid w:val="003B3ADE"/>
    <w:rsid w:val="003B3C1A"/>
    <w:rsid w:val="003B3C3F"/>
    <w:rsid w:val="003B3D52"/>
    <w:rsid w:val="003B3DF7"/>
    <w:rsid w:val="003B3E35"/>
    <w:rsid w:val="003B3F7C"/>
    <w:rsid w:val="003B41BA"/>
    <w:rsid w:val="003B437A"/>
    <w:rsid w:val="003B460D"/>
    <w:rsid w:val="003B4692"/>
    <w:rsid w:val="003B46E5"/>
    <w:rsid w:val="003B4A3F"/>
    <w:rsid w:val="003B4ABC"/>
    <w:rsid w:val="003B4B96"/>
    <w:rsid w:val="003B4BBB"/>
    <w:rsid w:val="003B525A"/>
    <w:rsid w:val="003B52FD"/>
    <w:rsid w:val="003B533B"/>
    <w:rsid w:val="003B55F4"/>
    <w:rsid w:val="003B5853"/>
    <w:rsid w:val="003B59D9"/>
    <w:rsid w:val="003B5A86"/>
    <w:rsid w:val="003B5C1C"/>
    <w:rsid w:val="003B5C3F"/>
    <w:rsid w:val="003B5CC7"/>
    <w:rsid w:val="003B5E48"/>
    <w:rsid w:val="003B5EC1"/>
    <w:rsid w:val="003B5EDB"/>
    <w:rsid w:val="003B5FBE"/>
    <w:rsid w:val="003B6097"/>
    <w:rsid w:val="003B6300"/>
    <w:rsid w:val="003B6529"/>
    <w:rsid w:val="003B653D"/>
    <w:rsid w:val="003B6633"/>
    <w:rsid w:val="003B6690"/>
    <w:rsid w:val="003B6713"/>
    <w:rsid w:val="003B6A74"/>
    <w:rsid w:val="003B6B3A"/>
    <w:rsid w:val="003B6FA8"/>
    <w:rsid w:val="003B702D"/>
    <w:rsid w:val="003B72E1"/>
    <w:rsid w:val="003B72FB"/>
    <w:rsid w:val="003B73FD"/>
    <w:rsid w:val="003B7632"/>
    <w:rsid w:val="003B7781"/>
    <w:rsid w:val="003B781E"/>
    <w:rsid w:val="003B7886"/>
    <w:rsid w:val="003B78A0"/>
    <w:rsid w:val="003B7AF3"/>
    <w:rsid w:val="003B7B10"/>
    <w:rsid w:val="003B7C3A"/>
    <w:rsid w:val="003B7C5A"/>
    <w:rsid w:val="003B7C91"/>
    <w:rsid w:val="003B7D05"/>
    <w:rsid w:val="003B7DDF"/>
    <w:rsid w:val="003B7E1D"/>
    <w:rsid w:val="003B7E4B"/>
    <w:rsid w:val="003B7FCA"/>
    <w:rsid w:val="003B7FF9"/>
    <w:rsid w:val="003C0218"/>
    <w:rsid w:val="003C0383"/>
    <w:rsid w:val="003C03B0"/>
    <w:rsid w:val="003C0404"/>
    <w:rsid w:val="003C05DE"/>
    <w:rsid w:val="003C0895"/>
    <w:rsid w:val="003C0A30"/>
    <w:rsid w:val="003C0A71"/>
    <w:rsid w:val="003C0B81"/>
    <w:rsid w:val="003C0CD5"/>
    <w:rsid w:val="003C0DD8"/>
    <w:rsid w:val="003C0EAC"/>
    <w:rsid w:val="003C1053"/>
    <w:rsid w:val="003C1117"/>
    <w:rsid w:val="003C1346"/>
    <w:rsid w:val="003C16C3"/>
    <w:rsid w:val="003C17A1"/>
    <w:rsid w:val="003C18A0"/>
    <w:rsid w:val="003C18D9"/>
    <w:rsid w:val="003C194E"/>
    <w:rsid w:val="003C195F"/>
    <w:rsid w:val="003C19C9"/>
    <w:rsid w:val="003C1B54"/>
    <w:rsid w:val="003C1B94"/>
    <w:rsid w:val="003C1C05"/>
    <w:rsid w:val="003C1E95"/>
    <w:rsid w:val="003C1EEE"/>
    <w:rsid w:val="003C1FAE"/>
    <w:rsid w:val="003C2334"/>
    <w:rsid w:val="003C23A2"/>
    <w:rsid w:val="003C23D2"/>
    <w:rsid w:val="003C2525"/>
    <w:rsid w:val="003C2546"/>
    <w:rsid w:val="003C287A"/>
    <w:rsid w:val="003C2886"/>
    <w:rsid w:val="003C2A8E"/>
    <w:rsid w:val="003C2AAA"/>
    <w:rsid w:val="003C2B83"/>
    <w:rsid w:val="003C2E02"/>
    <w:rsid w:val="003C2EA8"/>
    <w:rsid w:val="003C2F43"/>
    <w:rsid w:val="003C32F3"/>
    <w:rsid w:val="003C335E"/>
    <w:rsid w:val="003C35D1"/>
    <w:rsid w:val="003C3887"/>
    <w:rsid w:val="003C38F1"/>
    <w:rsid w:val="003C394B"/>
    <w:rsid w:val="003C3B62"/>
    <w:rsid w:val="003C3CC5"/>
    <w:rsid w:val="003C3D41"/>
    <w:rsid w:val="003C3DB3"/>
    <w:rsid w:val="003C3F42"/>
    <w:rsid w:val="003C4137"/>
    <w:rsid w:val="003C414C"/>
    <w:rsid w:val="003C4276"/>
    <w:rsid w:val="003C42A2"/>
    <w:rsid w:val="003C4372"/>
    <w:rsid w:val="003C4680"/>
    <w:rsid w:val="003C4763"/>
    <w:rsid w:val="003C4838"/>
    <w:rsid w:val="003C4C2E"/>
    <w:rsid w:val="003C4CFB"/>
    <w:rsid w:val="003C4DE3"/>
    <w:rsid w:val="003C4E15"/>
    <w:rsid w:val="003C4E8E"/>
    <w:rsid w:val="003C4FD3"/>
    <w:rsid w:val="003C501E"/>
    <w:rsid w:val="003C5036"/>
    <w:rsid w:val="003C504D"/>
    <w:rsid w:val="003C5050"/>
    <w:rsid w:val="003C5213"/>
    <w:rsid w:val="003C527F"/>
    <w:rsid w:val="003C5354"/>
    <w:rsid w:val="003C53C1"/>
    <w:rsid w:val="003C5445"/>
    <w:rsid w:val="003C555D"/>
    <w:rsid w:val="003C5664"/>
    <w:rsid w:val="003C5697"/>
    <w:rsid w:val="003C56D5"/>
    <w:rsid w:val="003C574F"/>
    <w:rsid w:val="003C57A6"/>
    <w:rsid w:val="003C5952"/>
    <w:rsid w:val="003C59FF"/>
    <w:rsid w:val="003C5B05"/>
    <w:rsid w:val="003C5BCD"/>
    <w:rsid w:val="003C5CBD"/>
    <w:rsid w:val="003C5D0B"/>
    <w:rsid w:val="003C5DC8"/>
    <w:rsid w:val="003C5EBD"/>
    <w:rsid w:val="003C620C"/>
    <w:rsid w:val="003C62B2"/>
    <w:rsid w:val="003C6311"/>
    <w:rsid w:val="003C6563"/>
    <w:rsid w:val="003C6910"/>
    <w:rsid w:val="003C6AC7"/>
    <w:rsid w:val="003C6CC5"/>
    <w:rsid w:val="003C6D4E"/>
    <w:rsid w:val="003C6F9B"/>
    <w:rsid w:val="003C7039"/>
    <w:rsid w:val="003C7112"/>
    <w:rsid w:val="003C715D"/>
    <w:rsid w:val="003C73BC"/>
    <w:rsid w:val="003C73FA"/>
    <w:rsid w:val="003C7477"/>
    <w:rsid w:val="003C74F5"/>
    <w:rsid w:val="003C760D"/>
    <w:rsid w:val="003C77DB"/>
    <w:rsid w:val="003C77E0"/>
    <w:rsid w:val="003C77E9"/>
    <w:rsid w:val="003C7851"/>
    <w:rsid w:val="003C78EA"/>
    <w:rsid w:val="003C7A11"/>
    <w:rsid w:val="003C7B46"/>
    <w:rsid w:val="003C7B67"/>
    <w:rsid w:val="003D0214"/>
    <w:rsid w:val="003D02F8"/>
    <w:rsid w:val="003D0392"/>
    <w:rsid w:val="003D074F"/>
    <w:rsid w:val="003D0872"/>
    <w:rsid w:val="003D0965"/>
    <w:rsid w:val="003D09BB"/>
    <w:rsid w:val="003D0A98"/>
    <w:rsid w:val="003D0C07"/>
    <w:rsid w:val="003D0F63"/>
    <w:rsid w:val="003D11BC"/>
    <w:rsid w:val="003D13BD"/>
    <w:rsid w:val="003D13C6"/>
    <w:rsid w:val="003D1543"/>
    <w:rsid w:val="003D16F4"/>
    <w:rsid w:val="003D17A2"/>
    <w:rsid w:val="003D18F9"/>
    <w:rsid w:val="003D1902"/>
    <w:rsid w:val="003D190D"/>
    <w:rsid w:val="003D1943"/>
    <w:rsid w:val="003D197D"/>
    <w:rsid w:val="003D1A35"/>
    <w:rsid w:val="003D1A96"/>
    <w:rsid w:val="003D1DD4"/>
    <w:rsid w:val="003D1E0D"/>
    <w:rsid w:val="003D1E99"/>
    <w:rsid w:val="003D2087"/>
    <w:rsid w:val="003D21A0"/>
    <w:rsid w:val="003D21E4"/>
    <w:rsid w:val="003D22A1"/>
    <w:rsid w:val="003D2494"/>
    <w:rsid w:val="003D24EC"/>
    <w:rsid w:val="003D279A"/>
    <w:rsid w:val="003D28B5"/>
    <w:rsid w:val="003D2936"/>
    <w:rsid w:val="003D2976"/>
    <w:rsid w:val="003D29AE"/>
    <w:rsid w:val="003D29F2"/>
    <w:rsid w:val="003D2AE1"/>
    <w:rsid w:val="003D2AFE"/>
    <w:rsid w:val="003D2CCE"/>
    <w:rsid w:val="003D2D3A"/>
    <w:rsid w:val="003D2DAF"/>
    <w:rsid w:val="003D2E68"/>
    <w:rsid w:val="003D2EE6"/>
    <w:rsid w:val="003D3001"/>
    <w:rsid w:val="003D30A4"/>
    <w:rsid w:val="003D314F"/>
    <w:rsid w:val="003D3178"/>
    <w:rsid w:val="003D3237"/>
    <w:rsid w:val="003D32B4"/>
    <w:rsid w:val="003D35D1"/>
    <w:rsid w:val="003D3637"/>
    <w:rsid w:val="003D36BE"/>
    <w:rsid w:val="003D3789"/>
    <w:rsid w:val="003D37A6"/>
    <w:rsid w:val="003D3947"/>
    <w:rsid w:val="003D3963"/>
    <w:rsid w:val="003D3BEA"/>
    <w:rsid w:val="003D41A0"/>
    <w:rsid w:val="003D4295"/>
    <w:rsid w:val="003D479E"/>
    <w:rsid w:val="003D47BA"/>
    <w:rsid w:val="003D4A19"/>
    <w:rsid w:val="003D4B0B"/>
    <w:rsid w:val="003D4B1E"/>
    <w:rsid w:val="003D4C84"/>
    <w:rsid w:val="003D4CCE"/>
    <w:rsid w:val="003D4E5E"/>
    <w:rsid w:val="003D5075"/>
    <w:rsid w:val="003D51CC"/>
    <w:rsid w:val="003D520D"/>
    <w:rsid w:val="003D524C"/>
    <w:rsid w:val="003D5281"/>
    <w:rsid w:val="003D531B"/>
    <w:rsid w:val="003D53C5"/>
    <w:rsid w:val="003D53E6"/>
    <w:rsid w:val="003D5531"/>
    <w:rsid w:val="003D5706"/>
    <w:rsid w:val="003D57D9"/>
    <w:rsid w:val="003D5B4A"/>
    <w:rsid w:val="003D5E83"/>
    <w:rsid w:val="003D5EB7"/>
    <w:rsid w:val="003D5EBA"/>
    <w:rsid w:val="003D616D"/>
    <w:rsid w:val="003D61CD"/>
    <w:rsid w:val="003D61D6"/>
    <w:rsid w:val="003D6245"/>
    <w:rsid w:val="003D62AE"/>
    <w:rsid w:val="003D62FC"/>
    <w:rsid w:val="003D63EF"/>
    <w:rsid w:val="003D65B9"/>
    <w:rsid w:val="003D65BE"/>
    <w:rsid w:val="003D65CB"/>
    <w:rsid w:val="003D6605"/>
    <w:rsid w:val="003D669B"/>
    <w:rsid w:val="003D6A20"/>
    <w:rsid w:val="003D6A67"/>
    <w:rsid w:val="003D6C27"/>
    <w:rsid w:val="003D6C3C"/>
    <w:rsid w:val="003D6C8F"/>
    <w:rsid w:val="003D6D81"/>
    <w:rsid w:val="003D6FD6"/>
    <w:rsid w:val="003D7110"/>
    <w:rsid w:val="003D7125"/>
    <w:rsid w:val="003D728C"/>
    <w:rsid w:val="003D7468"/>
    <w:rsid w:val="003D7668"/>
    <w:rsid w:val="003D775B"/>
    <w:rsid w:val="003D77E5"/>
    <w:rsid w:val="003D7904"/>
    <w:rsid w:val="003D799A"/>
    <w:rsid w:val="003D7C2C"/>
    <w:rsid w:val="003D7D05"/>
    <w:rsid w:val="003D7D65"/>
    <w:rsid w:val="003D7E5C"/>
    <w:rsid w:val="003D7E7B"/>
    <w:rsid w:val="003D7EDC"/>
    <w:rsid w:val="003D7F77"/>
    <w:rsid w:val="003D7FD8"/>
    <w:rsid w:val="003E025E"/>
    <w:rsid w:val="003E03D6"/>
    <w:rsid w:val="003E0428"/>
    <w:rsid w:val="003E04FD"/>
    <w:rsid w:val="003E0599"/>
    <w:rsid w:val="003E05F3"/>
    <w:rsid w:val="003E0621"/>
    <w:rsid w:val="003E0831"/>
    <w:rsid w:val="003E088A"/>
    <w:rsid w:val="003E0925"/>
    <w:rsid w:val="003E0A68"/>
    <w:rsid w:val="003E0A7D"/>
    <w:rsid w:val="003E0B3F"/>
    <w:rsid w:val="003E0CB2"/>
    <w:rsid w:val="003E0D1B"/>
    <w:rsid w:val="003E0E52"/>
    <w:rsid w:val="003E0EB7"/>
    <w:rsid w:val="003E0EC1"/>
    <w:rsid w:val="003E120C"/>
    <w:rsid w:val="003E1351"/>
    <w:rsid w:val="003E136D"/>
    <w:rsid w:val="003E1684"/>
    <w:rsid w:val="003E1708"/>
    <w:rsid w:val="003E1718"/>
    <w:rsid w:val="003E1900"/>
    <w:rsid w:val="003E1982"/>
    <w:rsid w:val="003E1A30"/>
    <w:rsid w:val="003E1C3C"/>
    <w:rsid w:val="003E1C62"/>
    <w:rsid w:val="003E1EC7"/>
    <w:rsid w:val="003E1ED0"/>
    <w:rsid w:val="003E2161"/>
    <w:rsid w:val="003E21AA"/>
    <w:rsid w:val="003E21FF"/>
    <w:rsid w:val="003E2214"/>
    <w:rsid w:val="003E2387"/>
    <w:rsid w:val="003E251E"/>
    <w:rsid w:val="003E2548"/>
    <w:rsid w:val="003E264C"/>
    <w:rsid w:val="003E2A45"/>
    <w:rsid w:val="003E2ABE"/>
    <w:rsid w:val="003E2C00"/>
    <w:rsid w:val="003E2D9F"/>
    <w:rsid w:val="003E2EF2"/>
    <w:rsid w:val="003E2F7E"/>
    <w:rsid w:val="003E304D"/>
    <w:rsid w:val="003E324A"/>
    <w:rsid w:val="003E343E"/>
    <w:rsid w:val="003E3519"/>
    <w:rsid w:val="003E351E"/>
    <w:rsid w:val="003E35E4"/>
    <w:rsid w:val="003E39FA"/>
    <w:rsid w:val="003E3A9A"/>
    <w:rsid w:val="003E3D5B"/>
    <w:rsid w:val="003E3E0B"/>
    <w:rsid w:val="003E3E64"/>
    <w:rsid w:val="003E3E86"/>
    <w:rsid w:val="003E3F31"/>
    <w:rsid w:val="003E3F6C"/>
    <w:rsid w:val="003E404E"/>
    <w:rsid w:val="003E4084"/>
    <w:rsid w:val="003E43B2"/>
    <w:rsid w:val="003E45B3"/>
    <w:rsid w:val="003E46D2"/>
    <w:rsid w:val="003E4970"/>
    <w:rsid w:val="003E4B26"/>
    <w:rsid w:val="003E4B41"/>
    <w:rsid w:val="003E4BFD"/>
    <w:rsid w:val="003E4F8C"/>
    <w:rsid w:val="003E4FBA"/>
    <w:rsid w:val="003E50C6"/>
    <w:rsid w:val="003E5230"/>
    <w:rsid w:val="003E52A9"/>
    <w:rsid w:val="003E5313"/>
    <w:rsid w:val="003E53EE"/>
    <w:rsid w:val="003E53F2"/>
    <w:rsid w:val="003E5431"/>
    <w:rsid w:val="003E54A2"/>
    <w:rsid w:val="003E54A3"/>
    <w:rsid w:val="003E57AE"/>
    <w:rsid w:val="003E57F5"/>
    <w:rsid w:val="003E5815"/>
    <w:rsid w:val="003E5A1A"/>
    <w:rsid w:val="003E5A91"/>
    <w:rsid w:val="003E5AB5"/>
    <w:rsid w:val="003E5B8B"/>
    <w:rsid w:val="003E5C2F"/>
    <w:rsid w:val="003E5E31"/>
    <w:rsid w:val="003E61CE"/>
    <w:rsid w:val="003E622D"/>
    <w:rsid w:val="003E6329"/>
    <w:rsid w:val="003E634E"/>
    <w:rsid w:val="003E639F"/>
    <w:rsid w:val="003E6537"/>
    <w:rsid w:val="003E654C"/>
    <w:rsid w:val="003E6581"/>
    <w:rsid w:val="003E658C"/>
    <w:rsid w:val="003E661C"/>
    <w:rsid w:val="003E686F"/>
    <w:rsid w:val="003E6923"/>
    <w:rsid w:val="003E6B40"/>
    <w:rsid w:val="003E6C7E"/>
    <w:rsid w:val="003E6E08"/>
    <w:rsid w:val="003E6E9F"/>
    <w:rsid w:val="003E6FAC"/>
    <w:rsid w:val="003E7007"/>
    <w:rsid w:val="003E736D"/>
    <w:rsid w:val="003E7371"/>
    <w:rsid w:val="003E7457"/>
    <w:rsid w:val="003E74F4"/>
    <w:rsid w:val="003E760D"/>
    <w:rsid w:val="003E7620"/>
    <w:rsid w:val="003E77FE"/>
    <w:rsid w:val="003E7846"/>
    <w:rsid w:val="003E785F"/>
    <w:rsid w:val="003E78F5"/>
    <w:rsid w:val="003E7AD0"/>
    <w:rsid w:val="003E7B7D"/>
    <w:rsid w:val="003E7F22"/>
    <w:rsid w:val="003E7FCC"/>
    <w:rsid w:val="003E7FEF"/>
    <w:rsid w:val="003F00C0"/>
    <w:rsid w:val="003F015F"/>
    <w:rsid w:val="003F023E"/>
    <w:rsid w:val="003F05A3"/>
    <w:rsid w:val="003F069F"/>
    <w:rsid w:val="003F0735"/>
    <w:rsid w:val="003F08B2"/>
    <w:rsid w:val="003F08D8"/>
    <w:rsid w:val="003F0AC7"/>
    <w:rsid w:val="003F0C43"/>
    <w:rsid w:val="003F0C77"/>
    <w:rsid w:val="003F0C82"/>
    <w:rsid w:val="003F0D47"/>
    <w:rsid w:val="003F0DA2"/>
    <w:rsid w:val="003F0F09"/>
    <w:rsid w:val="003F0F15"/>
    <w:rsid w:val="003F1055"/>
    <w:rsid w:val="003F108D"/>
    <w:rsid w:val="003F1092"/>
    <w:rsid w:val="003F10CE"/>
    <w:rsid w:val="003F1110"/>
    <w:rsid w:val="003F116B"/>
    <w:rsid w:val="003F1249"/>
    <w:rsid w:val="003F1255"/>
    <w:rsid w:val="003F131E"/>
    <w:rsid w:val="003F154C"/>
    <w:rsid w:val="003F16BD"/>
    <w:rsid w:val="003F172F"/>
    <w:rsid w:val="003F18A9"/>
    <w:rsid w:val="003F18E1"/>
    <w:rsid w:val="003F1950"/>
    <w:rsid w:val="003F1996"/>
    <w:rsid w:val="003F19A2"/>
    <w:rsid w:val="003F1A48"/>
    <w:rsid w:val="003F1AD0"/>
    <w:rsid w:val="003F1B31"/>
    <w:rsid w:val="003F1B88"/>
    <w:rsid w:val="003F1BE5"/>
    <w:rsid w:val="003F1CF0"/>
    <w:rsid w:val="003F1D2F"/>
    <w:rsid w:val="003F1D9B"/>
    <w:rsid w:val="003F1EC0"/>
    <w:rsid w:val="003F1EED"/>
    <w:rsid w:val="003F2001"/>
    <w:rsid w:val="003F2039"/>
    <w:rsid w:val="003F20F9"/>
    <w:rsid w:val="003F2204"/>
    <w:rsid w:val="003F23B8"/>
    <w:rsid w:val="003F23FD"/>
    <w:rsid w:val="003F267D"/>
    <w:rsid w:val="003F275C"/>
    <w:rsid w:val="003F2936"/>
    <w:rsid w:val="003F2BE8"/>
    <w:rsid w:val="003F2D94"/>
    <w:rsid w:val="003F2DE2"/>
    <w:rsid w:val="003F2E07"/>
    <w:rsid w:val="003F2E72"/>
    <w:rsid w:val="003F304F"/>
    <w:rsid w:val="003F30C3"/>
    <w:rsid w:val="003F30F1"/>
    <w:rsid w:val="003F315B"/>
    <w:rsid w:val="003F3187"/>
    <w:rsid w:val="003F3207"/>
    <w:rsid w:val="003F3214"/>
    <w:rsid w:val="003F32EC"/>
    <w:rsid w:val="003F33AF"/>
    <w:rsid w:val="003F33FC"/>
    <w:rsid w:val="003F3557"/>
    <w:rsid w:val="003F3599"/>
    <w:rsid w:val="003F35BB"/>
    <w:rsid w:val="003F362E"/>
    <w:rsid w:val="003F36CD"/>
    <w:rsid w:val="003F380D"/>
    <w:rsid w:val="003F3840"/>
    <w:rsid w:val="003F3B29"/>
    <w:rsid w:val="003F3B30"/>
    <w:rsid w:val="003F3B39"/>
    <w:rsid w:val="003F3BEF"/>
    <w:rsid w:val="003F3DCE"/>
    <w:rsid w:val="003F3F5F"/>
    <w:rsid w:val="003F3F95"/>
    <w:rsid w:val="003F407E"/>
    <w:rsid w:val="003F4201"/>
    <w:rsid w:val="003F42E9"/>
    <w:rsid w:val="003F4408"/>
    <w:rsid w:val="003F4534"/>
    <w:rsid w:val="003F4567"/>
    <w:rsid w:val="003F47C8"/>
    <w:rsid w:val="003F4899"/>
    <w:rsid w:val="003F4C27"/>
    <w:rsid w:val="003F4CFC"/>
    <w:rsid w:val="003F4D0E"/>
    <w:rsid w:val="003F4DAC"/>
    <w:rsid w:val="003F4ED9"/>
    <w:rsid w:val="003F4F41"/>
    <w:rsid w:val="003F5086"/>
    <w:rsid w:val="003F50AB"/>
    <w:rsid w:val="003F5136"/>
    <w:rsid w:val="003F5152"/>
    <w:rsid w:val="003F523D"/>
    <w:rsid w:val="003F54D1"/>
    <w:rsid w:val="003F5551"/>
    <w:rsid w:val="003F55F7"/>
    <w:rsid w:val="003F5692"/>
    <w:rsid w:val="003F5A4A"/>
    <w:rsid w:val="003F5C6E"/>
    <w:rsid w:val="003F5DF8"/>
    <w:rsid w:val="003F5ED7"/>
    <w:rsid w:val="003F5F3D"/>
    <w:rsid w:val="003F5FDF"/>
    <w:rsid w:val="003F63D6"/>
    <w:rsid w:val="003F651B"/>
    <w:rsid w:val="003F65DD"/>
    <w:rsid w:val="003F6639"/>
    <w:rsid w:val="003F66F8"/>
    <w:rsid w:val="003F67CC"/>
    <w:rsid w:val="003F6810"/>
    <w:rsid w:val="003F6BEE"/>
    <w:rsid w:val="003F6CD4"/>
    <w:rsid w:val="003F6E0B"/>
    <w:rsid w:val="003F704E"/>
    <w:rsid w:val="003F71CC"/>
    <w:rsid w:val="003F72EC"/>
    <w:rsid w:val="003F7344"/>
    <w:rsid w:val="003F73A0"/>
    <w:rsid w:val="003F763B"/>
    <w:rsid w:val="003F76B3"/>
    <w:rsid w:val="003F7778"/>
    <w:rsid w:val="003F778C"/>
    <w:rsid w:val="003F77F9"/>
    <w:rsid w:val="003F7815"/>
    <w:rsid w:val="003F7865"/>
    <w:rsid w:val="003F7C15"/>
    <w:rsid w:val="003F7E1C"/>
    <w:rsid w:val="003F7F89"/>
    <w:rsid w:val="003F7FAC"/>
    <w:rsid w:val="0040019B"/>
    <w:rsid w:val="00400255"/>
    <w:rsid w:val="0040032E"/>
    <w:rsid w:val="00400661"/>
    <w:rsid w:val="004006A0"/>
    <w:rsid w:val="00400715"/>
    <w:rsid w:val="004007D6"/>
    <w:rsid w:val="00400A97"/>
    <w:rsid w:val="00400AC5"/>
    <w:rsid w:val="00400CBC"/>
    <w:rsid w:val="00400CCA"/>
    <w:rsid w:val="00400E0E"/>
    <w:rsid w:val="00401123"/>
    <w:rsid w:val="00401184"/>
    <w:rsid w:val="004011C0"/>
    <w:rsid w:val="004013C4"/>
    <w:rsid w:val="004016DC"/>
    <w:rsid w:val="0040192D"/>
    <w:rsid w:val="004019F0"/>
    <w:rsid w:val="00401AB3"/>
    <w:rsid w:val="00401AD9"/>
    <w:rsid w:val="00401ECA"/>
    <w:rsid w:val="00401FB7"/>
    <w:rsid w:val="00402073"/>
    <w:rsid w:val="004020A9"/>
    <w:rsid w:val="00402101"/>
    <w:rsid w:val="004022A7"/>
    <w:rsid w:val="0040236B"/>
    <w:rsid w:val="0040250A"/>
    <w:rsid w:val="0040269F"/>
    <w:rsid w:val="004026FF"/>
    <w:rsid w:val="0040271C"/>
    <w:rsid w:val="004027AE"/>
    <w:rsid w:val="00402A1A"/>
    <w:rsid w:val="00402A65"/>
    <w:rsid w:val="00402A8F"/>
    <w:rsid w:val="00402CE7"/>
    <w:rsid w:val="004031C0"/>
    <w:rsid w:val="00403205"/>
    <w:rsid w:val="00403305"/>
    <w:rsid w:val="00403372"/>
    <w:rsid w:val="004033CA"/>
    <w:rsid w:val="00403452"/>
    <w:rsid w:val="004034C9"/>
    <w:rsid w:val="004036EF"/>
    <w:rsid w:val="004037BA"/>
    <w:rsid w:val="00403BBB"/>
    <w:rsid w:val="004041D0"/>
    <w:rsid w:val="00404230"/>
    <w:rsid w:val="0040434E"/>
    <w:rsid w:val="00404439"/>
    <w:rsid w:val="004044FB"/>
    <w:rsid w:val="004045BC"/>
    <w:rsid w:val="00404650"/>
    <w:rsid w:val="0040465E"/>
    <w:rsid w:val="004046E5"/>
    <w:rsid w:val="004047C4"/>
    <w:rsid w:val="004048CA"/>
    <w:rsid w:val="00404931"/>
    <w:rsid w:val="00404A84"/>
    <w:rsid w:val="00404BB9"/>
    <w:rsid w:val="00404BE1"/>
    <w:rsid w:val="00404D26"/>
    <w:rsid w:val="00404E64"/>
    <w:rsid w:val="00405114"/>
    <w:rsid w:val="0040513B"/>
    <w:rsid w:val="00405175"/>
    <w:rsid w:val="004053E8"/>
    <w:rsid w:val="004055E4"/>
    <w:rsid w:val="00405A5B"/>
    <w:rsid w:val="00405EE5"/>
    <w:rsid w:val="00405FA6"/>
    <w:rsid w:val="00406153"/>
    <w:rsid w:val="00406156"/>
    <w:rsid w:val="004061EC"/>
    <w:rsid w:val="00406224"/>
    <w:rsid w:val="004064FF"/>
    <w:rsid w:val="0040668A"/>
    <w:rsid w:val="004066A9"/>
    <w:rsid w:val="0040674C"/>
    <w:rsid w:val="004067AA"/>
    <w:rsid w:val="004067FC"/>
    <w:rsid w:val="00406861"/>
    <w:rsid w:val="00406B9B"/>
    <w:rsid w:val="00406BFC"/>
    <w:rsid w:val="00406FCE"/>
    <w:rsid w:val="004071C0"/>
    <w:rsid w:val="00407264"/>
    <w:rsid w:val="00407390"/>
    <w:rsid w:val="004074F8"/>
    <w:rsid w:val="00407577"/>
    <w:rsid w:val="0040790D"/>
    <w:rsid w:val="00407951"/>
    <w:rsid w:val="00407A7B"/>
    <w:rsid w:val="00407D5A"/>
    <w:rsid w:val="00407DA6"/>
    <w:rsid w:val="00407DDC"/>
    <w:rsid w:val="00407E6B"/>
    <w:rsid w:val="00407F1C"/>
    <w:rsid w:val="004100E4"/>
    <w:rsid w:val="00410245"/>
    <w:rsid w:val="004103FA"/>
    <w:rsid w:val="00410570"/>
    <w:rsid w:val="00410587"/>
    <w:rsid w:val="0041059F"/>
    <w:rsid w:val="004105C9"/>
    <w:rsid w:val="0041091D"/>
    <w:rsid w:val="004109C6"/>
    <w:rsid w:val="004109D3"/>
    <w:rsid w:val="00410B52"/>
    <w:rsid w:val="00410CAA"/>
    <w:rsid w:val="00410D61"/>
    <w:rsid w:val="00410DEB"/>
    <w:rsid w:val="00410FF3"/>
    <w:rsid w:val="00411087"/>
    <w:rsid w:val="00411278"/>
    <w:rsid w:val="00411334"/>
    <w:rsid w:val="004114C5"/>
    <w:rsid w:val="004116EF"/>
    <w:rsid w:val="0041188A"/>
    <w:rsid w:val="004118E3"/>
    <w:rsid w:val="004119B0"/>
    <w:rsid w:val="00411A6F"/>
    <w:rsid w:val="00411E91"/>
    <w:rsid w:val="00411F50"/>
    <w:rsid w:val="0041215F"/>
    <w:rsid w:val="00412221"/>
    <w:rsid w:val="0041238C"/>
    <w:rsid w:val="00412394"/>
    <w:rsid w:val="00412556"/>
    <w:rsid w:val="0041287F"/>
    <w:rsid w:val="0041291C"/>
    <w:rsid w:val="00412984"/>
    <w:rsid w:val="00412AB6"/>
    <w:rsid w:val="00412AF3"/>
    <w:rsid w:val="00412B3C"/>
    <w:rsid w:val="00412BCC"/>
    <w:rsid w:val="00412FFF"/>
    <w:rsid w:val="00413090"/>
    <w:rsid w:val="00413167"/>
    <w:rsid w:val="0041341C"/>
    <w:rsid w:val="004134BF"/>
    <w:rsid w:val="004135ED"/>
    <w:rsid w:val="00413875"/>
    <w:rsid w:val="00413972"/>
    <w:rsid w:val="004139F0"/>
    <w:rsid w:val="00413A12"/>
    <w:rsid w:val="00413A71"/>
    <w:rsid w:val="00413AA2"/>
    <w:rsid w:val="00413AFA"/>
    <w:rsid w:val="00413C31"/>
    <w:rsid w:val="00413D50"/>
    <w:rsid w:val="00413E91"/>
    <w:rsid w:val="00413EE2"/>
    <w:rsid w:val="0041424C"/>
    <w:rsid w:val="004143FE"/>
    <w:rsid w:val="004145F6"/>
    <w:rsid w:val="00414699"/>
    <w:rsid w:val="004147B0"/>
    <w:rsid w:val="00414C8E"/>
    <w:rsid w:val="00414F63"/>
    <w:rsid w:val="0041500B"/>
    <w:rsid w:val="004150BD"/>
    <w:rsid w:val="004151B2"/>
    <w:rsid w:val="004151D1"/>
    <w:rsid w:val="004152F7"/>
    <w:rsid w:val="0041556D"/>
    <w:rsid w:val="004155CB"/>
    <w:rsid w:val="0041586A"/>
    <w:rsid w:val="004158AA"/>
    <w:rsid w:val="004158BB"/>
    <w:rsid w:val="00415948"/>
    <w:rsid w:val="00415B65"/>
    <w:rsid w:val="00415C83"/>
    <w:rsid w:val="00415D68"/>
    <w:rsid w:val="00416007"/>
    <w:rsid w:val="00416217"/>
    <w:rsid w:val="004163D6"/>
    <w:rsid w:val="00416478"/>
    <w:rsid w:val="004164DE"/>
    <w:rsid w:val="0041657B"/>
    <w:rsid w:val="00416722"/>
    <w:rsid w:val="004167A9"/>
    <w:rsid w:val="00416874"/>
    <w:rsid w:val="00416956"/>
    <w:rsid w:val="004169B6"/>
    <w:rsid w:val="00416B92"/>
    <w:rsid w:val="00416BFF"/>
    <w:rsid w:val="00416E5A"/>
    <w:rsid w:val="00416F0B"/>
    <w:rsid w:val="00416F39"/>
    <w:rsid w:val="00416FB4"/>
    <w:rsid w:val="00417022"/>
    <w:rsid w:val="004172CC"/>
    <w:rsid w:val="00417415"/>
    <w:rsid w:val="0041741B"/>
    <w:rsid w:val="004174BC"/>
    <w:rsid w:val="0041759D"/>
    <w:rsid w:val="004177B9"/>
    <w:rsid w:val="00417815"/>
    <w:rsid w:val="0041785B"/>
    <w:rsid w:val="0041785C"/>
    <w:rsid w:val="00417938"/>
    <w:rsid w:val="00417A26"/>
    <w:rsid w:val="00417AAF"/>
    <w:rsid w:val="00417C15"/>
    <w:rsid w:val="00417CD0"/>
    <w:rsid w:val="004202BF"/>
    <w:rsid w:val="00420567"/>
    <w:rsid w:val="0042060F"/>
    <w:rsid w:val="00420614"/>
    <w:rsid w:val="00420AF6"/>
    <w:rsid w:val="00420BCE"/>
    <w:rsid w:val="0042105D"/>
    <w:rsid w:val="004210E4"/>
    <w:rsid w:val="0042124E"/>
    <w:rsid w:val="00421256"/>
    <w:rsid w:val="004215F4"/>
    <w:rsid w:val="00421736"/>
    <w:rsid w:val="00421762"/>
    <w:rsid w:val="00421CDC"/>
    <w:rsid w:val="00421F08"/>
    <w:rsid w:val="00421F1E"/>
    <w:rsid w:val="00422029"/>
    <w:rsid w:val="0042202A"/>
    <w:rsid w:val="004220BA"/>
    <w:rsid w:val="0042216E"/>
    <w:rsid w:val="0042225C"/>
    <w:rsid w:val="0042242C"/>
    <w:rsid w:val="0042243A"/>
    <w:rsid w:val="004225AF"/>
    <w:rsid w:val="004226DF"/>
    <w:rsid w:val="004226EA"/>
    <w:rsid w:val="00422733"/>
    <w:rsid w:val="00422ACE"/>
    <w:rsid w:val="00422B51"/>
    <w:rsid w:val="00422CF6"/>
    <w:rsid w:val="00422D5E"/>
    <w:rsid w:val="00422E4D"/>
    <w:rsid w:val="00422E9B"/>
    <w:rsid w:val="00422EBA"/>
    <w:rsid w:val="00422FA7"/>
    <w:rsid w:val="0042317D"/>
    <w:rsid w:val="004231ED"/>
    <w:rsid w:val="00423220"/>
    <w:rsid w:val="004232D1"/>
    <w:rsid w:val="004233C9"/>
    <w:rsid w:val="0042340B"/>
    <w:rsid w:val="0042353F"/>
    <w:rsid w:val="004237C1"/>
    <w:rsid w:val="00423815"/>
    <w:rsid w:val="004238E4"/>
    <w:rsid w:val="00423A4A"/>
    <w:rsid w:val="00423A9B"/>
    <w:rsid w:val="00423B82"/>
    <w:rsid w:val="00423E7B"/>
    <w:rsid w:val="00423E97"/>
    <w:rsid w:val="00423EA7"/>
    <w:rsid w:val="00423F53"/>
    <w:rsid w:val="00423FF8"/>
    <w:rsid w:val="00424034"/>
    <w:rsid w:val="004245BA"/>
    <w:rsid w:val="00424712"/>
    <w:rsid w:val="0042476B"/>
    <w:rsid w:val="004249D0"/>
    <w:rsid w:val="00424BF4"/>
    <w:rsid w:val="00424D70"/>
    <w:rsid w:val="00424E98"/>
    <w:rsid w:val="004251B7"/>
    <w:rsid w:val="0042528F"/>
    <w:rsid w:val="004253BA"/>
    <w:rsid w:val="004253C0"/>
    <w:rsid w:val="0042551E"/>
    <w:rsid w:val="00425633"/>
    <w:rsid w:val="00425696"/>
    <w:rsid w:val="00425854"/>
    <w:rsid w:val="00425970"/>
    <w:rsid w:val="00425996"/>
    <w:rsid w:val="00425A32"/>
    <w:rsid w:val="00425AF8"/>
    <w:rsid w:val="00425B2A"/>
    <w:rsid w:val="00425BFE"/>
    <w:rsid w:val="00425CF4"/>
    <w:rsid w:val="0042609D"/>
    <w:rsid w:val="00426284"/>
    <w:rsid w:val="004265E7"/>
    <w:rsid w:val="00426876"/>
    <w:rsid w:val="00426938"/>
    <w:rsid w:val="00426ACE"/>
    <w:rsid w:val="00426BDB"/>
    <w:rsid w:val="00426D8D"/>
    <w:rsid w:val="00426F2F"/>
    <w:rsid w:val="00426F6E"/>
    <w:rsid w:val="00426F86"/>
    <w:rsid w:val="0042703C"/>
    <w:rsid w:val="004272CF"/>
    <w:rsid w:val="00427322"/>
    <w:rsid w:val="004274B2"/>
    <w:rsid w:val="00427517"/>
    <w:rsid w:val="00427578"/>
    <w:rsid w:val="00427651"/>
    <w:rsid w:val="004279C9"/>
    <w:rsid w:val="00427AC9"/>
    <w:rsid w:val="00427C6B"/>
    <w:rsid w:val="00427DC2"/>
    <w:rsid w:val="00427F14"/>
    <w:rsid w:val="00427F45"/>
    <w:rsid w:val="00427FBD"/>
    <w:rsid w:val="0043001C"/>
    <w:rsid w:val="0043001F"/>
    <w:rsid w:val="00430367"/>
    <w:rsid w:val="0043052B"/>
    <w:rsid w:val="00430583"/>
    <w:rsid w:val="004306F2"/>
    <w:rsid w:val="00430764"/>
    <w:rsid w:val="004308BF"/>
    <w:rsid w:val="00430AB0"/>
    <w:rsid w:val="00430B5F"/>
    <w:rsid w:val="00430D52"/>
    <w:rsid w:val="00430D7A"/>
    <w:rsid w:val="00430E2D"/>
    <w:rsid w:val="00430EC3"/>
    <w:rsid w:val="00430FBB"/>
    <w:rsid w:val="004311A4"/>
    <w:rsid w:val="0043129E"/>
    <w:rsid w:val="004312F0"/>
    <w:rsid w:val="004313CC"/>
    <w:rsid w:val="0043141C"/>
    <w:rsid w:val="00431718"/>
    <w:rsid w:val="004317BC"/>
    <w:rsid w:val="0043180C"/>
    <w:rsid w:val="00431936"/>
    <w:rsid w:val="00431958"/>
    <w:rsid w:val="004319C4"/>
    <w:rsid w:val="004319E7"/>
    <w:rsid w:val="00431A7E"/>
    <w:rsid w:val="00432074"/>
    <w:rsid w:val="00432144"/>
    <w:rsid w:val="0043214B"/>
    <w:rsid w:val="004321CA"/>
    <w:rsid w:val="004321CD"/>
    <w:rsid w:val="004321CE"/>
    <w:rsid w:val="00432369"/>
    <w:rsid w:val="004323CA"/>
    <w:rsid w:val="00432431"/>
    <w:rsid w:val="004325CB"/>
    <w:rsid w:val="00432C09"/>
    <w:rsid w:val="00432C7A"/>
    <w:rsid w:val="00432D1E"/>
    <w:rsid w:val="00432E35"/>
    <w:rsid w:val="00432E87"/>
    <w:rsid w:val="00432EB4"/>
    <w:rsid w:val="004330F0"/>
    <w:rsid w:val="004330F5"/>
    <w:rsid w:val="0043330F"/>
    <w:rsid w:val="004334CD"/>
    <w:rsid w:val="004334EB"/>
    <w:rsid w:val="00433589"/>
    <w:rsid w:val="004336AB"/>
    <w:rsid w:val="0043380B"/>
    <w:rsid w:val="00433823"/>
    <w:rsid w:val="0043390D"/>
    <w:rsid w:val="00433A7E"/>
    <w:rsid w:val="00433A9C"/>
    <w:rsid w:val="00433C17"/>
    <w:rsid w:val="00433CC6"/>
    <w:rsid w:val="00433CF3"/>
    <w:rsid w:val="00433E25"/>
    <w:rsid w:val="00433E38"/>
    <w:rsid w:val="00433E95"/>
    <w:rsid w:val="00433FA4"/>
    <w:rsid w:val="0043410B"/>
    <w:rsid w:val="00434157"/>
    <w:rsid w:val="004341D7"/>
    <w:rsid w:val="0043439B"/>
    <w:rsid w:val="00434575"/>
    <w:rsid w:val="0043488B"/>
    <w:rsid w:val="004349AC"/>
    <w:rsid w:val="00434D86"/>
    <w:rsid w:val="00434F6F"/>
    <w:rsid w:val="0043512C"/>
    <w:rsid w:val="0043518E"/>
    <w:rsid w:val="004351C1"/>
    <w:rsid w:val="00435274"/>
    <w:rsid w:val="0043538F"/>
    <w:rsid w:val="00435659"/>
    <w:rsid w:val="004357E9"/>
    <w:rsid w:val="004358B0"/>
    <w:rsid w:val="00435AE0"/>
    <w:rsid w:val="00435BE9"/>
    <w:rsid w:val="00435E15"/>
    <w:rsid w:val="00435E9C"/>
    <w:rsid w:val="00435EAA"/>
    <w:rsid w:val="00435EE8"/>
    <w:rsid w:val="004360BE"/>
    <w:rsid w:val="0043613A"/>
    <w:rsid w:val="00436211"/>
    <w:rsid w:val="00436262"/>
    <w:rsid w:val="0043635C"/>
    <w:rsid w:val="0043650B"/>
    <w:rsid w:val="00436574"/>
    <w:rsid w:val="004366B2"/>
    <w:rsid w:val="0043672A"/>
    <w:rsid w:val="0043685C"/>
    <w:rsid w:val="00436903"/>
    <w:rsid w:val="00436A2D"/>
    <w:rsid w:val="00436A5B"/>
    <w:rsid w:val="00436AA2"/>
    <w:rsid w:val="00437024"/>
    <w:rsid w:val="00437088"/>
    <w:rsid w:val="00437266"/>
    <w:rsid w:val="004375E8"/>
    <w:rsid w:val="0043764C"/>
    <w:rsid w:val="00437685"/>
    <w:rsid w:val="004379A0"/>
    <w:rsid w:val="004379C5"/>
    <w:rsid w:val="00437A19"/>
    <w:rsid w:val="00437B31"/>
    <w:rsid w:val="00437BC3"/>
    <w:rsid w:val="00437BD4"/>
    <w:rsid w:val="00437C42"/>
    <w:rsid w:val="00437C4F"/>
    <w:rsid w:val="00437CC0"/>
    <w:rsid w:val="00437D34"/>
    <w:rsid w:val="00437D36"/>
    <w:rsid w:val="00437E59"/>
    <w:rsid w:val="00437E7C"/>
    <w:rsid w:val="00437F83"/>
    <w:rsid w:val="00440007"/>
    <w:rsid w:val="0044000A"/>
    <w:rsid w:val="004404E4"/>
    <w:rsid w:val="00440558"/>
    <w:rsid w:val="004406CC"/>
    <w:rsid w:val="00440B48"/>
    <w:rsid w:val="00440BF0"/>
    <w:rsid w:val="00440DBA"/>
    <w:rsid w:val="00440DD7"/>
    <w:rsid w:val="00440E39"/>
    <w:rsid w:val="00440FDE"/>
    <w:rsid w:val="0044102D"/>
    <w:rsid w:val="004410BC"/>
    <w:rsid w:val="004412A7"/>
    <w:rsid w:val="00441395"/>
    <w:rsid w:val="00441557"/>
    <w:rsid w:val="00441601"/>
    <w:rsid w:val="004416C1"/>
    <w:rsid w:val="0044198F"/>
    <w:rsid w:val="00441B8D"/>
    <w:rsid w:val="00441BF2"/>
    <w:rsid w:val="00441CC2"/>
    <w:rsid w:val="00441D07"/>
    <w:rsid w:val="00441D2D"/>
    <w:rsid w:val="00441D37"/>
    <w:rsid w:val="00441F79"/>
    <w:rsid w:val="00441FA2"/>
    <w:rsid w:val="0044206A"/>
    <w:rsid w:val="0044209D"/>
    <w:rsid w:val="0044217B"/>
    <w:rsid w:val="004421E5"/>
    <w:rsid w:val="00442416"/>
    <w:rsid w:val="004424F2"/>
    <w:rsid w:val="0044264F"/>
    <w:rsid w:val="004429BC"/>
    <w:rsid w:val="00442A3D"/>
    <w:rsid w:val="00442A9A"/>
    <w:rsid w:val="00442AB7"/>
    <w:rsid w:val="00442BC0"/>
    <w:rsid w:val="00442C33"/>
    <w:rsid w:val="00442CF2"/>
    <w:rsid w:val="00442D94"/>
    <w:rsid w:val="00442DF4"/>
    <w:rsid w:val="00442E52"/>
    <w:rsid w:val="0044333E"/>
    <w:rsid w:val="004433B4"/>
    <w:rsid w:val="004434D7"/>
    <w:rsid w:val="004434E3"/>
    <w:rsid w:val="00443707"/>
    <w:rsid w:val="0044375D"/>
    <w:rsid w:val="0044380B"/>
    <w:rsid w:val="0044380E"/>
    <w:rsid w:val="004439BD"/>
    <w:rsid w:val="00443A9F"/>
    <w:rsid w:val="00443AEB"/>
    <w:rsid w:val="00443C4D"/>
    <w:rsid w:val="00443E12"/>
    <w:rsid w:val="00443F4C"/>
    <w:rsid w:val="004441C8"/>
    <w:rsid w:val="00444372"/>
    <w:rsid w:val="004443B5"/>
    <w:rsid w:val="004443D4"/>
    <w:rsid w:val="004444B2"/>
    <w:rsid w:val="004445FE"/>
    <w:rsid w:val="00444714"/>
    <w:rsid w:val="0044471B"/>
    <w:rsid w:val="004449BB"/>
    <w:rsid w:val="004449E9"/>
    <w:rsid w:val="00445113"/>
    <w:rsid w:val="004451BD"/>
    <w:rsid w:val="004451DF"/>
    <w:rsid w:val="00445249"/>
    <w:rsid w:val="0044533F"/>
    <w:rsid w:val="00445368"/>
    <w:rsid w:val="004453F7"/>
    <w:rsid w:val="004454B3"/>
    <w:rsid w:val="0044559E"/>
    <w:rsid w:val="00445617"/>
    <w:rsid w:val="004456C0"/>
    <w:rsid w:val="00445AD9"/>
    <w:rsid w:val="00445B9B"/>
    <w:rsid w:val="00445BE5"/>
    <w:rsid w:val="00445E17"/>
    <w:rsid w:val="00445F0B"/>
    <w:rsid w:val="00445F4B"/>
    <w:rsid w:val="00446122"/>
    <w:rsid w:val="00446385"/>
    <w:rsid w:val="0044644A"/>
    <w:rsid w:val="004469AB"/>
    <w:rsid w:val="00446B1C"/>
    <w:rsid w:val="00446B46"/>
    <w:rsid w:val="00446C69"/>
    <w:rsid w:val="00446DAA"/>
    <w:rsid w:val="0044702C"/>
    <w:rsid w:val="00447041"/>
    <w:rsid w:val="004471C5"/>
    <w:rsid w:val="00447574"/>
    <w:rsid w:val="00447609"/>
    <w:rsid w:val="0044779F"/>
    <w:rsid w:val="0044789B"/>
    <w:rsid w:val="0044791E"/>
    <w:rsid w:val="00447A18"/>
    <w:rsid w:val="00447A45"/>
    <w:rsid w:val="00447B65"/>
    <w:rsid w:val="00447BEE"/>
    <w:rsid w:val="00447C70"/>
    <w:rsid w:val="00447DC3"/>
    <w:rsid w:val="00447E7C"/>
    <w:rsid w:val="00450055"/>
    <w:rsid w:val="00450074"/>
    <w:rsid w:val="00450105"/>
    <w:rsid w:val="004501DA"/>
    <w:rsid w:val="004503D5"/>
    <w:rsid w:val="004504D0"/>
    <w:rsid w:val="004505AF"/>
    <w:rsid w:val="00450637"/>
    <w:rsid w:val="00450800"/>
    <w:rsid w:val="00450963"/>
    <w:rsid w:val="004509B4"/>
    <w:rsid w:val="004509E7"/>
    <w:rsid w:val="00450B46"/>
    <w:rsid w:val="00450C87"/>
    <w:rsid w:val="00450EA7"/>
    <w:rsid w:val="00450EB2"/>
    <w:rsid w:val="00450F1B"/>
    <w:rsid w:val="004510F5"/>
    <w:rsid w:val="00451340"/>
    <w:rsid w:val="00451508"/>
    <w:rsid w:val="0045162E"/>
    <w:rsid w:val="0045163E"/>
    <w:rsid w:val="004516E5"/>
    <w:rsid w:val="00451804"/>
    <w:rsid w:val="0045180C"/>
    <w:rsid w:val="00451859"/>
    <w:rsid w:val="00451923"/>
    <w:rsid w:val="00451AE0"/>
    <w:rsid w:val="00451B70"/>
    <w:rsid w:val="00451BBF"/>
    <w:rsid w:val="00451BCC"/>
    <w:rsid w:val="00452122"/>
    <w:rsid w:val="004521DC"/>
    <w:rsid w:val="0045243E"/>
    <w:rsid w:val="0045281F"/>
    <w:rsid w:val="00452831"/>
    <w:rsid w:val="0045296D"/>
    <w:rsid w:val="00452A8C"/>
    <w:rsid w:val="00452D28"/>
    <w:rsid w:val="00452D33"/>
    <w:rsid w:val="00452EAA"/>
    <w:rsid w:val="00452EB1"/>
    <w:rsid w:val="00452FDB"/>
    <w:rsid w:val="004530DC"/>
    <w:rsid w:val="00453272"/>
    <w:rsid w:val="004532F6"/>
    <w:rsid w:val="0045334A"/>
    <w:rsid w:val="004533C0"/>
    <w:rsid w:val="0045345F"/>
    <w:rsid w:val="00453485"/>
    <w:rsid w:val="004534D1"/>
    <w:rsid w:val="004534EF"/>
    <w:rsid w:val="004536BC"/>
    <w:rsid w:val="00453E77"/>
    <w:rsid w:val="00453F75"/>
    <w:rsid w:val="00454020"/>
    <w:rsid w:val="004540A4"/>
    <w:rsid w:val="00454156"/>
    <w:rsid w:val="004542E8"/>
    <w:rsid w:val="004542E9"/>
    <w:rsid w:val="00454365"/>
    <w:rsid w:val="004545A2"/>
    <w:rsid w:val="00454743"/>
    <w:rsid w:val="00454857"/>
    <w:rsid w:val="004548E6"/>
    <w:rsid w:val="00454943"/>
    <w:rsid w:val="004549A1"/>
    <w:rsid w:val="00454A31"/>
    <w:rsid w:val="00454A38"/>
    <w:rsid w:val="00454A6A"/>
    <w:rsid w:val="00454AC3"/>
    <w:rsid w:val="00454AC7"/>
    <w:rsid w:val="00454D20"/>
    <w:rsid w:val="00454D9A"/>
    <w:rsid w:val="00454FA6"/>
    <w:rsid w:val="0045523A"/>
    <w:rsid w:val="0045528A"/>
    <w:rsid w:val="0045532B"/>
    <w:rsid w:val="00455522"/>
    <w:rsid w:val="00455570"/>
    <w:rsid w:val="00455681"/>
    <w:rsid w:val="004556A7"/>
    <w:rsid w:val="0045573B"/>
    <w:rsid w:val="00455AE8"/>
    <w:rsid w:val="00455C72"/>
    <w:rsid w:val="00455D31"/>
    <w:rsid w:val="00455D37"/>
    <w:rsid w:val="00455F33"/>
    <w:rsid w:val="00455F51"/>
    <w:rsid w:val="004560AB"/>
    <w:rsid w:val="004560E8"/>
    <w:rsid w:val="004561EA"/>
    <w:rsid w:val="004563A4"/>
    <w:rsid w:val="0045656C"/>
    <w:rsid w:val="00456866"/>
    <w:rsid w:val="004568F5"/>
    <w:rsid w:val="00456956"/>
    <w:rsid w:val="0045697F"/>
    <w:rsid w:val="00456C94"/>
    <w:rsid w:val="00456DFF"/>
    <w:rsid w:val="00456F12"/>
    <w:rsid w:val="00456F3B"/>
    <w:rsid w:val="004570AA"/>
    <w:rsid w:val="004570D3"/>
    <w:rsid w:val="00457175"/>
    <w:rsid w:val="0045717F"/>
    <w:rsid w:val="0045737F"/>
    <w:rsid w:val="00457404"/>
    <w:rsid w:val="004575B0"/>
    <w:rsid w:val="00457603"/>
    <w:rsid w:val="00457661"/>
    <w:rsid w:val="00457762"/>
    <w:rsid w:val="00457996"/>
    <w:rsid w:val="00457CB5"/>
    <w:rsid w:val="00457CF3"/>
    <w:rsid w:val="00457F7D"/>
    <w:rsid w:val="0046010E"/>
    <w:rsid w:val="004602F6"/>
    <w:rsid w:val="00460587"/>
    <w:rsid w:val="00460889"/>
    <w:rsid w:val="00460A2A"/>
    <w:rsid w:val="00460A8E"/>
    <w:rsid w:val="00460CDD"/>
    <w:rsid w:val="00460D0E"/>
    <w:rsid w:val="00460FBB"/>
    <w:rsid w:val="00461110"/>
    <w:rsid w:val="0046112D"/>
    <w:rsid w:val="0046119D"/>
    <w:rsid w:val="00461217"/>
    <w:rsid w:val="00461314"/>
    <w:rsid w:val="0046133E"/>
    <w:rsid w:val="00461340"/>
    <w:rsid w:val="004615DD"/>
    <w:rsid w:val="00461673"/>
    <w:rsid w:val="00461681"/>
    <w:rsid w:val="00461717"/>
    <w:rsid w:val="00461752"/>
    <w:rsid w:val="0046178F"/>
    <w:rsid w:val="00461C8B"/>
    <w:rsid w:val="00461F1F"/>
    <w:rsid w:val="00462218"/>
    <w:rsid w:val="00462283"/>
    <w:rsid w:val="0046244D"/>
    <w:rsid w:val="00462510"/>
    <w:rsid w:val="0046253F"/>
    <w:rsid w:val="004625B0"/>
    <w:rsid w:val="00462761"/>
    <w:rsid w:val="004627C5"/>
    <w:rsid w:val="00462AB4"/>
    <w:rsid w:val="00462BEE"/>
    <w:rsid w:val="00462DA3"/>
    <w:rsid w:val="00462E31"/>
    <w:rsid w:val="00462FCB"/>
    <w:rsid w:val="00463174"/>
    <w:rsid w:val="00463219"/>
    <w:rsid w:val="004632B9"/>
    <w:rsid w:val="004633F3"/>
    <w:rsid w:val="00463532"/>
    <w:rsid w:val="00463663"/>
    <w:rsid w:val="00463715"/>
    <w:rsid w:val="0046371D"/>
    <w:rsid w:val="00463732"/>
    <w:rsid w:val="00463988"/>
    <w:rsid w:val="004639DC"/>
    <w:rsid w:val="00463BFB"/>
    <w:rsid w:val="00463C0C"/>
    <w:rsid w:val="00463C98"/>
    <w:rsid w:val="00463DF7"/>
    <w:rsid w:val="00463E00"/>
    <w:rsid w:val="004648C0"/>
    <w:rsid w:val="00464AEB"/>
    <w:rsid w:val="00464C78"/>
    <w:rsid w:val="00464D1A"/>
    <w:rsid w:val="00464E4D"/>
    <w:rsid w:val="00464F8C"/>
    <w:rsid w:val="00465006"/>
    <w:rsid w:val="00465089"/>
    <w:rsid w:val="004650D8"/>
    <w:rsid w:val="0046521E"/>
    <w:rsid w:val="0046526F"/>
    <w:rsid w:val="004652CB"/>
    <w:rsid w:val="004652FB"/>
    <w:rsid w:val="004653D1"/>
    <w:rsid w:val="0046563C"/>
    <w:rsid w:val="004658E3"/>
    <w:rsid w:val="00465912"/>
    <w:rsid w:val="004659EE"/>
    <w:rsid w:val="00465A6F"/>
    <w:rsid w:val="00465DB9"/>
    <w:rsid w:val="00465DE5"/>
    <w:rsid w:val="00465E02"/>
    <w:rsid w:val="0046606B"/>
    <w:rsid w:val="00466177"/>
    <w:rsid w:val="004661D9"/>
    <w:rsid w:val="0046626B"/>
    <w:rsid w:val="004664F6"/>
    <w:rsid w:val="00466544"/>
    <w:rsid w:val="0046662A"/>
    <w:rsid w:val="00466666"/>
    <w:rsid w:val="00466892"/>
    <w:rsid w:val="00466AAE"/>
    <w:rsid w:val="00466AE0"/>
    <w:rsid w:val="00466C71"/>
    <w:rsid w:val="00466D78"/>
    <w:rsid w:val="00466DB1"/>
    <w:rsid w:val="00466E88"/>
    <w:rsid w:val="00466F91"/>
    <w:rsid w:val="00467351"/>
    <w:rsid w:val="00467378"/>
    <w:rsid w:val="004674BD"/>
    <w:rsid w:val="004674CF"/>
    <w:rsid w:val="00467526"/>
    <w:rsid w:val="004675DC"/>
    <w:rsid w:val="00467813"/>
    <w:rsid w:val="00467ADA"/>
    <w:rsid w:val="00467C54"/>
    <w:rsid w:val="00467C79"/>
    <w:rsid w:val="00467F1C"/>
    <w:rsid w:val="00467F6B"/>
    <w:rsid w:val="0047011D"/>
    <w:rsid w:val="004701F9"/>
    <w:rsid w:val="004703AA"/>
    <w:rsid w:val="004703CB"/>
    <w:rsid w:val="0047046D"/>
    <w:rsid w:val="00470600"/>
    <w:rsid w:val="0047080E"/>
    <w:rsid w:val="0047089E"/>
    <w:rsid w:val="0047092D"/>
    <w:rsid w:val="00470ADF"/>
    <w:rsid w:val="00470C38"/>
    <w:rsid w:val="00470CE9"/>
    <w:rsid w:val="00470EBB"/>
    <w:rsid w:val="00470F9F"/>
    <w:rsid w:val="00471029"/>
    <w:rsid w:val="004713B1"/>
    <w:rsid w:val="004713D5"/>
    <w:rsid w:val="0047151A"/>
    <w:rsid w:val="004716BB"/>
    <w:rsid w:val="0047172B"/>
    <w:rsid w:val="0047179D"/>
    <w:rsid w:val="00471D81"/>
    <w:rsid w:val="00471E42"/>
    <w:rsid w:val="00471F07"/>
    <w:rsid w:val="00472049"/>
    <w:rsid w:val="004720C7"/>
    <w:rsid w:val="004721D2"/>
    <w:rsid w:val="00472239"/>
    <w:rsid w:val="00472269"/>
    <w:rsid w:val="004722EA"/>
    <w:rsid w:val="00472403"/>
    <w:rsid w:val="00472417"/>
    <w:rsid w:val="004725A7"/>
    <w:rsid w:val="00472661"/>
    <w:rsid w:val="004729BF"/>
    <w:rsid w:val="00472AA4"/>
    <w:rsid w:val="00472B91"/>
    <w:rsid w:val="00472C9D"/>
    <w:rsid w:val="00472D87"/>
    <w:rsid w:val="00472EEF"/>
    <w:rsid w:val="00473004"/>
    <w:rsid w:val="0047313E"/>
    <w:rsid w:val="00473149"/>
    <w:rsid w:val="004731FB"/>
    <w:rsid w:val="004732DB"/>
    <w:rsid w:val="00473316"/>
    <w:rsid w:val="00473415"/>
    <w:rsid w:val="004737F9"/>
    <w:rsid w:val="004738B4"/>
    <w:rsid w:val="00473946"/>
    <w:rsid w:val="00473A6F"/>
    <w:rsid w:val="00473BA6"/>
    <w:rsid w:val="00473BCF"/>
    <w:rsid w:val="00473E3E"/>
    <w:rsid w:val="00473FD8"/>
    <w:rsid w:val="0047405F"/>
    <w:rsid w:val="0047418F"/>
    <w:rsid w:val="00474290"/>
    <w:rsid w:val="004743B5"/>
    <w:rsid w:val="00474446"/>
    <w:rsid w:val="004744D6"/>
    <w:rsid w:val="0047455E"/>
    <w:rsid w:val="0047459C"/>
    <w:rsid w:val="004746D5"/>
    <w:rsid w:val="004747D8"/>
    <w:rsid w:val="00474953"/>
    <w:rsid w:val="00474B75"/>
    <w:rsid w:val="00474C1B"/>
    <w:rsid w:val="00474CD5"/>
    <w:rsid w:val="0047510A"/>
    <w:rsid w:val="0047527C"/>
    <w:rsid w:val="004753A7"/>
    <w:rsid w:val="00475459"/>
    <w:rsid w:val="00475753"/>
    <w:rsid w:val="00475885"/>
    <w:rsid w:val="00475936"/>
    <w:rsid w:val="0047598E"/>
    <w:rsid w:val="00475A3B"/>
    <w:rsid w:val="00475CB9"/>
    <w:rsid w:val="00475DFF"/>
    <w:rsid w:val="00475E39"/>
    <w:rsid w:val="00475FDF"/>
    <w:rsid w:val="00476220"/>
    <w:rsid w:val="004763C4"/>
    <w:rsid w:val="00476425"/>
    <w:rsid w:val="00476489"/>
    <w:rsid w:val="00476597"/>
    <w:rsid w:val="0047668E"/>
    <w:rsid w:val="00476756"/>
    <w:rsid w:val="0047683E"/>
    <w:rsid w:val="004769CF"/>
    <w:rsid w:val="00476A27"/>
    <w:rsid w:val="00476B27"/>
    <w:rsid w:val="00476BE6"/>
    <w:rsid w:val="00476C67"/>
    <w:rsid w:val="00476D24"/>
    <w:rsid w:val="00476ED0"/>
    <w:rsid w:val="00476FC7"/>
    <w:rsid w:val="00476FE2"/>
    <w:rsid w:val="004770CE"/>
    <w:rsid w:val="004770E1"/>
    <w:rsid w:val="00477223"/>
    <w:rsid w:val="0047736C"/>
    <w:rsid w:val="00477582"/>
    <w:rsid w:val="004776D2"/>
    <w:rsid w:val="00477960"/>
    <w:rsid w:val="004779CF"/>
    <w:rsid w:val="00477A98"/>
    <w:rsid w:val="00477B0A"/>
    <w:rsid w:val="00477F81"/>
    <w:rsid w:val="0048005B"/>
    <w:rsid w:val="004800C0"/>
    <w:rsid w:val="004800D3"/>
    <w:rsid w:val="004800DF"/>
    <w:rsid w:val="004800E6"/>
    <w:rsid w:val="00480207"/>
    <w:rsid w:val="0048022E"/>
    <w:rsid w:val="0048080F"/>
    <w:rsid w:val="0048084C"/>
    <w:rsid w:val="004809A7"/>
    <w:rsid w:val="00480A1E"/>
    <w:rsid w:val="00480AF4"/>
    <w:rsid w:val="00480B57"/>
    <w:rsid w:val="00480D36"/>
    <w:rsid w:val="00480D56"/>
    <w:rsid w:val="00480D99"/>
    <w:rsid w:val="00480E83"/>
    <w:rsid w:val="00481156"/>
    <w:rsid w:val="0048155F"/>
    <w:rsid w:val="004816A4"/>
    <w:rsid w:val="00481783"/>
    <w:rsid w:val="00481837"/>
    <w:rsid w:val="0048187F"/>
    <w:rsid w:val="004819B9"/>
    <w:rsid w:val="004819CF"/>
    <w:rsid w:val="004819EA"/>
    <w:rsid w:val="00481B5E"/>
    <w:rsid w:val="00481D8A"/>
    <w:rsid w:val="00481DB4"/>
    <w:rsid w:val="00481E07"/>
    <w:rsid w:val="00482081"/>
    <w:rsid w:val="00482377"/>
    <w:rsid w:val="00482510"/>
    <w:rsid w:val="00482515"/>
    <w:rsid w:val="00482563"/>
    <w:rsid w:val="00482592"/>
    <w:rsid w:val="004825C2"/>
    <w:rsid w:val="0048267F"/>
    <w:rsid w:val="00482827"/>
    <w:rsid w:val="00482854"/>
    <w:rsid w:val="004828F7"/>
    <w:rsid w:val="00482D58"/>
    <w:rsid w:val="00482E10"/>
    <w:rsid w:val="00482E2F"/>
    <w:rsid w:val="00482EC8"/>
    <w:rsid w:val="00482FF1"/>
    <w:rsid w:val="00483028"/>
    <w:rsid w:val="0048307E"/>
    <w:rsid w:val="0048311C"/>
    <w:rsid w:val="004832C4"/>
    <w:rsid w:val="004832C7"/>
    <w:rsid w:val="0048355B"/>
    <w:rsid w:val="00483657"/>
    <w:rsid w:val="00483674"/>
    <w:rsid w:val="00483783"/>
    <w:rsid w:val="0048379E"/>
    <w:rsid w:val="00483824"/>
    <w:rsid w:val="0048383B"/>
    <w:rsid w:val="004838CA"/>
    <w:rsid w:val="004839C0"/>
    <w:rsid w:val="00483B5B"/>
    <w:rsid w:val="00483BCE"/>
    <w:rsid w:val="00483D90"/>
    <w:rsid w:val="00483DE3"/>
    <w:rsid w:val="00483F94"/>
    <w:rsid w:val="00483FB0"/>
    <w:rsid w:val="00483FC6"/>
    <w:rsid w:val="00484090"/>
    <w:rsid w:val="004840D4"/>
    <w:rsid w:val="004840F7"/>
    <w:rsid w:val="00484183"/>
    <w:rsid w:val="004841A6"/>
    <w:rsid w:val="004842EF"/>
    <w:rsid w:val="004844FF"/>
    <w:rsid w:val="00484522"/>
    <w:rsid w:val="00484568"/>
    <w:rsid w:val="00484A5F"/>
    <w:rsid w:val="00484BD2"/>
    <w:rsid w:val="00484D0D"/>
    <w:rsid w:val="00484D55"/>
    <w:rsid w:val="00484D77"/>
    <w:rsid w:val="00484F37"/>
    <w:rsid w:val="00484F88"/>
    <w:rsid w:val="00485583"/>
    <w:rsid w:val="0048572E"/>
    <w:rsid w:val="00485959"/>
    <w:rsid w:val="00485991"/>
    <w:rsid w:val="00485CEF"/>
    <w:rsid w:val="00485F4E"/>
    <w:rsid w:val="00485F80"/>
    <w:rsid w:val="0048604B"/>
    <w:rsid w:val="004861EC"/>
    <w:rsid w:val="004865E9"/>
    <w:rsid w:val="004865F7"/>
    <w:rsid w:val="004866CF"/>
    <w:rsid w:val="00486915"/>
    <w:rsid w:val="00486941"/>
    <w:rsid w:val="00486994"/>
    <w:rsid w:val="00486A47"/>
    <w:rsid w:val="00486A6A"/>
    <w:rsid w:val="00486AEF"/>
    <w:rsid w:val="00486BCD"/>
    <w:rsid w:val="00486C5E"/>
    <w:rsid w:val="00486CA7"/>
    <w:rsid w:val="00486CE7"/>
    <w:rsid w:val="00486D6B"/>
    <w:rsid w:val="00486D6F"/>
    <w:rsid w:val="00486DB9"/>
    <w:rsid w:val="0048712A"/>
    <w:rsid w:val="0048733D"/>
    <w:rsid w:val="00487595"/>
    <w:rsid w:val="004877C6"/>
    <w:rsid w:val="004877EC"/>
    <w:rsid w:val="00487999"/>
    <w:rsid w:val="004879A3"/>
    <w:rsid w:val="00487A02"/>
    <w:rsid w:val="00487A30"/>
    <w:rsid w:val="00487B46"/>
    <w:rsid w:val="00487CF6"/>
    <w:rsid w:val="00487D1C"/>
    <w:rsid w:val="00487DDD"/>
    <w:rsid w:val="00487DE7"/>
    <w:rsid w:val="00487FAC"/>
    <w:rsid w:val="00490024"/>
    <w:rsid w:val="0049016D"/>
    <w:rsid w:val="00490248"/>
    <w:rsid w:val="00490B49"/>
    <w:rsid w:val="00490BBD"/>
    <w:rsid w:val="00490C39"/>
    <w:rsid w:val="00490D98"/>
    <w:rsid w:val="00490ED4"/>
    <w:rsid w:val="00490F91"/>
    <w:rsid w:val="0049122B"/>
    <w:rsid w:val="0049127B"/>
    <w:rsid w:val="00491322"/>
    <w:rsid w:val="00491586"/>
    <w:rsid w:val="004917D0"/>
    <w:rsid w:val="004917F2"/>
    <w:rsid w:val="00491880"/>
    <w:rsid w:val="00491BAC"/>
    <w:rsid w:val="00491E9C"/>
    <w:rsid w:val="004920C1"/>
    <w:rsid w:val="004921FF"/>
    <w:rsid w:val="00492575"/>
    <w:rsid w:val="004927D3"/>
    <w:rsid w:val="00492A24"/>
    <w:rsid w:val="00492BBE"/>
    <w:rsid w:val="00492D2C"/>
    <w:rsid w:val="00492E67"/>
    <w:rsid w:val="00492E97"/>
    <w:rsid w:val="00492EA4"/>
    <w:rsid w:val="00492F00"/>
    <w:rsid w:val="00492F40"/>
    <w:rsid w:val="00493027"/>
    <w:rsid w:val="0049302A"/>
    <w:rsid w:val="00493032"/>
    <w:rsid w:val="00493171"/>
    <w:rsid w:val="00493208"/>
    <w:rsid w:val="004933F1"/>
    <w:rsid w:val="00493476"/>
    <w:rsid w:val="00493602"/>
    <w:rsid w:val="00493654"/>
    <w:rsid w:val="004936A7"/>
    <w:rsid w:val="004937C0"/>
    <w:rsid w:val="00493981"/>
    <w:rsid w:val="00493B76"/>
    <w:rsid w:val="00493D0A"/>
    <w:rsid w:val="00493DA7"/>
    <w:rsid w:val="00493ED5"/>
    <w:rsid w:val="00493F6E"/>
    <w:rsid w:val="00493FCC"/>
    <w:rsid w:val="00494374"/>
    <w:rsid w:val="0049494C"/>
    <w:rsid w:val="00494996"/>
    <w:rsid w:val="00494AC5"/>
    <w:rsid w:val="00494B27"/>
    <w:rsid w:val="00494BC1"/>
    <w:rsid w:val="00494BFB"/>
    <w:rsid w:val="00494D6E"/>
    <w:rsid w:val="00495091"/>
    <w:rsid w:val="004951B2"/>
    <w:rsid w:val="00495237"/>
    <w:rsid w:val="00495308"/>
    <w:rsid w:val="0049534B"/>
    <w:rsid w:val="004954F5"/>
    <w:rsid w:val="0049551B"/>
    <w:rsid w:val="00495573"/>
    <w:rsid w:val="004955B5"/>
    <w:rsid w:val="004956B2"/>
    <w:rsid w:val="004956C3"/>
    <w:rsid w:val="00495740"/>
    <w:rsid w:val="00495988"/>
    <w:rsid w:val="00495B42"/>
    <w:rsid w:val="00495BF0"/>
    <w:rsid w:val="00495C06"/>
    <w:rsid w:val="00495C47"/>
    <w:rsid w:val="00495CBB"/>
    <w:rsid w:val="00495D77"/>
    <w:rsid w:val="00495F50"/>
    <w:rsid w:val="00495FBD"/>
    <w:rsid w:val="0049602C"/>
    <w:rsid w:val="00496123"/>
    <w:rsid w:val="004961D7"/>
    <w:rsid w:val="004961F8"/>
    <w:rsid w:val="0049625E"/>
    <w:rsid w:val="004963B8"/>
    <w:rsid w:val="004964AB"/>
    <w:rsid w:val="00496725"/>
    <w:rsid w:val="0049693A"/>
    <w:rsid w:val="0049694E"/>
    <w:rsid w:val="00496A79"/>
    <w:rsid w:val="00496BA7"/>
    <w:rsid w:val="0049705C"/>
    <w:rsid w:val="00497192"/>
    <w:rsid w:val="0049726F"/>
    <w:rsid w:val="0049728E"/>
    <w:rsid w:val="004972F5"/>
    <w:rsid w:val="00497315"/>
    <w:rsid w:val="00497582"/>
    <w:rsid w:val="0049770C"/>
    <w:rsid w:val="0049783C"/>
    <w:rsid w:val="0049799B"/>
    <w:rsid w:val="00497A27"/>
    <w:rsid w:val="00497B1E"/>
    <w:rsid w:val="00497E49"/>
    <w:rsid w:val="00497E93"/>
    <w:rsid w:val="00497EB2"/>
    <w:rsid w:val="004A000A"/>
    <w:rsid w:val="004A00F2"/>
    <w:rsid w:val="004A00F7"/>
    <w:rsid w:val="004A01E5"/>
    <w:rsid w:val="004A0256"/>
    <w:rsid w:val="004A0318"/>
    <w:rsid w:val="004A0403"/>
    <w:rsid w:val="004A0500"/>
    <w:rsid w:val="004A0631"/>
    <w:rsid w:val="004A0762"/>
    <w:rsid w:val="004A0836"/>
    <w:rsid w:val="004A0929"/>
    <w:rsid w:val="004A0C80"/>
    <w:rsid w:val="004A0D66"/>
    <w:rsid w:val="004A0F09"/>
    <w:rsid w:val="004A0F54"/>
    <w:rsid w:val="004A101D"/>
    <w:rsid w:val="004A10AF"/>
    <w:rsid w:val="004A120C"/>
    <w:rsid w:val="004A12A3"/>
    <w:rsid w:val="004A158D"/>
    <w:rsid w:val="004A1776"/>
    <w:rsid w:val="004A1785"/>
    <w:rsid w:val="004A1821"/>
    <w:rsid w:val="004A1897"/>
    <w:rsid w:val="004A198F"/>
    <w:rsid w:val="004A1AAE"/>
    <w:rsid w:val="004A1B26"/>
    <w:rsid w:val="004A1C23"/>
    <w:rsid w:val="004A1C34"/>
    <w:rsid w:val="004A1D95"/>
    <w:rsid w:val="004A1F3F"/>
    <w:rsid w:val="004A235A"/>
    <w:rsid w:val="004A23F1"/>
    <w:rsid w:val="004A23F5"/>
    <w:rsid w:val="004A25B6"/>
    <w:rsid w:val="004A275B"/>
    <w:rsid w:val="004A2815"/>
    <w:rsid w:val="004A2A3F"/>
    <w:rsid w:val="004A2C7C"/>
    <w:rsid w:val="004A2F8D"/>
    <w:rsid w:val="004A316B"/>
    <w:rsid w:val="004A34B2"/>
    <w:rsid w:val="004A35F5"/>
    <w:rsid w:val="004A3AF7"/>
    <w:rsid w:val="004A3BE5"/>
    <w:rsid w:val="004A3C82"/>
    <w:rsid w:val="004A417F"/>
    <w:rsid w:val="004A423C"/>
    <w:rsid w:val="004A43E3"/>
    <w:rsid w:val="004A4410"/>
    <w:rsid w:val="004A46BC"/>
    <w:rsid w:val="004A46CE"/>
    <w:rsid w:val="004A46F5"/>
    <w:rsid w:val="004A47CB"/>
    <w:rsid w:val="004A481C"/>
    <w:rsid w:val="004A4820"/>
    <w:rsid w:val="004A4A41"/>
    <w:rsid w:val="004A4A5D"/>
    <w:rsid w:val="004A4A6F"/>
    <w:rsid w:val="004A4AC7"/>
    <w:rsid w:val="004A4C21"/>
    <w:rsid w:val="004A4CCF"/>
    <w:rsid w:val="004A4D6C"/>
    <w:rsid w:val="004A4E14"/>
    <w:rsid w:val="004A4EAA"/>
    <w:rsid w:val="004A4F53"/>
    <w:rsid w:val="004A533F"/>
    <w:rsid w:val="004A55A4"/>
    <w:rsid w:val="004A5914"/>
    <w:rsid w:val="004A5A5D"/>
    <w:rsid w:val="004A5AAC"/>
    <w:rsid w:val="004A5ABF"/>
    <w:rsid w:val="004A5CA5"/>
    <w:rsid w:val="004A5D11"/>
    <w:rsid w:val="004A5D19"/>
    <w:rsid w:val="004A5D81"/>
    <w:rsid w:val="004A5DC7"/>
    <w:rsid w:val="004A608B"/>
    <w:rsid w:val="004A614C"/>
    <w:rsid w:val="004A64C8"/>
    <w:rsid w:val="004A6602"/>
    <w:rsid w:val="004A689A"/>
    <w:rsid w:val="004A68F7"/>
    <w:rsid w:val="004A69FA"/>
    <w:rsid w:val="004A6A94"/>
    <w:rsid w:val="004A6B09"/>
    <w:rsid w:val="004A6CC9"/>
    <w:rsid w:val="004A6E2B"/>
    <w:rsid w:val="004A6E36"/>
    <w:rsid w:val="004A6E3F"/>
    <w:rsid w:val="004A6E74"/>
    <w:rsid w:val="004A6F61"/>
    <w:rsid w:val="004A7028"/>
    <w:rsid w:val="004A7052"/>
    <w:rsid w:val="004A7399"/>
    <w:rsid w:val="004A759A"/>
    <w:rsid w:val="004A77B0"/>
    <w:rsid w:val="004A77C9"/>
    <w:rsid w:val="004A77EE"/>
    <w:rsid w:val="004A797D"/>
    <w:rsid w:val="004A7BCF"/>
    <w:rsid w:val="004A7D85"/>
    <w:rsid w:val="004B00B0"/>
    <w:rsid w:val="004B00D5"/>
    <w:rsid w:val="004B00D9"/>
    <w:rsid w:val="004B00DA"/>
    <w:rsid w:val="004B017D"/>
    <w:rsid w:val="004B01AC"/>
    <w:rsid w:val="004B0222"/>
    <w:rsid w:val="004B022E"/>
    <w:rsid w:val="004B0340"/>
    <w:rsid w:val="004B038C"/>
    <w:rsid w:val="004B03A1"/>
    <w:rsid w:val="004B074F"/>
    <w:rsid w:val="004B0870"/>
    <w:rsid w:val="004B09CE"/>
    <w:rsid w:val="004B0B50"/>
    <w:rsid w:val="004B0CC3"/>
    <w:rsid w:val="004B0D6F"/>
    <w:rsid w:val="004B0D90"/>
    <w:rsid w:val="004B0F2D"/>
    <w:rsid w:val="004B0FAC"/>
    <w:rsid w:val="004B1176"/>
    <w:rsid w:val="004B1307"/>
    <w:rsid w:val="004B13A2"/>
    <w:rsid w:val="004B1654"/>
    <w:rsid w:val="004B170D"/>
    <w:rsid w:val="004B184F"/>
    <w:rsid w:val="004B1B0B"/>
    <w:rsid w:val="004B1B28"/>
    <w:rsid w:val="004B1C9C"/>
    <w:rsid w:val="004B2004"/>
    <w:rsid w:val="004B2027"/>
    <w:rsid w:val="004B281B"/>
    <w:rsid w:val="004B2848"/>
    <w:rsid w:val="004B2B4B"/>
    <w:rsid w:val="004B2BBF"/>
    <w:rsid w:val="004B2C1E"/>
    <w:rsid w:val="004B2CEC"/>
    <w:rsid w:val="004B2DD0"/>
    <w:rsid w:val="004B2E60"/>
    <w:rsid w:val="004B3191"/>
    <w:rsid w:val="004B326F"/>
    <w:rsid w:val="004B3297"/>
    <w:rsid w:val="004B32B4"/>
    <w:rsid w:val="004B35E0"/>
    <w:rsid w:val="004B364A"/>
    <w:rsid w:val="004B364C"/>
    <w:rsid w:val="004B3745"/>
    <w:rsid w:val="004B38F4"/>
    <w:rsid w:val="004B3967"/>
    <w:rsid w:val="004B399F"/>
    <w:rsid w:val="004B3A27"/>
    <w:rsid w:val="004B3A2D"/>
    <w:rsid w:val="004B3BE5"/>
    <w:rsid w:val="004B3DCF"/>
    <w:rsid w:val="004B3E78"/>
    <w:rsid w:val="004B3E7D"/>
    <w:rsid w:val="004B3EC5"/>
    <w:rsid w:val="004B3F9B"/>
    <w:rsid w:val="004B3FB7"/>
    <w:rsid w:val="004B402E"/>
    <w:rsid w:val="004B416A"/>
    <w:rsid w:val="004B4183"/>
    <w:rsid w:val="004B4296"/>
    <w:rsid w:val="004B42B4"/>
    <w:rsid w:val="004B42DE"/>
    <w:rsid w:val="004B4391"/>
    <w:rsid w:val="004B4473"/>
    <w:rsid w:val="004B45DD"/>
    <w:rsid w:val="004B4891"/>
    <w:rsid w:val="004B4D5C"/>
    <w:rsid w:val="004B4D6F"/>
    <w:rsid w:val="004B4F44"/>
    <w:rsid w:val="004B522D"/>
    <w:rsid w:val="004B528A"/>
    <w:rsid w:val="004B53A5"/>
    <w:rsid w:val="004B53D0"/>
    <w:rsid w:val="004B53DB"/>
    <w:rsid w:val="004B560B"/>
    <w:rsid w:val="004B56CD"/>
    <w:rsid w:val="004B588B"/>
    <w:rsid w:val="004B5B42"/>
    <w:rsid w:val="004B5C87"/>
    <w:rsid w:val="004B5C9B"/>
    <w:rsid w:val="004B5E27"/>
    <w:rsid w:val="004B5FBC"/>
    <w:rsid w:val="004B5FEE"/>
    <w:rsid w:val="004B6135"/>
    <w:rsid w:val="004B6267"/>
    <w:rsid w:val="004B6384"/>
    <w:rsid w:val="004B6394"/>
    <w:rsid w:val="004B6399"/>
    <w:rsid w:val="004B6426"/>
    <w:rsid w:val="004B64FF"/>
    <w:rsid w:val="004B6719"/>
    <w:rsid w:val="004B6734"/>
    <w:rsid w:val="004B67AC"/>
    <w:rsid w:val="004B6823"/>
    <w:rsid w:val="004B6865"/>
    <w:rsid w:val="004B6A5C"/>
    <w:rsid w:val="004B6B3E"/>
    <w:rsid w:val="004B6BFD"/>
    <w:rsid w:val="004B6C8E"/>
    <w:rsid w:val="004B6EDC"/>
    <w:rsid w:val="004B70C1"/>
    <w:rsid w:val="004B71C3"/>
    <w:rsid w:val="004B7255"/>
    <w:rsid w:val="004B7264"/>
    <w:rsid w:val="004B7266"/>
    <w:rsid w:val="004B7360"/>
    <w:rsid w:val="004B736C"/>
    <w:rsid w:val="004B73C7"/>
    <w:rsid w:val="004B75DE"/>
    <w:rsid w:val="004B7650"/>
    <w:rsid w:val="004B7816"/>
    <w:rsid w:val="004B783E"/>
    <w:rsid w:val="004B785C"/>
    <w:rsid w:val="004B78B9"/>
    <w:rsid w:val="004B7912"/>
    <w:rsid w:val="004B7ADB"/>
    <w:rsid w:val="004B7C90"/>
    <w:rsid w:val="004B7D2D"/>
    <w:rsid w:val="004B7E7C"/>
    <w:rsid w:val="004B7F3E"/>
    <w:rsid w:val="004C0037"/>
    <w:rsid w:val="004C00D7"/>
    <w:rsid w:val="004C020D"/>
    <w:rsid w:val="004C0223"/>
    <w:rsid w:val="004C027A"/>
    <w:rsid w:val="004C0716"/>
    <w:rsid w:val="004C0758"/>
    <w:rsid w:val="004C0917"/>
    <w:rsid w:val="004C0C3C"/>
    <w:rsid w:val="004C0CE6"/>
    <w:rsid w:val="004C0D1F"/>
    <w:rsid w:val="004C0D51"/>
    <w:rsid w:val="004C0DDD"/>
    <w:rsid w:val="004C0F0F"/>
    <w:rsid w:val="004C0F8C"/>
    <w:rsid w:val="004C0FD1"/>
    <w:rsid w:val="004C1154"/>
    <w:rsid w:val="004C1170"/>
    <w:rsid w:val="004C11EB"/>
    <w:rsid w:val="004C1217"/>
    <w:rsid w:val="004C1313"/>
    <w:rsid w:val="004C13C7"/>
    <w:rsid w:val="004C165C"/>
    <w:rsid w:val="004C1A24"/>
    <w:rsid w:val="004C1BE4"/>
    <w:rsid w:val="004C1C70"/>
    <w:rsid w:val="004C1DE7"/>
    <w:rsid w:val="004C1E65"/>
    <w:rsid w:val="004C214B"/>
    <w:rsid w:val="004C216D"/>
    <w:rsid w:val="004C2273"/>
    <w:rsid w:val="004C2281"/>
    <w:rsid w:val="004C254B"/>
    <w:rsid w:val="004C2598"/>
    <w:rsid w:val="004C270A"/>
    <w:rsid w:val="004C2A48"/>
    <w:rsid w:val="004C2EE1"/>
    <w:rsid w:val="004C2F29"/>
    <w:rsid w:val="004C2F4A"/>
    <w:rsid w:val="004C2F63"/>
    <w:rsid w:val="004C3245"/>
    <w:rsid w:val="004C32AC"/>
    <w:rsid w:val="004C3335"/>
    <w:rsid w:val="004C33F4"/>
    <w:rsid w:val="004C3748"/>
    <w:rsid w:val="004C384D"/>
    <w:rsid w:val="004C39B9"/>
    <w:rsid w:val="004C39E3"/>
    <w:rsid w:val="004C3D3A"/>
    <w:rsid w:val="004C3D9B"/>
    <w:rsid w:val="004C3E30"/>
    <w:rsid w:val="004C3EE5"/>
    <w:rsid w:val="004C3F43"/>
    <w:rsid w:val="004C3F78"/>
    <w:rsid w:val="004C401E"/>
    <w:rsid w:val="004C4113"/>
    <w:rsid w:val="004C4456"/>
    <w:rsid w:val="004C4564"/>
    <w:rsid w:val="004C45C6"/>
    <w:rsid w:val="004C485F"/>
    <w:rsid w:val="004C4C86"/>
    <w:rsid w:val="004C4E49"/>
    <w:rsid w:val="004C4EA3"/>
    <w:rsid w:val="004C514F"/>
    <w:rsid w:val="004C546D"/>
    <w:rsid w:val="004C5551"/>
    <w:rsid w:val="004C55F1"/>
    <w:rsid w:val="004C56EB"/>
    <w:rsid w:val="004C56F2"/>
    <w:rsid w:val="004C571C"/>
    <w:rsid w:val="004C5835"/>
    <w:rsid w:val="004C5878"/>
    <w:rsid w:val="004C5896"/>
    <w:rsid w:val="004C58D9"/>
    <w:rsid w:val="004C5A96"/>
    <w:rsid w:val="004C5ABD"/>
    <w:rsid w:val="004C5BDE"/>
    <w:rsid w:val="004C5C59"/>
    <w:rsid w:val="004C5E14"/>
    <w:rsid w:val="004C5EE6"/>
    <w:rsid w:val="004C5F45"/>
    <w:rsid w:val="004C6397"/>
    <w:rsid w:val="004C65B8"/>
    <w:rsid w:val="004C671D"/>
    <w:rsid w:val="004C67E3"/>
    <w:rsid w:val="004C68F1"/>
    <w:rsid w:val="004C6925"/>
    <w:rsid w:val="004C694C"/>
    <w:rsid w:val="004C69AA"/>
    <w:rsid w:val="004C69CA"/>
    <w:rsid w:val="004C69D3"/>
    <w:rsid w:val="004C6A35"/>
    <w:rsid w:val="004C6B83"/>
    <w:rsid w:val="004C6BCB"/>
    <w:rsid w:val="004C6C6F"/>
    <w:rsid w:val="004C6E67"/>
    <w:rsid w:val="004C6ECE"/>
    <w:rsid w:val="004C6EF4"/>
    <w:rsid w:val="004C706A"/>
    <w:rsid w:val="004C70FB"/>
    <w:rsid w:val="004C73D8"/>
    <w:rsid w:val="004C7557"/>
    <w:rsid w:val="004C7794"/>
    <w:rsid w:val="004C77BF"/>
    <w:rsid w:val="004C798A"/>
    <w:rsid w:val="004C7A43"/>
    <w:rsid w:val="004C7B20"/>
    <w:rsid w:val="004C7B4E"/>
    <w:rsid w:val="004C7B7A"/>
    <w:rsid w:val="004C7CCF"/>
    <w:rsid w:val="004C7ECF"/>
    <w:rsid w:val="004C7EDB"/>
    <w:rsid w:val="004C7F08"/>
    <w:rsid w:val="004C7F5A"/>
    <w:rsid w:val="004C7FAF"/>
    <w:rsid w:val="004D00DB"/>
    <w:rsid w:val="004D03C9"/>
    <w:rsid w:val="004D0427"/>
    <w:rsid w:val="004D0726"/>
    <w:rsid w:val="004D0B60"/>
    <w:rsid w:val="004D0C05"/>
    <w:rsid w:val="004D0F50"/>
    <w:rsid w:val="004D10B5"/>
    <w:rsid w:val="004D11D0"/>
    <w:rsid w:val="004D1324"/>
    <w:rsid w:val="004D1367"/>
    <w:rsid w:val="004D13CD"/>
    <w:rsid w:val="004D160D"/>
    <w:rsid w:val="004D17A0"/>
    <w:rsid w:val="004D1A6C"/>
    <w:rsid w:val="004D1B3B"/>
    <w:rsid w:val="004D1BA9"/>
    <w:rsid w:val="004D1C91"/>
    <w:rsid w:val="004D1D8B"/>
    <w:rsid w:val="004D1DE9"/>
    <w:rsid w:val="004D1E24"/>
    <w:rsid w:val="004D1E6E"/>
    <w:rsid w:val="004D2233"/>
    <w:rsid w:val="004D22D3"/>
    <w:rsid w:val="004D2353"/>
    <w:rsid w:val="004D23CE"/>
    <w:rsid w:val="004D2BEE"/>
    <w:rsid w:val="004D2C81"/>
    <w:rsid w:val="004D2D94"/>
    <w:rsid w:val="004D2E9F"/>
    <w:rsid w:val="004D2F99"/>
    <w:rsid w:val="004D2FAC"/>
    <w:rsid w:val="004D3390"/>
    <w:rsid w:val="004D3430"/>
    <w:rsid w:val="004D343A"/>
    <w:rsid w:val="004D3635"/>
    <w:rsid w:val="004D3784"/>
    <w:rsid w:val="004D3800"/>
    <w:rsid w:val="004D3809"/>
    <w:rsid w:val="004D395C"/>
    <w:rsid w:val="004D3985"/>
    <w:rsid w:val="004D3A9C"/>
    <w:rsid w:val="004D3ED3"/>
    <w:rsid w:val="004D3EEE"/>
    <w:rsid w:val="004D401F"/>
    <w:rsid w:val="004D43B7"/>
    <w:rsid w:val="004D44C1"/>
    <w:rsid w:val="004D451B"/>
    <w:rsid w:val="004D45F2"/>
    <w:rsid w:val="004D46F9"/>
    <w:rsid w:val="004D4859"/>
    <w:rsid w:val="004D4AE5"/>
    <w:rsid w:val="004D4B16"/>
    <w:rsid w:val="004D4B21"/>
    <w:rsid w:val="004D4C62"/>
    <w:rsid w:val="004D4CB1"/>
    <w:rsid w:val="004D4D06"/>
    <w:rsid w:val="004D4D1A"/>
    <w:rsid w:val="004D4D1C"/>
    <w:rsid w:val="004D4D37"/>
    <w:rsid w:val="004D4F1E"/>
    <w:rsid w:val="004D5526"/>
    <w:rsid w:val="004D56E9"/>
    <w:rsid w:val="004D5721"/>
    <w:rsid w:val="004D5734"/>
    <w:rsid w:val="004D576A"/>
    <w:rsid w:val="004D57A9"/>
    <w:rsid w:val="004D58FF"/>
    <w:rsid w:val="004D5918"/>
    <w:rsid w:val="004D5A85"/>
    <w:rsid w:val="004D5A9E"/>
    <w:rsid w:val="004D5BBA"/>
    <w:rsid w:val="004D5BFD"/>
    <w:rsid w:val="004D5C34"/>
    <w:rsid w:val="004D5CCC"/>
    <w:rsid w:val="004D5CFE"/>
    <w:rsid w:val="004D5DAA"/>
    <w:rsid w:val="004D5DCB"/>
    <w:rsid w:val="004D6017"/>
    <w:rsid w:val="004D606E"/>
    <w:rsid w:val="004D6144"/>
    <w:rsid w:val="004D6179"/>
    <w:rsid w:val="004D61C8"/>
    <w:rsid w:val="004D62B8"/>
    <w:rsid w:val="004D63D9"/>
    <w:rsid w:val="004D64AE"/>
    <w:rsid w:val="004D66D6"/>
    <w:rsid w:val="004D671C"/>
    <w:rsid w:val="004D676C"/>
    <w:rsid w:val="004D688F"/>
    <w:rsid w:val="004D6B96"/>
    <w:rsid w:val="004D6C92"/>
    <w:rsid w:val="004D6D7F"/>
    <w:rsid w:val="004D6D97"/>
    <w:rsid w:val="004D6ED2"/>
    <w:rsid w:val="004D6F77"/>
    <w:rsid w:val="004D6FFB"/>
    <w:rsid w:val="004D703A"/>
    <w:rsid w:val="004D70C7"/>
    <w:rsid w:val="004D7269"/>
    <w:rsid w:val="004D738E"/>
    <w:rsid w:val="004D748B"/>
    <w:rsid w:val="004D7575"/>
    <w:rsid w:val="004D761D"/>
    <w:rsid w:val="004D7759"/>
    <w:rsid w:val="004D78DD"/>
    <w:rsid w:val="004D7924"/>
    <w:rsid w:val="004D795A"/>
    <w:rsid w:val="004D7B10"/>
    <w:rsid w:val="004D7B66"/>
    <w:rsid w:val="004D7C98"/>
    <w:rsid w:val="004D7D7E"/>
    <w:rsid w:val="004D7DD8"/>
    <w:rsid w:val="004D7E99"/>
    <w:rsid w:val="004D7F0D"/>
    <w:rsid w:val="004E0233"/>
    <w:rsid w:val="004E031F"/>
    <w:rsid w:val="004E037E"/>
    <w:rsid w:val="004E0491"/>
    <w:rsid w:val="004E04AB"/>
    <w:rsid w:val="004E04C1"/>
    <w:rsid w:val="004E060A"/>
    <w:rsid w:val="004E060C"/>
    <w:rsid w:val="004E064C"/>
    <w:rsid w:val="004E068C"/>
    <w:rsid w:val="004E071D"/>
    <w:rsid w:val="004E07E6"/>
    <w:rsid w:val="004E08AE"/>
    <w:rsid w:val="004E0B0E"/>
    <w:rsid w:val="004E0B2F"/>
    <w:rsid w:val="004E0B3D"/>
    <w:rsid w:val="004E0C8A"/>
    <w:rsid w:val="004E0CA9"/>
    <w:rsid w:val="004E0DDC"/>
    <w:rsid w:val="004E0ED0"/>
    <w:rsid w:val="004E0EF8"/>
    <w:rsid w:val="004E1188"/>
    <w:rsid w:val="004E1304"/>
    <w:rsid w:val="004E164C"/>
    <w:rsid w:val="004E19E1"/>
    <w:rsid w:val="004E19EC"/>
    <w:rsid w:val="004E1AFC"/>
    <w:rsid w:val="004E1BB5"/>
    <w:rsid w:val="004E1BC9"/>
    <w:rsid w:val="004E1C3D"/>
    <w:rsid w:val="004E1E83"/>
    <w:rsid w:val="004E2266"/>
    <w:rsid w:val="004E23DE"/>
    <w:rsid w:val="004E23F1"/>
    <w:rsid w:val="004E25DE"/>
    <w:rsid w:val="004E25E9"/>
    <w:rsid w:val="004E2636"/>
    <w:rsid w:val="004E2797"/>
    <w:rsid w:val="004E295A"/>
    <w:rsid w:val="004E2A22"/>
    <w:rsid w:val="004E2A6C"/>
    <w:rsid w:val="004E2AD5"/>
    <w:rsid w:val="004E2C73"/>
    <w:rsid w:val="004E2D0C"/>
    <w:rsid w:val="004E2DB2"/>
    <w:rsid w:val="004E2E1A"/>
    <w:rsid w:val="004E2E6A"/>
    <w:rsid w:val="004E2F00"/>
    <w:rsid w:val="004E2F72"/>
    <w:rsid w:val="004E3078"/>
    <w:rsid w:val="004E3089"/>
    <w:rsid w:val="004E30B7"/>
    <w:rsid w:val="004E3502"/>
    <w:rsid w:val="004E3511"/>
    <w:rsid w:val="004E3530"/>
    <w:rsid w:val="004E375F"/>
    <w:rsid w:val="004E382C"/>
    <w:rsid w:val="004E38CC"/>
    <w:rsid w:val="004E3CE5"/>
    <w:rsid w:val="004E3E80"/>
    <w:rsid w:val="004E4021"/>
    <w:rsid w:val="004E40C2"/>
    <w:rsid w:val="004E4183"/>
    <w:rsid w:val="004E429A"/>
    <w:rsid w:val="004E4347"/>
    <w:rsid w:val="004E43C2"/>
    <w:rsid w:val="004E4466"/>
    <w:rsid w:val="004E4737"/>
    <w:rsid w:val="004E47A4"/>
    <w:rsid w:val="004E4859"/>
    <w:rsid w:val="004E48F2"/>
    <w:rsid w:val="004E4999"/>
    <w:rsid w:val="004E4A60"/>
    <w:rsid w:val="004E4B38"/>
    <w:rsid w:val="004E4B5D"/>
    <w:rsid w:val="004E4B70"/>
    <w:rsid w:val="004E4CDF"/>
    <w:rsid w:val="004E4E1A"/>
    <w:rsid w:val="004E4FB9"/>
    <w:rsid w:val="004E50DC"/>
    <w:rsid w:val="004E50F7"/>
    <w:rsid w:val="004E5286"/>
    <w:rsid w:val="004E5372"/>
    <w:rsid w:val="004E5501"/>
    <w:rsid w:val="004E574F"/>
    <w:rsid w:val="004E5945"/>
    <w:rsid w:val="004E5953"/>
    <w:rsid w:val="004E5AFA"/>
    <w:rsid w:val="004E5B9C"/>
    <w:rsid w:val="004E5BFE"/>
    <w:rsid w:val="004E5E90"/>
    <w:rsid w:val="004E613F"/>
    <w:rsid w:val="004E6221"/>
    <w:rsid w:val="004E6223"/>
    <w:rsid w:val="004E6290"/>
    <w:rsid w:val="004E62BF"/>
    <w:rsid w:val="004E661D"/>
    <w:rsid w:val="004E6730"/>
    <w:rsid w:val="004E698F"/>
    <w:rsid w:val="004E69A1"/>
    <w:rsid w:val="004E69AD"/>
    <w:rsid w:val="004E6A5E"/>
    <w:rsid w:val="004E6A7D"/>
    <w:rsid w:val="004E6B89"/>
    <w:rsid w:val="004E6EF0"/>
    <w:rsid w:val="004E6F5C"/>
    <w:rsid w:val="004E7029"/>
    <w:rsid w:val="004E7048"/>
    <w:rsid w:val="004E71BF"/>
    <w:rsid w:val="004E7367"/>
    <w:rsid w:val="004E7667"/>
    <w:rsid w:val="004E770C"/>
    <w:rsid w:val="004E78BD"/>
    <w:rsid w:val="004E78CA"/>
    <w:rsid w:val="004E78D6"/>
    <w:rsid w:val="004E7B15"/>
    <w:rsid w:val="004E7C2C"/>
    <w:rsid w:val="004E7D03"/>
    <w:rsid w:val="004E7D8C"/>
    <w:rsid w:val="004E7F07"/>
    <w:rsid w:val="004F0103"/>
    <w:rsid w:val="004F0134"/>
    <w:rsid w:val="004F050A"/>
    <w:rsid w:val="004F0517"/>
    <w:rsid w:val="004F058E"/>
    <w:rsid w:val="004F06C2"/>
    <w:rsid w:val="004F071E"/>
    <w:rsid w:val="004F0985"/>
    <w:rsid w:val="004F0CFD"/>
    <w:rsid w:val="004F1050"/>
    <w:rsid w:val="004F107E"/>
    <w:rsid w:val="004F1290"/>
    <w:rsid w:val="004F143B"/>
    <w:rsid w:val="004F1569"/>
    <w:rsid w:val="004F16DA"/>
    <w:rsid w:val="004F175C"/>
    <w:rsid w:val="004F18EE"/>
    <w:rsid w:val="004F195F"/>
    <w:rsid w:val="004F1993"/>
    <w:rsid w:val="004F1A88"/>
    <w:rsid w:val="004F1CEC"/>
    <w:rsid w:val="004F1CF6"/>
    <w:rsid w:val="004F1DC4"/>
    <w:rsid w:val="004F2214"/>
    <w:rsid w:val="004F2231"/>
    <w:rsid w:val="004F2236"/>
    <w:rsid w:val="004F228F"/>
    <w:rsid w:val="004F2445"/>
    <w:rsid w:val="004F26F0"/>
    <w:rsid w:val="004F2717"/>
    <w:rsid w:val="004F27DE"/>
    <w:rsid w:val="004F27F4"/>
    <w:rsid w:val="004F2BCB"/>
    <w:rsid w:val="004F2F17"/>
    <w:rsid w:val="004F2F83"/>
    <w:rsid w:val="004F300D"/>
    <w:rsid w:val="004F3126"/>
    <w:rsid w:val="004F3198"/>
    <w:rsid w:val="004F32DD"/>
    <w:rsid w:val="004F3495"/>
    <w:rsid w:val="004F34D9"/>
    <w:rsid w:val="004F34DD"/>
    <w:rsid w:val="004F3530"/>
    <w:rsid w:val="004F376D"/>
    <w:rsid w:val="004F37E1"/>
    <w:rsid w:val="004F38B4"/>
    <w:rsid w:val="004F38E3"/>
    <w:rsid w:val="004F3A0F"/>
    <w:rsid w:val="004F3B80"/>
    <w:rsid w:val="004F3D03"/>
    <w:rsid w:val="004F3EB9"/>
    <w:rsid w:val="004F3EF0"/>
    <w:rsid w:val="004F3FA1"/>
    <w:rsid w:val="004F3FB5"/>
    <w:rsid w:val="004F40C1"/>
    <w:rsid w:val="004F415D"/>
    <w:rsid w:val="004F4317"/>
    <w:rsid w:val="004F458D"/>
    <w:rsid w:val="004F45BB"/>
    <w:rsid w:val="004F466C"/>
    <w:rsid w:val="004F4710"/>
    <w:rsid w:val="004F4818"/>
    <w:rsid w:val="004F4838"/>
    <w:rsid w:val="004F4A25"/>
    <w:rsid w:val="004F4A53"/>
    <w:rsid w:val="004F4AD8"/>
    <w:rsid w:val="004F4D06"/>
    <w:rsid w:val="004F4E12"/>
    <w:rsid w:val="004F4F43"/>
    <w:rsid w:val="004F5105"/>
    <w:rsid w:val="004F5198"/>
    <w:rsid w:val="004F52A4"/>
    <w:rsid w:val="004F5371"/>
    <w:rsid w:val="004F5398"/>
    <w:rsid w:val="004F53E7"/>
    <w:rsid w:val="004F54C7"/>
    <w:rsid w:val="004F55FE"/>
    <w:rsid w:val="004F576F"/>
    <w:rsid w:val="004F5781"/>
    <w:rsid w:val="004F5802"/>
    <w:rsid w:val="004F5828"/>
    <w:rsid w:val="004F5A9D"/>
    <w:rsid w:val="004F5B2B"/>
    <w:rsid w:val="004F5B96"/>
    <w:rsid w:val="004F5C29"/>
    <w:rsid w:val="004F5C4A"/>
    <w:rsid w:val="004F5EE1"/>
    <w:rsid w:val="004F5F9A"/>
    <w:rsid w:val="004F602F"/>
    <w:rsid w:val="004F6064"/>
    <w:rsid w:val="004F612C"/>
    <w:rsid w:val="004F6147"/>
    <w:rsid w:val="004F616C"/>
    <w:rsid w:val="004F6399"/>
    <w:rsid w:val="004F63B1"/>
    <w:rsid w:val="004F6508"/>
    <w:rsid w:val="004F651F"/>
    <w:rsid w:val="004F65EB"/>
    <w:rsid w:val="004F66AB"/>
    <w:rsid w:val="004F6734"/>
    <w:rsid w:val="004F6736"/>
    <w:rsid w:val="004F6860"/>
    <w:rsid w:val="004F6A16"/>
    <w:rsid w:val="004F6C31"/>
    <w:rsid w:val="004F6D03"/>
    <w:rsid w:val="004F6D22"/>
    <w:rsid w:val="004F6EA7"/>
    <w:rsid w:val="004F6EBF"/>
    <w:rsid w:val="004F6EC4"/>
    <w:rsid w:val="004F7016"/>
    <w:rsid w:val="004F732B"/>
    <w:rsid w:val="004F7345"/>
    <w:rsid w:val="004F7390"/>
    <w:rsid w:val="004F7471"/>
    <w:rsid w:val="004F74A5"/>
    <w:rsid w:val="004F74C0"/>
    <w:rsid w:val="004F7752"/>
    <w:rsid w:val="004F77EF"/>
    <w:rsid w:val="004F7A39"/>
    <w:rsid w:val="004F7BB7"/>
    <w:rsid w:val="004F7FCA"/>
    <w:rsid w:val="0050010E"/>
    <w:rsid w:val="00500173"/>
    <w:rsid w:val="0050023D"/>
    <w:rsid w:val="005005B0"/>
    <w:rsid w:val="005005B9"/>
    <w:rsid w:val="005006EA"/>
    <w:rsid w:val="00500768"/>
    <w:rsid w:val="00500790"/>
    <w:rsid w:val="005007D2"/>
    <w:rsid w:val="00500837"/>
    <w:rsid w:val="00500930"/>
    <w:rsid w:val="00500A15"/>
    <w:rsid w:val="00500BB6"/>
    <w:rsid w:val="00500DCF"/>
    <w:rsid w:val="00500E80"/>
    <w:rsid w:val="00500FA6"/>
    <w:rsid w:val="0050106D"/>
    <w:rsid w:val="00501086"/>
    <w:rsid w:val="00501127"/>
    <w:rsid w:val="00501131"/>
    <w:rsid w:val="0050129F"/>
    <w:rsid w:val="005012AB"/>
    <w:rsid w:val="005012EB"/>
    <w:rsid w:val="005013AB"/>
    <w:rsid w:val="0050147D"/>
    <w:rsid w:val="00501536"/>
    <w:rsid w:val="0050157B"/>
    <w:rsid w:val="00501724"/>
    <w:rsid w:val="00501BBC"/>
    <w:rsid w:val="00501C21"/>
    <w:rsid w:val="00501C86"/>
    <w:rsid w:val="00501D6A"/>
    <w:rsid w:val="00501D70"/>
    <w:rsid w:val="00501E77"/>
    <w:rsid w:val="00501E97"/>
    <w:rsid w:val="00501F56"/>
    <w:rsid w:val="00501F69"/>
    <w:rsid w:val="00501FBB"/>
    <w:rsid w:val="00502163"/>
    <w:rsid w:val="005023D4"/>
    <w:rsid w:val="0050291A"/>
    <w:rsid w:val="00502DFC"/>
    <w:rsid w:val="00502E5D"/>
    <w:rsid w:val="00502F0D"/>
    <w:rsid w:val="00502F2F"/>
    <w:rsid w:val="005036FF"/>
    <w:rsid w:val="005037EC"/>
    <w:rsid w:val="00503881"/>
    <w:rsid w:val="00503A64"/>
    <w:rsid w:val="00503B60"/>
    <w:rsid w:val="00503C11"/>
    <w:rsid w:val="00503C15"/>
    <w:rsid w:val="00503D6C"/>
    <w:rsid w:val="00504025"/>
    <w:rsid w:val="00504229"/>
    <w:rsid w:val="00504682"/>
    <w:rsid w:val="00504784"/>
    <w:rsid w:val="00504AE3"/>
    <w:rsid w:val="00504BDD"/>
    <w:rsid w:val="00504D43"/>
    <w:rsid w:val="00504E51"/>
    <w:rsid w:val="00504ECD"/>
    <w:rsid w:val="005050D7"/>
    <w:rsid w:val="005051C9"/>
    <w:rsid w:val="0050523F"/>
    <w:rsid w:val="0050549D"/>
    <w:rsid w:val="00505565"/>
    <w:rsid w:val="00505690"/>
    <w:rsid w:val="005057AB"/>
    <w:rsid w:val="0050591F"/>
    <w:rsid w:val="005059BF"/>
    <w:rsid w:val="00505A6E"/>
    <w:rsid w:val="00505B64"/>
    <w:rsid w:val="00505C25"/>
    <w:rsid w:val="00505F78"/>
    <w:rsid w:val="005060B7"/>
    <w:rsid w:val="005060C9"/>
    <w:rsid w:val="005062F4"/>
    <w:rsid w:val="005064FB"/>
    <w:rsid w:val="0050669E"/>
    <w:rsid w:val="0050679A"/>
    <w:rsid w:val="00506C5B"/>
    <w:rsid w:val="00506F31"/>
    <w:rsid w:val="00506FE8"/>
    <w:rsid w:val="0050709D"/>
    <w:rsid w:val="00507110"/>
    <w:rsid w:val="00507121"/>
    <w:rsid w:val="005073C4"/>
    <w:rsid w:val="005073E5"/>
    <w:rsid w:val="00507423"/>
    <w:rsid w:val="0050744F"/>
    <w:rsid w:val="0050759F"/>
    <w:rsid w:val="00507654"/>
    <w:rsid w:val="00507684"/>
    <w:rsid w:val="005078BF"/>
    <w:rsid w:val="00507944"/>
    <w:rsid w:val="005079DE"/>
    <w:rsid w:val="00507A01"/>
    <w:rsid w:val="00507BA0"/>
    <w:rsid w:val="00507BC4"/>
    <w:rsid w:val="00507C4A"/>
    <w:rsid w:val="00507D30"/>
    <w:rsid w:val="00507E6C"/>
    <w:rsid w:val="00507EF9"/>
    <w:rsid w:val="00507F17"/>
    <w:rsid w:val="005100B0"/>
    <w:rsid w:val="0051025B"/>
    <w:rsid w:val="00510260"/>
    <w:rsid w:val="00510615"/>
    <w:rsid w:val="0051066E"/>
    <w:rsid w:val="005106AA"/>
    <w:rsid w:val="0051097F"/>
    <w:rsid w:val="00510A2C"/>
    <w:rsid w:val="00510A6A"/>
    <w:rsid w:val="00510BD5"/>
    <w:rsid w:val="00510C32"/>
    <w:rsid w:val="00510C45"/>
    <w:rsid w:val="00510C4C"/>
    <w:rsid w:val="00510CE7"/>
    <w:rsid w:val="00510D1F"/>
    <w:rsid w:val="00510F3D"/>
    <w:rsid w:val="005110EC"/>
    <w:rsid w:val="00511224"/>
    <w:rsid w:val="0051125A"/>
    <w:rsid w:val="005113B1"/>
    <w:rsid w:val="00511544"/>
    <w:rsid w:val="0051162D"/>
    <w:rsid w:val="00511831"/>
    <w:rsid w:val="00511A4E"/>
    <w:rsid w:val="00511ABC"/>
    <w:rsid w:val="00511ADC"/>
    <w:rsid w:val="00511B85"/>
    <w:rsid w:val="00511C2F"/>
    <w:rsid w:val="00511C34"/>
    <w:rsid w:val="00511C4D"/>
    <w:rsid w:val="00511CB4"/>
    <w:rsid w:val="00511E39"/>
    <w:rsid w:val="00511F38"/>
    <w:rsid w:val="005120F6"/>
    <w:rsid w:val="0051212F"/>
    <w:rsid w:val="005122EE"/>
    <w:rsid w:val="00512318"/>
    <w:rsid w:val="00512352"/>
    <w:rsid w:val="005123A8"/>
    <w:rsid w:val="0051260D"/>
    <w:rsid w:val="00512646"/>
    <w:rsid w:val="0051270A"/>
    <w:rsid w:val="0051282F"/>
    <w:rsid w:val="00512925"/>
    <w:rsid w:val="005129BE"/>
    <w:rsid w:val="00512B14"/>
    <w:rsid w:val="00512C32"/>
    <w:rsid w:val="00512C72"/>
    <w:rsid w:val="00512E6C"/>
    <w:rsid w:val="0051301B"/>
    <w:rsid w:val="00513068"/>
    <w:rsid w:val="005130D3"/>
    <w:rsid w:val="00513226"/>
    <w:rsid w:val="005132A6"/>
    <w:rsid w:val="005132BA"/>
    <w:rsid w:val="00513606"/>
    <w:rsid w:val="0051388F"/>
    <w:rsid w:val="00513CB8"/>
    <w:rsid w:val="00513D0D"/>
    <w:rsid w:val="00513FBD"/>
    <w:rsid w:val="005140CB"/>
    <w:rsid w:val="005140EA"/>
    <w:rsid w:val="00514182"/>
    <w:rsid w:val="00514183"/>
    <w:rsid w:val="0051429E"/>
    <w:rsid w:val="00514659"/>
    <w:rsid w:val="00514769"/>
    <w:rsid w:val="005149DB"/>
    <w:rsid w:val="00514A71"/>
    <w:rsid w:val="00514B2C"/>
    <w:rsid w:val="00514BAE"/>
    <w:rsid w:val="00514C05"/>
    <w:rsid w:val="00514D73"/>
    <w:rsid w:val="00514E1C"/>
    <w:rsid w:val="00514ED1"/>
    <w:rsid w:val="00514ED3"/>
    <w:rsid w:val="00514F4D"/>
    <w:rsid w:val="00515034"/>
    <w:rsid w:val="005153A9"/>
    <w:rsid w:val="0051547F"/>
    <w:rsid w:val="005154F3"/>
    <w:rsid w:val="00515504"/>
    <w:rsid w:val="0051555C"/>
    <w:rsid w:val="00515708"/>
    <w:rsid w:val="00515840"/>
    <w:rsid w:val="00515A1A"/>
    <w:rsid w:val="00515CA8"/>
    <w:rsid w:val="00515D1E"/>
    <w:rsid w:val="00515DEF"/>
    <w:rsid w:val="0051611B"/>
    <w:rsid w:val="00516243"/>
    <w:rsid w:val="00516338"/>
    <w:rsid w:val="00516425"/>
    <w:rsid w:val="005166B2"/>
    <w:rsid w:val="005168B9"/>
    <w:rsid w:val="005169A4"/>
    <w:rsid w:val="00516B16"/>
    <w:rsid w:val="00516E80"/>
    <w:rsid w:val="00516FE5"/>
    <w:rsid w:val="00517003"/>
    <w:rsid w:val="005171C3"/>
    <w:rsid w:val="0051753E"/>
    <w:rsid w:val="00517604"/>
    <w:rsid w:val="00517B5B"/>
    <w:rsid w:val="00517B80"/>
    <w:rsid w:val="00517BA3"/>
    <w:rsid w:val="00517BA8"/>
    <w:rsid w:val="00517BDB"/>
    <w:rsid w:val="00517C19"/>
    <w:rsid w:val="00517D5D"/>
    <w:rsid w:val="00517DAD"/>
    <w:rsid w:val="00520047"/>
    <w:rsid w:val="005202B2"/>
    <w:rsid w:val="00520410"/>
    <w:rsid w:val="00520423"/>
    <w:rsid w:val="005204AF"/>
    <w:rsid w:val="0052063B"/>
    <w:rsid w:val="005206C7"/>
    <w:rsid w:val="00520796"/>
    <w:rsid w:val="005207FE"/>
    <w:rsid w:val="00520C5E"/>
    <w:rsid w:val="00520E3F"/>
    <w:rsid w:val="00520F45"/>
    <w:rsid w:val="00521164"/>
    <w:rsid w:val="00521166"/>
    <w:rsid w:val="005211E4"/>
    <w:rsid w:val="00521356"/>
    <w:rsid w:val="00521497"/>
    <w:rsid w:val="005214B5"/>
    <w:rsid w:val="00521516"/>
    <w:rsid w:val="0052168B"/>
    <w:rsid w:val="005216F5"/>
    <w:rsid w:val="00521951"/>
    <w:rsid w:val="00521BDB"/>
    <w:rsid w:val="00521CB8"/>
    <w:rsid w:val="00521CBD"/>
    <w:rsid w:val="00521D3E"/>
    <w:rsid w:val="00521E30"/>
    <w:rsid w:val="00521E60"/>
    <w:rsid w:val="00521EF4"/>
    <w:rsid w:val="00521F21"/>
    <w:rsid w:val="0052201B"/>
    <w:rsid w:val="00522116"/>
    <w:rsid w:val="005223A6"/>
    <w:rsid w:val="005223EB"/>
    <w:rsid w:val="00522459"/>
    <w:rsid w:val="0052256C"/>
    <w:rsid w:val="005228F1"/>
    <w:rsid w:val="00522923"/>
    <w:rsid w:val="00522DF5"/>
    <w:rsid w:val="00522E81"/>
    <w:rsid w:val="00522EBE"/>
    <w:rsid w:val="00522F6D"/>
    <w:rsid w:val="00523083"/>
    <w:rsid w:val="005230CD"/>
    <w:rsid w:val="005231A0"/>
    <w:rsid w:val="00523289"/>
    <w:rsid w:val="0052330C"/>
    <w:rsid w:val="0052340B"/>
    <w:rsid w:val="0052347B"/>
    <w:rsid w:val="00523709"/>
    <w:rsid w:val="005237C4"/>
    <w:rsid w:val="00523808"/>
    <w:rsid w:val="0052380E"/>
    <w:rsid w:val="00523832"/>
    <w:rsid w:val="0052388A"/>
    <w:rsid w:val="00523940"/>
    <w:rsid w:val="005239F4"/>
    <w:rsid w:val="00523AD4"/>
    <w:rsid w:val="00523CE6"/>
    <w:rsid w:val="00523D2C"/>
    <w:rsid w:val="00524035"/>
    <w:rsid w:val="00524051"/>
    <w:rsid w:val="005242DE"/>
    <w:rsid w:val="00524337"/>
    <w:rsid w:val="00524376"/>
    <w:rsid w:val="00524406"/>
    <w:rsid w:val="00524685"/>
    <w:rsid w:val="005247F5"/>
    <w:rsid w:val="005249EC"/>
    <w:rsid w:val="00524A32"/>
    <w:rsid w:val="00524C0D"/>
    <w:rsid w:val="00524E28"/>
    <w:rsid w:val="00524EAC"/>
    <w:rsid w:val="00524F80"/>
    <w:rsid w:val="005251EC"/>
    <w:rsid w:val="0052524B"/>
    <w:rsid w:val="00525287"/>
    <w:rsid w:val="005254E3"/>
    <w:rsid w:val="00525652"/>
    <w:rsid w:val="00525767"/>
    <w:rsid w:val="00525769"/>
    <w:rsid w:val="005257BE"/>
    <w:rsid w:val="00525939"/>
    <w:rsid w:val="00525CD7"/>
    <w:rsid w:val="00525D48"/>
    <w:rsid w:val="00525D9F"/>
    <w:rsid w:val="00525DC8"/>
    <w:rsid w:val="00525EB9"/>
    <w:rsid w:val="00525FDF"/>
    <w:rsid w:val="00525FE8"/>
    <w:rsid w:val="00526068"/>
    <w:rsid w:val="005261F5"/>
    <w:rsid w:val="005264E4"/>
    <w:rsid w:val="00526615"/>
    <w:rsid w:val="0052668B"/>
    <w:rsid w:val="005266EF"/>
    <w:rsid w:val="00526917"/>
    <w:rsid w:val="00526C0A"/>
    <w:rsid w:val="00526EE3"/>
    <w:rsid w:val="005274EF"/>
    <w:rsid w:val="0052762C"/>
    <w:rsid w:val="005276E4"/>
    <w:rsid w:val="00527943"/>
    <w:rsid w:val="00527B4D"/>
    <w:rsid w:val="00527BE5"/>
    <w:rsid w:val="00527C9D"/>
    <w:rsid w:val="00527D7F"/>
    <w:rsid w:val="00530092"/>
    <w:rsid w:val="005300E0"/>
    <w:rsid w:val="005300E6"/>
    <w:rsid w:val="00530446"/>
    <w:rsid w:val="00530598"/>
    <w:rsid w:val="0053095C"/>
    <w:rsid w:val="005309FB"/>
    <w:rsid w:val="00530ACA"/>
    <w:rsid w:val="00530B71"/>
    <w:rsid w:val="00530BAC"/>
    <w:rsid w:val="00530BAE"/>
    <w:rsid w:val="00530C83"/>
    <w:rsid w:val="00530DB7"/>
    <w:rsid w:val="00530DD4"/>
    <w:rsid w:val="00530E28"/>
    <w:rsid w:val="0053105B"/>
    <w:rsid w:val="00531169"/>
    <w:rsid w:val="00531175"/>
    <w:rsid w:val="005311BA"/>
    <w:rsid w:val="005312BE"/>
    <w:rsid w:val="005313F2"/>
    <w:rsid w:val="00531450"/>
    <w:rsid w:val="005317C2"/>
    <w:rsid w:val="005318F9"/>
    <w:rsid w:val="00531988"/>
    <w:rsid w:val="00531AB3"/>
    <w:rsid w:val="00531AE0"/>
    <w:rsid w:val="00531AF1"/>
    <w:rsid w:val="00531B21"/>
    <w:rsid w:val="00531B82"/>
    <w:rsid w:val="00531CE4"/>
    <w:rsid w:val="00531FAA"/>
    <w:rsid w:val="0053203D"/>
    <w:rsid w:val="00532051"/>
    <w:rsid w:val="00532062"/>
    <w:rsid w:val="00532139"/>
    <w:rsid w:val="0053213B"/>
    <w:rsid w:val="00532173"/>
    <w:rsid w:val="00532208"/>
    <w:rsid w:val="005323FC"/>
    <w:rsid w:val="00532531"/>
    <w:rsid w:val="005327E0"/>
    <w:rsid w:val="005328E0"/>
    <w:rsid w:val="00532B0E"/>
    <w:rsid w:val="00532B38"/>
    <w:rsid w:val="00532BA6"/>
    <w:rsid w:val="00532BC6"/>
    <w:rsid w:val="00532BF8"/>
    <w:rsid w:val="00532C2B"/>
    <w:rsid w:val="00532CCE"/>
    <w:rsid w:val="00532D1F"/>
    <w:rsid w:val="00532D98"/>
    <w:rsid w:val="00532EC8"/>
    <w:rsid w:val="0053304E"/>
    <w:rsid w:val="0053308F"/>
    <w:rsid w:val="005330AE"/>
    <w:rsid w:val="005330BD"/>
    <w:rsid w:val="005330FB"/>
    <w:rsid w:val="005331B2"/>
    <w:rsid w:val="005332CF"/>
    <w:rsid w:val="0053336A"/>
    <w:rsid w:val="00533464"/>
    <w:rsid w:val="00533525"/>
    <w:rsid w:val="0053365E"/>
    <w:rsid w:val="005337C2"/>
    <w:rsid w:val="00533ABE"/>
    <w:rsid w:val="00533CED"/>
    <w:rsid w:val="00533DB8"/>
    <w:rsid w:val="00533DBE"/>
    <w:rsid w:val="00533E24"/>
    <w:rsid w:val="00533E71"/>
    <w:rsid w:val="00533EE6"/>
    <w:rsid w:val="00534369"/>
    <w:rsid w:val="0053452C"/>
    <w:rsid w:val="0053457C"/>
    <w:rsid w:val="005346BB"/>
    <w:rsid w:val="00534830"/>
    <w:rsid w:val="00534848"/>
    <w:rsid w:val="00534852"/>
    <w:rsid w:val="005348A4"/>
    <w:rsid w:val="00534A6A"/>
    <w:rsid w:val="00534A79"/>
    <w:rsid w:val="00534A91"/>
    <w:rsid w:val="00534B21"/>
    <w:rsid w:val="00534CCD"/>
    <w:rsid w:val="00534E4C"/>
    <w:rsid w:val="00535009"/>
    <w:rsid w:val="0053546C"/>
    <w:rsid w:val="00535578"/>
    <w:rsid w:val="00535583"/>
    <w:rsid w:val="00535601"/>
    <w:rsid w:val="00535606"/>
    <w:rsid w:val="00535703"/>
    <w:rsid w:val="005358FB"/>
    <w:rsid w:val="00535958"/>
    <w:rsid w:val="00535A6A"/>
    <w:rsid w:val="00535D34"/>
    <w:rsid w:val="00535EC5"/>
    <w:rsid w:val="00536149"/>
    <w:rsid w:val="00536167"/>
    <w:rsid w:val="005361FA"/>
    <w:rsid w:val="005362C6"/>
    <w:rsid w:val="005363A1"/>
    <w:rsid w:val="0053649B"/>
    <w:rsid w:val="00536554"/>
    <w:rsid w:val="005365A9"/>
    <w:rsid w:val="005365CF"/>
    <w:rsid w:val="00536751"/>
    <w:rsid w:val="0053678B"/>
    <w:rsid w:val="00536CA1"/>
    <w:rsid w:val="00537099"/>
    <w:rsid w:val="005370B7"/>
    <w:rsid w:val="005370EB"/>
    <w:rsid w:val="00537168"/>
    <w:rsid w:val="005372B3"/>
    <w:rsid w:val="005372D8"/>
    <w:rsid w:val="00537338"/>
    <w:rsid w:val="0053758A"/>
    <w:rsid w:val="0053767A"/>
    <w:rsid w:val="0053773F"/>
    <w:rsid w:val="00537762"/>
    <w:rsid w:val="00537924"/>
    <w:rsid w:val="00537A18"/>
    <w:rsid w:val="00537AE8"/>
    <w:rsid w:val="00537BA6"/>
    <w:rsid w:val="00537CD9"/>
    <w:rsid w:val="00537CDC"/>
    <w:rsid w:val="00537DBF"/>
    <w:rsid w:val="00537E53"/>
    <w:rsid w:val="00537EB8"/>
    <w:rsid w:val="00537ED7"/>
    <w:rsid w:val="00537FA1"/>
    <w:rsid w:val="00540008"/>
    <w:rsid w:val="00540018"/>
    <w:rsid w:val="005401A5"/>
    <w:rsid w:val="005402BB"/>
    <w:rsid w:val="00540559"/>
    <w:rsid w:val="005405CF"/>
    <w:rsid w:val="005405E8"/>
    <w:rsid w:val="0054063D"/>
    <w:rsid w:val="0054091B"/>
    <w:rsid w:val="00540956"/>
    <w:rsid w:val="00540C28"/>
    <w:rsid w:val="00540CCF"/>
    <w:rsid w:val="00540E7A"/>
    <w:rsid w:val="00540FB9"/>
    <w:rsid w:val="005412C0"/>
    <w:rsid w:val="00541353"/>
    <w:rsid w:val="00541364"/>
    <w:rsid w:val="005413BD"/>
    <w:rsid w:val="00541401"/>
    <w:rsid w:val="005414D4"/>
    <w:rsid w:val="00541566"/>
    <w:rsid w:val="005415F0"/>
    <w:rsid w:val="00541656"/>
    <w:rsid w:val="005416F3"/>
    <w:rsid w:val="0054187F"/>
    <w:rsid w:val="005419AF"/>
    <w:rsid w:val="00541FAD"/>
    <w:rsid w:val="0054200D"/>
    <w:rsid w:val="005420ED"/>
    <w:rsid w:val="00542160"/>
    <w:rsid w:val="00542203"/>
    <w:rsid w:val="005425DC"/>
    <w:rsid w:val="005427E4"/>
    <w:rsid w:val="00542A61"/>
    <w:rsid w:val="00542DBF"/>
    <w:rsid w:val="00542EBB"/>
    <w:rsid w:val="00542FB1"/>
    <w:rsid w:val="00543104"/>
    <w:rsid w:val="00543231"/>
    <w:rsid w:val="005432FC"/>
    <w:rsid w:val="00543344"/>
    <w:rsid w:val="005434A0"/>
    <w:rsid w:val="005434A4"/>
    <w:rsid w:val="005434FC"/>
    <w:rsid w:val="005435B4"/>
    <w:rsid w:val="005435D3"/>
    <w:rsid w:val="00543650"/>
    <w:rsid w:val="005436D3"/>
    <w:rsid w:val="00543814"/>
    <w:rsid w:val="00543821"/>
    <w:rsid w:val="0054392D"/>
    <w:rsid w:val="00543BAF"/>
    <w:rsid w:val="00543C18"/>
    <w:rsid w:val="00543C97"/>
    <w:rsid w:val="00543D62"/>
    <w:rsid w:val="00543DCE"/>
    <w:rsid w:val="00543EAE"/>
    <w:rsid w:val="00543F6A"/>
    <w:rsid w:val="00543FA2"/>
    <w:rsid w:val="00544048"/>
    <w:rsid w:val="00544085"/>
    <w:rsid w:val="00544097"/>
    <w:rsid w:val="00544162"/>
    <w:rsid w:val="00544242"/>
    <w:rsid w:val="005442CD"/>
    <w:rsid w:val="0054431C"/>
    <w:rsid w:val="00544522"/>
    <w:rsid w:val="005445C5"/>
    <w:rsid w:val="0054461C"/>
    <w:rsid w:val="005446F8"/>
    <w:rsid w:val="0054472C"/>
    <w:rsid w:val="00544AF9"/>
    <w:rsid w:val="00544C10"/>
    <w:rsid w:val="00544CD1"/>
    <w:rsid w:val="00544D1B"/>
    <w:rsid w:val="00545018"/>
    <w:rsid w:val="0054509F"/>
    <w:rsid w:val="005450E0"/>
    <w:rsid w:val="005451CB"/>
    <w:rsid w:val="00545208"/>
    <w:rsid w:val="0054522D"/>
    <w:rsid w:val="00545284"/>
    <w:rsid w:val="005452DC"/>
    <w:rsid w:val="0054537F"/>
    <w:rsid w:val="005453F5"/>
    <w:rsid w:val="00545503"/>
    <w:rsid w:val="00545849"/>
    <w:rsid w:val="00545921"/>
    <w:rsid w:val="005459C9"/>
    <w:rsid w:val="00545A03"/>
    <w:rsid w:val="00545A12"/>
    <w:rsid w:val="00545AA2"/>
    <w:rsid w:val="00545B1E"/>
    <w:rsid w:val="00545D6D"/>
    <w:rsid w:val="00545DC1"/>
    <w:rsid w:val="00545DE5"/>
    <w:rsid w:val="00545FAA"/>
    <w:rsid w:val="00545FF3"/>
    <w:rsid w:val="0054603F"/>
    <w:rsid w:val="005460A1"/>
    <w:rsid w:val="005461F8"/>
    <w:rsid w:val="00546238"/>
    <w:rsid w:val="005462B7"/>
    <w:rsid w:val="005462EE"/>
    <w:rsid w:val="0054647A"/>
    <w:rsid w:val="005464A1"/>
    <w:rsid w:val="0054664A"/>
    <w:rsid w:val="005468D2"/>
    <w:rsid w:val="00546AC5"/>
    <w:rsid w:val="00546B87"/>
    <w:rsid w:val="00546BB5"/>
    <w:rsid w:val="00546BF8"/>
    <w:rsid w:val="00546C74"/>
    <w:rsid w:val="00546F64"/>
    <w:rsid w:val="00546F70"/>
    <w:rsid w:val="00546FF6"/>
    <w:rsid w:val="0054701A"/>
    <w:rsid w:val="00547082"/>
    <w:rsid w:val="00547156"/>
    <w:rsid w:val="0054728A"/>
    <w:rsid w:val="0054731E"/>
    <w:rsid w:val="0054735E"/>
    <w:rsid w:val="005473A9"/>
    <w:rsid w:val="0054757E"/>
    <w:rsid w:val="00547598"/>
    <w:rsid w:val="00547647"/>
    <w:rsid w:val="0054764D"/>
    <w:rsid w:val="0054773B"/>
    <w:rsid w:val="005477B2"/>
    <w:rsid w:val="00547A35"/>
    <w:rsid w:val="00547AD1"/>
    <w:rsid w:val="00547B37"/>
    <w:rsid w:val="00547B5D"/>
    <w:rsid w:val="00547B7B"/>
    <w:rsid w:val="00547C15"/>
    <w:rsid w:val="00547EE3"/>
    <w:rsid w:val="00547EEF"/>
    <w:rsid w:val="00547F26"/>
    <w:rsid w:val="00547F8A"/>
    <w:rsid w:val="00547FE9"/>
    <w:rsid w:val="00550064"/>
    <w:rsid w:val="00550337"/>
    <w:rsid w:val="00550377"/>
    <w:rsid w:val="005503C6"/>
    <w:rsid w:val="00550409"/>
    <w:rsid w:val="00550423"/>
    <w:rsid w:val="0055062D"/>
    <w:rsid w:val="0055062F"/>
    <w:rsid w:val="00550693"/>
    <w:rsid w:val="005507FA"/>
    <w:rsid w:val="00550D43"/>
    <w:rsid w:val="00550F20"/>
    <w:rsid w:val="00551025"/>
    <w:rsid w:val="0055109D"/>
    <w:rsid w:val="005510D9"/>
    <w:rsid w:val="00551340"/>
    <w:rsid w:val="0055135B"/>
    <w:rsid w:val="0055137A"/>
    <w:rsid w:val="00551478"/>
    <w:rsid w:val="0055166C"/>
    <w:rsid w:val="005517A3"/>
    <w:rsid w:val="005517F5"/>
    <w:rsid w:val="005518B9"/>
    <w:rsid w:val="005518E3"/>
    <w:rsid w:val="00551D7B"/>
    <w:rsid w:val="00551D7C"/>
    <w:rsid w:val="00552048"/>
    <w:rsid w:val="005520ED"/>
    <w:rsid w:val="005523D3"/>
    <w:rsid w:val="005524B3"/>
    <w:rsid w:val="005524D2"/>
    <w:rsid w:val="00552531"/>
    <w:rsid w:val="0055262B"/>
    <w:rsid w:val="0055265B"/>
    <w:rsid w:val="00552758"/>
    <w:rsid w:val="00552B7D"/>
    <w:rsid w:val="00552FDE"/>
    <w:rsid w:val="00553151"/>
    <w:rsid w:val="00553244"/>
    <w:rsid w:val="00553462"/>
    <w:rsid w:val="0055360B"/>
    <w:rsid w:val="00553689"/>
    <w:rsid w:val="0055368D"/>
    <w:rsid w:val="005536C6"/>
    <w:rsid w:val="0055381B"/>
    <w:rsid w:val="00553A3B"/>
    <w:rsid w:val="00553A3F"/>
    <w:rsid w:val="00553C52"/>
    <w:rsid w:val="00553CC8"/>
    <w:rsid w:val="00553CFF"/>
    <w:rsid w:val="00553D9A"/>
    <w:rsid w:val="00553F55"/>
    <w:rsid w:val="00554015"/>
    <w:rsid w:val="0055406F"/>
    <w:rsid w:val="005540A1"/>
    <w:rsid w:val="005540CB"/>
    <w:rsid w:val="00554130"/>
    <w:rsid w:val="005541E5"/>
    <w:rsid w:val="0055421B"/>
    <w:rsid w:val="0055424C"/>
    <w:rsid w:val="005544AC"/>
    <w:rsid w:val="00554527"/>
    <w:rsid w:val="00554719"/>
    <w:rsid w:val="00554740"/>
    <w:rsid w:val="0055477A"/>
    <w:rsid w:val="00554781"/>
    <w:rsid w:val="005547C2"/>
    <w:rsid w:val="0055483F"/>
    <w:rsid w:val="0055489F"/>
    <w:rsid w:val="005549A5"/>
    <w:rsid w:val="005549E4"/>
    <w:rsid w:val="00554C42"/>
    <w:rsid w:val="00554CCB"/>
    <w:rsid w:val="00554EE4"/>
    <w:rsid w:val="00554EEF"/>
    <w:rsid w:val="00554FA5"/>
    <w:rsid w:val="00555185"/>
    <w:rsid w:val="00555399"/>
    <w:rsid w:val="005553CC"/>
    <w:rsid w:val="005553FE"/>
    <w:rsid w:val="0055552F"/>
    <w:rsid w:val="0055567A"/>
    <w:rsid w:val="00555A72"/>
    <w:rsid w:val="00555B81"/>
    <w:rsid w:val="00555D55"/>
    <w:rsid w:val="00555EAB"/>
    <w:rsid w:val="00555F5C"/>
    <w:rsid w:val="00556072"/>
    <w:rsid w:val="0055607E"/>
    <w:rsid w:val="005560CD"/>
    <w:rsid w:val="005561AA"/>
    <w:rsid w:val="005562C2"/>
    <w:rsid w:val="005563CE"/>
    <w:rsid w:val="005564EB"/>
    <w:rsid w:val="0055653F"/>
    <w:rsid w:val="005568AA"/>
    <w:rsid w:val="00556B8C"/>
    <w:rsid w:val="00556CD0"/>
    <w:rsid w:val="00556EEB"/>
    <w:rsid w:val="00557061"/>
    <w:rsid w:val="005572A5"/>
    <w:rsid w:val="005572C4"/>
    <w:rsid w:val="00557830"/>
    <w:rsid w:val="0055789F"/>
    <w:rsid w:val="00557944"/>
    <w:rsid w:val="00557CC6"/>
    <w:rsid w:val="00557D29"/>
    <w:rsid w:val="0056003A"/>
    <w:rsid w:val="00560300"/>
    <w:rsid w:val="0056060F"/>
    <w:rsid w:val="005607BC"/>
    <w:rsid w:val="005607D1"/>
    <w:rsid w:val="00560950"/>
    <w:rsid w:val="005609B8"/>
    <w:rsid w:val="00560CE1"/>
    <w:rsid w:val="00560E47"/>
    <w:rsid w:val="00560F2E"/>
    <w:rsid w:val="00561063"/>
    <w:rsid w:val="005612BA"/>
    <w:rsid w:val="00561326"/>
    <w:rsid w:val="00561412"/>
    <w:rsid w:val="005615E9"/>
    <w:rsid w:val="0056165F"/>
    <w:rsid w:val="005618A8"/>
    <w:rsid w:val="00561985"/>
    <w:rsid w:val="00561B56"/>
    <w:rsid w:val="00561C49"/>
    <w:rsid w:val="00561CE8"/>
    <w:rsid w:val="00561F0A"/>
    <w:rsid w:val="00561F3A"/>
    <w:rsid w:val="005620CC"/>
    <w:rsid w:val="005620FC"/>
    <w:rsid w:val="00562113"/>
    <w:rsid w:val="0056214D"/>
    <w:rsid w:val="0056221B"/>
    <w:rsid w:val="00562266"/>
    <w:rsid w:val="0056228D"/>
    <w:rsid w:val="0056239C"/>
    <w:rsid w:val="00562535"/>
    <w:rsid w:val="0056274D"/>
    <w:rsid w:val="005629E3"/>
    <w:rsid w:val="00562A30"/>
    <w:rsid w:val="00562B75"/>
    <w:rsid w:val="00562BEC"/>
    <w:rsid w:val="00562C39"/>
    <w:rsid w:val="00562C44"/>
    <w:rsid w:val="00562CBA"/>
    <w:rsid w:val="00562DEE"/>
    <w:rsid w:val="00562F1B"/>
    <w:rsid w:val="00563011"/>
    <w:rsid w:val="00563068"/>
    <w:rsid w:val="00563211"/>
    <w:rsid w:val="0056322C"/>
    <w:rsid w:val="00563424"/>
    <w:rsid w:val="0056357A"/>
    <w:rsid w:val="00563B30"/>
    <w:rsid w:val="00563BE3"/>
    <w:rsid w:val="00563BFC"/>
    <w:rsid w:val="00563C22"/>
    <w:rsid w:val="00563C61"/>
    <w:rsid w:val="00563DBD"/>
    <w:rsid w:val="00563E08"/>
    <w:rsid w:val="00563F57"/>
    <w:rsid w:val="0056401E"/>
    <w:rsid w:val="00564148"/>
    <w:rsid w:val="0056416F"/>
    <w:rsid w:val="00564345"/>
    <w:rsid w:val="00564505"/>
    <w:rsid w:val="00564511"/>
    <w:rsid w:val="00564602"/>
    <w:rsid w:val="00564623"/>
    <w:rsid w:val="00564710"/>
    <w:rsid w:val="00564747"/>
    <w:rsid w:val="005648E1"/>
    <w:rsid w:val="0056491D"/>
    <w:rsid w:val="0056494E"/>
    <w:rsid w:val="005649FC"/>
    <w:rsid w:val="00564ABA"/>
    <w:rsid w:val="00564AF6"/>
    <w:rsid w:val="00564B57"/>
    <w:rsid w:val="00564C0C"/>
    <w:rsid w:val="00564C2C"/>
    <w:rsid w:val="00564C6A"/>
    <w:rsid w:val="00564DC8"/>
    <w:rsid w:val="005650FB"/>
    <w:rsid w:val="00565181"/>
    <w:rsid w:val="00565244"/>
    <w:rsid w:val="0056525C"/>
    <w:rsid w:val="00565373"/>
    <w:rsid w:val="005653FE"/>
    <w:rsid w:val="005654CC"/>
    <w:rsid w:val="005655CE"/>
    <w:rsid w:val="00565759"/>
    <w:rsid w:val="00565B23"/>
    <w:rsid w:val="00565DF1"/>
    <w:rsid w:val="00566059"/>
    <w:rsid w:val="00566089"/>
    <w:rsid w:val="00566136"/>
    <w:rsid w:val="00566286"/>
    <w:rsid w:val="005664FC"/>
    <w:rsid w:val="005665C0"/>
    <w:rsid w:val="005665E1"/>
    <w:rsid w:val="0056665F"/>
    <w:rsid w:val="005667B7"/>
    <w:rsid w:val="005668C2"/>
    <w:rsid w:val="00566932"/>
    <w:rsid w:val="00566A37"/>
    <w:rsid w:val="00566BA6"/>
    <w:rsid w:val="00566C26"/>
    <w:rsid w:val="00566C27"/>
    <w:rsid w:val="00566D2E"/>
    <w:rsid w:val="00567379"/>
    <w:rsid w:val="0056755A"/>
    <w:rsid w:val="0056767B"/>
    <w:rsid w:val="005676DF"/>
    <w:rsid w:val="005677B6"/>
    <w:rsid w:val="00567A4F"/>
    <w:rsid w:val="00567E12"/>
    <w:rsid w:val="00567FE0"/>
    <w:rsid w:val="00567FF5"/>
    <w:rsid w:val="005700FA"/>
    <w:rsid w:val="00570115"/>
    <w:rsid w:val="0057011F"/>
    <w:rsid w:val="00570138"/>
    <w:rsid w:val="00570234"/>
    <w:rsid w:val="005704A1"/>
    <w:rsid w:val="005704A4"/>
    <w:rsid w:val="005705D0"/>
    <w:rsid w:val="005709B9"/>
    <w:rsid w:val="005709BA"/>
    <w:rsid w:val="00570A6A"/>
    <w:rsid w:val="00570B66"/>
    <w:rsid w:val="00570D91"/>
    <w:rsid w:val="00570DE9"/>
    <w:rsid w:val="00570E92"/>
    <w:rsid w:val="00570EC9"/>
    <w:rsid w:val="0057117F"/>
    <w:rsid w:val="00571270"/>
    <w:rsid w:val="005712BB"/>
    <w:rsid w:val="00571739"/>
    <w:rsid w:val="0057173F"/>
    <w:rsid w:val="00571750"/>
    <w:rsid w:val="00571817"/>
    <w:rsid w:val="005718AC"/>
    <w:rsid w:val="005718E8"/>
    <w:rsid w:val="0057196F"/>
    <w:rsid w:val="00571B17"/>
    <w:rsid w:val="00571C3D"/>
    <w:rsid w:val="00571C8A"/>
    <w:rsid w:val="00571CEE"/>
    <w:rsid w:val="00571EE6"/>
    <w:rsid w:val="00571F35"/>
    <w:rsid w:val="00571FA3"/>
    <w:rsid w:val="005720F6"/>
    <w:rsid w:val="00572122"/>
    <w:rsid w:val="005721E5"/>
    <w:rsid w:val="00572462"/>
    <w:rsid w:val="00572468"/>
    <w:rsid w:val="0057249D"/>
    <w:rsid w:val="005724BA"/>
    <w:rsid w:val="0057271F"/>
    <w:rsid w:val="005728F6"/>
    <w:rsid w:val="00572985"/>
    <w:rsid w:val="005729B3"/>
    <w:rsid w:val="00572A88"/>
    <w:rsid w:val="00572AB0"/>
    <w:rsid w:val="00572AD8"/>
    <w:rsid w:val="00572C7B"/>
    <w:rsid w:val="00572E3A"/>
    <w:rsid w:val="00572E55"/>
    <w:rsid w:val="0057306E"/>
    <w:rsid w:val="00573142"/>
    <w:rsid w:val="00573187"/>
    <w:rsid w:val="00573250"/>
    <w:rsid w:val="005732C2"/>
    <w:rsid w:val="00573336"/>
    <w:rsid w:val="005735BA"/>
    <w:rsid w:val="0057369D"/>
    <w:rsid w:val="0057399E"/>
    <w:rsid w:val="00573A43"/>
    <w:rsid w:val="00573FA4"/>
    <w:rsid w:val="005740B3"/>
    <w:rsid w:val="005740D6"/>
    <w:rsid w:val="005740D9"/>
    <w:rsid w:val="005741E2"/>
    <w:rsid w:val="005741FA"/>
    <w:rsid w:val="005741FE"/>
    <w:rsid w:val="005742F2"/>
    <w:rsid w:val="00574414"/>
    <w:rsid w:val="00574454"/>
    <w:rsid w:val="00574594"/>
    <w:rsid w:val="00574640"/>
    <w:rsid w:val="00574864"/>
    <w:rsid w:val="00574868"/>
    <w:rsid w:val="00574896"/>
    <w:rsid w:val="005748BD"/>
    <w:rsid w:val="00574A9A"/>
    <w:rsid w:val="00574C49"/>
    <w:rsid w:val="00574C66"/>
    <w:rsid w:val="00574D96"/>
    <w:rsid w:val="00574EAB"/>
    <w:rsid w:val="00574EBC"/>
    <w:rsid w:val="00574F79"/>
    <w:rsid w:val="0057506B"/>
    <w:rsid w:val="005750EF"/>
    <w:rsid w:val="0057514A"/>
    <w:rsid w:val="005752C0"/>
    <w:rsid w:val="0057560B"/>
    <w:rsid w:val="005757DA"/>
    <w:rsid w:val="0057585F"/>
    <w:rsid w:val="00575AE9"/>
    <w:rsid w:val="00575BC5"/>
    <w:rsid w:val="00575C26"/>
    <w:rsid w:val="00575D00"/>
    <w:rsid w:val="00575EA7"/>
    <w:rsid w:val="00575F44"/>
    <w:rsid w:val="00575FC4"/>
    <w:rsid w:val="005761EC"/>
    <w:rsid w:val="00576240"/>
    <w:rsid w:val="0057626D"/>
    <w:rsid w:val="005762FC"/>
    <w:rsid w:val="005764EF"/>
    <w:rsid w:val="005766D8"/>
    <w:rsid w:val="005768AF"/>
    <w:rsid w:val="00576B75"/>
    <w:rsid w:val="00576C5A"/>
    <w:rsid w:val="00576CC0"/>
    <w:rsid w:val="00576E5A"/>
    <w:rsid w:val="00577065"/>
    <w:rsid w:val="00577099"/>
    <w:rsid w:val="005770C9"/>
    <w:rsid w:val="005771D5"/>
    <w:rsid w:val="00577213"/>
    <w:rsid w:val="005776A3"/>
    <w:rsid w:val="00577846"/>
    <w:rsid w:val="005779BC"/>
    <w:rsid w:val="005779DE"/>
    <w:rsid w:val="00577A3C"/>
    <w:rsid w:val="00577B87"/>
    <w:rsid w:val="00577C24"/>
    <w:rsid w:val="00577C3F"/>
    <w:rsid w:val="00577C94"/>
    <w:rsid w:val="00577E6C"/>
    <w:rsid w:val="00577EC6"/>
    <w:rsid w:val="00577F72"/>
    <w:rsid w:val="00577F99"/>
    <w:rsid w:val="00577FD7"/>
    <w:rsid w:val="0058004D"/>
    <w:rsid w:val="005800A6"/>
    <w:rsid w:val="005801DD"/>
    <w:rsid w:val="005804AE"/>
    <w:rsid w:val="00580522"/>
    <w:rsid w:val="00580649"/>
    <w:rsid w:val="00580664"/>
    <w:rsid w:val="0058072E"/>
    <w:rsid w:val="00580976"/>
    <w:rsid w:val="00580988"/>
    <w:rsid w:val="00580A9B"/>
    <w:rsid w:val="00580B77"/>
    <w:rsid w:val="00580BC4"/>
    <w:rsid w:val="00580CDC"/>
    <w:rsid w:val="00580CE5"/>
    <w:rsid w:val="00580DA4"/>
    <w:rsid w:val="00580EBE"/>
    <w:rsid w:val="00580ED5"/>
    <w:rsid w:val="0058114A"/>
    <w:rsid w:val="00581444"/>
    <w:rsid w:val="0058153C"/>
    <w:rsid w:val="00581776"/>
    <w:rsid w:val="00581944"/>
    <w:rsid w:val="00581ADA"/>
    <w:rsid w:val="00581F25"/>
    <w:rsid w:val="00581F2E"/>
    <w:rsid w:val="00581F92"/>
    <w:rsid w:val="00582020"/>
    <w:rsid w:val="0058204D"/>
    <w:rsid w:val="005820E7"/>
    <w:rsid w:val="00582413"/>
    <w:rsid w:val="0058242B"/>
    <w:rsid w:val="0058246A"/>
    <w:rsid w:val="005824AB"/>
    <w:rsid w:val="0058257A"/>
    <w:rsid w:val="00582938"/>
    <w:rsid w:val="00582947"/>
    <w:rsid w:val="00582A21"/>
    <w:rsid w:val="00582A3C"/>
    <w:rsid w:val="00582C7B"/>
    <w:rsid w:val="00582CAE"/>
    <w:rsid w:val="00582F02"/>
    <w:rsid w:val="00582FA3"/>
    <w:rsid w:val="005830D9"/>
    <w:rsid w:val="005835D2"/>
    <w:rsid w:val="005837C5"/>
    <w:rsid w:val="00583903"/>
    <w:rsid w:val="00583BC3"/>
    <w:rsid w:val="00583C1B"/>
    <w:rsid w:val="00583C33"/>
    <w:rsid w:val="00583C54"/>
    <w:rsid w:val="00583E4F"/>
    <w:rsid w:val="0058403C"/>
    <w:rsid w:val="00584082"/>
    <w:rsid w:val="005841E2"/>
    <w:rsid w:val="0058435F"/>
    <w:rsid w:val="00584566"/>
    <w:rsid w:val="005848C9"/>
    <w:rsid w:val="005848E5"/>
    <w:rsid w:val="005848E9"/>
    <w:rsid w:val="00584AA6"/>
    <w:rsid w:val="00584B38"/>
    <w:rsid w:val="00584B3C"/>
    <w:rsid w:val="00584BF9"/>
    <w:rsid w:val="00584DE1"/>
    <w:rsid w:val="00584DFE"/>
    <w:rsid w:val="00584EAB"/>
    <w:rsid w:val="00585327"/>
    <w:rsid w:val="0058533A"/>
    <w:rsid w:val="0058552C"/>
    <w:rsid w:val="0058569E"/>
    <w:rsid w:val="0058574F"/>
    <w:rsid w:val="005857C6"/>
    <w:rsid w:val="005858C3"/>
    <w:rsid w:val="005858F8"/>
    <w:rsid w:val="005858FE"/>
    <w:rsid w:val="00585905"/>
    <w:rsid w:val="005859B5"/>
    <w:rsid w:val="00585B9D"/>
    <w:rsid w:val="00585D3A"/>
    <w:rsid w:val="00585E74"/>
    <w:rsid w:val="0058602F"/>
    <w:rsid w:val="0058615D"/>
    <w:rsid w:val="005861B2"/>
    <w:rsid w:val="00586458"/>
    <w:rsid w:val="005864F3"/>
    <w:rsid w:val="00586541"/>
    <w:rsid w:val="005865D4"/>
    <w:rsid w:val="0058662C"/>
    <w:rsid w:val="00586701"/>
    <w:rsid w:val="00586755"/>
    <w:rsid w:val="005867A6"/>
    <w:rsid w:val="005867C0"/>
    <w:rsid w:val="005868F7"/>
    <w:rsid w:val="0058693C"/>
    <w:rsid w:val="00586A0C"/>
    <w:rsid w:val="00586B93"/>
    <w:rsid w:val="00586C73"/>
    <w:rsid w:val="00586CE3"/>
    <w:rsid w:val="00586DC5"/>
    <w:rsid w:val="00586E4E"/>
    <w:rsid w:val="00586F9B"/>
    <w:rsid w:val="00586FC2"/>
    <w:rsid w:val="005870F7"/>
    <w:rsid w:val="00587348"/>
    <w:rsid w:val="0058743A"/>
    <w:rsid w:val="00587441"/>
    <w:rsid w:val="0058746C"/>
    <w:rsid w:val="005875CE"/>
    <w:rsid w:val="00587778"/>
    <w:rsid w:val="00587925"/>
    <w:rsid w:val="005879EB"/>
    <w:rsid w:val="00587A01"/>
    <w:rsid w:val="00587CE2"/>
    <w:rsid w:val="00587F5C"/>
    <w:rsid w:val="00590051"/>
    <w:rsid w:val="005900D2"/>
    <w:rsid w:val="0059010D"/>
    <w:rsid w:val="005901A1"/>
    <w:rsid w:val="005901CC"/>
    <w:rsid w:val="00590285"/>
    <w:rsid w:val="00590295"/>
    <w:rsid w:val="00590330"/>
    <w:rsid w:val="00590465"/>
    <w:rsid w:val="00590472"/>
    <w:rsid w:val="0059049F"/>
    <w:rsid w:val="005905E4"/>
    <w:rsid w:val="0059083D"/>
    <w:rsid w:val="00590998"/>
    <w:rsid w:val="005909C5"/>
    <w:rsid w:val="005909D7"/>
    <w:rsid w:val="00590A07"/>
    <w:rsid w:val="00590C1A"/>
    <w:rsid w:val="00590E57"/>
    <w:rsid w:val="00590F15"/>
    <w:rsid w:val="00591163"/>
    <w:rsid w:val="0059116C"/>
    <w:rsid w:val="0059118B"/>
    <w:rsid w:val="005914AE"/>
    <w:rsid w:val="00591562"/>
    <w:rsid w:val="0059173A"/>
    <w:rsid w:val="0059184A"/>
    <w:rsid w:val="0059185D"/>
    <w:rsid w:val="0059189B"/>
    <w:rsid w:val="005919B8"/>
    <w:rsid w:val="00591AA9"/>
    <w:rsid w:val="00591B48"/>
    <w:rsid w:val="00591C98"/>
    <w:rsid w:val="00591D9B"/>
    <w:rsid w:val="00591DB1"/>
    <w:rsid w:val="00592115"/>
    <w:rsid w:val="0059218D"/>
    <w:rsid w:val="0059229C"/>
    <w:rsid w:val="005924CB"/>
    <w:rsid w:val="00592625"/>
    <w:rsid w:val="005926C9"/>
    <w:rsid w:val="00592700"/>
    <w:rsid w:val="00592752"/>
    <w:rsid w:val="005928BC"/>
    <w:rsid w:val="00592A12"/>
    <w:rsid w:val="00592A95"/>
    <w:rsid w:val="00592B56"/>
    <w:rsid w:val="00592D27"/>
    <w:rsid w:val="00592D4B"/>
    <w:rsid w:val="00592DF6"/>
    <w:rsid w:val="00592F51"/>
    <w:rsid w:val="00592F62"/>
    <w:rsid w:val="005930DD"/>
    <w:rsid w:val="00593438"/>
    <w:rsid w:val="005934A9"/>
    <w:rsid w:val="00593535"/>
    <w:rsid w:val="0059356C"/>
    <w:rsid w:val="00593671"/>
    <w:rsid w:val="0059368A"/>
    <w:rsid w:val="005937F6"/>
    <w:rsid w:val="00593929"/>
    <w:rsid w:val="00593A1D"/>
    <w:rsid w:val="00593A58"/>
    <w:rsid w:val="00593BA2"/>
    <w:rsid w:val="00593CAD"/>
    <w:rsid w:val="00593D97"/>
    <w:rsid w:val="00593E7D"/>
    <w:rsid w:val="00594055"/>
    <w:rsid w:val="00594094"/>
    <w:rsid w:val="0059453D"/>
    <w:rsid w:val="00594ABA"/>
    <w:rsid w:val="00594BE0"/>
    <w:rsid w:val="00594C6E"/>
    <w:rsid w:val="00594F56"/>
    <w:rsid w:val="00594FBD"/>
    <w:rsid w:val="0059507C"/>
    <w:rsid w:val="005952C6"/>
    <w:rsid w:val="005952D0"/>
    <w:rsid w:val="005952FD"/>
    <w:rsid w:val="005954D7"/>
    <w:rsid w:val="00595648"/>
    <w:rsid w:val="005956C6"/>
    <w:rsid w:val="00595799"/>
    <w:rsid w:val="005959AA"/>
    <w:rsid w:val="00595A5D"/>
    <w:rsid w:val="00595B61"/>
    <w:rsid w:val="00595C48"/>
    <w:rsid w:val="00595D73"/>
    <w:rsid w:val="00595E65"/>
    <w:rsid w:val="00595FC3"/>
    <w:rsid w:val="00595FD1"/>
    <w:rsid w:val="00596089"/>
    <w:rsid w:val="0059617C"/>
    <w:rsid w:val="00596280"/>
    <w:rsid w:val="00596868"/>
    <w:rsid w:val="005968EC"/>
    <w:rsid w:val="005969B6"/>
    <w:rsid w:val="00596A13"/>
    <w:rsid w:val="00596B15"/>
    <w:rsid w:val="00596C4C"/>
    <w:rsid w:val="00596CA3"/>
    <w:rsid w:val="00596CF6"/>
    <w:rsid w:val="00596DEA"/>
    <w:rsid w:val="00596E00"/>
    <w:rsid w:val="00596EB7"/>
    <w:rsid w:val="00596EDA"/>
    <w:rsid w:val="00597178"/>
    <w:rsid w:val="0059721E"/>
    <w:rsid w:val="00597312"/>
    <w:rsid w:val="005976C7"/>
    <w:rsid w:val="005977BE"/>
    <w:rsid w:val="00597839"/>
    <w:rsid w:val="00597907"/>
    <w:rsid w:val="00597A35"/>
    <w:rsid w:val="00597AA3"/>
    <w:rsid w:val="00597B3E"/>
    <w:rsid w:val="00597B6D"/>
    <w:rsid w:val="00597BAA"/>
    <w:rsid w:val="00597BC7"/>
    <w:rsid w:val="00597C39"/>
    <w:rsid w:val="00597C98"/>
    <w:rsid w:val="00597D1E"/>
    <w:rsid w:val="00597EAA"/>
    <w:rsid w:val="00597EAB"/>
    <w:rsid w:val="005A026E"/>
    <w:rsid w:val="005A03A7"/>
    <w:rsid w:val="005A0413"/>
    <w:rsid w:val="005A0506"/>
    <w:rsid w:val="005A0532"/>
    <w:rsid w:val="005A0560"/>
    <w:rsid w:val="005A06ED"/>
    <w:rsid w:val="005A0850"/>
    <w:rsid w:val="005A09D1"/>
    <w:rsid w:val="005A0ABE"/>
    <w:rsid w:val="005A0B23"/>
    <w:rsid w:val="005A0C3A"/>
    <w:rsid w:val="005A0F66"/>
    <w:rsid w:val="005A0FFD"/>
    <w:rsid w:val="005A1024"/>
    <w:rsid w:val="005A1151"/>
    <w:rsid w:val="005A1238"/>
    <w:rsid w:val="005A1274"/>
    <w:rsid w:val="005A1318"/>
    <w:rsid w:val="005A1399"/>
    <w:rsid w:val="005A13C8"/>
    <w:rsid w:val="005A1411"/>
    <w:rsid w:val="005A15D3"/>
    <w:rsid w:val="005A1924"/>
    <w:rsid w:val="005A198C"/>
    <w:rsid w:val="005A1AE0"/>
    <w:rsid w:val="005A1B65"/>
    <w:rsid w:val="005A1BFB"/>
    <w:rsid w:val="005A1C64"/>
    <w:rsid w:val="005A1F2D"/>
    <w:rsid w:val="005A2051"/>
    <w:rsid w:val="005A221F"/>
    <w:rsid w:val="005A2229"/>
    <w:rsid w:val="005A237F"/>
    <w:rsid w:val="005A23B8"/>
    <w:rsid w:val="005A243D"/>
    <w:rsid w:val="005A24A7"/>
    <w:rsid w:val="005A2514"/>
    <w:rsid w:val="005A2630"/>
    <w:rsid w:val="005A265A"/>
    <w:rsid w:val="005A2662"/>
    <w:rsid w:val="005A26EE"/>
    <w:rsid w:val="005A27A8"/>
    <w:rsid w:val="005A2B12"/>
    <w:rsid w:val="005A2B9C"/>
    <w:rsid w:val="005A2C5B"/>
    <w:rsid w:val="005A2DAB"/>
    <w:rsid w:val="005A2F2E"/>
    <w:rsid w:val="005A2FFE"/>
    <w:rsid w:val="005A32DE"/>
    <w:rsid w:val="005A3325"/>
    <w:rsid w:val="005A3644"/>
    <w:rsid w:val="005A3761"/>
    <w:rsid w:val="005A37BD"/>
    <w:rsid w:val="005A37C9"/>
    <w:rsid w:val="005A37EA"/>
    <w:rsid w:val="005A38D0"/>
    <w:rsid w:val="005A3995"/>
    <w:rsid w:val="005A3A79"/>
    <w:rsid w:val="005A3E89"/>
    <w:rsid w:val="005A3F20"/>
    <w:rsid w:val="005A3F75"/>
    <w:rsid w:val="005A4108"/>
    <w:rsid w:val="005A413E"/>
    <w:rsid w:val="005A41D9"/>
    <w:rsid w:val="005A4257"/>
    <w:rsid w:val="005A42E4"/>
    <w:rsid w:val="005A44F1"/>
    <w:rsid w:val="005A45B5"/>
    <w:rsid w:val="005A499E"/>
    <w:rsid w:val="005A4A47"/>
    <w:rsid w:val="005A4A5A"/>
    <w:rsid w:val="005A4BA2"/>
    <w:rsid w:val="005A4C99"/>
    <w:rsid w:val="005A4CC4"/>
    <w:rsid w:val="005A4DC5"/>
    <w:rsid w:val="005A4E1D"/>
    <w:rsid w:val="005A4E51"/>
    <w:rsid w:val="005A4EE8"/>
    <w:rsid w:val="005A5099"/>
    <w:rsid w:val="005A53B9"/>
    <w:rsid w:val="005A54F2"/>
    <w:rsid w:val="005A5513"/>
    <w:rsid w:val="005A5624"/>
    <w:rsid w:val="005A56DB"/>
    <w:rsid w:val="005A570F"/>
    <w:rsid w:val="005A57C2"/>
    <w:rsid w:val="005A57D9"/>
    <w:rsid w:val="005A57E3"/>
    <w:rsid w:val="005A591C"/>
    <w:rsid w:val="005A5A0D"/>
    <w:rsid w:val="005A5B2F"/>
    <w:rsid w:val="005A5B55"/>
    <w:rsid w:val="005A5BC1"/>
    <w:rsid w:val="005A5C2F"/>
    <w:rsid w:val="005A5EBE"/>
    <w:rsid w:val="005A5F96"/>
    <w:rsid w:val="005A6024"/>
    <w:rsid w:val="005A6171"/>
    <w:rsid w:val="005A6356"/>
    <w:rsid w:val="005A6419"/>
    <w:rsid w:val="005A64AE"/>
    <w:rsid w:val="005A65CB"/>
    <w:rsid w:val="005A6631"/>
    <w:rsid w:val="005A6976"/>
    <w:rsid w:val="005A6A00"/>
    <w:rsid w:val="005A6A6C"/>
    <w:rsid w:val="005A6AC0"/>
    <w:rsid w:val="005A6AC7"/>
    <w:rsid w:val="005A6ACB"/>
    <w:rsid w:val="005A6C69"/>
    <w:rsid w:val="005A6DB2"/>
    <w:rsid w:val="005A6E3B"/>
    <w:rsid w:val="005A6F3E"/>
    <w:rsid w:val="005A711D"/>
    <w:rsid w:val="005A716D"/>
    <w:rsid w:val="005A71E1"/>
    <w:rsid w:val="005A7208"/>
    <w:rsid w:val="005A7255"/>
    <w:rsid w:val="005A732F"/>
    <w:rsid w:val="005A73CE"/>
    <w:rsid w:val="005A7470"/>
    <w:rsid w:val="005A7592"/>
    <w:rsid w:val="005A75CD"/>
    <w:rsid w:val="005A7632"/>
    <w:rsid w:val="005A7708"/>
    <w:rsid w:val="005A7F15"/>
    <w:rsid w:val="005A7FA5"/>
    <w:rsid w:val="005A7FBB"/>
    <w:rsid w:val="005B0084"/>
    <w:rsid w:val="005B02AA"/>
    <w:rsid w:val="005B03E9"/>
    <w:rsid w:val="005B079B"/>
    <w:rsid w:val="005B07C9"/>
    <w:rsid w:val="005B0846"/>
    <w:rsid w:val="005B08D3"/>
    <w:rsid w:val="005B0C82"/>
    <w:rsid w:val="005B0DA2"/>
    <w:rsid w:val="005B0E10"/>
    <w:rsid w:val="005B1006"/>
    <w:rsid w:val="005B1093"/>
    <w:rsid w:val="005B118B"/>
    <w:rsid w:val="005B122E"/>
    <w:rsid w:val="005B146F"/>
    <w:rsid w:val="005B155C"/>
    <w:rsid w:val="005B165F"/>
    <w:rsid w:val="005B1696"/>
    <w:rsid w:val="005B1905"/>
    <w:rsid w:val="005B1921"/>
    <w:rsid w:val="005B1A62"/>
    <w:rsid w:val="005B1A85"/>
    <w:rsid w:val="005B1B2F"/>
    <w:rsid w:val="005B1C00"/>
    <w:rsid w:val="005B1DC2"/>
    <w:rsid w:val="005B1F1E"/>
    <w:rsid w:val="005B1FD6"/>
    <w:rsid w:val="005B2079"/>
    <w:rsid w:val="005B2174"/>
    <w:rsid w:val="005B22AF"/>
    <w:rsid w:val="005B23B4"/>
    <w:rsid w:val="005B2609"/>
    <w:rsid w:val="005B27FE"/>
    <w:rsid w:val="005B285A"/>
    <w:rsid w:val="005B2945"/>
    <w:rsid w:val="005B29B9"/>
    <w:rsid w:val="005B2D11"/>
    <w:rsid w:val="005B2DB9"/>
    <w:rsid w:val="005B2DC3"/>
    <w:rsid w:val="005B2E23"/>
    <w:rsid w:val="005B2E61"/>
    <w:rsid w:val="005B2E92"/>
    <w:rsid w:val="005B2F69"/>
    <w:rsid w:val="005B30C2"/>
    <w:rsid w:val="005B3147"/>
    <w:rsid w:val="005B32C6"/>
    <w:rsid w:val="005B33F2"/>
    <w:rsid w:val="005B33FB"/>
    <w:rsid w:val="005B3450"/>
    <w:rsid w:val="005B349F"/>
    <w:rsid w:val="005B34EB"/>
    <w:rsid w:val="005B34F2"/>
    <w:rsid w:val="005B359C"/>
    <w:rsid w:val="005B35B6"/>
    <w:rsid w:val="005B360C"/>
    <w:rsid w:val="005B3696"/>
    <w:rsid w:val="005B369D"/>
    <w:rsid w:val="005B36F7"/>
    <w:rsid w:val="005B3766"/>
    <w:rsid w:val="005B3824"/>
    <w:rsid w:val="005B3AD6"/>
    <w:rsid w:val="005B3AE0"/>
    <w:rsid w:val="005B3B4C"/>
    <w:rsid w:val="005B3BC5"/>
    <w:rsid w:val="005B3D64"/>
    <w:rsid w:val="005B402B"/>
    <w:rsid w:val="005B41B6"/>
    <w:rsid w:val="005B42FC"/>
    <w:rsid w:val="005B46F8"/>
    <w:rsid w:val="005B4738"/>
    <w:rsid w:val="005B485E"/>
    <w:rsid w:val="005B4942"/>
    <w:rsid w:val="005B4C2F"/>
    <w:rsid w:val="005B4D95"/>
    <w:rsid w:val="005B4E66"/>
    <w:rsid w:val="005B50A2"/>
    <w:rsid w:val="005B50EE"/>
    <w:rsid w:val="005B5105"/>
    <w:rsid w:val="005B5148"/>
    <w:rsid w:val="005B515C"/>
    <w:rsid w:val="005B5242"/>
    <w:rsid w:val="005B525A"/>
    <w:rsid w:val="005B5309"/>
    <w:rsid w:val="005B5312"/>
    <w:rsid w:val="005B5414"/>
    <w:rsid w:val="005B5422"/>
    <w:rsid w:val="005B5478"/>
    <w:rsid w:val="005B5520"/>
    <w:rsid w:val="005B55ED"/>
    <w:rsid w:val="005B569D"/>
    <w:rsid w:val="005B5847"/>
    <w:rsid w:val="005B597E"/>
    <w:rsid w:val="005B5AA3"/>
    <w:rsid w:val="005B5B92"/>
    <w:rsid w:val="005B5F2C"/>
    <w:rsid w:val="005B6106"/>
    <w:rsid w:val="005B6211"/>
    <w:rsid w:val="005B64E5"/>
    <w:rsid w:val="005B6552"/>
    <w:rsid w:val="005B6759"/>
    <w:rsid w:val="005B698C"/>
    <w:rsid w:val="005B6AF8"/>
    <w:rsid w:val="005B6C09"/>
    <w:rsid w:val="005B6C51"/>
    <w:rsid w:val="005B6D56"/>
    <w:rsid w:val="005B6E7C"/>
    <w:rsid w:val="005B7016"/>
    <w:rsid w:val="005B71B6"/>
    <w:rsid w:val="005B71BB"/>
    <w:rsid w:val="005B72BB"/>
    <w:rsid w:val="005B737C"/>
    <w:rsid w:val="005B7390"/>
    <w:rsid w:val="005B7479"/>
    <w:rsid w:val="005B7538"/>
    <w:rsid w:val="005B7715"/>
    <w:rsid w:val="005B79B6"/>
    <w:rsid w:val="005B7CC9"/>
    <w:rsid w:val="005B7EAF"/>
    <w:rsid w:val="005B7FDD"/>
    <w:rsid w:val="005C0016"/>
    <w:rsid w:val="005C007B"/>
    <w:rsid w:val="005C00EE"/>
    <w:rsid w:val="005C02FE"/>
    <w:rsid w:val="005C0334"/>
    <w:rsid w:val="005C03DB"/>
    <w:rsid w:val="005C03F4"/>
    <w:rsid w:val="005C0479"/>
    <w:rsid w:val="005C04C7"/>
    <w:rsid w:val="005C05DF"/>
    <w:rsid w:val="005C0771"/>
    <w:rsid w:val="005C0835"/>
    <w:rsid w:val="005C090E"/>
    <w:rsid w:val="005C0B1A"/>
    <w:rsid w:val="005C0BC2"/>
    <w:rsid w:val="005C0BFC"/>
    <w:rsid w:val="005C0F07"/>
    <w:rsid w:val="005C107D"/>
    <w:rsid w:val="005C11D1"/>
    <w:rsid w:val="005C11E5"/>
    <w:rsid w:val="005C12E5"/>
    <w:rsid w:val="005C13E0"/>
    <w:rsid w:val="005C1855"/>
    <w:rsid w:val="005C199C"/>
    <w:rsid w:val="005C19B0"/>
    <w:rsid w:val="005C1A3D"/>
    <w:rsid w:val="005C1AF1"/>
    <w:rsid w:val="005C1B02"/>
    <w:rsid w:val="005C1BC5"/>
    <w:rsid w:val="005C1C26"/>
    <w:rsid w:val="005C1CD6"/>
    <w:rsid w:val="005C1E35"/>
    <w:rsid w:val="005C1F93"/>
    <w:rsid w:val="005C2127"/>
    <w:rsid w:val="005C21B9"/>
    <w:rsid w:val="005C2220"/>
    <w:rsid w:val="005C259E"/>
    <w:rsid w:val="005C2641"/>
    <w:rsid w:val="005C26C2"/>
    <w:rsid w:val="005C2723"/>
    <w:rsid w:val="005C27AD"/>
    <w:rsid w:val="005C2845"/>
    <w:rsid w:val="005C2895"/>
    <w:rsid w:val="005C28F1"/>
    <w:rsid w:val="005C2AAC"/>
    <w:rsid w:val="005C2B8F"/>
    <w:rsid w:val="005C2DB0"/>
    <w:rsid w:val="005C2E56"/>
    <w:rsid w:val="005C2F6D"/>
    <w:rsid w:val="005C3115"/>
    <w:rsid w:val="005C329A"/>
    <w:rsid w:val="005C33BD"/>
    <w:rsid w:val="005C33FA"/>
    <w:rsid w:val="005C359D"/>
    <w:rsid w:val="005C35CD"/>
    <w:rsid w:val="005C38E3"/>
    <w:rsid w:val="005C38F1"/>
    <w:rsid w:val="005C399B"/>
    <w:rsid w:val="005C3AEC"/>
    <w:rsid w:val="005C3B49"/>
    <w:rsid w:val="005C3C54"/>
    <w:rsid w:val="005C3D2B"/>
    <w:rsid w:val="005C3D6D"/>
    <w:rsid w:val="005C3DCE"/>
    <w:rsid w:val="005C3DF4"/>
    <w:rsid w:val="005C4168"/>
    <w:rsid w:val="005C420A"/>
    <w:rsid w:val="005C42C1"/>
    <w:rsid w:val="005C434B"/>
    <w:rsid w:val="005C43DD"/>
    <w:rsid w:val="005C4417"/>
    <w:rsid w:val="005C463F"/>
    <w:rsid w:val="005C46DE"/>
    <w:rsid w:val="005C4754"/>
    <w:rsid w:val="005C47FE"/>
    <w:rsid w:val="005C48E6"/>
    <w:rsid w:val="005C4986"/>
    <w:rsid w:val="005C49B7"/>
    <w:rsid w:val="005C4AD0"/>
    <w:rsid w:val="005C4B05"/>
    <w:rsid w:val="005C4B30"/>
    <w:rsid w:val="005C4C1A"/>
    <w:rsid w:val="005C4E83"/>
    <w:rsid w:val="005C4FD1"/>
    <w:rsid w:val="005C5029"/>
    <w:rsid w:val="005C5966"/>
    <w:rsid w:val="005C5B3A"/>
    <w:rsid w:val="005C5D8A"/>
    <w:rsid w:val="005C5E75"/>
    <w:rsid w:val="005C5F78"/>
    <w:rsid w:val="005C5FFB"/>
    <w:rsid w:val="005C60BB"/>
    <w:rsid w:val="005C60E6"/>
    <w:rsid w:val="005C60E9"/>
    <w:rsid w:val="005C612B"/>
    <w:rsid w:val="005C617E"/>
    <w:rsid w:val="005C61C5"/>
    <w:rsid w:val="005C62AD"/>
    <w:rsid w:val="005C632E"/>
    <w:rsid w:val="005C639C"/>
    <w:rsid w:val="005C63DD"/>
    <w:rsid w:val="005C640B"/>
    <w:rsid w:val="005C6415"/>
    <w:rsid w:val="005C64B4"/>
    <w:rsid w:val="005C66E0"/>
    <w:rsid w:val="005C66E9"/>
    <w:rsid w:val="005C6777"/>
    <w:rsid w:val="005C68E3"/>
    <w:rsid w:val="005C6C17"/>
    <w:rsid w:val="005C6D53"/>
    <w:rsid w:val="005C6D91"/>
    <w:rsid w:val="005C6DF2"/>
    <w:rsid w:val="005C6DFE"/>
    <w:rsid w:val="005C6E2D"/>
    <w:rsid w:val="005C6E95"/>
    <w:rsid w:val="005C7311"/>
    <w:rsid w:val="005C73C8"/>
    <w:rsid w:val="005C73E5"/>
    <w:rsid w:val="005C74EE"/>
    <w:rsid w:val="005C75D4"/>
    <w:rsid w:val="005C7764"/>
    <w:rsid w:val="005C796C"/>
    <w:rsid w:val="005C7A0F"/>
    <w:rsid w:val="005C7AD5"/>
    <w:rsid w:val="005C7CB3"/>
    <w:rsid w:val="005C7CF5"/>
    <w:rsid w:val="005C7CF6"/>
    <w:rsid w:val="005C7E95"/>
    <w:rsid w:val="005D0010"/>
    <w:rsid w:val="005D007E"/>
    <w:rsid w:val="005D02A8"/>
    <w:rsid w:val="005D02FA"/>
    <w:rsid w:val="005D034B"/>
    <w:rsid w:val="005D03BE"/>
    <w:rsid w:val="005D04FA"/>
    <w:rsid w:val="005D0533"/>
    <w:rsid w:val="005D077B"/>
    <w:rsid w:val="005D077C"/>
    <w:rsid w:val="005D0D23"/>
    <w:rsid w:val="005D0D9B"/>
    <w:rsid w:val="005D0E71"/>
    <w:rsid w:val="005D0ED4"/>
    <w:rsid w:val="005D0F41"/>
    <w:rsid w:val="005D102C"/>
    <w:rsid w:val="005D1188"/>
    <w:rsid w:val="005D1192"/>
    <w:rsid w:val="005D11DC"/>
    <w:rsid w:val="005D1472"/>
    <w:rsid w:val="005D15E9"/>
    <w:rsid w:val="005D16D6"/>
    <w:rsid w:val="005D175D"/>
    <w:rsid w:val="005D17D3"/>
    <w:rsid w:val="005D1824"/>
    <w:rsid w:val="005D1994"/>
    <w:rsid w:val="005D1A5C"/>
    <w:rsid w:val="005D1BAA"/>
    <w:rsid w:val="005D1BE2"/>
    <w:rsid w:val="005D1C42"/>
    <w:rsid w:val="005D1D9F"/>
    <w:rsid w:val="005D1DB0"/>
    <w:rsid w:val="005D21DF"/>
    <w:rsid w:val="005D2401"/>
    <w:rsid w:val="005D2474"/>
    <w:rsid w:val="005D2499"/>
    <w:rsid w:val="005D266B"/>
    <w:rsid w:val="005D2947"/>
    <w:rsid w:val="005D2A17"/>
    <w:rsid w:val="005D2B7C"/>
    <w:rsid w:val="005D2BFD"/>
    <w:rsid w:val="005D2DC6"/>
    <w:rsid w:val="005D2ED8"/>
    <w:rsid w:val="005D2F98"/>
    <w:rsid w:val="005D3046"/>
    <w:rsid w:val="005D3052"/>
    <w:rsid w:val="005D3196"/>
    <w:rsid w:val="005D31BA"/>
    <w:rsid w:val="005D32E3"/>
    <w:rsid w:val="005D361B"/>
    <w:rsid w:val="005D3711"/>
    <w:rsid w:val="005D37A4"/>
    <w:rsid w:val="005D3D03"/>
    <w:rsid w:val="005D3D47"/>
    <w:rsid w:val="005D3EBD"/>
    <w:rsid w:val="005D3EE6"/>
    <w:rsid w:val="005D41D4"/>
    <w:rsid w:val="005D4219"/>
    <w:rsid w:val="005D42E2"/>
    <w:rsid w:val="005D4313"/>
    <w:rsid w:val="005D4337"/>
    <w:rsid w:val="005D4534"/>
    <w:rsid w:val="005D4729"/>
    <w:rsid w:val="005D4C00"/>
    <w:rsid w:val="005D4C6B"/>
    <w:rsid w:val="005D4C6C"/>
    <w:rsid w:val="005D4FAC"/>
    <w:rsid w:val="005D5059"/>
    <w:rsid w:val="005D5076"/>
    <w:rsid w:val="005D50CD"/>
    <w:rsid w:val="005D50F8"/>
    <w:rsid w:val="005D52D6"/>
    <w:rsid w:val="005D52FF"/>
    <w:rsid w:val="005D544B"/>
    <w:rsid w:val="005D553C"/>
    <w:rsid w:val="005D5568"/>
    <w:rsid w:val="005D57F2"/>
    <w:rsid w:val="005D5ADC"/>
    <w:rsid w:val="005D5CB9"/>
    <w:rsid w:val="005D5CBA"/>
    <w:rsid w:val="005D5E5D"/>
    <w:rsid w:val="005D5EA1"/>
    <w:rsid w:val="005D5EAC"/>
    <w:rsid w:val="005D5FE7"/>
    <w:rsid w:val="005D61DD"/>
    <w:rsid w:val="005D62A1"/>
    <w:rsid w:val="005D62EF"/>
    <w:rsid w:val="005D6548"/>
    <w:rsid w:val="005D6897"/>
    <w:rsid w:val="005D6AE9"/>
    <w:rsid w:val="005D6B02"/>
    <w:rsid w:val="005D6DE6"/>
    <w:rsid w:val="005D6F7D"/>
    <w:rsid w:val="005D7151"/>
    <w:rsid w:val="005D7359"/>
    <w:rsid w:val="005D7440"/>
    <w:rsid w:val="005D74F6"/>
    <w:rsid w:val="005D7510"/>
    <w:rsid w:val="005D76D4"/>
    <w:rsid w:val="005D7AE5"/>
    <w:rsid w:val="005D7AFF"/>
    <w:rsid w:val="005D7C36"/>
    <w:rsid w:val="005D7CB3"/>
    <w:rsid w:val="005D7EB7"/>
    <w:rsid w:val="005D7F21"/>
    <w:rsid w:val="005E0288"/>
    <w:rsid w:val="005E0395"/>
    <w:rsid w:val="005E0490"/>
    <w:rsid w:val="005E05ED"/>
    <w:rsid w:val="005E0C2A"/>
    <w:rsid w:val="005E0E16"/>
    <w:rsid w:val="005E0E94"/>
    <w:rsid w:val="005E0F96"/>
    <w:rsid w:val="005E0FCF"/>
    <w:rsid w:val="005E101A"/>
    <w:rsid w:val="005E116C"/>
    <w:rsid w:val="005E11B8"/>
    <w:rsid w:val="005E124A"/>
    <w:rsid w:val="005E144E"/>
    <w:rsid w:val="005E1582"/>
    <w:rsid w:val="005E15E0"/>
    <w:rsid w:val="005E15F2"/>
    <w:rsid w:val="005E1653"/>
    <w:rsid w:val="005E1D20"/>
    <w:rsid w:val="005E1F41"/>
    <w:rsid w:val="005E1FB1"/>
    <w:rsid w:val="005E20C6"/>
    <w:rsid w:val="005E2194"/>
    <w:rsid w:val="005E2303"/>
    <w:rsid w:val="005E24A9"/>
    <w:rsid w:val="005E24C7"/>
    <w:rsid w:val="005E25F1"/>
    <w:rsid w:val="005E260B"/>
    <w:rsid w:val="005E268C"/>
    <w:rsid w:val="005E26A7"/>
    <w:rsid w:val="005E26BD"/>
    <w:rsid w:val="005E2813"/>
    <w:rsid w:val="005E281F"/>
    <w:rsid w:val="005E2E0B"/>
    <w:rsid w:val="005E2FA3"/>
    <w:rsid w:val="005E3199"/>
    <w:rsid w:val="005E329B"/>
    <w:rsid w:val="005E3447"/>
    <w:rsid w:val="005E34FF"/>
    <w:rsid w:val="005E356B"/>
    <w:rsid w:val="005E35B1"/>
    <w:rsid w:val="005E371A"/>
    <w:rsid w:val="005E3727"/>
    <w:rsid w:val="005E3906"/>
    <w:rsid w:val="005E394D"/>
    <w:rsid w:val="005E3C38"/>
    <w:rsid w:val="005E411F"/>
    <w:rsid w:val="005E41FD"/>
    <w:rsid w:val="005E4294"/>
    <w:rsid w:val="005E44A7"/>
    <w:rsid w:val="005E4553"/>
    <w:rsid w:val="005E46BF"/>
    <w:rsid w:val="005E4765"/>
    <w:rsid w:val="005E47B7"/>
    <w:rsid w:val="005E47EC"/>
    <w:rsid w:val="005E489D"/>
    <w:rsid w:val="005E4901"/>
    <w:rsid w:val="005E4A41"/>
    <w:rsid w:val="005E4AFB"/>
    <w:rsid w:val="005E4C67"/>
    <w:rsid w:val="005E4F60"/>
    <w:rsid w:val="005E5115"/>
    <w:rsid w:val="005E51BD"/>
    <w:rsid w:val="005E52A3"/>
    <w:rsid w:val="005E52DF"/>
    <w:rsid w:val="005E539E"/>
    <w:rsid w:val="005E53F3"/>
    <w:rsid w:val="005E5592"/>
    <w:rsid w:val="005E564F"/>
    <w:rsid w:val="005E5723"/>
    <w:rsid w:val="005E57D7"/>
    <w:rsid w:val="005E5864"/>
    <w:rsid w:val="005E5900"/>
    <w:rsid w:val="005E5938"/>
    <w:rsid w:val="005E5B21"/>
    <w:rsid w:val="005E5BED"/>
    <w:rsid w:val="005E5D53"/>
    <w:rsid w:val="005E5FA3"/>
    <w:rsid w:val="005E61F6"/>
    <w:rsid w:val="005E6290"/>
    <w:rsid w:val="005E630B"/>
    <w:rsid w:val="005E639A"/>
    <w:rsid w:val="005E668A"/>
    <w:rsid w:val="005E68A2"/>
    <w:rsid w:val="005E6AEC"/>
    <w:rsid w:val="005E6AF0"/>
    <w:rsid w:val="005E6BE4"/>
    <w:rsid w:val="005E6C7D"/>
    <w:rsid w:val="005E6CFD"/>
    <w:rsid w:val="005E6D24"/>
    <w:rsid w:val="005E6D82"/>
    <w:rsid w:val="005E6FC8"/>
    <w:rsid w:val="005E6FF1"/>
    <w:rsid w:val="005E6FFC"/>
    <w:rsid w:val="005E709C"/>
    <w:rsid w:val="005E72D2"/>
    <w:rsid w:val="005E72DF"/>
    <w:rsid w:val="005E7317"/>
    <w:rsid w:val="005E74D1"/>
    <w:rsid w:val="005E762C"/>
    <w:rsid w:val="005E7788"/>
    <w:rsid w:val="005E7903"/>
    <w:rsid w:val="005E7D21"/>
    <w:rsid w:val="005E7DC9"/>
    <w:rsid w:val="005E7FEC"/>
    <w:rsid w:val="005F0080"/>
    <w:rsid w:val="005F01DB"/>
    <w:rsid w:val="005F02C3"/>
    <w:rsid w:val="005F03AD"/>
    <w:rsid w:val="005F03F1"/>
    <w:rsid w:val="005F0524"/>
    <w:rsid w:val="005F05FE"/>
    <w:rsid w:val="005F0618"/>
    <w:rsid w:val="005F06B3"/>
    <w:rsid w:val="005F09EC"/>
    <w:rsid w:val="005F0E2F"/>
    <w:rsid w:val="005F0F8C"/>
    <w:rsid w:val="005F105C"/>
    <w:rsid w:val="005F129C"/>
    <w:rsid w:val="005F13C7"/>
    <w:rsid w:val="005F1408"/>
    <w:rsid w:val="005F1417"/>
    <w:rsid w:val="005F15AC"/>
    <w:rsid w:val="005F161D"/>
    <w:rsid w:val="005F177A"/>
    <w:rsid w:val="005F17A8"/>
    <w:rsid w:val="005F17ED"/>
    <w:rsid w:val="005F18D3"/>
    <w:rsid w:val="005F1B74"/>
    <w:rsid w:val="005F1BFE"/>
    <w:rsid w:val="005F1CE8"/>
    <w:rsid w:val="005F1D1D"/>
    <w:rsid w:val="005F1DF9"/>
    <w:rsid w:val="005F2089"/>
    <w:rsid w:val="005F20AF"/>
    <w:rsid w:val="005F2273"/>
    <w:rsid w:val="005F22E2"/>
    <w:rsid w:val="005F2539"/>
    <w:rsid w:val="005F2583"/>
    <w:rsid w:val="005F25F9"/>
    <w:rsid w:val="005F2637"/>
    <w:rsid w:val="005F267C"/>
    <w:rsid w:val="005F26F6"/>
    <w:rsid w:val="005F27B3"/>
    <w:rsid w:val="005F27D8"/>
    <w:rsid w:val="005F27E3"/>
    <w:rsid w:val="005F2974"/>
    <w:rsid w:val="005F2A78"/>
    <w:rsid w:val="005F2AD3"/>
    <w:rsid w:val="005F2CD1"/>
    <w:rsid w:val="005F2DA8"/>
    <w:rsid w:val="005F2EEA"/>
    <w:rsid w:val="005F2F68"/>
    <w:rsid w:val="005F3169"/>
    <w:rsid w:val="005F327F"/>
    <w:rsid w:val="005F335E"/>
    <w:rsid w:val="005F33B7"/>
    <w:rsid w:val="005F34EB"/>
    <w:rsid w:val="005F34F2"/>
    <w:rsid w:val="005F3585"/>
    <w:rsid w:val="005F3761"/>
    <w:rsid w:val="005F38C8"/>
    <w:rsid w:val="005F392F"/>
    <w:rsid w:val="005F398F"/>
    <w:rsid w:val="005F3A6B"/>
    <w:rsid w:val="005F3F3C"/>
    <w:rsid w:val="005F3FBB"/>
    <w:rsid w:val="005F404F"/>
    <w:rsid w:val="005F4138"/>
    <w:rsid w:val="005F4161"/>
    <w:rsid w:val="005F4190"/>
    <w:rsid w:val="005F41FF"/>
    <w:rsid w:val="005F4229"/>
    <w:rsid w:val="005F4302"/>
    <w:rsid w:val="005F4322"/>
    <w:rsid w:val="005F4407"/>
    <w:rsid w:val="005F459C"/>
    <w:rsid w:val="005F45A6"/>
    <w:rsid w:val="005F4792"/>
    <w:rsid w:val="005F48C5"/>
    <w:rsid w:val="005F49D0"/>
    <w:rsid w:val="005F4A46"/>
    <w:rsid w:val="005F4A80"/>
    <w:rsid w:val="005F4BC2"/>
    <w:rsid w:val="005F4C34"/>
    <w:rsid w:val="005F4C3C"/>
    <w:rsid w:val="005F4EAE"/>
    <w:rsid w:val="005F4F73"/>
    <w:rsid w:val="005F5120"/>
    <w:rsid w:val="005F5122"/>
    <w:rsid w:val="005F51DA"/>
    <w:rsid w:val="005F51EC"/>
    <w:rsid w:val="005F521F"/>
    <w:rsid w:val="005F5229"/>
    <w:rsid w:val="005F5355"/>
    <w:rsid w:val="005F54A2"/>
    <w:rsid w:val="005F5606"/>
    <w:rsid w:val="005F5826"/>
    <w:rsid w:val="005F5AE0"/>
    <w:rsid w:val="005F5AFD"/>
    <w:rsid w:val="005F5B48"/>
    <w:rsid w:val="005F5D4F"/>
    <w:rsid w:val="005F5E5A"/>
    <w:rsid w:val="005F5F5B"/>
    <w:rsid w:val="005F6131"/>
    <w:rsid w:val="005F61A0"/>
    <w:rsid w:val="005F61A4"/>
    <w:rsid w:val="005F6308"/>
    <w:rsid w:val="005F6698"/>
    <w:rsid w:val="005F6703"/>
    <w:rsid w:val="005F686B"/>
    <w:rsid w:val="005F694C"/>
    <w:rsid w:val="005F696E"/>
    <w:rsid w:val="005F6C51"/>
    <w:rsid w:val="005F6D49"/>
    <w:rsid w:val="005F713A"/>
    <w:rsid w:val="005F7261"/>
    <w:rsid w:val="005F72C7"/>
    <w:rsid w:val="005F72E8"/>
    <w:rsid w:val="005F7376"/>
    <w:rsid w:val="005F7421"/>
    <w:rsid w:val="005F7583"/>
    <w:rsid w:val="005F767B"/>
    <w:rsid w:val="005F77A8"/>
    <w:rsid w:val="005F77B2"/>
    <w:rsid w:val="005F77EC"/>
    <w:rsid w:val="005F793B"/>
    <w:rsid w:val="005F794F"/>
    <w:rsid w:val="005F797F"/>
    <w:rsid w:val="005F79FB"/>
    <w:rsid w:val="005F7A33"/>
    <w:rsid w:val="005F7A35"/>
    <w:rsid w:val="005F7B8D"/>
    <w:rsid w:val="005F7BD4"/>
    <w:rsid w:val="005F7CF8"/>
    <w:rsid w:val="005F7D46"/>
    <w:rsid w:val="005F7DF2"/>
    <w:rsid w:val="005F7ED1"/>
    <w:rsid w:val="005F7EE0"/>
    <w:rsid w:val="005F7EF9"/>
    <w:rsid w:val="005F7F9F"/>
    <w:rsid w:val="0060019B"/>
    <w:rsid w:val="00600410"/>
    <w:rsid w:val="006005C9"/>
    <w:rsid w:val="00600673"/>
    <w:rsid w:val="00600705"/>
    <w:rsid w:val="0060073C"/>
    <w:rsid w:val="00600DBF"/>
    <w:rsid w:val="00600DF4"/>
    <w:rsid w:val="00600E0C"/>
    <w:rsid w:val="00601050"/>
    <w:rsid w:val="00601145"/>
    <w:rsid w:val="0060116E"/>
    <w:rsid w:val="00601391"/>
    <w:rsid w:val="006013FA"/>
    <w:rsid w:val="006014DB"/>
    <w:rsid w:val="00601504"/>
    <w:rsid w:val="0060157C"/>
    <w:rsid w:val="006017B0"/>
    <w:rsid w:val="00601990"/>
    <w:rsid w:val="00601B4C"/>
    <w:rsid w:val="00601D59"/>
    <w:rsid w:val="00601D7C"/>
    <w:rsid w:val="00601EFB"/>
    <w:rsid w:val="006020E4"/>
    <w:rsid w:val="00602261"/>
    <w:rsid w:val="006022EB"/>
    <w:rsid w:val="0060245A"/>
    <w:rsid w:val="00602483"/>
    <w:rsid w:val="00602488"/>
    <w:rsid w:val="00602556"/>
    <w:rsid w:val="00602775"/>
    <w:rsid w:val="00602795"/>
    <w:rsid w:val="006027AE"/>
    <w:rsid w:val="006027EA"/>
    <w:rsid w:val="00602946"/>
    <w:rsid w:val="00602985"/>
    <w:rsid w:val="00602994"/>
    <w:rsid w:val="00602D26"/>
    <w:rsid w:val="00602E22"/>
    <w:rsid w:val="00602EDA"/>
    <w:rsid w:val="00602F2C"/>
    <w:rsid w:val="00603058"/>
    <w:rsid w:val="006030C2"/>
    <w:rsid w:val="0060338E"/>
    <w:rsid w:val="00603547"/>
    <w:rsid w:val="0060361A"/>
    <w:rsid w:val="006036B1"/>
    <w:rsid w:val="006036C9"/>
    <w:rsid w:val="006036EC"/>
    <w:rsid w:val="0060379D"/>
    <w:rsid w:val="006037FC"/>
    <w:rsid w:val="00603A79"/>
    <w:rsid w:val="00603B11"/>
    <w:rsid w:val="00603BF7"/>
    <w:rsid w:val="00603F63"/>
    <w:rsid w:val="006040BE"/>
    <w:rsid w:val="00604137"/>
    <w:rsid w:val="0060426F"/>
    <w:rsid w:val="006043B1"/>
    <w:rsid w:val="00604409"/>
    <w:rsid w:val="00604468"/>
    <w:rsid w:val="00604656"/>
    <w:rsid w:val="0060484A"/>
    <w:rsid w:val="00604C13"/>
    <w:rsid w:val="00604E3B"/>
    <w:rsid w:val="00605134"/>
    <w:rsid w:val="00605190"/>
    <w:rsid w:val="006053CF"/>
    <w:rsid w:val="00605421"/>
    <w:rsid w:val="00605623"/>
    <w:rsid w:val="0060562C"/>
    <w:rsid w:val="006056C6"/>
    <w:rsid w:val="00605755"/>
    <w:rsid w:val="006057B7"/>
    <w:rsid w:val="006057CC"/>
    <w:rsid w:val="006057CF"/>
    <w:rsid w:val="00605A19"/>
    <w:rsid w:val="00605B4F"/>
    <w:rsid w:val="00605C46"/>
    <w:rsid w:val="00605C6C"/>
    <w:rsid w:val="00605C8F"/>
    <w:rsid w:val="00605E2A"/>
    <w:rsid w:val="00605E59"/>
    <w:rsid w:val="00605F7C"/>
    <w:rsid w:val="0060603D"/>
    <w:rsid w:val="00606709"/>
    <w:rsid w:val="0060671B"/>
    <w:rsid w:val="00606781"/>
    <w:rsid w:val="00606858"/>
    <w:rsid w:val="006069CA"/>
    <w:rsid w:val="00606A72"/>
    <w:rsid w:val="00606B37"/>
    <w:rsid w:val="00606B5A"/>
    <w:rsid w:val="00606D39"/>
    <w:rsid w:val="00606E46"/>
    <w:rsid w:val="00606E79"/>
    <w:rsid w:val="0060738C"/>
    <w:rsid w:val="0060741A"/>
    <w:rsid w:val="0060748D"/>
    <w:rsid w:val="006075EF"/>
    <w:rsid w:val="0060761D"/>
    <w:rsid w:val="0060766F"/>
    <w:rsid w:val="006077E8"/>
    <w:rsid w:val="006077EB"/>
    <w:rsid w:val="00607DC0"/>
    <w:rsid w:val="00607E0C"/>
    <w:rsid w:val="00607ED7"/>
    <w:rsid w:val="00607F9D"/>
    <w:rsid w:val="006102C9"/>
    <w:rsid w:val="0061049E"/>
    <w:rsid w:val="00610558"/>
    <w:rsid w:val="006105F9"/>
    <w:rsid w:val="006106B0"/>
    <w:rsid w:val="0061075D"/>
    <w:rsid w:val="0061088A"/>
    <w:rsid w:val="006108E7"/>
    <w:rsid w:val="006109E5"/>
    <w:rsid w:val="00610A87"/>
    <w:rsid w:val="00610B2A"/>
    <w:rsid w:val="00610BE4"/>
    <w:rsid w:val="00610F96"/>
    <w:rsid w:val="00611102"/>
    <w:rsid w:val="00611150"/>
    <w:rsid w:val="00611185"/>
    <w:rsid w:val="00611219"/>
    <w:rsid w:val="0061162F"/>
    <w:rsid w:val="00611676"/>
    <w:rsid w:val="00611678"/>
    <w:rsid w:val="0061187F"/>
    <w:rsid w:val="006118E5"/>
    <w:rsid w:val="0061195F"/>
    <w:rsid w:val="00611A85"/>
    <w:rsid w:val="00611B7A"/>
    <w:rsid w:val="00611CDB"/>
    <w:rsid w:val="00611CE4"/>
    <w:rsid w:val="0061203A"/>
    <w:rsid w:val="00612059"/>
    <w:rsid w:val="006122B2"/>
    <w:rsid w:val="00612394"/>
    <w:rsid w:val="006123E5"/>
    <w:rsid w:val="006124FF"/>
    <w:rsid w:val="006126B3"/>
    <w:rsid w:val="006127C6"/>
    <w:rsid w:val="006127DF"/>
    <w:rsid w:val="006128DB"/>
    <w:rsid w:val="00612953"/>
    <w:rsid w:val="00612C13"/>
    <w:rsid w:val="00612CF2"/>
    <w:rsid w:val="00612DD0"/>
    <w:rsid w:val="00612E37"/>
    <w:rsid w:val="00613031"/>
    <w:rsid w:val="006131C8"/>
    <w:rsid w:val="006132F9"/>
    <w:rsid w:val="00613565"/>
    <w:rsid w:val="006135D0"/>
    <w:rsid w:val="00613814"/>
    <w:rsid w:val="00613919"/>
    <w:rsid w:val="00613996"/>
    <w:rsid w:val="00613B4E"/>
    <w:rsid w:val="00613CEB"/>
    <w:rsid w:val="00613FCE"/>
    <w:rsid w:val="00614022"/>
    <w:rsid w:val="0061429E"/>
    <w:rsid w:val="0061432C"/>
    <w:rsid w:val="006143B0"/>
    <w:rsid w:val="00614436"/>
    <w:rsid w:val="00614512"/>
    <w:rsid w:val="00614522"/>
    <w:rsid w:val="0061457E"/>
    <w:rsid w:val="00614665"/>
    <w:rsid w:val="00614694"/>
    <w:rsid w:val="0061474A"/>
    <w:rsid w:val="00614B5E"/>
    <w:rsid w:val="00614E47"/>
    <w:rsid w:val="00614EE5"/>
    <w:rsid w:val="00614FC3"/>
    <w:rsid w:val="00615085"/>
    <w:rsid w:val="0061509D"/>
    <w:rsid w:val="00615110"/>
    <w:rsid w:val="006151FA"/>
    <w:rsid w:val="006155CB"/>
    <w:rsid w:val="006156B2"/>
    <w:rsid w:val="006157D2"/>
    <w:rsid w:val="0061585D"/>
    <w:rsid w:val="00615978"/>
    <w:rsid w:val="00615AE7"/>
    <w:rsid w:val="00615C64"/>
    <w:rsid w:val="00615D4F"/>
    <w:rsid w:val="00615DB5"/>
    <w:rsid w:val="00615F39"/>
    <w:rsid w:val="0061600B"/>
    <w:rsid w:val="00616080"/>
    <w:rsid w:val="006162F1"/>
    <w:rsid w:val="0061634F"/>
    <w:rsid w:val="00616475"/>
    <w:rsid w:val="006166F4"/>
    <w:rsid w:val="00616877"/>
    <w:rsid w:val="0061693E"/>
    <w:rsid w:val="0061693F"/>
    <w:rsid w:val="006169C6"/>
    <w:rsid w:val="006169E6"/>
    <w:rsid w:val="00616E8B"/>
    <w:rsid w:val="00616ED2"/>
    <w:rsid w:val="00616FFE"/>
    <w:rsid w:val="00617433"/>
    <w:rsid w:val="006174FD"/>
    <w:rsid w:val="006175B3"/>
    <w:rsid w:val="0061784F"/>
    <w:rsid w:val="006179A3"/>
    <w:rsid w:val="00617A0D"/>
    <w:rsid w:val="00617A60"/>
    <w:rsid w:val="00617A87"/>
    <w:rsid w:val="00617DBB"/>
    <w:rsid w:val="00617E21"/>
    <w:rsid w:val="006200F0"/>
    <w:rsid w:val="00620171"/>
    <w:rsid w:val="006201C8"/>
    <w:rsid w:val="00620252"/>
    <w:rsid w:val="00620354"/>
    <w:rsid w:val="00620387"/>
    <w:rsid w:val="0062053E"/>
    <w:rsid w:val="006205FA"/>
    <w:rsid w:val="0062094A"/>
    <w:rsid w:val="00620AD4"/>
    <w:rsid w:val="00620B39"/>
    <w:rsid w:val="00620C34"/>
    <w:rsid w:val="00620D30"/>
    <w:rsid w:val="00620D84"/>
    <w:rsid w:val="00620E0A"/>
    <w:rsid w:val="00620EEB"/>
    <w:rsid w:val="00620FCC"/>
    <w:rsid w:val="00620FE2"/>
    <w:rsid w:val="00621093"/>
    <w:rsid w:val="0062119E"/>
    <w:rsid w:val="006212A9"/>
    <w:rsid w:val="0062133C"/>
    <w:rsid w:val="0062133F"/>
    <w:rsid w:val="006213FB"/>
    <w:rsid w:val="0062141A"/>
    <w:rsid w:val="00621497"/>
    <w:rsid w:val="0062161B"/>
    <w:rsid w:val="00621675"/>
    <w:rsid w:val="006219CA"/>
    <w:rsid w:val="00621B53"/>
    <w:rsid w:val="00621C6D"/>
    <w:rsid w:val="00621D55"/>
    <w:rsid w:val="00621E0C"/>
    <w:rsid w:val="00622540"/>
    <w:rsid w:val="006225AF"/>
    <w:rsid w:val="006225FF"/>
    <w:rsid w:val="0062298E"/>
    <w:rsid w:val="00622AD7"/>
    <w:rsid w:val="00622AF9"/>
    <w:rsid w:val="00622B77"/>
    <w:rsid w:val="00622D87"/>
    <w:rsid w:val="00622ECE"/>
    <w:rsid w:val="00622EF1"/>
    <w:rsid w:val="00623186"/>
    <w:rsid w:val="00623189"/>
    <w:rsid w:val="006234BE"/>
    <w:rsid w:val="006234CC"/>
    <w:rsid w:val="00623824"/>
    <w:rsid w:val="0062386C"/>
    <w:rsid w:val="006238BB"/>
    <w:rsid w:val="006239DF"/>
    <w:rsid w:val="00623ABE"/>
    <w:rsid w:val="00623B30"/>
    <w:rsid w:val="00623B31"/>
    <w:rsid w:val="00623BE0"/>
    <w:rsid w:val="00623CA4"/>
    <w:rsid w:val="00623D29"/>
    <w:rsid w:val="00623E6C"/>
    <w:rsid w:val="006240A2"/>
    <w:rsid w:val="0062444B"/>
    <w:rsid w:val="006245C5"/>
    <w:rsid w:val="006245F1"/>
    <w:rsid w:val="00624645"/>
    <w:rsid w:val="00624686"/>
    <w:rsid w:val="006246F6"/>
    <w:rsid w:val="00624722"/>
    <w:rsid w:val="00624883"/>
    <w:rsid w:val="00624A24"/>
    <w:rsid w:val="00624AE4"/>
    <w:rsid w:val="00624AF1"/>
    <w:rsid w:val="00624D71"/>
    <w:rsid w:val="00624D7E"/>
    <w:rsid w:val="00624E53"/>
    <w:rsid w:val="00624EDA"/>
    <w:rsid w:val="00624F77"/>
    <w:rsid w:val="00625012"/>
    <w:rsid w:val="00625030"/>
    <w:rsid w:val="0062519B"/>
    <w:rsid w:val="006252EA"/>
    <w:rsid w:val="00625382"/>
    <w:rsid w:val="006253A8"/>
    <w:rsid w:val="00625420"/>
    <w:rsid w:val="0062546A"/>
    <w:rsid w:val="00625558"/>
    <w:rsid w:val="00625573"/>
    <w:rsid w:val="006255D4"/>
    <w:rsid w:val="006256EE"/>
    <w:rsid w:val="0062579E"/>
    <w:rsid w:val="00625ACD"/>
    <w:rsid w:val="00625C94"/>
    <w:rsid w:val="00625F8C"/>
    <w:rsid w:val="006260C2"/>
    <w:rsid w:val="00626105"/>
    <w:rsid w:val="0062616C"/>
    <w:rsid w:val="006261E6"/>
    <w:rsid w:val="0062628F"/>
    <w:rsid w:val="006263C8"/>
    <w:rsid w:val="00626451"/>
    <w:rsid w:val="00626486"/>
    <w:rsid w:val="006265E6"/>
    <w:rsid w:val="00626872"/>
    <w:rsid w:val="00626A0D"/>
    <w:rsid w:val="00626A94"/>
    <w:rsid w:val="00626B1A"/>
    <w:rsid w:val="00626B66"/>
    <w:rsid w:val="00626BB2"/>
    <w:rsid w:val="00626DC2"/>
    <w:rsid w:val="00626DC4"/>
    <w:rsid w:val="00626F3B"/>
    <w:rsid w:val="00626FF7"/>
    <w:rsid w:val="0062712B"/>
    <w:rsid w:val="0062715B"/>
    <w:rsid w:val="0062717F"/>
    <w:rsid w:val="006274F8"/>
    <w:rsid w:val="0062762C"/>
    <w:rsid w:val="006276A6"/>
    <w:rsid w:val="006276DE"/>
    <w:rsid w:val="00627784"/>
    <w:rsid w:val="0062783F"/>
    <w:rsid w:val="006278AF"/>
    <w:rsid w:val="00627A43"/>
    <w:rsid w:val="00627A5E"/>
    <w:rsid w:val="00627BA2"/>
    <w:rsid w:val="00627D31"/>
    <w:rsid w:val="00627E36"/>
    <w:rsid w:val="00627E60"/>
    <w:rsid w:val="00627E63"/>
    <w:rsid w:val="00627EE1"/>
    <w:rsid w:val="00630098"/>
    <w:rsid w:val="0063017B"/>
    <w:rsid w:val="006302F1"/>
    <w:rsid w:val="00630318"/>
    <w:rsid w:val="006303D8"/>
    <w:rsid w:val="00630427"/>
    <w:rsid w:val="00630572"/>
    <w:rsid w:val="006307CB"/>
    <w:rsid w:val="006307F2"/>
    <w:rsid w:val="0063087E"/>
    <w:rsid w:val="00630C5A"/>
    <w:rsid w:val="00630F84"/>
    <w:rsid w:val="00631050"/>
    <w:rsid w:val="0063105F"/>
    <w:rsid w:val="0063111F"/>
    <w:rsid w:val="006311F9"/>
    <w:rsid w:val="006312C0"/>
    <w:rsid w:val="006316D3"/>
    <w:rsid w:val="00631769"/>
    <w:rsid w:val="00631793"/>
    <w:rsid w:val="006317E8"/>
    <w:rsid w:val="00631A27"/>
    <w:rsid w:val="00631ADB"/>
    <w:rsid w:val="00631C27"/>
    <w:rsid w:val="00631C2B"/>
    <w:rsid w:val="00631D5F"/>
    <w:rsid w:val="00631E36"/>
    <w:rsid w:val="00631EFD"/>
    <w:rsid w:val="0063211E"/>
    <w:rsid w:val="00632215"/>
    <w:rsid w:val="00632256"/>
    <w:rsid w:val="00632595"/>
    <w:rsid w:val="00632620"/>
    <w:rsid w:val="00632797"/>
    <w:rsid w:val="00632991"/>
    <w:rsid w:val="006329EF"/>
    <w:rsid w:val="00632DE6"/>
    <w:rsid w:val="00632E98"/>
    <w:rsid w:val="00632EEF"/>
    <w:rsid w:val="00633366"/>
    <w:rsid w:val="0063338E"/>
    <w:rsid w:val="006334C3"/>
    <w:rsid w:val="0063353F"/>
    <w:rsid w:val="00633579"/>
    <w:rsid w:val="0063360C"/>
    <w:rsid w:val="00633718"/>
    <w:rsid w:val="00633719"/>
    <w:rsid w:val="006338EC"/>
    <w:rsid w:val="006339B1"/>
    <w:rsid w:val="00633B10"/>
    <w:rsid w:val="00633E53"/>
    <w:rsid w:val="00633E9D"/>
    <w:rsid w:val="00633EF3"/>
    <w:rsid w:val="00634055"/>
    <w:rsid w:val="00634156"/>
    <w:rsid w:val="006342CE"/>
    <w:rsid w:val="006342F4"/>
    <w:rsid w:val="00634361"/>
    <w:rsid w:val="00634476"/>
    <w:rsid w:val="006344D1"/>
    <w:rsid w:val="006345E2"/>
    <w:rsid w:val="00634953"/>
    <w:rsid w:val="00634BC3"/>
    <w:rsid w:val="00634D81"/>
    <w:rsid w:val="00634ECA"/>
    <w:rsid w:val="00634EE1"/>
    <w:rsid w:val="0063500E"/>
    <w:rsid w:val="00635056"/>
    <w:rsid w:val="0063528E"/>
    <w:rsid w:val="0063538D"/>
    <w:rsid w:val="006353CD"/>
    <w:rsid w:val="0063544D"/>
    <w:rsid w:val="00635481"/>
    <w:rsid w:val="00635571"/>
    <w:rsid w:val="0063578C"/>
    <w:rsid w:val="00635828"/>
    <w:rsid w:val="00635838"/>
    <w:rsid w:val="00635842"/>
    <w:rsid w:val="006359A6"/>
    <w:rsid w:val="00635A9A"/>
    <w:rsid w:val="00635B6C"/>
    <w:rsid w:val="00635E17"/>
    <w:rsid w:val="00635EB2"/>
    <w:rsid w:val="00635F5D"/>
    <w:rsid w:val="00635FE6"/>
    <w:rsid w:val="0063626C"/>
    <w:rsid w:val="0063630B"/>
    <w:rsid w:val="0063649A"/>
    <w:rsid w:val="0063653A"/>
    <w:rsid w:val="006367DB"/>
    <w:rsid w:val="00636891"/>
    <w:rsid w:val="00636B5B"/>
    <w:rsid w:val="00636F7C"/>
    <w:rsid w:val="00636F9F"/>
    <w:rsid w:val="00637076"/>
    <w:rsid w:val="00637139"/>
    <w:rsid w:val="0063717F"/>
    <w:rsid w:val="0063728B"/>
    <w:rsid w:val="00637489"/>
    <w:rsid w:val="006375A5"/>
    <w:rsid w:val="006375A9"/>
    <w:rsid w:val="0063779F"/>
    <w:rsid w:val="00637A0F"/>
    <w:rsid w:val="00637CC7"/>
    <w:rsid w:val="00637D09"/>
    <w:rsid w:val="00637D8C"/>
    <w:rsid w:val="00637DC9"/>
    <w:rsid w:val="00637E1F"/>
    <w:rsid w:val="00637E51"/>
    <w:rsid w:val="00637EC9"/>
    <w:rsid w:val="0064005D"/>
    <w:rsid w:val="00640112"/>
    <w:rsid w:val="0064029A"/>
    <w:rsid w:val="00640316"/>
    <w:rsid w:val="00640319"/>
    <w:rsid w:val="006404B8"/>
    <w:rsid w:val="006404BD"/>
    <w:rsid w:val="0064053D"/>
    <w:rsid w:val="00640739"/>
    <w:rsid w:val="00640AB7"/>
    <w:rsid w:val="00640BBE"/>
    <w:rsid w:val="00640CC4"/>
    <w:rsid w:val="00640D2B"/>
    <w:rsid w:val="0064118F"/>
    <w:rsid w:val="006411D8"/>
    <w:rsid w:val="00641282"/>
    <w:rsid w:val="006412FE"/>
    <w:rsid w:val="0064132B"/>
    <w:rsid w:val="006413ED"/>
    <w:rsid w:val="0064151B"/>
    <w:rsid w:val="00641569"/>
    <w:rsid w:val="006417D2"/>
    <w:rsid w:val="006418CF"/>
    <w:rsid w:val="00641AD8"/>
    <w:rsid w:val="00641C05"/>
    <w:rsid w:val="00641D82"/>
    <w:rsid w:val="00641E15"/>
    <w:rsid w:val="0064207B"/>
    <w:rsid w:val="006420E9"/>
    <w:rsid w:val="006421DF"/>
    <w:rsid w:val="006422AA"/>
    <w:rsid w:val="00642307"/>
    <w:rsid w:val="006425C1"/>
    <w:rsid w:val="006426D0"/>
    <w:rsid w:val="00642759"/>
    <w:rsid w:val="006427D0"/>
    <w:rsid w:val="006428A7"/>
    <w:rsid w:val="006428F4"/>
    <w:rsid w:val="00642978"/>
    <w:rsid w:val="00642AC8"/>
    <w:rsid w:val="00642BBE"/>
    <w:rsid w:val="00642EFF"/>
    <w:rsid w:val="00642F2D"/>
    <w:rsid w:val="00642F7B"/>
    <w:rsid w:val="00642F86"/>
    <w:rsid w:val="00642FEE"/>
    <w:rsid w:val="00642FFB"/>
    <w:rsid w:val="00643057"/>
    <w:rsid w:val="0064309D"/>
    <w:rsid w:val="00643238"/>
    <w:rsid w:val="00643279"/>
    <w:rsid w:val="006434CA"/>
    <w:rsid w:val="006434DD"/>
    <w:rsid w:val="00643784"/>
    <w:rsid w:val="006438E3"/>
    <w:rsid w:val="00643918"/>
    <w:rsid w:val="006439E7"/>
    <w:rsid w:val="00643A61"/>
    <w:rsid w:val="00643CC5"/>
    <w:rsid w:val="00643E17"/>
    <w:rsid w:val="00643E60"/>
    <w:rsid w:val="00643FA4"/>
    <w:rsid w:val="00644582"/>
    <w:rsid w:val="006445B6"/>
    <w:rsid w:val="006445CE"/>
    <w:rsid w:val="0064467F"/>
    <w:rsid w:val="0064480F"/>
    <w:rsid w:val="00644973"/>
    <w:rsid w:val="00644A6E"/>
    <w:rsid w:val="00644B5F"/>
    <w:rsid w:val="00644BDF"/>
    <w:rsid w:val="00644C51"/>
    <w:rsid w:val="00644D98"/>
    <w:rsid w:val="00644DF3"/>
    <w:rsid w:val="00644F3E"/>
    <w:rsid w:val="00645109"/>
    <w:rsid w:val="0064510D"/>
    <w:rsid w:val="00645144"/>
    <w:rsid w:val="00645250"/>
    <w:rsid w:val="00645260"/>
    <w:rsid w:val="0064536B"/>
    <w:rsid w:val="00645390"/>
    <w:rsid w:val="00645535"/>
    <w:rsid w:val="006456DB"/>
    <w:rsid w:val="006458E4"/>
    <w:rsid w:val="0064599B"/>
    <w:rsid w:val="006459AB"/>
    <w:rsid w:val="006459E4"/>
    <w:rsid w:val="00645B97"/>
    <w:rsid w:val="00645CB8"/>
    <w:rsid w:val="00645F8E"/>
    <w:rsid w:val="00645F91"/>
    <w:rsid w:val="006463D1"/>
    <w:rsid w:val="00646459"/>
    <w:rsid w:val="00646469"/>
    <w:rsid w:val="0064660B"/>
    <w:rsid w:val="0064675E"/>
    <w:rsid w:val="006468A9"/>
    <w:rsid w:val="00646B71"/>
    <w:rsid w:val="00646BEA"/>
    <w:rsid w:val="00646C52"/>
    <w:rsid w:val="00646DC2"/>
    <w:rsid w:val="00646DF5"/>
    <w:rsid w:val="00646E19"/>
    <w:rsid w:val="00646FF0"/>
    <w:rsid w:val="0064708C"/>
    <w:rsid w:val="00647475"/>
    <w:rsid w:val="0064779A"/>
    <w:rsid w:val="00647871"/>
    <w:rsid w:val="00647993"/>
    <w:rsid w:val="006479B8"/>
    <w:rsid w:val="00647A68"/>
    <w:rsid w:val="00647C60"/>
    <w:rsid w:val="00647E5A"/>
    <w:rsid w:val="00647E6C"/>
    <w:rsid w:val="00647E99"/>
    <w:rsid w:val="00647ECE"/>
    <w:rsid w:val="00647FB4"/>
    <w:rsid w:val="00650018"/>
    <w:rsid w:val="00650151"/>
    <w:rsid w:val="0065047A"/>
    <w:rsid w:val="006504D2"/>
    <w:rsid w:val="0065052C"/>
    <w:rsid w:val="00650611"/>
    <w:rsid w:val="00650676"/>
    <w:rsid w:val="006506C1"/>
    <w:rsid w:val="0065080F"/>
    <w:rsid w:val="00650847"/>
    <w:rsid w:val="006508B3"/>
    <w:rsid w:val="006508DC"/>
    <w:rsid w:val="00650D8E"/>
    <w:rsid w:val="00650F01"/>
    <w:rsid w:val="00650F2A"/>
    <w:rsid w:val="006510DE"/>
    <w:rsid w:val="00651459"/>
    <w:rsid w:val="00651495"/>
    <w:rsid w:val="006514BC"/>
    <w:rsid w:val="006515F4"/>
    <w:rsid w:val="006516AB"/>
    <w:rsid w:val="006516D9"/>
    <w:rsid w:val="00651716"/>
    <w:rsid w:val="0065187C"/>
    <w:rsid w:val="00651948"/>
    <w:rsid w:val="00651A63"/>
    <w:rsid w:val="00651B7C"/>
    <w:rsid w:val="00651B7D"/>
    <w:rsid w:val="00651D1C"/>
    <w:rsid w:val="00651D7B"/>
    <w:rsid w:val="00651F06"/>
    <w:rsid w:val="00651F7C"/>
    <w:rsid w:val="006521EF"/>
    <w:rsid w:val="006525AB"/>
    <w:rsid w:val="00652722"/>
    <w:rsid w:val="00652789"/>
    <w:rsid w:val="006528F6"/>
    <w:rsid w:val="006529A7"/>
    <w:rsid w:val="006529F5"/>
    <w:rsid w:val="00652B2B"/>
    <w:rsid w:val="00652DF8"/>
    <w:rsid w:val="00652FD5"/>
    <w:rsid w:val="00653020"/>
    <w:rsid w:val="00653047"/>
    <w:rsid w:val="00653146"/>
    <w:rsid w:val="006533CD"/>
    <w:rsid w:val="0065342A"/>
    <w:rsid w:val="006534D1"/>
    <w:rsid w:val="00653686"/>
    <w:rsid w:val="0065383D"/>
    <w:rsid w:val="0065389F"/>
    <w:rsid w:val="00653926"/>
    <w:rsid w:val="00653985"/>
    <w:rsid w:val="00653A71"/>
    <w:rsid w:val="00653A8F"/>
    <w:rsid w:val="00653AFA"/>
    <w:rsid w:val="00653D14"/>
    <w:rsid w:val="00653FBF"/>
    <w:rsid w:val="0065401F"/>
    <w:rsid w:val="00654221"/>
    <w:rsid w:val="0065444A"/>
    <w:rsid w:val="0065485C"/>
    <w:rsid w:val="00654993"/>
    <w:rsid w:val="006549F5"/>
    <w:rsid w:val="00654A59"/>
    <w:rsid w:val="00654B77"/>
    <w:rsid w:val="00654C22"/>
    <w:rsid w:val="00654D83"/>
    <w:rsid w:val="00654DEE"/>
    <w:rsid w:val="00654E08"/>
    <w:rsid w:val="00654E82"/>
    <w:rsid w:val="00654EAD"/>
    <w:rsid w:val="00654EDD"/>
    <w:rsid w:val="00654F02"/>
    <w:rsid w:val="00654F4B"/>
    <w:rsid w:val="00655047"/>
    <w:rsid w:val="00655100"/>
    <w:rsid w:val="006551DF"/>
    <w:rsid w:val="006551F4"/>
    <w:rsid w:val="006552AE"/>
    <w:rsid w:val="006552EF"/>
    <w:rsid w:val="00655345"/>
    <w:rsid w:val="006553B7"/>
    <w:rsid w:val="00655504"/>
    <w:rsid w:val="006556C3"/>
    <w:rsid w:val="006556FE"/>
    <w:rsid w:val="00655786"/>
    <w:rsid w:val="00655D6C"/>
    <w:rsid w:val="00655EB3"/>
    <w:rsid w:val="00656065"/>
    <w:rsid w:val="006560D5"/>
    <w:rsid w:val="00656186"/>
    <w:rsid w:val="006561E3"/>
    <w:rsid w:val="006562B7"/>
    <w:rsid w:val="00656339"/>
    <w:rsid w:val="006563C5"/>
    <w:rsid w:val="00656441"/>
    <w:rsid w:val="00656660"/>
    <w:rsid w:val="006567BE"/>
    <w:rsid w:val="006568D6"/>
    <w:rsid w:val="0065693F"/>
    <w:rsid w:val="00656947"/>
    <w:rsid w:val="00656B80"/>
    <w:rsid w:val="00656C80"/>
    <w:rsid w:val="00656DF2"/>
    <w:rsid w:val="00656EC0"/>
    <w:rsid w:val="00657093"/>
    <w:rsid w:val="0065713B"/>
    <w:rsid w:val="00657343"/>
    <w:rsid w:val="00657528"/>
    <w:rsid w:val="00657770"/>
    <w:rsid w:val="006577BB"/>
    <w:rsid w:val="0065781D"/>
    <w:rsid w:val="00657901"/>
    <w:rsid w:val="00657933"/>
    <w:rsid w:val="00657986"/>
    <w:rsid w:val="006579BD"/>
    <w:rsid w:val="00657A2B"/>
    <w:rsid w:val="00657C26"/>
    <w:rsid w:val="00657D1E"/>
    <w:rsid w:val="00657D3E"/>
    <w:rsid w:val="00657D72"/>
    <w:rsid w:val="00657E0C"/>
    <w:rsid w:val="00657E35"/>
    <w:rsid w:val="00657F01"/>
    <w:rsid w:val="00657FE0"/>
    <w:rsid w:val="0066007C"/>
    <w:rsid w:val="0066015A"/>
    <w:rsid w:val="006601B0"/>
    <w:rsid w:val="006601BC"/>
    <w:rsid w:val="006604BE"/>
    <w:rsid w:val="006608F1"/>
    <w:rsid w:val="00660A62"/>
    <w:rsid w:val="00660A99"/>
    <w:rsid w:val="00660B65"/>
    <w:rsid w:val="00660B98"/>
    <w:rsid w:val="00660BA9"/>
    <w:rsid w:val="00660E3B"/>
    <w:rsid w:val="0066103A"/>
    <w:rsid w:val="0066103E"/>
    <w:rsid w:val="006610D9"/>
    <w:rsid w:val="006610FD"/>
    <w:rsid w:val="0066147A"/>
    <w:rsid w:val="00661520"/>
    <w:rsid w:val="00661640"/>
    <w:rsid w:val="0066166D"/>
    <w:rsid w:val="00661678"/>
    <w:rsid w:val="00661C2D"/>
    <w:rsid w:val="00661CFD"/>
    <w:rsid w:val="00661EAD"/>
    <w:rsid w:val="00661FAB"/>
    <w:rsid w:val="00662112"/>
    <w:rsid w:val="00662252"/>
    <w:rsid w:val="006622BF"/>
    <w:rsid w:val="006623DB"/>
    <w:rsid w:val="00662488"/>
    <w:rsid w:val="006624B1"/>
    <w:rsid w:val="00662604"/>
    <w:rsid w:val="00662672"/>
    <w:rsid w:val="00662DE5"/>
    <w:rsid w:val="00662E9E"/>
    <w:rsid w:val="00662FF2"/>
    <w:rsid w:val="00663101"/>
    <w:rsid w:val="00663132"/>
    <w:rsid w:val="0066315C"/>
    <w:rsid w:val="0066328A"/>
    <w:rsid w:val="0066338C"/>
    <w:rsid w:val="00663535"/>
    <w:rsid w:val="006636EA"/>
    <w:rsid w:val="006639C5"/>
    <w:rsid w:val="00663A0B"/>
    <w:rsid w:val="00663A4D"/>
    <w:rsid w:val="00663AAB"/>
    <w:rsid w:val="00663BE6"/>
    <w:rsid w:val="00663BED"/>
    <w:rsid w:val="00663C2A"/>
    <w:rsid w:val="00663C34"/>
    <w:rsid w:val="00663CD4"/>
    <w:rsid w:val="00663DC6"/>
    <w:rsid w:val="00664000"/>
    <w:rsid w:val="0066411C"/>
    <w:rsid w:val="00664225"/>
    <w:rsid w:val="00664507"/>
    <w:rsid w:val="00664580"/>
    <w:rsid w:val="00664717"/>
    <w:rsid w:val="0066481E"/>
    <w:rsid w:val="00664BB0"/>
    <w:rsid w:val="00664F04"/>
    <w:rsid w:val="00664FB1"/>
    <w:rsid w:val="0066505D"/>
    <w:rsid w:val="006650F6"/>
    <w:rsid w:val="006653D3"/>
    <w:rsid w:val="00665464"/>
    <w:rsid w:val="0066584C"/>
    <w:rsid w:val="0066587C"/>
    <w:rsid w:val="006658E3"/>
    <w:rsid w:val="00665A94"/>
    <w:rsid w:val="00665B13"/>
    <w:rsid w:val="00665B3E"/>
    <w:rsid w:val="00665D1C"/>
    <w:rsid w:val="00666050"/>
    <w:rsid w:val="006660AB"/>
    <w:rsid w:val="00666195"/>
    <w:rsid w:val="00666287"/>
    <w:rsid w:val="006662EB"/>
    <w:rsid w:val="00666394"/>
    <w:rsid w:val="0066646D"/>
    <w:rsid w:val="00666697"/>
    <w:rsid w:val="006666D3"/>
    <w:rsid w:val="006666E1"/>
    <w:rsid w:val="006666E8"/>
    <w:rsid w:val="00666747"/>
    <w:rsid w:val="006667AA"/>
    <w:rsid w:val="00666A15"/>
    <w:rsid w:val="00666AB3"/>
    <w:rsid w:val="00666B68"/>
    <w:rsid w:val="00666BA8"/>
    <w:rsid w:val="00666BDF"/>
    <w:rsid w:val="00666C48"/>
    <w:rsid w:val="00666E27"/>
    <w:rsid w:val="00666E7F"/>
    <w:rsid w:val="00666EDF"/>
    <w:rsid w:val="00667081"/>
    <w:rsid w:val="006670BD"/>
    <w:rsid w:val="00667230"/>
    <w:rsid w:val="00667457"/>
    <w:rsid w:val="00667467"/>
    <w:rsid w:val="00667488"/>
    <w:rsid w:val="0066757B"/>
    <w:rsid w:val="006676ED"/>
    <w:rsid w:val="00667768"/>
    <w:rsid w:val="00667808"/>
    <w:rsid w:val="00667861"/>
    <w:rsid w:val="006679F9"/>
    <w:rsid w:val="00667A91"/>
    <w:rsid w:val="00667CDB"/>
    <w:rsid w:val="00667CF7"/>
    <w:rsid w:val="00667D80"/>
    <w:rsid w:val="00667DCA"/>
    <w:rsid w:val="00667E09"/>
    <w:rsid w:val="00667E17"/>
    <w:rsid w:val="006700D1"/>
    <w:rsid w:val="006700D2"/>
    <w:rsid w:val="006701A6"/>
    <w:rsid w:val="0067028A"/>
    <w:rsid w:val="00670291"/>
    <w:rsid w:val="006702A1"/>
    <w:rsid w:val="0067031D"/>
    <w:rsid w:val="00670350"/>
    <w:rsid w:val="00670360"/>
    <w:rsid w:val="0067083F"/>
    <w:rsid w:val="0067084F"/>
    <w:rsid w:val="006708BD"/>
    <w:rsid w:val="00670A57"/>
    <w:rsid w:val="00670A7B"/>
    <w:rsid w:val="00670ABF"/>
    <w:rsid w:val="00670B42"/>
    <w:rsid w:val="00670CA6"/>
    <w:rsid w:val="00670DE3"/>
    <w:rsid w:val="00670E34"/>
    <w:rsid w:val="00671300"/>
    <w:rsid w:val="0067130F"/>
    <w:rsid w:val="0067140D"/>
    <w:rsid w:val="00671668"/>
    <w:rsid w:val="00671680"/>
    <w:rsid w:val="006716BD"/>
    <w:rsid w:val="0067191F"/>
    <w:rsid w:val="00671A7B"/>
    <w:rsid w:val="00671AB9"/>
    <w:rsid w:val="00671DE3"/>
    <w:rsid w:val="00671E18"/>
    <w:rsid w:val="00671F6C"/>
    <w:rsid w:val="00671F92"/>
    <w:rsid w:val="006720C9"/>
    <w:rsid w:val="006720CE"/>
    <w:rsid w:val="006720FC"/>
    <w:rsid w:val="0067214C"/>
    <w:rsid w:val="0067215B"/>
    <w:rsid w:val="006722F9"/>
    <w:rsid w:val="00672485"/>
    <w:rsid w:val="00672867"/>
    <w:rsid w:val="00672872"/>
    <w:rsid w:val="00672957"/>
    <w:rsid w:val="00672A78"/>
    <w:rsid w:val="00672B23"/>
    <w:rsid w:val="00672BC8"/>
    <w:rsid w:val="00672BF7"/>
    <w:rsid w:val="00672D9B"/>
    <w:rsid w:val="00672E85"/>
    <w:rsid w:val="00672F90"/>
    <w:rsid w:val="00672FA6"/>
    <w:rsid w:val="00672FD6"/>
    <w:rsid w:val="0067301B"/>
    <w:rsid w:val="00673124"/>
    <w:rsid w:val="006735CD"/>
    <w:rsid w:val="006736B3"/>
    <w:rsid w:val="00673798"/>
    <w:rsid w:val="006738BE"/>
    <w:rsid w:val="006739AB"/>
    <w:rsid w:val="00673A62"/>
    <w:rsid w:val="00673B62"/>
    <w:rsid w:val="00673C2D"/>
    <w:rsid w:val="00673F68"/>
    <w:rsid w:val="0067413C"/>
    <w:rsid w:val="00674433"/>
    <w:rsid w:val="00674874"/>
    <w:rsid w:val="00674891"/>
    <w:rsid w:val="00674975"/>
    <w:rsid w:val="00674A47"/>
    <w:rsid w:val="00674B21"/>
    <w:rsid w:val="00674B3C"/>
    <w:rsid w:val="00674B62"/>
    <w:rsid w:val="00674CC9"/>
    <w:rsid w:val="00674FE0"/>
    <w:rsid w:val="00675092"/>
    <w:rsid w:val="00675117"/>
    <w:rsid w:val="006751F7"/>
    <w:rsid w:val="006752A7"/>
    <w:rsid w:val="006752AE"/>
    <w:rsid w:val="006753EB"/>
    <w:rsid w:val="0067561E"/>
    <w:rsid w:val="0067583C"/>
    <w:rsid w:val="00675951"/>
    <w:rsid w:val="006759E0"/>
    <w:rsid w:val="00675B14"/>
    <w:rsid w:val="00675B99"/>
    <w:rsid w:val="00675BDA"/>
    <w:rsid w:val="00675C40"/>
    <w:rsid w:val="00675DBA"/>
    <w:rsid w:val="00675FDA"/>
    <w:rsid w:val="006763F9"/>
    <w:rsid w:val="00676485"/>
    <w:rsid w:val="006765EC"/>
    <w:rsid w:val="00676766"/>
    <w:rsid w:val="00676981"/>
    <w:rsid w:val="00676D53"/>
    <w:rsid w:val="00676E5E"/>
    <w:rsid w:val="00676F25"/>
    <w:rsid w:val="00676F61"/>
    <w:rsid w:val="00676F83"/>
    <w:rsid w:val="00677176"/>
    <w:rsid w:val="0067727A"/>
    <w:rsid w:val="0067731B"/>
    <w:rsid w:val="006775F0"/>
    <w:rsid w:val="00677612"/>
    <w:rsid w:val="006776D6"/>
    <w:rsid w:val="006776E9"/>
    <w:rsid w:val="0067790A"/>
    <w:rsid w:val="00677936"/>
    <w:rsid w:val="00677C64"/>
    <w:rsid w:val="00677F5F"/>
    <w:rsid w:val="00680068"/>
    <w:rsid w:val="006800D6"/>
    <w:rsid w:val="006801C9"/>
    <w:rsid w:val="00680455"/>
    <w:rsid w:val="006804BE"/>
    <w:rsid w:val="006804D2"/>
    <w:rsid w:val="0068054F"/>
    <w:rsid w:val="0068057E"/>
    <w:rsid w:val="0068060C"/>
    <w:rsid w:val="00680761"/>
    <w:rsid w:val="0068089B"/>
    <w:rsid w:val="00680927"/>
    <w:rsid w:val="00680965"/>
    <w:rsid w:val="00680A44"/>
    <w:rsid w:val="00680AB0"/>
    <w:rsid w:val="00680B98"/>
    <w:rsid w:val="00680C58"/>
    <w:rsid w:val="00680C5E"/>
    <w:rsid w:val="00680C74"/>
    <w:rsid w:val="00680D66"/>
    <w:rsid w:val="00680D7D"/>
    <w:rsid w:val="00680E35"/>
    <w:rsid w:val="00680E81"/>
    <w:rsid w:val="00680FC9"/>
    <w:rsid w:val="00681066"/>
    <w:rsid w:val="00681204"/>
    <w:rsid w:val="006813D6"/>
    <w:rsid w:val="006815CA"/>
    <w:rsid w:val="0068167C"/>
    <w:rsid w:val="0068178F"/>
    <w:rsid w:val="006817C6"/>
    <w:rsid w:val="006818C1"/>
    <w:rsid w:val="00681AC7"/>
    <w:rsid w:val="00681B03"/>
    <w:rsid w:val="00681B47"/>
    <w:rsid w:val="00681F80"/>
    <w:rsid w:val="00682011"/>
    <w:rsid w:val="006821A9"/>
    <w:rsid w:val="006822B7"/>
    <w:rsid w:val="00682348"/>
    <w:rsid w:val="0068237B"/>
    <w:rsid w:val="006823F8"/>
    <w:rsid w:val="0068251B"/>
    <w:rsid w:val="00682522"/>
    <w:rsid w:val="0068253D"/>
    <w:rsid w:val="00682AE9"/>
    <w:rsid w:val="00682B32"/>
    <w:rsid w:val="00682C23"/>
    <w:rsid w:val="00682C71"/>
    <w:rsid w:val="00683054"/>
    <w:rsid w:val="0068325C"/>
    <w:rsid w:val="006833F6"/>
    <w:rsid w:val="00683436"/>
    <w:rsid w:val="00683650"/>
    <w:rsid w:val="0068366F"/>
    <w:rsid w:val="00683713"/>
    <w:rsid w:val="00683728"/>
    <w:rsid w:val="00683798"/>
    <w:rsid w:val="0068386C"/>
    <w:rsid w:val="00683F01"/>
    <w:rsid w:val="00683F39"/>
    <w:rsid w:val="00683FD0"/>
    <w:rsid w:val="00684049"/>
    <w:rsid w:val="0068408B"/>
    <w:rsid w:val="0068427B"/>
    <w:rsid w:val="00684611"/>
    <w:rsid w:val="00684696"/>
    <w:rsid w:val="006846A6"/>
    <w:rsid w:val="00684720"/>
    <w:rsid w:val="0068475F"/>
    <w:rsid w:val="00684769"/>
    <w:rsid w:val="00684A1B"/>
    <w:rsid w:val="00684BCA"/>
    <w:rsid w:val="00684C9F"/>
    <w:rsid w:val="00684D4B"/>
    <w:rsid w:val="00684EE6"/>
    <w:rsid w:val="0068502F"/>
    <w:rsid w:val="006851D3"/>
    <w:rsid w:val="00685328"/>
    <w:rsid w:val="00685590"/>
    <w:rsid w:val="006855FE"/>
    <w:rsid w:val="00685AFD"/>
    <w:rsid w:val="00685CAC"/>
    <w:rsid w:val="00685E98"/>
    <w:rsid w:val="00685ECF"/>
    <w:rsid w:val="006860A7"/>
    <w:rsid w:val="006860B3"/>
    <w:rsid w:val="0068611E"/>
    <w:rsid w:val="006864C8"/>
    <w:rsid w:val="0068662F"/>
    <w:rsid w:val="0068675D"/>
    <w:rsid w:val="00686777"/>
    <w:rsid w:val="006867AD"/>
    <w:rsid w:val="00686A53"/>
    <w:rsid w:val="00686AC4"/>
    <w:rsid w:val="00686B23"/>
    <w:rsid w:val="00686BE5"/>
    <w:rsid w:val="00686DA4"/>
    <w:rsid w:val="00686E67"/>
    <w:rsid w:val="00686E83"/>
    <w:rsid w:val="00686EAB"/>
    <w:rsid w:val="00686FC9"/>
    <w:rsid w:val="00687072"/>
    <w:rsid w:val="00687398"/>
    <w:rsid w:val="006874BD"/>
    <w:rsid w:val="006874F9"/>
    <w:rsid w:val="00687626"/>
    <w:rsid w:val="006876C5"/>
    <w:rsid w:val="00687763"/>
    <w:rsid w:val="006877BB"/>
    <w:rsid w:val="00687866"/>
    <w:rsid w:val="006878FF"/>
    <w:rsid w:val="00687920"/>
    <w:rsid w:val="0068793F"/>
    <w:rsid w:val="00687A18"/>
    <w:rsid w:val="00687ABD"/>
    <w:rsid w:val="00687B14"/>
    <w:rsid w:val="00687B58"/>
    <w:rsid w:val="00687BBC"/>
    <w:rsid w:val="00687CE2"/>
    <w:rsid w:val="00687D2C"/>
    <w:rsid w:val="00687D33"/>
    <w:rsid w:val="00687DFF"/>
    <w:rsid w:val="00687F0C"/>
    <w:rsid w:val="00687F67"/>
    <w:rsid w:val="00687F98"/>
    <w:rsid w:val="0069019C"/>
    <w:rsid w:val="00690204"/>
    <w:rsid w:val="00690673"/>
    <w:rsid w:val="006908F5"/>
    <w:rsid w:val="006908F7"/>
    <w:rsid w:val="00690909"/>
    <w:rsid w:val="00690A69"/>
    <w:rsid w:val="00690A87"/>
    <w:rsid w:val="00690A9A"/>
    <w:rsid w:val="00690B73"/>
    <w:rsid w:val="00690B76"/>
    <w:rsid w:val="00690C76"/>
    <w:rsid w:val="00690F71"/>
    <w:rsid w:val="006910BE"/>
    <w:rsid w:val="006911BC"/>
    <w:rsid w:val="0069126A"/>
    <w:rsid w:val="006912EC"/>
    <w:rsid w:val="006912ED"/>
    <w:rsid w:val="0069130B"/>
    <w:rsid w:val="00691451"/>
    <w:rsid w:val="0069155A"/>
    <w:rsid w:val="0069165E"/>
    <w:rsid w:val="0069170B"/>
    <w:rsid w:val="00691848"/>
    <w:rsid w:val="00691906"/>
    <w:rsid w:val="00691C73"/>
    <w:rsid w:val="00691DD1"/>
    <w:rsid w:val="00691FAA"/>
    <w:rsid w:val="00692094"/>
    <w:rsid w:val="00692144"/>
    <w:rsid w:val="0069215B"/>
    <w:rsid w:val="0069237B"/>
    <w:rsid w:val="00692384"/>
    <w:rsid w:val="006925E3"/>
    <w:rsid w:val="006928A0"/>
    <w:rsid w:val="006928C1"/>
    <w:rsid w:val="00692A38"/>
    <w:rsid w:val="00692A39"/>
    <w:rsid w:val="00692AB3"/>
    <w:rsid w:val="00692C6D"/>
    <w:rsid w:val="00692EDA"/>
    <w:rsid w:val="00693079"/>
    <w:rsid w:val="00693083"/>
    <w:rsid w:val="0069316D"/>
    <w:rsid w:val="006931CA"/>
    <w:rsid w:val="0069339D"/>
    <w:rsid w:val="00693454"/>
    <w:rsid w:val="006934DE"/>
    <w:rsid w:val="0069357A"/>
    <w:rsid w:val="00693614"/>
    <w:rsid w:val="00693661"/>
    <w:rsid w:val="006936FF"/>
    <w:rsid w:val="00693715"/>
    <w:rsid w:val="006937C7"/>
    <w:rsid w:val="006937CA"/>
    <w:rsid w:val="00693924"/>
    <w:rsid w:val="00693940"/>
    <w:rsid w:val="00693A24"/>
    <w:rsid w:val="00693CCD"/>
    <w:rsid w:val="00693EAD"/>
    <w:rsid w:val="006940AC"/>
    <w:rsid w:val="006940E2"/>
    <w:rsid w:val="00694119"/>
    <w:rsid w:val="006941AC"/>
    <w:rsid w:val="006941E9"/>
    <w:rsid w:val="00694339"/>
    <w:rsid w:val="00694573"/>
    <w:rsid w:val="00694577"/>
    <w:rsid w:val="0069465D"/>
    <w:rsid w:val="006949C8"/>
    <w:rsid w:val="00694A09"/>
    <w:rsid w:val="00694BC8"/>
    <w:rsid w:val="00694BD7"/>
    <w:rsid w:val="00694F29"/>
    <w:rsid w:val="00694FFB"/>
    <w:rsid w:val="006951B5"/>
    <w:rsid w:val="006951E7"/>
    <w:rsid w:val="00695204"/>
    <w:rsid w:val="0069530C"/>
    <w:rsid w:val="00695331"/>
    <w:rsid w:val="006953FF"/>
    <w:rsid w:val="00695401"/>
    <w:rsid w:val="00695423"/>
    <w:rsid w:val="0069546C"/>
    <w:rsid w:val="006954D8"/>
    <w:rsid w:val="00695771"/>
    <w:rsid w:val="00695773"/>
    <w:rsid w:val="006957A9"/>
    <w:rsid w:val="006957FD"/>
    <w:rsid w:val="006959D0"/>
    <w:rsid w:val="00695C44"/>
    <w:rsid w:val="00695C6F"/>
    <w:rsid w:val="00695CEF"/>
    <w:rsid w:val="00695EE6"/>
    <w:rsid w:val="00695F57"/>
    <w:rsid w:val="00695FB8"/>
    <w:rsid w:val="00696144"/>
    <w:rsid w:val="0069618C"/>
    <w:rsid w:val="006961B6"/>
    <w:rsid w:val="006961DF"/>
    <w:rsid w:val="00696254"/>
    <w:rsid w:val="0069650D"/>
    <w:rsid w:val="00696570"/>
    <w:rsid w:val="00696807"/>
    <w:rsid w:val="006968CA"/>
    <w:rsid w:val="00696994"/>
    <w:rsid w:val="00696A02"/>
    <w:rsid w:val="00696BD9"/>
    <w:rsid w:val="00696C59"/>
    <w:rsid w:val="006971D0"/>
    <w:rsid w:val="00697328"/>
    <w:rsid w:val="00697429"/>
    <w:rsid w:val="0069749B"/>
    <w:rsid w:val="006976CC"/>
    <w:rsid w:val="0069772A"/>
    <w:rsid w:val="00697733"/>
    <w:rsid w:val="00697753"/>
    <w:rsid w:val="00697A68"/>
    <w:rsid w:val="00697A91"/>
    <w:rsid w:val="00697B1D"/>
    <w:rsid w:val="00697BC3"/>
    <w:rsid w:val="00697CF2"/>
    <w:rsid w:val="00697D31"/>
    <w:rsid w:val="00697D4E"/>
    <w:rsid w:val="00697D52"/>
    <w:rsid w:val="00697F45"/>
    <w:rsid w:val="006A0013"/>
    <w:rsid w:val="006A008B"/>
    <w:rsid w:val="006A008C"/>
    <w:rsid w:val="006A02E1"/>
    <w:rsid w:val="006A042F"/>
    <w:rsid w:val="006A090E"/>
    <w:rsid w:val="006A0951"/>
    <w:rsid w:val="006A0C26"/>
    <w:rsid w:val="006A0C6A"/>
    <w:rsid w:val="006A0CEB"/>
    <w:rsid w:val="006A0D05"/>
    <w:rsid w:val="006A0E42"/>
    <w:rsid w:val="006A12FC"/>
    <w:rsid w:val="006A142C"/>
    <w:rsid w:val="006A150C"/>
    <w:rsid w:val="006A1621"/>
    <w:rsid w:val="006A1783"/>
    <w:rsid w:val="006A1883"/>
    <w:rsid w:val="006A1955"/>
    <w:rsid w:val="006A1962"/>
    <w:rsid w:val="006A19B7"/>
    <w:rsid w:val="006A1A36"/>
    <w:rsid w:val="006A1D50"/>
    <w:rsid w:val="006A20F0"/>
    <w:rsid w:val="006A2664"/>
    <w:rsid w:val="006A27CC"/>
    <w:rsid w:val="006A28C2"/>
    <w:rsid w:val="006A28EC"/>
    <w:rsid w:val="006A2971"/>
    <w:rsid w:val="006A2C50"/>
    <w:rsid w:val="006A2D42"/>
    <w:rsid w:val="006A31D7"/>
    <w:rsid w:val="006A321E"/>
    <w:rsid w:val="006A32AA"/>
    <w:rsid w:val="006A34BF"/>
    <w:rsid w:val="006A35BF"/>
    <w:rsid w:val="006A35C4"/>
    <w:rsid w:val="006A3638"/>
    <w:rsid w:val="006A3732"/>
    <w:rsid w:val="006A3AE9"/>
    <w:rsid w:val="006A3B9D"/>
    <w:rsid w:val="006A3D17"/>
    <w:rsid w:val="006A3E0A"/>
    <w:rsid w:val="006A3E11"/>
    <w:rsid w:val="006A3E20"/>
    <w:rsid w:val="006A40E5"/>
    <w:rsid w:val="006A42CF"/>
    <w:rsid w:val="006A4397"/>
    <w:rsid w:val="006A457D"/>
    <w:rsid w:val="006A46B5"/>
    <w:rsid w:val="006A473B"/>
    <w:rsid w:val="006A4752"/>
    <w:rsid w:val="006A47D2"/>
    <w:rsid w:val="006A4C89"/>
    <w:rsid w:val="006A4EFD"/>
    <w:rsid w:val="006A4F6A"/>
    <w:rsid w:val="006A4F79"/>
    <w:rsid w:val="006A4FB1"/>
    <w:rsid w:val="006A4FC9"/>
    <w:rsid w:val="006A50DC"/>
    <w:rsid w:val="006A50EA"/>
    <w:rsid w:val="006A534B"/>
    <w:rsid w:val="006A5355"/>
    <w:rsid w:val="006A53A0"/>
    <w:rsid w:val="006A5629"/>
    <w:rsid w:val="006A5856"/>
    <w:rsid w:val="006A593A"/>
    <w:rsid w:val="006A593F"/>
    <w:rsid w:val="006A59FC"/>
    <w:rsid w:val="006A5BD1"/>
    <w:rsid w:val="006A5D65"/>
    <w:rsid w:val="006A5D87"/>
    <w:rsid w:val="006A5DCD"/>
    <w:rsid w:val="006A5FEE"/>
    <w:rsid w:val="006A6003"/>
    <w:rsid w:val="006A600B"/>
    <w:rsid w:val="006A61C7"/>
    <w:rsid w:val="006A6249"/>
    <w:rsid w:val="006A6361"/>
    <w:rsid w:val="006A679A"/>
    <w:rsid w:val="006A67CF"/>
    <w:rsid w:val="006A6824"/>
    <w:rsid w:val="006A6A7F"/>
    <w:rsid w:val="006A6B0A"/>
    <w:rsid w:val="006A6C0B"/>
    <w:rsid w:val="006A6C90"/>
    <w:rsid w:val="006A6C98"/>
    <w:rsid w:val="006A6E45"/>
    <w:rsid w:val="006A7028"/>
    <w:rsid w:val="006A7081"/>
    <w:rsid w:val="006A734A"/>
    <w:rsid w:val="006A7489"/>
    <w:rsid w:val="006A74A1"/>
    <w:rsid w:val="006A76B8"/>
    <w:rsid w:val="006A7752"/>
    <w:rsid w:val="006A7944"/>
    <w:rsid w:val="006A79C5"/>
    <w:rsid w:val="006A7A82"/>
    <w:rsid w:val="006A7A87"/>
    <w:rsid w:val="006A7B38"/>
    <w:rsid w:val="006A7B78"/>
    <w:rsid w:val="006A7BE7"/>
    <w:rsid w:val="006A7C8B"/>
    <w:rsid w:val="006A7E9B"/>
    <w:rsid w:val="006A7F36"/>
    <w:rsid w:val="006B011B"/>
    <w:rsid w:val="006B01A3"/>
    <w:rsid w:val="006B025D"/>
    <w:rsid w:val="006B028F"/>
    <w:rsid w:val="006B0466"/>
    <w:rsid w:val="006B04F9"/>
    <w:rsid w:val="006B051F"/>
    <w:rsid w:val="006B052F"/>
    <w:rsid w:val="006B05AE"/>
    <w:rsid w:val="006B0605"/>
    <w:rsid w:val="006B062A"/>
    <w:rsid w:val="006B075A"/>
    <w:rsid w:val="006B075C"/>
    <w:rsid w:val="006B08A2"/>
    <w:rsid w:val="006B08A9"/>
    <w:rsid w:val="006B0C12"/>
    <w:rsid w:val="006B0C75"/>
    <w:rsid w:val="006B0CC8"/>
    <w:rsid w:val="006B0CD6"/>
    <w:rsid w:val="006B0F08"/>
    <w:rsid w:val="006B0FB6"/>
    <w:rsid w:val="006B102A"/>
    <w:rsid w:val="006B10CE"/>
    <w:rsid w:val="006B11B7"/>
    <w:rsid w:val="006B135F"/>
    <w:rsid w:val="006B13A6"/>
    <w:rsid w:val="006B1630"/>
    <w:rsid w:val="006B166C"/>
    <w:rsid w:val="006B16EF"/>
    <w:rsid w:val="006B1714"/>
    <w:rsid w:val="006B199A"/>
    <w:rsid w:val="006B1C0C"/>
    <w:rsid w:val="006B1F27"/>
    <w:rsid w:val="006B2010"/>
    <w:rsid w:val="006B2123"/>
    <w:rsid w:val="006B26D4"/>
    <w:rsid w:val="006B27AF"/>
    <w:rsid w:val="006B281C"/>
    <w:rsid w:val="006B2883"/>
    <w:rsid w:val="006B2927"/>
    <w:rsid w:val="006B2A04"/>
    <w:rsid w:val="006B2AD5"/>
    <w:rsid w:val="006B2AD6"/>
    <w:rsid w:val="006B2B53"/>
    <w:rsid w:val="006B2C39"/>
    <w:rsid w:val="006B2CBE"/>
    <w:rsid w:val="006B2EFC"/>
    <w:rsid w:val="006B2F28"/>
    <w:rsid w:val="006B2FC6"/>
    <w:rsid w:val="006B30B6"/>
    <w:rsid w:val="006B313A"/>
    <w:rsid w:val="006B3233"/>
    <w:rsid w:val="006B330E"/>
    <w:rsid w:val="006B3618"/>
    <w:rsid w:val="006B362B"/>
    <w:rsid w:val="006B3648"/>
    <w:rsid w:val="006B37DB"/>
    <w:rsid w:val="006B39FC"/>
    <w:rsid w:val="006B3A48"/>
    <w:rsid w:val="006B3AF9"/>
    <w:rsid w:val="006B3B99"/>
    <w:rsid w:val="006B3CA0"/>
    <w:rsid w:val="006B3DFD"/>
    <w:rsid w:val="006B3E19"/>
    <w:rsid w:val="006B3F92"/>
    <w:rsid w:val="006B3FA1"/>
    <w:rsid w:val="006B401C"/>
    <w:rsid w:val="006B401D"/>
    <w:rsid w:val="006B41B1"/>
    <w:rsid w:val="006B4318"/>
    <w:rsid w:val="006B4437"/>
    <w:rsid w:val="006B446C"/>
    <w:rsid w:val="006B44A1"/>
    <w:rsid w:val="006B4540"/>
    <w:rsid w:val="006B45A4"/>
    <w:rsid w:val="006B472D"/>
    <w:rsid w:val="006B4774"/>
    <w:rsid w:val="006B47B5"/>
    <w:rsid w:val="006B495C"/>
    <w:rsid w:val="006B4D4E"/>
    <w:rsid w:val="006B4D6D"/>
    <w:rsid w:val="006B4DB5"/>
    <w:rsid w:val="006B4E0E"/>
    <w:rsid w:val="006B516B"/>
    <w:rsid w:val="006B5183"/>
    <w:rsid w:val="006B524D"/>
    <w:rsid w:val="006B5259"/>
    <w:rsid w:val="006B54EB"/>
    <w:rsid w:val="006B558D"/>
    <w:rsid w:val="006B56F2"/>
    <w:rsid w:val="006B5719"/>
    <w:rsid w:val="006B5826"/>
    <w:rsid w:val="006B5852"/>
    <w:rsid w:val="006B5AEF"/>
    <w:rsid w:val="006B5BEB"/>
    <w:rsid w:val="006B5BF5"/>
    <w:rsid w:val="006B5C53"/>
    <w:rsid w:val="006B5E1F"/>
    <w:rsid w:val="006B5E37"/>
    <w:rsid w:val="006B5F70"/>
    <w:rsid w:val="006B6046"/>
    <w:rsid w:val="006B614D"/>
    <w:rsid w:val="006B65CD"/>
    <w:rsid w:val="006B6825"/>
    <w:rsid w:val="006B69C1"/>
    <w:rsid w:val="006B6A6A"/>
    <w:rsid w:val="006B6AD5"/>
    <w:rsid w:val="006B6B1B"/>
    <w:rsid w:val="006B6B36"/>
    <w:rsid w:val="006B6B98"/>
    <w:rsid w:val="006B6BAF"/>
    <w:rsid w:val="006B6CD0"/>
    <w:rsid w:val="006B6F6C"/>
    <w:rsid w:val="006B6FE9"/>
    <w:rsid w:val="006B709E"/>
    <w:rsid w:val="006B7143"/>
    <w:rsid w:val="006B7300"/>
    <w:rsid w:val="006B7767"/>
    <w:rsid w:val="006B7777"/>
    <w:rsid w:val="006C004A"/>
    <w:rsid w:val="006C014C"/>
    <w:rsid w:val="006C01B8"/>
    <w:rsid w:val="006C0204"/>
    <w:rsid w:val="006C02EA"/>
    <w:rsid w:val="006C0314"/>
    <w:rsid w:val="006C0318"/>
    <w:rsid w:val="006C080B"/>
    <w:rsid w:val="006C0929"/>
    <w:rsid w:val="006C0990"/>
    <w:rsid w:val="006C0AD4"/>
    <w:rsid w:val="006C0B36"/>
    <w:rsid w:val="006C0B51"/>
    <w:rsid w:val="006C0B70"/>
    <w:rsid w:val="006C0C4C"/>
    <w:rsid w:val="006C0DBF"/>
    <w:rsid w:val="006C0E45"/>
    <w:rsid w:val="006C0F0B"/>
    <w:rsid w:val="006C0F99"/>
    <w:rsid w:val="006C125B"/>
    <w:rsid w:val="006C1373"/>
    <w:rsid w:val="006C13E0"/>
    <w:rsid w:val="006C13EA"/>
    <w:rsid w:val="006C154B"/>
    <w:rsid w:val="006C15F6"/>
    <w:rsid w:val="006C15FD"/>
    <w:rsid w:val="006C185E"/>
    <w:rsid w:val="006C1AE8"/>
    <w:rsid w:val="006C1B8E"/>
    <w:rsid w:val="006C1DF9"/>
    <w:rsid w:val="006C1EB9"/>
    <w:rsid w:val="006C20F7"/>
    <w:rsid w:val="006C21B5"/>
    <w:rsid w:val="006C22E6"/>
    <w:rsid w:val="006C23D1"/>
    <w:rsid w:val="006C277E"/>
    <w:rsid w:val="006C2822"/>
    <w:rsid w:val="006C2A9B"/>
    <w:rsid w:val="006C2CDF"/>
    <w:rsid w:val="006C2E0B"/>
    <w:rsid w:val="006C2E2C"/>
    <w:rsid w:val="006C2E37"/>
    <w:rsid w:val="006C2F06"/>
    <w:rsid w:val="006C2F3A"/>
    <w:rsid w:val="006C2F89"/>
    <w:rsid w:val="006C3087"/>
    <w:rsid w:val="006C3120"/>
    <w:rsid w:val="006C330C"/>
    <w:rsid w:val="006C33D9"/>
    <w:rsid w:val="006C3777"/>
    <w:rsid w:val="006C38D1"/>
    <w:rsid w:val="006C3AFE"/>
    <w:rsid w:val="006C3C83"/>
    <w:rsid w:val="006C3CCC"/>
    <w:rsid w:val="006C3CE1"/>
    <w:rsid w:val="006C3D69"/>
    <w:rsid w:val="006C3D8E"/>
    <w:rsid w:val="006C3E06"/>
    <w:rsid w:val="006C3EB3"/>
    <w:rsid w:val="006C3EED"/>
    <w:rsid w:val="006C3FE0"/>
    <w:rsid w:val="006C4116"/>
    <w:rsid w:val="006C452F"/>
    <w:rsid w:val="006C4578"/>
    <w:rsid w:val="006C457B"/>
    <w:rsid w:val="006C4581"/>
    <w:rsid w:val="006C4693"/>
    <w:rsid w:val="006C487D"/>
    <w:rsid w:val="006C4880"/>
    <w:rsid w:val="006C4B0B"/>
    <w:rsid w:val="006C4B14"/>
    <w:rsid w:val="006C4BAB"/>
    <w:rsid w:val="006C4D77"/>
    <w:rsid w:val="006C4E87"/>
    <w:rsid w:val="006C5121"/>
    <w:rsid w:val="006C522E"/>
    <w:rsid w:val="006C5264"/>
    <w:rsid w:val="006C52E1"/>
    <w:rsid w:val="006C52EA"/>
    <w:rsid w:val="006C5533"/>
    <w:rsid w:val="006C5592"/>
    <w:rsid w:val="006C5647"/>
    <w:rsid w:val="006C57ED"/>
    <w:rsid w:val="006C5828"/>
    <w:rsid w:val="006C5830"/>
    <w:rsid w:val="006C59DD"/>
    <w:rsid w:val="006C5AA6"/>
    <w:rsid w:val="006C5BA6"/>
    <w:rsid w:val="006C5EFD"/>
    <w:rsid w:val="006C602B"/>
    <w:rsid w:val="006C6067"/>
    <w:rsid w:val="006C6187"/>
    <w:rsid w:val="006C64E7"/>
    <w:rsid w:val="006C667F"/>
    <w:rsid w:val="006C66A6"/>
    <w:rsid w:val="006C67D1"/>
    <w:rsid w:val="006C6A93"/>
    <w:rsid w:val="006C6AB6"/>
    <w:rsid w:val="006C6C5B"/>
    <w:rsid w:val="006C6DCD"/>
    <w:rsid w:val="006C6EAF"/>
    <w:rsid w:val="006C7045"/>
    <w:rsid w:val="006C708A"/>
    <w:rsid w:val="006C72C5"/>
    <w:rsid w:val="006C72CD"/>
    <w:rsid w:val="006C73C5"/>
    <w:rsid w:val="006C743D"/>
    <w:rsid w:val="006C7499"/>
    <w:rsid w:val="006C74E8"/>
    <w:rsid w:val="006C7592"/>
    <w:rsid w:val="006C75A2"/>
    <w:rsid w:val="006C77E6"/>
    <w:rsid w:val="006C7870"/>
    <w:rsid w:val="006C7934"/>
    <w:rsid w:val="006C7F96"/>
    <w:rsid w:val="006D040A"/>
    <w:rsid w:val="006D041B"/>
    <w:rsid w:val="006D055E"/>
    <w:rsid w:val="006D0664"/>
    <w:rsid w:val="006D077C"/>
    <w:rsid w:val="006D07F9"/>
    <w:rsid w:val="006D0A1E"/>
    <w:rsid w:val="006D0ADC"/>
    <w:rsid w:val="006D0B03"/>
    <w:rsid w:val="006D0C9D"/>
    <w:rsid w:val="006D0DFC"/>
    <w:rsid w:val="006D0F5F"/>
    <w:rsid w:val="006D1101"/>
    <w:rsid w:val="006D1119"/>
    <w:rsid w:val="006D134A"/>
    <w:rsid w:val="006D1354"/>
    <w:rsid w:val="006D169E"/>
    <w:rsid w:val="006D1A19"/>
    <w:rsid w:val="006D1D2D"/>
    <w:rsid w:val="006D1DF1"/>
    <w:rsid w:val="006D20F8"/>
    <w:rsid w:val="006D2247"/>
    <w:rsid w:val="006D22E4"/>
    <w:rsid w:val="006D2339"/>
    <w:rsid w:val="006D235C"/>
    <w:rsid w:val="006D239D"/>
    <w:rsid w:val="006D2406"/>
    <w:rsid w:val="006D24F5"/>
    <w:rsid w:val="006D24FB"/>
    <w:rsid w:val="006D2643"/>
    <w:rsid w:val="006D266E"/>
    <w:rsid w:val="006D2812"/>
    <w:rsid w:val="006D298E"/>
    <w:rsid w:val="006D29EA"/>
    <w:rsid w:val="006D2CB8"/>
    <w:rsid w:val="006D2F03"/>
    <w:rsid w:val="006D2F58"/>
    <w:rsid w:val="006D3030"/>
    <w:rsid w:val="006D3204"/>
    <w:rsid w:val="006D3240"/>
    <w:rsid w:val="006D32C9"/>
    <w:rsid w:val="006D343A"/>
    <w:rsid w:val="006D34B7"/>
    <w:rsid w:val="006D35C5"/>
    <w:rsid w:val="006D35E1"/>
    <w:rsid w:val="006D3692"/>
    <w:rsid w:val="006D3888"/>
    <w:rsid w:val="006D38BB"/>
    <w:rsid w:val="006D3B66"/>
    <w:rsid w:val="006D3BA2"/>
    <w:rsid w:val="006D3E76"/>
    <w:rsid w:val="006D3F3C"/>
    <w:rsid w:val="006D3F6B"/>
    <w:rsid w:val="006D4051"/>
    <w:rsid w:val="006D408C"/>
    <w:rsid w:val="006D4333"/>
    <w:rsid w:val="006D45F6"/>
    <w:rsid w:val="006D45FA"/>
    <w:rsid w:val="006D4700"/>
    <w:rsid w:val="006D489A"/>
    <w:rsid w:val="006D48D8"/>
    <w:rsid w:val="006D4A57"/>
    <w:rsid w:val="006D4A72"/>
    <w:rsid w:val="006D4CC3"/>
    <w:rsid w:val="006D4E08"/>
    <w:rsid w:val="006D4F4D"/>
    <w:rsid w:val="006D4FF7"/>
    <w:rsid w:val="006D5083"/>
    <w:rsid w:val="006D5199"/>
    <w:rsid w:val="006D5273"/>
    <w:rsid w:val="006D5344"/>
    <w:rsid w:val="006D53F3"/>
    <w:rsid w:val="006D54A4"/>
    <w:rsid w:val="006D559C"/>
    <w:rsid w:val="006D5609"/>
    <w:rsid w:val="006D5620"/>
    <w:rsid w:val="006D5660"/>
    <w:rsid w:val="006D581B"/>
    <w:rsid w:val="006D59A3"/>
    <w:rsid w:val="006D5E8A"/>
    <w:rsid w:val="006D5F5F"/>
    <w:rsid w:val="006D6081"/>
    <w:rsid w:val="006D61BA"/>
    <w:rsid w:val="006D62B7"/>
    <w:rsid w:val="006D646D"/>
    <w:rsid w:val="006D65A2"/>
    <w:rsid w:val="006D673B"/>
    <w:rsid w:val="006D68B8"/>
    <w:rsid w:val="006D6987"/>
    <w:rsid w:val="006D69B0"/>
    <w:rsid w:val="006D6A23"/>
    <w:rsid w:val="006D6ACA"/>
    <w:rsid w:val="006D6B0B"/>
    <w:rsid w:val="006D6C73"/>
    <w:rsid w:val="006D7679"/>
    <w:rsid w:val="006D76D1"/>
    <w:rsid w:val="006D77DD"/>
    <w:rsid w:val="006D7913"/>
    <w:rsid w:val="006D7944"/>
    <w:rsid w:val="006D798A"/>
    <w:rsid w:val="006D7BF7"/>
    <w:rsid w:val="006D7C64"/>
    <w:rsid w:val="006D7D49"/>
    <w:rsid w:val="006E00C3"/>
    <w:rsid w:val="006E01F5"/>
    <w:rsid w:val="006E021B"/>
    <w:rsid w:val="006E04E9"/>
    <w:rsid w:val="006E0694"/>
    <w:rsid w:val="006E06C0"/>
    <w:rsid w:val="006E07F0"/>
    <w:rsid w:val="006E0AD0"/>
    <w:rsid w:val="006E0AD3"/>
    <w:rsid w:val="006E0C94"/>
    <w:rsid w:val="006E0D31"/>
    <w:rsid w:val="006E0DC3"/>
    <w:rsid w:val="006E0EED"/>
    <w:rsid w:val="006E1016"/>
    <w:rsid w:val="006E119E"/>
    <w:rsid w:val="006E16A7"/>
    <w:rsid w:val="006E1818"/>
    <w:rsid w:val="006E1B91"/>
    <w:rsid w:val="006E1C92"/>
    <w:rsid w:val="006E1CFA"/>
    <w:rsid w:val="006E1D59"/>
    <w:rsid w:val="006E1DCC"/>
    <w:rsid w:val="006E1E62"/>
    <w:rsid w:val="006E1E68"/>
    <w:rsid w:val="006E1E7E"/>
    <w:rsid w:val="006E206C"/>
    <w:rsid w:val="006E20EE"/>
    <w:rsid w:val="006E20EF"/>
    <w:rsid w:val="006E2120"/>
    <w:rsid w:val="006E23DD"/>
    <w:rsid w:val="006E23E1"/>
    <w:rsid w:val="006E24E9"/>
    <w:rsid w:val="006E25CD"/>
    <w:rsid w:val="006E2754"/>
    <w:rsid w:val="006E275A"/>
    <w:rsid w:val="006E27AF"/>
    <w:rsid w:val="006E29AC"/>
    <w:rsid w:val="006E29BF"/>
    <w:rsid w:val="006E2BB0"/>
    <w:rsid w:val="006E2C39"/>
    <w:rsid w:val="006E2C63"/>
    <w:rsid w:val="006E2D17"/>
    <w:rsid w:val="006E3008"/>
    <w:rsid w:val="006E31BC"/>
    <w:rsid w:val="006E31C1"/>
    <w:rsid w:val="006E3259"/>
    <w:rsid w:val="006E3524"/>
    <w:rsid w:val="006E360B"/>
    <w:rsid w:val="006E3639"/>
    <w:rsid w:val="006E36A1"/>
    <w:rsid w:val="006E3744"/>
    <w:rsid w:val="006E3864"/>
    <w:rsid w:val="006E3917"/>
    <w:rsid w:val="006E39DE"/>
    <w:rsid w:val="006E3C42"/>
    <w:rsid w:val="006E3CA3"/>
    <w:rsid w:val="006E3CF9"/>
    <w:rsid w:val="006E3D21"/>
    <w:rsid w:val="006E3D5B"/>
    <w:rsid w:val="006E3DEC"/>
    <w:rsid w:val="006E3F0F"/>
    <w:rsid w:val="006E3F33"/>
    <w:rsid w:val="006E4241"/>
    <w:rsid w:val="006E44D5"/>
    <w:rsid w:val="006E462F"/>
    <w:rsid w:val="006E4750"/>
    <w:rsid w:val="006E4837"/>
    <w:rsid w:val="006E4849"/>
    <w:rsid w:val="006E48FE"/>
    <w:rsid w:val="006E49C0"/>
    <w:rsid w:val="006E4C9C"/>
    <w:rsid w:val="006E4CAE"/>
    <w:rsid w:val="006E4CE3"/>
    <w:rsid w:val="006E4D58"/>
    <w:rsid w:val="006E4DB8"/>
    <w:rsid w:val="006E5195"/>
    <w:rsid w:val="006E52FE"/>
    <w:rsid w:val="006E5312"/>
    <w:rsid w:val="006E5480"/>
    <w:rsid w:val="006E5493"/>
    <w:rsid w:val="006E56FC"/>
    <w:rsid w:val="006E591B"/>
    <w:rsid w:val="006E5998"/>
    <w:rsid w:val="006E59AE"/>
    <w:rsid w:val="006E5D0D"/>
    <w:rsid w:val="006E5D23"/>
    <w:rsid w:val="006E5FF1"/>
    <w:rsid w:val="006E6214"/>
    <w:rsid w:val="006E621B"/>
    <w:rsid w:val="006E62F5"/>
    <w:rsid w:val="006E6328"/>
    <w:rsid w:val="006E6428"/>
    <w:rsid w:val="006E6516"/>
    <w:rsid w:val="006E675E"/>
    <w:rsid w:val="006E6789"/>
    <w:rsid w:val="006E68B5"/>
    <w:rsid w:val="006E6C81"/>
    <w:rsid w:val="006E6D34"/>
    <w:rsid w:val="006E6DD9"/>
    <w:rsid w:val="006E703D"/>
    <w:rsid w:val="006E707E"/>
    <w:rsid w:val="006E717A"/>
    <w:rsid w:val="006E7282"/>
    <w:rsid w:val="006E7304"/>
    <w:rsid w:val="006E73F4"/>
    <w:rsid w:val="006E756A"/>
    <w:rsid w:val="006E75DF"/>
    <w:rsid w:val="006E7601"/>
    <w:rsid w:val="006E771B"/>
    <w:rsid w:val="006E77EF"/>
    <w:rsid w:val="006E7CD5"/>
    <w:rsid w:val="006E7DA3"/>
    <w:rsid w:val="006E7DCF"/>
    <w:rsid w:val="006E7F9B"/>
    <w:rsid w:val="006F011C"/>
    <w:rsid w:val="006F01EA"/>
    <w:rsid w:val="006F0355"/>
    <w:rsid w:val="006F0417"/>
    <w:rsid w:val="006F058D"/>
    <w:rsid w:val="006F0687"/>
    <w:rsid w:val="006F06C8"/>
    <w:rsid w:val="006F09BF"/>
    <w:rsid w:val="006F09E0"/>
    <w:rsid w:val="006F0B1D"/>
    <w:rsid w:val="006F0D6C"/>
    <w:rsid w:val="006F0DB2"/>
    <w:rsid w:val="006F0E0E"/>
    <w:rsid w:val="006F0F0D"/>
    <w:rsid w:val="006F1049"/>
    <w:rsid w:val="006F1123"/>
    <w:rsid w:val="006F12A9"/>
    <w:rsid w:val="006F12D4"/>
    <w:rsid w:val="006F13EF"/>
    <w:rsid w:val="006F146F"/>
    <w:rsid w:val="006F14B5"/>
    <w:rsid w:val="006F169C"/>
    <w:rsid w:val="006F1937"/>
    <w:rsid w:val="006F19D2"/>
    <w:rsid w:val="006F1BF2"/>
    <w:rsid w:val="006F1C2D"/>
    <w:rsid w:val="006F1DB0"/>
    <w:rsid w:val="006F2045"/>
    <w:rsid w:val="006F21F2"/>
    <w:rsid w:val="006F2238"/>
    <w:rsid w:val="006F2268"/>
    <w:rsid w:val="006F23A7"/>
    <w:rsid w:val="006F23F8"/>
    <w:rsid w:val="006F2610"/>
    <w:rsid w:val="006F267F"/>
    <w:rsid w:val="006F26B3"/>
    <w:rsid w:val="006F292A"/>
    <w:rsid w:val="006F29C9"/>
    <w:rsid w:val="006F2AA0"/>
    <w:rsid w:val="006F2B8F"/>
    <w:rsid w:val="006F2E14"/>
    <w:rsid w:val="006F2EB8"/>
    <w:rsid w:val="006F33E9"/>
    <w:rsid w:val="006F3506"/>
    <w:rsid w:val="006F368D"/>
    <w:rsid w:val="006F3696"/>
    <w:rsid w:val="006F3774"/>
    <w:rsid w:val="006F38CD"/>
    <w:rsid w:val="006F38CF"/>
    <w:rsid w:val="006F3A80"/>
    <w:rsid w:val="006F3BB0"/>
    <w:rsid w:val="006F3BC9"/>
    <w:rsid w:val="006F3CE2"/>
    <w:rsid w:val="006F3CE3"/>
    <w:rsid w:val="006F3EBD"/>
    <w:rsid w:val="006F44A1"/>
    <w:rsid w:val="006F45E0"/>
    <w:rsid w:val="006F45E3"/>
    <w:rsid w:val="006F483D"/>
    <w:rsid w:val="006F497A"/>
    <w:rsid w:val="006F4BB4"/>
    <w:rsid w:val="006F4F17"/>
    <w:rsid w:val="006F4FB9"/>
    <w:rsid w:val="006F503D"/>
    <w:rsid w:val="006F51F7"/>
    <w:rsid w:val="006F52BC"/>
    <w:rsid w:val="006F54BE"/>
    <w:rsid w:val="006F5735"/>
    <w:rsid w:val="006F5749"/>
    <w:rsid w:val="006F57D1"/>
    <w:rsid w:val="006F5870"/>
    <w:rsid w:val="006F5991"/>
    <w:rsid w:val="006F5ACD"/>
    <w:rsid w:val="006F5B90"/>
    <w:rsid w:val="006F5CC3"/>
    <w:rsid w:val="006F5D95"/>
    <w:rsid w:val="006F5E53"/>
    <w:rsid w:val="006F5E68"/>
    <w:rsid w:val="006F5E81"/>
    <w:rsid w:val="006F5F9C"/>
    <w:rsid w:val="006F6008"/>
    <w:rsid w:val="006F6139"/>
    <w:rsid w:val="006F6173"/>
    <w:rsid w:val="006F6239"/>
    <w:rsid w:val="006F62A7"/>
    <w:rsid w:val="006F64BC"/>
    <w:rsid w:val="006F64FC"/>
    <w:rsid w:val="006F665E"/>
    <w:rsid w:val="006F6CD2"/>
    <w:rsid w:val="006F6E4A"/>
    <w:rsid w:val="006F6EA9"/>
    <w:rsid w:val="006F6F3C"/>
    <w:rsid w:val="006F6F64"/>
    <w:rsid w:val="006F6FBB"/>
    <w:rsid w:val="006F6FED"/>
    <w:rsid w:val="006F7023"/>
    <w:rsid w:val="006F7045"/>
    <w:rsid w:val="006F7085"/>
    <w:rsid w:val="006F75A3"/>
    <w:rsid w:val="006F75B7"/>
    <w:rsid w:val="006F75C6"/>
    <w:rsid w:val="006F7810"/>
    <w:rsid w:val="006F7919"/>
    <w:rsid w:val="006F7B98"/>
    <w:rsid w:val="006F7D73"/>
    <w:rsid w:val="00700281"/>
    <w:rsid w:val="0070036C"/>
    <w:rsid w:val="00700563"/>
    <w:rsid w:val="0070071F"/>
    <w:rsid w:val="0070079F"/>
    <w:rsid w:val="007007F6"/>
    <w:rsid w:val="007008E2"/>
    <w:rsid w:val="00700AD2"/>
    <w:rsid w:val="00700BC7"/>
    <w:rsid w:val="00700BCA"/>
    <w:rsid w:val="00700F49"/>
    <w:rsid w:val="0070104A"/>
    <w:rsid w:val="0070112B"/>
    <w:rsid w:val="00701175"/>
    <w:rsid w:val="007012A2"/>
    <w:rsid w:val="007012FF"/>
    <w:rsid w:val="0070136A"/>
    <w:rsid w:val="00701440"/>
    <w:rsid w:val="0070146E"/>
    <w:rsid w:val="007015E8"/>
    <w:rsid w:val="007015EE"/>
    <w:rsid w:val="0070161E"/>
    <w:rsid w:val="00701850"/>
    <w:rsid w:val="0070188E"/>
    <w:rsid w:val="00701928"/>
    <w:rsid w:val="00701AED"/>
    <w:rsid w:val="00701BEE"/>
    <w:rsid w:val="00701D21"/>
    <w:rsid w:val="00701EBD"/>
    <w:rsid w:val="00702083"/>
    <w:rsid w:val="007020FD"/>
    <w:rsid w:val="0070213C"/>
    <w:rsid w:val="00702541"/>
    <w:rsid w:val="0070254F"/>
    <w:rsid w:val="00702A49"/>
    <w:rsid w:val="00702B79"/>
    <w:rsid w:val="00702B97"/>
    <w:rsid w:val="00702BD6"/>
    <w:rsid w:val="00702D6D"/>
    <w:rsid w:val="00702D79"/>
    <w:rsid w:val="00702EEC"/>
    <w:rsid w:val="00702F64"/>
    <w:rsid w:val="00703438"/>
    <w:rsid w:val="00703577"/>
    <w:rsid w:val="007035F8"/>
    <w:rsid w:val="0070367A"/>
    <w:rsid w:val="00703ADD"/>
    <w:rsid w:val="00703BBE"/>
    <w:rsid w:val="00703C86"/>
    <w:rsid w:val="00703DE5"/>
    <w:rsid w:val="00703E9A"/>
    <w:rsid w:val="00703EE2"/>
    <w:rsid w:val="00703F57"/>
    <w:rsid w:val="00703F83"/>
    <w:rsid w:val="00703FDA"/>
    <w:rsid w:val="0070420C"/>
    <w:rsid w:val="00704215"/>
    <w:rsid w:val="00704230"/>
    <w:rsid w:val="0070424B"/>
    <w:rsid w:val="007042ED"/>
    <w:rsid w:val="007043EB"/>
    <w:rsid w:val="0070449D"/>
    <w:rsid w:val="007044BE"/>
    <w:rsid w:val="0070451A"/>
    <w:rsid w:val="00704A02"/>
    <w:rsid w:val="00704B5B"/>
    <w:rsid w:val="00704BAB"/>
    <w:rsid w:val="00704BFA"/>
    <w:rsid w:val="00704DBB"/>
    <w:rsid w:val="00704FB8"/>
    <w:rsid w:val="007051F4"/>
    <w:rsid w:val="00705300"/>
    <w:rsid w:val="007054EE"/>
    <w:rsid w:val="00705596"/>
    <w:rsid w:val="00705599"/>
    <w:rsid w:val="007057D2"/>
    <w:rsid w:val="00705D00"/>
    <w:rsid w:val="00705FFA"/>
    <w:rsid w:val="00706353"/>
    <w:rsid w:val="00706424"/>
    <w:rsid w:val="0070646B"/>
    <w:rsid w:val="007066E2"/>
    <w:rsid w:val="00706792"/>
    <w:rsid w:val="00706847"/>
    <w:rsid w:val="00706966"/>
    <w:rsid w:val="00706967"/>
    <w:rsid w:val="00706A38"/>
    <w:rsid w:val="00706A4F"/>
    <w:rsid w:val="00706AE9"/>
    <w:rsid w:val="00706B89"/>
    <w:rsid w:val="00706D10"/>
    <w:rsid w:val="00706D2F"/>
    <w:rsid w:val="0070717E"/>
    <w:rsid w:val="007076A9"/>
    <w:rsid w:val="007076BB"/>
    <w:rsid w:val="007078E0"/>
    <w:rsid w:val="00707B4C"/>
    <w:rsid w:val="00707D18"/>
    <w:rsid w:val="00707FAB"/>
    <w:rsid w:val="00710671"/>
    <w:rsid w:val="007107E4"/>
    <w:rsid w:val="00710D11"/>
    <w:rsid w:val="00710E3C"/>
    <w:rsid w:val="00710F1B"/>
    <w:rsid w:val="00710F1E"/>
    <w:rsid w:val="007112A4"/>
    <w:rsid w:val="00711316"/>
    <w:rsid w:val="007113DB"/>
    <w:rsid w:val="007114B5"/>
    <w:rsid w:val="007114E9"/>
    <w:rsid w:val="007115EA"/>
    <w:rsid w:val="00711856"/>
    <w:rsid w:val="00711957"/>
    <w:rsid w:val="00711A0F"/>
    <w:rsid w:val="00711AD7"/>
    <w:rsid w:val="00711AFB"/>
    <w:rsid w:val="00711D45"/>
    <w:rsid w:val="00711DAD"/>
    <w:rsid w:val="00711DD8"/>
    <w:rsid w:val="00711DF4"/>
    <w:rsid w:val="00711ECF"/>
    <w:rsid w:val="00712086"/>
    <w:rsid w:val="00712099"/>
    <w:rsid w:val="00712240"/>
    <w:rsid w:val="00712303"/>
    <w:rsid w:val="007126F9"/>
    <w:rsid w:val="0071286A"/>
    <w:rsid w:val="007129D7"/>
    <w:rsid w:val="00712A6C"/>
    <w:rsid w:val="00712B3D"/>
    <w:rsid w:val="00712BDC"/>
    <w:rsid w:val="00712C36"/>
    <w:rsid w:val="00712D3F"/>
    <w:rsid w:val="00712DA9"/>
    <w:rsid w:val="00712DB2"/>
    <w:rsid w:val="00712E9A"/>
    <w:rsid w:val="00712F0E"/>
    <w:rsid w:val="00712FB8"/>
    <w:rsid w:val="00712FC5"/>
    <w:rsid w:val="007130B5"/>
    <w:rsid w:val="007131A8"/>
    <w:rsid w:val="007131EF"/>
    <w:rsid w:val="007134AC"/>
    <w:rsid w:val="00713581"/>
    <w:rsid w:val="0071362E"/>
    <w:rsid w:val="007137DA"/>
    <w:rsid w:val="007139B2"/>
    <w:rsid w:val="00713B23"/>
    <w:rsid w:val="00713C18"/>
    <w:rsid w:val="00713CA2"/>
    <w:rsid w:val="00713FE9"/>
    <w:rsid w:val="0071429B"/>
    <w:rsid w:val="00714340"/>
    <w:rsid w:val="007143F8"/>
    <w:rsid w:val="00714488"/>
    <w:rsid w:val="007144D3"/>
    <w:rsid w:val="0071462A"/>
    <w:rsid w:val="00714642"/>
    <w:rsid w:val="0071469D"/>
    <w:rsid w:val="007147DB"/>
    <w:rsid w:val="00714858"/>
    <w:rsid w:val="0071493E"/>
    <w:rsid w:val="00714AE4"/>
    <w:rsid w:val="00714AF6"/>
    <w:rsid w:val="00714B83"/>
    <w:rsid w:val="00714D62"/>
    <w:rsid w:val="00714EB4"/>
    <w:rsid w:val="0071518B"/>
    <w:rsid w:val="00715258"/>
    <w:rsid w:val="007154C7"/>
    <w:rsid w:val="0071559F"/>
    <w:rsid w:val="007156CE"/>
    <w:rsid w:val="007157F6"/>
    <w:rsid w:val="00715AF2"/>
    <w:rsid w:val="00715C65"/>
    <w:rsid w:val="00715C9C"/>
    <w:rsid w:val="00715CAB"/>
    <w:rsid w:val="00715CF9"/>
    <w:rsid w:val="00715DD5"/>
    <w:rsid w:val="00715DF7"/>
    <w:rsid w:val="00715EED"/>
    <w:rsid w:val="00715F90"/>
    <w:rsid w:val="00716210"/>
    <w:rsid w:val="0071626F"/>
    <w:rsid w:val="0071627B"/>
    <w:rsid w:val="0071632C"/>
    <w:rsid w:val="00716373"/>
    <w:rsid w:val="007163E9"/>
    <w:rsid w:val="00716472"/>
    <w:rsid w:val="007166D7"/>
    <w:rsid w:val="0071695E"/>
    <w:rsid w:val="007169A1"/>
    <w:rsid w:val="00716A1C"/>
    <w:rsid w:val="00716BC1"/>
    <w:rsid w:val="007171C3"/>
    <w:rsid w:val="00717469"/>
    <w:rsid w:val="007174FF"/>
    <w:rsid w:val="00717612"/>
    <w:rsid w:val="007177BA"/>
    <w:rsid w:val="00717813"/>
    <w:rsid w:val="00717C87"/>
    <w:rsid w:val="00717CA3"/>
    <w:rsid w:val="00717D9F"/>
    <w:rsid w:val="00720000"/>
    <w:rsid w:val="00720019"/>
    <w:rsid w:val="00720217"/>
    <w:rsid w:val="0072034B"/>
    <w:rsid w:val="0072039A"/>
    <w:rsid w:val="00720472"/>
    <w:rsid w:val="00720498"/>
    <w:rsid w:val="007206B4"/>
    <w:rsid w:val="0072075B"/>
    <w:rsid w:val="0072077E"/>
    <w:rsid w:val="00720993"/>
    <w:rsid w:val="00720A1F"/>
    <w:rsid w:val="00720A52"/>
    <w:rsid w:val="00720AA0"/>
    <w:rsid w:val="00720B1C"/>
    <w:rsid w:val="00720B2D"/>
    <w:rsid w:val="00720BE0"/>
    <w:rsid w:val="00720CF3"/>
    <w:rsid w:val="00720D66"/>
    <w:rsid w:val="00720D6C"/>
    <w:rsid w:val="00720D93"/>
    <w:rsid w:val="00720F77"/>
    <w:rsid w:val="00721245"/>
    <w:rsid w:val="00721521"/>
    <w:rsid w:val="00721827"/>
    <w:rsid w:val="007218C6"/>
    <w:rsid w:val="00721917"/>
    <w:rsid w:val="007219C2"/>
    <w:rsid w:val="007219D3"/>
    <w:rsid w:val="007219F7"/>
    <w:rsid w:val="00721A2C"/>
    <w:rsid w:val="00721AEA"/>
    <w:rsid w:val="00721C86"/>
    <w:rsid w:val="00721D8F"/>
    <w:rsid w:val="00721FCF"/>
    <w:rsid w:val="0072214B"/>
    <w:rsid w:val="00722183"/>
    <w:rsid w:val="0072219F"/>
    <w:rsid w:val="00722380"/>
    <w:rsid w:val="0072243A"/>
    <w:rsid w:val="00722569"/>
    <w:rsid w:val="0072267F"/>
    <w:rsid w:val="00722716"/>
    <w:rsid w:val="007227FE"/>
    <w:rsid w:val="007228EF"/>
    <w:rsid w:val="00722967"/>
    <w:rsid w:val="00722D0D"/>
    <w:rsid w:val="00722F26"/>
    <w:rsid w:val="00722FA0"/>
    <w:rsid w:val="0072303F"/>
    <w:rsid w:val="00723185"/>
    <w:rsid w:val="007231F1"/>
    <w:rsid w:val="00723236"/>
    <w:rsid w:val="00723458"/>
    <w:rsid w:val="007234C4"/>
    <w:rsid w:val="00723596"/>
    <w:rsid w:val="00723635"/>
    <w:rsid w:val="00723889"/>
    <w:rsid w:val="00723B2B"/>
    <w:rsid w:val="00723C6B"/>
    <w:rsid w:val="00723CC7"/>
    <w:rsid w:val="00723D87"/>
    <w:rsid w:val="00723F10"/>
    <w:rsid w:val="00723FD2"/>
    <w:rsid w:val="00724079"/>
    <w:rsid w:val="007240AF"/>
    <w:rsid w:val="00724156"/>
    <w:rsid w:val="0072419C"/>
    <w:rsid w:val="00724289"/>
    <w:rsid w:val="0072428F"/>
    <w:rsid w:val="0072433B"/>
    <w:rsid w:val="007245C2"/>
    <w:rsid w:val="00724714"/>
    <w:rsid w:val="00724717"/>
    <w:rsid w:val="00724821"/>
    <w:rsid w:val="00724967"/>
    <w:rsid w:val="00724AB9"/>
    <w:rsid w:val="00724B3A"/>
    <w:rsid w:val="00724C4F"/>
    <w:rsid w:val="00724DE7"/>
    <w:rsid w:val="00724F4D"/>
    <w:rsid w:val="00725005"/>
    <w:rsid w:val="0072503E"/>
    <w:rsid w:val="007253EE"/>
    <w:rsid w:val="00725601"/>
    <w:rsid w:val="00725B56"/>
    <w:rsid w:val="00725BB3"/>
    <w:rsid w:val="00725C73"/>
    <w:rsid w:val="00725CD9"/>
    <w:rsid w:val="00725E07"/>
    <w:rsid w:val="00725EF2"/>
    <w:rsid w:val="00726067"/>
    <w:rsid w:val="007261B9"/>
    <w:rsid w:val="00726246"/>
    <w:rsid w:val="007268DD"/>
    <w:rsid w:val="00726918"/>
    <w:rsid w:val="00726A4E"/>
    <w:rsid w:val="00726A9D"/>
    <w:rsid w:val="00726AD7"/>
    <w:rsid w:val="00726BA7"/>
    <w:rsid w:val="00726C4E"/>
    <w:rsid w:val="00726C8B"/>
    <w:rsid w:val="00726CEA"/>
    <w:rsid w:val="00726F43"/>
    <w:rsid w:val="007271E5"/>
    <w:rsid w:val="007272D3"/>
    <w:rsid w:val="007273E3"/>
    <w:rsid w:val="007277E4"/>
    <w:rsid w:val="0072787E"/>
    <w:rsid w:val="007279E6"/>
    <w:rsid w:val="00727A20"/>
    <w:rsid w:val="00727A8E"/>
    <w:rsid w:val="00727B9F"/>
    <w:rsid w:val="00727C2B"/>
    <w:rsid w:val="00727D5B"/>
    <w:rsid w:val="00727DA1"/>
    <w:rsid w:val="00727FF5"/>
    <w:rsid w:val="0073003A"/>
    <w:rsid w:val="0073003C"/>
    <w:rsid w:val="00730070"/>
    <w:rsid w:val="00730075"/>
    <w:rsid w:val="0073009E"/>
    <w:rsid w:val="0073030A"/>
    <w:rsid w:val="0073037E"/>
    <w:rsid w:val="0073042A"/>
    <w:rsid w:val="00730511"/>
    <w:rsid w:val="007307BE"/>
    <w:rsid w:val="007309E4"/>
    <w:rsid w:val="00730D69"/>
    <w:rsid w:val="00730E52"/>
    <w:rsid w:val="00731113"/>
    <w:rsid w:val="007311B6"/>
    <w:rsid w:val="0073126C"/>
    <w:rsid w:val="0073126F"/>
    <w:rsid w:val="00731364"/>
    <w:rsid w:val="00731522"/>
    <w:rsid w:val="0073175E"/>
    <w:rsid w:val="007317D1"/>
    <w:rsid w:val="007319CC"/>
    <w:rsid w:val="007319E2"/>
    <w:rsid w:val="00731A10"/>
    <w:rsid w:val="00731A44"/>
    <w:rsid w:val="00731B4A"/>
    <w:rsid w:val="00731C52"/>
    <w:rsid w:val="00731D11"/>
    <w:rsid w:val="00731D9F"/>
    <w:rsid w:val="007320F1"/>
    <w:rsid w:val="007323F9"/>
    <w:rsid w:val="0073246B"/>
    <w:rsid w:val="007325EA"/>
    <w:rsid w:val="007329EF"/>
    <w:rsid w:val="00732A6A"/>
    <w:rsid w:val="00732AED"/>
    <w:rsid w:val="00732B13"/>
    <w:rsid w:val="00732BDB"/>
    <w:rsid w:val="00732C9D"/>
    <w:rsid w:val="00732CE5"/>
    <w:rsid w:val="00732DB0"/>
    <w:rsid w:val="00732E39"/>
    <w:rsid w:val="00732F4D"/>
    <w:rsid w:val="0073309A"/>
    <w:rsid w:val="0073316C"/>
    <w:rsid w:val="007333C2"/>
    <w:rsid w:val="0073342D"/>
    <w:rsid w:val="0073351B"/>
    <w:rsid w:val="0073358B"/>
    <w:rsid w:val="007336BF"/>
    <w:rsid w:val="007336F7"/>
    <w:rsid w:val="007336FC"/>
    <w:rsid w:val="007337B4"/>
    <w:rsid w:val="007337CA"/>
    <w:rsid w:val="007338C2"/>
    <w:rsid w:val="00733A1B"/>
    <w:rsid w:val="00733D41"/>
    <w:rsid w:val="00733F7A"/>
    <w:rsid w:val="00733FF9"/>
    <w:rsid w:val="0073410B"/>
    <w:rsid w:val="007342D1"/>
    <w:rsid w:val="00734437"/>
    <w:rsid w:val="0073443D"/>
    <w:rsid w:val="0073448D"/>
    <w:rsid w:val="007344F9"/>
    <w:rsid w:val="00734759"/>
    <w:rsid w:val="007347C2"/>
    <w:rsid w:val="00734A7B"/>
    <w:rsid w:val="00734B44"/>
    <w:rsid w:val="00734C21"/>
    <w:rsid w:val="00734D5D"/>
    <w:rsid w:val="00734EB3"/>
    <w:rsid w:val="00734F1B"/>
    <w:rsid w:val="0073510A"/>
    <w:rsid w:val="00735303"/>
    <w:rsid w:val="007354E3"/>
    <w:rsid w:val="007355BB"/>
    <w:rsid w:val="0073584A"/>
    <w:rsid w:val="007358CF"/>
    <w:rsid w:val="007359A0"/>
    <w:rsid w:val="007359AF"/>
    <w:rsid w:val="00735A75"/>
    <w:rsid w:val="00735BAC"/>
    <w:rsid w:val="00735C36"/>
    <w:rsid w:val="00735C6A"/>
    <w:rsid w:val="00735CCA"/>
    <w:rsid w:val="00735E2D"/>
    <w:rsid w:val="00736030"/>
    <w:rsid w:val="007361C9"/>
    <w:rsid w:val="007361FA"/>
    <w:rsid w:val="00736229"/>
    <w:rsid w:val="00736297"/>
    <w:rsid w:val="0073663A"/>
    <w:rsid w:val="007366FC"/>
    <w:rsid w:val="0073676D"/>
    <w:rsid w:val="007368A0"/>
    <w:rsid w:val="0073691A"/>
    <w:rsid w:val="0073697D"/>
    <w:rsid w:val="007369C4"/>
    <w:rsid w:val="00736B4D"/>
    <w:rsid w:val="00736C03"/>
    <w:rsid w:val="00736DD8"/>
    <w:rsid w:val="00736E4A"/>
    <w:rsid w:val="00736E63"/>
    <w:rsid w:val="00736EF0"/>
    <w:rsid w:val="00736F81"/>
    <w:rsid w:val="00737020"/>
    <w:rsid w:val="007371B9"/>
    <w:rsid w:val="007371C6"/>
    <w:rsid w:val="007372B3"/>
    <w:rsid w:val="0073730D"/>
    <w:rsid w:val="0073749C"/>
    <w:rsid w:val="007374EF"/>
    <w:rsid w:val="00737622"/>
    <w:rsid w:val="007376C9"/>
    <w:rsid w:val="00737714"/>
    <w:rsid w:val="0073796F"/>
    <w:rsid w:val="007379D4"/>
    <w:rsid w:val="00737B27"/>
    <w:rsid w:val="0074000F"/>
    <w:rsid w:val="00740076"/>
    <w:rsid w:val="007401D0"/>
    <w:rsid w:val="0074022B"/>
    <w:rsid w:val="00740280"/>
    <w:rsid w:val="007403BE"/>
    <w:rsid w:val="00740423"/>
    <w:rsid w:val="007404DA"/>
    <w:rsid w:val="00740767"/>
    <w:rsid w:val="0074088B"/>
    <w:rsid w:val="007409BC"/>
    <w:rsid w:val="007409C8"/>
    <w:rsid w:val="00740B46"/>
    <w:rsid w:val="00740BBB"/>
    <w:rsid w:val="00740BE4"/>
    <w:rsid w:val="00740CCF"/>
    <w:rsid w:val="00740CF8"/>
    <w:rsid w:val="00740E8A"/>
    <w:rsid w:val="00740EEC"/>
    <w:rsid w:val="00740F77"/>
    <w:rsid w:val="007410F3"/>
    <w:rsid w:val="00741224"/>
    <w:rsid w:val="00741262"/>
    <w:rsid w:val="00741366"/>
    <w:rsid w:val="007414D7"/>
    <w:rsid w:val="00741508"/>
    <w:rsid w:val="0074170E"/>
    <w:rsid w:val="007417C4"/>
    <w:rsid w:val="007419A3"/>
    <w:rsid w:val="00741A2E"/>
    <w:rsid w:val="00741AEC"/>
    <w:rsid w:val="00741C59"/>
    <w:rsid w:val="00741C89"/>
    <w:rsid w:val="00741E2A"/>
    <w:rsid w:val="00741F04"/>
    <w:rsid w:val="007420B8"/>
    <w:rsid w:val="00742194"/>
    <w:rsid w:val="007421EB"/>
    <w:rsid w:val="007422EE"/>
    <w:rsid w:val="00742378"/>
    <w:rsid w:val="00742435"/>
    <w:rsid w:val="0074248F"/>
    <w:rsid w:val="0074257C"/>
    <w:rsid w:val="007425FD"/>
    <w:rsid w:val="0074266A"/>
    <w:rsid w:val="00742672"/>
    <w:rsid w:val="00742754"/>
    <w:rsid w:val="00742765"/>
    <w:rsid w:val="00742852"/>
    <w:rsid w:val="00742A31"/>
    <w:rsid w:val="00742DFD"/>
    <w:rsid w:val="00742E4B"/>
    <w:rsid w:val="00742E9F"/>
    <w:rsid w:val="00742EC4"/>
    <w:rsid w:val="00742EC5"/>
    <w:rsid w:val="00742F32"/>
    <w:rsid w:val="007430EC"/>
    <w:rsid w:val="007432C1"/>
    <w:rsid w:val="00743346"/>
    <w:rsid w:val="00743349"/>
    <w:rsid w:val="007439E4"/>
    <w:rsid w:val="00743A04"/>
    <w:rsid w:val="00743AF2"/>
    <w:rsid w:val="00743B0C"/>
    <w:rsid w:val="00743B43"/>
    <w:rsid w:val="00743C9E"/>
    <w:rsid w:val="00743E3E"/>
    <w:rsid w:val="007440B4"/>
    <w:rsid w:val="00744535"/>
    <w:rsid w:val="0074475E"/>
    <w:rsid w:val="007447D0"/>
    <w:rsid w:val="00744800"/>
    <w:rsid w:val="0074485B"/>
    <w:rsid w:val="00744C25"/>
    <w:rsid w:val="00744C2C"/>
    <w:rsid w:val="00744D00"/>
    <w:rsid w:val="00744D3C"/>
    <w:rsid w:val="00744D6C"/>
    <w:rsid w:val="00744E49"/>
    <w:rsid w:val="00744F54"/>
    <w:rsid w:val="00744FD2"/>
    <w:rsid w:val="007450E0"/>
    <w:rsid w:val="007452A3"/>
    <w:rsid w:val="00745307"/>
    <w:rsid w:val="00745532"/>
    <w:rsid w:val="007455F0"/>
    <w:rsid w:val="007455F4"/>
    <w:rsid w:val="007457CF"/>
    <w:rsid w:val="00745A72"/>
    <w:rsid w:val="00745B47"/>
    <w:rsid w:val="00745B5F"/>
    <w:rsid w:val="00745BCE"/>
    <w:rsid w:val="00745C07"/>
    <w:rsid w:val="00745EDE"/>
    <w:rsid w:val="00745FF4"/>
    <w:rsid w:val="007460B0"/>
    <w:rsid w:val="007460EE"/>
    <w:rsid w:val="00746193"/>
    <w:rsid w:val="007463E0"/>
    <w:rsid w:val="0074640B"/>
    <w:rsid w:val="007465F5"/>
    <w:rsid w:val="0074665C"/>
    <w:rsid w:val="00746664"/>
    <w:rsid w:val="00746741"/>
    <w:rsid w:val="007468A5"/>
    <w:rsid w:val="00746B5F"/>
    <w:rsid w:val="00746FC5"/>
    <w:rsid w:val="00746FEA"/>
    <w:rsid w:val="00747406"/>
    <w:rsid w:val="00747419"/>
    <w:rsid w:val="007474D7"/>
    <w:rsid w:val="00747700"/>
    <w:rsid w:val="0074780F"/>
    <w:rsid w:val="00747855"/>
    <w:rsid w:val="0074787B"/>
    <w:rsid w:val="0074787D"/>
    <w:rsid w:val="00747954"/>
    <w:rsid w:val="007479B3"/>
    <w:rsid w:val="007479BD"/>
    <w:rsid w:val="00747A0E"/>
    <w:rsid w:val="00747ADE"/>
    <w:rsid w:val="00747CAB"/>
    <w:rsid w:val="00747D52"/>
    <w:rsid w:val="00747DA5"/>
    <w:rsid w:val="00747E9F"/>
    <w:rsid w:val="00747EA4"/>
    <w:rsid w:val="00750093"/>
    <w:rsid w:val="007501C0"/>
    <w:rsid w:val="0075025F"/>
    <w:rsid w:val="00750315"/>
    <w:rsid w:val="00750357"/>
    <w:rsid w:val="0075036B"/>
    <w:rsid w:val="007503C4"/>
    <w:rsid w:val="007504A7"/>
    <w:rsid w:val="007506A0"/>
    <w:rsid w:val="007507B1"/>
    <w:rsid w:val="007507B9"/>
    <w:rsid w:val="0075089F"/>
    <w:rsid w:val="00750993"/>
    <w:rsid w:val="00750B5F"/>
    <w:rsid w:val="00750BB8"/>
    <w:rsid w:val="00750C29"/>
    <w:rsid w:val="00750D75"/>
    <w:rsid w:val="00750E66"/>
    <w:rsid w:val="00750F26"/>
    <w:rsid w:val="007510D8"/>
    <w:rsid w:val="00751179"/>
    <w:rsid w:val="0075118A"/>
    <w:rsid w:val="00751196"/>
    <w:rsid w:val="007512DA"/>
    <w:rsid w:val="00751454"/>
    <w:rsid w:val="0075158A"/>
    <w:rsid w:val="007516D0"/>
    <w:rsid w:val="007517DB"/>
    <w:rsid w:val="007519AB"/>
    <w:rsid w:val="00751A64"/>
    <w:rsid w:val="00751A7E"/>
    <w:rsid w:val="00751B45"/>
    <w:rsid w:val="00751BED"/>
    <w:rsid w:val="00751C50"/>
    <w:rsid w:val="00751CF2"/>
    <w:rsid w:val="00751F6A"/>
    <w:rsid w:val="00751FB4"/>
    <w:rsid w:val="00752009"/>
    <w:rsid w:val="0075201D"/>
    <w:rsid w:val="00752099"/>
    <w:rsid w:val="0075216A"/>
    <w:rsid w:val="00752237"/>
    <w:rsid w:val="0075236C"/>
    <w:rsid w:val="00752372"/>
    <w:rsid w:val="007524BD"/>
    <w:rsid w:val="00752594"/>
    <w:rsid w:val="007529E3"/>
    <w:rsid w:val="00752B38"/>
    <w:rsid w:val="00752B6B"/>
    <w:rsid w:val="00752BBA"/>
    <w:rsid w:val="00752C06"/>
    <w:rsid w:val="00752CD4"/>
    <w:rsid w:val="00752D24"/>
    <w:rsid w:val="00752D41"/>
    <w:rsid w:val="00752E13"/>
    <w:rsid w:val="00752E85"/>
    <w:rsid w:val="00752E92"/>
    <w:rsid w:val="007530C3"/>
    <w:rsid w:val="007530D9"/>
    <w:rsid w:val="00753216"/>
    <w:rsid w:val="0075326D"/>
    <w:rsid w:val="007533BB"/>
    <w:rsid w:val="00753662"/>
    <w:rsid w:val="007536DF"/>
    <w:rsid w:val="00753758"/>
    <w:rsid w:val="00753992"/>
    <w:rsid w:val="00753A48"/>
    <w:rsid w:val="00753A4C"/>
    <w:rsid w:val="00753B16"/>
    <w:rsid w:val="00753B69"/>
    <w:rsid w:val="00753DDD"/>
    <w:rsid w:val="00753DE4"/>
    <w:rsid w:val="00753E8E"/>
    <w:rsid w:val="00753FD7"/>
    <w:rsid w:val="00754168"/>
    <w:rsid w:val="007541D0"/>
    <w:rsid w:val="00754224"/>
    <w:rsid w:val="0075431C"/>
    <w:rsid w:val="0075433D"/>
    <w:rsid w:val="00754384"/>
    <w:rsid w:val="007543BF"/>
    <w:rsid w:val="00754450"/>
    <w:rsid w:val="007547D1"/>
    <w:rsid w:val="00754837"/>
    <w:rsid w:val="0075499A"/>
    <w:rsid w:val="00754A5B"/>
    <w:rsid w:val="00754AD9"/>
    <w:rsid w:val="00754C25"/>
    <w:rsid w:val="00754C7E"/>
    <w:rsid w:val="00754CDB"/>
    <w:rsid w:val="00754CFC"/>
    <w:rsid w:val="00754EEB"/>
    <w:rsid w:val="00755066"/>
    <w:rsid w:val="0075519E"/>
    <w:rsid w:val="0075531E"/>
    <w:rsid w:val="00755448"/>
    <w:rsid w:val="0075549C"/>
    <w:rsid w:val="007554A2"/>
    <w:rsid w:val="007554BA"/>
    <w:rsid w:val="007554ED"/>
    <w:rsid w:val="007555B7"/>
    <w:rsid w:val="007555CA"/>
    <w:rsid w:val="0075580B"/>
    <w:rsid w:val="00755876"/>
    <w:rsid w:val="00755916"/>
    <w:rsid w:val="00755986"/>
    <w:rsid w:val="007559F8"/>
    <w:rsid w:val="00755A78"/>
    <w:rsid w:val="00755B96"/>
    <w:rsid w:val="00755CD7"/>
    <w:rsid w:val="00755DB9"/>
    <w:rsid w:val="00755E40"/>
    <w:rsid w:val="00755F3A"/>
    <w:rsid w:val="007560DB"/>
    <w:rsid w:val="0075625F"/>
    <w:rsid w:val="0075634B"/>
    <w:rsid w:val="00756408"/>
    <w:rsid w:val="007564FC"/>
    <w:rsid w:val="0075678D"/>
    <w:rsid w:val="0075686D"/>
    <w:rsid w:val="007569E4"/>
    <w:rsid w:val="00756BD5"/>
    <w:rsid w:val="00756CC0"/>
    <w:rsid w:val="00756DC1"/>
    <w:rsid w:val="00756DD8"/>
    <w:rsid w:val="00756FF6"/>
    <w:rsid w:val="007570D5"/>
    <w:rsid w:val="00757252"/>
    <w:rsid w:val="00757346"/>
    <w:rsid w:val="00757544"/>
    <w:rsid w:val="00757585"/>
    <w:rsid w:val="007577AF"/>
    <w:rsid w:val="007577F7"/>
    <w:rsid w:val="00757872"/>
    <w:rsid w:val="007579C9"/>
    <w:rsid w:val="00757AE6"/>
    <w:rsid w:val="00757AF9"/>
    <w:rsid w:val="00757D10"/>
    <w:rsid w:val="00757D53"/>
    <w:rsid w:val="00757ED3"/>
    <w:rsid w:val="00760267"/>
    <w:rsid w:val="007602E6"/>
    <w:rsid w:val="0076041D"/>
    <w:rsid w:val="007605CA"/>
    <w:rsid w:val="00760681"/>
    <w:rsid w:val="007607A1"/>
    <w:rsid w:val="00760831"/>
    <w:rsid w:val="0076099A"/>
    <w:rsid w:val="007609F4"/>
    <w:rsid w:val="00760B70"/>
    <w:rsid w:val="00760B89"/>
    <w:rsid w:val="00760C4C"/>
    <w:rsid w:val="00760F0C"/>
    <w:rsid w:val="00760F2B"/>
    <w:rsid w:val="00761010"/>
    <w:rsid w:val="007610C5"/>
    <w:rsid w:val="0076127E"/>
    <w:rsid w:val="007612B8"/>
    <w:rsid w:val="00761343"/>
    <w:rsid w:val="0076143F"/>
    <w:rsid w:val="00761457"/>
    <w:rsid w:val="00761479"/>
    <w:rsid w:val="00761516"/>
    <w:rsid w:val="00761702"/>
    <w:rsid w:val="00761724"/>
    <w:rsid w:val="00761768"/>
    <w:rsid w:val="00761855"/>
    <w:rsid w:val="00761AE1"/>
    <w:rsid w:val="00761B65"/>
    <w:rsid w:val="00761BE5"/>
    <w:rsid w:val="00761BF3"/>
    <w:rsid w:val="00761CBE"/>
    <w:rsid w:val="00761CC4"/>
    <w:rsid w:val="00761D35"/>
    <w:rsid w:val="00761E79"/>
    <w:rsid w:val="007621D8"/>
    <w:rsid w:val="00762297"/>
    <w:rsid w:val="00762511"/>
    <w:rsid w:val="0076255A"/>
    <w:rsid w:val="007626C0"/>
    <w:rsid w:val="0076277C"/>
    <w:rsid w:val="00762A18"/>
    <w:rsid w:val="00762C4E"/>
    <w:rsid w:val="00762CC4"/>
    <w:rsid w:val="00762DD0"/>
    <w:rsid w:val="00762DEC"/>
    <w:rsid w:val="00762F51"/>
    <w:rsid w:val="00762FA9"/>
    <w:rsid w:val="007631F5"/>
    <w:rsid w:val="007632E5"/>
    <w:rsid w:val="00763345"/>
    <w:rsid w:val="007635C1"/>
    <w:rsid w:val="00763665"/>
    <w:rsid w:val="007636F3"/>
    <w:rsid w:val="007639EA"/>
    <w:rsid w:val="00763C88"/>
    <w:rsid w:val="00763C8D"/>
    <w:rsid w:val="00763E16"/>
    <w:rsid w:val="00764098"/>
    <w:rsid w:val="007640ED"/>
    <w:rsid w:val="00764214"/>
    <w:rsid w:val="0076425F"/>
    <w:rsid w:val="00764299"/>
    <w:rsid w:val="00764309"/>
    <w:rsid w:val="00764340"/>
    <w:rsid w:val="00764526"/>
    <w:rsid w:val="007645BE"/>
    <w:rsid w:val="00764613"/>
    <w:rsid w:val="0076461F"/>
    <w:rsid w:val="007646C7"/>
    <w:rsid w:val="00764702"/>
    <w:rsid w:val="00764969"/>
    <w:rsid w:val="00764A94"/>
    <w:rsid w:val="00764E45"/>
    <w:rsid w:val="00764EDC"/>
    <w:rsid w:val="00764EFC"/>
    <w:rsid w:val="007651F4"/>
    <w:rsid w:val="00765559"/>
    <w:rsid w:val="00765790"/>
    <w:rsid w:val="00765842"/>
    <w:rsid w:val="007658E5"/>
    <w:rsid w:val="00765D6D"/>
    <w:rsid w:val="00765E11"/>
    <w:rsid w:val="00765E82"/>
    <w:rsid w:val="00765EE2"/>
    <w:rsid w:val="007660A6"/>
    <w:rsid w:val="00766132"/>
    <w:rsid w:val="00766417"/>
    <w:rsid w:val="007665FD"/>
    <w:rsid w:val="007666C4"/>
    <w:rsid w:val="007667D5"/>
    <w:rsid w:val="007669C2"/>
    <w:rsid w:val="00766AB9"/>
    <w:rsid w:val="00766B0F"/>
    <w:rsid w:val="00766B7A"/>
    <w:rsid w:val="00766E15"/>
    <w:rsid w:val="00766E2A"/>
    <w:rsid w:val="00766F4A"/>
    <w:rsid w:val="00766FF8"/>
    <w:rsid w:val="0076700E"/>
    <w:rsid w:val="007670B7"/>
    <w:rsid w:val="007671B7"/>
    <w:rsid w:val="00767287"/>
    <w:rsid w:val="007676DE"/>
    <w:rsid w:val="0076771A"/>
    <w:rsid w:val="007677C5"/>
    <w:rsid w:val="00767874"/>
    <w:rsid w:val="00767A1D"/>
    <w:rsid w:val="00767A6E"/>
    <w:rsid w:val="00767C92"/>
    <w:rsid w:val="00767DC3"/>
    <w:rsid w:val="00767E36"/>
    <w:rsid w:val="00767E87"/>
    <w:rsid w:val="00767F2B"/>
    <w:rsid w:val="00767F4D"/>
    <w:rsid w:val="0077001F"/>
    <w:rsid w:val="0077019F"/>
    <w:rsid w:val="00770296"/>
    <w:rsid w:val="0077037B"/>
    <w:rsid w:val="0077046B"/>
    <w:rsid w:val="00770537"/>
    <w:rsid w:val="0077053D"/>
    <w:rsid w:val="00770609"/>
    <w:rsid w:val="0077061C"/>
    <w:rsid w:val="00770766"/>
    <w:rsid w:val="007707C1"/>
    <w:rsid w:val="007707CF"/>
    <w:rsid w:val="00770A27"/>
    <w:rsid w:val="00770A53"/>
    <w:rsid w:val="00770B70"/>
    <w:rsid w:val="00770BBB"/>
    <w:rsid w:val="00770CF9"/>
    <w:rsid w:val="00770FD6"/>
    <w:rsid w:val="0077108C"/>
    <w:rsid w:val="0077108D"/>
    <w:rsid w:val="00771106"/>
    <w:rsid w:val="00771271"/>
    <w:rsid w:val="007713C0"/>
    <w:rsid w:val="007714FB"/>
    <w:rsid w:val="0077168E"/>
    <w:rsid w:val="00771758"/>
    <w:rsid w:val="0077176B"/>
    <w:rsid w:val="007717F8"/>
    <w:rsid w:val="0077184C"/>
    <w:rsid w:val="007718A8"/>
    <w:rsid w:val="00771A42"/>
    <w:rsid w:val="00771B83"/>
    <w:rsid w:val="00771BEC"/>
    <w:rsid w:val="00771C74"/>
    <w:rsid w:val="00771D6D"/>
    <w:rsid w:val="00771DAC"/>
    <w:rsid w:val="00772335"/>
    <w:rsid w:val="0077236E"/>
    <w:rsid w:val="007723C5"/>
    <w:rsid w:val="007725C5"/>
    <w:rsid w:val="00772830"/>
    <w:rsid w:val="00772940"/>
    <w:rsid w:val="007729F4"/>
    <w:rsid w:val="00772A48"/>
    <w:rsid w:val="00772B42"/>
    <w:rsid w:val="00772B60"/>
    <w:rsid w:val="00772CAB"/>
    <w:rsid w:val="00772F01"/>
    <w:rsid w:val="0077312F"/>
    <w:rsid w:val="00773220"/>
    <w:rsid w:val="00773235"/>
    <w:rsid w:val="007732FF"/>
    <w:rsid w:val="007735A7"/>
    <w:rsid w:val="007736F0"/>
    <w:rsid w:val="007737AE"/>
    <w:rsid w:val="0077381D"/>
    <w:rsid w:val="0077393B"/>
    <w:rsid w:val="00773F1B"/>
    <w:rsid w:val="00774030"/>
    <w:rsid w:val="00774176"/>
    <w:rsid w:val="00774257"/>
    <w:rsid w:val="007742B9"/>
    <w:rsid w:val="007743FD"/>
    <w:rsid w:val="007744CF"/>
    <w:rsid w:val="00774696"/>
    <w:rsid w:val="0077473F"/>
    <w:rsid w:val="00774742"/>
    <w:rsid w:val="00774747"/>
    <w:rsid w:val="007747DD"/>
    <w:rsid w:val="0077486B"/>
    <w:rsid w:val="0077498D"/>
    <w:rsid w:val="00774AD8"/>
    <w:rsid w:val="00774B24"/>
    <w:rsid w:val="00774B44"/>
    <w:rsid w:val="00774D0B"/>
    <w:rsid w:val="0077527D"/>
    <w:rsid w:val="0077587B"/>
    <w:rsid w:val="00775A16"/>
    <w:rsid w:val="00775B36"/>
    <w:rsid w:val="00775B39"/>
    <w:rsid w:val="00775BAE"/>
    <w:rsid w:val="00775DA4"/>
    <w:rsid w:val="00775DDA"/>
    <w:rsid w:val="00775E0F"/>
    <w:rsid w:val="00775E58"/>
    <w:rsid w:val="00775E93"/>
    <w:rsid w:val="0077602E"/>
    <w:rsid w:val="00776062"/>
    <w:rsid w:val="00776219"/>
    <w:rsid w:val="0077625E"/>
    <w:rsid w:val="007762FB"/>
    <w:rsid w:val="0077646F"/>
    <w:rsid w:val="007765C1"/>
    <w:rsid w:val="00776B8D"/>
    <w:rsid w:val="00776D74"/>
    <w:rsid w:val="00776D93"/>
    <w:rsid w:val="00776D96"/>
    <w:rsid w:val="00776DEC"/>
    <w:rsid w:val="00776EE5"/>
    <w:rsid w:val="00776F3B"/>
    <w:rsid w:val="0077701D"/>
    <w:rsid w:val="007770F1"/>
    <w:rsid w:val="007771C7"/>
    <w:rsid w:val="007771E4"/>
    <w:rsid w:val="0077728E"/>
    <w:rsid w:val="00777419"/>
    <w:rsid w:val="00777473"/>
    <w:rsid w:val="00777589"/>
    <w:rsid w:val="007775C9"/>
    <w:rsid w:val="007775DF"/>
    <w:rsid w:val="007776D2"/>
    <w:rsid w:val="007777A6"/>
    <w:rsid w:val="007777AE"/>
    <w:rsid w:val="007777BA"/>
    <w:rsid w:val="007777F4"/>
    <w:rsid w:val="007778A2"/>
    <w:rsid w:val="0077792C"/>
    <w:rsid w:val="007779E8"/>
    <w:rsid w:val="00777A57"/>
    <w:rsid w:val="00777B1D"/>
    <w:rsid w:val="00777B78"/>
    <w:rsid w:val="00777D0B"/>
    <w:rsid w:val="00777DE3"/>
    <w:rsid w:val="00777EA9"/>
    <w:rsid w:val="00777F67"/>
    <w:rsid w:val="00777FBD"/>
    <w:rsid w:val="007800E3"/>
    <w:rsid w:val="00780154"/>
    <w:rsid w:val="0078019F"/>
    <w:rsid w:val="007802BC"/>
    <w:rsid w:val="00780338"/>
    <w:rsid w:val="00780671"/>
    <w:rsid w:val="007808C6"/>
    <w:rsid w:val="00780943"/>
    <w:rsid w:val="007809E7"/>
    <w:rsid w:val="00780DCF"/>
    <w:rsid w:val="00780E49"/>
    <w:rsid w:val="00780E4C"/>
    <w:rsid w:val="00780F8A"/>
    <w:rsid w:val="00780FB1"/>
    <w:rsid w:val="0078116B"/>
    <w:rsid w:val="0078120D"/>
    <w:rsid w:val="00781249"/>
    <w:rsid w:val="007812AB"/>
    <w:rsid w:val="0078134E"/>
    <w:rsid w:val="007813F9"/>
    <w:rsid w:val="007814DA"/>
    <w:rsid w:val="0078162E"/>
    <w:rsid w:val="0078166C"/>
    <w:rsid w:val="00781775"/>
    <w:rsid w:val="00781871"/>
    <w:rsid w:val="007818E5"/>
    <w:rsid w:val="00781AE7"/>
    <w:rsid w:val="00781D10"/>
    <w:rsid w:val="00781DF0"/>
    <w:rsid w:val="00781ED4"/>
    <w:rsid w:val="00782195"/>
    <w:rsid w:val="0078222B"/>
    <w:rsid w:val="00782457"/>
    <w:rsid w:val="007824CA"/>
    <w:rsid w:val="007826C4"/>
    <w:rsid w:val="00782A12"/>
    <w:rsid w:val="00782CBC"/>
    <w:rsid w:val="00782D7B"/>
    <w:rsid w:val="00782DA3"/>
    <w:rsid w:val="00782EA9"/>
    <w:rsid w:val="00782F2D"/>
    <w:rsid w:val="00782FB4"/>
    <w:rsid w:val="007830BC"/>
    <w:rsid w:val="0078314D"/>
    <w:rsid w:val="00783351"/>
    <w:rsid w:val="00783709"/>
    <w:rsid w:val="00783A9B"/>
    <w:rsid w:val="00783B32"/>
    <w:rsid w:val="00783B76"/>
    <w:rsid w:val="00783DA3"/>
    <w:rsid w:val="00783DB9"/>
    <w:rsid w:val="00784083"/>
    <w:rsid w:val="0078429F"/>
    <w:rsid w:val="007843FB"/>
    <w:rsid w:val="007846E9"/>
    <w:rsid w:val="007846EC"/>
    <w:rsid w:val="0078488A"/>
    <w:rsid w:val="00784932"/>
    <w:rsid w:val="0078499A"/>
    <w:rsid w:val="00784AAA"/>
    <w:rsid w:val="00784AB2"/>
    <w:rsid w:val="00784CB3"/>
    <w:rsid w:val="00784E2B"/>
    <w:rsid w:val="00784E41"/>
    <w:rsid w:val="00785171"/>
    <w:rsid w:val="00785325"/>
    <w:rsid w:val="00785386"/>
    <w:rsid w:val="0078538F"/>
    <w:rsid w:val="00785495"/>
    <w:rsid w:val="007856D6"/>
    <w:rsid w:val="007856FB"/>
    <w:rsid w:val="0078579C"/>
    <w:rsid w:val="00785924"/>
    <w:rsid w:val="007859AB"/>
    <w:rsid w:val="00785ADD"/>
    <w:rsid w:val="00785C23"/>
    <w:rsid w:val="00785D96"/>
    <w:rsid w:val="00785E21"/>
    <w:rsid w:val="00785E5C"/>
    <w:rsid w:val="00785FB4"/>
    <w:rsid w:val="00785FED"/>
    <w:rsid w:val="00786171"/>
    <w:rsid w:val="00786260"/>
    <w:rsid w:val="0078626D"/>
    <w:rsid w:val="0078627B"/>
    <w:rsid w:val="007862EE"/>
    <w:rsid w:val="007863A9"/>
    <w:rsid w:val="00786430"/>
    <w:rsid w:val="00786665"/>
    <w:rsid w:val="007868BF"/>
    <w:rsid w:val="00786B48"/>
    <w:rsid w:val="00786C7D"/>
    <w:rsid w:val="00786CDA"/>
    <w:rsid w:val="00786D0F"/>
    <w:rsid w:val="00786D34"/>
    <w:rsid w:val="00786E2F"/>
    <w:rsid w:val="00787184"/>
    <w:rsid w:val="007872CE"/>
    <w:rsid w:val="00787461"/>
    <w:rsid w:val="00787480"/>
    <w:rsid w:val="0078751A"/>
    <w:rsid w:val="00787B5F"/>
    <w:rsid w:val="00787C00"/>
    <w:rsid w:val="00787C3C"/>
    <w:rsid w:val="00787E14"/>
    <w:rsid w:val="00787E4A"/>
    <w:rsid w:val="00787EB3"/>
    <w:rsid w:val="00790091"/>
    <w:rsid w:val="0079017B"/>
    <w:rsid w:val="00790271"/>
    <w:rsid w:val="007902B1"/>
    <w:rsid w:val="00790372"/>
    <w:rsid w:val="007903B8"/>
    <w:rsid w:val="00790478"/>
    <w:rsid w:val="007904CC"/>
    <w:rsid w:val="00790706"/>
    <w:rsid w:val="007907BA"/>
    <w:rsid w:val="0079087F"/>
    <w:rsid w:val="007908B3"/>
    <w:rsid w:val="00790944"/>
    <w:rsid w:val="00790B50"/>
    <w:rsid w:val="00790C9C"/>
    <w:rsid w:val="00790DE0"/>
    <w:rsid w:val="00790DFF"/>
    <w:rsid w:val="00790F3C"/>
    <w:rsid w:val="0079108E"/>
    <w:rsid w:val="0079110A"/>
    <w:rsid w:val="00791140"/>
    <w:rsid w:val="007912E1"/>
    <w:rsid w:val="00791485"/>
    <w:rsid w:val="00791545"/>
    <w:rsid w:val="007916AE"/>
    <w:rsid w:val="00791703"/>
    <w:rsid w:val="00791960"/>
    <w:rsid w:val="0079197E"/>
    <w:rsid w:val="00791988"/>
    <w:rsid w:val="00791C92"/>
    <w:rsid w:val="00791D14"/>
    <w:rsid w:val="00791EDF"/>
    <w:rsid w:val="00791F60"/>
    <w:rsid w:val="00791F63"/>
    <w:rsid w:val="0079200A"/>
    <w:rsid w:val="0079205F"/>
    <w:rsid w:val="007922BE"/>
    <w:rsid w:val="007922C5"/>
    <w:rsid w:val="007922D2"/>
    <w:rsid w:val="007923E9"/>
    <w:rsid w:val="00792872"/>
    <w:rsid w:val="00792938"/>
    <w:rsid w:val="00792977"/>
    <w:rsid w:val="00792A03"/>
    <w:rsid w:val="00792ACC"/>
    <w:rsid w:val="00792B86"/>
    <w:rsid w:val="00792C5C"/>
    <w:rsid w:val="00792CDD"/>
    <w:rsid w:val="00792CF2"/>
    <w:rsid w:val="00792D61"/>
    <w:rsid w:val="00792DA7"/>
    <w:rsid w:val="00792E7C"/>
    <w:rsid w:val="00792FE7"/>
    <w:rsid w:val="00793089"/>
    <w:rsid w:val="0079317D"/>
    <w:rsid w:val="007931D2"/>
    <w:rsid w:val="00793211"/>
    <w:rsid w:val="0079337C"/>
    <w:rsid w:val="00793430"/>
    <w:rsid w:val="0079357E"/>
    <w:rsid w:val="007935F0"/>
    <w:rsid w:val="00793741"/>
    <w:rsid w:val="007937B8"/>
    <w:rsid w:val="00793850"/>
    <w:rsid w:val="007939EA"/>
    <w:rsid w:val="00793A5A"/>
    <w:rsid w:val="00793E91"/>
    <w:rsid w:val="00793F12"/>
    <w:rsid w:val="0079407B"/>
    <w:rsid w:val="007940B2"/>
    <w:rsid w:val="007941B9"/>
    <w:rsid w:val="007943BC"/>
    <w:rsid w:val="00794436"/>
    <w:rsid w:val="00794445"/>
    <w:rsid w:val="007945FD"/>
    <w:rsid w:val="007947B4"/>
    <w:rsid w:val="00794993"/>
    <w:rsid w:val="00794A99"/>
    <w:rsid w:val="00794CC4"/>
    <w:rsid w:val="00794D1D"/>
    <w:rsid w:val="00794DDA"/>
    <w:rsid w:val="007951FC"/>
    <w:rsid w:val="00795366"/>
    <w:rsid w:val="0079542A"/>
    <w:rsid w:val="0079557F"/>
    <w:rsid w:val="007955AE"/>
    <w:rsid w:val="0079560D"/>
    <w:rsid w:val="00795828"/>
    <w:rsid w:val="007958D7"/>
    <w:rsid w:val="00795BF4"/>
    <w:rsid w:val="00795C27"/>
    <w:rsid w:val="00795D57"/>
    <w:rsid w:val="00795EF7"/>
    <w:rsid w:val="00795F94"/>
    <w:rsid w:val="0079615F"/>
    <w:rsid w:val="00796171"/>
    <w:rsid w:val="0079621C"/>
    <w:rsid w:val="00796326"/>
    <w:rsid w:val="0079633A"/>
    <w:rsid w:val="00796492"/>
    <w:rsid w:val="00796555"/>
    <w:rsid w:val="00796569"/>
    <w:rsid w:val="00796909"/>
    <w:rsid w:val="0079694E"/>
    <w:rsid w:val="00796AC2"/>
    <w:rsid w:val="00796E29"/>
    <w:rsid w:val="00796E78"/>
    <w:rsid w:val="00796E7D"/>
    <w:rsid w:val="00796EEF"/>
    <w:rsid w:val="00796F25"/>
    <w:rsid w:val="007970B4"/>
    <w:rsid w:val="007970EE"/>
    <w:rsid w:val="00797105"/>
    <w:rsid w:val="007971DC"/>
    <w:rsid w:val="007972A8"/>
    <w:rsid w:val="00797380"/>
    <w:rsid w:val="007976D6"/>
    <w:rsid w:val="007976EB"/>
    <w:rsid w:val="0079773D"/>
    <w:rsid w:val="00797952"/>
    <w:rsid w:val="00797A26"/>
    <w:rsid w:val="00797AD1"/>
    <w:rsid w:val="00797C92"/>
    <w:rsid w:val="00797CC9"/>
    <w:rsid w:val="00797D62"/>
    <w:rsid w:val="00797EB5"/>
    <w:rsid w:val="00797EDB"/>
    <w:rsid w:val="00797F7F"/>
    <w:rsid w:val="007A0092"/>
    <w:rsid w:val="007A00A4"/>
    <w:rsid w:val="007A02F3"/>
    <w:rsid w:val="007A0492"/>
    <w:rsid w:val="007A04CB"/>
    <w:rsid w:val="007A0509"/>
    <w:rsid w:val="007A0562"/>
    <w:rsid w:val="007A06D2"/>
    <w:rsid w:val="007A080A"/>
    <w:rsid w:val="007A084F"/>
    <w:rsid w:val="007A0B0E"/>
    <w:rsid w:val="007A0CCA"/>
    <w:rsid w:val="007A0D4C"/>
    <w:rsid w:val="007A101D"/>
    <w:rsid w:val="007A107D"/>
    <w:rsid w:val="007A1135"/>
    <w:rsid w:val="007A1257"/>
    <w:rsid w:val="007A1410"/>
    <w:rsid w:val="007A15B1"/>
    <w:rsid w:val="007A1622"/>
    <w:rsid w:val="007A1671"/>
    <w:rsid w:val="007A1709"/>
    <w:rsid w:val="007A1737"/>
    <w:rsid w:val="007A1754"/>
    <w:rsid w:val="007A1779"/>
    <w:rsid w:val="007A1AEA"/>
    <w:rsid w:val="007A1B09"/>
    <w:rsid w:val="007A1D92"/>
    <w:rsid w:val="007A1E40"/>
    <w:rsid w:val="007A1F90"/>
    <w:rsid w:val="007A23A4"/>
    <w:rsid w:val="007A24ED"/>
    <w:rsid w:val="007A2567"/>
    <w:rsid w:val="007A2599"/>
    <w:rsid w:val="007A25BF"/>
    <w:rsid w:val="007A281D"/>
    <w:rsid w:val="007A2A4E"/>
    <w:rsid w:val="007A2B4F"/>
    <w:rsid w:val="007A2B8F"/>
    <w:rsid w:val="007A2B9E"/>
    <w:rsid w:val="007A2F1A"/>
    <w:rsid w:val="007A303E"/>
    <w:rsid w:val="007A3058"/>
    <w:rsid w:val="007A3079"/>
    <w:rsid w:val="007A3305"/>
    <w:rsid w:val="007A33AB"/>
    <w:rsid w:val="007A35C0"/>
    <w:rsid w:val="007A3694"/>
    <w:rsid w:val="007A3AC0"/>
    <w:rsid w:val="007A3B27"/>
    <w:rsid w:val="007A3DCB"/>
    <w:rsid w:val="007A3E18"/>
    <w:rsid w:val="007A3F45"/>
    <w:rsid w:val="007A3F99"/>
    <w:rsid w:val="007A4057"/>
    <w:rsid w:val="007A4193"/>
    <w:rsid w:val="007A4501"/>
    <w:rsid w:val="007A452D"/>
    <w:rsid w:val="007A4545"/>
    <w:rsid w:val="007A4550"/>
    <w:rsid w:val="007A4626"/>
    <w:rsid w:val="007A46BE"/>
    <w:rsid w:val="007A4904"/>
    <w:rsid w:val="007A4937"/>
    <w:rsid w:val="007A49C3"/>
    <w:rsid w:val="007A4D10"/>
    <w:rsid w:val="007A4D38"/>
    <w:rsid w:val="007A4DF5"/>
    <w:rsid w:val="007A4EB9"/>
    <w:rsid w:val="007A504A"/>
    <w:rsid w:val="007A5096"/>
    <w:rsid w:val="007A5226"/>
    <w:rsid w:val="007A52A2"/>
    <w:rsid w:val="007A5329"/>
    <w:rsid w:val="007A537D"/>
    <w:rsid w:val="007A5388"/>
    <w:rsid w:val="007A5667"/>
    <w:rsid w:val="007A5672"/>
    <w:rsid w:val="007A5AA9"/>
    <w:rsid w:val="007A5C98"/>
    <w:rsid w:val="007A5D4B"/>
    <w:rsid w:val="007A5E61"/>
    <w:rsid w:val="007A5F9E"/>
    <w:rsid w:val="007A603A"/>
    <w:rsid w:val="007A61CA"/>
    <w:rsid w:val="007A62AD"/>
    <w:rsid w:val="007A63AA"/>
    <w:rsid w:val="007A642C"/>
    <w:rsid w:val="007A6613"/>
    <w:rsid w:val="007A6669"/>
    <w:rsid w:val="007A66AC"/>
    <w:rsid w:val="007A66F1"/>
    <w:rsid w:val="007A6883"/>
    <w:rsid w:val="007A68C7"/>
    <w:rsid w:val="007A6921"/>
    <w:rsid w:val="007A698D"/>
    <w:rsid w:val="007A69EA"/>
    <w:rsid w:val="007A6BC3"/>
    <w:rsid w:val="007A6D2F"/>
    <w:rsid w:val="007A6D9E"/>
    <w:rsid w:val="007A6F90"/>
    <w:rsid w:val="007A7063"/>
    <w:rsid w:val="007A70DF"/>
    <w:rsid w:val="007A70F5"/>
    <w:rsid w:val="007A7284"/>
    <w:rsid w:val="007A72E3"/>
    <w:rsid w:val="007A7328"/>
    <w:rsid w:val="007A732D"/>
    <w:rsid w:val="007A7524"/>
    <w:rsid w:val="007A7634"/>
    <w:rsid w:val="007A79D7"/>
    <w:rsid w:val="007A7A0C"/>
    <w:rsid w:val="007A7B3C"/>
    <w:rsid w:val="007A7C2D"/>
    <w:rsid w:val="007A7C94"/>
    <w:rsid w:val="007A7EA1"/>
    <w:rsid w:val="007B00CB"/>
    <w:rsid w:val="007B0126"/>
    <w:rsid w:val="007B0235"/>
    <w:rsid w:val="007B03B5"/>
    <w:rsid w:val="007B03BD"/>
    <w:rsid w:val="007B062B"/>
    <w:rsid w:val="007B06ED"/>
    <w:rsid w:val="007B0801"/>
    <w:rsid w:val="007B0B52"/>
    <w:rsid w:val="007B0D16"/>
    <w:rsid w:val="007B0D32"/>
    <w:rsid w:val="007B0E44"/>
    <w:rsid w:val="007B0EA1"/>
    <w:rsid w:val="007B0F94"/>
    <w:rsid w:val="007B0FC1"/>
    <w:rsid w:val="007B0FF2"/>
    <w:rsid w:val="007B1019"/>
    <w:rsid w:val="007B13DF"/>
    <w:rsid w:val="007B14A6"/>
    <w:rsid w:val="007B17CB"/>
    <w:rsid w:val="007B1E21"/>
    <w:rsid w:val="007B1EB4"/>
    <w:rsid w:val="007B1EDD"/>
    <w:rsid w:val="007B20D0"/>
    <w:rsid w:val="007B210F"/>
    <w:rsid w:val="007B2214"/>
    <w:rsid w:val="007B2266"/>
    <w:rsid w:val="007B2305"/>
    <w:rsid w:val="007B2325"/>
    <w:rsid w:val="007B2369"/>
    <w:rsid w:val="007B2386"/>
    <w:rsid w:val="007B239D"/>
    <w:rsid w:val="007B2557"/>
    <w:rsid w:val="007B264A"/>
    <w:rsid w:val="007B2686"/>
    <w:rsid w:val="007B2737"/>
    <w:rsid w:val="007B299C"/>
    <w:rsid w:val="007B2CB4"/>
    <w:rsid w:val="007B2EDC"/>
    <w:rsid w:val="007B2EE1"/>
    <w:rsid w:val="007B305B"/>
    <w:rsid w:val="007B30C4"/>
    <w:rsid w:val="007B30C9"/>
    <w:rsid w:val="007B30E2"/>
    <w:rsid w:val="007B3106"/>
    <w:rsid w:val="007B3220"/>
    <w:rsid w:val="007B32E2"/>
    <w:rsid w:val="007B3451"/>
    <w:rsid w:val="007B3528"/>
    <w:rsid w:val="007B35B8"/>
    <w:rsid w:val="007B3650"/>
    <w:rsid w:val="007B36B4"/>
    <w:rsid w:val="007B3702"/>
    <w:rsid w:val="007B37A3"/>
    <w:rsid w:val="007B37CB"/>
    <w:rsid w:val="007B3861"/>
    <w:rsid w:val="007B3B6F"/>
    <w:rsid w:val="007B3C24"/>
    <w:rsid w:val="007B3CDB"/>
    <w:rsid w:val="007B3CF8"/>
    <w:rsid w:val="007B3D6E"/>
    <w:rsid w:val="007B3DE3"/>
    <w:rsid w:val="007B3E38"/>
    <w:rsid w:val="007B3E55"/>
    <w:rsid w:val="007B3EA7"/>
    <w:rsid w:val="007B40FD"/>
    <w:rsid w:val="007B43EC"/>
    <w:rsid w:val="007B446D"/>
    <w:rsid w:val="007B47F1"/>
    <w:rsid w:val="007B4BF0"/>
    <w:rsid w:val="007B4C32"/>
    <w:rsid w:val="007B4C49"/>
    <w:rsid w:val="007B4C91"/>
    <w:rsid w:val="007B4CF1"/>
    <w:rsid w:val="007B4DD2"/>
    <w:rsid w:val="007B4E82"/>
    <w:rsid w:val="007B4EE2"/>
    <w:rsid w:val="007B505F"/>
    <w:rsid w:val="007B50A2"/>
    <w:rsid w:val="007B534E"/>
    <w:rsid w:val="007B541E"/>
    <w:rsid w:val="007B5502"/>
    <w:rsid w:val="007B5508"/>
    <w:rsid w:val="007B556B"/>
    <w:rsid w:val="007B567F"/>
    <w:rsid w:val="007B5698"/>
    <w:rsid w:val="007B574D"/>
    <w:rsid w:val="007B5807"/>
    <w:rsid w:val="007B5849"/>
    <w:rsid w:val="007B5987"/>
    <w:rsid w:val="007B5A0D"/>
    <w:rsid w:val="007B5B51"/>
    <w:rsid w:val="007B60FA"/>
    <w:rsid w:val="007B63F1"/>
    <w:rsid w:val="007B6409"/>
    <w:rsid w:val="007B65DB"/>
    <w:rsid w:val="007B6C71"/>
    <w:rsid w:val="007B6D68"/>
    <w:rsid w:val="007B6EC5"/>
    <w:rsid w:val="007B6F08"/>
    <w:rsid w:val="007B7027"/>
    <w:rsid w:val="007B7078"/>
    <w:rsid w:val="007B7365"/>
    <w:rsid w:val="007B73DA"/>
    <w:rsid w:val="007B73F8"/>
    <w:rsid w:val="007B767E"/>
    <w:rsid w:val="007B7728"/>
    <w:rsid w:val="007B7847"/>
    <w:rsid w:val="007B7938"/>
    <w:rsid w:val="007B7BFD"/>
    <w:rsid w:val="007B7C3F"/>
    <w:rsid w:val="007B7C9A"/>
    <w:rsid w:val="007B7D87"/>
    <w:rsid w:val="007B7E85"/>
    <w:rsid w:val="007B7EAB"/>
    <w:rsid w:val="007B7FCF"/>
    <w:rsid w:val="007C0002"/>
    <w:rsid w:val="007C038B"/>
    <w:rsid w:val="007C0466"/>
    <w:rsid w:val="007C04A4"/>
    <w:rsid w:val="007C05A3"/>
    <w:rsid w:val="007C0617"/>
    <w:rsid w:val="007C06AF"/>
    <w:rsid w:val="007C07BE"/>
    <w:rsid w:val="007C07C6"/>
    <w:rsid w:val="007C07ED"/>
    <w:rsid w:val="007C080D"/>
    <w:rsid w:val="007C0A41"/>
    <w:rsid w:val="007C0C50"/>
    <w:rsid w:val="007C0C54"/>
    <w:rsid w:val="007C0C5C"/>
    <w:rsid w:val="007C0CA5"/>
    <w:rsid w:val="007C0FB0"/>
    <w:rsid w:val="007C12DB"/>
    <w:rsid w:val="007C1338"/>
    <w:rsid w:val="007C150D"/>
    <w:rsid w:val="007C1551"/>
    <w:rsid w:val="007C1555"/>
    <w:rsid w:val="007C161B"/>
    <w:rsid w:val="007C178C"/>
    <w:rsid w:val="007C1876"/>
    <w:rsid w:val="007C18E4"/>
    <w:rsid w:val="007C1953"/>
    <w:rsid w:val="007C19EA"/>
    <w:rsid w:val="007C1A3F"/>
    <w:rsid w:val="007C1A7F"/>
    <w:rsid w:val="007C1A81"/>
    <w:rsid w:val="007C1AFF"/>
    <w:rsid w:val="007C1C91"/>
    <w:rsid w:val="007C1EB1"/>
    <w:rsid w:val="007C1EEB"/>
    <w:rsid w:val="007C20AB"/>
    <w:rsid w:val="007C2199"/>
    <w:rsid w:val="007C2409"/>
    <w:rsid w:val="007C2552"/>
    <w:rsid w:val="007C27CA"/>
    <w:rsid w:val="007C2AED"/>
    <w:rsid w:val="007C2B73"/>
    <w:rsid w:val="007C2C2B"/>
    <w:rsid w:val="007C2D07"/>
    <w:rsid w:val="007C3150"/>
    <w:rsid w:val="007C31C5"/>
    <w:rsid w:val="007C31E7"/>
    <w:rsid w:val="007C3253"/>
    <w:rsid w:val="007C32E0"/>
    <w:rsid w:val="007C3372"/>
    <w:rsid w:val="007C33BA"/>
    <w:rsid w:val="007C33D8"/>
    <w:rsid w:val="007C345C"/>
    <w:rsid w:val="007C34A5"/>
    <w:rsid w:val="007C34A9"/>
    <w:rsid w:val="007C3506"/>
    <w:rsid w:val="007C353E"/>
    <w:rsid w:val="007C35D6"/>
    <w:rsid w:val="007C363E"/>
    <w:rsid w:val="007C3765"/>
    <w:rsid w:val="007C3A05"/>
    <w:rsid w:val="007C3AC3"/>
    <w:rsid w:val="007C3C18"/>
    <w:rsid w:val="007C3D74"/>
    <w:rsid w:val="007C3EBD"/>
    <w:rsid w:val="007C3FC9"/>
    <w:rsid w:val="007C412A"/>
    <w:rsid w:val="007C4190"/>
    <w:rsid w:val="007C4200"/>
    <w:rsid w:val="007C42D1"/>
    <w:rsid w:val="007C4374"/>
    <w:rsid w:val="007C4452"/>
    <w:rsid w:val="007C450C"/>
    <w:rsid w:val="007C458A"/>
    <w:rsid w:val="007C461D"/>
    <w:rsid w:val="007C46FA"/>
    <w:rsid w:val="007C47C2"/>
    <w:rsid w:val="007C4942"/>
    <w:rsid w:val="007C4A05"/>
    <w:rsid w:val="007C4C6D"/>
    <w:rsid w:val="007C4D5C"/>
    <w:rsid w:val="007C5231"/>
    <w:rsid w:val="007C52E8"/>
    <w:rsid w:val="007C5311"/>
    <w:rsid w:val="007C53C0"/>
    <w:rsid w:val="007C5463"/>
    <w:rsid w:val="007C550C"/>
    <w:rsid w:val="007C567C"/>
    <w:rsid w:val="007C5794"/>
    <w:rsid w:val="007C58A7"/>
    <w:rsid w:val="007C5907"/>
    <w:rsid w:val="007C5AEA"/>
    <w:rsid w:val="007C5AF0"/>
    <w:rsid w:val="007C5BF4"/>
    <w:rsid w:val="007C5DEF"/>
    <w:rsid w:val="007C5EA5"/>
    <w:rsid w:val="007C5FA0"/>
    <w:rsid w:val="007C5FE9"/>
    <w:rsid w:val="007C627C"/>
    <w:rsid w:val="007C654B"/>
    <w:rsid w:val="007C65C6"/>
    <w:rsid w:val="007C66FB"/>
    <w:rsid w:val="007C6A5D"/>
    <w:rsid w:val="007C6C5B"/>
    <w:rsid w:val="007C6F53"/>
    <w:rsid w:val="007C6F6E"/>
    <w:rsid w:val="007C70A9"/>
    <w:rsid w:val="007C7167"/>
    <w:rsid w:val="007C71F8"/>
    <w:rsid w:val="007C7267"/>
    <w:rsid w:val="007C7315"/>
    <w:rsid w:val="007C7335"/>
    <w:rsid w:val="007C747B"/>
    <w:rsid w:val="007C7545"/>
    <w:rsid w:val="007C75A4"/>
    <w:rsid w:val="007C7663"/>
    <w:rsid w:val="007C779F"/>
    <w:rsid w:val="007C77D9"/>
    <w:rsid w:val="007C78B9"/>
    <w:rsid w:val="007C79CA"/>
    <w:rsid w:val="007C7B3E"/>
    <w:rsid w:val="007C7BA0"/>
    <w:rsid w:val="007C7C7E"/>
    <w:rsid w:val="007C7F03"/>
    <w:rsid w:val="007C7F06"/>
    <w:rsid w:val="007C7FDD"/>
    <w:rsid w:val="007C7FE6"/>
    <w:rsid w:val="007D00A8"/>
    <w:rsid w:val="007D0158"/>
    <w:rsid w:val="007D0183"/>
    <w:rsid w:val="007D029F"/>
    <w:rsid w:val="007D03C4"/>
    <w:rsid w:val="007D04D6"/>
    <w:rsid w:val="007D0674"/>
    <w:rsid w:val="007D06C9"/>
    <w:rsid w:val="007D0706"/>
    <w:rsid w:val="007D07BE"/>
    <w:rsid w:val="007D0A15"/>
    <w:rsid w:val="007D0BEC"/>
    <w:rsid w:val="007D0C6A"/>
    <w:rsid w:val="007D0DDC"/>
    <w:rsid w:val="007D0FA8"/>
    <w:rsid w:val="007D102E"/>
    <w:rsid w:val="007D1262"/>
    <w:rsid w:val="007D134A"/>
    <w:rsid w:val="007D1491"/>
    <w:rsid w:val="007D167B"/>
    <w:rsid w:val="007D16D8"/>
    <w:rsid w:val="007D1737"/>
    <w:rsid w:val="007D1798"/>
    <w:rsid w:val="007D17EE"/>
    <w:rsid w:val="007D1B3B"/>
    <w:rsid w:val="007D1CF5"/>
    <w:rsid w:val="007D1D7C"/>
    <w:rsid w:val="007D1F4F"/>
    <w:rsid w:val="007D1FF2"/>
    <w:rsid w:val="007D2024"/>
    <w:rsid w:val="007D2184"/>
    <w:rsid w:val="007D22E7"/>
    <w:rsid w:val="007D2339"/>
    <w:rsid w:val="007D23FE"/>
    <w:rsid w:val="007D2444"/>
    <w:rsid w:val="007D2511"/>
    <w:rsid w:val="007D2678"/>
    <w:rsid w:val="007D2727"/>
    <w:rsid w:val="007D2859"/>
    <w:rsid w:val="007D28ED"/>
    <w:rsid w:val="007D2937"/>
    <w:rsid w:val="007D2D21"/>
    <w:rsid w:val="007D305E"/>
    <w:rsid w:val="007D30C7"/>
    <w:rsid w:val="007D330C"/>
    <w:rsid w:val="007D3559"/>
    <w:rsid w:val="007D3635"/>
    <w:rsid w:val="007D36C7"/>
    <w:rsid w:val="007D391A"/>
    <w:rsid w:val="007D39DD"/>
    <w:rsid w:val="007D3AA5"/>
    <w:rsid w:val="007D3C7E"/>
    <w:rsid w:val="007D3E00"/>
    <w:rsid w:val="007D3F8A"/>
    <w:rsid w:val="007D4174"/>
    <w:rsid w:val="007D4186"/>
    <w:rsid w:val="007D42A7"/>
    <w:rsid w:val="007D42E3"/>
    <w:rsid w:val="007D44AC"/>
    <w:rsid w:val="007D4731"/>
    <w:rsid w:val="007D47F7"/>
    <w:rsid w:val="007D4994"/>
    <w:rsid w:val="007D49B7"/>
    <w:rsid w:val="007D4AD7"/>
    <w:rsid w:val="007D4C5E"/>
    <w:rsid w:val="007D4CFB"/>
    <w:rsid w:val="007D4D4A"/>
    <w:rsid w:val="007D4D74"/>
    <w:rsid w:val="007D4D91"/>
    <w:rsid w:val="007D4EF3"/>
    <w:rsid w:val="007D4F09"/>
    <w:rsid w:val="007D4F62"/>
    <w:rsid w:val="007D4FAA"/>
    <w:rsid w:val="007D51F1"/>
    <w:rsid w:val="007D523A"/>
    <w:rsid w:val="007D52E2"/>
    <w:rsid w:val="007D52EF"/>
    <w:rsid w:val="007D54E0"/>
    <w:rsid w:val="007D5586"/>
    <w:rsid w:val="007D572F"/>
    <w:rsid w:val="007D577E"/>
    <w:rsid w:val="007D57C1"/>
    <w:rsid w:val="007D59A9"/>
    <w:rsid w:val="007D5A93"/>
    <w:rsid w:val="007D5C60"/>
    <w:rsid w:val="007D5CD2"/>
    <w:rsid w:val="007D5D22"/>
    <w:rsid w:val="007D5D41"/>
    <w:rsid w:val="007D5EEA"/>
    <w:rsid w:val="007D5FE3"/>
    <w:rsid w:val="007D6140"/>
    <w:rsid w:val="007D6298"/>
    <w:rsid w:val="007D63AA"/>
    <w:rsid w:val="007D64A6"/>
    <w:rsid w:val="007D65B2"/>
    <w:rsid w:val="007D66C3"/>
    <w:rsid w:val="007D66E9"/>
    <w:rsid w:val="007D66ED"/>
    <w:rsid w:val="007D6868"/>
    <w:rsid w:val="007D68EE"/>
    <w:rsid w:val="007D69D2"/>
    <w:rsid w:val="007D6A5D"/>
    <w:rsid w:val="007D6B43"/>
    <w:rsid w:val="007D6DF7"/>
    <w:rsid w:val="007D6F28"/>
    <w:rsid w:val="007D7087"/>
    <w:rsid w:val="007D7376"/>
    <w:rsid w:val="007D737E"/>
    <w:rsid w:val="007D739E"/>
    <w:rsid w:val="007D7539"/>
    <w:rsid w:val="007D767B"/>
    <w:rsid w:val="007D7B91"/>
    <w:rsid w:val="007D7CA5"/>
    <w:rsid w:val="007D7CB6"/>
    <w:rsid w:val="007D7D6E"/>
    <w:rsid w:val="007D7EAB"/>
    <w:rsid w:val="007D7F23"/>
    <w:rsid w:val="007D7FCD"/>
    <w:rsid w:val="007E0087"/>
    <w:rsid w:val="007E0224"/>
    <w:rsid w:val="007E0229"/>
    <w:rsid w:val="007E02CC"/>
    <w:rsid w:val="007E02D2"/>
    <w:rsid w:val="007E043F"/>
    <w:rsid w:val="007E068E"/>
    <w:rsid w:val="007E0815"/>
    <w:rsid w:val="007E0882"/>
    <w:rsid w:val="007E08AC"/>
    <w:rsid w:val="007E0A74"/>
    <w:rsid w:val="007E0A75"/>
    <w:rsid w:val="007E0CB3"/>
    <w:rsid w:val="007E0CB9"/>
    <w:rsid w:val="007E0CEA"/>
    <w:rsid w:val="007E0F3C"/>
    <w:rsid w:val="007E11FF"/>
    <w:rsid w:val="007E12F6"/>
    <w:rsid w:val="007E1469"/>
    <w:rsid w:val="007E1530"/>
    <w:rsid w:val="007E1624"/>
    <w:rsid w:val="007E195B"/>
    <w:rsid w:val="007E1A99"/>
    <w:rsid w:val="007E1C04"/>
    <w:rsid w:val="007E1C05"/>
    <w:rsid w:val="007E1C85"/>
    <w:rsid w:val="007E1E19"/>
    <w:rsid w:val="007E1E61"/>
    <w:rsid w:val="007E1EDE"/>
    <w:rsid w:val="007E1F33"/>
    <w:rsid w:val="007E1F47"/>
    <w:rsid w:val="007E20BF"/>
    <w:rsid w:val="007E20FE"/>
    <w:rsid w:val="007E2162"/>
    <w:rsid w:val="007E2169"/>
    <w:rsid w:val="007E2265"/>
    <w:rsid w:val="007E22A2"/>
    <w:rsid w:val="007E2400"/>
    <w:rsid w:val="007E2537"/>
    <w:rsid w:val="007E253A"/>
    <w:rsid w:val="007E267D"/>
    <w:rsid w:val="007E268C"/>
    <w:rsid w:val="007E2824"/>
    <w:rsid w:val="007E28C5"/>
    <w:rsid w:val="007E2B09"/>
    <w:rsid w:val="007E2B37"/>
    <w:rsid w:val="007E2BC2"/>
    <w:rsid w:val="007E2FCE"/>
    <w:rsid w:val="007E305C"/>
    <w:rsid w:val="007E320E"/>
    <w:rsid w:val="007E321E"/>
    <w:rsid w:val="007E3398"/>
    <w:rsid w:val="007E361F"/>
    <w:rsid w:val="007E38EB"/>
    <w:rsid w:val="007E39B4"/>
    <w:rsid w:val="007E3C67"/>
    <w:rsid w:val="007E3E7E"/>
    <w:rsid w:val="007E3EF1"/>
    <w:rsid w:val="007E3FB3"/>
    <w:rsid w:val="007E4145"/>
    <w:rsid w:val="007E4171"/>
    <w:rsid w:val="007E41E6"/>
    <w:rsid w:val="007E4383"/>
    <w:rsid w:val="007E43C4"/>
    <w:rsid w:val="007E4497"/>
    <w:rsid w:val="007E45B3"/>
    <w:rsid w:val="007E46EF"/>
    <w:rsid w:val="007E49A3"/>
    <w:rsid w:val="007E49B0"/>
    <w:rsid w:val="007E4B44"/>
    <w:rsid w:val="007E4B6B"/>
    <w:rsid w:val="007E4CD1"/>
    <w:rsid w:val="007E4CDA"/>
    <w:rsid w:val="007E4CFD"/>
    <w:rsid w:val="007E4D33"/>
    <w:rsid w:val="007E4EAF"/>
    <w:rsid w:val="007E522F"/>
    <w:rsid w:val="007E5343"/>
    <w:rsid w:val="007E547C"/>
    <w:rsid w:val="007E567F"/>
    <w:rsid w:val="007E56BF"/>
    <w:rsid w:val="007E57B9"/>
    <w:rsid w:val="007E587F"/>
    <w:rsid w:val="007E58E4"/>
    <w:rsid w:val="007E5966"/>
    <w:rsid w:val="007E5A06"/>
    <w:rsid w:val="007E5A17"/>
    <w:rsid w:val="007E5A49"/>
    <w:rsid w:val="007E5B11"/>
    <w:rsid w:val="007E5C23"/>
    <w:rsid w:val="007E5DDE"/>
    <w:rsid w:val="007E5E2A"/>
    <w:rsid w:val="007E5FA9"/>
    <w:rsid w:val="007E6185"/>
    <w:rsid w:val="007E61F2"/>
    <w:rsid w:val="007E6332"/>
    <w:rsid w:val="007E64AC"/>
    <w:rsid w:val="007E64FA"/>
    <w:rsid w:val="007E6A8C"/>
    <w:rsid w:val="007E6B9F"/>
    <w:rsid w:val="007E6C73"/>
    <w:rsid w:val="007E6CAC"/>
    <w:rsid w:val="007E6CB0"/>
    <w:rsid w:val="007E6CF8"/>
    <w:rsid w:val="007E6D99"/>
    <w:rsid w:val="007E6E38"/>
    <w:rsid w:val="007E6EBC"/>
    <w:rsid w:val="007E6F11"/>
    <w:rsid w:val="007E7004"/>
    <w:rsid w:val="007E70AD"/>
    <w:rsid w:val="007E7402"/>
    <w:rsid w:val="007E741E"/>
    <w:rsid w:val="007E74C5"/>
    <w:rsid w:val="007E7526"/>
    <w:rsid w:val="007E75BE"/>
    <w:rsid w:val="007E75EF"/>
    <w:rsid w:val="007E7744"/>
    <w:rsid w:val="007E7EFA"/>
    <w:rsid w:val="007E7F30"/>
    <w:rsid w:val="007F0036"/>
    <w:rsid w:val="007F00E0"/>
    <w:rsid w:val="007F01C5"/>
    <w:rsid w:val="007F0339"/>
    <w:rsid w:val="007F0402"/>
    <w:rsid w:val="007F056F"/>
    <w:rsid w:val="007F05FD"/>
    <w:rsid w:val="007F0804"/>
    <w:rsid w:val="007F08B5"/>
    <w:rsid w:val="007F090C"/>
    <w:rsid w:val="007F09A8"/>
    <w:rsid w:val="007F0A40"/>
    <w:rsid w:val="007F0ABA"/>
    <w:rsid w:val="007F0D0A"/>
    <w:rsid w:val="007F0EEF"/>
    <w:rsid w:val="007F0F91"/>
    <w:rsid w:val="007F111F"/>
    <w:rsid w:val="007F11E7"/>
    <w:rsid w:val="007F14C4"/>
    <w:rsid w:val="007F14D1"/>
    <w:rsid w:val="007F1572"/>
    <w:rsid w:val="007F168D"/>
    <w:rsid w:val="007F1710"/>
    <w:rsid w:val="007F1B51"/>
    <w:rsid w:val="007F1C98"/>
    <w:rsid w:val="007F1D3D"/>
    <w:rsid w:val="007F1D53"/>
    <w:rsid w:val="007F2182"/>
    <w:rsid w:val="007F2231"/>
    <w:rsid w:val="007F229E"/>
    <w:rsid w:val="007F24A8"/>
    <w:rsid w:val="007F275E"/>
    <w:rsid w:val="007F27F9"/>
    <w:rsid w:val="007F281A"/>
    <w:rsid w:val="007F2867"/>
    <w:rsid w:val="007F2995"/>
    <w:rsid w:val="007F2AB8"/>
    <w:rsid w:val="007F2D2C"/>
    <w:rsid w:val="007F3137"/>
    <w:rsid w:val="007F31B0"/>
    <w:rsid w:val="007F32C4"/>
    <w:rsid w:val="007F3469"/>
    <w:rsid w:val="007F3642"/>
    <w:rsid w:val="007F3F54"/>
    <w:rsid w:val="007F4053"/>
    <w:rsid w:val="007F407A"/>
    <w:rsid w:val="007F4206"/>
    <w:rsid w:val="007F4217"/>
    <w:rsid w:val="007F4337"/>
    <w:rsid w:val="007F44F8"/>
    <w:rsid w:val="007F4AD3"/>
    <w:rsid w:val="007F4AE2"/>
    <w:rsid w:val="007F4CB4"/>
    <w:rsid w:val="007F4D66"/>
    <w:rsid w:val="007F4E88"/>
    <w:rsid w:val="007F4F54"/>
    <w:rsid w:val="007F4F85"/>
    <w:rsid w:val="007F5211"/>
    <w:rsid w:val="007F5400"/>
    <w:rsid w:val="007F54C0"/>
    <w:rsid w:val="007F5507"/>
    <w:rsid w:val="007F550D"/>
    <w:rsid w:val="007F5522"/>
    <w:rsid w:val="007F5577"/>
    <w:rsid w:val="007F56B2"/>
    <w:rsid w:val="007F5BCD"/>
    <w:rsid w:val="007F5CB8"/>
    <w:rsid w:val="007F5EA4"/>
    <w:rsid w:val="007F5ECC"/>
    <w:rsid w:val="007F6099"/>
    <w:rsid w:val="007F6110"/>
    <w:rsid w:val="007F68B2"/>
    <w:rsid w:val="007F6A9C"/>
    <w:rsid w:val="007F6C38"/>
    <w:rsid w:val="007F6C88"/>
    <w:rsid w:val="007F6E64"/>
    <w:rsid w:val="007F6F58"/>
    <w:rsid w:val="007F6F67"/>
    <w:rsid w:val="007F6FF7"/>
    <w:rsid w:val="007F70FB"/>
    <w:rsid w:val="007F71BB"/>
    <w:rsid w:val="007F71CD"/>
    <w:rsid w:val="007F72CF"/>
    <w:rsid w:val="007F7317"/>
    <w:rsid w:val="007F733D"/>
    <w:rsid w:val="007F73C6"/>
    <w:rsid w:val="007F73CB"/>
    <w:rsid w:val="007F77A7"/>
    <w:rsid w:val="007F78DA"/>
    <w:rsid w:val="007F798D"/>
    <w:rsid w:val="007F7A6F"/>
    <w:rsid w:val="007F7BD0"/>
    <w:rsid w:val="007F7DD6"/>
    <w:rsid w:val="007F7E73"/>
    <w:rsid w:val="00800178"/>
    <w:rsid w:val="008001B6"/>
    <w:rsid w:val="008004CE"/>
    <w:rsid w:val="0080067A"/>
    <w:rsid w:val="0080076C"/>
    <w:rsid w:val="00800788"/>
    <w:rsid w:val="008007D7"/>
    <w:rsid w:val="00800864"/>
    <w:rsid w:val="00800916"/>
    <w:rsid w:val="00800951"/>
    <w:rsid w:val="008009EC"/>
    <w:rsid w:val="00800A5F"/>
    <w:rsid w:val="00800A93"/>
    <w:rsid w:val="00800AB8"/>
    <w:rsid w:val="00800B22"/>
    <w:rsid w:val="00800C57"/>
    <w:rsid w:val="00800CE5"/>
    <w:rsid w:val="00800D16"/>
    <w:rsid w:val="00800E5F"/>
    <w:rsid w:val="0080128D"/>
    <w:rsid w:val="008012B1"/>
    <w:rsid w:val="008012B9"/>
    <w:rsid w:val="008012FB"/>
    <w:rsid w:val="00801408"/>
    <w:rsid w:val="0080141D"/>
    <w:rsid w:val="00801434"/>
    <w:rsid w:val="008014D5"/>
    <w:rsid w:val="0080165D"/>
    <w:rsid w:val="0080187E"/>
    <w:rsid w:val="00801A03"/>
    <w:rsid w:val="00801CE1"/>
    <w:rsid w:val="00801D3D"/>
    <w:rsid w:val="00801DC9"/>
    <w:rsid w:val="00801EB2"/>
    <w:rsid w:val="0080250A"/>
    <w:rsid w:val="008026AA"/>
    <w:rsid w:val="008027D7"/>
    <w:rsid w:val="00802886"/>
    <w:rsid w:val="00802D28"/>
    <w:rsid w:val="00802D2C"/>
    <w:rsid w:val="00802DCB"/>
    <w:rsid w:val="00802E28"/>
    <w:rsid w:val="00802F16"/>
    <w:rsid w:val="0080312F"/>
    <w:rsid w:val="00803149"/>
    <w:rsid w:val="008031BE"/>
    <w:rsid w:val="008031FC"/>
    <w:rsid w:val="0080329B"/>
    <w:rsid w:val="008032CB"/>
    <w:rsid w:val="00803327"/>
    <w:rsid w:val="00803365"/>
    <w:rsid w:val="008035D3"/>
    <w:rsid w:val="00803716"/>
    <w:rsid w:val="008039DF"/>
    <w:rsid w:val="00803CF6"/>
    <w:rsid w:val="00803F71"/>
    <w:rsid w:val="0080416C"/>
    <w:rsid w:val="008041C6"/>
    <w:rsid w:val="0080445E"/>
    <w:rsid w:val="00804501"/>
    <w:rsid w:val="00804563"/>
    <w:rsid w:val="00804859"/>
    <w:rsid w:val="008048C8"/>
    <w:rsid w:val="0080493E"/>
    <w:rsid w:val="0080497A"/>
    <w:rsid w:val="008049F8"/>
    <w:rsid w:val="00804C99"/>
    <w:rsid w:val="00804DB4"/>
    <w:rsid w:val="00804F04"/>
    <w:rsid w:val="00805007"/>
    <w:rsid w:val="008051D7"/>
    <w:rsid w:val="008051DB"/>
    <w:rsid w:val="008051ED"/>
    <w:rsid w:val="00805250"/>
    <w:rsid w:val="00805288"/>
    <w:rsid w:val="00805406"/>
    <w:rsid w:val="008054CE"/>
    <w:rsid w:val="00805536"/>
    <w:rsid w:val="00805C33"/>
    <w:rsid w:val="00805CBD"/>
    <w:rsid w:val="008062D0"/>
    <w:rsid w:val="00806361"/>
    <w:rsid w:val="0080636D"/>
    <w:rsid w:val="008066A3"/>
    <w:rsid w:val="008066FD"/>
    <w:rsid w:val="00806737"/>
    <w:rsid w:val="008067B0"/>
    <w:rsid w:val="00806948"/>
    <w:rsid w:val="008069DD"/>
    <w:rsid w:val="00806A0C"/>
    <w:rsid w:val="00806AFA"/>
    <w:rsid w:val="00806C0D"/>
    <w:rsid w:val="00806DBC"/>
    <w:rsid w:val="00806E6B"/>
    <w:rsid w:val="00806F18"/>
    <w:rsid w:val="00806F40"/>
    <w:rsid w:val="00806FD5"/>
    <w:rsid w:val="0080709B"/>
    <w:rsid w:val="00807206"/>
    <w:rsid w:val="00807213"/>
    <w:rsid w:val="0080738C"/>
    <w:rsid w:val="008073FE"/>
    <w:rsid w:val="0080748B"/>
    <w:rsid w:val="008074E4"/>
    <w:rsid w:val="008075CF"/>
    <w:rsid w:val="00807626"/>
    <w:rsid w:val="008076F4"/>
    <w:rsid w:val="00807896"/>
    <w:rsid w:val="00807A3E"/>
    <w:rsid w:val="00807A53"/>
    <w:rsid w:val="00807C26"/>
    <w:rsid w:val="00807CAF"/>
    <w:rsid w:val="00807CBB"/>
    <w:rsid w:val="00807D02"/>
    <w:rsid w:val="00807EED"/>
    <w:rsid w:val="00807F21"/>
    <w:rsid w:val="00807F51"/>
    <w:rsid w:val="0081002A"/>
    <w:rsid w:val="00810166"/>
    <w:rsid w:val="0081023B"/>
    <w:rsid w:val="008104FC"/>
    <w:rsid w:val="0081056F"/>
    <w:rsid w:val="0081058D"/>
    <w:rsid w:val="008105E3"/>
    <w:rsid w:val="008105FE"/>
    <w:rsid w:val="00810677"/>
    <w:rsid w:val="00810871"/>
    <w:rsid w:val="00810A2A"/>
    <w:rsid w:val="00810B7B"/>
    <w:rsid w:val="00810C05"/>
    <w:rsid w:val="00810C22"/>
    <w:rsid w:val="00810DF4"/>
    <w:rsid w:val="00810FB3"/>
    <w:rsid w:val="0081141A"/>
    <w:rsid w:val="008114D8"/>
    <w:rsid w:val="008115BA"/>
    <w:rsid w:val="008115DC"/>
    <w:rsid w:val="0081160D"/>
    <w:rsid w:val="0081165B"/>
    <w:rsid w:val="00811756"/>
    <w:rsid w:val="00811812"/>
    <w:rsid w:val="00811871"/>
    <w:rsid w:val="00811AD6"/>
    <w:rsid w:val="00811BEA"/>
    <w:rsid w:val="00811C3F"/>
    <w:rsid w:val="00811E0F"/>
    <w:rsid w:val="00812232"/>
    <w:rsid w:val="00812270"/>
    <w:rsid w:val="0081238D"/>
    <w:rsid w:val="008123A1"/>
    <w:rsid w:val="008123A9"/>
    <w:rsid w:val="00812467"/>
    <w:rsid w:val="008125FA"/>
    <w:rsid w:val="00812637"/>
    <w:rsid w:val="00812761"/>
    <w:rsid w:val="00812985"/>
    <w:rsid w:val="008129A5"/>
    <w:rsid w:val="008129E5"/>
    <w:rsid w:val="00812A17"/>
    <w:rsid w:val="00812B5E"/>
    <w:rsid w:val="00812D89"/>
    <w:rsid w:val="00812DD7"/>
    <w:rsid w:val="00812EA3"/>
    <w:rsid w:val="00812EB9"/>
    <w:rsid w:val="00812EFE"/>
    <w:rsid w:val="00813063"/>
    <w:rsid w:val="00813227"/>
    <w:rsid w:val="00813271"/>
    <w:rsid w:val="008132A9"/>
    <w:rsid w:val="00813332"/>
    <w:rsid w:val="008133A4"/>
    <w:rsid w:val="008133D9"/>
    <w:rsid w:val="008134A7"/>
    <w:rsid w:val="00813593"/>
    <w:rsid w:val="00813601"/>
    <w:rsid w:val="0081360A"/>
    <w:rsid w:val="008138D4"/>
    <w:rsid w:val="00813A9F"/>
    <w:rsid w:val="00813C2A"/>
    <w:rsid w:val="00813CB8"/>
    <w:rsid w:val="00813D30"/>
    <w:rsid w:val="00813D87"/>
    <w:rsid w:val="008142A5"/>
    <w:rsid w:val="0081434F"/>
    <w:rsid w:val="00814477"/>
    <w:rsid w:val="00814495"/>
    <w:rsid w:val="00814740"/>
    <w:rsid w:val="00814941"/>
    <w:rsid w:val="00814A2E"/>
    <w:rsid w:val="00814BC2"/>
    <w:rsid w:val="00814CF3"/>
    <w:rsid w:val="00814E4C"/>
    <w:rsid w:val="00814FB4"/>
    <w:rsid w:val="00814FFF"/>
    <w:rsid w:val="00815017"/>
    <w:rsid w:val="0081509E"/>
    <w:rsid w:val="008151AD"/>
    <w:rsid w:val="008152BD"/>
    <w:rsid w:val="0081535A"/>
    <w:rsid w:val="008153CE"/>
    <w:rsid w:val="008155CF"/>
    <w:rsid w:val="008155ED"/>
    <w:rsid w:val="0081586A"/>
    <w:rsid w:val="00815922"/>
    <w:rsid w:val="00815A79"/>
    <w:rsid w:val="00815AC6"/>
    <w:rsid w:val="00815C25"/>
    <w:rsid w:val="00815E46"/>
    <w:rsid w:val="00815FCE"/>
    <w:rsid w:val="00815FE7"/>
    <w:rsid w:val="0081608B"/>
    <w:rsid w:val="0081626D"/>
    <w:rsid w:val="00816339"/>
    <w:rsid w:val="0081652F"/>
    <w:rsid w:val="008165C1"/>
    <w:rsid w:val="008165CC"/>
    <w:rsid w:val="008165D5"/>
    <w:rsid w:val="00816635"/>
    <w:rsid w:val="008166DB"/>
    <w:rsid w:val="0081682D"/>
    <w:rsid w:val="00816AA4"/>
    <w:rsid w:val="00816ADD"/>
    <w:rsid w:val="00816B7D"/>
    <w:rsid w:val="00816BBE"/>
    <w:rsid w:val="00816C2F"/>
    <w:rsid w:val="00816C9D"/>
    <w:rsid w:val="00816D2C"/>
    <w:rsid w:val="00816D97"/>
    <w:rsid w:val="00816EE0"/>
    <w:rsid w:val="00816F31"/>
    <w:rsid w:val="00816FC5"/>
    <w:rsid w:val="008170FB"/>
    <w:rsid w:val="008172A0"/>
    <w:rsid w:val="00817502"/>
    <w:rsid w:val="0081770D"/>
    <w:rsid w:val="008177A3"/>
    <w:rsid w:val="00817854"/>
    <w:rsid w:val="008178A4"/>
    <w:rsid w:val="008178D3"/>
    <w:rsid w:val="00817952"/>
    <w:rsid w:val="00817953"/>
    <w:rsid w:val="00817A87"/>
    <w:rsid w:val="00817A88"/>
    <w:rsid w:val="00817ADC"/>
    <w:rsid w:val="00817D29"/>
    <w:rsid w:val="00817EE2"/>
    <w:rsid w:val="00817F68"/>
    <w:rsid w:val="008200F1"/>
    <w:rsid w:val="00820139"/>
    <w:rsid w:val="00820171"/>
    <w:rsid w:val="00820228"/>
    <w:rsid w:val="0082026A"/>
    <w:rsid w:val="00820387"/>
    <w:rsid w:val="0082054F"/>
    <w:rsid w:val="00820794"/>
    <w:rsid w:val="00820886"/>
    <w:rsid w:val="00820A81"/>
    <w:rsid w:val="00820B50"/>
    <w:rsid w:val="00820F15"/>
    <w:rsid w:val="00820F58"/>
    <w:rsid w:val="00820F5C"/>
    <w:rsid w:val="00821106"/>
    <w:rsid w:val="008212B8"/>
    <w:rsid w:val="00821670"/>
    <w:rsid w:val="0082185F"/>
    <w:rsid w:val="00821877"/>
    <w:rsid w:val="00822043"/>
    <w:rsid w:val="00822129"/>
    <w:rsid w:val="0082221D"/>
    <w:rsid w:val="00822312"/>
    <w:rsid w:val="008226A2"/>
    <w:rsid w:val="008226A4"/>
    <w:rsid w:val="008226AA"/>
    <w:rsid w:val="00822733"/>
    <w:rsid w:val="00822860"/>
    <w:rsid w:val="008228F0"/>
    <w:rsid w:val="00822931"/>
    <w:rsid w:val="00822AAE"/>
    <w:rsid w:val="00822BBA"/>
    <w:rsid w:val="00822F9E"/>
    <w:rsid w:val="00822FC9"/>
    <w:rsid w:val="00823187"/>
    <w:rsid w:val="0082318F"/>
    <w:rsid w:val="00823289"/>
    <w:rsid w:val="008232BE"/>
    <w:rsid w:val="00823374"/>
    <w:rsid w:val="008235DF"/>
    <w:rsid w:val="0082368C"/>
    <w:rsid w:val="0082372F"/>
    <w:rsid w:val="008237A9"/>
    <w:rsid w:val="00823AA5"/>
    <w:rsid w:val="00823B0A"/>
    <w:rsid w:val="00823B8F"/>
    <w:rsid w:val="00823C02"/>
    <w:rsid w:val="00823CCF"/>
    <w:rsid w:val="00823CE5"/>
    <w:rsid w:val="00823DD0"/>
    <w:rsid w:val="00823E94"/>
    <w:rsid w:val="008242C8"/>
    <w:rsid w:val="00824435"/>
    <w:rsid w:val="0082459B"/>
    <w:rsid w:val="0082469E"/>
    <w:rsid w:val="008247AC"/>
    <w:rsid w:val="008248F3"/>
    <w:rsid w:val="008249A5"/>
    <w:rsid w:val="00824D44"/>
    <w:rsid w:val="00824DFD"/>
    <w:rsid w:val="00824EE2"/>
    <w:rsid w:val="00824EEE"/>
    <w:rsid w:val="00825092"/>
    <w:rsid w:val="008250C2"/>
    <w:rsid w:val="00825118"/>
    <w:rsid w:val="008251CD"/>
    <w:rsid w:val="008251D3"/>
    <w:rsid w:val="00825273"/>
    <w:rsid w:val="00825443"/>
    <w:rsid w:val="0082545A"/>
    <w:rsid w:val="00825499"/>
    <w:rsid w:val="00825517"/>
    <w:rsid w:val="0082572A"/>
    <w:rsid w:val="0082574C"/>
    <w:rsid w:val="0082594B"/>
    <w:rsid w:val="00825AB1"/>
    <w:rsid w:val="00825BB4"/>
    <w:rsid w:val="00825FD2"/>
    <w:rsid w:val="0082602F"/>
    <w:rsid w:val="0082610F"/>
    <w:rsid w:val="008261DA"/>
    <w:rsid w:val="008261F0"/>
    <w:rsid w:val="00826242"/>
    <w:rsid w:val="00826343"/>
    <w:rsid w:val="00826430"/>
    <w:rsid w:val="00826673"/>
    <w:rsid w:val="0082668F"/>
    <w:rsid w:val="0082673D"/>
    <w:rsid w:val="00826884"/>
    <w:rsid w:val="008269C0"/>
    <w:rsid w:val="008269EF"/>
    <w:rsid w:val="00826A07"/>
    <w:rsid w:val="00826B45"/>
    <w:rsid w:val="00826C34"/>
    <w:rsid w:val="00826CEA"/>
    <w:rsid w:val="00826E28"/>
    <w:rsid w:val="00826E63"/>
    <w:rsid w:val="00826ECE"/>
    <w:rsid w:val="00826F1E"/>
    <w:rsid w:val="00826FE8"/>
    <w:rsid w:val="00826FF6"/>
    <w:rsid w:val="008270BF"/>
    <w:rsid w:val="00827257"/>
    <w:rsid w:val="00827465"/>
    <w:rsid w:val="008275FA"/>
    <w:rsid w:val="0082761E"/>
    <w:rsid w:val="00827739"/>
    <w:rsid w:val="00827785"/>
    <w:rsid w:val="008277F4"/>
    <w:rsid w:val="008278BC"/>
    <w:rsid w:val="00827B1B"/>
    <w:rsid w:val="00827BC4"/>
    <w:rsid w:val="00827D81"/>
    <w:rsid w:val="00827E31"/>
    <w:rsid w:val="00827E74"/>
    <w:rsid w:val="00827EFD"/>
    <w:rsid w:val="00827FE4"/>
    <w:rsid w:val="00830249"/>
    <w:rsid w:val="0083033A"/>
    <w:rsid w:val="008303D5"/>
    <w:rsid w:val="00830402"/>
    <w:rsid w:val="008306DC"/>
    <w:rsid w:val="008307B3"/>
    <w:rsid w:val="00830871"/>
    <w:rsid w:val="008308A9"/>
    <w:rsid w:val="00830A42"/>
    <w:rsid w:val="00830B08"/>
    <w:rsid w:val="00830B22"/>
    <w:rsid w:val="00830B9E"/>
    <w:rsid w:val="0083126A"/>
    <w:rsid w:val="008313C7"/>
    <w:rsid w:val="0083142D"/>
    <w:rsid w:val="00831497"/>
    <w:rsid w:val="00831538"/>
    <w:rsid w:val="00831935"/>
    <w:rsid w:val="0083196E"/>
    <w:rsid w:val="00831A8E"/>
    <w:rsid w:val="00831CC5"/>
    <w:rsid w:val="00831D2C"/>
    <w:rsid w:val="00831E9D"/>
    <w:rsid w:val="00831FDC"/>
    <w:rsid w:val="00831FFC"/>
    <w:rsid w:val="00832383"/>
    <w:rsid w:val="008323E9"/>
    <w:rsid w:val="0083247C"/>
    <w:rsid w:val="008324BC"/>
    <w:rsid w:val="008327A0"/>
    <w:rsid w:val="008329BB"/>
    <w:rsid w:val="00832A84"/>
    <w:rsid w:val="00832AA2"/>
    <w:rsid w:val="00832B19"/>
    <w:rsid w:val="00832BBA"/>
    <w:rsid w:val="00832C59"/>
    <w:rsid w:val="00832E92"/>
    <w:rsid w:val="00832EAC"/>
    <w:rsid w:val="00832EE5"/>
    <w:rsid w:val="00833024"/>
    <w:rsid w:val="008332C7"/>
    <w:rsid w:val="00833440"/>
    <w:rsid w:val="0083348A"/>
    <w:rsid w:val="008335D3"/>
    <w:rsid w:val="0083377D"/>
    <w:rsid w:val="0083377F"/>
    <w:rsid w:val="0083378B"/>
    <w:rsid w:val="00833E39"/>
    <w:rsid w:val="00833F59"/>
    <w:rsid w:val="00833FBC"/>
    <w:rsid w:val="0083401B"/>
    <w:rsid w:val="008340EF"/>
    <w:rsid w:val="008342E6"/>
    <w:rsid w:val="0083444C"/>
    <w:rsid w:val="008344A7"/>
    <w:rsid w:val="008345F2"/>
    <w:rsid w:val="00834697"/>
    <w:rsid w:val="00834ECF"/>
    <w:rsid w:val="00834EF9"/>
    <w:rsid w:val="00834F82"/>
    <w:rsid w:val="00834FDB"/>
    <w:rsid w:val="00835075"/>
    <w:rsid w:val="00835100"/>
    <w:rsid w:val="00835164"/>
    <w:rsid w:val="0083529A"/>
    <w:rsid w:val="008352B0"/>
    <w:rsid w:val="008354BF"/>
    <w:rsid w:val="008354FF"/>
    <w:rsid w:val="008358A3"/>
    <w:rsid w:val="008358F1"/>
    <w:rsid w:val="00835936"/>
    <w:rsid w:val="008359E1"/>
    <w:rsid w:val="00835BF7"/>
    <w:rsid w:val="00835C07"/>
    <w:rsid w:val="00835C61"/>
    <w:rsid w:val="00835E18"/>
    <w:rsid w:val="00835E2E"/>
    <w:rsid w:val="00835FBB"/>
    <w:rsid w:val="008360F2"/>
    <w:rsid w:val="00836182"/>
    <w:rsid w:val="0083628F"/>
    <w:rsid w:val="00836334"/>
    <w:rsid w:val="008366E0"/>
    <w:rsid w:val="008367A2"/>
    <w:rsid w:val="00836902"/>
    <w:rsid w:val="00836978"/>
    <w:rsid w:val="00836A59"/>
    <w:rsid w:val="00836A7E"/>
    <w:rsid w:val="00836BC1"/>
    <w:rsid w:val="00836C29"/>
    <w:rsid w:val="00836CA1"/>
    <w:rsid w:val="00836D59"/>
    <w:rsid w:val="00836DF3"/>
    <w:rsid w:val="00836E44"/>
    <w:rsid w:val="00837038"/>
    <w:rsid w:val="0083707C"/>
    <w:rsid w:val="0083719D"/>
    <w:rsid w:val="008371FE"/>
    <w:rsid w:val="00837348"/>
    <w:rsid w:val="0083779A"/>
    <w:rsid w:val="0083784E"/>
    <w:rsid w:val="00837999"/>
    <w:rsid w:val="008379F3"/>
    <w:rsid w:val="00837A06"/>
    <w:rsid w:val="00837A4E"/>
    <w:rsid w:val="00837C2C"/>
    <w:rsid w:val="00837C53"/>
    <w:rsid w:val="00837E4E"/>
    <w:rsid w:val="00837F7F"/>
    <w:rsid w:val="00840171"/>
    <w:rsid w:val="008404EA"/>
    <w:rsid w:val="00840A8E"/>
    <w:rsid w:val="00840B83"/>
    <w:rsid w:val="00840DDF"/>
    <w:rsid w:val="00841069"/>
    <w:rsid w:val="00841105"/>
    <w:rsid w:val="00841111"/>
    <w:rsid w:val="0084138D"/>
    <w:rsid w:val="00841539"/>
    <w:rsid w:val="00841616"/>
    <w:rsid w:val="0084192D"/>
    <w:rsid w:val="00841932"/>
    <w:rsid w:val="00841A46"/>
    <w:rsid w:val="00841B60"/>
    <w:rsid w:val="00841DF8"/>
    <w:rsid w:val="00841E42"/>
    <w:rsid w:val="00841F85"/>
    <w:rsid w:val="00841F89"/>
    <w:rsid w:val="00841FAD"/>
    <w:rsid w:val="0084206A"/>
    <w:rsid w:val="00842192"/>
    <w:rsid w:val="00842270"/>
    <w:rsid w:val="008424F4"/>
    <w:rsid w:val="008425E0"/>
    <w:rsid w:val="00842708"/>
    <w:rsid w:val="00842721"/>
    <w:rsid w:val="00842877"/>
    <w:rsid w:val="00842913"/>
    <w:rsid w:val="00842941"/>
    <w:rsid w:val="00842A86"/>
    <w:rsid w:val="00842AA1"/>
    <w:rsid w:val="00842D6C"/>
    <w:rsid w:val="00842F99"/>
    <w:rsid w:val="00842FFA"/>
    <w:rsid w:val="00843094"/>
    <w:rsid w:val="008432EF"/>
    <w:rsid w:val="00843466"/>
    <w:rsid w:val="0084377A"/>
    <w:rsid w:val="00843896"/>
    <w:rsid w:val="00843935"/>
    <w:rsid w:val="00843A97"/>
    <w:rsid w:val="00843E66"/>
    <w:rsid w:val="0084423F"/>
    <w:rsid w:val="00844507"/>
    <w:rsid w:val="00844555"/>
    <w:rsid w:val="0084463F"/>
    <w:rsid w:val="0084495A"/>
    <w:rsid w:val="008449EC"/>
    <w:rsid w:val="00844AB8"/>
    <w:rsid w:val="00844B3A"/>
    <w:rsid w:val="00844E26"/>
    <w:rsid w:val="00845101"/>
    <w:rsid w:val="00845244"/>
    <w:rsid w:val="00845612"/>
    <w:rsid w:val="00845719"/>
    <w:rsid w:val="0084583E"/>
    <w:rsid w:val="0084587D"/>
    <w:rsid w:val="008459E8"/>
    <w:rsid w:val="00845AAD"/>
    <w:rsid w:val="00845CE5"/>
    <w:rsid w:val="00845E6B"/>
    <w:rsid w:val="00845EA0"/>
    <w:rsid w:val="00845F26"/>
    <w:rsid w:val="00845F89"/>
    <w:rsid w:val="00846093"/>
    <w:rsid w:val="008461C8"/>
    <w:rsid w:val="008462BD"/>
    <w:rsid w:val="008462CC"/>
    <w:rsid w:val="008468CA"/>
    <w:rsid w:val="008469C1"/>
    <w:rsid w:val="00846A8B"/>
    <w:rsid w:val="00846B33"/>
    <w:rsid w:val="00846BAA"/>
    <w:rsid w:val="00846C68"/>
    <w:rsid w:val="00846C91"/>
    <w:rsid w:val="00846D60"/>
    <w:rsid w:val="00846E34"/>
    <w:rsid w:val="00846F42"/>
    <w:rsid w:val="00847223"/>
    <w:rsid w:val="008473DE"/>
    <w:rsid w:val="008474A4"/>
    <w:rsid w:val="00847581"/>
    <w:rsid w:val="00847618"/>
    <w:rsid w:val="0084765B"/>
    <w:rsid w:val="00847750"/>
    <w:rsid w:val="00847796"/>
    <w:rsid w:val="00847900"/>
    <w:rsid w:val="00847965"/>
    <w:rsid w:val="00847A71"/>
    <w:rsid w:val="00847B5A"/>
    <w:rsid w:val="00847E2F"/>
    <w:rsid w:val="008503C7"/>
    <w:rsid w:val="00850675"/>
    <w:rsid w:val="008507E1"/>
    <w:rsid w:val="008508A2"/>
    <w:rsid w:val="008508EE"/>
    <w:rsid w:val="008508FB"/>
    <w:rsid w:val="00850A17"/>
    <w:rsid w:val="00850AE8"/>
    <w:rsid w:val="00850B13"/>
    <w:rsid w:val="00850C49"/>
    <w:rsid w:val="00850D8E"/>
    <w:rsid w:val="00850ECD"/>
    <w:rsid w:val="008510F8"/>
    <w:rsid w:val="0085162F"/>
    <w:rsid w:val="00851712"/>
    <w:rsid w:val="008519BD"/>
    <w:rsid w:val="00851A21"/>
    <w:rsid w:val="00851A97"/>
    <w:rsid w:val="00851D5C"/>
    <w:rsid w:val="00851D6E"/>
    <w:rsid w:val="00851F18"/>
    <w:rsid w:val="00851F3F"/>
    <w:rsid w:val="00851FE8"/>
    <w:rsid w:val="0085207F"/>
    <w:rsid w:val="00852089"/>
    <w:rsid w:val="008520B1"/>
    <w:rsid w:val="008524A5"/>
    <w:rsid w:val="00852594"/>
    <w:rsid w:val="008525DC"/>
    <w:rsid w:val="00852776"/>
    <w:rsid w:val="00852B7B"/>
    <w:rsid w:val="00852BB2"/>
    <w:rsid w:val="00852C1D"/>
    <w:rsid w:val="00852EED"/>
    <w:rsid w:val="00852F0B"/>
    <w:rsid w:val="00852F3E"/>
    <w:rsid w:val="00852FEB"/>
    <w:rsid w:val="00853002"/>
    <w:rsid w:val="00853035"/>
    <w:rsid w:val="0085310A"/>
    <w:rsid w:val="00853265"/>
    <w:rsid w:val="00853590"/>
    <w:rsid w:val="00853672"/>
    <w:rsid w:val="008536B0"/>
    <w:rsid w:val="00853936"/>
    <w:rsid w:val="00853C04"/>
    <w:rsid w:val="00853C6E"/>
    <w:rsid w:val="00853EBD"/>
    <w:rsid w:val="00854022"/>
    <w:rsid w:val="00854069"/>
    <w:rsid w:val="00854198"/>
    <w:rsid w:val="008545AB"/>
    <w:rsid w:val="008545E9"/>
    <w:rsid w:val="0085468D"/>
    <w:rsid w:val="0085487D"/>
    <w:rsid w:val="0085494C"/>
    <w:rsid w:val="00854A13"/>
    <w:rsid w:val="00854A6D"/>
    <w:rsid w:val="00854B28"/>
    <w:rsid w:val="00854D41"/>
    <w:rsid w:val="00854E2F"/>
    <w:rsid w:val="00854FC1"/>
    <w:rsid w:val="00855084"/>
    <w:rsid w:val="008550E8"/>
    <w:rsid w:val="0085536B"/>
    <w:rsid w:val="00855593"/>
    <w:rsid w:val="00855666"/>
    <w:rsid w:val="008556CB"/>
    <w:rsid w:val="008556E4"/>
    <w:rsid w:val="00855748"/>
    <w:rsid w:val="00855908"/>
    <w:rsid w:val="00855B5E"/>
    <w:rsid w:val="00855C62"/>
    <w:rsid w:val="00855CF9"/>
    <w:rsid w:val="00855DEC"/>
    <w:rsid w:val="00855DF9"/>
    <w:rsid w:val="00855E18"/>
    <w:rsid w:val="00855FC6"/>
    <w:rsid w:val="0085611E"/>
    <w:rsid w:val="008561BE"/>
    <w:rsid w:val="008561C6"/>
    <w:rsid w:val="0085628C"/>
    <w:rsid w:val="008562C2"/>
    <w:rsid w:val="0085630A"/>
    <w:rsid w:val="008564E7"/>
    <w:rsid w:val="0085655D"/>
    <w:rsid w:val="00856732"/>
    <w:rsid w:val="008568AD"/>
    <w:rsid w:val="0085695D"/>
    <w:rsid w:val="00856A85"/>
    <w:rsid w:val="00856AEF"/>
    <w:rsid w:val="00856CDC"/>
    <w:rsid w:val="00856F37"/>
    <w:rsid w:val="00856F91"/>
    <w:rsid w:val="00857026"/>
    <w:rsid w:val="00857059"/>
    <w:rsid w:val="00857119"/>
    <w:rsid w:val="0085718D"/>
    <w:rsid w:val="00857380"/>
    <w:rsid w:val="008573CF"/>
    <w:rsid w:val="0085745F"/>
    <w:rsid w:val="0085766B"/>
    <w:rsid w:val="00857759"/>
    <w:rsid w:val="008578DF"/>
    <w:rsid w:val="008578ED"/>
    <w:rsid w:val="0085792E"/>
    <w:rsid w:val="0085793B"/>
    <w:rsid w:val="00857A87"/>
    <w:rsid w:val="00857B6A"/>
    <w:rsid w:val="00857BC5"/>
    <w:rsid w:val="00857C58"/>
    <w:rsid w:val="00857C5F"/>
    <w:rsid w:val="00860179"/>
    <w:rsid w:val="008601FA"/>
    <w:rsid w:val="0086055D"/>
    <w:rsid w:val="00860684"/>
    <w:rsid w:val="0086084E"/>
    <w:rsid w:val="00860861"/>
    <w:rsid w:val="00860882"/>
    <w:rsid w:val="008608D5"/>
    <w:rsid w:val="008609E5"/>
    <w:rsid w:val="00860C7A"/>
    <w:rsid w:val="00860C8F"/>
    <w:rsid w:val="00860D4A"/>
    <w:rsid w:val="00860E1F"/>
    <w:rsid w:val="008610F9"/>
    <w:rsid w:val="00861208"/>
    <w:rsid w:val="008612BA"/>
    <w:rsid w:val="00861418"/>
    <w:rsid w:val="008615A1"/>
    <w:rsid w:val="008615AF"/>
    <w:rsid w:val="0086195F"/>
    <w:rsid w:val="00861C41"/>
    <w:rsid w:val="00861DA6"/>
    <w:rsid w:val="00861DDD"/>
    <w:rsid w:val="00861EAD"/>
    <w:rsid w:val="00861EDD"/>
    <w:rsid w:val="00861F8A"/>
    <w:rsid w:val="00862102"/>
    <w:rsid w:val="00862384"/>
    <w:rsid w:val="008623BE"/>
    <w:rsid w:val="00862599"/>
    <w:rsid w:val="0086297E"/>
    <w:rsid w:val="00862983"/>
    <w:rsid w:val="00862A07"/>
    <w:rsid w:val="00862BEC"/>
    <w:rsid w:val="00862CE3"/>
    <w:rsid w:val="00862D93"/>
    <w:rsid w:val="00862DBE"/>
    <w:rsid w:val="00863352"/>
    <w:rsid w:val="00863596"/>
    <w:rsid w:val="008635E1"/>
    <w:rsid w:val="008635E3"/>
    <w:rsid w:val="00863928"/>
    <w:rsid w:val="0086399B"/>
    <w:rsid w:val="00863A86"/>
    <w:rsid w:val="00863AE3"/>
    <w:rsid w:val="00863D9B"/>
    <w:rsid w:val="00863DC9"/>
    <w:rsid w:val="00863DEC"/>
    <w:rsid w:val="00863F4C"/>
    <w:rsid w:val="00863F93"/>
    <w:rsid w:val="0086409C"/>
    <w:rsid w:val="008640E9"/>
    <w:rsid w:val="00864369"/>
    <w:rsid w:val="00864393"/>
    <w:rsid w:val="00864481"/>
    <w:rsid w:val="0086495A"/>
    <w:rsid w:val="00864ADE"/>
    <w:rsid w:val="00864B18"/>
    <w:rsid w:val="00864B5B"/>
    <w:rsid w:val="00864CED"/>
    <w:rsid w:val="00864CFE"/>
    <w:rsid w:val="00864F25"/>
    <w:rsid w:val="00865282"/>
    <w:rsid w:val="008654DF"/>
    <w:rsid w:val="00865512"/>
    <w:rsid w:val="008655C4"/>
    <w:rsid w:val="00865733"/>
    <w:rsid w:val="0086579F"/>
    <w:rsid w:val="008658B6"/>
    <w:rsid w:val="00865947"/>
    <w:rsid w:val="00865A80"/>
    <w:rsid w:val="00865AEF"/>
    <w:rsid w:val="00865ED1"/>
    <w:rsid w:val="00865F08"/>
    <w:rsid w:val="008660DE"/>
    <w:rsid w:val="008660E4"/>
    <w:rsid w:val="008661D4"/>
    <w:rsid w:val="00866465"/>
    <w:rsid w:val="008665FD"/>
    <w:rsid w:val="00866627"/>
    <w:rsid w:val="0086664A"/>
    <w:rsid w:val="00866668"/>
    <w:rsid w:val="00866709"/>
    <w:rsid w:val="0086692F"/>
    <w:rsid w:val="00866B2B"/>
    <w:rsid w:val="00866B95"/>
    <w:rsid w:val="00866C72"/>
    <w:rsid w:val="00866D19"/>
    <w:rsid w:val="00867139"/>
    <w:rsid w:val="008671A6"/>
    <w:rsid w:val="008671C2"/>
    <w:rsid w:val="00867223"/>
    <w:rsid w:val="008672D7"/>
    <w:rsid w:val="0086734B"/>
    <w:rsid w:val="008674AE"/>
    <w:rsid w:val="008674E6"/>
    <w:rsid w:val="008674EF"/>
    <w:rsid w:val="00867584"/>
    <w:rsid w:val="008675BA"/>
    <w:rsid w:val="008676DC"/>
    <w:rsid w:val="0086775C"/>
    <w:rsid w:val="00867771"/>
    <w:rsid w:val="0086788C"/>
    <w:rsid w:val="00867B13"/>
    <w:rsid w:val="00867BB9"/>
    <w:rsid w:val="00867C8C"/>
    <w:rsid w:val="00867FB0"/>
    <w:rsid w:val="0087008C"/>
    <w:rsid w:val="008700FC"/>
    <w:rsid w:val="0087015A"/>
    <w:rsid w:val="00870182"/>
    <w:rsid w:val="00870375"/>
    <w:rsid w:val="008703D5"/>
    <w:rsid w:val="008705B8"/>
    <w:rsid w:val="008706AD"/>
    <w:rsid w:val="00870871"/>
    <w:rsid w:val="00870979"/>
    <w:rsid w:val="008709A0"/>
    <w:rsid w:val="008709B7"/>
    <w:rsid w:val="00870C53"/>
    <w:rsid w:val="00870DD4"/>
    <w:rsid w:val="00870E7E"/>
    <w:rsid w:val="00871034"/>
    <w:rsid w:val="0087111A"/>
    <w:rsid w:val="0087118D"/>
    <w:rsid w:val="00871204"/>
    <w:rsid w:val="0087125F"/>
    <w:rsid w:val="008713FA"/>
    <w:rsid w:val="00871402"/>
    <w:rsid w:val="008714B9"/>
    <w:rsid w:val="00871507"/>
    <w:rsid w:val="00871585"/>
    <w:rsid w:val="008716A0"/>
    <w:rsid w:val="0087184A"/>
    <w:rsid w:val="0087197D"/>
    <w:rsid w:val="0087199B"/>
    <w:rsid w:val="008719B5"/>
    <w:rsid w:val="008719E5"/>
    <w:rsid w:val="00871A12"/>
    <w:rsid w:val="00871C40"/>
    <w:rsid w:val="00871D50"/>
    <w:rsid w:val="00871E56"/>
    <w:rsid w:val="00871E67"/>
    <w:rsid w:val="00871EFF"/>
    <w:rsid w:val="00872189"/>
    <w:rsid w:val="00872267"/>
    <w:rsid w:val="00872363"/>
    <w:rsid w:val="00872499"/>
    <w:rsid w:val="008724A7"/>
    <w:rsid w:val="008727F6"/>
    <w:rsid w:val="0087281D"/>
    <w:rsid w:val="00872914"/>
    <w:rsid w:val="008729E4"/>
    <w:rsid w:val="00872C57"/>
    <w:rsid w:val="00872C64"/>
    <w:rsid w:val="00872E7A"/>
    <w:rsid w:val="0087326A"/>
    <w:rsid w:val="00873279"/>
    <w:rsid w:val="0087329C"/>
    <w:rsid w:val="008732DF"/>
    <w:rsid w:val="00873345"/>
    <w:rsid w:val="00873517"/>
    <w:rsid w:val="008735FD"/>
    <w:rsid w:val="00873673"/>
    <w:rsid w:val="0087378B"/>
    <w:rsid w:val="00873851"/>
    <w:rsid w:val="0087386A"/>
    <w:rsid w:val="0087391C"/>
    <w:rsid w:val="00873961"/>
    <w:rsid w:val="00873B58"/>
    <w:rsid w:val="00873C10"/>
    <w:rsid w:val="00873D66"/>
    <w:rsid w:val="00873D7B"/>
    <w:rsid w:val="00873DF7"/>
    <w:rsid w:val="00873E82"/>
    <w:rsid w:val="00873EE6"/>
    <w:rsid w:val="00873FF6"/>
    <w:rsid w:val="0087433A"/>
    <w:rsid w:val="00874449"/>
    <w:rsid w:val="0087463C"/>
    <w:rsid w:val="008747B3"/>
    <w:rsid w:val="008747DA"/>
    <w:rsid w:val="00874893"/>
    <w:rsid w:val="00874937"/>
    <w:rsid w:val="00874AFC"/>
    <w:rsid w:val="00874B08"/>
    <w:rsid w:val="00874BC0"/>
    <w:rsid w:val="00874BF7"/>
    <w:rsid w:val="00874F0B"/>
    <w:rsid w:val="00874F37"/>
    <w:rsid w:val="008750A3"/>
    <w:rsid w:val="008751E0"/>
    <w:rsid w:val="00875745"/>
    <w:rsid w:val="0087581D"/>
    <w:rsid w:val="00875884"/>
    <w:rsid w:val="0087597E"/>
    <w:rsid w:val="008759F5"/>
    <w:rsid w:val="00875BAC"/>
    <w:rsid w:val="00875CF2"/>
    <w:rsid w:val="00875E9C"/>
    <w:rsid w:val="00875FCC"/>
    <w:rsid w:val="008760D9"/>
    <w:rsid w:val="0087613F"/>
    <w:rsid w:val="008762DB"/>
    <w:rsid w:val="008763DC"/>
    <w:rsid w:val="0087642C"/>
    <w:rsid w:val="0087687C"/>
    <w:rsid w:val="0087689D"/>
    <w:rsid w:val="008768AA"/>
    <w:rsid w:val="008768C0"/>
    <w:rsid w:val="00876919"/>
    <w:rsid w:val="008769F4"/>
    <w:rsid w:val="008769FC"/>
    <w:rsid w:val="00876A23"/>
    <w:rsid w:val="00876B2C"/>
    <w:rsid w:val="00876B7F"/>
    <w:rsid w:val="00876C11"/>
    <w:rsid w:val="00876D59"/>
    <w:rsid w:val="00876D6A"/>
    <w:rsid w:val="00876EC0"/>
    <w:rsid w:val="00876F3E"/>
    <w:rsid w:val="00877294"/>
    <w:rsid w:val="0087729E"/>
    <w:rsid w:val="0087738F"/>
    <w:rsid w:val="008775BE"/>
    <w:rsid w:val="00877755"/>
    <w:rsid w:val="00877835"/>
    <w:rsid w:val="00877AD5"/>
    <w:rsid w:val="00877B35"/>
    <w:rsid w:val="00877B72"/>
    <w:rsid w:val="00877B9E"/>
    <w:rsid w:val="00877E80"/>
    <w:rsid w:val="00877FE0"/>
    <w:rsid w:val="00880038"/>
    <w:rsid w:val="008800A1"/>
    <w:rsid w:val="00880218"/>
    <w:rsid w:val="00880223"/>
    <w:rsid w:val="008803E6"/>
    <w:rsid w:val="0088043E"/>
    <w:rsid w:val="0088048B"/>
    <w:rsid w:val="00880BF4"/>
    <w:rsid w:val="00880BF5"/>
    <w:rsid w:val="00880C8E"/>
    <w:rsid w:val="00880FB1"/>
    <w:rsid w:val="008810A1"/>
    <w:rsid w:val="00881246"/>
    <w:rsid w:val="008814BF"/>
    <w:rsid w:val="0088160E"/>
    <w:rsid w:val="00881696"/>
    <w:rsid w:val="008817D1"/>
    <w:rsid w:val="00881BBE"/>
    <w:rsid w:val="00881EBB"/>
    <w:rsid w:val="00882429"/>
    <w:rsid w:val="008824D7"/>
    <w:rsid w:val="00882540"/>
    <w:rsid w:val="00882558"/>
    <w:rsid w:val="00882664"/>
    <w:rsid w:val="00882854"/>
    <w:rsid w:val="0088289C"/>
    <w:rsid w:val="008829CC"/>
    <w:rsid w:val="00882B08"/>
    <w:rsid w:val="00882C4C"/>
    <w:rsid w:val="00882D4F"/>
    <w:rsid w:val="00882EA5"/>
    <w:rsid w:val="00882F67"/>
    <w:rsid w:val="008831E9"/>
    <w:rsid w:val="008831EB"/>
    <w:rsid w:val="008833A0"/>
    <w:rsid w:val="008833BB"/>
    <w:rsid w:val="00883444"/>
    <w:rsid w:val="00883475"/>
    <w:rsid w:val="00883611"/>
    <w:rsid w:val="00883648"/>
    <w:rsid w:val="00883673"/>
    <w:rsid w:val="008836A4"/>
    <w:rsid w:val="008836B0"/>
    <w:rsid w:val="00883A76"/>
    <w:rsid w:val="00883AF5"/>
    <w:rsid w:val="00883BF4"/>
    <w:rsid w:val="00883C8C"/>
    <w:rsid w:val="00883E44"/>
    <w:rsid w:val="00883ECD"/>
    <w:rsid w:val="00883EE5"/>
    <w:rsid w:val="0088403C"/>
    <w:rsid w:val="0088406D"/>
    <w:rsid w:val="008840BC"/>
    <w:rsid w:val="00884104"/>
    <w:rsid w:val="008845F5"/>
    <w:rsid w:val="008846C8"/>
    <w:rsid w:val="00884A9B"/>
    <w:rsid w:val="00884BAD"/>
    <w:rsid w:val="00884CAC"/>
    <w:rsid w:val="00884D35"/>
    <w:rsid w:val="0088502B"/>
    <w:rsid w:val="00885380"/>
    <w:rsid w:val="008853E8"/>
    <w:rsid w:val="00885414"/>
    <w:rsid w:val="00885439"/>
    <w:rsid w:val="008856EE"/>
    <w:rsid w:val="0088593E"/>
    <w:rsid w:val="00885BB9"/>
    <w:rsid w:val="00885E61"/>
    <w:rsid w:val="00885FE4"/>
    <w:rsid w:val="00886042"/>
    <w:rsid w:val="008862DA"/>
    <w:rsid w:val="008863B6"/>
    <w:rsid w:val="00886557"/>
    <w:rsid w:val="008865A0"/>
    <w:rsid w:val="008866DC"/>
    <w:rsid w:val="008866E6"/>
    <w:rsid w:val="00886703"/>
    <w:rsid w:val="00886779"/>
    <w:rsid w:val="0088677C"/>
    <w:rsid w:val="00886905"/>
    <w:rsid w:val="00886A50"/>
    <w:rsid w:val="00886C6A"/>
    <w:rsid w:val="00886CE6"/>
    <w:rsid w:val="00886D4B"/>
    <w:rsid w:val="00886D9A"/>
    <w:rsid w:val="00886F13"/>
    <w:rsid w:val="008870AE"/>
    <w:rsid w:val="00887127"/>
    <w:rsid w:val="0088732E"/>
    <w:rsid w:val="0088740A"/>
    <w:rsid w:val="008874BA"/>
    <w:rsid w:val="008874C5"/>
    <w:rsid w:val="008874DA"/>
    <w:rsid w:val="008874F6"/>
    <w:rsid w:val="00887626"/>
    <w:rsid w:val="00887695"/>
    <w:rsid w:val="008878F9"/>
    <w:rsid w:val="00887990"/>
    <w:rsid w:val="00887A7C"/>
    <w:rsid w:val="00887B08"/>
    <w:rsid w:val="00887DB4"/>
    <w:rsid w:val="00887DD8"/>
    <w:rsid w:val="008900D9"/>
    <w:rsid w:val="008901D1"/>
    <w:rsid w:val="0089066D"/>
    <w:rsid w:val="00890727"/>
    <w:rsid w:val="008908BE"/>
    <w:rsid w:val="00890A15"/>
    <w:rsid w:val="00890B3F"/>
    <w:rsid w:val="00890B76"/>
    <w:rsid w:val="0089102A"/>
    <w:rsid w:val="00891486"/>
    <w:rsid w:val="008914B2"/>
    <w:rsid w:val="008914FD"/>
    <w:rsid w:val="008915E1"/>
    <w:rsid w:val="008916C5"/>
    <w:rsid w:val="0089170F"/>
    <w:rsid w:val="008917DC"/>
    <w:rsid w:val="00891926"/>
    <w:rsid w:val="00891977"/>
    <w:rsid w:val="008919A1"/>
    <w:rsid w:val="00891B80"/>
    <w:rsid w:val="00891C44"/>
    <w:rsid w:val="00891C74"/>
    <w:rsid w:val="00891E15"/>
    <w:rsid w:val="008920E9"/>
    <w:rsid w:val="0089214F"/>
    <w:rsid w:val="00892199"/>
    <w:rsid w:val="00892535"/>
    <w:rsid w:val="00892598"/>
    <w:rsid w:val="008925E6"/>
    <w:rsid w:val="008926C9"/>
    <w:rsid w:val="00892766"/>
    <w:rsid w:val="00892B5B"/>
    <w:rsid w:val="00892D2C"/>
    <w:rsid w:val="00892DC2"/>
    <w:rsid w:val="00892DD5"/>
    <w:rsid w:val="00892E08"/>
    <w:rsid w:val="00892E09"/>
    <w:rsid w:val="00893115"/>
    <w:rsid w:val="008931A0"/>
    <w:rsid w:val="008934B8"/>
    <w:rsid w:val="00893614"/>
    <w:rsid w:val="00893626"/>
    <w:rsid w:val="008937A1"/>
    <w:rsid w:val="008937A5"/>
    <w:rsid w:val="008937D9"/>
    <w:rsid w:val="008938E2"/>
    <w:rsid w:val="0089394D"/>
    <w:rsid w:val="008939E4"/>
    <w:rsid w:val="00893B1E"/>
    <w:rsid w:val="00893CA4"/>
    <w:rsid w:val="00893CC7"/>
    <w:rsid w:val="00893ECF"/>
    <w:rsid w:val="00893F1F"/>
    <w:rsid w:val="00894081"/>
    <w:rsid w:val="008941B5"/>
    <w:rsid w:val="008941FA"/>
    <w:rsid w:val="008942D2"/>
    <w:rsid w:val="008945B3"/>
    <w:rsid w:val="008947C2"/>
    <w:rsid w:val="00894984"/>
    <w:rsid w:val="008949B4"/>
    <w:rsid w:val="00894ACA"/>
    <w:rsid w:val="00894BC5"/>
    <w:rsid w:val="00894C4F"/>
    <w:rsid w:val="008951B1"/>
    <w:rsid w:val="008951C3"/>
    <w:rsid w:val="00895262"/>
    <w:rsid w:val="00895266"/>
    <w:rsid w:val="00895298"/>
    <w:rsid w:val="008955E5"/>
    <w:rsid w:val="00895615"/>
    <w:rsid w:val="00895781"/>
    <w:rsid w:val="00895809"/>
    <w:rsid w:val="00895AC5"/>
    <w:rsid w:val="00895B49"/>
    <w:rsid w:val="00895B4A"/>
    <w:rsid w:val="00895BAA"/>
    <w:rsid w:val="00895DC3"/>
    <w:rsid w:val="00895E27"/>
    <w:rsid w:val="00895F3A"/>
    <w:rsid w:val="0089605F"/>
    <w:rsid w:val="008961E0"/>
    <w:rsid w:val="0089639E"/>
    <w:rsid w:val="00896617"/>
    <w:rsid w:val="008966A5"/>
    <w:rsid w:val="008966F6"/>
    <w:rsid w:val="0089673D"/>
    <w:rsid w:val="00896796"/>
    <w:rsid w:val="00896963"/>
    <w:rsid w:val="0089698D"/>
    <w:rsid w:val="008969D4"/>
    <w:rsid w:val="00896B47"/>
    <w:rsid w:val="00896BE6"/>
    <w:rsid w:val="00896CDE"/>
    <w:rsid w:val="00896D9A"/>
    <w:rsid w:val="00896DB5"/>
    <w:rsid w:val="00896E88"/>
    <w:rsid w:val="008970ED"/>
    <w:rsid w:val="0089711A"/>
    <w:rsid w:val="00897238"/>
    <w:rsid w:val="008973C9"/>
    <w:rsid w:val="00897444"/>
    <w:rsid w:val="008975B6"/>
    <w:rsid w:val="0089767D"/>
    <w:rsid w:val="00897793"/>
    <w:rsid w:val="00897A65"/>
    <w:rsid w:val="00897A93"/>
    <w:rsid w:val="00897B2F"/>
    <w:rsid w:val="00897CF8"/>
    <w:rsid w:val="00897E6E"/>
    <w:rsid w:val="00897EC0"/>
    <w:rsid w:val="008A0115"/>
    <w:rsid w:val="008A0118"/>
    <w:rsid w:val="008A0236"/>
    <w:rsid w:val="008A034E"/>
    <w:rsid w:val="008A03D8"/>
    <w:rsid w:val="008A0411"/>
    <w:rsid w:val="008A04C3"/>
    <w:rsid w:val="008A0530"/>
    <w:rsid w:val="008A0540"/>
    <w:rsid w:val="008A0596"/>
    <w:rsid w:val="008A05F4"/>
    <w:rsid w:val="008A0708"/>
    <w:rsid w:val="008A0733"/>
    <w:rsid w:val="008A073E"/>
    <w:rsid w:val="008A0923"/>
    <w:rsid w:val="008A09CC"/>
    <w:rsid w:val="008A0C03"/>
    <w:rsid w:val="008A0E6E"/>
    <w:rsid w:val="008A0EE3"/>
    <w:rsid w:val="008A0F96"/>
    <w:rsid w:val="008A1398"/>
    <w:rsid w:val="008A1446"/>
    <w:rsid w:val="008A15C5"/>
    <w:rsid w:val="008A16EB"/>
    <w:rsid w:val="008A1707"/>
    <w:rsid w:val="008A1833"/>
    <w:rsid w:val="008A1B4E"/>
    <w:rsid w:val="008A1BEE"/>
    <w:rsid w:val="008A1DA3"/>
    <w:rsid w:val="008A1DE8"/>
    <w:rsid w:val="008A1E4B"/>
    <w:rsid w:val="008A1EEE"/>
    <w:rsid w:val="008A23E2"/>
    <w:rsid w:val="008A2605"/>
    <w:rsid w:val="008A2756"/>
    <w:rsid w:val="008A28BD"/>
    <w:rsid w:val="008A28DA"/>
    <w:rsid w:val="008A2908"/>
    <w:rsid w:val="008A2ACB"/>
    <w:rsid w:val="008A2AE5"/>
    <w:rsid w:val="008A2C13"/>
    <w:rsid w:val="008A2E9E"/>
    <w:rsid w:val="008A2EDC"/>
    <w:rsid w:val="008A2F34"/>
    <w:rsid w:val="008A2FAB"/>
    <w:rsid w:val="008A2FD2"/>
    <w:rsid w:val="008A311F"/>
    <w:rsid w:val="008A3181"/>
    <w:rsid w:val="008A319C"/>
    <w:rsid w:val="008A332C"/>
    <w:rsid w:val="008A3385"/>
    <w:rsid w:val="008A3540"/>
    <w:rsid w:val="008A37A3"/>
    <w:rsid w:val="008A38D7"/>
    <w:rsid w:val="008A39D9"/>
    <w:rsid w:val="008A3A7D"/>
    <w:rsid w:val="008A3D0B"/>
    <w:rsid w:val="008A3DD5"/>
    <w:rsid w:val="008A3EFA"/>
    <w:rsid w:val="008A3FFC"/>
    <w:rsid w:val="008A413F"/>
    <w:rsid w:val="008A4279"/>
    <w:rsid w:val="008A46A8"/>
    <w:rsid w:val="008A47E6"/>
    <w:rsid w:val="008A4A33"/>
    <w:rsid w:val="008A4A54"/>
    <w:rsid w:val="008A4A85"/>
    <w:rsid w:val="008A4D2C"/>
    <w:rsid w:val="008A4ECA"/>
    <w:rsid w:val="008A529C"/>
    <w:rsid w:val="008A52CD"/>
    <w:rsid w:val="008A5306"/>
    <w:rsid w:val="008A5310"/>
    <w:rsid w:val="008A53A4"/>
    <w:rsid w:val="008A5555"/>
    <w:rsid w:val="008A56AA"/>
    <w:rsid w:val="008A5AFE"/>
    <w:rsid w:val="008A5BBB"/>
    <w:rsid w:val="008A5D1C"/>
    <w:rsid w:val="008A5DA4"/>
    <w:rsid w:val="008A5F59"/>
    <w:rsid w:val="008A5FAD"/>
    <w:rsid w:val="008A60D5"/>
    <w:rsid w:val="008A6142"/>
    <w:rsid w:val="008A6182"/>
    <w:rsid w:val="008A6447"/>
    <w:rsid w:val="008A66E9"/>
    <w:rsid w:val="008A6779"/>
    <w:rsid w:val="008A67C8"/>
    <w:rsid w:val="008A68A8"/>
    <w:rsid w:val="008A691A"/>
    <w:rsid w:val="008A69B7"/>
    <w:rsid w:val="008A6A0E"/>
    <w:rsid w:val="008A6AC1"/>
    <w:rsid w:val="008A6C66"/>
    <w:rsid w:val="008A7011"/>
    <w:rsid w:val="008A7126"/>
    <w:rsid w:val="008A714F"/>
    <w:rsid w:val="008A722D"/>
    <w:rsid w:val="008A7279"/>
    <w:rsid w:val="008A743A"/>
    <w:rsid w:val="008A752A"/>
    <w:rsid w:val="008A755C"/>
    <w:rsid w:val="008A7578"/>
    <w:rsid w:val="008A7738"/>
    <w:rsid w:val="008A77A2"/>
    <w:rsid w:val="008A7844"/>
    <w:rsid w:val="008A79D7"/>
    <w:rsid w:val="008A7AB9"/>
    <w:rsid w:val="008B0006"/>
    <w:rsid w:val="008B0071"/>
    <w:rsid w:val="008B0199"/>
    <w:rsid w:val="008B02A4"/>
    <w:rsid w:val="008B0396"/>
    <w:rsid w:val="008B03C0"/>
    <w:rsid w:val="008B06B7"/>
    <w:rsid w:val="008B0855"/>
    <w:rsid w:val="008B0DC5"/>
    <w:rsid w:val="008B0DD1"/>
    <w:rsid w:val="008B1105"/>
    <w:rsid w:val="008B1107"/>
    <w:rsid w:val="008B12EF"/>
    <w:rsid w:val="008B132C"/>
    <w:rsid w:val="008B1500"/>
    <w:rsid w:val="008B1557"/>
    <w:rsid w:val="008B1650"/>
    <w:rsid w:val="008B16AD"/>
    <w:rsid w:val="008B1846"/>
    <w:rsid w:val="008B1B9C"/>
    <w:rsid w:val="008B1BC3"/>
    <w:rsid w:val="008B1BF3"/>
    <w:rsid w:val="008B1D94"/>
    <w:rsid w:val="008B1E13"/>
    <w:rsid w:val="008B2093"/>
    <w:rsid w:val="008B2592"/>
    <w:rsid w:val="008B2624"/>
    <w:rsid w:val="008B2726"/>
    <w:rsid w:val="008B286D"/>
    <w:rsid w:val="008B2C1E"/>
    <w:rsid w:val="008B2D48"/>
    <w:rsid w:val="008B2D4A"/>
    <w:rsid w:val="008B2F68"/>
    <w:rsid w:val="008B3122"/>
    <w:rsid w:val="008B3369"/>
    <w:rsid w:val="008B3804"/>
    <w:rsid w:val="008B3878"/>
    <w:rsid w:val="008B38F1"/>
    <w:rsid w:val="008B3BCF"/>
    <w:rsid w:val="008B3C8B"/>
    <w:rsid w:val="008B3D61"/>
    <w:rsid w:val="008B3F39"/>
    <w:rsid w:val="008B4583"/>
    <w:rsid w:val="008B4756"/>
    <w:rsid w:val="008B47B8"/>
    <w:rsid w:val="008B492D"/>
    <w:rsid w:val="008B4986"/>
    <w:rsid w:val="008B49AD"/>
    <w:rsid w:val="008B4B12"/>
    <w:rsid w:val="008B4B5E"/>
    <w:rsid w:val="008B4BC6"/>
    <w:rsid w:val="008B4C3D"/>
    <w:rsid w:val="008B4C8D"/>
    <w:rsid w:val="008B4DB4"/>
    <w:rsid w:val="008B4DDA"/>
    <w:rsid w:val="008B4EA1"/>
    <w:rsid w:val="008B4F73"/>
    <w:rsid w:val="008B5092"/>
    <w:rsid w:val="008B514C"/>
    <w:rsid w:val="008B5190"/>
    <w:rsid w:val="008B52EE"/>
    <w:rsid w:val="008B5954"/>
    <w:rsid w:val="008B5B53"/>
    <w:rsid w:val="008B5D85"/>
    <w:rsid w:val="008B5E75"/>
    <w:rsid w:val="008B5FD0"/>
    <w:rsid w:val="008B6107"/>
    <w:rsid w:val="008B6254"/>
    <w:rsid w:val="008B6286"/>
    <w:rsid w:val="008B6325"/>
    <w:rsid w:val="008B643A"/>
    <w:rsid w:val="008B6536"/>
    <w:rsid w:val="008B664E"/>
    <w:rsid w:val="008B6771"/>
    <w:rsid w:val="008B6CAB"/>
    <w:rsid w:val="008B6D0F"/>
    <w:rsid w:val="008B6D81"/>
    <w:rsid w:val="008B6DC2"/>
    <w:rsid w:val="008B70E5"/>
    <w:rsid w:val="008B750D"/>
    <w:rsid w:val="008B7635"/>
    <w:rsid w:val="008B76DB"/>
    <w:rsid w:val="008B7742"/>
    <w:rsid w:val="008B7874"/>
    <w:rsid w:val="008B78F8"/>
    <w:rsid w:val="008B7B61"/>
    <w:rsid w:val="008B7B6B"/>
    <w:rsid w:val="008B7CE7"/>
    <w:rsid w:val="008B7D23"/>
    <w:rsid w:val="008C0077"/>
    <w:rsid w:val="008C0083"/>
    <w:rsid w:val="008C00B3"/>
    <w:rsid w:val="008C01BF"/>
    <w:rsid w:val="008C0276"/>
    <w:rsid w:val="008C03A2"/>
    <w:rsid w:val="008C0464"/>
    <w:rsid w:val="008C04E0"/>
    <w:rsid w:val="008C05C0"/>
    <w:rsid w:val="008C0635"/>
    <w:rsid w:val="008C0665"/>
    <w:rsid w:val="008C0672"/>
    <w:rsid w:val="008C07DF"/>
    <w:rsid w:val="008C09FA"/>
    <w:rsid w:val="008C0A7D"/>
    <w:rsid w:val="008C0AC8"/>
    <w:rsid w:val="008C0B22"/>
    <w:rsid w:val="008C0C7C"/>
    <w:rsid w:val="008C0D39"/>
    <w:rsid w:val="008C1098"/>
    <w:rsid w:val="008C110D"/>
    <w:rsid w:val="008C1218"/>
    <w:rsid w:val="008C14F9"/>
    <w:rsid w:val="008C1611"/>
    <w:rsid w:val="008C1676"/>
    <w:rsid w:val="008C167B"/>
    <w:rsid w:val="008C1757"/>
    <w:rsid w:val="008C17D7"/>
    <w:rsid w:val="008C17DD"/>
    <w:rsid w:val="008C18CF"/>
    <w:rsid w:val="008C1A87"/>
    <w:rsid w:val="008C1AC4"/>
    <w:rsid w:val="008C1B72"/>
    <w:rsid w:val="008C1C3A"/>
    <w:rsid w:val="008C1C4A"/>
    <w:rsid w:val="008C1FCF"/>
    <w:rsid w:val="008C2300"/>
    <w:rsid w:val="008C264B"/>
    <w:rsid w:val="008C26BE"/>
    <w:rsid w:val="008C27AF"/>
    <w:rsid w:val="008C2B6A"/>
    <w:rsid w:val="008C2CFD"/>
    <w:rsid w:val="008C2E8A"/>
    <w:rsid w:val="008C2F9C"/>
    <w:rsid w:val="008C307E"/>
    <w:rsid w:val="008C3428"/>
    <w:rsid w:val="008C34E7"/>
    <w:rsid w:val="008C3596"/>
    <w:rsid w:val="008C3630"/>
    <w:rsid w:val="008C3769"/>
    <w:rsid w:val="008C3782"/>
    <w:rsid w:val="008C3AFC"/>
    <w:rsid w:val="008C3B06"/>
    <w:rsid w:val="008C3CB2"/>
    <w:rsid w:val="008C3FA7"/>
    <w:rsid w:val="008C40B2"/>
    <w:rsid w:val="008C4294"/>
    <w:rsid w:val="008C43D7"/>
    <w:rsid w:val="008C4434"/>
    <w:rsid w:val="008C4795"/>
    <w:rsid w:val="008C47A2"/>
    <w:rsid w:val="008C49BF"/>
    <w:rsid w:val="008C4A11"/>
    <w:rsid w:val="008C4B29"/>
    <w:rsid w:val="008C4B48"/>
    <w:rsid w:val="008C4BB8"/>
    <w:rsid w:val="008C4C00"/>
    <w:rsid w:val="008C4CCC"/>
    <w:rsid w:val="008C4D17"/>
    <w:rsid w:val="008C4E50"/>
    <w:rsid w:val="008C4EDA"/>
    <w:rsid w:val="008C4FFD"/>
    <w:rsid w:val="008C5009"/>
    <w:rsid w:val="008C50A3"/>
    <w:rsid w:val="008C50C4"/>
    <w:rsid w:val="008C510C"/>
    <w:rsid w:val="008C513B"/>
    <w:rsid w:val="008C51D4"/>
    <w:rsid w:val="008C5375"/>
    <w:rsid w:val="008C53A8"/>
    <w:rsid w:val="008C554C"/>
    <w:rsid w:val="008C5635"/>
    <w:rsid w:val="008C56B9"/>
    <w:rsid w:val="008C56CE"/>
    <w:rsid w:val="008C57D7"/>
    <w:rsid w:val="008C5ADB"/>
    <w:rsid w:val="008C5AF6"/>
    <w:rsid w:val="008C5B04"/>
    <w:rsid w:val="008C5CFB"/>
    <w:rsid w:val="008C5DB3"/>
    <w:rsid w:val="008C5EA3"/>
    <w:rsid w:val="008C60B1"/>
    <w:rsid w:val="008C60C6"/>
    <w:rsid w:val="008C60EA"/>
    <w:rsid w:val="008C61CE"/>
    <w:rsid w:val="008C61D8"/>
    <w:rsid w:val="008C6363"/>
    <w:rsid w:val="008C637A"/>
    <w:rsid w:val="008C63E9"/>
    <w:rsid w:val="008C646B"/>
    <w:rsid w:val="008C650D"/>
    <w:rsid w:val="008C6525"/>
    <w:rsid w:val="008C65C2"/>
    <w:rsid w:val="008C65DA"/>
    <w:rsid w:val="008C665A"/>
    <w:rsid w:val="008C6892"/>
    <w:rsid w:val="008C6923"/>
    <w:rsid w:val="008C695F"/>
    <w:rsid w:val="008C6B8B"/>
    <w:rsid w:val="008C6BD0"/>
    <w:rsid w:val="008C6C18"/>
    <w:rsid w:val="008C6C62"/>
    <w:rsid w:val="008C6C67"/>
    <w:rsid w:val="008C6D8E"/>
    <w:rsid w:val="008C6D99"/>
    <w:rsid w:val="008C6DFC"/>
    <w:rsid w:val="008C6E94"/>
    <w:rsid w:val="008C6FBD"/>
    <w:rsid w:val="008C70B7"/>
    <w:rsid w:val="008C70EF"/>
    <w:rsid w:val="008C716D"/>
    <w:rsid w:val="008C7185"/>
    <w:rsid w:val="008C721C"/>
    <w:rsid w:val="008C73F7"/>
    <w:rsid w:val="008C761D"/>
    <w:rsid w:val="008C7826"/>
    <w:rsid w:val="008C7866"/>
    <w:rsid w:val="008C7A18"/>
    <w:rsid w:val="008C7A5F"/>
    <w:rsid w:val="008C7B21"/>
    <w:rsid w:val="008C7BA6"/>
    <w:rsid w:val="008C7BFF"/>
    <w:rsid w:val="008C7C1A"/>
    <w:rsid w:val="008C7F38"/>
    <w:rsid w:val="008C7F60"/>
    <w:rsid w:val="008D0019"/>
    <w:rsid w:val="008D0059"/>
    <w:rsid w:val="008D007C"/>
    <w:rsid w:val="008D00CC"/>
    <w:rsid w:val="008D00D7"/>
    <w:rsid w:val="008D01C5"/>
    <w:rsid w:val="008D02A7"/>
    <w:rsid w:val="008D041A"/>
    <w:rsid w:val="008D04BD"/>
    <w:rsid w:val="008D0678"/>
    <w:rsid w:val="008D0684"/>
    <w:rsid w:val="008D08B0"/>
    <w:rsid w:val="008D0B32"/>
    <w:rsid w:val="008D0B37"/>
    <w:rsid w:val="008D0CFE"/>
    <w:rsid w:val="008D0D74"/>
    <w:rsid w:val="008D0E01"/>
    <w:rsid w:val="008D0E06"/>
    <w:rsid w:val="008D0EBE"/>
    <w:rsid w:val="008D0FDA"/>
    <w:rsid w:val="008D108D"/>
    <w:rsid w:val="008D1100"/>
    <w:rsid w:val="008D133D"/>
    <w:rsid w:val="008D1608"/>
    <w:rsid w:val="008D162D"/>
    <w:rsid w:val="008D165C"/>
    <w:rsid w:val="008D1900"/>
    <w:rsid w:val="008D1A99"/>
    <w:rsid w:val="008D1B7C"/>
    <w:rsid w:val="008D1BAD"/>
    <w:rsid w:val="008D1C3B"/>
    <w:rsid w:val="008D1C41"/>
    <w:rsid w:val="008D1D78"/>
    <w:rsid w:val="008D1DAC"/>
    <w:rsid w:val="008D1E26"/>
    <w:rsid w:val="008D1E90"/>
    <w:rsid w:val="008D1EA0"/>
    <w:rsid w:val="008D1F07"/>
    <w:rsid w:val="008D1F0B"/>
    <w:rsid w:val="008D2050"/>
    <w:rsid w:val="008D20B3"/>
    <w:rsid w:val="008D2180"/>
    <w:rsid w:val="008D2265"/>
    <w:rsid w:val="008D2304"/>
    <w:rsid w:val="008D23C6"/>
    <w:rsid w:val="008D23DF"/>
    <w:rsid w:val="008D249F"/>
    <w:rsid w:val="008D25C9"/>
    <w:rsid w:val="008D2688"/>
    <w:rsid w:val="008D2738"/>
    <w:rsid w:val="008D27DC"/>
    <w:rsid w:val="008D27FF"/>
    <w:rsid w:val="008D28D8"/>
    <w:rsid w:val="008D29A7"/>
    <w:rsid w:val="008D2B44"/>
    <w:rsid w:val="008D2C27"/>
    <w:rsid w:val="008D2D36"/>
    <w:rsid w:val="008D2EBD"/>
    <w:rsid w:val="008D2F76"/>
    <w:rsid w:val="008D33E9"/>
    <w:rsid w:val="008D3486"/>
    <w:rsid w:val="008D348C"/>
    <w:rsid w:val="008D35D9"/>
    <w:rsid w:val="008D3645"/>
    <w:rsid w:val="008D3711"/>
    <w:rsid w:val="008D3731"/>
    <w:rsid w:val="008D375F"/>
    <w:rsid w:val="008D37D7"/>
    <w:rsid w:val="008D38BB"/>
    <w:rsid w:val="008D3937"/>
    <w:rsid w:val="008D39D2"/>
    <w:rsid w:val="008D3A87"/>
    <w:rsid w:val="008D3AE8"/>
    <w:rsid w:val="008D3BA0"/>
    <w:rsid w:val="008D3BF5"/>
    <w:rsid w:val="008D3DA7"/>
    <w:rsid w:val="008D3DA9"/>
    <w:rsid w:val="008D3F7C"/>
    <w:rsid w:val="008D3F9C"/>
    <w:rsid w:val="008D3FD2"/>
    <w:rsid w:val="008D4418"/>
    <w:rsid w:val="008D4473"/>
    <w:rsid w:val="008D4686"/>
    <w:rsid w:val="008D4723"/>
    <w:rsid w:val="008D48FB"/>
    <w:rsid w:val="008D496E"/>
    <w:rsid w:val="008D4A40"/>
    <w:rsid w:val="008D4A79"/>
    <w:rsid w:val="008D4BAB"/>
    <w:rsid w:val="008D4C00"/>
    <w:rsid w:val="008D4D09"/>
    <w:rsid w:val="008D4D38"/>
    <w:rsid w:val="008D4D3A"/>
    <w:rsid w:val="008D5083"/>
    <w:rsid w:val="008D514B"/>
    <w:rsid w:val="008D51D6"/>
    <w:rsid w:val="008D5265"/>
    <w:rsid w:val="008D532D"/>
    <w:rsid w:val="008D5363"/>
    <w:rsid w:val="008D5477"/>
    <w:rsid w:val="008D55D6"/>
    <w:rsid w:val="008D55EE"/>
    <w:rsid w:val="008D5699"/>
    <w:rsid w:val="008D571C"/>
    <w:rsid w:val="008D571D"/>
    <w:rsid w:val="008D57CF"/>
    <w:rsid w:val="008D5807"/>
    <w:rsid w:val="008D59DE"/>
    <w:rsid w:val="008D5A5D"/>
    <w:rsid w:val="008D5B8B"/>
    <w:rsid w:val="008D5C6E"/>
    <w:rsid w:val="008D5D31"/>
    <w:rsid w:val="008D5EF1"/>
    <w:rsid w:val="008D6132"/>
    <w:rsid w:val="008D6133"/>
    <w:rsid w:val="008D619C"/>
    <w:rsid w:val="008D6304"/>
    <w:rsid w:val="008D63CB"/>
    <w:rsid w:val="008D63DF"/>
    <w:rsid w:val="008D6458"/>
    <w:rsid w:val="008D647C"/>
    <w:rsid w:val="008D656A"/>
    <w:rsid w:val="008D65E4"/>
    <w:rsid w:val="008D6618"/>
    <w:rsid w:val="008D68E7"/>
    <w:rsid w:val="008D68F1"/>
    <w:rsid w:val="008D6906"/>
    <w:rsid w:val="008D6AC3"/>
    <w:rsid w:val="008D6DDD"/>
    <w:rsid w:val="008D6E77"/>
    <w:rsid w:val="008D6E78"/>
    <w:rsid w:val="008D6ED6"/>
    <w:rsid w:val="008D6F03"/>
    <w:rsid w:val="008D6F2B"/>
    <w:rsid w:val="008D727B"/>
    <w:rsid w:val="008D73C3"/>
    <w:rsid w:val="008D7545"/>
    <w:rsid w:val="008D7575"/>
    <w:rsid w:val="008D75F7"/>
    <w:rsid w:val="008D769B"/>
    <w:rsid w:val="008D76D9"/>
    <w:rsid w:val="008D78A0"/>
    <w:rsid w:val="008D7928"/>
    <w:rsid w:val="008D7987"/>
    <w:rsid w:val="008D7A72"/>
    <w:rsid w:val="008D7BC3"/>
    <w:rsid w:val="008D7C49"/>
    <w:rsid w:val="008D7D97"/>
    <w:rsid w:val="008D7F47"/>
    <w:rsid w:val="008E001A"/>
    <w:rsid w:val="008E00E7"/>
    <w:rsid w:val="008E01C5"/>
    <w:rsid w:val="008E0485"/>
    <w:rsid w:val="008E05BB"/>
    <w:rsid w:val="008E05DE"/>
    <w:rsid w:val="008E07CC"/>
    <w:rsid w:val="008E08B3"/>
    <w:rsid w:val="008E08DE"/>
    <w:rsid w:val="008E0AA3"/>
    <w:rsid w:val="008E1581"/>
    <w:rsid w:val="008E15AE"/>
    <w:rsid w:val="008E1602"/>
    <w:rsid w:val="008E1734"/>
    <w:rsid w:val="008E182B"/>
    <w:rsid w:val="008E185E"/>
    <w:rsid w:val="008E1966"/>
    <w:rsid w:val="008E19A9"/>
    <w:rsid w:val="008E1BB1"/>
    <w:rsid w:val="008E1C30"/>
    <w:rsid w:val="008E1CAD"/>
    <w:rsid w:val="008E1E4D"/>
    <w:rsid w:val="008E1EDC"/>
    <w:rsid w:val="008E1FF0"/>
    <w:rsid w:val="008E225E"/>
    <w:rsid w:val="008E22CC"/>
    <w:rsid w:val="008E2404"/>
    <w:rsid w:val="008E2453"/>
    <w:rsid w:val="008E24AA"/>
    <w:rsid w:val="008E2518"/>
    <w:rsid w:val="008E27C3"/>
    <w:rsid w:val="008E29BD"/>
    <w:rsid w:val="008E2A74"/>
    <w:rsid w:val="008E2AFD"/>
    <w:rsid w:val="008E2B9E"/>
    <w:rsid w:val="008E2BF6"/>
    <w:rsid w:val="008E2C57"/>
    <w:rsid w:val="008E2CDD"/>
    <w:rsid w:val="008E2D47"/>
    <w:rsid w:val="008E2F3F"/>
    <w:rsid w:val="008E2FFA"/>
    <w:rsid w:val="008E3027"/>
    <w:rsid w:val="008E30BA"/>
    <w:rsid w:val="008E3387"/>
    <w:rsid w:val="008E35FC"/>
    <w:rsid w:val="008E3604"/>
    <w:rsid w:val="008E3687"/>
    <w:rsid w:val="008E36CA"/>
    <w:rsid w:val="008E370D"/>
    <w:rsid w:val="008E37B0"/>
    <w:rsid w:val="008E38E4"/>
    <w:rsid w:val="008E3B08"/>
    <w:rsid w:val="008E3B71"/>
    <w:rsid w:val="008E3D9F"/>
    <w:rsid w:val="008E3DB8"/>
    <w:rsid w:val="008E3F41"/>
    <w:rsid w:val="008E42F9"/>
    <w:rsid w:val="008E4351"/>
    <w:rsid w:val="008E4578"/>
    <w:rsid w:val="008E45E9"/>
    <w:rsid w:val="008E486A"/>
    <w:rsid w:val="008E49C9"/>
    <w:rsid w:val="008E4BC4"/>
    <w:rsid w:val="008E4BD8"/>
    <w:rsid w:val="008E4D15"/>
    <w:rsid w:val="008E4F34"/>
    <w:rsid w:val="008E5088"/>
    <w:rsid w:val="008E5340"/>
    <w:rsid w:val="008E5573"/>
    <w:rsid w:val="008E55E7"/>
    <w:rsid w:val="008E56A0"/>
    <w:rsid w:val="008E5762"/>
    <w:rsid w:val="008E5855"/>
    <w:rsid w:val="008E5931"/>
    <w:rsid w:val="008E5AEA"/>
    <w:rsid w:val="008E5BC5"/>
    <w:rsid w:val="008E5D65"/>
    <w:rsid w:val="008E5D7E"/>
    <w:rsid w:val="008E5F50"/>
    <w:rsid w:val="008E6008"/>
    <w:rsid w:val="008E61FA"/>
    <w:rsid w:val="008E63FD"/>
    <w:rsid w:val="008E6411"/>
    <w:rsid w:val="008E646D"/>
    <w:rsid w:val="008E65A8"/>
    <w:rsid w:val="008E6720"/>
    <w:rsid w:val="008E68B9"/>
    <w:rsid w:val="008E6C8C"/>
    <w:rsid w:val="008E6CBB"/>
    <w:rsid w:val="008E6D2E"/>
    <w:rsid w:val="008E6D5E"/>
    <w:rsid w:val="008E6DE4"/>
    <w:rsid w:val="008E6E07"/>
    <w:rsid w:val="008E6E3A"/>
    <w:rsid w:val="008E6E40"/>
    <w:rsid w:val="008E6EC2"/>
    <w:rsid w:val="008E7054"/>
    <w:rsid w:val="008E712C"/>
    <w:rsid w:val="008E7283"/>
    <w:rsid w:val="008E7286"/>
    <w:rsid w:val="008E72EB"/>
    <w:rsid w:val="008E73A3"/>
    <w:rsid w:val="008E7417"/>
    <w:rsid w:val="008E7444"/>
    <w:rsid w:val="008E7506"/>
    <w:rsid w:val="008E7523"/>
    <w:rsid w:val="008E7541"/>
    <w:rsid w:val="008E7564"/>
    <w:rsid w:val="008E75DE"/>
    <w:rsid w:val="008E762B"/>
    <w:rsid w:val="008E766F"/>
    <w:rsid w:val="008E77AB"/>
    <w:rsid w:val="008E7849"/>
    <w:rsid w:val="008E787F"/>
    <w:rsid w:val="008E795D"/>
    <w:rsid w:val="008E7A13"/>
    <w:rsid w:val="008E7AD7"/>
    <w:rsid w:val="008E7B59"/>
    <w:rsid w:val="008E7D7C"/>
    <w:rsid w:val="008E7DF8"/>
    <w:rsid w:val="008E7DFC"/>
    <w:rsid w:val="008E7EC0"/>
    <w:rsid w:val="008E7F13"/>
    <w:rsid w:val="008E7FA0"/>
    <w:rsid w:val="008E7FD9"/>
    <w:rsid w:val="008F0116"/>
    <w:rsid w:val="008F032E"/>
    <w:rsid w:val="008F033A"/>
    <w:rsid w:val="008F045D"/>
    <w:rsid w:val="008F0619"/>
    <w:rsid w:val="008F08A8"/>
    <w:rsid w:val="008F08D9"/>
    <w:rsid w:val="008F0A81"/>
    <w:rsid w:val="008F0C50"/>
    <w:rsid w:val="008F0D25"/>
    <w:rsid w:val="008F0DB0"/>
    <w:rsid w:val="008F0EE7"/>
    <w:rsid w:val="008F0FFF"/>
    <w:rsid w:val="008F1087"/>
    <w:rsid w:val="008F10CA"/>
    <w:rsid w:val="008F1452"/>
    <w:rsid w:val="008F152C"/>
    <w:rsid w:val="008F1599"/>
    <w:rsid w:val="008F15FA"/>
    <w:rsid w:val="008F172D"/>
    <w:rsid w:val="008F176E"/>
    <w:rsid w:val="008F1B24"/>
    <w:rsid w:val="008F1B2A"/>
    <w:rsid w:val="008F1C7F"/>
    <w:rsid w:val="008F1DCC"/>
    <w:rsid w:val="008F1E5D"/>
    <w:rsid w:val="008F1E79"/>
    <w:rsid w:val="008F2019"/>
    <w:rsid w:val="008F21D5"/>
    <w:rsid w:val="008F2252"/>
    <w:rsid w:val="008F229F"/>
    <w:rsid w:val="008F2583"/>
    <w:rsid w:val="008F25E6"/>
    <w:rsid w:val="008F2675"/>
    <w:rsid w:val="008F2736"/>
    <w:rsid w:val="008F28B0"/>
    <w:rsid w:val="008F28D2"/>
    <w:rsid w:val="008F2960"/>
    <w:rsid w:val="008F2AB0"/>
    <w:rsid w:val="008F2B67"/>
    <w:rsid w:val="008F2BD2"/>
    <w:rsid w:val="008F2C51"/>
    <w:rsid w:val="008F2CAF"/>
    <w:rsid w:val="008F2CD9"/>
    <w:rsid w:val="008F2D5A"/>
    <w:rsid w:val="008F2D9E"/>
    <w:rsid w:val="008F2F95"/>
    <w:rsid w:val="008F2FB6"/>
    <w:rsid w:val="008F3095"/>
    <w:rsid w:val="008F3152"/>
    <w:rsid w:val="008F31CF"/>
    <w:rsid w:val="008F324A"/>
    <w:rsid w:val="008F3356"/>
    <w:rsid w:val="008F36D1"/>
    <w:rsid w:val="008F3876"/>
    <w:rsid w:val="008F38EC"/>
    <w:rsid w:val="008F395B"/>
    <w:rsid w:val="008F3B71"/>
    <w:rsid w:val="008F3B79"/>
    <w:rsid w:val="008F3C35"/>
    <w:rsid w:val="008F3EBA"/>
    <w:rsid w:val="008F3FF7"/>
    <w:rsid w:val="008F429F"/>
    <w:rsid w:val="008F42B5"/>
    <w:rsid w:val="008F4342"/>
    <w:rsid w:val="008F43F8"/>
    <w:rsid w:val="008F456F"/>
    <w:rsid w:val="008F457A"/>
    <w:rsid w:val="008F45D6"/>
    <w:rsid w:val="008F4695"/>
    <w:rsid w:val="008F46F5"/>
    <w:rsid w:val="008F4736"/>
    <w:rsid w:val="008F49E5"/>
    <w:rsid w:val="008F4AC5"/>
    <w:rsid w:val="008F4AE6"/>
    <w:rsid w:val="008F4B61"/>
    <w:rsid w:val="008F5044"/>
    <w:rsid w:val="008F511A"/>
    <w:rsid w:val="008F5373"/>
    <w:rsid w:val="008F54E3"/>
    <w:rsid w:val="008F55B4"/>
    <w:rsid w:val="008F560C"/>
    <w:rsid w:val="008F566E"/>
    <w:rsid w:val="008F56C3"/>
    <w:rsid w:val="008F5963"/>
    <w:rsid w:val="008F59B8"/>
    <w:rsid w:val="008F59F3"/>
    <w:rsid w:val="008F5CC7"/>
    <w:rsid w:val="008F5CD4"/>
    <w:rsid w:val="008F5EE7"/>
    <w:rsid w:val="008F5F00"/>
    <w:rsid w:val="008F60B5"/>
    <w:rsid w:val="008F6133"/>
    <w:rsid w:val="008F6712"/>
    <w:rsid w:val="008F68BD"/>
    <w:rsid w:val="008F696B"/>
    <w:rsid w:val="008F6A30"/>
    <w:rsid w:val="008F6A4C"/>
    <w:rsid w:val="008F6A97"/>
    <w:rsid w:val="008F6C47"/>
    <w:rsid w:val="008F6DDA"/>
    <w:rsid w:val="008F70C5"/>
    <w:rsid w:val="008F70CA"/>
    <w:rsid w:val="008F73F2"/>
    <w:rsid w:val="008F7415"/>
    <w:rsid w:val="008F76DA"/>
    <w:rsid w:val="008F775D"/>
    <w:rsid w:val="008F7867"/>
    <w:rsid w:val="008F7900"/>
    <w:rsid w:val="008F7A09"/>
    <w:rsid w:val="008F7A1D"/>
    <w:rsid w:val="008F7AB3"/>
    <w:rsid w:val="008F7AE5"/>
    <w:rsid w:val="008F7E27"/>
    <w:rsid w:val="008F7EDF"/>
    <w:rsid w:val="008F7EE2"/>
    <w:rsid w:val="0090028E"/>
    <w:rsid w:val="009002FB"/>
    <w:rsid w:val="009003CD"/>
    <w:rsid w:val="0090040C"/>
    <w:rsid w:val="009005AF"/>
    <w:rsid w:val="00900AC6"/>
    <w:rsid w:val="00900B6E"/>
    <w:rsid w:val="00900FCF"/>
    <w:rsid w:val="009010C9"/>
    <w:rsid w:val="009011F5"/>
    <w:rsid w:val="00901270"/>
    <w:rsid w:val="00901385"/>
    <w:rsid w:val="00901444"/>
    <w:rsid w:val="009014F5"/>
    <w:rsid w:val="00901635"/>
    <w:rsid w:val="009016BC"/>
    <w:rsid w:val="00901721"/>
    <w:rsid w:val="0090199F"/>
    <w:rsid w:val="00901A28"/>
    <w:rsid w:val="00901DB3"/>
    <w:rsid w:val="0090205A"/>
    <w:rsid w:val="009020A7"/>
    <w:rsid w:val="00902109"/>
    <w:rsid w:val="009021A1"/>
    <w:rsid w:val="0090232B"/>
    <w:rsid w:val="009023A4"/>
    <w:rsid w:val="00902499"/>
    <w:rsid w:val="009025D4"/>
    <w:rsid w:val="009025DE"/>
    <w:rsid w:val="00902834"/>
    <w:rsid w:val="00902912"/>
    <w:rsid w:val="009029F3"/>
    <w:rsid w:val="00902BB9"/>
    <w:rsid w:val="009030D8"/>
    <w:rsid w:val="0090322B"/>
    <w:rsid w:val="0090328D"/>
    <w:rsid w:val="00903523"/>
    <w:rsid w:val="009035AB"/>
    <w:rsid w:val="00903602"/>
    <w:rsid w:val="00903628"/>
    <w:rsid w:val="00903751"/>
    <w:rsid w:val="00903777"/>
    <w:rsid w:val="00903A04"/>
    <w:rsid w:val="00903B58"/>
    <w:rsid w:val="00903CAB"/>
    <w:rsid w:val="00903E48"/>
    <w:rsid w:val="00904054"/>
    <w:rsid w:val="0090423D"/>
    <w:rsid w:val="00904595"/>
    <w:rsid w:val="009045E9"/>
    <w:rsid w:val="00904653"/>
    <w:rsid w:val="009046E7"/>
    <w:rsid w:val="00904713"/>
    <w:rsid w:val="00904913"/>
    <w:rsid w:val="009049D4"/>
    <w:rsid w:val="00904B1D"/>
    <w:rsid w:val="00904B4B"/>
    <w:rsid w:val="00904B64"/>
    <w:rsid w:val="00904CCF"/>
    <w:rsid w:val="00904CE4"/>
    <w:rsid w:val="00904EF1"/>
    <w:rsid w:val="009050E5"/>
    <w:rsid w:val="00905143"/>
    <w:rsid w:val="00905228"/>
    <w:rsid w:val="00905244"/>
    <w:rsid w:val="0090533F"/>
    <w:rsid w:val="00905379"/>
    <w:rsid w:val="00905380"/>
    <w:rsid w:val="009054FA"/>
    <w:rsid w:val="00905589"/>
    <w:rsid w:val="0090578C"/>
    <w:rsid w:val="00905908"/>
    <w:rsid w:val="00905952"/>
    <w:rsid w:val="00905B0F"/>
    <w:rsid w:val="00905B42"/>
    <w:rsid w:val="00905D4B"/>
    <w:rsid w:val="00905EC1"/>
    <w:rsid w:val="00905F19"/>
    <w:rsid w:val="00905FA3"/>
    <w:rsid w:val="0090602F"/>
    <w:rsid w:val="0090618C"/>
    <w:rsid w:val="009064D0"/>
    <w:rsid w:val="0090650B"/>
    <w:rsid w:val="00906595"/>
    <w:rsid w:val="009066AA"/>
    <w:rsid w:val="009067F2"/>
    <w:rsid w:val="0090689B"/>
    <w:rsid w:val="00906953"/>
    <w:rsid w:val="009069EA"/>
    <w:rsid w:val="00906A00"/>
    <w:rsid w:val="00906ED2"/>
    <w:rsid w:val="00906F8D"/>
    <w:rsid w:val="009070C4"/>
    <w:rsid w:val="009070D3"/>
    <w:rsid w:val="009070FA"/>
    <w:rsid w:val="009070FE"/>
    <w:rsid w:val="00907107"/>
    <w:rsid w:val="009072AE"/>
    <w:rsid w:val="009076FF"/>
    <w:rsid w:val="0090770D"/>
    <w:rsid w:val="00907931"/>
    <w:rsid w:val="00907A4F"/>
    <w:rsid w:val="00907AF5"/>
    <w:rsid w:val="00907B57"/>
    <w:rsid w:val="00907C47"/>
    <w:rsid w:val="00907C53"/>
    <w:rsid w:val="00907EC7"/>
    <w:rsid w:val="00910025"/>
    <w:rsid w:val="00910170"/>
    <w:rsid w:val="0091020D"/>
    <w:rsid w:val="00910214"/>
    <w:rsid w:val="00910299"/>
    <w:rsid w:val="009105AA"/>
    <w:rsid w:val="009106CB"/>
    <w:rsid w:val="00910857"/>
    <w:rsid w:val="009108CE"/>
    <w:rsid w:val="009109ED"/>
    <w:rsid w:val="00910A7C"/>
    <w:rsid w:val="00910AA3"/>
    <w:rsid w:val="00910B1C"/>
    <w:rsid w:val="00910C11"/>
    <w:rsid w:val="00910E16"/>
    <w:rsid w:val="00910E75"/>
    <w:rsid w:val="00910EF4"/>
    <w:rsid w:val="00911358"/>
    <w:rsid w:val="00911472"/>
    <w:rsid w:val="00911502"/>
    <w:rsid w:val="00911A07"/>
    <w:rsid w:val="00911A0A"/>
    <w:rsid w:val="00911A66"/>
    <w:rsid w:val="00911AFC"/>
    <w:rsid w:val="00911B3F"/>
    <w:rsid w:val="00911B54"/>
    <w:rsid w:val="00911B7F"/>
    <w:rsid w:val="00911C46"/>
    <w:rsid w:val="00911E49"/>
    <w:rsid w:val="00911F1D"/>
    <w:rsid w:val="009121FB"/>
    <w:rsid w:val="00912295"/>
    <w:rsid w:val="009122A1"/>
    <w:rsid w:val="0091233B"/>
    <w:rsid w:val="009123A9"/>
    <w:rsid w:val="009123AC"/>
    <w:rsid w:val="009123C1"/>
    <w:rsid w:val="0091249C"/>
    <w:rsid w:val="00912522"/>
    <w:rsid w:val="00912D91"/>
    <w:rsid w:val="00912DE6"/>
    <w:rsid w:val="00912FA5"/>
    <w:rsid w:val="00912FAA"/>
    <w:rsid w:val="0091305C"/>
    <w:rsid w:val="009130C1"/>
    <w:rsid w:val="00913198"/>
    <w:rsid w:val="00913385"/>
    <w:rsid w:val="0091339F"/>
    <w:rsid w:val="009134FB"/>
    <w:rsid w:val="00913530"/>
    <w:rsid w:val="00913534"/>
    <w:rsid w:val="009139C6"/>
    <w:rsid w:val="00913ADE"/>
    <w:rsid w:val="00913B0D"/>
    <w:rsid w:val="00913B47"/>
    <w:rsid w:val="00913C90"/>
    <w:rsid w:val="00913DF1"/>
    <w:rsid w:val="00913F7D"/>
    <w:rsid w:val="00913F82"/>
    <w:rsid w:val="0091407D"/>
    <w:rsid w:val="00914185"/>
    <w:rsid w:val="009143CE"/>
    <w:rsid w:val="009143F7"/>
    <w:rsid w:val="00914534"/>
    <w:rsid w:val="009145CF"/>
    <w:rsid w:val="00914757"/>
    <w:rsid w:val="00914768"/>
    <w:rsid w:val="00914842"/>
    <w:rsid w:val="00914848"/>
    <w:rsid w:val="009149B6"/>
    <w:rsid w:val="00914A15"/>
    <w:rsid w:val="00914A78"/>
    <w:rsid w:val="00914CBF"/>
    <w:rsid w:val="00914E8B"/>
    <w:rsid w:val="00914F7B"/>
    <w:rsid w:val="00915096"/>
    <w:rsid w:val="0091536B"/>
    <w:rsid w:val="0091578D"/>
    <w:rsid w:val="0091582F"/>
    <w:rsid w:val="0091595B"/>
    <w:rsid w:val="00915B3B"/>
    <w:rsid w:val="00915B63"/>
    <w:rsid w:val="00915CDE"/>
    <w:rsid w:val="009160F2"/>
    <w:rsid w:val="00916416"/>
    <w:rsid w:val="0091649F"/>
    <w:rsid w:val="0091652B"/>
    <w:rsid w:val="009167A1"/>
    <w:rsid w:val="009167FD"/>
    <w:rsid w:val="0091688D"/>
    <w:rsid w:val="009169D9"/>
    <w:rsid w:val="009169F0"/>
    <w:rsid w:val="00916B92"/>
    <w:rsid w:val="00916C2F"/>
    <w:rsid w:val="00916CA1"/>
    <w:rsid w:val="00916CCC"/>
    <w:rsid w:val="00916DDD"/>
    <w:rsid w:val="0091703C"/>
    <w:rsid w:val="009170F1"/>
    <w:rsid w:val="00917161"/>
    <w:rsid w:val="009171CE"/>
    <w:rsid w:val="0091721F"/>
    <w:rsid w:val="0091737D"/>
    <w:rsid w:val="0091792E"/>
    <w:rsid w:val="0091799D"/>
    <w:rsid w:val="009179A4"/>
    <w:rsid w:val="00917B82"/>
    <w:rsid w:val="00917B83"/>
    <w:rsid w:val="00917BC7"/>
    <w:rsid w:val="00917C17"/>
    <w:rsid w:val="00917D23"/>
    <w:rsid w:val="00917D9C"/>
    <w:rsid w:val="00917DC6"/>
    <w:rsid w:val="00917DCB"/>
    <w:rsid w:val="00917DEE"/>
    <w:rsid w:val="00917E3D"/>
    <w:rsid w:val="00917E7C"/>
    <w:rsid w:val="00917F11"/>
    <w:rsid w:val="00917F2C"/>
    <w:rsid w:val="00917F95"/>
    <w:rsid w:val="00920219"/>
    <w:rsid w:val="00920312"/>
    <w:rsid w:val="00920444"/>
    <w:rsid w:val="009204F4"/>
    <w:rsid w:val="00920571"/>
    <w:rsid w:val="009205A3"/>
    <w:rsid w:val="00920680"/>
    <w:rsid w:val="0092077B"/>
    <w:rsid w:val="0092083E"/>
    <w:rsid w:val="009208C7"/>
    <w:rsid w:val="009208DA"/>
    <w:rsid w:val="00920A5D"/>
    <w:rsid w:val="00920ACB"/>
    <w:rsid w:val="00920BB0"/>
    <w:rsid w:val="00920D0F"/>
    <w:rsid w:val="00920E6D"/>
    <w:rsid w:val="00920EED"/>
    <w:rsid w:val="00920EF7"/>
    <w:rsid w:val="00920FFD"/>
    <w:rsid w:val="0092102E"/>
    <w:rsid w:val="0092121A"/>
    <w:rsid w:val="00921500"/>
    <w:rsid w:val="00921626"/>
    <w:rsid w:val="009217CB"/>
    <w:rsid w:val="00921869"/>
    <w:rsid w:val="00921897"/>
    <w:rsid w:val="00921A08"/>
    <w:rsid w:val="00921B30"/>
    <w:rsid w:val="00921C29"/>
    <w:rsid w:val="00921D8C"/>
    <w:rsid w:val="00921EBD"/>
    <w:rsid w:val="00921F1B"/>
    <w:rsid w:val="00921F6E"/>
    <w:rsid w:val="00921F8C"/>
    <w:rsid w:val="00921FC4"/>
    <w:rsid w:val="0092203F"/>
    <w:rsid w:val="00922166"/>
    <w:rsid w:val="00922375"/>
    <w:rsid w:val="0092259E"/>
    <w:rsid w:val="00922625"/>
    <w:rsid w:val="0092264F"/>
    <w:rsid w:val="009226EA"/>
    <w:rsid w:val="00922749"/>
    <w:rsid w:val="0092298F"/>
    <w:rsid w:val="00922A86"/>
    <w:rsid w:val="00922AE4"/>
    <w:rsid w:val="00922C36"/>
    <w:rsid w:val="00922D0E"/>
    <w:rsid w:val="00922EE3"/>
    <w:rsid w:val="009230E3"/>
    <w:rsid w:val="00923135"/>
    <w:rsid w:val="00923191"/>
    <w:rsid w:val="00923261"/>
    <w:rsid w:val="009235B7"/>
    <w:rsid w:val="009237FF"/>
    <w:rsid w:val="00923842"/>
    <w:rsid w:val="00923904"/>
    <w:rsid w:val="00923A4F"/>
    <w:rsid w:val="00923AB2"/>
    <w:rsid w:val="00923B76"/>
    <w:rsid w:val="00923C31"/>
    <w:rsid w:val="00923E57"/>
    <w:rsid w:val="00923ED5"/>
    <w:rsid w:val="009241A9"/>
    <w:rsid w:val="009242BC"/>
    <w:rsid w:val="009242C6"/>
    <w:rsid w:val="009243F3"/>
    <w:rsid w:val="0092440D"/>
    <w:rsid w:val="00924425"/>
    <w:rsid w:val="0092442B"/>
    <w:rsid w:val="009245D7"/>
    <w:rsid w:val="00924606"/>
    <w:rsid w:val="00924752"/>
    <w:rsid w:val="0092495E"/>
    <w:rsid w:val="00924C31"/>
    <w:rsid w:val="00924E3B"/>
    <w:rsid w:val="00924E9C"/>
    <w:rsid w:val="009251B5"/>
    <w:rsid w:val="00925368"/>
    <w:rsid w:val="0092555B"/>
    <w:rsid w:val="009256B7"/>
    <w:rsid w:val="00925824"/>
    <w:rsid w:val="00925AE3"/>
    <w:rsid w:val="00925C27"/>
    <w:rsid w:val="00925C4B"/>
    <w:rsid w:val="00925C68"/>
    <w:rsid w:val="00925D2F"/>
    <w:rsid w:val="00925ED0"/>
    <w:rsid w:val="00925EEF"/>
    <w:rsid w:val="00925F38"/>
    <w:rsid w:val="00925F75"/>
    <w:rsid w:val="00925FA1"/>
    <w:rsid w:val="0092604B"/>
    <w:rsid w:val="00926310"/>
    <w:rsid w:val="009263A3"/>
    <w:rsid w:val="009265E8"/>
    <w:rsid w:val="00926651"/>
    <w:rsid w:val="00926787"/>
    <w:rsid w:val="00926928"/>
    <w:rsid w:val="00926ADD"/>
    <w:rsid w:val="00926BD5"/>
    <w:rsid w:val="00926CA8"/>
    <w:rsid w:val="009270C4"/>
    <w:rsid w:val="009270F5"/>
    <w:rsid w:val="0092715D"/>
    <w:rsid w:val="009271A4"/>
    <w:rsid w:val="009271D8"/>
    <w:rsid w:val="00927280"/>
    <w:rsid w:val="00927469"/>
    <w:rsid w:val="009274B6"/>
    <w:rsid w:val="009274E7"/>
    <w:rsid w:val="00927585"/>
    <w:rsid w:val="0092759B"/>
    <w:rsid w:val="009277D3"/>
    <w:rsid w:val="009278F9"/>
    <w:rsid w:val="00927928"/>
    <w:rsid w:val="00927975"/>
    <w:rsid w:val="00927ABE"/>
    <w:rsid w:val="00927CC2"/>
    <w:rsid w:val="00927D39"/>
    <w:rsid w:val="00927D52"/>
    <w:rsid w:val="00927D7D"/>
    <w:rsid w:val="00927E18"/>
    <w:rsid w:val="0093039E"/>
    <w:rsid w:val="00930410"/>
    <w:rsid w:val="0093046A"/>
    <w:rsid w:val="009304A5"/>
    <w:rsid w:val="009304C6"/>
    <w:rsid w:val="009304F2"/>
    <w:rsid w:val="00930506"/>
    <w:rsid w:val="009305BF"/>
    <w:rsid w:val="00930A6E"/>
    <w:rsid w:val="00930A7D"/>
    <w:rsid w:val="00930B01"/>
    <w:rsid w:val="00930B27"/>
    <w:rsid w:val="00930EA8"/>
    <w:rsid w:val="00930F46"/>
    <w:rsid w:val="00930F6D"/>
    <w:rsid w:val="00931003"/>
    <w:rsid w:val="0093128F"/>
    <w:rsid w:val="00931433"/>
    <w:rsid w:val="00931655"/>
    <w:rsid w:val="009317BD"/>
    <w:rsid w:val="00931965"/>
    <w:rsid w:val="00931A16"/>
    <w:rsid w:val="00931BAB"/>
    <w:rsid w:val="00931C8E"/>
    <w:rsid w:val="00931CBF"/>
    <w:rsid w:val="00931CC8"/>
    <w:rsid w:val="00931D54"/>
    <w:rsid w:val="00931EB2"/>
    <w:rsid w:val="00931FE2"/>
    <w:rsid w:val="009320FA"/>
    <w:rsid w:val="009323B9"/>
    <w:rsid w:val="00932504"/>
    <w:rsid w:val="00932514"/>
    <w:rsid w:val="00932525"/>
    <w:rsid w:val="00932603"/>
    <w:rsid w:val="00932769"/>
    <w:rsid w:val="009328BB"/>
    <w:rsid w:val="00932E13"/>
    <w:rsid w:val="00932E7F"/>
    <w:rsid w:val="00932EA8"/>
    <w:rsid w:val="00932F09"/>
    <w:rsid w:val="00932F6B"/>
    <w:rsid w:val="00933146"/>
    <w:rsid w:val="0093319C"/>
    <w:rsid w:val="0093368C"/>
    <w:rsid w:val="009338B0"/>
    <w:rsid w:val="00933B7F"/>
    <w:rsid w:val="00933BF5"/>
    <w:rsid w:val="00933C60"/>
    <w:rsid w:val="00933CF3"/>
    <w:rsid w:val="00933E75"/>
    <w:rsid w:val="00933EC8"/>
    <w:rsid w:val="00933F31"/>
    <w:rsid w:val="00933FA6"/>
    <w:rsid w:val="0093403D"/>
    <w:rsid w:val="009340E6"/>
    <w:rsid w:val="009341E3"/>
    <w:rsid w:val="009343BA"/>
    <w:rsid w:val="009343C0"/>
    <w:rsid w:val="009345F6"/>
    <w:rsid w:val="00934688"/>
    <w:rsid w:val="0093472A"/>
    <w:rsid w:val="009347EE"/>
    <w:rsid w:val="00934A9B"/>
    <w:rsid w:val="00934C48"/>
    <w:rsid w:val="00934E2A"/>
    <w:rsid w:val="00934E6D"/>
    <w:rsid w:val="0093537C"/>
    <w:rsid w:val="009353C4"/>
    <w:rsid w:val="009354C3"/>
    <w:rsid w:val="0093564F"/>
    <w:rsid w:val="00935650"/>
    <w:rsid w:val="00935763"/>
    <w:rsid w:val="009359F0"/>
    <w:rsid w:val="00935B3F"/>
    <w:rsid w:val="009360F5"/>
    <w:rsid w:val="00936154"/>
    <w:rsid w:val="00936248"/>
    <w:rsid w:val="0093629A"/>
    <w:rsid w:val="00936740"/>
    <w:rsid w:val="009367B8"/>
    <w:rsid w:val="00936998"/>
    <w:rsid w:val="00936B26"/>
    <w:rsid w:val="00936B5D"/>
    <w:rsid w:val="00936C98"/>
    <w:rsid w:val="00936CA9"/>
    <w:rsid w:val="00936D59"/>
    <w:rsid w:val="00936E2F"/>
    <w:rsid w:val="00936F39"/>
    <w:rsid w:val="00936F46"/>
    <w:rsid w:val="0093701C"/>
    <w:rsid w:val="00937144"/>
    <w:rsid w:val="009371A1"/>
    <w:rsid w:val="0093722B"/>
    <w:rsid w:val="0093745F"/>
    <w:rsid w:val="0093763D"/>
    <w:rsid w:val="00937646"/>
    <w:rsid w:val="009376DD"/>
    <w:rsid w:val="009376FC"/>
    <w:rsid w:val="00937794"/>
    <w:rsid w:val="009377DE"/>
    <w:rsid w:val="00937818"/>
    <w:rsid w:val="00937AD3"/>
    <w:rsid w:val="00937B82"/>
    <w:rsid w:val="00937CEE"/>
    <w:rsid w:val="00937D0E"/>
    <w:rsid w:val="00937D8E"/>
    <w:rsid w:val="00937ECD"/>
    <w:rsid w:val="00940059"/>
    <w:rsid w:val="0094029A"/>
    <w:rsid w:val="0094031D"/>
    <w:rsid w:val="0094035B"/>
    <w:rsid w:val="009403AB"/>
    <w:rsid w:val="0094040D"/>
    <w:rsid w:val="009404A5"/>
    <w:rsid w:val="009405A8"/>
    <w:rsid w:val="00940637"/>
    <w:rsid w:val="009407A8"/>
    <w:rsid w:val="00940895"/>
    <w:rsid w:val="009408FA"/>
    <w:rsid w:val="009409AD"/>
    <w:rsid w:val="00940AAD"/>
    <w:rsid w:val="00940C34"/>
    <w:rsid w:val="00940DF7"/>
    <w:rsid w:val="00940DFB"/>
    <w:rsid w:val="009410FB"/>
    <w:rsid w:val="009411B7"/>
    <w:rsid w:val="009411C6"/>
    <w:rsid w:val="0094122A"/>
    <w:rsid w:val="00941410"/>
    <w:rsid w:val="009414A0"/>
    <w:rsid w:val="009414CB"/>
    <w:rsid w:val="00941892"/>
    <w:rsid w:val="00941937"/>
    <w:rsid w:val="00941B6C"/>
    <w:rsid w:val="00941C10"/>
    <w:rsid w:val="00941C45"/>
    <w:rsid w:val="00941CB2"/>
    <w:rsid w:val="00941CDB"/>
    <w:rsid w:val="00941CF9"/>
    <w:rsid w:val="00941E1A"/>
    <w:rsid w:val="009422B9"/>
    <w:rsid w:val="00942356"/>
    <w:rsid w:val="009423F9"/>
    <w:rsid w:val="0094241C"/>
    <w:rsid w:val="009426CD"/>
    <w:rsid w:val="00942703"/>
    <w:rsid w:val="00942793"/>
    <w:rsid w:val="009428A8"/>
    <w:rsid w:val="00942915"/>
    <w:rsid w:val="00942ADC"/>
    <w:rsid w:val="00942B55"/>
    <w:rsid w:val="00942BB5"/>
    <w:rsid w:val="00942DC7"/>
    <w:rsid w:val="00943132"/>
    <w:rsid w:val="00943194"/>
    <w:rsid w:val="00943281"/>
    <w:rsid w:val="009432A2"/>
    <w:rsid w:val="00943A1C"/>
    <w:rsid w:val="00943A46"/>
    <w:rsid w:val="00943B29"/>
    <w:rsid w:val="00943DBF"/>
    <w:rsid w:val="00943F0D"/>
    <w:rsid w:val="0094434E"/>
    <w:rsid w:val="00944398"/>
    <w:rsid w:val="009443F9"/>
    <w:rsid w:val="00944456"/>
    <w:rsid w:val="00944567"/>
    <w:rsid w:val="0094476E"/>
    <w:rsid w:val="00944959"/>
    <w:rsid w:val="0094499B"/>
    <w:rsid w:val="009449B9"/>
    <w:rsid w:val="00944A9A"/>
    <w:rsid w:val="00944B21"/>
    <w:rsid w:val="00944BA6"/>
    <w:rsid w:val="00944E60"/>
    <w:rsid w:val="00944F5F"/>
    <w:rsid w:val="009450D6"/>
    <w:rsid w:val="0094512F"/>
    <w:rsid w:val="00945222"/>
    <w:rsid w:val="009452BE"/>
    <w:rsid w:val="009453C9"/>
    <w:rsid w:val="0094545B"/>
    <w:rsid w:val="0094571A"/>
    <w:rsid w:val="00945914"/>
    <w:rsid w:val="00945A57"/>
    <w:rsid w:val="00945A5F"/>
    <w:rsid w:val="00945F5D"/>
    <w:rsid w:val="00945F87"/>
    <w:rsid w:val="0094603B"/>
    <w:rsid w:val="009461CC"/>
    <w:rsid w:val="009464C7"/>
    <w:rsid w:val="00946603"/>
    <w:rsid w:val="00946972"/>
    <w:rsid w:val="00946984"/>
    <w:rsid w:val="00946A63"/>
    <w:rsid w:val="00946A9A"/>
    <w:rsid w:val="00946B94"/>
    <w:rsid w:val="00946BF8"/>
    <w:rsid w:val="00946CF8"/>
    <w:rsid w:val="00946E3F"/>
    <w:rsid w:val="00946E5C"/>
    <w:rsid w:val="00946FED"/>
    <w:rsid w:val="00947273"/>
    <w:rsid w:val="00947468"/>
    <w:rsid w:val="009474F3"/>
    <w:rsid w:val="0094789C"/>
    <w:rsid w:val="00947FFE"/>
    <w:rsid w:val="0095014C"/>
    <w:rsid w:val="009501D8"/>
    <w:rsid w:val="0095029C"/>
    <w:rsid w:val="009502F2"/>
    <w:rsid w:val="00950360"/>
    <w:rsid w:val="0095049D"/>
    <w:rsid w:val="00950518"/>
    <w:rsid w:val="00950799"/>
    <w:rsid w:val="009508E0"/>
    <w:rsid w:val="0095096B"/>
    <w:rsid w:val="009509B9"/>
    <w:rsid w:val="009509FE"/>
    <w:rsid w:val="00950C06"/>
    <w:rsid w:val="00950C51"/>
    <w:rsid w:val="00950D21"/>
    <w:rsid w:val="00950E2D"/>
    <w:rsid w:val="00950E44"/>
    <w:rsid w:val="00951036"/>
    <w:rsid w:val="009511C8"/>
    <w:rsid w:val="009512E5"/>
    <w:rsid w:val="0095135F"/>
    <w:rsid w:val="00951402"/>
    <w:rsid w:val="00951417"/>
    <w:rsid w:val="00951522"/>
    <w:rsid w:val="009515D7"/>
    <w:rsid w:val="009516F4"/>
    <w:rsid w:val="0095171A"/>
    <w:rsid w:val="00951756"/>
    <w:rsid w:val="00951825"/>
    <w:rsid w:val="00951997"/>
    <w:rsid w:val="00951D96"/>
    <w:rsid w:val="00951DAE"/>
    <w:rsid w:val="00951DCF"/>
    <w:rsid w:val="00951F17"/>
    <w:rsid w:val="00951F78"/>
    <w:rsid w:val="009521C8"/>
    <w:rsid w:val="00952237"/>
    <w:rsid w:val="00952348"/>
    <w:rsid w:val="009524B1"/>
    <w:rsid w:val="009524E9"/>
    <w:rsid w:val="0095287E"/>
    <w:rsid w:val="009528F5"/>
    <w:rsid w:val="009529CA"/>
    <w:rsid w:val="00952AD3"/>
    <w:rsid w:val="00952AF9"/>
    <w:rsid w:val="00952BA9"/>
    <w:rsid w:val="00952BB5"/>
    <w:rsid w:val="00952C44"/>
    <w:rsid w:val="00952C63"/>
    <w:rsid w:val="00952D93"/>
    <w:rsid w:val="00952E4A"/>
    <w:rsid w:val="00952E98"/>
    <w:rsid w:val="00952F25"/>
    <w:rsid w:val="00952F9C"/>
    <w:rsid w:val="00953051"/>
    <w:rsid w:val="00953196"/>
    <w:rsid w:val="009531F4"/>
    <w:rsid w:val="00953432"/>
    <w:rsid w:val="00953566"/>
    <w:rsid w:val="0095373C"/>
    <w:rsid w:val="0095374A"/>
    <w:rsid w:val="009537F6"/>
    <w:rsid w:val="00953970"/>
    <w:rsid w:val="00953AEA"/>
    <w:rsid w:val="00953CE9"/>
    <w:rsid w:val="00953D58"/>
    <w:rsid w:val="00953E7E"/>
    <w:rsid w:val="00953EFB"/>
    <w:rsid w:val="00953F46"/>
    <w:rsid w:val="00953FCC"/>
    <w:rsid w:val="00954049"/>
    <w:rsid w:val="009545F8"/>
    <w:rsid w:val="0095463C"/>
    <w:rsid w:val="00954738"/>
    <w:rsid w:val="00954B18"/>
    <w:rsid w:val="00954BC9"/>
    <w:rsid w:val="00954EA8"/>
    <w:rsid w:val="00954F6B"/>
    <w:rsid w:val="00954F96"/>
    <w:rsid w:val="00954FD5"/>
    <w:rsid w:val="009551DC"/>
    <w:rsid w:val="0095522F"/>
    <w:rsid w:val="009552D2"/>
    <w:rsid w:val="009553D1"/>
    <w:rsid w:val="00955400"/>
    <w:rsid w:val="00955496"/>
    <w:rsid w:val="00955582"/>
    <w:rsid w:val="0095558E"/>
    <w:rsid w:val="009555FB"/>
    <w:rsid w:val="009556F7"/>
    <w:rsid w:val="0095584A"/>
    <w:rsid w:val="00955C1F"/>
    <w:rsid w:val="00955C8F"/>
    <w:rsid w:val="00955D9C"/>
    <w:rsid w:val="00955E29"/>
    <w:rsid w:val="00955F85"/>
    <w:rsid w:val="00956174"/>
    <w:rsid w:val="00956346"/>
    <w:rsid w:val="00956373"/>
    <w:rsid w:val="009563F8"/>
    <w:rsid w:val="0095642C"/>
    <w:rsid w:val="0095664A"/>
    <w:rsid w:val="009566AD"/>
    <w:rsid w:val="009566D1"/>
    <w:rsid w:val="0095675B"/>
    <w:rsid w:val="009569EB"/>
    <w:rsid w:val="00956CC0"/>
    <w:rsid w:val="00956D78"/>
    <w:rsid w:val="00956EDA"/>
    <w:rsid w:val="00956EE8"/>
    <w:rsid w:val="0095708C"/>
    <w:rsid w:val="009570E0"/>
    <w:rsid w:val="00957259"/>
    <w:rsid w:val="009572F3"/>
    <w:rsid w:val="009573CF"/>
    <w:rsid w:val="009573DD"/>
    <w:rsid w:val="00957494"/>
    <w:rsid w:val="00957609"/>
    <w:rsid w:val="009576EC"/>
    <w:rsid w:val="00957878"/>
    <w:rsid w:val="009578A3"/>
    <w:rsid w:val="00957912"/>
    <w:rsid w:val="00957939"/>
    <w:rsid w:val="00960142"/>
    <w:rsid w:val="00960214"/>
    <w:rsid w:val="00960267"/>
    <w:rsid w:val="009603A4"/>
    <w:rsid w:val="0096043D"/>
    <w:rsid w:val="009604DC"/>
    <w:rsid w:val="00960541"/>
    <w:rsid w:val="00960652"/>
    <w:rsid w:val="009606AF"/>
    <w:rsid w:val="009606C1"/>
    <w:rsid w:val="009607B1"/>
    <w:rsid w:val="0096086F"/>
    <w:rsid w:val="00960B10"/>
    <w:rsid w:val="00960B99"/>
    <w:rsid w:val="00960F6A"/>
    <w:rsid w:val="00960F6D"/>
    <w:rsid w:val="009610F6"/>
    <w:rsid w:val="009614B1"/>
    <w:rsid w:val="009615F8"/>
    <w:rsid w:val="0096163C"/>
    <w:rsid w:val="0096189B"/>
    <w:rsid w:val="009618B7"/>
    <w:rsid w:val="009618D5"/>
    <w:rsid w:val="009618E8"/>
    <w:rsid w:val="009619E0"/>
    <w:rsid w:val="00961B6D"/>
    <w:rsid w:val="00961C81"/>
    <w:rsid w:val="00961F59"/>
    <w:rsid w:val="00961FAC"/>
    <w:rsid w:val="00962022"/>
    <w:rsid w:val="009621F0"/>
    <w:rsid w:val="009624B2"/>
    <w:rsid w:val="00962867"/>
    <w:rsid w:val="009628AF"/>
    <w:rsid w:val="0096293B"/>
    <w:rsid w:val="00962B96"/>
    <w:rsid w:val="00962D43"/>
    <w:rsid w:val="00962F47"/>
    <w:rsid w:val="00962F93"/>
    <w:rsid w:val="00963246"/>
    <w:rsid w:val="009633CF"/>
    <w:rsid w:val="0096351F"/>
    <w:rsid w:val="009635EC"/>
    <w:rsid w:val="00963947"/>
    <w:rsid w:val="00963CDB"/>
    <w:rsid w:val="00963D23"/>
    <w:rsid w:val="00963D72"/>
    <w:rsid w:val="00963DAD"/>
    <w:rsid w:val="00963FB8"/>
    <w:rsid w:val="00964036"/>
    <w:rsid w:val="009641DB"/>
    <w:rsid w:val="00964339"/>
    <w:rsid w:val="00964612"/>
    <w:rsid w:val="009649F5"/>
    <w:rsid w:val="00964A11"/>
    <w:rsid w:val="00964A3E"/>
    <w:rsid w:val="00964B46"/>
    <w:rsid w:val="00964D44"/>
    <w:rsid w:val="00964E16"/>
    <w:rsid w:val="00965516"/>
    <w:rsid w:val="00965869"/>
    <w:rsid w:val="0096594D"/>
    <w:rsid w:val="00965A60"/>
    <w:rsid w:val="00965C4D"/>
    <w:rsid w:val="00965DCE"/>
    <w:rsid w:val="00966047"/>
    <w:rsid w:val="00966087"/>
    <w:rsid w:val="009660F2"/>
    <w:rsid w:val="00966177"/>
    <w:rsid w:val="009661B0"/>
    <w:rsid w:val="0096623E"/>
    <w:rsid w:val="00966337"/>
    <w:rsid w:val="009666CA"/>
    <w:rsid w:val="009666F4"/>
    <w:rsid w:val="009669F3"/>
    <w:rsid w:val="00966AD6"/>
    <w:rsid w:val="00966C15"/>
    <w:rsid w:val="00966EAF"/>
    <w:rsid w:val="00966F2F"/>
    <w:rsid w:val="00966FDC"/>
    <w:rsid w:val="00967226"/>
    <w:rsid w:val="00967249"/>
    <w:rsid w:val="0096748A"/>
    <w:rsid w:val="009674FA"/>
    <w:rsid w:val="00967711"/>
    <w:rsid w:val="0096782D"/>
    <w:rsid w:val="00967877"/>
    <w:rsid w:val="009678C3"/>
    <w:rsid w:val="009679B4"/>
    <w:rsid w:val="009679E8"/>
    <w:rsid w:val="00967AC3"/>
    <w:rsid w:val="00967C4D"/>
    <w:rsid w:val="00967E93"/>
    <w:rsid w:val="00967EBB"/>
    <w:rsid w:val="00967EF5"/>
    <w:rsid w:val="00967F6B"/>
    <w:rsid w:val="00970057"/>
    <w:rsid w:val="00970185"/>
    <w:rsid w:val="00970187"/>
    <w:rsid w:val="009701B7"/>
    <w:rsid w:val="0097020B"/>
    <w:rsid w:val="00970227"/>
    <w:rsid w:val="00970334"/>
    <w:rsid w:val="0097043D"/>
    <w:rsid w:val="009704AF"/>
    <w:rsid w:val="009704F9"/>
    <w:rsid w:val="00970619"/>
    <w:rsid w:val="00970792"/>
    <w:rsid w:val="00970A04"/>
    <w:rsid w:val="00970A2E"/>
    <w:rsid w:val="00970C7A"/>
    <w:rsid w:val="00970DC7"/>
    <w:rsid w:val="00970DDE"/>
    <w:rsid w:val="00970DE2"/>
    <w:rsid w:val="00970E48"/>
    <w:rsid w:val="00970F84"/>
    <w:rsid w:val="00970F96"/>
    <w:rsid w:val="00970FF6"/>
    <w:rsid w:val="00971052"/>
    <w:rsid w:val="00971206"/>
    <w:rsid w:val="0097142E"/>
    <w:rsid w:val="00971519"/>
    <w:rsid w:val="0097151E"/>
    <w:rsid w:val="00971561"/>
    <w:rsid w:val="00971663"/>
    <w:rsid w:val="009716D1"/>
    <w:rsid w:val="00971B8E"/>
    <w:rsid w:val="00971CEC"/>
    <w:rsid w:val="00971ED9"/>
    <w:rsid w:val="009720FE"/>
    <w:rsid w:val="00972199"/>
    <w:rsid w:val="009721DB"/>
    <w:rsid w:val="00972306"/>
    <w:rsid w:val="009723CD"/>
    <w:rsid w:val="00972402"/>
    <w:rsid w:val="00972511"/>
    <w:rsid w:val="009725B1"/>
    <w:rsid w:val="0097274D"/>
    <w:rsid w:val="009727BE"/>
    <w:rsid w:val="0097288E"/>
    <w:rsid w:val="00972911"/>
    <w:rsid w:val="009729C9"/>
    <w:rsid w:val="00972AB0"/>
    <w:rsid w:val="00972BFA"/>
    <w:rsid w:val="00972D5E"/>
    <w:rsid w:val="00972F86"/>
    <w:rsid w:val="009730C1"/>
    <w:rsid w:val="009730EC"/>
    <w:rsid w:val="0097321F"/>
    <w:rsid w:val="0097324A"/>
    <w:rsid w:val="00973250"/>
    <w:rsid w:val="00973274"/>
    <w:rsid w:val="0097344A"/>
    <w:rsid w:val="009734EF"/>
    <w:rsid w:val="0097351F"/>
    <w:rsid w:val="00973539"/>
    <w:rsid w:val="009736B5"/>
    <w:rsid w:val="009736C4"/>
    <w:rsid w:val="00973866"/>
    <w:rsid w:val="0097386E"/>
    <w:rsid w:val="0097394F"/>
    <w:rsid w:val="00973A2A"/>
    <w:rsid w:val="00973AA9"/>
    <w:rsid w:val="00973AE2"/>
    <w:rsid w:val="00973B21"/>
    <w:rsid w:val="00973B74"/>
    <w:rsid w:val="00973BB1"/>
    <w:rsid w:val="00973BD4"/>
    <w:rsid w:val="00973C23"/>
    <w:rsid w:val="00973C70"/>
    <w:rsid w:val="00973DA0"/>
    <w:rsid w:val="00974071"/>
    <w:rsid w:val="009741DD"/>
    <w:rsid w:val="00974206"/>
    <w:rsid w:val="0097434F"/>
    <w:rsid w:val="009743B6"/>
    <w:rsid w:val="00974449"/>
    <w:rsid w:val="00974577"/>
    <w:rsid w:val="00974848"/>
    <w:rsid w:val="00974936"/>
    <w:rsid w:val="00974B1D"/>
    <w:rsid w:val="00974C7E"/>
    <w:rsid w:val="00974D34"/>
    <w:rsid w:val="00974E84"/>
    <w:rsid w:val="00974F16"/>
    <w:rsid w:val="00974FD7"/>
    <w:rsid w:val="00975208"/>
    <w:rsid w:val="00975227"/>
    <w:rsid w:val="0097529C"/>
    <w:rsid w:val="0097549D"/>
    <w:rsid w:val="00975716"/>
    <w:rsid w:val="0097580B"/>
    <w:rsid w:val="00975AB1"/>
    <w:rsid w:val="00975C97"/>
    <w:rsid w:val="0097608E"/>
    <w:rsid w:val="009761A6"/>
    <w:rsid w:val="009763BB"/>
    <w:rsid w:val="009765C4"/>
    <w:rsid w:val="009765FF"/>
    <w:rsid w:val="009767AA"/>
    <w:rsid w:val="00976931"/>
    <w:rsid w:val="009769B6"/>
    <w:rsid w:val="00976A63"/>
    <w:rsid w:val="00976DE7"/>
    <w:rsid w:val="00977163"/>
    <w:rsid w:val="009772E2"/>
    <w:rsid w:val="009773A5"/>
    <w:rsid w:val="009775D8"/>
    <w:rsid w:val="0097769C"/>
    <w:rsid w:val="00977838"/>
    <w:rsid w:val="0097786C"/>
    <w:rsid w:val="00977935"/>
    <w:rsid w:val="00977ADA"/>
    <w:rsid w:val="00977B2D"/>
    <w:rsid w:val="00977BA5"/>
    <w:rsid w:val="00977BF8"/>
    <w:rsid w:val="00977C27"/>
    <w:rsid w:val="00977C67"/>
    <w:rsid w:val="00977D2E"/>
    <w:rsid w:val="00977F1B"/>
    <w:rsid w:val="0098008F"/>
    <w:rsid w:val="009803C1"/>
    <w:rsid w:val="009804B1"/>
    <w:rsid w:val="00980766"/>
    <w:rsid w:val="00980810"/>
    <w:rsid w:val="0098083F"/>
    <w:rsid w:val="00980911"/>
    <w:rsid w:val="00980B24"/>
    <w:rsid w:val="00980E27"/>
    <w:rsid w:val="00980F07"/>
    <w:rsid w:val="00980FDE"/>
    <w:rsid w:val="0098146C"/>
    <w:rsid w:val="009814A7"/>
    <w:rsid w:val="009815B9"/>
    <w:rsid w:val="009818C5"/>
    <w:rsid w:val="009819B9"/>
    <w:rsid w:val="00981A4A"/>
    <w:rsid w:val="00981B18"/>
    <w:rsid w:val="00981FD5"/>
    <w:rsid w:val="00982016"/>
    <w:rsid w:val="00982105"/>
    <w:rsid w:val="0098217B"/>
    <w:rsid w:val="009821D9"/>
    <w:rsid w:val="00982231"/>
    <w:rsid w:val="009822A0"/>
    <w:rsid w:val="0098242D"/>
    <w:rsid w:val="009824CE"/>
    <w:rsid w:val="009824E4"/>
    <w:rsid w:val="0098277E"/>
    <w:rsid w:val="00982864"/>
    <w:rsid w:val="00982957"/>
    <w:rsid w:val="009829D8"/>
    <w:rsid w:val="00982B05"/>
    <w:rsid w:val="00982BED"/>
    <w:rsid w:val="00982BF7"/>
    <w:rsid w:val="00982C55"/>
    <w:rsid w:val="00982D53"/>
    <w:rsid w:val="00982DAA"/>
    <w:rsid w:val="00982E3B"/>
    <w:rsid w:val="00982E86"/>
    <w:rsid w:val="00982EDE"/>
    <w:rsid w:val="0098308B"/>
    <w:rsid w:val="009830A0"/>
    <w:rsid w:val="009831F8"/>
    <w:rsid w:val="0098345A"/>
    <w:rsid w:val="00983613"/>
    <w:rsid w:val="00983639"/>
    <w:rsid w:val="00983988"/>
    <w:rsid w:val="009839CA"/>
    <w:rsid w:val="00983BB6"/>
    <w:rsid w:val="00983CDE"/>
    <w:rsid w:val="00983EA3"/>
    <w:rsid w:val="00983EE1"/>
    <w:rsid w:val="00983EEA"/>
    <w:rsid w:val="00983F3B"/>
    <w:rsid w:val="00983FA4"/>
    <w:rsid w:val="009841AF"/>
    <w:rsid w:val="009841D4"/>
    <w:rsid w:val="009842C9"/>
    <w:rsid w:val="009845A2"/>
    <w:rsid w:val="009849A3"/>
    <w:rsid w:val="00984B78"/>
    <w:rsid w:val="00984F7B"/>
    <w:rsid w:val="00985035"/>
    <w:rsid w:val="009851AC"/>
    <w:rsid w:val="00985246"/>
    <w:rsid w:val="00985249"/>
    <w:rsid w:val="00985556"/>
    <w:rsid w:val="00985569"/>
    <w:rsid w:val="009856E9"/>
    <w:rsid w:val="00985715"/>
    <w:rsid w:val="0098572C"/>
    <w:rsid w:val="00985753"/>
    <w:rsid w:val="00985784"/>
    <w:rsid w:val="0098599A"/>
    <w:rsid w:val="00985A37"/>
    <w:rsid w:val="00985C33"/>
    <w:rsid w:val="00985EB9"/>
    <w:rsid w:val="00985F8F"/>
    <w:rsid w:val="009861E5"/>
    <w:rsid w:val="009862F7"/>
    <w:rsid w:val="009863EF"/>
    <w:rsid w:val="0098648B"/>
    <w:rsid w:val="009865F0"/>
    <w:rsid w:val="00986821"/>
    <w:rsid w:val="00986884"/>
    <w:rsid w:val="00986980"/>
    <w:rsid w:val="009869A6"/>
    <w:rsid w:val="009869B8"/>
    <w:rsid w:val="00986A35"/>
    <w:rsid w:val="00986A5C"/>
    <w:rsid w:val="00986ACE"/>
    <w:rsid w:val="00986BB5"/>
    <w:rsid w:val="00986CE8"/>
    <w:rsid w:val="00986CEF"/>
    <w:rsid w:val="00986D6A"/>
    <w:rsid w:val="00986D85"/>
    <w:rsid w:val="009871A3"/>
    <w:rsid w:val="00987351"/>
    <w:rsid w:val="009875B0"/>
    <w:rsid w:val="00987625"/>
    <w:rsid w:val="0098774E"/>
    <w:rsid w:val="0098782F"/>
    <w:rsid w:val="00987BE6"/>
    <w:rsid w:val="00987DD2"/>
    <w:rsid w:val="00987F18"/>
    <w:rsid w:val="009901C4"/>
    <w:rsid w:val="00990205"/>
    <w:rsid w:val="00990419"/>
    <w:rsid w:val="009904FC"/>
    <w:rsid w:val="0099055F"/>
    <w:rsid w:val="00990D84"/>
    <w:rsid w:val="00990E31"/>
    <w:rsid w:val="00990E59"/>
    <w:rsid w:val="00991486"/>
    <w:rsid w:val="009915AC"/>
    <w:rsid w:val="009917B6"/>
    <w:rsid w:val="00991953"/>
    <w:rsid w:val="00991A2D"/>
    <w:rsid w:val="00991A59"/>
    <w:rsid w:val="00991B69"/>
    <w:rsid w:val="00991CA4"/>
    <w:rsid w:val="00991DD5"/>
    <w:rsid w:val="00991E9B"/>
    <w:rsid w:val="00991EF8"/>
    <w:rsid w:val="00991F5A"/>
    <w:rsid w:val="00991FEE"/>
    <w:rsid w:val="00992039"/>
    <w:rsid w:val="00992137"/>
    <w:rsid w:val="009921E6"/>
    <w:rsid w:val="00992348"/>
    <w:rsid w:val="009923F5"/>
    <w:rsid w:val="00992412"/>
    <w:rsid w:val="00992505"/>
    <w:rsid w:val="0099256A"/>
    <w:rsid w:val="009925ED"/>
    <w:rsid w:val="0099264B"/>
    <w:rsid w:val="00992843"/>
    <w:rsid w:val="00992903"/>
    <w:rsid w:val="00992C19"/>
    <w:rsid w:val="00992CF8"/>
    <w:rsid w:val="00992D36"/>
    <w:rsid w:val="00992DB9"/>
    <w:rsid w:val="00992DF6"/>
    <w:rsid w:val="00992FBC"/>
    <w:rsid w:val="00993009"/>
    <w:rsid w:val="0099314C"/>
    <w:rsid w:val="00993189"/>
    <w:rsid w:val="009934F2"/>
    <w:rsid w:val="0099350A"/>
    <w:rsid w:val="00993577"/>
    <w:rsid w:val="0099376F"/>
    <w:rsid w:val="00993871"/>
    <w:rsid w:val="00993B45"/>
    <w:rsid w:val="00993D8D"/>
    <w:rsid w:val="00993DC7"/>
    <w:rsid w:val="00993E3A"/>
    <w:rsid w:val="00993E44"/>
    <w:rsid w:val="00993E5E"/>
    <w:rsid w:val="00993E91"/>
    <w:rsid w:val="00993EB2"/>
    <w:rsid w:val="00993F6D"/>
    <w:rsid w:val="00994016"/>
    <w:rsid w:val="0099432D"/>
    <w:rsid w:val="00994412"/>
    <w:rsid w:val="009945DE"/>
    <w:rsid w:val="009947B8"/>
    <w:rsid w:val="00994802"/>
    <w:rsid w:val="00994993"/>
    <w:rsid w:val="009949C5"/>
    <w:rsid w:val="00994A75"/>
    <w:rsid w:val="00994B6C"/>
    <w:rsid w:val="00994C2B"/>
    <w:rsid w:val="00994D38"/>
    <w:rsid w:val="00994E4B"/>
    <w:rsid w:val="00994FF7"/>
    <w:rsid w:val="00995013"/>
    <w:rsid w:val="00995116"/>
    <w:rsid w:val="009951B3"/>
    <w:rsid w:val="00995355"/>
    <w:rsid w:val="009955EB"/>
    <w:rsid w:val="009957ED"/>
    <w:rsid w:val="00995918"/>
    <w:rsid w:val="00995A87"/>
    <w:rsid w:val="00995D0C"/>
    <w:rsid w:val="00995DB9"/>
    <w:rsid w:val="00995E4E"/>
    <w:rsid w:val="00996014"/>
    <w:rsid w:val="0099607A"/>
    <w:rsid w:val="009963F5"/>
    <w:rsid w:val="0099646A"/>
    <w:rsid w:val="00996484"/>
    <w:rsid w:val="0099656D"/>
    <w:rsid w:val="00996572"/>
    <w:rsid w:val="009965BA"/>
    <w:rsid w:val="009965E6"/>
    <w:rsid w:val="00996839"/>
    <w:rsid w:val="009968AC"/>
    <w:rsid w:val="00996A49"/>
    <w:rsid w:val="00996B63"/>
    <w:rsid w:val="00996EBE"/>
    <w:rsid w:val="00996FDF"/>
    <w:rsid w:val="00997043"/>
    <w:rsid w:val="009972D7"/>
    <w:rsid w:val="009972FD"/>
    <w:rsid w:val="009974CA"/>
    <w:rsid w:val="009975C1"/>
    <w:rsid w:val="009975DD"/>
    <w:rsid w:val="00997715"/>
    <w:rsid w:val="0099771F"/>
    <w:rsid w:val="009977B7"/>
    <w:rsid w:val="00997807"/>
    <w:rsid w:val="00997857"/>
    <w:rsid w:val="00997913"/>
    <w:rsid w:val="00997BE2"/>
    <w:rsid w:val="00997CCF"/>
    <w:rsid w:val="00997CD3"/>
    <w:rsid w:val="00997D7D"/>
    <w:rsid w:val="00997DAF"/>
    <w:rsid w:val="009A020E"/>
    <w:rsid w:val="009A027A"/>
    <w:rsid w:val="009A0572"/>
    <w:rsid w:val="009A05CA"/>
    <w:rsid w:val="009A063D"/>
    <w:rsid w:val="009A06DE"/>
    <w:rsid w:val="009A07A3"/>
    <w:rsid w:val="009A0A0F"/>
    <w:rsid w:val="009A0A55"/>
    <w:rsid w:val="009A0AE1"/>
    <w:rsid w:val="009A0B94"/>
    <w:rsid w:val="009A0D8F"/>
    <w:rsid w:val="009A0F2E"/>
    <w:rsid w:val="009A1070"/>
    <w:rsid w:val="009A11C1"/>
    <w:rsid w:val="009A11DC"/>
    <w:rsid w:val="009A122A"/>
    <w:rsid w:val="009A12CC"/>
    <w:rsid w:val="009A12DB"/>
    <w:rsid w:val="009A15CC"/>
    <w:rsid w:val="009A15F8"/>
    <w:rsid w:val="009A18BE"/>
    <w:rsid w:val="009A1C6A"/>
    <w:rsid w:val="009A1F28"/>
    <w:rsid w:val="009A1F5D"/>
    <w:rsid w:val="009A1F5F"/>
    <w:rsid w:val="009A217C"/>
    <w:rsid w:val="009A22DC"/>
    <w:rsid w:val="009A24A5"/>
    <w:rsid w:val="009A26A0"/>
    <w:rsid w:val="009A277A"/>
    <w:rsid w:val="009A2873"/>
    <w:rsid w:val="009A2A18"/>
    <w:rsid w:val="009A2A7F"/>
    <w:rsid w:val="009A2B11"/>
    <w:rsid w:val="009A2B20"/>
    <w:rsid w:val="009A2B66"/>
    <w:rsid w:val="009A2CAF"/>
    <w:rsid w:val="009A2CFB"/>
    <w:rsid w:val="009A2DA5"/>
    <w:rsid w:val="009A2DC5"/>
    <w:rsid w:val="009A2E2D"/>
    <w:rsid w:val="009A2E50"/>
    <w:rsid w:val="009A3022"/>
    <w:rsid w:val="009A303B"/>
    <w:rsid w:val="009A3058"/>
    <w:rsid w:val="009A30E7"/>
    <w:rsid w:val="009A32AB"/>
    <w:rsid w:val="009A3474"/>
    <w:rsid w:val="009A3573"/>
    <w:rsid w:val="009A3A98"/>
    <w:rsid w:val="009A3B5D"/>
    <w:rsid w:val="009A3CBF"/>
    <w:rsid w:val="009A3DCB"/>
    <w:rsid w:val="009A3DE2"/>
    <w:rsid w:val="009A3FCB"/>
    <w:rsid w:val="009A402A"/>
    <w:rsid w:val="009A41BC"/>
    <w:rsid w:val="009A425E"/>
    <w:rsid w:val="009A4370"/>
    <w:rsid w:val="009A4377"/>
    <w:rsid w:val="009A43BB"/>
    <w:rsid w:val="009A443A"/>
    <w:rsid w:val="009A445C"/>
    <w:rsid w:val="009A460B"/>
    <w:rsid w:val="009A4614"/>
    <w:rsid w:val="009A4A22"/>
    <w:rsid w:val="009A4AAC"/>
    <w:rsid w:val="009A4AB4"/>
    <w:rsid w:val="009A4BFE"/>
    <w:rsid w:val="009A4D62"/>
    <w:rsid w:val="009A514D"/>
    <w:rsid w:val="009A5158"/>
    <w:rsid w:val="009A5172"/>
    <w:rsid w:val="009A5173"/>
    <w:rsid w:val="009A557A"/>
    <w:rsid w:val="009A5587"/>
    <w:rsid w:val="009A558D"/>
    <w:rsid w:val="009A55A9"/>
    <w:rsid w:val="009A5975"/>
    <w:rsid w:val="009A5B3C"/>
    <w:rsid w:val="009A5E07"/>
    <w:rsid w:val="009A5FF8"/>
    <w:rsid w:val="009A6043"/>
    <w:rsid w:val="009A617B"/>
    <w:rsid w:val="009A6246"/>
    <w:rsid w:val="009A6294"/>
    <w:rsid w:val="009A65AF"/>
    <w:rsid w:val="009A6612"/>
    <w:rsid w:val="009A66E4"/>
    <w:rsid w:val="009A68B7"/>
    <w:rsid w:val="009A68C7"/>
    <w:rsid w:val="009A6B28"/>
    <w:rsid w:val="009A6D89"/>
    <w:rsid w:val="009A6DFF"/>
    <w:rsid w:val="009A6ECE"/>
    <w:rsid w:val="009A6EDB"/>
    <w:rsid w:val="009A70BA"/>
    <w:rsid w:val="009A70D3"/>
    <w:rsid w:val="009A71A2"/>
    <w:rsid w:val="009A72A5"/>
    <w:rsid w:val="009A7429"/>
    <w:rsid w:val="009A74DD"/>
    <w:rsid w:val="009A74E3"/>
    <w:rsid w:val="009A766A"/>
    <w:rsid w:val="009A767F"/>
    <w:rsid w:val="009A768E"/>
    <w:rsid w:val="009A7724"/>
    <w:rsid w:val="009A7BB1"/>
    <w:rsid w:val="009A7C27"/>
    <w:rsid w:val="009B0096"/>
    <w:rsid w:val="009B00BE"/>
    <w:rsid w:val="009B0127"/>
    <w:rsid w:val="009B0B0A"/>
    <w:rsid w:val="009B0B23"/>
    <w:rsid w:val="009B0C3E"/>
    <w:rsid w:val="009B0CAB"/>
    <w:rsid w:val="009B0F6B"/>
    <w:rsid w:val="009B0FE3"/>
    <w:rsid w:val="009B1178"/>
    <w:rsid w:val="009B1324"/>
    <w:rsid w:val="009B1507"/>
    <w:rsid w:val="009B168E"/>
    <w:rsid w:val="009B16DB"/>
    <w:rsid w:val="009B187C"/>
    <w:rsid w:val="009B19B1"/>
    <w:rsid w:val="009B19D3"/>
    <w:rsid w:val="009B1C32"/>
    <w:rsid w:val="009B1D0B"/>
    <w:rsid w:val="009B1DF9"/>
    <w:rsid w:val="009B2149"/>
    <w:rsid w:val="009B22DA"/>
    <w:rsid w:val="009B2344"/>
    <w:rsid w:val="009B23AD"/>
    <w:rsid w:val="009B2547"/>
    <w:rsid w:val="009B25AA"/>
    <w:rsid w:val="009B25CD"/>
    <w:rsid w:val="009B263C"/>
    <w:rsid w:val="009B27CE"/>
    <w:rsid w:val="009B2865"/>
    <w:rsid w:val="009B2946"/>
    <w:rsid w:val="009B297F"/>
    <w:rsid w:val="009B2BDA"/>
    <w:rsid w:val="009B2C2C"/>
    <w:rsid w:val="009B2D53"/>
    <w:rsid w:val="009B2D86"/>
    <w:rsid w:val="009B2D9D"/>
    <w:rsid w:val="009B2EA0"/>
    <w:rsid w:val="009B310A"/>
    <w:rsid w:val="009B313C"/>
    <w:rsid w:val="009B315B"/>
    <w:rsid w:val="009B3464"/>
    <w:rsid w:val="009B368E"/>
    <w:rsid w:val="009B3756"/>
    <w:rsid w:val="009B3784"/>
    <w:rsid w:val="009B3C67"/>
    <w:rsid w:val="009B3C8B"/>
    <w:rsid w:val="009B3D3C"/>
    <w:rsid w:val="009B3EA0"/>
    <w:rsid w:val="009B3EB0"/>
    <w:rsid w:val="009B3F85"/>
    <w:rsid w:val="009B40A9"/>
    <w:rsid w:val="009B40B5"/>
    <w:rsid w:val="009B4336"/>
    <w:rsid w:val="009B448C"/>
    <w:rsid w:val="009B44DE"/>
    <w:rsid w:val="009B467B"/>
    <w:rsid w:val="009B48A9"/>
    <w:rsid w:val="009B4929"/>
    <w:rsid w:val="009B49F8"/>
    <w:rsid w:val="009B4CA9"/>
    <w:rsid w:val="009B4CFB"/>
    <w:rsid w:val="009B4D3C"/>
    <w:rsid w:val="009B4D51"/>
    <w:rsid w:val="009B4D81"/>
    <w:rsid w:val="009B4D87"/>
    <w:rsid w:val="009B4E14"/>
    <w:rsid w:val="009B4EB0"/>
    <w:rsid w:val="009B4F65"/>
    <w:rsid w:val="009B4FBB"/>
    <w:rsid w:val="009B5183"/>
    <w:rsid w:val="009B525A"/>
    <w:rsid w:val="009B5269"/>
    <w:rsid w:val="009B528F"/>
    <w:rsid w:val="009B5447"/>
    <w:rsid w:val="009B552C"/>
    <w:rsid w:val="009B567F"/>
    <w:rsid w:val="009B56B3"/>
    <w:rsid w:val="009B5812"/>
    <w:rsid w:val="009B58C7"/>
    <w:rsid w:val="009B59B2"/>
    <w:rsid w:val="009B59B5"/>
    <w:rsid w:val="009B5A32"/>
    <w:rsid w:val="009B5AED"/>
    <w:rsid w:val="009B5B0A"/>
    <w:rsid w:val="009B5B50"/>
    <w:rsid w:val="009B5BCB"/>
    <w:rsid w:val="009B5D5D"/>
    <w:rsid w:val="009B5DEA"/>
    <w:rsid w:val="009B60D3"/>
    <w:rsid w:val="009B62A0"/>
    <w:rsid w:val="009B6397"/>
    <w:rsid w:val="009B641B"/>
    <w:rsid w:val="009B6535"/>
    <w:rsid w:val="009B68E2"/>
    <w:rsid w:val="009B6901"/>
    <w:rsid w:val="009B6BB5"/>
    <w:rsid w:val="009B6BBD"/>
    <w:rsid w:val="009B6C01"/>
    <w:rsid w:val="009B6D30"/>
    <w:rsid w:val="009B6E9B"/>
    <w:rsid w:val="009B702C"/>
    <w:rsid w:val="009B7073"/>
    <w:rsid w:val="009B710E"/>
    <w:rsid w:val="009B717A"/>
    <w:rsid w:val="009B7220"/>
    <w:rsid w:val="009B735F"/>
    <w:rsid w:val="009B7582"/>
    <w:rsid w:val="009B75BA"/>
    <w:rsid w:val="009B76F5"/>
    <w:rsid w:val="009B77A0"/>
    <w:rsid w:val="009B77E3"/>
    <w:rsid w:val="009B7898"/>
    <w:rsid w:val="009B7C72"/>
    <w:rsid w:val="009B7D79"/>
    <w:rsid w:val="009C029E"/>
    <w:rsid w:val="009C03DF"/>
    <w:rsid w:val="009C0839"/>
    <w:rsid w:val="009C0BCC"/>
    <w:rsid w:val="009C0F7D"/>
    <w:rsid w:val="009C10D8"/>
    <w:rsid w:val="009C10E6"/>
    <w:rsid w:val="009C1266"/>
    <w:rsid w:val="009C1431"/>
    <w:rsid w:val="009C173F"/>
    <w:rsid w:val="009C1770"/>
    <w:rsid w:val="009C1827"/>
    <w:rsid w:val="009C1B27"/>
    <w:rsid w:val="009C1E1D"/>
    <w:rsid w:val="009C1FF0"/>
    <w:rsid w:val="009C206B"/>
    <w:rsid w:val="009C21EA"/>
    <w:rsid w:val="009C22C8"/>
    <w:rsid w:val="009C22DD"/>
    <w:rsid w:val="009C239B"/>
    <w:rsid w:val="009C2479"/>
    <w:rsid w:val="009C249D"/>
    <w:rsid w:val="009C2500"/>
    <w:rsid w:val="009C27A0"/>
    <w:rsid w:val="009C27B1"/>
    <w:rsid w:val="009C27FF"/>
    <w:rsid w:val="009C2C91"/>
    <w:rsid w:val="009C2E06"/>
    <w:rsid w:val="009C2E62"/>
    <w:rsid w:val="009C2E7D"/>
    <w:rsid w:val="009C2F6E"/>
    <w:rsid w:val="009C2F93"/>
    <w:rsid w:val="009C300A"/>
    <w:rsid w:val="009C31B7"/>
    <w:rsid w:val="009C3616"/>
    <w:rsid w:val="009C3733"/>
    <w:rsid w:val="009C37CE"/>
    <w:rsid w:val="009C3980"/>
    <w:rsid w:val="009C3A6D"/>
    <w:rsid w:val="009C3D51"/>
    <w:rsid w:val="009C3E38"/>
    <w:rsid w:val="009C3E60"/>
    <w:rsid w:val="009C3FB2"/>
    <w:rsid w:val="009C40BF"/>
    <w:rsid w:val="009C40F3"/>
    <w:rsid w:val="009C419F"/>
    <w:rsid w:val="009C4252"/>
    <w:rsid w:val="009C43D7"/>
    <w:rsid w:val="009C4665"/>
    <w:rsid w:val="009C4721"/>
    <w:rsid w:val="009C4751"/>
    <w:rsid w:val="009C4785"/>
    <w:rsid w:val="009C4992"/>
    <w:rsid w:val="009C4AAF"/>
    <w:rsid w:val="009C4C91"/>
    <w:rsid w:val="009C4CCF"/>
    <w:rsid w:val="009C4DDA"/>
    <w:rsid w:val="009C513B"/>
    <w:rsid w:val="009C51E7"/>
    <w:rsid w:val="009C523C"/>
    <w:rsid w:val="009C52E5"/>
    <w:rsid w:val="009C544E"/>
    <w:rsid w:val="009C55A8"/>
    <w:rsid w:val="009C572C"/>
    <w:rsid w:val="009C576E"/>
    <w:rsid w:val="009C58A7"/>
    <w:rsid w:val="009C58BA"/>
    <w:rsid w:val="009C58C1"/>
    <w:rsid w:val="009C5901"/>
    <w:rsid w:val="009C5A2C"/>
    <w:rsid w:val="009C5AC7"/>
    <w:rsid w:val="009C5B37"/>
    <w:rsid w:val="009C5B7D"/>
    <w:rsid w:val="009C5D5A"/>
    <w:rsid w:val="009C5E96"/>
    <w:rsid w:val="009C5EB8"/>
    <w:rsid w:val="009C6028"/>
    <w:rsid w:val="009C60E4"/>
    <w:rsid w:val="009C6135"/>
    <w:rsid w:val="009C62D7"/>
    <w:rsid w:val="009C6439"/>
    <w:rsid w:val="009C646F"/>
    <w:rsid w:val="009C65B0"/>
    <w:rsid w:val="009C65BE"/>
    <w:rsid w:val="009C6657"/>
    <w:rsid w:val="009C66D0"/>
    <w:rsid w:val="009C676F"/>
    <w:rsid w:val="009C69A7"/>
    <w:rsid w:val="009C6A19"/>
    <w:rsid w:val="009C6A3B"/>
    <w:rsid w:val="009C6C9D"/>
    <w:rsid w:val="009C6E5E"/>
    <w:rsid w:val="009C6F5A"/>
    <w:rsid w:val="009C7101"/>
    <w:rsid w:val="009C71B6"/>
    <w:rsid w:val="009C72DE"/>
    <w:rsid w:val="009C736B"/>
    <w:rsid w:val="009C75E9"/>
    <w:rsid w:val="009C76B9"/>
    <w:rsid w:val="009C76C0"/>
    <w:rsid w:val="009C7730"/>
    <w:rsid w:val="009C7779"/>
    <w:rsid w:val="009C78DA"/>
    <w:rsid w:val="009C78E5"/>
    <w:rsid w:val="009C793A"/>
    <w:rsid w:val="009C7B50"/>
    <w:rsid w:val="009C7B9D"/>
    <w:rsid w:val="009C7CBD"/>
    <w:rsid w:val="009C7CCC"/>
    <w:rsid w:val="009C7CE5"/>
    <w:rsid w:val="009C7DF8"/>
    <w:rsid w:val="009C7F13"/>
    <w:rsid w:val="009D012F"/>
    <w:rsid w:val="009D0134"/>
    <w:rsid w:val="009D0153"/>
    <w:rsid w:val="009D0255"/>
    <w:rsid w:val="009D0334"/>
    <w:rsid w:val="009D0495"/>
    <w:rsid w:val="009D05B7"/>
    <w:rsid w:val="009D06F8"/>
    <w:rsid w:val="009D0725"/>
    <w:rsid w:val="009D07FF"/>
    <w:rsid w:val="009D0820"/>
    <w:rsid w:val="009D0873"/>
    <w:rsid w:val="009D0976"/>
    <w:rsid w:val="009D0B09"/>
    <w:rsid w:val="009D0C31"/>
    <w:rsid w:val="009D0C7C"/>
    <w:rsid w:val="009D0C8A"/>
    <w:rsid w:val="009D0E15"/>
    <w:rsid w:val="009D0E62"/>
    <w:rsid w:val="009D1002"/>
    <w:rsid w:val="009D100B"/>
    <w:rsid w:val="009D10AA"/>
    <w:rsid w:val="009D10CF"/>
    <w:rsid w:val="009D110C"/>
    <w:rsid w:val="009D12FD"/>
    <w:rsid w:val="009D1371"/>
    <w:rsid w:val="009D1456"/>
    <w:rsid w:val="009D1A62"/>
    <w:rsid w:val="009D1A9D"/>
    <w:rsid w:val="009D1EC1"/>
    <w:rsid w:val="009D1F71"/>
    <w:rsid w:val="009D20B9"/>
    <w:rsid w:val="009D221E"/>
    <w:rsid w:val="009D2288"/>
    <w:rsid w:val="009D2471"/>
    <w:rsid w:val="009D25FB"/>
    <w:rsid w:val="009D2700"/>
    <w:rsid w:val="009D276F"/>
    <w:rsid w:val="009D283C"/>
    <w:rsid w:val="009D28B2"/>
    <w:rsid w:val="009D2942"/>
    <w:rsid w:val="009D302C"/>
    <w:rsid w:val="009D3067"/>
    <w:rsid w:val="009D3197"/>
    <w:rsid w:val="009D3368"/>
    <w:rsid w:val="009D341D"/>
    <w:rsid w:val="009D3454"/>
    <w:rsid w:val="009D36C0"/>
    <w:rsid w:val="009D3734"/>
    <w:rsid w:val="009D3803"/>
    <w:rsid w:val="009D3943"/>
    <w:rsid w:val="009D394A"/>
    <w:rsid w:val="009D397B"/>
    <w:rsid w:val="009D3A91"/>
    <w:rsid w:val="009D3ABB"/>
    <w:rsid w:val="009D3B89"/>
    <w:rsid w:val="009D3B91"/>
    <w:rsid w:val="009D3BF9"/>
    <w:rsid w:val="009D3C06"/>
    <w:rsid w:val="009D3CCE"/>
    <w:rsid w:val="009D3CD1"/>
    <w:rsid w:val="009D3E4B"/>
    <w:rsid w:val="009D3FBA"/>
    <w:rsid w:val="009D42A5"/>
    <w:rsid w:val="009D43C9"/>
    <w:rsid w:val="009D43E3"/>
    <w:rsid w:val="009D4452"/>
    <w:rsid w:val="009D44C2"/>
    <w:rsid w:val="009D44E1"/>
    <w:rsid w:val="009D473C"/>
    <w:rsid w:val="009D480C"/>
    <w:rsid w:val="009D49AB"/>
    <w:rsid w:val="009D4D70"/>
    <w:rsid w:val="009D4E21"/>
    <w:rsid w:val="009D4F3B"/>
    <w:rsid w:val="009D4FF6"/>
    <w:rsid w:val="009D50D3"/>
    <w:rsid w:val="009D515E"/>
    <w:rsid w:val="009D5168"/>
    <w:rsid w:val="009D519C"/>
    <w:rsid w:val="009D52E4"/>
    <w:rsid w:val="009D5475"/>
    <w:rsid w:val="009D54DD"/>
    <w:rsid w:val="009D55EE"/>
    <w:rsid w:val="009D5675"/>
    <w:rsid w:val="009D57A2"/>
    <w:rsid w:val="009D5825"/>
    <w:rsid w:val="009D587B"/>
    <w:rsid w:val="009D588F"/>
    <w:rsid w:val="009D58D5"/>
    <w:rsid w:val="009D5A12"/>
    <w:rsid w:val="009D5B7D"/>
    <w:rsid w:val="009D5BC2"/>
    <w:rsid w:val="009D5BF9"/>
    <w:rsid w:val="009D5DA5"/>
    <w:rsid w:val="009D5DEB"/>
    <w:rsid w:val="009D6025"/>
    <w:rsid w:val="009D62F7"/>
    <w:rsid w:val="009D652D"/>
    <w:rsid w:val="009D66AE"/>
    <w:rsid w:val="009D66CE"/>
    <w:rsid w:val="009D67AA"/>
    <w:rsid w:val="009D6920"/>
    <w:rsid w:val="009D6949"/>
    <w:rsid w:val="009D6C2E"/>
    <w:rsid w:val="009D6C58"/>
    <w:rsid w:val="009D6CE5"/>
    <w:rsid w:val="009D6D8C"/>
    <w:rsid w:val="009D715D"/>
    <w:rsid w:val="009D71D8"/>
    <w:rsid w:val="009D7246"/>
    <w:rsid w:val="009D73F1"/>
    <w:rsid w:val="009D754C"/>
    <w:rsid w:val="009D7608"/>
    <w:rsid w:val="009D7693"/>
    <w:rsid w:val="009D77D9"/>
    <w:rsid w:val="009D77DF"/>
    <w:rsid w:val="009D7946"/>
    <w:rsid w:val="009D79CE"/>
    <w:rsid w:val="009D7A6B"/>
    <w:rsid w:val="009D7B50"/>
    <w:rsid w:val="009D7CE1"/>
    <w:rsid w:val="009D7F39"/>
    <w:rsid w:val="009E00FB"/>
    <w:rsid w:val="009E02FB"/>
    <w:rsid w:val="009E0308"/>
    <w:rsid w:val="009E031F"/>
    <w:rsid w:val="009E039E"/>
    <w:rsid w:val="009E0813"/>
    <w:rsid w:val="009E0842"/>
    <w:rsid w:val="009E0919"/>
    <w:rsid w:val="009E0950"/>
    <w:rsid w:val="009E09CA"/>
    <w:rsid w:val="009E0A3A"/>
    <w:rsid w:val="009E0AF6"/>
    <w:rsid w:val="009E0D86"/>
    <w:rsid w:val="009E1023"/>
    <w:rsid w:val="009E1260"/>
    <w:rsid w:val="009E12EB"/>
    <w:rsid w:val="009E1363"/>
    <w:rsid w:val="009E13C0"/>
    <w:rsid w:val="009E14BB"/>
    <w:rsid w:val="009E1519"/>
    <w:rsid w:val="009E153F"/>
    <w:rsid w:val="009E175C"/>
    <w:rsid w:val="009E17DC"/>
    <w:rsid w:val="009E18A3"/>
    <w:rsid w:val="009E18C3"/>
    <w:rsid w:val="009E1967"/>
    <w:rsid w:val="009E1968"/>
    <w:rsid w:val="009E1AA3"/>
    <w:rsid w:val="009E1BAA"/>
    <w:rsid w:val="009E1BD1"/>
    <w:rsid w:val="009E1D10"/>
    <w:rsid w:val="009E1D19"/>
    <w:rsid w:val="009E1DD8"/>
    <w:rsid w:val="009E225D"/>
    <w:rsid w:val="009E25B6"/>
    <w:rsid w:val="009E26F2"/>
    <w:rsid w:val="009E2707"/>
    <w:rsid w:val="009E2771"/>
    <w:rsid w:val="009E2892"/>
    <w:rsid w:val="009E28A6"/>
    <w:rsid w:val="009E2A9C"/>
    <w:rsid w:val="009E2D4B"/>
    <w:rsid w:val="009E2DB0"/>
    <w:rsid w:val="009E2E37"/>
    <w:rsid w:val="009E2E6E"/>
    <w:rsid w:val="009E30A5"/>
    <w:rsid w:val="009E316C"/>
    <w:rsid w:val="009E3220"/>
    <w:rsid w:val="009E32E1"/>
    <w:rsid w:val="009E3329"/>
    <w:rsid w:val="009E33ED"/>
    <w:rsid w:val="009E35BE"/>
    <w:rsid w:val="009E36F8"/>
    <w:rsid w:val="009E3781"/>
    <w:rsid w:val="009E3A9A"/>
    <w:rsid w:val="009E3ABA"/>
    <w:rsid w:val="009E3CD5"/>
    <w:rsid w:val="009E3CD8"/>
    <w:rsid w:val="009E3CF9"/>
    <w:rsid w:val="009E3E57"/>
    <w:rsid w:val="009E3E6A"/>
    <w:rsid w:val="009E3FB4"/>
    <w:rsid w:val="009E430C"/>
    <w:rsid w:val="009E45FF"/>
    <w:rsid w:val="009E4845"/>
    <w:rsid w:val="009E48D8"/>
    <w:rsid w:val="009E4BB2"/>
    <w:rsid w:val="009E4CB2"/>
    <w:rsid w:val="009E5000"/>
    <w:rsid w:val="009E504F"/>
    <w:rsid w:val="009E505D"/>
    <w:rsid w:val="009E513E"/>
    <w:rsid w:val="009E5449"/>
    <w:rsid w:val="009E5552"/>
    <w:rsid w:val="009E564D"/>
    <w:rsid w:val="009E57C6"/>
    <w:rsid w:val="009E58E4"/>
    <w:rsid w:val="009E5907"/>
    <w:rsid w:val="009E593C"/>
    <w:rsid w:val="009E5AB7"/>
    <w:rsid w:val="009E5AD8"/>
    <w:rsid w:val="009E5C03"/>
    <w:rsid w:val="009E5DEB"/>
    <w:rsid w:val="009E5EB3"/>
    <w:rsid w:val="009E5ED1"/>
    <w:rsid w:val="009E6014"/>
    <w:rsid w:val="009E61CF"/>
    <w:rsid w:val="009E636C"/>
    <w:rsid w:val="009E642E"/>
    <w:rsid w:val="009E6453"/>
    <w:rsid w:val="009E64B9"/>
    <w:rsid w:val="009E67A5"/>
    <w:rsid w:val="009E6E2A"/>
    <w:rsid w:val="009E7209"/>
    <w:rsid w:val="009E73E9"/>
    <w:rsid w:val="009E7472"/>
    <w:rsid w:val="009E75CB"/>
    <w:rsid w:val="009E772F"/>
    <w:rsid w:val="009E78E1"/>
    <w:rsid w:val="009E7A3E"/>
    <w:rsid w:val="009E7A7F"/>
    <w:rsid w:val="009E7B7D"/>
    <w:rsid w:val="009E7BA7"/>
    <w:rsid w:val="009E7C5D"/>
    <w:rsid w:val="009E7CA4"/>
    <w:rsid w:val="009E7CD2"/>
    <w:rsid w:val="009E7CD5"/>
    <w:rsid w:val="009E7D03"/>
    <w:rsid w:val="009E7D27"/>
    <w:rsid w:val="009E7D72"/>
    <w:rsid w:val="009E7DD5"/>
    <w:rsid w:val="009E7E78"/>
    <w:rsid w:val="009F00BA"/>
    <w:rsid w:val="009F026A"/>
    <w:rsid w:val="009F026C"/>
    <w:rsid w:val="009F03C2"/>
    <w:rsid w:val="009F03FF"/>
    <w:rsid w:val="009F0475"/>
    <w:rsid w:val="009F0781"/>
    <w:rsid w:val="009F0786"/>
    <w:rsid w:val="009F08A3"/>
    <w:rsid w:val="009F0AAA"/>
    <w:rsid w:val="009F0B7B"/>
    <w:rsid w:val="009F0BAB"/>
    <w:rsid w:val="009F0CA6"/>
    <w:rsid w:val="009F0D41"/>
    <w:rsid w:val="009F0D52"/>
    <w:rsid w:val="009F0DB9"/>
    <w:rsid w:val="009F0EDB"/>
    <w:rsid w:val="009F0EE2"/>
    <w:rsid w:val="009F0F77"/>
    <w:rsid w:val="009F1127"/>
    <w:rsid w:val="009F11A7"/>
    <w:rsid w:val="009F1468"/>
    <w:rsid w:val="009F1634"/>
    <w:rsid w:val="009F187A"/>
    <w:rsid w:val="009F1CDD"/>
    <w:rsid w:val="009F2254"/>
    <w:rsid w:val="009F23A7"/>
    <w:rsid w:val="009F23CB"/>
    <w:rsid w:val="009F2458"/>
    <w:rsid w:val="009F24B1"/>
    <w:rsid w:val="009F24F7"/>
    <w:rsid w:val="009F27E7"/>
    <w:rsid w:val="009F2906"/>
    <w:rsid w:val="009F292F"/>
    <w:rsid w:val="009F29BB"/>
    <w:rsid w:val="009F2A19"/>
    <w:rsid w:val="009F2AAB"/>
    <w:rsid w:val="009F2BC5"/>
    <w:rsid w:val="009F2D23"/>
    <w:rsid w:val="009F2DAB"/>
    <w:rsid w:val="009F2E00"/>
    <w:rsid w:val="009F30FF"/>
    <w:rsid w:val="009F3132"/>
    <w:rsid w:val="009F353D"/>
    <w:rsid w:val="009F35C5"/>
    <w:rsid w:val="009F35F9"/>
    <w:rsid w:val="009F3701"/>
    <w:rsid w:val="009F371B"/>
    <w:rsid w:val="009F3761"/>
    <w:rsid w:val="009F3878"/>
    <w:rsid w:val="009F3920"/>
    <w:rsid w:val="009F3B3C"/>
    <w:rsid w:val="009F3BE7"/>
    <w:rsid w:val="009F3C09"/>
    <w:rsid w:val="009F3DF7"/>
    <w:rsid w:val="009F3F35"/>
    <w:rsid w:val="009F3F57"/>
    <w:rsid w:val="009F3FD8"/>
    <w:rsid w:val="009F4134"/>
    <w:rsid w:val="009F4283"/>
    <w:rsid w:val="009F42C2"/>
    <w:rsid w:val="009F4314"/>
    <w:rsid w:val="009F43CA"/>
    <w:rsid w:val="009F4414"/>
    <w:rsid w:val="009F445E"/>
    <w:rsid w:val="009F44E1"/>
    <w:rsid w:val="009F456A"/>
    <w:rsid w:val="009F4751"/>
    <w:rsid w:val="009F485C"/>
    <w:rsid w:val="009F4862"/>
    <w:rsid w:val="009F48C0"/>
    <w:rsid w:val="009F49BB"/>
    <w:rsid w:val="009F4A50"/>
    <w:rsid w:val="009F4BEE"/>
    <w:rsid w:val="009F4C06"/>
    <w:rsid w:val="009F4C9E"/>
    <w:rsid w:val="009F4CB3"/>
    <w:rsid w:val="009F4FCF"/>
    <w:rsid w:val="009F5151"/>
    <w:rsid w:val="009F5234"/>
    <w:rsid w:val="009F52FB"/>
    <w:rsid w:val="009F5766"/>
    <w:rsid w:val="009F5904"/>
    <w:rsid w:val="009F5E0D"/>
    <w:rsid w:val="009F5E2E"/>
    <w:rsid w:val="009F5FA4"/>
    <w:rsid w:val="009F601F"/>
    <w:rsid w:val="009F64BD"/>
    <w:rsid w:val="009F64FD"/>
    <w:rsid w:val="009F662B"/>
    <w:rsid w:val="009F6636"/>
    <w:rsid w:val="009F6639"/>
    <w:rsid w:val="009F6707"/>
    <w:rsid w:val="009F6726"/>
    <w:rsid w:val="009F6755"/>
    <w:rsid w:val="009F684F"/>
    <w:rsid w:val="009F6985"/>
    <w:rsid w:val="009F6B54"/>
    <w:rsid w:val="009F6B64"/>
    <w:rsid w:val="009F6BCD"/>
    <w:rsid w:val="009F6D5F"/>
    <w:rsid w:val="009F6EC5"/>
    <w:rsid w:val="009F6FDC"/>
    <w:rsid w:val="009F704E"/>
    <w:rsid w:val="009F707A"/>
    <w:rsid w:val="009F709A"/>
    <w:rsid w:val="009F70CA"/>
    <w:rsid w:val="009F721C"/>
    <w:rsid w:val="009F7417"/>
    <w:rsid w:val="009F771A"/>
    <w:rsid w:val="009F77ED"/>
    <w:rsid w:val="009F782B"/>
    <w:rsid w:val="009F7898"/>
    <w:rsid w:val="009F798D"/>
    <w:rsid w:val="009F7A2E"/>
    <w:rsid w:val="009F7B3B"/>
    <w:rsid w:val="009F7C4D"/>
    <w:rsid w:val="009F7C8A"/>
    <w:rsid w:val="009F7D1B"/>
    <w:rsid w:val="009F7D23"/>
    <w:rsid w:val="009F7E25"/>
    <w:rsid w:val="009F7EA9"/>
    <w:rsid w:val="009F7F04"/>
    <w:rsid w:val="00A00166"/>
    <w:rsid w:val="00A0027F"/>
    <w:rsid w:val="00A00377"/>
    <w:rsid w:val="00A00391"/>
    <w:rsid w:val="00A00439"/>
    <w:rsid w:val="00A00763"/>
    <w:rsid w:val="00A0084E"/>
    <w:rsid w:val="00A009C4"/>
    <w:rsid w:val="00A00D6E"/>
    <w:rsid w:val="00A00DA2"/>
    <w:rsid w:val="00A00DB9"/>
    <w:rsid w:val="00A00E32"/>
    <w:rsid w:val="00A01042"/>
    <w:rsid w:val="00A010C6"/>
    <w:rsid w:val="00A011BD"/>
    <w:rsid w:val="00A01251"/>
    <w:rsid w:val="00A013FE"/>
    <w:rsid w:val="00A01416"/>
    <w:rsid w:val="00A01465"/>
    <w:rsid w:val="00A01554"/>
    <w:rsid w:val="00A01613"/>
    <w:rsid w:val="00A016B4"/>
    <w:rsid w:val="00A0176F"/>
    <w:rsid w:val="00A01817"/>
    <w:rsid w:val="00A019F1"/>
    <w:rsid w:val="00A01B0A"/>
    <w:rsid w:val="00A01B5F"/>
    <w:rsid w:val="00A01C88"/>
    <w:rsid w:val="00A01CA2"/>
    <w:rsid w:val="00A01D3E"/>
    <w:rsid w:val="00A01DEC"/>
    <w:rsid w:val="00A01E96"/>
    <w:rsid w:val="00A01FC4"/>
    <w:rsid w:val="00A020C0"/>
    <w:rsid w:val="00A0242A"/>
    <w:rsid w:val="00A024E9"/>
    <w:rsid w:val="00A025BB"/>
    <w:rsid w:val="00A026E3"/>
    <w:rsid w:val="00A0288B"/>
    <w:rsid w:val="00A02A5A"/>
    <w:rsid w:val="00A02B0C"/>
    <w:rsid w:val="00A02C9F"/>
    <w:rsid w:val="00A02CA5"/>
    <w:rsid w:val="00A02D82"/>
    <w:rsid w:val="00A02E2F"/>
    <w:rsid w:val="00A02E99"/>
    <w:rsid w:val="00A02EFA"/>
    <w:rsid w:val="00A02F22"/>
    <w:rsid w:val="00A03002"/>
    <w:rsid w:val="00A0313B"/>
    <w:rsid w:val="00A03187"/>
    <w:rsid w:val="00A0329D"/>
    <w:rsid w:val="00A033CE"/>
    <w:rsid w:val="00A034AB"/>
    <w:rsid w:val="00A034EE"/>
    <w:rsid w:val="00A03523"/>
    <w:rsid w:val="00A03659"/>
    <w:rsid w:val="00A03678"/>
    <w:rsid w:val="00A0375F"/>
    <w:rsid w:val="00A037C8"/>
    <w:rsid w:val="00A037D9"/>
    <w:rsid w:val="00A039AC"/>
    <w:rsid w:val="00A03A3E"/>
    <w:rsid w:val="00A0400F"/>
    <w:rsid w:val="00A0419C"/>
    <w:rsid w:val="00A04282"/>
    <w:rsid w:val="00A04353"/>
    <w:rsid w:val="00A043FD"/>
    <w:rsid w:val="00A04538"/>
    <w:rsid w:val="00A04652"/>
    <w:rsid w:val="00A047C8"/>
    <w:rsid w:val="00A0487B"/>
    <w:rsid w:val="00A048DF"/>
    <w:rsid w:val="00A04A88"/>
    <w:rsid w:val="00A04A93"/>
    <w:rsid w:val="00A04AD5"/>
    <w:rsid w:val="00A04EE7"/>
    <w:rsid w:val="00A04F3B"/>
    <w:rsid w:val="00A04FB0"/>
    <w:rsid w:val="00A05041"/>
    <w:rsid w:val="00A05341"/>
    <w:rsid w:val="00A053D0"/>
    <w:rsid w:val="00A0549D"/>
    <w:rsid w:val="00A054D2"/>
    <w:rsid w:val="00A05670"/>
    <w:rsid w:val="00A057D6"/>
    <w:rsid w:val="00A05C77"/>
    <w:rsid w:val="00A05CD7"/>
    <w:rsid w:val="00A05E30"/>
    <w:rsid w:val="00A06016"/>
    <w:rsid w:val="00A061F6"/>
    <w:rsid w:val="00A0621F"/>
    <w:rsid w:val="00A063D8"/>
    <w:rsid w:val="00A064E1"/>
    <w:rsid w:val="00A06506"/>
    <w:rsid w:val="00A06508"/>
    <w:rsid w:val="00A065BE"/>
    <w:rsid w:val="00A0670B"/>
    <w:rsid w:val="00A067CD"/>
    <w:rsid w:val="00A06AFD"/>
    <w:rsid w:val="00A06B17"/>
    <w:rsid w:val="00A06B33"/>
    <w:rsid w:val="00A06C1F"/>
    <w:rsid w:val="00A06CD3"/>
    <w:rsid w:val="00A06D3F"/>
    <w:rsid w:val="00A0705B"/>
    <w:rsid w:val="00A0713F"/>
    <w:rsid w:val="00A07224"/>
    <w:rsid w:val="00A07351"/>
    <w:rsid w:val="00A073CA"/>
    <w:rsid w:val="00A075C9"/>
    <w:rsid w:val="00A07619"/>
    <w:rsid w:val="00A077C1"/>
    <w:rsid w:val="00A077E3"/>
    <w:rsid w:val="00A078B9"/>
    <w:rsid w:val="00A078FD"/>
    <w:rsid w:val="00A079F5"/>
    <w:rsid w:val="00A07A49"/>
    <w:rsid w:val="00A07B5A"/>
    <w:rsid w:val="00A10012"/>
    <w:rsid w:val="00A100EE"/>
    <w:rsid w:val="00A1017A"/>
    <w:rsid w:val="00A102CA"/>
    <w:rsid w:val="00A103A7"/>
    <w:rsid w:val="00A103D1"/>
    <w:rsid w:val="00A10452"/>
    <w:rsid w:val="00A10598"/>
    <w:rsid w:val="00A1066C"/>
    <w:rsid w:val="00A106C8"/>
    <w:rsid w:val="00A107D4"/>
    <w:rsid w:val="00A10851"/>
    <w:rsid w:val="00A10A1F"/>
    <w:rsid w:val="00A10BA2"/>
    <w:rsid w:val="00A10C08"/>
    <w:rsid w:val="00A10C1C"/>
    <w:rsid w:val="00A10DE6"/>
    <w:rsid w:val="00A10EC3"/>
    <w:rsid w:val="00A110B8"/>
    <w:rsid w:val="00A110D1"/>
    <w:rsid w:val="00A110DE"/>
    <w:rsid w:val="00A111AD"/>
    <w:rsid w:val="00A1121D"/>
    <w:rsid w:val="00A112C4"/>
    <w:rsid w:val="00A113F5"/>
    <w:rsid w:val="00A115DD"/>
    <w:rsid w:val="00A11659"/>
    <w:rsid w:val="00A11789"/>
    <w:rsid w:val="00A11A79"/>
    <w:rsid w:val="00A11DB6"/>
    <w:rsid w:val="00A11DBC"/>
    <w:rsid w:val="00A11E6C"/>
    <w:rsid w:val="00A121B3"/>
    <w:rsid w:val="00A12213"/>
    <w:rsid w:val="00A122D6"/>
    <w:rsid w:val="00A124B0"/>
    <w:rsid w:val="00A12593"/>
    <w:rsid w:val="00A12A66"/>
    <w:rsid w:val="00A12B00"/>
    <w:rsid w:val="00A12B67"/>
    <w:rsid w:val="00A12D1B"/>
    <w:rsid w:val="00A12DA7"/>
    <w:rsid w:val="00A12E10"/>
    <w:rsid w:val="00A12F39"/>
    <w:rsid w:val="00A130C5"/>
    <w:rsid w:val="00A131C7"/>
    <w:rsid w:val="00A134F3"/>
    <w:rsid w:val="00A13589"/>
    <w:rsid w:val="00A13662"/>
    <w:rsid w:val="00A13904"/>
    <w:rsid w:val="00A13A17"/>
    <w:rsid w:val="00A13AB2"/>
    <w:rsid w:val="00A13BD0"/>
    <w:rsid w:val="00A13C6A"/>
    <w:rsid w:val="00A13D14"/>
    <w:rsid w:val="00A13E3B"/>
    <w:rsid w:val="00A13E42"/>
    <w:rsid w:val="00A13F30"/>
    <w:rsid w:val="00A13F82"/>
    <w:rsid w:val="00A142EE"/>
    <w:rsid w:val="00A1446F"/>
    <w:rsid w:val="00A144F8"/>
    <w:rsid w:val="00A14588"/>
    <w:rsid w:val="00A145A7"/>
    <w:rsid w:val="00A146CB"/>
    <w:rsid w:val="00A1470C"/>
    <w:rsid w:val="00A14977"/>
    <w:rsid w:val="00A14A1B"/>
    <w:rsid w:val="00A14A97"/>
    <w:rsid w:val="00A14AD1"/>
    <w:rsid w:val="00A14F55"/>
    <w:rsid w:val="00A14FDA"/>
    <w:rsid w:val="00A15291"/>
    <w:rsid w:val="00A15383"/>
    <w:rsid w:val="00A1541F"/>
    <w:rsid w:val="00A1554B"/>
    <w:rsid w:val="00A15564"/>
    <w:rsid w:val="00A15570"/>
    <w:rsid w:val="00A157E3"/>
    <w:rsid w:val="00A158DA"/>
    <w:rsid w:val="00A15AF0"/>
    <w:rsid w:val="00A15B79"/>
    <w:rsid w:val="00A15D60"/>
    <w:rsid w:val="00A15D71"/>
    <w:rsid w:val="00A15EF3"/>
    <w:rsid w:val="00A160D1"/>
    <w:rsid w:val="00A163EF"/>
    <w:rsid w:val="00A1649E"/>
    <w:rsid w:val="00A165C4"/>
    <w:rsid w:val="00A16610"/>
    <w:rsid w:val="00A16664"/>
    <w:rsid w:val="00A166F1"/>
    <w:rsid w:val="00A16749"/>
    <w:rsid w:val="00A16A12"/>
    <w:rsid w:val="00A16AC3"/>
    <w:rsid w:val="00A16ACC"/>
    <w:rsid w:val="00A16BF5"/>
    <w:rsid w:val="00A16C5E"/>
    <w:rsid w:val="00A16CAC"/>
    <w:rsid w:val="00A16DCA"/>
    <w:rsid w:val="00A16EEA"/>
    <w:rsid w:val="00A16F38"/>
    <w:rsid w:val="00A170D9"/>
    <w:rsid w:val="00A17118"/>
    <w:rsid w:val="00A1745A"/>
    <w:rsid w:val="00A1782E"/>
    <w:rsid w:val="00A17870"/>
    <w:rsid w:val="00A17942"/>
    <w:rsid w:val="00A17A54"/>
    <w:rsid w:val="00A17AF4"/>
    <w:rsid w:val="00A17BB6"/>
    <w:rsid w:val="00A17C61"/>
    <w:rsid w:val="00A17D7F"/>
    <w:rsid w:val="00A201F1"/>
    <w:rsid w:val="00A203E1"/>
    <w:rsid w:val="00A204D0"/>
    <w:rsid w:val="00A20570"/>
    <w:rsid w:val="00A205B6"/>
    <w:rsid w:val="00A206D1"/>
    <w:rsid w:val="00A207F2"/>
    <w:rsid w:val="00A20ADD"/>
    <w:rsid w:val="00A20B53"/>
    <w:rsid w:val="00A20B7D"/>
    <w:rsid w:val="00A20DE9"/>
    <w:rsid w:val="00A20EEC"/>
    <w:rsid w:val="00A20F34"/>
    <w:rsid w:val="00A21529"/>
    <w:rsid w:val="00A216CE"/>
    <w:rsid w:val="00A216E7"/>
    <w:rsid w:val="00A21776"/>
    <w:rsid w:val="00A217D4"/>
    <w:rsid w:val="00A218F8"/>
    <w:rsid w:val="00A21A00"/>
    <w:rsid w:val="00A21A1D"/>
    <w:rsid w:val="00A21AC8"/>
    <w:rsid w:val="00A21B61"/>
    <w:rsid w:val="00A21E55"/>
    <w:rsid w:val="00A21EDB"/>
    <w:rsid w:val="00A22175"/>
    <w:rsid w:val="00A22605"/>
    <w:rsid w:val="00A226A3"/>
    <w:rsid w:val="00A2272F"/>
    <w:rsid w:val="00A22A41"/>
    <w:rsid w:val="00A22BE4"/>
    <w:rsid w:val="00A22D06"/>
    <w:rsid w:val="00A22D6A"/>
    <w:rsid w:val="00A22E0D"/>
    <w:rsid w:val="00A23126"/>
    <w:rsid w:val="00A231A4"/>
    <w:rsid w:val="00A232A9"/>
    <w:rsid w:val="00A234A1"/>
    <w:rsid w:val="00A234AE"/>
    <w:rsid w:val="00A234E0"/>
    <w:rsid w:val="00A235CA"/>
    <w:rsid w:val="00A236CC"/>
    <w:rsid w:val="00A236D6"/>
    <w:rsid w:val="00A2386D"/>
    <w:rsid w:val="00A23980"/>
    <w:rsid w:val="00A23A27"/>
    <w:rsid w:val="00A23BD5"/>
    <w:rsid w:val="00A23F15"/>
    <w:rsid w:val="00A24139"/>
    <w:rsid w:val="00A24176"/>
    <w:rsid w:val="00A24230"/>
    <w:rsid w:val="00A242D0"/>
    <w:rsid w:val="00A24446"/>
    <w:rsid w:val="00A2447C"/>
    <w:rsid w:val="00A244D1"/>
    <w:rsid w:val="00A247D8"/>
    <w:rsid w:val="00A24A56"/>
    <w:rsid w:val="00A24AAD"/>
    <w:rsid w:val="00A24AD4"/>
    <w:rsid w:val="00A24F33"/>
    <w:rsid w:val="00A25047"/>
    <w:rsid w:val="00A25466"/>
    <w:rsid w:val="00A254B2"/>
    <w:rsid w:val="00A255F6"/>
    <w:rsid w:val="00A25616"/>
    <w:rsid w:val="00A256BE"/>
    <w:rsid w:val="00A25700"/>
    <w:rsid w:val="00A257A8"/>
    <w:rsid w:val="00A25A11"/>
    <w:rsid w:val="00A25AA9"/>
    <w:rsid w:val="00A25D66"/>
    <w:rsid w:val="00A25EE0"/>
    <w:rsid w:val="00A2607F"/>
    <w:rsid w:val="00A26220"/>
    <w:rsid w:val="00A2637C"/>
    <w:rsid w:val="00A263B8"/>
    <w:rsid w:val="00A26408"/>
    <w:rsid w:val="00A267B2"/>
    <w:rsid w:val="00A268DA"/>
    <w:rsid w:val="00A26977"/>
    <w:rsid w:val="00A26A5B"/>
    <w:rsid w:val="00A26AB1"/>
    <w:rsid w:val="00A26B9C"/>
    <w:rsid w:val="00A26C1C"/>
    <w:rsid w:val="00A26C84"/>
    <w:rsid w:val="00A26D01"/>
    <w:rsid w:val="00A27029"/>
    <w:rsid w:val="00A2738F"/>
    <w:rsid w:val="00A276CE"/>
    <w:rsid w:val="00A277F7"/>
    <w:rsid w:val="00A2787A"/>
    <w:rsid w:val="00A279BD"/>
    <w:rsid w:val="00A279E5"/>
    <w:rsid w:val="00A27B42"/>
    <w:rsid w:val="00A27B63"/>
    <w:rsid w:val="00A27FCF"/>
    <w:rsid w:val="00A300C2"/>
    <w:rsid w:val="00A30215"/>
    <w:rsid w:val="00A3022B"/>
    <w:rsid w:val="00A30274"/>
    <w:rsid w:val="00A30358"/>
    <w:rsid w:val="00A3064C"/>
    <w:rsid w:val="00A30765"/>
    <w:rsid w:val="00A309D5"/>
    <w:rsid w:val="00A309DD"/>
    <w:rsid w:val="00A30C03"/>
    <w:rsid w:val="00A30CB8"/>
    <w:rsid w:val="00A30CF6"/>
    <w:rsid w:val="00A30DC0"/>
    <w:rsid w:val="00A311C9"/>
    <w:rsid w:val="00A31335"/>
    <w:rsid w:val="00A31359"/>
    <w:rsid w:val="00A31562"/>
    <w:rsid w:val="00A31612"/>
    <w:rsid w:val="00A31665"/>
    <w:rsid w:val="00A31791"/>
    <w:rsid w:val="00A317E3"/>
    <w:rsid w:val="00A317E9"/>
    <w:rsid w:val="00A319AD"/>
    <w:rsid w:val="00A31A6A"/>
    <w:rsid w:val="00A31AD0"/>
    <w:rsid w:val="00A31CCC"/>
    <w:rsid w:val="00A31CDB"/>
    <w:rsid w:val="00A3214C"/>
    <w:rsid w:val="00A323C1"/>
    <w:rsid w:val="00A324B2"/>
    <w:rsid w:val="00A32683"/>
    <w:rsid w:val="00A32687"/>
    <w:rsid w:val="00A327F7"/>
    <w:rsid w:val="00A328E4"/>
    <w:rsid w:val="00A329E7"/>
    <w:rsid w:val="00A32A0F"/>
    <w:rsid w:val="00A32AA8"/>
    <w:rsid w:val="00A32AFB"/>
    <w:rsid w:val="00A32C63"/>
    <w:rsid w:val="00A32D5B"/>
    <w:rsid w:val="00A32F65"/>
    <w:rsid w:val="00A33033"/>
    <w:rsid w:val="00A330AA"/>
    <w:rsid w:val="00A3323E"/>
    <w:rsid w:val="00A332B4"/>
    <w:rsid w:val="00A3339A"/>
    <w:rsid w:val="00A3368F"/>
    <w:rsid w:val="00A336B6"/>
    <w:rsid w:val="00A3373A"/>
    <w:rsid w:val="00A33750"/>
    <w:rsid w:val="00A33756"/>
    <w:rsid w:val="00A339BD"/>
    <w:rsid w:val="00A33A46"/>
    <w:rsid w:val="00A33C0B"/>
    <w:rsid w:val="00A33C3F"/>
    <w:rsid w:val="00A33CEC"/>
    <w:rsid w:val="00A33E3B"/>
    <w:rsid w:val="00A33F38"/>
    <w:rsid w:val="00A33FCB"/>
    <w:rsid w:val="00A34007"/>
    <w:rsid w:val="00A340BE"/>
    <w:rsid w:val="00A340F2"/>
    <w:rsid w:val="00A3432E"/>
    <w:rsid w:val="00A34344"/>
    <w:rsid w:val="00A348DB"/>
    <w:rsid w:val="00A34EE9"/>
    <w:rsid w:val="00A3520F"/>
    <w:rsid w:val="00A353B8"/>
    <w:rsid w:val="00A353D3"/>
    <w:rsid w:val="00A3542E"/>
    <w:rsid w:val="00A35473"/>
    <w:rsid w:val="00A35589"/>
    <w:rsid w:val="00A35599"/>
    <w:rsid w:val="00A35684"/>
    <w:rsid w:val="00A35759"/>
    <w:rsid w:val="00A358CC"/>
    <w:rsid w:val="00A35993"/>
    <w:rsid w:val="00A3599D"/>
    <w:rsid w:val="00A35CEC"/>
    <w:rsid w:val="00A35EA6"/>
    <w:rsid w:val="00A362A0"/>
    <w:rsid w:val="00A3639B"/>
    <w:rsid w:val="00A36941"/>
    <w:rsid w:val="00A36A2B"/>
    <w:rsid w:val="00A36BF8"/>
    <w:rsid w:val="00A36D86"/>
    <w:rsid w:val="00A36E0E"/>
    <w:rsid w:val="00A36E4D"/>
    <w:rsid w:val="00A36F0F"/>
    <w:rsid w:val="00A37099"/>
    <w:rsid w:val="00A370C4"/>
    <w:rsid w:val="00A3711F"/>
    <w:rsid w:val="00A37311"/>
    <w:rsid w:val="00A37774"/>
    <w:rsid w:val="00A3784D"/>
    <w:rsid w:val="00A378D1"/>
    <w:rsid w:val="00A37B92"/>
    <w:rsid w:val="00A37BA7"/>
    <w:rsid w:val="00A37EAA"/>
    <w:rsid w:val="00A37F4F"/>
    <w:rsid w:val="00A37FCF"/>
    <w:rsid w:val="00A4023C"/>
    <w:rsid w:val="00A402C8"/>
    <w:rsid w:val="00A40407"/>
    <w:rsid w:val="00A4040D"/>
    <w:rsid w:val="00A40424"/>
    <w:rsid w:val="00A404C4"/>
    <w:rsid w:val="00A406BE"/>
    <w:rsid w:val="00A406D0"/>
    <w:rsid w:val="00A408BC"/>
    <w:rsid w:val="00A40943"/>
    <w:rsid w:val="00A40AB1"/>
    <w:rsid w:val="00A40B27"/>
    <w:rsid w:val="00A40D69"/>
    <w:rsid w:val="00A40DD3"/>
    <w:rsid w:val="00A40E89"/>
    <w:rsid w:val="00A40FEB"/>
    <w:rsid w:val="00A4103B"/>
    <w:rsid w:val="00A41130"/>
    <w:rsid w:val="00A413AC"/>
    <w:rsid w:val="00A413BC"/>
    <w:rsid w:val="00A414C8"/>
    <w:rsid w:val="00A41854"/>
    <w:rsid w:val="00A41967"/>
    <w:rsid w:val="00A41A11"/>
    <w:rsid w:val="00A41C2F"/>
    <w:rsid w:val="00A41C98"/>
    <w:rsid w:val="00A41ED3"/>
    <w:rsid w:val="00A41EFF"/>
    <w:rsid w:val="00A41F1C"/>
    <w:rsid w:val="00A42313"/>
    <w:rsid w:val="00A424E3"/>
    <w:rsid w:val="00A42574"/>
    <w:rsid w:val="00A427A5"/>
    <w:rsid w:val="00A42870"/>
    <w:rsid w:val="00A428F0"/>
    <w:rsid w:val="00A42C83"/>
    <w:rsid w:val="00A42D8A"/>
    <w:rsid w:val="00A42E01"/>
    <w:rsid w:val="00A42EF0"/>
    <w:rsid w:val="00A430C8"/>
    <w:rsid w:val="00A430E9"/>
    <w:rsid w:val="00A43542"/>
    <w:rsid w:val="00A4361C"/>
    <w:rsid w:val="00A436D3"/>
    <w:rsid w:val="00A438C4"/>
    <w:rsid w:val="00A438CA"/>
    <w:rsid w:val="00A4399B"/>
    <w:rsid w:val="00A43A79"/>
    <w:rsid w:val="00A43AD3"/>
    <w:rsid w:val="00A43D1E"/>
    <w:rsid w:val="00A43D3E"/>
    <w:rsid w:val="00A43DA3"/>
    <w:rsid w:val="00A44208"/>
    <w:rsid w:val="00A4444B"/>
    <w:rsid w:val="00A444F2"/>
    <w:rsid w:val="00A4465C"/>
    <w:rsid w:val="00A4466D"/>
    <w:rsid w:val="00A446F9"/>
    <w:rsid w:val="00A44724"/>
    <w:rsid w:val="00A44AC6"/>
    <w:rsid w:val="00A45029"/>
    <w:rsid w:val="00A45031"/>
    <w:rsid w:val="00A4508B"/>
    <w:rsid w:val="00A450CA"/>
    <w:rsid w:val="00A450E3"/>
    <w:rsid w:val="00A45153"/>
    <w:rsid w:val="00A452DE"/>
    <w:rsid w:val="00A452EA"/>
    <w:rsid w:val="00A453E3"/>
    <w:rsid w:val="00A45A5C"/>
    <w:rsid w:val="00A45B42"/>
    <w:rsid w:val="00A45ED8"/>
    <w:rsid w:val="00A4608D"/>
    <w:rsid w:val="00A4613D"/>
    <w:rsid w:val="00A461D4"/>
    <w:rsid w:val="00A46350"/>
    <w:rsid w:val="00A4635A"/>
    <w:rsid w:val="00A46369"/>
    <w:rsid w:val="00A4657B"/>
    <w:rsid w:val="00A465A4"/>
    <w:rsid w:val="00A465DC"/>
    <w:rsid w:val="00A465EE"/>
    <w:rsid w:val="00A467C5"/>
    <w:rsid w:val="00A46817"/>
    <w:rsid w:val="00A46892"/>
    <w:rsid w:val="00A46946"/>
    <w:rsid w:val="00A46DFE"/>
    <w:rsid w:val="00A4710A"/>
    <w:rsid w:val="00A47122"/>
    <w:rsid w:val="00A471FF"/>
    <w:rsid w:val="00A472A5"/>
    <w:rsid w:val="00A47426"/>
    <w:rsid w:val="00A474D7"/>
    <w:rsid w:val="00A47700"/>
    <w:rsid w:val="00A4774F"/>
    <w:rsid w:val="00A4788E"/>
    <w:rsid w:val="00A47989"/>
    <w:rsid w:val="00A47AB5"/>
    <w:rsid w:val="00A47C4A"/>
    <w:rsid w:val="00A47D06"/>
    <w:rsid w:val="00A47D77"/>
    <w:rsid w:val="00A47EEB"/>
    <w:rsid w:val="00A47EF0"/>
    <w:rsid w:val="00A47F95"/>
    <w:rsid w:val="00A47FA2"/>
    <w:rsid w:val="00A5013F"/>
    <w:rsid w:val="00A50341"/>
    <w:rsid w:val="00A50448"/>
    <w:rsid w:val="00A50825"/>
    <w:rsid w:val="00A5094C"/>
    <w:rsid w:val="00A50B1B"/>
    <w:rsid w:val="00A50C81"/>
    <w:rsid w:val="00A50D1F"/>
    <w:rsid w:val="00A50D4D"/>
    <w:rsid w:val="00A50DD0"/>
    <w:rsid w:val="00A51194"/>
    <w:rsid w:val="00A512A5"/>
    <w:rsid w:val="00A512B6"/>
    <w:rsid w:val="00A51384"/>
    <w:rsid w:val="00A51491"/>
    <w:rsid w:val="00A51655"/>
    <w:rsid w:val="00A5175D"/>
    <w:rsid w:val="00A517BD"/>
    <w:rsid w:val="00A51883"/>
    <w:rsid w:val="00A51979"/>
    <w:rsid w:val="00A519AD"/>
    <w:rsid w:val="00A51A7E"/>
    <w:rsid w:val="00A51B5C"/>
    <w:rsid w:val="00A51F20"/>
    <w:rsid w:val="00A5200C"/>
    <w:rsid w:val="00A5215E"/>
    <w:rsid w:val="00A52281"/>
    <w:rsid w:val="00A522B0"/>
    <w:rsid w:val="00A523E2"/>
    <w:rsid w:val="00A52400"/>
    <w:rsid w:val="00A52525"/>
    <w:rsid w:val="00A526B4"/>
    <w:rsid w:val="00A527A4"/>
    <w:rsid w:val="00A52870"/>
    <w:rsid w:val="00A52B5A"/>
    <w:rsid w:val="00A52C55"/>
    <w:rsid w:val="00A52CAC"/>
    <w:rsid w:val="00A52E7B"/>
    <w:rsid w:val="00A53059"/>
    <w:rsid w:val="00A531DB"/>
    <w:rsid w:val="00A53211"/>
    <w:rsid w:val="00A53381"/>
    <w:rsid w:val="00A533C4"/>
    <w:rsid w:val="00A53427"/>
    <w:rsid w:val="00A534A8"/>
    <w:rsid w:val="00A534FF"/>
    <w:rsid w:val="00A5355A"/>
    <w:rsid w:val="00A5388B"/>
    <w:rsid w:val="00A53C59"/>
    <w:rsid w:val="00A53CF7"/>
    <w:rsid w:val="00A53D47"/>
    <w:rsid w:val="00A54132"/>
    <w:rsid w:val="00A54291"/>
    <w:rsid w:val="00A542AF"/>
    <w:rsid w:val="00A543BC"/>
    <w:rsid w:val="00A54544"/>
    <w:rsid w:val="00A5459B"/>
    <w:rsid w:val="00A5476F"/>
    <w:rsid w:val="00A54824"/>
    <w:rsid w:val="00A54A76"/>
    <w:rsid w:val="00A54C0A"/>
    <w:rsid w:val="00A54CC0"/>
    <w:rsid w:val="00A54D03"/>
    <w:rsid w:val="00A5520C"/>
    <w:rsid w:val="00A55217"/>
    <w:rsid w:val="00A55233"/>
    <w:rsid w:val="00A55394"/>
    <w:rsid w:val="00A5571D"/>
    <w:rsid w:val="00A557EB"/>
    <w:rsid w:val="00A5593A"/>
    <w:rsid w:val="00A559D1"/>
    <w:rsid w:val="00A559E4"/>
    <w:rsid w:val="00A55A09"/>
    <w:rsid w:val="00A55B7A"/>
    <w:rsid w:val="00A55BF3"/>
    <w:rsid w:val="00A55CED"/>
    <w:rsid w:val="00A55E01"/>
    <w:rsid w:val="00A55EE1"/>
    <w:rsid w:val="00A55F4F"/>
    <w:rsid w:val="00A56112"/>
    <w:rsid w:val="00A561BD"/>
    <w:rsid w:val="00A56228"/>
    <w:rsid w:val="00A5623D"/>
    <w:rsid w:val="00A562B6"/>
    <w:rsid w:val="00A564B7"/>
    <w:rsid w:val="00A56502"/>
    <w:rsid w:val="00A566BF"/>
    <w:rsid w:val="00A56BED"/>
    <w:rsid w:val="00A56D79"/>
    <w:rsid w:val="00A56FA0"/>
    <w:rsid w:val="00A56FFD"/>
    <w:rsid w:val="00A57252"/>
    <w:rsid w:val="00A57257"/>
    <w:rsid w:val="00A5735B"/>
    <w:rsid w:val="00A5740F"/>
    <w:rsid w:val="00A5743C"/>
    <w:rsid w:val="00A574CC"/>
    <w:rsid w:val="00A575B5"/>
    <w:rsid w:val="00A57664"/>
    <w:rsid w:val="00A57698"/>
    <w:rsid w:val="00A576D3"/>
    <w:rsid w:val="00A57867"/>
    <w:rsid w:val="00A57A09"/>
    <w:rsid w:val="00A57A50"/>
    <w:rsid w:val="00A600E4"/>
    <w:rsid w:val="00A6019E"/>
    <w:rsid w:val="00A601D3"/>
    <w:rsid w:val="00A6063D"/>
    <w:rsid w:val="00A6065E"/>
    <w:rsid w:val="00A608F1"/>
    <w:rsid w:val="00A609BF"/>
    <w:rsid w:val="00A60AA9"/>
    <w:rsid w:val="00A60BB6"/>
    <w:rsid w:val="00A60CA0"/>
    <w:rsid w:val="00A60CF7"/>
    <w:rsid w:val="00A60DF6"/>
    <w:rsid w:val="00A60FDE"/>
    <w:rsid w:val="00A61185"/>
    <w:rsid w:val="00A612B0"/>
    <w:rsid w:val="00A614AB"/>
    <w:rsid w:val="00A61660"/>
    <w:rsid w:val="00A616C0"/>
    <w:rsid w:val="00A61945"/>
    <w:rsid w:val="00A61973"/>
    <w:rsid w:val="00A61BA0"/>
    <w:rsid w:val="00A61CB1"/>
    <w:rsid w:val="00A61F32"/>
    <w:rsid w:val="00A6225C"/>
    <w:rsid w:val="00A6266A"/>
    <w:rsid w:val="00A6273E"/>
    <w:rsid w:val="00A627F2"/>
    <w:rsid w:val="00A62881"/>
    <w:rsid w:val="00A62AB4"/>
    <w:rsid w:val="00A62ADB"/>
    <w:rsid w:val="00A62B20"/>
    <w:rsid w:val="00A62C33"/>
    <w:rsid w:val="00A62F07"/>
    <w:rsid w:val="00A62F4A"/>
    <w:rsid w:val="00A62FB7"/>
    <w:rsid w:val="00A62FDA"/>
    <w:rsid w:val="00A63033"/>
    <w:rsid w:val="00A63077"/>
    <w:rsid w:val="00A632C3"/>
    <w:rsid w:val="00A63352"/>
    <w:rsid w:val="00A6337A"/>
    <w:rsid w:val="00A633DF"/>
    <w:rsid w:val="00A633EC"/>
    <w:rsid w:val="00A636F7"/>
    <w:rsid w:val="00A638CF"/>
    <w:rsid w:val="00A63C4C"/>
    <w:rsid w:val="00A63CDE"/>
    <w:rsid w:val="00A63D04"/>
    <w:rsid w:val="00A641A2"/>
    <w:rsid w:val="00A64335"/>
    <w:rsid w:val="00A649DE"/>
    <w:rsid w:val="00A649EE"/>
    <w:rsid w:val="00A64A16"/>
    <w:rsid w:val="00A64B00"/>
    <w:rsid w:val="00A64B37"/>
    <w:rsid w:val="00A64C40"/>
    <w:rsid w:val="00A64CA2"/>
    <w:rsid w:val="00A64CF3"/>
    <w:rsid w:val="00A64DE1"/>
    <w:rsid w:val="00A64F1C"/>
    <w:rsid w:val="00A651C3"/>
    <w:rsid w:val="00A653C7"/>
    <w:rsid w:val="00A6554A"/>
    <w:rsid w:val="00A65862"/>
    <w:rsid w:val="00A65B61"/>
    <w:rsid w:val="00A65B94"/>
    <w:rsid w:val="00A65C3B"/>
    <w:rsid w:val="00A65CB3"/>
    <w:rsid w:val="00A65E5B"/>
    <w:rsid w:val="00A65F04"/>
    <w:rsid w:val="00A66113"/>
    <w:rsid w:val="00A663F5"/>
    <w:rsid w:val="00A66587"/>
    <w:rsid w:val="00A665B1"/>
    <w:rsid w:val="00A665EA"/>
    <w:rsid w:val="00A668C4"/>
    <w:rsid w:val="00A66CCF"/>
    <w:rsid w:val="00A66D51"/>
    <w:rsid w:val="00A66DCE"/>
    <w:rsid w:val="00A66E5C"/>
    <w:rsid w:val="00A66E71"/>
    <w:rsid w:val="00A66FD2"/>
    <w:rsid w:val="00A67098"/>
    <w:rsid w:val="00A6729A"/>
    <w:rsid w:val="00A672FF"/>
    <w:rsid w:val="00A6731C"/>
    <w:rsid w:val="00A6792E"/>
    <w:rsid w:val="00A67C7E"/>
    <w:rsid w:val="00A67D2D"/>
    <w:rsid w:val="00A67D68"/>
    <w:rsid w:val="00A67DBF"/>
    <w:rsid w:val="00A70021"/>
    <w:rsid w:val="00A70043"/>
    <w:rsid w:val="00A703AF"/>
    <w:rsid w:val="00A7059F"/>
    <w:rsid w:val="00A705C5"/>
    <w:rsid w:val="00A706ED"/>
    <w:rsid w:val="00A707DA"/>
    <w:rsid w:val="00A70B66"/>
    <w:rsid w:val="00A70B7A"/>
    <w:rsid w:val="00A71019"/>
    <w:rsid w:val="00A7106B"/>
    <w:rsid w:val="00A71113"/>
    <w:rsid w:val="00A7114C"/>
    <w:rsid w:val="00A7122E"/>
    <w:rsid w:val="00A7133F"/>
    <w:rsid w:val="00A713A7"/>
    <w:rsid w:val="00A7147A"/>
    <w:rsid w:val="00A71494"/>
    <w:rsid w:val="00A714B4"/>
    <w:rsid w:val="00A7159C"/>
    <w:rsid w:val="00A715F7"/>
    <w:rsid w:val="00A7164A"/>
    <w:rsid w:val="00A71678"/>
    <w:rsid w:val="00A716EB"/>
    <w:rsid w:val="00A71C6B"/>
    <w:rsid w:val="00A71DB5"/>
    <w:rsid w:val="00A71E1E"/>
    <w:rsid w:val="00A71ED5"/>
    <w:rsid w:val="00A721DC"/>
    <w:rsid w:val="00A7229C"/>
    <w:rsid w:val="00A72831"/>
    <w:rsid w:val="00A72B60"/>
    <w:rsid w:val="00A72D11"/>
    <w:rsid w:val="00A72D6F"/>
    <w:rsid w:val="00A72E4D"/>
    <w:rsid w:val="00A72F05"/>
    <w:rsid w:val="00A72FCC"/>
    <w:rsid w:val="00A730B6"/>
    <w:rsid w:val="00A730EA"/>
    <w:rsid w:val="00A7318F"/>
    <w:rsid w:val="00A731B2"/>
    <w:rsid w:val="00A7352F"/>
    <w:rsid w:val="00A7353E"/>
    <w:rsid w:val="00A738E4"/>
    <w:rsid w:val="00A738E9"/>
    <w:rsid w:val="00A7392E"/>
    <w:rsid w:val="00A73943"/>
    <w:rsid w:val="00A73DD4"/>
    <w:rsid w:val="00A73F1D"/>
    <w:rsid w:val="00A73FE8"/>
    <w:rsid w:val="00A74045"/>
    <w:rsid w:val="00A740BF"/>
    <w:rsid w:val="00A740F7"/>
    <w:rsid w:val="00A743FC"/>
    <w:rsid w:val="00A74444"/>
    <w:rsid w:val="00A7471C"/>
    <w:rsid w:val="00A748BA"/>
    <w:rsid w:val="00A749A8"/>
    <w:rsid w:val="00A749EF"/>
    <w:rsid w:val="00A74A4E"/>
    <w:rsid w:val="00A74C08"/>
    <w:rsid w:val="00A74D5A"/>
    <w:rsid w:val="00A74DE1"/>
    <w:rsid w:val="00A74EB2"/>
    <w:rsid w:val="00A74FC8"/>
    <w:rsid w:val="00A75065"/>
    <w:rsid w:val="00A750B6"/>
    <w:rsid w:val="00A751E4"/>
    <w:rsid w:val="00A75200"/>
    <w:rsid w:val="00A752FA"/>
    <w:rsid w:val="00A75391"/>
    <w:rsid w:val="00A754D1"/>
    <w:rsid w:val="00A756BD"/>
    <w:rsid w:val="00A756FA"/>
    <w:rsid w:val="00A75760"/>
    <w:rsid w:val="00A7597F"/>
    <w:rsid w:val="00A75A7F"/>
    <w:rsid w:val="00A75A86"/>
    <w:rsid w:val="00A75A89"/>
    <w:rsid w:val="00A75BED"/>
    <w:rsid w:val="00A75C36"/>
    <w:rsid w:val="00A75C60"/>
    <w:rsid w:val="00A75CCA"/>
    <w:rsid w:val="00A75D10"/>
    <w:rsid w:val="00A75D8B"/>
    <w:rsid w:val="00A75DF0"/>
    <w:rsid w:val="00A75EE7"/>
    <w:rsid w:val="00A75F83"/>
    <w:rsid w:val="00A760D7"/>
    <w:rsid w:val="00A7610A"/>
    <w:rsid w:val="00A7612C"/>
    <w:rsid w:val="00A763F0"/>
    <w:rsid w:val="00A763FC"/>
    <w:rsid w:val="00A765F5"/>
    <w:rsid w:val="00A76750"/>
    <w:rsid w:val="00A76757"/>
    <w:rsid w:val="00A76A1E"/>
    <w:rsid w:val="00A76C45"/>
    <w:rsid w:val="00A76C80"/>
    <w:rsid w:val="00A76C94"/>
    <w:rsid w:val="00A76D74"/>
    <w:rsid w:val="00A76FB9"/>
    <w:rsid w:val="00A77081"/>
    <w:rsid w:val="00A77536"/>
    <w:rsid w:val="00A7785E"/>
    <w:rsid w:val="00A77A77"/>
    <w:rsid w:val="00A77CC2"/>
    <w:rsid w:val="00A800D5"/>
    <w:rsid w:val="00A801B9"/>
    <w:rsid w:val="00A80441"/>
    <w:rsid w:val="00A80499"/>
    <w:rsid w:val="00A804E2"/>
    <w:rsid w:val="00A806FA"/>
    <w:rsid w:val="00A8070C"/>
    <w:rsid w:val="00A8075F"/>
    <w:rsid w:val="00A80996"/>
    <w:rsid w:val="00A80A72"/>
    <w:rsid w:val="00A80B2F"/>
    <w:rsid w:val="00A80C98"/>
    <w:rsid w:val="00A80F6E"/>
    <w:rsid w:val="00A80F8D"/>
    <w:rsid w:val="00A80F92"/>
    <w:rsid w:val="00A81195"/>
    <w:rsid w:val="00A811BD"/>
    <w:rsid w:val="00A812BF"/>
    <w:rsid w:val="00A813E3"/>
    <w:rsid w:val="00A81469"/>
    <w:rsid w:val="00A816CD"/>
    <w:rsid w:val="00A8197D"/>
    <w:rsid w:val="00A81A6A"/>
    <w:rsid w:val="00A81B8A"/>
    <w:rsid w:val="00A81BF2"/>
    <w:rsid w:val="00A81DB6"/>
    <w:rsid w:val="00A81E16"/>
    <w:rsid w:val="00A81E25"/>
    <w:rsid w:val="00A81E8A"/>
    <w:rsid w:val="00A81ECB"/>
    <w:rsid w:val="00A81F0A"/>
    <w:rsid w:val="00A81FED"/>
    <w:rsid w:val="00A82082"/>
    <w:rsid w:val="00A8247C"/>
    <w:rsid w:val="00A82605"/>
    <w:rsid w:val="00A82625"/>
    <w:rsid w:val="00A82657"/>
    <w:rsid w:val="00A82742"/>
    <w:rsid w:val="00A82782"/>
    <w:rsid w:val="00A827E7"/>
    <w:rsid w:val="00A82813"/>
    <w:rsid w:val="00A828A7"/>
    <w:rsid w:val="00A82973"/>
    <w:rsid w:val="00A82ADC"/>
    <w:rsid w:val="00A82BEA"/>
    <w:rsid w:val="00A82C2C"/>
    <w:rsid w:val="00A82DD0"/>
    <w:rsid w:val="00A82E30"/>
    <w:rsid w:val="00A82F56"/>
    <w:rsid w:val="00A8306D"/>
    <w:rsid w:val="00A830A4"/>
    <w:rsid w:val="00A834F7"/>
    <w:rsid w:val="00A8370A"/>
    <w:rsid w:val="00A83829"/>
    <w:rsid w:val="00A83862"/>
    <w:rsid w:val="00A8389C"/>
    <w:rsid w:val="00A83AB1"/>
    <w:rsid w:val="00A83AFD"/>
    <w:rsid w:val="00A83C2F"/>
    <w:rsid w:val="00A83F1E"/>
    <w:rsid w:val="00A83F53"/>
    <w:rsid w:val="00A8403A"/>
    <w:rsid w:val="00A84133"/>
    <w:rsid w:val="00A84268"/>
    <w:rsid w:val="00A842FF"/>
    <w:rsid w:val="00A84595"/>
    <w:rsid w:val="00A84755"/>
    <w:rsid w:val="00A8486C"/>
    <w:rsid w:val="00A8493A"/>
    <w:rsid w:val="00A84A5C"/>
    <w:rsid w:val="00A84F0B"/>
    <w:rsid w:val="00A84F23"/>
    <w:rsid w:val="00A851EA"/>
    <w:rsid w:val="00A8526D"/>
    <w:rsid w:val="00A853C6"/>
    <w:rsid w:val="00A854FE"/>
    <w:rsid w:val="00A8568F"/>
    <w:rsid w:val="00A856EC"/>
    <w:rsid w:val="00A8579B"/>
    <w:rsid w:val="00A857AE"/>
    <w:rsid w:val="00A857C2"/>
    <w:rsid w:val="00A85A49"/>
    <w:rsid w:val="00A85C6C"/>
    <w:rsid w:val="00A85F2D"/>
    <w:rsid w:val="00A85F56"/>
    <w:rsid w:val="00A8617D"/>
    <w:rsid w:val="00A863F4"/>
    <w:rsid w:val="00A8641C"/>
    <w:rsid w:val="00A864D8"/>
    <w:rsid w:val="00A86663"/>
    <w:rsid w:val="00A86679"/>
    <w:rsid w:val="00A8674D"/>
    <w:rsid w:val="00A867CC"/>
    <w:rsid w:val="00A868B7"/>
    <w:rsid w:val="00A8692A"/>
    <w:rsid w:val="00A86971"/>
    <w:rsid w:val="00A869F8"/>
    <w:rsid w:val="00A86A0F"/>
    <w:rsid w:val="00A86AB1"/>
    <w:rsid w:val="00A86AB8"/>
    <w:rsid w:val="00A86B08"/>
    <w:rsid w:val="00A86C7D"/>
    <w:rsid w:val="00A86CBE"/>
    <w:rsid w:val="00A8700C"/>
    <w:rsid w:val="00A87067"/>
    <w:rsid w:val="00A87077"/>
    <w:rsid w:val="00A870B2"/>
    <w:rsid w:val="00A87192"/>
    <w:rsid w:val="00A872CD"/>
    <w:rsid w:val="00A873EF"/>
    <w:rsid w:val="00A87532"/>
    <w:rsid w:val="00A876E3"/>
    <w:rsid w:val="00A8776B"/>
    <w:rsid w:val="00A87802"/>
    <w:rsid w:val="00A87991"/>
    <w:rsid w:val="00A87E41"/>
    <w:rsid w:val="00A87F50"/>
    <w:rsid w:val="00A87F75"/>
    <w:rsid w:val="00A87FCD"/>
    <w:rsid w:val="00A90029"/>
    <w:rsid w:val="00A9002E"/>
    <w:rsid w:val="00A901E6"/>
    <w:rsid w:val="00A902BD"/>
    <w:rsid w:val="00A90388"/>
    <w:rsid w:val="00A90419"/>
    <w:rsid w:val="00A90585"/>
    <w:rsid w:val="00A9070A"/>
    <w:rsid w:val="00A9077F"/>
    <w:rsid w:val="00A908A3"/>
    <w:rsid w:val="00A90A30"/>
    <w:rsid w:val="00A90ACD"/>
    <w:rsid w:val="00A90AE6"/>
    <w:rsid w:val="00A90C28"/>
    <w:rsid w:val="00A90D0E"/>
    <w:rsid w:val="00A90E7C"/>
    <w:rsid w:val="00A90EA2"/>
    <w:rsid w:val="00A91298"/>
    <w:rsid w:val="00A91482"/>
    <w:rsid w:val="00A9152F"/>
    <w:rsid w:val="00A9199C"/>
    <w:rsid w:val="00A91A49"/>
    <w:rsid w:val="00A91A59"/>
    <w:rsid w:val="00A91D69"/>
    <w:rsid w:val="00A91ED2"/>
    <w:rsid w:val="00A91FFA"/>
    <w:rsid w:val="00A92190"/>
    <w:rsid w:val="00A922A1"/>
    <w:rsid w:val="00A924FE"/>
    <w:rsid w:val="00A9250E"/>
    <w:rsid w:val="00A925C0"/>
    <w:rsid w:val="00A9263A"/>
    <w:rsid w:val="00A9267A"/>
    <w:rsid w:val="00A927EA"/>
    <w:rsid w:val="00A928C5"/>
    <w:rsid w:val="00A92A3F"/>
    <w:rsid w:val="00A92D00"/>
    <w:rsid w:val="00A92DE2"/>
    <w:rsid w:val="00A92F27"/>
    <w:rsid w:val="00A92FE9"/>
    <w:rsid w:val="00A93428"/>
    <w:rsid w:val="00A9351F"/>
    <w:rsid w:val="00A93790"/>
    <w:rsid w:val="00A937DC"/>
    <w:rsid w:val="00A93801"/>
    <w:rsid w:val="00A939FD"/>
    <w:rsid w:val="00A93D3E"/>
    <w:rsid w:val="00A93E85"/>
    <w:rsid w:val="00A93FC0"/>
    <w:rsid w:val="00A93FCA"/>
    <w:rsid w:val="00A94019"/>
    <w:rsid w:val="00A94228"/>
    <w:rsid w:val="00A943B1"/>
    <w:rsid w:val="00A9442F"/>
    <w:rsid w:val="00A94463"/>
    <w:rsid w:val="00A94523"/>
    <w:rsid w:val="00A9465F"/>
    <w:rsid w:val="00A9477B"/>
    <w:rsid w:val="00A947C4"/>
    <w:rsid w:val="00A94829"/>
    <w:rsid w:val="00A9497D"/>
    <w:rsid w:val="00A94B94"/>
    <w:rsid w:val="00A94C5F"/>
    <w:rsid w:val="00A94E1F"/>
    <w:rsid w:val="00A95173"/>
    <w:rsid w:val="00A95313"/>
    <w:rsid w:val="00A95353"/>
    <w:rsid w:val="00A955BC"/>
    <w:rsid w:val="00A9560C"/>
    <w:rsid w:val="00A95732"/>
    <w:rsid w:val="00A95854"/>
    <w:rsid w:val="00A95864"/>
    <w:rsid w:val="00A95A9E"/>
    <w:rsid w:val="00A95C95"/>
    <w:rsid w:val="00A95DF5"/>
    <w:rsid w:val="00A95F32"/>
    <w:rsid w:val="00A95FB4"/>
    <w:rsid w:val="00A960A1"/>
    <w:rsid w:val="00A964EB"/>
    <w:rsid w:val="00A96702"/>
    <w:rsid w:val="00A96793"/>
    <w:rsid w:val="00A96803"/>
    <w:rsid w:val="00A96976"/>
    <w:rsid w:val="00A969BD"/>
    <w:rsid w:val="00A96A6B"/>
    <w:rsid w:val="00A96C0C"/>
    <w:rsid w:val="00A96EEC"/>
    <w:rsid w:val="00A96FFF"/>
    <w:rsid w:val="00A9702A"/>
    <w:rsid w:val="00A97037"/>
    <w:rsid w:val="00A9720E"/>
    <w:rsid w:val="00A972B9"/>
    <w:rsid w:val="00A972E3"/>
    <w:rsid w:val="00A973C3"/>
    <w:rsid w:val="00A974AF"/>
    <w:rsid w:val="00A974CD"/>
    <w:rsid w:val="00A97584"/>
    <w:rsid w:val="00A9760B"/>
    <w:rsid w:val="00A976B2"/>
    <w:rsid w:val="00A97763"/>
    <w:rsid w:val="00A978DC"/>
    <w:rsid w:val="00A97A65"/>
    <w:rsid w:val="00A97C0B"/>
    <w:rsid w:val="00A97C9C"/>
    <w:rsid w:val="00A97EB2"/>
    <w:rsid w:val="00A97FB1"/>
    <w:rsid w:val="00AA011A"/>
    <w:rsid w:val="00AA01F6"/>
    <w:rsid w:val="00AA024F"/>
    <w:rsid w:val="00AA0276"/>
    <w:rsid w:val="00AA04E1"/>
    <w:rsid w:val="00AA0645"/>
    <w:rsid w:val="00AA06E6"/>
    <w:rsid w:val="00AA0BB8"/>
    <w:rsid w:val="00AA0CDF"/>
    <w:rsid w:val="00AA0D2C"/>
    <w:rsid w:val="00AA0DBD"/>
    <w:rsid w:val="00AA0F36"/>
    <w:rsid w:val="00AA0F5F"/>
    <w:rsid w:val="00AA1358"/>
    <w:rsid w:val="00AA13AB"/>
    <w:rsid w:val="00AA14A9"/>
    <w:rsid w:val="00AA153A"/>
    <w:rsid w:val="00AA1782"/>
    <w:rsid w:val="00AA1886"/>
    <w:rsid w:val="00AA18E8"/>
    <w:rsid w:val="00AA19E9"/>
    <w:rsid w:val="00AA1A1B"/>
    <w:rsid w:val="00AA1AE9"/>
    <w:rsid w:val="00AA1BA3"/>
    <w:rsid w:val="00AA1BE4"/>
    <w:rsid w:val="00AA1CFF"/>
    <w:rsid w:val="00AA1D58"/>
    <w:rsid w:val="00AA1E40"/>
    <w:rsid w:val="00AA1F19"/>
    <w:rsid w:val="00AA1F5C"/>
    <w:rsid w:val="00AA2084"/>
    <w:rsid w:val="00AA212F"/>
    <w:rsid w:val="00AA22E3"/>
    <w:rsid w:val="00AA2338"/>
    <w:rsid w:val="00AA2593"/>
    <w:rsid w:val="00AA2645"/>
    <w:rsid w:val="00AA28DA"/>
    <w:rsid w:val="00AA28F2"/>
    <w:rsid w:val="00AA2AE8"/>
    <w:rsid w:val="00AA2B23"/>
    <w:rsid w:val="00AA2CE7"/>
    <w:rsid w:val="00AA2F68"/>
    <w:rsid w:val="00AA3124"/>
    <w:rsid w:val="00AA3197"/>
    <w:rsid w:val="00AA35B4"/>
    <w:rsid w:val="00AA3648"/>
    <w:rsid w:val="00AA36B5"/>
    <w:rsid w:val="00AA3783"/>
    <w:rsid w:val="00AA379C"/>
    <w:rsid w:val="00AA3C2B"/>
    <w:rsid w:val="00AA3C74"/>
    <w:rsid w:val="00AA3DDD"/>
    <w:rsid w:val="00AA3E70"/>
    <w:rsid w:val="00AA4001"/>
    <w:rsid w:val="00AA4085"/>
    <w:rsid w:val="00AA413C"/>
    <w:rsid w:val="00AA41D2"/>
    <w:rsid w:val="00AA42DC"/>
    <w:rsid w:val="00AA44AF"/>
    <w:rsid w:val="00AA4693"/>
    <w:rsid w:val="00AA4965"/>
    <w:rsid w:val="00AA49A6"/>
    <w:rsid w:val="00AA49D3"/>
    <w:rsid w:val="00AA4A53"/>
    <w:rsid w:val="00AA4D3C"/>
    <w:rsid w:val="00AA50D2"/>
    <w:rsid w:val="00AA5277"/>
    <w:rsid w:val="00AA5397"/>
    <w:rsid w:val="00AA5657"/>
    <w:rsid w:val="00AA58D0"/>
    <w:rsid w:val="00AA5A4D"/>
    <w:rsid w:val="00AA5B4A"/>
    <w:rsid w:val="00AA5E8B"/>
    <w:rsid w:val="00AA5EF0"/>
    <w:rsid w:val="00AA5EFC"/>
    <w:rsid w:val="00AA5F2C"/>
    <w:rsid w:val="00AA5F9B"/>
    <w:rsid w:val="00AA5FD8"/>
    <w:rsid w:val="00AA60FA"/>
    <w:rsid w:val="00AA6213"/>
    <w:rsid w:val="00AA6220"/>
    <w:rsid w:val="00AA634E"/>
    <w:rsid w:val="00AA64F9"/>
    <w:rsid w:val="00AA65BF"/>
    <w:rsid w:val="00AA65E1"/>
    <w:rsid w:val="00AA67B2"/>
    <w:rsid w:val="00AA698B"/>
    <w:rsid w:val="00AA6A7D"/>
    <w:rsid w:val="00AA6A89"/>
    <w:rsid w:val="00AA6BE1"/>
    <w:rsid w:val="00AA6BFA"/>
    <w:rsid w:val="00AA6C1F"/>
    <w:rsid w:val="00AA6C42"/>
    <w:rsid w:val="00AA6C6A"/>
    <w:rsid w:val="00AA6CD9"/>
    <w:rsid w:val="00AA6D54"/>
    <w:rsid w:val="00AA6D5F"/>
    <w:rsid w:val="00AA6E10"/>
    <w:rsid w:val="00AA6ED2"/>
    <w:rsid w:val="00AA6F39"/>
    <w:rsid w:val="00AA6F55"/>
    <w:rsid w:val="00AA6F64"/>
    <w:rsid w:val="00AA6FEA"/>
    <w:rsid w:val="00AA7246"/>
    <w:rsid w:val="00AA7257"/>
    <w:rsid w:val="00AA7382"/>
    <w:rsid w:val="00AA7526"/>
    <w:rsid w:val="00AA762B"/>
    <w:rsid w:val="00AA77FF"/>
    <w:rsid w:val="00AA78D1"/>
    <w:rsid w:val="00AA78F0"/>
    <w:rsid w:val="00AA7A7F"/>
    <w:rsid w:val="00AA7AAF"/>
    <w:rsid w:val="00AA7F8F"/>
    <w:rsid w:val="00AB0040"/>
    <w:rsid w:val="00AB004D"/>
    <w:rsid w:val="00AB00E6"/>
    <w:rsid w:val="00AB00FE"/>
    <w:rsid w:val="00AB0186"/>
    <w:rsid w:val="00AB01D8"/>
    <w:rsid w:val="00AB0253"/>
    <w:rsid w:val="00AB0259"/>
    <w:rsid w:val="00AB0477"/>
    <w:rsid w:val="00AB059B"/>
    <w:rsid w:val="00AB077B"/>
    <w:rsid w:val="00AB0800"/>
    <w:rsid w:val="00AB0837"/>
    <w:rsid w:val="00AB0956"/>
    <w:rsid w:val="00AB0966"/>
    <w:rsid w:val="00AB0C44"/>
    <w:rsid w:val="00AB0D57"/>
    <w:rsid w:val="00AB0DFF"/>
    <w:rsid w:val="00AB0ED2"/>
    <w:rsid w:val="00AB0FFC"/>
    <w:rsid w:val="00AB10C9"/>
    <w:rsid w:val="00AB10D8"/>
    <w:rsid w:val="00AB112D"/>
    <w:rsid w:val="00AB134B"/>
    <w:rsid w:val="00AB141D"/>
    <w:rsid w:val="00AB14C7"/>
    <w:rsid w:val="00AB1511"/>
    <w:rsid w:val="00AB15F7"/>
    <w:rsid w:val="00AB163B"/>
    <w:rsid w:val="00AB16B7"/>
    <w:rsid w:val="00AB1777"/>
    <w:rsid w:val="00AB193B"/>
    <w:rsid w:val="00AB1999"/>
    <w:rsid w:val="00AB1BC2"/>
    <w:rsid w:val="00AB1C29"/>
    <w:rsid w:val="00AB1D84"/>
    <w:rsid w:val="00AB1EA9"/>
    <w:rsid w:val="00AB2099"/>
    <w:rsid w:val="00AB23FF"/>
    <w:rsid w:val="00AB26C8"/>
    <w:rsid w:val="00AB272E"/>
    <w:rsid w:val="00AB282D"/>
    <w:rsid w:val="00AB2CD5"/>
    <w:rsid w:val="00AB2DE5"/>
    <w:rsid w:val="00AB2E3C"/>
    <w:rsid w:val="00AB2E56"/>
    <w:rsid w:val="00AB2EAD"/>
    <w:rsid w:val="00AB2F5E"/>
    <w:rsid w:val="00AB2FEA"/>
    <w:rsid w:val="00AB3037"/>
    <w:rsid w:val="00AB312C"/>
    <w:rsid w:val="00AB3555"/>
    <w:rsid w:val="00AB3794"/>
    <w:rsid w:val="00AB37C6"/>
    <w:rsid w:val="00AB380B"/>
    <w:rsid w:val="00AB3862"/>
    <w:rsid w:val="00AB38E8"/>
    <w:rsid w:val="00AB390B"/>
    <w:rsid w:val="00AB3D41"/>
    <w:rsid w:val="00AB3D52"/>
    <w:rsid w:val="00AB3DC4"/>
    <w:rsid w:val="00AB3F95"/>
    <w:rsid w:val="00AB419C"/>
    <w:rsid w:val="00AB425A"/>
    <w:rsid w:val="00AB44E4"/>
    <w:rsid w:val="00AB4588"/>
    <w:rsid w:val="00AB45F6"/>
    <w:rsid w:val="00AB467D"/>
    <w:rsid w:val="00AB480E"/>
    <w:rsid w:val="00AB4857"/>
    <w:rsid w:val="00AB4AF4"/>
    <w:rsid w:val="00AB4D85"/>
    <w:rsid w:val="00AB4F68"/>
    <w:rsid w:val="00AB5059"/>
    <w:rsid w:val="00AB5434"/>
    <w:rsid w:val="00AB54A4"/>
    <w:rsid w:val="00AB54D7"/>
    <w:rsid w:val="00AB5652"/>
    <w:rsid w:val="00AB5694"/>
    <w:rsid w:val="00AB56DC"/>
    <w:rsid w:val="00AB57A0"/>
    <w:rsid w:val="00AB58F4"/>
    <w:rsid w:val="00AB593D"/>
    <w:rsid w:val="00AB598B"/>
    <w:rsid w:val="00AB5A38"/>
    <w:rsid w:val="00AB5AFF"/>
    <w:rsid w:val="00AB5B28"/>
    <w:rsid w:val="00AB5BD4"/>
    <w:rsid w:val="00AB5C07"/>
    <w:rsid w:val="00AB5C7E"/>
    <w:rsid w:val="00AB5D21"/>
    <w:rsid w:val="00AB5DC4"/>
    <w:rsid w:val="00AB5DD2"/>
    <w:rsid w:val="00AB5FB8"/>
    <w:rsid w:val="00AB603B"/>
    <w:rsid w:val="00AB666B"/>
    <w:rsid w:val="00AB671A"/>
    <w:rsid w:val="00AB6732"/>
    <w:rsid w:val="00AB6813"/>
    <w:rsid w:val="00AB6870"/>
    <w:rsid w:val="00AB6935"/>
    <w:rsid w:val="00AB6AC9"/>
    <w:rsid w:val="00AB6C01"/>
    <w:rsid w:val="00AB6C96"/>
    <w:rsid w:val="00AB6E91"/>
    <w:rsid w:val="00AB7252"/>
    <w:rsid w:val="00AB730E"/>
    <w:rsid w:val="00AB732B"/>
    <w:rsid w:val="00AB7410"/>
    <w:rsid w:val="00AB7414"/>
    <w:rsid w:val="00AB7508"/>
    <w:rsid w:val="00AB75EF"/>
    <w:rsid w:val="00AB7801"/>
    <w:rsid w:val="00AB780A"/>
    <w:rsid w:val="00AB7933"/>
    <w:rsid w:val="00AB7BAE"/>
    <w:rsid w:val="00AB7E41"/>
    <w:rsid w:val="00AB7EF5"/>
    <w:rsid w:val="00AB7FC6"/>
    <w:rsid w:val="00AC0001"/>
    <w:rsid w:val="00AC0087"/>
    <w:rsid w:val="00AC01D8"/>
    <w:rsid w:val="00AC05E7"/>
    <w:rsid w:val="00AC0873"/>
    <w:rsid w:val="00AC0955"/>
    <w:rsid w:val="00AC095B"/>
    <w:rsid w:val="00AC0A84"/>
    <w:rsid w:val="00AC0DD9"/>
    <w:rsid w:val="00AC0F20"/>
    <w:rsid w:val="00AC121A"/>
    <w:rsid w:val="00AC12AE"/>
    <w:rsid w:val="00AC158A"/>
    <w:rsid w:val="00AC1652"/>
    <w:rsid w:val="00AC17A8"/>
    <w:rsid w:val="00AC17EA"/>
    <w:rsid w:val="00AC180C"/>
    <w:rsid w:val="00AC18B3"/>
    <w:rsid w:val="00AC1BB2"/>
    <w:rsid w:val="00AC1D6B"/>
    <w:rsid w:val="00AC1E1F"/>
    <w:rsid w:val="00AC1EB1"/>
    <w:rsid w:val="00AC1FAF"/>
    <w:rsid w:val="00AC2051"/>
    <w:rsid w:val="00AC20A9"/>
    <w:rsid w:val="00AC21BB"/>
    <w:rsid w:val="00AC22D7"/>
    <w:rsid w:val="00AC2394"/>
    <w:rsid w:val="00AC23AC"/>
    <w:rsid w:val="00AC23FD"/>
    <w:rsid w:val="00AC241F"/>
    <w:rsid w:val="00AC2497"/>
    <w:rsid w:val="00AC263F"/>
    <w:rsid w:val="00AC26BD"/>
    <w:rsid w:val="00AC2703"/>
    <w:rsid w:val="00AC2733"/>
    <w:rsid w:val="00AC2860"/>
    <w:rsid w:val="00AC2A77"/>
    <w:rsid w:val="00AC2B29"/>
    <w:rsid w:val="00AC2BEC"/>
    <w:rsid w:val="00AC2FFC"/>
    <w:rsid w:val="00AC3190"/>
    <w:rsid w:val="00AC3245"/>
    <w:rsid w:val="00AC3313"/>
    <w:rsid w:val="00AC3547"/>
    <w:rsid w:val="00AC35EC"/>
    <w:rsid w:val="00AC368B"/>
    <w:rsid w:val="00AC36A5"/>
    <w:rsid w:val="00AC3A0E"/>
    <w:rsid w:val="00AC3A8A"/>
    <w:rsid w:val="00AC3CAD"/>
    <w:rsid w:val="00AC3D55"/>
    <w:rsid w:val="00AC3E59"/>
    <w:rsid w:val="00AC3FB4"/>
    <w:rsid w:val="00AC4000"/>
    <w:rsid w:val="00AC4004"/>
    <w:rsid w:val="00AC4163"/>
    <w:rsid w:val="00AC4315"/>
    <w:rsid w:val="00AC4403"/>
    <w:rsid w:val="00AC4B6F"/>
    <w:rsid w:val="00AC4BF5"/>
    <w:rsid w:val="00AC4C2F"/>
    <w:rsid w:val="00AC4C43"/>
    <w:rsid w:val="00AC4CEA"/>
    <w:rsid w:val="00AC4F62"/>
    <w:rsid w:val="00AC50AE"/>
    <w:rsid w:val="00AC5243"/>
    <w:rsid w:val="00AC539F"/>
    <w:rsid w:val="00AC545C"/>
    <w:rsid w:val="00AC55AE"/>
    <w:rsid w:val="00AC56FF"/>
    <w:rsid w:val="00AC582C"/>
    <w:rsid w:val="00AC59A7"/>
    <w:rsid w:val="00AC5DE7"/>
    <w:rsid w:val="00AC6029"/>
    <w:rsid w:val="00AC62B6"/>
    <w:rsid w:val="00AC63DF"/>
    <w:rsid w:val="00AC6548"/>
    <w:rsid w:val="00AC65C0"/>
    <w:rsid w:val="00AC65D9"/>
    <w:rsid w:val="00AC6603"/>
    <w:rsid w:val="00AC6963"/>
    <w:rsid w:val="00AC6A26"/>
    <w:rsid w:val="00AC6BF6"/>
    <w:rsid w:val="00AC6DD6"/>
    <w:rsid w:val="00AC7125"/>
    <w:rsid w:val="00AC7331"/>
    <w:rsid w:val="00AC733D"/>
    <w:rsid w:val="00AC76D0"/>
    <w:rsid w:val="00AC77A1"/>
    <w:rsid w:val="00AC77A5"/>
    <w:rsid w:val="00AC77B3"/>
    <w:rsid w:val="00AC7EB3"/>
    <w:rsid w:val="00AC7FD5"/>
    <w:rsid w:val="00AD0060"/>
    <w:rsid w:val="00AD0245"/>
    <w:rsid w:val="00AD0307"/>
    <w:rsid w:val="00AD0422"/>
    <w:rsid w:val="00AD0465"/>
    <w:rsid w:val="00AD0584"/>
    <w:rsid w:val="00AD06BF"/>
    <w:rsid w:val="00AD0751"/>
    <w:rsid w:val="00AD0791"/>
    <w:rsid w:val="00AD08A6"/>
    <w:rsid w:val="00AD0B1B"/>
    <w:rsid w:val="00AD0C85"/>
    <w:rsid w:val="00AD0CA7"/>
    <w:rsid w:val="00AD1013"/>
    <w:rsid w:val="00AD10E2"/>
    <w:rsid w:val="00AD126B"/>
    <w:rsid w:val="00AD1313"/>
    <w:rsid w:val="00AD140E"/>
    <w:rsid w:val="00AD16B5"/>
    <w:rsid w:val="00AD17C0"/>
    <w:rsid w:val="00AD17F1"/>
    <w:rsid w:val="00AD1925"/>
    <w:rsid w:val="00AD19C4"/>
    <w:rsid w:val="00AD1A41"/>
    <w:rsid w:val="00AD1B7D"/>
    <w:rsid w:val="00AD1D68"/>
    <w:rsid w:val="00AD2114"/>
    <w:rsid w:val="00AD21B3"/>
    <w:rsid w:val="00AD21C9"/>
    <w:rsid w:val="00AD239A"/>
    <w:rsid w:val="00AD24A6"/>
    <w:rsid w:val="00AD278B"/>
    <w:rsid w:val="00AD27AD"/>
    <w:rsid w:val="00AD28DE"/>
    <w:rsid w:val="00AD29B6"/>
    <w:rsid w:val="00AD2A36"/>
    <w:rsid w:val="00AD2DED"/>
    <w:rsid w:val="00AD2E13"/>
    <w:rsid w:val="00AD3251"/>
    <w:rsid w:val="00AD3273"/>
    <w:rsid w:val="00AD3347"/>
    <w:rsid w:val="00AD33C7"/>
    <w:rsid w:val="00AD34D3"/>
    <w:rsid w:val="00AD35FC"/>
    <w:rsid w:val="00AD361C"/>
    <w:rsid w:val="00AD3777"/>
    <w:rsid w:val="00AD3808"/>
    <w:rsid w:val="00AD3979"/>
    <w:rsid w:val="00AD3A81"/>
    <w:rsid w:val="00AD3B4F"/>
    <w:rsid w:val="00AD3F5B"/>
    <w:rsid w:val="00AD429D"/>
    <w:rsid w:val="00AD42DA"/>
    <w:rsid w:val="00AD435E"/>
    <w:rsid w:val="00AD4375"/>
    <w:rsid w:val="00AD43CB"/>
    <w:rsid w:val="00AD44A7"/>
    <w:rsid w:val="00AD45FF"/>
    <w:rsid w:val="00AD462D"/>
    <w:rsid w:val="00AD4987"/>
    <w:rsid w:val="00AD4B4B"/>
    <w:rsid w:val="00AD4BEE"/>
    <w:rsid w:val="00AD4CA5"/>
    <w:rsid w:val="00AD4CBE"/>
    <w:rsid w:val="00AD4D01"/>
    <w:rsid w:val="00AD4E4D"/>
    <w:rsid w:val="00AD4E9B"/>
    <w:rsid w:val="00AD4F34"/>
    <w:rsid w:val="00AD519A"/>
    <w:rsid w:val="00AD5340"/>
    <w:rsid w:val="00AD5403"/>
    <w:rsid w:val="00AD542D"/>
    <w:rsid w:val="00AD54D2"/>
    <w:rsid w:val="00AD5573"/>
    <w:rsid w:val="00AD5690"/>
    <w:rsid w:val="00AD57C1"/>
    <w:rsid w:val="00AD5893"/>
    <w:rsid w:val="00AD5C98"/>
    <w:rsid w:val="00AD5D31"/>
    <w:rsid w:val="00AD6101"/>
    <w:rsid w:val="00AD62B8"/>
    <w:rsid w:val="00AD6444"/>
    <w:rsid w:val="00AD6468"/>
    <w:rsid w:val="00AD6487"/>
    <w:rsid w:val="00AD65D2"/>
    <w:rsid w:val="00AD670C"/>
    <w:rsid w:val="00AD6710"/>
    <w:rsid w:val="00AD6726"/>
    <w:rsid w:val="00AD67A0"/>
    <w:rsid w:val="00AD67D2"/>
    <w:rsid w:val="00AD6951"/>
    <w:rsid w:val="00AD696F"/>
    <w:rsid w:val="00AD6C65"/>
    <w:rsid w:val="00AD6FD8"/>
    <w:rsid w:val="00AD71F3"/>
    <w:rsid w:val="00AD73E4"/>
    <w:rsid w:val="00AD7425"/>
    <w:rsid w:val="00AD7459"/>
    <w:rsid w:val="00AD766A"/>
    <w:rsid w:val="00AD76ED"/>
    <w:rsid w:val="00AD7881"/>
    <w:rsid w:val="00AD799A"/>
    <w:rsid w:val="00AD79CF"/>
    <w:rsid w:val="00AD79E4"/>
    <w:rsid w:val="00AD7BB5"/>
    <w:rsid w:val="00AD7C60"/>
    <w:rsid w:val="00AD7CEA"/>
    <w:rsid w:val="00AD7D12"/>
    <w:rsid w:val="00AD7D6C"/>
    <w:rsid w:val="00AD7FEB"/>
    <w:rsid w:val="00AE007C"/>
    <w:rsid w:val="00AE0259"/>
    <w:rsid w:val="00AE039A"/>
    <w:rsid w:val="00AE05C4"/>
    <w:rsid w:val="00AE05F3"/>
    <w:rsid w:val="00AE060B"/>
    <w:rsid w:val="00AE0647"/>
    <w:rsid w:val="00AE06AF"/>
    <w:rsid w:val="00AE07A6"/>
    <w:rsid w:val="00AE0B01"/>
    <w:rsid w:val="00AE0DAE"/>
    <w:rsid w:val="00AE0F28"/>
    <w:rsid w:val="00AE132E"/>
    <w:rsid w:val="00AE152F"/>
    <w:rsid w:val="00AE1944"/>
    <w:rsid w:val="00AE1AC0"/>
    <w:rsid w:val="00AE1ADB"/>
    <w:rsid w:val="00AE1D65"/>
    <w:rsid w:val="00AE203C"/>
    <w:rsid w:val="00AE218C"/>
    <w:rsid w:val="00AE2255"/>
    <w:rsid w:val="00AE22B7"/>
    <w:rsid w:val="00AE2473"/>
    <w:rsid w:val="00AE24E5"/>
    <w:rsid w:val="00AE25D5"/>
    <w:rsid w:val="00AE2670"/>
    <w:rsid w:val="00AE2685"/>
    <w:rsid w:val="00AE276E"/>
    <w:rsid w:val="00AE29DE"/>
    <w:rsid w:val="00AE2A4E"/>
    <w:rsid w:val="00AE30C8"/>
    <w:rsid w:val="00AE31E4"/>
    <w:rsid w:val="00AE32D1"/>
    <w:rsid w:val="00AE335E"/>
    <w:rsid w:val="00AE34CD"/>
    <w:rsid w:val="00AE354B"/>
    <w:rsid w:val="00AE3966"/>
    <w:rsid w:val="00AE39BD"/>
    <w:rsid w:val="00AE3A17"/>
    <w:rsid w:val="00AE3AC3"/>
    <w:rsid w:val="00AE3CDF"/>
    <w:rsid w:val="00AE3E4F"/>
    <w:rsid w:val="00AE3EA2"/>
    <w:rsid w:val="00AE3F71"/>
    <w:rsid w:val="00AE4183"/>
    <w:rsid w:val="00AE4225"/>
    <w:rsid w:val="00AE425B"/>
    <w:rsid w:val="00AE44D0"/>
    <w:rsid w:val="00AE4520"/>
    <w:rsid w:val="00AE4590"/>
    <w:rsid w:val="00AE4667"/>
    <w:rsid w:val="00AE470B"/>
    <w:rsid w:val="00AE4749"/>
    <w:rsid w:val="00AE4792"/>
    <w:rsid w:val="00AE48BD"/>
    <w:rsid w:val="00AE48E5"/>
    <w:rsid w:val="00AE49D7"/>
    <w:rsid w:val="00AE4A38"/>
    <w:rsid w:val="00AE4AAA"/>
    <w:rsid w:val="00AE4D48"/>
    <w:rsid w:val="00AE50AB"/>
    <w:rsid w:val="00AE5111"/>
    <w:rsid w:val="00AE515B"/>
    <w:rsid w:val="00AE52A0"/>
    <w:rsid w:val="00AE5316"/>
    <w:rsid w:val="00AE5533"/>
    <w:rsid w:val="00AE5545"/>
    <w:rsid w:val="00AE56AB"/>
    <w:rsid w:val="00AE56FA"/>
    <w:rsid w:val="00AE5717"/>
    <w:rsid w:val="00AE572A"/>
    <w:rsid w:val="00AE5BE8"/>
    <w:rsid w:val="00AE5CE6"/>
    <w:rsid w:val="00AE5E95"/>
    <w:rsid w:val="00AE5EF6"/>
    <w:rsid w:val="00AE6154"/>
    <w:rsid w:val="00AE62CD"/>
    <w:rsid w:val="00AE63B7"/>
    <w:rsid w:val="00AE64C1"/>
    <w:rsid w:val="00AE65EE"/>
    <w:rsid w:val="00AE6609"/>
    <w:rsid w:val="00AE66AE"/>
    <w:rsid w:val="00AE6914"/>
    <w:rsid w:val="00AE6920"/>
    <w:rsid w:val="00AE69CF"/>
    <w:rsid w:val="00AE6AC5"/>
    <w:rsid w:val="00AE6B30"/>
    <w:rsid w:val="00AE6C1F"/>
    <w:rsid w:val="00AE6CEC"/>
    <w:rsid w:val="00AE6DFC"/>
    <w:rsid w:val="00AE6E7F"/>
    <w:rsid w:val="00AE6EEA"/>
    <w:rsid w:val="00AE70F6"/>
    <w:rsid w:val="00AE70FF"/>
    <w:rsid w:val="00AE71BA"/>
    <w:rsid w:val="00AE71F2"/>
    <w:rsid w:val="00AE72F8"/>
    <w:rsid w:val="00AE73B4"/>
    <w:rsid w:val="00AE7528"/>
    <w:rsid w:val="00AE7997"/>
    <w:rsid w:val="00AE7B16"/>
    <w:rsid w:val="00AE7B6D"/>
    <w:rsid w:val="00AE7D05"/>
    <w:rsid w:val="00AE7F37"/>
    <w:rsid w:val="00AF02C8"/>
    <w:rsid w:val="00AF02C9"/>
    <w:rsid w:val="00AF02FC"/>
    <w:rsid w:val="00AF0464"/>
    <w:rsid w:val="00AF0499"/>
    <w:rsid w:val="00AF055C"/>
    <w:rsid w:val="00AF07D5"/>
    <w:rsid w:val="00AF081A"/>
    <w:rsid w:val="00AF094E"/>
    <w:rsid w:val="00AF0ED7"/>
    <w:rsid w:val="00AF0EF8"/>
    <w:rsid w:val="00AF0FCF"/>
    <w:rsid w:val="00AF0FEE"/>
    <w:rsid w:val="00AF1074"/>
    <w:rsid w:val="00AF1093"/>
    <w:rsid w:val="00AF1383"/>
    <w:rsid w:val="00AF13CF"/>
    <w:rsid w:val="00AF158E"/>
    <w:rsid w:val="00AF16B8"/>
    <w:rsid w:val="00AF1726"/>
    <w:rsid w:val="00AF19CF"/>
    <w:rsid w:val="00AF1A4E"/>
    <w:rsid w:val="00AF1A74"/>
    <w:rsid w:val="00AF1AA7"/>
    <w:rsid w:val="00AF1BA1"/>
    <w:rsid w:val="00AF1BE7"/>
    <w:rsid w:val="00AF1DC6"/>
    <w:rsid w:val="00AF1F2B"/>
    <w:rsid w:val="00AF20BB"/>
    <w:rsid w:val="00AF2202"/>
    <w:rsid w:val="00AF23DD"/>
    <w:rsid w:val="00AF2401"/>
    <w:rsid w:val="00AF243D"/>
    <w:rsid w:val="00AF25AE"/>
    <w:rsid w:val="00AF2633"/>
    <w:rsid w:val="00AF2673"/>
    <w:rsid w:val="00AF26A0"/>
    <w:rsid w:val="00AF2857"/>
    <w:rsid w:val="00AF2AA7"/>
    <w:rsid w:val="00AF2B00"/>
    <w:rsid w:val="00AF2C90"/>
    <w:rsid w:val="00AF2CE0"/>
    <w:rsid w:val="00AF2D31"/>
    <w:rsid w:val="00AF2D67"/>
    <w:rsid w:val="00AF2F2E"/>
    <w:rsid w:val="00AF3035"/>
    <w:rsid w:val="00AF318F"/>
    <w:rsid w:val="00AF31A9"/>
    <w:rsid w:val="00AF3327"/>
    <w:rsid w:val="00AF3407"/>
    <w:rsid w:val="00AF351D"/>
    <w:rsid w:val="00AF3650"/>
    <w:rsid w:val="00AF3695"/>
    <w:rsid w:val="00AF3787"/>
    <w:rsid w:val="00AF3968"/>
    <w:rsid w:val="00AF39A8"/>
    <w:rsid w:val="00AF3B0A"/>
    <w:rsid w:val="00AF3CC0"/>
    <w:rsid w:val="00AF3D78"/>
    <w:rsid w:val="00AF4360"/>
    <w:rsid w:val="00AF44EE"/>
    <w:rsid w:val="00AF4560"/>
    <w:rsid w:val="00AF45B0"/>
    <w:rsid w:val="00AF4761"/>
    <w:rsid w:val="00AF47E8"/>
    <w:rsid w:val="00AF496C"/>
    <w:rsid w:val="00AF49FD"/>
    <w:rsid w:val="00AF4B1D"/>
    <w:rsid w:val="00AF4E36"/>
    <w:rsid w:val="00AF4E63"/>
    <w:rsid w:val="00AF4F7E"/>
    <w:rsid w:val="00AF514C"/>
    <w:rsid w:val="00AF5171"/>
    <w:rsid w:val="00AF52E0"/>
    <w:rsid w:val="00AF55FD"/>
    <w:rsid w:val="00AF5600"/>
    <w:rsid w:val="00AF56FF"/>
    <w:rsid w:val="00AF57AA"/>
    <w:rsid w:val="00AF595C"/>
    <w:rsid w:val="00AF59D6"/>
    <w:rsid w:val="00AF5DE2"/>
    <w:rsid w:val="00AF5DF4"/>
    <w:rsid w:val="00AF5E42"/>
    <w:rsid w:val="00AF6053"/>
    <w:rsid w:val="00AF60A2"/>
    <w:rsid w:val="00AF611D"/>
    <w:rsid w:val="00AF61B8"/>
    <w:rsid w:val="00AF6333"/>
    <w:rsid w:val="00AF6416"/>
    <w:rsid w:val="00AF6999"/>
    <w:rsid w:val="00AF69E0"/>
    <w:rsid w:val="00AF6B0E"/>
    <w:rsid w:val="00AF6C10"/>
    <w:rsid w:val="00AF7207"/>
    <w:rsid w:val="00AF7242"/>
    <w:rsid w:val="00AF7276"/>
    <w:rsid w:val="00AF72D3"/>
    <w:rsid w:val="00AF7467"/>
    <w:rsid w:val="00AF7545"/>
    <w:rsid w:val="00AF7722"/>
    <w:rsid w:val="00AF7931"/>
    <w:rsid w:val="00AF7B32"/>
    <w:rsid w:val="00AF7B38"/>
    <w:rsid w:val="00AF7DB2"/>
    <w:rsid w:val="00AF7DCF"/>
    <w:rsid w:val="00AF7E80"/>
    <w:rsid w:val="00AF7EB6"/>
    <w:rsid w:val="00B00117"/>
    <w:rsid w:val="00B00212"/>
    <w:rsid w:val="00B00269"/>
    <w:rsid w:val="00B0029C"/>
    <w:rsid w:val="00B002C5"/>
    <w:rsid w:val="00B003E4"/>
    <w:rsid w:val="00B005BD"/>
    <w:rsid w:val="00B0062B"/>
    <w:rsid w:val="00B006E0"/>
    <w:rsid w:val="00B00715"/>
    <w:rsid w:val="00B007EE"/>
    <w:rsid w:val="00B00AA7"/>
    <w:rsid w:val="00B00AC4"/>
    <w:rsid w:val="00B00ACB"/>
    <w:rsid w:val="00B00AD0"/>
    <w:rsid w:val="00B00F34"/>
    <w:rsid w:val="00B00F40"/>
    <w:rsid w:val="00B011F2"/>
    <w:rsid w:val="00B0135F"/>
    <w:rsid w:val="00B0162A"/>
    <w:rsid w:val="00B0169E"/>
    <w:rsid w:val="00B01846"/>
    <w:rsid w:val="00B0188A"/>
    <w:rsid w:val="00B01A34"/>
    <w:rsid w:val="00B01BE9"/>
    <w:rsid w:val="00B01D55"/>
    <w:rsid w:val="00B01F36"/>
    <w:rsid w:val="00B01F75"/>
    <w:rsid w:val="00B0232F"/>
    <w:rsid w:val="00B02408"/>
    <w:rsid w:val="00B0240D"/>
    <w:rsid w:val="00B024FC"/>
    <w:rsid w:val="00B02526"/>
    <w:rsid w:val="00B027B7"/>
    <w:rsid w:val="00B028EA"/>
    <w:rsid w:val="00B0297E"/>
    <w:rsid w:val="00B02A4E"/>
    <w:rsid w:val="00B02A8D"/>
    <w:rsid w:val="00B02E37"/>
    <w:rsid w:val="00B02FB0"/>
    <w:rsid w:val="00B03295"/>
    <w:rsid w:val="00B032AA"/>
    <w:rsid w:val="00B0354D"/>
    <w:rsid w:val="00B03647"/>
    <w:rsid w:val="00B036E6"/>
    <w:rsid w:val="00B03724"/>
    <w:rsid w:val="00B03793"/>
    <w:rsid w:val="00B039BD"/>
    <w:rsid w:val="00B03A65"/>
    <w:rsid w:val="00B03BF7"/>
    <w:rsid w:val="00B03DD2"/>
    <w:rsid w:val="00B03E77"/>
    <w:rsid w:val="00B040C5"/>
    <w:rsid w:val="00B04235"/>
    <w:rsid w:val="00B04330"/>
    <w:rsid w:val="00B04598"/>
    <w:rsid w:val="00B046C0"/>
    <w:rsid w:val="00B047CB"/>
    <w:rsid w:val="00B04D96"/>
    <w:rsid w:val="00B04FFC"/>
    <w:rsid w:val="00B05003"/>
    <w:rsid w:val="00B0514A"/>
    <w:rsid w:val="00B051A3"/>
    <w:rsid w:val="00B052B5"/>
    <w:rsid w:val="00B05308"/>
    <w:rsid w:val="00B05317"/>
    <w:rsid w:val="00B053E9"/>
    <w:rsid w:val="00B05465"/>
    <w:rsid w:val="00B05533"/>
    <w:rsid w:val="00B0553F"/>
    <w:rsid w:val="00B05644"/>
    <w:rsid w:val="00B05928"/>
    <w:rsid w:val="00B05A83"/>
    <w:rsid w:val="00B05AD5"/>
    <w:rsid w:val="00B05B4E"/>
    <w:rsid w:val="00B05FA9"/>
    <w:rsid w:val="00B060B1"/>
    <w:rsid w:val="00B06210"/>
    <w:rsid w:val="00B06337"/>
    <w:rsid w:val="00B06486"/>
    <w:rsid w:val="00B064BE"/>
    <w:rsid w:val="00B06522"/>
    <w:rsid w:val="00B06594"/>
    <w:rsid w:val="00B06A8E"/>
    <w:rsid w:val="00B06DB3"/>
    <w:rsid w:val="00B06DD2"/>
    <w:rsid w:val="00B06E1E"/>
    <w:rsid w:val="00B070BF"/>
    <w:rsid w:val="00B070E4"/>
    <w:rsid w:val="00B0711C"/>
    <w:rsid w:val="00B07379"/>
    <w:rsid w:val="00B073D9"/>
    <w:rsid w:val="00B075C3"/>
    <w:rsid w:val="00B07645"/>
    <w:rsid w:val="00B07879"/>
    <w:rsid w:val="00B079DD"/>
    <w:rsid w:val="00B07F03"/>
    <w:rsid w:val="00B1029F"/>
    <w:rsid w:val="00B102D6"/>
    <w:rsid w:val="00B102DC"/>
    <w:rsid w:val="00B10528"/>
    <w:rsid w:val="00B106A0"/>
    <w:rsid w:val="00B107B2"/>
    <w:rsid w:val="00B10A28"/>
    <w:rsid w:val="00B10D51"/>
    <w:rsid w:val="00B10EF5"/>
    <w:rsid w:val="00B10F00"/>
    <w:rsid w:val="00B110AD"/>
    <w:rsid w:val="00B1121B"/>
    <w:rsid w:val="00B112E8"/>
    <w:rsid w:val="00B11375"/>
    <w:rsid w:val="00B114B8"/>
    <w:rsid w:val="00B114CD"/>
    <w:rsid w:val="00B114FC"/>
    <w:rsid w:val="00B11642"/>
    <w:rsid w:val="00B11821"/>
    <w:rsid w:val="00B11A14"/>
    <w:rsid w:val="00B11BC4"/>
    <w:rsid w:val="00B11DEE"/>
    <w:rsid w:val="00B11EC1"/>
    <w:rsid w:val="00B11F5F"/>
    <w:rsid w:val="00B121A4"/>
    <w:rsid w:val="00B12266"/>
    <w:rsid w:val="00B12365"/>
    <w:rsid w:val="00B1245F"/>
    <w:rsid w:val="00B124CD"/>
    <w:rsid w:val="00B125BD"/>
    <w:rsid w:val="00B12640"/>
    <w:rsid w:val="00B126C3"/>
    <w:rsid w:val="00B129A0"/>
    <w:rsid w:val="00B12AF7"/>
    <w:rsid w:val="00B12B5C"/>
    <w:rsid w:val="00B12C85"/>
    <w:rsid w:val="00B12FCB"/>
    <w:rsid w:val="00B13060"/>
    <w:rsid w:val="00B13082"/>
    <w:rsid w:val="00B130A1"/>
    <w:rsid w:val="00B1315F"/>
    <w:rsid w:val="00B1323A"/>
    <w:rsid w:val="00B1329D"/>
    <w:rsid w:val="00B132B7"/>
    <w:rsid w:val="00B13428"/>
    <w:rsid w:val="00B134F3"/>
    <w:rsid w:val="00B135D4"/>
    <w:rsid w:val="00B13600"/>
    <w:rsid w:val="00B13638"/>
    <w:rsid w:val="00B1375A"/>
    <w:rsid w:val="00B13957"/>
    <w:rsid w:val="00B13B68"/>
    <w:rsid w:val="00B13BD7"/>
    <w:rsid w:val="00B13C78"/>
    <w:rsid w:val="00B13E04"/>
    <w:rsid w:val="00B1408C"/>
    <w:rsid w:val="00B1411D"/>
    <w:rsid w:val="00B141ED"/>
    <w:rsid w:val="00B1421B"/>
    <w:rsid w:val="00B14402"/>
    <w:rsid w:val="00B14409"/>
    <w:rsid w:val="00B14413"/>
    <w:rsid w:val="00B14552"/>
    <w:rsid w:val="00B14602"/>
    <w:rsid w:val="00B14632"/>
    <w:rsid w:val="00B14712"/>
    <w:rsid w:val="00B1472E"/>
    <w:rsid w:val="00B14745"/>
    <w:rsid w:val="00B14982"/>
    <w:rsid w:val="00B14A6C"/>
    <w:rsid w:val="00B14C9A"/>
    <w:rsid w:val="00B14FC9"/>
    <w:rsid w:val="00B151E1"/>
    <w:rsid w:val="00B1524F"/>
    <w:rsid w:val="00B152AC"/>
    <w:rsid w:val="00B152F6"/>
    <w:rsid w:val="00B1531E"/>
    <w:rsid w:val="00B15690"/>
    <w:rsid w:val="00B159B6"/>
    <w:rsid w:val="00B15B42"/>
    <w:rsid w:val="00B15B52"/>
    <w:rsid w:val="00B15C35"/>
    <w:rsid w:val="00B15C54"/>
    <w:rsid w:val="00B15C97"/>
    <w:rsid w:val="00B15E28"/>
    <w:rsid w:val="00B15FEA"/>
    <w:rsid w:val="00B15FFC"/>
    <w:rsid w:val="00B16207"/>
    <w:rsid w:val="00B1642F"/>
    <w:rsid w:val="00B16852"/>
    <w:rsid w:val="00B16904"/>
    <w:rsid w:val="00B16A63"/>
    <w:rsid w:val="00B16AF0"/>
    <w:rsid w:val="00B16BB0"/>
    <w:rsid w:val="00B16E1E"/>
    <w:rsid w:val="00B16F34"/>
    <w:rsid w:val="00B16F7A"/>
    <w:rsid w:val="00B16FBC"/>
    <w:rsid w:val="00B170BF"/>
    <w:rsid w:val="00B1718E"/>
    <w:rsid w:val="00B1730F"/>
    <w:rsid w:val="00B174AB"/>
    <w:rsid w:val="00B174F6"/>
    <w:rsid w:val="00B1762C"/>
    <w:rsid w:val="00B17711"/>
    <w:rsid w:val="00B17718"/>
    <w:rsid w:val="00B177F7"/>
    <w:rsid w:val="00B17841"/>
    <w:rsid w:val="00B178B1"/>
    <w:rsid w:val="00B178D3"/>
    <w:rsid w:val="00B17A14"/>
    <w:rsid w:val="00B17A7B"/>
    <w:rsid w:val="00B17A80"/>
    <w:rsid w:val="00B17C6C"/>
    <w:rsid w:val="00B17D24"/>
    <w:rsid w:val="00B17FD2"/>
    <w:rsid w:val="00B20205"/>
    <w:rsid w:val="00B20266"/>
    <w:rsid w:val="00B20296"/>
    <w:rsid w:val="00B202D0"/>
    <w:rsid w:val="00B2052B"/>
    <w:rsid w:val="00B20565"/>
    <w:rsid w:val="00B205D9"/>
    <w:rsid w:val="00B20672"/>
    <w:rsid w:val="00B208C9"/>
    <w:rsid w:val="00B20941"/>
    <w:rsid w:val="00B209C4"/>
    <w:rsid w:val="00B20A48"/>
    <w:rsid w:val="00B20B39"/>
    <w:rsid w:val="00B20C31"/>
    <w:rsid w:val="00B20D73"/>
    <w:rsid w:val="00B2119E"/>
    <w:rsid w:val="00B211F4"/>
    <w:rsid w:val="00B212E7"/>
    <w:rsid w:val="00B21496"/>
    <w:rsid w:val="00B21537"/>
    <w:rsid w:val="00B215A6"/>
    <w:rsid w:val="00B215BF"/>
    <w:rsid w:val="00B216E0"/>
    <w:rsid w:val="00B21753"/>
    <w:rsid w:val="00B217A5"/>
    <w:rsid w:val="00B217F4"/>
    <w:rsid w:val="00B21848"/>
    <w:rsid w:val="00B218A0"/>
    <w:rsid w:val="00B21A68"/>
    <w:rsid w:val="00B21BF6"/>
    <w:rsid w:val="00B21E8E"/>
    <w:rsid w:val="00B21EA7"/>
    <w:rsid w:val="00B21F1B"/>
    <w:rsid w:val="00B21F3D"/>
    <w:rsid w:val="00B220D1"/>
    <w:rsid w:val="00B22100"/>
    <w:rsid w:val="00B222EE"/>
    <w:rsid w:val="00B22833"/>
    <w:rsid w:val="00B2293C"/>
    <w:rsid w:val="00B22952"/>
    <w:rsid w:val="00B22AD8"/>
    <w:rsid w:val="00B22B93"/>
    <w:rsid w:val="00B230C3"/>
    <w:rsid w:val="00B232F7"/>
    <w:rsid w:val="00B234BC"/>
    <w:rsid w:val="00B23698"/>
    <w:rsid w:val="00B238E3"/>
    <w:rsid w:val="00B238FF"/>
    <w:rsid w:val="00B239DE"/>
    <w:rsid w:val="00B23A6C"/>
    <w:rsid w:val="00B23B0B"/>
    <w:rsid w:val="00B23B69"/>
    <w:rsid w:val="00B23BF7"/>
    <w:rsid w:val="00B23DF6"/>
    <w:rsid w:val="00B23F4E"/>
    <w:rsid w:val="00B240D3"/>
    <w:rsid w:val="00B241A1"/>
    <w:rsid w:val="00B2421F"/>
    <w:rsid w:val="00B244C1"/>
    <w:rsid w:val="00B24706"/>
    <w:rsid w:val="00B24770"/>
    <w:rsid w:val="00B2480E"/>
    <w:rsid w:val="00B24B25"/>
    <w:rsid w:val="00B24B6B"/>
    <w:rsid w:val="00B24DC4"/>
    <w:rsid w:val="00B24F9D"/>
    <w:rsid w:val="00B25069"/>
    <w:rsid w:val="00B25114"/>
    <w:rsid w:val="00B2550E"/>
    <w:rsid w:val="00B2561B"/>
    <w:rsid w:val="00B258A9"/>
    <w:rsid w:val="00B25A2B"/>
    <w:rsid w:val="00B25BEF"/>
    <w:rsid w:val="00B25E3A"/>
    <w:rsid w:val="00B25F63"/>
    <w:rsid w:val="00B2602D"/>
    <w:rsid w:val="00B26059"/>
    <w:rsid w:val="00B26336"/>
    <w:rsid w:val="00B26435"/>
    <w:rsid w:val="00B2647D"/>
    <w:rsid w:val="00B26860"/>
    <w:rsid w:val="00B269DD"/>
    <w:rsid w:val="00B26A31"/>
    <w:rsid w:val="00B26BFD"/>
    <w:rsid w:val="00B26CE7"/>
    <w:rsid w:val="00B26D03"/>
    <w:rsid w:val="00B2702D"/>
    <w:rsid w:val="00B27164"/>
    <w:rsid w:val="00B271BA"/>
    <w:rsid w:val="00B2743A"/>
    <w:rsid w:val="00B2745B"/>
    <w:rsid w:val="00B276FA"/>
    <w:rsid w:val="00B27760"/>
    <w:rsid w:val="00B279CA"/>
    <w:rsid w:val="00B27AF9"/>
    <w:rsid w:val="00B27CFC"/>
    <w:rsid w:val="00B27DD2"/>
    <w:rsid w:val="00B27F43"/>
    <w:rsid w:val="00B302E0"/>
    <w:rsid w:val="00B303D8"/>
    <w:rsid w:val="00B303E6"/>
    <w:rsid w:val="00B305A2"/>
    <w:rsid w:val="00B30A3A"/>
    <w:rsid w:val="00B30BB1"/>
    <w:rsid w:val="00B30BB2"/>
    <w:rsid w:val="00B30D4B"/>
    <w:rsid w:val="00B30D81"/>
    <w:rsid w:val="00B30FB4"/>
    <w:rsid w:val="00B31033"/>
    <w:rsid w:val="00B311F8"/>
    <w:rsid w:val="00B31319"/>
    <w:rsid w:val="00B316A6"/>
    <w:rsid w:val="00B316B1"/>
    <w:rsid w:val="00B3185C"/>
    <w:rsid w:val="00B318A4"/>
    <w:rsid w:val="00B31BCC"/>
    <w:rsid w:val="00B31C4B"/>
    <w:rsid w:val="00B31CD9"/>
    <w:rsid w:val="00B31DD6"/>
    <w:rsid w:val="00B31DDB"/>
    <w:rsid w:val="00B31F4F"/>
    <w:rsid w:val="00B3204F"/>
    <w:rsid w:val="00B32193"/>
    <w:rsid w:val="00B3221C"/>
    <w:rsid w:val="00B323E6"/>
    <w:rsid w:val="00B32736"/>
    <w:rsid w:val="00B32810"/>
    <w:rsid w:val="00B3282E"/>
    <w:rsid w:val="00B328D1"/>
    <w:rsid w:val="00B328E6"/>
    <w:rsid w:val="00B32913"/>
    <w:rsid w:val="00B32B31"/>
    <w:rsid w:val="00B32C08"/>
    <w:rsid w:val="00B32CE6"/>
    <w:rsid w:val="00B32E1D"/>
    <w:rsid w:val="00B32EDB"/>
    <w:rsid w:val="00B32EFA"/>
    <w:rsid w:val="00B32FBF"/>
    <w:rsid w:val="00B33254"/>
    <w:rsid w:val="00B33292"/>
    <w:rsid w:val="00B332C8"/>
    <w:rsid w:val="00B33459"/>
    <w:rsid w:val="00B33516"/>
    <w:rsid w:val="00B33530"/>
    <w:rsid w:val="00B3353F"/>
    <w:rsid w:val="00B336E0"/>
    <w:rsid w:val="00B33727"/>
    <w:rsid w:val="00B33820"/>
    <w:rsid w:val="00B33845"/>
    <w:rsid w:val="00B33848"/>
    <w:rsid w:val="00B3391E"/>
    <w:rsid w:val="00B33A38"/>
    <w:rsid w:val="00B33B2B"/>
    <w:rsid w:val="00B33CE2"/>
    <w:rsid w:val="00B34091"/>
    <w:rsid w:val="00B340B6"/>
    <w:rsid w:val="00B340F6"/>
    <w:rsid w:val="00B3429E"/>
    <w:rsid w:val="00B342C1"/>
    <w:rsid w:val="00B3447B"/>
    <w:rsid w:val="00B345A3"/>
    <w:rsid w:val="00B34755"/>
    <w:rsid w:val="00B34825"/>
    <w:rsid w:val="00B348C4"/>
    <w:rsid w:val="00B34930"/>
    <w:rsid w:val="00B34972"/>
    <w:rsid w:val="00B34975"/>
    <w:rsid w:val="00B34A94"/>
    <w:rsid w:val="00B34DEA"/>
    <w:rsid w:val="00B34E07"/>
    <w:rsid w:val="00B34E4E"/>
    <w:rsid w:val="00B34FE6"/>
    <w:rsid w:val="00B3530A"/>
    <w:rsid w:val="00B3534C"/>
    <w:rsid w:val="00B3538B"/>
    <w:rsid w:val="00B354C4"/>
    <w:rsid w:val="00B354C9"/>
    <w:rsid w:val="00B3573D"/>
    <w:rsid w:val="00B35864"/>
    <w:rsid w:val="00B3586F"/>
    <w:rsid w:val="00B359EC"/>
    <w:rsid w:val="00B35B28"/>
    <w:rsid w:val="00B35BA9"/>
    <w:rsid w:val="00B35DE1"/>
    <w:rsid w:val="00B35E97"/>
    <w:rsid w:val="00B35FB2"/>
    <w:rsid w:val="00B35FD2"/>
    <w:rsid w:val="00B35FDC"/>
    <w:rsid w:val="00B3632B"/>
    <w:rsid w:val="00B363DC"/>
    <w:rsid w:val="00B36517"/>
    <w:rsid w:val="00B365B3"/>
    <w:rsid w:val="00B367DE"/>
    <w:rsid w:val="00B368FD"/>
    <w:rsid w:val="00B36931"/>
    <w:rsid w:val="00B36A08"/>
    <w:rsid w:val="00B36B5F"/>
    <w:rsid w:val="00B36B95"/>
    <w:rsid w:val="00B36DBC"/>
    <w:rsid w:val="00B36DE5"/>
    <w:rsid w:val="00B36F4E"/>
    <w:rsid w:val="00B36FCC"/>
    <w:rsid w:val="00B370BD"/>
    <w:rsid w:val="00B37126"/>
    <w:rsid w:val="00B3743C"/>
    <w:rsid w:val="00B37456"/>
    <w:rsid w:val="00B3749F"/>
    <w:rsid w:val="00B37594"/>
    <w:rsid w:val="00B37661"/>
    <w:rsid w:val="00B3781E"/>
    <w:rsid w:val="00B3783F"/>
    <w:rsid w:val="00B379CB"/>
    <w:rsid w:val="00B37A32"/>
    <w:rsid w:val="00B37B32"/>
    <w:rsid w:val="00B37C57"/>
    <w:rsid w:val="00B37E0A"/>
    <w:rsid w:val="00B37E9F"/>
    <w:rsid w:val="00B37F82"/>
    <w:rsid w:val="00B400DF"/>
    <w:rsid w:val="00B40349"/>
    <w:rsid w:val="00B405FB"/>
    <w:rsid w:val="00B406AF"/>
    <w:rsid w:val="00B40711"/>
    <w:rsid w:val="00B407F0"/>
    <w:rsid w:val="00B40CFC"/>
    <w:rsid w:val="00B40DED"/>
    <w:rsid w:val="00B40ECC"/>
    <w:rsid w:val="00B40EE9"/>
    <w:rsid w:val="00B40F15"/>
    <w:rsid w:val="00B40F20"/>
    <w:rsid w:val="00B40F3C"/>
    <w:rsid w:val="00B410AD"/>
    <w:rsid w:val="00B41241"/>
    <w:rsid w:val="00B41247"/>
    <w:rsid w:val="00B41305"/>
    <w:rsid w:val="00B4156C"/>
    <w:rsid w:val="00B4156F"/>
    <w:rsid w:val="00B415C6"/>
    <w:rsid w:val="00B41A05"/>
    <w:rsid w:val="00B41B0E"/>
    <w:rsid w:val="00B41BE2"/>
    <w:rsid w:val="00B41C49"/>
    <w:rsid w:val="00B41CCB"/>
    <w:rsid w:val="00B41F28"/>
    <w:rsid w:val="00B42059"/>
    <w:rsid w:val="00B421A1"/>
    <w:rsid w:val="00B421DF"/>
    <w:rsid w:val="00B422AA"/>
    <w:rsid w:val="00B422B2"/>
    <w:rsid w:val="00B42340"/>
    <w:rsid w:val="00B4234E"/>
    <w:rsid w:val="00B42450"/>
    <w:rsid w:val="00B424C2"/>
    <w:rsid w:val="00B42557"/>
    <w:rsid w:val="00B4268F"/>
    <w:rsid w:val="00B426B4"/>
    <w:rsid w:val="00B426DC"/>
    <w:rsid w:val="00B4271D"/>
    <w:rsid w:val="00B42776"/>
    <w:rsid w:val="00B42A30"/>
    <w:rsid w:val="00B42AAF"/>
    <w:rsid w:val="00B42B02"/>
    <w:rsid w:val="00B42C23"/>
    <w:rsid w:val="00B42C5C"/>
    <w:rsid w:val="00B42C83"/>
    <w:rsid w:val="00B431D7"/>
    <w:rsid w:val="00B431E5"/>
    <w:rsid w:val="00B431E8"/>
    <w:rsid w:val="00B4329A"/>
    <w:rsid w:val="00B433B7"/>
    <w:rsid w:val="00B43628"/>
    <w:rsid w:val="00B4364D"/>
    <w:rsid w:val="00B4369A"/>
    <w:rsid w:val="00B436EF"/>
    <w:rsid w:val="00B43753"/>
    <w:rsid w:val="00B437CC"/>
    <w:rsid w:val="00B4387F"/>
    <w:rsid w:val="00B43AB8"/>
    <w:rsid w:val="00B43B7D"/>
    <w:rsid w:val="00B43C55"/>
    <w:rsid w:val="00B43CE8"/>
    <w:rsid w:val="00B43EEB"/>
    <w:rsid w:val="00B43FF5"/>
    <w:rsid w:val="00B44025"/>
    <w:rsid w:val="00B44070"/>
    <w:rsid w:val="00B440B6"/>
    <w:rsid w:val="00B44150"/>
    <w:rsid w:val="00B4442C"/>
    <w:rsid w:val="00B4473D"/>
    <w:rsid w:val="00B449DE"/>
    <w:rsid w:val="00B449EC"/>
    <w:rsid w:val="00B44A48"/>
    <w:rsid w:val="00B44AE4"/>
    <w:rsid w:val="00B45079"/>
    <w:rsid w:val="00B451D1"/>
    <w:rsid w:val="00B4540E"/>
    <w:rsid w:val="00B454F3"/>
    <w:rsid w:val="00B45539"/>
    <w:rsid w:val="00B455D3"/>
    <w:rsid w:val="00B45613"/>
    <w:rsid w:val="00B45963"/>
    <w:rsid w:val="00B45B06"/>
    <w:rsid w:val="00B45DA8"/>
    <w:rsid w:val="00B45E5E"/>
    <w:rsid w:val="00B45F5D"/>
    <w:rsid w:val="00B46126"/>
    <w:rsid w:val="00B4639F"/>
    <w:rsid w:val="00B46833"/>
    <w:rsid w:val="00B468A4"/>
    <w:rsid w:val="00B46943"/>
    <w:rsid w:val="00B46AE0"/>
    <w:rsid w:val="00B46BF3"/>
    <w:rsid w:val="00B46BFF"/>
    <w:rsid w:val="00B46C0B"/>
    <w:rsid w:val="00B46C6D"/>
    <w:rsid w:val="00B46CEB"/>
    <w:rsid w:val="00B46D6F"/>
    <w:rsid w:val="00B46D8B"/>
    <w:rsid w:val="00B46DB2"/>
    <w:rsid w:val="00B46EEA"/>
    <w:rsid w:val="00B46FD2"/>
    <w:rsid w:val="00B47018"/>
    <w:rsid w:val="00B472B8"/>
    <w:rsid w:val="00B47508"/>
    <w:rsid w:val="00B475B0"/>
    <w:rsid w:val="00B475D3"/>
    <w:rsid w:val="00B47725"/>
    <w:rsid w:val="00B47781"/>
    <w:rsid w:val="00B477AC"/>
    <w:rsid w:val="00B477DA"/>
    <w:rsid w:val="00B4785F"/>
    <w:rsid w:val="00B47897"/>
    <w:rsid w:val="00B47A8A"/>
    <w:rsid w:val="00B47B08"/>
    <w:rsid w:val="00B47CE2"/>
    <w:rsid w:val="00B47D75"/>
    <w:rsid w:val="00B47E25"/>
    <w:rsid w:val="00B47ECF"/>
    <w:rsid w:val="00B501F1"/>
    <w:rsid w:val="00B50434"/>
    <w:rsid w:val="00B5043E"/>
    <w:rsid w:val="00B504D5"/>
    <w:rsid w:val="00B505F5"/>
    <w:rsid w:val="00B5060A"/>
    <w:rsid w:val="00B50613"/>
    <w:rsid w:val="00B5066B"/>
    <w:rsid w:val="00B5082D"/>
    <w:rsid w:val="00B509EC"/>
    <w:rsid w:val="00B50A61"/>
    <w:rsid w:val="00B50AF4"/>
    <w:rsid w:val="00B50AF5"/>
    <w:rsid w:val="00B50C3B"/>
    <w:rsid w:val="00B5101D"/>
    <w:rsid w:val="00B51368"/>
    <w:rsid w:val="00B5139A"/>
    <w:rsid w:val="00B514C4"/>
    <w:rsid w:val="00B516EB"/>
    <w:rsid w:val="00B51780"/>
    <w:rsid w:val="00B517A8"/>
    <w:rsid w:val="00B517D7"/>
    <w:rsid w:val="00B51803"/>
    <w:rsid w:val="00B51C75"/>
    <w:rsid w:val="00B51D2F"/>
    <w:rsid w:val="00B51D7A"/>
    <w:rsid w:val="00B51D7F"/>
    <w:rsid w:val="00B52490"/>
    <w:rsid w:val="00B52585"/>
    <w:rsid w:val="00B5258F"/>
    <w:rsid w:val="00B527BF"/>
    <w:rsid w:val="00B5282C"/>
    <w:rsid w:val="00B528C8"/>
    <w:rsid w:val="00B528DE"/>
    <w:rsid w:val="00B528F8"/>
    <w:rsid w:val="00B52983"/>
    <w:rsid w:val="00B52AF5"/>
    <w:rsid w:val="00B53102"/>
    <w:rsid w:val="00B5321F"/>
    <w:rsid w:val="00B532ED"/>
    <w:rsid w:val="00B5331A"/>
    <w:rsid w:val="00B5366C"/>
    <w:rsid w:val="00B536DA"/>
    <w:rsid w:val="00B5382A"/>
    <w:rsid w:val="00B5388B"/>
    <w:rsid w:val="00B53A1C"/>
    <w:rsid w:val="00B53AB0"/>
    <w:rsid w:val="00B53C98"/>
    <w:rsid w:val="00B53C9E"/>
    <w:rsid w:val="00B53E2E"/>
    <w:rsid w:val="00B5404D"/>
    <w:rsid w:val="00B5412E"/>
    <w:rsid w:val="00B54496"/>
    <w:rsid w:val="00B5449D"/>
    <w:rsid w:val="00B544C4"/>
    <w:rsid w:val="00B546A3"/>
    <w:rsid w:val="00B54712"/>
    <w:rsid w:val="00B54795"/>
    <w:rsid w:val="00B54911"/>
    <w:rsid w:val="00B5498E"/>
    <w:rsid w:val="00B54E2C"/>
    <w:rsid w:val="00B54F52"/>
    <w:rsid w:val="00B54F72"/>
    <w:rsid w:val="00B54F85"/>
    <w:rsid w:val="00B54FCD"/>
    <w:rsid w:val="00B5508B"/>
    <w:rsid w:val="00B551CC"/>
    <w:rsid w:val="00B551D8"/>
    <w:rsid w:val="00B55317"/>
    <w:rsid w:val="00B55325"/>
    <w:rsid w:val="00B55351"/>
    <w:rsid w:val="00B5544A"/>
    <w:rsid w:val="00B55789"/>
    <w:rsid w:val="00B55D18"/>
    <w:rsid w:val="00B55E09"/>
    <w:rsid w:val="00B55F8D"/>
    <w:rsid w:val="00B560C3"/>
    <w:rsid w:val="00B560E5"/>
    <w:rsid w:val="00B5625B"/>
    <w:rsid w:val="00B5628B"/>
    <w:rsid w:val="00B565FA"/>
    <w:rsid w:val="00B5662D"/>
    <w:rsid w:val="00B5692E"/>
    <w:rsid w:val="00B569AA"/>
    <w:rsid w:val="00B56A2C"/>
    <w:rsid w:val="00B56AF3"/>
    <w:rsid w:val="00B56B9A"/>
    <w:rsid w:val="00B56BF7"/>
    <w:rsid w:val="00B56C39"/>
    <w:rsid w:val="00B56DCA"/>
    <w:rsid w:val="00B56EA3"/>
    <w:rsid w:val="00B56F2C"/>
    <w:rsid w:val="00B56F65"/>
    <w:rsid w:val="00B56FCD"/>
    <w:rsid w:val="00B570E0"/>
    <w:rsid w:val="00B570F6"/>
    <w:rsid w:val="00B571AF"/>
    <w:rsid w:val="00B5721C"/>
    <w:rsid w:val="00B57438"/>
    <w:rsid w:val="00B57648"/>
    <w:rsid w:val="00B577B5"/>
    <w:rsid w:val="00B57832"/>
    <w:rsid w:val="00B579A9"/>
    <w:rsid w:val="00B57B73"/>
    <w:rsid w:val="00B57BA0"/>
    <w:rsid w:val="00B57D87"/>
    <w:rsid w:val="00B601EF"/>
    <w:rsid w:val="00B603EB"/>
    <w:rsid w:val="00B6057B"/>
    <w:rsid w:val="00B60601"/>
    <w:rsid w:val="00B606A2"/>
    <w:rsid w:val="00B6071D"/>
    <w:rsid w:val="00B608B9"/>
    <w:rsid w:val="00B608FE"/>
    <w:rsid w:val="00B609BE"/>
    <w:rsid w:val="00B60E1B"/>
    <w:rsid w:val="00B60E7B"/>
    <w:rsid w:val="00B60F9B"/>
    <w:rsid w:val="00B610FB"/>
    <w:rsid w:val="00B613B7"/>
    <w:rsid w:val="00B61455"/>
    <w:rsid w:val="00B615EB"/>
    <w:rsid w:val="00B61626"/>
    <w:rsid w:val="00B6190A"/>
    <w:rsid w:val="00B61A10"/>
    <w:rsid w:val="00B61A91"/>
    <w:rsid w:val="00B61B12"/>
    <w:rsid w:val="00B61B1C"/>
    <w:rsid w:val="00B61BC2"/>
    <w:rsid w:val="00B61C97"/>
    <w:rsid w:val="00B61D52"/>
    <w:rsid w:val="00B61DD5"/>
    <w:rsid w:val="00B61F54"/>
    <w:rsid w:val="00B621A4"/>
    <w:rsid w:val="00B621F7"/>
    <w:rsid w:val="00B622B2"/>
    <w:rsid w:val="00B62357"/>
    <w:rsid w:val="00B625DB"/>
    <w:rsid w:val="00B625FB"/>
    <w:rsid w:val="00B627A9"/>
    <w:rsid w:val="00B62A4F"/>
    <w:rsid w:val="00B62BD5"/>
    <w:rsid w:val="00B62D6E"/>
    <w:rsid w:val="00B62DBA"/>
    <w:rsid w:val="00B62F1F"/>
    <w:rsid w:val="00B62F51"/>
    <w:rsid w:val="00B631E1"/>
    <w:rsid w:val="00B631FF"/>
    <w:rsid w:val="00B632E0"/>
    <w:rsid w:val="00B63307"/>
    <w:rsid w:val="00B63340"/>
    <w:rsid w:val="00B63488"/>
    <w:rsid w:val="00B635E8"/>
    <w:rsid w:val="00B6364B"/>
    <w:rsid w:val="00B63784"/>
    <w:rsid w:val="00B63967"/>
    <w:rsid w:val="00B63A6B"/>
    <w:rsid w:val="00B63B54"/>
    <w:rsid w:val="00B63B76"/>
    <w:rsid w:val="00B63C6E"/>
    <w:rsid w:val="00B63CDE"/>
    <w:rsid w:val="00B63D9B"/>
    <w:rsid w:val="00B63DB0"/>
    <w:rsid w:val="00B63E6B"/>
    <w:rsid w:val="00B64125"/>
    <w:rsid w:val="00B64534"/>
    <w:rsid w:val="00B648AB"/>
    <w:rsid w:val="00B64928"/>
    <w:rsid w:val="00B64948"/>
    <w:rsid w:val="00B64969"/>
    <w:rsid w:val="00B64A22"/>
    <w:rsid w:val="00B64AE3"/>
    <w:rsid w:val="00B64C1C"/>
    <w:rsid w:val="00B64F45"/>
    <w:rsid w:val="00B64F9B"/>
    <w:rsid w:val="00B64FD4"/>
    <w:rsid w:val="00B652E2"/>
    <w:rsid w:val="00B65356"/>
    <w:rsid w:val="00B65568"/>
    <w:rsid w:val="00B65863"/>
    <w:rsid w:val="00B65A83"/>
    <w:rsid w:val="00B65B33"/>
    <w:rsid w:val="00B65B66"/>
    <w:rsid w:val="00B65E04"/>
    <w:rsid w:val="00B65E17"/>
    <w:rsid w:val="00B66234"/>
    <w:rsid w:val="00B66254"/>
    <w:rsid w:val="00B66299"/>
    <w:rsid w:val="00B66303"/>
    <w:rsid w:val="00B66309"/>
    <w:rsid w:val="00B663F6"/>
    <w:rsid w:val="00B663FF"/>
    <w:rsid w:val="00B66571"/>
    <w:rsid w:val="00B666BF"/>
    <w:rsid w:val="00B66746"/>
    <w:rsid w:val="00B6685C"/>
    <w:rsid w:val="00B668C8"/>
    <w:rsid w:val="00B66A9D"/>
    <w:rsid w:val="00B66AA2"/>
    <w:rsid w:val="00B66CF9"/>
    <w:rsid w:val="00B66D18"/>
    <w:rsid w:val="00B66E8B"/>
    <w:rsid w:val="00B66EBA"/>
    <w:rsid w:val="00B6703E"/>
    <w:rsid w:val="00B672A0"/>
    <w:rsid w:val="00B67363"/>
    <w:rsid w:val="00B674A4"/>
    <w:rsid w:val="00B675FA"/>
    <w:rsid w:val="00B67680"/>
    <w:rsid w:val="00B67691"/>
    <w:rsid w:val="00B677A8"/>
    <w:rsid w:val="00B6782C"/>
    <w:rsid w:val="00B67965"/>
    <w:rsid w:val="00B67B22"/>
    <w:rsid w:val="00B67D30"/>
    <w:rsid w:val="00B67DA5"/>
    <w:rsid w:val="00B67FB3"/>
    <w:rsid w:val="00B7005B"/>
    <w:rsid w:val="00B70081"/>
    <w:rsid w:val="00B702D7"/>
    <w:rsid w:val="00B703F5"/>
    <w:rsid w:val="00B70468"/>
    <w:rsid w:val="00B704A8"/>
    <w:rsid w:val="00B70620"/>
    <w:rsid w:val="00B70637"/>
    <w:rsid w:val="00B70922"/>
    <w:rsid w:val="00B709AE"/>
    <w:rsid w:val="00B70C30"/>
    <w:rsid w:val="00B70F52"/>
    <w:rsid w:val="00B70F62"/>
    <w:rsid w:val="00B70FF3"/>
    <w:rsid w:val="00B715C7"/>
    <w:rsid w:val="00B715DA"/>
    <w:rsid w:val="00B71666"/>
    <w:rsid w:val="00B716D9"/>
    <w:rsid w:val="00B7176B"/>
    <w:rsid w:val="00B71A5C"/>
    <w:rsid w:val="00B71B16"/>
    <w:rsid w:val="00B71B1E"/>
    <w:rsid w:val="00B71B86"/>
    <w:rsid w:val="00B71DFF"/>
    <w:rsid w:val="00B72075"/>
    <w:rsid w:val="00B72132"/>
    <w:rsid w:val="00B722C0"/>
    <w:rsid w:val="00B723DF"/>
    <w:rsid w:val="00B723EF"/>
    <w:rsid w:val="00B724CD"/>
    <w:rsid w:val="00B726E0"/>
    <w:rsid w:val="00B72910"/>
    <w:rsid w:val="00B7293C"/>
    <w:rsid w:val="00B72B45"/>
    <w:rsid w:val="00B72C8A"/>
    <w:rsid w:val="00B72D26"/>
    <w:rsid w:val="00B72D85"/>
    <w:rsid w:val="00B72E99"/>
    <w:rsid w:val="00B72EC3"/>
    <w:rsid w:val="00B72ED4"/>
    <w:rsid w:val="00B72FBD"/>
    <w:rsid w:val="00B73156"/>
    <w:rsid w:val="00B732C1"/>
    <w:rsid w:val="00B732F7"/>
    <w:rsid w:val="00B73309"/>
    <w:rsid w:val="00B73371"/>
    <w:rsid w:val="00B733B5"/>
    <w:rsid w:val="00B73479"/>
    <w:rsid w:val="00B73566"/>
    <w:rsid w:val="00B735A8"/>
    <w:rsid w:val="00B7364E"/>
    <w:rsid w:val="00B7386B"/>
    <w:rsid w:val="00B73A8F"/>
    <w:rsid w:val="00B73B2D"/>
    <w:rsid w:val="00B73B83"/>
    <w:rsid w:val="00B73BFC"/>
    <w:rsid w:val="00B73D5B"/>
    <w:rsid w:val="00B73EB4"/>
    <w:rsid w:val="00B73F55"/>
    <w:rsid w:val="00B7409E"/>
    <w:rsid w:val="00B74237"/>
    <w:rsid w:val="00B742EA"/>
    <w:rsid w:val="00B744AB"/>
    <w:rsid w:val="00B744C5"/>
    <w:rsid w:val="00B7454D"/>
    <w:rsid w:val="00B74839"/>
    <w:rsid w:val="00B748A6"/>
    <w:rsid w:val="00B74A40"/>
    <w:rsid w:val="00B74ADD"/>
    <w:rsid w:val="00B74B0C"/>
    <w:rsid w:val="00B74B4F"/>
    <w:rsid w:val="00B74B51"/>
    <w:rsid w:val="00B74C0C"/>
    <w:rsid w:val="00B74D24"/>
    <w:rsid w:val="00B74D32"/>
    <w:rsid w:val="00B74EA8"/>
    <w:rsid w:val="00B75014"/>
    <w:rsid w:val="00B7509A"/>
    <w:rsid w:val="00B752C3"/>
    <w:rsid w:val="00B7536C"/>
    <w:rsid w:val="00B7537C"/>
    <w:rsid w:val="00B7543D"/>
    <w:rsid w:val="00B755EC"/>
    <w:rsid w:val="00B75693"/>
    <w:rsid w:val="00B7571F"/>
    <w:rsid w:val="00B758B5"/>
    <w:rsid w:val="00B758F2"/>
    <w:rsid w:val="00B759FB"/>
    <w:rsid w:val="00B75A04"/>
    <w:rsid w:val="00B75CA8"/>
    <w:rsid w:val="00B75E39"/>
    <w:rsid w:val="00B75F2C"/>
    <w:rsid w:val="00B7601F"/>
    <w:rsid w:val="00B760BB"/>
    <w:rsid w:val="00B760C1"/>
    <w:rsid w:val="00B762C4"/>
    <w:rsid w:val="00B763C6"/>
    <w:rsid w:val="00B7661E"/>
    <w:rsid w:val="00B766A3"/>
    <w:rsid w:val="00B76933"/>
    <w:rsid w:val="00B76BA2"/>
    <w:rsid w:val="00B76BEA"/>
    <w:rsid w:val="00B76C75"/>
    <w:rsid w:val="00B76C7C"/>
    <w:rsid w:val="00B76D77"/>
    <w:rsid w:val="00B76E3C"/>
    <w:rsid w:val="00B76E7B"/>
    <w:rsid w:val="00B76F8E"/>
    <w:rsid w:val="00B77325"/>
    <w:rsid w:val="00B77354"/>
    <w:rsid w:val="00B77384"/>
    <w:rsid w:val="00B7739D"/>
    <w:rsid w:val="00B77574"/>
    <w:rsid w:val="00B77585"/>
    <w:rsid w:val="00B7765C"/>
    <w:rsid w:val="00B77762"/>
    <w:rsid w:val="00B77968"/>
    <w:rsid w:val="00B779BC"/>
    <w:rsid w:val="00B77AF2"/>
    <w:rsid w:val="00B77B68"/>
    <w:rsid w:val="00B803FC"/>
    <w:rsid w:val="00B80437"/>
    <w:rsid w:val="00B8053C"/>
    <w:rsid w:val="00B8060F"/>
    <w:rsid w:val="00B8063C"/>
    <w:rsid w:val="00B807FC"/>
    <w:rsid w:val="00B808E3"/>
    <w:rsid w:val="00B80A11"/>
    <w:rsid w:val="00B80BDD"/>
    <w:rsid w:val="00B80C10"/>
    <w:rsid w:val="00B80FC5"/>
    <w:rsid w:val="00B80FC9"/>
    <w:rsid w:val="00B81333"/>
    <w:rsid w:val="00B81383"/>
    <w:rsid w:val="00B813DB"/>
    <w:rsid w:val="00B815AE"/>
    <w:rsid w:val="00B8162F"/>
    <w:rsid w:val="00B81705"/>
    <w:rsid w:val="00B81799"/>
    <w:rsid w:val="00B817BB"/>
    <w:rsid w:val="00B81849"/>
    <w:rsid w:val="00B818B8"/>
    <w:rsid w:val="00B819FF"/>
    <w:rsid w:val="00B81A78"/>
    <w:rsid w:val="00B81C4E"/>
    <w:rsid w:val="00B81CBF"/>
    <w:rsid w:val="00B81DD7"/>
    <w:rsid w:val="00B81E01"/>
    <w:rsid w:val="00B8219B"/>
    <w:rsid w:val="00B821E5"/>
    <w:rsid w:val="00B8234C"/>
    <w:rsid w:val="00B8235B"/>
    <w:rsid w:val="00B82496"/>
    <w:rsid w:val="00B824F7"/>
    <w:rsid w:val="00B826BE"/>
    <w:rsid w:val="00B8282D"/>
    <w:rsid w:val="00B828B9"/>
    <w:rsid w:val="00B82B11"/>
    <w:rsid w:val="00B82C99"/>
    <w:rsid w:val="00B82CCC"/>
    <w:rsid w:val="00B82D35"/>
    <w:rsid w:val="00B82DF7"/>
    <w:rsid w:val="00B82E6B"/>
    <w:rsid w:val="00B82E77"/>
    <w:rsid w:val="00B82F15"/>
    <w:rsid w:val="00B82FEB"/>
    <w:rsid w:val="00B83070"/>
    <w:rsid w:val="00B83388"/>
    <w:rsid w:val="00B83417"/>
    <w:rsid w:val="00B835DB"/>
    <w:rsid w:val="00B83896"/>
    <w:rsid w:val="00B83952"/>
    <w:rsid w:val="00B83982"/>
    <w:rsid w:val="00B83A27"/>
    <w:rsid w:val="00B83B99"/>
    <w:rsid w:val="00B8406D"/>
    <w:rsid w:val="00B840D5"/>
    <w:rsid w:val="00B8420E"/>
    <w:rsid w:val="00B84265"/>
    <w:rsid w:val="00B843AE"/>
    <w:rsid w:val="00B84417"/>
    <w:rsid w:val="00B8446B"/>
    <w:rsid w:val="00B845DB"/>
    <w:rsid w:val="00B8467D"/>
    <w:rsid w:val="00B847A8"/>
    <w:rsid w:val="00B847BB"/>
    <w:rsid w:val="00B847DC"/>
    <w:rsid w:val="00B8483C"/>
    <w:rsid w:val="00B8485B"/>
    <w:rsid w:val="00B84860"/>
    <w:rsid w:val="00B849D7"/>
    <w:rsid w:val="00B84AD8"/>
    <w:rsid w:val="00B84EB0"/>
    <w:rsid w:val="00B84EF0"/>
    <w:rsid w:val="00B84FAC"/>
    <w:rsid w:val="00B84FD0"/>
    <w:rsid w:val="00B8524C"/>
    <w:rsid w:val="00B852A8"/>
    <w:rsid w:val="00B8548C"/>
    <w:rsid w:val="00B855E3"/>
    <w:rsid w:val="00B85664"/>
    <w:rsid w:val="00B85725"/>
    <w:rsid w:val="00B85792"/>
    <w:rsid w:val="00B857DD"/>
    <w:rsid w:val="00B85851"/>
    <w:rsid w:val="00B85A81"/>
    <w:rsid w:val="00B85DE5"/>
    <w:rsid w:val="00B85E03"/>
    <w:rsid w:val="00B85E38"/>
    <w:rsid w:val="00B85E82"/>
    <w:rsid w:val="00B85F2E"/>
    <w:rsid w:val="00B86150"/>
    <w:rsid w:val="00B861B4"/>
    <w:rsid w:val="00B862C9"/>
    <w:rsid w:val="00B86592"/>
    <w:rsid w:val="00B867B6"/>
    <w:rsid w:val="00B867FA"/>
    <w:rsid w:val="00B868D6"/>
    <w:rsid w:val="00B86930"/>
    <w:rsid w:val="00B86931"/>
    <w:rsid w:val="00B86A5C"/>
    <w:rsid w:val="00B86B31"/>
    <w:rsid w:val="00B86B38"/>
    <w:rsid w:val="00B86BBE"/>
    <w:rsid w:val="00B86BE2"/>
    <w:rsid w:val="00B86C0B"/>
    <w:rsid w:val="00B86C62"/>
    <w:rsid w:val="00B86E42"/>
    <w:rsid w:val="00B86F07"/>
    <w:rsid w:val="00B86FB3"/>
    <w:rsid w:val="00B87095"/>
    <w:rsid w:val="00B87496"/>
    <w:rsid w:val="00B875CC"/>
    <w:rsid w:val="00B876D4"/>
    <w:rsid w:val="00B87A3A"/>
    <w:rsid w:val="00B87A3B"/>
    <w:rsid w:val="00B87A72"/>
    <w:rsid w:val="00B87BA8"/>
    <w:rsid w:val="00B87C2D"/>
    <w:rsid w:val="00B87CDB"/>
    <w:rsid w:val="00B87D54"/>
    <w:rsid w:val="00B87DF0"/>
    <w:rsid w:val="00B87E6E"/>
    <w:rsid w:val="00B90004"/>
    <w:rsid w:val="00B90095"/>
    <w:rsid w:val="00B900EC"/>
    <w:rsid w:val="00B902E6"/>
    <w:rsid w:val="00B902E9"/>
    <w:rsid w:val="00B9039D"/>
    <w:rsid w:val="00B9094C"/>
    <w:rsid w:val="00B909D9"/>
    <w:rsid w:val="00B90A66"/>
    <w:rsid w:val="00B90B0A"/>
    <w:rsid w:val="00B90C57"/>
    <w:rsid w:val="00B90D1B"/>
    <w:rsid w:val="00B90D60"/>
    <w:rsid w:val="00B90EB6"/>
    <w:rsid w:val="00B90F13"/>
    <w:rsid w:val="00B90F4A"/>
    <w:rsid w:val="00B91083"/>
    <w:rsid w:val="00B910A3"/>
    <w:rsid w:val="00B910C2"/>
    <w:rsid w:val="00B911CD"/>
    <w:rsid w:val="00B915A5"/>
    <w:rsid w:val="00B916C6"/>
    <w:rsid w:val="00B916F5"/>
    <w:rsid w:val="00B9177F"/>
    <w:rsid w:val="00B919ED"/>
    <w:rsid w:val="00B91D9D"/>
    <w:rsid w:val="00B91DA9"/>
    <w:rsid w:val="00B91E33"/>
    <w:rsid w:val="00B91F83"/>
    <w:rsid w:val="00B91FF2"/>
    <w:rsid w:val="00B92015"/>
    <w:rsid w:val="00B92419"/>
    <w:rsid w:val="00B92572"/>
    <w:rsid w:val="00B925F7"/>
    <w:rsid w:val="00B927DE"/>
    <w:rsid w:val="00B9280E"/>
    <w:rsid w:val="00B92AD4"/>
    <w:rsid w:val="00B92C45"/>
    <w:rsid w:val="00B92CFB"/>
    <w:rsid w:val="00B92D14"/>
    <w:rsid w:val="00B92EA9"/>
    <w:rsid w:val="00B92FA1"/>
    <w:rsid w:val="00B9307B"/>
    <w:rsid w:val="00B93460"/>
    <w:rsid w:val="00B934BC"/>
    <w:rsid w:val="00B938CE"/>
    <w:rsid w:val="00B9395A"/>
    <w:rsid w:val="00B939DC"/>
    <w:rsid w:val="00B93AC3"/>
    <w:rsid w:val="00B93B41"/>
    <w:rsid w:val="00B93C99"/>
    <w:rsid w:val="00B93EBB"/>
    <w:rsid w:val="00B93FD4"/>
    <w:rsid w:val="00B94218"/>
    <w:rsid w:val="00B94311"/>
    <w:rsid w:val="00B9441E"/>
    <w:rsid w:val="00B944CE"/>
    <w:rsid w:val="00B945EF"/>
    <w:rsid w:val="00B94608"/>
    <w:rsid w:val="00B946AE"/>
    <w:rsid w:val="00B946B4"/>
    <w:rsid w:val="00B94724"/>
    <w:rsid w:val="00B947B9"/>
    <w:rsid w:val="00B947DB"/>
    <w:rsid w:val="00B94993"/>
    <w:rsid w:val="00B94B66"/>
    <w:rsid w:val="00B94BEB"/>
    <w:rsid w:val="00B94E58"/>
    <w:rsid w:val="00B94FB7"/>
    <w:rsid w:val="00B9513A"/>
    <w:rsid w:val="00B9513D"/>
    <w:rsid w:val="00B951BE"/>
    <w:rsid w:val="00B953B2"/>
    <w:rsid w:val="00B95601"/>
    <w:rsid w:val="00B95713"/>
    <w:rsid w:val="00B9587B"/>
    <w:rsid w:val="00B9594D"/>
    <w:rsid w:val="00B95B04"/>
    <w:rsid w:val="00B95B0F"/>
    <w:rsid w:val="00B95B3D"/>
    <w:rsid w:val="00B95DBF"/>
    <w:rsid w:val="00B95E41"/>
    <w:rsid w:val="00B95E62"/>
    <w:rsid w:val="00B95F3F"/>
    <w:rsid w:val="00B96312"/>
    <w:rsid w:val="00B967A3"/>
    <w:rsid w:val="00B968F7"/>
    <w:rsid w:val="00B9692B"/>
    <w:rsid w:val="00B9694F"/>
    <w:rsid w:val="00B96B5D"/>
    <w:rsid w:val="00B96C1A"/>
    <w:rsid w:val="00B96C91"/>
    <w:rsid w:val="00B96CCD"/>
    <w:rsid w:val="00B96D45"/>
    <w:rsid w:val="00B96E0D"/>
    <w:rsid w:val="00B96EC7"/>
    <w:rsid w:val="00B96EEA"/>
    <w:rsid w:val="00B96FE1"/>
    <w:rsid w:val="00B96FED"/>
    <w:rsid w:val="00B97356"/>
    <w:rsid w:val="00B97505"/>
    <w:rsid w:val="00B97524"/>
    <w:rsid w:val="00B97549"/>
    <w:rsid w:val="00B9759D"/>
    <w:rsid w:val="00B977C6"/>
    <w:rsid w:val="00B977E9"/>
    <w:rsid w:val="00B97890"/>
    <w:rsid w:val="00B97B20"/>
    <w:rsid w:val="00B97C04"/>
    <w:rsid w:val="00B97DF0"/>
    <w:rsid w:val="00B97E7D"/>
    <w:rsid w:val="00B97F39"/>
    <w:rsid w:val="00B97F87"/>
    <w:rsid w:val="00BA00D6"/>
    <w:rsid w:val="00BA017B"/>
    <w:rsid w:val="00BA0278"/>
    <w:rsid w:val="00BA038D"/>
    <w:rsid w:val="00BA03FE"/>
    <w:rsid w:val="00BA0A03"/>
    <w:rsid w:val="00BA0A28"/>
    <w:rsid w:val="00BA0A99"/>
    <w:rsid w:val="00BA0AED"/>
    <w:rsid w:val="00BA0D5E"/>
    <w:rsid w:val="00BA0D99"/>
    <w:rsid w:val="00BA106E"/>
    <w:rsid w:val="00BA1257"/>
    <w:rsid w:val="00BA1363"/>
    <w:rsid w:val="00BA1478"/>
    <w:rsid w:val="00BA149F"/>
    <w:rsid w:val="00BA155F"/>
    <w:rsid w:val="00BA15E0"/>
    <w:rsid w:val="00BA1631"/>
    <w:rsid w:val="00BA1639"/>
    <w:rsid w:val="00BA1677"/>
    <w:rsid w:val="00BA1753"/>
    <w:rsid w:val="00BA1789"/>
    <w:rsid w:val="00BA1A47"/>
    <w:rsid w:val="00BA1AA4"/>
    <w:rsid w:val="00BA1C50"/>
    <w:rsid w:val="00BA1C87"/>
    <w:rsid w:val="00BA1E58"/>
    <w:rsid w:val="00BA1EC1"/>
    <w:rsid w:val="00BA1F08"/>
    <w:rsid w:val="00BA208A"/>
    <w:rsid w:val="00BA20B4"/>
    <w:rsid w:val="00BA21AA"/>
    <w:rsid w:val="00BA22FF"/>
    <w:rsid w:val="00BA2310"/>
    <w:rsid w:val="00BA2999"/>
    <w:rsid w:val="00BA2B50"/>
    <w:rsid w:val="00BA2C9D"/>
    <w:rsid w:val="00BA2DE9"/>
    <w:rsid w:val="00BA2E27"/>
    <w:rsid w:val="00BA2EC5"/>
    <w:rsid w:val="00BA2EE7"/>
    <w:rsid w:val="00BA30A0"/>
    <w:rsid w:val="00BA3303"/>
    <w:rsid w:val="00BA332D"/>
    <w:rsid w:val="00BA33DE"/>
    <w:rsid w:val="00BA3471"/>
    <w:rsid w:val="00BA35BD"/>
    <w:rsid w:val="00BA35EB"/>
    <w:rsid w:val="00BA362B"/>
    <w:rsid w:val="00BA39BA"/>
    <w:rsid w:val="00BA3AB4"/>
    <w:rsid w:val="00BA3C23"/>
    <w:rsid w:val="00BA3CD0"/>
    <w:rsid w:val="00BA3E4F"/>
    <w:rsid w:val="00BA3EC4"/>
    <w:rsid w:val="00BA3F19"/>
    <w:rsid w:val="00BA3FDA"/>
    <w:rsid w:val="00BA4081"/>
    <w:rsid w:val="00BA40BA"/>
    <w:rsid w:val="00BA4108"/>
    <w:rsid w:val="00BA41BB"/>
    <w:rsid w:val="00BA44E9"/>
    <w:rsid w:val="00BA4572"/>
    <w:rsid w:val="00BA4622"/>
    <w:rsid w:val="00BA46AF"/>
    <w:rsid w:val="00BA4899"/>
    <w:rsid w:val="00BA491D"/>
    <w:rsid w:val="00BA4BD2"/>
    <w:rsid w:val="00BA4CEB"/>
    <w:rsid w:val="00BA4D9F"/>
    <w:rsid w:val="00BA4DF0"/>
    <w:rsid w:val="00BA4E6B"/>
    <w:rsid w:val="00BA4EDC"/>
    <w:rsid w:val="00BA508D"/>
    <w:rsid w:val="00BA5146"/>
    <w:rsid w:val="00BA53CD"/>
    <w:rsid w:val="00BA541F"/>
    <w:rsid w:val="00BA568D"/>
    <w:rsid w:val="00BA58E1"/>
    <w:rsid w:val="00BA5904"/>
    <w:rsid w:val="00BA5A1C"/>
    <w:rsid w:val="00BA5A84"/>
    <w:rsid w:val="00BA5A91"/>
    <w:rsid w:val="00BA5B8B"/>
    <w:rsid w:val="00BA6176"/>
    <w:rsid w:val="00BA62A9"/>
    <w:rsid w:val="00BA6306"/>
    <w:rsid w:val="00BA6418"/>
    <w:rsid w:val="00BA645F"/>
    <w:rsid w:val="00BA64A4"/>
    <w:rsid w:val="00BA6699"/>
    <w:rsid w:val="00BA6746"/>
    <w:rsid w:val="00BA67E7"/>
    <w:rsid w:val="00BA6802"/>
    <w:rsid w:val="00BA68C5"/>
    <w:rsid w:val="00BA69B5"/>
    <w:rsid w:val="00BA6AFA"/>
    <w:rsid w:val="00BA6FAB"/>
    <w:rsid w:val="00BA6FF4"/>
    <w:rsid w:val="00BA700E"/>
    <w:rsid w:val="00BA70C2"/>
    <w:rsid w:val="00BA72F3"/>
    <w:rsid w:val="00BA739D"/>
    <w:rsid w:val="00BA771F"/>
    <w:rsid w:val="00BA7874"/>
    <w:rsid w:val="00BA7CB3"/>
    <w:rsid w:val="00BA7F07"/>
    <w:rsid w:val="00BA7FD9"/>
    <w:rsid w:val="00BB0185"/>
    <w:rsid w:val="00BB01F0"/>
    <w:rsid w:val="00BB0212"/>
    <w:rsid w:val="00BB03FE"/>
    <w:rsid w:val="00BB0489"/>
    <w:rsid w:val="00BB04CF"/>
    <w:rsid w:val="00BB0580"/>
    <w:rsid w:val="00BB069A"/>
    <w:rsid w:val="00BB08DA"/>
    <w:rsid w:val="00BB099A"/>
    <w:rsid w:val="00BB09CB"/>
    <w:rsid w:val="00BB0A76"/>
    <w:rsid w:val="00BB0AED"/>
    <w:rsid w:val="00BB0CBA"/>
    <w:rsid w:val="00BB0CF6"/>
    <w:rsid w:val="00BB0D72"/>
    <w:rsid w:val="00BB0DC9"/>
    <w:rsid w:val="00BB0DDB"/>
    <w:rsid w:val="00BB0F61"/>
    <w:rsid w:val="00BB0F9C"/>
    <w:rsid w:val="00BB1303"/>
    <w:rsid w:val="00BB138E"/>
    <w:rsid w:val="00BB166B"/>
    <w:rsid w:val="00BB16A3"/>
    <w:rsid w:val="00BB17F9"/>
    <w:rsid w:val="00BB182C"/>
    <w:rsid w:val="00BB1832"/>
    <w:rsid w:val="00BB1900"/>
    <w:rsid w:val="00BB1927"/>
    <w:rsid w:val="00BB1A0D"/>
    <w:rsid w:val="00BB1A88"/>
    <w:rsid w:val="00BB1AB2"/>
    <w:rsid w:val="00BB1B40"/>
    <w:rsid w:val="00BB1B85"/>
    <w:rsid w:val="00BB1CA0"/>
    <w:rsid w:val="00BB1D1E"/>
    <w:rsid w:val="00BB1E3E"/>
    <w:rsid w:val="00BB1EFB"/>
    <w:rsid w:val="00BB205C"/>
    <w:rsid w:val="00BB20AE"/>
    <w:rsid w:val="00BB20B1"/>
    <w:rsid w:val="00BB24A9"/>
    <w:rsid w:val="00BB2548"/>
    <w:rsid w:val="00BB2600"/>
    <w:rsid w:val="00BB2629"/>
    <w:rsid w:val="00BB2808"/>
    <w:rsid w:val="00BB2882"/>
    <w:rsid w:val="00BB28D9"/>
    <w:rsid w:val="00BB2A75"/>
    <w:rsid w:val="00BB2AAD"/>
    <w:rsid w:val="00BB2BDB"/>
    <w:rsid w:val="00BB2C2D"/>
    <w:rsid w:val="00BB2C63"/>
    <w:rsid w:val="00BB2D9C"/>
    <w:rsid w:val="00BB2EC5"/>
    <w:rsid w:val="00BB2F2D"/>
    <w:rsid w:val="00BB2F40"/>
    <w:rsid w:val="00BB2FCF"/>
    <w:rsid w:val="00BB2FD9"/>
    <w:rsid w:val="00BB301B"/>
    <w:rsid w:val="00BB3068"/>
    <w:rsid w:val="00BB3185"/>
    <w:rsid w:val="00BB31C8"/>
    <w:rsid w:val="00BB31FF"/>
    <w:rsid w:val="00BB32EE"/>
    <w:rsid w:val="00BB33C8"/>
    <w:rsid w:val="00BB349A"/>
    <w:rsid w:val="00BB34FF"/>
    <w:rsid w:val="00BB3534"/>
    <w:rsid w:val="00BB35BE"/>
    <w:rsid w:val="00BB366F"/>
    <w:rsid w:val="00BB369E"/>
    <w:rsid w:val="00BB370F"/>
    <w:rsid w:val="00BB3730"/>
    <w:rsid w:val="00BB3CF4"/>
    <w:rsid w:val="00BB4011"/>
    <w:rsid w:val="00BB4173"/>
    <w:rsid w:val="00BB431F"/>
    <w:rsid w:val="00BB436D"/>
    <w:rsid w:val="00BB4489"/>
    <w:rsid w:val="00BB44C1"/>
    <w:rsid w:val="00BB46C1"/>
    <w:rsid w:val="00BB46EC"/>
    <w:rsid w:val="00BB4A14"/>
    <w:rsid w:val="00BB4B80"/>
    <w:rsid w:val="00BB4C9F"/>
    <w:rsid w:val="00BB4E71"/>
    <w:rsid w:val="00BB4FDF"/>
    <w:rsid w:val="00BB566D"/>
    <w:rsid w:val="00BB57FA"/>
    <w:rsid w:val="00BB5811"/>
    <w:rsid w:val="00BB5998"/>
    <w:rsid w:val="00BB5A54"/>
    <w:rsid w:val="00BB5A9C"/>
    <w:rsid w:val="00BB5BED"/>
    <w:rsid w:val="00BB5BF0"/>
    <w:rsid w:val="00BB5C3C"/>
    <w:rsid w:val="00BB5D4D"/>
    <w:rsid w:val="00BB5EC8"/>
    <w:rsid w:val="00BB61D1"/>
    <w:rsid w:val="00BB61FE"/>
    <w:rsid w:val="00BB656F"/>
    <w:rsid w:val="00BB666D"/>
    <w:rsid w:val="00BB6692"/>
    <w:rsid w:val="00BB670D"/>
    <w:rsid w:val="00BB6747"/>
    <w:rsid w:val="00BB6A32"/>
    <w:rsid w:val="00BB6A81"/>
    <w:rsid w:val="00BB6B63"/>
    <w:rsid w:val="00BB6FDA"/>
    <w:rsid w:val="00BB7028"/>
    <w:rsid w:val="00BB70F2"/>
    <w:rsid w:val="00BB77AE"/>
    <w:rsid w:val="00BB795F"/>
    <w:rsid w:val="00BB79D3"/>
    <w:rsid w:val="00BB79F2"/>
    <w:rsid w:val="00BB7C44"/>
    <w:rsid w:val="00BB7C80"/>
    <w:rsid w:val="00BB7D6D"/>
    <w:rsid w:val="00BB7EC5"/>
    <w:rsid w:val="00BC0160"/>
    <w:rsid w:val="00BC026A"/>
    <w:rsid w:val="00BC0502"/>
    <w:rsid w:val="00BC0596"/>
    <w:rsid w:val="00BC05E0"/>
    <w:rsid w:val="00BC060E"/>
    <w:rsid w:val="00BC06C7"/>
    <w:rsid w:val="00BC06D2"/>
    <w:rsid w:val="00BC0794"/>
    <w:rsid w:val="00BC099E"/>
    <w:rsid w:val="00BC0BD3"/>
    <w:rsid w:val="00BC0C75"/>
    <w:rsid w:val="00BC0D5D"/>
    <w:rsid w:val="00BC0E50"/>
    <w:rsid w:val="00BC0E92"/>
    <w:rsid w:val="00BC0F2D"/>
    <w:rsid w:val="00BC0FEC"/>
    <w:rsid w:val="00BC108D"/>
    <w:rsid w:val="00BC10C1"/>
    <w:rsid w:val="00BC1410"/>
    <w:rsid w:val="00BC1461"/>
    <w:rsid w:val="00BC1590"/>
    <w:rsid w:val="00BC16FD"/>
    <w:rsid w:val="00BC178B"/>
    <w:rsid w:val="00BC1852"/>
    <w:rsid w:val="00BC1B12"/>
    <w:rsid w:val="00BC1B78"/>
    <w:rsid w:val="00BC1C25"/>
    <w:rsid w:val="00BC1C36"/>
    <w:rsid w:val="00BC1E64"/>
    <w:rsid w:val="00BC1EFD"/>
    <w:rsid w:val="00BC2067"/>
    <w:rsid w:val="00BC2159"/>
    <w:rsid w:val="00BC227A"/>
    <w:rsid w:val="00BC2295"/>
    <w:rsid w:val="00BC2327"/>
    <w:rsid w:val="00BC236B"/>
    <w:rsid w:val="00BC23F2"/>
    <w:rsid w:val="00BC24AA"/>
    <w:rsid w:val="00BC2627"/>
    <w:rsid w:val="00BC2682"/>
    <w:rsid w:val="00BC26FD"/>
    <w:rsid w:val="00BC2819"/>
    <w:rsid w:val="00BC28B7"/>
    <w:rsid w:val="00BC28ED"/>
    <w:rsid w:val="00BC2915"/>
    <w:rsid w:val="00BC297A"/>
    <w:rsid w:val="00BC29EC"/>
    <w:rsid w:val="00BC2C9F"/>
    <w:rsid w:val="00BC2D1C"/>
    <w:rsid w:val="00BC2DA0"/>
    <w:rsid w:val="00BC2EFE"/>
    <w:rsid w:val="00BC2F45"/>
    <w:rsid w:val="00BC326B"/>
    <w:rsid w:val="00BC3566"/>
    <w:rsid w:val="00BC36C0"/>
    <w:rsid w:val="00BC3C23"/>
    <w:rsid w:val="00BC3CD3"/>
    <w:rsid w:val="00BC3D87"/>
    <w:rsid w:val="00BC3E2F"/>
    <w:rsid w:val="00BC40EC"/>
    <w:rsid w:val="00BC42CC"/>
    <w:rsid w:val="00BC42ED"/>
    <w:rsid w:val="00BC458E"/>
    <w:rsid w:val="00BC4783"/>
    <w:rsid w:val="00BC492D"/>
    <w:rsid w:val="00BC4992"/>
    <w:rsid w:val="00BC4A70"/>
    <w:rsid w:val="00BC4C4F"/>
    <w:rsid w:val="00BC4C54"/>
    <w:rsid w:val="00BC4CE5"/>
    <w:rsid w:val="00BC4D3B"/>
    <w:rsid w:val="00BC4ED2"/>
    <w:rsid w:val="00BC5006"/>
    <w:rsid w:val="00BC5143"/>
    <w:rsid w:val="00BC544C"/>
    <w:rsid w:val="00BC5528"/>
    <w:rsid w:val="00BC5761"/>
    <w:rsid w:val="00BC5763"/>
    <w:rsid w:val="00BC57B5"/>
    <w:rsid w:val="00BC57FB"/>
    <w:rsid w:val="00BC589C"/>
    <w:rsid w:val="00BC58C4"/>
    <w:rsid w:val="00BC5901"/>
    <w:rsid w:val="00BC59F9"/>
    <w:rsid w:val="00BC5C2C"/>
    <w:rsid w:val="00BC5C92"/>
    <w:rsid w:val="00BC5FF3"/>
    <w:rsid w:val="00BC6184"/>
    <w:rsid w:val="00BC62F0"/>
    <w:rsid w:val="00BC633A"/>
    <w:rsid w:val="00BC6439"/>
    <w:rsid w:val="00BC649F"/>
    <w:rsid w:val="00BC663F"/>
    <w:rsid w:val="00BC66F3"/>
    <w:rsid w:val="00BC66F4"/>
    <w:rsid w:val="00BC6929"/>
    <w:rsid w:val="00BC6A38"/>
    <w:rsid w:val="00BC6BA5"/>
    <w:rsid w:val="00BC6BC3"/>
    <w:rsid w:val="00BC6BF9"/>
    <w:rsid w:val="00BC6C9F"/>
    <w:rsid w:val="00BC6D69"/>
    <w:rsid w:val="00BC6DD6"/>
    <w:rsid w:val="00BC6EF3"/>
    <w:rsid w:val="00BC6FDA"/>
    <w:rsid w:val="00BC6FFD"/>
    <w:rsid w:val="00BC711B"/>
    <w:rsid w:val="00BC7128"/>
    <w:rsid w:val="00BC742E"/>
    <w:rsid w:val="00BC7525"/>
    <w:rsid w:val="00BC7545"/>
    <w:rsid w:val="00BC7633"/>
    <w:rsid w:val="00BC763D"/>
    <w:rsid w:val="00BC7851"/>
    <w:rsid w:val="00BC7BD8"/>
    <w:rsid w:val="00BC7C6F"/>
    <w:rsid w:val="00BC7F3E"/>
    <w:rsid w:val="00BD0075"/>
    <w:rsid w:val="00BD01AD"/>
    <w:rsid w:val="00BD0237"/>
    <w:rsid w:val="00BD0271"/>
    <w:rsid w:val="00BD02FF"/>
    <w:rsid w:val="00BD03A2"/>
    <w:rsid w:val="00BD03D0"/>
    <w:rsid w:val="00BD0680"/>
    <w:rsid w:val="00BD07AC"/>
    <w:rsid w:val="00BD0824"/>
    <w:rsid w:val="00BD096F"/>
    <w:rsid w:val="00BD0B86"/>
    <w:rsid w:val="00BD0DC5"/>
    <w:rsid w:val="00BD0DE1"/>
    <w:rsid w:val="00BD0E7E"/>
    <w:rsid w:val="00BD0E9B"/>
    <w:rsid w:val="00BD0F0F"/>
    <w:rsid w:val="00BD0F3F"/>
    <w:rsid w:val="00BD11A7"/>
    <w:rsid w:val="00BD12CC"/>
    <w:rsid w:val="00BD14F8"/>
    <w:rsid w:val="00BD164A"/>
    <w:rsid w:val="00BD179B"/>
    <w:rsid w:val="00BD19D2"/>
    <w:rsid w:val="00BD1B98"/>
    <w:rsid w:val="00BD1D07"/>
    <w:rsid w:val="00BD1D08"/>
    <w:rsid w:val="00BD1FCE"/>
    <w:rsid w:val="00BD2181"/>
    <w:rsid w:val="00BD21BE"/>
    <w:rsid w:val="00BD22B4"/>
    <w:rsid w:val="00BD230F"/>
    <w:rsid w:val="00BD23B4"/>
    <w:rsid w:val="00BD24F4"/>
    <w:rsid w:val="00BD251A"/>
    <w:rsid w:val="00BD25A7"/>
    <w:rsid w:val="00BD277B"/>
    <w:rsid w:val="00BD27EE"/>
    <w:rsid w:val="00BD28CD"/>
    <w:rsid w:val="00BD2AE8"/>
    <w:rsid w:val="00BD2BA5"/>
    <w:rsid w:val="00BD2C45"/>
    <w:rsid w:val="00BD2CBC"/>
    <w:rsid w:val="00BD309B"/>
    <w:rsid w:val="00BD3148"/>
    <w:rsid w:val="00BD31D9"/>
    <w:rsid w:val="00BD327C"/>
    <w:rsid w:val="00BD328C"/>
    <w:rsid w:val="00BD33F6"/>
    <w:rsid w:val="00BD343D"/>
    <w:rsid w:val="00BD34DC"/>
    <w:rsid w:val="00BD3A29"/>
    <w:rsid w:val="00BD3BB7"/>
    <w:rsid w:val="00BD3C7D"/>
    <w:rsid w:val="00BD3DFF"/>
    <w:rsid w:val="00BD3E0B"/>
    <w:rsid w:val="00BD3F95"/>
    <w:rsid w:val="00BD4214"/>
    <w:rsid w:val="00BD4348"/>
    <w:rsid w:val="00BD45C4"/>
    <w:rsid w:val="00BD478E"/>
    <w:rsid w:val="00BD47B4"/>
    <w:rsid w:val="00BD4A93"/>
    <w:rsid w:val="00BD4B0B"/>
    <w:rsid w:val="00BD4C39"/>
    <w:rsid w:val="00BD4F10"/>
    <w:rsid w:val="00BD4F94"/>
    <w:rsid w:val="00BD50FC"/>
    <w:rsid w:val="00BD5185"/>
    <w:rsid w:val="00BD52D0"/>
    <w:rsid w:val="00BD5301"/>
    <w:rsid w:val="00BD564B"/>
    <w:rsid w:val="00BD596F"/>
    <w:rsid w:val="00BD5A3F"/>
    <w:rsid w:val="00BD5AA5"/>
    <w:rsid w:val="00BD5B31"/>
    <w:rsid w:val="00BD5C2D"/>
    <w:rsid w:val="00BD5DAD"/>
    <w:rsid w:val="00BD5DD8"/>
    <w:rsid w:val="00BD5E20"/>
    <w:rsid w:val="00BD5E78"/>
    <w:rsid w:val="00BD6140"/>
    <w:rsid w:val="00BD6146"/>
    <w:rsid w:val="00BD6201"/>
    <w:rsid w:val="00BD6282"/>
    <w:rsid w:val="00BD638B"/>
    <w:rsid w:val="00BD63AA"/>
    <w:rsid w:val="00BD63B3"/>
    <w:rsid w:val="00BD6411"/>
    <w:rsid w:val="00BD6478"/>
    <w:rsid w:val="00BD64F6"/>
    <w:rsid w:val="00BD6586"/>
    <w:rsid w:val="00BD65DC"/>
    <w:rsid w:val="00BD6662"/>
    <w:rsid w:val="00BD66FA"/>
    <w:rsid w:val="00BD6A46"/>
    <w:rsid w:val="00BD6A4E"/>
    <w:rsid w:val="00BD6AF6"/>
    <w:rsid w:val="00BD6B7E"/>
    <w:rsid w:val="00BD6CDE"/>
    <w:rsid w:val="00BD6D1E"/>
    <w:rsid w:val="00BD6DC8"/>
    <w:rsid w:val="00BD6DF0"/>
    <w:rsid w:val="00BD6E1D"/>
    <w:rsid w:val="00BD6F63"/>
    <w:rsid w:val="00BD6F78"/>
    <w:rsid w:val="00BD7009"/>
    <w:rsid w:val="00BD7150"/>
    <w:rsid w:val="00BD7282"/>
    <w:rsid w:val="00BD731D"/>
    <w:rsid w:val="00BD7366"/>
    <w:rsid w:val="00BD7384"/>
    <w:rsid w:val="00BD743D"/>
    <w:rsid w:val="00BD75A9"/>
    <w:rsid w:val="00BD766E"/>
    <w:rsid w:val="00BD7681"/>
    <w:rsid w:val="00BD7777"/>
    <w:rsid w:val="00BD785B"/>
    <w:rsid w:val="00BD787F"/>
    <w:rsid w:val="00BD79B3"/>
    <w:rsid w:val="00BD7C26"/>
    <w:rsid w:val="00BD7E5E"/>
    <w:rsid w:val="00BD7EB8"/>
    <w:rsid w:val="00BE00D9"/>
    <w:rsid w:val="00BE013F"/>
    <w:rsid w:val="00BE01D2"/>
    <w:rsid w:val="00BE0339"/>
    <w:rsid w:val="00BE041E"/>
    <w:rsid w:val="00BE076E"/>
    <w:rsid w:val="00BE085E"/>
    <w:rsid w:val="00BE09D9"/>
    <w:rsid w:val="00BE0A19"/>
    <w:rsid w:val="00BE0A4B"/>
    <w:rsid w:val="00BE0AC2"/>
    <w:rsid w:val="00BE106F"/>
    <w:rsid w:val="00BE1303"/>
    <w:rsid w:val="00BE14BA"/>
    <w:rsid w:val="00BE15AC"/>
    <w:rsid w:val="00BE15F7"/>
    <w:rsid w:val="00BE1662"/>
    <w:rsid w:val="00BE16C2"/>
    <w:rsid w:val="00BE186F"/>
    <w:rsid w:val="00BE1C2A"/>
    <w:rsid w:val="00BE1D6C"/>
    <w:rsid w:val="00BE1D8D"/>
    <w:rsid w:val="00BE1F57"/>
    <w:rsid w:val="00BE2120"/>
    <w:rsid w:val="00BE2254"/>
    <w:rsid w:val="00BE2318"/>
    <w:rsid w:val="00BE2594"/>
    <w:rsid w:val="00BE26BE"/>
    <w:rsid w:val="00BE2829"/>
    <w:rsid w:val="00BE2A3D"/>
    <w:rsid w:val="00BE2A46"/>
    <w:rsid w:val="00BE2A8D"/>
    <w:rsid w:val="00BE2CAC"/>
    <w:rsid w:val="00BE2E67"/>
    <w:rsid w:val="00BE2F68"/>
    <w:rsid w:val="00BE322F"/>
    <w:rsid w:val="00BE330D"/>
    <w:rsid w:val="00BE3560"/>
    <w:rsid w:val="00BE35F1"/>
    <w:rsid w:val="00BE3646"/>
    <w:rsid w:val="00BE3787"/>
    <w:rsid w:val="00BE3847"/>
    <w:rsid w:val="00BE38FC"/>
    <w:rsid w:val="00BE390F"/>
    <w:rsid w:val="00BE3A55"/>
    <w:rsid w:val="00BE3AB3"/>
    <w:rsid w:val="00BE3D7B"/>
    <w:rsid w:val="00BE3E23"/>
    <w:rsid w:val="00BE40AE"/>
    <w:rsid w:val="00BE4184"/>
    <w:rsid w:val="00BE41B3"/>
    <w:rsid w:val="00BE422B"/>
    <w:rsid w:val="00BE4349"/>
    <w:rsid w:val="00BE43DB"/>
    <w:rsid w:val="00BE45CD"/>
    <w:rsid w:val="00BE4740"/>
    <w:rsid w:val="00BE47B6"/>
    <w:rsid w:val="00BE486E"/>
    <w:rsid w:val="00BE48F4"/>
    <w:rsid w:val="00BE49C6"/>
    <w:rsid w:val="00BE4D50"/>
    <w:rsid w:val="00BE4E13"/>
    <w:rsid w:val="00BE4EBC"/>
    <w:rsid w:val="00BE4EC3"/>
    <w:rsid w:val="00BE5986"/>
    <w:rsid w:val="00BE59E2"/>
    <w:rsid w:val="00BE5A6C"/>
    <w:rsid w:val="00BE5A88"/>
    <w:rsid w:val="00BE5B05"/>
    <w:rsid w:val="00BE5B7C"/>
    <w:rsid w:val="00BE5C55"/>
    <w:rsid w:val="00BE5CAA"/>
    <w:rsid w:val="00BE5D10"/>
    <w:rsid w:val="00BE5E31"/>
    <w:rsid w:val="00BE60EB"/>
    <w:rsid w:val="00BE62C9"/>
    <w:rsid w:val="00BE63F3"/>
    <w:rsid w:val="00BE6517"/>
    <w:rsid w:val="00BE6601"/>
    <w:rsid w:val="00BE6BCB"/>
    <w:rsid w:val="00BE6BFD"/>
    <w:rsid w:val="00BE6F97"/>
    <w:rsid w:val="00BE7014"/>
    <w:rsid w:val="00BE70C5"/>
    <w:rsid w:val="00BE7139"/>
    <w:rsid w:val="00BE723A"/>
    <w:rsid w:val="00BE729F"/>
    <w:rsid w:val="00BE747F"/>
    <w:rsid w:val="00BE78CF"/>
    <w:rsid w:val="00BE7A02"/>
    <w:rsid w:val="00BE7A3F"/>
    <w:rsid w:val="00BE7CC2"/>
    <w:rsid w:val="00BE7CE2"/>
    <w:rsid w:val="00BE7E34"/>
    <w:rsid w:val="00BE7FAB"/>
    <w:rsid w:val="00BE7FD0"/>
    <w:rsid w:val="00BF01A8"/>
    <w:rsid w:val="00BF01D4"/>
    <w:rsid w:val="00BF01DF"/>
    <w:rsid w:val="00BF038D"/>
    <w:rsid w:val="00BF0402"/>
    <w:rsid w:val="00BF0417"/>
    <w:rsid w:val="00BF05CB"/>
    <w:rsid w:val="00BF076D"/>
    <w:rsid w:val="00BF07E1"/>
    <w:rsid w:val="00BF0964"/>
    <w:rsid w:val="00BF0A96"/>
    <w:rsid w:val="00BF0C08"/>
    <w:rsid w:val="00BF0C48"/>
    <w:rsid w:val="00BF0C5F"/>
    <w:rsid w:val="00BF0CC6"/>
    <w:rsid w:val="00BF0DCC"/>
    <w:rsid w:val="00BF0E8C"/>
    <w:rsid w:val="00BF0FAB"/>
    <w:rsid w:val="00BF113E"/>
    <w:rsid w:val="00BF127D"/>
    <w:rsid w:val="00BF1281"/>
    <w:rsid w:val="00BF13A4"/>
    <w:rsid w:val="00BF13DD"/>
    <w:rsid w:val="00BF14FC"/>
    <w:rsid w:val="00BF1821"/>
    <w:rsid w:val="00BF1913"/>
    <w:rsid w:val="00BF19C1"/>
    <w:rsid w:val="00BF1A4D"/>
    <w:rsid w:val="00BF1B26"/>
    <w:rsid w:val="00BF1C5E"/>
    <w:rsid w:val="00BF1D8D"/>
    <w:rsid w:val="00BF1F18"/>
    <w:rsid w:val="00BF1F2E"/>
    <w:rsid w:val="00BF1F91"/>
    <w:rsid w:val="00BF2053"/>
    <w:rsid w:val="00BF20C7"/>
    <w:rsid w:val="00BF213E"/>
    <w:rsid w:val="00BF23EC"/>
    <w:rsid w:val="00BF2420"/>
    <w:rsid w:val="00BF2883"/>
    <w:rsid w:val="00BF2A59"/>
    <w:rsid w:val="00BF2D18"/>
    <w:rsid w:val="00BF2DD7"/>
    <w:rsid w:val="00BF2EFB"/>
    <w:rsid w:val="00BF2FA5"/>
    <w:rsid w:val="00BF3007"/>
    <w:rsid w:val="00BF3008"/>
    <w:rsid w:val="00BF311F"/>
    <w:rsid w:val="00BF3230"/>
    <w:rsid w:val="00BF3416"/>
    <w:rsid w:val="00BF34C3"/>
    <w:rsid w:val="00BF354B"/>
    <w:rsid w:val="00BF3729"/>
    <w:rsid w:val="00BF375F"/>
    <w:rsid w:val="00BF3AD0"/>
    <w:rsid w:val="00BF3C27"/>
    <w:rsid w:val="00BF3D67"/>
    <w:rsid w:val="00BF3E51"/>
    <w:rsid w:val="00BF3E82"/>
    <w:rsid w:val="00BF400B"/>
    <w:rsid w:val="00BF4184"/>
    <w:rsid w:val="00BF4248"/>
    <w:rsid w:val="00BF4310"/>
    <w:rsid w:val="00BF4548"/>
    <w:rsid w:val="00BF47DE"/>
    <w:rsid w:val="00BF48A4"/>
    <w:rsid w:val="00BF4924"/>
    <w:rsid w:val="00BF4B1E"/>
    <w:rsid w:val="00BF4B64"/>
    <w:rsid w:val="00BF4DC0"/>
    <w:rsid w:val="00BF4E37"/>
    <w:rsid w:val="00BF4EA7"/>
    <w:rsid w:val="00BF4F92"/>
    <w:rsid w:val="00BF4FF0"/>
    <w:rsid w:val="00BF5081"/>
    <w:rsid w:val="00BF508D"/>
    <w:rsid w:val="00BF52FB"/>
    <w:rsid w:val="00BF5362"/>
    <w:rsid w:val="00BF542E"/>
    <w:rsid w:val="00BF54D5"/>
    <w:rsid w:val="00BF583A"/>
    <w:rsid w:val="00BF5C4F"/>
    <w:rsid w:val="00BF5CEF"/>
    <w:rsid w:val="00BF5DB7"/>
    <w:rsid w:val="00BF5F46"/>
    <w:rsid w:val="00BF608E"/>
    <w:rsid w:val="00BF64C5"/>
    <w:rsid w:val="00BF6500"/>
    <w:rsid w:val="00BF668C"/>
    <w:rsid w:val="00BF6CF6"/>
    <w:rsid w:val="00BF6E0D"/>
    <w:rsid w:val="00BF6FD8"/>
    <w:rsid w:val="00BF6FE9"/>
    <w:rsid w:val="00BF7171"/>
    <w:rsid w:val="00BF7206"/>
    <w:rsid w:val="00BF730A"/>
    <w:rsid w:val="00BF732C"/>
    <w:rsid w:val="00BF73F1"/>
    <w:rsid w:val="00BF7405"/>
    <w:rsid w:val="00BF74C3"/>
    <w:rsid w:val="00BF74DC"/>
    <w:rsid w:val="00BF7555"/>
    <w:rsid w:val="00BF7971"/>
    <w:rsid w:val="00BF7C94"/>
    <w:rsid w:val="00BF7DB8"/>
    <w:rsid w:val="00BF7DDC"/>
    <w:rsid w:val="00BF7E05"/>
    <w:rsid w:val="00BF7FED"/>
    <w:rsid w:val="00C00071"/>
    <w:rsid w:val="00C0015A"/>
    <w:rsid w:val="00C001C5"/>
    <w:rsid w:val="00C002AF"/>
    <w:rsid w:val="00C002B4"/>
    <w:rsid w:val="00C00439"/>
    <w:rsid w:val="00C00576"/>
    <w:rsid w:val="00C00675"/>
    <w:rsid w:val="00C00688"/>
    <w:rsid w:val="00C00994"/>
    <w:rsid w:val="00C009FC"/>
    <w:rsid w:val="00C00A34"/>
    <w:rsid w:val="00C00B50"/>
    <w:rsid w:val="00C00CC2"/>
    <w:rsid w:val="00C00D61"/>
    <w:rsid w:val="00C00DE9"/>
    <w:rsid w:val="00C00E68"/>
    <w:rsid w:val="00C00E8D"/>
    <w:rsid w:val="00C00F15"/>
    <w:rsid w:val="00C00F50"/>
    <w:rsid w:val="00C01043"/>
    <w:rsid w:val="00C0121A"/>
    <w:rsid w:val="00C01322"/>
    <w:rsid w:val="00C013CD"/>
    <w:rsid w:val="00C0146E"/>
    <w:rsid w:val="00C014FA"/>
    <w:rsid w:val="00C01590"/>
    <w:rsid w:val="00C01666"/>
    <w:rsid w:val="00C017AC"/>
    <w:rsid w:val="00C0189A"/>
    <w:rsid w:val="00C019A6"/>
    <w:rsid w:val="00C01A2B"/>
    <w:rsid w:val="00C01B50"/>
    <w:rsid w:val="00C01B7B"/>
    <w:rsid w:val="00C01BB3"/>
    <w:rsid w:val="00C01D0F"/>
    <w:rsid w:val="00C01D96"/>
    <w:rsid w:val="00C01E19"/>
    <w:rsid w:val="00C01EBB"/>
    <w:rsid w:val="00C01EC4"/>
    <w:rsid w:val="00C01EE5"/>
    <w:rsid w:val="00C0233D"/>
    <w:rsid w:val="00C0243D"/>
    <w:rsid w:val="00C025DC"/>
    <w:rsid w:val="00C02833"/>
    <w:rsid w:val="00C0286E"/>
    <w:rsid w:val="00C02B42"/>
    <w:rsid w:val="00C02C8B"/>
    <w:rsid w:val="00C02CB6"/>
    <w:rsid w:val="00C02E13"/>
    <w:rsid w:val="00C02E14"/>
    <w:rsid w:val="00C0326B"/>
    <w:rsid w:val="00C032D8"/>
    <w:rsid w:val="00C03309"/>
    <w:rsid w:val="00C035DD"/>
    <w:rsid w:val="00C035E5"/>
    <w:rsid w:val="00C03657"/>
    <w:rsid w:val="00C036B4"/>
    <w:rsid w:val="00C0375D"/>
    <w:rsid w:val="00C0392D"/>
    <w:rsid w:val="00C03B50"/>
    <w:rsid w:val="00C03BC3"/>
    <w:rsid w:val="00C03C7B"/>
    <w:rsid w:val="00C03D88"/>
    <w:rsid w:val="00C03DE4"/>
    <w:rsid w:val="00C03E54"/>
    <w:rsid w:val="00C03EBF"/>
    <w:rsid w:val="00C04124"/>
    <w:rsid w:val="00C041D8"/>
    <w:rsid w:val="00C041DD"/>
    <w:rsid w:val="00C042BF"/>
    <w:rsid w:val="00C04406"/>
    <w:rsid w:val="00C0456C"/>
    <w:rsid w:val="00C0475C"/>
    <w:rsid w:val="00C0490C"/>
    <w:rsid w:val="00C049F1"/>
    <w:rsid w:val="00C04ABC"/>
    <w:rsid w:val="00C04AD5"/>
    <w:rsid w:val="00C04BA7"/>
    <w:rsid w:val="00C04BA9"/>
    <w:rsid w:val="00C05060"/>
    <w:rsid w:val="00C051D5"/>
    <w:rsid w:val="00C0525C"/>
    <w:rsid w:val="00C0529D"/>
    <w:rsid w:val="00C053EC"/>
    <w:rsid w:val="00C0553C"/>
    <w:rsid w:val="00C05727"/>
    <w:rsid w:val="00C0593C"/>
    <w:rsid w:val="00C05ABC"/>
    <w:rsid w:val="00C05BF4"/>
    <w:rsid w:val="00C05CA8"/>
    <w:rsid w:val="00C05CB4"/>
    <w:rsid w:val="00C05CD0"/>
    <w:rsid w:val="00C05EB2"/>
    <w:rsid w:val="00C05EB4"/>
    <w:rsid w:val="00C05EE3"/>
    <w:rsid w:val="00C05F7C"/>
    <w:rsid w:val="00C062BF"/>
    <w:rsid w:val="00C06491"/>
    <w:rsid w:val="00C064D8"/>
    <w:rsid w:val="00C06704"/>
    <w:rsid w:val="00C06A4B"/>
    <w:rsid w:val="00C06D18"/>
    <w:rsid w:val="00C06EBB"/>
    <w:rsid w:val="00C06F1A"/>
    <w:rsid w:val="00C07029"/>
    <w:rsid w:val="00C0712A"/>
    <w:rsid w:val="00C07132"/>
    <w:rsid w:val="00C0714C"/>
    <w:rsid w:val="00C07206"/>
    <w:rsid w:val="00C072C8"/>
    <w:rsid w:val="00C0742A"/>
    <w:rsid w:val="00C075D4"/>
    <w:rsid w:val="00C07898"/>
    <w:rsid w:val="00C078F7"/>
    <w:rsid w:val="00C07AE9"/>
    <w:rsid w:val="00C07B6A"/>
    <w:rsid w:val="00C07BBA"/>
    <w:rsid w:val="00C07D69"/>
    <w:rsid w:val="00C07DD4"/>
    <w:rsid w:val="00C07E93"/>
    <w:rsid w:val="00C07ED0"/>
    <w:rsid w:val="00C07F7B"/>
    <w:rsid w:val="00C100A3"/>
    <w:rsid w:val="00C1049C"/>
    <w:rsid w:val="00C1065D"/>
    <w:rsid w:val="00C107D6"/>
    <w:rsid w:val="00C1084F"/>
    <w:rsid w:val="00C10AA0"/>
    <w:rsid w:val="00C10B28"/>
    <w:rsid w:val="00C10B49"/>
    <w:rsid w:val="00C10C86"/>
    <w:rsid w:val="00C10D25"/>
    <w:rsid w:val="00C10E95"/>
    <w:rsid w:val="00C10F70"/>
    <w:rsid w:val="00C10FF2"/>
    <w:rsid w:val="00C11182"/>
    <w:rsid w:val="00C11196"/>
    <w:rsid w:val="00C11284"/>
    <w:rsid w:val="00C1131D"/>
    <w:rsid w:val="00C113A4"/>
    <w:rsid w:val="00C11652"/>
    <w:rsid w:val="00C11712"/>
    <w:rsid w:val="00C1176A"/>
    <w:rsid w:val="00C11936"/>
    <w:rsid w:val="00C11985"/>
    <w:rsid w:val="00C11B5D"/>
    <w:rsid w:val="00C11D7E"/>
    <w:rsid w:val="00C11D92"/>
    <w:rsid w:val="00C11EEF"/>
    <w:rsid w:val="00C11F3F"/>
    <w:rsid w:val="00C11F5D"/>
    <w:rsid w:val="00C11F89"/>
    <w:rsid w:val="00C1217A"/>
    <w:rsid w:val="00C12227"/>
    <w:rsid w:val="00C1232E"/>
    <w:rsid w:val="00C12381"/>
    <w:rsid w:val="00C12459"/>
    <w:rsid w:val="00C1258E"/>
    <w:rsid w:val="00C12603"/>
    <w:rsid w:val="00C12A5E"/>
    <w:rsid w:val="00C12AE0"/>
    <w:rsid w:val="00C12BFE"/>
    <w:rsid w:val="00C12C78"/>
    <w:rsid w:val="00C1300E"/>
    <w:rsid w:val="00C1306C"/>
    <w:rsid w:val="00C1322B"/>
    <w:rsid w:val="00C136E4"/>
    <w:rsid w:val="00C137C8"/>
    <w:rsid w:val="00C137DD"/>
    <w:rsid w:val="00C13812"/>
    <w:rsid w:val="00C13891"/>
    <w:rsid w:val="00C138CE"/>
    <w:rsid w:val="00C13933"/>
    <w:rsid w:val="00C139D3"/>
    <w:rsid w:val="00C13A38"/>
    <w:rsid w:val="00C13A89"/>
    <w:rsid w:val="00C13CAB"/>
    <w:rsid w:val="00C13E66"/>
    <w:rsid w:val="00C13E67"/>
    <w:rsid w:val="00C13EED"/>
    <w:rsid w:val="00C141BC"/>
    <w:rsid w:val="00C143F0"/>
    <w:rsid w:val="00C14490"/>
    <w:rsid w:val="00C144BB"/>
    <w:rsid w:val="00C14664"/>
    <w:rsid w:val="00C147D2"/>
    <w:rsid w:val="00C148E9"/>
    <w:rsid w:val="00C149B2"/>
    <w:rsid w:val="00C14B38"/>
    <w:rsid w:val="00C14C5D"/>
    <w:rsid w:val="00C14C6D"/>
    <w:rsid w:val="00C1504E"/>
    <w:rsid w:val="00C15135"/>
    <w:rsid w:val="00C152F9"/>
    <w:rsid w:val="00C15401"/>
    <w:rsid w:val="00C156FA"/>
    <w:rsid w:val="00C157F2"/>
    <w:rsid w:val="00C15A89"/>
    <w:rsid w:val="00C15C00"/>
    <w:rsid w:val="00C15EE7"/>
    <w:rsid w:val="00C16134"/>
    <w:rsid w:val="00C1616F"/>
    <w:rsid w:val="00C162A3"/>
    <w:rsid w:val="00C1630C"/>
    <w:rsid w:val="00C1641C"/>
    <w:rsid w:val="00C1651A"/>
    <w:rsid w:val="00C1653E"/>
    <w:rsid w:val="00C165E6"/>
    <w:rsid w:val="00C16624"/>
    <w:rsid w:val="00C16675"/>
    <w:rsid w:val="00C166F3"/>
    <w:rsid w:val="00C1698B"/>
    <w:rsid w:val="00C16C65"/>
    <w:rsid w:val="00C16CD8"/>
    <w:rsid w:val="00C16E55"/>
    <w:rsid w:val="00C1700E"/>
    <w:rsid w:val="00C17111"/>
    <w:rsid w:val="00C1718D"/>
    <w:rsid w:val="00C17255"/>
    <w:rsid w:val="00C1727C"/>
    <w:rsid w:val="00C1733B"/>
    <w:rsid w:val="00C17428"/>
    <w:rsid w:val="00C17516"/>
    <w:rsid w:val="00C17632"/>
    <w:rsid w:val="00C17641"/>
    <w:rsid w:val="00C17651"/>
    <w:rsid w:val="00C17876"/>
    <w:rsid w:val="00C17A74"/>
    <w:rsid w:val="00C17AA8"/>
    <w:rsid w:val="00C17ABD"/>
    <w:rsid w:val="00C17B1D"/>
    <w:rsid w:val="00C17BBA"/>
    <w:rsid w:val="00C17CDB"/>
    <w:rsid w:val="00C17E26"/>
    <w:rsid w:val="00C17F52"/>
    <w:rsid w:val="00C17FF3"/>
    <w:rsid w:val="00C202F6"/>
    <w:rsid w:val="00C2032F"/>
    <w:rsid w:val="00C203EE"/>
    <w:rsid w:val="00C205A7"/>
    <w:rsid w:val="00C2086B"/>
    <w:rsid w:val="00C20A00"/>
    <w:rsid w:val="00C20A90"/>
    <w:rsid w:val="00C20B46"/>
    <w:rsid w:val="00C20C00"/>
    <w:rsid w:val="00C20C04"/>
    <w:rsid w:val="00C20C40"/>
    <w:rsid w:val="00C20C4D"/>
    <w:rsid w:val="00C20CC8"/>
    <w:rsid w:val="00C20E08"/>
    <w:rsid w:val="00C20E93"/>
    <w:rsid w:val="00C20FCB"/>
    <w:rsid w:val="00C21290"/>
    <w:rsid w:val="00C2136C"/>
    <w:rsid w:val="00C213CC"/>
    <w:rsid w:val="00C214AF"/>
    <w:rsid w:val="00C214E1"/>
    <w:rsid w:val="00C21763"/>
    <w:rsid w:val="00C218D2"/>
    <w:rsid w:val="00C21947"/>
    <w:rsid w:val="00C21AC3"/>
    <w:rsid w:val="00C21C0E"/>
    <w:rsid w:val="00C21C5F"/>
    <w:rsid w:val="00C21DA9"/>
    <w:rsid w:val="00C21DC5"/>
    <w:rsid w:val="00C21DF2"/>
    <w:rsid w:val="00C21F44"/>
    <w:rsid w:val="00C21FE9"/>
    <w:rsid w:val="00C22467"/>
    <w:rsid w:val="00C2284D"/>
    <w:rsid w:val="00C22D31"/>
    <w:rsid w:val="00C22D5D"/>
    <w:rsid w:val="00C22EF1"/>
    <w:rsid w:val="00C22F66"/>
    <w:rsid w:val="00C22F92"/>
    <w:rsid w:val="00C22FEE"/>
    <w:rsid w:val="00C23106"/>
    <w:rsid w:val="00C2323F"/>
    <w:rsid w:val="00C232A3"/>
    <w:rsid w:val="00C235BD"/>
    <w:rsid w:val="00C23749"/>
    <w:rsid w:val="00C237D1"/>
    <w:rsid w:val="00C23B92"/>
    <w:rsid w:val="00C23B9B"/>
    <w:rsid w:val="00C23CB1"/>
    <w:rsid w:val="00C23D55"/>
    <w:rsid w:val="00C23DCC"/>
    <w:rsid w:val="00C23DF2"/>
    <w:rsid w:val="00C23EFB"/>
    <w:rsid w:val="00C24228"/>
    <w:rsid w:val="00C24515"/>
    <w:rsid w:val="00C24531"/>
    <w:rsid w:val="00C2458F"/>
    <w:rsid w:val="00C24603"/>
    <w:rsid w:val="00C246F2"/>
    <w:rsid w:val="00C24731"/>
    <w:rsid w:val="00C24879"/>
    <w:rsid w:val="00C248DE"/>
    <w:rsid w:val="00C24ADC"/>
    <w:rsid w:val="00C24E5C"/>
    <w:rsid w:val="00C24FF7"/>
    <w:rsid w:val="00C25011"/>
    <w:rsid w:val="00C2503B"/>
    <w:rsid w:val="00C25090"/>
    <w:rsid w:val="00C250C7"/>
    <w:rsid w:val="00C25183"/>
    <w:rsid w:val="00C251B6"/>
    <w:rsid w:val="00C25366"/>
    <w:rsid w:val="00C2536D"/>
    <w:rsid w:val="00C253E5"/>
    <w:rsid w:val="00C2556F"/>
    <w:rsid w:val="00C256F0"/>
    <w:rsid w:val="00C259C1"/>
    <w:rsid w:val="00C25A0B"/>
    <w:rsid w:val="00C25A12"/>
    <w:rsid w:val="00C25BA5"/>
    <w:rsid w:val="00C25CD3"/>
    <w:rsid w:val="00C25E63"/>
    <w:rsid w:val="00C25ECC"/>
    <w:rsid w:val="00C260E5"/>
    <w:rsid w:val="00C26303"/>
    <w:rsid w:val="00C264E7"/>
    <w:rsid w:val="00C264FA"/>
    <w:rsid w:val="00C26749"/>
    <w:rsid w:val="00C26991"/>
    <w:rsid w:val="00C269E5"/>
    <w:rsid w:val="00C26AFC"/>
    <w:rsid w:val="00C26BDB"/>
    <w:rsid w:val="00C26CF7"/>
    <w:rsid w:val="00C27045"/>
    <w:rsid w:val="00C271AB"/>
    <w:rsid w:val="00C2726A"/>
    <w:rsid w:val="00C272F9"/>
    <w:rsid w:val="00C27359"/>
    <w:rsid w:val="00C2746D"/>
    <w:rsid w:val="00C2760D"/>
    <w:rsid w:val="00C2763C"/>
    <w:rsid w:val="00C27930"/>
    <w:rsid w:val="00C27B0C"/>
    <w:rsid w:val="00C27E79"/>
    <w:rsid w:val="00C30000"/>
    <w:rsid w:val="00C300A0"/>
    <w:rsid w:val="00C300A4"/>
    <w:rsid w:val="00C3034F"/>
    <w:rsid w:val="00C303C1"/>
    <w:rsid w:val="00C306BF"/>
    <w:rsid w:val="00C30763"/>
    <w:rsid w:val="00C30967"/>
    <w:rsid w:val="00C30A9F"/>
    <w:rsid w:val="00C30B34"/>
    <w:rsid w:val="00C30BBC"/>
    <w:rsid w:val="00C30C9D"/>
    <w:rsid w:val="00C30CBB"/>
    <w:rsid w:val="00C30E07"/>
    <w:rsid w:val="00C30E24"/>
    <w:rsid w:val="00C30E86"/>
    <w:rsid w:val="00C31042"/>
    <w:rsid w:val="00C3115A"/>
    <w:rsid w:val="00C31343"/>
    <w:rsid w:val="00C313B7"/>
    <w:rsid w:val="00C3140E"/>
    <w:rsid w:val="00C31453"/>
    <w:rsid w:val="00C3153B"/>
    <w:rsid w:val="00C316E0"/>
    <w:rsid w:val="00C31B0A"/>
    <w:rsid w:val="00C31BBE"/>
    <w:rsid w:val="00C31F5C"/>
    <w:rsid w:val="00C32023"/>
    <w:rsid w:val="00C3210A"/>
    <w:rsid w:val="00C32126"/>
    <w:rsid w:val="00C321F1"/>
    <w:rsid w:val="00C32216"/>
    <w:rsid w:val="00C3241E"/>
    <w:rsid w:val="00C324D2"/>
    <w:rsid w:val="00C3260B"/>
    <w:rsid w:val="00C32661"/>
    <w:rsid w:val="00C32899"/>
    <w:rsid w:val="00C3290E"/>
    <w:rsid w:val="00C32949"/>
    <w:rsid w:val="00C329B0"/>
    <w:rsid w:val="00C32AA7"/>
    <w:rsid w:val="00C32CBE"/>
    <w:rsid w:val="00C32D07"/>
    <w:rsid w:val="00C32DD4"/>
    <w:rsid w:val="00C32EBD"/>
    <w:rsid w:val="00C330CA"/>
    <w:rsid w:val="00C3310C"/>
    <w:rsid w:val="00C33276"/>
    <w:rsid w:val="00C33313"/>
    <w:rsid w:val="00C33359"/>
    <w:rsid w:val="00C335B3"/>
    <w:rsid w:val="00C336BD"/>
    <w:rsid w:val="00C33A35"/>
    <w:rsid w:val="00C33B10"/>
    <w:rsid w:val="00C33CC6"/>
    <w:rsid w:val="00C33ED4"/>
    <w:rsid w:val="00C33F32"/>
    <w:rsid w:val="00C33F5C"/>
    <w:rsid w:val="00C33FAC"/>
    <w:rsid w:val="00C340FD"/>
    <w:rsid w:val="00C34137"/>
    <w:rsid w:val="00C34177"/>
    <w:rsid w:val="00C341A0"/>
    <w:rsid w:val="00C3447D"/>
    <w:rsid w:val="00C34505"/>
    <w:rsid w:val="00C346F3"/>
    <w:rsid w:val="00C3487F"/>
    <w:rsid w:val="00C3493B"/>
    <w:rsid w:val="00C34ACA"/>
    <w:rsid w:val="00C34B68"/>
    <w:rsid w:val="00C34CB7"/>
    <w:rsid w:val="00C34ED8"/>
    <w:rsid w:val="00C34F7D"/>
    <w:rsid w:val="00C34FB6"/>
    <w:rsid w:val="00C35096"/>
    <w:rsid w:val="00C3511E"/>
    <w:rsid w:val="00C35406"/>
    <w:rsid w:val="00C3540C"/>
    <w:rsid w:val="00C354DA"/>
    <w:rsid w:val="00C354E4"/>
    <w:rsid w:val="00C35563"/>
    <w:rsid w:val="00C355E4"/>
    <w:rsid w:val="00C356A7"/>
    <w:rsid w:val="00C356C0"/>
    <w:rsid w:val="00C356E8"/>
    <w:rsid w:val="00C3576F"/>
    <w:rsid w:val="00C35785"/>
    <w:rsid w:val="00C35A09"/>
    <w:rsid w:val="00C35BA1"/>
    <w:rsid w:val="00C35BE3"/>
    <w:rsid w:val="00C35D41"/>
    <w:rsid w:val="00C35EB9"/>
    <w:rsid w:val="00C35F07"/>
    <w:rsid w:val="00C36295"/>
    <w:rsid w:val="00C36398"/>
    <w:rsid w:val="00C366F6"/>
    <w:rsid w:val="00C36774"/>
    <w:rsid w:val="00C368DC"/>
    <w:rsid w:val="00C36913"/>
    <w:rsid w:val="00C3694B"/>
    <w:rsid w:val="00C36AF8"/>
    <w:rsid w:val="00C36C50"/>
    <w:rsid w:val="00C36D42"/>
    <w:rsid w:val="00C37131"/>
    <w:rsid w:val="00C3730E"/>
    <w:rsid w:val="00C37458"/>
    <w:rsid w:val="00C37546"/>
    <w:rsid w:val="00C37638"/>
    <w:rsid w:val="00C379E2"/>
    <w:rsid w:val="00C37BBC"/>
    <w:rsid w:val="00C37BD3"/>
    <w:rsid w:val="00C37BDB"/>
    <w:rsid w:val="00C37D28"/>
    <w:rsid w:val="00C37DB4"/>
    <w:rsid w:val="00C37F31"/>
    <w:rsid w:val="00C40069"/>
    <w:rsid w:val="00C40098"/>
    <w:rsid w:val="00C402A5"/>
    <w:rsid w:val="00C402D1"/>
    <w:rsid w:val="00C40336"/>
    <w:rsid w:val="00C40368"/>
    <w:rsid w:val="00C40411"/>
    <w:rsid w:val="00C404DC"/>
    <w:rsid w:val="00C40535"/>
    <w:rsid w:val="00C40589"/>
    <w:rsid w:val="00C40646"/>
    <w:rsid w:val="00C40A6C"/>
    <w:rsid w:val="00C40C80"/>
    <w:rsid w:val="00C40DE3"/>
    <w:rsid w:val="00C40EC8"/>
    <w:rsid w:val="00C4109E"/>
    <w:rsid w:val="00C41240"/>
    <w:rsid w:val="00C41294"/>
    <w:rsid w:val="00C41508"/>
    <w:rsid w:val="00C41522"/>
    <w:rsid w:val="00C4173C"/>
    <w:rsid w:val="00C41B35"/>
    <w:rsid w:val="00C41BA0"/>
    <w:rsid w:val="00C41C22"/>
    <w:rsid w:val="00C41E75"/>
    <w:rsid w:val="00C41E8D"/>
    <w:rsid w:val="00C41EB1"/>
    <w:rsid w:val="00C42015"/>
    <w:rsid w:val="00C42025"/>
    <w:rsid w:val="00C42080"/>
    <w:rsid w:val="00C42083"/>
    <w:rsid w:val="00C42432"/>
    <w:rsid w:val="00C426B6"/>
    <w:rsid w:val="00C4274A"/>
    <w:rsid w:val="00C4276B"/>
    <w:rsid w:val="00C428DA"/>
    <w:rsid w:val="00C42BC4"/>
    <w:rsid w:val="00C42D11"/>
    <w:rsid w:val="00C42E18"/>
    <w:rsid w:val="00C42EA5"/>
    <w:rsid w:val="00C43071"/>
    <w:rsid w:val="00C4316C"/>
    <w:rsid w:val="00C43193"/>
    <w:rsid w:val="00C43206"/>
    <w:rsid w:val="00C434C1"/>
    <w:rsid w:val="00C434CA"/>
    <w:rsid w:val="00C4371A"/>
    <w:rsid w:val="00C43748"/>
    <w:rsid w:val="00C43779"/>
    <w:rsid w:val="00C437FD"/>
    <w:rsid w:val="00C438DD"/>
    <w:rsid w:val="00C439E8"/>
    <w:rsid w:val="00C43A7D"/>
    <w:rsid w:val="00C43CD1"/>
    <w:rsid w:val="00C43E32"/>
    <w:rsid w:val="00C43FDC"/>
    <w:rsid w:val="00C4413A"/>
    <w:rsid w:val="00C44154"/>
    <w:rsid w:val="00C44208"/>
    <w:rsid w:val="00C44346"/>
    <w:rsid w:val="00C44881"/>
    <w:rsid w:val="00C44BFB"/>
    <w:rsid w:val="00C44C2F"/>
    <w:rsid w:val="00C44C69"/>
    <w:rsid w:val="00C44CE1"/>
    <w:rsid w:val="00C44E34"/>
    <w:rsid w:val="00C44F2D"/>
    <w:rsid w:val="00C44F5E"/>
    <w:rsid w:val="00C44FA1"/>
    <w:rsid w:val="00C45020"/>
    <w:rsid w:val="00C45382"/>
    <w:rsid w:val="00C453E4"/>
    <w:rsid w:val="00C455F7"/>
    <w:rsid w:val="00C45833"/>
    <w:rsid w:val="00C458F1"/>
    <w:rsid w:val="00C4590C"/>
    <w:rsid w:val="00C459F9"/>
    <w:rsid w:val="00C45C28"/>
    <w:rsid w:val="00C45D1C"/>
    <w:rsid w:val="00C45D67"/>
    <w:rsid w:val="00C45DCF"/>
    <w:rsid w:val="00C45E17"/>
    <w:rsid w:val="00C46026"/>
    <w:rsid w:val="00C46145"/>
    <w:rsid w:val="00C46284"/>
    <w:rsid w:val="00C4628A"/>
    <w:rsid w:val="00C46458"/>
    <w:rsid w:val="00C465F7"/>
    <w:rsid w:val="00C465FB"/>
    <w:rsid w:val="00C46862"/>
    <w:rsid w:val="00C46A3B"/>
    <w:rsid w:val="00C46B9F"/>
    <w:rsid w:val="00C46EBC"/>
    <w:rsid w:val="00C46F7D"/>
    <w:rsid w:val="00C470B6"/>
    <w:rsid w:val="00C47119"/>
    <w:rsid w:val="00C471A1"/>
    <w:rsid w:val="00C471DA"/>
    <w:rsid w:val="00C47251"/>
    <w:rsid w:val="00C4727B"/>
    <w:rsid w:val="00C47360"/>
    <w:rsid w:val="00C473B2"/>
    <w:rsid w:val="00C4750B"/>
    <w:rsid w:val="00C4752E"/>
    <w:rsid w:val="00C475D5"/>
    <w:rsid w:val="00C475DE"/>
    <w:rsid w:val="00C4779B"/>
    <w:rsid w:val="00C477C4"/>
    <w:rsid w:val="00C47806"/>
    <w:rsid w:val="00C4785C"/>
    <w:rsid w:val="00C4796B"/>
    <w:rsid w:val="00C479AA"/>
    <w:rsid w:val="00C47A1D"/>
    <w:rsid w:val="00C47B31"/>
    <w:rsid w:val="00C47E86"/>
    <w:rsid w:val="00C50007"/>
    <w:rsid w:val="00C50191"/>
    <w:rsid w:val="00C5022C"/>
    <w:rsid w:val="00C502AA"/>
    <w:rsid w:val="00C503F2"/>
    <w:rsid w:val="00C50594"/>
    <w:rsid w:val="00C5070F"/>
    <w:rsid w:val="00C507F0"/>
    <w:rsid w:val="00C50902"/>
    <w:rsid w:val="00C50C30"/>
    <w:rsid w:val="00C50CA7"/>
    <w:rsid w:val="00C50D12"/>
    <w:rsid w:val="00C50D3A"/>
    <w:rsid w:val="00C50F26"/>
    <w:rsid w:val="00C51050"/>
    <w:rsid w:val="00C51322"/>
    <w:rsid w:val="00C515AF"/>
    <w:rsid w:val="00C51624"/>
    <w:rsid w:val="00C5167B"/>
    <w:rsid w:val="00C5175F"/>
    <w:rsid w:val="00C517D2"/>
    <w:rsid w:val="00C518A9"/>
    <w:rsid w:val="00C51978"/>
    <w:rsid w:val="00C51B2F"/>
    <w:rsid w:val="00C51B9E"/>
    <w:rsid w:val="00C51C86"/>
    <w:rsid w:val="00C51CE8"/>
    <w:rsid w:val="00C51D54"/>
    <w:rsid w:val="00C51DAF"/>
    <w:rsid w:val="00C51F07"/>
    <w:rsid w:val="00C52026"/>
    <w:rsid w:val="00C52050"/>
    <w:rsid w:val="00C5216E"/>
    <w:rsid w:val="00C5217B"/>
    <w:rsid w:val="00C5225B"/>
    <w:rsid w:val="00C5225F"/>
    <w:rsid w:val="00C52482"/>
    <w:rsid w:val="00C524FC"/>
    <w:rsid w:val="00C5270D"/>
    <w:rsid w:val="00C527E8"/>
    <w:rsid w:val="00C5280C"/>
    <w:rsid w:val="00C529FF"/>
    <w:rsid w:val="00C52E52"/>
    <w:rsid w:val="00C52E54"/>
    <w:rsid w:val="00C52E5F"/>
    <w:rsid w:val="00C52EA8"/>
    <w:rsid w:val="00C52F53"/>
    <w:rsid w:val="00C52FF4"/>
    <w:rsid w:val="00C5311F"/>
    <w:rsid w:val="00C5354F"/>
    <w:rsid w:val="00C5363F"/>
    <w:rsid w:val="00C53661"/>
    <w:rsid w:val="00C536C1"/>
    <w:rsid w:val="00C536EA"/>
    <w:rsid w:val="00C537D1"/>
    <w:rsid w:val="00C53A07"/>
    <w:rsid w:val="00C53ACD"/>
    <w:rsid w:val="00C53B3C"/>
    <w:rsid w:val="00C53B75"/>
    <w:rsid w:val="00C53CFD"/>
    <w:rsid w:val="00C53D63"/>
    <w:rsid w:val="00C53E29"/>
    <w:rsid w:val="00C53E37"/>
    <w:rsid w:val="00C53E63"/>
    <w:rsid w:val="00C54010"/>
    <w:rsid w:val="00C541A1"/>
    <w:rsid w:val="00C5426A"/>
    <w:rsid w:val="00C544C3"/>
    <w:rsid w:val="00C54608"/>
    <w:rsid w:val="00C54680"/>
    <w:rsid w:val="00C54779"/>
    <w:rsid w:val="00C54865"/>
    <w:rsid w:val="00C548A4"/>
    <w:rsid w:val="00C54F32"/>
    <w:rsid w:val="00C5511A"/>
    <w:rsid w:val="00C551BD"/>
    <w:rsid w:val="00C5521B"/>
    <w:rsid w:val="00C552FD"/>
    <w:rsid w:val="00C5533A"/>
    <w:rsid w:val="00C5543F"/>
    <w:rsid w:val="00C555E5"/>
    <w:rsid w:val="00C556DD"/>
    <w:rsid w:val="00C55988"/>
    <w:rsid w:val="00C55A1B"/>
    <w:rsid w:val="00C55B79"/>
    <w:rsid w:val="00C55E12"/>
    <w:rsid w:val="00C56190"/>
    <w:rsid w:val="00C561BD"/>
    <w:rsid w:val="00C56343"/>
    <w:rsid w:val="00C5634A"/>
    <w:rsid w:val="00C563CC"/>
    <w:rsid w:val="00C5647C"/>
    <w:rsid w:val="00C564B4"/>
    <w:rsid w:val="00C564B5"/>
    <w:rsid w:val="00C5652F"/>
    <w:rsid w:val="00C56621"/>
    <w:rsid w:val="00C56696"/>
    <w:rsid w:val="00C566BF"/>
    <w:rsid w:val="00C56786"/>
    <w:rsid w:val="00C5679E"/>
    <w:rsid w:val="00C56915"/>
    <w:rsid w:val="00C56A1B"/>
    <w:rsid w:val="00C56AAC"/>
    <w:rsid w:val="00C56B9B"/>
    <w:rsid w:val="00C56BCE"/>
    <w:rsid w:val="00C56D12"/>
    <w:rsid w:val="00C56F38"/>
    <w:rsid w:val="00C5704F"/>
    <w:rsid w:val="00C5710B"/>
    <w:rsid w:val="00C5716F"/>
    <w:rsid w:val="00C571D2"/>
    <w:rsid w:val="00C571F4"/>
    <w:rsid w:val="00C57260"/>
    <w:rsid w:val="00C573F7"/>
    <w:rsid w:val="00C5757E"/>
    <w:rsid w:val="00C57742"/>
    <w:rsid w:val="00C57758"/>
    <w:rsid w:val="00C578EB"/>
    <w:rsid w:val="00C57906"/>
    <w:rsid w:val="00C57B70"/>
    <w:rsid w:val="00C57C0E"/>
    <w:rsid w:val="00C57CBF"/>
    <w:rsid w:val="00C57D02"/>
    <w:rsid w:val="00C57D7C"/>
    <w:rsid w:val="00C57F2E"/>
    <w:rsid w:val="00C57FDD"/>
    <w:rsid w:val="00C601AA"/>
    <w:rsid w:val="00C60334"/>
    <w:rsid w:val="00C60469"/>
    <w:rsid w:val="00C605FA"/>
    <w:rsid w:val="00C60ACE"/>
    <w:rsid w:val="00C60AF6"/>
    <w:rsid w:val="00C60B71"/>
    <w:rsid w:val="00C60B9A"/>
    <w:rsid w:val="00C60BD0"/>
    <w:rsid w:val="00C60DFD"/>
    <w:rsid w:val="00C60E0C"/>
    <w:rsid w:val="00C60EBD"/>
    <w:rsid w:val="00C60F2A"/>
    <w:rsid w:val="00C60F9E"/>
    <w:rsid w:val="00C610CE"/>
    <w:rsid w:val="00C611F2"/>
    <w:rsid w:val="00C61262"/>
    <w:rsid w:val="00C61408"/>
    <w:rsid w:val="00C61449"/>
    <w:rsid w:val="00C61640"/>
    <w:rsid w:val="00C61739"/>
    <w:rsid w:val="00C617A5"/>
    <w:rsid w:val="00C617B1"/>
    <w:rsid w:val="00C6180D"/>
    <w:rsid w:val="00C6190F"/>
    <w:rsid w:val="00C619E5"/>
    <w:rsid w:val="00C61A37"/>
    <w:rsid w:val="00C61AB2"/>
    <w:rsid w:val="00C61BD5"/>
    <w:rsid w:val="00C61D17"/>
    <w:rsid w:val="00C61D2B"/>
    <w:rsid w:val="00C61DE3"/>
    <w:rsid w:val="00C61F96"/>
    <w:rsid w:val="00C6200F"/>
    <w:rsid w:val="00C623AE"/>
    <w:rsid w:val="00C6246C"/>
    <w:rsid w:val="00C62491"/>
    <w:rsid w:val="00C62538"/>
    <w:rsid w:val="00C625D7"/>
    <w:rsid w:val="00C62687"/>
    <w:rsid w:val="00C626FC"/>
    <w:rsid w:val="00C6271C"/>
    <w:rsid w:val="00C62A2E"/>
    <w:rsid w:val="00C62AF2"/>
    <w:rsid w:val="00C62B97"/>
    <w:rsid w:val="00C62BD7"/>
    <w:rsid w:val="00C62EA0"/>
    <w:rsid w:val="00C6304C"/>
    <w:rsid w:val="00C630B6"/>
    <w:rsid w:val="00C630BF"/>
    <w:rsid w:val="00C630EE"/>
    <w:rsid w:val="00C63224"/>
    <w:rsid w:val="00C634A3"/>
    <w:rsid w:val="00C63523"/>
    <w:rsid w:val="00C63573"/>
    <w:rsid w:val="00C63599"/>
    <w:rsid w:val="00C635F8"/>
    <w:rsid w:val="00C635FF"/>
    <w:rsid w:val="00C636F2"/>
    <w:rsid w:val="00C63C45"/>
    <w:rsid w:val="00C63CC4"/>
    <w:rsid w:val="00C63D00"/>
    <w:rsid w:val="00C63E04"/>
    <w:rsid w:val="00C63F05"/>
    <w:rsid w:val="00C64041"/>
    <w:rsid w:val="00C64082"/>
    <w:rsid w:val="00C640CD"/>
    <w:rsid w:val="00C640DD"/>
    <w:rsid w:val="00C641FE"/>
    <w:rsid w:val="00C642C0"/>
    <w:rsid w:val="00C64483"/>
    <w:rsid w:val="00C644E0"/>
    <w:rsid w:val="00C64607"/>
    <w:rsid w:val="00C64659"/>
    <w:rsid w:val="00C6471D"/>
    <w:rsid w:val="00C64912"/>
    <w:rsid w:val="00C64D6B"/>
    <w:rsid w:val="00C64E54"/>
    <w:rsid w:val="00C64E7F"/>
    <w:rsid w:val="00C64EF0"/>
    <w:rsid w:val="00C64F00"/>
    <w:rsid w:val="00C64F60"/>
    <w:rsid w:val="00C65256"/>
    <w:rsid w:val="00C652ED"/>
    <w:rsid w:val="00C65322"/>
    <w:rsid w:val="00C65375"/>
    <w:rsid w:val="00C653D9"/>
    <w:rsid w:val="00C6560F"/>
    <w:rsid w:val="00C6563B"/>
    <w:rsid w:val="00C65679"/>
    <w:rsid w:val="00C65713"/>
    <w:rsid w:val="00C65997"/>
    <w:rsid w:val="00C659EA"/>
    <w:rsid w:val="00C65AB9"/>
    <w:rsid w:val="00C65CEE"/>
    <w:rsid w:val="00C65E13"/>
    <w:rsid w:val="00C65E7A"/>
    <w:rsid w:val="00C65FAF"/>
    <w:rsid w:val="00C660F3"/>
    <w:rsid w:val="00C661C6"/>
    <w:rsid w:val="00C6634A"/>
    <w:rsid w:val="00C6637D"/>
    <w:rsid w:val="00C663EF"/>
    <w:rsid w:val="00C6641C"/>
    <w:rsid w:val="00C66536"/>
    <w:rsid w:val="00C665B3"/>
    <w:rsid w:val="00C6667F"/>
    <w:rsid w:val="00C666FC"/>
    <w:rsid w:val="00C6685E"/>
    <w:rsid w:val="00C6688F"/>
    <w:rsid w:val="00C66984"/>
    <w:rsid w:val="00C66ABB"/>
    <w:rsid w:val="00C66C7A"/>
    <w:rsid w:val="00C670DD"/>
    <w:rsid w:val="00C67187"/>
    <w:rsid w:val="00C672E6"/>
    <w:rsid w:val="00C672F6"/>
    <w:rsid w:val="00C675C3"/>
    <w:rsid w:val="00C678BA"/>
    <w:rsid w:val="00C67B36"/>
    <w:rsid w:val="00C67E3C"/>
    <w:rsid w:val="00C67F89"/>
    <w:rsid w:val="00C7004E"/>
    <w:rsid w:val="00C70227"/>
    <w:rsid w:val="00C70228"/>
    <w:rsid w:val="00C702AF"/>
    <w:rsid w:val="00C70311"/>
    <w:rsid w:val="00C70337"/>
    <w:rsid w:val="00C70495"/>
    <w:rsid w:val="00C7060C"/>
    <w:rsid w:val="00C70B94"/>
    <w:rsid w:val="00C70E9D"/>
    <w:rsid w:val="00C70F6D"/>
    <w:rsid w:val="00C71065"/>
    <w:rsid w:val="00C71161"/>
    <w:rsid w:val="00C713D7"/>
    <w:rsid w:val="00C7141B"/>
    <w:rsid w:val="00C7153F"/>
    <w:rsid w:val="00C71594"/>
    <w:rsid w:val="00C7160C"/>
    <w:rsid w:val="00C716FA"/>
    <w:rsid w:val="00C71873"/>
    <w:rsid w:val="00C718E7"/>
    <w:rsid w:val="00C718FB"/>
    <w:rsid w:val="00C71955"/>
    <w:rsid w:val="00C71C92"/>
    <w:rsid w:val="00C71D87"/>
    <w:rsid w:val="00C71E89"/>
    <w:rsid w:val="00C71F06"/>
    <w:rsid w:val="00C71FAA"/>
    <w:rsid w:val="00C71FCE"/>
    <w:rsid w:val="00C720E5"/>
    <w:rsid w:val="00C720FD"/>
    <w:rsid w:val="00C7216C"/>
    <w:rsid w:val="00C7225D"/>
    <w:rsid w:val="00C723BD"/>
    <w:rsid w:val="00C723EC"/>
    <w:rsid w:val="00C72406"/>
    <w:rsid w:val="00C7257C"/>
    <w:rsid w:val="00C725ED"/>
    <w:rsid w:val="00C72977"/>
    <w:rsid w:val="00C72991"/>
    <w:rsid w:val="00C729AE"/>
    <w:rsid w:val="00C72AC0"/>
    <w:rsid w:val="00C72B3E"/>
    <w:rsid w:val="00C72BF0"/>
    <w:rsid w:val="00C72D8C"/>
    <w:rsid w:val="00C72D8D"/>
    <w:rsid w:val="00C72D9D"/>
    <w:rsid w:val="00C72FB8"/>
    <w:rsid w:val="00C7311F"/>
    <w:rsid w:val="00C73191"/>
    <w:rsid w:val="00C7319A"/>
    <w:rsid w:val="00C731DE"/>
    <w:rsid w:val="00C73351"/>
    <w:rsid w:val="00C73418"/>
    <w:rsid w:val="00C7346D"/>
    <w:rsid w:val="00C7378E"/>
    <w:rsid w:val="00C738AC"/>
    <w:rsid w:val="00C73A5A"/>
    <w:rsid w:val="00C73CF9"/>
    <w:rsid w:val="00C740C5"/>
    <w:rsid w:val="00C740FE"/>
    <w:rsid w:val="00C74367"/>
    <w:rsid w:val="00C7440A"/>
    <w:rsid w:val="00C748AF"/>
    <w:rsid w:val="00C74AB2"/>
    <w:rsid w:val="00C74C4A"/>
    <w:rsid w:val="00C74C74"/>
    <w:rsid w:val="00C74CC0"/>
    <w:rsid w:val="00C74F4D"/>
    <w:rsid w:val="00C75064"/>
    <w:rsid w:val="00C75155"/>
    <w:rsid w:val="00C75220"/>
    <w:rsid w:val="00C75338"/>
    <w:rsid w:val="00C75410"/>
    <w:rsid w:val="00C7576E"/>
    <w:rsid w:val="00C75774"/>
    <w:rsid w:val="00C7586F"/>
    <w:rsid w:val="00C759FA"/>
    <w:rsid w:val="00C75C0E"/>
    <w:rsid w:val="00C75CCD"/>
    <w:rsid w:val="00C75DFA"/>
    <w:rsid w:val="00C75EDF"/>
    <w:rsid w:val="00C75F63"/>
    <w:rsid w:val="00C7603C"/>
    <w:rsid w:val="00C760BD"/>
    <w:rsid w:val="00C76171"/>
    <w:rsid w:val="00C76254"/>
    <w:rsid w:val="00C76263"/>
    <w:rsid w:val="00C762D8"/>
    <w:rsid w:val="00C762FA"/>
    <w:rsid w:val="00C76328"/>
    <w:rsid w:val="00C76330"/>
    <w:rsid w:val="00C76349"/>
    <w:rsid w:val="00C76400"/>
    <w:rsid w:val="00C7654E"/>
    <w:rsid w:val="00C7669A"/>
    <w:rsid w:val="00C766D9"/>
    <w:rsid w:val="00C76772"/>
    <w:rsid w:val="00C768A3"/>
    <w:rsid w:val="00C769CB"/>
    <w:rsid w:val="00C76A24"/>
    <w:rsid w:val="00C76A81"/>
    <w:rsid w:val="00C76AF6"/>
    <w:rsid w:val="00C76C16"/>
    <w:rsid w:val="00C76D67"/>
    <w:rsid w:val="00C76E69"/>
    <w:rsid w:val="00C76E7F"/>
    <w:rsid w:val="00C76E8B"/>
    <w:rsid w:val="00C76F83"/>
    <w:rsid w:val="00C7713B"/>
    <w:rsid w:val="00C771AB"/>
    <w:rsid w:val="00C773A3"/>
    <w:rsid w:val="00C77A8B"/>
    <w:rsid w:val="00C77B6E"/>
    <w:rsid w:val="00C77CC4"/>
    <w:rsid w:val="00C77E74"/>
    <w:rsid w:val="00C800F6"/>
    <w:rsid w:val="00C80195"/>
    <w:rsid w:val="00C80236"/>
    <w:rsid w:val="00C80337"/>
    <w:rsid w:val="00C80414"/>
    <w:rsid w:val="00C80465"/>
    <w:rsid w:val="00C805F7"/>
    <w:rsid w:val="00C80668"/>
    <w:rsid w:val="00C80786"/>
    <w:rsid w:val="00C80855"/>
    <w:rsid w:val="00C80974"/>
    <w:rsid w:val="00C80A13"/>
    <w:rsid w:val="00C80E55"/>
    <w:rsid w:val="00C81031"/>
    <w:rsid w:val="00C81335"/>
    <w:rsid w:val="00C8136D"/>
    <w:rsid w:val="00C81481"/>
    <w:rsid w:val="00C814E2"/>
    <w:rsid w:val="00C815B7"/>
    <w:rsid w:val="00C8164F"/>
    <w:rsid w:val="00C816AB"/>
    <w:rsid w:val="00C816F9"/>
    <w:rsid w:val="00C818D7"/>
    <w:rsid w:val="00C8191B"/>
    <w:rsid w:val="00C81941"/>
    <w:rsid w:val="00C81A25"/>
    <w:rsid w:val="00C81BCF"/>
    <w:rsid w:val="00C81D07"/>
    <w:rsid w:val="00C81D8A"/>
    <w:rsid w:val="00C81F33"/>
    <w:rsid w:val="00C81F8B"/>
    <w:rsid w:val="00C81FD6"/>
    <w:rsid w:val="00C82184"/>
    <w:rsid w:val="00C821A3"/>
    <w:rsid w:val="00C823DC"/>
    <w:rsid w:val="00C8278C"/>
    <w:rsid w:val="00C827A4"/>
    <w:rsid w:val="00C829F6"/>
    <w:rsid w:val="00C82B4E"/>
    <w:rsid w:val="00C82B73"/>
    <w:rsid w:val="00C82C9C"/>
    <w:rsid w:val="00C82D23"/>
    <w:rsid w:val="00C82DCB"/>
    <w:rsid w:val="00C83384"/>
    <w:rsid w:val="00C833F6"/>
    <w:rsid w:val="00C834D3"/>
    <w:rsid w:val="00C83500"/>
    <w:rsid w:val="00C8358A"/>
    <w:rsid w:val="00C83594"/>
    <w:rsid w:val="00C83708"/>
    <w:rsid w:val="00C8383A"/>
    <w:rsid w:val="00C8385C"/>
    <w:rsid w:val="00C83C40"/>
    <w:rsid w:val="00C83CB0"/>
    <w:rsid w:val="00C83CCB"/>
    <w:rsid w:val="00C83D75"/>
    <w:rsid w:val="00C83E68"/>
    <w:rsid w:val="00C83EBA"/>
    <w:rsid w:val="00C84101"/>
    <w:rsid w:val="00C8422E"/>
    <w:rsid w:val="00C8425F"/>
    <w:rsid w:val="00C842BB"/>
    <w:rsid w:val="00C84310"/>
    <w:rsid w:val="00C846B3"/>
    <w:rsid w:val="00C8470D"/>
    <w:rsid w:val="00C849B8"/>
    <w:rsid w:val="00C84A9A"/>
    <w:rsid w:val="00C84AA8"/>
    <w:rsid w:val="00C84B91"/>
    <w:rsid w:val="00C84CCD"/>
    <w:rsid w:val="00C84D59"/>
    <w:rsid w:val="00C84ED6"/>
    <w:rsid w:val="00C85124"/>
    <w:rsid w:val="00C85398"/>
    <w:rsid w:val="00C85576"/>
    <w:rsid w:val="00C85721"/>
    <w:rsid w:val="00C8589F"/>
    <w:rsid w:val="00C85ADA"/>
    <w:rsid w:val="00C85BFC"/>
    <w:rsid w:val="00C85C97"/>
    <w:rsid w:val="00C85CD0"/>
    <w:rsid w:val="00C85D64"/>
    <w:rsid w:val="00C85E3A"/>
    <w:rsid w:val="00C85F3A"/>
    <w:rsid w:val="00C866A9"/>
    <w:rsid w:val="00C866C2"/>
    <w:rsid w:val="00C86703"/>
    <w:rsid w:val="00C8683E"/>
    <w:rsid w:val="00C8687B"/>
    <w:rsid w:val="00C86913"/>
    <w:rsid w:val="00C8691F"/>
    <w:rsid w:val="00C86A16"/>
    <w:rsid w:val="00C86B05"/>
    <w:rsid w:val="00C86D89"/>
    <w:rsid w:val="00C86D8A"/>
    <w:rsid w:val="00C86DA5"/>
    <w:rsid w:val="00C86E54"/>
    <w:rsid w:val="00C86EF4"/>
    <w:rsid w:val="00C87082"/>
    <w:rsid w:val="00C870AF"/>
    <w:rsid w:val="00C8728D"/>
    <w:rsid w:val="00C872EC"/>
    <w:rsid w:val="00C87613"/>
    <w:rsid w:val="00C8764E"/>
    <w:rsid w:val="00C8782E"/>
    <w:rsid w:val="00C879A0"/>
    <w:rsid w:val="00C879B6"/>
    <w:rsid w:val="00C87AAA"/>
    <w:rsid w:val="00C87C17"/>
    <w:rsid w:val="00C87C18"/>
    <w:rsid w:val="00C87F27"/>
    <w:rsid w:val="00C9010A"/>
    <w:rsid w:val="00C9012E"/>
    <w:rsid w:val="00C901C2"/>
    <w:rsid w:val="00C903B3"/>
    <w:rsid w:val="00C9045C"/>
    <w:rsid w:val="00C904F6"/>
    <w:rsid w:val="00C90548"/>
    <w:rsid w:val="00C905E6"/>
    <w:rsid w:val="00C906E1"/>
    <w:rsid w:val="00C90872"/>
    <w:rsid w:val="00C9092E"/>
    <w:rsid w:val="00C90BDD"/>
    <w:rsid w:val="00C90C07"/>
    <w:rsid w:val="00C90C86"/>
    <w:rsid w:val="00C90DC4"/>
    <w:rsid w:val="00C90E92"/>
    <w:rsid w:val="00C90EDE"/>
    <w:rsid w:val="00C90FE3"/>
    <w:rsid w:val="00C91177"/>
    <w:rsid w:val="00C91179"/>
    <w:rsid w:val="00C9136D"/>
    <w:rsid w:val="00C91371"/>
    <w:rsid w:val="00C913C7"/>
    <w:rsid w:val="00C9147D"/>
    <w:rsid w:val="00C91576"/>
    <w:rsid w:val="00C915C3"/>
    <w:rsid w:val="00C916CC"/>
    <w:rsid w:val="00C916E7"/>
    <w:rsid w:val="00C919D9"/>
    <w:rsid w:val="00C91DF0"/>
    <w:rsid w:val="00C91E17"/>
    <w:rsid w:val="00C91FCB"/>
    <w:rsid w:val="00C920B3"/>
    <w:rsid w:val="00C920C6"/>
    <w:rsid w:val="00C921AB"/>
    <w:rsid w:val="00C921E5"/>
    <w:rsid w:val="00C92200"/>
    <w:rsid w:val="00C92300"/>
    <w:rsid w:val="00C925DF"/>
    <w:rsid w:val="00C92651"/>
    <w:rsid w:val="00C92788"/>
    <w:rsid w:val="00C9279E"/>
    <w:rsid w:val="00C929B6"/>
    <w:rsid w:val="00C92AAB"/>
    <w:rsid w:val="00C92B48"/>
    <w:rsid w:val="00C92C63"/>
    <w:rsid w:val="00C92C68"/>
    <w:rsid w:val="00C92DB2"/>
    <w:rsid w:val="00C92EB0"/>
    <w:rsid w:val="00C92FD3"/>
    <w:rsid w:val="00C93120"/>
    <w:rsid w:val="00C93439"/>
    <w:rsid w:val="00C93450"/>
    <w:rsid w:val="00C937EB"/>
    <w:rsid w:val="00C939C6"/>
    <w:rsid w:val="00C93AAA"/>
    <w:rsid w:val="00C93BD6"/>
    <w:rsid w:val="00C93C94"/>
    <w:rsid w:val="00C93D9C"/>
    <w:rsid w:val="00C93E11"/>
    <w:rsid w:val="00C93F86"/>
    <w:rsid w:val="00C94042"/>
    <w:rsid w:val="00C94397"/>
    <w:rsid w:val="00C944FF"/>
    <w:rsid w:val="00C946AB"/>
    <w:rsid w:val="00C947D4"/>
    <w:rsid w:val="00C9487A"/>
    <w:rsid w:val="00C948BA"/>
    <w:rsid w:val="00C94D14"/>
    <w:rsid w:val="00C94D63"/>
    <w:rsid w:val="00C94E81"/>
    <w:rsid w:val="00C94F9F"/>
    <w:rsid w:val="00C94FBA"/>
    <w:rsid w:val="00C9501E"/>
    <w:rsid w:val="00C95082"/>
    <w:rsid w:val="00C95270"/>
    <w:rsid w:val="00C952EE"/>
    <w:rsid w:val="00C954E2"/>
    <w:rsid w:val="00C95516"/>
    <w:rsid w:val="00C95526"/>
    <w:rsid w:val="00C955B1"/>
    <w:rsid w:val="00C956E2"/>
    <w:rsid w:val="00C9578A"/>
    <w:rsid w:val="00C958E9"/>
    <w:rsid w:val="00C95BFF"/>
    <w:rsid w:val="00C95D01"/>
    <w:rsid w:val="00C95D54"/>
    <w:rsid w:val="00C95D8A"/>
    <w:rsid w:val="00C95DD9"/>
    <w:rsid w:val="00C9604D"/>
    <w:rsid w:val="00C960B5"/>
    <w:rsid w:val="00C9629B"/>
    <w:rsid w:val="00C964B4"/>
    <w:rsid w:val="00C964E5"/>
    <w:rsid w:val="00C965D2"/>
    <w:rsid w:val="00C9679F"/>
    <w:rsid w:val="00C968DD"/>
    <w:rsid w:val="00C96B81"/>
    <w:rsid w:val="00C96B95"/>
    <w:rsid w:val="00C96B9E"/>
    <w:rsid w:val="00C96DC8"/>
    <w:rsid w:val="00C970F0"/>
    <w:rsid w:val="00C97155"/>
    <w:rsid w:val="00C97463"/>
    <w:rsid w:val="00C97546"/>
    <w:rsid w:val="00C97660"/>
    <w:rsid w:val="00C9773F"/>
    <w:rsid w:val="00C97752"/>
    <w:rsid w:val="00C97A60"/>
    <w:rsid w:val="00C97AA5"/>
    <w:rsid w:val="00C97AC4"/>
    <w:rsid w:val="00C97BEF"/>
    <w:rsid w:val="00C97EF7"/>
    <w:rsid w:val="00C97F56"/>
    <w:rsid w:val="00CA0027"/>
    <w:rsid w:val="00CA00D1"/>
    <w:rsid w:val="00CA00DA"/>
    <w:rsid w:val="00CA01E9"/>
    <w:rsid w:val="00CA024A"/>
    <w:rsid w:val="00CA02EA"/>
    <w:rsid w:val="00CA0445"/>
    <w:rsid w:val="00CA069F"/>
    <w:rsid w:val="00CA06A0"/>
    <w:rsid w:val="00CA0751"/>
    <w:rsid w:val="00CA076F"/>
    <w:rsid w:val="00CA0AF2"/>
    <w:rsid w:val="00CA0B5D"/>
    <w:rsid w:val="00CA0B6F"/>
    <w:rsid w:val="00CA0C2D"/>
    <w:rsid w:val="00CA0DA6"/>
    <w:rsid w:val="00CA0DCE"/>
    <w:rsid w:val="00CA0F90"/>
    <w:rsid w:val="00CA10A6"/>
    <w:rsid w:val="00CA10C3"/>
    <w:rsid w:val="00CA1313"/>
    <w:rsid w:val="00CA149C"/>
    <w:rsid w:val="00CA14DB"/>
    <w:rsid w:val="00CA14F1"/>
    <w:rsid w:val="00CA1510"/>
    <w:rsid w:val="00CA161B"/>
    <w:rsid w:val="00CA164E"/>
    <w:rsid w:val="00CA16B7"/>
    <w:rsid w:val="00CA171A"/>
    <w:rsid w:val="00CA183F"/>
    <w:rsid w:val="00CA19C7"/>
    <w:rsid w:val="00CA1A41"/>
    <w:rsid w:val="00CA1B64"/>
    <w:rsid w:val="00CA1E39"/>
    <w:rsid w:val="00CA1EA7"/>
    <w:rsid w:val="00CA1FA6"/>
    <w:rsid w:val="00CA1FC7"/>
    <w:rsid w:val="00CA2071"/>
    <w:rsid w:val="00CA20DF"/>
    <w:rsid w:val="00CA2149"/>
    <w:rsid w:val="00CA21A5"/>
    <w:rsid w:val="00CA250D"/>
    <w:rsid w:val="00CA252E"/>
    <w:rsid w:val="00CA25D4"/>
    <w:rsid w:val="00CA26B6"/>
    <w:rsid w:val="00CA26E0"/>
    <w:rsid w:val="00CA275F"/>
    <w:rsid w:val="00CA2A12"/>
    <w:rsid w:val="00CA2A1F"/>
    <w:rsid w:val="00CA2A72"/>
    <w:rsid w:val="00CA2AAD"/>
    <w:rsid w:val="00CA2B6D"/>
    <w:rsid w:val="00CA2B86"/>
    <w:rsid w:val="00CA2C06"/>
    <w:rsid w:val="00CA2C38"/>
    <w:rsid w:val="00CA2C8A"/>
    <w:rsid w:val="00CA2D08"/>
    <w:rsid w:val="00CA2DA5"/>
    <w:rsid w:val="00CA2EBA"/>
    <w:rsid w:val="00CA2FF3"/>
    <w:rsid w:val="00CA3018"/>
    <w:rsid w:val="00CA30A5"/>
    <w:rsid w:val="00CA35AB"/>
    <w:rsid w:val="00CA3771"/>
    <w:rsid w:val="00CA3A4F"/>
    <w:rsid w:val="00CA3B88"/>
    <w:rsid w:val="00CA3BD5"/>
    <w:rsid w:val="00CA3CCE"/>
    <w:rsid w:val="00CA3CD0"/>
    <w:rsid w:val="00CA3EE0"/>
    <w:rsid w:val="00CA3EFB"/>
    <w:rsid w:val="00CA41AB"/>
    <w:rsid w:val="00CA43B3"/>
    <w:rsid w:val="00CA4445"/>
    <w:rsid w:val="00CA44E5"/>
    <w:rsid w:val="00CA44F7"/>
    <w:rsid w:val="00CA45D4"/>
    <w:rsid w:val="00CA45FE"/>
    <w:rsid w:val="00CA48E3"/>
    <w:rsid w:val="00CA4B2E"/>
    <w:rsid w:val="00CA4CF1"/>
    <w:rsid w:val="00CA4E6E"/>
    <w:rsid w:val="00CA4E8F"/>
    <w:rsid w:val="00CA4E95"/>
    <w:rsid w:val="00CA4EC7"/>
    <w:rsid w:val="00CA5079"/>
    <w:rsid w:val="00CA51E2"/>
    <w:rsid w:val="00CA5270"/>
    <w:rsid w:val="00CA534C"/>
    <w:rsid w:val="00CA53B8"/>
    <w:rsid w:val="00CA54A6"/>
    <w:rsid w:val="00CA5615"/>
    <w:rsid w:val="00CA5675"/>
    <w:rsid w:val="00CA56C0"/>
    <w:rsid w:val="00CA572B"/>
    <w:rsid w:val="00CA5738"/>
    <w:rsid w:val="00CA580F"/>
    <w:rsid w:val="00CA59C5"/>
    <w:rsid w:val="00CA5C4A"/>
    <w:rsid w:val="00CA5C76"/>
    <w:rsid w:val="00CA5DFF"/>
    <w:rsid w:val="00CA5E11"/>
    <w:rsid w:val="00CA60E8"/>
    <w:rsid w:val="00CA61C5"/>
    <w:rsid w:val="00CA62CC"/>
    <w:rsid w:val="00CA6395"/>
    <w:rsid w:val="00CA649C"/>
    <w:rsid w:val="00CA64C4"/>
    <w:rsid w:val="00CA6507"/>
    <w:rsid w:val="00CA6642"/>
    <w:rsid w:val="00CA6643"/>
    <w:rsid w:val="00CA66B4"/>
    <w:rsid w:val="00CA675E"/>
    <w:rsid w:val="00CA68CE"/>
    <w:rsid w:val="00CA6984"/>
    <w:rsid w:val="00CA6A5C"/>
    <w:rsid w:val="00CA6ABC"/>
    <w:rsid w:val="00CA6B45"/>
    <w:rsid w:val="00CA6BA2"/>
    <w:rsid w:val="00CA6D77"/>
    <w:rsid w:val="00CA6DB9"/>
    <w:rsid w:val="00CA6F76"/>
    <w:rsid w:val="00CA6FD8"/>
    <w:rsid w:val="00CA7124"/>
    <w:rsid w:val="00CA71A8"/>
    <w:rsid w:val="00CA7342"/>
    <w:rsid w:val="00CA7383"/>
    <w:rsid w:val="00CA777F"/>
    <w:rsid w:val="00CA7824"/>
    <w:rsid w:val="00CA7A94"/>
    <w:rsid w:val="00CA7B1A"/>
    <w:rsid w:val="00CA7B29"/>
    <w:rsid w:val="00CA7C2A"/>
    <w:rsid w:val="00CA7C3F"/>
    <w:rsid w:val="00CA7C4E"/>
    <w:rsid w:val="00CA7D61"/>
    <w:rsid w:val="00CA7F7E"/>
    <w:rsid w:val="00CB013C"/>
    <w:rsid w:val="00CB0145"/>
    <w:rsid w:val="00CB01AA"/>
    <w:rsid w:val="00CB01D2"/>
    <w:rsid w:val="00CB01E4"/>
    <w:rsid w:val="00CB036F"/>
    <w:rsid w:val="00CB0506"/>
    <w:rsid w:val="00CB055A"/>
    <w:rsid w:val="00CB064F"/>
    <w:rsid w:val="00CB0C8F"/>
    <w:rsid w:val="00CB0CD9"/>
    <w:rsid w:val="00CB0CF4"/>
    <w:rsid w:val="00CB0D1B"/>
    <w:rsid w:val="00CB0DD9"/>
    <w:rsid w:val="00CB0E14"/>
    <w:rsid w:val="00CB0E6C"/>
    <w:rsid w:val="00CB0EB7"/>
    <w:rsid w:val="00CB1053"/>
    <w:rsid w:val="00CB10CF"/>
    <w:rsid w:val="00CB11A1"/>
    <w:rsid w:val="00CB1235"/>
    <w:rsid w:val="00CB1298"/>
    <w:rsid w:val="00CB1302"/>
    <w:rsid w:val="00CB13EB"/>
    <w:rsid w:val="00CB1888"/>
    <w:rsid w:val="00CB1AEB"/>
    <w:rsid w:val="00CB1B0A"/>
    <w:rsid w:val="00CB1B67"/>
    <w:rsid w:val="00CB1B76"/>
    <w:rsid w:val="00CB1C14"/>
    <w:rsid w:val="00CB1C7F"/>
    <w:rsid w:val="00CB1C8B"/>
    <w:rsid w:val="00CB1CC7"/>
    <w:rsid w:val="00CB1DAF"/>
    <w:rsid w:val="00CB1EA7"/>
    <w:rsid w:val="00CB1F44"/>
    <w:rsid w:val="00CB21CA"/>
    <w:rsid w:val="00CB291E"/>
    <w:rsid w:val="00CB296B"/>
    <w:rsid w:val="00CB29F6"/>
    <w:rsid w:val="00CB2B26"/>
    <w:rsid w:val="00CB2B47"/>
    <w:rsid w:val="00CB2F32"/>
    <w:rsid w:val="00CB3021"/>
    <w:rsid w:val="00CB314C"/>
    <w:rsid w:val="00CB3163"/>
    <w:rsid w:val="00CB3267"/>
    <w:rsid w:val="00CB32DE"/>
    <w:rsid w:val="00CB3357"/>
    <w:rsid w:val="00CB3572"/>
    <w:rsid w:val="00CB367C"/>
    <w:rsid w:val="00CB36D6"/>
    <w:rsid w:val="00CB3744"/>
    <w:rsid w:val="00CB3A4C"/>
    <w:rsid w:val="00CB3D7D"/>
    <w:rsid w:val="00CB3E12"/>
    <w:rsid w:val="00CB3F16"/>
    <w:rsid w:val="00CB4034"/>
    <w:rsid w:val="00CB4248"/>
    <w:rsid w:val="00CB425B"/>
    <w:rsid w:val="00CB42E3"/>
    <w:rsid w:val="00CB42FE"/>
    <w:rsid w:val="00CB4441"/>
    <w:rsid w:val="00CB449A"/>
    <w:rsid w:val="00CB449B"/>
    <w:rsid w:val="00CB44E4"/>
    <w:rsid w:val="00CB45EA"/>
    <w:rsid w:val="00CB4637"/>
    <w:rsid w:val="00CB4692"/>
    <w:rsid w:val="00CB476B"/>
    <w:rsid w:val="00CB4781"/>
    <w:rsid w:val="00CB487F"/>
    <w:rsid w:val="00CB4B82"/>
    <w:rsid w:val="00CB4BAF"/>
    <w:rsid w:val="00CB4BEB"/>
    <w:rsid w:val="00CB4C79"/>
    <w:rsid w:val="00CB4DC4"/>
    <w:rsid w:val="00CB4E11"/>
    <w:rsid w:val="00CB4F07"/>
    <w:rsid w:val="00CB4FB3"/>
    <w:rsid w:val="00CB4FEA"/>
    <w:rsid w:val="00CB5069"/>
    <w:rsid w:val="00CB515D"/>
    <w:rsid w:val="00CB5250"/>
    <w:rsid w:val="00CB5489"/>
    <w:rsid w:val="00CB54AC"/>
    <w:rsid w:val="00CB55A8"/>
    <w:rsid w:val="00CB56BA"/>
    <w:rsid w:val="00CB579B"/>
    <w:rsid w:val="00CB57DA"/>
    <w:rsid w:val="00CB580F"/>
    <w:rsid w:val="00CB5820"/>
    <w:rsid w:val="00CB5888"/>
    <w:rsid w:val="00CB59D6"/>
    <w:rsid w:val="00CB5E0F"/>
    <w:rsid w:val="00CB5F66"/>
    <w:rsid w:val="00CB5F6D"/>
    <w:rsid w:val="00CB5F8D"/>
    <w:rsid w:val="00CB60FC"/>
    <w:rsid w:val="00CB61F7"/>
    <w:rsid w:val="00CB625F"/>
    <w:rsid w:val="00CB6311"/>
    <w:rsid w:val="00CB63B7"/>
    <w:rsid w:val="00CB64A1"/>
    <w:rsid w:val="00CB6570"/>
    <w:rsid w:val="00CB66F6"/>
    <w:rsid w:val="00CB68A6"/>
    <w:rsid w:val="00CB6D1E"/>
    <w:rsid w:val="00CB6DCA"/>
    <w:rsid w:val="00CB7106"/>
    <w:rsid w:val="00CB719A"/>
    <w:rsid w:val="00CB7438"/>
    <w:rsid w:val="00CB752B"/>
    <w:rsid w:val="00CB7548"/>
    <w:rsid w:val="00CB77D6"/>
    <w:rsid w:val="00CB78E0"/>
    <w:rsid w:val="00CB78E3"/>
    <w:rsid w:val="00CB79AD"/>
    <w:rsid w:val="00CB7BFC"/>
    <w:rsid w:val="00CB7DD2"/>
    <w:rsid w:val="00CB7E59"/>
    <w:rsid w:val="00CB7F27"/>
    <w:rsid w:val="00CC004C"/>
    <w:rsid w:val="00CC0126"/>
    <w:rsid w:val="00CC0378"/>
    <w:rsid w:val="00CC057D"/>
    <w:rsid w:val="00CC0751"/>
    <w:rsid w:val="00CC07F0"/>
    <w:rsid w:val="00CC08F9"/>
    <w:rsid w:val="00CC09D6"/>
    <w:rsid w:val="00CC0AC7"/>
    <w:rsid w:val="00CC0B31"/>
    <w:rsid w:val="00CC0B89"/>
    <w:rsid w:val="00CC0D19"/>
    <w:rsid w:val="00CC0D6D"/>
    <w:rsid w:val="00CC0F16"/>
    <w:rsid w:val="00CC0FA0"/>
    <w:rsid w:val="00CC128F"/>
    <w:rsid w:val="00CC163D"/>
    <w:rsid w:val="00CC16E9"/>
    <w:rsid w:val="00CC17D7"/>
    <w:rsid w:val="00CC1804"/>
    <w:rsid w:val="00CC18D1"/>
    <w:rsid w:val="00CC1AE8"/>
    <w:rsid w:val="00CC1BB2"/>
    <w:rsid w:val="00CC1BFB"/>
    <w:rsid w:val="00CC1C1C"/>
    <w:rsid w:val="00CC1D4B"/>
    <w:rsid w:val="00CC1D63"/>
    <w:rsid w:val="00CC1DF4"/>
    <w:rsid w:val="00CC1EFD"/>
    <w:rsid w:val="00CC238D"/>
    <w:rsid w:val="00CC23CC"/>
    <w:rsid w:val="00CC23F8"/>
    <w:rsid w:val="00CC24C0"/>
    <w:rsid w:val="00CC2519"/>
    <w:rsid w:val="00CC25D6"/>
    <w:rsid w:val="00CC2633"/>
    <w:rsid w:val="00CC2684"/>
    <w:rsid w:val="00CC268B"/>
    <w:rsid w:val="00CC272D"/>
    <w:rsid w:val="00CC2853"/>
    <w:rsid w:val="00CC2948"/>
    <w:rsid w:val="00CC2B21"/>
    <w:rsid w:val="00CC2B33"/>
    <w:rsid w:val="00CC2CB1"/>
    <w:rsid w:val="00CC2EEA"/>
    <w:rsid w:val="00CC3077"/>
    <w:rsid w:val="00CC337C"/>
    <w:rsid w:val="00CC33F2"/>
    <w:rsid w:val="00CC363B"/>
    <w:rsid w:val="00CC3BB1"/>
    <w:rsid w:val="00CC3C00"/>
    <w:rsid w:val="00CC3FA4"/>
    <w:rsid w:val="00CC3FD9"/>
    <w:rsid w:val="00CC4031"/>
    <w:rsid w:val="00CC4035"/>
    <w:rsid w:val="00CC4236"/>
    <w:rsid w:val="00CC4515"/>
    <w:rsid w:val="00CC45A5"/>
    <w:rsid w:val="00CC484B"/>
    <w:rsid w:val="00CC4942"/>
    <w:rsid w:val="00CC4972"/>
    <w:rsid w:val="00CC498E"/>
    <w:rsid w:val="00CC4B74"/>
    <w:rsid w:val="00CC4C6F"/>
    <w:rsid w:val="00CC4DF7"/>
    <w:rsid w:val="00CC5040"/>
    <w:rsid w:val="00CC5180"/>
    <w:rsid w:val="00CC51A3"/>
    <w:rsid w:val="00CC539B"/>
    <w:rsid w:val="00CC54D2"/>
    <w:rsid w:val="00CC556D"/>
    <w:rsid w:val="00CC5948"/>
    <w:rsid w:val="00CC59DB"/>
    <w:rsid w:val="00CC5B4F"/>
    <w:rsid w:val="00CC5C50"/>
    <w:rsid w:val="00CC5D3A"/>
    <w:rsid w:val="00CC5DA2"/>
    <w:rsid w:val="00CC5E5B"/>
    <w:rsid w:val="00CC6258"/>
    <w:rsid w:val="00CC642E"/>
    <w:rsid w:val="00CC690E"/>
    <w:rsid w:val="00CC6939"/>
    <w:rsid w:val="00CC6953"/>
    <w:rsid w:val="00CC69F3"/>
    <w:rsid w:val="00CC6A01"/>
    <w:rsid w:val="00CC6A31"/>
    <w:rsid w:val="00CC6B7B"/>
    <w:rsid w:val="00CC6CF6"/>
    <w:rsid w:val="00CC6DA6"/>
    <w:rsid w:val="00CC6E39"/>
    <w:rsid w:val="00CC6FCD"/>
    <w:rsid w:val="00CC71C7"/>
    <w:rsid w:val="00CC72F9"/>
    <w:rsid w:val="00CC7388"/>
    <w:rsid w:val="00CC7436"/>
    <w:rsid w:val="00CC7563"/>
    <w:rsid w:val="00CC787E"/>
    <w:rsid w:val="00CC78FF"/>
    <w:rsid w:val="00CC7931"/>
    <w:rsid w:val="00CC79A4"/>
    <w:rsid w:val="00CC79A7"/>
    <w:rsid w:val="00CC7B6B"/>
    <w:rsid w:val="00CC7CA7"/>
    <w:rsid w:val="00CC7D0D"/>
    <w:rsid w:val="00CD0051"/>
    <w:rsid w:val="00CD0194"/>
    <w:rsid w:val="00CD019F"/>
    <w:rsid w:val="00CD01E9"/>
    <w:rsid w:val="00CD0439"/>
    <w:rsid w:val="00CD05DA"/>
    <w:rsid w:val="00CD07AE"/>
    <w:rsid w:val="00CD080D"/>
    <w:rsid w:val="00CD0A17"/>
    <w:rsid w:val="00CD0A80"/>
    <w:rsid w:val="00CD0BD0"/>
    <w:rsid w:val="00CD0BE3"/>
    <w:rsid w:val="00CD0DCD"/>
    <w:rsid w:val="00CD0E37"/>
    <w:rsid w:val="00CD0EE8"/>
    <w:rsid w:val="00CD10A2"/>
    <w:rsid w:val="00CD1206"/>
    <w:rsid w:val="00CD1327"/>
    <w:rsid w:val="00CD15A3"/>
    <w:rsid w:val="00CD17CA"/>
    <w:rsid w:val="00CD17ED"/>
    <w:rsid w:val="00CD18EF"/>
    <w:rsid w:val="00CD1AA1"/>
    <w:rsid w:val="00CD1ACC"/>
    <w:rsid w:val="00CD1C5B"/>
    <w:rsid w:val="00CD1DF9"/>
    <w:rsid w:val="00CD1F4E"/>
    <w:rsid w:val="00CD1F6F"/>
    <w:rsid w:val="00CD2406"/>
    <w:rsid w:val="00CD2655"/>
    <w:rsid w:val="00CD2665"/>
    <w:rsid w:val="00CD2698"/>
    <w:rsid w:val="00CD26E1"/>
    <w:rsid w:val="00CD286B"/>
    <w:rsid w:val="00CD29D8"/>
    <w:rsid w:val="00CD2D16"/>
    <w:rsid w:val="00CD2E42"/>
    <w:rsid w:val="00CD2E7E"/>
    <w:rsid w:val="00CD2F19"/>
    <w:rsid w:val="00CD3027"/>
    <w:rsid w:val="00CD3297"/>
    <w:rsid w:val="00CD32D7"/>
    <w:rsid w:val="00CD33F2"/>
    <w:rsid w:val="00CD352E"/>
    <w:rsid w:val="00CD3542"/>
    <w:rsid w:val="00CD35A8"/>
    <w:rsid w:val="00CD360F"/>
    <w:rsid w:val="00CD369A"/>
    <w:rsid w:val="00CD36A3"/>
    <w:rsid w:val="00CD387F"/>
    <w:rsid w:val="00CD3AB7"/>
    <w:rsid w:val="00CD3B6A"/>
    <w:rsid w:val="00CD3BBB"/>
    <w:rsid w:val="00CD3C6F"/>
    <w:rsid w:val="00CD3CA5"/>
    <w:rsid w:val="00CD3E07"/>
    <w:rsid w:val="00CD3EF3"/>
    <w:rsid w:val="00CD3FC3"/>
    <w:rsid w:val="00CD3FF6"/>
    <w:rsid w:val="00CD4103"/>
    <w:rsid w:val="00CD4184"/>
    <w:rsid w:val="00CD41C4"/>
    <w:rsid w:val="00CD41C5"/>
    <w:rsid w:val="00CD421A"/>
    <w:rsid w:val="00CD4310"/>
    <w:rsid w:val="00CD4333"/>
    <w:rsid w:val="00CD43B4"/>
    <w:rsid w:val="00CD4453"/>
    <w:rsid w:val="00CD4605"/>
    <w:rsid w:val="00CD4669"/>
    <w:rsid w:val="00CD4B31"/>
    <w:rsid w:val="00CD4C27"/>
    <w:rsid w:val="00CD4C3D"/>
    <w:rsid w:val="00CD4C90"/>
    <w:rsid w:val="00CD4DED"/>
    <w:rsid w:val="00CD4EF4"/>
    <w:rsid w:val="00CD5024"/>
    <w:rsid w:val="00CD52DA"/>
    <w:rsid w:val="00CD555F"/>
    <w:rsid w:val="00CD56AF"/>
    <w:rsid w:val="00CD56E8"/>
    <w:rsid w:val="00CD5A53"/>
    <w:rsid w:val="00CD5D1C"/>
    <w:rsid w:val="00CD5D2D"/>
    <w:rsid w:val="00CD5DD9"/>
    <w:rsid w:val="00CD5E23"/>
    <w:rsid w:val="00CD5F02"/>
    <w:rsid w:val="00CD5F68"/>
    <w:rsid w:val="00CD5FD1"/>
    <w:rsid w:val="00CD60E9"/>
    <w:rsid w:val="00CD6115"/>
    <w:rsid w:val="00CD63FB"/>
    <w:rsid w:val="00CD6461"/>
    <w:rsid w:val="00CD64B9"/>
    <w:rsid w:val="00CD654B"/>
    <w:rsid w:val="00CD663F"/>
    <w:rsid w:val="00CD667A"/>
    <w:rsid w:val="00CD67F1"/>
    <w:rsid w:val="00CD6806"/>
    <w:rsid w:val="00CD6A02"/>
    <w:rsid w:val="00CD6A50"/>
    <w:rsid w:val="00CD6B54"/>
    <w:rsid w:val="00CD6C77"/>
    <w:rsid w:val="00CD6DB1"/>
    <w:rsid w:val="00CD6DDC"/>
    <w:rsid w:val="00CD6F4E"/>
    <w:rsid w:val="00CD7305"/>
    <w:rsid w:val="00CD741D"/>
    <w:rsid w:val="00CD75D8"/>
    <w:rsid w:val="00CD7638"/>
    <w:rsid w:val="00CD7723"/>
    <w:rsid w:val="00CD784A"/>
    <w:rsid w:val="00CD7A21"/>
    <w:rsid w:val="00CD7B44"/>
    <w:rsid w:val="00CD7B57"/>
    <w:rsid w:val="00CD7C44"/>
    <w:rsid w:val="00CD7D73"/>
    <w:rsid w:val="00CD7DD8"/>
    <w:rsid w:val="00CD7EBE"/>
    <w:rsid w:val="00CD7F2C"/>
    <w:rsid w:val="00CD7F77"/>
    <w:rsid w:val="00CE014E"/>
    <w:rsid w:val="00CE0188"/>
    <w:rsid w:val="00CE0399"/>
    <w:rsid w:val="00CE0418"/>
    <w:rsid w:val="00CE0512"/>
    <w:rsid w:val="00CE05C9"/>
    <w:rsid w:val="00CE05CF"/>
    <w:rsid w:val="00CE06B2"/>
    <w:rsid w:val="00CE06E7"/>
    <w:rsid w:val="00CE073D"/>
    <w:rsid w:val="00CE08FD"/>
    <w:rsid w:val="00CE0D24"/>
    <w:rsid w:val="00CE0DB3"/>
    <w:rsid w:val="00CE0E26"/>
    <w:rsid w:val="00CE0EEA"/>
    <w:rsid w:val="00CE0F33"/>
    <w:rsid w:val="00CE1096"/>
    <w:rsid w:val="00CE1099"/>
    <w:rsid w:val="00CE11A4"/>
    <w:rsid w:val="00CE11FC"/>
    <w:rsid w:val="00CE1254"/>
    <w:rsid w:val="00CE136E"/>
    <w:rsid w:val="00CE13D9"/>
    <w:rsid w:val="00CE1477"/>
    <w:rsid w:val="00CE14CE"/>
    <w:rsid w:val="00CE1625"/>
    <w:rsid w:val="00CE1712"/>
    <w:rsid w:val="00CE1942"/>
    <w:rsid w:val="00CE1B6D"/>
    <w:rsid w:val="00CE1CC5"/>
    <w:rsid w:val="00CE1E51"/>
    <w:rsid w:val="00CE1EAD"/>
    <w:rsid w:val="00CE1EB8"/>
    <w:rsid w:val="00CE1F0F"/>
    <w:rsid w:val="00CE1F73"/>
    <w:rsid w:val="00CE2087"/>
    <w:rsid w:val="00CE224F"/>
    <w:rsid w:val="00CE2359"/>
    <w:rsid w:val="00CE23E1"/>
    <w:rsid w:val="00CE2432"/>
    <w:rsid w:val="00CE2533"/>
    <w:rsid w:val="00CE253B"/>
    <w:rsid w:val="00CE25F3"/>
    <w:rsid w:val="00CE2614"/>
    <w:rsid w:val="00CE2740"/>
    <w:rsid w:val="00CE2860"/>
    <w:rsid w:val="00CE2ACE"/>
    <w:rsid w:val="00CE2CA2"/>
    <w:rsid w:val="00CE2D63"/>
    <w:rsid w:val="00CE2F5D"/>
    <w:rsid w:val="00CE2F64"/>
    <w:rsid w:val="00CE2F8C"/>
    <w:rsid w:val="00CE31F4"/>
    <w:rsid w:val="00CE3298"/>
    <w:rsid w:val="00CE342D"/>
    <w:rsid w:val="00CE34B2"/>
    <w:rsid w:val="00CE34C8"/>
    <w:rsid w:val="00CE3552"/>
    <w:rsid w:val="00CE36D6"/>
    <w:rsid w:val="00CE38B9"/>
    <w:rsid w:val="00CE38BD"/>
    <w:rsid w:val="00CE3992"/>
    <w:rsid w:val="00CE39BD"/>
    <w:rsid w:val="00CE39EA"/>
    <w:rsid w:val="00CE3B65"/>
    <w:rsid w:val="00CE3C42"/>
    <w:rsid w:val="00CE3D63"/>
    <w:rsid w:val="00CE3D70"/>
    <w:rsid w:val="00CE3DA7"/>
    <w:rsid w:val="00CE3E3F"/>
    <w:rsid w:val="00CE3E57"/>
    <w:rsid w:val="00CE3E9D"/>
    <w:rsid w:val="00CE3FDB"/>
    <w:rsid w:val="00CE4062"/>
    <w:rsid w:val="00CE40FC"/>
    <w:rsid w:val="00CE4261"/>
    <w:rsid w:val="00CE4310"/>
    <w:rsid w:val="00CE4418"/>
    <w:rsid w:val="00CE44BE"/>
    <w:rsid w:val="00CE44BF"/>
    <w:rsid w:val="00CE44C2"/>
    <w:rsid w:val="00CE45F3"/>
    <w:rsid w:val="00CE46B9"/>
    <w:rsid w:val="00CE4765"/>
    <w:rsid w:val="00CE4773"/>
    <w:rsid w:val="00CE4800"/>
    <w:rsid w:val="00CE486D"/>
    <w:rsid w:val="00CE48C5"/>
    <w:rsid w:val="00CE49E4"/>
    <w:rsid w:val="00CE4A77"/>
    <w:rsid w:val="00CE4E89"/>
    <w:rsid w:val="00CE4F05"/>
    <w:rsid w:val="00CE4F0E"/>
    <w:rsid w:val="00CE4F34"/>
    <w:rsid w:val="00CE5041"/>
    <w:rsid w:val="00CE5755"/>
    <w:rsid w:val="00CE5C8A"/>
    <w:rsid w:val="00CE5FE9"/>
    <w:rsid w:val="00CE601A"/>
    <w:rsid w:val="00CE605B"/>
    <w:rsid w:val="00CE6357"/>
    <w:rsid w:val="00CE6414"/>
    <w:rsid w:val="00CE64FE"/>
    <w:rsid w:val="00CE652C"/>
    <w:rsid w:val="00CE6587"/>
    <w:rsid w:val="00CE6676"/>
    <w:rsid w:val="00CE67F7"/>
    <w:rsid w:val="00CE687C"/>
    <w:rsid w:val="00CE6A9D"/>
    <w:rsid w:val="00CE6BBD"/>
    <w:rsid w:val="00CE6DCD"/>
    <w:rsid w:val="00CE6F22"/>
    <w:rsid w:val="00CE6F5D"/>
    <w:rsid w:val="00CE701B"/>
    <w:rsid w:val="00CE7064"/>
    <w:rsid w:val="00CE72F6"/>
    <w:rsid w:val="00CE731A"/>
    <w:rsid w:val="00CE7481"/>
    <w:rsid w:val="00CE74C9"/>
    <w:rsid w:val="00CE75EF"/>
    <w:rsid w:val="00CE7680"/>
    <w:rsid w:val="00CE768E"/>
    <w:rsid w:val="00CE7904"/>
    <w:rsid w:val="00CE7937"/>
    <w:rsid w:val="00CE79EA"/>
    <w:rsid w:val="00CE7A41"/>
    <w:rsid w:val="00CE7A6C"/>
    <w:rsid w:val="00CE7B1E"/>
    <w:rsid w:val="00CE7BEF"/>
    <w:rsid w:val="00CE7C88"/>
    <w:rsid w:val="00CE7DFC"/>
    <w:rsid w:val="00CE7E05"/>
    <w:rsid w:val="00CE7E1D"/>
    <w:rsid w:val="00CE7E54"/>
    <w:rsid w:val="00CE7ED8"/>
    <w:rsid w:val="00CE7FBE"/>
    <w:rsid w:val="00CF02BD"/>
    <w:rsid w:val="00CF033E"/>
    <w:rsid w:val="00CF0554"/>
    <w:rsid w:val="00CF05BD"/>
    <w:rsid w:val="00CF05DD"/>
    <w:rsid w:val="00CF07AD"/>
    <w:rsid w:val="00CF07D7"/>
    <w:rsid w:val="00CF0971"/>
    <w:rsid w:val="00CF0C0A"/>
    <w:rsid w:val="00CF0C4A"/>
    <w:rsid w:val="00CF0D95"/>
    <w:rsid w:val="00CF0EA2"/>
    <w:rsid w:val="00CF0ED2"/>
    <w:rsid w:val="00CF121F"/>
    <w:rsid w:val="00CF1350"/>
    <w:rsid w:val="00CF13B8"/>
    <w:rsid w:val="00CF16FD"/>
    <w:rsid w:val="00CF1A1F"/>
    <w:rsid w:val="00CF1AA2"/>
    <w:rsid w:val="00CF1B03"/>
    <w:rsid w:val="00CF1B1E"/>
    <w:rsid w:val="00CF1C4F"/>
    <w:rsid w:val="00CF1C75"/>
    <w:rsid w:val="00CF1CBD"/>
    <w:rsid w:val="00CF202F"/>
    <w:rsid w:val="00CF2208"/>
    <w:rsid w:val="00CF2468"/>
    <w:rsid w:val="00CF2472"/>
    <w:rsid w:val="00CF2565"/>
    <w:rsid w:val="00CF264A"/>
    <w:rsid w:val="00CF26F5"/>
    <w:rsid w:val="00CF27A4"/>
    <w:rsid w:val="00CF282A"/>
    <w:rsid w:val="00CF2899"/>
    <w:rsid w:val="00CF29A8"/>
    <w:rsid w:val="00CF2A24"/>
    <w:rsid w:val="00CF2C43"/>
    <w:rsid w:val="00CF2C78"/>
    <w:rsid w:val="00CF2DA7"/>
    <w:rsid w:val="00CF2FC8"/>
    <w:rsid w:val="00CF300D"/>
    <w:rsid w:val="00CF3097"/>
    <w:rsid w:val="00CF316B"/>
    <w:rsid w:val="00CF3354"/>
    <w:rsid w:val="00CF33E8"/>
    <w:rsid w:val="00CF344A"/>
    <w:rsid w:val="00CF35ED"/>
    <w:rsid w:val="00CF36AC"/>
    <w:rsid w:val="00CF3A42"/>
    <w:rsid w:val="00CF3A63"/>
    <w:rsid w:val="00CF3AC8"/>
    <w:rsid w:val="00CF3B6B"/>
    <w:rsid w:val="00CF3D85"/>
    <w:rsid w:val="00CF3EC0"/>
    <w:rsid w:val="00CF406E"/>
    <w:rsid w:val="00CF41A6"/>
    <w:rsid w:val="00CF41CF"/>
    <w:rsid w:val="00CF44DC"/>
    <w:rsid w:val="00CF450B"/>
    <w:rsid w:val="00CF46C2"/>
    <w:rsid w:val="00CF4764"/>
    <w:rsid w:val="00CF493F"/>
    <w:rsid w:val="00CF4D6E"/>
    <w:rsid w:val="00CF4EA1"/>
    <w:rsid w:val="00CF4F2A"/>
    <w:rsid w:val="00CF4F43"/>
    <w:rsid w:val="00CF509E"/>
    <w:rsid w:val="00CF50C8"/>
    <w:rsid w:val="00CF525E"/>
    <w:rsid w:val="00CF53F6"/>
    <w:rsid w:val="00CF5565"/>
    <w:rsid w:val="00CF56E5"/>
    <w:rsid w:val="00CF5747"/>
    <w:rsid w:val="00CF57D5"/>
    <w:rsid w:val="00CF57FA"/>
    <w:rsid w:val="00CF5D92"/>
    <w:rsid w:val="00CF5E2C"/>
    <w:rsid w:val="00CF627C"/>
    <w:rsid w:val="00CF62F4"/>
    <w:rsid w:val="00CF636B"/>
    <w:rsid w:val="00CF64BC"/>
    <w:rsid w:val="00CF65FD"/>
    <w:rsid w:val="00CF6659"/>
    <w:rsid w:val="00CF6771"/>
    <w:rsid w:val="00CF6797"/>
    <w:rsid w:val="00CF68EF"/>
    <w:rsid w:val="00CF68F3"/>
    <w:rsid w:val="00CF699B"/>
    <w:rsid w:val="00CF6B79"/>
    <w:rsid w:val="00CF6F33"/>
    <w:rsid w:val="00CF7182"/>
    <w:rsid w:val="00CF730F"/>
    <w:rsid w:val="00CF746D"/>
    <w:rsid w:val="00CF749E"/>
    <w:rsid w:val="00CF7580"/>
    <w:rsid w:val="00CF75CA"/>
    <w:rsid w:val="00CF75D9"/>
    <w:rsid w:val="00CF7641"/>
    <w:rsid w:val="00CF77E9"/>
    <w:rsid w:val="00CF7A2A"/>
    <w:rsid w:val="00CF7B67"/>
    <w:rsid w:val="00D000AC"/>
    <w:rsid w:val="00D00219"/>
    <w:rsid w:val="00D00A70"/>
    <w:rsid w:val="00D00AC7"/>
    <w:rsid w:val="00D00B1A"/>
    <w:rsid w:val="00D00CC6"/>
    <w:rsid w:val="00D00F93"/>
    <w:rsid w:val="00D00FD5"/>
    <w:rsid w:val="00D012FF"/>
    <w:rsid w:val="00D013E8"/>
    <w:rsid w:val="00D01472"/>
    <w:rsid w:val="00D0161A"/>
    <w:rsid w:val="00D01640"/>
    <w:rsid w:val="00D0177C"/>
    <w:rsid w:val="00D019C1"/>
    <w:rsid w:val="00D01AE8"/>
    <w:rsid w:val="00D01C6D"/>
    <w:rsid w:val="00D01E40"/>
    <w:rsid w:val="00D01E79"/>
    <w:rsid w:val="00D01F78"/>
    <w:rsid w:val="00D0236C"/>
    <w:rsid w:val="00D02455"/>
    <w:rsid w:val="00D0252A"/>
    <w:rsid w:val="00D0257F"/>
    <w:rsid w:val="00D0260D"/>
    <w:rsid w:val="00D026B1"/>
    <w:rsid w:val="00D0275F"/>
    <w:rsid w:val="00D029C9"/>
    <w:rsid w:val="00D02C1C"/>
    <w:rsid w:val="00D02E4B"/>
    <w:rsid w:val="00D02E8B"/>
    <w:rsid w:val="00D02EA6"/>
    <w:rsid w:val="00D02F60"/>
    <w:rsid w:val="00D0327B"/>
    <w:rsid w:val="00D0344C"/>
    <w:rsid w:val="00D03452"/>
    <w:rsid w:val="00D0351E"/>
    <w:rsid w:val="00D0358E"/>
    <w:rsid w:val="00D03662"/>
    <w:rsid w:val="00D037A4"/>
    <w:rsid w:val="00D039C4"/>
    <w:rsid w:val="00D03A15"/>
    <w:rsid w:val="00D03A16"/>
    <w:rsid w:val="00D03B1C"/>
    <w:rsid w:val="00D03BED"/>
    <w:rsid w:val="00D03C04"/>
    <w:rsid w:val="00D03CB5"/>
    <w:rsid w:val="00D03F86"/>
    <w:rsid w:val="00D03FB8"/>
    <w:rsid w:val="00D03FBC"/>
    <w:rsid w:val="00D040F5"/>
    <w:rsid w:val="00D0414D"/>
    <w:rsid w:val="00D044A0"/>
    <w:rsid w:val="00D0451D"/>
    <w:rsid w:val="00D04919"/>
    <w:rsid w:val="00D04C29"/>
    <w:rsid w:val="00D04C4B"/>
    <w:rsid w:val="00D04E56"/>
    <w:rsid w:val="00D04ED7"/>
    <w:rsid w:val="00D05038"/>
    <w:rsid w:val="00D0518D"/>
    <w:rsid w:val="00D05218"/>
    <w:rsid w:val="00D0540B"/>
    <w:rsid w:val="00D05455"/>
    <w:rsid w:val="00D05821"/>
    <w:rsid w:val="00D0591D"/>
    <w:rsid w:val="00D059C7"/>
    <w:rsid w:val="00D05B32"/>
    <w:rsid w:val="00D05BB7"/>
    <w:rsid w:val="00D05CB6"/>
    <w:rsid w:val="00D05E77"/>
    <w:rsid w:val="00D05EBA"/>
    <w:rsid w:val="00D05F58"/>
    <w:rsid w:val="00D0614D"/>
    <w:rsid w:val="00D0631F"/>
    <w:rsid w:val="00D063BA"/>
    <w:rsid w:val="00D06410"/>
    <w:rsid w:val="00D0655F"/>
    <w:rsid w:val="00D065A0"/>
    <w:rsid w:val="00D065F5"/>
    <w:rsid w:val="00D06997"/>
    <w:rsid w:val="00D06A33"/>
    <w:rsid w:val="00D06B4F"/>
    <w:rsid w:val="00D06C22"/>
    <w:rsid w:val="00D06DF5"/>
    <w:rsid w:val="00D06F50"/>
    <w:rsid w:val="00D06F7B"/>
    <w:rsid w:val="00D071DF"/>
    <w:rsid w:val="00D07209"/>
    <w:rsid w:val="00D074F6"/>
    <w:rsid w:val="00D07546"/>
    <w:rsid w:val="00D075C1"/>
    <w:rsid w:val="00D076CD"/>
    <w:rsid w:val="00D07806"/>
    <w:rsid w:val="00D0784B"/>
    <w:rsid w:val="00D078A1"/>
    <w:rsid w:val="00D07909"/>
    <w:rsid w:val="00D07A65"/>
    <w:rsid w:val="00D07AA7"/>
    <w:rsid w:val="00D07C61"/>
    <w:rsid w:val="00D10028"/>
    <w:rsid w:val="00D1012D"/>
    <w:rsid w:val="00D10163"/>
    <w:rsid w:val="00D101DB"/>
    <w:rsid w:val="00D10267"/>
    <w:rsid w:val="00D1064F"/>
    <w:rsid w:val="00D107F2"/>
    <w:rsid w:val="00D109A4"/>
    <w:rsid w:val="00D10BB2"/>
    <w:rsid w:val="00D10C64"/>
    <w:rsid w:val="00D10CA3"/>
    <w:rsid w:val="00D10FF4"/>
    <w:rsid w:val="00D110A2"/>
    <w:rsid w:val="00D11154"/>
    <w:rsid w:val="00D111C5"/>
    <w:rsid w:val="00D11249"/>
    <w:rsid w:val="00D112FD"/>
    <w:rsid w:val="00D113E8"/>
    <w:rsid w:val="00D113FE"/>
    <w:rsid w:val="00D1148C"/>
    <w:rsid w:val="00D1159B"/>
    <w:rsid w:val="00D115B4"/>
    <w:rsid w:val="00D1161F"/>
    <w:rsid w:val="00D11752"/>
    <w:rsid w:val="00D11928"/>
    <w:rsid w:val="00D11A13"/>
    <w:rsid w:val="00D11B5D"/>
    <w:rsid w:val="00D11B93"/>
    <w:rsid w:val="00D11C9D"/>
    <w:rsid w:val="00D11E16"/>
    <w:rsid w:val="00D11E9E"/>
    <w:rsid w:val="00D121BB"/>
    <w:rsid w:val="00D12390"/>
    <w:rsid w:val="00D12474"/>
    <w:rsid w:val="00D1272C"/>
    <w:rsid w:val="00D12790"/>
    <w:rsid w:val="00D12999"/>
    <w:rsid w:val="00D12ACA"/>
    <w:rsid w:val="00D12BA1"/>
    <w:rsid w:val="00D12BFE"/>
    <w:rsid w:val="00D12C72"/>
    <w:rsid w:val="00D12CD6"/>
    <w:rsid w:val="00D12D23"/>
    <w:rsid w:val="00D13038"/>
    <w:rsid w:val="00D131D3"/>
    <w:rsid w:val="00D1321E"/>
    <w:rsid w:val="00D13314"/>
    <w:rsid w:val="00D134D0"/>
    <w:rsid w:val="00D134E5"/>
    <w:rsid w:val="00D1361B"/>
    <w:rsid w:val="00D13773"/>
    <w:rsid w:val="00D138D0"/>
    <w:rsid w:val="00D13A54"/>
    <w:rsid w:val="00D13C25"/>
    <w:rsid w:val="00D13CF1"/>
    <w:rsid w:val="00D13F62"/>
    <w:rsid w:val="00D14072"/>
    <w:rsid w:val="00D143A6"/>
    <w:rsid w:val="00D146B8"/>
    <w:rsid w:val="00D14717"/>
    <w:rsid w:val="00D1491A"/>
    <w:rsid w:val="00D14934"/>
    <w:rsid w:val="00D14AE6"/>
    <w:rsid w:val="00D14AEE"/>
    <w:rsid w:val="00D14C4E"/>
    <w:rsid w:val="00D14D13"/>
    <w:rsid w:val="00D14D3F"/>
    <w:rsid w:val="00D14DAD"/>
    <w:rsid w:val="00D14DDE"/>
    <w:rsid w:val="00D14ECC"/>
    <w:rsid w:val="00D14FBB"/>
    <w:rsid w:val="00D1505A"/>
    <w:rsid w:val="00D15186"/>
    <w:rsid w:val="00D1542E"/>
    <w:rsid w:val="00D1545A"/>
    <w:rsid w:val="00D155A2"/>
    <w:rsid w:val="00D15739"/>
    <w:rsid w:val="00D157B7"/>
    <w:rsid w:val="00D15C1B"/>
    <w:rsid w:val="00D15CE7"/>
    <w:rsid w:val="00D15CF8"/>
    <w:rsid w:val="00D15D58"/>
    <w:rsid w:val="00D15E21"/>
    <w:rsid w:val="00D15E70"/>
    <w:rsid w:val="00D15F51"/>
    <w:rsid w:val="00D16071"/>
    <w:rsid w:val="00D16085"/>
    <w:rsid w:val="00D16155"/>
    <w:rsid w:val="00D16162"/>
    <w:rsid w:val="00D162A6"/>
    <w:rsid w:val="00D162E8"/>
    <w:rsid w:val="00D164BC"/>
    <w:rsid w:val="00D16553"/>
    <w:rsid w:val="00D1656C"/>
    <w:rsid w:val="00D16796"/>
    <w:rsid w:val="00D167E5"/>
    <w:rsid w:val="00D167F2"/>
    <w:rsid w:val="00D169C9"/>
    <w:rsid w:val="00D16B83"/>
    <w:rsid w:val="00D16D59"/>
    <w:rsid w:val="00D16E3C"/>
    <w:rsid w:val="00D16F0F"/>
    <w:rsid w:val="00D16FD7"/>
    <w:rsid w:val="00D1700B"/>
    <w:rsid w:val="00D17074"/>
    <w:rsid w:val="00D170FD"/>
    <w:rsid w:val="00D17200"/>
    <w:rsid w:val="00D17281"/>
    <w:rsid w:val="00D172CD"/>
    <w:rsid w:val="00D17340"/>
    <w:rsid w:val="00D17745"/>
    <w:rsid w:val="00D178D2"/>
    <w:rsid w:val="00D1796B"/>
    <w:rsid w:val="00D17995"/>
    <w:rsid w:val="00D17A5C"/>
    <w:rsid w:val="00D17B45"/>
    <w:rsid w:val="00D17B72"/>
    <w:rsid w:val="00D17C29"/>
    <w:rsid w:val="00D17CA3"/>
    <w:rsid w:val="00D17D56"/>
    <w:rsid w:val="00D17DB0"/>
    <w:rsid w:val="00D17F20"/>
    <w:rsid w:val="00D17F95"/>
    <w:rsid w:val="00D201CD"/>
    <w:rsid w:val="00D209E5"/>
    <w:rsid w:val="00D20ACE"/>
    <w:rsid w:val="00D20BE6"/>
    <w:rsid w:val="00D20BE7"/>
    <w:rsid w:val="00D20DA0"/>
    <w:rsid w:val="00D20DC2"/>
    <w:rsid w:val="00D20F89"/>
    <w:rsid w:val="00D210BC"/>
    <w:rsid w:val="00D21160"/>
    <w:rsid w:val="00D21294"/>
    <w:rsid w:val="00D213F2"/>
    <w:rsid w:val="00D213F7"/>
    <w:rsid w:val="00D21405"/>
    <w:rsid w:val="00D21407"/>
    <w:rsid w:val="00D21429"/>
    <w:rsid w:val="00D2150D"/>
    <w:rsid w:val="00D2166D"/>
    <w:rsid w:val="00D21714"/>
    <w:rsid w:val="00D21724"/>
    <w:rsid w:val="00D218E7"/>
    <w:rsid w:val="00D2195E"/>
    <w:rsid w:val="00D21B99"/>
    <w:rsid w:val="00D2205F"/>
    <w:rsid w:val="00D22137"/>
    <w:rsid w:val="00D2234B"/>
    <w:rsid w:val="00D224BB"/>
    <w:rsid w:val="00D224E4"/>
    <w:rsid w:val="00D2253A"/>
    <w:rsid w:val="00D22546"/>
    <w:rsid w:val="00D225A4"/>
    <w:rsid w:val="00D22622"/>
    <w:rsid w:val="00D227CD"/>
    <w:rsid w:val="00D2295F"/>
    <w:rsid w:val="00D229AB"/>
    <w:rsid w:val="00D22BEA"/>
    <w:rsid w:val="00D22F2A"/>
    <w:rsid w:val="00D2334C"/>
    <w:rsid w:val="00D2348A"/>
    <w:rsid w:val="00D23499"/>
    <w:rsid w:val="00D23526"/>
    <w:rsid w:val="00D2358A"/>
    <w:rsid w:val="00D236B3"/>
    <w:rsid w:val="00D2372A"/>
    <w:rsid w:val="00D23C61"/>
    <w:rsid w:val="00D23CF5"/>
    <w:rsid w:val="00D23D85"/>
    <w:rsid w:val="00D23DD6"/>
    <w:rsid w:val="00D24030"/>
    <w:rsid w:val="00D2404C"/>
    <w:rsid w:val="00D2418A"/>
    <w:rsid w:val="00D242A1"/>
    <w:rsid w:val="00D24593"/>
    <w:rsid w:val="00D247F8"/>
    <w:rsid w:val="00D24B09"/>
    <w:rsid w:val="00D24B27"/>
    <w:rsid w:val="00D24CD7"/>
    <w:rsid w:val="00D24D18"/>
    <w:rsid w:val="00D24DFA"/>
    <w:rsid w:val="00D24E8E"/>
    <w:rsid w:val="00D24F2B"/>
    <w:rsid w:val="00D252AD"/>
    <w:rsid w:val="00D25311"/>
    <w:rsid w:val="00D253D4"/>
    <w:rsid w:val="00D253FB"/>
    <w:rsid w:val="00D254AC"/>
    <w:rsid w:val="00D255EC"/>
    <w:rsid w:val="00D2562C"/>
    <w:rsid w:val="00D2589A"/>
    <w:rsid w:val="00D25B4B"/>
    <w:rsid w:val="00D25E68"/>
    <w:rsid w:val="00D25ED8"/>
    <w:rsid w:val="00D25FAE"/>
    <w:rsid w:val="00D26150"/>
    <w:rsid w:val="00D262B2"/>
    <w:rsid w:val="00D2649F"/>
    <w:rsid w:val="00D2659F"/>
    <w:rsid w:val="00D2685F"/>
    <w:rsid w:val="00D268CC"/>
    <w:rsid w:val="00D2693C"/>
    <w:rsid w:val="00D2694D"/>
    <w:rsid w:val="00D26A1C"/>
    <w:rsid w:val="00D26A3E"/>
    <w:rsid w:val="00D26B85"/>
    <w:rsid w:val="00D26E22"/>
    <w:rsid w:val="00D26FBA"/>
    <w:rsid w:val="00D2709C"/>
    <w:rsid w:val="00D27311"/>
    <w:rsid w:val="00D273B8"/>
    <w:rsid w:val="00D2749A"/>
    <w:rsid w:val="00D274A0"/>
    <w:rsid w:val="00D27539"/>
    <w:rsid w:val="00D2759A"/>
    <w:rsid w:val="00D276AF"/>
    <w:rsid w:val="00D27707"/>
    <w:rsid w:val="00D27C35"/>
    <w:rsid w:val="00D27CE7"/>
    <w:rsid w:val="00D27D26"/>
    <w:rsid w:val="00D27EC7"/>
    <w:rsid w:val="00D27FC3"/>
    <w:rsid w:val="00D30001"/>
    <w:rsid w:val="00D30069"/>
    <w:rsid w:val="00D301B4"/>
    <w:rsid w:val="00D3020A"/>
    <w:rsid w:val="00D30266"/>
    <w:rsid w:val="00D307A1"/>
    <w:rsid w:val="00D3089B"/>
    <w:rsid w:val="00D309AF"/>
    <w:rsid w:val="00D309BD"/>
    <w:rsid w:val="00D30F18"/>
    <w:rsid w:val="00D31049"/>
    <w:rsid w:val="00D3109C"/>
    <w:rsid w:val="00D310C4"/>
    <w:rsid w:val="00D310DD"/>
    <w:rsid w:val="00D31146"/>
    <w:rsid w:val="00D3119D"/>
    <w:rsid w:val="00D312CE"/>
    <w:rsid w:val="00D312E0"/>
    <w:rsid w:val="00D314DD"/>
    <w:rsid w:val="00D3159E"/>
    <w:rsid w:val="00D316C3"/>
    <w:rsid w:val="00D31719"/>
    <w:rsid w:val="00D31748"/>
    <w:rsid w:val="00D31A1C"/>
    <w:rsid w:val="00D31A33"/>
    <w:rsid w:val="00D31BB9"/>
    <w:rsid w:val="00D31DD0"/>
    <w:rsid w:val="00D31E6D"/>
    <w:rsid w:val="00D31E92"/>
    <w:rsid w:val="00D31FB0"/>
    <w:rsid w:val="00D31FFE"/>
    <w:rsid w:val="00D32132"/>
    <w:rsid w:val="00D323A7"/>
    <w:rsid w:val="00D324F0"/>
    <w:rsid w:val="00D325CA"/>
    <w:rsid w:val="00D32611"/>
    <w:rsid w:val="00D3261E"/>
    <w:rsid w:val="00D32649"/>
    <w:rsid w:val="00D326F6"/>
    <w:rsid w:val="00D3277C"/>
    <w:rsid w:val="00D329AE"/>
    <w:rsid w:val="00D32A25"/>
    <w:rsid w:val="00D32CB6"/>
    <w:rsid w:val="00D32DE3"/>
    <w:rsid w:val="00D32EB7"/>
    <w:rsid w:val="00D32F99"/>
    <w:rsid w:val="00D3319E"/>
    <w:rsid w:val="00D33272"/>
    <w:rsid w:val="00D33372"/>
    <w:rsid w:val="00D333A5"/>
    <w:rsid w:val="00D33453"/>
    <w:rsid w:val="00D336EE"/>
    <w:rsid w:val="00D3379E"/>
    <w:rsid w:val="00D339F4"/>
    <w:rsid w:val="00D33B32"/>
    <w:rsid w:val="00D33C91"/>
    <w:rsid w:val="00D33CBB"/>
    <w:rsid w:val="00D33DD3"/>
    <w:rsid w:val="00D33E5F"/>
    <w:rsid w:val="00D33ED8"/>
    <w:rsid w:val="00D33F3B"/>
    <w:rsid w:val="00D33FB1"/>
    <w:rsid w:val="00D34138"/>
    <w:rsid w:val="00D341BC"/>
    <w:rsid w:val="00D34242"/>
    <w:rsid w:val="00D3433F"/>
    <w:rsid w:val="00D343EE"/>
    <w:rsid w:val="00D3445A"/>
    <w:rsid w:val="00D3453B"/>
    <w:rsid w:val="00D3477B"/>
    <w:rsid w:val="00D34891"/>
    <w:rsid w:val="00D3496C"/>
    <w:rsid w:val="00D3498F"/>
    <w:rsid w:val="00D349A1"/>
    <w:rsid w:val="00D34A63"/>
    <w:rsid w:val="00D35259"/>
    <w:rsid w:val="00D35518"/>
    <w:rsid w:val="00D356F6"/>
    <w:rsid w:val="00D35791"/>
    <w:rsid w:val="00D35896"/>
    <w:rsid w:val="00D3592C"/>
    <w:rsid w:val="00D3593B"/>
    <w:rsid w:val="00D35B56"/>
    <w:rsid w:val="00D35C28"/>
    <w:rsid w:val="00D35E2B"/>
    <w:rsid w:val="00D35EDE"/>
    <w:rsid w:val="00D36612"/>
    <w:rsid w:val="00D366C3"/>
    <w:rsid w:val="00D3696D"/>
    <w:rsid w:val="00D36A75"/>
    <w:rsid w:val="00D36AE5"/>
    <w:rsid w:val="00D36B40"/>
    <w:rsid w:val="00D36B6F"/>
    <w:rsid w:val="00D36D99"/>
    <w:rsid w:val="00D36DC1"/>
    <w:rsid w:val="00D36F85"/>
    <w:rsid w:val="00D370DD"/>
    <w:rsid w:val="00D370F8"/>
    <w:rsid w:val="00D373D4"/>
    <w:rsid w:val="00D37567"/>
    <w:rsid w:val="00D37791"/>
    <w:rsid w:val="00D37800"/>
    <w:rsid w:val="00D379FE"/>
    <w:rsid w:val="00D37A66"/>
    <w:rsid w:val="00D37BE8"/>
    <w:rsid w:val="00D37C93"/>
    <w:rsid w:val="00D37EFB"/>
    <w:rsid w:val="00D37F48"/>
    <w:rsid w:val="00D40006"/>
    <w:rsid w:val="00D40023"/>
    <w:rsid w:val="00D40670"/>
    <w:rsid w:val="00D406D0"/>
    <w:rsid w:val="00D40812"/>
    <w:rsid w:val="00D409D7"/>
    <w:rsid w:val="00D40C3E"/>
    <w:rsid w:val="00D40C67"/>
    <w:rsid w:val="00D40C6B"/>
    <w:rsid w:val="00D40D17"/>
    <w:rsid w:val="00D411E9"/>
    <w:rsid w:val="00D414C5"/>
    <w:rsid w:val="00D41694"/>
    <w:rsid w:val="00D41724"/>
    <w:rsid w:val="00D4172B"/>
    <w:rsid w:val="00D41798"/>
    <w:rsid w:val="00D41893"/>
    <w:rsid w:val="00D418C4"/>
    <w:rsid w:val="00D41BB7"/>
    <w:rsid w:val="00D41BC3"/>
    <w:rsid w:val="00D41D61"/>
    <w:rsid w:val="00D41D99"/>
    <w:rsid w:val="00D41E35"/>
    <w:rsid w:val="00D41EF0"/>
    <w:rsid w:val="00D41F24"/>
    <w:rsid w:val="00D42217"/>
    <w:rsid w:val="00D42262"/>
    <w:rsid w:val="00D42312"/>
    <w:rsid w:val="00D42328"/>
    <w:rsid w:val="00D4237C"/>
    <w:rsid w:val="00D423A2"/>
    <w:rsid w:val="00D423F8"/>
    <w:rsid w:val="00D42491"/>
    <w:rsid w:val="00D424A2"/>
    <w:rsid w:val="00D42503"/>
    <w:rsid w:val="00D42535"/>
    <w:rsid w:val="00D42941"/>
    <w:rsid w:val="00D42946"/>
    <w:rsid w:val="00D42BF9"/>
    <w:rsid w:val="00D42E2D"/>
    <w:rsid w:val="00D42E74"/>
    <w:rsid w:val="00D42FE8"/>
    <w:rsid w:val="00D43309"/>
    <w:rsid w:val="00D4335E"/>
    <w:rsid w:val="00D43444"/>
    <w:rsid w:val="00D43692"/>
    <w:rsid w:val="00D437CB"/>
    <w:rsid w:val="00D4392E"/>
    <w:rsid w:val="00D43A95"/>
    <w:rsid w:val="00D43AB6"/>
    <w:rsid w:val="00D43D6F"/>
    <w:rsid w:val="00D43E71"/>
    <w:rsid w:val="00D43ECE"/>
    <w:rsid w:val="00D440A5"/>
    <w:rsid w:val="00D44155"/>
    <w:rsid w:val="00D441DF"/>
    <w:rsid w:val="00D4426C"/>
    <w:rsid w:val="00D44280"/>
    <w:rsid w:val="00D44321"/>
    <w:rsid w:val="00D4436F"/>
    <w:rsid w:val="00D4437A"/>
    <w:rsid w:val="00D444AF"/>
    <w:rsid w:val="00D4454D"/>
    <w:rsid w:val="00D4457F"/>
    <w:rsid w:val="00D447AC"/>
    <w:rsid w:val="00D447D3"/>
    <w:rsid w:val="00D447F5"/>
    <w:rsid w:val="00D44827"/>
    <w:rsid w:val="00D448C3"/>
    <w:rsid w:val="00D44983"/>
    <w:rsid w:val="00D44A58"/>
    <w:rsid w:val="00D44AA1"/>
    <w:rsid w:val="00D44B20"/>
    <w:rsid w:val="00D44BB9"/>
    <w:rsid w:val="00D44C5E"/>
    <w:rsid w:val="00D44DAA"/>
    <w:rsid w:val="00D45034"/>
    <w:rsid w:val="00D4510C"/>
    <w:rsid w:val="00D4527B"/>
    <w:rsid w:val="00D45332"/>
    <w:rsid w:val="00D453E5"/>
    <w:rsid w:val="00D45469"/>
    <w:rsid w:val="00D457FB"/>
    <w:rsid w:val="00D45856"/>
    <w:rsid w:val="00D458A7"/>
    <w:rsid w:val="00D458C9"/>
    <w:rsid w:val="00D45D4D"/>
    <w:rsid w:val="00D45EDA"/>
    <w:rsid w:val="00D45F29"/>
    <w:rsid w:val="00D45F3E"/>
    <w:rsid w:val="00D45F68"/>
    <w:rsid w:val="00D45FCA"/>
    <w:rsid w:val="00D4624F"/>
    <w:rsid w:val="00D4659C"/>
    <w:rsid w:val="00D46799"/>
    <w:rsid w:val="00D46A00"/>
    <w:rsid w:val="00D46B2E"/>
    <w:rsid w:val="00D46BAB"/>
    <w:rsid w:val="00D46CE1"/>
    <w:rsid w:val="00D46ECE"/>
    <w:rsid w:val="00D46F69"/>
    <w:rsid w:val="00D47331"/>
    <w:rsid w:val="00D47372"/>
    <w:rsid w:val="00D4744E"/>
    <w:rsid w:val="00D474C6"/>
    <w:rsid w:val="00D4750F"/>
    <w:rsid w:val="00D47577"/>
    <w:rsid w:val="00D475DF"/>
    <w:rsid w:val="00D477C9"/>
    <w:rsid w:val="00D479A1"/>
    <w:rsid w:val="00D47AFB"/>
    <w:rsid w:val="00D47CDA"/>
    <w:rsid w:val="00D47D28"/>
    <w:rsid w:val="00D47E7B"/>
    <w:rsid w:val="00D5008A"/>
    <w:rsid w:val="00D50182"/>
    <w:rsid w:val="00D50265"/>
    <w:rsid w:val="00D50330"/>
    <w:rsid w:val="00D50675"/>
    <w:rsid w:val="00D50908"/>
    <w:rsid w:val="00D50927"/>
    <w:rsid w:val="00D50ACD"/>
    <w:rsid w:val="00D50B5E"/>
    <w:rsid w:val="00D50EBA"/>
    <w:rsid w:val="00D50F3B"/>
    <w:rsid w:val="00D50FD9"/>
    <w:rsid w:val="00D5123A"/>
    <w:rsid w:val="00D51656"/>
    <w:rsid w:val="00D51703"/>
    <w:rsid w:val="00D51BC8"/>
    <w:rsid w:val="00D51C99"/>
    <w:rsid w:val="00D51E52"/>
    <w:rsid w:val="00D51E78"/>
    <w:rsid w:val="00D51FE3"/>
    <w:rsid w:val="00D52086"/>
    <w:rsid w:val="00D52114"/>
    <w:rsid w:val="00D52164"/>
    <w:rsid w:val="00D52178"/>
    <w:rsid w:val="00D52340"/>
    <w:rsid w:val="00D5238F"/>
    <w:rsid w:val="00D52430"/>
    <w:rsid w:val="00D5255F"/>
    <w:rsid w:val="00D5261F"/>
    <w:rsid w:val="00D5277B"/>
    <w:rsid w:val="00D527F0"/>
    <w:rsid w:val="00D5286D"/>
    <w:rsid w:val="00D52941"/>
    <w:rsid w:val="00D529A5"/>
    <w:rsid w:val="00D52A54"/>
    <w:rsid w:val="00D52C6A"/>
    <w:rsid w:val="00D52D1D"/>
    <w:rsid w:val="00D52DED"/>
    <w:rsid w:val="00D52EC0"/>
    <w:rsid w:val="00D52F53"/>
    <w:rsid w:val="00D52FE8"/>
    <w:rsid w:val="00D53055"/>
    <w:rsid w:val="00D531CD"/>
    <w:rsid w:val="00D534D0"/>
    <w:rsid w:val="00D53605"/>
    <w:rsid w:val="00D53619"/>
    <w:rsid w:val="00D53874"/>
    <w:rsid w:val="00D5395C"/>
    <w:rsid w:val="00D53B65"/>
    <w:rsid w:val="00D53C63"/>
    <w:rsid w:val="00D53DD9"/>
    <w:rsid w:val="00D53EFC"/>
    <w:rsid w:val="00D53F6A"/>
    <w:rsid w:val="00D5446A"/>
    <w:rsid w:val="00D54810"/>
    <w:rsid w:val="00D5484B"/>
    <w:rsid w:val="00D549CC"/>
    <w:rsid w:val="00D54A4E"/>
    <w:rsid w:val="00D54A98"/>
    <w:rsid w:val="00D54C36"/>
    <w:rsid w:val="00D54C4D"/>
    <w:rsid w:val="00D54CAE"/>
    <w:rsid w:val="00D54CE8"/>
    <w:rsid w:val="00D54F5C"/>
    <w:rsid w:val="00D54F85"/>
    <w:rsid w:val="00D55157"/>
    <w:rsid w:val="00D55266"/>
    <w:rsid w:val="00D55273"/>
    <w:rsid w:val="00D552B0"/>
    <w:rsid w:val="00D55445"/>
    <w:rsid w:val="00D55479"/>
    <w:rsid w:val="00D554FE"/>
    <w:rsid w:val="00D557B5"/>
    <w:rsid w:val="00D557CB"/>
    <w:rsid w:val="00D5584B"/>
    <w:rsid w:val="00D558D5"/>
    <w:rsid w:val="00D5593F"/>
    <w:rsid w:val="00D55BD8"/>
    <w:rsid w:val="00D55ED7"/>
    <w:rsid w:val="00D55EF2"/>
    <w:rsid w:val="00D55F03"/>
    <w:rsid w:val="00D5603E"/>
    <w:rsid w:val="00D56349"/>
    <w:rsid w:val="00D56429"/>
    <w:rsid w:val="00D564B0"/>
    <w:rsid w:val="00D5663C"/>
    <w:rsid w:val="00D5687B"/>
    <w:rsid w:val="00D569D1"/>
    <w:rsid w:val="00D56A08"/>
    <w:rsid w:val="00D56A6D"/>
    <w:rsid w:val="00D56D71"/>
    <w:rsid w:val="00D56F46"/>
    <w:rsid w:val="00D5700A"/>
    <w:rsid w:val="00D5717E"/>
    <w:rsid w:val="00D5750F"/>
    <w:rsid w:val="00D576E6"/>
    <w:rsid w:val="00D577A2"/>
    <w:rsid w:val="00D577E8"/>
    <w:rsid w:val="00D57A95"/>
    <w:rsid w:val="00D57B2F"/>
    <w:rsid w:val="00D57B78"/>
    <w:rsid w:val="00D57C4C"/>
    <w:rsid w:val="00D57D91"/>
    <w:rsid w:val="00D57F9D"/>
    <w:rsid w:val="00D6011C"/>
    <w:rsid w:val="00D60190"/>
    <w:rsid w:val="00D601C5"/>
    <w:rsid w:val="00D6038E"/>
    <w:rsid w:val="00D603D1"/>
    <w:rsid w:val="00D604D9"/>
    <w:rsid w:val="00D60637"/>
    <w:rsid w:val="00D606AF"/>
    <w:rsid w:val="00D60784"/>
    <w:rsid w:val="00D607BF"/>
    <w:rsid w:val="00D60A31"/>
    <w:rsid w:val="00D60A93"/>
    <w:rsid w:val="00D60AA4"/>
    <w:rsid w:val="00D60B47"/>
    <w:rsid w:val="00D60CA4"/>
    <w:rsid w:val="00D60E4B"/>
    <w:rsid w:val="00D60E7D"/>
    <w:rsid w:val="00D60EF5"/>
    <w:rsid w:val="00D6123A"/>
    <w:rsid w:val="00D6124E"/>
    <w:rsid w:val="00D6128F"/>
    <w:rsid w:val="00D612DC"/>
    <w:rsid w:val="00D613B6"/>
    <w:rsid w:val="00D613E7"/>
    <w:rsid w:val="00D614CB"/>
    <w:rsid w:val="00D614FE"/>
    <w:rsid w:val="00D615E6"/>
    <w:rsid w:val="00D61646"/>
    <w:rsid w:val="00D619CC"/>
    <w:rsid w:val="00D61A99"/>
    <w:rsid w:val="00D61B1A"/>
    <w:rsid w:val="00D61BDF"/>
    <w:rsid w:val="00D61D51"/>
    <w:rsid w:val="00D61D9A"/>
    <w:rsid w:val="00D61E6C"/>
    <w:rsid w:val="00D61FA7"/>
    <w:rsid w:val="00D6224F"/>
    <w:rsid w:val="00D622C6"/>
    <w:rsid w:val="00D62482"/>
    <w:rsid w:val="00D62498"/>
    <w:rsid w:val="00D62518"/>
    <w:rsid w:val="00D62819"/>
    <w:rsid w:val="00D6291B"/>
    <w:rsid w:val="00D6296D"/>
    <w:rsid w:val="00D62A8B"/>
    <w:rsid w:val="00D62AFB"/>
    <w:rsid w:val="00D62B29"/>
    <w:rsid w:val="00D62B37"/>
    <w:rsid w:val="00D62B83"/>
    <w:rsid w:val="00D62BF7"/>
    <w:rsid w:val="00D62D2F"/>
    <w:rsid w:val="00D62D37"/>
    <w:rsid w:val="00D62E12"/>
    <w:rsid w:val="00D63119"/>
    <w:rsid w:val="00D632D0"/>
    <w:rsid w:val="00D63670"/>
    <w:rsid w:val="00D63946"/>
    <w:rsid w:val="00D639AE"/>
    <w:rsid w:val="00D63AB5"/>
    <w:rsid w:val="00D63C0B"/>
    <w:rsid w:val="00D63D00"/>
    <w:rsid w:val="00D63D52"/>
    <w:rsid w:val="00D63D5A"/>
    <w:rsid w:val="00D63EC5"/>
    <w:rsid w:val="00D640A1"/>
    <w:rsid w:val="00D64363"/>
    <w:rsid w:val="00D64531"/>
    <w:rsid w:val="00D6458A"/>
    <w:rsid w:val="00D64659"/>
    <w:rsid w:val="00D64706"/>
    <w:rsid w:val="00D64725"/>
    <w:rsid w:val="00D6475A"/>
    <w:rsid w:val="00D647EC"/>
    <w:rsid w:val="00D64907"/>
    <w:rsid w:val="00D64A39"/>
    <w:rsid w:val="00D64A9E"/>
    <w:rsid w:val="00D64BBB"/>
    <w:rsid w:val="00D64C65"/>
    <w:rsid w:val="00D64E15"/>
    <w:rsid w:val="00D64EF5"/>
    <w:rsid w:val="00D65053"/>
    <w:rsid w:val="00D6511F"/>
    <w:rsid w:val="00D6526B"/>
    <w:rsid w:val="00D652A0"/>
    <w:rsid w:val="00D65484"/>
    <w:rsid w:val="00D65673"/>
    <w:rsid w:val="00D6595C"/>
    <w:rsid w:val="00D65BF6"/>
    <w:rsid w:val="00D65E51"/>
    <w:rsid w:val="00D65EE5"/>
    <w:rsid w:val="00D65FCC"/>
    <w:rsid w:val="00D6622A"/>
    <w:rsid w:val="00D663B6"/>
    <w:rsid w:val="00D664D1"/>
    <w:rsid w:val="00D66534"/>
    <w:rsid w:val="00D666D1"/>
    <w:rsid w:val="00D6677C"/>
    <w:rsid w:val="00D66797"/>
    <w:rsid w:val="00D667D6"/>
    <w:rsid w:val="00D66874"/>
    <w:rsid w:val="00D66B47"/>
    <w:rsid w:val="00D66C57"/>
    <w:rsid w:val="00D66CB6"/>
    <w:rsid w:val="00D66E7C"/>
    <w:rsid w:val="00D67031"/>
    <w:rsid w:val="00D670CD"/>
    <w:rsid w:val="00D67265"/>
    <w:rsid w:val="00D67336"/>
    <w:rsid w:val="00D67474"/>
    <w:rsid w:val="00D6749A"/>
    <w:rsid w:val="00D67501"/>
    <w:rsid w:val="00D6750F"/>
    <w:rsid w:val="00D67776"/>
    <w:rsid w:val="00D67779"/>
    <w:rsid w:val="00D677CC"/>
    <w:rsid w:val="00D677D9"/>
    <w:rsid w:val="00D67991"/>
    <w:rsid w:val="00D67A01"/>
    <w:rsid w:val="00D67AD7"/>
    <w:rsid w:val="00D67B54"/>
    <w:rsid w:val="00D67B95"/>
    <w:rsid w:val="00D67C41"/>
    <w:rsid w:val="00D67CA3"/>
    <w:rsid w:val="00D67CDD"/>
    <w:rsid w:val="00D67EA5"/>
    <w:rsid w:val="00D67EAE"/>
    <w:rsid w:val="00D67ED1"/>
    <w:rsid w:val="00D67FE1"/>
    <w:rsid w:val="00D70114"/>
    <w:rsid w:val="00D7013B"/>
    <w:rsid w:val="00D70183"/>
    <w:rsid w:val="00D70260"/>
    <w:rsid w:val="00D702DD"/>
    <w:rsid w:val="00D70427"/>
    <w:rsid w:val="00D70551"/>
    <w:rsid w:val="00D70764"/>
    <w:rsid w:val="00D70A0C"/>
    <w:rsid w:val="00D70B03"/>
    <w:rsid w:val="00D70C41"/>
    <w:rsid w:val="00D70E10"/>
    <w:rsid w:val="00D70EEE"/>
    <w:rsid w:val="00D710B6"/>
    <w:rsid w:val="00D711DC"/>
    <w:rsid w:val="00D712E6"/>
    <w:rsid w:val="00D7142B"/>
    <w:rsid w:val="00D71505"/>
    <w:rsid w:val="00D71656"/>
    <w:rsid w:val="00D716D4"/>
    <w:rsid w:val="00D717E6"/>
    <w:rsid w:val="00D718B1"/>
    <w:rsid w:val="00D71B65"/>
    <w:rsid w:val="00D71DDE"/>
    <w:rsid w:val="00D71E0D"/>
    <w:rsid w:val="00D71E21"/>
    <w:rsid w:val="00D71ED6"/>
    <w:rsid w:val="00D72108"/>
    <w:rsid w:val="00D72221"/>
    <w:rsid w:val="00D722E7"/>
    <w:rsid w:val="00D7237A"/>
    <w:rsid w:val="00D723B0"/>
    <w:rsid w:val="00D723C4"/>
    <w:rsid w:val="00D72481"/>
    <w:rsid w:val="00D72489"/>
    <w:rsid w:val="00D72748"/>
    <w:rsid w:val="00D72781"/>
    <w:rsid w:val="00D72957"/>
    <w:rsid w:val="00D729F8"/>
    <w:rsid w:val="00D72A6E"/>
    <w:rsid w:val="00D72BC7"/>
    <w:rsid w:val="00D72BD6"/>
    <w:rsid w:val="00D72D00"/>
    <w:rsid w:val="00D72DB3"/>
    <w:rsid w:val="00D72DDE"/>
    <w:rsid w:val="00D72DFF"/>
    <w:rsid w:val="00D7307B"/>
    <w:rsid w:val="00D730CD"/>
    <w:rsid w:val="00D7311A"/>
    <w:rsid w:val="00D7314E"/>
    <w:rsid w:val="00D7318A"/>
    <w:rsid w:val="00D7318D"/>
    <w:rsid w:val="00D731A4"/>
    <w:rsid w:val="00D731B4"/>
    <w:rsid w:val="00D731CA"/>
    <w:rsid w:val="00D7321A"/>
    <w:rsid w:val="00D73768"/>
    <w:rsid w:val="00D7388D"/>
    <w:rsid w:val="00D738F7"/>
    <w:rsid w:val="00D739AD"/>
    <w:rsid w:val="00D73A90"/>
    <w:rsid w:val="00D73D82"/>
    <w:rsid w:val="00D73DA4"/>
    <w:rsid w:val="00D73E67"/>
    <w:rsid w:val="00D73ECD"/>
    <w:rsid w:val="00D73F40"/>
    <w:rsid w:val="00D74002"/>
    <w:rsid w:val="00D74038"/>
    <w:rsid w:val="00D74050"/>
    <w:rsid w:val="00D7412F"/>
    <w:rsid w:val="00D74194"/>
    <w:rsid w:val="00D74252"/>
    <w:rsid w:val="00D7456B"/>
    <w:rsid w:val="00D745A4"/>
    <w:rsid w:val="00D74725"/>
    <w:rsid w:val="00D74795"/>
    <w:rsid w:val="00D747FE"/>
    <w:rsid w:val="00D74803"/>
    <w:rsid w:val="00D74863"/>
    <w:rsid w:val="00D7486E"/>
    <w:rsid w:val="00D74878"/>
    <w:rsid w:val="00D74946"/>
    <w:rsid w:val="00D749EA"/>
    <w:rsid w:val="00D749EC"/>
    <w:rsid w:val="00D74B4E"/>
    <w:rsid w:val="00D74BD0"/>
    <w:rsid w:val="00D74C6A"/>
    <w:rsid w:val="00D74CA9"/>
    <w:rsid w:val="00D75060"/>
    <w:rsid w:val="00D750BB"/>
    <w:rsid w:val="00D7522D"/>
    <w:rsid w:val="00D7533B"/>
    <w:rsid w:val="00D75377"/>
    <w:rsid w:val="00D7556A"/>
    <w:rsid w:val="00D7558C"/>
    <w:rsid w:val="00D7559A"/>
    <w:rsid w:val="00D755E7"/>
    <w:rsid w:val="00D756C3"/>
    <w:rsid w:val="00D756F7"/>
    <w:rsid w:val="00D757E9"/>
    <w:rsid w:val="00D758B2"/>
    <w:rsid w:val="00D75B3B"/>
    <w:rsid w:val="00D75B5D"/>
    <w:rsid w:val="00D75C02"/>
    <w:rsid w:val="00D75DAD"/>
    <w:rsid w:val="00D75ED5"/>
    <w:rsid w:val="00D75F97"/>
    <w:rsid w:val="00D760DC"/>
    <w:rsid w:val="00D7618B"/>
    <w:rsid w:val="00D762F3"/>
    <w:rsid w:val="00D7637F"/>
    <w:rsid w:val="00D764A5"/>
    <w:rsid w:val="00D76515"/>
    <w:rsid w:val="00D76522"/>
    <w:rsid w:val="00D76686"/>
    <w:rsid w:val="00D76A47"/>
    <w:rsid w:val="00D76B3F"/>
    <w:rsid w:val="00D76B42"/>
    <w:rsid w:val="00D76C43"/>
    <w:rsid w:val="00D76CB2"/>
    <w:rsid w:val="00D76DB1"/>
    <w:rsid w:val="00D76EF0"/>
    <w:rsid w:val="00D76F4D"/>
    <w:rsid w:val="00D76F67"/>
    <w:rsid w:val="00D770BF"/>
    <w:rsid w:val="00D773A5"/>
    <w:rsid w:val="00D773AD"/>
    <w:rsid w:val="00D777A5"/>
    <w:rsid w:val="00D777BE"/>
    <w:rsid w:val="00D77892"/>
    <w:rsid w:val="00D7793E"/>
    <w:rsid w:val="00D77A02"/>
    <w:rsid w:val="00D77B5E"/>
    <w:rsid w:val="00D77B90"/>
    <w:rsid w:val="00D77CA2"/>
    <w:rsid w:val="00D77CA7"/>
    <w:rsid w:val="00D77D38"/>
    <w:rsid w:val="00D802B2"/>
    <w:rsid w:val="00D80388"/>
    <w:rsid w:val="00D80431"/>
    <w:rsid w:val="00D80651"/>
    <w:rsid w:val="00D80699"/>
    <w:rsid w:val="00D8086C"/>
    <w:rsid w:val="00D808CE"/>
    <w:rsid w:val="00D80A8D"/>
    <w:rsid w:val="00D80B8A"/>
    <w:rsid w:val="00D80E63"/>
    <w:rsid w:val="00D80F06"/>
    <w:rsid w:val="00D81160"/>
    <w:rsid w:val="00D811DC"/>
    <w:rsid w:val="00D8128D"/>
    <w:rsid w:val="00D813B4"/>
    <w:rsid w:val="00D81655"/>
    <w:rsid w:val="00D81762"/>
    <w:rsid w:val="00D817C5"/>
    <w:rsid w:val="00D81A50"/>
    <w:rsid w:val="00D81B31"/>
    <w:rsid w:val="00D81B9A"/>
    <w:rsid w:val="00D81D1E"/>
    <w:rsid w:val="00D81FFE"/>
    <w:rsid w:val="00D82135"/>
    <w:rsid w:val="00D821A6"/>
    <w:rsid w:val="00D822BB"/>
    <w:rsid w:val="00D82725"/>
    <w:rsid w:val="00D82962"/>
    <w:rsid w:val="00D829A7"/>
    <w:rsid w:val="00D82A01"/>
    <w:rsid w:val="00D82C49"/>
    <w:rsid w:val="00D82C9B"/>
    <w:rsid w:val="00D82CB7"/>
    <w:rsid w:val="00D82D40"/>
    <w:rsid w:val="00D82D76"/>
    <w:rsid w:val="00D82DDB"/>
    <w:rsid w:val="00D83155"/>
    <w:rsid w:val="00D83164"/>
    <w:rsid w:val="00D83353"/>
    <w:rsid w:val="00D8338A"/>
    <w:rsid w:val="00D83477"/>
    <w:rsid w:val="00D83495"/>
    <w:rsid w:val="00D83694"/>
    <w:rsid w:val="00D836D6"/>
    <w:rsid w:val="00D8370B"/>
    <w:rsid w:val="00D83956"/>
    <w:rsid w:val="00D83B4B"/>
    <w:rsid w:val="00D83B8C"/>
    <w:rsid w:val="00D83CF1"/>
    <w:rsid w:val="00D8402E"/>
    <w:rsid w:val="00D84072"/>
    <w:rsid w:val="00D840AF"/>
    <w:rsid w:val="00D841D7"/>
    <w:rsid w:val="00D842CF"/>
    <w:rsid w:val="00D843A1"/>
    <w:rsid w:val="00D8465D"/>
    <w:rsid w:val="00D8471F"/>
    <w:rsid w:val="00D84949"/>
    <w:rsid w:val="00D8495E"/>
    <w:rsid w:val="00D84A79"/>
    <w:rsid w:val="00D84B56"/>
    <w:rsid w:val="00D84BE4"/>
    <w:rsid w:val="00D84C1D"/>
    <w:rsid w:val="00D84D05"/>
    <w:rsid w:val="00D84D11"/>
    <w:rsid w:val="00D853B0"/>
    <w:rsid w:val="00D8549E"/>
    <w:rsid w:val="00D856AF"/>
    <w:rsid w:val="00D85A6F"/>
    <w:rsid w:val="00D85CD7"/>
    <w:rsid w:val="00D85D0D"/>
    <w:rsid w:val="00D85F83"/>
    <w:rsid w:val="00D86118"/>
    <w:rsid w:val="00D862B4"/>
    <w:rsid w:val="00D86398"/>
    <w:rsid w:val="00D863C9"/>
    <w:rsid w:val="00D86533"/>
    <w:rsid w:val="00D8667C"/>
    <w:rsid w:val="00D867C4"/>
    <w:rsid w:val="00D86891"/>
    <w:rsid w:val="00D86A9A"/>
    <w:rsid w:val="00D86BAB"/>
    <w:rsid w:val="00D86CAF"/>
    <w:rsid w:val="00D86E87"/>
    <w:rsid w:val="00D86F02"/>
    <w:rsid w:val="00D86F22"/>
    <w:rsid w:val="00D87022"/>
    <w:rsid w:val="00D870D2"/>
    <w:rsid w:val="00D87215"/>
    <w:rsid w:val="00D872DD"/>
    <w:rsid w:val="00D87498"/>
    <w:rsid w:val="00D874D2"/>
    <w:rsid w:val="00D874EC"/>
    <w:rsid w:val="00D87517"/>
    <w:rsid w:val="00D87539"/>
    <w:rsid w:val="00D87672"/>
    <w:rsid w:val="00D87696"/>
    <w:rsid w:val="00D87798"/>
    <w:rsid w:val="00D87BEA"/>
    <w:rsid w:val="00D87C7D"/>
    <w:rsid w:val="00D87D0B"/>
    <w:rsid w:val="00D87D19"/>
    <w:rsid w:val="00D90425"/>
    <w:rsid w:val="00D9047D"/>
    <w:rsid w:val="00D907E9"/>
    <w:rsid w:val="00D9086B"/>
    <w:rsid w:val="00D909CC"/>
    <w:rsid w:val="00D90A18"/>
    <w:rsid w:val="00D90C84"/>
    <w:rsid w:val="00D90CE6"/>
    <w:rsid w:val="00D9123C"/>
    <w:rsid w:val="00D9130C"/>
    <w:rsid w:val="00D91357"/>
    <w:rsid w:val="00D91422"/>
    <w:rsid w:val="00D9149F"/>
    <w:rsid w:val="00D91722"/>
    <w:rsid w:val="00D917C3"/>
    <w:rsid w:val="00D918E1"/>
    <w:rsid w:val="00D91908"/>
    <w:rsid w:val="00D919E1"/>
    <w:rsid w:val="00D91ADD"/>
    <w:rsid w:val="00D91B1A"/>
    <w:rsid w:val="00D91BD3"/>
    <w:rsid w:val="00D91C05"/>
    <w:rsid w:val="00D91C17"/>
    <w:rsid w:val="00D91C24"/>
    <w:rsid w:val="00D91C84"/>
    <w:rsid w:val="00D91CAE"/>
    <w:rsid w:val="00D91CC4"/>
    <w:rsid w:val="00D91CDC"/>
    <w:rsid w:val="00D91CE7"/>
    <w:rsid w:val="00D91CF7"/>
    <w:rsid w:val="00D91D33"/>
    <w:rsid w:val="00D91D5A"/>
    <w:rsid w:val="00D91F05"/>
    <w:rsid w:val="00D91FC2"/>
    <w:rsid w:val="00D92115"/>
    <w:rsid w:val="00D923A3"/>
    <w:rsid w:val="00D92452"/>
    <w:rsid w:val="00D92583"/>
    <w:rsid w:val="00D9260D"/>
    <w:rsid w:val="00D927AA"/>
    <w:rsid w:val="00D92B31"/>
    <w:rsid w:val="00D92D7C"/>
    <w:rsid w:val="00D92EB1"/>
    <w:rsid w:val="00D93081"/>
    <w:rsid w:val="00D9329B"/>
    <w:rsid w:val="00D932C2"/>
    <w:rsid w:val="00D93413"/>
    <w:rsid w:val="00D9352B"/>
    <w:rsid w:val="00D9357D"/>
    <w:rsid w:val="00D937FA"/>
    <w:rsid w:val="00D9394F"/>
    <w:rsid w:val="00D93A4E"/>
    <w:rsid w:val="00D93AFD"/>
    <w:rsid w:val="00D93B15"/>
    <w:rsid w:val="00D93BC9"/>
    <w:rsid w:val="00D93C26"/>
    <w:rsid w:val="00D93D84"/>
    <w:rsid w:val="00D94227"/>
    <w:rsid w:val="00D942EB"/>
    <w:rsid w:val="00D9462E"/>
    <w:rsid w:val="00D9480B"/>
    <w:rsid w:val="00D94AEA"/>
    <w:rsid w:val="00D94C7D"/>
    <w:rsid w:val="00D94C86"/>
    <w:rsid w:val="00D94F12"/>
    <w:rsid w:val="00D95138"/>
    <w:rsid w:val="00D95198"/>
    <w:rsid w:val="00D951EB"/>
    <w:rsid w:val="00D95245"/>
    <w:rsid w:val="00D95255"/>
    <w:rsid w:val="00D9544E"/>
    <w:rsid w:val="00D9548B"/>
    <w:rsid w:val="00D955E5"/>
    <w:rsid w:val="00D956DE"/>
    <w:rsid w:val="00D957C6"/>
    <w:rsid w:val="00D9582E"/>
    <w:rsid w:val="00D95940"/>
    <w:rsid w:val="00D95987"/>
    <w:rsid w:val="00D959A9"/>
    <w:rsid w:val="00D95B71"/>
    <w:rsid w:val="00D95C50"/>
    <w:rsid w:val="00D95D9E"/>
    <w:rsid w:val="00D95DB4"/>
    <w:rsid w:val="00D960D8"/>
    <w:rsid w:val="00D9623C"/>
    <w:rsid w:val="00D966B4"/>
    <w:rsid w:val="00D9688F"/>
    <w:rsid w:val="00D968AB"/>
    <w:rsid w:val="00D96905"/>
    <w:rsid w:val="00D96A64"/>
    <w:rsid w:val="00D96BFC"/>
    <w:rsid w:val="00D96CC6"/>
    <w:rsid w:val="00D96D9B"/>
    <w:rsid w:val="00D96FC5"/>
    <w:rsid w:val="00D97161"/>
    <w:rsid w:val="00D97375"/>
    <w:rsid w:val="00D97483"/>
    <w:rsid w:val="00D9755A"/>
    <w:rsid w:val="00D97589"/>
    <w:rsid w:val="00D975A7"/>
    <w:rsid w:val="00D976CF"/>
    <w:rsid w:val="00D97832"/>
    <w:rsid w:val="00D97896"/>
    <w:rsid w:val="00D97933"/>
    <w:rsid w:val="00D97A14"/>
    <w:rsid w:val="00D97C64"/>
    <w:rsid w:val="00D97CF1"/>
    <w:rsid w:val="00D97D24"/>
    <w:rsid w:val="00D97DA6"/>
    <w:rsid w:val="00D97FD1"/>
    <w:rsid w:val="00DA0256"/>
    <w:rsid w:val="00DA027A"/>
    <w:rsid w:val="00DA0405"/>
    <w:rsid w:val="00DA0484"/>
    <w:rsid w:val="00DA06A9"/>
    <w:rsid w:val="00DA0763"/>
    <w:rsid w:val="00DA09E8"/>
    <w:rsid w:val="00DA0C63"/>
    <w:rsid w:val="00DA10BA"/>
    <w:rsid w:val="00DA10FE"/>
    <w:rsid w:val="00DA1449"/>
    <w:rsid w:val="00DA147F"/>
    <w:rsid w:val="00DA159D"/>
    <w:rsid w:val="00DA1645"/>
    <w:rsid w:val="00DA168E"/>
    <w:rsid w:val="00DA16D7"/>
    <w:rsid w:val="00DA1793"/>
    <w:rsid w:val="00DA1A33"/>
    <w:rsid w:val="00DA1B34"/>
    <w:rsid w:val="00DA1BF0"/>
    <w:rsid w:val="00DA1CC2"/>
    <w:rsid w:val="00DA1D2C"/>
    <w:rsid w:val="00DA1D70"/>
    <w:rsid w:val="00DA1E85"/>
    <w:rsid w:val="00DA1FC6"/>
    <w:rsid w:val="00DA2131"/>
    <w:rsid w:val="00DA2158"/>
    <w:rsid w:val="00DA2235"/>
    <w:rsid w:val="00DA23E4"/>
    <w:rsid w:val="00DA246C"/>
    <w:rsid w:val="00DA2473"/>
    <w:rsid w:val="00DA24DD"/>
    <w:rsid w:val="00DA26C3"/>
    <w:rsid w:val="00DA26CD"/>
    <w:rsid w:val="00DA2921"/>
    <w:rsid w:val="00DA29D2"/>
    <w:rsid w:val="00DA29E8"/>
    <w:rsid w:val="00DA2A7B"/>
    <w:rsid w:val="00DA2C11"/>
    <w:rsid w:val="00DA2ED7"/>
    <w:rsid w:val="00DA2F8E"/>
    <w:rsid w:val="00DA2FA1"/>
    <w:rsid w:val="00DA3032"/>
    <w:rsid w:val="00DA3219"/>
    <w:rsid w:val="00DA342E"/>
    <w:rsid w:val="00DA344E"/>
    <w:rsid w:val="00DA352F"/>
    <w:rsid w:val="00DA353F"/>
    <w:rsid w:val="00DA3564"/>
    <w:rsid w:val="00DA35ED"/>
    <w:rsid w:val="00DA3DB4"/>
    <w:rsid w:val="00DA3E4A"/>
    <w:rsid w:val="00DA41B8"/>
    <w:rsid w:val="00DA4268"/>
    <w:rsid w:val="00DA42DF"/>
    <w:rsid w:val="00DA446E"/>
    <w:rsid w:val="00DA471F"/>
    <w:rsid w:val="00DA4A78"/>
    <w:rsid w:val="00DA4B55"/>
    <w:rsid w:val="00DA4C1B"/>
    <w:rsid w:val="00DA4EA3"/>
    <w:rsid w:val="00DA4F78"/>
    <w:rsid w:val="00DA50EC"/>
    <w:rsid w:val="00DA51AB"/>
    <w:rsid w:val="00DA51CA"/>
    <w:rsid w:val="00DA52D2"/>
    <w:rsid w:val="00DA5336"/>
    <w:rsid w:val="00DA5398"/>
    <w:rsid w:val="00DA53E0"/>
    <w:rsid w:val="00DA54F7"/>
    <w:rsid w:val="00DA5509"/>
    <w:rsid w:val="00DA5727"/>
    <w:rsid w:val="00DA57D1"/>
    <w:rsid w:val="00DA5843"/>
    <w:rsid w:val="00DA584E"/>
    <w:rsid w:val="00DA5853"/>
    <w:rsid w:val="00DA58BB"/>
    <w:rsid w:val="00DA59D3"/>
    <w:rsid w:val="00DA5A91"/>
    <w:rsid w:val="00DA5AAC"/>
    <w:rsid w:val="00DA5ABC"/>
    <w:rsid w:val="00DA5CAE"/>
    <w:rsid w:val="00DA5FBB"/>
    <w:rsid w:val="00DA5FE1"/>
    <w:rsid w:val="00DA5FFE"/>
    <w:rsid w:val="00DA60A7"/>
    <w:rsid w:val="00DA6177"/>
    <w:rsid w:val="00DA631B"/>
    <w:rsid w:val="00DA6367"/>
    <w:rsid w:val="00DA63FA"/>
    <w:rsid w:val="00DA641A"/>
    <w:rsid w:val="00DA64C1"/>
    <w:rsid w:val="00DA651B"/>
    <w:rsid w:val="00DA6786"/>
    <w:rsid w:val="00DA694E"/>
    <w:rsid w:val="00DA6A21"/>
    <w:rsid w:val="00DA6BED"/>
    <w:rsid w:val="00DA6BFD"/>
    <w:rsid w:val="00DA6ECE"/>
    <w:rsid w:val="00DA6EDA"/>
    <w:rsid w:val="00DA6F48"/>
    <w:rsid w:val="00DA7325"/>
    <w:rsid w:val="00DA7429"/>
    <w:rsid w:val="00DA767F"/>
    <w:rsid w:val="00DA7772"/>
    <w:rsid w:val="00DA798F"/>
    <w:rsid w:val="00DA7F2C"/>
    <w:rsid w:val="00DB00CD"/>
    <w:rsid w:val="00DB01B3"/>
    <w:rsid w:val="00DB01F6"/>
    <w:rsid w:val="00DB01FB"/>
    <w:rsid w:val="00DB028E"/>
    <w:rsid w:val="00DB0519"/>
    <w:rsid w:val="00DB058C"/>
    <w:rsid w:val="00DB071D"/>
    <w:rsid w:val="00DB09B5"/>
    <w:rsid w:val="00DB0A05"/>
    <w:rsid w:val="00DB0AA4"/>
    <w:rsid w:val="00DB0AF7"/>
    <w:rsid w:val="00DB0CE7"/>
    <w:rsid w:val="00DB0D74"/>
    <w:rsid w:val="00DB0EA6"/>
    <w:rsid w:val="00DB0F5F"/>
    <w:rsid w:val="00DB0F93"/>
    <w:rsid w:val="00DB12C8"/>
    <w:rsid w:val="00DB1396"/>
    <w:rsid w:val="00DB1428"/>
    <w:rsid w:val="00DB189B"/>
    <w:rsid w:val="00DB18E0"/>
    <w:rsid w:val="00DB1AD3"/>
    <w:rsid w:val="00DB1B51"/>
    <w:rsid w:val="00DB1D55"/>
    <w:rsid w:val="00DB1D80"/>
    <w:rsid w:val="00DB1FE0"/>
    <w:rsid w:val="00DB2162"/>
    <w:rsid w:val="00DB2278"/>
    <w:rsid w:val="00DB2330"/>
    <w:rsid w:val="00DB2353"/>
    <w:rsid w:val="00DB241E"/>
    <w:rsid w:val="00DB2487"/>
    <w:rsid w:val="00DB266B"/>
    <w:rsid w:val="00DB26DE"/>
    <w:rsid w:val="00DB28A9"/>
    <w:rsid w:val="00DB28F7"/>
    <w:rsid w:val="00DB2949"/>
    <w:rsid w:val="00DB2959"/>
    <w:rsid w:val="00DB296A"/>
    <w:rsid w:val="00DB2AA9"/>
    <w:rsid w:val="00DB2B33"/>
    <w:rsid w:val="00DB2C45"/>
    <w:rsid w:val="00DB2D51"/>
    <w:rsid w:val="00DB2D53"/>
    <w:rsid w:val="00DB3252"/>
    <w:rsid w:val="00DB32AD"/>
    <w:rsid w:val="00DB33E9"/>
    <w:rsid w:val="00DB35E2"/>
    <w:rsid w:val="00DB3738"/>
    <w:rsid w:val="00DB386F"/>
    <w:rsid w:val="00DB3951"/>
    <w:rsid w:val="00DB3B8D"/>
    <w:rsid w:val="00DB3BD9"/>
    <w:rsid w:val="00DB3C96"/>
    <w:rsid w:val="00DB406E"/>
    <w:rsid w:val="00DB409B"/>
    <w:rsid w:val="00DB412A"/>
    <w:rsid w:val="00DB4249"/>
    <w:rsid w:val="00DB4267"/>
    <w:rsid w:val="00DB45DE"/>
    <w:rsid w:val="00DB45FD"/>
    <w:rsid w:val="00DB4611"/>
    <w:rsid w:val="00DB4620"/>
    <w:rsid w:val="00DB46F4"/>
    <w:rsid w:val="00DB480A"/>
    <w:rsid w:val="00DB498B"/>
    <w:rsid w:val="00DB4A1A"/>
    <w:rsid w:val="00DB4A20"/>
    <w:rsid w:val="00DB4CB1"/>
    <w:rsid w:val="00DB4E5C"/>
    <w:rsid w:val="00DB4E6A"/>
    <w:rsid w:val="00DB4F2D"/>
    <w:rsid w:val="00DB4FCB"/>
    <w:rsid w:val="00DB5079"/>
    <w:rsid w:val="00DB5089"/>
    <w:rsid w:val="00DB5098"/>
    <w:rsid w:val="00DB51D9"/>
    <w:rsid w:val="00DB5450"/>
    <w:rsid w:val="00DB5574"/>
    <w:rsid w:val="00DB5728"/>
    <w:rsid w:val="00DB594B"/>
    <w:rsid w:val="00DB5AD8"/>
    <w:rsid w:val="00DB5ADB"/>
    <w:rsid w:val="00DB5B8B"/>
    <w:rsid w:val="00DB5C6D"/>
    <w:rsid w:val="00DB5F48"/>
    <w:rsid w:val="00DB5FBA"/>
    <w:rsid w:val="00DB6051"/>
    <w:rsid w:val="00DB6062"/>
    <w:rsid w:val="00DB6114"/>
    <w:rsid w:val="00DB6231"/>
    <w:rsid w:val="00DB6328"/>
    <w:rsid w:val="00DB644C"/>
    <w:rsid w:val="00DB64D4"/>
    <w:rsid w:val="00DB65AC"/>
    <w:rsid w:val="00DB675D"/>
    <w:rsid w:val="00DB68B5"/>
    <w:rsid w:val="00DB697B"/>
    <w:rsid w:val="00DB69C9"/>
    <w:rsid w:val="00DB69D5"/>
    <w:rsid w:val="00DB6BB0"/>
    <w:rsid w:val="00DB6BDF"/>
    <w:rsid w:val="00DB6C8E"/>
    <w:rsid w:val="00DB6CD2"/>
    <w:rsid w:val="00DB6F13"/>
    <w:rsid w:val="00DB7039"/>
    <w:rsid w:val="00DB72C2"/>
    <w:rsid w:val="00DB72C9"/>
    <w:rsid w:val="00DB740A"/>
    <w:rsid w:val="00DB7431"/>
    <w:rsid w:val="00DB75BD"/>
    <w:rsid w:val="00DB760C"/>
    <w:rsid w:val="00DB76F5"/>
    <w:rsid w:val="00DB799A"/>
    <w:rsid w:val="00DB7B62"/>
    <w:rsid w:val="00DB7DAF"/>
    <w:rsid w:val="00DC013E"/>
    <w:rsid w:val="00DC0169"/>
    <w:rsid w:val="00DC04A3"/>
    <w:rsid w:val="00DC051B"/>
    <w:rsid w:val="00DC060B"/>
    <w:rsid w:val="00DC0700"/>
    <w:rsid w:val="00DC0743"/>
    <w:rsid w:val="00DC076A"/>
    <w:rsid w:val="00DC0A0E"/>
    <w:rsid w:val="00DC0C0F"/>
    <w:rsid w:val="00DC0DBD"/>
    <w:rsid w:val="00DC0FEA"/>
    <w:rsid w:val="00DC1020"/>
    <w:rsid w:val="00DC1091"/>
    <w:rsid w:val="00DC11B7"/>
    <w:rsid w:val="00DC12A6"/>
    <w:rsid w:val="00DC12E9"/>
    <w:rsid w:val="00DC168E"/>
    <w:rsid w:val="00DC17BD"/>
    <w:rsid w:val="00DC1AB5"/>
    <w:rsid w:val="00DC1BA2"/>
    <w:rsid w:val="00DC1D04"/>
    <w:rsid w:val="00DC1D68"/>
    <w:rsid w:val="00DC1EAF"/>
    <w:rsid w:val="00DC1F50"/>
    <w:rsid w:val="00DC2058"/>
    <w:rsid w:val="00DC2063"/>
    <w:rsid w:val="00DC2070"/>
    <w:rsid w:val="00DC2168"/>
    <w:rsid w:val="00DC2346"/>
    <w:rsid w:val="00DC236E"/>
    <w:rsid w:val="00DC240D"/>
    <w:rsid w:val="00DC2846"/>
    <w:rsid w:val="00DC28E0"/>
    <w:rsid w:val="00DC2905"/>
    <w:rsid w:val="00DC2915"/>
    <w:rsid w:val="00DC2B27"/>
    <w:rsid w:val="00DC2B74"/>
    <w:rsid w:val="00DC2C25"/>
    <w:rsid w:val="00DC2D3F"/>
    <w:rsid w:val="00DC2F5D"/>
    <w:rsid w:val="00DC2F62"/>
    <w:rsid w:val="00DC2FA1"/>
    <w:rsid w:val="00DC300B"/>
    <w:rsid w:val="00DC3044"/>
    <w:rsid w:val="00DC30C4"/>
    <w:rsid w:val="00DC333E"/>
    <w:rsid w:val="00DC3558"/>
    <w:rsid w:val="00DC35FF"/>
    <w:rsid w:val="00DC3A03"/>
    <w:rsid w:val="00DC3A72"/>
    <w:rsid w:val="00DC3BA8"/>
    <w:rsid w:val="00DC3C7A"/>
    <w:rsid w:val="00DC3DD3"/>
    <w:rsid w:val="00DC3ED8"/>
    <w:rsid w:val="00DC3FAA"/>
    <w:rsid w:val="00DC4166"/>
    <w:rsid w:val="00DC41AD"/>
    <w:rsid w:val="00DC435B"/>
    <w:rsid w:val="00DC4535"/>
    <w:rsid w:val="00DC459C"/>
    <w:rsid w:val="00DC45A2"/>
    <w:rsid w:val="00DC4651"/>
    <w:rsid w:val="00DC4C9C"/>
    <w:rsid w:val="00DC4E81"/>
    <w:rsid w:val="00DC509D"/>
    <w:rsid w:val="00DC5213"/>
    <w:rsid w:val="00DC53E7"/>
    <w:rsid w:val="00DC5452"/>
    <w:rsid w:val="00DC554C"/>
    <w:rsid w:val="00DC555B"/>
    <w:rsid w:val="00DC57A1"/>
    <w:rsid w:val="00DC57C1"/>
    <w:rsid w:val="00DC5814"/>
    <w:rsid w:val="00DC597E"/>
    <w:rsid w:val="00DC5999"/>
    <w:rsid w:val="00DC5C69"/>
    <w:rsid w:val="00DC5DF9"/>
    <w:rsid w:val="00DC60CD"/>
    <w:rsid w:val="00DC6125"/>
    <w:rsid w:val="00DC622A"/>
    <w:rsid w:val="00DC6266"/>
    <w:rsid w:val="00DC627D"/>
    <w:rsid w:val="00DC629E"/>
    <w:rsid w:val="00DC62F3"/>
    <w:rsid w:val="00DC6457"/>
    <w:rsid w:val="00DC6495"/>
    <w:rsid w:val="00DC653D"/>
    <w:rsid w:val="00DC672B"/>
    <w:rsid w:val="00DC6755"/>
    <w:rsid w:val="00DC699F"/>
    <w:rsid w:val="00DC6B1C"/>
    <w:rsid w:val="00DC6B31"/>
    <w:rsid w:val="00DC6B6C"/>
    <w:rsid w:val="00DC6B70"/>
    <w:rsid w:val="00DC6BAF"/>
    <w:rsid w:val="00DC6C2E"/>
    <w:rsid w:val="00DC6D1E"/>
    <w:rsid w:val="00DC6D20"/>
    <w:rsid w:val="00DC7006"/>
    <w:rsid w:val="00DC7481"/>
    <w:rsid w:val="00DC75EB"/>
    <w:rsid w:val="00DC76DA"/>
    <w:rsid w:val="00DC7A1E"/>
    <w:rsid w:val="00DC7A4C"/>
    <w:rsid w:val="00DC7A60"/>
    <w:rsid w:val="00DC7B81"/>
    <w:rsid w:val="00DC7C27"/>
    <w:rsid w:val="00DC7CED"/>
    <w:rsid w:val="00DC7E1B"/>
    <w:rsid w:val="00DC7E6B"/>
    <w:rsid w:val="00DC7F7A"/>
    <w:rsid w:val="00DD04CC"/>
    <w:rsid w:val="00DD051C"/>
    <w:rsid w:val="00DD05D3"/>
    <w:rsid w:val="00DD0629"/>
    <w:rsid w:val="00DD0736"/>
    <w:rsid w:val="00DD074B"/>
    <w:rsid w:val="00DD0763"/>
    <w:rsid w:val="00DD0B05"/>
    <w:rsid w:val="00DD0B8A"/>
    <w:rsid w:val="00DD0DB8"/>
    <w:rsid w:val="00DD0DDE"/>
    <w:rsid w:val="00DD0E95"/>
    <w:rsid w:val="00DD0F2C"/>
    <w:rsid w:val="00DD0F94"/>
    <w:rsid w:val="00DD100B"/>
    <w:rsid w:val="00DD103E"/>
    <w:rsid w:val="00DD11E5"/>
    <w:rsid w:val="00DD145E"/>
    <w:rsid w:val="00DD1899"/>
    <w:rsid w:val="00DD1AA4"/>
    <w:rsid w:val="00DD1B8B"/>
    <w:rsid w:val="00DD1CA8"/>
    <w:rsid w:val="00DD1D47"/>
    <w:rsid w:val="00DD1DDC"/>
    <w:rsid w:val="00DD1F95"/>
    <w:rsid w:val="00DD2079"/>
    <w:rsid w:val="00DD2160"/>
    <w:rsid w:val="00DD21F5"/>
    <w:rsid w:val="00DD22D1"/>
    <w:rsid w:val="00DD236B"/>
    <w:rsid w:val="00DD2376"/>
    <w:rsid w:val="00DD239A"/>
    <w:rsid w:val="00DD242E"/>
    <w:rsid w:val="00DD247E"/>
    <w:rsid w:val="00DD27C7"/>
    <w:rsid w:val="00DD2817"/>
    <w:rsid w:val="00DD2847"/>
    <w:rsid w:val="00DD28CA"/>
    <w:rsid w:val="00DD28D8"/>
    <w:rsid w:val="00DD29CE"/>
    <w:rsid w:val="00DD2A4E"/>
    <w:rsid w:val="00DD2AF9"/>
    <w:rsid w:val="00DD2D66"/>
    <w:rsid w:val="00DD2E52"/>
    <w:rsid w:val="00DD2E65"/>
    <w:rsid w:val="00DD2EB6"/>
    <w:rsid w:val="00DD2F39"/>
    <w:rsid w:val="00DD3242"/>
    <w:rsid w:val="00DD32E8"/>
    <w:rsid w:val="00DD32EE"/>
    <w:rsid w:val="00DD3578"/>
    <w:rsid w:val="00DD36B9"/>
    <w:rsid w:val="00DD37BE"/>
    <w:rsid w:val="00DD3859"/>
    <w:rsid w:val="00DD38CB"/>
    <w:rsid w:val="00DD3A7B"/>
    <w:rsid w:val="00DD3AC2"/>
    <w:rsid w:val="00DD3DB5"/>
    <w:rsid w:val="00DD3E6B"/>
    <w:rsid w:val="00DD40EA"/>
    <w:rsid w:val="00DD41F8"/>
    <w:rsid w:val="00DD42DE"/>
    <w:rsid w:val="00DD468D"/>
    <w:rsid w:val="00DD4874"/>
    <w:rsid w:val="00DD49AA"/>
    <w:rsid w:val="00DD4C2F"/>
    <w:rsid w:val="00DD4E36"/>
    <w:rsid w:val="00DD4F2B"/>
    <w:rsid w:val="00DD4FD4"/>
    <w:rsid w:val="00DD5156"/>
    <w:rsid w:val="00DD5308"/>
    <w:rsid w:val="00DD53A4"/>
    <w:rsid w:val="00DD5494"/>
    <w:rsid w:val="00DD54BE"/>
    <w:rsid w:val="00DD552D"/>
    <w:rsid w:val="00DD560A"/>
    <w:rsid w:val="00DD561A"/>
    <w:rsid w:val="00DD58BE"/>
    <w:rsid w:val="00DD590D"/>
    <w:rsid w:val="00DD5A61"/>
    <w:rsid w:val="00DD5CF6"/>
    <w:rsid w:val="00DD5E6A"/>
    <w:rsid w:val="00DD6072"/>
    <w:rsid w:val="00DD60F0"/>
    <w:rsid w:val="00DD60F5"/>
    <w:rsid w:val="00DD622F"/>
    <w:rsid w:val="00DD6275"/>
    <w:rsid w:val="00DD64A4"/>
    <w:rsid w:val="00DD64E1"/>
    <w:rsid w:val="00DD64EA"/>
    <w:rsid w:val="00DD6694"/>
    <w:rsid w:val="00DD66DE"/>
    <w:rsid w:val="00DD6989"/>
    <w:rsid w:val="00DD69B8"/>
    <w:rsid w:val="00DD6A17"/>
    <w:rsid w:val="00DD6A5D"/>
    <w:rsid w:val="00DD6AC2"/>
    <w:rsid w:val="00DD6ADC"/>
    <w:rsid w:val="00DD6B25"/>
    <w:rsid w:val="00DD6B26"/>
    <w:rsid w:val="00DD6B65"/>
    <w:rsid w:val="00DD6C53"/>
    <w:rsid w:val="00DD6C6B"/>
    <w:rsid w:val="00DD6D38"/>
    <w:rsid w:val="00DD6DB0"/>
    <w:rsid w:val="00DD6E3D"/>
    <w:rsid w:val="00DD7045"/>
    <w:rsid w:val="00DD7265"/>
    <w:rsid w:val="00DD746B"/>
    <w:rsid w:val="00DD7497"/>
    <w:rsid w:val="00DD75EF"/>
    <w:rsid w:val="00DD7690"/>
    <w:rsid w:val="00DD77AF"/>
    <w:rsid w:val="00DD7A18"/>
    <w:rsid w:val="00DD7A51"/>
    <w:rsid w:val="00DD7B84"/>
    <w:rsid w:val="00DD7CD3"/>
    <w:rsid w:val="00DD7E7A"/>
    <w:rsid w:val="00DD7F2F"/>
    <w:rsid w:val="00DD7F92"/>
    <w:rsid w:val="00DD7FF5"/>
    <w:rsid w:val="00DE00EA"/>
    <w:rsid w:val="00DE0575"/>
    <w:rsid w:val="00DE067C"/>
    <w:rsid w:val="00DE0886"/>
    <w:rsid w:val="00DE08A2"/>
    <w:rsid w:val="00DE08FA"/>
    <w:rsid w:val="00DE0918"/>
    <w:rsid w:val="00DE092F"/>
    <w:rsid w:val="00DE0A44"/>
    <w:rsid w:val="00DE0B2A"/>
    <w:rsid w:val="00DE0B3B"/>
    <w:rsid w:val="00DE0CE0"/>
    <w:rsid w:val="00DE0F84"/>
    <w:rsid w:val="00DE0FD4"/>
    <w:rsid w:val="00DE1382"/>
    <w:rsid w:val="00DE13F5"/>
    <w:rsid w:val="00DE159E"/>
    <w:rsid w:val="00DE185F"/>
    <w:rsid w:val="00DE18B0"/>
    <w:rsid w:val="00DE199B"/>
    <w:rsid w:val="00DE1AAF"/>
    <w:rsid w:val="00DE1B69"/>
    <w:rsid w:val="00DE1C0E"/>
    <w:rsid w:val="00DE1C36"/>
    <w:rsid w:val="00DE1F4E"/>
    <w:rsid w:val="00DE206A"/>
    <w:rsid w:val="00DE21AF"/>
    <w:rsid w:val="00DE23BF"/>
    <w:rsid w:val="00DE2423"/>
    <w:rsid w:val="00DE255C"/>
    <w:rsid w:val="00DE25AA"/>
    <w:rsid w:val="00DE285A"/>
    <w:rsid w:val="00DE29D5"/>
    <w:rsid w:val="00DE2CF4"/>
    <w:rsid w:val="00DE2F17"/>
    <w:rsid w:val="00DE2F32"/>
    <w:rsid w:val="00DE2FA1"/>
    <w:rsid w:val="00DE31FE"/>
    <w:rsid w:val="00DE327F"/>
    <w:rsid w:val="00DE35B3"/>
    <w:rsid w:val="00DE3C1B"/>
    <w:rsid w:val="00DE3C2C"/>
    <w:rsid w:val="00DE3C62"/>
    <w:rsid w:val="00DE3C91"/>
    <w:rsid w:val="00DE3D3A"/>
    <w:rsid w:val="00DE3F98"/>
    <w:rsid w:val="00DE4190"/>
    <w:rsid w:val="00DE425E"/>
    <w:rsid w:val="00DE4383"/>
    <w:rsid w:val="00DE4477"/>
    <w:rsid w:val="00DE47DC"/>
    <w:rsid w:val="00DE48EB"/>
    <w:rsid w:val="00DE49EA"/>
    <w:rsid w:val="00DE4B19"/>
    <w:rsid w:val="00DE4CB3"/>
    <w:rsid w:val="00DE4D1C"/>
    <w:rsid w:val="00DE4FAB"/>
    <w:rsid w:val="00DE4FD9"/>
    <w:rsid w:val="00DE50D2"/>
    <w:rsid w:val="00DE51F3"/>
    <w:rsid w:val="00DE5361"/>
    <w:rsid w:val="00DE5779"/>
    <w:rsid w:val="00DE57A0"/>
    <w:rsid w:val="00DE57A5"/>
    <w:rsid w:val="00DE589C"/>
    <w:rsid w:val="00DE58E7"/>
    <w:rsid w:val="00DE5AE8"/>
    <w:rsid w:val="00DE5B6F"/>
    <w:rsid w:val="00DE5DB0"/>
    <w:rsid w:val="00DE5ED5"/>
    <w:rsid w:val="00DE5F64"/>
    <w:rsid w:val="00DE5F79"/>
    <w:rsid w:val="00DE6019"/>
    <w:rsid w:val="00DE6031"/>
    <w:rsid w:val="00DE6111"/>
    <w:rsid w:val="00DE616E"/>
    <w:rsid w:val="00DE62EE"/>
    <w:rsid w:val="00DE6452"/>
    <w:rsid w:val="00DE6505"/>
    <w:rsid w:val="00DE6646"/>
    <w:rsid w:val="00DE6705"/>
    <w:rsid w:val="00DE6896"/>
    <w:rsid w:val="00DE6946"/>
    <w:rsid w:val="00DE699F"/>
    <w:rsid w:val="00DE6C36"/>
    <w:rsid w:val="00DE6D60"/>
    <w:rsid w:val="00DE6DD0"/>
    <w:rsid w:val="00DE6FBA"/>
    <w:rsid w:val="00DE70B8"/>
    <w:rsid w:val="00DE7176"/>
    <w:rsid w:val="00DE739F"/>
    <w:rsid w:val="00DE7419"/>
    <w:rsid w:val="00DE77DE"/>
    <w:rsid w:val="00DE78A9"/>
    <w:rsid w:val="00DE79A3"/>
    <w:rsid w:val="00DE79E3"/>
    <w:rsid w:val="00DE7A58"/>
    <w:rsid w:val="00DE7C19"/>
    <w:rsid w:val="00DE7D4C"/>
    <w:rsid w:val="00DE7DE6"/>
    <w:rsid w:val="00DE7E0B"/>
    <w:rsid w:val="00DE7E88"/>
    <w:rsid w:val="00DE7F4B"/>
    <w:rsid w:val="00DF0238"/>
    <w:rsid w:val="00DF050C"/>
    <w:rsid w:val="00DF0633"/>
    <w:rsid w:val="00DF0C86"/>
    <w:rsid w:val="00DF0DC2"/>
    <w:rsid w:val="00DF0DF6"/>
    <w:rsid w:val="00DF0ECA"/>
    <w:rsid w:val="00DF1052"/>
    <w:rsid w:val="00DF10B4"/>
    <w:rsid w:val="00DF1275"/>
    <w:rsid w:val="00DF130F"/>
    <w:rsid w:val="00DF1358"/>
    <w:rsid w:val="00DF135B"/>
    <w:rsid w:val="00DF13FC"/>
    <w:rsid w:val="00DF1556"/>
    <w:rsid w:val="00DF15CA"/>
    <w:rsid w:val="00DF15EB"/>
    <w:rsid w:val="00DF182C"/>
    <w:rsid w:val="00DF195B"/>
    <w:rsid w:val="00DF1AC2"/>
    <w:rsid w:val="00DF1C07"/>
    <w:rsid w:val="00DF1C3B"/>
    <w:rsid w:val="00DF1C7F"/>
    <w:rsid w:val="00DF1CB3"/>
    <w:rsid w:val="00DF1E12"/>
    <w:rsid w:val="00DF1EC2"/>
    <w:rsid w:val="00DF1F5B"/>
    <w:rsid w:val="00DF1F6E"/>
    <w:rsid w:val="00DF2109"/>
    <w:rsid w:val="00DF214B"/>
    <w:rsid w:val="00DF2183"/>
    <w:rsid w:val="00DF22B3"/>
    <w:rsid w:val="00DF2475"/>
    <w:rsid w:val="00DF25B1"/>
    <w:rsid w:val="00DF2600"/>
    <w:rsid w:val="00DF29A3"/>
    <w:rsid w:val="00DF2A39"/>
    <w:rsid w:val="00DF2BAA"/>
    <w:rsid w:val="00DF2DAB"/>
    <w:rsid w:val="00DF2DF5"/>
    <w:rsid w:val="00DF2F36"/>
    <w:rsid w:val="00DF302C"/>
    <w:rsid w:val="00DF3056"/>
    <w:rsid w:val="00DF3084"/>
    <w:rsid w:val="00DF3254"/>
    <w:rsid w:val="00DF3385"/>
    <w:rsid w:val="00DF33B1"/>
    <w:rsid w:val="00DF33B9"/>
    <w:rsid w:val="00DF34B8"/>
    <w:rsid w:val="00DF36C1"/>
    <w:rsid w:val="00DF36EE"/>
    <w:rsid w:val="00DF370C"/>
    <w:rsid w:val="00DF371B"/>
    <w:rsid w:val="00DF3766"/>
    <w:rsid w:val="00DF39E3"/>
    <w:rsid w:val="00DF3AE8"/>
    <w:rsid w:val="00DF3B32"/>
    <w:rsid w:val="00DF3CE2"/>
    <w:rsid w:val="00DF3D26"/>
    <w:rsid w:val="00DF3F8D"/>
    <w:rsid w:val="00DF421F"/>
    <w:rsid w:val="00DF4381"/>
    <w:rsid w:val="00DF43DE"/>
    <w:rsid w:val="00DF450B"/>
    <w:rsid w:val="00DF4679"/>
    <w:rsid w:val="00DF48D0"/>
    <w:rsid w:val="00DF4B31"/>
    <w:rsid w:val="00DF4B4F"/>
    <w:rsid w:val="00DF4C86"/>
    <w:rsid w:val="00DF4D93"/>
    <w:rsid w:val="00DF4F1C"/>
    <w:rsid w:val="00DF50E8"/>
    <w:rsid w:val="00DF51E9"/>
    <w:rsid w:val="00DF520C"/>
    <w:rsid w:val="00DF522A"/>
    <w:rsid w:val="00DF53C6"/>
    <w:rsid w:val="00DF546A"/>
    <w:rsid w:val="00DF553E"/>
    <w:rsid w:val="00DF56A7"/>
    <w:rsid w:val="00DF5BF6"/>
    <w:rsid w:val="00DF5DFB"/>
    <w:rsid w:val="00DF5F0D"/>
    <w:rsid w:val="00DF6425"/>
    <w:rsid w:val="00DF6452"/>
    <w:rsid w:val="00DF655C"/>
    <w:rsid w:val="00DF677D"/>
    <w:rsid w:val="00DF688C"/>
    <w:rsid w:val="00DF6A43"/>
    <w:rsid w:val="00DF6DB0"/>
    <w:rsid w:val="00DF735D"/>
    <w:rsid w:val="00DF7394"/>
    <w:rsid w:val="00DF758E"/>
    <w:rsid w:val="00DF77AA"/>
    <w:rsid w:val="00DF79CE"/>
    <w:rsid w:val="00DF79EA"/>
    <w:rsid w:val="00DF7A67"/>
    <w:rsid w:val="00DF7AC2"/>
    <w:rsid w:val="00DF7B43"/>
    <w:rsid w:val="00DF7BE8"/>
    <w:rsid w:val="00DF7C36"/>
    <w:rsid w:val="00DF7C6B"/>
    <w:rsid w:val="00DF7CFC"/>
    <w:rsid w:val="00DF7D74"/>
    <w:rsid w:val="00DF7F2F"/>
    <w:rsid w:val="00DF7F6E"/>
    <w:rsid w:val="00DF7F93"/>
    <w:rsid w:val="00E001EC"/>
    <w:rsid w:val="00E0047F"/>
    <w:rsid w:val="00E0049C"/>
    <w:rsid w:val="00E00697"/>
    <w:rsid w:val="00E006EC"/>
    <w:rsid w:val="00E00710"/>
    <w:rsid w:val="00E008D6"/>
    <w:rsid w:val="00E00BC2"/>
    <w:rsid w:val="00E00ED8"/>
    <w:rsid w:val="00E00F14"/>
    <w:rsid w:val="00E00FBE"/>
    <w:rsid w:val="00E01153"/>
    <w:rsid w:val="00E01329"/>
    <w:rsid w:val="00E013D7"/>
    <w:rsid w:val="00E013FF"/>
    <w:rsid w:val="00E0141A"/>
    <w:rsid w:val="00E014F0"/>
    <w:rsid w:val="00E019A3"/>
    <w:rsid w:val="00E01C1C"/>
    <w:rsid w:val="00E01D77"/>
    <w:rsid w:val="00E01E58"/>
    <w:rsid w:val="00E01E73"/>
    <w:rsid w:val="00E01F07"/>
    <w:rsid w:val="00E01F69"/>
    <w:rsid w:val="00E02032"/>
    <w:rsid w:val="00E02118"/>
    <w:rsid w:val="00E0224A"/>
    <w:rsid w:val="00E02360"/>
    <w:rsid w:val="00E0237B"/>
    <w:rsid w:val="00E02656"/>
    <w:rsid w:val="00E027BD"/>
    <w:rsid w:val="00E02949"/>
    <w:rsid w:val="00E029D6"/>
    <w:rsid w:val="00E02B14"/>
    <w:rsid w:val="00E02B1E"/>
    <w:rsid w:val="00E02B2B"/>
    <w:rsid w:val="00E02B9E"/>
    <w:rsid w:val="00E02DAC"/>
    <w:rsid w:val="00E02EDA"/>
    <w:rsid w:val="00E02F8B"/>
    <w:rsid w:val="00E03043"/>
    <w:rsid w:val="00E033B7"/>
    <w:rsid w:val="00E03427"/>
    <w:rsid w:val="00E03643"/>
    <w:rsid w:val="00E03648"/>
    <w:rsid w:val="00E037A1"/>
    <w:rsid w:val="00E03966"/>
    <w:rsid w:val="00E039C7"/>
    <w:rsid w:val="00E039F0"/>
    <w:rsid w:val="00E03B6F"/>
    <w:rsid w:val="00E03C0B"/>
    <w:rsid w:val="00E03C3E"/>
    <w:rsid w:val="00E03C63"/>
    <w:rsid w:val="00E03E03"/>
    <w:rsid w:val="00E03F28"/>
    <w:rsid w:val="00E03FA3"/>
    <w:rsid w:val="00E04099"/>
    <w:rsid w:val="00E0419E"/>
    <w:rsid w:val="00E0429C"/>
    <w:rsid w:val="00E042FC"/>
    <w:rsid w:val="00E0435C"/>
    <w:rsid w:val="00E04396"/>
    <w:rsid w:val="00E0455E"/>
    <w:rsid w:val="00E045C5"/>
    <w:rsid w:val="00E04703"/>
    <w:rsid w:val="00E0476F"/>
    <w:rsid w:val="00E048FA"/>
    <w:rsid w:val="00E049CB"/>
    <w:rsid w:val="00E04A1D"/>
    <w:rsid w:val="00E04A78"/>
    <w:rsid w:val="00E04BAE"/>
    <w:rsid w:val="00E04BF3"/>
    <w:rsid w:val="00E04D14"/>
    <w:rsid w:val="00E04EFF"/>
    <w:rsid w:val="00E05153"/>
    <w:rsid w:val="00E051D6"/>
    <w:rsid w:val="00E053A7"/>
    <w:rsid w:val="00E0543F"/>
    <w:rsid w:val="00E0549A"/>
    <w:rsid w:val="00E056C9"/>
    <w:rsid w:val="00E057F7"/>
    <w:rsid w:val="00E057FE"/>
    <w:rsid w:val="00E05930"/>
    <w:rsid w:val="00E0594C"/>
    <w:rsid w:val="00E05B5B"/>
    <w:rsid w:val="00E05BD8"/>
    <w:rsid w:val="00E05C6E"/>
    <w:rsid w:val="00E05D8E"/>
    <w:rsid w:val="00E05DDF"/>
    <w:rsid w:val="00E05E0A"/>
    <w:rsid w:val="00E06113"/>
    <w:rsid w:val="00E06128"/>
    <w:rsid w:val="00E06172"/>
    <w:rsid w:val="00E061E2"/>
    <w:rsid w:val="00E0657F"/>
    <w:rsid w:val="00E066A9"/>
    <w:rsid w:val="00E06758"/>
    <w:rsid w:val="00E06BB2"/>
    <w:rsid w:val="00E06C2F"/>
    <w:rsid w:val="00E06D2C"/>
    <w:rsid w:val="00E06DD7"/>
    <w:rsid w:val="00E06E19"/>
    <w:rsid w:val="00E06E51"/>
    <w:rsid w:val="00E06FCE"/>
    <w:rsid w:val="00E07097"/>
    <w:rsid w:val="00E071A7"/>
    <w:rsid w:val="00E071F1"/>
    <w:rsid w:val="00E0726C"/>
    <w:rsid w:val="00E072DF"/>
    <w:rsid w:val="00E073AC"/>
    <w:rsid w:val="00E073DA"/>
    <w:rsid w:val="00E0745F"/>
    <w:rsid w:val="00E075E8"/>
    <w:rsid w:val="00E07722"/>
    <w:rsid w:val="00E07AC2"/>
    <w:rsid w:val="00E07D09"/>
    <w:rsid w:val="00E07D61"/>
    <w:rsid w:val="00E07F86"/>
    <w:rsid w:val="00E1000C"/>
    <w:rsid w:val="00E10054"/>
    <w:rsid w:val="00E1012D"/>
    <w:rsid w:val="00E10164"/>
    <w:rsid w:val="00E1022D"/>
    <w:rsid w:val="00E10509"/>
    <w:rsid w:val="00E1053D"/>
    <w:rsid w:val="00E10587"/>
    <w:rsid w:val="00E105EC"/>
    <w:rsid w:val="00E1062F"/>
    <w:rsid w:val="00E10755"/>
    <w:rsid w:val="00E107F4"/>
    <w:rsid w:val="00E10A59"/>
    <w:rsid w:val="00E10F72"/>
    <w:rsid w:val="00E1122C"/>
    <w:rsid w:val="00E112A2"/>
    <w:rsid w:val="00E1152F"/>
    <w:rsid w:val="00E11643"/>
    <w:rsid w:val="00E11751"/>
    <w:rsid w:val="00E1175A"/>
    <w:rsid w:val="00E11788"/>
    <w:rsid w:val="00E11790"/>
    <w:rsid w:val="00E117C0"/>
    <w:rsid w:val="00E1186D"/>
    <w:rsid w:val="00E11A27"/>
    <w:rsid w:val="00E11AED"/>
    <w:rsid w:val="00E11E48"/>
    <w:rsid w:val="00E11E81"/>
    <w:rsid w:val="00E120B3"/>
    <w:rsid w:val="00E121E8"/>
    <w:rsid w:val="00E1228B"/>
    <w:rsid w:val="00E12299"/>
    <w:rsid w:val="00E123AD"/>
    <w:rsid w:val="00E12523"/>
    <w:rsid w:val="00E12789"/>
    <w:rsid w:val="00E128B6"/>
    <w:rsid w:val="00E12BEC"/>
    <w:rsid w:val="00E12C7F"/>
    <w:rsid w:val="00E12D52"/>
    <w:rsid w:val="00E12D6A"/>
    <w:rsid w:val="00E12DE0"/>
    <w:rsid w:val="00E1322F"/>
    <w:rsid w:val="00E1353A"/>
    <w:rsid w:val="00E137D8"/>
    <w:rsid w:val="00E139CA"/>
    <w:rsid w:val="00E13A29"/>
    <w:rsid w:val="00E13AB7"/>
    <w:rsid w:val="00E13C1C"/>
    <w:rsid w:val="00E13E9F"/>
    <w:rsid w:val="00E1400B"/>
    <w:rsid w:val="00E1408E"/>
    <w:rsid w:val="00E14119"/>
    <w:rsid w:val="00E14234"/>
    <w:rsid w:val="00E1425E"/>
    <w:rsid w:val="00E14279"/>
    <w:rsid w:val="00E14F38"/>
    <w:rsid w:val="00E14F43"/>
    <w:rsid w:val="00E15131"/>
    <w:rsid w:val="00E15612"/>
    <w:rsid w:val="00E1575C"/>
    <w:rsid w:val="00E157EE"/>
    <w:rsid w:val="00E157F4"/>
    <w:rsid w:val="00E15865"/>
    <w:rsid w:val="00E15A15"/>
    <w:rsid w:val="00E15AA4"/>
    <w:rsid w:val="00E15BEB"/>
    <w:rsid w:val="00E15BFA"/>
    <w:rsid w:val="00E15D95"/>
    <w:rsid w:val="00E15EA3"/>
    <w:rsid w:val="00E15ED5"/>
    <w:rsid w:val="00E160D9"/>
    <w:rsid w:val="00E1623E"/>
    <w:rsid w:val="00E162E4"/>
    <w:rsid w:val="00E168E1"/>
    <w:rsid w:val="00E16B6D"/>
    <w:rsid w:val="00E16C15"/>
    <w:rsid w:val="00E16D1A"/>
    <w:rsid w:val="00E16EBA"/>
    <w:rsid w:val="00E16F85"/>
    <w:rsid w:val="00E16FA7"/>
    <w:rsid w:val="00E16FF9"/>
    <w:rsid w:val="00E17012"/>
    <w:rsid w:val="00E17243"/>
    <w:rsid w:val="00E17309"/>
    <w:rsid w:val="00E1751D"/>
    <w:rsid w:val="00E175AF"/>
    <w:rsid w:val="00E175C9"/>
    <w:rsid w:val="00E1766E"/>
    <w:rsid w:val="00E179F2"/>
    <w:rsid w:val="00E17AEE"/>
    <w:rsid w:val="00E17C18"/>
    <w:rsid w:val="00E17C9A"/>
    <w:rsid w:val="00E17CB3"/>
    <w:rsid w:val="00E17DA1"/>
    <w:rsid w:val="00E17DAD"/>
    <w:rsid w:val="00E2003F"/>
    <w:rsid w:val="00E20055"/>
    <w:rsid w:val="00E20240"/>
    <w:rsid w:val="00E20264"/>
    <w:rsid w:val="00E202AB"/>
    <w:rsid w:val="00E202AE"/>
    <w:rsid w:val="00E204ED"/>
    <w:rsid w:val="00E2071B"/>
    <w:rsid w:val="00E207BB"/>
    <w:rsid w:val="00E20A4A"/>
    <w:rsid w:val="00E20AFE"/>
    <w:rsid w:val="00E20B35"/>
    <w:rsid w:val="00E20CCC"/>
    <w:rsid w:val="00E2109A"/>
    <w:rsid w:val="00E211C9"/>
    <w:rsid w:val="00E211F8"/>
    <w:rsid w:val="00E21289"/>
    <w:rsid w:val="00E21484"/>
    <w:rsid w:val="00E215A7"/>
    <w:rsid w:val="00E216F4"/>
    <w:rsid w:val="00E21845"/>
    <w:rsid w:val="00E21985"/>
    <w:rsid w:val="00E21ABE"/>
    <w:rsid w:val="00E21BC3"/>
    <w:rsid w:val="00E21BC8"/>
    <w:rsid w:val="00E21C33"/>
    <w:rsid w:val="00E21DBC"/>
    <w:rsid w:val="00E21E8C"/>
    <w:rsid w:val="00E21EDF"/>
    <w:rsid w:val="00E21F84"/>
    <w:rsid w:val="00E22243"/>
    <w:rsid w:val="00E22284"/>
    <w:rsid w:val="00E222E1"/>
    <w:rsid w:val="00E223C3"/>
    <w:rsid w:val="00E2242C"/>
    <w:rsid w:val="00E22598"/>
    <w:rsid w:val="00E22711"/>
    <w:rsid w:val="00E2273F"/>
    <w:rsid w:val="00E2280D"/>
    <w:rsid w:val="00E22855"/>
    <w:rsid w:val="00E22909"/>
    <w:rsid w:val="00E22945"/>
    <w:rsid w:val="00E22A0C"/>
    <w:rsid w:val="00E22A5B"/>
    <w:rsid w:val="00E22BFD"/>
    <w:rsid w:val="00E22C6D"/>
    <w:rsid w:val="00E22D71"/>
    <w:rsid w:val="00E2327C"/>
    <w:rsid w:val="00E23553"/>
    <w:rsid w:val="00E2356D"/>
    <w:rsid w:val="00E235E9"/>
    <w:rsid w:val="00E2363A"/>
    <w:rsid w:val="00E239CA"/>
    <w:rsid w:val="00E23B58"/>
    <w:rsid w:val="00E23D26"/>
    <w:rsid w:val="00E23DB5"/>
    <w:rsid w:val="00E23E1F"/>
    <w:rsid w:val="00E23EA5"/>
    <w:rsid w:val="00E24228"/>
    <w:rsid w:val="00E24347"/>
    <w:rsid w:val="00E2435A"/>
    <w:rsid w:val="00E24399"/>
    <w:rsid w:val="00E244C6"/>
    <w:rsid w:val="00E24512"/>
    <w:rsid w:val="00E24672"/>
    <w:rsid w:val="00E24803"/>
    <w:rsid w:val="00E24A17"/>
    <w:rsid w:val="00E24B7A"/>
    <w:rsid w:val="00E24BE5"/>
    <w:rsid w:val="00E24C45"/>
    <w:rsid w:val="00E24C7A"/>
    <w:rsid w:val="00E24E44"/>
    <w:rsid w:val="00E24E53"/>
    <w:rsid w:val="00E24E64"/>
    <w:rsid w:val="00E24F53"/>
    <w:rsid w:val="00E24FCE"/>
    <w:rsid w:val="00E251E0"/>
    <w:rsid w:val="00E2533F"/>
    <w:rsid w:val="00E253CA"/>
    <w:rsid w:val="00E253DC"/>
    <w:rsid w:val="00E2545A"/>
    <w:rsid w:val="00E25573"/>
    <w:rsid w:val="00E2566D"/>
    <w:rsid w:val="00E256F9"/>
    <w:rsid w:val="00E258C6"/>
    <w:rsid w:val="00E25A53"/>
    <w:rsid w:val="00E25AA0"/>
    <w:rsid w:val="00E25B22"/>
    <w:rsid w:val="00E25D0A"/>
    <w:rsid w:val="00E25F1B"/>
    <w:rsid w:val="00E26117"/>
    <w:rsid w:val="00E26288"/>
    <w:rsid w:val="00E26430"/>
    <w:rsid w:val="00E264D3"/>
    <w:rsid w:val="00E266CD"/>
    <w:rsid w:val="00E266F6"/>
    <w:rsid w:val="00E268F5"/>
    <w:rsid w:val="00E26A44"/>
    <w:rsid w:val="00E26DE0"/>
    <w:rsid w:val="00E26EE4"/>
    <w:rsid w:val="00E27014"/>
    <w:rsid w:val="00E270D8"/>
    <w:rsid w:val="00E2710B"/>
    <w:rsid w:val="00E273D1"/>
    <w:rsid w:val="00E27400"/>
    <w:rsid w:val="00E274C6"/>
    <w:rsid w:val="00E2756C"/>
    <w:rsid w:val="00E275BF"/>
    <w:rsid w:val="00E275D4"/>
    <w:rsid w:val="00E2768F"/>
    <w:rsid w:val="00E27699"/>
    <w:rsid w:val="00E2781A"/>
    <w:rsid w:val="00E27861"/>
    <w:rsid w:val="00E278DC"/>
    <w:rsid w:val="00E279A4"/>
    <w:rsid w:val="00E27A63"/>
    <w:rsid w:val="00E27A91"/>
    <w:rsid w:val="00E27B31"/>
    <w:rsid w:val="00E27B8D"/>
    <w:rsid w:val="00E27C01"/>
    <w:rsid w:val="00E27C92"/>
    <w:rsid w:val="00E27D59"/>
    <w:rsid w:val="00E27DE7"/>
    <w:rsid w:val="00E27EE7"/>
    <w:rsid w:val="00E300DA"/>
    <w:rsid w:val="00E30263"/>
    <w:rsid w:val="00E302AD"/>
    <w:rsid w:val="00E30301"/>
    <w:rsid w:val="00E3037A"/>
    <w:rsid w:val="00E303C8"/>
    <w:rsid w:val="00E30412"/>
    <w:rsid w:val="00E308E7"/>
    <w:rsid w:val="00E30C9B"/>
    <w:rsid w:val="00E30D3B"/>
    <w:rsid w:val="00E30ECC"/>
    <w:rsid w:val="00E30F2D"/>
    <w:rsid w:val="00E30F68"/>
    <w:rsid w:val="00E3103E"/>
    <w:rsid w:val="00E3109C"/>
    <w:rsid w:val="00E310FA"/>
    <w:rsid w:val="00E312DB"/>
    <w:rsid w:val="00E314F4"/>
    <w:rsid w:val="00E3160F"/>
    <w:rsid w:val="00E3164F"/>
    <w:rsid w:val="00E3179C"/>
    <w:rsid w:val="00E317C8"/>
    <w:rsid w:val="00E31BF5"/>
    <w:rsid w:val="00E31D41"/>
    <w:rsid w:val="00E31D60"/>
    <w:rsid w:val="00E3224C"/>
    <w:rsid w:val="00E322F8"/>
    <w:rsid w:val="00E32559"/>
    <w:rsid w:val="00E326BF"/>
    <w:rsid w:val="00E326E9"/>
    <w:rsid w:val="00E329CA"/>
    <w:rsid w:val="00E32B66"/>
    <w:rsid w:val="00E32B6D"/>
    <w:rsid w:val="00E32D90"/>
    <w:rsid w:val="00E32E05"/>
    <w:rsid w:val="00E32E4D"/>
    <w:rsid w:val="00E32ED2"/>
    <w:rsid w:val="00E3304F"/>
    <w:rsid w:val="00E33096"/>
    <w:rsid w:val="00E331F6"/>
    <w:rsid w:val="00E33627"/>
    <w:rsid w:val="00E33643"/>
    <w:rsid w:val="00E3379C"/>
    <w:rsid w:val="00E338C2"/>
    <w:rsid w:val="00E338E3"/>
    <w:rsid w:val="00E33900"/>
    <w:rsid w:val="00E33C64"/>
    <w:rsid w:val="00E33D51"/>
    <w:rsid w:val="00E33E98"/>
    <w:rsid w:val="00E33F78"/>
    <w:rsid w:val="00E3417A"/>
    <w:rsid w:val="00E34216"/>
    <w:rsid w:val="00E342CB"/>
    <w:rsid w:val="00E342E4"/>
    <w:rsid w:val="00E343A8"/>
    <w:rsid w:val="00E34430"/>
    <w:rsid w:val="00E34438"/>
    <w:rsid w:val="00E3467F"/>
    <w:rsid w:val="00E34986"/>
    <w:rsid w:val="00E34BD7"/>
    <w:rsid w:val="00E34CCC"/>
    <w:rsid w:val="00E34DA2"/>
    <w:rsid w:val="00E34E5D"/>
    <w:rsid w:val="00E3541F"/>
    <w:rsid w:val="00E354C6"/>
    <w:rsid w:val="00E354D0"/>
    <w:rsid w:val="00E35550"/>
    <w:rsid w:val="00E355A3"/>
    <w:rsid w:val="00E357CE"/>
    <w:rsid w:val="00E35924"/>
    <w:rsid w:val="00E35AD1"/>
    <w:rsid w:val="00E35BA2"/>
    <w:rsid w:val="00E35BD9"/>
    <w:rsid w:val="00E35E11"/>
    <w:rsid w:val="00E361D5"/>
    <w:rsid w:val="00E3633C"/>
    <w:rsid w:val="00E36348"/>
    <w:rsid w:val="00E36419"/>
    <w:rsid w:val="00E3645C"/>
    <w:rsid w:val="00E36543"/>
    <w:rsid w:val="00E3697B"/>
    <w:rsid w:val="00E369EE"/>
    <w:rsid w:val="00E36ABC"/>
    <w:rsid w:val="00E36AC0"/>
    <w:rsid w:val="00E36BDC"/>
    <w:rsid w:val="00E370B7"/>
    <w:rsid w:val="00E370DC"/>
    <w:rsid w:val="00E371EC"/>
    <w:rsid w:val="00E3731E"/>
    <w:rsid w:val="00E37339"/>
    <w:rsid w:val="00E373BE"/>
    <w:rsid w:val="00E37729"/>
    <w:rsid w:val="00E377A8"/>
    <w:rsid w:val="00E378EA"/>
    <w:rsid w:val="00E37995"/>
    <w:rsid w:val="00E37C48"/>
    <w:rsid w:val="00E37F06"/>
    <w:rsid w:val="00E37F17"/>
    <w:rsid w:val="00E40140"/>
    <w:rsid w:val="00E40149"/>
    <w:rsid w:val="00E40179"/>
    <w:rsid w:val="00E401E9"/>
    <w:rsid w:val="00E405E3"/>
    <w:rsid w:val="00E4081E"/>
    <w:rsid w:val="00E409E3"/>
    <w:rsid w:val="00E40CF8"/>
    <w:rsid w:val="00E40DE9"/>
    <w:rsid w:val="00E40ED8"/>
    <w:rsid w:val="00E41096"/>
    <w:rsid w:val="00E41157"/>
    <w:rsid w:val="00E4116B"/>
    <w:rsid w:val="00E41259"/>
    <w:rsid w:val="00E4130A"/>
    <w:rsid w:val="00E4134D"/>
    <w:rsid w:val="00E41399"/>
    <w:rsid w:val="00E413D5"/>
    <w:rsid w:val="00E41468"/>
    <w:rsid w:val="00E4155C"/>
    <w:rsid w:val="00E4175A"/>
    <w:rsid w:val="00E4178A"/>
    <w:rsid w:val="00E4191E"/>
    <w:rsid w:val="00E4191F"/>
    <w:rsid w:val="00E419C9"/>
    <w:rsid w:val="00E41AF2"/>
    <w:rsid w:val="00E41B7F"/>
    <w:rsid w:val="00E41D44"/>
    <w:rsid w:val="00E420A1"/>
    <w:rsid w:val="00E4212A"/>
    <w:rsid w:val="00E42192"/>
    <w:rsid w:val="00E42467"/>
    <w:rsid w:val="00E42781"/>
    <w:rsid w:val="00E42846"/>
    <w:rsid w:val="00E4292E"/>
    <w:rsid w:val="00E42B6C"/>
    <w:rsid w:val="00E42DDC"/>
    <w:rsid w:val="00E42E41"/>
    <w:rsid w:val="00E42E83"/>
    <w:rsid w:val="00E42E85"/>
    <w:rsid w:val="00E4328B"/>
    <w:rsid w:val="00E432EC"/>
    <w:rsid w:val="00E433E2"/>
    <w:rsid w:val="00E43624"/>
    <w:rsid w:val="00E43677"/>
    <w:rsid w:val="00E43699"/>
    <w:rsid w:val="00E437E3"/>
    <w:rsid w:val="00E43A60"/>
    <w:rsid w:val="00E43C96"/>
    <w:rsid w:val="00E43D5B"/>
    <w:rsid w:val="00E43E0F"/>
    <w:rsid w:val="00E43EA8"/>
    <w:rsid w:val="00E43F55"/>
    <w:rsid w:val="00E44031"/>
    <w:rsid w:val="00E440F0"/>
    <w:rsid w:val="00E44164"/>
    <w:rsid w:val="00E442DA"/>
    <w:rsid w:val="00E442EA"/>
    <w:rsid w:val="00E44343"/>
    <w:rsid w:val="00E44418"/>
    <w:rsid w:val="00E44427"/>
    <w:rsid w:val="00E4442B"/>
    <w:rsid w:val="00E44546"/>
    <w:rsid w:val="00E44569"/>
    <w:rsid w:val="00E445A9"/>
    <w:rsid w:val="00E4464F"/>
    <w:rsid w:val="00E447B1"/>
    <w:rsid w:val="00E4481D"/>
    <w:rsid w:val="00E44824"/>
    <w:rsid w:val="00E448B2"/>
    <w:rsid w:val="00E44A94"/>
    <w:rsid w:val="00E44ADC"/>
    <w:rsid w:val="00E44B9B"/>
    <w:rsid w:val="00E44D46"/>
    <w:rsid w:val="00E44DFF"/>
    <w:rsid w:val="00E44E2A"/>
    <w:rsid w:val="00E44EFC"/>
    <w:rsid w:val="00E45302"/>
    <w:rsid w:val="00E45528"/>
    <w:rsid w:val="00E458FB"/>
    <w:rsid w:val="00E4592E"/>
    <w:rsid w:val="00E459DE"/>
    <w:rsid w:val="00E45A9D"/>
    <w:rsid w:val="00E45B9B"/>
    <w:rsid w:val="00E45CEB"/>
    <w:rsid w:val="00E45CF7"/>
    <w:rsid w:val="00E45D7E"/>
    <w:rsid w:val="00E45E74"/>
    <w:rsid w:val="00E45EB5"/>
    <w:rsid w:val="00E45F46"/>
    <w:rsid w:val="00E4614B"/>
    <w:rsid w:val="00E461A2"/>
    <w:rsid w:val="00E461F0"/>
    <w:rsid w:val="00E46371"/>
    <w:rsid w:val="00E464D7"/>
    <w:rsid w:val="00E467FF"/>
    <w:rsid w:val="00E46817"/>
    <w:rsid w:val="00E46988"/>
    <w:rsid w:val="00E469C2"/>
    <w:rsid w:val="00E469E3"/>
    <w:rsid w:val="00E46B3F"/>
    <w:rsid w:val="00E46EA0"/>
    <w:rsid w:val="00E46ED5"/>
    <w:rsid w:val="00E46FAC"/>
    <w:rsid w:val="00E470CE"/>
    <w:rsid w:val="00E47151"/>
    <w:rsid w:val="00E47205"/>
    <w:rsid w:val="00E47571"/>
    <w:rsid w:val="00E4763A"/>
    <w:rsid w:val="00E4765A"/>
    <w:rsid w:val="00E47829"/>
    <w:rsid w:val="00E4784C"/>
    <w:rsid w:val="00E4786F"/>
    <w:rsid w:val="00E478C2"/>
    <w:rsid w:val="00E47CFA"/>
    <w:rsid w:val="00E47D39"/>
    <w:rsid w:val="00E47D47"/>
    <w:rsid w:val="00E47E49"/>
    <w:rsid w:val="00E50026"/>
    <w:rsid w:val="00E500A0"/>
    <w:rsid w:val="00E500F6"/>
    <w:rsid w:val="00E50112"/>
    <w:rsid w:val="00E50216"/>
    <w:rsid w:val="00E50350"/>
    <w:rsid w:val="00E50413"/>
    <w:rsid w:val="00E5053A"/>
    <w:rsid w:val="00E505BA"/>
    <w:rsid w:val="00E505CB"/>
    <w:rsid w:val="00E507AA"/>
    <w:rsid w:val="00E507D6"/>
    <w:rsid w:val="00E50A37"/>
    <w:rsid w:val="00E50A57"/>
    <w:rsid w:val="00E50A67"/>
    <w:rsid w:val="00E50BC1"/>
    <w:rsid w:val="00E50C64"/>
    <w:rsid w:val="00E50D90"/>
    <w:rsid w:val="00E5114A"/>
    <w:rsid w:val="00E51267"/>
    <w:rsid w:val="00E5131F"/>
    <w:rsid w:val="00E514B5"/>
    <w:rsid w:val="00E517EF"/>
    <w:rsid w:val="00E5184A"/>
    <w:rsid w:val="00E51860"/>
    <w:rsid w:val="00E51912"/>
    <w:rsid w:val="00E51A5F"/>
    <w:rsid w:val="00E51AD9"/>
    <w:rsid w:val="00E51C65"/>
    <w:rsid w:val="00E51ECA"/>
    <w:rsid w:val="00E520A3"/>
    <w:rsid w:val="00E5259A"/>
    <w:rsid w:val="00E526CF"/>
    <w:rsid w:val="00E52769"/>
    <w:rsid w:val="00E52946"/>
    <w:rsid w:val="00E52B90"/>
    <w:rsid w:val="00E52BF9"/>
    <w:rsid w:val="00E52BFA"/>
    <w:rsid w:val="00E52C1C"/>
    <w:rsid w:val="00E52C8D"/>
    <w:rsid w:val="00E52D4F"/>
    <w:rsid w:val="00E52E57"/>
    <w:rsid w:val="00E52E96"/>
    <w:rsid w:val="00E52F90"/>
    <w:rsid w:val="00E5309D"/>
    <w:rsid w:val="00E531BF"/>
    <w:rsid w:val="00E531EB"/>
    <w:rsid w:val="00E53422"/>
    <w:rsid w:val="00E535D5"/>
    <w:rsid w:val="00E536B6"/>
    <w:rsid w:val="00E537DC"/>
    <w:rsid w:val="00E53C5A"/>
    <w:rsid w:val="00E53C88"/>
    <w:rsid w:val="00E53E56"/>
    <w:rsid w:val="00E53FDF"/>
    <w:rsid w:val="00E54054"/>
    <w:rsid w:val="00E54060"/>
    <w:rsid w:val="00E54125"/>
    <w:rsid w:val="00E54161"/>
    <w:rsid w:val="00E542BE"/>
    <w:rsid w:val="00E543B4"/>
    <w:rsid w:val="00E545A5"/>
    <w:rsid w:val="00E54856"/>
    <w:rsid w:val="00E54980"/>
    <w:rsid w:val="00E54A2B"/>
    <w:rsid w:val="00E54A3E"/>
    <w:rsid w:val="00E54AF8"/>
    <w:rsid w:val="00E54BE1"/>
    <w:rsid w:val="00E54C68"/>
    <w:rsid w:val="00E54E61"/>
    <w:rsid w:val="00E54E94"/>
    <w:rsid w:val="00E5500C"/>
    <w:rsid w:val="00E550F1"/>
    <w:rsid w:val="00E55122"/>
    <w:rsid w:val="00E5531C"/>
    <w:rsid w:val="00E553F5"/>
    <w:rsid w:val="00E55642"/>
    <w:rsid w:val="00E559E8"/>
    <w:rsid w:val="00E559FE"/>
    <w:rsid w:val="00E55A3F"/>
    <w:rsid w:val="00E55AA1"/>
    <w:rsid w:val="00E55B5C"/>
    <w:rsid w:val="00E55CAE"/>
    <w:rsid w:val="00E55D68"/>
    <w:rsid w:val="00E5613B"/>
    <w:rsid w:val="00E56226"/>
    <w:rsid w:val="00E5622D"/>
    <w:rsid w:val="00E564A6"/>
    <w:rsid w:val="00E56994"/>
    <w:rsid w:val="00E56AA7"/>
    <w:rsid w:val="00E56AFE"/>
    <w:rsid w:val="00E56BDE"/>
    <w:rsid w:val="00E56CA5"/>
    <w:rsid w:val="00E56CDE"/>
    <w:rsid w:val="00E56DA4"/>
    <w:rsid w:val="00E56E85"/>
    <w:rsid w:val="00E56ED8"/>
    <w:rsid w:val="00E5725B"/>
    <w:rsid w:val="00E572D3"/>
    <w:rsid w:val="00E57302"/>
    <w:rsid w:val="00E573C8"/>
    <w:rsid w:val="00E5746B"/>
    <w:rsid w:val="00E574BD"/>
    <w:rsid w:val="00E575C3"/>
    <w:rsid w:val="00E576F7"/>
    <w:rsid w:val="00E5775E"/>
    <w:rsid w:val="00E5781A"/>
    <w:rsid w:val="00E579D6"/>
    <w:rsid w:val="00E57B54"/>
    <w:rsid w:val="00E57CBC"/>
    <w:rsid w:val="00E57DD4"/>
    <w:rsid w:val="00E57E05"/>
    <w:rsid w:val="00E57FF0"/>
    <w:rsid w:val="00E57FF8"/>
    <w:rsid w:val="00E60232"/>
    <w:rsid w:val="00E603EB"/>
    <w:rsid w:val="00E605E4"/>
    <w:rsid w:val="00E60622"/>
    <w:rsid w:val="00E606A8"/>
    <w:rsid w:val="00E60763"/>
    <w:rsid w:val="00E60781"/>
    <w:rsid w:val="00E60955"/>
    <w:rsid w:val="00E60CC0"/>
    <w:rsid w:val="00E60F25"/>
    <w:rsid w:val="00E6108B"/>
    <w:rsid w:val="00E6137E"/>
    <w:rsid w:val="00E61433"/>
    <w:rsid w:val="00E614F1"/>
    <w:rsid w:val="00E6154D"/>
    <w:rsid w:val="00E61557"/>
    <w:rsid w:val="00E61701"/>
    <w:rsid w:val="00E617B1"/>
    <w:rsid w:val="00E61C5B"/>
    <w:rsid w:val="00E61FC5"/>
    <w:rsid w:val="00E61FC9"/>
    <w:rsid w:val="00E62130"/>
    <w:rsid w:val="00E621D0"/>
    <w:rsid w:val="00E62235"/>
    <w:rsid w:val="00E622E3"/>
    <w:rsid w:val="00E624C6"/>
    <w:rsid w:val="00E62502"/>
    <w:rsid w:val="00E6257C"/>
    <w:rsid w:val="00E62581"/>
    <w:rsid w:val="00E626BE"/>
    <w:rsid w:val="00E62788"/>
    <w:rsid w:val="00E62969"/>
    <w:rsid w:val="00E62A43"/>
    <w:rsid w:val="00E62B1E"/>
    <w:rsid w:val="00E62E98"/>
    <w:rsid w:val="00E62F4E"/>
    <w:rsid w:val="00E63081"/>
    <w:rsid w:val="00E63232"/>
    <w:rsid w:val="00E63279"/>
    <w:rsid w:val="00E63374"/>
    <w:rsid w:val="00E63393"/>
    <w:rsid w:val="00E63451"/>
    <w:rsid w:val="00E634C0"/>
    <w:rsid w:val="00E63587"/>
    <w:rsid w:val="00E637CC"/>
    <w:rsid w:val="00E638D4"/>
    <w:rsid w:val="00E6394A"/>
    <w:rsid w:val="00E63A60"/>
    <w:rsid w:val="00E63A90"/>
    <w:rsid w:val="00E63BA9"/>
    <w:rsid w:val="00E63D9E"/>
    <w:rsid w:val="00E63EEC"/>
    <w:rsid w:val="00E641B6"/>
    <w:rsid w:val="00E64612"/>
    <w:rsid w:val="00E648C1"/>
    <w:rsid w:val="00E648D1"/>
    <w:rsid w:val="00E64910"/>
    <w:rsid w:val="00E64B08"/>
    <w:rsid w:val="00E64C19"/>
    <w:rsid w:val="00E64C2E"/>
    <w:rsid w:val="00E64D7D"/>
    <w:rsid w:val="00E64DCE"/>
    <w:rsid w:val="00E64E4A"/>
    <w:rsid w:val="00E65065"/>
    <w:rsid w:val="00E651E4"/>
    <w:rsid w:val="00E65218"/>
    <w:rsid w:val="00E65299"/>
    <w:rsid w:val="00E652A0"/>
    <w:rsid w:val="00E654B6"/>
    <w:rsid w:val="00E65646"/>
    <w:rsid w:val="00E65732"/>
    <w:rsid w:val="00E6578F"/>
    <w:rsid w:val="00E65810"/>
    <w:rsid w:val="00E65960"/>
    <w:rsid w:val="00E65BD3"/>
    <w:rsid w:val="00E65C69"/>
    <w:rsid w:val="00E65DEF"/>
    <w:rsid w:val="00E65F23"/>
    <w:rsid w:val="00E65F75"/>
    <w:rsid w:val="00E660C4"/>
    <w:rsid w:val="00E66372"/>
    <w:rsid w:val="00E66562"/>
    <w:rsid w:val="00E66674"/>
    <w:rsid w:val="00E66692"/>
    <w:rsid w:val="00E66709"/>
    <w:rsid w:val="00E66746"/>
    <w:rsid w:val="00E6684C"/>
    <w:rsid w:val="00E66951"/>
    <w:rsid w:val="00E66994"/>
    <w:rsid w:val="00E66A24"/>
    <w:rsid w:val="00E66A8A"/>
    <w:rsid w:val="00E66AAE"/>
    <w:rsid w:val="00E66AB1"/>
    <w:rsid w:val="00E66AE7"/>
    <w:rsid w:val="00E66C83"/>
    <w:rsid w:val="00E66D3F"/>
    <w:rsid w:val="00E66E41"/>
    <w:rsid w:val="00E66E6F"/>
    <w:rsid w:val="00E66F65"/>
    <w:rsid w:val="00E6706E"/>
    <w:rsid w:val="00E67173"/>
    <w:rsid w:val="00E674BD"/>
    <w:rsid w:val="00E677DC"/>
    <w:rsid w:val="00E67A6A"/>
    <w:rsid w:val="00E67ABB"/>
    <w:rsid w:val="00E67D59"/>
    <w:rsid w:val="00E67D5E"/>
    <w:rsid w:val="00E67DA1"/>
    <w:rsid w:val="00E67E17"/>
    <w:rsid w:val="00E67F22"/>
    <w:rsid w:val="00E67F46"/>
    <w:rsid w:val="00E70182"/>
    <w:rsid w:val="00E705B4"/>
    <w:rsid w:val="00E70630"/>
    <w:rsid w:val="00E7078C"/>
    <w:rsid w:val="00E7089B"/>
    <w:rsid w:val="00E708A0"/>
    <w:rsid w:val="00E70A11"/>
    <w:rsid w:val="00E70BCD"/>
    <w:rsid w:val="00E70C5B"/>
    <w:rsid w:val="00E70D03"/>
    <w:rsid w:val="00E70F29"/>
    <w:rsid w:val="00E7116F"/>
    <w:rsid w:val="00E713F5"/>
    <w:rsid w:val="00E714B4"/>
    <w:rsid w:val="00E7156C"/>
    <w:rsid w:val="00E715FC"/>
    <w:rsid w:val="00E717A1"/>
    <w:rsid w:val="00E71850"/>
    <w:rsid w:val="00E7193B"/>
    <w:rsid w:val="00E71AE3"/>
    <w:rsid w:val="00E71CCA"/>
    <w:rsid w:val="00E71CEB"/>
    <w:rsid w:val="00E71F85"/>
    <w:rsid w:val="00E71F88"/>
    <w:rsid w:val="00E7241B"/>
    <w:rsid w:val="00E72593"/>
    <w:rsid w:val="00E72786"/>
    <w:rsid w:val="00E727F6"/>
    <w:rsid w:val="00E72866"/>
    <w:rsid w:val="00E728F3"/>
    <w:rsid w:val="00E729E8"/>
    <w:rsid w:val="00E729F9"/>
    <w:rsid w:val="00E72A93"/>
    <w:rsid w:val="00E72ABB"/>
    <w:rsid w:val="00E72AC6"/>
    <w:rsid w:val="00E72D2C"/>
    <w:rsid w:val="00E72F08"/>
    <w:rsid w:val="00E72F4A"/>
    <w:rsid w:val="00E73010"/>
    <w:rsid w:val="00E730FE"/>
    <w:rsid w:val="00E73144"/>
    <w:rsid w:val="00E731A1"/>
    <w:rsid w:val="00E731B4"/>
    <w:rsid w:val="00E73427"/>
    <w:rsid w:val="00E7360B"/>
    <w:rsid w:val="00E7376F"/>
    <w:rsid w:val="00E739F6"/>
    <w:rsid w:val="00E73B23"/>
    <w:rsid w:val="00E73BDB"/>
    <w:rsid w:val="00E73BFC"/>
    <w:rsid w:val="00E73C4D"/>
    <w:rsid w:val="00E73CF9"/>
    <w:rsid w:val="00E73D2A"/>
    <w:rsid w:val="00E73ECE"/>
    <w:rsid w:val="00E73FE4"/>
    <w:rsid w:val="00E74103"/>
    <w:rsid w:val="00E74555"/>
    <w:rsid w:val="00E74648"/>
    <w:rsid w:val="00E74727"/>
    <w:rsid w:val="00E74890"/>
    <w:rsid w:val="00E749DF"/>
    <w:rsid w:val="00E74A63"/>
    <w:rsid w:val="00E74BD5"/>
    <w:rsid w:val="00E74C95"/>
    <w:rsid w:val="00E74D6E"/>
    <w:rsid w:val="00E74DBD"/>
    <w:rsid w:val="00E74E1D"/>
    <w:rsid w:val="00E74E21"/>
    <w:rsid w:val="00E750CA"/>
    <w:rsid w:val="00E751A1"/>
    <w:rsid w:val="00E75242"/>
    <w:rsid w:val="00E75288"/>
    <w:rsid w:val="00E7592A"/>
    <w:rsid w:val="00E75AC3"/>
    <w:rsid w:val="00E75ACA"/>
    <w:rsid w:val="00E75F71"/>
    <w:rsid w:val="00E75F8B"/>
    <w:rsid w:val="00E75FDC"/>
    <w:rsid w:val="00E760B6"/>
    <w:rsid w:val="00E760F5"/>
    <w:rsid w:val="00E76578"/>
    <w:rsid w:val="00E765EB"/>
    <w:rsid w:val="00E76669"/>
    <w:rsid w:val="00E766AB"/>
    <w:rsid w:val="00E767F3"/>
    <w:rsid w:val="00E76834"/>
    <w:rsid w:val="00E769BA"/>
    <w:rsid w:val="00E76B2C"/>
    <w:rsid w:val="00E76C59"/>
    <w:rsid w:val="00E76CCC"/>
    <w:rsid w:val="00E76E2F"/>
    <w:rsid w:val="00E76E74"/>
    <w:rsid w:val="00E76E95"/>
    <w:rsid w:val="00E7702C"/>
    <w:rsid w:val="00E770E7"/>
    <w:rsid w:val="00E77315"/>
    <w:rsid w:val="00E77324"/>
    <w:rsid w:val="00E773DE"/>
    <w:rsid w:val="00E7746B"/>
    <w:rsid w:val="00E7749A"/>
    <w:rsid w:val="00E775FC"/>
    <w:rsid w:val="00E776DB"/>
    <w:rsid w:val="00E777CE"/>
    <w:rsid w:val="00E77998"/>
    <w:rsid w:val="00E77A35"/>
    <w:rsid w:val="00E77C5C"/>
    <w:rsid w:val="00E77DA8"/>
    <w:rsid w:val="00E77E10"/>
    <w:rsid w:val="00E77EC6"/>
    <w:rsid w:val="00E77F4F"/>
    <w:rsid w:val="00E801EE"/>
    <w:rsid w:val="00E803AD"/>
    <w:rsid w:val="00E80647"/>
    <w:rsid w:val="00E80659"/>
    <w:rsid w:val="00E8078E"/>
    <w:rsid w:val="00E8089F"/>
    <w:rsid w:val="00E808B0"/>
    <w:rsid w:val="00E809E7"/>
    <w:rsid w:val="00E809FC"/>
    <w:rsid w:val="00E80A63"/>
    <w:rsid w:val="00E80B5E"/>
    <w:rsid w:val="00E80BAA"/>
    <w:rsid w:val="00E80C53"/>
    <w:rsid w:val="00E80CB2"/>
    <w:rsid w:val="00E80DA8"/>
    <w:rsid w:val="00E80DE6"/>
    <w:rsid w:val="00E8110B"/>
    <w:rsid w:val="00E81566"/>
    <w:rsid w:val="00E819FE"/>
    <w:rsid w:val="00E81A14"/>
    <w:rsid w:val="00E81BC4"/>
    <w:rsid w:val="00E81C7A"/>
    <w:rsid w:val="00E81D51"/>
    <w:rsid w:val="00E81DE6"/>
    <w:rsid w:val="00E81E36"/>
    <w:rsid w:val="00E8207B"/>
    <w:rsid w:val="00E82122"/>
    <w:rsid w:val="00E821F1"/>
    <w:rsid w:val="00E82285"/>
    <w:rsid w:val="00E82557"/>
    <w:rsid w:val="00E828E2"/>
    <w:rsid w:val="00E82C56"/>
    <w:rsid w:val="00E82C81"/>
    <w:rsid w:val="00E82EF8"/>
    <w:rsid w:val="00E83062"/>
    <w:rsid w:val="00E83128"/>
    <w:rsid w:val="00E83357"/>
    <w:rsid w:val="00E8337D"/>
    <w:rsid w:val="00E834D0"/>
    <w:rsid w:val="00E83508"/>
    <w:rsid w:val="00E836F2"/>
    <w:rsid w:val="00E8380F"/>
    <w:rsid w:val="00E83849"/>
    <w:rsid w:val="00E83981"/>
    <w:rsid w:val="00E839DA"/>
    <w:rsid w:val="00E83A6B"/>
    <w:rsid w:val="00E83A96"/>
    <w:rsid w:val="00E83C57"/>
    <w:rsid w:val="00E83D2A"/>
    <w:rsid w:val="00E83E12"/>
    <w:rsid w:val="00E83F1F"/>
    <w:rsid w:val="00E8407B"/>
    <w:rsid w:val="00E841E6"/>
    <w:rsid w:val="00E8420F"/>
    <w:rsid w:val="00E845A4"/>
    <w:rsid w:val="00E846D9"/>
    <w:rsid w:val="00E846DF"/>
    <w:rsid w:val="00E846E2"/>
    <w:rsid w:val="00E847C5"/>
    <w:rsid w:val="00E84829"/>
    <w:rsid w:val="00E84964"/>
    <w:rsid w:val="00E84AC6"/>
    <w:rsid w:val="00E84B15"/>
    <w:rsid w:val="00E84B42"/>
    <w:rsid w:val="00E84BDE"/>
    <w:rsid w:val="00E84D5A"/>
    <w:rsid w:val="00E84DA3"/>
    <w:rsid w:val="00E84E05"/>
    <w:rsid w:val="00E84E48"/>
    <w:rsid w:val="00E84ECC"/>
    <w:rsid w:val="00E8509E"/>
    <w:rsid w:val="00E85136"/>
    <w:rsid w:val="00E8525E"/>
    <w:rsid w:val="00E852D9"/>
    <w:rsid w:val="00E852FA"/>
    <w:rsid w:val="00E85314"/>
    <w:rsid w:val="00E85454"/>
    <w:rsid w:val="00E854C0"/>
    <w:rsid w:val="00E85519"/>
    <w:rsid w:val="00E859F5"/>
    <w:rsid w:val="00E85A38"/>
    <w:rsid w:val="00E85B2A"/>
    <w:rsid w:val="00E85BE6"/>
    <w:rsid w:val="00E85C02"/>
    <w:rsid w:val="00E85C4D"/>
    <w:rsid w:val="00E85CC4"/>
    <w:rsid w:val="00E85DA0"/>
    <w:rsid w:val="00E85E00"/>
    <w:rsid w:val="00E85E5E"/>
    <w:rsid w:val="00E85F4B"/>
    <w:rsid w:val="00E85FBC"/>
    <w:rsid w:val="00E8610F"/>
    <w:rsid w:val="00E861D0"/>
    <w:rsid w:val="00E8628C"/>
    <w:rsid w:val="00E862EB"/>
    <w:rsid w:val="00E866CF"/>
    <w:rsid w:val="00E86730"/>
    <w:rsid w:val="00E869A6"/>
    <w:rsid w:val="00E869D8"/>
    <w:rsid w:val="00E86B48"/>
    <w:rsid w:val="00E86CB2"/>
    <w:rsid w:val="00E86DA6"/>
    <w:rsid w:val="00E86E84"/>
    <w:rsid w:val="00E86F13"/>
    <w:rsid w:val="00E86FE2"/>
    <w:rsid w:val="00E870F0"/>
    <w:rsid w:val="00E87150"/>
    <w:rsid w:val="00E872AF"/>
    <w:rsid w:val="00E87465"/>
    <w:rsid w:val="00E874F3"/>
    <w:rsid w:val="00E8770E"/>
    <w:rsid w:val="00E8779C"/>
    <w:rsid w:val="00E877FF"/>
    <w:rsid w:val="00E879D4"/>
    <w:rsid w:val="00E87A22"/>
    <w:rsid w:val="00E87A88"/>
    <w:rsid w:val="00E87ED4"/>
    <w:rsid w:val="00E9013F"/>
    <w:rsid w:val="00E9018C"/>
    <w:rsid w:val="00E90314"/>
    <w:rsid w:val="00E903E9"/>
    <w:rsid w:val="00E9042D"/>
    <w:rsid w:val="00E905D5"/>
    <w:rsid w:val="00E90638"/>
    <w:rsid w:val="00E90661"/>
    <w:rsid w:val="00E907C5"/>
    <w:rsid w:val="00E907D2"/>
    <w:rsid w:val="00E90870"/>
    <w:rsid w:val="00E909C2"/>
    <w:rsid w:val="00E90B4F"/>
    <w:rsid w:val="00E90CA3"/>
    <w:rsid w:val="00E90D7F"/>
    <w:rsid w:val="00E90FC1"/>
    <w:rsid w:val="00E91024"/>
    <w:rsid w:val="00E912D8"/>
    <w:rsid w:val="00E914CD"/>
    <w:rsid w:val="00E914E8"/>
    <w:rsid w:val="00E914EE"/>
    <w:rsid w:val="00E915E3"/>
    <w:rsid w:val="00E91925"/>
    <w:rsid w:val="00E91B29"/>
    <w:rsid w:val="00E91B86"/>
    <w:rsid w:val="00E91F19"/>
    <w:rsid w:val="00E91F35"/>
    <w:rsid w:val="00E91F82"/>
    <w:rsid w:val="00E92134"/>
    <w:rsid w:val="00E9223D"/>
    <w:rsid w:val="00E922D6"/>
    <w:rsid w:val="00E92375"/>
    <w:rsid w:val="00E923A6"/>
    <w:rsid w:val="00E9260C"/>
    <w:rsid w:val="00E9286E"/>
    <w:rsid w:val="00E928BB"/>
    <w:rsid w:val="00E92915"/>
    <w:rsid w:val="00E9294A"/>
    <w:rsid w:val="00E92A49"/>
    <w:rsid w:val="00E92BBB"/>
    <w:rsid w:val="00E92C82"/>
    <w:rsid w:val="00E92C9E"/>
    <w:rsid w:val="00E92CE6"/>
    <w:rsid w:val="00E92D81"/>
    <w:rsid w:val="00E92DC4"/>
    <w:rsid w:val="00E92E58"/>
    <w:rsid w:val="00E93187"/>
    <w:rsid w:val="00E933EC"/>
    <w:rsid w:val="00E93459"/>
    <w:rsid w:val="00E93535"/>
    <w:rsid w:val="00E937CC"/>
    <w:rsid w:val="00E93897"/>
    <w:rsid w:val="00E938B0"/>
    <w:rsid w:val="00E93903"/>
    <w:rsid w:val="00E93927"/>
    <w:rsid w:val="00E93AE1"/>
    <w:rsid w:val="00E93D00"/>
    <w:rsid w:val="00E93D5A"/>
    <w:rsid w:val="00E93D96"/>
    <w:rsid w:val="00E93E40"/>
    <w:rsid w:val="00E93F02"/>
    <w:rsid w:val="00E9401A"/>
    <w:rsid w:val="00E94173"/>
    <w:rsid w:val="00E943B1"/>
    <w:rsid w:val="00E943E4"/>
    <w:rsid w:val="00E94450"/>
    <w:rsid w:val="00E94617"/>
    <w:rsid w:val="00E946DE"/>
    <w:rsid w:val="00E948C2"/>
    <w:rsid w:val="00E9493A"/>
    <w:rsid w:val="00E94997"/>
    <w:rsid w:val="00E94A3B"/>
    <w:rsid w:val="00E94B36"/>
    <w:rsid w:val="00E94BBD"/>
    <w:rsid w:val="00E94D73"/>
    <w:rsid w:val="00E94DA2"/>
    <w:rsid w:val="00E94DEF"/>
    <w:rsid w:val="00E9514D"/>
    <w:rsid w:val="00E951C9"/>
    <w:rsid w:val="00E95208"/>
    <w:rsid w:val="00E952B5"/>
    <w:rsid w:val="00E955A0"/>
    <w:rsid w:val="00E95696"/>
    <w:rsid w:val="00E956C8"/>
    <w:rsid w:val="00E95957"/>
    <w:rsid w:val="00E959D2"/>
    <w:rsid w:val="00E959E1"/>
    <w:rsid w:val="00E95A2A"/>
    <w:rsid w:val="00E95C13"/>
    <w:rsid w:val="00E95DA0"/>
    <w:rsid w:val="00E95E6E"/>
    <w:rsid w:val="00E95F8E"/>
    <w:rsid w:val="00E961E8"/>
    <w:rsid w:val="00E961FB"/>
    <w:rsid w:val="00E9624F"/>
    <w:rsid w:val="00E962B1"/>
    <w:rsid w:val="00E96381"/>
    <w:rsid w:val="00E963B5"/>
    <w:rsid w:val="00E9651B"/>
    <w:rsid w:val="00E96582"/>
    <w:rsid w:val="00E9669C"/>
    <w:rsid w:val="00E9676B"/>
    <w:rsid w:val="00E96860"/>
    <w:rsid w:val="00E968FE"/>
    <w:rsid w:val="00E96A2C"/>
    <w:rsid w:val="00E96B76"/>
    <w:rsid w:val="00E96D45"/>
    <w:rsid w:val="00E96E8C"/>
    <w:rsid w:val="00E96F06"/>
    <w:rsid w:val="00E970E4"/>
    <w:rsid w:val="00E97111"/>
    <w:rsid w:val="00E971C4"/>
    <w:rsid w:val="00E971E7"/>
    <w:rsid w:val="00E97203"/>
    <w:rsid w:val="00E97249"/>
    <w:rsid w:val="00E972B6"/>
    <w:rsid w:val="00E972E0"/>
    <w:rsid w:val="00E9737A"/>
    <w:rsid w:val="00E973D3"/>
    <w:rsid w:val="00E9753E"/>
    <w:rsid w:val="00E97720"/>
    <w:rsid w:val="00E9796F"/>
    <w:rsid w:val="00E97A2E"/>
    <w:rsid w:val="00E97B4B"/>
    <w:rsid w:val="00E97BD9"/>
    <w:rsid w:val="00E97F8A"/>
    <w:rsid w:val="00EA00E6"/>
    <w:rsid w:val="00EA041B"/>
    <w:rsid w:val="00EA0484"/>
    <w:rsid w:val="00EA069D"/>
    <w:rsid w:val="00EA0809"/>
    <w:rsid w:val="00EA0812"/>
    <w:rsid w:val="00EA090B"/>
    <w:rsid w:val="00EA091D"/>
    <w:rsid w:val="00EA0F20"/>
    <w:rsid w:val="00EA1306"/>
    <w:rsid w:val="00EA1445"/>
    <w:rsid w:val="00EA16B7"/>
    <w:rsid w:val="00EA17A0"/>
    <w:rsid w:val="00EA191E"/>
    <w:rsid w:val="00EA1A00"/>
    <w:rsid w:val="00EA1AC5"/>
    <w:rsid w:val="00EA1B34"/>
    <w:rsid w:val="00EA1B50"/>
    <w:rsid w:val="00EA1B7B"/>
    <w:rsid w:val="00EA1CBB"/>
    <w:rsid w:val="00EA1CF5"/>
    <w:rsid w:val="00EA1D7C"/>
    <w:rsid w:val="00EA1E02"/>
    <w:rsid w:val="00EA1E54"/>
    <w:rsid w:val="00EA1F35"/>
    <w:rsid w:val="00EA20F0"/>
    <w:rsid w:val="00EA22A2"/>
    <w:rsid w:val="00EA25B2"/>
    <w:rsid w:val="00EA25E6"/>
    <w:rsid w:val="00EA2620"/>
    <w:rsid w:val="00EA2870"/>
    <w:rsid w:val="00EA2C16"/>
    <w:rsid w:val="00EA2D9B"/>
    <w:rsid w:val="00EA30E8"/>
    <w:rsid w:val="00EA31F1"/>
    <w:rsid w:val="00EA342B"/>
    <w:rsid w:val="00EA353E"/>
    <w:rsid w:val="00EA36CF"/>
    <w:rsid w:val="00EA3739"/>
    <w:rsid w:val="00EA379E"/>
    <w:rsid w:val="00EA37B1"/>
    <w:rsid w:val="00EA382D"/>
    <w:rsid w:val="00EA3847"/>
    <w:rsid w:val="00EA391A"/>
    <w:rsid w:val="00EA3983"/>
    <w:rsid w:val="00EA3B57"/>
    <w:rsid w:val="00EA3B6D"/>
    <w:rsid w:val="00EA3CA8"/>
    <w:rsid w:val="00EA3D0A"/>
    <w:rsid w:val="00EA3D11"/>
    <w:rsid w:val="00EA3F02"/>
    <w:rsid w:val="00EA3F35"/>
    <w:rsid w:val="00EA3F79"/>
    <w:rsid w:val="00EA4088"/>
    <w:rsid w:val="00EA44A0"/>
    <w:rsid w:val="00EA45F0"/>
    <w:rsid w:val="00EA4724"/>
    <w:rsid w:val="00EA4816"/>
    <w:rsid w:val="00EA4830"/>
    <w:rsid w:val="00EA48B1"/>
    <w:rsid w:val="00EA48D0"/>
    <w:rsid w:val="00EA48E1"/>
    <w:rsid w:val="00EA4B1E"/>
    <w:rsid w:val="00EA4BB4"/>
    <w:rsid w:val="00EA4CDE"/>
    <w:rsid w:val="00EA4CE2"/>
    <w:rsid w:val="00EA4D28"/>
    <w:rsid w:val="00EA4F52"/>
    <w:rsid w:val="00EA4F7D"/>
    <w:rsid w:val="00EA525A"/>
    <w:rsid w:val="00EA534D"/>
    <w:rsid w:val="00EA55AD"/>
    <w:rsid w:val="00EA580C"/>
    <w:rsid w:val="00EA58A2"/>
    <w:rsid w:val="00EA5C5F"/>
    <w:rsid w:val="00EA5F17"/>
    <w:rsid w:val="00EA603C"/>
    <w:rsid w:val="00EA6126"/>
    <w:rsid w:val="00EA626B"/>
    <w:rsid w:val="00EA63C5"/>
    <w:rsid w:val="00EA63EC"/>
    <w:rsid w:val="00EA6433"/>
    <w:rsid w:val="00EA6656"/>
    <w:rsid w:val="00EA66B6"/>
    <w:rsid w:val="00EA69B3"/>
    <w:rsid w:val="00EA6A21"/>
    <w:rsid w:val="00EA6A3C"/>
    <w:rsid w:val="00EA6B08"/>
    <w:rsid w:val="00EA6C2B"/>
    <w:rsid w:val="00EA6E9A"/>
    <w:rsid w:val="00EA6F88"/>
    <w:rsid w:val="00EA70E1"/>
    <w:rsid w:val="00EA72F1"/>
    <w:rsid w:val="00EA7322"/>
    <w:rsid w:val="00EA734B"/>
    <w:rsid w:val="00EA758D"/>
    <w:rsid w:val="00EA77C6"/>
    <w:rsid w:val="00EA78B7"/>
    <w:rsid w:val="00EA78C4"/>
    <w:rsid w:val="00EA796E"/>
    <w:rsid w:val="00EA7AD6"/>
    <w:rsid w:val="00EA7AEA"/>
    <w:rsid w:val="00EA7BEC"/>
    <w:rsid w:val="00EA7E8B"/>
    <w:rsid w:val="00EB00E3"/>
    <w:rsid w:val="00EB01C6"/>
    <w:rsid w:val="00EB01F8"/>
    <w:rsid w:val="00EB028C"/>
    <w:rsid w:val="00EB02BC"/>
    <w:rsid w:val="00EB074A"/>
    <w:rsid w:val="00EB0754"/>
    <w:rsid w:val="00EB08F4"/>
    <w:rsid w:val="00EB096B"/>
    <w:rsid w:val="00EB09CC"/>
    <w:rsid w:val="00EB0B82"/>
    <w:rsid w:val="00EB0D36"/>
    <w:rsid w:val="00EB0D76"/>
    <w:rsid w:val="00EB0D86"/>
    <w:rsid w:val="00EB0E6D"/>
    <w:rsid w:val="00EB0FA9"/>
    <w:rsid w:val="00EB0FB9"/>
    <w:rsid w:val="00EB10F7"/>
    <w:rsid w:val="00EB1327"/>
    <w:rsid w:val="00EB13BA"/>
    <w:rsid w:val="00EB1437"/>
    <w:rsid w:val="00EB16A0"/>
    <w:rsid w:val="00EB16F6"/>
    <w:rsid w:val="00EB187B"/>
    <w:rsid w:val="00EB18AD"/>
    <w:rsid w:val="00EB18DA"/>
    <w:rsid w:val="00EB18E9"/>
    <w:rsid w:val="00EB19AA"/>
    <w:rsid w:val="00EB19E9"/>
    <w:rsid w:val="00EB1A93"/>
    <w:rsid w:val="00EB1C6A"/>
    <w:rsid w:val="00EB1CF1"/>
    <w:rsid w:val="00EB1CF2"/>
    <w:rsid w:val="00EB1D21"/>
    <w:rsid w:val="00EB1D70"/>
    <w:rsid w:val="00EB1D9E"/>
    <w:rsid w:val="00EB1DFF"/>
    <w:rsid w:val="00EB1E6D"/>
    <w:rsid w:val="00EB1EB5"/>
    <w:rsid w:val="00EB1EF3"/>
    <w:rsid w:val="00EB1F50"/>
    <w:rsid w:val="00EB201C"/>
    <w:rsid w:val="00EB20A6"/>
    <w:rsid w:val="00EB2100"/>
    <w:rsid w:val="00EB22B6"/>
    <w:rsid w:val="00EB243D"/>
    <w:rsid w:val="00EB249F"/>
    <w:rsid w:val="00EB25FA"/>
    <w:rsid w:val="00EB293C"/>
    <w:rsid w:val="00EB2969"/>
    <w:rsid w:val="00EB29A8"/>
    <w:rsid w:val="00EB2E4F"/>
    <w:rsid w:val="00EB2EE2"/>
    <w:rsid w:val="00EB2FBF"/>
    <w:rsid w:val="00EB307F"/>
    <w:rsid w:val="00EB3124"/>
    <w:rsid w:val="00EB3151"/>
    <w:rsid w:val="00EB31DB"/>
    <w:rsid w:val="00EB3293"/>
    <w:rsid w:val="00EB336D"/>
    <w:rsid w:val="00EB338B"/>
    <w:rsid w:val="00EB342F"/>
    <w:rsid w:val="00EB34C0"/>
    <w:rsid w:val="00EB3517"/>
    <w:rsid w:val="00EB36AE"/>
    <w:rsid w:val="00EB37EB"/>
    <w:rsid w:val="00EB386F"/>
    <w:rsid w:val="00EB3D0E"/>
    <w:rsid w:val="00EB4026"/>
    <w:rsid w:val="00EB410D"/>
    <w:rsid w:val="00EB4197"/>
    <w:rsid w:val="00EB41CB"/>
    <w:rsid w:val="00EB41DF"/>
    <w:rsid w:val="00EB4285"/>
    <w:rsid w:val="00EB42A7"/>
    <w:rsid w:val="00EB42A8"/>
    <w:rsid w:val="00EB42EA"/>
    <w:rsid w:val="00EB454C"/>
    <w:rsid w:val="00EB4756"/>
    <w:rsid w:val="00EB4760"/>
    <w:rsid w:val="00EB4934"/>
    <w:rsid w:val="00EB49F4"/>
    <w:rsid w:val="00EB4B63"/>
    <w:rsid w:val="00EB4F33"/>
    <w:rsid w:val="00EB5050"/>
    <w:rsid w:val="00EB509A"/>
    <w:rsid w:val="00EB50B1"/>
    <w:rsid w:val="00EB5229"/>
    <w:rsid w:val="00EB5290"/>
    <w:rsid w:val="00EB537A"/>
    <w:rsid w:val="00EB53E4"/>
    <w:rsid w:val="00EB53F9"/>
    <w:rsid w:val="00EB5461"/>
    <w:rsid w:val="00EB5537"/>
    <w:rsid w:val="00EB56FC"/>
    <w:rsid w:val="00EB5730"/>
    <w:rsid w:val="00EB599F"/>
    <w:rsid w:val="00EB5A54"/>
    <w:rsid w:val="00EB5C13"/>
    <w:rsid w:val="00EB5C85"/>
    <w:rsid w:val="00EB5D0B"/>
    <w:rsid w:val="00EB5EEC"/>
    <w:rsid w:val="00EB5EF0"/>
    <w:rsid w:val="00EB5FA0"/>
    <w:rsid w:val="00EB664E"/>
    <w:rsid w:val="00EB66B8"/>
    <w:rsid w:val="00EB66C7"/>
    <w:rsid w:val="00EB683A"/>
    <w:rsid w:val="00EB6949"/>
    <w:rsid w:val="00EB6ABE"/>
    <w:rsid w:val="00EB6B34"/>
    <w:rsid w:val="00EB6B83"/>
    <w:rsid w:val="00EB6BB5"/>
    <w:rsid w:val="00EB6BF3"/>
    <w:rsid w:val="00EB6E7C"/>
    <w:rsid w:val="00EB7072"/>
    <w:rsid w:val="00EB72B2"/>
    <w:rsid w:val="00EB7397"/>
    <w:rsid w:val="00EB73A6"/>
    <w:rsid w:val="00EB74E6"/>
    <w:rsid w:val="00EB76B6"/>
    <w:rsid w:val="00EB77CA"/>
    <w:rsid w:val="00EB78B3"/>
    <w:rsid w:val="00EB78C9"/>
    <w:rsid w:val="00EB7993"/>
    <w:rsid w:val="00EB7994"/>
    <w:rsid w:val="00EB79D0"/>
    <w:rsid w:val="00EB7A81"/>
    <w:rsid w:val="00EB7BC1"/>
    <w:rsid w:val="00EB7C2A"/>
    <w:rsid w:val="00EB7F46"/>
    <w:rsid w:val="00EC0251"/>
    <w:rsid w:val="00EC0285"/>
    <w:rsid w:val="00EC06E5"/>
    <w:rsid w:val="00EC0893"/>
    <w:rsid w:val="00EC0998"/>
    <w:rsid w:val="00EC0A44"/>
    <w:rsid w:val="00EC0A74"/>
    <w:rsid w:val="00EC0C51"/>
    <w:rsid w:val="00EC0D21"/>
    <w:rsid w:val="00EC0D85"/>
    <w:rsid w:val="00EC0F61"/>
    <w:rsid w:val="00EC10F9"/>
    <w:rsid w:val="00EC1177"/>
    <w:rsid w:val="00EC150E"/>
    <w:rsid w:val="00EC172D"/>
    <w:rsid w:val="00EC184F"/>
    <w:rsid w:val="00EC1893"/>
    <w:rsid w:val="00EC193D"/>
    <w:rsid w:val="00EC1D89"/>
    <w:rsid w:val="00EC2044"/>
    <w:rsid w:val="00EC2064"/>
    <w:rsid w:val="00EC2193"/>
    <w:rsid w:val="00EC23AF"/>
    <w:rsid w:val="00EC25BB"/>
    <w:rsid w:val="00EC26C9"/>
    <w:rsid w:val="00EC26E3"/>
    <w:rsid w:val="00EC2A7F"/>
    <w:rsid w:val="00EC2B44"/>
    <w:rsid w:val="00EC2B60"/>
    <w:rsid w:val="00EC2D63"/>
    <w:rsid w:val="00EC32B7"/>
    <w:rsid w:val="00EC332C"/>
    <w:rsid w:val="00EC3386"/>
    <w:rsid w:val="00EC3652"/>
    <w:rsid w:val="00EC36F1"/>
    <w:rsid w:val="00EC36F8"/>
    <w:rsid w:val="00EC37D9"/>
    <w:rsid w:val="00EC39ED"/>
    <w:rsid w:val="00EC3A9E"/>
    <w:rsid w:val="00EC3EE8"/>
    <w:rsid w:val="00EC4037"/>
    <w:rsid w:val="00EC436F"/>
    <w:rsid w:val="00EC4385"/>
    <w:rsid w:val="00EC43C3"/>
    <w:rsid w:val="00EC43FF"/>
    <w:rsid w:val="00EC4485"/>
    <w:rsid w:val="00EC4513"/>
    <w:rsid w:val="00EC451B"/>
    <w:rsid w:val="00EC4651"/>
    <w:rsid w:val="00EC4695"/>
    <w:rsid w:val="00EC46F0"/>
    <w:rsid w:val="00EC486B"/>
    <w:rsid w:val="00EC4950"/>
    <w:rsid w:val="00EC4A9F"/>
    <w:rsid w:val="00EC4AFD"/>
    <w:rsid w:val="00EC4C1A"/>
    <w:rsid w:val="00EC4F33"/>
    <w:rsid w:val="00EC5050"/>
    <w:rsid w:val="00EC50B5"/>
    <w:rsid w:val="00EC5117"/>
    <w:rsid w:val="00EC51B5"/>
    <w:rsid w:val="00EC52AE"/>
    <w:rsid w:val="00EC533B"/>
    <w:rsid w:val="00EC5525"/>
    <w:rsid w:val="00EC552A"/>
    <w:rsid w:val="00EC55DB"/>
    <w:rsid w:val="00EC579C"/>
    <w:rsid w:val="00EC5813"/>
    <w:rsid w:val="00EC582B"/>
    <w:rsid w:val="00EC585B"/>
    <w:rsid w:val="00EC594E"/>
    <w:rsid w:val="00EC59A9"/>
    <w:rsid w:val="00EC5B61"/>
    <w:rsid w:val="00EC5C3D"/>
    <w:rsid w:val="00EC5CAB"/>
    <w:rsid w:val="00EC5E73"/>
    <w:rsid w:val="00EC5E93"/>
    <w:rsid w:val="00EC5EB1"/>
    <w:rsid w:val="00EC5F57"/>
    <w:rsid w:val="00EC61EA"/>
    <w:rsid w:val="00EC62A6"/>
    <w:rsid w:val="00EC6471"/>
    <w:rsid w:val="00EC647C"/>
    <w:rsid w:val="00EC654F"/>
    <w:rsid w:val="00EC65C6"/>
    <w:rsid w:val="00EC6600"/>
    <w:rsid w:val="00EC669E"/>
    <w:rsid w:val="00EC6734"/>
    <w:rsid w:val="00EC6A35"/>
    <w:rsid w:val="00EC6ACB"/>
    <w:rsid w:val="00EC6C71"/>
    <w:rsid w:val="00EC6F24"/>
    <w:rsid w:val="00EC7136"/>
    <w:rsid w:val="00EC71FB"/>
    <w:rsid w:val="00EC72B2"/>
    <w:rsid w:val="00EC730B"/>
    <w:rsid w:val="00EC75AB"/>
    <w:rsid w:val="00EC75B6"/>
    <w:rsid w:val="00EC7788"/>
    <w:rsid w:val="00EC77F6"/>
    <w:rsid w:val="00EC7A62"/>
    <w:rsid w:val="00EC7A82"/>
    <w:rsid w:val="00EC7AB4"/>
    <w:rsid w:val="00EC7D90"/>
    <w:rsid w:val="00EC7F39"/>
    <w:rsid w:val="00ED0061"/>
    <w:rsid w:val="00ED0067"/>
    <w:rsid w:val="00ED0118"/>
    <w:rsid w:val="00ED0589"/>
    <w:rsid w:val="00ED0628"/>
    <w:rsid w:val="00ED0646"/>
    <w:rsid w:val="00ED06E4"/>
    <w:rsid w:val="00ED07F2"/>
    <w:rsid w:val="00ED09E7"/>
    <w:rsid w:val="00ED0AAC"/>
    <w:rsid w:val="00ED0E8D"/>
    <w:rsid w:val="00ED1044"/>
    <w:rsid w:val="00ED1540"/>
    <w:rsid w:val="00ED16C9"/>
    <w:rsid w:val="00ED17B2"/>
    <w:rsid w:val="00ED184B"/>
    <w:rsid w:val="00ED1C54"/>
    <w:rsid w:val="00ED1EFE"/>
    <w:rsid w:val="00ED2045"/>
    <w:rsid w:val="00ED21F0"/>
    <w:rsid w:val="00ED25AC"/>
    <w:rsid w:val="00ED25C1"/>
    <w:rsid w:val="00ED25DC"/>
    <w:rsid w:val="00ED2609"/>
    <w:rsid w:val="00ED26DC"/>
    <w:rsid w:val="00ED2741"/>
    <w:rsid w:val="00ED27F1"/>
    <w:rsid w:val="00ED299A"/>
    <w:rsid w:val="00ED2A19"/>
    <w:rsid w:val="00ED2DEB"/>
    <w:rsid w:val="00ED2E36"/>
    <w:rsid w:val="00ED2E53"/>
    <w:rsid w:val="00ED2E7C"/>
    <w:rsid w:val="00ED305F"/>
    <w:rsid w:val="00ED3100"/>
    <w:rsid w:val="00ED33DF"/>
    <w:rsid w:val="00ED35F0"/>
    <w:rsid w:val="00ED385D"/>
    <w:rsid w:val="00ED3868"/>
    <w:rsid w:val="00ED3879"/>
    <w:rsid w:val="00ED3A11"/>
    <w:rsid w:val="00ED3A86"/>
    <w:rsid w:val="00ED3B06"/>
    <w:rsid w:val="00ED3CC0"/>
    <w:rsid w:val="00ED3CD0"/>
    <w:rsid w:val="00ED3D56"/>
    <w:rsid w:val="00ED3E83"/>
    <w:rsid w:val="00ED4554"/>
    <w:rsid w:val="00ED4643"/>
    <w:rsid w:val="00ED4959"/>
    <w:rsid w:val="00ED4A2D"/>
    <w:rsid w:val="00ED4A4D"/>
    <w:rsid w:val="00ED4B4B"/>
    <w:rsid w:val="00ED4C51"/>
    <w:rsid w:val="00ED4CFE"/>
    <w:rsid w:val="00ED4E39"/>
    <w:rsid w:val="00ED5056"/>
    <w:rsid w:val="00ED5174"/>
    <w:rsid w:val="00ED56A1"/>
    <w:rsid w:val="00ED5779"/>
    <w:rsid w:val="00ED594D"/>
    <w:rsid w:val="00ED59A2"/>
    <w:rsid w:val="00ED5CD3"/>
    <w:rsid w:val="00ED621C"/>
    <w:rsid w:val="00ED6341"/>
    <w:rsid w:val="00ED6618"/>
    <w:rsid w:val="00ED6813"/>
    <w:rsid w:val="00ED6AD8"/>
    <w:rsid w:val="00ED6C79"/>
    <w:rsid w:val="00ED6C92"/>
    <w:rsid w:val="00ED6E8E"/>
    <w:rsid w:val="00ED6F1D"/>
    <w:rsid w:val="00ED703E"/>
    <w:rsid w:val="00ED72B4"/>
    <w:rsid w:val="00ED736C"/>
    <w:rsid w:val="00ED74B1"/>
    <w:rsid w:val="00ED768B"/>
    <w:rsid w:val="00ED76C4"/>
    <w:rsid w:val="00ED778F"/>
    <w:rsid w:val="00ED78ED"/>
    <w:rsid w:val="00ED7A05"/>
    <w:rsid w:val="00ED7A84"/>
    <w:rsid w:val="00ED7BA4"/>
    <w:rsid w:val="00EE000F"/>
    <w:rsid w:val="00EE0089"/>
    <w:rsid w:val="00EE015E"/>
    <w:rsid w:val="00EE025B"/>
    <w:rsid w:val="00EE027D"/>
    <w:rsid w:val="00EE03EE"/>
    <w:rsid w:val="00EE04B1"/>
    <w:rsid w:val="00EE078C"/>
    <w:rsid w:val="00EE0802"/>
    <w:rsid w:val="00EE09E2"/>
    <w:rsid w:val="00EE09ED"/>
    <w:rsid w:val="00EE0A33"/>
    <w:rsid w:val="00EE0AFC"/>
    <w:rsid w:val="00EE0BE6"/>
    <w:rsid w:val="00EE0DFB"/>
    <w:rsid w:val="00EE1077"/>
    <w:rsid w:val="00EE114B"/>
    <w:rsid w:val="00EE124D"/>
    <w:rsid w:val="00EE126A"/>
    <w:rsid w:val="00EE1333"/>
    <w:rsid w:val="00EE1355"/>
    <w:rsid w:val="00EE136A"/>
    <w:rsid w:val="00EE143F"/>
    <w:rsid w:val="00EE157B"/>
    <w:rsid w:val="00EE1687"/>
    <w:rsid w:val="00EE18C1"/>
    <w:rsid w:val="00EE1914"/>
    <w:rsid w:val="00EE1C70"/>
    <w:rsid w:val="00EE1DCF"/>
    <w:rsid w:val="00EE1DF6"/>
    <w:rsid w:val="00EE1F20"/>
    <w:rsid w:val="00EE2071"/>
    <w:rsid w:val="00EE2171"/>
    <w:rsid w:val="00EE2509"/>
    <w:rsid w:val="00EE25CA"/>
    <w:rsid w:val="00EE27D3"/>
    <w:rsid w:val="00EE2950"/>
    <w:rsid w:val="00EE2A7D"/>
    <w:rsid w:val="00EE2BCC"/>
    <w:rsid w:val="00EE2C03"/>
    <w:rsid w:val="00EE2C07"/>
    <w:rsid w:val="00EE2CC9"/>
    <w:rsid w:val="00EE2D3C"/>
    <w:rsid w:val="00EE2E96"/>
    <w:rsid w:val="00EE30A9"/>
    <w:rsid w:val="00EE30B9"/>
    <w:rsid w:val="00EE32BD"/>
    <w:rsid w:val="00EE32CA"/>
    <w:rsid w:val="00EE34F2"/>
    <w:rsid w:val="00EE34F3"/>
    <w:rsid w:val="00EE387A"/>
    <w:rsid w:val="00EE3B0A"/>
    <w:rsid w:val="00EE3B9C"/>
    <w:rsid w:val="00EE3D03"/>
    <w:rsid w:val="00EE3D23"/>
    <w:rsid w:val="00EE3D8D"/>
    <w:rsid w:val="00EE3F1E"/>
    <w:rsid w:val="00EE3F21"/>
    <w:rsid w:val="00EE3FC6"/>
    <w:rsid w:val="00EE436E"/>
    <w:rsid w:val="00EE43C9"/>
    <w:rsid w:val="00EE4464"/>
    <w:rsid w:val="00EE44F2"/>
    <w:rsid w:val="00EE457E"/>
    <w:rsid w:val="00EE47DB"/>
    <w:rsid w:val="00EE491A"/>
    <w:rsid w:val="00EE4990"/>
    <w:rsid w:val="00EE4CBA"/>
    <w:rsid w:val="00EE4EA1"/>
    <w:rsid w:val="00EE51D6"/>
    <w:rsid w:val="00EE53BD"/>
    <w:rsid w:val="00EE53F7"/>
    <w:rsid w:val="00EE5650"/>
    <w:rsid w:val="00EE5918"/>
    <w:rsid w:val="00EE5AB7"/>
    <w:rsid w:val="00EE5F4E"/>
    <w:rsid w:val="00EE6141"/>
    <w:rsid w:val="00EE61CC"/>
    <w:rsid w:val="00EE6378"/>
    <w:rsid w:val="00EE65D9"/>
    <w:rsid w:val="00EE66EF"/>
    <w:rsid w:val="00EE697B"/>
    <w:rsid w:val="00EE6BAC"/>
    <w:rsid w:val="00EE7089"/>
    <w:rsid w:val="00EE708F"/>
    <w:rsid w:val="00EE7220"/>
    <w:rsid w:val="00EE740D"/>
    <w:rsid w:val="00EE755E"/>
    <w:rsid w:val="00EE772E"/>
    <w:rsid w:val="00EE7774"/>
    <w:rsid w:val="00EE79C2"/>
    <w:rsid w:val="00EE7B8D"/>
    <w:rsid w:val="00EE7C4D"/>
    <w:rsid w:val="00EE7C5A"/>
    <w:rsid w:val="00EE7EAF"/>
    <w:rsid w:val="00EF0027"/>
    <w:rsid w:val="00EF018C"/>
    <w:rsid w:val="00EF02AE"/>
    <w:rsid w:val="00EF03B0"/>
    <w:rsid w:val="00EF04A6"/>
    <w:rsid w:val="00EF0635"/>
    <w:rsid w:val="00EF0762"/>
    <w:rsid w:val="00EF07B1"/>
    <w:rsid w:val="00EF0AD3"/>
    <w:rsid w:val="00EF0B7A"/>
    <w:rsid w:val="00EF0BF9"/>
    <w:rsid w:val="00EF0C5C"/>
    <w:rsid w:val="00EF0CD8"/>
    <w:rsid w:val="00EF0F66"/>
    <w:rsid w:val="00EF0FED"/>
    <w:rsid w:val="00EF134D"/>
    <w:rsid w:val="00EF13AF"/>
    <w:rsid w:val="00EF1425"/>
    <w:rsid w:val="00EF1488"/>
    <w:rsid w:val="00EF1560"/>
    <w:rsid w:val="00EF15A7"/>
    <w:rsid w:val="00EF16A1"/>
    <w:rsid w:val="00EF17B5"/>
    <w:rsid w:val="00EF17C0"/>
    <w:rsid w:val="00EF1896"/>
    <w:rsid w:val="00EF18BC"/>
    <w:rsid w:val="00EF18FE"/>
    <w:rsid w:val="00EF1B71"/>
    <w:rsid w:val="00EF1B80"/>
    <w:rsid w:val="00EF1C79"/>
    <w:rsid w:val="00EF1C9A"/>
    <w:rsid w:val="00EF1D0F"/>
    <w:rsid w:val="00EF1DA3"/>
    <w:rsid w:val="00EF1DF3"/>
    <w:rsid w:val="00EF2204"/>
    <w:rsid w:val="00EF234A"/>
    <w:rsid w:val="00EF261A"/>
    <w:rsid w:val="00EF277D"/>
    <w:rsid w:val="00EF27D9"/>
    <w:rsid w:val="00EF298F"/>
    <w:rsid w:val="00EF2A65"/>
    <w:rsid w:val="00EF2AE5"/>
    <w:rsid w:val="00EF2C36"/>
    <w:rsid w:val="00EF2CEC"/>
    <w:rsid w:val="00EF2DDA"/>
    <w:rsid w:val="00EF30C7"/>
    <w:rsid w:val="00EF310B"/>
    <w:rsid w:val="00EF3317"/>
    <w:rsid w:val="00EF3337"/>
    <w:rsid w:val="00EF3489"/>
    <w:rsid w:val="00EF34E2"/>
    <w:rsid w:val="00EF3510"/>
    <w:rsid w:val="00EF377A"/>
    <w:rsid w:val="00EF3954"/>
    <w:rsid w:val="00EF39B3"/>
    <w:rsid w:val="00EF3A9C"/>
    <w:rsid w:val="00EF3B1F"/>
    <w:rsid w:val="00EF3B56"/>
    <w:rsid w:val="00EF3C05"/>
    <w:rsid w:val="00EF3C8D"/>
    <w:rsid w:val="00EF3D37"/>
    <w:rsid w:val="00EF3F9E"/>
    <w:rsid w:val="00EF4091"/>
    <w:rsid w:val="00EF42D9"/>
    <w:rsid w:val="00EF43E9"/>
    <w:rsid w:val="00EF4460"/>
    <w:rsid w:val="00EF448F"/>
    <w:rsid w:val="00EF45C1"/>
    <w:rsid w:val="00EF45D4"/>
    <w:rsid w:val="00EF46B7"/>
    <w:rsid w:val="00EF475C"/>
    <w:rsid w:val="00EF4791"/>
    <w:rsid w:val="00EF48FC"/>
    <w:rsid w:val="00EF4A70"/>
    <w:rsid w:val="00EF4BC6"/>
    <w:rsid w:val="00EF4E3C"/>
    <w:rsid w:val="00EF535C"/>
    <w:rsid w:val="00EF536B"/>
    <w:rsid w:val="00EF5395"/>
    <w:rsid w:val="00EF544F"/>
    <w:rsid w:val="00EF5471"/>
    <w:rsid w:val="00EF5743"/>
    <w:rsid w:val="00EF5760"/>
    <w:rsid w:val="00EF5A83"/>
    <w:rsid w:val="00EF5AF7"/>
    <w:rsid w:val="00EF5D68"/>
    <w:rsid w:val="00EF5DA0"/>
    <w:rsid w:val="00EF5E68"/>
    <w:rsid w:val="00EF6056"/>
    <w:rsid w:val="00EF60E6"/>
    <w:rsid w:val="00EF64C9"/>
    <w:rsid w:val="00EF662E"/>
    <w:rsid w:val="00EF676A"/>
    <w:rsid w:val="00EF67DB"/>
    <w:rsid w:val="00EF6E7C"/>
    <w:rsid w:val="00EF6EB0"/>
    <w:rsid w:val="00EF6FE7"/>
    <w:rsid w:val="00EF716C"/>
    <w:rsid w:val="00EF74C9"/>
    <w:rsid w:val="00EF75A6"/>
    <w:rsid w:val="00EF76E2"/>
    <w:rsid w:val="00EF76F3"/>
    <w:rsid w:val="00EF77B6"/>
    <w:rsid w:val="00EF7932"/>
    <w:rsid w:val="00EF798D"/>
    <w:rsid w:val="00EF7AE1"/>
    <w:rsid w:val="00EF7D05"/>
    <w:rsid w:val="00EF7D25"/>
    <w:rsid w:val="00EF7F4D"/>
    <w:rsid w:val="00EF7FFC"/>
    <w:rsid w:val="00F00061"/>
    <w:rsid w:val="00F002C7"/>
    <w:rsid w:val="00F002EB"/>
    <w:rsid w:val="00F00557"/>
    <w:rsid w:val="00F005F8"/>
    <w:rsid w:val="00F006E9"/>
    <w:rsid w:val="00F00ABE"/>
    <w:rsid w:val="00F00B17"/>
    <w:rsid w:val="00F00C9B"/>
    <w:rsid w:val="00F00DCC"/>
    <w:rsid w:val="00F00E2C"/>
    <w:rsid w:val="00F00EA2"/>
    <w:rsid w:val="00F00ED1"/>
    <w:rsid w:val="00F01036"/>
    <w:rsid w:val="00F011FB"/>
    <w:rsid w:val="00F013C1"/>
    <w:rsid w:val="00F01529"/>
    <w:rsid w:val="00F016F2"/>
    <w:rsid w:val="00F01830"/>
    <w:rsid w:val="00F0183A"/>
    <w:rsid w:val="00F01B24"/>
    <w:rsid w:val="00F01BE8"/>
    <w:rsid w:val="00F01C3D"/>
    <w:rsid w:val="00F01D45"/>
    <w:rsid w:val="00F01F2D"/>
    <w:rsid w:val="00F01F8B"/>
    <w:rsid w:val="00F02220"/>
    <w:rsid w:val="00F02359"/>
    <w:rsid w:val="00F02533"/>
    <w:rsid w:val="00F02710"/>
    <w:rsid w:val="00F02718"/>
    <w:rsid w:val="00F027DE"/>
    <w:rsid w:val="00F02AE6"/>
    <w:rsid w:val="00F02BDF"/>
    <w:rsid w:val="00F02DC0"/>
    <w:rsid w:val="00F02DC3"/>
    <w:rsid w:val="00F02E92"/>
    <w:rsid w:val="00F02F13"/>
    <w:rsid w:val="00F02FE6"/>
    <w:rsid w:val="00F03227"/>
    <w:rsid w:val="00F033E8"/>
    <w:rsid w:val="00F035B7"/>
    <w:rsid w:val="00F036D6"/>
    <w:rsid w:val="00F03722"/>
    <w:rsid w:val="00F03876"/>
    <w:rsid w:val="00F038C6"/>
    <w:rsid w:val="00F03901"/>
    <w:rsid w:val="00F03A25"/>
    <w:rsid w:val="00F03CA0"/>
    <w:rsid w:val="00F04107"/>
    <w:rsid w:val="00F0413B"/>
    <w:rsid w:val="00F041C1"/>
    <w:rsid w:val="00F04313"/>
    <w:rsid w:val="00F0444A"/>
    <w:rsid w:val="00F0466A"/>
    <w:rsid w:val="00F04994"/>
    <w:rsid w:val="00F04A37"/>
    <w:rsid w:val="00F04A95"/>
    <w:rsid w:val="00F04CA5"/>
    <w:rsid w:val="00F04D54"/>
    <w:rsid w:val="00F04D69"/>
    <w:rsid w:val="00F04E48"/>
    <w:rsid w:val="00F050EF"/>
    <w:rsid w:val="00F051D9"/>
    <w:rsid w:val="00F0539E"/>
    <w:rsid w:val="00F0545D"/>
    <w:rsid w:val="00F05546"/>
    <w:rsid w:val="00F05659"/>
    <w:rsid w:val="00F056F7"/>
    <w:rsid w:val="00F0574D"/>
    <w:rsid w:val="00F0583A"/>
    <w:rsid w:val="00F05A65"/>
    <w:rsid w:val="00F05A6E"/>
    <w:rsid w:val="00F05B32"/>
    <w:rsid w:val="00F05B76"/>
    <w:rsid w:val="00F05BA8"/>
    <w:rsid w:val="00F05C35"/>
    <w:rsid w:val="00F05C7D"/>
    <w:rsid w:val="00F05E69"/>
    <w:rsid w:val="00F05EBE"/>
    <w:rsid w:val="00F05F11"/>
    <w:rsid w:val="00F063DF"/>
    <w:rsid w:val="00F0649F"/>
    <w:rsid w:val="00F0669E"/>
    <w:rsid w:val="00F0670C"/>
    <w:rsid w:val="00F06828"/>
    <w:rsid w:val="00F06979"/>
    <w:rsid w:val="00F06AA7"/>
    <w:rsid w:val="00F06D04"/>
    <w:rsid w:val="00F06D27"/>
    <w:rsid w:val="00F06EEC"/>
    <w:rsid w:val="00F071CE"/>
    <w:rsid w:val="00F074F9"/>
    <w:rsid w:val="00F074FE"/>
    <w:rsid w:val="00F0768A"/>
    <w:rsid w:val="00F076CB"/>
    <w:rsid w:val="00F076FD"/>
    <w:rsid w:val="00F07A83"/>
    <w:rsid w:val="00F07A9B"/>
    <w:rsid w:val="00F07B0B"/>
    <w:rsid w:val="00F07B96"/>
    <w:rsid w:val="00F07DB9"/>
    <w:rsid w:val="00F07E46"/>
    <w:rsid w:val="00F07F1C"/>
    <w:rsid w:val="00F07F27"/>
    <w:rsid w:val="00F10173"/>
    <w:rsid w:val="00F1068A"/>
    <w:rsid w:val="00F10811"/>
    <w:rsid w:val="00F10985"/>
    <w:rsid w:val="00F10A3E"/>
    <w:rsid w:val="00F10B5D"/>
    <w:rsid w:val="00F10B73"/>
    <w:rsid w:val="00F10C51"/>
    <w:rsid w:val="00F10E4A"/>
    <w:rsid w:val="00F112A2"/>
    <w:rsid w:val="00F112B3"/>
    <w:rsid w:val="00F1147F"/>
    <w:rsid w:val="00F115FA"/>
    <w:rsid w:val="00F11689"/>
    <w:rsid w:val="00F116C5"/>
    <w:rsid w:val="00F1184B"/>
    <w:rsid w:val="00F11896"/>
    <w:rsid w:val="00F11A6F"/>
    <w:rsid w:val="00F11D37"/>
    <w:rsid w:val="00F11D5F"/>
    <w:rsid w:val="00F12080"/>
    <w:rsid w:val="00F12113"/>
    <w:rsid w:val="00F12116"/>
    <w:rsid w:val="00F122F1"/>
    <w:rsid w:val="00F123DA"/>
    <w:rsid w:val="00F12468"/>
    <w:rsid w:val="00F1252D"/>
    <w:rsid w:val="00F125D4"/>
    <w:rsid w:val="00F128B3"/>
    <w:rsid w:val="00F12BC8"/>
    <w:rsid w:val="00F12BD4"/>
    <w:rsid w:val="00F12DA4"/>
    <w:rsid w:val="00F12E01"/>
    <w:rsid w:val="00F12E05"/>
    <w:rsid w:val="00F12E17"/>
    <w:rsid w:val="00F12E4C"/>
    <w:rsid w:val="00F12E52"/>
    <w:rsid w:val="00F132DF"/>
    <w:rsid w:val="00F13370"/>
    <w:rsid w:val="00F134D9"/>
    <w:rsid w:val="00F135B0"/>
    <w:rsid w:val="00F137DF"/>
    <w:rsid w:val="00F13A4A"/>
    <w:rsid w:val="00F13A6A"/>
    <w:rsid w:val="00F13A89"/>
    <w:rsid w:val="00F13C5A"/>
    <w:rsid w:val="00F13D50"/>
    <w:rsid w:val="00F13F78"/>
    <w:rsid w:val="00F13FF4"/>
    <w:rsid w:val="00F14036"/>
    <w:rsid w:val="00F141FB"/>
    <w:rsid w:val="00F14315"/>
    <w:rsid w:val="00F14347"/>
    <w:rsid w:val="00F14483"/>
    <w:rsid w:val="00F14515"/>
    <w:rsid w:val="00F1463B"/>
    <w:rsid w:val="00F14641"/>
    <w:rsid w:val="00F146AD"/>
    <w:rsid w:val="00F1474F"/>
    <w:rsid w:val="00F14A73"/>
    <w:rsid w:val="00F14BB0"/>
    <w:rsid w:val="00F14BC4"/>
    <w:rsid w:val="00F14BDB"/>
    <w:rsid w:val="00F14BEF"/>
    <w:rsid w:val="00F14E9B"/>
    <w:rsid w:val="00F15136"/>
    <w:rsid w:val="00F1514C"/>
    <w:rsid w:val="00F1523A"/>
    <w:rsid w:val="00F156B5"/>
    <w:rsid w:val="00F15799"/>
    <w:rsid w:val="00F15838"/>
    <w:rsid w:val="00F15AB6"/>
    <w:rsid w:val="00F15CAA"/>
    <w:rsid w:val="00F15E45"/>
    <w:rsid w:val="00F15EE3"/>
    <w:rsid w:val="00F15FC2"/>
    <w:rsid w:val="00F16139"/>
    <w:rsid w:val="00F1616F"/>
    <w:rsid w:val="00F16478"/>
    <w:rsid w:val="00F16A51"/>
    <w:rsid w:val="00F16AC4"/>
    <w:rsid w:val="00F16B08"/>
    <w:rsid w:val="00F16C8E"/>
    <w:rsid w:val="00F16CBF"/>
    <w:rsid w:val="00F16CED"/>
    <w:rsid w:val="00F16D5D"/>
    <w:rsid w:val="00F16DCA"/>
    <w:rsid w:val="00F16EC0"/>
    <w:rsid w:val="00F17169"/>
    <w:rsid w:val="00F17173"/>
    <w:rsid w:val="00F174BE"/>
    <w:rsid w:val="00F17683"/>
    <w:rsid w:val="00F17824"/>
    <w:rsid w:val="00F17886"/>
    <w:rsid w:val="00F17897"/>
    <w:rsid w:val="00F17952"/>
    <w:rsid w:val="00F17985"/>
    <w:rsid w:val="00F17B6A"/>
    <w:rsid w:val="00F17DD5"/>
    <w:rsid w:val="00F17E7D"/>
    <w:rsid w:val="00F17F09"/>
    <w:rsid w:val="00F17F2C"/>
    <w:rsid w:val="00F20026"/>
    <w:rsid w:val="00F2013F"/>
    <w:rsid w:val="00F2029F"/>
    <w:rsid w:val="00F20418"/>
    <w:rsid w:val="00F20541"/>
    <w:rsid w:val="00F206CA"/>
    <w:rsid w:val="00F20793"/>
    <w:rsid w:val="00F207F9"/>
    <w:rsid w:val="00F2095C"/>
    <w:rsid w:val="00F20B58"/>
    <w:rsid w:val="00F20E45"/>
    <w:rsid w:val="00F20EB5"/>
    <w:rsid w:val="00F20F1B"/>
    <w:rsid w:val="00F21164"/>
    <w:rsid w:val="00F211BB"/>
    <w:rsid w:val="00F21241"/>
    <w:rsid w:val="00F21343"/>
    <w:rsid w:val="00F2155E"/>
    <w:rsid w:val="00F215E0"/>
    <w:rsid w:val="00F215E6"/>
    <w:rsid w:val="00F21728"/>
    <w:rsid w:val="00F2181D"/>
    <w:rsid w:val="00F219EF"/>
    <w:rsid w:val="00F21B36"/>
    <w:rsid w:val="00F21C25"/>
    <w:rsid w:val="00F21C95"/>
    <w:rsid w:val="00F21E15"/>
    <w:rsid w:val="00F21E7D"/>
    <w:rsid w:val="00F22123"/>
    <w:rsid w:val="00F2226B"/>
    <w:rsid w:val="00F22309"/>
    <w:rsid w:val="00F22444"/>
    <w:rsid w:val="00F2250A"/>
    <w:rsid w:val="00F2279B"/>
    <w:rsid w:val="00F227C9"/>
    <w:rsid w:val="00F22803"/>
    <w:rsid w:val="00F2290B"/>
    <w:rsid w:val="00F22AF2"/>
    <w:rsid w:val="00F22B09"/>
    <w:rsid w:val="00F22C4E"/>
    <w:rsid w:val="00F22C72"/>
    <w:rsid w:val="00F22C99"/>
    <w:rsid w:val="00F22CD3"/>
    <w:rsid w:val="00F22FA2"/>
    <w:rsid w:val="00F22FDC"/>
    <w:rsid w:val="00F232BD"/>
    <w:rsid w:val="00F232E5"/>
    <w:rsid w:val="00F237E9"/>
    <w:rsid w:val="00F2388B"/>
    <w:rsid w:val="00F23DAB"/>
    <w:rsid w:val="00F23E64"/>
    <w:rsid w:val="00F24241"/>
    <w:rsid w:val="00F24355"/>
    <w:rsid w:val="00F2447D"/>
    <w:rsid w:val="00F24521"/>
    <w:rsid w:val="00F245BB"/>
    <w:rsid w:val="00F24622"/>
    <w:rsid w:val="00F24658"/>
    <w:rsid w:val="00F24744"/>
    <w:rsid w:val="00F24825"/>
    <w:rsid w:val="00F24845"/>
    <w:rsid w:val="00F2485B"/>
    <w:rsid w:val="00F248EE"/>
    <w:rsid w:val="00F24A36"/>
    <w:rsid w:val="00F24A4B"/>
    <w:rsid w:val="00F24AE7"/>
    <w:rsid w:val="00F24B31"/>
    <w:rsid w:val="00F24BCE"/>
    <w:rsid w:val="00F24C8C"/>
    <w:rsid w:val="00F24F5E"/>
    <w:rsid w:val="00F24FBC"/>
    <w:rsid w:val="00F2502A"/>
    <w:rsid w:val="00F2523B"/>
    <w:rsid w:val="00F2534E"/>
    <w:rsid w:val="00F25358"/>
    <w:rsid w:val="00F253E9"/>
    <w:rsid w:val="00F254AE"/>
    <w:rsid w:val="00F25538"/>
    <w:rsid w:val="00F2561C"/>
    <w:rsid w:val="00F256CD"/>
    <w:rsid w:val="00F25A2B"/>
    <w:rsid w:val="00F25B03"/>
    <w:rsid w:val="00F25B96"/>
    <w:rsid w:val="00F25BC0"/>
    <w:rsid w:val="00F25BFC"/>
    <w:rsid w:val="00F25E53"/>
    <w:rsid w:val="00F2602D"/>
    <w:rsid w:val="00F2627D"/>
    <w:rsid w:val="00F26378"/>
    <w:rsid w:val="00F26462"/>
    <w:rsid w:val="00F26607"/>
    <w:rsid w:val="00F2677A"/>
    <w:rsid w:val="00F26931"/>
    <w:rsid w:val="00F26939"/>
    <w:rsid w:val="00F26990"/>
    <w:rsid w:val="00F26C08"/>
    <w:rsid w:val="00F26D9F"/>
    <w:rsid w:val="00F26E55"/>
    <w:rsid w:val="00F26F80"/>
    <w:rsid w:val="00F26F94"/>
    <w:rsid w:val="00F2700B"/>
    <w:rsid w:val="00F2704C"/>
    <w:rsid w:val="00F27100"/>
    <w:rsid w:val="00F271A1"/>
    <w:rsid w:val="00F2727E"/>
    <w:rsid w:val="00F2740A"/>
    <w:rsid w:val="00F275E7"/>
    <w:rsid w:val="00F278C6"/>
    <w:rsid w:val="00F278E9"/>
    <w:rsid w:val="00F27D29"/>
    <w:rsid w:val="00F27D3E"/>
    <w:rsid w:val="00F27FA0"/>
    <w:rsid w:val="00F27FB0"/>
    <w:rsid w:val="00F30023"/>
    <w:rsid w:val="00F30057"/>
    <w:rsid w:val="00F30107"/>
    <w:rsid w:val="00F3027B"/>
    <w:rsid w:val="00F302EE"/>
    <w:rsid w:val="00F3034E"/>
    <w:rsid w:val="00F303D8"/>
    <w:rsid w:val="00F3042E"/>
    <w:rsid w:val="00F304D3"/>
    <w:rsid w:val="00F307A2"/>
    <w:rsid w:val="00F3084D"/>
    <w:rsid w:val="00F309A4"/>
    <w:rsid w:val="00F30A5A"/>
    <w:rsid w:val="00F30B15"/>
    <w:rsid w:val="00F30B47"/>
    <w:rsid w:val="00F30E51"/>
    <w:rsid w:val="00F30FAC"/>
    <w:rsid w:val="00F3113E"/>
    <w:rsid w:val="00F3117C"/>
    <w:rsid w:val="00F311BE"/>
    <w:rsid w:val="00F31221"/>
    <w:rsid w:val="00F313AF"/>
    <w:rsid w:val="00F313C1"/>
    <w:rsid w:val="00F313C2"/>
    <w:rsid w:val="00F315A4"/>
    <w:rsid w:val="00F31743"/>
    <w:rsid w:val="00F31763"/>
    <w:rsid w:val="00F318CC"/>
    <w:rsid w:val="00F318E2"/>
    <w:rsid w:val="00F31AA8"/>
    <w:rsid w:val="00F31AD9"/>
    <w:rsid w:val="00F31BE3"/>
    <w:rsid w:val="00F31D99"/>
    <w:rsid w:val="00F31E25"/>
    <w:rsid w:val="00F31EAE"/>
    <w:rsid w:val="00F31EB2"/>
    <w:rsid w:val="00F31F46"/>
    <w:rsid w:val="00F31F80"/>
    <w:rsid w:val="00F32270"/>
    <w:rsid w:val="00F322FB"/>
    <w:rsid w:val="00F3261D"/>
    <w:rsid w:val="00F3261F"/>
    <w:rsid w:val="00F32896"/>
    <w:rsid w:val="00F32C7A"/>
    <w:rsid w:val="00F32D13"/>
    <w:rsid w:val="00F32D38"/>
    <w:rsid w:val="00F32FCA"/>
    <w:rsid w:val="00F33094"/>
    <w:rsid w:val="00F33417"/>
    <w:rsid w:val="00F33488"/>
    <w:rsid w:val="00F335D1"/>
    <w:rsid w:val="00F3363E"/>
    <w:rsid w:val="00F338FB"/>
    <w:rsid w:val="00F339D6"/>
    <w:rsid w:val="00F339DA"/>
    <w:rsid w:val="00F33D17"/>
    <w:rsid w:val="00F33E41"/>
    <w:rsid w:val="00F3417E"/>
    <w:rsid w:val="00F341DB"/>
    <w:rsid w:val="00F34266"/>
    <w:rsid w:val="00F34287"/>
    <w:rsid w:val="00F342FC"/>
    <w:rsid w:val="00F343AF"/>
    <w:rsid w:val="00F343FE"/>
    <w:rsid w:val="00F3441B"/>
    <w:rsid w:val="00F34482"/>
    <w:rsid w:val="00F345B2"/>
    <w:rsid w:val="00F3465B"/>
    <w:rsid w:val="00F34675"/>
    <w:rsid w:val="00F346F6"/>
    <w:rsid w:val="00F3473D"/>
    <w:rsid w:val="00F3479E"/>
    <w:rsid w:val="00F34949"/>
    <w:rsid w:val="00F34A3D"/>
    <w:rsid w:val="00F34BB4"/>
    <w:rsid w:val="00F34C4A"/>
    <w:rsid w:val="00F34C51"/>
    <w:rsid w:val="00F34D39"/>
    <w:rsid w:val="00F3516E"/>
    <w:rsid w:val="00F351D3"/>
    <w:rsid w:val="00F3520C"/>
    <w:rsid w:val="00F35311"/>
    <w:rsid w:val="00F3531E"/>
    <w:rsid w:val="00F35431"/>
    <w:rsid w:val="00F355BE"/>
    <w:rsid w:val="00F357F7"/>
    <w:rsid w:val="00F35A09"/>
    <w:rsid w:val="00F35B7B"/>
    <w:rsid w:val="00F35C73"/>
    <w:rsid w:val="00F35CB8"/>
    <w:rsid w:val="00F3610E"/>
    <w:rsid w:val="00F36186"/>
    <w:rsid w:val="00F361B3"/>
    <w:rsid w:val="00F361F4"/>
    <w:rsid w:val="00F3628B"/>
    <w:rsid w:val="00F363FF"/>
    <w:rsid w:val="00F364C2"/>
    <w:rsid w:val="00F364F1"/>
    <w:rsid w:val="00F36509"/>
    <w:rsid w:val="00F36583"/>
    <w:rsid w:val="00F365CE"/>
    <w:rsid w:val="00F36967"/>
    <w:rsid w:val="00F36994"/>
    <w:rsid w:val="00F36BA7"/>
    <w:rsid w:val="00F36EFC"/>
    <w:rsid w:val="00F37013"/>
    <w:rsid w:val="00F370C0"/>
    <w:rsid w:val="00F370EB"/>
    <w:rsid w:val="00F37267"/>
    <w:rsid w:val="00F372AB"/>
    <w:rsid w:val="00F37310"/>
    <w:rsid w:val="00F3738A"/>
    <w:rsid w:val="00F3741C"/>
    <w:rsid w:val="00F3746E"/>
    <w:rsid w:val="00F374CB"/>
    <w:rsid w:val="00F37748"/>
    <w:rsid w:val="00F37A1F"/>
    <w:rsid w:val="00F37A6F"/>
    <w:rsid w:val="00F37B7C"/>
    <w:rsid w:val="00F37C8F"/>
    <w:rsid w:val="00F400FB"/>
    <w:rsid w:val="00F401DA"/>
    <w:rsid w:val="00F40642"/>
    <w:rsid w:val="00F40647"/>
    <w:rsid w:val="00F40776"/>
    <w:rsid w:val="00F407BD"/>
    <w:rsid w:val="00F40934"/>
    <w:rsid w:val="00F40A19"/>
    <w:rsid w:val="00F40A36"/>
    <w:rsid w:val="00F40A76"/>
    <w:rsid w:val="00F40E6B"/>
    <w:rsid w:val="00F410A3"/>
    <w:rsid w:val="00F410BB"/>
    <w:rsid w:val="00F41254"/>
    <w:rsid w:val="00F412E3"/>
    <w:rsid w:val="00F4132C"/>
    <w:rsid w:val="00F41376"/>
    <w:rsid w:val="00F414CC"/>
    <w:rsid w:val="00F41771"/>
    <w:rsid w:val="00F419C0"/>
    <w:rsid w:val="00F419DC"/>
    <w:rsid w:val="00F41A19"/>
    <w:rsid w:val="00F41B2B"/>
    <w:rsid w:val="00F41B34"/>
    <w:rsid w:val="00F41B49"/>
    <w:rsid w:val="00F41C62"/>
    <w:rsid w:val="00F41C69"/>
    <w:rsid w:val="00F41D11"/>
    <w:rsid w:val="00F41D28"/>
    <w:rsid w:val="00F41F05"/>
    <w:rsid w:val="00F41F7C"/>
    <w:rsid w:val="00F42248"/>
    <w:rsid w:val="00F42430"/>
    <w:rsid w:val="00F42464"/>
    <w:rsid w:val="00F424C9"/>
    <w:rsid w:val="00F4266D"/>
    <w:rsid w:val="00F42676"/>
    <w:rsid w:val="00F427ED"/>
    <w:rsid w:val="00F428D9"/>
    <w:rsid w:val="00F42AA3"/>
    <w:rsid w:val="00F42BAA"/>
    <w:rsid w:val="00F42CD3"/>
    <w:rsid w:val="00F42E72"/>
    <w:rsid w:val="00F42FAD"/>
    <w:rsid w:val="00F430D5"/>
    <w:rsid w:val="00F43106"/>
    <w:rsid w:val="00F43176"/>
    <w:rsid w:val="00F434ED"/>
    <w:rsid w:val="00F434FE"/>
    <w:rsid w:val="00F437F1"/>
    <w:rsid w:val="00F43812"/>
    <w:rsid w:val="00F439C8"/>
    <w:rsid w:val="00F43AAA"/>
    <w:rsid w:val="00F43B07"/>
    <w:rsid w:val="00F43D0E"/>
    <w:rsid w:val="00F43D78"/>
    <w:rsid w:val="00F43E80"/>
    <w:rsid w:val="00F43E9F"/>
    <w:rsid w:val="00F43F01"/>
    <w:rsid w:val="00F43F69"/>
    <w:rsid w:val="00F441ED"/>
    <w:rsid w:val="00F44317"/>
    <w:rsid w:val="00F44384"/>
    <w:rsid w:val="00F44396"/>
    <w:rsid w:val="00F4453C"/>
    <w:rsid w:val="00F44656"/>
    <w:rsid w:val="00F44712"/>
    <w:rsid w:val="00F44872"/>
    <w:rsid w:val="00F448CD"/>
    <w:rsid w:val="00F44989"/>
    <w:rsid w:val="00F449B3"/>
    <w:rsid w:val="00F44C78"/>
    <w:rsid w:val="00F44CA2"/>
    <w:rsid w:val="00F44CF2"/>
    <w:rsid w:val="00F44D15"/>
    <w:rsid w:val="00F45372"/>
    <w:rsid w:val="00F453CE"/>
    <w:rsid w:val="00F4547F"/>
    <w:rsid w:val="00F45724"/>
    <w:rsid w:val="00F45766"/>
    <w:rsid w:val="00F4587C"/>
    <w:rsid w:val="00F45C36"/>
    <w:rsid w:val="00F45FBC"/>
    <w:rsid w:val="00F45FC9"/>
    <w:rsid w:val="00F4627B"/>
    <w:rsid w:val="00F462CD"/>
    <w:rsid w:val="00F4631D"/>
    <w:rsid w:val="00F46483"/>
    <w:rsid w:val="00F46971"/>
    <w:rsid w:val="00F46A97"/>
    <w:rsid w:val="00F46AEE"/>
    <w:rsid w:val="00F46AFA"/>
    <w:rsid w:val="00F46F00"/>
    <w:rsid w:val="00F47559"/>
    <w:rsid w:val="00F47647"/>
    <w:rsid w:val="00F47673"/>
    <w:rsid w:val="00F47785"/>
    <w:rsid w:val="00F479C7"/>
    <w:rsid w:val="00F47A2C"/>
    <w:rsid w:val="00F47BFF"/>
    <w:rsid w:val="00F47D77"/>
    <w:rsid w:val="00F47F81"/>
    <w:rsid w:val="00F47FDE"/>
    <w:rsid w:val="00F50149"/>
    <w:rsid w:val="00F5019D"/>
    <w:rsid w:val="00F5021A"/>
    <w:rsid w:val="00F5039D"/>
    <w:rsid w:val="00F50479"/>
    <w:rsid w:val="00F504BF"/>
    <w:rsid w:val="00F5054A"/>
    <w:rsid w:val="00F505C4"/>
    <w:rsid w:val="00F505CD"/>
    <w:rsid w:val="00F5086C"/>
    <w:rsid w:val="00F5096D"/>
    <w:rsid w:val="00F50CFA"/>
    <w:rsid w:val="00F50D1D"/>
    <w:rsid w:val="00F50DB4"/>
    <w:rsid w:val="00F50E23"/>
    <w:rsid w:val="00F50FAC"/>
    <w:rsid w:val="00F50FB4"/>
    <w:rsid w:val="00F50FFE"/>
    <w:rsid w:val="00F51092"/>
    <w:rsid w:val="00F51334"/>
    <w:rsid w:val="00F51373"/>
    <w:rsid w:val="00F515B0"/>
    <w:rsid w:val="00F51624"/>
    <w:rsid w:val="00F5182E"/>
    <w:rsid w:val="00F5187A"/>
    <w:rsid w:val="00F518C5"/>
    <w:rsid w:val="00F519E7"/>
    <w:rsid w:val="00F51B97"/>
    <w:rsid w:val="00F51FB7"/>
    <w:rsid w:val="00F51FF0"/>
    <w:rsid w:val="00F52076"/>
    <w:rsid w:val="00F52134"/>
    <w:rsid w:val="00F5217D"/>
    <w:rsid w:val="00F52195"/>
    <w:rsid w:val="00F522CD"/>
    <w:rsid w:val="00F523D8"/>
    <w:rsid w:val="00F5266E"/>
    <w:rsid w:val="00F5267F"/>
    <w:rsid w:val="00F52906"/>
    <w:rsid w:val="00F52DCF"/>
    <w:rsid w:val="00F52EA8"/>
    <w:rsid w:val="00F52F82"/>
    <w:rsid w:val="00F53019"/>
    <w:rsid w:val="00F532AE"/>
    <w:rsid w:val="00F53377"/>
    <w:rsid w:val="00F5346D"/>
    <w:rsid w:val="00F534B3"/>
    <w:rsid w:val="00F5351A"/>
    <w:rsid w:val="00F5370B"/>
    <w:rsid w:val="00F5395A"/>
    <w:rsid w:val="00F539C7"/>
    <w:rsid w:val="00F539EA"/>
    <w:rsid w:val="00F53A13"/>
    <w:rsid w:val="00F53D50"/>
    <w:rsid w:val="00F53E9B"/>
    <w:rsid w:val="00F53ED9"/>
    <w:rsid w:val="00F53FC6"/>
    <w:rsid w:val="00F54314"/>
    <w:rsid w:val="00F5442A"/>
    <w:rsid w:val="00F5475C"/>
    <w:rsid w:val="00F54887"/>
    <w:rsid w:val="00F5488A"/>
    <w:rsid w:val="00F548B5"/>
    <w:rsid w:val="00F548D4"/>
    <w:rsid w:val="00F5498F"/>
    <w:rsid w:val="00F549A9"/>
    <w:rsid w:val="00F54B92"/>
    <w:rsid w:val="00F54C4A"/>
    <w:rsid w:val="00F54D04"/>
    <w:rsid w:val="00F54DC2"/>
    <w:rsid w:val="00F54F6F"/>
    <w:rsid w:val="00F54F77"/>
    <w:rsid w:val="00F54F97"/>
    <w:rsid w:val="00F55375"/>
    <w:rsid w:val="00F55477"/>
    <w:rsid w:val="00F555AF"/>
    <w:rsid w:val="00F556C7"/>
    <w:rsid w:val="00F5590F"/>
    <w:rsid w:val="00F559AA"/>
    <w:rsid w:val="00F55BC7"/>
    <w:rsid w:val="00F55C01"/>
    <w:rsid w:val="00F55F8B"/>
    <w:rsid w:val="00F56039"/>
    <w:rsid w:val="00F5618A"/>
    <w:rsid w:val="00F56383"/>
    <w:rsid w:val="00F563AB"/>
    <w:rsid w:val="00F5641A"/>
    <w:rsid w:val="00F564E6"/>
    <w:rsid w:val="00F56647"/>
    <w:rsid w:val="00F5665C"/>
    <w:rsid w:val="00F5671D"/>
    <w:rsid w:val="00F56772"/>
    <w:rsid w:val="00F567BA"/>
    <w:rsid w:val="00F567DD"/>
    <w:rsid w:val="00F56D53"/>
    <w:rsid w:val="00F56F85"/>
    <w:rsid w:val="00F56FC3"/>
    <w:rsid w:val="00F56FDB"/>
    <w:rsid w:val="00F57051"/>
    <w:rsid w:val="00F57098"/>
    <w:rsid w:val="00F5709A"/>
    <w:rsid w:val="00F5725F"/>
    <w:rsid w:val="00F57375"/>
    <w:rsid w:val="00F574C4"/>
    <w:rsid w:val="00F57840"/>
    <w:rsid w:val="00F57867"/>
    <w:rsid w:val="00F57BB6"/>
    <w:rsid w:val="00F57BE3"/>
    <w:rsid w:val="00F57F2C"/>
    <w:rsid w:val="00F57F88"/>
    <w:rsid w:val="00F6016D"/>
    <w:rsid w:val="00F601FE"/>
    <w:rsid w:val="00F6026B"/>
    <w:rsid w:val="00F602A1"/>
    <w:rsid w:val="00F602ED"/>
    <w:rsid w:val="00F603C0"/>
    <w:rsid w:val="00F6042C"/>
    <w:rsid w:val="00F6055C"/>
    <w:rsid w:val="00F605A1"/>
    <w:rsid w:val="00F60811"/>
    <w:rsid w:val="00F60A2D"/>
    <w:rsid w:val="00F60C18"/>
    <w:rsid w:val="00F60CFA"/>
    <w:rsid w:val="00F60DAD"/>
    <w:rsid w:val="00F61014"/>
    <w:rsid w:val="00F611F7"/>
    <w:rsid w:val="00F61487"/>
    <w:rsid w:val="00F61490"/>
    <w:rsid w:val="00F61538"/>
    <w:rsid w:val="00F6187B"/>
    <w:rsid w:val="00F6189C"/>
    <w:rsid w:val="00F61956"/>
    <w:rsid w:val="00F61A32"/>
    <w:rsid w:val="00F61ADA"/>
    <w:rsid w:val="00F61C3E"/>
    <w:rsid w:val="00F61C7F"/>
    <w:rsid w:val="00F61E68"/>
    <w:rsid w:val="00F61E8E"/>
    <w:rsid w:val="00F6206C"/>
    <w:rsid w:val="00F621CC"/>
    <w:rsid w:val="00F62299"/>
    <w:rsid w:val="00F622E0"/>
    <w:rsid w:val="00F622EA"/>
    <w:rsid w:val="00F624E6"/>
    <w:rsid w:val="00F626DC"/>
    <w:rsid w:val="00F62B65"/>
    <w:rsid w:val="00F62B70"/>
    <w:rsid w:val="00F62B76"/>
    <w:rsid w:val="00F62C02"/>
    <w:rsid w:val="00F633BD"/>
    <w:rsid w:val="00F63401"/>
    <w:rsid w:val="00F634BE"/>
    <w:rsid w:val="00F63A4D"/>
    <w:rsid w:val="00F63A9C"/>
    <w:rsid w:val="00F63ACE"/>
    <w:rsid w:val="00F63AFF"/>
    <w:rsid w:val="00F63C04"/>
    <w:rsid w:val="00F63DD1"/>
    <w:rsid w:val="00F640EF"/>
    <w:rsid w:val="00F64167"/>
    <w:rsid w:val="00F64590"/>
    <w:rsid w:val="00F6459F"/>
    <w:rsid w:val="00F64855"/>
    <w:rsid w:val="00F64A59"/>
    <w:rsid w:val="00F64B67"/>
    <w:rsid w:val="00F64C15"/>
    <w:rsid w:val="00F64CDF"/>
    <w:rsid w:val="00F64D64"/>
    <w:rsid w:val="00F650EC"/>
    <w:rsid w:val="00F654A1"/>
    <w:rsid w:val="00F654D4"/>
    <w:rsid w:val="00F654E8"/>
    <w:rsid w:val="00F657CD"/>
    <w:rsid w:val="00F658B9"/>
    <w:rsid w:val="00F65924"/>
    <w:rsid w:val="00F659C1"/>
    <w:rsid w:val="00F65ABA"/>
    <w:rsid w:val="00F65ABC"/>
    <w:rsid w:val="00F6600F"/>
    <w:rsid w:val="00F66134"/>
    <w:rsid w:val="00F66140"/>
    <w:rsid w:val="00F66261"/>
    <w:rsid w:val="00F66415"/>
    <w:rsid w:val="00F66443"/>
    <w:rsid w:val="00F66467"/>
    <w:rsid w:val="00F665AF"/>
    <w:rsid w:val="00F66651"/>
    <w:rsid w:val="00F6679C"/>
    <w:rsid w:val="00F66A75"/>
    <w:rsid w:val="00F66B0A"/>
    <w:rsid w:val="00F66B41"/>
    <w:rsid w:val="00F66B78"/>
    <w:rsid w:val="00F66BCA"/>
    <w:rsid w:val="00F66C10"/>
    <w:rsid w:val="00F66D02"/>
    <w:rsid w:val="00F66D4C"/>
    <w:rsid w:val="00F66DFA"/>
    <w:rsid w:val="00F66E05"/>
    <w:rsid w:val="00F67006"/>
    <w:rsid w:val="00F6715E"/>
    <w:rsid w:val="00F67323"/>
    <w:rsid w:val="00F67406"/>
    <w:rsid w:val="00F67424"/>
    <w:rsid w:val="00F674A5"/>
    <w:rsid w:val="00F674C5"/>
    <w:rsid w:val="00F674D7"/>
    <w:rsid w:val="00F675BA"/>
    <w:rsid w:val="00F678B1"/>
    <w:rsid w:val="00F678FB"/>
    <w:rsid w:val="00F67982"/>
    <w:rsid w:val="00F67AA8"/>
    <w:rsid w:val="00F67AF7"/>
    <w:rsid w:val="00F67B48"/>
    <w:rsid w:val="00F67BDD"/>
    <w:rsid w:val="00F67C10"/>
    <w:rsid w:val="00F67D9A"/>
    <w:rsid w:val="00F67ED6"/>
    <w:rsid w:val="00F702DD"/>
    <w:rsid w:val="00F7036B"/>
    <w:rsid w:val="00F704E1"/>
    <w:rsid w:val="00F70590"/>
    <w:rsid w:val="00F706C0"/>
    <w:rsid w:val="00F70740"/>
    <w:rsid w:val="00F707C4"/>
    <w:rsid w:val="00F7081A"/>
    <w:rsid w:val="00F708AA"/>
    <w:rsid w:val="00F70908"/>
    <w:rsid w:val="00F709CC"/>
    <w:rsid w:val="00F70B9F"/>
    <w:rsid w:val="00F70DF7"/>
    <w:rsid w:val="00F70E26"/>
    <w:rsid w:val="00F70E60"/>
    <w:rsid w:val="00F70EF6"/>
    <w:rsid w:val="00F70F34"/>
    <w:rsid w:val="00F71024"/>
    <w:rsid w:val="00F710C6"/>
    <w:rsid w:val="00F712BE"/>
    <w:rsid w:val="00F714AE"/>
    <w:rsid w:val="00F715A4"/>
    <w:rsid w:val="00F715AC"/>
    <w:rsid w:val="00F71647"/>
    <w:rsid w:val="00F717B4"/>
    <w:rsid w:val="00F7184B"/>
    <w:rsid w:val="00F7195C"/>
    <w:rsid w:val="00F71A25"/>
    <w:rsid w:val="00F71A58"/>
    <w:rsid w:val="00F71A9E"/>
    <w:rsid w:val="00F71AB0"/>
    <w:rsid w:val="00F71B92"/>
    <w:rsid w:val="00F71C8D"/>
    <w:rsid w:val="00F71D48"/>
    <w:rsid w:val="00F71E57"/>
    <w:rsid w:val="00F71E7C"/>
    <w:rsid w:val="00F71F72"/>
    <w:rsid w:val="00F72053"/>
    <w:rsid w:val="00F722C2"/>
    <w:rsid w:val="00F722F5"/>
    <w:rsid w:val="00F72373"/>
    <w:rsid w:val="00F7246F"/>
    <w:rsid w:val="00F7248F"/>
    <w:rsid w:val="00F72512"/>
    <w:rsid w:val="00F725B6"/>
    <w:rsid w:val="00F725BC"/>
    <w:rsid w:val="00F72855"/>
    <w:rsid w:val="00F72A60"/>
    <w:rsid w:val="00F72AEF"/>
    <w:rsid w:val="00F72D28"/>
    <w:rsid w:val="00F72D4F"/>
    <w:rsid w:val="00F72D77"/>
    <w:rsid w:val="00F72E54"/>
    <w:rsid w:val="00F72F69"/>
    <w:rsid w:val="00F72F81"/>
    <w:rsid w:val="00F72F9C"/>
    <w:rsid w:val="00F7301D"/>
    <w:rsid w:val="00F73097"/>
    <w:rsid w:val="00F730D6"/>
    <w:rsid w:val="00F73175"/>
    <w:rsid w:val="00F73243"/>
    <w:rsid w:val="00F73345"/>
    <w:rsid w:val="00F734AF"/>
    <w:rsid w:val="00F73554"/>
    <w:rsid w:val="00F737FF"/>
    <w:rsid w:val="00F7385A"/>
    <w:rsid w:val="00F7387D"/>
    <w:rsid w:val="00F73AA5"/>
    <w:rsid w:val="00F73AD3"/>
    <w:rsid w:val="00F73B29"/>
    <w:rsid w:val="00F73E22"/>
    <w:rsid w:val="00F73E5E"/>
    <w:rsid w:val="00F73E6C"/>
    <w:rsid w:val="00F73E9B"/>
    <w:rsid w:val="00F74285"/>
    <w:rsid w:val="00F74413"/>
    <w:rsid w:val="00F747D2"/>
    <w:rsid w:val="00F74A07"/>
    <w:rsid w:val="00F74A82"/>
    <w:rsid w:val="00F74A8D"/>
    <w:rsid w:val="00F74B60"/>
    <w:rsid w:val="00F74E81"/>
    <w:rsid w:val="00F74F17"/>
    <w:rsid w:val="00F74F29"/>
    <w:rsid w:val="00F74FAF"/>
    <w:rsid w:val="00F7513B"/>
    <w:rsid w:val="00F7523A"/>
    <w:rsid w:val="00F75291"/>
    <w:rsid w:val="00F752A4"/>
    <w:rsid w:val="00F752C6"/>
    <w:rsid w:val="00F752C9"/>
    <w:rsid w:val="00F75413"/>
    <w:rsid w:val="00F7566E"/>
    <w:rsid w:val="00F756B5"/>
    <w:rsid w:val="00F756DD"/>
    <w:rsid w:val="00F7579D"/>
    <w:rsid w:val="00F75979"/>
    <w:rsid w:val="00F7599D"/>
    <w:rsid w:val="00F75A2C"/>
    <w:rsid w:val="00F75BFD"/>
    <w:rsid w:val="00F75DDA"/>
    <w:rsid w:val="00F75E40"/>
    <w:rsid w:val="00F75F4E"/>
    <w:rsid w:val="00F76378"/>
    <w:rsid w:val="00F764D7"/>
    <w:rsid w:val="00F76519"/>
    <w:rsid w:val="00F76594"/>
    <w:rsid w:val="00F765CA"/>
    <w:rsid w:val="00F765F5"/>
    <w:rsid w:val="00F76691"/>
    <w:rsid w:val="00F766A2"/>
    <w:rsid w:val="00F76732"/>
    <w:rsid w:val="00F767F1"/>
    <w:rsid w:val="00F76848"/>
    <w:rsid w:val="00F7691B"/>
    <w:rsid w:val="00F7694E"/>
    <w:rsid w:val="00F7694F"/>
    <w:rsid w:val="00F769B4"/>
    <w:rsid w:val="00F76A06"/>
    <w:rsid w:val="00F76A15"/>
    <w:rsid w:val="00F76A23"/>
    <w:rsid w:val="00F76A9F"/>
    <w:rsid w:val="00F76C0D"/>
    <w:rsid w:val="00F76E5F"/>
    <w:rsid w:val="00F76F6A"/>
    <w:rsid w:val="00F770B5"/>
    <w:rsid w:val="00F77137"/>
    <w:rsid w:val="00F7757A"/>
    <w:rsid w:val="00F775DC"/>
    <w:rsid w:val="00F7760F"/>
    <w:rsid w:val="00F77677"/>
    <w:rsid w:val="00F77679"/>
    <w:rsid w:val="00F776D5"/>
    <w:rsid w:val="00F778B3"/>
    <w:rsid w:val="00F77929"/>
    <w:rsid w:val="00F7795F"/>
    <w:rsid w:val="00F77A31"/>
    <w:rsid w:val="00F77AB6"/>
    <w:rsid w:val="00F77C7A"/>
    <w:rsid w:val="00F800CB"/>
    <w:rsid w:val="00F8025E"/>
    <w:rsid w:val="00F80268"/>
    <w:rsid w:val="00F80289"/>
    <w:rsid w:val="00F802AA"/>
    <w:rsid w:val="00F802E2"/>
    <w:rsid w:val="00F802F8"/>
    <w:rsid w:val="00F804FA"/>
    <w:rsid w:val="00F80554"/>
    <w:rsid w:val="00F80727"/>
    <w:rsid w:val="00F8085C"/>
    <w:rsid w:val="00F809F2"/>
    <w:rsid w:val="00F80A1B"/>
    <w:rsid w:val="00F80ACB"/>
    <w:rsid w:val="00F80C46"/>
    <w:rsid w:val="00F80FCA"/>
    <w:rsid w:val="00F81126"/>
    <w:rsid w:val="00F81261"/>
    <w:rsid w:val="00F812EF"/>
    <w:rsid w:val="00F813C2"/>
    <w:rsid w:val="00F813FC"/>
    <w:rsid w:val="00F81591"/>
    <w:rsid w:val="00F815D6"/>
    <w:rsid w:val="00F81B76"/>
    <w:rsid w:val="00F81DE2"/>
    <w:rsid w:val="00F81FD0"/>
    <w:rsid w:val="00F82030"/>
    <w:rsid w:val="00F8203B"/>
    <w:rsid w:val="00F8209B"/>
    <w:rsid w:val="00F820F7"/>
    <w:rsid w:val="00F8212F"/>
    <w:rsid w:val="00F821AE"/>
    <w:rsid w:val="00F822B6"/>
    <w:rsid w:val="00F824E4"/>
    <w:rsid w:val="00F82732"/>
    <w:rsid w:val="00F827E0"/>
    <w:rsid w:val="00F82A0E"/>
    <w:rsid w:val="00F82A37"/>
    <w:rsid w:val="00F82B54"/>
    <w:rsid w:val="00F82FD7"/>
    <w:rsid w:val="00F83016"/>
    <w:rsid w:val="00F8342A"/>
    <w:rsid w:val="00F83433"/>
    <w:rsid w:val="00F834AE"/>
    <w:rsid w:val="00F83708"/>
    <w:rsid w:val="00F83809"/>
    <w:rsid w:val="00F838E7"/>
    <w:rsid w:val="00F83913"/>
    <w:rsid w:val="00F839E5"/>
    <w:rsid w:val="00F83A99"/>
    <w:rsid w:val="00F83BF9"/>
    <w:rsid w:val="00F83C02"/>
    <w:rsid w:val="00F83C83"/>
    <w:rsid w:val="00F83CC6"/>
    <w:rsid w:val="00F83CE3"/>
    <w:rsid w:val="00F83CF5"/>
    <w:rsid w:val="00F83D24"/>
    <w:rsid w:val="00F83F3B"/>
    <w:rsid w:val="00F83FC1"/>
    <w:rsid w:val="00F8415D"/>
    <w:rsid w:val="00F84173"/>
    <w:rsid w:val="00F841BB"/>
    <w:rsid w:val="00F842CF"/>
    <w:rsid w:val="00F842DA"/>
    <w:rsid w:val="00F842DC"/>
    <w:rsid w:val="00F8432B"/>
    <w:rsid w:val="00F84677"/>
    <w:rsid w:val="00F84679"/>
    <w:rsid w:val="00F846AE"/>
    <w:rsid w:val="00F84788"/>
    <w:rsid w:val="00F848C7"/>
    <w:rsid w:val="00F848CF"/>
    <w:rsid w:val="00F84907"/>
    <w:rsid w:val="00F84965"/>
    <w:rsid w:val="00F849E8"/>
    <w:rsid w:val="00F84A04"/>
    <w:rsid w:val="00F84A51"/>
    <w:rsid w:val="00F84B3A"/>
    <w:rsid w:val="00F84B7E"/>
    <w:rsid w:val="00F84E28"/>
    <w:rsid w:val="00F851E3"/>
    <w:rsid w:val="00F855D4"/>
    <w:rsid w:val="00F85665"/>
    <w:rsid w:val="00F8566D"/>
    <w:rsid w:val="00F8571C"/>
    <w:rsid w:val="00F85777"/>
    <w:rsid w:val="00F8581D"/>
    <w:rsid w:val="00F8582C"/>
    <w:rsid w:val="00F85875"/>
    <w:rsid w:val="00F85910"/>
    <w:rsid w:val="00F85996"/>
    <w:rsid w:val="00F85B54"/>
    <w:rsid w:val="00F85D34"/>
    <w:rsid w:val="00F85D5D"/>
    <w:rsid w:val="00F85DA5"/>
    <w:rsid w:val="00F85EBF"/>
    <w:rsid w:val="00F860CB"/>
    <w:rsid w:val="00F861E8"/>
    <w:rsid w:val="00F863A1"/>
    <w:rsid w:val="00F86523"/>
    <w:rsid w:val="00F8672B"/>
    <w:rsid w:val="00F86868"/>
    <w:rsid w:val="00F8691D"/>
    <w:rsid w:val="00F86A13"/>
    <w:rsid w:val="00F86A5B"/>
    <w:rsid w:val="00F86D6F"/>
    <w:rsid w:val="00F86DEE"/>
    <w:rsid w:val="00F86E7D"/>
    <w:rsid w:val="00F87041"/>
    <w:rsid w:val="00F87172"/>
    <w:rsid w:val="00F871E5"/>
    <w:rsid w:val="00F87424"/>
    <w:rsid w:val="00F874AB"/>
    <w:rsid w:val="00F875F3"/>
    <w:rsid w:val="00F87ACF"/>
    <w:rsid w:val="00F87B20"/>
    <w:rsid w:val="00F87BD5"/>
    <w:rsid w:val="00F87DBD"/>
    <w:rsid w:val="00F87DD5"/>
    <w:rsid w:val="00F87E9A"/>
    <w:rsid w:val="00F87FAB"/>
    <w:rsid w:val="00F90086"/>
    <w:rsid w:val="00F90188"/>
    <w:rsid w:val="00F90421"/>
    <w:rsid w:val="00F904D9"/>
    <w:rsid w:val="00F90529"/>
    <w:rsid w:val="00F90816"/>
    <w:rsid w:val="00F90832"/>
    <w:rsid w:val="00F908DC"/>
    <w:rsid w:val="00F909F3"/>
    <w:rsid w:val="00F90C73"/>
    <w:rsid w:val="00F90E2F"/>
    <w:rsid w:val="00F91075"/>
    <w:rsid w:val="00F9109F"/>
    <w:rsid w:val="00F9124E"/>
    <w:rsid w:val="00F9140A"/>
    <w:rsid w:val="00F9146F"/>
    <w:rsid w:val="00F91543"/>
    <w:rsid w:val="00F91601"/>
    <w:rsid w:val="00F91719"/>
    <w:rsid w:val="00F917B1"/>
    <w:rsid w:val="00F91908"/>
    <w:rsid w:val="00F91AD2"/>
    <w:rsid w:val="00F920C8"/>
    <w:rsid w:val="00F921ED"/>
    <w:rsid w:val="00F923BE"/>
    <w:rsid w:val="00F92496"/>
    <w:rsid w:val="00F924EA"/>
    <w:rsid w:val="00F9268A"/>
    <w:rsid w:val="00F9276C"/>
    <w:rsid w:val="00F92850"/>
    <w:rsid w:val="00F928C2"/>
    <w:rsid w:val="00F92914"/>
    <w:rsid w:val="00F92931"/>
    <w:rsid w:val="00F92A30"/>
    <w:rsid w:val="00F92A58"/>
    <w:rsid w:val="00F92D4B"/>
    <w:rsid w:val="00F92F49"/>
    <w:rsid w:val="00F93126"/>
    <w:rsid w:val="00F93136"/>
    <w:rsid w:val="00F931C6"/>
    <w:rsid w:val="00F93557"/>
    <w:rsid w:val="00F93786"/>
    <w:rsid w:val="00F937FE"/>
    <w:rsid w:val="00F93848"/>
    <w:rsid w:val="00F93B5C"/>
    <w:rsid w:val="00F93BE1"/>
    <w:rsid w:val="00F93C81"/>
    <w:rsid w:val="00F93CCE"/>
    <w:rsid w:val="00F93CE1"/>
    <w:rsid w:val="00F93D8F"/>
    <w:rsid w:val="00F93F23"/>
    <w:rsid w:val="00F94066"/>
    <w:rsid w:val="00F94606"/>
    <w:rsid w:val="00F94659"/>
    <w:rsid w:val="00F94764"/>
    <w:rsid w:val="00F948CC"/>
    <w:rsid w:val="00F948F2"/>
    <w:rsid w:val="00F949F4"/>
    <w:rsid w:val="00F94A80"/>
    <w:rsid w:val="00F94ACE"/>
    <w:rsid w:val="00F94C8B"/>
    <w:rsid w:val="00F94C9C"/>
    <w:rsid w:val="00F950CA"/>
    <w:rsid w:val="00F950E4"/>
    <w:rsid w:val="00F95146"/>
    <w:rsid w:val="00F9519E"/>
    <w:rsid w:val="00F952B2"/>
    <w:rsid w:val="00F952CF"/>
    <w:rsid w:val="00F9536B"/>
    <w:rsid w:val="00F9559C"/>
    <w:rsid w:val="00F95652"/>
    <w:rsid w:val="00F9582D"/>
    <w:rsid w:val="00F959C7"/>
    <w:rsid w:val="00F95B42"/>
    <w:rsid w:val="00F95DD6"/>
    <w:rsid w:val="00F95F18"/>
    <w:rsid w:val="00F960A7"/>
    <w:rsid w:val="00F96113"/>
    <w:rsid w:val="00F96176"/>
    <w:rsid w:val="00F96180"/>
    <w:rsid w:val="00F96329"/>
    <w:rsid w:val="00F96384"/>
    <w:rsid w:val="00F967F7"/>
    <w:rsid w:val="00F968D6"/>
    <w:rsid w:val="00F9690F"/>
    <w:rsid w:val="00F9696E"/>
    <w:rsid w:val="00F96998"/>
    <w:rsid w:val="00F96A6A"/>
    <w:rsid w:val="00F96B38"/>
    <w:rsid w:val="00F96B94"/>
    <w:rsid w:val="00F96BC5"/>
    <w:rsid w:val="00F96CD4"/>
    <w:rsid w:val="00F96E57"/>
    <w:rsid w:val="00F970FB"/>
    <w:rsid w:val="00F971A6"/>
    <w:rsid w:val="00F97365"/>
    <w:rsid w:val="00F97481"/>
    <w:rsid w:val="00F9781F"/>
    <w:rsid w:val="00F9782E"/>
    <w:rsid w:val="00F97960"/>
    <w:rsid w:val="00F97ADA"/>
    <w:rsid w:val="00F97AEE"/>
    <w:rsid w:val="00F97C0E"/>
    <w:rsid w:val="00F97CC8"/>
    <w:rsid w:val="00F97D1F"/>
    <w:rsid w:val="00FA0134"/>
    <w:rsid w:val="00FA044C"/>
    <w:rsid w:val="00FA0530"/>
    <w:rsid w:val="00FA0598"/>
    <w:rsid w:val="00FA07AF"/>
    <w:rsid w:val="00FA07D0"/>
    <w:rsid w:val="00FA08D1"/>
    <w:rsid w:val="00FA0D54"/>
    <w:rsid w:val="00FA0E4B"/>
    <w:rsid w:val="00FA0EB9"/>
    <w:rsid w:val="00FA0EEE"/>
    <w:rsid w:val="00FA1150"/>
    <w:rsid w:val="00FA11F2"/>
    <w:rsid w:val="00FA1305"/>
    <w:rsid w:val="00FA138C"/>
    <w:rsid w:val="00FA1608"/>
    <w:rsid w:val="00FA1700"/>
    <w:rsid w:val="00FA1750"/>
    <w:rsid w:val="00FA1A6E"/>
    <w:rsid w:val="00FA1C18"/>
    <w:rsid w:val="00FA1C1D"/>
    <w:rsid w:val="00FA1D2E"/>
    <w:rsid w:val="00FA1D34"/>
    <w:rsid w:val="00FA1FDC"/>
    <w:rsid w:val="00FA20E6"/>
    <w:rsid w:val="00FA21EB"/>
    <w:rsid w:val="00FA2234"/>
    <w:rsid w:val="00FA22A6"/>
    <w:rsid w:val="00FA22D5"/>
    <w:rsid w:val="00FA23F7"/>
    <w:rsid w:val="00FA250C"/>
    <w:rsid w:val="00FA275D"/>
    <w:rsid w:val="00FA27A2"/>
    <w:rsid w:val="00FA285C"/>
    <w:rsid w:val="00FA2955"/>
    <w:rsid w:val="00FA29CE"/>
    <w:rsid w:val="00FA2AB4"/>
    <w:rsid w:val="00FA2AD2"/>
    <w:rsid w:val="00FA2D8F"/>
    <w:rsid w:val="00FA2DC5"/>
    <w:rsid w:val="00FA2EA3"/>
    <w:rsid w:val="00FA2F2D"/>
    <w:rsid w:val="00FA30D9"/>
    <w:rsid w:val="00FA31A5"/>
    <w:rsid w:val="00FA3250"/>
    <w:rsid w:val="00FA3255"/>
    <w:rsid w:val="00FA32C6"/>
    <w:rsid w:val="00FA33BE"/>
    <w:rsid w:val="00FA3497"/>
    <w:rsid w:val="00FA37C1"/>
    <w:rsid w:val="00FA38DB"/>
    <w:rsid w:val="00FA39FD"/>
    <w:rsid w:val="00FA3A1B"/>
    <w:rsid w:val="00FA3D28"/>
    <w:rsid w:val="00FA4254"/>
    <w:rsid w:val="00FA4270"/>
    <w:rsid w:val="00FA44BE"/>
    <w:rsid w:val="00FA4565"/>
    <w:rsid w:val="00FA48EB"/>
    <w:rsid w:val="00FA49C0"/>
    <w:rsid w:val="00FA49E8"/>
    <w:rsid w:val="00FA4D08"/>
    <w:rsid w:val="00FA4F6E"/>
    <w:rsid w:val="00FA514C"/>
    <w:rsid w:val="00FA5167"/>
    <w:rsid w:val="00FA527A"/>
    <w:rsid w:val="00FA576E"/>
    <w:rsid w:val="00FA57C7"/>
    <w:rsid w:val="00FA599A"/>
    <w:rsid w:val="00FA5EB0"/>
    <w:rsid w:val="00FA5F35"/>
    <w:rsid w:val="00FA5FA9"/>
    <w:rsid w:val="00FA6074"/>
    <w:rsid w:val="00FA61DC"/>
    <w:rsid w:val="00FA620A"/>
    <w:rsid w:val="00FA6321"/>
    <w:rsid w:val="00FA63BB"/>
    <w:rsid w:val="00FA64BA"/>
    <w:rsid w:val="00FA65B1"/>
    <w:rsid w:val="00FA674A"/>
    <w:rsid w:val="00FA6A62"/>
    <w:rsid w:val="00FA6B0F"/>
    <w:rsid w:val="00FA6BAF"/>
    <w:rsid w:val="00FA6CA7"/>
    <w:rsid w:val="00FA6E3F"/>
    <w:rsid w:val="00FA6EA7"/>
    <w:rsid w:val="00FA7022"/>
    <w:rsid w:val="00FA7109"/>
    <w:rsid w:val="00FA7134"/>
    <w:rsid w:val="00FA7181"/>
    <w:rsid w:val="00FA725D"/>
    <w:rsid w:val="00FA72CE"/>
    <w:rsid w:val="00FA739E"/>
    <w:rsid w:val="00FA74D8"/>
    <w:rsid w:val="00FA7528"/>
    <w:rsid w:val="00FA75ED"/>
    <w:rsid w:val="00FA762E"/>
    <w:rsid w:val="00FA763B"/>
    <w:rsid w:val="00FA76DB"/>
    <w:rsid w:val="00FA771E"/>
    <w:rsid w:val="00FA7938"/>
    <w:rsid w:val="00FA7A31"/>
    <w:rsid w:val="00FA7AA1"/>
    <w:rsid w:val="00FA7AE7"/>
    <w:rsid w:val="00FA7C7D"/>
    <w:rsid w:val="00FA7CA6"/>
    <w:rsid w:val="00FA7CEE"/>
    <w:rsid w:val="00FA7DC0"/>
    <w:rsid w:val="00FA7DC9"/>
    <w:rsid w:val="00FA7EDF"/>
    <w:rsid w:val="00FA7F61"/>
    <w:rsid w:val="00FA7F8F"/>
    <w:rsid w:val="00FB02AE"/>
    <w:rsid w:val="00FB02E1"/>
    <w:rsid w:val="00FB03A3"/>
    <w:rsid w:val="00FB0479"/>
    <w:rsid w:val="00FB0492"/>
    <w:rsid w:val="00FB0582"/>
    <w:rsid w:val="00FB06C5"/>
    <w:rsid w:val="00FB0854"/>
    <w:rsid w:val="00FB092E"/>
    <w:rsid w:val="00FB09FD"/>
    <w:rsid w:val="00FB0A2D"/>
    <w:rsid w:val="00FB0CE6"/>
    <w:rsid w:val="00FB0DC9"/>
    <w:rsid w:val="00FB0EFE"/>
    <w:rsid w:val="00FB0F0C"/>
    <w:rsid w:val="00FB15D1"/>
    <w:rsid w:val="00FB18C7"/>
    <w:rsid w:val="00FB18CD"/>
    <w:rsid w:val="00FB1A52"/>
    <w:rsid w:val="00FB1B09"/>
    <w:rsid w:val="00FB1D14"/>
    <w:rsid w:val="00FB1DAE"/>
    <w:rsid w:val="00FB1DCD"/>
    <w:rsid w:val="00FB1EA3"/>
    <w:rsid w:val="00FB2035"/>
    <w:rsid w:val="00FB2437"/>
    <w:rsid w:val="00FB2685"/>
    <w:rsid w:val="00FB2840"/>
    <w:rsid w:val="00FB2A56"/>
    <w:rsid w:val="00FB2C48"/>
    <w:rsid w:val="00FB2C70"/>
    <w:rsid w:val="00FB2D3E"/>
    <w:rsid w:val="00FB2DDF"/>
    <w:rsid w:val="00FB30A3"/>
    <w:rsid w:val="00FB31B3"/>
    <w:rsid w:val="00FB322C"/>
    <w:rsid w:val="00FB3311"/>
    <w:rsid w:val="00FB3360"/>
    <w:rsid w:val="00FB36C0"/>
    <w:rsid w:val="00FB36D7"/>
    <w:rsid w:val="00FB3742"/>
    <w:rsid w:val="00FB38F9"/>
    <w:rsid w:val="00FB39CB"/>
    <w:rsid w:val="00FB3B38"/>
    <w:rsid w:val="00FB3C9D"/>
    <w:rsid w:val="00FB3F0B"/>
    <w:rsid w:val="00FB4094"/>
    <w:rsid w:val="00FB40E4"/>
    <w:rsid w:val="00FB4185"/>
    <w:rsid w:val="00FB41A3"/>
    <w:rsid w:val="00FB41F7"/>
    <w:rsid w:val="00FB4201"/>
    <w:rsid w:val="00FB4255"/>
    <w:rsid w:val="00FB4338"/>
    <w:rsid w:val="00FB43E9"/>
    <w:rsid w:val="00FB4438"/>
    <w:rsid w:val="00FB4466"/>
    <w:rsid w:val="00FB452D"/>
    <w:rsid w:val="00FB45D5"/>
    <w:rsid w:val="00FB45F2"/>
    <w:rsid w:val="00FB4643"/>
    <w:rsid w:val="00FB46DF"/>
    <w:rsid w:val="00FB499C"/>
    <w:rsid w:val="00FB4AD5"/>
    <w:rsid w:val="00FB4B6C"/>
    <w:rsid w:val="00FB4C13"/>
    <w:rsid w:val="00FB4C66"/>
    <w:rsid w:val="00FB4D11"/>
    <w:rsid w:val="00FB4DDA"/>
    <w:rsid w:val="00FB4EFC"/>
    <w:rsid w:val="00FB5001"/>
    <w:rsid w:val="00FB5263"/>
    <w:rsid w:val="00FB52F0"/>
    <w:rsid w:val="00FB5312"/>
    <w:rsid w:val="00FB538B"/>
    <w:rsid w:val="00FB5546"/>
    <w:rsid w:val="00FB558E"/>
    <w:rsid w:val="00FB5629"/>
    <w:rsid w:val="00FB574A"/>
    <w:rsid w:val="00FB57E8"/>
    <w:rsid w:val="00FB587C"/>
    <w:rsid w:val="00FB59FD"/>
    <w:rsid w:val="00FB5AB2"/>
    <w:rsid w:val="00FB5ACF"/>
    <w:rsid w:val="00FB5B92"/>
    <w:rsid w:val="00FB5C82"/>
    <w:rsid w:val="00FB5F04"/>
    <w:rsid w:val="00FB60A8"/>
    <w:rsid w:val="00FB624C"/>
    <w:rsid w:val="00FB62E9"/>
    <w:rsid w:val="00FB6328"/>
    <w:rsid w:val="00FB6549"/>
    <w:rsid w:val="00FB671F"/>
    <w:rsid w:val="00FB6856"/>
    <w:rsid w:val="00FB6876"/>
    <w:rsid w:val="00FB6953"/>
    <w:rsid w:val="00FB6B7F"/>
    <w:rsid w:val="00FB6F2A"/>
    <w:rsid w:val="00FB71F2"/>
    <w:rsid w:val="00FB731D"/>
    <w:rsid w:val="00FB7413"/>
    <w:rsid w:val="00FB74E1"/>
    <w:rsid w:val="00FB7549"/>
    <w:rsid w:val="00FB75D4"/>
    <w:rsid w:val="00FB7699"/>
    <w:rsid w:val="00FB7708"/>
    <w:rsid w:val="00FB7984"/>
    <w:rsid w:val="00FB7A2D"/>
    <w:rsid w:val="00FB7B6D"/>
    <w:rsid w:val="00FB7D4C"/>
    <w:rsid w:val="00FB7FFB"/>
    <w:rsid w:val="00FC00D7"/>
    <w:rsid w:val="00FC014E"/>
    <w:rsid w:val="00FC03A4"/>
    <w:rsid w:val="00FC0424"/>
    <w:rsid w:val="00FC04BE"/>
    <w:rsid w:val="00FC08F2"/>
    <w:rsid w:val="00FC0B71"/>
    <w:rsid w:val="00FC0D94"/>
    <w:rsid w:val="00FC0EB6"/>
    <w:rsid w:val="00FC0FB1"/>
    <w:rsid w:val="00FC102D"/>
    <w:rsid w:val="00FC1044"/>
    <w:rsid w:val="00FC1123"/>
    <w:rsid w:val="00FC1287"/>
    <w:rsid w:val="00FC13D2"/>
    <w:rsid w:val="00FC1597"/>
    <w:rsid w:val="00FC17F6"/>
    <w:rsid w:val="00FC18FA"/>
    <w:rsid w:val="00FC18FB"/>
    <w:rsid w:val="00FC1AB9"/>
    <w:rsid w:val="00FC1C96"/>
    <w:rsid w:val="00FC1CE0"/>
    <w:rsid w:val="00FC1E02"/>
    <w:rsid w:val="00FC1E0E"/>
    <w:rsid w:val="00FC1F2A"/>
    <w:rsid w:val="00FC2017"/>
    <w:rsid w:val="00FC20B5"/>
    <w:rsid w:val="00FC2148"/>
    <w:rsid w:val="00FC2254"/>
    <w:rsid w:val="00FC2258"/>
    <w:rsid w:val="00FC2259"/>
    <w:rsid w:val="00FC2478"/>
    <w:rsid w:val="00FC258C"/>
    <w:rsid w:val="00FC25A3"/>
    <w:rsid w:val="00FC2688"/>
    <w:rsid w:val="00FC26A5"/>
    <w:rsid w:val="00FC2C0A"/>
    <w:rsid w:val="00FC2D44"/>
    <w:rsid w:val="00FC306B"/>
    <w:rsid w:val="00FC30DA"/>
    <w:rsid w:val="00FC33F6"/>
    <w:rsid w:val="00FC3580"/>
    <w:rsid w:val="00FC36BB"/>
    <w:rsid w:val="00FC36ED"/>
    <w:rsid w:val="00FC3AA0"/>
    <w:rsid w:val="00FC3B62"/>
    <w:rsid w:val="00FC3BC1"/>
    <w:rsid w:val="00FC3C55"/>
    <w:rsid w:val="00FC3ECB"/>
    <w:rsid w:val="00FC407E"/>
    <w:rsid w:val="00FC4291"/>
    <w:rsid w:val="00FC4412"/>
    <w:rsid w:val="00FC4515"/>
    <w:rsid w:val="00FC45AE"/>
    <w:rsid w:val="00FC4619"/>
    <w:rsid w:val="00FC4673"/>
    <w:rsid w:val="00FC4748"/>
    <w:rsid w:val="00FC4839"/>
    <w:rsid w:val="00FC4847"/>
    <w:rsid w:val="00FC4925"/>
    <w:rsid w:val="00FC4AC2"/>
    <w:rsid w:val="00FC4B9B"/>
    <w:rsid w:val="00FC4D69"/>
    <w:rsid w:val="00FC4FB1"/>
    <w:rsid w:val="00FC5056"/>
    <w:rsid w:val="00FC515E"/>
    <w:rsid w:val="00FC5204"/>
    <w:rsid w:val="00FC52EB"/>
    <w:rsid w:val="00FC5427"/>
    <w:rsid w:val="00FC54B8"/>
    <w:rsid w:val="00FC55D6"/>
    <w:rsid w:val="00FC55EA"/>
    <w:rsid w:val="00FC5659"/>
    <w:rsid w:val="00FC5729"/>
    <w:rsid w:val="00FC5899"/>
    <w:rsid w:val="00FC58C0"/>
    <w:rsid w:val="00FC5958"/>
    <w:rsid w:val="00FC5A3E"/>
    <w:rsid w:val="00FC5AD8"/>
    <w:rsid w:val="00FC5CF2"/>
    <w:rsid w:val="00FC5D5E"/>
    <w:rsid w:val="00FC5DFE"/>
    <w:rsid w:val="00FC5E12"/>
    <w:rsid w:val="00FC5EF3"/>
    <w:rsid w:val="00FC5FDA"/>
    <w:rsid w:val="00FC600C"/>
    <w:rsid w:val="00FC6026"/>
    <w:rsid w:val="00FC6106"/>
    <w:rsid w:val="00FC61D4"/>
    <w:rsid w:val="00FC62A2"/>
    <w:rsid w:val="00FC6300"/>
    <w:rsid w:val="00FC6398"/>
    <w:rsid w:val="00FC63FA"/>
    <w:rsid w:val="00FC64EE"/>
    <w:rsid w:val="00FC6690"/>
    <w:rsid w:val="00FC695E"/>
    <w:rsid w:val="00FC6A21"/>
    <w:rsid w:val="00FC6AA2"/>
    <w:rsid w:val="00FC6AEA"/>
    <w:rsid w:val="00FC6B54"/>
    <w:rsid w:val="00FC6BA6"/>
    <w:rsid w:val="00FC6C5D"/>
    <w:rsid w:val="00FC6CAA"/>
    <w:rsid w:val="00FC6D4B"/>
    <w:rsid w:val="00FC6DB0"/>
    <w:rsid w:val="00FC6FF3"/>
    <w:rsid w:val="00FC7232"/>
    <w:rsid w:val="00FC7283"/>
    <w:rsid w:val="00FC73E0"/>
    <w:rsid w:val="00FC77EC"/>
    <w:rsid w:val="00FC7881"/>
    <w:rsid w:val="00FC7928"/>
    <w:rsid w:val="00FC7A88"/>
    <w:rsid w:val="00FC7AE9"/>
    <w:rsid w:val="00FC7DE3"/>
    <w:rsid w:val="00FD0185"/>
    <w:rsid w:val="00FD01A0"/>
    <w:rsid w:val="00FD01F1"/>
    <w:rsid w:val="00FD0276"/>
    <w:rsid w:val="00FD0387"/>
    <w:rsid w:val="00FD0504"/>
    <w:rsid w:val="00FD054D"/>
    <w:rsid w:val="00FD05E4"/>
    <w:rsid w:val="00FD08A4"/>
    <w:rsid w:val="00FD0C0D"/>
    <w:rsid w:val="00FD0C7D"/>
    <w:rsid w:val="00FD0CB4"/>
    <w:rsid w:val="00FD0D46"/>
    <w:rsid w:val="00FD1007"/>
    <w:rsid w:val="00FD1164"/>
    <w:rsid w:val="00FD1192"/>
    <w:rsid w:val="00FD1430"/>
    <w:rsid w:val="00FD15EC"/>
    <w:rsid w:val="00FD1642"/>
    <w:rsid w:val="00FD1648"/>
    <w:rsid w:val="00FD168F"/>
    <w:rsid w:val="00FD1815"/>
    <w:rsid w:val="00FD18E2"/>
    <w:rsid w:val="00FD199B"/>
    <w:rsid w:val="00FD19F7"/>
    <w:rsid w:val="00FD1AB9"/>
    <w:rsid w:val="00FD1B48"/>
    <w:rsid w:val="00FD1D64"/>
    <w:rsid w:val="00FD1E10"/>
    <w:rsid w:val="00FD2171"/>
    <w:rsid w:val="00FD21A9"/>
    <w:rsid w:val="00FD21C3"/>
    <w:rsid w:val="00FD22C3"/>
    <w:rsid w:val="00FD23FD"/>
    <w:rsid w:val="00FD2739"/>
    <w:rsid w:val="00FD2754"/>
    <w:rsid w:val="00FD2A17"/>
    <w:rsid w:val="00FD2A40"/>
    <w:rsid w:val="00FD2AB8"/>
    <w:rsid w:val="00FD2B88"/>
    <w:rsid w:val="00FD2CEF"/>
    <w:rsid w:val="00FD2DC7"/>
    <w:rsid w:val="00FD2DFF"/>
    <w:rsid w:val="00FD2E88"/>
    <w:rsid w:val="00FD326B"/>
    <w:rsid w:val="00FD32F4"/>
    <w:rsid w:val="00FD333E"/>
    <w:rsid w:val="00FD33AE"/>
    <w:rsid w:val="00FD33DA"/>
    <w:rsid w:val="00FD3643"/>
    <w:rsid w:val="00FD372B"/>
    <w:rsid w:val="00FD3796"/>
    <w:rsid w:val="00FD38EA"/>
    <w:rsid w:val="00FD394D"/>
    <w:rsid w:val="00FD3A92"/>
    <w:rsid w:val="00FD3AD1"/>
    <w:rsid w:val="00FD3B49"/>
    <w:rsid w:val="00FD3C01"/>
    <w:rsid w:val="00FD3C09"/>
    <w:rsid w:val="00FD3F5B"/>
    <w:rsid w:val="00FD3F6E"/>
    <w:rsid w:val="00FD4008"/>
    <w:rsid w:val="00FD4077"/>
    <w:rsid w:val="00FD4111"/>
    <w:rsid w:val="00FD41A6"/>
    <w:rsid w:val="00FD42AF"/>
    <w:rsid w:val="00FD4382"/>
    <w:rsid w:val="00FD48FF"/>
    <w:rsid w:val="00FD4953"/>
    <w:rsid w:val="00FD4AF5"/>
    <w:rsid w:val="00FD4EC8"/>
    <w:rsid w:val="00FD4F9A"/>
    <w:rsid w:val="00FD5222"/>
    <w:rsid w:val="00FD5241"/>
    <w:rsid w:val="00FD537C"/>
    <w:rsid w:val="00FD53F2"/>
    <w:rsid w:val="00FD55ED"/>
    <w:rsid w:val="00FD57BA"/>
    <w:rsid w:val="00FD5980"/>
    <w:rsid w:val="00FD5B99"/>
    <w:rsid w:val="00FD5C9B"/>
    <w:rsid w:val="00FD5CB3"/>
    <w:rsid w:val="00FD5D76"/>
    <w:rsid w:val="00FD5DDD"/>
    <w:rsid w:val="00FD5E03"/>
    <w:rsid w:val="00FD5F8E"/>
    <w:rsid w:val="00FD6063"/>
    <w:rsid w:val="00FD61F0"/>
    <w:rsid w:val="00FD61FB"/>
    <w:rsid w:val="00FD6336"/>
    <w:rsid w:val="00FD6567"/>
    <w:rsid w:val="00FD66D8"/>
    <w:rsid w:val="00FD6778"/>
    <w:rsid w:val="00FD6905"/>
    <w:rsid w:val="00FD69E0"/>
    <w:rsid w:val="00FD6AAA"/>
    <w:rsid w:val="00FD6AD6"/>
    <w:rsid w:val="00FD6CA4"/>
    <w:rsid w:val="00FD6D65"/>
    <w:rsid w:val="00FD6F2A"/>
    <w:rsid w:val="00FD7051"/>
    <w:rsid w:val="00FD70E2"/>
    <w:rsid w:val="00FD7186"/>
    <w:rsid w:val="00FD7309"/>
    <w:rsid w:val="00FD7340"/>
    <w:rsid w:val="00FD73D4"/>
    <w:rsid w:val="00FD765A"/>
    <w:rsid w:val="00FD7769"/>
    <w:rsid w:val="00FD778D"/>
    <w:rsid w:val="00FD781C"/>
    <w:rsid w:val="00FD78B3"/>
    <w:rsid w:val="00FD79E7"/>
    <w:rsid w:val="00FD7A4B"/>
    <w:rsid w:val="00FD7A4D"/>
    <w:rsid w:val="00FD7A89"/>
    <w:rsid w:val="00FD7CA9"/>
    <w:rsid w:val="00FE006B"/>
    <w:rsid w:val="00FE010D"/>
    <w:rsid w:val="00FE027E"/>
    <w:rsid w:val="00FE0294"/>
    <w:rsid w:val="00FE02BB"/>
    <w:rsid w:val="00FE052B"/>
    <w:rsid w:val="00FE07F0"/>
    <w:rsid w:val="00FE0873"/>
    <w:rsid w:val="00FE0925"/>
    <w:rsid w:val="00FE09E0"/>
    <w:rsid w:val="00FE0AAC"/>
    <w:rsid w:val="00FE0BCB"/>
    <w:rsid w:val="00FE0BF3"/>
    <w:rsid w:val="00FE0C06"/>
    <w:rsid w:val="00FE0DF6"/>
    <w:rsid w:val="00FE0F37"/>
    <w:rsid w:val="00FE10F5"/>
    <w:rsid w:val="00FE1116"/>
    <w:rsid w:val="00FE115F"/>
    <w:rsid w:val="00FE1251"/>
    <w:rsid w:val="00FE12DE"/>
    <w:rsid w:val="00FE14F3"/>
    <w:rsid w:val="00FE1A5A"/>
    <w:rsid w:val="00FE1A9C"/>
    <w:rsid w:val="00FE1B17"/>
    <w:rsid w:val="00FE1D04"/>
    <w:rsid w:val="00FE1D26"/>
    <w:rsid w:val="00FE1D47"/>
    <w:rsid w:val="00FE1DA0"/>
    <w:rsid w:val="00FE1DCB"/>
    <w:rsid w:val="00FE1F88"/>
    <w:rsid w:val="00FE2101"/>
    <w:rsid w:val="00FE2282"/>
    <w:rsid w:val="00FE22F9"/>
    <w:rsid w:val="00FE24B0"/>
    <w:rsid w:val="00FE2537"/>
    <w:rsid w:val="00FE26D3"/>
    <w:rsid w:val="00FE281E"/>
    <w:rsid w:val="00FE2B9D"/>
    <w:rsid w:val="00FE2BB8"/>
    <w:rsid w:val="00FE2CB5"/>
    <w:rsid w:val="00FE2EDF"/>
    <w:rsid w:val="00FE2F34"/>
    <w:rsid w:val="00FE30E2"/>
    <w:rsid w:val="00FE3223"/>
    <w:rsid w:val="00FE32B4"/>
    <w:rsid w:val="00FE3382"/>
    <w:rsid w:val="00FE3401"/>
    <w:rsid w:val="00FE3461"/>
    <w:rsid w:val="00FE354B"/>
    <w:rsid w:val="00FE3692"/>
    <w:rsid w:val="00FE37DA"/>
    <w:rsid w:val="00FE3811"/>
    <w:rsid w:val="00FE384A"/>
    <w:rsid w:val="00FE3A03"/>
    <w:rsid w:val="00FE3A0A"/>
    <w:rsid w:val="00FE3C79"/>
    <w:rsid w:val="00FE3EC2"/>
    <w:rsid w:val="00FE3F92"/>
    <w:rsid w:val="00FE4263"/>
    <w:rsid w:val="00FE43C8"/>
    <w:rsid w:val="00FE45EB"/>
    <w:rsid w:val="00FE46CC"/>
    <w:rsid w:val="00FE479A"/>
    <w:rsid w:val="00FE48F5"/>
    <w:rsid w:val="00FE4923"/>
    <w:rsid w:val="00FE4B9E"/>
    <w:rsid w:val="00FE4C3E"/>
    <w:rsid w:val="00FE4C4C"/>
    <w:rsid w:val="00FE4D8C"/>
    <w:rsid w:val="00FE4E9A"/>
    <w:rsid w:val="00FE4ED9"/>
    <w:rsid w:val="00FE4F09"/>
    <w:rsid w:val="00FE4FB6"/>
    <w:rsid w:val="00FE50FE"/>
    <w:rsid w:val="00FE52F9"/>
    <w:rsid w:val="00FE55B2"/>
    <w:rsid w:val="00FE5675"/>
    <w:rsid w:val="00FE56CC"/>
    <w:rsid w:val="00FE585E"/>
    <w:rsid w:val="00FE5A34"/>
    <w:rsid w:val="00FE5C25"/>
    <w:rsid w:val="00FE5D25"/>
    <w:rsid w:val="00FE5D30"/>
    <w:rsid w:val="00FE5DD6"/>
    <w:rsid w:val="00FE5E57"/>
    <w:rsid w:val="00FE5EA2"/>
    <w:rsid w:val="00FE602D"/>
    <w:rsid w:val="00FE6326"/>
    <w:rsid w:val="00FE6381"/>
    <w:rsid w:val="00FE64D6"/>
    <w:rsid w:val="00FE64F1"/>
    <w:rsid w:val="00FE64F3"/>
    <w:rsid w:val="00FE653B"/>
    <w:rsid w:val="00FE68A1"/>
    <w:rsid w:val="00FE68B9"/>
    <w:rsid w:val="00FE69A3"/>
    <w:rsid w:val="00FE6D01"/>
    <w:rsid w:val="00FE6D14"/>
    <w:rsid w:val="00FE6DA4"/>
    <w:rsid w:val="00FE72CD"/>
    <w:rsid w:val="00FE747C"/>
    <w:rsid w:val="00FE7582"/>
    <w:rsid w:val="00FE77C0"/>
    <w:rsid w:val="00FE7943"/>
    <w:rsid w:val="00FE7992"/>
    <w:rsid w:val="00FE7A2E"/>
    <w:rsid w:val="00FE7AB4"/>
    <w:rsid w:val="00FE7D04"/>
    <w:rsid w:val="00FE7D22"/>
    <w:rsid w:val="00FF0044"/>
    <w:rsid w:val="00FF00C8"/>
    <w:rsid w:val="00FF0137"/>
    <w:rsid w:val="00FF0221"/>
    <w:rsid w:val="00FF052D"/>
    <w:rsid w:val="00FF0649"/>
    <w:rsid w:val="00FF06B4"/>
    <w:rsid w:val="00FF06F6"/>
    <w:rsid w:val="00FF07A2"/>
    <w:rsid w:val="00FF08A3"/>
    <w:rsid w:val="00FF0ABE"/>
    <w:rsid w:val="00FF0C5E"/>
    <w:rsid w:val="00FF0F0B"/>
    <w:rsid w:val="00FF0F47"/>
    <w:rsid w:val="00FF10FC"/>
    <w:rsid w:val="00FF11AB"/>
    <w:rsid w:val="00FF1343"/>
    <w:rsid w:val="00FF1440"/>
    <w:rsid w:val="00FF1483"/>
    <w:rsid w:val="00FF154E"/>
    <w:rsid w:val="00FF16A4"/>
    <w:rsid w:val="00FF16E7"/>
    <w:rsid w:val="00FF194E"/>
    <w:rsid w:val="00FF1980"/>
    <w:rsid w:val="00FF19F6"/>
    <w:rsid w:val="00FF1AB9"/>
    <w:rsid w:val="00FF1B1B"/>
    <w:rsid w:val="00FF1B3D"/>
    <w:rsid w:val="00FF1B5E"/>
    <w:rsid w:val="00FF1BB8"/>
    <w:rsid w:val="00FF1CBA"/>
    <w:rsid w:val="00FF1FFE"/>
    <w:rsid w:val="00FF2017"/>
    <w:rsid w:val="00FF201E"/>
    <w:rsid w:val="00FF201F"/>
    <w:rsid w:val="00FF21A7"/>
    <w:rsid w:val="00FF2262"/>
    <w:rsid w:val="00FF22E4"/>
    <w:rsid w:val="00FF2302"/>
    <w:rsid w:val="00FF24A4"/>
    <w:rsid w:val="00FF26A0"/>
    <w:rsid w:val="00FF2725"/>
    <w:rsid w:val="00FF29C7"/>
    <w:rsid w:val="00FF2B31"/>
    <w:rsid w:val="00FF2B88"/>
    <w:rsid w:val="00FF2D51"/>
    <w:rsid w:val="00FF2DD7"/>
    <w:rsid w:val="00FF2E12"/>
    <w:rsid w:val="00FF2ECA"/>
    <w:rsid w:val="00FF2F1B"/>
    <w:rsid w:val="00FF3259"/>
    <w:rsid w:val="00FF32B1"/>
    <w:rsid w:val="00FF345D"/>
    <w:rsid w:val="00FF34AC"/>
    <w:rsid w:val="00FF3730"/>
    <w:rsid w:val="00FF38A7"/>
    <w:rsid w:val="00FF3958"/>
    <w:rsid w:val="00FF3C37"/>
    <w:rsid w:val="00FF3C61"/>
    <w:rsid w:val="00FF3C98"/>
    <w:rsid w:val="00FF3EB9"/>
    <w:rsid w:val="00FF3F4F"/>
    <w:rsid w:val="00FF406D"/>
    <w:rsid w:val="00FF40E2"/>
    <w:rsid w:val="00FF41E9"/>
    <w:rsid w:val="00FF4203"/>
    <w:rsid w:val="00FF4432"/>
    <w:rsid w:val="00FF4628"/>
    <w:rsid w:val="00FF470C"/>
    <w:rsid w:val="00FF47F6"/>
    <w:rsid w:val="00FF48F1"/>
    <w:rsid w:val="00FF4952"/>
    <w:rsid w:val="00FF49DA"/>
    <w:rsid w:val="00FF4A26"/>
    <w:rsid w:val="00FF4AE5"/>
    <w:rsid w:val="00FF4BC9"/>
    <w:rsid w:val="00FF4C7A"/>
    <w:rsid w:val="00FF4CDA"/>
    <w:rsid w:val="00FF4D6A"/>
    <w:rsid w:val="00FF4E6B"/>
    <w:rsid w:val="00FF4F1E"/>
    <w:rsid w:val="00FF5041"/>
    <w:rsid w:val="00FF513A"/>
    <w:rsid w:val="00FF514F"/>
    <w:rsid w:val="00FF51A8"/>
    <w:rsid w:val="00FF5577"/>
    <w:rsid w:val="00FF5599"/>
    <w:rsid w:val="00FF55DA"/>
    <w:rsid w:val="00FF58A3"/>
    <w:rsid w:val="00FF596C"/>
    <w:rsid w:val="00FF59AD"/>
    <w:rsid w:val="00FF5AA1"/>
    <w:rsid w:val="00FF5CF6"/>
    <w:rsid w:val="00FF5DBB"/>
    <w:rsid w:val="00FF5DD4"/>
    <w:rsid w:val="00FF5E8A"/>
    <w:rsid w:val="00FF5FE8"/>
    <w:rsid w:val="00FF5FED"/>
    <w:rsid w:val="00FF60D0"/>
    <w:rsid w:val="00FF60FB"/>
    <w:rsid w:val="00FF61D2"/>
    <w:rsid w:val="00FF64B6"/>
    <w:rsid w:val="00FF653E"/>
    <w:rsid w:val="00FF66EC"/>
    <w:rsid w:val="00FF66F3"/>
    <w:rsid w:val="00FF671F"/>
    <w:rsid w:val="00FF6726"/>
    <w:rsid w:val="00FF69A8"/>
    <w:rsid w:val="00FF69CB"/>
    <w:rsid w:val="00FF6AD3"/>
    <w:rsid w:val="00FF6B55"/>
    <w:rsid w:val="00FF6C57"/>
    <w:rsid w:val="00FF6D27"/>
    <w:rsid w:val="00FF6E6B"/>
    <w:rsid w:val="00FF6E80"/>
    <w:rsid w:val="00FF6ED5"/>
    <w:rsid w:val="00FF72CC"/>
    <w:rsid w:val="00FF761A"/>
    <w:rsid w:val="00FF775D"/>
    <w:rsid w:val="00FF776B"/>
    <w:rsid w:val="00FF77C8"/>
    <w:rsid w:val="00FF7981"/>
    <w:rsid w:val="00FF79CC"/>
    <w:rsid w:val="00FF7A37"/>
    <w:rsid w:val="00FF7D03"/>
    <w:rsid w:val="00FF7DDB"/>
    <w:rsid w:val="00FF7E84"/>
    <w:rsid w:val="00FF7F63"/>
    <w:rsid w:val="01194BA1"/>
    <w:rsid w:val="021614C1"/>
    <w:rsid w:val="02B65BDE"/>
    <w:rsid w:val="03281D7E"/>
    <w:rsid w:val="051422A9"/>
    <w:rsid w:val="0572808D"/>
    <w:rsid w:val="0599581D"/>
    <w:rsid w:val="06CA92F4"/>
    <w:rsid w:val="07230DAB"/>
    <w:rsid w:val="07AA5509"/>
    <w:rsid w:val="080E8A87"/>
    <w:rsid w:val="08679B5C"/>
    <w:rsid w:val="088FD182"/>
    <w:rsid w:val="08BB63A6"/>
    <w:rsid w:val="09B2585F"/>
    <w:rsid w:val="0A406047"/>
    <w:rsid w:val="0AFBB194"/>
    <w:rsid w:val="0B039CD2"/>
    <w:rsid w:val="0B0B2D8F"/>
    <w:rsid w:val="0B8BF2DE"/>
    <w:rsid w:val="0B8CB4D4"/>
    <w:rsid w:val="0CD1E430"/>
    <w:rsid w:val="0D1AA917"/>
    <w:rsid w:val="0D1D82A9"/>
    <w:rsid w:val="0F91B7B8"/>
    <w:rsid w:val="10459DCF"/>
    <w:rsid w:val="10C00D31"/>
    <w:rsid w:val="11E16E30"/>
    <w:rsid w:val="12A0E16B"/>
    <w:rsid w:val="14283432"/>
    <w:rsid w:val="14830D01"/>
    <w:rsid w:val="150B8FE8"/>
    <w:rsid w:val="1549A624"/>
    <w:rsid w:val="1564216C"/>
    <w:rsid w:val="17EB7157"/>
    <w:rsid w:val="182353E8"/>
    <w:rsid w:val="18C117E6"/>
    <w:rsid w:val="19553CC1"/>
    <w:rsid w:val="1A6D8EE6"/>
    <w:rsid w:val="1ABF2D25"/>
    <w:rsid w:val="1B02E496"/>
    <w:rsid w:val="1B2C23A1"/>
    <w:rsid w:val="1B3AC96E"/>
    <w:rsid w:val="1C571263"/>
    <w:rsid w:val="1CB988D1"/>
    <w:rsid w:val="1EBA4232"/>
    <w:rsid w:val="1FA0735B"/>
    <w:rsid w:val="213A9496"/>
    <w:rsid w:val="217BD3E8"/>
    <w:rsid w:val="2213A9D1"/>
    <w:rsid w:val="223CF4E8"/>
    <w:rsid w:val="2306D934"/>
    <w:rsid w:val="2411AA61"/>
    <w:rsid w:val="24F9F3F9"/>
    <w:rsid w:val="25866B39"/>
    <w:rsid w:val="25FD29F9"/>
    <w:rsid w:val="274E3F45"/>
    <w:rsid w:val="27D8142D"/>
    <w:rsid w:val="2973E48E"/>
    <w:rsid w:val="29796204"/>
    <w:rsid w:val="299E368A"/>
    <w:rsid w:val="29C36351"/>
    <w:rsid w:val="2AAF3C39"/>
    <w:rsid w:val="2ABF7FF7"/>
    <w:rsid w:val="2B32A5F2"/>
    <w:rsid w:val="2B5DDEA3"/>
    <w:rsid w:val="2BA11301"/>
    <w:rsid w:val="2BA8BC29"/>
    <w:rsid w:val="2C30FC5C"/>
    <w:rsid w:val="2C46B40E"/>
    <w:rsid w:val="2E5F1116"/>
    <w:rsid w:val="2E8F5DFF"/>
    <w:rsid w:val="2F56E337"/>
    <w:rsid w:val="2FDDD458"/>
    <w:rsid w:val="314761D4"/>
    <w:rsid w:val="31B686E4"/>
    <w:rsid w:val="32956C7D"/>
    <w:rsid w:val="32D58832"/>
    <w:rsid w:val="3549F9FE"/>
    <w:rsid w:val="35606B0B"/>
    <w:rsid w:val="3631B6F3"/>
    <w:rsid w:val="36558B0F"/>
    <w:rsid w:val="36C6A0F5"/>
    <w:rsid w:val="36F2FEAD"/>
    <w:rsid w:val="36FDC9AE"/>
    <w:rsid w:val="380D6D97"/>
    <w:rsid w:val="3850B058"/>
    <w:rsid w:val="38DCF785"/>
    <w:rsid w:val="3AB71DEF"/>
    <w:rsid w:val="3B39EEC3"/>
    <w:rsid w:val="3B3FEBAA"/>
    <w:rsid w:val="3C7C01D3"/>
    <w:rsid w:val="3C82E721"/>
    <w:rsid w:val="3D01D1FA"/>
    <w:rsid w:val="3E9CB2EF"/>
    <w:rsid w:val="40C3F812"/>
    <w:rsid w:val="40DFA994"/>
    <w:rsid w:val="4154A561"/>
    <w:rsid w:val="4232BDDD"/>
    <w:rsid w:val="424DE9D0"/>
    <w:rsid w:val="42844B0F"/>
    <w:rsid w:val="42C1853E"/>
    <w:rsid w:val="42E2F63A"/>
    <w:rsid w:val="439EA878"/>
    <w:rsid w:val="44480E86"/>
    <w:rsid w:val="44E59A6F"/>
    <w:rsid w:val="4574DF1B"/>
    <w:rsid w:val="45DCBE3A"/>
    <w:rsid w:val="4749FB3A"/>
    <w:rsid w:val="4803AE7A"/>
    <w:rsid w:val="4827CDE2"/>
    <w:rsid w:val="48443344"/>
    <w:rsid w:val="48570795"/>
    <w:rsid w:val="48BE5984"/>
    <w:rsid w:val="48F79257"/>
    <w:rsid w:val="48F81481"/>
    <w:rsid w:val="4921BEC2"/>
    <w:rsid w:val="49569874"/>
    <w:rsid w:val="49D8EB83"/>
    <w:rsid w:val="4A1C5B68"/>
    <w:rsid w:val="4AD1DD6A"/>
    <w:rsid w:val="4B22B8FE"/>
    <w:rsid w:val="4BFB9695"/>
    <w:rsid w:val="4C83564F"/>
    <w:rsid w:val="4CECB819"/>
    <w:rsid w:val="4E49FA24"/>
    <w:rsid w:val="4FE19AA4"/>
    <w:rsid w:val="4FF6F36F"/>
    <w:rsid w:val="504FC590"/>
    <w:rsid w:val="5051664C"/>
    <w:rsid w:val="50D11EC6"/>
    <w:rsid w:val="50F64DF7"/>
    <w:rsid w:val="51E3ADA1"/>
    <w:rsid w:val="52500B67"/>
    <w:rsid w:val="52A1E4C7"/>
    <w:rsid w:val="52F7A653"/>
    <w:rsid w:val="531F9531"/>
    <w:rsid w:val="53208ABE"/>
    <w:rsid w:val="534D2601"/>
    <w:rsid w:val="5374BD04"/>
    <w:rsid w:val="53E8EA7C"/>
    <w:rsid w:val="5462CDFD"/>
    <w:rsid w:val="554180C2"/>
    <w:rsid w:val="55EF9E8B"/>
    <w:rsid w:val="55FE1A30"/>
    <w:rsid w:val="5616CA9C"/>
    <w:rsid w:val="56BFC0B8"/>
    <w:rsid w:val="577D7942"/>
    <w:rsid w:val="57EC1312"/>
    <w:rsid w:val="58662ADD"/>
    <w:rsid w:val="59799FF3"/>
    <w:rsid w:val="59ED4E46"/>
    <w:rsid w:val="5A1C1278"/>
    <w:rsid w:val="5B46E4DE"/>
    <w:rsid w:val="5BAAD139"/>
    <w:rsid w:val="5C60604E"/>
    <w:rsid w:val="5CAD0066"/>
    <w:rsid w:val="5CBBEF33"/>
    <w:rsid w:val="5CBCABB7"/>
    <w:rsid w:val="5DA0CE90"/>
    <w:rsid w:val="5FACA15C"/>
    <w:rsid w:val="5FEC1566"/>
    <w:rsid w:val="600C7FC1"/>
    <w:rsid w:val="603B2CFD"/>
    <w:rsid w:val="6052EA61"/>
    <w:rsid w:val="62132156"/>
    <w:rsid w:val="6252B055"/>
    <w:rsid w:val="650CD7F7"/>
    <w:rsid w:val="6580BA2B"/>
    <w:rsid w:val="65BE9914"/>
    <w:rsid w:val="65E55355"/>
    <w:rsid w:val="662AD72D"/>
    <w:rsid w:val="66B6414C"/>
    <w:rsid w:val="66DF5610"/>
    <w:rsid w:val="66F1D5A0"/>
    <w:rsid w:val="6708A380"/>
    <w:rsid w:val="678427F2"/>
    <w:rsid w:val="67939B58"/>
    <w:rsid w:val="67F17975"/>
    <w:rsid w:val="6866B96D"/>
    <w:rsid w:val="68966BCB"/>
    <w:rsid w:val="69C25BF2"/>
    <w:rsid w:val="69ED445E"/>
    <w:rsid w:val="6B28C603"/>
    <w:rsid w:val="6FC30DC6"/>
    <w:rsid w:val="700FDDF6"/>
    <w:rsid w:val="70D5442B"/>
    <w:rsid w:val="718137B2"/>
    <w:rsid w:val="7314B3D4"/>
    <w:rsid w:val="733E7687"/>
    <w:rsid w:val="74318B38"/>
    <w:rsid w:val="752B67EF"/>
    <w:rsid w:val="75A81ACB"/>
    <w:rsid w:val="77483868"/>
    <w:rsid w:val="77741861"/>
    <w:rsid w:val="7783AAD9"/>
    <w:rsid w:val="778CA95A"/>
    <w:rsid w:val="77E27642"/>
    <w:rsid w:val="78BB31CE"/>
    <w:rsid w:val="79CD8834"/>
    <w:rsid w:val="7AC5ACE1"/>
    <w:rsid w:val="7B3D75BF"/>
    <w:rsid w:val="7D131F9D"/>
    <w:rsid w:val="7E66B17A"/>
    <w:rsid w:val="7E6DBF42"/>
    <w:rsid w:val="7FABBE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274EF"/>
  <w15:docId w15:val="{4A36EEEB-6A76-48EC-A0F2-86769D2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5"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DC7"/>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B23B0B"/>
    <w:rPr>
      <w:color w:val="0070C0"/>
      <w:u w:val="single"/>
    </w:rPr>
  </w:style>
  <w:style w:type="paragraph" w:customStyle="1" w:styleId="NumPlainA">
    <w:name w:val="Num PlainA"/>
    <w:basedOn w:val="Normal"/>
    <w:qFormat/>
    <w:rsid w:val="00580BC4"/>
    <w:pPr>
      <w:numPr>
        <w:numId w:val="4"/>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BE63F3"/>
    <w:pPr>
      <w:spacing w:after="100"/>
    </w:pPr>
  </w:style>
  <w:style w:type="paragraph" w:customStyle="1" w:styleId="NumPlain2">
    <w:name w:val="Num Plain2"/>
    <w:basedOn w:val="NumPlain1"/>
    <w:uiPriority w:val="2"/>
    <w:qFormat/>
    <w:rsid w:val="009917B6"/>
    <w:pPr>
      <w:numPr>
        <w:numId w:val="34"/>
      </w:numPr>
      <w:ind w:left="1564" w:hanging="782"/>
    </w:pPr>
  </w:style>
  <w:style w:type="paragraph" w:customStyle="1" w:styleId="NumPlain3">
    <w:name w:val="Num Plain3"/>
    <w:basedOn w:val="NumPlain2"/>
    <w:uiPriority w:val="2"/>
    <w:qFormat/>
    <w:rsid w:val="00997DAF"/>
    <w:pPr>
      <w:numPr>
        <w:ilvl w:val="2"/>
      </w:numPr>
      <w:ind w:left="2347" w:hanging="782"/>
    </w:pPr>
  </w:style>
  <w:style w:type="paragraph" w:customStyle="1" w:styleId="NumPlain4">
    <w:name w:val="Num Plain4"/>
    <w:basedOn w:val="NumPlain3"/>
    <w:rsid w:val="00426876"/>
    <w:pPr>
      <w:numPr>
        <w:ilvl w:val="3"/>
        <w:numId w:val="11"/>
      </w:numPr>
    </w:pPr>
  </w:style>
  <w:style w:type="paragraph" w:customStyle="1" w:styleId="Bullet1">
    <w:name w:val="Bullet1"/>
    <w:basedOn w:val="Normal"/>
    <w:qFormat/>
    <w:rsid w:val="00580BC4"/>
    <w:pPr>
      <w:numPr>
        <w:numId w:val="3"/>
      </w:numPr>
      <w:spacing w:before="100" w:after="100"/>
      <w:ind w:left="505" w:hanging="505"/>
    </w:pPr>
  </w:style>
  <w:style w:type="paragraph" w:customStyle="1" w:styleId="Bullet2">
    <w:name w:val="Bullet2"/>
    <w:basedOn w:val="Normal"/>
    <w:rsid w:val="00972BFA"/>
    <w:pPr>
      <w:numPr>
        <w:ilvl w:val="1"/>
        <w:numId w:val="3"/>
      </w:numPr>
      <w:spacing w:after="200"/>
      <w:ind w:left="1010" w:hanging="505"/>
    </w:pPr>
  </w:style>
  <w:style w:type="paragraph" w:customStyle="1" w:styleId="Bullet3">
    <w:name w:val="Bullet3"/>
    <w:basedOn w:val="Normal"/>
    <w:rsid w:val="00972BFA"/>
    <w:pPr>
      <w:numPr>
        <w:ilvl w:val="2"/>
        <w:numId w:val="3"/>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3"/>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1">
    <w:name w:val="NumberedList 1"/>
    <w:basedOn w:val="Normal"/>
    <w:qFormat/>
    <w:rsid w:val="00BD07AC"/>
    <w:pPr>
      <w:numPr>
        <w:numId w:val="1"/>
      </w:numPr>
      <w:spacing w:before="100" w:after="100"/>
      <w:ind w:left="782" w:hanging="782"/>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C0037"/>
    <w:pPr>
      <w:numPr>
        <w:numId w:val="17"/>
      </w:numPr>
      <w:spacing w:before="100" w:after="100"/>
    </w:pPr>
  </w:style>
  <w:style w:type="paragraph" w:customStyle="1" w:styleId="NumBC2">
    <w:name w:val="Num BC2"/>
    <w:basedOn w:val="NumBC1"/>
    <w:rsid w:val="00F3520C"/>
    <w:pPr>
      <w:numPr>
        <w:ilvl w:val="1"/>
      </w:numPr>
      <w:ind w:left="1564" w:hanging="782"/>
    </w:pPr>
  </w:style>
  <w:style w:type="paragraph" w:customStyle="1" w:styleId="NumBC3">
    <w:name w:val="Num BC3"/>
    <w:basedOn w:val="NumBC2"/>
    <w:rsid w:val="00025704"/>
    <w:pPr>
      <w:numPr>
        <w:ilvl w:val="2"/>
      </w:numPr>
      <w:ind w:left="2347"/>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2"/>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6"/>
      </w:numPr>
    </w:pPr>
  </w:style>
  <w:style w:type="paragraph" w:customStyle="1" w:styleId="SubNumPlain3">
    <w:name w:val="SubNum Plain3"/>
    <w:basedOn w:val="PlainHanging3"/>
    <w:qFormat/>
    <w:rsid w:val="00A96702"/>
    <w:pPr>
      <w:numPr>
        <w:ilvl w:val="2"/>
        <w:numId w:val="6"/>
      </w:numPr>
    </w:pPr>
  </w:style>
  <w:style w:type="paragraph" w:customStyle="1" w:styleId="SubNumPlain4">
    <w:name w:val="SubNum Plain4"/>
    <w:basedOn w:val="PlainHanging4"/>
    <w:qFormat/>
    <w:rsid w:val="00A96702"/>
    <w:pPr>
      <w:numPr>
        <w:ilvl w:val="3"/>
        <w:numId w:val="6"/>
      </w:numPr>
    </w:pPr>
  </w:style>
  <w:style w:type="paragraph" w:customStyle="1" w:styleId="SubNumBold1">
    <w:name w:val="SubNum Bold1"/>
    <w:basedOn w:val="BoldHanging1"/>
    <w:qFormat/>
    <w:rsid w:val="00A96702"/>
    <w:pPr>
      <w:numPr>
        <w:numId w:val="7"/>
      </w:numPr>
    </w:pPr>
  </w:style>
  <w:style w:type="paragraph" w:customStyle="1" w:styleId="SubNumBold2">
    <w:name w:val="SubNum Bold2"/>
    <w:basedOn w:val="BoldHanging2"/>
    <w:qFormat/>
    <w:rsid w:val="00A96702"/>
    <w:pPr>
      <w:numPr>
        <w:ilvl w:val="1"/>
        <w:numId w:val="7"/>
      </w:numPr>
    </w:pPr>
  </w:style>
  <w:style w:type="paragraph" w:customStyle="1" w:styleId="SubNumBold3">
    <w:name w:val="SubNum Bold3"/>
    <w:basedOn w:val="BoldHanging3"/>
    <w:qFormat/>
    <w:rsid w:val="00A96702"/>
    <w:pPr>
      <w:numPr>
        <w:ilvl w:val="2"/>
        <w:numId w:val="7"/>
      </w:numPr>
    </w:pPr>
  </w:style>
  <w:style w:type="paragraph" w:customStyle="1" w:styleId="SubNumBold4">
    <w:name w:val="SubNum Bold4"/>
    <w:basedOn w:val="BoldHanging4"/>
    <w:qFormat/>
    <w:rsid w:val="00A96702"/>
    <w:pPr>
      <w:numPr>
        <w:ilvl w:val="3"/>
        <w:numId w:val="7"/>
      </w:numPr>
    </w:pPr>
  </w:style>
  <w:style w:type="numbering" w:customStyle="1" w:styleId="AASBSubNumbers">
    <w:name w:val="AASB SubNumbers"/>
    <w:uiPriority w:val="99"/>
    <w:rsid w:val="00A96702"/>
    <w:pPr>
      <w:numPr>
        <w:numId w:val="5"/>
      </w:numPr>
    </w:pPr>
  </w:style>
  <w:style w:type="numbering" w:customStyle="1" w:styleId="AASBSubNumbersBold">
    <w:name w:val="AASB SubNumbers Bold"/>
    <w:uiPriority w:val="99"/>
    <w:rsid w:val="00A96702"/>
    <w:pPr>
      <w:numPr>
        <w:numId w:val="7"/>
      </w:numPr>
    </w:pPr>
  </w:style>
  <w:style w:type="character" w:customStyle="1" w:styleId="NumPlain1Char">
    <w:name w:val="Num Plain1 Char"/>
    <w:basedOn w:val="DefaultParagraphFont"/>
    <w:link w:val="NumPlain1"/>
    <w:rsid w:val="00BE63F3"/>
    <w:rPr>
      <w:sz w:val="19"/>
      <w:lang w:eastAsia="en-US"/>
    </w:rPr>
  </w:style>
  <w:style w:type="character" w:customStyle="1" w:styleId="FooterChar">
    <w:name w:val="Footer Char"/>
    <w:basedOn w:val="DefaultParagraphFont"/>
    <w:link w:val="Footer"/>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8"/>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rsid w:val="00354B47"/>
    <w:rPr>
      <w:vertAlign w:val="superscript"/>
    </w:rPr>
  </w:style>
  <w:style w:type="character" w:customStyle="1" w:styleId="FootnoteTextChar">
    <w:name w:val="Footnote Text Char"/>
    <w:basedOn w:val="DefaultParagraphFont"/>
    <w:link w:val="FootnoteText"/>
    <w:rsid w:val="00354B47"/>
    <w:rPr>
      <w:sz w:val="16"/>
      <w:lang w:eastAsia="en-US"/>
    </w:rPr>
  </w:style>
  <w:style w:type="character" w:styleId="CommentReference">
    <w:name w:val="annotation reference"/>
    <w:basedOn w:val="DefaultParagraphFont"/>
    <w:uiPriority w:val="5"/>
    <w:rsid w:val="00354B47"/>
    <w:rPr>
      <w:sz w:val="16"/>
      <w:szCs w:val="16"/>
    </w:rPr>
  </w:style>
  <w:style w:type="paragraph" w:styleId="CommentText">
    <w:name w:val="annotation text"/>
    <w:basedOn w:val="Normal"/>
    <w:link w:val="CommentTextChar"/>
    <w:uiPriority w:val="5"/>
    <w:rsid w:val="00354B47"/>
    <w:pPr>
      <w:jc w:val="left"/>
    </w:pPr>
    <w:rPr>
      <w:sz w:val="20"/>
    </w:rPr>
  </w:style>
  <w:style w:type="character" w:customStyle="1" w:styleId="CommentTextChar">
    <w:name w:val="Comment Text Char"/>
    <w:basedOn w:val="DefaultParagraphFont"/>
    <w:link w:val="CommentText"/>
    <w:uiPriority w:val="5"/>
    <w:rsid w:val="00354B47"/>
    <w:rPr>
      <w:lang w:eastAsia="en-US"/>
    </w:rPr>
  </w:style>
  <w:style w:type="paragraph" w:styleId="BalloonText">
    <w:name w:val="Balloon Text"/>
    <w:basedOn w:val="Normal"/>
    <w:link w:val="BalloonTextChar"/>
    <w:rsid w:val="00354B47"/>
    <w:rPr>
      <w:rFonts w:ascii="Tahoma" w:hAnsi="Tahoma" w:cs="Tahoma"/>
      <w:sz w:val="16"/>
      <w:szCs w:val="16"/>
    </w:rPr>
  </w:style>
  <w:style w:type="character" w:customStyle="1" w:styleId="BalloonTextChar">
    <w:name w:val="Balloon Text Char"/>
    <w:basedOn w:val="DefaultParagraphFont"/>
    <w:link w:val="BalloonText"/>
    <w:rsid w:val="00354B47"/>
    <w:rPr>
      <w:rFonts w:ascii="Tahoma" w:hAnsi="Tahoma" w:cs="Tahoma"/>
      <w:sz w:val="16"/>
      <w:szCs w:val="16"/>
      <w:lang w:eastAsia="en-US"/>
    </w:rPr>
  </w:style>
  <w:style w:type="character" w:customStyle="1" w:styleId="Heading1Char">
    <w:name w:val="Heading 1 Char"/>
    <w:basedOn w:val="DefaultParagraphFont"/>
    <w:link w:val="Heading1"/>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rsid w:val="00A857AE"/>
    <w:pPr>
      <w:jc w:val="both"/>
    </w:pPr>
    <w:rPr>
      <w:b/>
      <w:bCs/>
    </w:rPr>
  </w:style>
  <w:style w:type="character" w:customStyle="1" w:styleId="CommentSubjectChar">
    <w:name w:val="Comment Subject Char"/>
    <w:basedOn w:val="CommentTextChar"/>
    <w:link w:val="CommentSubject"/>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766B7A"/>
    <w:pPr>
      <w:numPr>
        <w:numId w:val="35"/>
      </w:numPr>
    </w:pPr>
  </w:style>
  <w:style w:type="paragraph" w:customStyle="1" w:styleId="NumBPlain3">
    <w:name w:val="Num B Plain 3"/>
    <w:basedOn w:val="NumBPlain2"/>
    <w:qFormat/>
    <w:rsid w:val="00AB593D"/>
    <w:pPr>
      <w:numPr>
        <w:ilvl w:val="2"/>
      </w:numPr>
      <w:spacing w:before="100" w:after="100"/>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9"/>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uiPriority w:val="34"/>
    <w:qFormat/>
    <w:rsid w:val="007F6E64"/>
    <w:pPr>
      <w:numPr>
        <w:numId w:val="15"/>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rsid w:val="003D41A0"/>
    <w:rPr>
      <w:rFonts w:ascii="Arial" w:hAnsi="Arial" w:cs="Arial"/>
      <w:b/>
      <w:iCs/>
      <w:sz w:val="26"/>
      <w:szCs w:val="28"/>
      <w:lang w:eastAsia="en-US"/>
    </w:rPr>
  </w:style>
  <w:style w:type="numbering" w:customStyle="1" w:styleId="AASBNumbers">
    <w:name w:val="AASB Numbers"/>
    <w:uiPriority w:val="99"/>
    <w:rsid w:val="003D41A0"/>
    <w:pPr>
      <w:numPr>
        <w:numId w:val="10"/>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11"/>
      </w:numPr>
      <w:spacing w:before="100" w:after="100"/>
    </w:pPr>
  </w:style>
  <w:style w:type="paragraph" w:customStyle="1" w:styleId="NumCPlain2">
    <w:name w:val="Num C Plain 2"/>
    <w:basedOn w:val="NumCPlain1"/>
    <w:qFormat/>
    <w:rsid w:val="004237C1"/>
    <w:pPr>
      <w:numPr>
        <w:ilvl w:val="1"/>
      </w:numPr>
      <w:ind w:left="1564" w:hanging="782"/>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3"/>
      </w:numPr>
      <w:spacing w:after="200" w:line="200" w:lineRule="exact"/>
      <w:jc w:val="left"/>
    </w:pPr>
    <w:rPr>
      <w:sz w:val="20"/>
    </w:rPr>
  </w:style>
  <w:style w:type="paragraph" w:customStyle="1" w:styleId="DLevel2">
    <w:name w:val="DLevel 2"/>
    <w:basedOn w:val="Normal"/>
    <w:uiPriority w:val="1"/>
    <w:qFormat/>
    <w:rsid w:val="0055166C"/>
    <w:pPr>
      <w:numPr>
        <w:ilvl w:val="1"/>
        <w:numId w:val="13"/>
      </w:numPr>
      <w:spacing w:after="200" w:line="200" w:lineRule="exact"/>
      <w:jc w:val="left"/>
    </w:pPr>
    <w:rPr>
      <w:sz w:val="20"/>
    </w:rPr>
  </w:style>
  <w:style w:type="paragraph" w:customStyle="1" w:styleId="DLevel3">
    <w:name w:val="DLevel 3"/>
    <w:basedOn w:val="Normal"/>
    <w:uiPriority w:val="1"/>
    <w:qFormat/>
    <w:rsid w:val="0055166C"/>
    <w:pPr>
      <w:numPr>
        <w:ilvl w:val="2"/>
        <w:numId w:val="13"/>
      </w:numPr>
      <w:spacing w:after="200" w:line="200" w:lineRule="exact"/>
      <w:jc w:val="left"/>
    </w:pPr>
    <w:rPr>
      <w:sz w:val="20"/>
    </w:rPr>
  </w:style>
  <w:style w:type="numbering" w:customStyle="1" w:styleId="DNos">
    <w:name w:val="DNos"/>
    <w:uiPriority w:val="99"/>
    <w:rsid w:val="0055166C"/>
    <w:pPr>
      <w:numPr>
        <w:numId w:val="12"/>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4"/>
      </w:numPr>
      <w:spacing w:before="100"/>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numPr>
        <w:numId w:val="16"/>
      </w:numPr>
      <w:spacing w:after="240"/>
      <w:jc w:val="left"/>
    </w:pPr>
  </w:style>
  <w:style w:type="paragraph" w:customStyle="1" w:styleId="NumDPlain2">
    <w:name w:val="Num D Plain 2"/>
    <w:basedOn w:val="NumDPlain1"/>
    <w:qFormat/>
    <w:rsid w:val="00235618"/>
    <w:pPr>
      <w:numPr>
        <w:ilvl w:val="1"/>
      </w:numPr>
      <w:ind w:left="1564" w:hanging="782"/>
    </w:pPr>
  </w:style>
  <w:style w:type="paragraph" w:customStyle="1" w:styleId="NumDPlain3">
    <w:name w:val="Num D Plain 3"/>
    <w:basedOn w:val="NumDPlain2"/>
    <w:qFormat/>
    <w:rsid w:val="00235618"/>
    <w:pPr>
      <w:numPr>
        <w:ilvl w:val="2"/>
      </w:numPr>
      <w:ind w:left="2347" w:hanging="782"/>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19"/>
      </w:numPr>
      <w:spacing w:after="200" w:line="200" w:lineRule="exact"/>
      <w:jc w:val="left"/>
    </w:pPr>
    <w:rPr>
      <w:sz w:val="20"/>
    </w:rPr>
  </w:style>
  <w:style w:type="paragraph" w:customStyle="1" w:styleId="IE2">
    <w:name w:val="IE2"/>
    <w:basedOn w:val="Normal"/>
    <w:uiPriority w:val="1"/>
    <w:qFormat/>
    <w:rsid w:val="00BA5A1C"/>
    <w:pPr>
      <w:numPr>
        <w:ilvl w:val="1"/>
        <w:numId w:val="19"/>
      </w:numPr>
      <w:spacing w:after="200" w:line="200" w:lineRule="exact"/>
      <w:jc w:val="left"/>
    </w:pPr>
    <w:rPr>
      <w:sz w:val="20"/>
    </w:rPr>
  </w:style>
  <w:style w:type="paragraph" w:customStyle="1" w:styleId="IE3">
    <w:name w:val="IE3"/>
    <w:basedOn w:val="Normal"/>
    <w:uiPriority w:val="1"/>
    <w:qFormat/>
    <w:rsid w:val="00BA5A1C"/>
    <w:pPr>
      <w:numPr>
        <w:ilvl w:val="2"/>
        <w:numId w:val="19"/>
      </w:numPr>
      <w:spacing w:after="200" w:line="200" w:lineRule="exact"/>
      <w:jc w:val="left"/>
    </w:pPr>
    <w:rPr>
      <w:sz w:val="20"/>
    </w:rPr>
  </w:style>
  <w:style w:type="numbering" w:customStyle="1" w:styleId="IENos">
    <w:name w:val="IENos"/>
    <w:uiPriority w:val="99"/>
    <w:rsid w:val="00BA5A1C"/>
    <w:pPr>
      <w:numPr>
        <w:numId w:val="18"/>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4"/>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21"/>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23"/>
      </w:numPr>
      <w:spacing w:after="100"/>
    </w:pPr>
    <w:rPr>
      <w:szCs w:val="19"/>
    </w:rPr>
  </w:style>
  <w:style w:type="paragraph" w:styleId="NormalWeb">
    <w:name w:val="Normal (Web)"/>
    <w:basedOn w:val="Normal"/>
    <w:uiPriority w:val="99"/>
    <w:semiHidden/>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270378"/>
    <w:pPr>
      <w:spacing w:after="120"/>
    </w:pPr>
  </w:style>
  <w:style w:type="character" w:customStyle="1" w:styleId="BodyTextChar">
    <w:name w:val="Body Text Char"/>
    <w:basedOn w:val="DefaultParagraphFont"/>
    <w:link w:val="BodyText"/>
    <w:rsid w:val="00270378"/>
    <w:rPr>
      <w:sz w:val="19"/>
      <w:lang w:eastAsia="en-US"/>
    </w:rPr>
  </w:style>
  <w:style w:type="paragraph" w:customStyle="1" w:styleId="BoldNumHang1">
    <w:name w:val="Bold Num Hang 1"/>
    <w:basedOn w:val="PlainNumHang1"/>
    <w:qFormat/>
    <w:rsid w:val="00B67DA5"/>
    <w:pPr>
      <w:jc w:val="both"/>
    </w:pPr>
    <w:rPr>
      <w:b/>
    </w:rPr>
  </w:style>
  <w:style w:type="table" w:customStyle="1" w:styleId="TableGrid2">
    <w:name w:val="Table Grid2"/>
    <w:basedOn w:val="TableNormal"/>
    <w:next w:val="TableGrid"/>
    <w:rsid w:val="00D731A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42C03"/>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42C03"/>
    <w:rPr>
      <w:rFonts w:ascii="Calibri" w:eastAsiaTheme="minorHAnsi" w:hAnsi="Calibri" w:cstheme="minorBidi"/>
      <w:sz w:val="22"/>
      <w:szCs w:val="21"/>
      <w:lang w:eastAsia="en-US"/>
    </w:rPr>
  </w:style>
  <w:style w:type="character" w:styleId="UnresolvedMention">
    <w:name w:val="Unresolved Mention"/>
    <w:basedOn w:val="DefaultParagraphFont"/>
    <w:uiPriority w:val="99"/>
    <w:unhideWhenUsed/>
    <w:rsid w:val="002532A9"/>
    <w:rPr>
      <w:color w:val="605E5C"/>
      <w:shd w:val="clear" w:color="auto" w:fill="E1DFDD"/>
    </w:rPr>
  </w:style>
  <w:style w:type="character" w:styleId="Mention">
    <w:name w:val="Mention"/>
    <w:basedOn w:val="DefaultParagraphFont"/>
    <w:uiPriority w:val="99"/>
    <w:unhideWhenUsed/>
    <w:rsid w:val="002532A9"/>
    <w:rPr>
      <w:color w:val="2B579A"/>
      <w:shd w:val="clear" w:color="auto" w:fill="E1DFDD"/>
    </w:rPr>
  </w:style>
  <w:style w:type="paragraph" w:customStyle="1" w:styleId="ParaPlain">
    <w:name w:val="ParaPlain"/>
    <w:basedOn w:val="Normal"/>
    <w:link w:val="ParaPlainChar"/>
    <w:qFormat/>
    <w:rsid w:val="00F26939"/>
    <w:pPr>
      <w:spacing w:after="200" w:line="220" w:lineRule="exact"/>
      <w:jc w:val="left"/>
    </w:pPr>
    <w:rPr>
      <w:sz w:val="22"/>
    </w:rPr>
  </w:style>
  <w:style w:type="character" w:customStyle="1" w:styleId="ParaPlainChar">
    <w:name w:val="ParaPlain Char"/>
    <w:basedOn w:val="DefaultParagraphFont"/>
    <w:link w:val="ParaPlain"/>
    <w:rsid w:val="00F26939"/>
    <w:rPr>
      <w:sz w:val="22"/>
      <w:lang w:eastAsia="en-US"/>
    </w:rPr>
  </w:style>
  <w:style w:type="paragraph" w:customStyle="1" w:styleId="BulletPara1">
    <w:name w:val="Bullet Para 1"/>
    <w:basedOn w:val="Normal"/>
    <w:uiPriority w:val="3"/>
    <w:qFormat/>
    <w:rsid w:val="005036FF"/>
    <w:pPr>
      <w:numPr>
        <w:numId w:val="25"/>
      </w:numPr>
      <w:spacing w:after="240"/>
      <w:jc w:val="left"/>
    </w:pPr>
    <w:rPr>
      <w:sz w:val="24"/>
      <w:szCs w:val="24"/>
      <w:lang w:eastAsia="en-AU"/>
    </w:rPr>
  </w:style>
  <w:style w:type="paragraph" w:customStyle="1" w:styleId="BulletPara2">
    <w:name w:val="Bullet Para 2"/>
    <w:basedOn w:val="BulletPara1"/>
    <w:uiPriority w:val="3"/>
    <w:qFormat/>
    <w:rsid w:val="005036FF"/>
    <w:pPr>
      <w:numPr>
        <w:ilvl w:val="1"/>
      </w:numPr>
    </w:pPr>
  </w:style>
  <w:style w:type="paragraph" w:customStyle="1" w:styleId="BulletPara3">
    <w:name w:val="Bullet Para 3"/>
    <w:basedOn w:val="BulletPara2"/>
    <w:uiPriority w:val="3"/>
    <w:qFormat/>
    <w:rsid w:val="005036FF"/>
    <w:pPr>
      <w:numPr>
        <w:ilvl w:val="2"/>
      </w:numPr>
    </w:pPr>
  </w:style>
  <w:style w:type="numbering" w:customStyle="1" w:styleId="BulletedParas">
    <w:name w:val="Bulleted Paras"/>
    <w:uiPriority w:val="99"/>
    <w:rsid w:val="005036FF"/>
    <w:pPr>
      <w:numPr>
        <w:numId w:val="25"/>
      </w:numPr>
    </w:pPr>
  </w:style>
  <w:style w:type="paragraph" w:customStyle="1" w:styleId="StandardparaH">
    <w:name w:val="Standard para H"/>
    <w:basedOn w:val="Normal"/>
    <w:uiPriority w:val="1"/>
    <w:qFormat/>
    <w:rsid w:val="00D9394F"/>
    <w:pPr>
      <w:numPr>
        <w:numId w:val="27"/>
      </w:numPr>
      <w:tabs>
        <w:tab w:val="left" w:pos="720"/>
      </w:tabs>
      <w:spacing w:before="100" w:after="100"/>
      <w:jc w:val="left"/>
    </w:pPr>
    <w:rPr>
      <w:rFonts w:ascii="Calibri" w:eastAsia="SimSun" w:hAnsi="Calibri"/>
      <w:sz w:val="20"/>
    </w:rPr>
  </w:style>
  <w:style w:type="paragraph" w:customStyle="1" w:styleId="xnumbc1">
    <w:name w:val="x_numbc1"/>
    <w:basedOn w:val="Normal"/>
    <w:rsid w:val="007E0F3C"/>
    <w:pPr>
      <w:spacing w:before="100" w:beforeAutospacing="1" w:after="100" w:afterAutospacing="1"/>
      <w:jc w:val="left"/>
    </w:pPr>
    <w:rPr>
      <w:sz w:val="24"/>
      <w:szCs w:val="24"/>
      <w:lang w:eastAsia="en-AU"/>
    </w:rPr>
  </w:style>
  <w:style w:type="paragraph" w:customStyle="1" w:styleId="xnumbc2">
    <w:name w:val="x_numbc2"/>
    <w:basedOn w:val="Normal"/>
    <w:rsid w:val="007E0F3C"/>
    <w:pPr>
      <w:spacing w:before="100" w:beforeAutospacing="1" w:after="100" w:afterAutospacing="1"/>
      <w:jc w:val="left"/>
    </w:pPr>
    <w:rPr>
      <w:sz w:val="24"/>
      <w:szCs w:val="24"/>
      <w:lang w:eastAsia="en-AU"/>
    </w:rPr>
  </w:style>
  <w:style w:type="paragraph" w:customStyle="1" w:styleId="NumberedList2">
    <w:name w:val="NumberedList2"/>
    <w:basedOn w:val="IASBNormal"/>
    <w:qFormat/>
    <w:rsid w:val="00065E25"/>
    <w:pPr>
      <w:widowControl w:val="0"/>
      <w:numPr>
        <w:numId w:val="26"/>
      </w:numPr>
    </w:pPr>
  </w:style>
  <w:style w:type="paragraph" w:customStyle="1" w:styleId="xmsocommenttext">
    <w:name w:val="x_msocommenttext"/>
    <w:basedOn w:val="Normal"/>
    <w:rsid w:val="00E075E8"/>
    <w:pPr>
      <w:spacing w:before="100" w:beforeAutospacing="1" w:after="100" w:afterAutospacing="1"/>
      <w:jc w:val="left"/>
    </w:pPr>
    <w:rPr>
      <w:sz w:val="24"/>
      <w:szCs w:val="24"/>
      <w:lang w:eastAsia="en-AU"/>
    </w:rPr>
  </w:style>
  <w:style w:type="paragraph" w:customStyle="1" w:styleId="xmsonormal">
    <w:name w:val="x_msonormal"/>
    <w:basedOn w:val="Normal"/>
    <w:rsid w:val="00E075E8"/>
    <w:pPr>
      <w:spacing w:before="100" w:beforeAutospacing="1" w:after="100" w:afterAutospacing="1"/>
      <w:jc w:val="left"/>
    </w:pPr>
    <w:rPr>
      <w:sz w:val="24"/>
      <w:szCs w:val="24"/>
      <w:lang w:eastAsia="en-AU"/>
    </w:rPr>
  </w:style>
  <w:style w:type="paragraph" w:customStyle="1" w:styleId="Head1Numbered">
    <w:name w:val="Head 1 Numbered"/>
    <w:basedOn w:val="Normal"/>
    <w:rsid w:val="001A78A5"/>
    <w:pPr>
      <w:keepNext/>
      <w:numPr>
        <w:numId w:val="30"/>
      </w:numPr>
      <w:spacing w:before="440" w:after="220"/>
      <w:jc w:val="left"/>
      <w:outlineLvl w:val="0"/>
    </w:pPr>
    <w:rPr>
      <w:rFonts w:ascii="Arial" w:hAnsi="Arial" w:cs="Arial"/>
      <w:caps/>
      <w:kern w:val="36"/>
      <w:sz w:val="36"/>
      <w:szCs w:val="36"/>
      <w:lang w:eastAsia="en-AU"/>
    </w:rPr>
  </w:style>
  <w:style w:type="paragraph" w:customStyle="1" w:styleId="Head2Numbered">
    <w:name w:val="Head 2 Numbered"/>
    <w:basedOn w:val="Normal"/>
    <w:rsid w:val="001A78A5"/>
    <w:pPr>
      <w:keepNext/>
      <w:numPr>
        <w:ilvl w:val="1"/>
        <w:numId w:val="30"/>
      </w:numPr>
      <w:spacing w:before="440" w:after="220"/>
      <w:jc w:val="left"/>
      <w:outlineLvl w:val="1"/>
    </w:pPr>
    <w:rPr>
      <w:rFonts w:ascii="Arial" w:hAnsi="Arial" w:cs="Arial"/>
      <w:b/>
      <w:caps/>
      <w:kern w:val="36"/>
      <w:sz w:val="24"/>
      <w:szCs w:val="24"/>
      <w:lang w:eastAsia="en-AU"/>
    </w:rPr>
  </w:style>
  <w:style w:type="paragraph" w:customStyle="1" w:styleId="Head3Numbered">
    <w:name w:val="Head 3 Numbered"/>
    <w:basedOn w:val="Normal"/>
    <w:rsid w:val="001A78A5"/>
    <w:pPr>
      <w:keepNext/>
      <w:numPr>
        <w:ilvl w:val="2"/>
        <w:numId w:val="30"/>
      </w:numPr>
      <w:spacing w:before="360" w:after="220"/>
      <w:jc w:val="left"/>
      <w:outlineLvl w:val="2"/>
    </w:pPr>
    <w:rPr>
      <w:rFonts w:ascii="Arial" w:hAnsi="Arial" w:cs="Arial"/>
      <w:b/>
      <w:sz w:val="24"/>
      <w:szCs w:val="24"/>
      <w:lang w:eastAsia="en-AU"/>
    </w:rPr>
  </w:style>
  <w:style w:type="character" w:customStyle="1" w:styleId="normaltextrun">
    <w:name w:val="normaltextrun"/>
    <w:basedOn w:val="DefaultParagraphFont"/>
    <w:rsid w:val="00585327"/>
  </w:style>
  <w:style w:type="paragraph" w:customStyle="1" w:styleId="TableHeading">
    <w:name w:val="TableHeading"/>
    <w:basedOn w:val="Normal"/>
    <w:next w:val="TableRow"/>
    <w:uiPriority w:val="5"/>
    <w:qFormat/>
    <w:rsid w:val="00947273"/>
    <w:pPr>
      <w:keepNext/>
      <w:spacing w:before="60" w:after="60"/>
      <w:jc w:val="left"/>
    </w:pPr>
    <w:rPr>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89942">
      <w:bodyDiv w:val="1"/>
      <w:marLeft w:val="0"/>
      <w:marRight w:val="0"/>
      <w:marTop w:val="0"/>
      <w:marBottom w:val="0"/>
      <w:divBdr>
        <w:top w:val="none" w:sz="0" w:space="0" w:color="auto"/>
        <w:left w:val="none" w:sz="0" w:space="0" w:color="auto"/>
        <w:bottom w:val="none" w:sz="0" w:space="0" w:color="auto"/>
        <w:right w:val="none" w:sz="0" w:space="0" w:color="auto"/>
      </w:divBdr>
    </w:div>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344553356">
      <w:bodyDiv w:val="1"/>
      <w:marLeft w:val="0"/>
      <w:marRight w:val="0"/>
      <w:marTop w:val="0"/>
      <w:marBottom w:val="0"/>
      <w:divBdr>
        <w:top w:val="none" w:sz="0" w:space="0" w:color="auto"/>
        <w:left w:val="none" w:sz="0" w:space="0" w:color="auto"/>
        <w:bottom w:val="none" w:sz="0" w:space="0" w:color="auto"/>
        <w:right w:val="none" w:sz="0" w:space="0" w:color="auto"/>
      </w:divBdr>
    </w:div>
    <w:div w:id="1498106872">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674798859">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996178145">
      <w:bodyDiv w:val="1"/>
      <w:marLeft w:val="0"/>
      <w:marRight w:val="0"/>
      <w:marTop w:val="0"/>
      <w:marBottom w:val="0"/>
      <w:divBdr>
        <w:top w:val="none" w:sz="0" w:space="0" w:color="auto"/>
        <w:left w:val="none" w:sz="0" w:space="0" w:color="auto"/>
        <w:bottom w:val="none" w:sz="0" w:space="0" w:color="auto"/>
        <w:right w:val="none" w:sz="0" w:space="0" w:color="auto"/>
      </w:divBdr>
    </w:div>
    <w:div w:id="20031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AE3282-CDB1-42C7-B6BD-990CD273D10D}"/>
      </w:docPartPr>
      <w:docPartBody>
        <w:p w:rsidR="00FB61F6" w:rsidRDefault="000465B8">
          <w:r w:rsidRPr="00684E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B8"/>
    <w:rsid w:val="00042CDA"/>
    <w:rsid w:val="00043B74"/>
    <w:rsid w:val="000465B8"/>
    <w:rsid w:val="00077BC2"/>
    <w:rsid w:val="000959F7"/>
    <w:rsid w:val="000F28A5"/>
    <w:rsid w:val="000F315C"/>
    <w:rsid w:val="001861AD"/>
    <w:rsid w:val="00205225"/>
    <w:rsid w:val="00246B96"/>
    <w:rsid w:val="002525A3"/>
    <w:rsid w:val="002E201F"/>
    <w:rsid w:val="002F2263"/>
    <w:rsid w:val="003650D6"/>
    <w:rsid w:val="003D0269"/>
    <w:rsid w:val="003D7603"/>
    <w:rsid w:val="00417D85"/>
    <w:rsid w:val="004830EB"/>
    <w:rsid w:val="00495386"/>
    <w:rsid w:val="004E375C"/>
    <w:rsid w:val="004E71F2"/>
    <w:rsid w:val="004F2129"/>
    <w:rsid w:val="00507D10"/>
    <w:rsid w:val="0052152B"/>
    <w:rsid w:val="00523EFF"/>
    <w:rsid w:val="00562CCE"/>
    <w:rsid w:val="005C29C2"/>
    <w:rsid w:val="005E22A5"/>
    <w:rsid w:val="006605DE"/>
    <w:rsid w:val="00676E56"/>
    <w:rsid w:val="00695F86"/>
    <w:rsid w:val="00710194"/>
    <w:rsid w:val="00732B88"/>
    <w:rsid w:val="007D39C0"/>
    <w:rsid w:val="007E7F0A"/>
    <w:rsid w:val="008232AC"/>
    <w:rsid w:val="0088139B"/>
    <w:rsid w:val="008D5428"/>
    <w:rsid w:val="009509C7"/>
    <w:rsid w:val="00950A44"/>
    <w:rsid w:val="009632DC"/>
    <w:rsid w:val="00971AA6"/>
    <w:rsid w:val="009A03D3"/>
    <w:rsid w:val="009C221D"/>
    <w:rsid w:val="00A652B8"/>
    <w:rsid w:val="00A657DF"/>
    <w:rsid w:val="00AA6C6F"/>
    <w:rsid w:val="00AC6700"/>
    <w:rsid w:val="00AD48C8"/>
    <w:rsid w:val="00AD5D57"/>
    <w:rsid w:val="00AF5B42"/>
    <w:rsid w:val="00B24054"/>
    <w:rsid w:val="00B748DD"/>
    <w:rsid w:val="00BB3B31"/>
    <w:rsid w:val="00BD4E43"/>
    <w:rsid w:val="00C26BB8"/>
    <w:rsid w:val="00C37F44"/>
    <w:rsid w:val="00C642EE"/>
    <w:rsid w:val="00C80048"/>
    <w:rsid w:val="00C81E15"/>
    <w:rsid w:val="00CA31EE"/>
    <w:rsid w:val="00D73956"/>
    <w:rsid w:val="00D87E90"/>
    <w:rsid w:val="00DB69FF"/>
    <w:rsid w:val="00DB7ACD"/>
    <w:rsid w:val="00E619DD"/>
    <w:rsid w:val="00F3379D"/>
    <w:rsid w:val="00F45322"/>
    <w:rsid w:val="00F50671"/>
    <w:rsid w:val="00FB6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5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AASB AUASB Doc" ma:contentTypeID="0x0101005D166743AF667142AE4C423E78D357B8009763AD052C75174CA62908DFABF5F774" ma:contentTypeVersion="3" ma:contentTypeDescription="" ma:contentTypeScope="" ma:versionID="6020663515fa0b519032564ec2354205">
  <xsd:schema xmlns:xsd="http://www.w3.org/2001/XMLSchema" xmlns:xs="http://www.w3.org/2001/XMLSchema" xmlns:p="http://schemas.microsoft.com/office/2006/metadata/properties" xmlns:ns1="http://schemas.microsoft.com/sharepoint/v3" xmlns:ns2="3f4bcce7-ac1a-4c9d-aa3e-7e77695652db" xmlns:ns3="47e576cf-618c-45c9-99ef-ab7e8b777e43" targetNamespace="http://schemas.microsoft.com/office/2006/metadata/properties" ma:root="true" ma:fieldsID="aff4867a5ba70b811cfdf7aa1cd4a09e" ns1:_="" ns2:_="" ns3:_="">
    <xsd:import namespace="http://schemas.microsoft.com/sharepoint/v3"/>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i68dcda424604f4b8ece99fc3619f00c" minOccurs="0"/>
                <xsd:element ref="ns2:TaxKeywordTaxHTFiel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3" nillable="true" ma:taxonomy="true" ma:internalName="i68dcda424604f4b8ece99fc3619f00c" ma:taxonomyFieldName="Term" ma:displayName="Term" ma:default="" ma:fieldId="{268dcda4-2460-4f4b-8ece-99fc3619f00c}" ma:sspId="f2c20519-bfb4-4138-a21e-2e6ee8209940" ma:termSetId="e3959d5c-1f58-4126-9a54-523d5369149b" ma:anchorId="c93fbd10-6fe6-4e0a-9328-8a186cf900e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0da5c63-8548-4ac8-9616-83b0f373280e"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TaxCatchAll xmlns="3f4bcce7-ac1a-4c9d-aa3e-7e77695652db">
      <Value>110</Value>
      <Value>114</Value>
      <Value>80</Value>
      <Value>142</Value>
      <Value>32</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Exposure Draft</TermName>
          <TermId xmlns="http://schemas.microsoft.com/office/infopath/2007/PartnerControls">1cd4d789-fce1-4c28-a618-a55e8f3e5919</TermId>
        </TermInfo>
      </Terms>
    </i68dcda424604f4b8ece99fc3619f00c>
    <_dlc_DocId xmlns="3f4bcce7-ac1a-4c9d-aa3e-7e77695652db">PRDOC-1792883373-2</_dlc_DocId>
    <_dlc_DocIdUrl xmlns="3f4bcce7-ac1a-4c9d-aa3e-7e77695652db">
      <Url>http://hub.aasb.gov.au/sites/stand/AASB15/_layouts/15/DocIdRedir.aspx?ID=PRDOC-1792883373-2</Url>
      <Description>PRDOC-1792883373-2</Description>
    </_dlc_DocIdUrl>
    <V3Comments xmlns="http://schemas.microsoft.com/sharepoint/v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07BFD-8B23-4D8F-9559-DE8A70FDB764}">
  <ds:schemaRefs>
    <ds:schemaRef ds:uri="http://schemas.microsoft.com/office/2006/metadata/customXsn"/>
  </ds:schemaRefs>
</ds:datastoreItem>
</file>

<file path=customXml/itemProps2.xml><?xml version="1.0" encoding="utf-8"?>
<ds:datastoreItem xmlns:ds="http://schemas.openxmlformats.org/officeDocument/2006/customXml" ds:itemID="{1CD18450-0C61-4560-8DBA-0241CDA3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CF5E-FF0F-4BFB-9768-59676C871094}">
  <ds:schemaRefs>
    <ds:schemaRef ds:uri="http://schemas.openxmlformats.org/officeDocument/2006/bibliography"/>
  </ds:schemaRefs>
</ds:datastoreItem>
</file>

<file path=customXml/itemProps4.xml><?xml version="1.0" encoding="utf-8"?>
<ds:datastoreItem xmlns:ds="http://schemas.openxmlformats.org/officeDocument/2006/customXml" ds:itemID="{D5E04368-B2C2-4970-88D5-B207BDDB8BF9}">
  <ds:schemaRefs>
    <ds:schemaRef ds:uri="Microsoft.SharePoint.Taxonomy.ContentTypeSync"/>
  </ds:schemaRefs>
</ds:datastoreItem>
</file>

<file path=customXml/itemProps5.xml><?xml version="1.0" encoding="utf-8"?>
<ds:datastoreItem xmlns:ds="http://schemas.openxmlformats.org/officeDocument/2006/customXml" ds:itemID="{913D0946-6EAB-4278-AF83-35B09BE2C6C4}">
  <ds:schemaRefs>
    <ds:schemaRef ds:uri="47e576cf-618c-45c9-99ef-ab7e8b777e43"/>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sharepoint/v3"/>
    <ds:schemaRef ds:uri="http://schemas.microsoft.com/office/infopath/2007/PartnerControls"/>
    <ds:schemaRef ds:uri="3f4bcce7-ac1a-4c9d-aa3e-7e77695652db"/>
    <ds:schemaRef ds:uri="http://schemas.microsoft.com/office/2006/metadata/properties"/>
  </ds:schemaRefs>
</ds:datastoreItem>
</file>

<file path=customXml/itemProps6.xml><?xml version="1.0" encoding="utf-8"?>
<ds:datastoreItem xmlns:ds="http://schemas.openxmlformats.org/officeDocument/2006/customXml" ds:itemID="{15F80D7F-8BAE-4031-BCAE-BF6F46D3C423}">
  <ds:schemaRefs>
    <ds:schemaRef ds:uri="http://schemas.microsoft.com/sharepoint/events"/>
  </ds:schemaRefs>
</ds:datastoreItem>
</file>

<file path=customXml/itemProps7.xml><?xml version="1.0" encoding="utf-8"?>
<ds:datastoreItem xmlns:ds="http://schemas.openxmlformats.org/officeDocument/2006/customXml" ds:itemID="{A9422AFA-41C4-4529-8FFD-CD4629897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56</Pages>
  <Words>36971</Words>
  <Characters>210740</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AASB 2022-10</vt:lpstr>
    </vt:vector>
  </TitlesOfParts>
  <Company>Australian Accounting Standards Board</Company>
  <LinksUpToDate>false</LinksUpToDate>
  <CharactersWithSpaces>247217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2022-10 (12/22)</dc:title>
  <dc:subject/>
  <dc:creator>.</dc:creator>
  <cp:keywords/>
  <cp:lastModifiedBy>Kathleen John</cp:lastModifiedBy>
  <cp:revision>49</cp:revision>
  <cp:lastPrinted>2022-12-21T20:48:00Z</cp:lastPrinted>
  <dcterms:created xsi:type="dcterms:W3CDTF">2022-12-20T02:18:00Z</dcterms:created>
  <dcterms:modified xsi:type="dcterms:W3CDTF">2022-12-21T20:48:00Z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0x0101005D166743AF667142AE4C423E78D357B8009763AD052C75174CA62908DFABF5F774</vt:lpwstr>
  </property>
  <property fmtid="{D5CDD505-2E9C-101B-9397-08002B2CF9AE}" pid="3" name="TaxKeyword">
    <vt:lpwstr>110;#AASB 15 Revenue from Licences|acf344ff-78a6-4c34-a52f-759940d8a4c3;#80;#Licences|f853e20a-4091-4972-90aa-a4033947bce2;#114;#Revenue|1125ca89-6a39-41b4-bcb9-c39ada887380;#32;#Revenue of not-for-profit entities|5c2fb2b0-ef0d-4604-a735-7380d017e9a2</vt:lpwstr>
  </property>
  <property fmtid="{D5CDD505-2E9C-101B-9397-08002B2CF9AE}" pid="4" name="Term">
    <vt:lpwstr>142;#Exposure Draft|1cd4d789-fce1-4c28-a618-a55e8f3e5919</vt:lpwstr>
  </property>
  <property fmtid="{D5CDD505-2E9C-101B-9397-08002B2CF9AE}" pid="5" name="_dlc_DocIdItemGuid">
    <vt:lpwstr>f9fd53d4-6cd5-4550-b916-cf24b97fc074</vt:lpwstr>
  </property>
  <property fmtid="{D5CDD505-2E9C-101B-9397-08002B2CF9AE}" pid="6" name="SecurityClassification">
    <vt:lpwstr>Official</vt:lpwstr>
  </property>
  <property fmtid="{D5CDD505-2E9C-101B-9397-08002B2CF9AE}" pid="7" name="GrammarlyDocumentId">
    <vt:lpwstr>0843f1cb6b7749e0ca76ba4ca95d00d0f85f236c2a0ef4bdb362c1599b5317cf</vt:lpwstr>
  </property>
</Properties>
</file>