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965" w14:textId="77777777" w:rsidR="00414BC3" w:rsidRDefault="00414BC3" w:rsidP="00A94F2A">
      <w:pPr>
        <w:pStyle w:val="CoverTitle"/>
        <w:spacing w:after="600"/>
        <w:jc w:val="center"/>
      </w:pPr>
      <w:r>
        <w:t>Explanatory Statement</w:t>
      </w:r>
    </w:p>
    <w:p w14:paraId="13976966" w14:textId="5B0F9D33"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347521">
        <w:rPr>
          <w:sz w:val="36"/>
          <w:szCs w:val="36"/>
        </w:rPr>
        <w:t xml:space="preserve">AASB </w:t>
      </w:r>
      <w:r w:rsidR="00C61FC9" w:rsidRPr="00EE15D3">
        <w:rPr>
          <w:sz w:val="36"/>
          <w:szCs w:val="36"/>
        </w:rPr>
        <w:t>20</w:t>
      </w:r>
      <w:r w:rsidR="00D2416F" w:rsidRPr="00EE15D3">
        <w:rPr>
          <w:sz w:val="36"/>
          <w:szCs w:val="36"/>
        </w:rPr>
        <w:t>22</w:t>
      </w:r>
      <w:r w:rsidR="00C61FC9" w:rsidRPr="00EE15D3">
        <w:rPr>
          <w:sz w:val="36"/>
          <w:szCs w:val="36"/>
        </w:rPr>
        <w:t>-</w:t>
      </w:r>
      <w:r w:rsidR="00EE15D3">
        <w:rPr>
          <w:sz w:val="36"/>
          <w:szCs w:val="36"/>
        </w:rPr>
        <w:t>10</w:t>
      </w:r>
      <w:r w:rsidR="00347521">
        <w:rPr>
          <w:sz w:val="36"/>
          <w:szCs w:val="36"/>
        </w:rPr>
        <w:br/>
      </w:r>
      <w:r w:rsidR="00C61FC9">
        <w:rPr>
          <w:i/>
          <w:sz w:val="36"/>
          <w:szCs w:val="36"/>
        </w:rPr>
        <w:t xml:space="preserve">Amendments to Australian Accounting Standards </w:t>
      </w:r>
      <w:r w:rsidR="00A94F2A">
        <w:rPr>
          <w:i/>
          <w:sz w:val="36"/>
          <w:szCs w:val="36"/>
        </w:rPr>
        <w:t xml:space="preserve">– </w:t>
      </w:r>
      <w:r w:rsidR="00A94F2A">
        <w:rPr>
          <w:i/>
          <w:sz w:val="36"/>
          <w:szCs w:val="36"/>
        </w:rPr>
        <w:br/>
      </w:r>
      <w:bookmarkStart w:id="0" w:name="_Hlk121221580"/>
      <w:r w:rsidR="00A00854" w:rsidRPr="00A00854">
        <w:rPr>
          <w:i/>
          <w:sz w:val="36"/>
          <w:szCs w:val="36"/>
        </w:rPr>
        <w:t xml:space="preserve">Fair Value Measurement of Non-Financial Assets of </w:t>
      </w:r>
      <w:r w:rsidR="00CC0D20">
        <w:rPr>
          <w:i/>
          <w:sz w:val="36"/>
          <w:szCs w:val="36"/>
        </w:rPr>
        <w:br/>
      </w:r>
      <w:r w:rsidR="00A00854" w:rsidRPr="00A00854">
        <w:rPr>
          <w:i/>
          <w:sz w:val="36"/>
          <w:szCs w:val="36"/>
        </w:rPr>
        <w:t>Not-for-Profit Public Sector Entitie</w:t>
      </w:r>
      <w:r w:rsidR="00A00854">
        <w:rPr>
          <w:i/>
          <w:sz w:val="36"/>
          <w:szCs w:val="36"/>
        </w:rPr>
        <w:t>s</w:t>
      </w:r>
      <w:bookmarkEnd w:id="0"/>
    </w:p>
    <w:p w14:paraId="13976967" w14:textId="77777777" w:rsidR="006776BD" w:rsidRPr="006776BD" w:rsidRDefault="006776BD" w:rsidP="006776BD">
      <w:pPr>
        <w:pStyle w:val="CoverSubtitle"/>
        <w:spacing w:after="3120"/>
        <w:rPr>
          <w:sz w:val="32"/>
          <w:szCs w:val="32"/>
        </w:rPr>
      </w:pPr>
    </w:p>
    <w:p w14:paraId="13976968" w14:textId="5501C7A8" w:rsidR="00414BC3" w:rsidRPr="00F62F5C" w:rsidRDefault="00A00854" w:rsidP="00D2416F">
      <w:pPr>
        <w:pStyle w:val="CoverDate"/>
        <w:tabs>
          <w:tab w:val="left" w:pos="3794"/>
          <w:tab w:val="left" w:pos="6232"/>
        </w:tabs>
        <w:spacing w:before="840"/>
        <w:jc w:val="center"/>
        <w:rPr>
          <w:b/>
          <w:sz w:val="28"/>
          <w:szCs w:val="28"/>
        </w:rPr>
      </w:pPr>
      <w:r>
        <w:rPr>
          <w:b/>
          <w:sz w:val="28"/>
          <w:szCs w:val="28"/>
        </w:rPr>
        <w:t>December</w:t>
      </w:r>
      <w:r w:rsidR="00C61FC9">
        <w:rPr>
          <w:b/>
          <w:sz w:val="28"/>
          <w:szCs w:val="28"/>
        </w:rPr>
        <w:t xml:space="preserve"> </w:t>
      </w:r>
      <w:r w:rsidR="00225101">
        <w:rPr>
          <w:b/>
          <w:sz w:val="28"/>
          <w:szCs w:val="28"/>
        </w:rPr>
        <w:t>20</w:t>
      </w:r>
      <w:r w:rsidR="00D2416F">
        <w:rPr>
          <w:b/>
          <w:sz w:val="28"/>
          <w:szCs w:val="28"/>
        </w:rPr>
        <w:t>22</w:t>
      </w:r>
    </w:p>
    <w:p w14:paraId="13976969" w14:textId="77777777" w:rsidR="00414BC3" w:rsidRDefault="0054429A">
      <w:pPr>
        <w:sectPr w:rsidR="00414BC3" w:rsidSect="00B93CE4">
          <w:pgSz w:w="11907" w:h="16840"/>
          <w:pgMar w:top="1134" w:right="1134" w:bottom="1134" w:left="1134" w:header="720" w:footer="720" w:gutter="0"/>
          <w:cols w:space="720"/>
        </w:sectPr>
      </w:pPr>
      <w:r>
        <w:rPr>
          <w:noProof/>
          <w:lang w:val="en-US"/>
        </w:rPr>
        <w:pict w14:anchorId="1397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of the Australian Accounting Standards Board&#10;&#10;Australian crest, with text naming the Australian Government and the Australian Accounting Standards Board" style="position:absolute;margin-left:0;margin-top:0;width:124.15pt;height:95.8pt;z-index:251657728;visibility:visible;mso-wrap-edited:f;mso-position-horizontal:left;mso-position-horizontal-relative:margin;mso-position-vertical:bottom;mso-position-vertical-relative:margin">
            <v:imagedata r:id="rId7" o:title=""/>
            <w10:wrap anchorx="margin" anchory="margin"/>
            <w10:anchorlock/>
          </v:shape>
        </w:pict>
      </w:r>
    </w:p>
    <w:p w14:paraId="1397696A" w14:textId="77777777" w:rsidR="00414BC3" w:rsidRDefault="00414BC3">
      <w:pPr>
        <w:pStyle w:val="Heading1"/>
      </w:pPr>
      <w:r>
        <w:lastRenderedPageBreak/>
        <w:t>EXPLANATORY STATEMENT</w:t>
      </w:r>
    </w:p>
    <w:p w14:paraId="1397696B" w14:textId="2444C39E" w:rsidR="00FD4C0C" w:rsidRDefault="006B1B4A" w:rsidP="00FD4C0C">
      <w:pPr>
        <w:pStyle w:val="Heading2"/>
      </w:pPr>
      <w:r>
        <w:t>Standards Amended by</w:t>
      </w:r>
      <w:r w:rsidR="00FD4C0C">
        <w:t xml:space="preserve"> </w:t>
      </w:r>
      <w:r w:rsidR="00FD4C0C" w:rsidRPr="00EE15D3">
        <w:t xml:space="preserve">AASB </w:t>
      </w:r>
      <w:r w:rsidR="00C068D8" w:rsidRPr="00EE15D3">
        <w:t>20</w:t>
      </w:r>
      <w:r w:rsidR="00D2416F" w:rsidRPr="00EE15D3">
        <w:t>22</w:t>
      </w:r>
      <w:r w:rsidR="00C068D8" w:rsidRPr="00EE15D3">
        <w:t>-</w:t>
      </w:r>
      <w:r w:rsidR="00EE15D3" w:rsidRPr="00EE15D3">
        <w:t>10</w:t>
      </w:r>
    </w:p>
    <w:p w14:paraId="0FDBD1AA" w14:textId="3F751ECD" w:rsidR="00097BC2" w:rsidRDefault="002A6880" w:rsidP="00097BC2">
      <w:pPr>
        <w:pStyle w:val="NoNumPlain1"/>
      </w:pPr>
      <w:r w:rsidRPr="002A6880">
        <w:t>This Standard makes amendments to AASB 1</w:t>
      </w:r>
      <w:r w:rsidR="00A00854">
        <w:t>3</w:t>
      </w:r>
      <w:r w:rsidRPr="002A6880">
        <w:t xml:space="preserve"> </w:t>
      </w:r>
      <w:r w:rsidR="00A00854">
        <w:rPr>
          <w:i/>
          <w:iCs/>
        </w:rPr>
        <w:t>Fair Value Measurement</w:t>
      </w:r>
      <w:r w:rsidRPr="002A6880">
        <w:rPr>
          <w:i/>
          <w:iCs/>
        </w:rPr>
        <w:t xml:space="preserve"> </w:t>
      </w:r>
      <w:r w:rsidRPr="002A6880">
        <w:t>(</w:t>
      </w:r>
      <w:r w:rsidR="00A00854">
        <w:t>August</w:t>
      </w:r>
      <w:r w:rsidRPr="002A6880">
        <w:t xml:space="preserve"> 201</w:t>
      </w:r>
      <w:r w:rsidR="00A00854">
        <w:t>5</w:t>
      </w:r>
      <w:r w:rsidRPr="002A6880">
        <w:t>)</w:t>
      </w:r>
      <w:r w:rsidR="00097BC2" w:rsidRPr="00097BC2">
        <w:t xml:space="preserve"> </w:t>
      </w:r>
      <w:r w:rsidR="00097BC2" w:rsidRPr="008F6A30">
        <w:t xml:space="preserve">for application by not-for-profit </w:t>
      </w:r>
      <w:r w:rsidR="00097BC2">
        <w:t xml:space="preserve">public sector </w:t>
      </w:r>
      <w:r w:rsidR="00097BC2" w:rsidRPr="008F6A30">
        <w:t>entities</w:t>
      </w:r>
      <w:r w:rsidR="002079B5">
        <w:t xml:space="preserve">.  </w:t>
      </w:r>
    </w:p>
    <w:p w14:paraId="13976970" w14:textId="46C0E43F" w:rsidR="00FD4C0C" w:rsidRDefault="00FD4C0C" w:rsidP="00FD4C0C">
      <w:pPr>
        <w:pStyle w:val="Heading2"/>
      </w:pPr>
      <w:r>
        <w:t xml:space="preserve">Main Features of </w:t>
      </w:r>
      <w:r w:rsidRPr="00EE15D3">
        <w:t xml:space="preserve">AASB </w:t>
      </w:r>
      <w:r w:rsidR="00C068D8" w:rsidRPr="00EE15D3">
        <w:t>20</w:t>
      </w:r>
      <w:r w:rsidR="00D2416F" w:rsidRPr="00EE15D3">
        <w:t>22</w:t>
      </w:r>
      <w:r w:rsidR="00C068D8" w:rsidRPr="00EE15D3">
        <w:t>-</w:t>
      </w:r>
      <w:r w:rsidR="00EE15D3" w:rsidRPr="00EE15D3">
        <w:t>10</w:t>
      </w:r>
    </w:p>
    <w:p w14:paraId="304FC50D" w14:textId="7506679A" w:rsidR="00001F56" w:rsidRDefault="00001F56" w:rsidP="00001F56">
      <w:pPr>
        <w:pStyle w:val="NoNumPlain1"/>
      </w:pPr>
      <w:r>
        <w:t xml:space="preserve">This Standard amends AASB 13 </w:t>
      </w:r>
      <w:r w:rsidR="007E0D0F">
        <w:t>for</w:t>
      </w:r>
      <w:r w:rsidR="00723D35">
        <w:t xml:space="preserve"> </w:t>
      </w:r>
      <w:r>
        <w:t xml:space="preserve">fair value measurements of non-financial assets </w:t>
      </w:r>
      <w:r w:rsidR="008330B5">
        <w:t xml:space="preserve">of not-for-profit public sector entities </w:t>
      </w:r>
      <w:r>
        <w:t>not held primarily for their ability to generate net cash inflows</w:t>
      </w:r>
      <w:r w:rsidR="00723D35">
        <w:t>.</w:t>
      </w:r>
      <w:r>
        <w:t xml:space="preserve"> </w:t>
      </w:r>
      <w:r w:rsidR="00723D35">
        <w:t xml:space="preserve"> </w:t>
      </w:r>
      <w:r w:rsidR="006616A4">
        <w:t>Specifically, for such an asset, t</w:t>
      </w:r>
      <w:r>
        <w:t>his Standard:</w:t>
      </w:r>
    </w:p>
    <w:p w14:paraId="15E9CCEE" w14:textId="7D33A37F" w:rsidR="003E5E27" w:rsidRDefault="00001F56" w:rsidP="00001F56">
      <w:pPr>
        <w:pStyle w:val="NoNumPlain1"/>
        <w:numPr>
          <w:ilvl w:val="0"/>
          <w:numId w:val="11"/>
        </w:numPr>
        <w:ind w:left="357" w:hanging="357"/>
      </w:pPr>
      <w:r>
        <w:t xml:space="preserve">specifies that </w:t>
      </w:r>
      <w:r w:rsidR="00723D35">
        <w:t xml:space="preserve">a not-for-profit public sector </w:t>
      </w:r>
      <w:r>
        <w:t xml:space="preserve">entity is required to consider whether </w:t>
      </w:r>
      <w:r w:rsidR="00723D35">
        <w:t xml:space="preserve">the </w:t>
      </w:r>
      <w:r w:rsidR="001814F6">
        <w:t xml:space="preserve">asset’s </w:t>
      </w:r>
      <w:r>
        <w:t xml:space="preserve">highest and best use differs from its current use </w:t>
      </w:r>
      <w:r w:rsidR="00DC7D7E">
        <w:t xml:space="preserve">only </w:t>
      </w:r>
      <w:r>
        <w:t>when, at the measurement date, it is</w:t>
      </w:r>
      <w:r w:rsidR="003E5E27">
        <w:t>:</w:t>
      </w:r>
    </w:p>
    <w:p w14:paraId="7762296E" w14:textId="7B93498B" w:rsidR="003E5E27" w:rsidRDefault="003E5E27" w:rsidP="00004128">
      <w:pPr>
        <w:pStyle w:val="NoNumPlain1"/>
        <w:numPr>
          <w:ilvl w:val="0"/>
          <w:numId w:val="13"/>
        </w:numPr>
        <w:ind w:left="714" w:hanging="357"/>
      </w:pPr>
      <w:r>
        <w:t xml:space="preserve">classified as held for sale or held for distribution to owners in accordance with AASB 5 </w:t>
      </w:r>
      <w:r w:rsidRPr="003463F0">
        <w:rPr>
          <w:i/>
          <w:iCs/>
        </w:rPr>
        <w:t>Non-current Assets Held for Sale and Discontinued Operations</w:t>
      </w:r>
      <w:r>
        <w:t>; or</w:t>
      </w:r>
    </w:p>
    <w:p w14:paraId="7F4763DA" w14:textId="18E4E72B" w:rsidR="00001F56" w:rsidRDefault="003E5E27" w:rsidP="00004128">
      <w:pPr>
        <w:pStyle w:val="NoNumPlain1"/>
        <w:numPr>
          <w:ilvl w:val="0"/>
          <w:numId w:val="13"/>
        </w:numPr>
        <w:ind w:left="714" w:hanging="357"/>
      </w:pPr>
      <w:r>
        <w:t>highly probable that the asset will be used for an alternative purpose to its current use</w:t>
      </w:r>
      <w:r w:rsidR="00001F56">
        <w:t xml:space="preserve">; </w:t>
      </w:r>
    </w:p>
    <w:p w14:paraId="70CEA41E" w14:textId="41F26C0A" w:rsidR="00001F56" w:rsidRDefault="00001F56" w:rsidP="00001F56">
      <w:pPr>
        <w:pStyle w:val="NoNumPlain1"/>
        <w:numPr>
          <w:ilvl w:val="0"/>
          <w:numId w:val="11"/>
        </w:numPr>
        <w:ind w:left="357" w:hanging="357"/>
      </w:pPr>
      <w:r>
        <w:t xml:space="preserve">clarifies that </w:t>
      </w:r>
      <w:r w:rsidR="00C8267D">
        <w:t>the</w:t>
      </w:r>
      <w:r>
        <w:t xml:space="preserve"> asset’s use is ‘financially feasible’ if market participants would be willing to invest in the asset’s service capacity, considering both the capability of the asset to be used to provide needed goods or services to beneficiaries and the resulting cost of those goods or services;</w:t>
      </w:r>
    </w:p>
    <w:p w14:paraId="427B11E7" w14:textId="571E0FEE" w:rsidR="00001F56" w:rsidRDefault="00001F56" w:rsidP="00001F56">
      <w:pPr>
        <w:pStyle w:val="NoNumPlain1"/>
        <w:numPr>
          <w:ilvl w:val="0"/>
          <w:numId w:val="11"/>
        </w:numPr>
        <w:ind w:left="357" w:hanging="357"/>
      </w:pPr>
      <w:r>
        <w:t xml:space="preserve">specifies that, if both the market selling price of a comparable asset and some market participant data required to measure the fair value of </w:t>
      </w:r>
      <w:r w:rsidR="001814F6">
        <w:t>the</w:t>
      </w:r>
      <w:r w:rsidR="00723D35">
        <w:t xml:space="preserve"> </w:t>
      </w:r>
      <w:r>
        <w:t>asset are not observable, an entity uses its own assumptions as a starting point in developing unobservable inputs and adjusts those assumptions to the extent that reasonably available information indicates that other market participants (including, but not limited to, other not-for-profit public sector entities) would use different data; and</w:t>
      </w:r>
    </w:p>
    <w:p w14:paraId="3BAE1C8F" w14:textId="670FFFF8" w:rsidR="002A6880" w:rsidRPr="002A6880" w:rsidRDefault="00001F56" w:rsidP="00160D96">
      <w:pPr>
        <w:pStyle w:val="NoNumPlain1"/>
        <w:numPr>
          <w:ilvl w:val="0"/>
          <w:numId w:val="11"/>
        </w:numPr>
        <w:ind w:left="357" w:hanging="357"/>
      </w:pPr>
      <w:r>
        <w:t xml:space="preserve">provides guidance on how the cost approach is to be applied to measure </w:t>
      </w:r>
      <w:r w:rsidR="001814F6">
        <w:t>the</w:t>
      </w:r>
      <w:r>
        <w:t xml:space="preserve"> asset’s fair value, including guidance on the nature of costs to include in the replacement cost of a reference asset and on the identification of economic obsolescence</w:t>
      </w:r>
      <w:r w:rsidR="002079B5">
        <w:t xml:space="preserve">.  </w:t>
      </w:r>
    </w:p>
    <w:p w14:paraId="13976972" w14:textId="77777777" w:rsidR="00FD4C0C" w:rsidRDefault="00FD4C0C" w:rsidP="006B1B4A">
      <w:pPr>
        <w:pStyle w:val="Heading3"/>
      </w:pPr>
      <w:r>
        <w:t>Application Date</w:t>
      </w:r>
    </w:p>
    <w:p w14:paraId="064873F0" w14:textId="2B7ABA67" w:rsidR="002A6880" w:rsidRPr="002A6880" w:rsidRDefault="002A6880" w:rsidP="002A6880">
      <w:pPr>
        <w:pStyle w:val="NoNumPlain1"/>
      </w:pPr>
      <w:r w:rsidRPr="002A6880">
        <w:t xml:space="preserve">This Standard applies </w:t>
      </w:r>
      <w:r w:rsidR="00761E35">
        <w:t xml:space="preserve">prospectively </w:t>
      </w:r>
      <w:r w:rsidRPr="002A6880">
        <w:t xml:space="preserve">to annual periods </w:t>
      </w:r>
      <w:bookmarkStart w:id="1" w:name="ApplyText"/>
      <w:r w:rsidRPr="002A6880">
        <w:t>beginning</w:t>
      </w:r>
      <w:bookmarkEnd w:id="1"/>
      <w:r w:rsidRPr="002A6880">
        <w:t xml:space="preserve"> on or after </w:t>
      </w:r>
      <w:bookmarkStart w:id="2" w:name="ApplyDate"/>
      <w:r w:rsidRPr="002A6880">
        <w:t>1 January 2024</w:t>
      </w:r>
      <w:bookmarkEnd w:id="2"/>
      <w:r w:rsidR="002079B5">
        <w:t xml:space="preserve">.  </w:t>
      </w:r>
      <w:r w:rsidRPr="002A6880">
        <w:t>Earlier application is permitted.</w:t>
      </w:r>
    </w:p>
    <w:p w14:paraId="2430C6D7" w14:textId="02890EF1" w:rsidR="00FB4D41" w:rsidRPr="00C549FE" w:rsidRDefault="00FB4D41" w:rsidP="00FB4D41">
      <w:pPr>
        <w:pStyle w:val="Heading3"/>
      </w:pPr>
      <w:r w:rsidRPr="00C549FE">
        <w:t>Marked-up Text</w:t>
      </w:r>
    </w:p>
    <w:p w14:paraId="7E48E591" w14:textId="648C94A4" w:rsidR="00FB4D41" w:rsidRPr="00C549FE" w:rsidRDefault="00FB4D41" w:rsidP="00FB4D41">
      <w:pPr>
        <w:pStyle w:val="NoNumPlain1"/>
      </w:pPr>
      <w:r w:rsidRPr="00FC0FAA">
        <w:t>This Standard incorporates marked-up text to clearly identify</w:t>
      </w:r>
      <w:r w:rsidR="00345A43">
        <w:t xml:space="preserve"> </w:t>
      </w:r>
      <w:r w:rsidR="009C0605">
        <w:t xml:space="preserve">some of </w:t>
      </w:r>
      <w:r>
        <w:t xml:space="preserve">the amendments </w:t>
      </w:r>
      <w:r w:rsidRPr="00FC0FAA">
        <w:t>to</w:t>
      </w:r>
      <w:r w:rsidR="004B1D54">
        <w:t xml:space="preserve"> AASB 1</w:t>
      </w:r>
      <w:r w:rsidR="00433506">
        <w:t>3</w:t>
      </w:r>
      <w:r w:rsidR="002079B5">
        <w:t xml:space="preserve">.  </w:t>
      </w:r>
      <w:r w:rsidRPr="00FC0FAA">
        <w:t xml:space="preserve">All amendments are incorporated using clean text into the compilations of the </w:t>
      </w:r>
      <w:r>
        <w:t xml:space="preserve">pronouncements </w:t>
      </w:r>
      <w:r w:rsidRPr="00FC0FAA">
        <w:t>when they are prepared, based on the legal commencement date of the amendments.</w:t>
      </w:r>
    </w:p>
    <w:p w14:paraId="13976976" w14:textId="77777777" w:rsidR="00EA0A87" w:rsidRPr="001D1FFA" w:rsidRDefault="00EA0A87" w:rsidP="00EA0A87">
      <w:pPr>
        <w:pStyle w:val="Heading2"/>
      </w:pPr>
      <w:r w:rsidRPr="001D1FFA">
        <w:t>Consultation Prior to Issuing this Standard</w:t>
      </w:r>
    </w:p>
    <w:p w14:paraId="7B28AFEF" w14:textId="7A32A90A" w:rsidR="009671EF" w:rsidRDefault="00723718" w:rsidP="004C1746">
      <w:pPr>
        <w:pStyle w:val="NoNumPlain1"/>
        <w:rPr>
          <w:lang w:val="en-US"/>
        </w:rPr>
      </w:pPr>
      <w:r w:rsidRPr="00723718">
        <w:rPr>
          <w:lang w:val="en-US"/>
        </w:rPr>
        <w:t>During the process of developing AASB 2015-7</w:t>
      </w:r>
      <w:r w:rsidR="000E76B8" w:rsidRPr="000E76B8">
        <w:t xml:space="preserve"> </w:t>
      </w:r>
      <w:r w:rsidR="000E76B8" w:rsidRPr="000E76B8">
        <w:rPr>
          <w:i/>
          <w:iCs/>
          <w:lang w:val="en-US"/>
        </w:rPr>
        <w:t>Amendments to Australian Accounting Standards</w:t>
      </w:r>
      <w:r w:rsidR="004342E9">
        <w:rPr>
          <w:i/>
          <w:iCs/>
          <w:lang w:val="en-US"/>
        </w:rPr>
        <w:t xml:space="preserve"> – </w:t>
      </w:r>
      <w:r w:rsidR="000E76B8" w:rsidRPr="000E76B8">
        <w:rPr>
          <w:i/>
          <w:iCs/>
          <w:lang w:val="en-US"/>
        </w:rPr>
        <w:t>Fair Value Disclosures of Not-for-Profit Public Sector Entities</w:t>
      </w:r>
      <w:r w:rsidRPr="00723718">
        <w:rPr>
          <w:lang w:val="en-US"/>
        </w:rPr>
        <w:t xml:space="preserve"> </w:t>
      </w:r>
      <w:r w:rsidR="004342E9">
        <w:rPr>
          <w:lang w:val="en-US"/>
        </w:rPr>
        <w:t xml:space="preserve">(July 2015) </w:t>
      </w:r>
      <w:r w:rsidRPr="00723718">
        <w:rPr>
          <w:lang w:val="en-US"/>
        </w:rPr>
        <w:t xml:space="preserve">and consideration of Invitation to Comment ITC 34 </w:t>
      </w:r>
      <w:r w:rsidRPr="000E76B8">
        <w:rPr>
          <w:i/>
          <w:iCs/>
          <w:lang w:val="en-US"/>
        </w:rPr>
        <w:t>AASB Agenda Consultation 2017–2019</w:t>
      </w:r>
      <w:r w:rsidR="004342E9">
        <w:rPr>
          <w:lang w:val="en-US"/>
        </w:rPr>
        <w:t xml:space="preserve"> (November 2015)</w:t>
      </w:r>
      <w:r w:rsidRPr="00723718">
        <w:rPr>
          <w:lang w:val="en-US"/>
        </w:rPr>
        <w:t xml:space="preserve">, some stakeholders in the public sector asked the </w:t>
      </w:r>
      <w:r w:rsidR="00C379F6">
        <w:rPr>
          <w:lang w:val="en-US"/>
        </w:rPr>
        <w:t>AASB</w:t>
      </w:r>
      <w:r w:rsidRPr="00723718">
        <w:rPr>
          <w:lang w:val="en-US"/>
        </w:rPr>
        <w:t xml:space="preserve"> to provide guidance clarifying how to apply the requirements in AASB 13 to the fair value measurement of public sector entity assets</w:t>
      </w:r>
      <w:r w:rsidR="002079B5">
        <w:rPr>
          <w:lang w:val="en-US"/>
        </w:rPr>
        <w:t>.</w:t>
      </w:r>
      <w:r w:rsidR="00DB6586">
        <w:rPr>
          <w:lang w:val="en-US"/>
        </w:rPr>
        <w:t xml:space="preserve"> Accordingly, the AASB </w:t>
      </w:r>
      <w:r w:rsidR="00A704D8">
        <w:rPr>
          <w:lang w:val="en-US"/>
        </w:rPr>
        <w:t xml:space="preserve">decided to undertake a project to consider </w:t>
      </w:r>
      <w:r w:rsidR="00482E12">
        <w:rPr>
          <w:lang w:val="en-US"/>
        </w:rPr>
        <w:t xml:space="preserve">the </w:t>
      </w:r>
      <w:r w:rsidR="00482E12" w:rsidRPr="00482E12">
        <w:rPr>
          <w:lang w:val="en-US"/>
        </w:rPr>
        <w:t xml:space="preserve">need for modifications </w:t>
      </w:r>
      <w:r w:rsidR="004342E9">
        <w:rPr>
          <w:lang w:val="en-US"/>
        </w:rPr>
        <w:t xml:space="preserve">to </w:t>
      </w:r>
      <w:r w:rsidR="00482E12" w:rsidRPr="00482E12">
        <w:rPr>
          <w:lang w:val="en-US"/>
        </w:rPr>
        <w:t xml:space="preserve">AASB </w:t>
      </w:r>
      <w:r w:rsidR="00482E12">
        <w:rPr>
          <w:lang w:val="en-US"/>
        </w:rPr>
        <w:t>13</w:t>
      </w:r>
      <w:r w:rsidR="00482E12" w:rsidRPr="00482E12">
        <w:rPr>
          <w:lang w:val="en-US"/>
        </w:rPr>
        <w:t xml:space="preserve"> to </w:t>
      </w:r>
      <w:r w:rsidR="00D01DE9">
        <w:rPr>
          <w:lang w:val="en-US"/>
        </w:rPr>
        <w:t>assist</w:t>
      </w:r>
      <w:r w:rsidR="00482E12" w:rsidRPr="00482E12">
        <w:rPr>
          <w:lang w:val="en-US"/>
        </w:rPr>
        <w:t xml:space="preserve"> </w:t>
      </w:r>
      <w:r w:rsidR="00482E12">
        <w:rPr>
          <w:lang w:val="en-US"/>
        </w:rPr>
        <w:t xml:space="preserve">not-for-profit </w:t>
      </w:r>
      <w:r w:rsidR="00482E12" w:rsidRPr="00482E12">
        <w:rPr>
          <w:lang w:val="en-US"/>
        </w:rPr>
        <w:t xml:space="preserve">public sector </w:t>
      </w:r>
      <w:r w:rsidR="00D01DE9">
        <w:rPr>
          <w:lang w:val="en-US"/>
        </w:rPr>
        <w:t xml:space="preserve">entities </w:t>
      </w:r>
      <w:r w:rsidR="008F35F8">
        <w:rPr>
          <w:lang w:val="en-US"/>
        </w:rPr>
        <w:t xml:space="preserve">to </w:t>
      </w:r>
      <w:r w:rsidR="00D01DE9">
        <w:rPr>
          <w:lang w:val="en-US"/>
        </w:rPr>
        <w:t>apply the principles in AASB 13</w:t>
      </w:r>
      <w:r w:rsidR="00723D35">
        <w:rPr>
          <w:lang w:val="en-US"/>
        </w:rPr>
        <w:t xml:space="preserve"> </w:t>
      </w:r>
      <w:r w:rsidR="004342E9">
        <w:rPr>
          <w:lang w:val="en-US"/>
        </w:rPr>
        <w:t xml:space="preserve">to the measurement of </w:t>
      </w:r>
      <w:r w:rsidR="00723D35">
        <w:rPr>
          <w:lang w:val="en-US"/>
        </w:rPr>
        <w:t>non-financial assets not held primarily for their ability to generate net cash inflows</w:t>
      </w:r>
      <w:r w:rsidR="00482E12">
        <w:rPr>
          <w:lang w:val="en-US"/>
        </w:rPr>
        <w:t>.</w:t>
      </w:r>
    </w:p>
    <w:p w14:paraId="70295259" w14:textId="328504B4" w:rsidR="004877A5" w:rsidRDefault="009671EF" w:rsidP="004C1746">
      <w:pPr>
        <w:pStyle w:val="NoNumPlain1"/>
        <w:rPr>
          <w:lang w:val="en-US"/>
        </w:rPr>
      </w:pPr>
      <w:r>
        <w:rPr>
          <w:lang w:val="en-US"/>
        </w:rPr>
        <w:t xml:space="preserve">In </w:t>
      </w:r>
      <w:r w:rsidR="0093732C">
        <w:rPr>
          <w:lang w:val="en-US"/>
        </w:rPr>
        <w:t xml:space="preserve">2018, the Board established a Project Advisory Panel </w:t>
      </w:r>
      <w:r w:rsidR="009A4BCC">
        <w:rPr>
          <w:lang w:val="en-US"/>
        </w:rPr>
        <w:t xml:space="preserve">to provide input to the project. The Panel </w:t>
      </w:r>
      <w:r w:rsidR="008D65A4">
        <w:rPr>
          <w:lang w:val="en-US"/>
        </w:rPr>
        <w:t xml:space="preserve">consisted of public sector financial </w:t>
      </w:r>
      <w:r w:rsidR="004342E9">
        <w:rPr>
          <w:lang w:val="en-US"/>
        </w:rPr>
        <w:t xml:space="preserve">statement </w:t>
      </w:r>
      <w:r w:rsidR="008D65A4">
        <w:rPr>
          <w:lang w:val="en-US"/>
        </w:rPr>
        <w:t>preparers, auditors</w:t>
      </w:r>
      <w:r w:rsidR="009A4BCC">
        <w:rPr>
          <w:lang w:val="en-US"/>
        </w:rPr>
        <w:t xml:space="preserve"> and valuers</w:t>
      </w:r>
      <w:r w:rsidR="004A5C1F">
        <w:rPr>
          <w:lang w:val="en-US"/>
        </w:rPr>
        <w:t xml:space="preserve">, as well as representatives from the Australian Property Institute and the Australian </w:t>
      </w:r>
      <w:r w:rsidR="00643385" w:rsidRPr="00643385">
        <w:rPr>
          <w:lang w:val="en-US"/>
        </w:rPr>
        <w:t>Bureau of Statistics</w:t>
      </w:r>
      <w:r w:rsidR="009A4BCC">
        <w:rPr>
          <w:lang w:val="en-US"/>
        </w:rPr>
        <w:t>.</w:t>
      </w:r>
      <w:r w:rsidR="00E37412">
        <w:rPr>
          <w:lang w:val="en-US"/>
        </w:rPr>
        <w:t xml:space="preserve"> </w:t>
      </w:r>
      <w:r w:rsidR="002079B5">
        <w:rPr>
          <w:lang w:val="en-US"/>
        </w:rPr>
        <w:t xml:space="preserve"> </w:t>
      </w:r>
      <w:r w:rsidR="00921FE9">
        <w:rPr>
          <w:lang w:val="en-US"/>
        </w:rPr>
        <w:t xml:space="preserve">Through </w:t>
      </w:r>
      <w:r w:rsidR="00E86338">
        <w:rPr>
          <w:lang w:val="en-US"/>
        </w:rPr>
        <w:t>consultation</w:t>
      </w:r>
      <w:r w:rsidR="00921FE9">
        <w:rPr>
          <w:lang w:val="en-US"/>
        </w:rPr>
        <w:t xml:space="preserve"> with the Panel</w:t>
      </w:r>
      <w:r w:rsidR="004075E0">
        <w:rPr>
          <w:lang w:val="en-US"/>
        </w:rPr>
        <w:t>, the</w:t>
      </w:r>
      <w:r w:rsidR="00E86338">
        <w:rPr>
          <w:lang w:val="en-US"/>
        </w:rPr>
        <w:t xml:space="preserve"> AASB</w:t>
      </w:r>
      <w:r w:rsidR="004075E0">
        <w:rPr>
          <w:lang w:val="en-US"/>
        </w:rPr>
        <w:t xml:space="preserve"> identified the fair value </w:t>
      </w:r>
      <w:r w:rsidR="00F16E93">
        <w:rPr>
          <w:lang w:val="en-US"/>
        </w:rPr>
        <w:t xml:space="preserve">measurement </w:t>
      </w:r>
      <w:r w:rsidR="004075E0">
        <w:rPr>
          <w:lang w:val="en-US"/>
        </w:rPr>
        <w:t xml:space="preserve">topics on which guidance </w:t>
      </w:r>
      <w:r w:rsidR="004342E9">
        <w:rPr>
          <w:lang w:val="en-US"/>
        </w:rPr>
        <w:t xml:space="preserve">was </w:t>
      </w:r>
      <w:r w:rsidR="004075E0">
        <w:rPr>
          <w:lang w:val="en-US"/>
        </w:rPr>
        <w:t>sought by</w:t>
      </w:r>
      <w:r w:rsidR="004342E9">
        <w:rPr>
          <w:lang w:val="en-US"/>
        </w:rPr>
        <w:t xml:space="preserve"> stakeholders</w:t>
      </w:r>
      <w:r w:rsidR="004075E0">
        <w:rPr>
          <w:lang w:val="en-US"/>
        </w:rPr>
        <w:t>.</w:t>
      </w:r>
    </w:p>
    <w:p w14:paraId="79C7078F" w14:textId="15197E3D" w:rsidR="00C379F6" w:rsidRDefault="004075E0" w:rsidP="004C1746">
      <w:pPr>
        <w:pStyle w:val="NoNumPlain1"/>
        <w:rPr>
          <w:lang w:val="en-US"/>
        </w:rPr>
      </w:pPr>
      <w:r>
        <w:rPr>
          <w:lang w:val="en-US"/>
        </w:rPr>
        <w:t xml:space="preserve">However, </w:t>
      </w:r>
      <w:r w:rsidR="00835AF4" w:rsidRPr="00835AF4">
        <w:rPr>
          <w:lang w:val="en-US"/>
        </w:rPr>
        <w:t xml:space="preserve">shortly after the Panel’s meeting </w:t>
      </w:r>
      <w:r w:rsidR="004342E9">
        <w:rPr>
          <w:lang w:val="en-US"/>
        </w:rPr>
        <w:t xml:space="preserve">in </w:t>
      </w:r>
      <w:r w:rsidR="00835AF4" w:rsidRPr="00835AF4">
        <w:rPr>
          <w:lang w:val="en-US"/>
        </w:rPr>
        <w:t xml:space="preserve">May 2018, the </w:t>
      </w:r>
      <w:r w:rsidR="00484E82">
        <w:rPr>
          <w:lang w:val="en-US"/>
        </w:rPr>
        <w:t>p</w:t>
      </w:r>
      <w:r w:rsidR="00835AF4" w:rsidRPr="00835AF4">
        <w:rPr>
          <w:lang w:val="en-US"/>
        </w:rPr>
        <w:t xml:space="preserve">roject was paused </w:t>
      </w:r>
      <w:r w:rsidR="00662458">
        <w:rPr>
          <w:lang w:val="en-US"/>
        </w:rPr>
        <w:t>due</w:t>
      </w:r>
      <w:r w:rsidR="00835AF4">
        <w:rPr>
          <w:lang w:val="en-US"/>
        </w:rPr>
        <w:t xml:space="preserve"> to</w:t>
      </w:r>
      <w:r w:rsidR="00835AF4" w:rsidRPr="00835AF4">
        <w:rPr>
          <w:lang w:val="en-US"/>
        </w:rPr>
        <w:t xml:space="preserve"> </w:t>
      </w:r>
      <w:r w:rsidR="00835AF4">
        <w:rPr>
          <w:lang w:val="en-US"/>
        </w:rPr>
        <w:t xml:space="preserve">the </w:t>
      </w:r>
      <w:r w:rsidR="004342E9">
        <w:rPr>
          <w:lang w:val="en-US"/>
        </w:rPr>
        <w:t xml:space="preserve">priority </w:t>
      </w:r>
      <w:r w:rsidR="00835AF4">
        <w:rPr>
          <w:lang w:val="en-US"/>
        </w:rPr>
        <w:t xml:space="preserve">of </w:t>
      </w:r>
      <w:r w:rsidR="00835AF4" w:rsidRPr="00835AF4">
        <w:rPr>
          <w:lang w:val="en-US"/>
        </w:rPr>
        <w:t xml:space="preserve">other </w:t>
      </w:r>
      <w:r w:rsidR="00F10F0E">
        <w:rPr>
          <w:lang w:val="en-US"/>
        </w:rPr>
        <w:t>AASB work</w:t>
      </w:r>
      <w:r w:rsidR="00835AF4">
        <w:rPr>
          <w:lang w:val="en-US"/>
        </w:rPr>
        <w:t>.</w:t>
      </w:r>
      <w:r w:rsidR="004877A5">
        <w:rPr>
          <w:lang w:val="en-US"/>
        </w:rPr>
        <w:t xml:space="preserve"> </w:t>
      </w:r>
      <w:r w:rsidR="00EA6B62">
        <w:rPr>
          <w:lang w:val="en-US"/>
        </w:rPr>
        <w:t xml:space="preserve">In 2019, the Board resumed the </w:t>
      </w:r>
      <w:r w:rsidR="00484E82">
        <w:rPr>
          <w:lang w:val="en-US"/>
        </w:rPr>
        <w:t>p</w:t>
      </w:r>
      <w:r w:rsidR="00EA6B62">
        <w:rPr>
          <w:lang w:val="en-US"/>
        </w:rPr>
        <w:t>roject</w:t>
      </w:r>
      <w:r w:rsidR="00835AF4" w:rsidRPr="00835AF4">
        <w:rPr>
          <w:lang w:val="en-US"/>
        </w:rPr>
        <w:t xml:space="preserve"> </w:t>
      </w:r>
      <w:r w:rsidR="00EA6B62">
        <w:rPr>
          <w:lang w:val="en-US"/>
        </w:rPr>
        <w:t xml:space="preserve">and held </w:t>
      </w:r>
      <w:r w:rsidR="004342E9">
        <w:rPr>
          <w:lang w:val="en-US"/>
        </w:rPr>
        <w:t xml:space="preserve">a further </w:t>
      </w:r>
      <w:r w:rsidR="00EA6B62">
        <w:rPr>
          <w:lang w:val="en-US"/>
        </w:rPr>
        <w:t>seven meetings with the</w:t>
      </w:r>
      <w:r w:rsidR="00052630">
        <w:rPr>
          <w:lang w:val="en-US"/>
        </w:rPr>
        <w:t xml:space="preserve"> </w:t>
      </w:r>
      <w:r w:rsidR="002362AE">
        <w:rPr>
          <w:lang w:val="en-US"/>
        </w:rPr>
        <w:t xml:space="preserve">Panel </w:t>
      </w:r>
      <w:r w:rsidR="003870BE">
        <w:rPr>
          <w:lang w:val="en-US"/>
        </w:rPr>
        <w:t>between 201</w:t>
      </w:r>
      <w:r w:rsidR="00EA6B62">
        <w:rPr>
          <w:lang w:val="en-US"/>
        </w:rPr>
        <w:t>9</w:t>
      </w:r>
      <w:r w:rsidR="003870BE">
        <w:rPr>
          <w:lang w:val="en-US"/>
        </w:rPr>
        <w:t xml:space="preserve"> and 2022.</w:t>
      </w:r>
    </w:p>
    <w:p w14:paraId="7A54E705" w14:textId="33B94FA9" w:rsidR="00FD4B23" w:rsidRPr="00FD4B23" w:rsidRDefault="00FD4B23" w:rsidP="00FD4B23">
      <w:pPr>
        <w:pStyle w:val="NoNumPlain1"/>
        <w:rPr>
          <w:lang w:val="en-US"/>
        </w:rPr>
      </w:pPr>
      <w:r w:rsidRPr="00FD4B23">
        <w:rPr>
          <w:lang w:val="en-US"/>
        </w:rPr>
        <w:t xml:space="preserve">In accordance with paragraph 20 of </w:t>
      </w:r>
      <w:r w:rsidRPr="00F15092">
        <w:rPr>
          <w:i/>
          <w:iCs/>
          <w:lang w:val="en-US"/>
        </w:rPr>
        <w:t>The AASB’s Approach to International Public Sector Accounting Standards</w:t>
      </w:r>
      <w:r w:rsidRPr="00FD4B23">
        <w:rPr>
          <w:lang w:val="en-US"/>
        </w:rPr>
        <w:t xml:space="preserve"> (October 2019), in May 2021 the </w:t>
      </w:r>
      <w:r w:rsidR="00F15092">
        <w:rPr>
          <w:lang w:val="en-US"/>
        </w:rPr>
        <w:t>AASB</w:t>
      </w:r>
      <w:r w:rsidRPr="00FD4B23">
        <w:rPr>
          <w:lang w:val="en-US"/>
        </w:rPr>
        <w:t xml:space="preserve"> issued ITC</w:t>
      </w:r>
      <w:r w:rsidRPr="00C87027">
        <w:rPr>
          <w:lang w:val="en-US"/>
        </w:rPr>
        <w:t xml:space="preserve"> </w:t>
      </w:r>
      <w:r w:rsidRPr="008830D0">
        <w:rPr>
          <w:lang w:val="en-US"/>
        </w:rPr>
        <w:t>45</w:t>
      </w:r>
      <w:r w:rsidRPr="00F15092">
        <w:rPr>
          <w:i/>
          <w:iCs/>
          <w:lang w:val="en-US"/>
        </w:rPr>
        <w:t xml:space="preserve"> Request for Comment on IPSASB Exposure Drafts ED 76</w:t>
      </w:r>
      <w:r w:rsidRPr="00FD4B23">
        <w:rPr>
          <w:lang w:val="en-US"/>
        </w:rPr>
        <w:t xml:space="preserve"> Conceptual Framework Update: Chapter 7, </w:t>
      </w:r>
      <w:r w:rsidRPr="008830D0">
        <w:rPr>
          <w:i/>
          <w:iCs/>
          <w:lang w:val="en-US"/>
        </w:rPr>
        <w:t xml:space="preserve">Measurement of Assets and Liabilities in Financial Statements </w:t>
      </w:r>
      <w:r w:rsidRPr="00BB0472">
        <w:rPr>
          <w:i/>
          <w:iCs/>
          <w:lang w:val="en-US"/>
        </w:rPr>
        <w:t>and ED 77</w:t>
      </w:r>
      <w:r w:rsidRPr="00FD4B23">
        <w:rPr>
          <w:lang w:val="en-US"/>
        </w:rPr>
        <w:t xml:space="preserve"> </w:t>
      </w:r>
      <w:r w:rsidRPr="007D5EB8">
        <w:rPr>
          <w:lang w:val="en-US"/>
        </w:rPr>
        <w:t>Measurement</w:t>
      </w:r>
      <w:r w:rsidRPr="00FD4B23">
        <w:rPr>
          <w:lang w:val="en-US"/>
        </w:rPr>
        <w:t xml:space="preserve">, to obtain Australian stakeholders’ views on </w:t>
      </w:r>
      <w:r w:rsidR="0099600B">
        <w:rPr>
          <w:lang w:val="en-US"/>
        </w:rPr>
        <w:t xml:space="preserve">two </w:t>
      </w:r>
      <w:r w:rsidR="007837B2">
        <w:rPr>
          <w:lang w:val="en-US"/>
        </w:rPr>
        <w:t>E</w:t>
      </w:r>
      <w:r w:rsidR="007C3EAA">
        <w:rPr>
          <w:lang w:val="en-US"/>
        </w:rPr>
        <w:t xml:space="preserve">xposure </w:t>
      </w:r>
      <w:r w:rsidR="007837B2">
        <w:rPr>
          <w:lang w:val="en-US"/>
        </w:rPr>
        <w:t>D</w:t>
      </w:r>
      <w:r w:rsidR="007C3EAA">
        <w:rPr>
          <w:lang w:val="en-US"/>
        </w:rPr>
        <w:t>raft</w:t>
      </w:r>
      <w:r w:rsidR="0099600B">
        <w:rPr>
          <w:lang w:val="en-US"/>
        </w:rPr>
        <w:t>s</w:t>
      </w:r>
      <w:r w:rsidR="007837B2">
        <w:rPr>
          <w:lang w:val="en-US"/>
        </w:rPr>
        <w:t xml:space="preserve"> </w:t>
      </w:r>
      <w:r w:rsidR="00993F59">
        <w:rPr>
          <w:lang w:val="en-US"/>
        </w:rPr>
        <w:t xml:space="preserve">issued by the </w:t>
      </w:r>
      <w:r w:rsidR="00993F59" w:rsidRPr="00FD4B23">
        <w:rPr>
          <w:lang w:val="en-US"/>
        </w:rPr>
        <w:t>International Public Sector Accounting Standards Board (IPSASB</w:t>
      </w:r>
      <w:r w:rsidR="00993F59">
        <w:rPr>
          <w:lang w:val="en-US"/>
        </w:rPr>
        <w:t>)</w:t>
      </w:r>
      <w:r w:rsidR="00527509">
        <w:rPr>
          <w:lang w:val="en-US"/>
        </w:rPr>
        <w:t xml:space="preserve"> related to its Measurement project</w:t>
      </w:r>
      <w:r w:rsidR="002079B5">
        <w:rPr>
          <w:lang w:val="en-US"/>
        </w:rPr>
        <w:t>.</w:t>
      </w:r>
    </w:p>
    <w:p w14:paraId="262FB031" w14:textId="074B70AD" w:rsidR="00FD4B23" w:rsidRPr="00FD4B23" w:rsidRDefault="00015717" w:rsidP="00FD4B23">
      <w:pPr>
        <w:pStyle w:val="NoNumPlain1"/>
        <w:rPr>
          <w:lang w:val="en-US"/>
        </w:rPr>
      </w:pPr>
      <w:r w:rsidRPr="00FD4B23">
        <w:rPr>
          <w:lang w:val="en-US"/>
        </w:rPr>
        <w:lastRenderedPageBreak/>
        <w:t xml:space="preserve">In respect of current value measurement of non-financial assets of not-for-profit </w:t>
      </w:r>
      <w:r w:rsidR="005C68A0">
        <w:rPr>
          <w:lang w:val="en-US"/>
        </w:rPr>
        <w:t xml:space="preserve">public sector </w:t>
      </w:r>
      <w:r w:rsidRPr="00FD4B23">
        <w:rPr>
          <w:lang w:val="en-US"/>
        </w:rPr>
        <w:t xml:space="preserve">entities not held primarily for their ability to generate net cash inflows, </w:t>
      </w:r>
      <w:r w:rsidR="00993F59">
        <w:rPr>
          <w:lang w:val="en-US"/>
        </w:rPr>
        <w:t xml:space="preserve">ITC 45 included specific questions to </w:t>
      </w:r>
      <w:r w:rsidR="00FD4B23" w:rsidRPr="00FD4B23">
        <w:rPr>
          <w:lang w:val="en-US"/>
        </w:rPr>
        <w:t xml:space="preserve">Australian stakeholders </w:t>
      </w:r>
      <w:r w:rsidR="00993F59">
        <w:rPr>
          <w:lang w:val="en-US"/>
        </w:rPr>
        <w:t xml:space="preserve">about whether they </w:t>
      </w:r>
      <w:r w:rsidR="00FD4B23" w:rsidRPr="00FD4B23">
        <w:rPr>
          <w:lang w:val="en-US"/>
        </w:rPr>
        <w:t xml:space="preserve">would prefer that the </w:t>
      </w:r>
      <w:r w:rsidR="002E1949">
        <w:rPr>
          <w:lang w:val="en-US"/>
        </w:rPr>
        <w:t xml:space="preserve">AASB </w:t>
      </w:r>
      <w:r w:rsidR="00FD4B23" w:rsidRPr="00FD4B23">
        <w:rPr>
          <w:lang w:val="en-US"/>
        </w:rPr>
        <w:t>adopts the IPSASB’s proposed current operational value measurement basis</w:t>
      </w:r>
      <w:r w:rsidR="00810039">
        <w:rPr>
          <w:lang w:val="en-US"/>
        </w:rPr>
        <w:t xml:space="preserve"> </w:t>
      </w:r>
      <w:r>
        <w:rPr>
          <w:lang w:val="en-US"/>
        </w:rPr>
        <w:t>(</w:t>
      </w:r>
      <w:r w:rsidR="00810039">
        <w:rPr>
          <w:lang w:val="en-US"/>
        </w:rPr>
        <w:t xml:space="preserve">which was proposed to be </w:t>
      </w:r>
      <w:r w:rsidR="00452ED6" w:rsidRPr="00452ED6">
        <w:rPr>
          <w:lang w:val="en-US"/>
        </w:rPr>
        <w:t>an entity-specific entry value based on an asset’s current use</w:t>
      </w:r>
      <w:r>
        <w:rPr>
          <w:lang w:val="en-US"/>
        </w:rPr>
        <w:t>)</w:t>
      </w:r>
      <w:r w:rsidR="00452ED6" w:rsidRPr="00FD4B23">
        <w:rPr>
          <w:lang w:val="en-US"/>
        </w:rPr>
        <w:t xml:space="preserve"> </w:t>
      </w:r>
      <w:r w:rsidR="00FD4B23" w:rsidRPr="00FD4B23">
        <w:rPr>
          <w:lang w:val="en-US"/>
        </w:rPr>
        <w:t xml:space="preserve">or continues </w:t>
      </w:r>
      <w:r>
        <w:rPr>
          <w:lang w:val="en-US"/>
        </w:rPr>
        <w:t xml:space="preserve">to require </w:t>
      </w:r>
      <w:r w:rsidR="00FD4B23" w:rsidRPr="00FD4B23">
        <w:rPr>
          <w:lang w:val="en-US"/>
        </w:rPr>
        <w:t>the fair value measurement basis.</w:t>
      </w:r>
    </w:p>
    <w:p w14:paraId="0E870791" w14:textId="4315001A" w:rsidR="00FD4B23" w:rsidRPr="00FD4B23" w:rsidRDefault="00FD4B23" w:rsidP="00FD4B23">
      <w:pPr>
        <w:pStyle w:val="NoNumPlain1"/>
        <w:rPr>
          <w:lang w:val="en-US"/>
        </w:rPr>
      </w:pPr>
      <w:r w:rsidRPr="00FD4B23">
        <w:rPr>
          <w:lang w:val="en-US"/>
        </w:rPr>
        <w:t xml:space="preserve">The </w:t>
      </w:r>
      <w:r w:rsidR="00452ED6">
        <w:rPr>
          <w:lang w:val="en-US"/>
        </w:rPr>
        <w:t>AASB</w:t>
      </w:r>
      <w:r w:rsidRPr="00FD4B23">
        <w:rPr>
          <w:lang w:val="en-US"/>
        </w:rPr>
        <w:t xml:space="preserve"> received six comment letters on ITC 45</w:t>
      </w:r>
      <w:r w:rsidR="002079B5">
        <w:rPr>
          <w:lang w:val="en-US"/>
        </w:rPr>
        <w:t xml:space="preserve">.  </w:t>
      </w:r>
      <w:r w:rsidRPr="00FD4B23">
        <w:rPr>
          <w:lang w:val="en-US"/>
        </w:rPr>
        <w:t xml:space="preserve">Based on those comment letters and on the feedback received from related outreach activities, the </w:t>
      </w:r>
      <w:r w:rsidR="00272512">
        <w:rPr>
          <w:lang w:val="en-US"/>
        </w:rPr>
        <w:t>AASB</w:t>
      </w:r>
      <w:r w:rsidRPr="00FD4B23">
        <w:rPr>
          <w:lang w:val="en-US"/>
        </w:rPr>
        <w:t xml:space="preserve"> noted that a significant majority of stakeholders that responded to ITC 45, including not-for-profit public sector financial statement preparers, auditors and valuers, indicated that fair value under AASB 13 is appropriate for measuring the current value of all non-financial assets held by not-for-profit public sector entities, whether held primarily for their financial capacity or operational capacity, and should remain the sole current value measurement basis</w:t>
      </w:r>
      <w:r w:rsidR="002079B5">
        <w:rPr>
          <w:lang w:val="en-US"/>
        </w:rPr>
        <w:t>.</w:t>
      </w:r>
    </w:p>
    <w:p w14:paraId="498410B8" w14:textId="71AE4362" w:rsidR="0086243A" w:rsidRDefault="00272512" w:rsidP="004C1746">
      <w:pPr>
        <w:pStyle w:val="NoNumPlain1"/>
        <w:rPr>
          <w:lang w:val="en-US"/>
        </w:rPr>
      </w:pPr>
      <w:r>
        <w:rPr>
          <w:lang w:val="en-US"/>
        </w:rPr>
        <w:t>Accordingly, in</w:t>
      </w:r>
      <w:r w:rsidR="00BC0348">
        <w:rPr>
          <w:lang w:val="en-US"/>
        </w:rPr>
        <w:t xml:space="preserve"> March 2022, t</w:t>
      </w:r>
      <w:r w:rsidR="00843BF6" w:rsidRPr="007B02E3">
        <w:rPr>
          <w:lang w:val="en-US"/>
        </w:rPr>
        <w:t xml:space="preserve">he AASB </w:t>
      </w:r>
      <w:r w:rsidR="00CD0A54">
        <w:rPr>
          <w:lang w:val="en-US"/>
        </w:rPr>
        <w:t>issued Exposure Draft ED</w:t>
      </w:r>
      <w:r w:rsidR="00345A43">
        <w:rPr>
          <w:lang w:val="en-US"/>
        </w:rPr>
        <w:t xml:space="preserve"> </w:t>
      </w:r>
      <w:r w:rsidR="00BD603A">
        <w:rPr>
          <w:lang w:val="en-US"/>
        </w:rPr>
        <w:t>320</w:t>
      </w:r>
      <w:r w:rsidR="00345A43">
        <w:rPr>
          <w:lang w:val="en-US"/>
        </w:rPr>
        <w:t xml:space="preserve"> </w:t>
      </w:r>
      <w:r w:rsidR="004D5D41" w:rsidRPr="004D5D41">
        <w:rPr>
          <w:i/>
          <w:iCs/>
          <w:lang w:val="en-US"/>
        </w:rPr>
        <w:t>Fair Value Measurement of Non-Financial Assets of Not-for-Profit Public Sector Entities</w:t>
      </w:r>
      <w:r w:rsidR="00C04EB7">
        <w:rPr>
          <w:lang w:val="en-US"/>
        </w:rPr>
        <w:t xml:space="preserve">, </w:t>
      </w:r>
      <w:r w:rsidR="00BC0348">
        <w:rPr>
          <w:lang w:val="en-US"/>
        </w:rPr>
        <w:t>to propose modifying AAS</w:t>
      </w:r>
      <w:r w:rsidR="000031B6">
        <w:rPr>
          <w:lang w:val="en-US"/>
        </w:rPr>
        <w:t>B</w:t>
      </w:r>
      <w:r w:rsidR="00BC0348">
        <w:rPr>
          <w:lang w:val="en-US"/>
        </w:rPr>
        <w:t xml:space="preserve"> 13 for application by not-for-profit public sector entities </w:t>
      </w:r>
      <w:r w:rsidR="00015717">
        <w:rPr>
          <w:lang w:val="en-US"/>
        </w:rPr>
        <w:t xml:space="preserve">in </w:t>
      </w:r>
      <w:r w:rsidR="00527509">
        <w:rPr>
          <w:lang w:val="en-US"/>
        </w:rPr>
        <w:t xml:space="preserve">measuring </w:t>
      </w:r>
      <w:r w:rsidR="00015717">
        <w:rPr>
          <w:lang w:val="en-US"/>
        </w:rPr>
        <w:t xml:space="preserve">the </w:t>
      </w:r>
      <w:r w:rsidR="00527509">
        <w:rPr>
          <w:lang w:val="en-US"/>
        </w:rPr>
        <w:t>fair values of</w:t>
      </w:r>
      <w:r w:rsidR="00BC0348">
        <w:rPr>
          <w:lang w:val="en-US"/>
        </w:rPr>
        <w:t xml:space="preserve"> non-financial assets </w:t>
      </w:r>
      <w:r w:rsidR="0086243A">
        <w:rPr>
          <w:lang w:val="en-US"/>
        </w:rPr>
        <w:t xml:space="preserve">not held </w:t>
      </w:r>
      <w:r w:rsidR="008E52BE">
        <w:rPr>
          <w:lang w:val="en-US"/>
        </w:rPr>
        <w:t xml:space="preserve">primarily </w:t>
      </w:r>
      <w:r w:rsidR="0086243A">
        <w:rPr>
          <w:lang w:val="en-US"/>
        </w:rPr>
        <w:t>for their ability to generate net cash inflows.</w:t>
      </w:r>
    </w:p>
    <w:p w14:paraId="73FDA8A5" w14:textId="3E0BFAB0" w:rsidR="003F5F22" w:rsidRDefault="007E56FC" w:rsidP="00625791">
      <w:pPr>
        <w:pStyle w:val="NoNumPlain1"/>
        <w:rPr>
          <w:lang w:val="en-US"/>
        </w:rPr>
      </w:pPr>
      <w:r>
        <w:rPr>
          <w:lang w:val="en-US"/>
        </w:rPr>
        <w:t xml:space="preserve">The comment period for ED 320 closed on </w:t>
      </w:r>
      <w:r w:rsidR="00D744C5">
        <w:rPr>
          <w:lang w:val="en-US"/>
        </w:rPr>
        <w:t>30 June 2022</w:t>
      </w:r>
      <w:r w:rsidR="002079B5">
        <w:rPr>
          <w:lang w:val="en-US"/>
        </w:rPr>
        <w:t xml:space="preserve">.  </w:t>
      </w:r>
      <w:r w:rsidR="00345A43">
        <w:rPr>
          <w:lang w:val="en-US"/>
        </w:rPr>
        <w:t xml:space="preserve">The AASB received feedback on ED </w:t>
      </w:r>
      <w:r w:rsidR="00F533C6">
        <w:rPr>
          <w:lang w:val="en-US"/>
        </w:rPr>
        <w:t>320</w:t>
      </w:r>
      <w:r w:rsidR="00345A43">
        <w:rPr>
          <w:lang w:val="en-US"/>
        </w:rPr>
        <w:t xml:space="preserve"> via </w:t>
      </w:r>
      <w:r w:rsidR="003B67F4">
        <w:rPr>
          <w:lang w:val="en-US"/>
        </w:rPr>
        <w:t xml:space="preserve">sixteen </w:t>
      </w:r>
      <w:r w:rsidR="00345A43">
        <w:rPr>
          <w:lang w:val="en-US"/>
        </w:rPr>
        <w:t>comment letters</w:t>
      </w:r>
      <w:r w:rsidR="003B67F4">
        <w:rPr>
          <w:lang w:val="en-US"/>
        </w:rPr>
        <w:t xml:space="preserve">, three virtual roundtables, meetings with </w:t>
      </w:r>
      <w:r w:rsidR="00440A35">
        <w:rPr>
          <w:lang w:val="en-US"/>
        </w:rPr>
        <w:t xml:space="preserve">its </w:t>
      </w:r>
      <w:r w:rsidR="003B67F4">
        <w:rPr>
          <w:lang w:val="en-US"/>
        </w:rPr>
        <w:t>Project Advisory Panel</w:t>
      </w:r>
      <w:r w:rsidR="00345A43">
        <w:rPr>
          <w:lang w:val="en-US"/>
        </w:rPr>
        <w:t xml:space="preserve"> and targeted consultation with key stakeholders</w:t>
      </w:r>
      <w:r w:rsidR="002079B5">
        <w:rPr>
          <w:lang w:val="en-US"/>
        </w:rPr>
        <w:t xml:space="preserve">.  </w:t>
      </w:r>
      <w:r w:rsidR="00EA778B">
        <w:rPr>
          <w:lang w:val="en-US"/>
        </w:rPr>
        <w:t>O</w:t>
      </w:r>
      <w:r w:rsidR="00625791" w:rsidRPr="00625791">
        <w:rPr>
          <w:lang w:val="en-US"/>
        </w:rPr>
        <w:t xml:space="preserve">ther than one respondent who disagreed with most aspects of the ED 320 proposals, stakeholders </w:t>
      </w:r>
      <w:r w:rsidR="00D924F5">
        <w:rPr>
          <w:lang w:val="en-US"/>
        </w:rPr>
        <w:t xml:space="preserve">generally </w:t>
      </w:r>
      <w:r w:rsidR="00625791" w:rsidRPr="00625791">
        <w:rPr>
          <w:lang w:val="en-US"/>
        </w:rPr>
        <w:t>supported modifying AASB 13 (to varying degrees) to assist not-for-profit public sector entities in applying the principles</w:t>
      </w:r>
      <w:r w:rsidR="00440A35">
        <w:rPr>
          <w:lang w:val="en-US"/>
        </w:rPr>
        <w:t>,</w:t>
      </w:r>
      <w:r w:rsidR="00625791" w:rsidRPr="00625791">
        <w:rPr>
          <w:lang w:val="en-US"/>
        </w:rPr>
        <w:t xml:space="preserve"> but</w:t>
      </w:r>
      <w:r w:rsidR="003F5F22">
        <w:rPr>
          <w:lang w:val="en-US"/>
        </w:rPr>
        <w:t xml:space="preserve"> </w:t>
      </w:r>
      <w:r w:rsidR="00015717">
        <w:rPr>
          <w:lang w:val="en-US"/>
        </w:rPr>
        <w:t xml:space="preserve">suggested </w:t>
      </w:r>
      <w:r w:rsidR="00625791" w:rsidRPr="00625791">
        <w:rPr>
          <w:lang w:val="en-US"/>
        </w:rPr>
        <w:t xml:space="preserve">significant refinements </w:t>
      </w:r>
      <w:r w:rsidR="00015717">
        <w:rPr>
          <w:lang w:val="en-US"/>
        </w:rPr>
        <w:t xml:space="preserve">to </w:t>
      </w:r>
      <w:r w:rsidR="00625791" w:rsidRPr="00625791">
        <w:rPr>
          <w:lang w:val="en-US"/>
        </w:rPr>
        <w:t xml:space="preserve">the drafting of the modifications </w:t>
      </w:r>
      <w:r w:rsidR="00015717">
        <w:rPr>
          <w:lang w:val="en-US"/>
        </w:rPr>
        <w:t xml:space="preserve">would help </w:t>
      </w:r>
      <w:r w:rsidR="00625791" w:rsidRPr="00625791">
        <w:rPr>
          <w:lang w:val="en-US"/>
        </w:rPr>
        <w:t>to address potential application issues</w:t>
      </w:r>
      <w:r w:rsidR="002079B5">
        <w:rPr>
          <w:lang w:val="en-US"/>
        </w:rPr>
        <w:t>.</w:t>
      </w:r>
    </w:p>
    <w:p w14:paraId="5DA54FFF" w14:textId="4E3011FA" w:rsidR="004B1D54" w:rsidRDefault="003F5F22" w:rsidP="00625791">
      <w:pPr>
        <w:pStyle w:val="NoNumPlain1"/>
        <w:rPr>
          <w:lang w:val="en-US"/>
        </w:rPr>
      </w:pPr>
      <w:r>
        <w:rPr>
          <w:lang w:val="en-US"/>
        </w:rPr>
        <w:t xml:space="preserve">Consequently, in October 2022, the AASB issued for comment a </w:t>
      </w:r>
      <w:r w:rsidR="00916A87" w:rsidRPr="00916A87">
        <w:rPr>
          <w:lang w:val="en-US"/>
        </w:rPr>
        <w:t>Fatal-Flaw Review draft version of the Standard</w:t>
      </w:r>
      <w:r w:rsidR="00015717">
        <w:rPr>
          <w:lang w:val="en-US"/>
        </w:rPr>
        <w:t xml:space="preserve"> that incorporated revised drafting of the proposed modifications</w:t>
      </w:r>
      <w:r w:rsidR="002079B5">
        <w:rPr>
          <w:lang w:val="en-US"/>
        </w:rPr>
        <w:t xml:space="preserve">.  </w:t>
      </w:r>
      <w:r w:rsidR="0044148D" w:rsidRPr="0044148D">
        <w:rPr>
          <w:lang w:val="en-US"/>
        </w:rPr>
        <w:t>The AASB received comment letters</w:t>
      </w:r>
      <w:r w:rsidR="00EE46FA">
        <w:rPr>
          <w:lang w:val="en-US"/>
        </w:rPr>
        <w:t xml:space="preserve"> </w:t>
      </w:r>
      <w:r w:rsidR="008E622D">
        <w:rPr>
          <w:lang w:val="en-US"/>
        </w:rPr>
        <w:t>on that draft Standard from three respondents to ED 320</w:t>
      </w:r>
      <w:r w:rsidR="002079B5">
        <w:rPr>
          <w:lang w:val="en-US"/>
        </w:rPr>
        <w:t xml:space="preserve">.  </w:t>
      </w:r>
      <w:r w:rsidR="008E622D">
        <w:rPr>
          <w:lang w:val="en-US"/>
        </w:rPr>
        <w:t>The AASB also obtain</w:t>
      </w:r>
      <w:r w:rsidR="006E7C7E">
        <w:rPr>
          <w:lang w:val="en-US"/>
        </w:rPr>
        <w:t>ed</w:t>
      </w:r>
      <w:r w:rsidR="008E622D">
        <w:rPr>
          <w:lang w:val="en-US"/>
        </w:rPr>
        <w:t xml:space="preserve"> feedback from </w:t>
      </w:r>
      <w:r w:rsidR="0044148D" w:rsidRPr="0044148D">
        <w:rPr>
          <w:lang w:val="en-US"/>
        </w:rPr>
        <w:t xml:space="preserve">the Panel and </w:t>
      </w:r>
      <w:r w:rsidR="00D109DD">
        <w:rPr>
          <w:lang w:val="en-US"/>
        </w:rPr>
        <w:t>informal feedback from individual stakeholders</w:t>
      </w:r>
      <w:r w:rsidR="0044148D" w:rsidRPr="0044148D">
        <w:rPr>
          <w:lang w:val="en-US"/>
        </w:rPr>
        <w:t>.</w:t>
      </w:r>
    </w:p>
    <w:p w14:paraId="60262F7C" w14:textId="795FD297" w:rsidR="004607FB" w:rsidRPr="00345A43" w:rsidRDefault="00903923" w:rsidP="004C1746">
      <w:pPr>
        <w:pStyle w:val="NoNumPlain1"/>
      </w:pPr>
      <w:r>
        <w:t xml:space="preserve">The respondent who expressed disagreement with most aspects on ED 320 elaborated </w:t>
      </w:r>
      <w:r w:rsidR="00D85BE4">
        <w:t xml:space="preserve">their concerns in their </w:t>
      </w:r>
      <w:r w:rsidR="00302E80">
        <w:t xml:space="preserve">comment letter </w:t>
      </w:r>
      <w:r w:rsidR="00D85BE4">
        <w:t xml:space="preserve">on the </w:t>
      </w:r>
      <w:r w:rsidR="00D85BE4" w:rsidRPr="00916A87">
        <w:rPr>
          <w:lang w:val="en-US"/>
        </w:rPr>
        <w:t>Fatal-Flaw Review draft</w:t>
      </w:r>
      <w:r w:rsidR="00D85BE4">
        <w:rPr>
          <w:lang w:val="en-US"/>
        </w:rPr>
        <w:t xml:space="preserve"> Standard</w:t>
      </w:r>
      <w:r w:rsidR="002079B5">
        <w:rPr>
          <w:lang w:val="en-US"/>
        </w:rPr>
        <w:t xml:space="preserve">.  </w:t>
      </w:r>
      <w:r w:rsidR="00D85BE4">
        <w:rPr>
          <w:lang w:val="en-US"/>
        </w:rPr>
        <w:t xml:space="preserve">The AASB </w:t>
      </w:r>
      <w:r w:rsidR="00400E9A">
        <w:rPr>
          <w:lang w:val="en-US"/>
        </w:rPr>
        <w:t xml:space="preserve">concluded that </w:t>
      </w:r>
      <w:r w:rsidR="00A23624">
        <w:rPr>
          <w:lang w:val="en-US"/>
        </w:rPr>
        <w:t>the respondent’s</w:t>
      </w:r>
      <w:r w:rsidR="00A23624" w:rsidRPr="00A23624">
        <w:rPr>
          <w:lang w:val="en-US"/>
        </w:rPr>
        <w:t xml:space="preserve"> </w:t>
      </w:r>
      <w:r w:rsidR="00302E80">
        <w:rPr>
          <w:lang w:val="en-US"/>
        </w:rPr>
        <w:t xml:space="preserve">comment letter </w:t>
      </w:r>
      <w:r w:rsidR="00A23624" w:rsidRPr="00A23624">
        <w:rPr>
          <w:lang w:val="en-US"/>
        </w:rPr>
        <w:t xml:space="preserve">on the </w:t>
      </w:r>
      <w:r w:rsidR="00A23624" w:rsidRPr="00916A87">
        <w:rPr>
          <w:lang w:val="en-US"/>
        </w:rPr>
        <w:t>Fatal-Flaw Review draft</w:t>
      </w:r>
      <w:r w:rsidR="00A23624">
        <w:rPr>
          <w:lang w:val="en-US"/>
        </w:rPr>
        <w:t xml:space="preserve"> Standard</w:t>
      </w:r>
      <w:r w:rsidR="00A23624" w:rsidRPr="00A23624">
        <w:rPr>
          <w:lang w:val="en-US"/>
        </w:rPr>
        <w:t xml:space="preserve"> </w:t>
      </w:r>
      <w:r w:rsidR="004667C8">
        <w:rPr>
          <w:lang w:val="en-US"/>
        </w:rPr>
        <w:t xml:space="preserve">did </w:t>
      </w:r>
      <w:r w:rsidR="00A23624" w:rsidRPr="00A23624">
        <w:rPr>
          <w:lang w:val="en-US"/>
        </w:rPr>
        <w:t xml:space="preserve">not provide new information that </w:t>
      </w:r>
      <w:r w:rsidR="00015717">
        <w:rPr>
          <w:lang w:val="en-US"/>
        </w:rPr>
        <w:t xml:space="preserve">had </w:t>
      </w:r>
      <w:r w:rsidR="00A23624" w:rsidRPr="00A23624">
        <w:rPr>
          <w:lang w:val="en-US"/>
        </w:rPr>
        <w:t>not yet been considered</w:t>
      </w:r>
      <w:r w:rsidR="00015717">
        <w:rPr>
          <w:lang w:val="en-US"/>
        </w:rPr>
        <w:t xml:space="preserve"> by the AASB</w:t>
      </w:r>
      <w:r w:rsidR="002079B5">
        <w:rPr>
          <w:lang w:val="en-US"/>
        </w:rPr>
        <w:t xml:space="preserve">.  </w:t>
      </w:r>
      <w:r w:rsidR="00A23624">
        <w:rPr>
          <w:lang w:val="en-US"/>
        </w:rPr>
        <w:t>Accordingly, the AASB decided to proceed with the</w:t>
      </w:r>
      <w:r w:rsidR="00015717">
        <w:rPr>
          <w:lang w:val="en-US"/>
        </w:rPr>
        <w:t xml:space="preserve"> modifications to AASB 13</w:t>
      </w:r>
      <w:r w:rsidR="00A23624">
        <w:rPr>
          <w:lang w:val="en-US"/>
        </w:rPr>
        <w:t>.</w:t>
      </w:r>
    </w:p>
    <w:p w14:paraId="28B06DC9" w14:textId="33F6662A" w:rsidR="004607FB" w:rsidRDefault="004607FB" w:rsidP="004607FB">
      <w:pPr>
        <w:spacing w:after="200"/>
      </w:pPr>
      <w:r>
        <w:t xml:space="preserve">A Regulation Impact Statement (RIS) has not been prepared in connection with the issue of AASB </w:t>
      </w:r>
      <w:r w:rsidRPr="00723D35">
        <w:t>202</w:t>
      </w:r>
      <w:r w:rsidR="00413838" w:rsidRPr="00723D35">
        <w:t>2</w:t>
      </w:r>
      <w:r w:rsidRPr="00723D35">
        <w:t>-</w:t>
      </w:r>
      <w:r w:rsidR="00D924F5">
        <w:t>10 as</w:t>
      </w:r>
      <w:r w:rsidR="00C37ABC">
        <w:t xml:space="preserve"> </w:t>
      </w:r>
      <w:r>
        <w:t xml:space="preserve">the amendments made </w:t>
      </w:r>
      <w:r w:rsidR="00C37ABC">
        <w:t xml:space="preserve">to AASB 13 </w:t>
      </w:r>
      <w:r w:rsidR="00D924F5">
        <w:t>apply explicitly to not-for-profit public sector entities and do not have a substantial direct or indirect impact on business or competition</w:t>
      </w:r>
      <w:r>
        <w:t>.</w:t>
      </w:r>
    </w:p>
    <w:p w14:paraId="0AE931A0" w14:textId="7EB10F8C" w:rsidR="008E704E" w:rsidRDefault="008E704E" w:rsidP="008E704E">
      <w:pPr>
        <w:pStyle w:val="Heading2"/>
      </w:pPr>
      <w:r>
        <w:t xml:space="preserve">Legislative Features of </w:t>
      </w:r>
      <w:r w:rsidR="0054748E">
        <w:t>Accounting Standards</w:t>
      </w:r>
    </w:p>
    <w:p w14:paraId="5C28FC21" w14:textId="4DFB51E4" w:rsidR="008E704E" w:rsidRDefault="008E704E" w:rsidP="008E704E">
      <w:pPr>
        <w:pStyle w:val="Heading3"/>
      </w:pPr>
      <w:r>
        <w:t xml:space="preserve">Power to Make Amendments </w:t>
      </w:r>
    </w:p>
    <w:p w14:paraId="2B5D664A" w14:textId="7E14F68C" w:rsidR="008E704E" w:rsidRPr="007261ED" w:rsidRDefault="008E704E" w:rsidP="008E704E">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2079B5">
        <w:t xml:space="preserve">.  </w:t>
      </w:r>
      <w:r>
        <w:t xml:space="preserve">Accordingly, the AASB has the power to amend the Accounting Standards that are made by the AASB as legislative instruments under the </w:t>
      </w:r>
      <w:r w:rsidRPr="00B93CE4">
        <w:rPr>
          <w:i/>
        </w:rPr>
        <w:t>Corporations Act 2001</w:t>
      </w:r>
      <w:r>
        <w:t>.</w:t>
      </w:r>
    </w:p>
    <w:p w14:paraId="241C4F8E" w14:textId="6107698C" w:rsidR="00FB4D41" w:rsidRDefault="00FB4D41" w:rsidP="00FB4D41">
      <w:pPr>
        <w:pStyle w:val="Heading3"/>
        <w:rPr>
          <w:lang w:val="en-US"/>
        </w:rPr>
      </w:pPr>
      <w:r>
        <w:rPr>
          <w:lang w:val="en-US"/>
        </w:rPr>
        <w:t>References to Other AASB Standards</w:t>
      </w:r>
      <w:r>
        <w:t xml:space="preserve"> </w:t>
      </w:r>
    </w:p>
    <w:p w14:paraId="6D24B182" w14:textId="77777777" w:rsidR="00FB4D41" w:rsidRDefault="00FB4D41" w:rsidP="00FB4D41">
      <w:pPr>
        <w:pStyle w:val="NoNumPlain1"/>
        <w:rPr>
          <w:lang w:val="en-US"/>
        </w:rPr>
      </w:pPr>
      <w:r>
        <w:rPr>
          <w:lang w:val="en-US"/>
        </w:rPr>
        <w:t>References in this Standard to the titles of other AASB Standards that are legislative ins</w:t>
      </w:r>
      <w:r w:rsidRPr="006628B2">
        <w:rPr>
          <w:lang w:val="en-US"/>
        </w:rPr>
        <w:t xml:space="preserve">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t>Copyright</w:t>
      </w:r>
    </w:p>
    <w:p w14:paraId="1ABA0E69" w14:textId="03D38B87" w:rsidR="00FB4D41" w:rsidRDefault="0054748E" w:rsidP="00FB4D41">
      <w:pPr>
        <w:pStyle w:val="NoNumPlain1"/>
      </w:pPr>
      <w:r>
        <w:t xml:space="preserve">This Standard, like </w:t>
      </w:r>
      <w:r w:rsidR="00FB4D41">
        <w:t>all Accounting Standards promulgated by the AASB, is published with Commonwealth of Australia copyright</w:t>
      </w:r>
      <w:r w:rsidR="002079B5">
        <w:t xml:space="preserve">.  </w:t>
      </w:r>
      <w:r w:rsidR="00FB4D41">
        <w:t>Educational, commercial and other publishers are able to request the AASB for permission to reprint all or parts of this Standard, which is given without charge.</w:t>
      </w:r>
    </w:p>
    <w:p w14:paraId="78358CBB" w14:textId="65DB6A00" w:rsidR="00FB4D41" w:rsidRPr="0054748E" w:rsidRDefault="0054748E" w:rsidP="0054748E">
      <w:pPr>
        <w:pStyle w:val="NoNumPlain1"/>
        <w:spacing w:line="240" w:lineRule="exact"/>
        <w:rPr>
          <w:rFonts w:cs="Arial"/>
          <w:b/>
          <w:bCs/>
          <w:iCs/>
          <w:sz w:val="24"/>
          <w:szCs w:val="24"/>
          <w:lang w:val="en-US"/>
        </w:rPr>
      </w:pPr>
      <w:r w:rsidRPr="0054748E">
        <w:rPr>
          <w:rFonts w:cs="Arial"/>
          <w:b/>
          <w:bCs/>
          <w:iCs/>
          <w:sz w:val="24"/>
          <w:szCs w:val="24"/>
          <w:lang w:val="en-US"/>
        </w:rPr>
        <w:t>Exemption from Sunsetting</w:t>
      </w:r>
    </w:p>
    <w:p w14:paraId="4C0E3ED7" w14:textId="5A0FE2B4"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w:t>
      </w:r>
      <w:r w:rsidR="008F35F8" w:rsidRPr="0062766C">
        <w:rPr>
          <w:i/>
          <w:iCs/>
        </w:rPr>
        <w:t>Exemption</w:t>
      </w:r>
      <w:r w:rsidR="008F35F8">
        <w:rPr>
          <w:i/>
          <w:iCs/>
        </w:rPr>
        <w:t>s</w:t>
      </w:r>
      <w:r w:rsidR="008F35F8" w:rsidRPr="0062766C">
        <w:rPr>
          <w:i/>
          <w:iCs/>
        </w:rPr>
        <w:t xml:space="preserve"> </w:t>
      </w:r>
      <w:r w:rsidRPr="0062766C">
        <w:rPr>
          <w:i/>
          <w:iCs/>
        </w:rPr>
        <w:t>and Other Matters) Regulation 2015</w:t>
      </w:r>
      <w:r w:rsidRPr="0062766C">
        <w:t xml:space="preserve"> (Item 18(a)).</w:t>
      </w:r>
    </w:p>
    <w:p w14:paraId="598DA6DB" w14:textId="36BB171D" w:rsidR="007303BE" w:rsidRDefault="007303BE" w:rsidP="007303BE">
      <w:pPr>
        <w:pStyle w:val="NoNumPlain1"/>
      </w:pPr>
      <w:r>
        <w:t xml:space="preserve">The AASB’s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002079B5">
        <w:rPr>
          <w:lang w:eastAsia="en-AU"/>
        </w:rPr>
        <w:t xml:space="preserve">.  </w:t>
      </w:r>
      <w:r w:rsidRPr="0062766C">
        <w:t>The AASB’s Standards are exempt from sunsetting because a more stringent review process than sunsetting applies to the Standards</w:t>
      </w:r>
      <w:r w:rsidR="002079B5">
        <w:t xml:space="preserve">.  </w:t>
      </w:r>
      <w:r w:rsidRPr="0062766C">
        <w:t>This review process ensures Australia’s A</w:t>
      </w:r>
      <w:r>
        <w:t>ccoun</w:t>
      </w:r>
      <w:r w:rsidRPr="0062766C">
        <w:t>ting Standards regime remains consistent with international Standards</w:t>
      </w:r>
      <w:r w:rsidR="002079B5">
        <w:t xml:space="preserve">.  </w:t>
      </w:r>
      <w:r w:rsidRPr="0062766C">
        <w:t xml:space="preserve">Typically, the AASB Standards are revised at least once within </w:t>
      </w:r>
      <w:r w:rsidRPr="0062766C">
        <w:lastRenderedPageBreak/>
        <w:t xml:space="preserve">a ten-year period, with </w:t>
      </w:r>
      <w:r>
        <w:t>most of the</w:t>
      </w:r>
      <w:r w:rsidRPr="0062766C">
        <w:t xml:space="preserve"> Standards subject to </w:t>
      </w:r>
      <w:r w:rsidR="008F35F8">
        <w:t xml:space="preserve">much </w:t>
      </w:r>
      <w:r w:rsidR="008F35F8" w:rsidRPr="0062766C">
        <w:t xml:space="preserve">more frequent </w:t>
      </w:r>
      <w:r w:rsidRPr="0062766C">
        <w:t>revisions</w:t>
      </w:r>
      <w:r w:rsidR="002079B5">
        <w:t xml:space="preserve">.  </w:t>
      </w:r>
      <w:r w:rsidRPr="0062766C">
        <w:t>Each revision follows the stringent review process (which includes the opportunity for public comment) in order to remain consistent with international Standards</w:t>
      </w:r>
      <w:r w:rsidR="002079B5">
        <w:t xml:space="preserve">.  </w:t>
      </w:r>
      <w:r w:rsidRPr="0062766C">
        <w:t>It is very unlikely that any AASB Standard would not have been amended (or else considered for amendment) within a ten-year period through these review processes</w:t>
      </w:r>
      <w:r w:rsidR="002079B5">
        <w:t xml:space="preserve">.  </w:t>
      </w:r>
      <w:r w:rsidRPr="0062766C">
        <w:t xml:space="preserve">Therefore, </w:t>
      </w:r>
      <w:r>
        <w:t xml:space="preserve">if it applied, </w:t>
      </w:r>
      <w:r w:rsidRPr="0062766C">
        <w:t xml:space="preserve">a ten-year sunsetting regime would </w:t>
      </w:r>
      <w:r>
        <w:t xml:space="preserve">have very limited practical application to </w:t>
      </w:r>
      <w:r w:rsidRPr="0062766C">
        <w:t>AASB Standards</w:t>
      </w:r>
      <w:r w:rsidR="002079B5">
        <w:t xml:space="preserve">.  </w:t>
      </w:r>
      <w:r w:rsidRPr="0062766C">
        <w:t xml:space="preserve">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6B310263" w14:textId="77777777" w:rsidR="007303BE" w:rsidRPr="00735E30" w:rsidRDefault="007303BE" w:rsidP="00FB4D41">
      <w:pPr>
        <w:pStyle w:val="NoNumPlain1"/>
      </w:pPr>
    </w:p>
    <w:p w14:paraId="1397697A" w14:textId="69475B4F" w:rsidR="00AD44F9" w:rsidRDefault="00CD0A54" w:rsidP="00225C75">
      <w:pPr>
        <w:pStyle w:val="Heading2"/>
        <w:spacing w:before="720"/>
        <w:jc w:val="center"/>
      </w:pPr>
      <w:r>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397697C" w14:textId="10539456" w:rsidR="00E770E5" w:rsidRDefault="00A90A3D" w:rsidP="00A90A3D">
      <w:pPr>
        <w:pStyle w:val="Heading3"/>
        <w:spacing w:after="360"/>
        <w:jc w:val="center"/>
      </w:pPr>
      <w:r w:rsidRPr="00347521">
        <w:t>Accounting Standard AAS</w:t>
      </w:r>
      <w:r w:rsidRPr="00A24E37">
        <w:t xml:space="preserve">B </w:t>
      </w:r>
      <w:r w:rsidR="00D2416F" w:rsidRPr="00A24E37">
        <w:t>2022</w:t>
      </w:r>
      <w:r w:rsidRPr="00A24E37">
        <w:t>-</w:t>
      </w:r>
      <w:r w:rsidR="00A24E37" w:rsidRPr="00A24E37">
        <w:t>10</w:t>
      </w:r>
      <w:r>
        <w:br/>
      </w:r>
      <w:r w:rsidRPr="009707EC">
        <w:rPr>
          <w:i/>
          <w:iCs w:val="0"/>
        </w:rPr>
        <w:t xml:space="preserve">Amendments to Australian Accounting Standards </w:t>
      </w:r>
      <w:r w:rsidR="00B223A3" w:rsidRPr="009707EC">
        <w:rPr>
          <w:i/>
          <w:iCs w:val="0"/>
        </w:rPr>
        <w:t>–</w:t>
      </w:r>
      <w:r w:rsidR="00B223A3">
        <w:t xml:space="preserve"> </w:t>
      </w:r>
      <w:r w:rsidR="005932AE" w:rsidRPr="005932AE">
        <w:rPr>
          <w:i/>
          <w:iCs w:val="0"/>
        </w:rPr>
        <w:t xml:space="preserve">Fair Value Measurement of </w:t>
      </w:r>
      <w:r w:rsidR="0054429A">
        <w:rPr>
          <w:i/>
          <w:iCs w:val="0"/>
        </w:rPr>
        <w:br/>
      </w:r>
      <w:r w:rsidR="005932AE" w:rsidRPr="005932AE">
        <w:rPr>
          <w:i/>
          <w:iCs w:val="0"/>
        </w:rPr>
        <w:t>Non-Financial Assets of Not-for-Profit Public Sector Entities</w:t>
      </w:r>
    </w:p>
    <w:p w14:paraId="1397697D" w14:textId="77777777" w:rsidR="00A90A3D" w:rsidRDefault="00A90A3D" w:rsidP="00A90A3D">
      <w:pPr>
        <w:pStyle w:val="Heading3"/>
      </w:pPr>
      <w:r>
        <w:t>Overview of the Accounting Standard</w:t>
      </w:r>
    </w:p>
    <w:p w14:paraId="75F5664A" w14:textId="29056FA1" w:rsidR="00791336" w:rsidRPr="002A6880" w:rsidRDefault="00791336" w:rsidP="00791336">
      <w:pPr>
        <w:pStyle w:val="NoNumPlain1"/>
        <w:rPr>
          <w:lang w:val="en-GB"/>
        </w:rPr>
      </w:pPr>
      <w:r w:rsidRPr="002A6880">
        <w:t xml:space="preserve">This Standard </w:t>
      </w:r>
      <w:r w:rsidR="005932AE" w:rsidRPr="005932AE">
        <w:t>amends AASB 13</w:t>
      </w:r>
      <w:r w:rsidR="007E6D19">
        <w:t xml:space="preserve"> </w:t>
      </w:r>
      <w:r w:rsidR="007E6D19" w:rsidRPr="007E6D19">
        <w:rPr>
          <w:i/>
          <w:iCs/>
        </w:rPr>
        <w:t>Fair Value Measurement</w:t>
      </w:r>
      <w:r w:rsidR="007E6D19">
        <w:t xml:space="preserve"> </w:t>
      </w:r>
      <w:r w:rsidR="0022493F">
        <w:t>for</w:t>
      </w:r>
      <w:r w:rsidR="008042EF">
        <w:t xml:space="preserve"> fair value measurements of non-financial assets </w:t>
      </w:r>
      <w:r w:rsidR="008330B5">
        <w:t xml:space="preserve">of not-for-profit public sector entities </w:t>
      </w:r>
      <w:r w:rsidR="008042EF">
        <w:t>not held primarily for their ability to generate net cash inflows</w:t>
      </w:r>
      <w:r w:rsidR="002079B5">
        <w:t xml:space="preserve">.  </w:t>
      </w:r>
      <w:r w:rsidR="008F35F8">
        <w:t>The amendments clarify and illustrate how fair value measurement principles in AASB 13 should be applied by not-for-profit public sector entities in relation to such assets, in response to divergent practices that had developed as entities sought to apply AASB 13.</w:t>
      </w:r>
    </w:p>
    <w:p w14:paraId="43B7644D" w14:textId="4DE287E6" w:rsidR="00791336" w:rsidRPr="002A6880" w:rsidRDefault="00791336" w:rsidP="00791336">
      <w:pPr>
        <w:pStyle w:val="NoNumPlain1"/>
      </w:pPr>
      <w:r w:rsidRPr="002A6880">
        <w:t xml:space="preserve">This Standard applies </w:t>
      </w:r>
      <w:r w:rsidR="00B20B12">
        <w:t xml:space="preserve">prospectively </w:t>
      </w:r>
      <w:r w:rsidRPr="002A6880">
        <w:t>to annual periods beginning on or after 1 January 2024</w:t>
      </w:r>
      <w:r w:rsidR="002079B5">
        <w:t xml:space="preserve">.  </w:t>
      </w:r>
      <w:r w:rsidRPr="002A6880">
        <w:t>Earlier application is permitted.</w:t>
      </w:r>
    </w:p>
    <w:p w14:paraId="3CB6C1CE" w14:textId="219CA464" w:rsidR="00791336" w:rsidRPr="00C549FE" w:rsidRDefault="00791336" w:rsidP="00791336">
      <w:pPr>
        <w:pStyle w:val="NoNumPlain1"/>
      </w:pPr>
      <w:r w:rsidRPr="00FC0FAA">
        <w:t>This Standard incorporates marked-up text to clearly identify</w:t>
      </w:r>
      <w:r>
        <w:t xml:space="preserve"> </w:t>
      </w:r>
      <w:r w:rsidR="00CA4D52">
        <w:t xml:space="preserve">some </w:t>
      </w:r>
      <w:r w:rsidR="001A62C0">
        <w:t xml:space="preserve">or all of </w:t>
      </w:r>
      <w:r>
        <w:t xml:space="preserve">the amendments </w:t>
      </w:r>
      <w:r w:rsidRPr="00FC0FAA">
        <w:t>to</w:t>
      </w:r>
      <w:r w:rsidR="00E90C7E">
        <w:t xml:space="preserve"> AASB 1</w:t>
      </w:r>
      <w:r w:rsidR="00B20B12">
        <w:t>3</w:t>
      </w:r>
      <w:r w:rsidR="002079B5">
        <w:t xml:space="preserve">.  </w:t>
      </w:r>
      <w:r w:rsidRPr="00FC0FAA">
        <w:t xml:space="preserve">All amendments are incorporated using clean text into the compilations of the </w:t>
      </w:r>
      <w:r>
        <w:t xml:space="preserve">pronouncements </w:t>
      </w:r>
      <w:r w:rsidRPr="00FC0FAA">
        <w:t xml:space="preserve">when </w:t>
      </w:r>
      <w:r w:rsidR="007B5351">
        <w:t xml:space="preserve">the compilations </w:t>
      </w:r>
      <w:r w:rsidRPr="00FC0FAA">
        <w:t>are prepared, based on the legal commencement date of the amendments.</w:t>
      </w:r>
    </w:p>
    <w:p w14:paraId="1397697F" w14:textId="77777777" w:rsidR="00A90A3D" w:rsidRDefault="00A90A3D" w:rsidP="00A90A3D">
      <w:pPr>
        <w:pStyle w:val="Heading3"/>
      </w:pPr>
      <w:r>
        <w:t>Human Rights Implications</w:t>
      </w:r>
    </w:p>
    <w:p w14:paraId="13976980" w14:textId="5B530361" w:rsidR="00A90A3D" w:rsidRDefault="00F62F5C" w:rsidP="00C068D8">
      <w:pPr>
        <w:pStyle w:val="NoNumPlain1"/>
      </w:pPr>
      <w:r w:rsidRPr="00E4135E">
        <w:t xml:space="preserve">This </w:t>
      </w:r>
      <w:r>
        <w:t>Standard</w:t>
      </w:r>
      <w:r w:rsidRPr="00E4135E">
        <w:t xml:space="preserve"> </w:t>
      </w:r>
      <w:r>
        <w:t>is issued by the AASB in furtherance of the objective of facilitating the Australian economy</w:t>
      </w:r>
      <w:r w:rsidR="002079B5">
        <w:t xml:space="preserve">.  </w:t>
      </w:r>
      <w:r>
        <w:t xml:space="preserve">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B93CE4">
      <w:headerReference w:type="even" r:id="rId8"/>
      <w:footerReference w:type="default" r:id="rId9"/>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8C90" w14:textId="77777777" w:rsidR="00DA2619" w:rsidRDefault="00DA2619">
      <w:r>
        <w:separator/>
      </w:r>
    </w:p>
  </w:endnote>
  <w:endnote w:type="continuationSeparator" w:id="0">
    <w:p w14:paraId="476E051D" w14:textId="77777777" w:rsidR="00DA2619" w:rsidRDefault="00DA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B" w14:textId="0473EEFB"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D2416F" w:rsidRPr="006D0B06">
      <w:rPr>
        <w:b/>
      </w:rPr>
      <w:t>2022</w:t>
    </w:r>
    <w:r w:rsidR="00C068D8" w:rsidRPr="006D0B06">
      <w:rPr>
        <w:b/>
      </w:rPr>
      <w:t>-</w:t>
    </w:r>
    <w:r w:rsidR="006D0B06" w:rsidRPr="006D0B06">
      <w:rPr>
        <w:b/>
      </w:rPr>
      <w:t>10</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CD62" w14:textId="77777777" w:rsidR="00DA2619" w:rsidRDefault="00DA2619">
      <w:r>
        <w:separator/>
      </w:r>
    </w:p>
  </w:footnote>
  <w:footnote w:type="continuationSeparator" w:id="0">
    <w:p w14:paraId="64277CCA" w14:textId="77777777" w:rsidR="00DA2619" w:rsidRDefault="00DA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E0D18"/>
    <w:multiLevelType w:val="hybridMultilevel"/>
    <w:tmpl w:val="AE86CDB0"/>
    <w:lvl w:ilvl="0" w:tplc="DBEA21F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BF2F0A"/>
    <w:multiLevelType w:val="hybridMultilevel"/>
    <w:tmpl w:val="F4E82F4C"/>
    <w:lvl w:ilvl="0" w:tplc="85B631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DD1881"/>
    <w:multiLevelType w:val="hybridMultilevel"/>
    <w:tmpl w:val="8D10012E"/>
    <w:lvl w:ilvl="0" w:tplc="B3707378">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6231815">
    <w:abstractNumId w:val="6"/>
  </w:num>
  <w:num w:numId="2" w16cid:durableId="1429426008">
    <w:abstractNumId w:val="10"/>
  </w:num>
  <w:num w:numId="3" w16cid:durableId="1559124823">
    <w:abstractNumId w:val="9"/>
  </w:num>
  <w:num w:numId="4" w16cid:durableId="142161562">
    <w:abstractNumId w:val="1"/>
  </w:num>
  <w:num w:numId="5" w16cid:durableId="458110039">
    <w:abstractNumId w:val="4"/>
  </w:num>
  <w:num w:numId="6" w16cid:durableId="750128220">
    <w:abstractNumId w:val="3"/>
  </w:num>
  <w:num w:numId="7" w16cid:durableId="511379662">
    <w:abstractNumId w:val="8"/>
  </w:num>
  <w:num w:numId="8" w16cid:durableId="372267131">
    <w:abstractNumId w:val="2"/>
  </w:num>
  <w:num w:numId="9" w16cid:durableId="970400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635066920">
    <w:abstractNumId w:val="11"/>
  </w:num>
  <w:num w:numId="12" w16cid:durableId="169755868">
    <w:abstractNumId w:val="5"/>
  </w:num>
  <w:num w:numId="13" w16cid:durableId="1580361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hideGrammaticalErrors/>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NK4FAGgD8r0tAAAA"/>
  </w:docVars>
  <w:rsids>
    <w:rsidRoot w:val="00D429C8"/>
    <w:rsid w:val="000018C8"/>
    <w:rsid w:val="00001F56"/>
    <w:rsid w:val="000031B6"/>
    <w:rsid w:val="00004128"/>
    <w:rsid w:val="00005371"/>
    <w:rsid w:val="00005A5B"/>
    <w:rsid w:val="0001484E"/>
    <w:rsid w:val="00015717"/>
    <w:rsid w:val="0002445F"/>
    <w:rsid w:val="00031DBC"/>
    <w:rsid w:val="000340ED"/>
    <w:rsid w:val="0004439B"/>
    <w:rsid w:val="00052630"/>
    <w:rsid w:val="00055755"/>
    <w:rsid w:val="000623C8"/>
    <w:rsid w:val="000753EE"/>
    <w:rsid w:val="00075626"/>
    <w:rsid w:val="00080331"/>
    <w:rsid w:val="0008234F"/>
    <w:rsid w:val="0008242C"/>
    <w:rsid w:val="00085B62"/>
    <w:rsid w:val="00090D77"/>
    <w:rsid w:val="000920D3"/>
    <w:rsid w:val="000936C7"/>
    <w:rsid w:val="00097BC2"/>
    <w:rsid w:val="000A2A30"/>
    <w:rsid w:val="000C7398"/>
    <w:rsid w:val="000D41A4"/>
    <w:rsid w:val="000D428B"/>
    <w:rsid w:val="000E6E09"/>
    <w:rsid w:val="000E76B8"/>
    <w:rsid w:val="000E7F81"/>
    <w:rsid w:val="000F281A"/>
    <w:rsid w:val="000F2911"/>
    <w:rsid w:val="000F4C2A"/>
    <w:rsid w:val="00111680"/>
    <w:rsid w:val="001154BD"/>
    <w:rsid w:val="001218DE"/>
    <w:rsid w:val="00121C54"/>
    <w:rsid w:val="0012730F"/>
    <w:rsid w:val="00131465"/>
    <w:rsid w:val="00131C3F"/>
    <w:rsid w:val="0013472C"/>
    <w:rsid w:val="00144CC0"/>
    <w:rsid w:val="00150682"/>
    <w:rsid w:val="0015670A"/>
    <w:rsid w:val="001639EB"/>
    <w:rsid w:val="001814F6"/>
    <w:rsid w:val="001A3A3D"/>
    <w:rsid w:val="001A62C0"/>
    <w:rsid w:val="001B52D4"/>
    <w:rsid w:val="001C333D"/>
    <w:rsid w:val="001D1FFA"/>
    <w:rsid w:val="001D7DA0"/>
    <w:rsid w:val="001E0872"/>
    <w:rsid w:val="001E0EA2"/>
    <w:rsid w:val="001E4107"/>
    <w:rsid w:val="001F3ED4"/>
    <w:rsid w:val="00200047"/>
    <w:rsid w:val="0020218F"/>
    <w:rsid w:val="0020261B"/>
    <w:rsid w:val="00206A47"/>
    <w:rsid w:val="002079B5"/>
    <w:rsid w:val="00212B63"/>
    <w:rsid w:val="00216D67"/>
    <w:rsid w:val="0022493F"/>
    <w:rsid w:val="00225101"/>
    <w:rsid w:val="00225491"/>
    <w:rsid w:val="00225C75"/>
    <w:rsid w:val="00230E6D"/>
    <w:rsid w:val="0023104C"/>
    <w:rsid w:val="002362AE"/>
    <w:rsid w:val="00236896"/>
    <w:rsid w:val="00237252"/>
    <w:rsid w:val="00243728"/>
    <w:rsid w:val="0025052C"/>
    <w:rsid w:val="00266050"/>
    <w:rsid w:val="00267D86"/>
    <w:rsid w:val="00272512"/>
    <w:rsid w:val="00284D8D"/>
    <w:rsid w:val="00295454"/>
    <w:rsid w:val="002A6880"/>
    <w:rsid w:val="002D6D7A"/>
    <w:rsid w:val="002E1949"/>
    <w:rsid w:val="002F724F"/>
    <w:rsid w:val="00302E80"/>
    <w:rsid w:val="0032467B"/>
    <w:rsid w:val="003329B8"/>
    <w:rsid w:val="003350BF"/>
    <w:rsid w:val="00345A43"/>
    <w:rsid w:val="003463F0"/>
    <w:rsid w:val="00347521"/>
    <w:rsid w:val="00352568"/>
    <w:rsid w:val="00373B70"/>
    <w:rsid w:val="0037474F"/>
    <w:rsid w:val="00384832"/>
    <w:rsid w:val="00385E62"/>
    <w:rsid w:val="003870BE"/>
    <w:rsid w:val="0039164A"/>
    <w:rsid w:val="00391DC5"/>
    <w:rsid w:val="00396BCD"/>
    <w:rsid w:val="003A5EC1"/>
    <w:rsid w:val="003B67F4"/>
    <w:rsid w:val="003C26B7"/>
    <w:rsid w:val="003E5E27"/>
    <w:rsid w:val="003F5F22"/>
    <w:rsid w:val="00400192"/>
    <w:rsid w:val="00400E9A"/>
    <w:rsid w:val="004075E0"/>
    <w:rsid w:val="00413838"/>
    <w:rsid w:val="00414BC3"/>
    <w:rsid w:val="00416FE6"/>
    <w:rsid w:val="004179BF"/>
    <w:rsid w:val="004209B2"/>
    <w:rsid w:val="00433506"/>
    <w:rsid w:val="004342E9"/>
    <w:rsid w:val="00434740"/>
    <w:rsid w:val="00440A35"/>
    <w:rsid w:val="0044148D"/>
    <w:rsid w:val="00442527"/>
    <w:rsid w:val="00452ED6"/>
    <w:rsid w:val="00457DCC"/>
    <w:rsid w:val="004607FB"/>
    <w:rsid w:val="004667C8"/>
    <w:rsid w:val="00482E12"/>
    <w:rsid w:val="00484E82"/>
    <w:rsid w:val="004877A5"/>
    <w:rsid w:val="00493DD4"/>
    <w:rsid w:val="004A5C1F"/>
    <w:rsid w:val="004B1D54"/>
    <w:rsid w:val="004C1746"/>
    <w:rsid w:val="004C61DE"/>
    <w:rsid w:val="004C62D2"/>
    <w:rsid w:val="004D2BDB"/>
    <w:rsid w:val="004D5D41"/>
    <w:rsid w:val="005023D8"/>
    <w:rsid w:val="0051117E"/>
    <w:rsid w:val="00512F90"/>
    <w:rsid w:val="00520E9E"/>
    <w:rsid w:val="00526DA0"/>
    <w:rsid w:val="00527509"/>
    <w:rsid w:val="00540E70"/>
    <w:rsid w:val="0054429A"/>
    <w:rsid w:val="0054748E"/>
    <w:rsid w:val="0055216F"/>
    <w:rsid w:val="00560C00"/>
    <w:rsid w:val="00565477"/>
    <w:rsid w:val="0057408A"/>
    <w:rsid w:val="00575490"/>
    <w:rsid w:val="005856F5"/>
    <w:rsid w:val="00587E73"/>
    <w:rsid w:val="005932AE"/>
    <w:rsid w:val="005B238F"/>
    <w:rsid w:val="005B39FC"/>
    <w:rsid w:val="005B7219"/>
    <w:rsid w:val="005B7BB7"/>
    <w:rsid w:val="005C68A0"/>
    <w:rsid w:val="005D0684"/>
    <w:rsid w:val="005E2BBE"/>
    <w:rsid w:val="005F0581"/>
    <w:rsid w:val="005F1173"/>
    <w:rsid w:val="005F3AA4"/>
    <w:rsid w:val="005F4451"/>
    <w:rsid w:val="006104FA"/>
    <w:rsid w:val="00616B47"/>
    <w:rsid w:val="00620A91"/>
    <w:rsid w:val="00625791"/>
    <w:rsid w:val="00626AC2"/>
    <w:rsid w:val="00635FA2"/>
    <w:rsid w:val="00640D8C"/>
    <w:rsid w:val="00643385"/>
    <w:rsid w:val="006616A4"/>
    <w:rsid w:val="00662458"/>
    <w:rsid w:val="006628B2"/>
    <w:rsid w:val="00666164"/>
    <w:rsid w:val="0067195B"/>
    <w:rsid w:val="00672100"/>
    <w:rsid w:val="006776BD"/>
    <w:rsid w:val="00684668"/>
    <w:rsid w:val="00686B7C"/>
    <w:rsid w:val="006A01D2"/>
    <w:rsid w:val="006A0C7C"/>
    <w:rsid w:val="006A2A04"/>
    <w:rsid w:val="006A56D8"/>
    <w:rsid w:val="006B1B4A"/>
    <w:rsid w:val="006C34F1"/>
    <w:rsid w:val="006C39D1"/>
    <w:rsid w:val="006C5EB8"/>
    <w:rsid w:val="006D0B06"/>
    <w:rsid w:val="006D15E0"/>
    <w:rsid w:val="006D5858"/>
    <w:rsid w:val="006D6B35"/>
    <w:rsid w:val="006E7C7E"/>
    <w:rsid w:val="006F0E08"/>
    <w:rsid w:val="006F217C"/>
    <w:rsid w:val="006F46DE"/>
    <w:rsid w:val="00711664"/>
    <w:rsid w:val="00717627"/>
    <w:rsid w:val="00720919"/>
    <w:rsid w:val="007231BD"/>
    <w:rsid w:val="00723718"/>
    <w:rsid w:val="00723D35"/>
    <w:rsid w:val="007261ED"/>
    <w:rsid w:val="007303BE"/>
    <w:rsid w:val="007322D6"/>
    <w:rsid w:val="007328C0"/>
    <w:rsid w:val="00735E30"/>
    <w:rsid w:val="00741AD2"/>
    <w:rsid w:val="00755B4C"/>
    <w:rsid w:val="00755D8C"/>
    <w:rsid w:val="00757555"/>
    <w:rsid w:val="00761E35"/>
    <w:rsid w:val="007676C0"/>
    <w:rsid w:val="0078115D"/>
    <w:rsid w:val="00781C08"/>
    <w:rsid w:val="007837B2"/>
    <w:rsid w:val="00783BEC"/>
    <w:rsid w:val="0078715B"/>
    <w:rsid w:val="00787825"/>
    <w:rsid w:val="00791279"/>
    <w:rsid w:val="00791336"/>
    <w:rsid w:val="007A171C"/>
    <w:rsid w:val="007B02E3"/>
    <w:rsid w:val="007B3132"/>
    <w:rsid w:val="007B323F"/>
    <w:rsid w:val="007B5351"/>
    <w:rsid w:val="007B539D"/>
    <w:rsid w:val="007C13D0"/>
    <w:rsid w:val="007C1E39"/>
    <w:rsid w:val="007C2A76"/>
    <w:rsid w:val="007C2B04"/>
    <w:rsid w:val="007C3EAA"/>
    <w:rsid w:val="007D5EB8"/>
    <w:rsid w:val="007E0D0F"/>
    <w:rsid w:val="007E3D2B"/>
    <w:rsid w:val="007E548A"/>
    <w:rsid w:val="007E56FC"/>
    <w:rsid w:val="007E5F3D"/>
    <w:rsid w:val="007E6D19"/>
    <w:rsid w:val="007F4E20"/>
    <w:rsid w:val="007F559F"/>
    <w:rsid w:val="00802C2B"/>
    <w:rsid w:val="008042EF"/>
    <w:rsid w:val="00810039"/>
    <w:rsid w:val="00813CFA"/>
    <w:rsid w:val="00822659"/>
    <w:rsid w:val="0082668C"/>
    <w:rsid w:val="00826FE1"/>
    <w:rsid w:val="008330B5"/>
    <w:rsid w:val="00835AF4"/>
    <w:rsid w:val="008377FF"/>
    <w:rsid w:val="00843BF6"/>
    <w:rsid w:val="00854BCD"/>
    <w:rsid w:val="00861618"/>
    <w:rsid w:val="0086243A"/>
    <w:rsid w:val="008830D0"/>
    <w:rsid w:val="00896AE0"/>
    <w:rsid w:val="008B63BA"/>
    <w:rsid w:val="008B66C2"/>
    <w:rsid w:val="008C5B82"/>
    <w:rsid w:val="008D3E1A"/>
    <w:rsid w:val="008D65A4"/>
    <w:rsid w:val="008E0FA7"/>
    <w:rsid w:val="008E4294"/>
    <w:rsid w:val="008E52BE"/>
    <w:rsid w:val="008E622D"/>
    <w:rsid w:val="008E704E"/>
    <w:rsid w:val="008F344A"/>
    <w:rsid w:val="008F35F8"/>
    <w:rsid w:val="00903923"/>
    <w:rsid w:val="00916A87"/>
    <w:rsid w:val="00916B64"/>
    <w:rsid w:val="00921FE9"/>
    <w:rsid w:val="00930915"/>
    <w:rsid w:val="00936AD7"/>
    <w:rsid w:val="0093732C"/>
    <w:rsid w:val="00940952"/>
    <w:rsid w:val="009440DE"/>
    <w:rsid w:val="009444AA"/>
    <w:rsid w:val="009532F6"/>
    <w:rsid w:val="00961F57"/>
    <w:rsid w:val="009671EF"/>
    <w:rsid w:val="009707EC"/>
    <w:rsid w:val="009832F2"/>
    <w:rsid w:val="009839D3"/>
    <w:rsid w:val="009862DC"/>
    <w:rsid w:val="00993F59"/>
    <w:rsid w:val="0099600B"/>
    <w:rsid w:val="009A4BCC"/>
    <w:rsid w:val="009C0605"/>
    <w:rsid w:val="009C5C89"/>
    <w:rsid w:val="009D3696"/>
    <w:rsid w:val="009D5CEF"/>
    <w:rsid w:val="009D6119"/>
    <w:rsid w:val="00A00854"/>
    <w:rsid w:val="00A02CA7"/>
    <w:rsid w:val="00A07B58"/>
    <w:rsid w:val="00A12B2F"/>
    <w:rsid w:val="00A14C37"/>
    <w:rsid w:val="00A23624"/>
    <w:rsid w:val="00A24E37"/>
    <w:rsid w:val="00A33757"/>
    <w:rsid w:val="00A41EF3"/>
    <w:rsid w:val="00A46379"/>
    <w:rsid w:val="00A61CB2"/>
    <w:rsid w:val="00A704D8"/>
    <w:rsid w:val="00A8344C"/>
    <w:rsid w:val="00A90590"/>
    <w:rsid w:val="00A90A3D"/>
    <w:rsid w:val="00A92FFA"/>
    <w:rsid w:val="00A9484D"/>
    <w:rsid w:val="00A94F2A"/>
    <w:rsid w:val="00A97B77"/>
    <w:rsid w:val="00AB2137"/>
    <w:rsid w:val="00AB61AB"/>
    <w:rsid w:val="00AC2063"/>
    <w:rsid w:val="00AC2CA9"/>
    <w:rsid w:val="00AD44F9"/>
    <w:rsid w:val="00AE1F8A"/>
    <w:rsid w:val="00AE7FD5"/>
    <w:rsid w:val="00AF036D"/>
    <w:rsid w:val="00B00C1B"/>
    <w:rsid w:val="00B10AB1"/>
    <w:rsid w:val="00B1187C"/>
    <w:rsid w:val="00B127B5"/>
    <w:rsid w:val="00B20B12"/>
    <w:rsid w:val="00B223A3"/>
    <w:rsid w:val="00B259A2"/>
    <w:rsid w:val="00B44EFA"/>
    <w:rsid w:val="00B50A3C"/>
    <w:rsid w:val="00B5196B"/>
    <w:rsid w:val="00B51E8D"/>
    <w:rsid w:val="00B67434"/>
    <w:rsid w:val="00B7292A"/>
    <w:rsid w:val="00B81972"/>
    <w:rsid w:val="00B85DBC"/>
    <w:rsid w:val="00B93CE4"/>
    <w:rsid w:val="00BB0472"/>
    <w:rsid w:val="00BB2459"/>
    <w:rsid w:val="00BC0348"/>
    <w:rsid w:val="00BD0355"/>
    <w:rsid w:val="00BD0B5B"/>
    <w:rsid w:val="00BD603A"/>
    <w:rsid w:val="00BE66D4"/>
    <w:rsid w:val="00C04EB7"/>
    <w:rsid w:val="00C05354"/>
    <w:rsid w:val="00C068D8"/>
    <w:rsid w:val="00C119CC"/>
    <w:rsid w:val="00C13B75"/>
    <w:rsid w:val="00C14318"/>
    <w:rsid w:val="00C14CCB"/>
    <w:rsid w:val="00C21F45"/>
    <w:rsid w:val="00C35A20"/>
    <w:rsid w:val="00C379F6"/>
    <w:rsid w:val="00C37ABC"/>
    <w:rsid w:val="00C546C0"/>
    <w:rsid w:val="00C61FC9"/>
    <w:rsid w:val="00C634BB"/>
    <w:rsid w:val="00C661A8"/>
    <w:rsid w:val="00C77BA8"/>
    <w:rsid w:val="00C80CE0"/>
    <w:rsid w:val="00C8267D"/>
    <w:rsid w:val="00C82A8C"/>
    <w:rsid w:val="00C87027"/>
    <w:rsid w:val="00CA1593"/>
    <w:rsid w:val="00CA20FA"/>
    <w:rsid w:val="00CA4D52"/>
    <w:rsid w:val="00CA518E"/>
    <w:rsid w:val="00CA5259"/>
    <w:rsid w:val="00CB74B0"/>
    <w:rsid w:val="00CC0D20"/>
    <w:rsid w:val="00CC546B"/>
    <w:rsid w:val="00CD0A54"/>
    <w:rsid w:val="00CD123C"/>
    <w:rsid w:val="00CD50A4"/>
    <w:rsid w:val="00CF4D2F"/>
    <w:rsid w:val="00CF5137"/>
    <w:rsid w:val="00CF72F6"/>
    <w:rsid w:val="00D01DE9"/>
    <w:rsid w:val="00D02AD3"/>
    <w:rsid w:val="00D03547"/>
    <w:rsid w:val="00D109DD"/>
    <w:rsid w:val="00D2416F"/>
    <w:rsid w:val="00D2418C"/>
    <w:rsid w:val="00D24634"/>
    <w:rsid w:val="00D27E14"/>
    <w:rsid w:val="00D40502"/>
    <w:rsid w:val="00D429C8"/>
    <w:rsid w:val="00D43163"/>
    <w:rsid w:val="00D5323B"/>
    <w:rsid w:val="00D67C43"/>
    <w:rsid w:val="00D71916"/>
    <w:rsid w:val="00D71B35"/>
    <w:rsid w:val="00D744C5"/>
    <w:rsid w:val="00D850DE"/>
    <w:rsid w:val="00D85BE4"/>
    <w:rsid w:val="00D924F5"/>
    <w:rsid w:val="00DA2619"/>
    <w:rsid w:val="00DA2E07"/>
    <w:rsid w:val="00DB5798"/>
    <w:rsid w:val="00DB6586"/>
    <w:rsid w:val="00DC7D7E"/>
    <w:rsid w:val="00DD1167"/>
    <w:rsid w:val="00DD3FDF"/>
    <w:rsid w:val="00DD55FA"/>
    <w:rsid w:val="00DE1AB5"/>
    <w:rsid w:val="00DE2BF2"/>
    <w:rsid w:val="00E00D64"/>
    <w:rsid w:val="00E079C1"/>
    <w:rsid w:val="00E11F07"/>
    <w:rsid w:val="00E1658F"/>
    <w:rsid w:val="00E179D5"/>
    <w:rsid w:val="00E218B6"/>
    <w:rsid w:val="00E34411"/>
    <w:rsid w:val="00E37412"/>
    <w:rsid w:val="00E41E4F"/>
    <w:rsid w:val="00E4487C"/>
    <w:rsid w:val="00E574C8"/>
    <w:rsid w:val="00E770E5"/>
    <w:rsid w:val="00E7777B"/>
    <w:rsid w:val="00E86338"/>
    <w:rsid w:val="00E90C7E"/>
    <w:rsid w:val="00EA0A87"/>
    <w:rsid w:val="00EA56FD"/>
    <w:rsid w:val="00EA6B62"/>
    <w:rsid w:val="00EA778B"/>
    <w:rsid w:val="00ED123E"/>
    <w:rsid w:val="00EE15D3"/>
    <w:rsid w:val="00EE2830"/>
    <w:rsid w:val="00EE46FA"/>
    <w:rsid w:val="00F037DA"/>
    <w:rsid w:val="00F041AA"/>
    <w:rsid w:val="00F04EBC"/>
    <w:rsid w:val="00F10F0E"/>
    <w:rsid w:val="00F12DF8"/>
    <w:rsid w:val="00F15092"/>
    <w:rsid w:val="00F168C8"/>
    <w:rsid w:val="00F16E93"/>
    <w:rsid w:val="00F23FEF"/>
    <w:rsid w:val="00F533C6"/>
    <w:rsid w:val="00F62F5C"/>
    <w:rsid w:val="00F63F3B"/>
    <w:rsid w:val="00F657DB"/>
    <w:rsid w:val="00F71510"/>
    <w:rsid w:val="00F73D8A"/>
    <w:rsid w:val="00F81F26"/>
    <w:rsid w:val="00F8246A"/>
    <w:rsid w:val="00F82A0B"/>
    <w:rsid w:val="00F9283C"/>
    <w:rsid w:val="00FA30CB"/>
    <w:rsid w:val="00FA7C5C"/>
    <w:rsid w:val="00FB0CFC"/>
    <w:rsid w:val="00FB158E"/>
    <w:rsid w:val="00FB4D41"/>
    <w:rsid w:val="00FC6232"/>
    <w:rsid w:val="00FD4B23"/>
    <w:rsid w:val="00FD4C0C"/>
    <w:rsid w:val="00FF354C"/>
    <w:rsid w:val="00FF728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colormru v:ext="edit" colors="#ddd,silver,#eaeaea"/>
    </o:shapedefaults>
    <o:shapelayout v:ext="edit">
      <o:idmap v:ext="edit" data="2"/>
    </o:shapelayout>
  </w:shapeDefaults>
  <w:decimalSymbol w:val="."/>
  <w:listSeparator w:val=","/>
  <w14:docId w14:val="13976965"/>
  <w15:docId w15:val="{CFFED90C-5B61-4C1A-B5F5-79D3B57B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1819</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AASB2022-10_ES_12-22</vt:lpstr>
    </vt:vector>
  </TitlesOfParts>
  <Company>AASB</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AASB2022-10_ES_12-22</dc:title>
  <dc:creator>.</dc:creator>
  <cp:lastModifiedBy>Clark Anstis</cp:lastModifiedBy>
  <cp:revision>94</cp:revision>
  <cp:lastPrinted>2022-12-06T02:38:00Z</cp:lastPrinted>
  <dcterms:created xsi:type="dcterms:W3CDTF">2022-12-07T22:23:00Z</dcterms:created>
  <dcterms:modified xsi:type="dcterms:W3CDTF">2022-12-23T07:40:00Z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6dad006da8f3d907a4de14fa7daf8b02b0334d49e868aab016f593def6e8cc32</vt:lpwstr>
  </property>
</Properties>
</file>