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3B7" w14:textId="77777777" w:rsidR="00CE5F9F" w:rsidRPr="0005753C" w:rsidRDefault="00CE5F9F" w:rsidP="00CE5F9F">
      <w:pPr>
        <w:rPr>
          <w:sz w:val="28"/>
        </w:rPr>
      </w:pPr>
      <w:bookmarkStart w:id="0" w:name="_Toc349831472"/>
      <w:r w:rsidRPr="0005753C">
        <w:rPr>
          <w:noProof/>
          <w:lang w:eastAsia="en-AU"/>
        </w:rPr>
        <w:drawing>
          <wp:inline distT="0" distB="0" distL="0" distR="0" wp14:anchorId="4885ECC1" wp14:editId="54D879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F3FB" w14:textId="77777777" w:rsidR="00CE5F9F" w:rsidRPr="0005753C" w:rsidRDefault="00CE5F9F" w:rsidP="00CE5F9F">
      <w:pPr>
        <w:rPr>
          <w:sz w:val="19"/>
        </w:rPr>
      </w:pPr>
    </w:p>
    <w:p w14:paraId="3412D1BB" w14:textId="10F2E80F" w:rsidR="00CE5F9F" w:rsidRPr="0005753C" w:rsidRDefault="00A0471C" w:rsidP="00CE5F9F">
      <w:pPr>
        <w:pStyle w:val="ShortT"/>
      </w:pPr>
      <w:r>
        <w:t>Fuel Security</w:t>
      </w:r>
      <w:r w:rsidR="00CE5F9F" w:rsidRPr="0005753C">
        <w:t xml:space="preserve"> (</w:t>
      </w:r>
      <w:r w:rsidR="00CA3A2D">
        <w:t xml:space="preserve">Target </w:t>
      </w:r>
      <w:r w:rsidR="0097247E">
        <w:t xml:space="preserve">Number of </w:t>
      </w:r>
      <w:r w:rsidR="00CA3A2D">
        <w:t>Days</w:t>
      </w:r>
      <w:r w:rsidR="00CE5F9F" w:rsidRPr="0005753C">
        <w:t xml:space="preserve">) </w:t>
      </w:r>
      <w:r w:rsidR="00CA3A2D">
        <w:t>Declaration 2022</w:t>
      </w:r>
    </w:p>
    <w:p w14:paraId="17AA5FAE" w14:textId="77777777" w:rsidR="0097247E" w:rsidRDefault="0097247E" w:rsidP="0097247E">
      <w:pPr>
        <w:rPr>
          <w:szCs w:val="22"/>
        </w:rPr>
      </w:pPr>
    </w:p>
    <w:p w14:paraId="72F1B242" w14:textId="61DAD871" w:rsidR="0097247E" w:rsidRDefault="0097247E" w:rsidP="00080038">
      <w:pPr>
        <w:pStyle w:val="SignCoverPageStart"/>
      </w:pPr>
      <w:r w:rsidRPr="00E416AC">
        <w:rPr>
          <w:szCs w:val="22"/>
        </w:rPr>
        <w:t xml:space="preserve">I, </w:t>
      </w:r>
      <w:r>
        <w:rPr>
          <w:szCs w:val="22"/>
        </w:rPr>
        <w:t>the Hon Chris Bowen MP</w:t>
      </w:r>
      <w:r w:rsidRPr="00E416AC">
        <w:rPr>
          <w:szCs w:val="22"/>
        </w:rPr>
        <w:t xml:space="preserve">, </w:t>
      </w:r>
      <w:r w:rsidRPr="00080038">
        <w:t xml:space="preserve">Minister for </w:t>
      </w:r>
      <w:r w:rsidRPr="00682D4D">
        <w:rPr>
          <w:szCs w:val="22"/>
        </w:rPr>
        <w:t xml:space="preserve">Climate Change and </w:t>
      </w:r>
      <w:r w:rsidRPr="00080038">
        <w:t>Energy</w:t>
      </w:r>
      <w:r w:rsidRPr="00E416AC">
        <w:rPr>
          <w:szCs w:val="22"/>
        </w:rPr>
        <w:t xml:space="preserve">, </w:t>
      </w:r>
      <w:r w:rsidR="00CE5F9F" w:rsidRPr="0005753C">
        <w:rPr>
          <w:szCs w:val="22"/>
        </w:rPr>
        <w:t xml:space="preserve">under </w:t>
      </w:r>
      <w:r w:rsidR="004B5816">
        <w:rPr>
          <w:szCs w:val="22"/>
        </w:rPr>
        <w:t>sub</w:t>
      </w:r>
      <w:r w:rsidR="00CA3A2D">
        <w:rPr>
          <w:szCs w:val="22"/>
        </w:rPr>
        <w:t>section</w:t>
      </w:r>
      <w:r>
        <w:rPr>
          <w:szCs w:val="22"/>
        </w:rPr>
        <w:t> </w:t>
      </w:r>
      <w:r w:rsidR="00CA3A2D">
        <w:rPr>
          <w:szCs w:val="22"/>
        </w:rPr>
        <w:t>1</w:t>
      </w:r>
      <w:r w:rsidR="00A0471C">
        <w:rPr>
          <w:szCs w:val="22"/>
        </w:rPr>
        <w:t>4</w:t>
      </w:r>
      <w:r w:rsidR="00CE5F9F" w:rsidRPr="0005753C">
        <w:rPr>
          <w:szCs w:val="22"/>
        </w:rPr>
        <w:t xml:space="preserve">(1) of the </w:t>
      </w:r>
      <w:r w:rsidR="00307CFE">
        <w:rPr>
          <w:i/>
          <w:szCs w:val="22"/>
        </w:rPr>
        <w:t>Fuel Security Act 202</w:t>
      </w:r>
      <w:r w:rsidR="00A0471C">
        <w:rPr>
          <w:i/>
          <w:szCs w:val="22"/>
        </w:rPr>
        <w:t>1</w:t>
      </w:r>
      <w:r w:rsidR="0087608A">
        <w:rPr>
          <w:i/>
          <w:szCs w:val="22"/>
        </w:rPr>
        <w:t xml:space="preserve"> </w:t>
      </w:r>
      <w:r w:rsidR="0087608A">
        <w:rPr>
          <w:szCs w:val="22"/>
        </w:rPr>
        <w:t>(the Act)</w:t>
      </w:r>
      <w:r w:rsidR="004E4F47">
        <w:rPr>
          <w:szCs w:val="22"/>
        </w:rPr>
        <w:t xml:space="preserve"> and </w:t>
      </w:r>
      <w:r w:rsidR="00316ED3">
        <w:rPr>
          <w:szCs w:val="22"/>
        </w:rPr>
        <w:t>having regard to the</w:t>
      </w:r>
      <w:r w:rsidR="004E4F47">
        <w:rPr>
          <w:szCs w:val="22"/>
        </w:rPr>
        <w:t xml:space="preserve"> </w:t>
      </w:r>
      <w:r w:rsidR="00CA3A2D">
        <w:rPr>
          <w:szCs w:val="22"/>
        </w:rPr>
        <w:t xml:space="preserve">matters </w:t>
      </w:r>
      <w:r w:rsidR="00316ED3">
        <w:rPr>
          <w:szCs w:val="22"/>
        </w:rPr>
        <w:t xml:space="preserve">referred to in </w:t>
      </w:r>
      <w:r w:rsidR="00CA3A2D">
        <w:rPr>
          <w:szCs w:val="22"/>
        </w:rPr>
        <w:t>subsection 14(3</w:t>
      </w:r>
      <w:r w:rsidR="004E4F47">
        <w:rPr>
          <w:szCs w:val="22"/>
        </w:rPr>
        <w:t>) of the Act</w:t>
      </w:r>
      <w:r w:rsidR="00CE5F9F" w:rsidRPr="0005753C">
        <w:rPr>
          <w:szCs w:val="22"/>
        </w:rPr>
        <w:t xml:space="preserve">, </w:t>
      </w:r>
      <w:r>
        <w:t>declare, for the MSO activity and MSO product referred to in column 1 of the following table:</w:t>
      </w:r>
    </w:p>
    <w:p w14:paraId="3D507D9F" w14:textId="7118A42F" w:rsidR="0097247E" w:rsidRDefault="0097247E" w:rsidP="0097247E">
      <w:pPr>
        <w:pStyle w:val="paragraph"/>
      </w:pPr>
      <w:r>
        <w:tab/>
        <w:t>(a)</w:t>
      </w:r>
      <w:r>
        <w:tab/>
        <w:t>for the period that begins on 1 July 2023 and ends on 30 June 2024—the target number of days specified in column 2 of the table; and</w:t>
      </w:r>
    </w:p>
    <w:p w14:paraId="53F0091D" w14:textId="098E0BC1" w:rsidR="0097247E" w:rsidRDefault="0097247E" w:rsidP="00491320">
      <w:pPr>
        <w:pStyle w:val="paragraph"/>
      </w:pPr>
      <w:r>
        <w:tab/>
        <w:t>(b)</w:t>
      </w:r>
      <w:r>
        <w:tab/>
        <w:t xml:space="preserve">on and </w:t>
      </w:r>
      <w:r w:rsidR="003553BA">
        <w:t>from</w:t>
      </w:r>
      <w:r>
        <w:t xml:space="preserve"> 1 July 2024—the target number of days specified in column 3 of the table.</w:t>
      </w:r>
    </w:p>
    <w:p w14:paraId="1BC960C1" w14:textId="77777777" w:rsidR="00CA3A2D" w:rsidRDefault="00CA3A2D" w:rsidP="00CA3A2D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923"/>
        <w:gridCol w:w="2923"/>
      </w:tblGrid>
      <w:tr w:rsidR="00431D2B" w14:paraId="1089CDFF" w14:textId="77777777" w:rsidTr="00431D2B">
        <w:trPr>
          <w:trHeight w:val="294"/>
        </w:trPr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919BD7" w14:textId="77777777" w:rsidR="00431D2B" w:rsidRPr="00431D2B" w:rsidRDefault="00431D2B" w:rsidP="00431D2B">
            <w:pPr>
              <w:pStyle w:val="TableHeading"/>
            </w:pPr>
            <w:r w:rsidRPr="00431D2B">
              <w:t>Column 1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1444C5" w14:textId="77777777" w:rsidR="00431D2B" w:rsidRPr="00431D2B" w:rsidRDefault="00431D2B" w:rsidP="00431D2B">
            <w:pPr>
              <w:pStyle w:val="TableHeading"/>
            </w:pPr>
            <w:r w:rsidRPr="00431D2B">
              <w:t>Column 2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9F2636" w14:textId="77777777" w:rsidR="00431D2B" w:rsidRPr="00431D2B" w:rsidRDefault="00431D2B" w:rsidP="00431D2B">
            <w:pPr>
              <w:pStyle w:val="TableHeading"/>
            </w:pPr>
            <w:r w:rsidRPr="00431D2B">
              <w:t>Column 3</w:t>
            </w:r>
          </w:p>
        </w:tc>
      </w:tr>
      <w:tr w:rsidR="00CA3A2D" w14:paraId="33D4E5CE" w14:textId="77777777" w:rsidTr="00CA3A2D"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B06417" w14:textId="77777777" w:rsidR="00CA3A2D" w:rsidRDefault="00CA3A2D" w:rsidP="00491320">
            <w:pPr>
              <w:pStyle w:val="TableHeading"/>
              <w:rPr>
                <w:b w:val="0"/>
                <w:lang w:val="en-GB"/>
              </w:rPr>
            </w:pPr>
            <w:r w:rsidRPr="00431D2B">
              <w:t>MSO Activity and MSO Product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FC7F87" w14:textId="76932150" w:rsidR="00CA3A2D" w:rsidRPr="00431D2B" w:rsidRDefault="00CA3A2D" w:rsidP="00491320">
            <w:pPr>
              <w:pStyle w:val="TableHeading"/>
            </w:pPr>
            <w:r w:rsidRPr="00431D2B">
              <w:t xml:space="preserve">Target days </w:t>
            </w:r>
            <w:r w:rsidRPr="00431D2B">
              <w:rPr>
                <w:b w:val="0"/>
              </w:rPr>
              <w:t>(</w:t>
            </w:r>
            <w:r w:rsidR="0097247E">
              <w:rPr>
                <w:b w:val="0"/>
              </w:rPr>
              <w:t xml:space="preserve">period beginning on </w:t>
            </w:r>
            <w:r w:rsidRPr="00431D2B">
              <w:rPr>
                <w:b w:val="0"/>
              </w:rPr>
              <w:t xml:space="preserve">1 </w:t>
            </w:r>
            <w:r w:rsidR="0025279F" w:rsidRPr="00431D2B">
              <w:rPr>
                <w:b w:val="0"/>
              </w:rPr>
              <w:t>July 2023</w:t>
            </w:r>
            <w:r w:rsidRPr="00431D2B">
              <w:rPr>
                <w:b w:val="0"/>
              </w:rPr>
              <w:t xml:space="preserve"> </w:t>
            </w:r>
            <w:r w:rsidR="0097247E">
              <w:rPr>
                <w:b w:val="0"/>
              </w:rPr>
              <w:t>and ending on</w:t>
            </w:r>
            <w:r w:rsidRPr="00431D2B">
              <w:rPr>
                <w:b w:val="0"/>
              </w:rPr>
              <w:t xml:space="preserve"> 30</w:t>
            </w:r>
            <w:r w:rsidR="0097247E">
              <w:rPr>
                <w:b w:val="0"/>
              </w:rPr>
              <w:t> </w:t>
            </w:r>
            <w:r w:rsidRPr="00431D2B">
              <w:rPr>
                <w:b w:val="0"/>
              </w:rPr>
              <w:t>June 2024)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5283A" w14:textId="098DCCE2" w:rsidR="00CA3A2D" w:rsidRPr="00431D2B" w:rsidRDefault="00CA3A2D" w:rsidP="00491320">
            <w:pPr>
              <w:pStyle w:val="TableHeading"/>
            </w:pPr>
            <w:r w:rsidRPr="00431D2B">
              <w:t xml:space="preserve">Target days </w:t>
            </w:r>
            <w:r w:rsidRPr="00431D2B">
              <w:rPr>
                <w:b w:val="0"/>
              </w:rPr>
              <w:t>(</w:t>
            </w:r>
            <w:r w:rsidR="0097247E">
              <w:rPr>
                <w:b w:val="0"/>
              </w:rPr>
              <w:t xml:space="preserve">on and </w:t>
            </w:r>
            <w:r w:rsidRPr="00431D2B">
              <w:rPr>
                <w:b w:val="0"/>
              </w:rPr>
              <w:t>from 1 July 2024)</w:t>
            </w:r>
          </w:p>
        </w:tc>
      </w:tr>
      <w:tr w:rsidR="00575BF9" w14:paraId="3F4A09C9" w14:textId="77777777" w:rsidTr="00CA3A2D">
        <w:tc>
          <w:tcPr>
            <w:tcW w:w="2457" w:type="dxa"/>
          </w:tcPr>
          <w:p w14:paraId="0980D42D" w14:textId="77777777" w:rsidR="00575BF9" w:rsidRPr="00431D2B" w:rsidRDefault="00575BF9" w:rsidP="00491320">
            <w:pPr>
              <w:pStyle w:val="TableHeading"/>
              <w:spacing w:after="60"/>
              <w:rPr>
                <w:b w:val="0"/>
              </w:rPr>
            </w:pPr>
            <w:r w:rsidRPr="00431D2B">
              <w:rPr>
                <w:b w:val="0"/>
              </w:rPr>
              <w:t>Importing—gasoline</w:t>
            </w:r>
          </w:p>
        </w:tc>
        <w:tc>
          <w:tcPr>
            <w:tcW w:w="2923" w:type="dxa"/>
            <w:shd w:val="clear" w:color="auto" w:fill="auto"/>
          </w:tcPr>
          <w:p w14:paraId="2E5868A3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24</w:t>
            </w:r>
          </w:p>
        </w:tc>
        <w:tc>
          <w:tcPr>
            <w:tcW w:w="2923" w:type="dxa"/>
            <w:shd w:val="clear" w:color="auto" w:fill="auto"/>
          </w:tcPr>
          <w:p w14:paraId="10B30817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27</w:t>
            </w:r>
          </w:p>
        </w:tc>
      </w:tr>
      <w:tr w:rsidR="00575BF9" w14:paraId="4E8CDED1" w14:textId="77777777" w:rsidTr="00CA3A2D">
        <w:tc>
          <w:tcPr>
            <w:tcW w:w="2457" w:type="dxa"/>
          </w:tcPr>
          <w:p w14:paraId="16663D0A" w14:textId="77777777" w:rsidR="00575BF9" w:rsidRPr="00431D2B" w:rsidRDefault="00575BF9" w:rsidP="00491320">
            <w:pPr>
              <w:pStyle w:val="TableHeading"/>
              <w:spacing w:after="60"/>
              <w:rPr>
                <w:b w:val="0"/>
              </w:rPr>
            </w:pPr>
            <w:r w:rsidRPr="00431D2B">
              <w:rPr>
                <w:b w:val="0"/>
              </w:rPr>
              <w:t>Importing—diesel</w:t>
            </w:r>
          </w:p>
        </w:tc>
        <w:tc>
          <w:tcPr>
            <w:tcW w:w="2923" w:type="dxa"/>
            <w:shd w:val="clear" w:color="auto" w:fill="auto"/>
          </w:tcPr>
          <w:p w14:paraId="6B405404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20</w:t>
            </w:r>
          </w:p>
        </w:tc>
        <w:tc>
          <w:tcPr>
            <w:tcW w:w="2923" w:type="dxa"/>
            <w:shd w:val="clear" w:color="auto" w:fill="auto"/>
          </w:tcPr>
          <w:p w14:paraId="1DE3FDD0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32</w:t>
            </w:r>
          </w:p>
        </w:tc>
      </w:tr>
      <w:tr w:rsidR="00575BF9" w14:paraId="3AFF650A" w14:textId="77777777" w:rsidTr="00CA3A2D">
        <w:tc>
          <w:tcPr>
            <w:tcW w:w="2457" w:type="dxa"/>
          </w:tcPr>
          <w:p w14:paraId="0D4CD1FE" w14:textId="77777777" w:rsidR="00575BF9" w:rsidRPr="00431D2B" w:rsidRDefault="00575BF9" w:rsidP="00491320">
            <w:pPr>
              <w:pStyle w:val="TableHeading"/>
              <w:spacing w:after="60"/>
              <w:rPr>
                <w:b w:val="0"/>
              </w:rPr>
            </w:pPr>
            <w:r w:rsidRPr="00431D2B">
              <w:rPr>
                <w:b w:val="0"/>
              </w:rPr>
              <w:t>Importing—kerosene</w:t>
            </w:r>
          </w:p>
        </w:tc>
        <w:tc>
          <w:tcPr>
            <w:tcW w:w="2923" w:type="dxa"/>
            <w:shd w:val="clear" w:color="auto" w:fill="auto"/>
          </w:tcPr>
          <w:p w14:paraId="5720BD7C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24</w:t>
            </w:r>
          </w:p>
        </w:tc>
        <w:tc>
          <w:tcPr>
            <w:tcW w:w="2923" w:type="dxa"/>
            <w:shd w:val="clear" w:color="auto" w:fill="auto"/>
          </w:tcPr>
          <w:p w14:paraId="1E123170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27</w:t>
            </w:r>
          </w:p>
        </w:tc>
      </w:tr>
      <w:tr w:rsidR="00575BF9" w14:paraId="4D2AC520" w14:textId="77777777" w:rsidTr="00CA3A2D">
        <w:tc>
          <w:tcPr>
            <w:tcW w:w="2457" w:type="dxa"/>
          </w:tcPr>
          <w:p w14:paraId="72D3F1D1" w14:textId="77777777" w:rsidR="00575BF9" w:rsidRPr="00431D2B" w:rsidRDefault="00575BF9" w:rsidP="00491320">
            <w:pPr>
              <w:pStyle w:val="TableHeading"/>
              <w:spacing w:after="60"/>
            </w:pPr>
            <w:r w:rsidRPr="00491320">
              <w:rPr>
                <w:b w:val="0"/>
              </w:rPr>
              <w:t>Refining—gasoline</w:t>
            </w:r>
          </w:p>
        </w:tc>
        <w:tc>
          <w:tcPr>
            <w:tcW w:w="2923" w:type="dxa"/>
            <w:shd w:val="clear" w:color="auto" w:fill="auto"/>
          </w:tcPr>
          <w:p w14:paraId="47F0E02D" w14:textId="77777777" w:rsidR="00575BF9" w:rsidRPr="00431D2B" w:rsidRDefault="00575BF9" w:rsidP="00491320">
            <w:pPr>
              <w:pStyle w:val="TableHeading"/>
              <w:spacing w:after="60"/>
              <w:jc w:val="center"/>
            </w:pPr>
            <w:r w:rsidRPr="00491320">
              <w:rPr>
                <w:b w:val="0"/>
              </w:rPr>
              <w:t>24</w:t>
            </w:r>
          </w:p>
        </w:tc>
        <w:tc>
          <w:tcPr>
            <w:tcW w:w="2923" w:type="dxa"/>
            <w:shd w:val="clear" w:color="auto" w:fill="auto"/>
          </w:tcPr>
          <w:p w14:paraId="7ED504EC" w14:textId="77777777" w:rsidR="00575BF9" w:rsidRPr="00431D2B" w:rsidRDefault="00575BF9" w:rsidP="00491320">
            <w:pPr>
              <w:pStyle w:val="TableHeading"/>
              <w:spacing w:after="60"/>
              <w:jc w:val="center"/>
            </w:pPr>
            <w:r w:rsidRPr="00491320">
              <w:rPr>
                <w:b w:val="0"/>
              </w:rPr>
              <w:t>24</w:t>
            </w:r>
          </w:p>
        </w:tc>
      </w:tr>
      <w:tr w:rsidR="00575BF9" w14:paraId="23572748" w14:textId="77777777" w:rsidTr="00CA3A2D">
        <w:tc>
          <w:tcPr>
            <w:tcW w:w="2457" w:type="dxa"/>
          </w:tcPr>
          <w:p w14:paraId="7CD92BF8" w14:textId="77777777" w:rsidR="00575BF9" w:rsidRPr="00431D2B" w:rsidRDefault="00575BF9" w:rsidP="00491320">
            <w:pPr>
              <w:pStyle w:val="TableHeading"/>
              <w:spacing w:after="60"/>
              <w:rPr>
                <w:b w:val="0"/>
              </w:rPr>
            </w:pPr>
            <w:r w:rsidRPr="00431D2B">
              <w:rPr>
                <w:b w:val="0"/>
              </w:rPr>
              <w:t>Refining—diesel</w:t>
            </w:r>
          </w:p>
        </w:tc>
        <w:tc>
          <w:tcPr>
            <w:tcW w:w="2923" w:type="dxa"/>
            <w:shd w:val="clear" w:color="auto" w:fill="auto"/>
          </w:tcPr>
          <w:p w14:paraId="3278D702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20</w:t>
            </w:r>
          </w:p>
        </w:tc>
        <w:tc>
          <w:tcPr>
            <w:tcW w:w="2923" w:type="dxa"/>
            <w:shd w:val="clear" w:color="auto" w:fill="auto"/>
          </w:tcPr>
          <w:p w14:paraId="60DD42C3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20</w:t>
            </w:r>
          </w:p>
        </w:tc>
      </w:tr>
      <w:tr w:rsidR="00575BF9" w14:paraId="6E4A52BE" w14:textId="77777777" w:rsidTr="00CA3A2D">
        <w:tc>
          <w:tcPr>
            <w:tcW w:w="2457" w:type="dxa"/>
          </w:tcPr>
          <w:p w14:paraId="618AB2F8" w14:textId="77777777" w:rsidR="00575BF9" w:rsidRPr="00431D2B" w:rsidRDefault="00575BF9" w:rsidP="00491320">
            <w:pPr>
              <w:pStyle w:val="TableHeading"/>
              <w:spacing w:after="60"/>
              <w:rPr>
                <w:b w:val="0"/>
              </w:rPr>
            </w:pPr>
            <w:r w:rsidRPr="00431D2B">
              <w:rPr>
                <w:b w:val="0"/>
              </w:rPr>
              <w:t>Refining—kerosene</w:t>
            </w:r>
          </w:p>
        </w:tc>
        <w:tc>
          <w:tcPr>
            <w:tcW w:w="2923" w:type="dxa"/>
            <w:shd w:val="clear" w:color="auto" w:fill="auto"/>
          </w:tcPr>
          <w:p w14:paraId="2100CEAE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24</w:t>
            </w:r>
          </w:p>
        </w:tc>
        <w:tc>
          <w:tcPr>
            <w:tcW w:w="2923" w:type="dxa"/>
            <w:shd w:val="clear" w:color="auto" w:fill="auto"/>
          </w:tcPr>
          <w:p w14:paraId="3705A2FB" w14:textId="77777777" w:rsidR="00575BF9" w:rsidRPr="00431D2B" w:rsidRDefault="00575BF9" w:rsidP="00431D2B">
            <w:pPr>
              <w:pStyle w:val="TableHeading"/>
              <w:spacing w:after="60"/>
              <w:jc w:val="center"/>
              <w:rPr>
                <w:b w:val="0"/>
              </w:rPr>
            </w:pPr>
            <w:r w:rsidRPr="00431D2B">
              <w:rPr>
                <w:b w:val="0"/>
              </w:rPr>
              <w:t>24</w:t>
            </w:r>
          </w:p>
        </w:tc>
      </w:tr>
    </w:tbl>
    <w:p w14:paraId="345541E1" w14:textId="77777777" w:rsidR="00CA3A2D" w:rsidRPr="00CA3A2D" w:rsidRDefault="00CA3A2D" w:rsidP="00CA3A2D">
      <w:pPr>
        <w:rPr>
          <w:lang w:eastAsia="en-AU"/>
        </w:rPr>
      </w:pPr>
    </w:p>
    <w:p w14:paraId="45CD1C25" w14:textId="2C74E551" w:rsidR="00CE5F9F" w:rsidRPr="0005753C" w:rsidRDefault="00CE5F9F" w:rsidP="00CE5F9F">
      <w:pPr>
        <w:keepNext/>
        <w:spacing w:before="300" w:line="240" w:lineRule="atLeast"/>
        <w:ind w:right="397"/>
        <w:jc w:val="both"/>
        <w:rPr>
          <w:szCs w:val="22"/>
        </w:rPr>
      </w:pPr>
      <w:r w:rsidRPr="0005753C">
        <w:rPr>
          <w:szCs w:val="22"/>
        </w:rPr>
        <w:t>Dated</w:t>
      </w:r>
      <w:r w:rsidRPr="0005753C">
        <w:rPr>
          <w:szCs w:val="22"/>
        </w:rPr>
        <w:tab/>
      </w:r>
      <w:r w:rsidRPr="0005753C">
        <w:rPr>
          <w:szCs w:val="22"/>
        </w:rPr>
        <w:tab/>
      </w:r>
      <w:r w:rsidR="00C73C60">
        <w:rPr>
          <w:szCs w:val="22"/>
        </w:rPr>
        <w:t>08/11/2022</w:t>
      </w:r>
      <w:r w:rsidRPr="0005753C">
        <w:rPr>
          <w:szCs w:val="22"/>
        </w:rPr>
        <w:tab/>
      </w:r>
      <w:r w:rsidRPr="0005753C">
        <w:rPr>
          <w:szCs w:val="22"/>
        </w:rPr>
        <w:tab/>
      </w:r>
    </w:p>
    <w:p w14:paraId="68BD9540" w14:textId="0571FED7" w:rsidR="00CE5F9F" w:rsidRPr="0005753C" w:rsidRDefault="0025279F" w:rsidP="00CE5F9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CE5F9F" w:rsidRPr="0005753C">
        <w:rPr>
          <w:szCs w:val="22"/>
        </w:rPr>
        <w:t xml:space="preserve"> </w:t>
      </w:r>
    </w:p>
    <w:p w14:paraId="4C13A1F9" w14:textId="645FC778" w:rsidR="00CE5F9F" w:rsidRPr="00991AE5" w:rsidRDefault="00CE5F9F" w:rsidP="00CE5F9F">
      <w:pPr>
        <w:pStyle w:val="SignCoverPageEnd"/>
      </w:pPr>
      <w:r w:rsidRPr="0005753C">
        <w:rPr>
          <w:sz w:val="22"/>
        </w:rPr>
        <w:t xml:space="preserve">Minister for </w:t>
      </w:r>
      <w:r w:rsidR="0025279F">
        <w:rPr>
          <w:sz w:val="22"/>
        </w:rPr>
        <w:t>Climate Change and Energy</w:t>
      </w:r>
      <w:bookmarkEnd w:id="0"/>
    </w:p>
    <w:p w14:paraId="2839B29D" w14:textId="77777777" w:rsidR="001B5CB8" w:rsidRDefault="001B5CB8"/>
    <w:sectPr w:rsidR="001B5CB8" w:rsidSect="00133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EFB6" w14:textId="77777777" w:rsidR="002F7B66" w:rsidRDefault="002F7B66">
      <w:pPr>
        <w:spacing w:line="240" w:lineRule="auto"/>
      </w:pPr>
      <w:r>
        <w:separator/>
      </w:r>
    </w:p>
  </w:endnote>
  <w:endnote w:type="continuationSeparator" w:id="0">
    <w:p w14:paraId="182F98F5" w14:textId="77777777" w:rsidR="002F7B66" w:rsidRDefault="002F7B66">
      <w:pPr>
        <w:spacing w:line="240" w:lineRule="auto"/>
      </w:pPr>
      <w:r>
        <w:continuationSeparator/>
      </w:r>
    </w:p>
  </w:endnote>
  <w:endnote w:type="continuationNotice" w:id="1">
    <w:p w14:paraId="3B019CA5" w14:textId="77777777" w:rsidR="002F7B66" w:rsidRDefault="002F7B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AC4" w14:textId="77777777" w:rsidR="00133E3D" w:rsidRPr="00E33C1C" w:rsidRDefault="00133E3D" w:rsidP="0013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3E3D" w14:paraId="1837F875" w14:textId="77777777" w:rsidTr="00133E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211D2" w14:textId="77777777" w:rsidR="00133E3D" w:rsidRDefault="00133E3D" w:rsidP="00133E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227F5B" w14:textId="77777777" w:rsidR="00133E3D" w:rsidRDefault="00133E3D" w:rsidP="00133E3D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7C8645" w14:textId="77777777" w:rsidR="00133E3D" w:rsidRDefault="00133E3D" w:rsidP="00133E3D">
          <w:pPr>
            <w:spacing w:line="0" w:lineRule="atLeast"/>
            <w:jc w:val="right"/>
            <w:rPr>
              <w:sz w:val="18"/>
            </w:rPr>
          </w:pPr>
        </w:p>
      </w:tc>
    </w:tr>
    <w:tr w:rsidR="00133E3D" w14:paraId="5426E5BF" w14:textId="77777777" w:rsidTr="00133E3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436FDB" w14:textId="77777777" w:rsidR="00133E3D" w:rsidRDefault="00133E3D" w:rsidP="00133E3D">
          <w:pPr>
            <w:jc w:val="right"/>
            <w:rPr>
              <w:sz w:val="18"/>
            </w:rPr>
          </w:pPr>
        </w:p>
      </w:tc>
    </w:tr>
  </w:tbl>
  <w:p w14:paraId="7348AB46" w14:textId="77777777" w:rsidR="00133E3D" w:rsidRPr="00ED79B6" w:rsidRDefault="00133E3D" w:rsidP="00133E3D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D0E2" w14:textId="77777777" w:rsidR="00133E3D" w:rsidRPr="00E33C1C" w:rsidRDefault="00133E3D" w:rsidP="00133E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33E3D" w14:paraId="5B7F4A12" w14:textId="77777777" w:rsidTr="00133E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04193" w14:textId="77777777" w:rsidR="00133E3D" w:rsidRDefault="00133E3D" w:rsidP="00133E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06538" w14:textId="77777777" w:rsidR="00133E3D" w:rsidRDefault="00133E3D" w:rsidP="00133E3D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A7CD64" w14:textId="77777777" w:rsidR="00133E3D" w:rsidRDefault="00133E3D" w:rsidP="00133E3D">
          <w:pPr>
            <w:spacing w:line="0" w:lineRule="atLeast"/>
            <w:jc w:val="right"/>
            <w:rPr>
              <w:sz w:val="18"/>
            </w:rPr>
          </w:pPr>
        </w:p>
      </w:tc>
    </w:tr>
    <w:tr w:rsidR="00133E3D" w14:paraId="479D5412" w14:textId="77777777" w:rsidTr="00133E3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497F16" w14:textId="77777777" w:rsidR="00133E3D" w:rsidRDefault="00133E3D" w:rsidP="00133E3D">
          <w:pPr>
            <w:rPr>
              <w:sz w:val="18"/>
            </w:rPr>
          </w:pPr>
        </w:p>
      </w:tc>
    </w:tr>
  </w:tbl>
  <w:p w14:paraId="79AF11A6" w14:textId="77777777" w:rsidR="00133E3D" w:rsidRPr="00ED79B6" w:rsidRDefault="00133E3D" w:rsidP="00133E3D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6C0E" w14:textId="77777777" w:rsidR="00133E3D" w:rsidRPr="00E33C1C" w:rsidRDefault="00133E3D" w:rsidP="00133E3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133E3D" w14:paraId="34EEEC26" w14:textId="77777777" w:rsidTr="00133E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A1C6B" w14:textId="77777777" w:rsidR="00133E3D" w:rsidRDefault="00133E3D" w:rsidP="00133E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0BB6" w14:textId="50AA6B72" w:rsidR="00133E3D" w:rsidRPr="00B25F53" w:rsidRDefault="00133E3D" w:rsidP="00133E3D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C73C60">
            <w:rPr>
              <w:i/>
              <w:noProof/>
              <w:sz w:val="18"/>
            </w:rPr>
            <w:t>Fuel Security (Target Number of Days) Declaration 2022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4B32F6" w14:textId="77777777" w:rsidR="00133E3D" w:rsidRDefault="00133E3D" w:rsidP="00133E3D">
          <w:pPr>
            <w:spacing w:line="0" w:lineRule="atLeast"/>
            <w:jc w:val="right"/>
            <w:rPr>
              <w:sz w:val="18"/>
            </w:rPr>
          </w:pPr>
        </w:p>
      </w:tc>
    </w:tr>
    <w:tr w:rsidR="00133E3D" w14:paraId="355AE486" w14:textId="77777777" w:rsidTr="00133E3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E62D0B" w14:textId="77777777" w:rsidR="00133E3D" w:rsidRDefault="00133E3D" w:rsidP="00133E3D">
          <w:pPr>
            <w:rPr>
              <w:sz w:val="18"/>
            </w:rPr>
          </w:pPr>
        </w:p>
      </w:tc>
    </w:tr>
  </w:tbl>
  <w:p w14:paraId="7AFDC73C" w14:textId="77777777" w:rsidR="00133E3D" w:rsidRPr="00ED79B6" w:rsidRDefault="00133E3D" w:rsidP="00133E3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8C79" w14:textId="77777777" w:rsidR="002F7B66" w:rsidRDefault="002F7B66">
      <w:pPr>
        <w:spacing w:line="240" w:lineRule="auto"/>
      </w:pPr>
      <w:r>
        <w:separator/>
      </w:r>
    </w:p>
  </w:footnote>
  <w:footnote w:type="continuationSeparator" w:id="0">
    <w:p w14:paraId="3DE41507" w14:textId="77777777" w:rsidR="002F7B66" w:rsidRDefault="002F7B66">
      <w:pPr>
        <w:spacing w:line="240" w:lineRule="auto"/>
      </w:pPr>
      <w:r>
        <w:continuationSeparator/>
      </w:r>
    </w:p>
  </w:footnote>
  <w:footnote w:type="continuationNotice" w:id="1">
    <w:p w14:paraId="57AE8745" w14:textId="77777777" w:rsidR="002F7B66" w:rsidRDefault="002F7B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65A6" w14:textId="77777777" w:rsidR="00133E3D" w:rsidRPr="007A1328" w:rsidRDefault="00133E3D" w:rsidP="00133E3D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F3C3" w14:textId="77777777" w:rsidR="00133E3D" w:rsidRPr="007A1328" w:rsidRDefault="00133E3D" w:rsidP="00133E3D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E41" w14:textId="77777777" w:rsidR="00133E3D" w:rsidRDefault="0013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4E4B"/>
    <w:multiLevelType w:val="hybridMultilevel"/>
    <w:tmpl w:val="D9C05AE4"/>
    <w:lvl w:ilvl="0" w:tplc="027EE6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D27318"/>
    <w:multiLevelType w:val="hybridMultilevel"/>
    <w:tmpl w:val="D9C05AE4"/>
    <w:lvl w:ilvl="0" w:tplc="027EE6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76B47"/>
    <w:multiLevelType w:val="hybridMultilevel"/>
    <w:tmpl w:val="D9C05AE4"/>
    <w:lvl w:ilvl="0" w:tplc="027EE6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6675012">
    <w:abstractNumId w:val="2"/>
  </w:num>
  <w:num w:numId="2" w16cid:durableId="175851240">
    <w:abstractNumId w:val="0"/>
  </w:num>
  <w:num w:numId="3" w16cid:durableId="189870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9F"/>
    <w:rsid w:val="000118FD"/>
    <w:rsid w:val="00080038"/>
    <w:rsid w:val="0008082B"/>
    <w:rsid w:val="00097F90"/>
    <w:rsid w:val="000B3A7C"/>
    <w:rsid w:val="0011439D"/>
    <w:rsid w:val="00133E3D"/>
    <w:rsid w:val="001B5CB8"/>
    <w:rsid w:val="001D4A91"/>
    <w:rsid w:val="0025279F"/>
    <w:rsid w:val="002F7B66"/>
    <w:rsid w:val="00307CFE"/>
    <w:rsid w:val="00316ED3"/>
    <w:rsid w:val="0035471B"/>
    <w:rsid w:val="003553BA"/>
    <w:rsid w:val="003A0041"/>
    <w:rsid w:val="00431D2B"/>
    <w:rsid w:val="00456E25"/>
    <w:rsid w:val="00491320"/>
    <w:rsid w:val="004B5816"/>
    <w:rsid w:val="004E4F47"/>
    <w:rsid w:val="005070C5"/>
    <w:rsid w:val="00566C18"/>
    <w:rsid w:val="00575BF9"/>
    <w:rsid w:val="00590440"/>
    <w:rsid w:val="005C1400"/>
    <w:rsid w:val="005E0BA3"/>
    <w:rsid w:val="005F7EF3"/>
    <w:rsid w:val="0061757B"/>
    <w:rsid w:val="00773B61"/>
    <w:rsid w:val="00801C4E"/>
    <w:rsid w:val="0087608A"/>
    <w:rsid w:val="008C77A3"/>
    <w:rsid w:val="00925F9B"/>
    <w:rsid w:val="0096722D"/>
    <w:rsid w:val="0097247E"/>
    <w:rsid w:val="009760AD"/>
    <w:rsid w:val="00977B9B"/>
    <w:rsid w:val="0098130D"/>
    <w:rsid w:val="00A0471C"/>
    <w:rsid w:val="00A24276"/>
    <w:rsid w:val="00A45D8E"/>
    <w:rsid w:val="00A52197"/>
    <w:rsid w:val="00AD78BB"/>
    <w:rsid w:val="00B25C5C"/>
    <w:rsid w:val="00B42191"/>
    <w:rsid w:val="00B551A1"/>
    <w:rsid w:val="00B82AF7"/>
    <w:rsid w:val="00BD69D4"/>
    <w:rsid w:val="00BF52BC"/>
    <w:rsid w:val="00C73C60"/>
    <w:rsid w:val="00CA3A2D"/>
    <w:rsid w:val="00CE5F9F"/>
    <w:rsid w:val="00D3671F"/>
    <w:rsid w:val="00E01E69"/>
    <w:rsid w:val="00EB1C79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B4D9"/>
  <w15:chartTrackingRefBased/>
  <w15:docId w15:val="{B22E5782-602D-4661-8957-C99BBE6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5F9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E5F9F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CE5F9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E5F9F"/>
    <w:rPr>
      <w:rFonts w:ascii="Times New Roman" w:eastAsia="Times New Roman" w:hAnsi="Times New Roman" w:cs="Times New Roman"/>
      <w:sz w:val="16"/>
      <w:szCs w:val="20"/>
      <w:lang w:eastAsia="en-AU"/>
    </w:rPr>
  </w:style>
  <w:style w:type="table" w:styleId="TableGrid">
    <w:name w:val="Table Grid"/>
    <w:basedOn w:val="TableNormal"/>
    <w:uiPriority w:val="59"/>
    <w:rsid w:val="00CE5F9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E5F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E5F9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CA3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E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6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E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E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ED3"/>
    <w:rPr>
      <w:rFonts w:ascii="Times New Roman" w:hAnsi="Times New Roman"/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133E3D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133E3D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Normal"/>
    <w:next w:val="Normal"/>
    <w:rsid w:val="00431D2B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customStyle="1" w:styleId="Tabletext">
    <w:name w:val="Tabletext"/>
    <w:aliases w:val="tt"/>
    <w:basedOn w:val="Normal"/>
    <w:rsid w:val="00431D2B"/>
    <w:pPr>
      <w:spacing w:before="60" w:line="240" w:lineRule="atLeast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FBE35A-2247-4BD3-AE4A-6287ACEB8C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 D o c u m e n t s ! 4 6 2 0 8 1 3 4 . 1 < / d o c u m e n t i d >  
     < s e n d e r i d > B U S S I M < / s e n d e r i d >  
     < s e n d e r e m a i l > M I C H A E L . B U S S I N G @ A G S . G O V . A U < / s e n d e r e m a i l >  
     < l a s t m o d i f i e d > 2 0 2 2 - 1 0 - 2 5 T 1 7 : 2 8 : 0 0 . 0 0 0 0 0 0 0 + 1 1 : 0 0 < / l a s t m o d i f i e d >  
     < d a t a b a s e > D o c u m e n t s 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803B69088F3B4BB452B237C76FFFB2" ma:contentTypeVersion="" ma:contentTypeDescription="PDMS Document Site Content Type" ma:contentTypeScope="" ma:versionID="980f62522e57c74de3933b190de8704c">
  <xsd:schema xmlns:xsd="http://www.w3.org/2001/XMLSchema" xmlns:xs="http://www.w3.org/2001/XMLSchema" xmlns:p="http://schemas.microsoft.com/office/2006/metadata/properties" xmlns:ns2="8EFBE35A-2247-4BD3-AE4A-6287ACEB8C20" targetNamespace="http://schemas.microsoft.com/office/2006/metadata/properties" ma:root="true" ma:fieldsID="6f048e8043cb8059414958677918c1d0" ns2:_="">
    <xsd:import namespace="8EFBE35A-2247-4BD3-AE4A-6287ACEB8C2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E35A-2247-4BD3-AE4A-6287ACEB8C2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66F8A-477B-43EE-912E-719D5F873C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FBE35A-2247-4BD3-AE4A-6287ACEB8C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04F6E-57B9-4F4C-82AA-7AD7DF31F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85BBC-8078-460C-8E6D-D01E47386A5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3559462-711E-42C3-AA4D-E553586C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E35A-2247-4BD3-AE4A-6287ACEB8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Kyle</dc:creator>
  <cp:keywords/>
  <dc:description/>
  <cp:lastModifiedBy>Kwan, Kelvin</cp:lastModifiedBy>
  <cp:revision>3</cp:revision>
  <dcterms:created xsi:type="dcterms:W3CDTF">2022-11-08T23:18:00Z</dcterms:created>
  <dcterms:modified xsi:type="dcterms:W3CDTF">2022-11-09T03:28:00Z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0x010100266966F133664895A6EE3632470D45F5006D803B69088F3B4BB452B237C76FFFB2</vt:lpwstr>
  </property>
  <property fmtid="{D5CDD505-2E9C-101B-9397-08002B2CF9AE}" pid="3" name="DocHub_Year">
    <vt:lpwstr/>
  </property>
  <property fmtid="{D5CDD505-2E9C-101B-9397-08002B2CF9AE}" pid="4" name="DocHub_WorkActivity">
    <vt:lpwstr/>
  </property>
  <property fmtid="{D5CDD505-2E9C-101B-9397-08002B2CF9AE}" pid="5" name="DocHub_Keywords">
    <vt:lpwstr/>
  </property>
  <property fmtid="{D5CDD505-2E9C-101B-9397-08002B2CF9AE}" pid="6" name="DocHub_DocumentType">
    <vt:lpwstr>340;#Legislative Instrument|edbe159b-95f5-40e7-bf23-9dfb62f2e7f0</vt:lpwstr>
  </property>
  <property fmtid="{D5CDD505-2E9C-101B-9397-08002B2CF9AE}" pid="7" name="DocHub_SecurityClassification">
    <vt:lpwstr>14;#OFFICIAL:Sensitive|11f6fb0b-52ce-4109-8f7f-521b2a62f692</vt:lpwstr>
  </property>
  <property fmtid="{D5CDD505-2E9C-101B-9397-08002B2CF9AE}" pid="8" name="ObjectiveRef">
    <vt:lpwstr>Removed</vt:lpwstr>
  </property>
  <property fmtid="{D5CDD505-2E9C-101B-9397-08002B2CF9AE}" pid="9" name="LeadingLawyers">
    <vt:lpwstr>Removed</vt:lpwstr>
  </property>
  <property fmtid="{D5CDD505-2E9C-101B-9397-08002B2CF9AE}" pid="10" name="checkforsharepointfields">
    <vt:lpwstr>True</vt:lpwstr>
  </property>
  <property fmtid="{D5CDD505-2E9C-101B-9397-08002B2CF9AE}" pid="11" name="Template Filename">
    <vt:lpwstr/>
  </property>
</Properties>
</file>