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797FF" w14:textId="0533C3F2" w:rsidR="00584C92" w:rsidRPr="00EB58D4" w:rsidRDefault="008467D1" w:rsidP="00584C92">
      <w:pPr>
        <w:spacing w:after="80"/>
        <w:rPr>
          <w:rFonts w:cs="Arial"/>
          <w:b/>
        </w:rPr>
      </w:pPr>
      <w:r w:rsidRPr="00EB58D4">
        <w:rPr>
          <w:noProof/>
          <w:lang w:eastAsia="en-AU"/>
        </w:rPr>
        <w:drawing>
          <wp:inline distT="0" distB="0" distL="0" distR="0" wp14:anchorId="58096CA2" wp14:editId="7C99550B">
            <wp:extent cx="2409825" cy="704850"/>
            <wp:effectExtent l="0" t="0" r="9525" b="0"/>
            <wp:docPr id="3" name="Picture 3"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O_i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704850"/>
                    </a:xfrm>
                    <a:prstGeom prst="rect">
                      <a:avLst/>
                    </a:prstGeom>
                    <a:noFill/>
                    <a:ln>
                      <a:noFill/>
                    </a:ln>
                  </pic:spPr>
                </pic:pic>
              </a:graphicData>
            </a:graphic>
          </wp:inline>
        </w:drawing>
      </w:r>
    </w:p>
    <w:p w14:paraId="608463A5" w14:textId="77777777" w:rsidR="00584C92" w:rsidRPr="00EB58D4" w:rsidRDefault="00584C92" w:rsidP="00584C92">
      <w:pPr>
        <w:spacing w:after="80"/>
        <w:rPr>
          <w:rFonts w:cs="Arial"/>
          <w:bCs/>
          <w:sz w:val="18"/>
          <w:szCs w:val="18"/>
        </w:rPr>
      </w:pPr>
    </w:p>
    <w:p w14:paraId="09EDBE82" w14:textId="58656069" w:rsidR="00BB4D13" w:rsidRPr="00EB58D4" w:rsidRDefault="00BB4D13" w:rsidP="00BB4D13">
      <w:pPr>
        <w:spacing w:after="80"/>
        <w:rPr>
          <w:rFonts w:cs="Arial"/>
          <w:b/>
          <w:sz w:val="28"/>
          <w:szCs w:val="28"/>
        </w:rPr>
      </w:pPr>
      <w:r w:rsidRPr="00EB58D4">
        <w:rPr>
          <w:rFonts w:cs="Arial"/>
          <w:b/>
          <w:sz w:val="28"/>
          <w:szCs w:val="28"/>
        </w:rPr>
        <w:t xml:space="preserve">Notice of Ruling </w:t>
      </w:r>
      <w:r w:rsidR="00F95A59">
        <w:rPr>
          <w:rFonts w:cs="Arial"/>
          <w:b/>
          <w:sz w:val="28"/>
          <w:szCs w:val="28"/>
        </w:rPr>
        <w:t>2</w:t>
      </w:r>
      <w:r w:rsidR="0053722B">
        <w:rPr>
          <w:rFonts w:cs="Arial"/>
          <w:b/>
          <w:sz w:val="28"/>
          <w:szCs w:val="28"/>
        </w:rPr>
        <w:t xml:space="preserve"> </w:t>
      </w:r>
      <w:r w:rsidR="001F0EB9">
        <w:rPr>
          <w:rFonts w:cs="Arial"/>
          <w:b/>
          <w:sz w:val="28"/>
          <w:szCs w:val="28"/>
        </w:rPr>
        <w:t xml:space="preserve">November </w:t>
      </w:r>
      <w:r w:rsidR="0053722B">
        <w:rPr>
          <w:rFonts w:cs="Arial"/>
          <w:b/>
          <w:sz w:val="28"/>
          <w:szCs w:val="28"/>
        </w:rPr>
        <w:t>2022</w:t>
      </w:r>
    </w:p>
    <w:p w14:paraId="054D3AA5" w14:textId="0A51D452" w:rsidR="00AE1163" w:rsidRPr="00EB58D4" w:rsidRDefault="00AE1163" w:rsidP="00AE1163">
      <w:pPr>
        <w:rPr>
          <w:rFonts w:cs="Arial"/>
          <w:sz w:val="18"/>
          <w:szCs w:val="18"/>
        </w:rPr>
      </w:pPr>
      <w:r w:rsidRPr="00EB58D4">
        <w:rPr>
          <w:rFonts w:cs="Arial"/>
          <w:sz w:val="18"/>
          <w:szCs w:val="18"/>
        </w:rPr>
        <w:t xml:space="preserve">The Commissioner of Taxation, </w:t>
      </w:r>
      <w:smartTag w:uri="urn:schemas:contacts" w:element="GivenName">
        <w:smartTag w:uri="urn:schemas-microsoft-com:office:smarttags" w:element="PersonName">
          <w:r w:rsidRPr="00EB58D4">
            <w:rPr>
              <w:rFonts w:cs="Arial"/>
              <w:sz w:val="18"/>
              <w:szCs w:val="18"/>
            </w:rPr>
            <w:t>Chris</w:t>
          </w:r>
        </w:smartTag>
        <w:r w:rsidRPr="00EB58D4">
          <w:rPr>
            <w:rFonts w:cs="Arial"/>
            <w:sz w:val="18"/>
            <w:szCs w:val="18"/>
          </w:rPr>
          <w:t xml:space="preserve"> </w:t>
        </w:r>
        <w:smartTag w:uri="urn:schemas-microsoft-com:office:smarttags" w:element="country-region">
          <w:smartTag w:uri="urn:schemas:contacts" w:element="Sn">
            <w:r w:rsidRPr="00EB58D4">
              <w:rPr>
                <w:rFonts w:cs="Arial"/>
                <w:sz w:val="18"/>
                <w:szCs w:val="18"/>
              </w:rPr>
              <w:t>Jordan</w:t>
            </w:r>
          </w:smartTag>
        </w:smartTag>
      </w:smartTag>
      <w:r w:rsidRPr="00EB58D4">
        <w:rPr>
          <w:rFonts w:cs="Arial"/>
          <w:sz w:val="18"/>
          <w:szCs w:val="18"/>
        </w:rPr>
        <w:t xml:space="preserve">, gives notice by notifiable instrument under subsection 358-5(4) of Schedule 1 to the </w:t>
      </w:r>
      <w:r w:rsidRPr="00EB58D4">
        <w:rPr>
          <w:rFonts w:cs="Arial"/>
          <w:i/>
          <w:iCs/>
          <w:sz w:val="18"/>
          <w:szCs w:val="18"/>
        </w:rPr>
        <w:t>Taxation Administration Act 1953</w:t>
      </w:r>
      <w:r w:rsidRPr="00EB58D4">
        <w:rPr>
          <w:rFonts w:cs="Arial"/>
          <w:sz w:val="18"/>
          <w:szCs w:val="18"/>
        </w:rPr>
        <w:t xml:space="preserve"> of the following public ruling, </w:t>
      </w:r>
      <w:r w:rsidR="001F0EB9">
        <w:rPr>
          <w:rFonts w:cs="Arial"/>
          <w:sz w:val="18"/>
          <w:szCs w:val="18"/>
        </w:rPr>
        <w:t xml:space="preserve">a </w:t>
      </w:r>
      <w:r w:rsidRPr="00EB58D4">
        <w:rPr>
          <w:rFonts w:cs="Arial"/>
          <w:sz w:val="18"/>
          <w:szCs w:val="18"/>
        </w:rPr>
        <w:t>cop</w:t>
      </w:r>
      <w:r w:rsidR="001F0EB9">
        <w:rPr>
          <w:rFonts w:cs="Arial"/>
          <w:sz w:val="18"/>
          <w:szCs w:val="18"/>
        </w:rPr>
        <w:t>y</w:t>
      </w:r>
      <w:r w:rsidRPr="00EB58D4">
        <w:rPr>
          <w:rFonts w:cs="Arial"/>
          <w:sz w:val="18"/>
          <w:szCs w:val="18"/>
        </w:rPr>
        <w:t xml:space="preserve"> of which can be obtained from </w:t>
      </w:r>
      <w:hyperlink r:id="rId9" w:history="1">
        <w:r w:rsidRPr="00EB58D4">
          <w:rPr>
            <w:rStyle w:val="Hyperlink"/>
            <w:rFonts w:cs="Arial"/>
            <w:sz w:val="18"/>
            <w:szCs w:val="18"/>
          </w:rPr>
          <w:t>ato.gov.au/law</w:t>
        </w:r>
      </w:hyperlink>
    </w:p>
    <w:p w14:paraId="21869EB1" w14:textId="77777777" w:rsidR="00AE1163" w:rsidRPr="00EB58D4" w:rsidRDefault="00AE1163" w:rsidP="00D61839">
      <w:pPr>
        <w:rPr>
          <w:rFonts w:cs="Arial"/>
          <w:sz w:val="18"/>
          <w:szCs w:val="18"/>
        </w:rPr>
      </w:pPr>
    </w:p>
    <w:tbl>
      <w:tblPr>
        <w:tblW w:w="9923" w:type="dxa"/>
        <w:tblLayout w:type="fixed"/>
        <w:tblLook w:val="0000" w:firstRow="0" w:lastRow="0" w:firstColumn="0" w:lastColumn="0" w:noHBand="0" w:noVBand="0"/>
      </w:tblPr>
      <w:tblGrid>
        <w:gridCol w:w="1984"/>
        <w:gridCol w:w="3686"/>
        <w:gridCol w:w="4253"/>
      </w:tblGrid>
      <w:tr w:rsidR="008D0A06" w:rsidRPr="00EB58D4" w14:paraId="60962CF4" w14:textId="77777777" w:rsidTr="00B4789B">
        <w:tc>
          <w:tcPr>
            <w:tcW w:w="9923" w:type="dxa"/>
            <w:gridSpan w:val="3"/>
            <w:tcBorders>
              <w:top w:val="single" w:sz="6" w:space="0" w:color="auto"/>
              <w:left w:val="single" w:sz="6" w:space="0" w:color="auto"/>
              <w:bottom w:val="single" w:sz="6" w:space="0" w:color="auto"/>
              <w:right w:val="single" w:sz="6" w:space="0" w:color="auto"/>
            </w:tcBorders>
          </w:tcPr>
          <w:p w14:paraId="1ED4B0FA" w14:textId="004B00AB" w:rsidR="008D0A06" w:rsidRPr="00EB58D4" w:rsidRDefault="008D0A06" w:rsidP="00851F51">
            <w:pPr>
              <w:pStyle w:val="Heading3"/>
              <w:keepLines/>
              <w:spacing w:before="80" w:after="80"/>
              <w:jc w:val="center"/>
              <w:rPr>
                <w:sz w:val="20"/>
                <w:szCs w:val="20"/>
              </w:rPr>
            </w:pPr>
            <w:r w:rsidRPr="00EB58D4">
              <w:rPr>
                <w:sz w:val="20"/>
                <w:szCs w:val="20"/>
              </w:rPr>
              <w:t xml:space="preserve">NOTICE OF </w:t>
            </w:r>
            <w:r w:rsidR="00874074" w:rsidRPr="00EB58D4">
              <w:rPr>
                <w:sz w:val="20"/>
                <w:szCs w:val="20"/>
              </w:rPr>
              <w:t>RULING</w:t>
            </w:r>
          </w:p>
        </w:tc>
      </w:tr>
      <w:tr w:rsidR="00114CB2" w:rsidRPr="00EB58D4" w14:paraId="616B955D" w14:textId="77777777" w:rsidTr="00B4789B">
        <w:tc>
          <w:tcPr>
            <w:tcW w:w="1984" w:type="dxa"/>
            <w:tcBorders>
              <w:top w:val="single" w:sz="6" w:space="0" w:color="auto"/>
              <w:left w:val="single" w:sz="6" w:space="0" w:color="auto"/>
              <w:bottom w:val="single" w:sz="6" w:space="0" w:color="auto"/>
              <w:right w:val="single" w:sz="6" w:space="0" w:color="auto"/>
            </w:tcBorders>
            <w:vAlign w:val="center"/>
          </w:tcPr>
          <w:p w14:paraId="7C476713" w14:textId="77777777" w:rsidR="00114CB2" w:rsidRPr="00EB58D4" w:rsidRDefault="004242FC" w:rsidP="00851F51">
            <w:pPr>
              <w:pStyle w:val="Heading3"/>
              <w:keepLines/>
              <w:spacing w:before="80" w:after="80"/>
              <w:jc w:val="center"/>
              <w:rPr>
                <w:sz w:val="20"/>
                <w:szCs w:val="20"/>
              </w:rPr>
            </w:pPr>
            <w:r w:rsidRPr="00EB58D4">
              <w:rPr>
                <w:sz w:val="20"/>
                <w:szCs w:val="20"/>
              </w:rPr>
              <w:t>Ruling n</w:t>
            </w:r>
            <w:r w:rsidR="00114CB2" w:rsidRPr="00EB58D4">
              <w:rPr>
                <w:sz w:val="20"/>
                <w:szCs w:val="20"/>
              </w:rPr>
              <w:t>umber</w:t>
            </w:r>
          </w:p>
        </w:tc>
        <w:tc>
          <w:tcPr>
            <w:tcW w:w="3686" w:type="dxa"/>
            <w:tcBorders>
              <w:top w:val="single" w:sz="6" w:space="0" w:color="auto"/>
              <w:left w:val="single" w:sz="6" w:space="0" w:color="auto"/>
              <w:bottom w:val="single" w:sz="6" w:space="0" w:color="auto"/>
              <w:right w:val="single" w:sz="6" w:space="0" w:color="auto"/>
            </w:tcBorders>
            <w:vAlign w:val="center"/>
          </w:tcPr>
          <w:p w14:paraId="5A4A4D52" w14:textId="77777777" w:rsidR="00114CB2" w:rsidRPr="00EB58D4" w:rsidRDefault="00114CB2" w:rsidP="00851F51">
            <w:pPr>
              <w:pStyle w:val="Heading3"/>
              <w:keepLines/>
              <w:spacing w:before="80" w:after="80"/>
              <w:jc w:val="center"/>
              <w:rPr>
                <w:sz w:val="20"/>
                <w:szCs w:val="20"/>
              </w:rPr>
            </w:pPr>
            <w:r w:rsidRPr="00EB58D4">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14:paraId="6F8521B8" w14:textId="77777777" w:rsidR="00114CB2" w:rsidRPr="00EB58D4" w:rsidRDefault="004242FC" w:rsidP="00851F51">
            <w:pPr>
              <w:pStyle w:val="Heading3"/>
              <w:keepLines/>
              <w:spacing w:before="80" w:after="80"/>
              <w:jc w:val="center"/>
              <w:rPr>
                <w:sz w:val="20"/>
                <w:szCs w:val="20"/>
              </w:rPr>
            </w:pPr>
            <w:r w:rsidRPr="00EB58D4">
              <w:rPr>
                <w:sz w:val="20"/>
                <w:szCs w:val="20"/>
              </w:rPr>
              <w:t>Brief d</w:t>
            </w:r>
            <w:r w:rsidR="00114CB2" w:rsidRPr="00EB58D4">
              <w:rPr>
                <w:sz w:val="20"/>
                <w:szCs w:val="20"/>
              </w:rPr>
              <w:t>escription</w:t>
            </w:r>
          </w:p>
        </w:tc>
      </w:tr>
      <w:tr w:rsidR="00F278A7" w:rsidRPr="00EB58D4" w14:paraId="74D3D7D6" w14:textId="77777777" w:rsidTr="00B4789B">
        <w:tc>
          <w:tcPr>
            <w:tcW w:w="1984" w:type="dxa"/>
            <w:tcBorders>
              <w:top w:val="single" w:sz="6" w:space="0" w:color="auto"/>
              <w:left w:val="single" w:sz="6" w:space="0" w:color="auto"/>
              <w:bottom w:val="single" w:sz="6" w:space="0" w:color="auto"/>
              <w:right w:val="single" w:sz="6" w:space="0" w:color="auto"/>
            </w:tcBorders>
          </w:tcPr>
          <w:p w14:paraId="774E04FF" w14:textId="3E583B41" w:rsidR="00F278A7" w:rsidRPr="00EB58D4" w:rsidRDefault="00E00602" w:rsidP="00B6495D">
            <w:pPr>
              <w:pStyle w:val="Header"/>
              <w:spacing w:before="40" w:after="40"/>
              <w:rPr>
                <w:rFonts w:cs="Arial"/>
                <w:sz w:val="20"/>
                <w:szCs w:val="20"/>
              </w:rPr>
            </w:pPr>
            <w:r>
              <w:rPr>
                <w:rFonts w:cs="Arial"/>
                <w:sz w:val="20"/>
                <w:szCs w:val="20"/>
              </w:rPr>
              <w:t>CR 2022/9</w:t>
            </w:r>
            <w:r w:rsidR="001F0EB9">
              <w:rPr>
                <w:rFonts w:cs="Arial"/>
                <w:sz w:val="20"/>
                <w:szCs w:val="20"/>
              </w:rPr>
              <w:t>8</w:t>
            </w:r>
          </w:p>
        </w:tc>
        <w:tc>
          <w:tcPr>
            <w:tcW w:w="3686" w:type="dxa"/>
            <w:tcBorders>
              <w:top w:val="single" w:sz="6" w:space="0" w:color="auto"/>
              <w:left w:val="single" w:sz="6" w:space="0" w:color="auto"/>
              <w:bottom w:val="single" w:sz="6" w:space="0" w:color="auto"/>
              <w:right w:val="single" w:sz="6" w:space="0" w:color="auto"/>
            </w:tcBorders>
          </w:tcPr>
          <w:p w14:paraId="0722A047" w14:textId="2848680E" w:rsidR="001F0EB9" w:rsidRPr="00EB58D4" w:rsidRDefault="001F0EB9" w:rsidP="00C33FB6">
            <w:pPr>
              <w:pStyle w:val="Header"/>
              <w:spacing w:before="40" w:after="40"/>
              <w:rPr>
                <w:rFonts w:cs="Arial"/>
                <w:sz w:val="20"/>
                <w:szCs w:val="20"/>
              </w:rPr>
            </w:pPr>
            <w:r>
              <w:rPr>
                <w:rFonts w:cs="Arial"/>
                <w:sz w:val="20"/>
                <w:szCs w:val="20"/>
              </w:rPr>
              <w:t>Single Cell Mobile Consulting Pty Ltd – Portt Options Plan – reducing the minimum holding period</w:t>
            </w:r>
          </w:p>
        </w:tc>
        <w:tc>
          <w:tcPr>
            <w:tcW w:w="4253" w:type="dxa"/>
            <w:tcBorders>
              <w:top w:val="single" w:sz="6" w:space="0" w:color="auto"/>
              <w:left w:val="single" w:sz="6" w:space="0" w:color="auto"/>
              <w:bottom w:val="single" w:sz="6" w:space="0" w:color="auto"/>
              <w:right w:val="single" w:sz="6" w:space="0" w:color="auto"/>
            </w:tcBorders>
          </w:tcPr>
          <w:p w14:paraId="7925B77A" w14:textId="11DF47AC" w:rsidR="001F0EB9" w:rsidRDefault="00E00602" w:rsidP="00084784">
            <w:pPr>
              <w:spacing w:before="40" w:after="40"/>
              <w:rPr>
                <w:rFonts w:cs="Arial"/>
                <w:sz w:val="20"/>
                <w:szCs w:val="20"/>
              </w:rPr>
            </w:pPr>
            <w:r w:rsidRPr="00E00602">
              <w:rPr>
                <w:rFonts w:cs="Arial"/>
                <w:sz w:val="20"/>
                <w:szCs w:val="20"/>
              </w:rPr>
              <w:t xml:space="preserve">This Ruling sets out the income tax consequences for </w:t>
            </w:r>
            <w:r w:rsidR="001F0EB9">
              <w:rPr>
                <w:rFonts w:cs="Arial"/>
                <w:sz w:val="20"/>
                <w:szCs w:val="20"/>
              </w:rPr>
              <w:t>employees of Single Cell Mobile Consulting Pty Ltd who were granted options under the Portt Options Plan.</w:t>
            </w:r>
          </w:p>
          <w:p w14:paraId="566B7E29" w14:textId="05FF999E" w:rsidR="00E00602" w:rsidRPr="00EB58D4" w:rsidRDefault="00E00602" w:rsidP="00084784">
            <w:pPr>
              <w:spacing w:before="40" w:after="40"/>
              <w:rPr>
                <w:rFonts w:cs="Arial"/>
                <w:sz w:val="20"/>
                <w:szCs w:val="20"/>
              </w:rPr>
            </w:pPr>
            <w:r>
              <w:rPr>
                <w:rFonts w:cs="Arial"/>
                <w:sz w:val="20"/>
                <w:szCs w:val="20"/>
              </w:rPr>
              <w:t>This Ruling applies from 1 July 20</w:t>
            </w:r>
            <w:r w:rsidR="001F0EB9">
              <w:rPr>
                <w:rFonts w:cs="Arial"/>
                <w:sz w:val="20"/>
                <w:szCs w:val="20"/>
              </w:rPr>
              <w:t>19</w:t>
            </w:r>
            <w:r>
              <w:rPr>
                <w:rFonts w:cs="Arial"/>
                <w:sz w:val="20"/>
                <w:szCs w:val="20"/>
              </w:rPr>
              <w:t xml:space="preserve"> to 30 June 202</w:t>
            </w:r>
            <w:r w:rsidR="001F0EB9">
              <w:rPr>
                <w:rFonts w:cs="Arial"/>
                <w:sz w:val="20"/>
                <w:szCs w:val="20"/>
              </w:rPr>
              <w:t>2</w:t>
            </w:r>
            <w:r>
              <w:rPr>
                <w:rFonts w:cs="Arial"/>
                <w:sz w:val="20"/>
                <w:szCs w:val="20"/>
              </w:rPr>
              <w:t>.</w:t>
            </w:r>
          </w:p>
        </w:tc>
      </w:tr>
    </w:tbl>
    <w:p w14:paraId="15C24E07" w14:textId="77777777" w:rsidR="00114CB2" w:rsidRPr="00EB58D4" w:rsidRDefault="00114CB2" w:rsidP="008D0A06">
      <w:pPr>
        <w:spacing w:after="60"/>
        <w:rPr>
          <w:sz w:val="18"/>
          <w:szCs w:val="18"/>
        </w:rPr>
      </w:pPr>
    </w:p>
    <w:sectPr w:rsidR="00114CB2" w:rsidRPr="00EB58D4" w:rsidSect="008E4F6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187C" w14:textId="77777777" w:rsidR="00114CB2" w:rsidRDefault="00114CB2" w:rsidP="003A707F">
      <w:pPr>
        <w:spacing w:after="0"/>
      </w:pPr>
      <w:r>
        <w:separator/>
      </w:r>
    </w:p>
  </w:endnote>
  <w:endnote w:type="continuationSeparator" w:id="0">
    <w:p w14:paraId="1DA9CA9C" w14:textId="77777777" w:rsidR="00114CB2" w:rsidRDefault="00114CB2" w:rsidP="003A7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912B" w14:textId="77777777" w:rsidR="00114CB2" w:rsidRDefault="00114CB2" w:rsidP="003A707F">
      <w:pPr>
        <w:spacing w:after="0"/>
      </w:pPr>
      <w:r>
        <w:separator/>
      </w:r>
    </w:p>
  </w:footnote>
  <w:footnote w:type="continuationSeparator" w:id="0">
    <w:p w14:paraId="77115E5F" w14:textId="77777777" w:rsidR="00114CB2" w:rsidRDefault="00114CB2" w:rsidP="003A70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5AA3" w14:textId="77777777" w:rsidR="00114CB2" w:rsidRPr="003A707F" w:rsidRDefault="00114CB2" w:rsidP="00F40885">
    <w:pPr>
      <w:pStyle w:val="Header"/>
      <w:rPr>
        <w:sz w:val="2"/>
        <w:szCs w:val="2"/>
      </w:rPr>
    </w:pPr>
  </w:p>
  <w:p w14:paraId="6B6CD8FB" w14:textId="77777777" w:rsidR="00114CB2" w:rsidRPr="00F40885" w:rsidRDefault="00114CB2">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07360"/>
    <w:rsid w:val="00051063"/>
    <w:rsid w:val="00061B12"/>
    <w:rsid w:val="00084784"/>
    <w:rsid w:val="000970F2"/>
    <w:rsid w:val="000E1F2B"/>
    <w:rsid w:val="00105CCA"/>
    <w:rsid w:val="00110573"/>
    <w:rsid w:val="00114CB2"/>
    <w:rsid w:val="001407B7"/>
    <w:rsid w:val="00141674"/>
    <w:rsid w:val="00151647"/>
    <w:rsid w:val="00160BA0"/>
    <w:rsid w:val="00162794"/>
    <w:rsid w:val="00174BD4"/>
    <w:rsid w:val="00180A9A"/>
    <w:rsid w:val="001C2AAD"/>
    <w:rsid w:val="001C3060"/>
    <w:rsid w:val="001F0EB9"/>
    <w:rsid w:val="001F6E54"/>
    <w:rsid w:val="00237961"/>
    <w:rsid w:val="00280BCD"/>
    <w:rsid w:val="002B5DD2"/>
    <w:rsid w:val="002C0CCE"/>
    <w:rsid w:val="002D493C"/>
    <w:rsid w:val="002E1A8C"/>
    <w:rsid w:val="002F3FFB"/>
    <w:rsid w:val="0036599C"/>
    <w:rsid w:val="00372678"/>
    <w:rsid w:val="0039702D"/>
    <w:rsid w:val="00397BEE"/>
    <w:rsid w:val="003A707F"/>
    <w:rsid w:val="003B0EC1"/>
    <w:rsid w:val="003B573B"/>
    <w:rsid w:val="003D05C0"/>
    <w:rsid w:val="003F2CBD"/>
    <w:rsid w:val="004242FC"/>
    <w:rsid w:val="00424B97"/>
    <w:rsid w:val="00456620"/>
    <w:rsid w:val="004B2753"/>
    <w:rsid w:val="004C5A5D"/>
    <w:rsid w:val="004E56BF"/>
    <w:rsid w:val="00520873"/>
    <w:rsid w:val="0053722B"/>
    <w:rsid w:val="00573D44"/>
    <w:rsid w:val="00583E7E"/>
    <w:rsid w:val="00584C92"/>
    <w:rsid w:val="005B1BC6"/>
    <w:rsid w:val="005D7EFC"/>
    <w:rsid w:val="005E7AE5"/>
    <w:rsid w:val="00616661"/>
    <w:rsid w:val="00636F01"/>
    <w:rsid w:val="006449F2"/>
    <w:rsid w:val="006571D4"/>
    <w:rsid w:val="006B1A9D"/>
    <w:rsid w:val="006B38CC"/>
    <w:rsid w:val="00757F35"/>
    <w:rsid w:val="00773255"/>
    <w:rsid w:val="007C490F"/>
    <w:rsid w:val="007E2CA6"/>
    <w:rsid w:val="007F191A"/>
    <w:rsid w:val="00827D16"/>
    <w:rsid w:val="00840A06"/>
    <w:rsid w:val="008439B7"/>
    <w:rsid w:val="008467D1"/>
    <w:rsid w:val="00851F51"/>
    <w:rsid w:val="008639C6"/>
    <w:rsid w:val="0087253F"/>
    <w:rsid w:val="00874074"/>
    <w:rsid w:val="00874399"/>
    <w:rsid w:val="008A1DCA"/>
    <w:rsid w:val="008A25CE"/>
    <w:rsid w:val="008D0A06"/>
    <w:rsid w:val="008D17C9"/>
    <w:rsid w:val="008D30A5"/>
    <w:rsid w:val="008E4F6C"/>
    <w:rsid w:val="00930E40"/>
    <w:rsid w:val="0094219E"/>
    <w:rsid w:val="00943B8D"/>
    <w:rsid w:val="009539C7"/>
    <w:rsid w:val="0095650D"/>
    <w:rsid w:val="009641EC"/>
    <w:rsid w:val="009B717D"/>
    <w:rsid w:val="009D1CB0"/>
    <w:rsid w:val="009F72D9"/>
    <w:rsid w:val="00A00F21"/>
    <w:rsid w:val="00A41F5C"/>
    <w:rsid w:val="00A60CE8"/>
    <w:rsid w:val="00A83BCC"/>
    <w:rsid w:val="00A85D11"/>
    <w:rsid w:val="00A93DA0"/>
    <w:rsid w:val="00AD0943"/>
    <w:rsid w:val="00AE1163"/>
    <w:rsid w:val="00B04E06"/>
    <w:rsid w:val="00B45F1D"/>
    <w:rsid w:val="00B4706B"/>
    <w:rsid w:val="00B4789B"/>
    <w:rsid w:val="00B6495D"/>
    <w:rsid w:val="00B84226"/>
    <w:rsid w:val="00BB4D13"/>
    <w:rsid w:val="00BC3F4D"/>
    <w:rsid w:val="00BE2C61"/>
    <w:rsid w:val="00BF2DF1"/>
    <w:rsid w:val="00C33FB6"/>
    <w:rsid w:val="00C51D3C"/>
    <w:rsid w:val="00C63C4E"/>
    <w:rsid w:val="00CF7558"/>
    <w:rsid w:val="00D4639E"/>
    <w:rsid w:val="00D61839"/>
    <w:rsid w:val="00D77A88"/>
    <w:rsid w:val="00D8391F"/>
    <w:rsid w:val="00DC142B"/>
    <w:rsid w:val="00DC168A"/>
    <w:rsid w:val="00E00602"/>
    <w:rsid w:val="00E6384F"/>
    <w:rsid w:val="00E823AE"/>
    <w:rsid w:val="00EB3C1D"/>
    <w:rsid w:val="00EB58D4"/>
    <w:rsid w:val="00ED2E52"/>
    <w:rsid w:val="00F232E7"/>
    <w:rsid w:val="00F278A7"/>
    <w:rsid w:val="00F40885"/>
    <w:rsid w:val="00F44FF5"/>
    <w:rsid w:val="00F831F5"/>
    <w:rsid w:val="00F95A59"/>
    <w:rsid w:val="00FA0A9F"/>
    <w:rsid w:val="00FF0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GivenName"/>
  <w:smartTagType w:namespaceuri="urn:schemas:contacts" w:name="Sn"/>
  <w:smartTagType w:namespaceuri="urn:schemas-microsoft-com:office:smarttags" w:name="country-region"/>
  <w:smartTagType w:namespaceuri="urn:schemas-microsoft-com:office:smarttags" w:name="PersonName"/>
  <w:shapeDefaults>
    <o:shapedefaults v:ext="edit" spidmax="100353"/>
    <o:shapelayout v:ext="edit">
      <o:idmap v:ext="edit" data="1"/>
    </o:shapelayout>
  </w:shapeDefaults>
  <w:decimalSymbol w:val="."/>
  <w:listSeparator w:val=","/>
  <w14:docId w14:val="06AC0731"/>
  <w15:docId w15:val="{6A0526B9-403D-4ED8-B019-B329228A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character" w:styleId="CommentReference">
    <w:name w:val="annotation reference"/>
    <w:basedOn w:val="DefaultParagraphFont"/>
    <w:uiPriority w:val="99"/>
    <w:semiHidden/>
    <w:unhideWhenUsed/>
    <w:rsid w:val="00BE2C61"/>
    <w:rPr>
      <w:sz w:val="16"/>
      <w:szCs w:val="16"/>
    </w:rPr>
  </w:style>
  <w:style w:type="paragraph" w:styleId="CommentText">
    <w:name w:val="annotation text"/>
    <w:basedOn w:val="Normal"/>
    <w:link w:val="CommentTextChar"/>
    <w:uiPriority w:val="99"/>
    <w:semiHidden/>
    <w:unhideWhenUsed/>
    <w:rsid w:val="00BE2C61"/>
    <w:rPr>
      <w:sz w:val="20"/>
      <w:szCs w:val="20"/>
    </w:rPr>
  </w:style>
  <w:style w:type="character" w:customStyle="1" w:styleId="CommentTextChar">
    <w:name w:val="Comment Text Char"/>
    <w:basedOn w:val="DefaultParagraphFont"/>
    <w:link w:val="CommentText"/>
    <w:uiPriority w:val="99"/>
    <w:semiHidden/>
    <w:rsid w:val="00BE2C61"/>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BE2C61"/>
    <w:rPr>
      <w:b/>
      <w:bCs/>
    </w:rPr>
  </w:style>
  <w:style w:type="character" w:customStyle="1" w:styleId="CommentSubjectChar">
    <w:name w:val="Comment Subject Char"/>
    <w:basedOn w:val="CommentTextChar"/>
    <w:link w:val="CommentSubject"/>
    <w:uiPriority w:val="99"/>
    <w:semiHidden/>
    <w:rsid w:val="00BE2C61"/>
    <w:rPr>
      <w:rFonts w:ascii="Arial" w:hAnsi="Arial"/>
      <w:b/>
      <w:bCs/>
      <w:sz w:val="20"/>
      <w:szCs w:val="20"/>
      <w:lang w:eastAsia="en-US"/>
    </w:rPr>
  </w:style>
  <w:style w:type="character" w:styleId="FollowedHyperlink">
    <w:name w:val="FollowedHyperlink"/>
    <w:basedOn w:val="DefaultParagraphFont"/>
    <w:uiPriority w:val="99"/>
    <w:semiHidden/>
    <w:unhideWhenUsed/>
    <w:rsid w:val="009D1C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39506">
      <w:bodyDiv w:val="1"/>
      <w:marLeft w:val="0"/>
      <w:marRight w:val="0"/>
      <w:marTop w:val="0"/>
      <w:marBottom w:val="0"/>
      <w:divBdr>
        <w:top w:val="none" w:sz="0" w:space="0" w:color="auto"/>
        <w:left w:val="none" w:sz="0" w:space="0" w:color="auto"/>
        <w:bottom w:val="none" w:sz="0" w:space="0" w:color="auto"/>
        <w:right w:val="none" w:sz="0" w:space="0" w:color="auto"/>
      </w:divBdr>
    </w:div>
    <w:div w:id="522474549">
      <w:bodyDiv w:val="1"/>
      <w:marLeft w:val="0"/>
      <w:marRight w:val="0"/>
      <w:marTop w:val="0"/>
      <w:marBottom w:val="0"/>
      <w:divBdr>
        <w:top w:val="none" w:sz="0" w:space="0" w:color="auto"/>
        <w:left w:val="none" w:sz="0" w:space="0" w:color="auto"/>
        <w:bottom w:val="none" w:sz="0" w:space="0" w:color="auto"/>
        <w:right w:val="none" w:sz="0" w:space="0" w:color="auto"/>
      </w:divBdr>
    </w:div>
    <w:div w:id="759521024">
      <w:bodyDiv w:val="1"/>
      <w:marLeft w:val="0"/>
      <w:marRight w:val="0"/>
      <w:marTop w:val="0"/>
      <w:marBottom w:val="0"/>
      <w:divBdr>
        <w:top w:val="none" w:sz="0" w:space="0" w:color="auto"/>
        <w:left w:val="none" w:sz="0" w:space="0" w:color="auto"/>
        <w:bottom w:val="none" w:sz="0" w:space="0" w:color="auto"/>
        <w:right w:val="none" w:sz="0" w:space="0" w:color="auto"/>
      </w:divBdr>
    </w:div>
    <w:div w:id="973369356">
      <w:bodyDiv w:val="1"/>
      <w:marLeft w:val="0"/>
      <w:marRight w:val="0"/>
      <w:marTop w:val="0"/>
      <w:marBottom w:val="0"/>
      <w:divBdr>
        <w:top w:val="none" w:sz="0" w:space="0" w:color="auto"/>
        <w:left w:val="none" w:sz="0" w:space="0" w:color="auto"/>
        <w:bottom w:val="none" w:sz="0" w:space="0" w:color="auto"/>
        <w:right w:val="none" w:sz="0" w:space="0" w:color="auto"/>
      </w:divBdr>
    </w:div>
    <w:div w:id="1327780788">
      <w:bodyDiv w:val="1"/>
      <w:marLeft w:val="0"/>
      <w:marRight w:val="0"/>
      <w:marTop w:val="0"/>
      <w:marBottom w:val="0"/>
      <w:divBdr>
        <w:top w:val="none" w:sz="0" w:space="0" w:color="auto"/>
        <w:left w:val="none" w:sz="0" w:space="0" w:color="auto"/>
        <w:bottom w:val="none" w:sz="0" w:space="0" w:color="auto"/>
        <w:right w:val="none" w:sz="0" w:space="0" w:color="auto"/>
      </w:divBdr>
    </w:div>
    <w:div w:id="1499226494">
      <w:bodyDiv w:val="1"/>
      <w:marLeft w:val="0"/>
      <w:marRight w:val="0"/>
      <w:marTop w:val="0"/>
      <w:marBottom w:val="0"/>
      <w:divBdr>
        <w:top w:val="none" w:sz="0" w:space="0" w:color="auto"/>
        <w:left w:val="none" w:sz="0" w:space="0" w:color="auto"/>
        <w:bottom w:val="none" w:sz="0" w:space="0" w:color="auto"/>
        <w:right w:val="none" w:sz="0" w:space="0" w:color="auto"/>
      </w:divBdr>
    </w:div>
    <w:div w:id="1507672094">
      <w:bodyDiv w:val="1"/>
      <w:marLeft w:val="0"/>
      <w:marRight w:val="0"/>
      <w:marTop w:val="0"/>
      <w:marBottom w:val="0"/>
      <w:divBdr>
        <w:top w:val="none" w:sz="0" w:space="0" w:color="auto"/>
        <w:left w:val="none" w:sz="0" w:space="0" w:color="auto"/>
        <w:bottom w:val="none" w:sz="0" w:space="0" w:color="auto"/>
        <w:right w:val="none" w:sz="0" w:space="0" w:color="auto"/>
      </w:divBdr>
    </w:div>
    <w:div w:id="1955020270">
      <w:bodyDiv w:val="1"/>
      <w:marLeft w:val="0"/>
      <w:marRight w:val="0"/>
      <w:marTop w:val="0"/>
      <w:marBottom w:val="0"/>
      <w:divBdr>
        <w:top w:val="none" w:sz="0" w:space="0" w:color="auto"/>
        <w:left w:val="none" w:sz="0" w:space="0" w:color="auto"/>
        <w:bottom w:val="none" w:sz="0" w:space="0" w:color="auto"/>
        <w:right w:val="none" w:sz="0" w:space="0" w:color="auto"/>
      </w:divBdr>
    </w:div>
    <w:div w:id="201110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to.gov.au/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5E138-2C00-4357-B25A-463475C0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104</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Kaye Reid</cp:lastModifiedBy>
  <cp:revision>3</cp:revision>
  <cp:lastPrinted>2013-06-24T01:35:00Z</cp:lastPrinted>
  <dcterms:created xsi:type="dcterms:W3CDTF">2022-10-27T23:58:00Z</dcterms:created>
  <dcterms:modified xsi:type="dcterms:W3CDTF">2022-10-28T00:05:00Z</dcterms:modified>
</cp:coreProperties>
</file>