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FA0E3" w14:textId="2F98C929" w:rsidR="00715914" w:rsidRPr="00144989" w:rsidRDefault="00256EF7" w:rsidP="009319E3">
      <w:pPr>
        <w:spacing w:after="600"/>
        <w:rPr>
          <w:sz w:val="28"/>
        </w:rPr>
      </w:pPr>
      <w:r w:rsidRPr="00144989">
        <w:rPr>
          <w:noProof/>
        </w:rPr>
        <w:drawing>
          <wp:inline distT="0" distB="0" distL="0" distR="0" wp14:anchorId="71B97D80" wp14:editId="713F9735">
            <wp:extent cx="3543300" cy="742950"/>
            <wp:effectExtent l="0" t="0" r="0" b="0"/>
            <wp:docPr id="1" name="Picture 2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BCE34" w14:textId="745F79C8" w:rsidR="00243EC0" w:rsidRPr="00144989" w:rsidRDefault="007E559A" w:rsidP="007E3DF4">
      <w:pPr>
        <w:pStyle w:val="LI-Title"/>
        <w:pBdr>
          <w:bottom w:val="single" w:sz="4" w:space="1" w:color="auto"/>
        </w:pBdr>
      </w:pPr>
      <w:r w:rsidRPr="00144989">
        <w:t xml:space="preserve">ASIC </w:t>
      </w:r>
      <w:r w:rsidR="009C3573" w:rsidRPr="00144989">
        <w:t xml:space="preserve">Corporations and </w:t>
      </w:r>
      <w:r w:rsidR="00D33F9D" w:rsidRPr="00144989">
        <w:t>Superannuation</w:t>
      </w:r>
      <w:r w:rsidR="005461B9" w:rsidRPr="00144989">
        <w:t xml:space="preserve"> (Website Disclosure Deferral)</w:t>
      </w:r>
      <w:r w:rsidR="00D33F9D" w:rsidRPr="00144989">
        <w:t xml:space="preserve"> </w:t>
      </w:r>
      <w:r w:rsidRPr="00144989">
        <w:t>Instrument 20</w:t>
      </w:r>
      <w:r w:rsidR="0077787E" w:rsidRPr="00144989">
        <w:t>22</w:t>
      </w:r>
      <w:r w:rsidRPr="00144989">
        <w:t>/</w:t>
      </w:r>
      <w:r w:rsidR="00BA62F3" w:rsidRPr="00144989">
        <w:t>808</w:t>
      </w:r>
    </w:p>
    <w:p w14:paraId="7C025B08" w14:textId="77777777" w:rsidR="00D33F9D" w:rsidRPr="00144989" w:rsidRDefault="00D33F9D" w:rsidP="00D33F9D">
      <w:pPr>
        <w:pStyle w:val="LI-Fronttext"/>
        <w:rPr>
          <w:sz w:val="24"/>
          <w:szCs w:val="24"/>
        </w:rPr>
      </w:pPr>
      <w:r w:rsidRPr="00144989">
        <w:rPr>
          <w:sz w:val="24"/>
          <w:szCs w:val="24"/>
        </w:rPr>
        <w:t>I, Jane Eccleston, delegate of the Australian Securities and Investments Commission, make the following notifiable instrument.</w:t>
      </w:r>
    </w:p>
    <w:p w14:paraId="016B4050" w14:textId="77777777" w:rsidR="00D33F9D" w:rsidRPr="00144989" w:rsidRDefault="00D33F9D" w:rsidP="00D33F9D">
      <w:pPr>
        <w:pStyle w:val="LI-Fronttext"/>
        <w:rPr>
          <w:sz w:val="24"/>
          <w:szCs w:val="24"/>
        </w:rPr>
      </w:pPr>
    </w:p>
    <w:p w14:paraId="0A8F0107" w14:textId="250F8062" w:rsidR="00D33F9D" w:rsidRPr="00144989" w:rsidRDefault="00D33F9D" w:rsidP="00D33F9D">
      <w:pPr>
        <w:pStyle w:val="LI-Fronttext"/>
        <w:rPr>
          <w:sz w:val="24"/>
          <w:szCs w:val="24"/>
        </w:rPr>
      </w:pPr>
      <w:r w:rsidRPr="00144989">
        <w:rPr>
          <w:sz w:val="24"/>
          <w:szCs w:val="24"/>
        </w:rPr>
        <w:t>Date</w:t>
      </w:r>
      <w:r w:rsidRPr="00144989">
        <w:rPr>
          <w:sz w:val="24"/>
          <w:szCs w:val="24"/>
        </w:rPr>
        <w:tab/>
      </w:r>
      <w:bookmarkStart w:id="0" w:name="BKCheck15B_1"/>
      <w:bookmarkEnd w:id="0"/>
      <w:r w:rsidR="00A67B16" w:rsidRPr="00144989">
        <w:rPr>
          <w:sz w:val="24"/>
          <w:szCs w:val="24"/>
        </w:rPr>
        <w:t>14</w:t>
      </w:r>
      <w:r w:rsidRPr="00144989">
        <w:rPr>
          <w:sz w:val="24"/>
          <w:szCs w:val="24"/>
        </w:rPr>
        <w:t xml:space="preserve"> September 2022</w:t>
      </w:r>
    </w:p>
    <w:p w14:paraId="225377E7" w14:textId="16A155C5" w:rsidR="00D126A9" w:rsidRPr="00144989" w:rsidRDefault="00D126A9" w:rsidP="00D33F9D">
      <w:pPr>
        <w:pStyle w:val="LI-Fronttext"/>
        <w:pBdr>
          <w:bottom w:val="single" w:sz="4" w:space="1" w:color="auto"/>
        </w:pBdr>
        <w:rPr>
          <w:sz w:val="24"/>
          <w:szCs w:val="24"/>
        </w:rPr>
      </w:pPr>
    </w:p>
    <w:p w14:paraId="47EFE70D" w14:textId="13398FEF" w:rsidR="00D33F9D" w:rsidRPr="00BB5C17" w:rsidRDefault="0089056B" w:rsidP="00D33F9D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144989">
        <w:rPr>
          <w:sz w:val="24"/>
          <w:szCs w:val="24"/>
        </w:rPr>
        <w:t>Jane Eccleston</w:t>
      </w:r>
    </w:p>
    <w:p w14:paraId="597FC8C2" w14:textId="77777777" w:rsidR="00715914" w:rsidRPr="00F61B09" w:rsidRDefault="00715914" w:rsidP="00715914">
      <w:pPr>
        <w:pStyle w:val="Header"/>
        <w:tabs>
          <w:tab w:val="clear" w:pos="4150"/>
          <w:tab w:val="clear" w:pos="8307"/>
        </w:tabs>
      </w:pPr>
    </w:p>
    <w:p w14:paraId="16459358" w14:textId="77777777" w:rsidR="00715914" w:rsidRPr="00F61B09" w:rsidRDefault="00715914" w:rsidP="00715914">
      <w:pPr>
        <w:sectPr w:rsidR="00715914" w:rsidRPr="00F61B09" w:rsidSect="004750E0">
          <w:headerReference w:type="even" r:id="rId14"/>
          <w:headerReference w:type="default" r:id="rId15"/>
          <w:footerReference w:type="even" r:id="rId16"/>
          <w:footerReference w:type="defaul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6325AC8" w14:textId="77777777" w:rsidR="001D75A0" w:rsidRDefault="001D75A0" w:rsidP="001D75A0">
      <w:pPr>
        <w:spacing w:before="280" w:after="240"/>
        <w:rPr>
          <w:sz w:val="36"/>
        </w:rPr>
      </w:pPr>
      <w:r>
        <w:rPr>
          <w:b/>
          <w:sz w:val="32"/>
          <w:szCs w:val="32"/>
        </w:rPr>
        <w:lastRenderedPageBreak/>
        <w:t>Contents</w:t>
      </w:r>
    </w:p>
    <w:bookmarkStart w:id="1" w:name="BKCheck15B_2"/>
    <w:bookmarkEnd w:id="1"/>
    <w:p w14:paraId="6CD0C9CC" w14:textId="4763EB2A" w:rsidR="00D94821" w:rsidRDefault="001D75A0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TOC \h \z \t "LI - Heading 1,1,LI - Heading 2,2" </w:instrText>
      </w:r>
      <w:r>
        <w:rPr>
          <w:sz w:val="28"/>
        </w:rPr>
        <w:fldChar w:fldCharType="separate"/>
      </w:r>
      <w:hyperlink w:anchor="_Toc114048864" w:history="1">
        <w:r w:rsidR="00D94821" w:rsidRPr="003C223E">
          <w:rPr>
            <w:rStyle w:val="Hyperlink"/>
            <w:noProof/>
          </w:rPr>
          <w:t>Part 1—Preliminary</w:t>
        </w:r>
        <w:r w:rsidR="00D94821">
          <w:rPr>
            <w:noProof/>
            <w:webHidden/>
          </w:rPr>
          <w:tab/>
        </w:r>
        <w:r w:rsidR="00D94821">
          <w:rPr>
            <w:noProof/>
            <w:webHidden/>
          </w:rPr>
          <w:fldChar w:fldCharType="begin"/>
        </w:r>
        <w:r w:rsidR="00D94821">
          <w:rPr>
            <w:noProof/>
            <w:webHidden/>
          </w:rPr>
          <w:instrText xml:space="preserve"> PAGEREF _Toc114048864 \h </w:instrText>
        </w:r>
        <w:r w:rsidR="00D94821">
          <w:rPr>
            <w:noProof/>
            <w:webHidden/>
          </w:rPr>
        </w:r>
        <w:r w:rsidR="00D94821">
          <w:rPr>
            <w:noProof/>
            <w:webHidden/>
          </w:rPr>
          <w:fldChar w:fldCharType="separate"/>
        </w:r>
        <w:r w:rsidR="00D94821">
          <w:rPr>
            <w:noProof/>
            <w:webHidden/>
          </w:rPr>
          <w:t>3</w:t>
        </w:r>
        <w:r w:rsidR="00D94821">
          <w:rPr>
            <w:noProof/>
            <w:webHidden/>
          </w:rPr>
          <w:fldChar w:fldCharType="end"/>
        </w:r>
      </w:hyperlink>
    </w:p>
    <w:p w14:paraId="20DA7705" w14:textId="0DC70254" w:rsidR="00D94821" w:rsidRDefault="00144989">
      <w:pPr>
        <w:pStyle w:val="TOC2"/>
        <w:tabs>
          <w:tab w:val="left" w:pos="160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14048865" w:history="1">
        <w:r w:rsidR="00D94821" w:rsidRPr="003C223E">
          <w:rPr>
            <w:rStyle w:val="Hyperlink"/>
            <w:noProof/>
          </w:rPr>
          <w:t>1</w:t>
        </w:r>
        <w:r w:rsidR="00D94821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D94821" w:rsidRPr="003C223E">
          <w:rPr>
            <w:rStyle w:val="Hyperlink"/>
            <w:noProof/>
          </w:rPr>
          <w:t>Name of notifiable instrument</w:t>
        </w:r>
        <w:r w:rsidR="00D94821">
          <w:rPr>
            <w:noProof/>
            <w:webHidden/>
          </w:rPr>
          <w:tab/>
        </w:r>
        <w:r w:rsidR="00D94821">
          <w:rPr>
            <w:noProof/>
            <w:webHidden/>
          </w:rPr>
          <w:fldChar w:fldCharType="begin"/>
        </w:r>
        <w:r w:rsidR="00D94821">
          <w:rPr>
            <w:noProof/>
            <w:webHidden/>
          </w:rPr>
          <w:instrText xml:space="preserve"> PAGEREF _Toc114048865 \h </w:instrText>
        </w:r>
        <w:r w:rsidR="00D94821">
          <w:rPr>
            <w:noProof/>
            <w:webHidden/>
          </w:rPr>
        </w:r>
        <w:r w:rsidR="00D94821">
          <w:rPr>
            <w:noProof/>
            <w:webHidden/>
          </w:rPr>
          <w:fldChar w:fldCharType="separate"/>
        </w:r>
        <w:r w:rsidR="00D94821">
          <w:rPr>
            <w:noProof/>
            <w:webHidden/>
          </w:rPr>
          <w:t>3</w:t>
        </w:r>
        <w:r w:rsidR="00D94821">
          <w:rPr>
            <w:noProof/>
            <w:webHidden/>
          </w:rPr>
          <w:fldChar w:fldCharType="end"/>
        </w:r>
      </w:hyperlink>
    </w:p>
    <w:p w14:paraId="7814C178" w14:textId="49D63937" w:rsidR="00D94821" w:rsidRDefault="00144989">
      <w:pPr>
        <w:pStyle w:val="TOC2"/>
        <w:tabs>
          <w:tab w:val="left" w:pos="160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14048866" w:history="1">
        <w:r w:rsidR="00D94821" w:rsidRPr="003C223E">
          <w:rPr>
            <w:rStyle w:val="Hyperlink"/>
            <w:noProof/>
          </w:rPr>
          <w:t>2</w:t>
        </w:r>
        <w:r w:rsidR="00D94821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D94821" w:rsidRPr="003C223E">
          <w:rPr>
            <w:rStyle w:val="Hyperlink"/>
            <w:noProof/>
          </w:rPr>
          <w:t>Commencement</w:t>
        </w:r>
        <w:r w:rsidR="00D94821">
          <w:rPr>
            <w:noProof/>
            <w:webHidden/>
          </w:rPr>
          <w:tab/>
        </w:r>
        <w:r w:rsidR="00D94821">
          <w:rPr>
            <w:noProof/>
            <w:webHidden/>
          </w:rPr>
          <w:fldChar w:fldCharType="begin"/>
        </w:r>
        <w:r w:rsidR="00D94821">
          <w:rPr>
            <w:noProof/>
            <w:webHidden/>
          </w:rPr>
          <w:instrText xml:space="preserve"> PAGEREF _Toc114048866 \h </w:instrText>
        </w:r>
        <w:r w:rsidR="00D94821">
          <w:rPr>
            <w:noProof/>
            <w:webHidden/>
          </w:rPr>
        </w:r>
        <w:r w:rsidR="00D94821">
          <w:rPr>
            <w:noProof/>
            <w:webHidden/>
          </w:rPr>
          <w:fldChar w:fldCharType="separate"/>
        </w:r>
        <w:r w:rsidR="00D94821">
          <w:rPr>
            <w:noProof/>
            <w:webHidden/>
          </w:rPr>
          <w:t>3</w:t>
        </w:r>
        <w:r w:rsidR="00D94821">
          <w:rPr>
            <w:noProof/>
            <w:webHidden/>
          </w:rPr>
          <w:fldChar w:fldCharType="end"/>
        </w:r>
      </w:hyperlink>
    </w:p>
    <w:p w14:paraId="4F4F23CF" w14:textId="762A3167" w:rsidR="00D94821" w:rsidRDefault="00144989">
      <w:pPr>
        <w:pStyle w:val="TOC2"/>
        <w:tabs>
          <w:tab w:val="left" w:pos="160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14048867" w:history="1">
        <w:r w:rsidR="00D94821" w:rsidRPr="003C223E">
          <w:rPr>
            <w:rStyle w:val="Hyperlink"/>
            <w:noProof/>
          </w:rPr>
          <w:t>3</w:t>
        </w:r>
        <w:r w:rsidR="00D94821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D94821" w:rsidRPr="003C223E">
          <w:rPr>
            <w:rStyle w:val="Hyperlink"/>
            <w:noProof/>
          </w:rPr>
          <w:t>Authority</w:t>
        </w:r>
        <w:r w:rsidR="00D94821">
          <w:rPr>
            <w:noProof/>
            <w:webHidden/>
          </w:rPr>
          <w:tab/>
        </w:r>
        <w:r w:rsidR="00D94821">
          <w:rPr>
            <w:noProof/>
            <w:webHidden/>
          </w:rPr>
          <w:fldChar w:fldCharType="begin"/>
        </w:r>
        <w:r w:rsidR="00D94821">
          <w:rPr>
            <w:noProof/>
            <w:webHidden/>
          </w:rPr>
          <w:instrText xml:space="preserve"> PAGEREF _Toc114048867 \h </w:instrText>
        </w:r>
        <w:r w:rsidR="00D94821">
          <w:rPr>
            <w:noProof/>
            <w:webHidden/>
          </w:rPr>
        </w:r>
        <w:r w:rsidR="00D94821">
          <w:rPr>
            <w:noProof/>
            <w:webHidden/>
          </w:rPr>
          <w:fldChar w:fldCharType="separate"/>
        </w:r>
        <w:r w:rsidR="00D94821">
          <w:rPr>
            <w:noProof/>
            <w:webHidden/>
          </w:rPr>
          <w:t>3</w:t>
        </w:r>
        <w:r w:rsidR="00D94821">
          <w:rPr>
            <w:noProof/>
            <w:webHidden/>
          </w:rPr>
          <w:fldChar w:fldCharType="end"/>
        </w:r>
      </w:hyperlink>
    </w:p>
    <w:p w14:paraId="2A1DA8EC" w14:textId="7C75D7D3" w:rsidR="00D94821" w:rsidRDefault="00144989">
      <w:pPr>
        <w:pStyle w:val="TOC2"/>
        <w:tabs>
          <w:tab w:val="left" w:pos="160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14048868" w:history="1">
        <w:r w:rsidR="00D94821" w:rsidRPr="003C223E">
          <w:rPr>
            <w:rStyle w:val="Hyperlink"/>
            <w:noProof/>
          </w:rPr>
          <w:t>4</w:t>
        </w:r>
        <w:r w:rsidR="00D94821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D94821" w:rsidRPr="003C223E">
          <w:rPr>
            <w:rStyle w:val="Hyperlink"/>
            <w:noProof/>
          </w:rPr>
          <w:t>Definitions</w:t>
        </w:r>
        <w:r w:rsidR="00D94821">
          <w:rPr>
            <w:noProof/>
            <w:webHidden/>
          </w:rPr>
          <w:tab/>
        </w:r>
        <w:r w:rsidR="00D94821">
          <w:rPr>
            <w:noProof/>
            <w:webHidden/>
          </w:rPr>
          <w:fldChar w:fldCharType="begin"/>
        </w:r>
        <w:r w:rsidR="00D94821">
          <w:rPr>
            <w:noProof/>
            <w:webHidden/>
          </w:rPr>
          <w:instrText xml:space="preserve"> PAGEREF _Toc114048868 \h </w:instrText>
        </w:r>
        <w:r w:rsidR="00D94821">
          <w:rPr>
            <w:noProof/>
            <w:webHidden/>
          </w:rPr>
        </w:r>
        <w:r w:rsidR="00D94821">
          <w:rPr>
            <w:noProof/>
            <w:webHidden/>
          </w:rPr>
          <w:fldChar w:fldCharType="separate"/>
        </w:r>
        <w:r w:rsidR="00D94821">
          <w:rPr>
            <w:noProof/>
            <w:webHidden/>
          </w:rPr>
          <w:t>3</w:t>
        </w:r>
        <w:r w:rsidR="00D94821">
          <w:rPr>
            <w:noProof/>
            <w:webHidden/>
          </w:rPr>
          <w:fldChar w:fldCharType="end"/>
        </w:r>
      </w:hyperlink>
    </w:p>
    <w:p w14:paraId="4EE62EB7" w14:textId="6E4066BF" w:rsidR="00D94821" w:rsidRDefault="00144989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hyperlink w:anchor="_Toc114048869" w:history="1">
        <w:r w:rsidR="00D94821" w:rsidRPr="003C223E">
          <w:rPr>
            <w:rStyle w:val="Hyperlink"/>
            <w:noProof/>
          </w:rPr>
          <w:t>Part 2—Exemptions</w:t>
        </w:r>
        <w:r w:rsidR="00D94821">
          <w:rPr>
            <w:noProof/>
            <w:webHidden/>
          </w:rPr>
          <w:tab/>
        </w:r>
        <w:r w:rsidR="00D94821">
          <w:rPr>
            <w:noProof/>
            <w:webHidden/>
          </w:rPr>
          <w:fldChar w:fldCharType="begin"/>
        </w:r>
        <w:r w:rsidR="00D94821">
          <w:rPr>
            <w:noProof/>
            <w:webHidden/>
          </w:rPr>
          <w:instrText xml:space="preserve"> PAGEREF _Toc114048869 \h </w:instrText>
        </w:r>
        <w:r w:rsidR="00D94821">
          <w:rPr>
            <w:noProof/>
            <w:webHidden/>
          </w:rPr>
        </w:r>
        <w:r w:rsidR="00D94821">
          <w:rPr>
            <w:noProof/>
            <w:webHidden/>
          </w:rPr>
          <w:fldChar w:fldCharType="separate"/>
        </w:r>
        <w:r w:rsidR="00D94821">
          <w:rPr>
            <w:noProof/>
            <w:webHidden/>
          </w:rPr>
          <w:t>4</w:t>
        </w:r>
        <w:r w:rsidR="00D94821">
          <w:rPr>
            <w:noProof/>
            <w:webHidden/>
          </w:rPr>
          <w:fldChar w:fldCharType="end"/>
        </w:r>
      </w:hyperlink>
    </w:p>
    <w:p w14:paraId="6F9AF92C" w14:textId="2FD9BEF0" w:rsidR="00D94821" w:rsidRDefault="00144989">
      <w:pPr>
        <w:pStyle w:val="TOC2"/>
        <w:tabs>
          <w:tab w:val="left" w:pos="160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14048870" w:history="1">
        <w:r w:rsidR="00D94821" w:rsidRPr="003C223E">
          <w:rPr>
            <w:rStyle w:val="Hyperlink"/>
            <w:noProof/>
          </w:rPr>
          <w:t>5</w:t>
        </w:r>
        <w:r w:rsidR="00D94821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D94821" w:rsidRPr="003C223E">
          <w:rPr>
            <w:rStyle w:val="Hyperlink"/>
            <w:noProof/>
          </w:rPr>
          <w:t>SIS Act exemption - website information</w:t>
        </w:r>
        <w:r w:rsidR="00D94821">
          <w:rPr>
            <w:noProof/>
            <w:webHidden/>
          </w:rPr>
          <w:tab/>
        </w:r>
        <w:r w:rsidR="00D94821">
          <w:rPr>
            <w:noProof/>
            <w:webHidden/>
          </w:rPr>
          <w:fldChar w:fldCharType="begin"/>
        </w:r>
        <w:r w:rsidR="00D94821">
          <w:rPr>
            <w:noProof/>
            <w:webHidden/>
          </w:rPr>
          <w:instrText xml:space="preserve"> PAGEREF _Toc114048870 \h </w:instrText>
        </w:r>
        <w:r w:rsidR="00D94821">
          <w:rPr>
            <w:noProof/>
            <w:webHidden/>
          </w:rPr>
        </w:r>
        <w:r w:rsidR="00D94821">
          <w:rPr>
            <w:noProof/>
            <w:webHidden/>
          </w:rPr>
          <w:fldChar w:fldCharType="separate"/>
        </w:r>
        <w:r w:rsidR="00D94821">
          <w:rPr>
            <w:noProof/>
            <w:webHidden/>
          </w:rPr>
          <w:t>4</w:t>
        </w:r>
        <w:r w:rsidR="00D94821">
          <w:rPr>
            <w:noProof/>
            <w:webHidden/>
          </w:rPr>
          <w:fldChar w:fldCharType="end"/>
        </w:r>
      </w:hyperlink>
    </w:p>
    <w:p w14:paraId="2755ECE5" w14:textId="6FE09838" w:rsidR="00D94821" w:rsidRDefault="00144989">
      <w:pPr>
        <w:pStyle w:val="TOC2"/>
        <w:tabs>
          <w:tab w:val="left" w:pos="160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14048871" w:history="1">
        <w:r w:rsidR="00D94821" w:rsidRPr="003C223E">
          <w:rPr>
            <w:rStyle w:val="Hyperlink"/>
            <w:noProof/>
          </w:rPr>
          <w:t>6</w:t>
        </w:r>
        <w:r w:rsidR="00D94821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D94821" w:rsidRPr="003C223E">
          <w:rPr>
            <w:rStyle w:val="Hyperlink"/>
            <w:noProof/>
          </w:rPr>
          <w:t>Corporations Act exemption - complaints management documentation</w:t>
        </w:r>
        <w:r w:rsidR="00D94821">
          <w:rPr>
            <w:noProof/>
            <w:webHidden/>
          </w:rPr>
          <w:tab/>
        </w:r>
        <w:r w:rsidR="00D94821">
          <w:rPr>
            <w:noProof/>
            <w:webHidden/>
          </w:rPr>
          <w:fldChar w:fldCharType="begin"/>
        </w:r>
        <w:r w:rsidR="00D94821">
          <w:rPr>
            <w:noProof/>
            <w:webHidden/>
          </w:rPr>
          <w:instrText xml:space="preserve"> PAGEREF _Toc114048871 \h </w:instrText>
        </w:r>
        <w:r w:rsidR="00D94821">
          <w:rPr>
            <w:noProof/>
            <w:webHidden/>
          </w:rPr>
        </w:r>
        <w:r w:rsidR="00D94821">
          <w:rPr>
            <w:noProof/>
            <w:webHidden/>
          </w:rPr>
          <w:fldChar w:fldCharType="separate"/>
        </w:r>
        <w:r w:rsidR="00D94821">
          <w:rPr>
            <w:noProof/>
            <w:webHidden/>
          </w:rPr>
          <w:t>5</w:t>
        </w:r>
        <w:r w:rsidR="00D94821">
          <w:rPr>
            <w:noProof/>
            <w:webHidden/>
          </w:rPr>
          <w:fldChar w:fldCharType="end"/>
        </w:r>
      </w:hyperlink>
    </w:p>
    <w:p w14:paraId="266DD3DA" w14:textId="65AD31F4" w:rsidR="00D94821" w:rsidRDefault="00144989">
      <w:pPr>
        <w:pStyle w:val="TOC2"/>
        <w:tabs>
          <w:tab w:val="left" w:pos="160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14048872" w:history="1">
        <w:r w:rsidR="00D94821" w:rsidRPr="003C223E">
          <w:rPr>
            <w:rStyle w:val="Hyperlink"/>
            <w:noProof/>
          </w:rPr>
          <w:t>7</w:t>
        </w:r>
        <w:r w:rsidR="00D94821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D94821" w:rsidRPr="003C223E">
          <w:rPr>
            <w:rStyle w:val="Hyperlink"/>
            <w:noProof/>
          </w:rPr>
          <w:t>Corporations Act exemption – availability of target market determination</w:t>
        </w:r>
        <w:r w:rsidR="00D94821">
          <w:rPr>
            <w:noProof/>
            <w:webHidden/>
          </w:rPr>
          <w:tab/>
        </w:r>
        <w:r w:rsidR="00D94821">
          <w:rPr>
            <w:noProof/>
            <w:webHidden/>
          </w:rPr>
          <w:fldChar w:fldCharType="begin"/>
        </w:r>
        <w:r w:rsidR="00D94821">
          <w:rPr>
            <w:noProof/>
            <w:webHidden/>
          </w:rPr>
          <w:instrText xml:space="preserve"> PAGEREF _Toc114048872 \h </w:instrText>
        </w:r>
        <w:r w:rsidR="00D94821">
          <w:rPr>
            <w:noProof/>
            <w:webHidden/>
          </w:rPr>
        </w:r>
        <w:r w:rsidR="00D94821">
          <w:rPr>
            <w:noProof/>
            <w:webHidden/>
          </w:rPr>
          <w:fldChar w:fldCharType="separate"/>
        </w:r>
        <w:r w:rsidR="00D94821">
          <w:rPr>
            <w:noProof/>
            <w:webHidden/>
          </w:rPr>
          <w:t>5</w:t>
        </w:r>
        <w:r w:rsidR="00D94821">
          <w:rPr>
            <w:noProof/>
            <w:webHidden/>
          </w:rPr>
          <w:fldChar w:fldCharType="end"/>
        </w:r>
      </w:hyperlink>
    </w:p>
    <w:p w14:paraId="5E6510AF" w14:textId="7E0968B2" w:rsidR="00D94821" w:rsidRDefault="00144989">
      <w:pPr>
        <w:pStyle w:val="TOC2"/>
        <w:tabs>
          <w:tab w:val="left" w:pos="160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14048873" w:history="1">
        <w:r w:rsidR="00D94821" w:rsidRPr="003C223E">
          <w:rPr>
            <w:rStyle w:val="Hyperlink"/>
            <w:noProof/>
          </w:rPr>
          <w:t>8</w:t>
        </w:r>
        <w:r w:rsidR="00D94821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D94821" w:rsidRPr="003C223E">
          <w:rPr>
            <w:rStyle w:val="Hyperlink"/>
            <w:noProof/>
          </w:rPr>
          <w:t>Corporations Act exemption - product dashboard information</w:t>
        </w:r>
        <w:r w:rsidR="00D94821">
          <w:rPr>
            <w:noProof/>
            <w:webHidden/>
          </w:rPr>
          <w:tab/>
        </w:r>
        <w:r w:rsidR="00D94821">
          <w:rPr>
            <w:noProof/>
            <w:webHidden/>
          </w:rPr>
          <w:fldChar w:fldCharType="begin"/>
        </w:r>
        <w:r w:rsidR="00D94821">
          <w:rPr>
            <w:noProof/>
            <w:webHidden/>
          </w:rPr>
          <w:instrText xml:space="preserve"> PAGEREF _Toc114048873 \h </w:instrText>
        </w:r>
        <w:r w:rsidR="00D94821">
          <w:rPr>
            <w:noProof/>
            <w:webHidden/>
          </w:rPr>
        </w:r>
        <w:r w:rsidR="00D94821">
          <w:rPr>
            <w:noProof/>
            <w:webHidden/>
          </w:rPr>
          <w:fldChar w:fldCharType="separate"/>
        </w:r>
        <w:r w:rsidR="00D94821">
          <w:rPr>
            <w:noProof/>
            <w:webHidden/>
          </w:rPr>
          <w:t>5</w:t>
        </w:r>
        <w:r w:rsidR="00D94821">
          <w:rPr>
            <w:noProof/>
            <w:webHidden/>
          </w:rPr>
          <w:fldChar w:fldCharType="end"/>
        </w:r>
      </w:hyperlink>
    </w:p>
    <w:p w14:paraId="663DF625" w14:textId="24536FA5" w:rsidR="00D94821" w:rsidRDefault="00144989">
      <w:pPr>
        <w:pStyle w:val="TOC2"/>
        <w:tabs>
          <w:tab w:val="left" w:pos="160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14048874" w:history="1">
        <w:r w:rsidR="00D94821" w:rsidRPr="003C223E">
          <w:rPr>
            <w:rStyle w:val="Hyperlink"/>
            <w:noProof/>
          </w:rPr>
          <w:t>9</w:t>
        </w:r>
        <w:r w:rsidR="00D94821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D94821" w:rsidRPr="003C223E">
          <w:rPr>
            <w:rStyle w:val="Hyperlink"/>
            <w:noProof/>
          </w:rPr>
          <w:t>Corporations Act exemption - unclaimed monies information</w:t>
        </w:r>
        <w:r w:rsidR="00D94821">
          <w:rPr>
            <w:noProof/>
            <w:webHidden/>
          </w:rPr>
          <w:tab/>
        </w:r>
        <w:r w:rsidR="00D94821">
          <w:rPr>
            <w:noProof/>
            <w:webHidden/>
          </w:rPr>
          <w:fldChar w:fldCharType="begin"/>
        </w:r>
        <w:r w:rsidR="00D94821">
          <w:rPr>
            <w:noProof/>
            <w:webHidden/>
          </w:rPr>
          <w:instrText xml:space="preserve"> PAGEREF _Toc114048874 \h </w:instrText>
        </w:r>
        <w:r w:rsidR="00D94821">
          <w:rPr>
            <w:noProof/>
            <w:webHidden/>
          </w:rPr>
        </w:r>
        <w:r w:rsidR="00D94821">
          <w:rPr>
            <w:noProof/>
            <w:webHidden/>
          </w:rPr>
          <w:fldChar w:fldCharType="separate"/>
        </w:r>
        <w:r w:rsidR="00D94821">
          <w:rPr>
            <w:noProof/>
            <w:webHidden/>
          </w:rPr>
          <w:t>6</w:t>
        </w:r>
        <w:r w:rsidR="00D94821">
          <w:rPr>
            <w:noProof/>
            <w:webHidden/>
          </w:rPr>
          <w:fldChar w:fldCharType="end"/>
        </w:r>
      </w:hyperlink>
    </w:p>
    <w:p w14:paraId="7218CAD8" w14:textId="70A83EBB" w:rsidR="00D94821" w:rsidRDefault="00144989">
      <w:pPr>
        <w:pStyle w:val="TOC2"/>
        <w:tabs>
          <w:tab w:val="left" w:pos="160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14048875" w:history="1">
        <w:r w:rsidR="00D94821" w:rsidRPr="003C223E">
          <w:rPr>
            <w:rStyle w:val="Hyperlink"/>
            <w:noProof/>
          </w:rPr>
          <w:t>10</w:t>
        </w:r>
        <w:r w:rsidR="00D94821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D94821" w:rsidRPr="003C223E">
          <w:rPr>
            <w:rStyle w:val="Hyperlink"/>
            <w:noProof/>
          </w:rPr>
          <w:t>Conditions</w:t>
        </w:r>
        <w:r w:rsidR="00D94821">
          <w:rPr>
            <w:noProof/>
            <w:webHidden/>
          </w:rPr>
          <w:tab/>
        </w:r>
        <w:r w:rsidR="00D94821">
          <w:rPr>
            <w:noProof/>
            <w:webHidden/>
          </w:rPr>
          <w:fldChar w:fldCharType="begin"/>
        </w:r>
        <w:r w:rsidR="00D94821">
          <w:rPr>
            <w:noProof/>
            <w:webHidden/>
          </w:rPr>
          <w:instrText xml:space="preserve"> PAGEREF _Toc114048875 \h </w:instrText>
        </w:r>
        <w:r w:rsidR="00D94821">
          <w:rPr>
            <w:noProof/>
            <w:webHidden/>
          </w:rPr>
        </w:r>
        <w:r w:rsidR="00D94821">
          <w:rPr>
            <w:noProof/>
            <w:webHidden/>
          </w:rPr>
          <w:fldChar w:fldCharType="separate"/>
        </w:r>
        <w:r w:rsidR="00D94821">
          <w:rPr>
            <w:noProof/>
            <w:webHidden/>
          </w:rPr>
          <w:t>6</w:t>
        </w:r>
        <w:r w:rsidR="00D94821">
          <w:rPr>
            <w:noProof/>
            <w:webHidden/>
          </w:rPr>
          <w:fldChar w:fldCharType="end"/>
        </w:r>
      </w:hyperlink>
    </w:p>
    <w:p w14:paraId="5CEEF192" w14:textId="3C2AC5C4" w:rsidR="00670EA1" w:rsidRPr="00F61B09" w:rsidRDefault="001D75A0" w:rsidP="001D75A0">
      <w:r>
        <w:rPr>
          <w:rFonts w:eastAsia="Times New Roman"/>
          <w:kern w:val="28"/>
          <w:sz w:val="28"/>
          <w:lang w:eastAsia="en-AU"/>
        </w:rPr>
        <w:fldChar w:fldCharType="end"/>
      </w:r>
    </w:p>
    <w:p w14:paraId="55B66014" w14:textId="77777777" w:rsidR="00670EA1" w:rsidRPr="00F61B09" w:rsidRDefault="00670EA1" w:rsidP="00715914">
      <w:pPr>
        <w:sectPr w:rsidR="00670EA1" w:rsidRPr="00F61B09" w:rsidSect="00F4215A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5090CAA3" w14:textId="77777777" w:rsidR="007E559A" w:rsidRDefault="007E559A" w:rsidP="007E559A">
      <w:pPr>
        <w:pStyle w:val="LI-Heading1"/>
      </w:pPr>
      <w:bookmarkStart w:id="2" w:name="BK_S3P1L1C1"/>
      <w:bookmarkStart w:id="3" w:name="_Toc485818185"/>
      <w:bookmarkStart w:id="4" w:name="_Toc114048864"/>
      <w:bookmarkEnd w:id="2"/>
      <w:r>
        <w:lastRenderedPageBreak/>
        <w:t>Part 1—Preliminary</w:t>
      </w:r>
      <w:bookmarkEnd w:id="3"/>
      <w:bookmarkEnd w:id="4"/>
    </w:p>
    <w:p w14:paraId="5DBAB437" w14:textId="77777777" w:rsidR="007E559A" w:rsidRDefault="007E559A" w:rsidP="007E559A">
      <w:pPr>
        <w:pStyle w:val="LI-Heading2"/>
        <w:rPr>
          <w:szCs w:val="24"/>
        </w:rPr>
      </w:pPr>
      <w:bookmarkStart w:id="5" w:name="_Toc485818186"/>
      <w:bookmarkStart w:id="6" w:name="_Toc114048865"/>
      <w:r>
        <w:rPr>
          <w:szCs w:val="24"/>
        </w:rPr>
        <w:t>1</w:t>
      </w:r>
      <w:r>
        <w:rPr>
          <w:szCs w:val="24"/>
        </w:rPr>
        <w:tab/>
        <w:t xml:space="preserve">Name of </w:t>
      </w:r>
      <w:r w:rsidR="00D33C71">
        <w:rPr>
          <w:szCs w:val="24"/>
        </w:rPr>
        <w:t>notifiable</w:t>
      </w:r>
      <w:r>
        <w:rPr>
          <w:szCs w:val="24"/>
        </w:rPr>
        <w:t xml:space="preserve"> instrument</w:t>
      </w:r>
      <w:bookmarkEnd w:id="5"/>
      <w:bookmarkEnd w:id="6"/>
    </w:p>
    <w:p w14:paraId="5EA09C7D" w14:textId="7638F070" w:rsidR="007E559A" w:rsidRPr="007E559A" w:rsidRDefault="007E559A" w:rsidP="007E559A">
      <w:pPr>
        <w:pStyle w:val="LI-BodyTextUnnumbered"/>
        <w:rPr>
          <w:szCs w:val="24"/>
        </w:rPr>
      </w:pPr>
      <w:r>
        <w:rPr>
          <w:szCs w:val="24"/>
        </w:rPr>
        <w:t xml:space="preserve">This is the </w:t>
      </w:r>
      <w:r>
        <w:rPr>
          <w:i/>
          <w:szCs w:val="24"/>
        </w:rPr>
        <w:t xml:space="preserve">ASIC </w:t>
      </w:r>
      <w:r w:rsidR="00E75C33">
        <w:rPr>
          <w:i/>
          <w:szCs w:val="24"/>
        </w:rPr>
        <w:t xml:space="preserve">Corporations and </w:t>
      </w:r>
      <w:r>
        <w:rPr>
          <w:i/>
          <w:szCs w:val="24"/>
        </w:rPr>
        <w:t>Superannuation (Website</w:t>
      </w:r>
      <w:r w:rsidR="005461B9">
        <w:rPr>
          <w:i/>
          <w:szCs w:val="24"/>
        </w:rPr>
        <w:t xml:space="preserve"> Disclosure Deferral</w:t>
      </w:r>
      <w:r>
        <w:rPr>
          <w:i/>
          <w:szCs w:val="24"/>
        </w:rPr>
        <w:t>) Instrument 20</w:t>
      </w:r>
      <w:r w:rsidR="005461B9">
        <w:rPr>
          <w:i/>
          <w:szCs w:val="24"/>
        </w:rPr>
        <w:t>22</w:t>
      </w:r>
      <w:r>
        <w:rPr>
          <w:i/>
          <w:szCs w:val="24"/>
        </w:rPr>
        <w:t>/</w:t>
      </w:r>
      <w:r w:rsidR="00C059C1">
        <w:rPr>
          <w:i/>
          <w:szCs w:val="24"/>
        </w:rPr>
        <w:t>808</w:t>
      </w:r>
      <w:r>
        <w:rPr>
          <w:szCs w:val="24"/>
        </w:rPr>
        <w:t>.</w:t>
      </w:r>
    </w:p>
    <w:p w14:paraId="52A04093" w14:textId="77777777" w:rsidR="00E3699F" w:rsidRDefault="00D33C71" w:rsidP="007E559A">
      <w:pPr>
        <w:pStyle w:val="LI-Heading2"/>
        <w:spacing w:before="240"/>
        <w:rPr>
          <w:szCs w:val="24"/>
        </w:rPr>
      </w:pPr>
      <w:bookmarkStart w:id="7" w:name="_Toc114048866"/>
      <w:bookmarkStart w:id="8" w:name="_Toc485818188"/>
      <w:r>
        <w:rPr>
          <w:szCs w:val="24"/>
        </w:rPr>
        <w:t>2</w:t>
      </w:r>
      <w:r w:rsidR="007E559A">
        <w:rPr>
          <w:szCs w:val="24"/>
        </w:rPr>
        <w:tab/>
      </w:r>
      <w:r w:rsidR="00E3699F">
        <w:rPr>
          <w:szCs w:val="24"/>
        </w:rPr>
        <w:t>Commencement</w:t>
      </w:r>
      <w:bookmarkEnd w:id="7"/>
    </w:p>
    <w:p w14:paraId="68DA2715" w14:textId="77777777" w:rsidR="00E3699F" w:rsidRDefault="00E3699F" w:rsidP="00E3699F">
      <w:pPr>
        <w:pStyle w:val="LI-BodyTextUnnumbered"/>
      </w:pPr>
      <w:r>
        <w:t xml:space="preserve">This instrument commences on the day after it is registered on the Federal Register of Legislation. </w:t>
      </w:r>
    </w:p>
    <w:p w14:paraId="141A4F1C" w14:textId="77777777" w:rsidR="00E3699F" w:rsidRPr="00E3699F" w:rsidRDefault="00E3699F" w:rsidP="00E3699F">
      <w:pPr>
        <w:pStyle w:val="LI-BodyTextUnnumbered"/>
      </w:pPr>
      <w:r>
        <w:rPr>
          <w:color w:val="000000"/>
          <w:sz w:val="18"/>
          <w:szCs w:val="18"/>
          <w:shd w:val="clear" w:color="auto" w:fill="FFFFFF"/>
        </w:rPr>
        <w:t>Note:    The register may be accessed at </w:t>
      </w:r>
      <w:hyperlink r:id="rId24" w:history="1">
        <w:r>
          <w:rPr>
            <w:rStyle w:val="Hyperlink"/>
            <w:color w:val="0F569E"/>
            <w:sz w:val="18"/>
            <w:szCs w:val="18"/>
            <w:shd w:val="clear" w:color="auto" w:fill="FFFFFF"/>
          </w:rPr>
          <w:t>www.legislation.gov.au</w:t>
        </w:r>
      </w:hyperlink>
      <w:r>
        <w:rPr>
          <w:color w:val="000000"/>
          <w:sz w:val="18"/>
          <w:szCs w:val="18"/>
          <w:shd w:val="clear" w:color="auto" w:fill="FFFFFF"/>
        </w:rPr>
        <w:t>.</w:t>
      </w:r>
    </w:p>
    <w:p w14:paraId="5059B006" w14:textId="77777777" w:rsidR="007E559A" w:rsidRDefault="00E3699F" w:rsidP="007E559A">
      <w:pPr>
        <w:pStyle w:val="LI-Heading2"/>
        <w:spacing w:before="240"/>
        <w:rPr>
          <w:szCs w:val="24"/>
        </w:rPr>
      </w:pPr>
      <w:bookmarkStart w:id="9" w:name="_Toc114048867"/>
      <w:r>
        <w:rPr>
          <w:szCs w:val="24"/>
        </w:rPr>
        <w:t>3</w:t>
      </w:r>
      <w:r>
        <w:rPr>
          <w:szCs w:val="24"/>
        </w:rPr>
        <w:tab/>
      </w:r>
      <w:r w:rsidR="007E559A">
        <w:rPr>
          <w:szCs w:val="24"/>
        </w:rPr>
        <w:t>Authority</w:t>
      </w:r>
      <w:bookmarkEnd w:id="8"/>
      <w:bookmarkEnd w:id="9"/>
    </w:p>
    <w:p w14:paraId="1BC2C1A1" w14:textId="77777777" w:rsidR="00E75C33" w:rsidRDefault="006F1120" w:rsidP="007E559A">
      <w:pPr>
        <w:pStyle w:val="LI-BodyTextUnnumbered"/>
        <w:rPr>
          <w:szCs w:val="24"/>
        </w:rPr>
      </w:pPr>
      <w:r>
        <w:rPr>
          <w:szCs w:val="24"/>
        </w:rPr>
        <w:t>This</w:t>
      </w:r>
      <w:r w:rsidR="005461B9">
        <w:rPr>
          <w:szCs w:val="24"/>
        </w:rPr>
        <w:t xml:space="preserve"> </w:t>
      </w:r>
      <w:r w:rsidR="007E559A">
        <w:rPr>
          <w:szCs w:val="24"/>
        </w:rPr>
        <w:t>instrument is made under</w:t>
      </w:r>
      <w:r w:rsidR="00E75C33">
        <w:rPr>
          <w:szCs w:val="24"/>
        </w:rPr>
        <w:t>:</w:t>
      </w:r>
    </w:p>
    <w:p w14:paraId="198B0319" w14:textId="2E1134A2" w:rsidR="00E75C33" w:rsidRDefault="00E75C33" w:rsidP="008F6F9C">
      <w:pPr>
        <w:pStyle w:val="LI-BodyTextUnnumbered"/>
        <w:ind w:left="1701" w:hanging="567"/>
        <w:rPr>
          <w:szCs w:val="24"/>
        </w:rPr>
      </w:pPr>
      <w:r>
        <w:rPr>
          <w:szCs w:val="24"/>
        </w:rPr>
        <w:t xml:space="preserve">(a) </w:t>
      </w:r>
      <w:r w:rsidR="008F6F9C">
        <w:rPr>
          <w:szCs w:val="24"/>
        </w:rPr>
        <w:tab/>
      </w:r>
      <w:r>
        <w:rPr>
          <w:szCs w:val="24"/>
        </w:rPr>
        <w:t xml:space="preserve">in relation to </w:t>
      </w:r>
      <w:r w:rsidR="008F6F9C">
        <w:rPr>
          <w:szCs w:val="24"/>
        </w:rPr>
        <w:t xml:space="preserve">sections </w:t>
      </w:r>
      <w:r>
        <w:rPr>
          <w:szCs w:val="24"/>
        </w:rPr>
        <w:t xml:space="preserve">5 and 10 of this </w:t>
      </w:r>
      <w:proofErr w:type="gramStart"/>
      <w:r>
        <w:rPr>
          <w:szCs w:val="24"/>
        </w:rPr>
        <w:t>instrument</w:t>
      </w:r>
      <w:proofErr w:type="gramEnd"/>
      <w:r>
        <w:rPr>
          <w:szCs w:val="24"/>
        </w:rPr>
        <w:t xml:space="preserve">, </w:t>
      </w:r>
      <w:r w:rsidR="007E559A">
        <w:rPr>
          <w:szCs w:val="24"/>
        </w:rPr>
        <w:t xml:space="preserve">subsection 328(1) of the </w:t>
      </w:r>
      <w:r w:rsidR="007E559A">
        <w:rPr>
          <w:i/>
          <w:szCs w:val="24"/>
        </w:rPr>
        <w:t>Superannuation Industry (Supervision) Act 1993</w:t>
      </w:r>
      <w:r>
        <w:rPr>
          <w:szCs w:val="24"/>
        </w:rPr>
        <w:t>;</w:t>
      </w:r>
      <w:r w:rsidR="008F6F9C">
        <w:rPr>
          <w:szCs w:val="24"/>
        </w:rPr>
        <w:t xml:space="preserve"> and</w:t>
      </w:r>
    </w:p>
    <w:p w14:paraId="0502A61C" w14:textId="7345EDE3" w:rsidR="007E559A" w:rsidRPr="005461B9" w:rsidRDefault="00E75C33" w:rsidP="008F6F9C">
      <w:pPr>
        <w:pStyle w:val="LI-BodyTextUnnumbered"/>
        <w:ind w:left="1701" w:hanging="567"/>
        <w:rPr>
          <w:szCs w:val="24"/>
        </w:rPr>
      </w:pPr>
      <w:r>
        <w:rPr>
          <w:szCs w:val="24"/>
        </w:rPr>
        <w:t xml:space="preserve">(b) </w:t>
      </w:r>
      <w:r w:rsidR="008F6F9C">
        <w:rPr>
          <w:szCs w:val="24"/>
        </w:rPr>
        <w:tab/>
      </w:r>
      <w:r>
        <w:rPr>
          <w:szCs w:val="24"/>
        </w:rPr>
        <w:t xml:space="preserve">in relation to </w:t>
      </w:r>
      <w:r w:rsidR="008F6F9C">
        <w:rPr>
          <w:szCs w:val="24"/>
        </w:rPr>
        <w:t xml:space="preserve">sections </w:t>
      </w:r>
      <w:r w:rsidR="004F5D18">
        <w:rPr>
          <w:szCs w:val="24"/>
        </w:rPr>
        <w:t>6</w:t>
      </w:r>
      <w:r w:rsidR="00A7223F">
        <w:rPr>
          <w:szCs w:val="24"/>
        </w:rPr>
        <w:t xml:space="preserve"> to </w:t>
      </w:r>
      <w:r w:rsidR="004E146E">
        <w:rPr>
          <w:szCs w:val="24"/>
        </w:rPr>
        <w:t>9</w:t>
      </w:r>
      <w:r>
        <w:rPr>
          <w:szCs w:val="24"/>
        </w:rPr>
        <w:t xml:space="preserve"> and 10 of this </w:t>
      </w:r>
      <w:proofErr w:type="gramStart"/>
      <w:r>
        <w:rPr>
          <w:szCs w:val="24"/>
        </w:rPr>
        <w:t>instrument</w:t>
      </w:r>
      <w:proofErr w:type="gramEnd"/>
      <w:r>
        <w:rPr>
          <w:szCs w:val="24"/>
        </w:rPr>
        <w:t xml:space="preserve">, subsections </w:t>
      </w:r>
      <w:r w:rsidR="005461B9" w:rsidRPr="00E3699F">
        <w:rPr>
          <w:szCs w:val="24"/>
        </w:rPr>
        <w:t>926A(2)</w:t>
      </w:r>
      <w:r w:rsidR="00A67B16">
        <w:rPr>
          <w:szCs w:val="24"/>
        </w:rPr>
        <w:t>,</w:t>
      </w:r>
      <w:r>
        <w:rPr>
          <w:szCs w:val="24"/>
        </w:rPr>
        <w:t xml:space="preserve"> </w:t>
      </w:r>
      <w:r w:rsidR="005461B9">
        <w:rPr>
          <w:szCs w:val="24"/>
        </w:rPr>
        <w:t xml:space="preserve">994L(1), and 1020F(1) of the </w:t>
      </w:r>
      <w:r w:rsidR="005461B9" w:rsidRPr="005461B9">
        <w:rPr>
          <w:i/>
          <w:iCs/>
          <w:szCs w:val="24"/>
        </w:rPr>
        <w:t>Corporations Act 2001</w:t>
      </w:r>
      <w:r w:rsidR="005461B9">
        <w:rPr>
          <w:i/>
          <w:iCs/>
          <w:szCs w:val="24"/>
        </w:rPr>
        <w:t xml:space="preserve">. </w:t>
      </w:r>
    </w:p>
    <w:p w14:paraId="51AB3359" w14:textId="77777777" w:rsidR="007E559A" w:rsidRDefault="00E3699F" w:rsidP="007E559A">
      <w:pPr>
        <w:pStyle w:val="LI-Heading2"/>
        <w:spacing w:before="240"/>
        <w:rPr>
          <w:szCs w:val="24"/>
        </w:rPr>
      </w:pPr>
      <w:bookmarkStart w:id="10" w:name="_Toc485818189"/>
      <w:bookmarkStart w:id="11" w:name="_Toc114048868"/>
      <w:r>
        <w:rPr>
          <w:szCs w:val="24"/>
        </w:rPr>
        <w:t>4</w:t>
      </w:r>
      <w:r w:rsidR="007E559A">
        <w:rPr>
          <w:szCs w:val="24"/>
        </w:rPr>
        <w:tab/>
        <w:t>Definitions</w:t>
      </w:r>
      <w:bookmarkEnd w:id="10"/>
      <w:bookmarkEnd w:id="11"/>
    </w:p>
    <w:p w14:paraId="2FDDB97F" w14:textId="77777777" w:rsidR="007E559A" w:rsidRDefault="007E559A" w:rsidP="007E559A">
      <w:pPr>
        <w:pStyle w:val="LI-BodyTextUnnumbered"/>
        <w:rPr>
          <w:szCs w:val="24"/>
        </w:rPr>
      </w:pPr>
      <w:r>
        <w:rPr>
          <w:szCs w:val="24"/>
        </w:rPr>
        <w:t>In this instrument:</w:t>
      </w:r>
    </w:p>
    <w:p w14:paraId="682200A5" w14:textId="77777777" w:rsidR="006F1120" w:rsidRPr="006F1120" w:rsidRDefault="006F1120" w:rsidP="007E559A">
      <w:pPr>
        <w:shd w:val="clear" w:color="auto" w:fill="FFFFFF"/>
        <w:spacing w:before="100" w:beforeAutospacing="1" w:after="100" w:afterAutospacing="1" w:line="240" w:lineRule="auto"/>
        <w:ind w:left="1134"/>
        <w:rPr>
          <w:rFonts w:eastAsia="Times New Roman"/>
          <w:bCs/>
          <w:sz w:val="24"/>
          <w:szCs w:val="24"/>
          <w:lang w:eastAsia="en-AU"/>
        </w:rPr>
      </w:pPr>
      <w:r>
        <w:rPr>
          <w:rFonts w:eastAsia="Times New Roman"/>
          <w:b/>
          <w:i/>
          <w:iCs/>
          <w:sz w:val="24"/>
          <w:szCs w:val="24"/>
          <w:lang w:eastAsia="en-AU"/>
        </w:rPr>
        <w:t xml:space="preserve">Corporations Act </w:t>
      </w:r>
      <w:r>
        <w:rPr>
          <w:rFonts w:eastAsia="Times New Roman"/>
          <w:bCs/>
          <w:sz w:val="24"/>
          <w:szCs w:val="24"/>
          <w:lang w:eastAsia="en-AU"/>
        </w:rPr>
        <w:t xml:space="preserve">means the </w:t>
      </w:r>
      <w:r>
        <w:rPr>
          <w:rFonts w:eastAsia="Times New Roman"/>
          <w:bCs/>
          <w:i/>
          <w:iCs/>
          <w:sz w:val="24"/>
          <w:szCs w:val="24"/>
          <w:lang w:eastAsia="en-AU"/>
        </w:rPr>
        <w:t>Corporations Act 2001</w:t>
      </w:r>
      <w:r>
        <w:rPr>
          <w:rFonts w:eastAsia="Times New Roman"/>
          <w:bCs/>
          <w:sz w:val="24"/>
          <w:szCs w:val="24"/>
          <w:lang w:eastAsia="en-AU"/>
        </w:rPr>
        <w:t xml:space="preserve">. </w:t>
      </w:r>
    </w:p>
    <w:p w14:paraId="7B7FAD07" w14:textId="2D8F5407" w:rsidR="00D33C71" w:rsidRDefault="00D33C71" w:rsidP="007E559A">
      <w:pPr>
        <w:shd w:val="clear" w:color="auto" w:fill="FFFFFF"/>
        <w:spacing w:before="100" w:beforeAutospacing="1" w:after="100" w:afterAutospacing="1" w:line="240" w:lineRule="auto"/>
        <w:ind w:left="1134"/>
        <w:rPr>
          <w:rFonts w:eastAsia="Times New Roman"/>
          <w:bCs/>
          <w:sz w:val="24"/>
          <w:szCs w:val="24"/>
          <w:lang w:eastAsia="en-AU"/>
        </w:rPr>
      </w:pPr>
      <w:r>
        <w:rPr>
          <w:rFonts w:eastAsia="Times New Roman"/>
          <w:b/>
          <w:i/>
          <w:iCs/>
          <w:sz w:val="24"/>
          <w:szCs w:val="24"/>
          <w:lang w:eastAsia="en-AU"/>
        </w:rPr>
        <w:t xml:space="preserve">Deferral Period </w:t>
      </w:r>
      <w:r w:rsidRPr="00D33C71">
        <w:rPr>
          <w:rFonts w:eastAsia="Times New Roman"/>
          <w:bCs/>
          <w:sz w:val="24"/>
          <w:szCs w:val="24"/>
          <w:lang w:eastAsia="en-AU"/>
        </w:rPr>
        <w:t xml:space="preserve">means </w:t>
      </w:r>
      <w:r>
        <w:rPr>
          <w:rFonts w:eastAsia="Times New Roman"/>
          <w:bCs/>
          <w:sz w:val="24"/>
          <w:szCs w:val="24"/>
          <w:lang w:eastAsia="en-AU"/>
        </w:rPr>
        <w:t xml:space="preserve">the period commencing on the date this instrument </w:t>
      </w:r>
      <w:r w:rsidR="00ED3D49">
        <w:rPr>
          <w:rFonts w:eastAsia="Times New Roman"/>
          <w:bCs/>
          <w:sz w:val="24"/>
          <w:szCs w:val="24"/>
          <w:lang w:eastAsia="en-AU"/>
        </w:rPr>
        <w:t xml:space="preserve">commences </w:t>
      </w:r>
      <w:r>
        <w:rPr>
          <w:rFonts w:eastAsia="Times New Roman"/>
          <w:bCs/>
          <w:sz w:val="24"/>
          <w:szCs w:val="24"/>
          <w:lang w:eastAsia="en-AU"/>
        </w:rPr>
        <w:t>and ending on the earlier of:</w:t>
      </w:r>
    </w:p>
    <w:p w14:paraId="6C1DE5BE" w14:textId="41742959" w:rsidR="00D33C71" w:rsidRPr="00D33C71" w:rsidRDefault="008F6F9C" w:rsidP="00C914A0">
      <w:pPr>
        <w:pStyle w:val="LI-BodyTextSubparai"/>
        <w:ind w:left="1701"/>
        <w:rPr>
          <w:bCs/>
        </w:rPr>
      </w:pPr>
      <w:r>
        <w:t>(a)</w:t>
      </w:r>
      <w:r>
        <w:tab/>
      </w:r>
      <w:r w:rsidR="008E189B">
        <w:t xml:space="preserve">the day that is </w:t>
      </w:r>
      <w:r w:rsidR="00F23C29" w:rsidRPr="00106083">
        <w:t>three</w:t>
      </w:r>
      <w:r w:rsidR="00D33C71">
        <w:t xml:space="preserve"> month</w:t>
      </w:r>
      <w:r w:rsidR="008E189B">
        <w:t>s after this instrument commences</w:t>
      </w:r>
      <w:r w:rsidR="00D33C71">
        <w:t xml:space="preserve">; and </w:t>
      </w:r>
    </w:p>
    <w:p w14:paraId="5203A222" w14:textId="2063031E" w:rsidR="00D33C71" w:rsidRPr="002C39C0" w:rsidRDefault="008F6F9C" w:rsidP="00C914A0">
      <w:pPr>
        <w:pStyle w:val="LI-BodyTextSubparai"/>
        <w:ind w:left="1701"/>
      </w:pPr>
      <w:r>
        <w:rPr>
          <w:bCs/>
        </w:rPr>
        <w:t>(b)</w:t>
      </w:r>
      <w:r>
        <w:rPr>
          <w:bCs/>
        </w:rPr>
        <w:tab/>
      </w:r>
      <w:r w:rsidR="00D33C71" w:rsidRPr="002C39C0">
        <w:t xml:space="preserve">the business day before the Vanguard Super Fund begins accepting applications for membership from members of the </w:t>
      </w:r>
      <w:proofErr w:type="gramStart"/>
      <w:r w:rsidR="00D33C71" w:rsidRPr="002C39C0">
        <w:t>general public</w:t>
      </w:r>
      <w:proofErr w:type="gramEnd"/>
      <w:r w:rsidR="00D33C71" w:rsidRPr="002C39C0">
        <w:t xml:space="preserve">. </w:t>
      </w:r>
    </w:p>
    <w:p w14:paraId="161B3AF4" w14:textId="787BAD4A" w:rsidR="00CA6949" w:rsidRDefault="00C73863" w:rsidP="007E559A">
      <w:pPr>
        <w:shd w:val="clear" w:color="auto" w:fill="FFFFFF"/>
        <w:spacing w:before="100" w:beforeAutospacing="1" w:after="100" w:afterAutospacing="1" w:line="240" w:lineRule="auto"/>
        <w:ind w:left="1134"/>
        <w:rPr>
          <w:rFonts w:eastAsia="Times New Roman"/>
          <w:bCs/>
          <w:sz w:val="24"/>
          <w:szCs w:val="24"/>
          <w:lang w:eastAsia="en-AU"/>
        </w:rPr>
      </w:pPr>
      <w:bookmarkStart w:id="12" w:name="_Hlk113873452"/>
      <w:r w:rsidRPr="00C914A0">
        <w:rPr>
          <w:rFonts w:eastAsia="Times New Roman"/>
          <w:b/>
          <w:i/>
          <w:iCs/>
          <w:sz w:val="24"/>
          <w:szCs w:val="24"/>
          <w:lang w:eastAsia="en-AU"/>
        </w:rPr>
        <w:t xml:space="preserve">Expressions of Interest Webpage </w:t>
      </w:r>
      <w:r w:rsidRPr="00C914A0">
        <w:rPr>
          <w:rFonts w:eastAsia="Times New Roman"/>
          <w:bCs/>
          <w:sz w:val="24"/>
          <w:szCs w:val="24"/>
          <w:lang w:eastAsia="en-AU"/>
        </w:rPr>
        <w:t>means the</w:t>
      </w:r>
      <w:r w:rsidRPr="00C914A0">
        <w:rPr>
          <w:rFonts w:eastAsia="Times New Roman"/>
          <w:b/>
          <w:sz w:val="24"/>
          <w:szCs w:val="24"/>
          <w:lang w:eastAsia="en-AU"/>
        </w:rPr>
        <w:t xml:space="preserve"> </w:t>
      </w:r>
      <w:r w:rsidRPr="00C914A0">
        <w:rPr>
          <w:rFonts w:eastAsia="Times New Roman"/>
          <w:bCs/>
          <w:sz w:val="24"/>
          <w:szCs w:val="24"/>
          <w:lang w:eastAsia="en-AU"/>
        </w:rPr>
        <w:t xml:space="preserve">webpage maintained by or on behalf of </w:t>
      </w:r>
      <w:proofErr w:type="spellStart"/>
      <w:r w:rsidRPr="00C914A0">
        <w:rPr>
          <w:rFonts w:eastAsia="Times New Roman"/>
          <w:bCs/>
          <w:sz w:val="24"/>
          <w:szCs w:val="24"/>
          <w:lang w:eastAsia="en-AU"/>
        </w:rPr>
        <w:t>Vangurd</w:t>
      </w:r>
      <w:proofErr w:type="spellEnd"/>
      <w:r w:rsidRPr="00C914A0">
        <w:rPr>
          <w:rFonts w:eastAsia="Times New Roman"/>
          <w:bCs/>
          <w:sz w:val="24"/>
          <w:szCs w:val="24"/>
          <w:lang w:eastAsia="en-AU"/>
        </w:rPr>
        <w:t xml:space="preserve"> Super</w:t>
      </w:r>
      <w:r w:rsidRPr="00C914A0">
        <w:rPr>
          <w:rFonts w:eastAsia="Times New Roman"/>
          <w:b/>
          <w:sz w:val="24"/>
          <w:szCs w:val="24"/>
          <w:lang w:eastAsia="en-AU"/>
        </w:rPr>
        <w:t xml:space="preserve"> </w:t>
      </w:r>
      <w:r w:rsidR="00D64485" w:rsidRPr="00C914A0">
        <w:rPr>
          <w:rFonts w:eastAsia="Times New Roman"/>
          <w:bCs/>
          <w:sz w:val="24"/>
          <w:szCs w:val="24"/>
          <w:lang w:eastAsia="en-AU"/>
        </w:rPr>
        <w:t xml:space="preserve">at </w:t>
      </w:r>
      <w:r w:rsidR="00CA6949">
        <w:rPr>
          <w:rFonts w:eastAsia="Times New Roman"/>
          <w:bCs/>
          <w:sz w:val="24"/>
          <w:szCs w:val="24"/>
          <w:lang w:eastAsia="en-AU"/>
        </w:rPr>
        <w:t>https://www.vanguard.com.au/super/personal-details</w:t>
      </w:r>
      <w:r w:rsidR="00D64485" w:rsidRPr="009E62E0">
        <w:rPr>
          <w:rFonts w:eastAsia="Times New Roman"/>
          <w:bCs/>
          <w:sz w:val="24"/>
          <w:szCs w:val="24"/>
          <w:lang w:eastAsia="en-AU"/>
        </w:rPr>
        <w:t>.</w:t>
      </w:r>
      <w:r w:rsidR="00D64485">
        <w:rPr>
          <w:rFonts w:eastAsia="Times New Roman"/>
          <w:bCs/>
          <w:sz w:val="24"/>
          <w:szCs w:val="24"/>
          <w:lang w:eastAsia="en-AU"/>
        </w:rPr>
        <w:t xml:space="preserve"> </w:t>
      </w:r>
    </w:p>
    <w:bookmarkEnd w:id="12"/>
    <w:p w14:paraId="0CF63A18" w14:textId="2BD0C15C" w:rsidR="00F97F52" w:rsidRPr="00F97F52" w:rsidRDefault="00F97F52" w:rsidP="007E559A">
      <w:pPr>
        <w:shd w:val="clear" w:color="auto" w:fill="FFFFFF"/>
        <w:spacing w:before="100" w:beforeAutospacing="1" w:after="100" w:afterAutospacing="1" w:line="240" w:lineRule="auto"/>
        <w:ind w:left="1134"/>
        <w:rPr>
          <w:rFonts w:eastAsia="Times New Roman"/>
          <w:bCs/>
          <w:sz w:val="24"/>
          <w:szCs w:val="24"/>
          <w:lang w:eastAsia="en-AU"/>
        </w:rPr>
      </w:pPr>
      <w:r>
        <w:rPr>
          <w:rFonts w:eastAsia="Times New Roman"/>
          <w:b/>
          <w:i/>
          <w:iCs/>
          <w:sz w:val="24"/>
          <w:szCs w:val="24"/>
          <w:lang w:eastAsia="en-AU"/>
        </w:rPr>
        <w:t xml:space="preserve">Initial Cohort </w:t>
      </w:r>
      <w:r>
        <w:rPr>
          <w:rFonts w:eastAsia="Times New Roman"/>
          <w:bCs/>
          <w:sz w:val="24"/>
          <w:szCs w:val="24"/>
          <w:lang w:eastAsia="en-AU"/>
        </w:rPr>
        <w:t xml:space="preserve">means the persons invited to participate in a testing phase by becoming the first members of the Vanguard Super Fund, prior to the Vanguard Super Fund being opened to members of the </w:t>
      </w:r>
      <w:proofErr w:type="gramStart"/>
      <w:r>
        <w:rPr>
          <w:rFonts w:eastAsia="Times New Roman"/>
          <w:bCs/>
          <w:sz w:val="24"/>
          <w:szCs w:val="24"/>
          <w:lang w:eastAsia="en-AU"/>
        </w:rPr>
        <w:t>general public</w:t>
      </w:r>
      <w:proofErr w:type="gramEnd"/>
      <w:r>
        <w:rPr>
          <w:rFonts w:eastAsia="Times New Roman"/>
          <w:bCs/>
          <w:sz w:val="24"/>
          <w:szCs w:val="24"/>
          <w:lang w:eastAsia="en-AU"/>
        </w:rPr>
        <w:t xml:space="preserve">. </w:t>
      </w:r>
    </w:p>
    <w:p w14:paraId="5D1F72E0" w14:textId="0A35E8B9" w:rsidR="00E3699F" w:rsidRDefault="00E3699F" w:rsidP="00E3699F">
      <w:pPr>
        <w:shd w:val="clear" w:color="auto" w:fill="FFFFFF"/>
        <w:spacing w:before="100" w:beforeAutospacing="1" w:after="100" w:afterAutospacing="1" w:line="240" w:lineRule="auto"/>
        <w:ind w:left="1134"/>
        <w:rPr>
          <w:rFonts w:eastAsia="Times New Roman"/>
          <w:sz w:val="24"/>
          <w:szCs w:val="24"/>
          <w:lang w:eastAsia="en-AU"/>
        </w:rPr>
      </w:pPr>
      <w:r w:rsidRPr="00E3699F">
        <w:rPr>
          <w:rFonts w:eastAsia="Times New Roman"/>
          <w:b/>
          <w:bCs/>
          <w:i/>
          <w:iCs/>
          <w:sz w:val="24"/>
          <w:szCs w:val="24"/>
          <w:lang w:eastAsia="en-AU"/>
        </w:rPr>
        <w:t>product disclosure document</w:t>
      </w:r>
      <w:r w:rsidRPr="00C914A0">
        <w:rPr>
          <w:rFonts w:eastAsia="Times New Roman"/>
          <w:sz w:val="24"/>
          <w:szCs w:val="24"/>
          <w:lang w:eastAsia="en-AU"/>
        </w:rPr>
        <w:t>,</w:t>
      </w:r>
      <w:r w:rsidRPr="00E3699F">
        <w:rPr>
          <w:rFonts w:eastAsia="Times New Roman"/>
          <w:b/>
          <w:bCs/>
          <w:i/>
          <w:iCs/>
          <w:sz w:val="24"/>
          <w:szCs w:val="24"/>
          <w:lang w:eastAsia="en-AU"/>
        </w:rPr>
        <w:t xml:space="preserve"> </w:t>
      </w:r>
      <w:r w:rsidRPr="00E3699F">
        <w:rPr>
          <w:rFonts w:eastAsia="Times New Roman"/>
          <w:sz w:val="24"/>
          <w:szCs w:val="24"/>
          <w:lang w:eastAsia="en-AU"/>
        </w:rPr>
        <w:t>in relation to an interest in a regulated superannuation fund, means:</w:t>
      </w:r>
    </w:p>
    <w:p w14:paraId="1A86D225" w14:textId="5F2949E3" w:rsidR="00E3699F" w:rsidRPr="00E3699F" w:rsidRDefault="00E3699F" w:rsidP="00E3699F">
      <w:pPr>
        <w:shd w:val="clear" w:color="auto" w:fill="FFFFFF"/>
        <w:tabs>
          <w:tab w:val="left" w:pos="1701"/>
        </w:tabs>
        <w:spacing w:before="100" w:beforeAutospacing="1" w:after="100" w:afterAutospacing="1" w:line="240" w:lineRule="auto"/>
        <w:ind w:left="1134"/>
        <w:rPr>
          <w:rFonts w:eastAsia="Times New Roman"/>
          <w:sz w:val="24"/>
          <w:szCs w:val="24"/>
          <w:lang w:eastAsia="en-AU"/>
        </w:rPr>
      </w:pPr>
      <w:r>
        <w:rPr>
          <w:rFonts w:eastAsia="Times New Roman"/>
          <w:sz w:val="24"/>
          <w:szCs w:val="24"/>
          <w:lang w:eastAsia="en-AU"/>
        </w:rPr>
        <w:t>(a)</w:t>
      </w:r>
      <w:r>
        <w:rPr>
          <w:rFonts w:eastAsia="Times New Roman"/>
          <w:sz w:val="24"/>
          <w:szCs w:val="24"/>
          <w:lang w:eastAsia="en-AU"/>
        </w:rPr>
        <w:tab/>
      </w:r>
      <w:r w:rsidRPr="00E3699F">
        <w:rPr>
          <w:rFonts w:eastAsia="Times New Roman"/>
          <w:sz w:val="24"/>
          <w:szCs w:val="24"/>
          <w:lang w:eastAsia="en-AU"/>
        </w:rPr>
        <w:t xml:space="preserve">any Product Disclosure Statement for an interest in the </w:t>
      </w:r>
      <w:proofErr w:type="gramStart"/>
      <w:r w:rsidRPr="00E3699F">
        <w:rPr>
          <w:rFonts w:eastAsia="Times New Roman"/>
          <w:sz w:val="24"/>
          <w:szCs w:val="24"/>
          <w:lang w:eastAsia="en-AU"/>
        </w:rPr>
        <w:t>fund;</w:t>
      </w:r>
      <w:proofErr w:type="gramEnd"/>
    </w:p>
    <w:p w14:paraId="413895F4" w14:textId="1AA0B559" w:rsidR="00D222DA" w:rsidRDefault="00E3699F" w:rsidP="00D222DA">
      <w:pPr>
        <w:shd w:val="clear" w:color="auto" w:fill="FFFFFF"/>
        <w:spacing w:before="100" w:beforeAutospacing="1" w:after="100" w:afterAutospacing="1" w:line="240" w:lineRule="auto"/>
        <w:ind w:left="1701" w:hanging="567"/>
        <w:rPr>
          <w:rFonts w:eastAsia="Times New Roman"/>
          <w:sz w:val="24"/>
          <w:szCs w:val="24"/>
          <w:lang w:eastAsia="en-AU"/>
        </w:rPr>
      </w:pPr>
      <w:r w:rsidRPr="00E3699F">
        <w:rPr>
          <w:rFonts w:eastAsia="Times New Roman"/>
          <w:sz w:val="24"/>
          <w:szCs w:val="24"/>
          <w:lang w:eastAsia="en-AU"/>
        </w:rPr>
        <w:lastRenderedPageBreak/>
        <w:t xml:space="preserve">(b) </w:t>
      </w:r>
      <w:r>
        <w:rPr>
          <w:rFonts w:eastAsia="Times New Roman"/>
          <w:sz w:val="24"/>
          <w:szCs w:val="24"/>
          <w:lang w:eastAsia="en-AU"/>
        </w:rPr>
        <w:tab/>
      </w:r>
      <w:r w:rsidRPr="00E3699F">
        <w:rPr>
          <w:rFonts w:eastAsia="Times New Roman"/>
          <w:sz w:val="24"/>
          <w:szCs w:val="24"/>
          <w:lang w:eastAsia="en-AU"/>
        </w:rPr>
        <w:t xml:space="preserve">any document containing the fund information required under Subdivision 5.6 of Division 5 of Part 7.9 of the </w:t>
      </w:r>
      <w:r w:rsidRPr="00C914A0">
        <w:rPr>
          <w:rFonts w:eastAsia="Times New Roman"/>
          <w:i/>
          <w:iCs/>
          <w:sz w:val="24"/>
          <w:szCs w:val="24"/>
          <w:lang w:eastAsia="en-AU"/>
        </w:rPr>
        <w:t>Corporations Regulations 2001</w:t>
      </w:r>
      <w:r w:rsidRPr="00E3699F">
        <w:rPr>
          <w:rFonts w:eastAsia="Times New Roman"/>
          <w:sz w:val="24"/>
          <w:szCs w:val="24"/>
          <w:lang w:eastAsia="en-AU"/>
        </w:rPr>
        <w:t>.</w:t>
      </w:r>
    </w:p>
    <w:p w14:paraId="32DD9A8B" w14:textId="77777777" w:rsidR="00E3699F" w:rsidRPr="00E3699F" w:rsidRDefault="00E3699F" w:rsidP="00D222DA">
      <w:pPr>
        <w:shd w:val="clear" w:color="auto" w:fill="FFFFFF"/>
        <w:spacing w:before="100" w:beforeAutospacing="1" w:after="100" w:afterAutospacing="1" w:line="240" w:lineRule="auto"/>
        <w:ind w:left="1134"/>
        <w:rPr>
          <w:rFonts w:eastAsia="Times New Roman"/>
          <w:sz w:val="24"/>
          <w:szCs w:val="24"/>
          <w:lang w:eastAsia="en-AU"/>
        </w:rPr>
      </w:pPr>
      <w:r>
        <w:rPr>
          <w:rFonts w:eastAsia="Times New Roman"/>
          <w:b/>
          <w:bCs/>
          <w:i/>
          <w:iCs/>
          <w:sz w:val="24"/>
          <w:szCs w:val="24"/>
          <w:lang w:eastAsia="en-AU"/>
        </w:rPr>
        <w:t xml:space="preserve">Product Disclosure Statement </w:t>
      </w:r>
      <w:r>
        <w:rPr>
          <w:rFonts w:eastAsia="Times New Roman"/>
          <w:sz w:val="24"/>
          <w:szCs w:val="24"/>
          <w:lang w:eastAsia="en-AU"/>
        </w:rPr>
        <w:t xml:space="preserve">has the same meaning as in the </w:t>
      </w:r>
      <w:r>
        <w:rPr>
          <w:rFonts w:eastAsia="Times New Roman"/>
          <w:i/>
          <w:iCs/>
          <w:sz w:val="24"/>
          <w:szCs w:val="24"/>
          <w:lang w:eastAsia="en-AU"/>
        </w:rPr>
        <w:t xml:space="preserve">Corporations Act 2001. </w:t>
      </w:r>
    </w:p>
    <w:p w14:paraId="25AFADBE" w14:textId="457C8671" w:rsidR="00681FC1" w:rsidRPr="00C914A0" w:rsidRDefault="00681FC1" w:rsidP="007E559A">
      <w:pPr>
        <w:shd w:val="clear" w:color="auto" w:fill="FFFFFF"/>
        <w:spacing w:before="100" w:beforeAutospacing="1" w:after="100" w:afterAutospacing="1" w:line="240" w:lineRule="auto"/>
        <w:ind w:left="1134"/>
        <w:rPr>
          <w:rFonts w:eastAsia="Times New Roman"/>
          <w:bCs/>
          <w:i/>
          <w:iCs/>
          <w:sz w:val="24"/>
          <w:szCs w:val="24"/>
          <w:lang w:eastAsia="en-AU"/>
        </w:rPr>
      </w:pPr>
      <w:r>
        <w:rPr>
          <w:rFonts w:eastAsia="Times New Roman"/>
          <w:b/>
          <w:i/>
          <w:iCs/>
          <w:sz w:val="24"/>
          <w:szCs w:val="24"/>
          <w:lang w:eastAsia="en-AU"/>
        </w:rPr>
        <w:t xml:space="preserve">Relative </w:t>
      </w:r>
      <w:r w:rsidRPr="00C914A0">
        <w:rPr>
          <w:rFonts w:eastAsia="Times New Roman"/>
          <w:bCs/>
          <w:sz w:val="24"/>
          <w:szCs w:val="24"/>
          <w:lang w:eastAsia="en-AU"/>
        </w:rPr>
        <w:t xml:space="preserve">means any of the relationships described in the definition of </w:t>
      </w:r>
      <w:r w:rsidR="00C73863">
        <w:rPr>
          <w:rFonts w:eastAsia="Times New Roman"/>
          <w:bCs/>
          <w:sz w:val="24"/>
          <w:szCs w:val="24"/>
          <w:lang w:eastAsia="en-AU"/>
        </w:rPr>
        <w:t>“</w:t>
      </w:r>
      <w:r w:rsidRPr="00C914A0">
        <w:rPr>
          <w:rFonts w:eastAsia="Times New Roman"/>
          <w:bCs/>
          <w:sz w:val="24"/>
          <w:szCs w:val="24"/>
          <w:lang w:eastAsia="en-AU"/>
        </w:rPr>
        <w:t>relative</w:t>
      </w:r>
      <w:r w:rsidR="00C73863">
        <w:rPr>
          <w:rFonts w:eastAsia="Times New Roman"/>
          <w:bCs/>
          <w:sz w:val="24"/>
          <w:szCs w:val="24"/>
          <w:lang w:eastAsia="en-AU"/>
        </w:rPr>
        <w:t>”</w:t>
      </w:r>
      <w:r w:rsidRPr="00C914A0">
        <w:rPr>
          <w:rFonts w:eastAsia="Times New Roman"/>
          <w:bCs/>
          <w:sz w:val="24"/>
          <w:szCs w:val="24"/>
          <w:lang w:eastAsia="en-AU"/>
        </w:rPr>
        <w:t xml:space="preserve"> in section 9 of the Corporations Act</w:t>
      </w:r>
      <w:r w:rsidR="00C73863">
        <w:rPr>
          <w:rFonts w:eastAsia="Times New Roman"/>
          <w:bCs/>
          <w:sz w:val="24"/>
          <w:szCs w:val="24"/>
          <w:lang w:eastAsia="en-AU"/>
        </w:rPr>
        <w:t>.</w:t>
      </w:r>
    </w:p>
    <w:p w14:paraId="7A7E855C" w14:textId="177CB16F" w:rsidR="007E559A" w:rsidRDefault="007E559A" w:rsidP="007E559A">
      <w:pPr>
        <w:shd w:val="clear" w:color="auto" w:fill="FFFFFF"/>
        <w:spacing w:before="100" w:beforeAutospacing="1" w:after="100" w:afterAutospacing="1" w:line="240" w:lineRule="auto"/>
        <w:ind w:left="1134"/>
        <w:rPr>
          <w:rFonts w:eastAsia="Times New Roman"/>
          <w:iCs/>
          <w:sz w:val="24"/>
          <w:szCs w:val="24"/>
          <w:lang w:eastAsia="en-AU"/>
        </w:rPr>
      </w:pPr>
      <w:r>
        <w:rPr>
          <w:rFonts w:eastAsia="Times New Roman"/>
          <w:b/>
          <w:i/>
          <w:iCs/>
          <w:sz w:val="24"/>
          <w:szCs w:val="24"/>
          <w:lang w:eastAsia="en-AU"/>
        </w:rPr>
        <w:t xml:space="preserve">Regulations </w:t>
      </w:r>
      <w:r>
        <w:rPr>
          <w:rFonts w:eastAsia="Times New Roman"/>
          <w:iCs/>
          <w:sz w:val="24"/>
          <w:szCs w:val="24"/>
          <w:lang w:eastAsia="en-AU"/>
        </w:rPr>
        <w:t xml:space="preserve">means the </w:t>
      </w:r>
      <w:r>
        <w:rPr>
          <w:rFonts w:eastAsia="Times New Roman"/>
          <w:i/>
          <w:iCs/>
          <w:sz w:val="24"/>
          <w:szCs w:val="24"/>
          <w:lang w:eastAsia="en-AU"/>
        </w:rPr>
        <w:t>Superannuation Industry (Supervision) Regulations 1994</w:t>
      </w:r>
      <w:r>
        <w:rPr>
          <w:rFonts w:eastAsia="Times New Roman"/>
          <w:iCs/>
          <w:sz w:val="24"/>
          <w:szCs w:val="24"/>
          <w:lang w:eastAsia="en-AU"/>
        </w:rPr>
        <w:t>.</w:t>
      </w:r>
    </w:p>
    <w:p w14:paraId="62CF0378" w14:textId="77777777" w:rsidR="006F1120" w:rsidRPr="006F1120" w:rsidRDefault="006F1120" w:rsidP="007E559A">
      <w:pPr>
        <w:shd w:val="clear" w:color="auto" w:fill="FFFFFF"/>
        <w:spacing w:before="100" w:beforeAutospacing="1" w:after="100" w:afterAutospacing="1" w:line="240" w:lineRule="auto"/>
        <w:ind w:left="1134"/>
        <w:rPr>
          <w:rFonts w:eastAsia="Times New Roman"/>
          <w:sz w:val="24"/>
          <w:szCs w:val="24"/>
          <w:lang w:eastAsia="en-AU"/>
        </w:rPr>
      </w:pPr>
      <w:r w:rsidRPr="006F1120">
        <w:rPr>
          <w:rFonts w:eastAsia="Times New Roman"/>
          <w:b/>
          <w:bCs/>
          <w:i/>
          <w:iCs/>
          <w:sz w:val="24"/>
          <w:szCs w:val="24"/>
          <w:lang w:eastAsia="en-AU"/>
        </w:rPr>
        <w:t>Regulatory Guide 271</w:t>
      </w:r>
      <w:r>
        <w:rPr>
          <w:rFonts w:eastAsia="Times New Roman"/>
          <w:b/>
          <w:bCs/>
          <w:i/>
          <w:iCs/>
          <w:sz w:val="24"/>
          <w:szCs w:val="24"/>
          <w:lang w:eastAsia="en-AU"/>
        </w:rPr>
        <w:t xml:space="preserve"> </w:t>
      </w:r>
      <w:r>
        <w:rPr>
          <w:rFonts w:eastAsia="Times New Roman"/>
          <w:sz w:val="24"/>
          <w:szCs w:val="24"/>
          <w:lang w:eastAsia="en-AU"/>
        </w:rPr>
        <w:t xml:space="preserve">means ASIC </w:t>
      </w:r>
      <w:r w:rsidR="00E75C33">
        <w:rPr>
          <w:rFonts w:eastAsia="Times New Roman"/>
          <w:sz w:val="24"/>
          <w:szCs w:val="24"/>
          <w:lang w:eastAsia="en-AU"/>
        </w:rPr>
        <w:t>Regulatory</w:t>
      </w:r>
      <w:r>
        <w:rPr>
          <w:rFonts w:eastAsia="Times New Roman"/>
          <w:sz w:val="24"/>
          <w:szCs w:val="24"/>
          <w:lang w:eastAsia="en-AU"/>
        </w:rPr>
        <w:t xml:space="preserve"> Guide 271 </w:t>
      </w:r>
      <w:r w:rsidR="008E189B">
        <w:rPr>
          <w:rFonts w:eastAsia="Times New Roman"/>
          <w:i/>
          <w:iCs/>
          <w:sz w:val="24"/>
          <w:szCs w:val="24"/>
          <w:lang w:eastAsia="en-AU"/>
        </w:rPr>
        <w:t>I</w:t>
      </w:r>
      <w:r>
        <w:rPr>
          <w:rFonts w:eastAsia="Times New Roman"/>
          <w:i/>
          <w:iCs/>
          <w:sz w:val="24"/>
          <w:szCs w:val="24"/>
          <w:lang w:eastAsia="en-AU"/>
        </w:rPr>
        <w:t xml:space="preserve">nternal Dispute Resolution </w:t>
      </w:r>
      <w:r>
        <w:rPr>
          <w:rFonts w:eastAsia="Times New Roman"/>
          <w:sz w:val="24"/>
          <w:szCs w:val="24"/>
          <w:lang w:eastAsia="en-AU"/>
        </w:rPr>
        <w:t xml:space="preserve">as published on 2 September 2021. </w:t>
      </w:r>
    </w:p>
    <w:p w14:paraId="3AC505E9" w14:textId="77777777" w:rsidR="00D33C71" w:rsidRDefault="00D33C71" w:rsidP="00D33C71">
      <w:pPr>
        <w:pStyle w:val="LI-BodyTextUnnumbered"/>
        <w:rPr>
          <w:b/>
          <w:i/>
          <w:szCs w:val="24"/>
        </w:rPr>
      </w:pPr>
      <w:r>
        <w:rPr>
          <w:b/>
          <w:i/>
          <w:szCs w:val="24"/>
        </w:rPr>
        <w:t>SIS Act</w:t>
      </w:r>
      <w:r>
        <w:rPr>
          <w:szCs w:val="24"/>
        </w:rPr>
        <w:t xml:space="preserve"> means the </w:t>
      </w:r>
      <w:r>
        <w:rPr>
          <w:i/>
          <w:szCs w:val="24"/>
        </w:rPr>
        <w:t>Superannuation Industry (Supervision) Act 1993</w:t>
      </w:r>
      <w:r>
        <w:rPr>
          <w:szCs w:val="24"/>
        </w:rPr>
        <w:t xml:space="preserve">. </w:t>
      </w:r>
    </w:p>
    <w:p w14:paraId="33808407" w14:textId="77777777" w:rsidR="00D33C71" w:rsidRDefault="00D33C71" w:rsidP="007E559A">
      <w:pPr>
        <w:shd w:val="clear" w:color="auto" w:fill="FFFFFF"/>
        <w:spacing w:before="100" w:beforeAutospacing="1" w:after="100" w:afterAutospacing="1" w:line="240" w:lineRule="auto"/>
        <w:ind w:left="1134"/>
        <w:rPr>
          <w:rFonts w:eastAsia="Times New Roman"/>
          <w:sz w:val="24"/>
          <w:szCs w:val="24"/>
          <w:lang w:eastAsia="en-AU"/>
        </w:rPr>
      </w:pPr>
      <w:r>
        <w:rPr>
          <w:rFonts w:eastAsia="Times New Roman"/>
          <w:b/>
          <w:bCs/>
          <w:i/>
          <w:iCs/>
          <w:sz w:val="24"/>
          <w:szCs w:val="24"/>
          <w:lang w:eastAsia="en-AU"/>
        </w:rPr>
        <w:t xml:space="preserve">Vanguard Super </w:t>
      </w:r>
      <w:r>
        <w:rPr>
          <w:rFonts w:eastAsia="Times New Roman"/>
          <w:sz w:val="24"/>
          <w:szCs w:val="24"/>
          <w:lang w:eastAsia="en-AU"/>
        </w:rPr>
        <w:t xml:space="preserve">means Vanguard Super Pty Ltd ACN 643 614 386 </w:t>
      </w:r>
      <w:r w:rsidR="00D222DA">
        <w:rPr>
          <w:rFonts w:eastAsia="Times New Roman"/>
          <w:sz w:val="24"/>
          <w:szCs w:val="24"/>
          <w:lang w:eastAsia="en-AU"/>
        </w:rPr>
        <w:t xml:space="preserve">in its </w:t>
      </w:r>
      <w:r>
        <w:rPr>
          <w:rFonts w:eastAsia="Times New Roman"/>
          <w:sz w:val="24"/>
          <w:szCs w:val="24"/>
          <w:lang w:eastAsia="en-AU"/>
        </w:rPr>
        <w:t>capacity as th</w:t>
      </w:r>
      <w:r w:rsidR="00D222DA">
        <w:rPr>
          <w:rFonts w:eastAsia="Times New Roman"/>
          <w:sz w:val="24"/>
          <w:szCs w:val="24"/>
          <w:lang w:eastAsia="en-AU"/>
        </w:rPr>
        <w:t>e</w:t>
      </w:r>
      <w:r>
        <w:rPr>
          <w:rFonts w:eastAsia="Times New Roman"/>
          <w:sz w:val="24"/>
          <w:szCs w:val="24"/>
          <w:lang w:eastAsia="en-AU"/>
        </w:rPr>
        <w:t xml:space="preserve"> trustee of the Vanguard Super Fund. </w:t>
      </w:r>
    </w:p>
    <w:p w14:paraId="6455C5DA" w14:textId="2B0E9940" w:rsidR="00D33C71" w:rsidRPr="00D33C71" w:rsidRDefault="00D33C71" w:rsidP="00D33C71">
      <w:pPr>
        <w:shd w:val="clear" w:color="auto" w:fill="FFFFFF"/>
        <w:spacing w:before="100" w:beforeAutospacing="1" w:after="100" w:afterAutospacing="1" w:line="240" w:lineRule="auto"/>
        <w:ind w:left="1134"/>
        <w:rPr>
          <w:rFonts w:eastAsia="Times New Roman"/>
          <w:bCs/>
          <w:i/>
          <w:iCs/>
          <w:sz w:val="24"/>
          <w:szCs w:val="24"/>
          <w:lang w:eastAsia="en-AU"/>
        </w:rPr>
      </w:pPr>
      <w:r>
        <w:rPr>
          <w:rFonts w:eastAsia="Times New Roman"/>
          <w:b/>
          <w:i/>
          <w:iCs/>
          <w:sz w:val="24"/>
          <w:szCs w:val="24"/>
          <w:lang w:eastAsia="en-AU"/>
        </w:rPr>
        <w:t xml:space="preserve">Vanguard Super Fund </w:t>
      </w:r>
      <w:r w:rsidRPr="00D33C71">
        <w:rPr>
          <w:rFonts w:eastAsia="Times New Roman"/>
          <w:bCs/>
          <w:sz w:val="24"/>
          <w:szCs w:val="24"/>
          <w:lang w:eastAsia="en-AU"/>
        </w:rPr>
        <w:t xml:space="preserve">means </w:t>
      </w:r>
      <w:r>
        <w:rPr>
          <w:rFonts w:eastAsia="Times New Roman"/>
          <w:bCs/>
          <w:sz w:val="24"/>
          <w:szCs w:val="24"/>
          <w:lang w:eastAsia="en-AU"/>
        </w:rPr>
        <w:t xml:space="preserve">the fund constituted by the trust deed dated 22 July 2022 and </w:t>
      </w:r>
      <w:r w:rsidR="009E62E0">
        <w:rPr>
          <w:rFonts w:eastAsia="Times New Roman"/>
          <w:bCs/>
          <w:sz w:val="24"/>
          <w:szCs w:val="24"/>
          <w:lang w:eastAsia="en-AU"/>
        </w:rPr>
        <w:t xml:space="preserve">of which </w:t>
      </w:r>
      <w:r>
        <w:rPr>
          <w:rFonts w:eastAsia="Times New Roman"/>
          <w:bCs/>
          <w:sz w:val="24"/>
          <w:szCs w:val="24"/>
          <w:lang w:eastAsia="en-AU"/>
        </w:rPr>
        <w:t>Vanguard Super</w:t>
      </w:r>
      <w:r w:rsidR="00D222DA">
        <w:rPr>
          <w:rFonts w:eastAsia="Times New Roman"/>
          <w:bCs/>
          <w:sz w:val="24"/>
          <w:szCs w:val="24"/>
          <w:lang w:eastAsia="en-AU"/>
        </w:rPr>
        <w:t xml:space="preserve"> Pty Ltd</w:t>
      </w:r>
      <w:r>
        <w:rPr>
          <w:rFonts w:eastAsia="Times New Roman"/>
          <w:bCs/>
          <w:i/>
          <w:iCs/>
          <w:sz w:val="24"/>
          <w:szCs w:val="24"/>
          <w:lang w:eastAsia="en-AU"/>
        </w:rPr>
        <w:t xml:space="preserve"> </w:t>
      </w:r>
      <w:r w:rsidR="00681FC1">
        <w:rPr>
          <w:rFonts w:eastAsia="Times New Roman"/>
          <w:bCs/>
          <w:sz w:val="24"/>
          <w:szCs w:val="24"/>
          <w:lang w:eastAsia="en-AU"/>
        </w:rPr>
        <w:t>i</w:t>
      </w:r>
      <w:r w:rsidRPr="00D33C71">
        <w:rPr>
          <w:rFonts w:eastAsia="Times New Roman"/>
          <w:bCs/>
          <w:sz w:val="24"/>
          <w:szCs w:val="24"/>
          <w:lang w:eastAsia="en-AU"/>
        </w:rPr>
        <w:t xml:space="preserve">s trustee. </w:t>
      </w:r>
    </w:p>
    <w:p w14:paraId="499416B5" w14:textId="77777777" w:rsidR="007E559A" w:rsidRDefault="007E559A" w:rsidP="007E559A">
      <w:pPr>
        <w:pStyle w:val="LI-Heading1"/>
        <w:ind w:left="1138" w:hanging="1138"/>
      </w:pPr>
      <w:bookmarkStart w:id="13" w:name="_Toc485818190"/>
      <w:bookmarkStart w:id="14" w:name="_Toc114048869"/>
      <w:r>
        <w:t>Part 2—Exemption</w:t>
      </w:r>
      <w:bookmarkEnd w:id="13"/>
      <w:r w:rsidR="006F1120">
        <w:t>s</w:t>
      </w:r>
      <w:bookmarkEnd w:id="14"/>
    </w:p>
    <w:p w14:paraId="513807C7" w14:textId="77777777" w:rsidR="007E559A" w:rsidRDefault="00E3699F" w:rsidP="007E559A">
      <w:pPr>
        <w:pStyle w:val="LI-Heading2"/>
        <w:rPr>
          <w:szCs w:val="24"/>
        </w:rPr>
      </w:pPr>
      <w:bookmarkStart w:id="15" w:name="_Toc485818191"/>
      <w:bookmarkStart w:id="16" w:name="_Toc114048870"/>
      <w:r>
        <w:rPr>
          <w:szCs w:val="24"/>
        </w:rPr>
        <w:t>5</w:t>
      </w:r>
      <w:r w:rsidR="007E559A">
        <w:rPr>
          <w:szCs w:val="24"/>
        </w:rPr>
        <w:tab/>
      </w:r>
      <w:r w:rsidR="006F1120">
        <w:rPr>
          <w:szCs w:val="24"/>
        </w:rPr>
        <w:t>SIS Act</w:t>
      </w:r>
      <w:r w:rsidR="007E559A">
        <w:rPr>
          <w:szCs w:val="24"/>
        </w:rPr>
        <w:t xml:space="preserve"> </w:t>
      </w:r>
      <w:r w:rsidR="00417773">
        <w:rPr>
          <w:szCs w:val="24"/>
        </w:rPr>
        <w:t>exemption</w:t>
      </w:r>
      <w:r w:rsidR="007C1581">
        <w:rPr>
          <w:szCs w:val="24"/>
        </w:rPr>
        <w:t xml:space="preserve"> - </w:t>
      </w:r>
      <w:bookmarkEnd w:id="15"/>
      <w:r w:rsidR="006F1120">
        <w:rPr>
          <w:szCs w:val="24"/>
        </w:rPr>
        <w:t>website</w:t>
      </w:r>
      <w:r w:rsidR="007C1581">
        <w:rPr>
          <w:szCs w:val="24"/>
        </w:rPr>
        <w:t xml:space="preserve"> information</w:t>
      </w:r>
      <w:bookmarkEnd w:id="16"/>
    </w:p>
    <w:p w14:paraId="6D8F37F4" w14:textId="77777777" w:rsidR="007E559A" w:rsidRDefault="007E559A" w:rsidP="007E559A">
      <w:pPr>
        <w:pStyle w:val="LI-BodyTextNumbered"/>
      </w:pPr>
      <w:r>
        <w:t>(1)</w:t>
      </w:r>
      <w:r>
        <w:tab/>
      </w:r>
      <w:r w:rsidR="00D33C71">
        <w:t>Vanguard Super</w:t>
      </w:r>
      <w:r>
        <w:t xml:space="preserve"> does not have to comply with subsection 29QB(1) of the </w:t>
      </w:r>
      <w:r w:rsidR="00D33C71">
        <w:t xml:space="preserve">SIS </w:t>
      </w:r>
      <w:r>
        <w:t xml:space="preserve">Act to the extent that it requires </w:t>
      </w:r>
      <w:r w:rsidR="00E75C33">
        <w:t>Vanguard</w:t>
      </w:r>
      <w:r w:rsidR="00D33C71">
        <w:t xml:space="preserve"> Super</w:t>
      </w:r>
      <w:r>
        <w:t xml:space="preserve"> to make publicly available, or update, any of the following details, </w:t>
      </w:r>
      <w:proofErr w:type="gramStart"/>
      <w:r>
        <w:t>documents</w:t>
      </w:r>
      <w:proofErr w:type="gramEnd"/>
      <w:r>
        <w:t xml:space="preserve"> or information on the</w:t>
      </w:r>
      <w:r w:rsidR="00D33C71">
        <w:t xml:space="preserve"> Vanguard Super</w:t>
      </w:r>
      <w:r>
        <w:t xml:space="preserve"> </w:t>
      </w:r>
      <w:r w:rsidR="00D33C71">
        <w:t>Fund</w:t>
      </w:r>
      <w:r>
        <w:t xml:space="preserve">’s website </w:t>
      </w:r>
      <w:r w:rsidR="00F32B12">
        <w:t>during the</w:t>
      </w:r>
      <w:r w:rsidR="00D33C71">
        <w:t xml:space="preserve"> Deferral Period</w:t>
      </w:r>
      <w:r>
        <w:t>:</w:t>
      </w:r>
    </w:p>
    <w:p w14:paraId="2A62839A" w14:textId="77777777" w:rsidR="007E559A" w:rsidRDefault="007E559A" w:rsidP="00D33C71">
      <w:pPr>
        <w:pStyle w:val="LI-Sectionparaa"/>
        <w:ind w:left="1701"/>
        <w:rPr>
          <w:lang w:val="en-US"/>
        </w:rPr>
      </w:pPr>
      <w:r>
        <w:t xml:space="preserve">(a)   </w:t>
      </w:r>
      <w:r>
        <w:tab/>
        <w:t xml:space="preserve">details about a person referred to in item 1 of the table in </w:t>
      </w:r>
      <w:proofErr w:type="spellStart"/>
      <w:r>
        <w:t>subregulation</w:t>
      </w:r>
      <w:proofErr w:type="spellEnd"/>
      <w:r>
        <w:t xml:space="preserve"> 2.37(1) of the </w:t>
      </w:r>
      <w:proofErr w:type="gramStart"/>
      <w:r>
        <w:t>Regulations</w:t>
      </w:r>
      <w:r w:rsidR="00D33C71">
        <w:t>;</w:t>
      </w:r>
      <w:proofErr w:type="gramEnd"/>
      <w:r w:rsidR="00D33C71">
        <w:t xml:space="preserve">  </w:t>
      </w:r>
    </w:p>
    <w:p w14:paraId="205F7D72" w14:textId="77777777" w:rsidR="00DF400A" w:rsidRDefault="007E559A" w:rsidP="007E559A">
      <w:pPr>
        <w:pStyle w:val="LI-Sectionparaa"/>
        <w:ind w:left="1701"/>
      </w:pPr>
      <w:r>
        <w:t>(b)   </w:t>
      </w:r>
      <w:r w:rsidR="00D33C71">
        <w:tab/>
      </w:r>
      <w:r w:rsidR="00DF400A">
        <w:t xml:space="preserve">details referred to in each of items 2 to 4 of the table in </w:t>
      </w:r>
      <w:proofErr w:type="spellStart"/>
      <w:r w:rsidR="00DF400A">
        <w:t>subregulation</w:t>
      </w:r>
      <w:proofErr w:type="spellEnd"/>
      <w:r w:rsidR="00DF400A">
        <w:t xml:space="preserve"> 2.37(1) of the </w:t>
      </w:r>
      <w:proofErr w:type="gramStart"/>
      <w:r w:rsidR="00DF400A">
        <w:t>Regulations;</w:t>
      </w:r>
      <w:proofErr w:type="gramEnd"/>
      <w:r w:rsidR="00DF400A">
        <w:t xml:space="preserve"> </w:t>
      </w:r>
    </w:p>
    <w:p w14:paraId="0A5C315E" w14:textId="77777777" w:rsidR="00A53624" w:rsidRDefault="00DF400A" w:rsidP="007E559A">
      <w:pPr>
        <w:pStyle w:val="LI-Sectionparaa"/>
        <w:ind w:left="1701"/>
      </w:pPr>
      <w:r>
        <w:t>(c)</w:t>
      </w:r>
      <w:r>
        <w:tab/>
      </w:r>
      <w:r w:rsidR="00A53624">
        <w:t xml:space="preserve">details referred to item in 9 of the table in </w:t>
      </w:r>
      <w:proofErr w:type="spellStart"/>
      <w:r w:rsidR="00A53624">
        <w:t>subregulation</w:t>
      </w:r>
      <w:proofErr w:type="spellEnd"/>
      <w:r w:rsidR="00A53624">
        <w:t xml:space="preserve"> 2.37(1) of the </w:t>
      </w:r>
      <w:proofErr w:type="gramStart"/>
      <w:r w:rsidR="00A53624">
        <w:t>Regulations;</w:t>
      </w:r>
      <w:proofErr w:type="gramEnd"/>
      <w:r w:rsidR="00A53624">
        <w:t xml:space="preserve"> </w:t>
      </w:r>
    </w:p>
    <w:p w14:paraId="0DDEAA69" w14:textId="77777777" w:rsidR="007E559A" w:rsidRDefault="007E559A" w:rsidP="00D33C71">
      <w:pPr>
        <w:pStyle w:val="LI-Sectionparaa"/>
        <w:ind w:left="1701"/>
        <w:rPr>
          <w:lang w:val="en-US"/>
        </w:rPr>
      </w:pPr>
      <w:r>
        <w:t>(</w:t>
      </w:r>
      <w:r w:rsidR="006F1120">
        <w:t>d</w:t>
      </w:r>
      <w:r>
        <w:t>)   </w:t>
      </w:r>
      <w:r w:rsidR="00D33C71">
        <w:tab/>
        <w:t xml:space="preserve">a document referred to in </w:t>
      </w:r>
      <w:r w:rsidR="00ED3D49">
        <w:t xml:space="preserve">each </w:t>
      </w:r>
      <w:r w:rsidR="00D33C71">
        <w:t xml:space="preserve">of paragraphs 2.38(2)(a) to (c) of the </w:t>
      </w:r>
      <w:proofErr w:type="gramStart"/>
      <w:r w:rsidR="00D33C71">
        <w:t>Regulations;</w:t>
      </w:r>
      <w:proofErr w:type="gramEnd"/>
      <w:r w:rsidR="00D33C71">
        <w:t xml:space="preserve">  </w:t>
      </w:r>
    </w:p>
    <w:p w14:paraId="323C27A8" w14:textId="77777777" w:rsidR="007E559A" w:rsidRDefault="007E559A" w:rsidP="007E559A">
      <w:pPr>
        <w:pStyle w:val="LI-Sectionparaa"/>
        <w:ind w:left="1701"/>
        <w:rPr>
          <w:lang w:val="en-US"/>
        </w:rPr>
      </w:pPr>
      <w:r>
        <w:t>(</w:t>
      </w:r>
      <w:r w:rsidR="006F1120">
        <w:t>e</w:t>
      </w:r>
      <w:r>
        <w:t>)    </w:t>
      </w:r>
      <w:r>
        <w:tab/>
      </w:r>
      <w:r w:rsidR="00395FDE">
        <w:t xml:space="preserve">a product disclosure statement referred to in paragraph 2.38(2)(e) of the </w:t>
      </w:r>
      <w:proofErr w:type="gramStart"/>
      <w:r w:rsidR="00395FDE">
        <w:t>Regulations</w:t>
      </w:r>
      <w:r w:rsidR="00A53624">
        <w:t>;</w:t>
      </w:r>
      <w:proofErr w:type="gramEnd"/>
      <w:r w:rsidR="00A53624">
        <w:t xml:space="preserve"> </w:t>
      </w:r>
    </w:p>
    <w:p w14:paraId="48CA23A2" w14:textId="77777777" w:rsidR="007E559A" w:rsidRDefault="007E559A" w:rsidP="007E559A">
      <w:pPr>
        <w:pStyle w:val="LI-Sectionparaa"/>
        <w:ind w:left="1701"/>
        <w:rPr>
          <w:lang w:val="en-US"/>
        </w:rPr>
      </w:pPr>
      <w:r>
        <w:lastRenderedPageBreak/>
        <w:t>(</w:t>
      </w:r>
      <w:r w:rsidR="006F1120">
        <w:t>f</w:t>
      </w:r>
      <w:r w:rsidR="00395FDE">
        <w:t>)</w:t>
      </w:r>
      <w:r w:rsidR="00A53624">
        <w:tab/>
        <w:t>information in relation to a person referred to in paragraph 2.38(2)(</w:t>
      </w:r>
      <w:proofErr w:type="spellStart"/>
      <w:r w:rsidR="00A53624">
        <w:t>i</w:t>
      </w:r>
      <w:proofErr w:type="spellEnd"/>
      <w:r w:rsidR="00A53624">
        <w:t xml:space="preserve">) of the </w:t>
      </w:r>
      <w:proofErr w:type="gramStart"/>
      <w:r w:rsidR="00A53624">
        <w:t>Regulations;</w:t>
      </w:r>
      <w:proofErr w:type="gramEnd"/>
      <w:r w:rsidR="00A53624">
        <w:t xml:space="preserve"> </w:t>
      </w:r>
    </w:p>
    <w:p w14:paraId="0DC5E242" w14:textId="77777777" w:rsidR="00A53624" w:rsidRDefault="007E559A" w:rsidP="007E559A">
      <w:pPr>
        <w:pStyle w:val="LI-Sectionparaa"/>
        <w:ind w:left="1701"/>
      </w:pPr>
      <w:r>
        <w:t>(</w:t>
      </w:r>
      <w:r w:rsidR="006F1120">
        <w:t>g</w:t>
      </w:r>
      <w:r>
        <w:t>)</w:t>
      </w:r>
      <w:r w:rsidR="00A53624">
        <w:tab/>
        <w:t xml:space="preserve">information in relation to a person referred to in paragraph 2.38(2)(j) of the </w:t>
      </w:r>
      <w:proofErr w:type="gramStart"/>
      <w:r w:rsidR="00A53624">
        <w:t>Regulations;</w:t>
      </w:r>
      <w:proofErr w:type="gramEnd"/>
      <w:r w:rsidR="00A53624">
        <w:t xml:space="preserve"> </w:t>
      </w:r>
    </w:p>
    <w:p w14:paraId="7B85C0BC" w14:textId="77777777" w:rsidR="00A53624" w:rsidRDefault="00A53624" w:rsidP="007E559A">
      <w:pPr>
        <w:pStyle w:val="LI-Sectionparaa"/>
        <w:ind w:left="1701"/>
      </w:pPr>
      <w:r>
        <w:t>(</w:t>
      </w:r>
      <w:r w:rsidR="006F1120">
        <w:t>h</w:t>
      </w:r>
      <w:r>
        <w:t>)</w:t>
      </w:r>
      <w:r>
        <w:tab/>
        <w:t xml:space="preserve">a record of attendance for a director referred to in paragraph 2.38(2)(k) of the </w:t>
      </w:r>
      <w:proofErr w:type="gramStart"/>
      <w:r>
        <w:t>Regulations;</w:t>
      </w:r>
      <w:proofErr w:type="gramEnd"/>
      <w:r>
        <w:t xml:space="preserve">  </w:t>
      </w:r>
    </w:p>
    <w:p w14:paraId="553FE66E" w14:textId="77777777" w:rsidR="007E559A" w:rsidRDefault="007E559A" w:rsidP="00A53624">
      <w:pPr>
        <w:pStyle w:val="LI-Sectionparaa"/>
        <w:tabs>
          <w:tab w:val="left" w:pos="1701"/>
        </w:tabs>
        <w:ind w:left="1134" w:firstLine="0"/>
        <w:rPr>
          <w:lang w:val="en-US"/>
        </w:rPr>
      </w:pPr>
      <w:r>
        <w:t>(</w:t>
      </w:r>
      <w:proofErr w:type="spellStart"/>
      <w:r w:rsidR="006F1120">
        <w:t>i</w:t>
      </w:r>
      <w:proofErr w:type="spellEnd"/>
      <w:r>
        <w:t>)</w:t>
      </w:r>
      <w:r w:rsidR="00A53624">
        <w:tab/>
        <w:t xml:space="preserve">a register referred to in paragraph 2.38(2)(l) of the </w:t>
      </w:r>
      <w:proofErr w:type="gramStart"/>
      <w:r w:rsidR="00A53624">
        <w:t>Regulations;</w:t>
      </w:r>
      <w:proofErr w:type="gramEnd"/>
      <w:r w:rsidR="00A53624">
        <w:t xml:space="preserve"> </w:t>
      </w:r>
      <w:r>
        <w:t xml:space="preserve"> </w:t>
      </w:r>
    </w:p>
    <w:p w14:paraId="0F77E6CD" w14:textId="77777777" w:rsidR="007E559A" w:rsidRDefault="007E559A" w:rsidP="007E559A">
      <w:pPr>
        <w:pStyle w:val="LI-Sectionparaa"/>
        <w:ind w:left="1701"/>
        <w:rPr>
          <w:lang w:val="en-US"/>
        </w:rPr>
      </w:pPr>
      <w:r>
        <w:t>(</w:t>
      </w:r>
      <w:r w:rsidR="006F1120">
        <w:t>j</w:t>
      </w:r>
      <w:r>
        <w:t>)</w:t>
      </w:r>
      <w:r w:rsidR="00A53624">
        <w:tab/>
        <w:t xml:space="preserve">a summary of the conflicts management policy referred to in paragraph 2.38(2)(m) of the </w:t>
      </w:r>
      <w:proofErr w:type="gramStart"/>
      <w:r w:rsidR="00A53624">
        <w:t>Regulations</w:t>
      </w:r>
      <w:r>
        <w:t>;</w:t>
      </w:r>
      <w:proofErr w:type="gramEnd"/>
    </w:p>
    <w:p w14:paraId="05DDFBFA" w14:textId="6A19F621" w:rsidR="007E559A" w:rsidRDefault="007E559A" w:rsidP="007E559A">
      <w:pPr>
        <w:pStyle w:val="LI-Sectionparaa"/>
        <w:ind w:left="1701"/>
        <w:rPr>
          <w:lang w:val="en-US"/>
        </w:rPr>
      </w:pPr>
      <w:r>
        <w:t>(</w:t>
      </w:r>
      <w:r w:rsidR="006F1120">
        <w:t>k</w:t>
      </w:r>
      <w:r>
        <w:t>)   </w:t>
      </w:r>
      <w:r>
        <w:tab/>
      </w:r>
      <w:r w:rsidR="00A53624">
        <w:t xml:space="preserve">a policy referred to in paragraph 2.38(2)(n) of the </w:t>
      </w:r>
      <w:proofErr w:type="gramStart"/>
      <w:r w:rsidR="00A53624">
        <w:t>Regulations</w:t>
      </w:r>
      <w:r>
        <w:t>;</w:t>
      </w:r>
      <w:proofErr w:type="gramEnd"/>
      <w:r>
        <w:t xml:space="preserve"> </w:t>
      </w:r>
    </w:p>
    <w:p w14:paraId="30184D75" w14:textId="77777777" w:rsidR="007E559A" w:rsidRDefault="007E559A" w:rsidP="007E559A">
      <w:pPr>
        <w:pStyle w:val="LI-Sectionparaa"/>
        <w:ind w:left="1701"/>
      </w:pPr>
      <w:r>
        <w:t>(</w:t>
      </w:r>
      <w:r w:rsidR="006F1120">
        <w:t>l</w:t>
      </w:r>
      <w:r>
        <w:t>)</w:t>
      </w:r>
      <w:r w:rsidR="00A53624">
        <w:tab/>
        <w:t>the constitution referred to in paragraph 2.38(3)(a) of the Regulations</w:t>
      </w:r>
      <w:r w:rsidR="006F1120">
        <w:t xml:space="preserve">. </w:t>
      </w:r>
    </w:p>
    <w:p w14:paraId="2F605EB7" w14:textId="18553539" w:rsidR="00E3699F" w:rsidRDefault="00E3699F" w:rsidP="00E3699F">
      <w:pPr>
        <w:pStyle w:val="LI-Sectionparaa"/>
        <w:ind w:left="1134"/>
        <w:rPr>
          <w:lang w:val="en-US"/>
        </w:rPr>
      </w:pPr>
      <w:r>
        <w:t>(2)</w:t>
      </w:r>
      <w:r>
        <w:tab/>
      </w:r>
      <w:r w:rsidR="00FB51E5">
        <w:t xml:space="preserve">The exemption specified in </w:t>
      </w:r>
      <w:r w:rsidR="00446B83">
        <w:t xml:space="preserve">subsection </w:t>
      </w:r>
      <w:r w:rsidR="00417773">
        <w:t>5</w:t>
      </w:r>
      <w:r w:rsidR="00FB51E5">
        <w:t xml:space="preserve">(1) </w:t>
      </w:r>
      <w:r w:rsidR="00F32B12">
        <w:t>appl</w:t>
      </w:r>
      <w:r w:rsidR="009C3573">
        <w:t>ies</w:t>
      </w:r>
      <w:r w:rsidR="00F32B12">
        <w:t xml:space="preserve"> where Vanguard Super complies with</w:t>
      </w:r>
      <w:r w:rsidR="00FB51E5">
        <w:t xml:space="preserve"> the conditions in </w:t>
      </w:r>
      <w:r w:rsidR="00446B83">
        <w:t xml:space="preserve">section </w:t>
      </w:r>
      <w:r w:rsidR="00FB51E5">
        <w:t xml:space="preserve">10. </w:t>
      </w:r>
    </w:p>
    <w:p w14:paraId="1F1E6AD3" w14:textId="77777777" w:rsidR="007E559A" w:rsidRDefault="00E3699F" w:rsidP="007E559A">
      <w:pPr>
        <w:pStyle w:val="LI-Heading2"/>
        <w:rPr>
          <w:szCs w:val="24"/>
        </w:rPr>
      </w:pPr>
      <w:bookmarkStart w:id="17" w:name="_Toc485818192"/>
      <w:bookmarkStart w:id="18" w:name="_Toc114048871"/>
      <w:r>
        <w:rPr>
          <w:szCs w:val="24"/>
        </w:rPr>
        <w:t>6</w:t>
      </w:r>
      <w:r w:rsidR="007E559A">
        <w:rPr>
          <w:szCs w:val="24"/>
        </w:rPr>
        <w:tab/>
      </w:r>
      <w:r w:rsidR="007C1581">
        <w:rPr>
          <w:szCs w:val="24"/>
        </w:rPr>
        <w:t xml:space="preserve">Corporations Act exemption - </w:t>
      </w:r>
      <w:bookmarkEnd w:id="17"/>
      <w:r w:rsidR="007C1581">
        <w:rPr>
          <w:szCs w:val="24"/>
        </w:rPr>
        <w:t xml:space="preserve">complaints management </w:t>
      </w:r>
      <w:r w:rsidR="00E75C33">
        <w:rPr>
          <w:szCs w:val="24"/>
        </w:rPr>
        <w:t>documentation</w:t>
      </w:r>
      <w:bookmarkEnd w:id="18"/>
      <w:r w:rsidR="005B42A8">
        <w:rPr>
          <w:szCs w:val="24"/>
        </w:rPr>
        <w:t xml:space="preserve"> </w:t>
      </w:r>
    </w:p>
    <w:p w14:paraId="6CF4DA0C" w14:textId="2227A847" w:rsidR="00FB51E5" w:rsidRDefault="007E559A" w:rsidP="00796794">
      <w:pPr>
        <w:shd w:val="clear" w:color="auto" w:fill="FFFFFF"/>
        <w:spacing w:before="100" w:beforeAutospacing="1" w:after="100" w:afterAutospacing="1" w:line="240" w:lineRule="auto"/>
        <w:ind w:left="1134" w:hanging="567"/>
        <w:rPr>
          <w:rFonts w:eastAsia="Times New Roman"/>
          <w:sz w:val="24"/>
          <w:szCs w:val="24"/>
          <w:lang w:eastAsia="en-AU"/>
        </w:rPr>
      </w:pPr>
      <w:r>
        <w:rPr>
          <w:rFonts w:eastAsia="Times New Roman"/>
          <w:sz w:val="24"/>
          <w:szCs w:val="24"/>
          <w:lang w:eastAsia="en-AU"/>
        </w:rPr>
        <w:t>(1)</w:t>
      </w:r>
      <w:r>
        <w:rPr>
          <w:rFonts w:eastAsia="Times New Roman"/>
          <w:sz w:val="24"/>
          <w:szCs w:val="24"/>
          <w:lang w:eastAsia="en-AU"/>
        </w:rPr>
        <w:tab/>
      </w:r>
      <w:r w:rsidR="006F1120">
        <w:rPr>
          <w:rFonts w:eastAsia="Times New Roman"/>
          <w:sz w:val="24"/>
          <w:szCs w:val="24"/>
          <w:lang w:eastAsia="en-AU"/>
        </w:rPr>
        <w:t>Vanguard Super</w:t>
      </w:r>
      <w:r>
        <w:rPr>
          <w:rFonts w:eastAsia="Times New Roman"/>
          <w:sz w:val="24"/>
          <w:szCs w:val="24"/>
          <w:lang w:eastAsia="en-AU"/>
        </w:rPr>
        <w:t xml:space="preserve"> </w:t>
      </w:r>
      <w:r w:rsidR="006F1120" w:rsidRPr="006F1120">
        <w:rPr>
          <w:rFonts w:eastAsia="Times New Roman"/>
          <w:sz w:val="24"/>
          <w:szCs w:val="24"/>
          <w:lang w:eastAsia="en-AU"/>
        </w:rPr>
        <w:t xml:space="preserve">does not have to comply with </w:t>
      </w:r>
      <w:r w:rsidR="006F1120">
        <w:rPr>
          <w:rFonts w:eastAsia="Times New Roman"/>
          <w:sz w:val="24"/>
          <w:szCs w:val="24"/>
          <w:lang w:eastAsia="en-AU"/>
        </w:rPr>
        <w:t xml:space="preserve">the standard and requirement made by ASIC for the purposes of </w:t>
      </w:r>
      <w:r w:rsidR="00A4552E">
        <w:rPr>
          <w:rFonts w:eastAsia="Times New Roman"/>
          <w:sz w:val="24"/>
          <w:szCs w:val="24"/>
          <w:lang w:eastAsia="en-AU"/>
        </w:rPr>
        <w:t>sub</w:t>
      </w:r>
      <w:r w:rsidR="008F6F9C">
        <w:rPr>
          <w:rFonts w:eastAsia="Times New Roman"/>
          <w:sz w:val="24"/>
          <w:szCs w:val="24"/>
          <w:lang w:eastAsia="en-AU"/>
        </w:rPr>
        <w:t xml:space="preserve">section </w:t>
      </w:r>
      <w:r w:rsidR="006F1120">
        <w:rPr>
          <w:rFonts w:eastAsia="Times New Roman"/>
          <w:sz w:val="24"/>
          <w:szCs w:val="24"/>
          <w:lang w:eastAsia="en-AU"/>
        </w:rPr>
        <w:t xml:space="preserve">912A(2) of the Corporations Act in paragraph 172 of Regulatory Guide 271 as </w:t>
      </w:r>
      <w:r w:rsidR="007C1581">
        <w:rPr>
          <w:rFonts w:eastAsia="Times New Roman"/>
          <w:sz w:val="24"/>
          <w:szCs w:val="24"/>
          <w:lang w:eastAsia="en-AU"/>
        </w:rPr>
        <w:t xml:space="preserve">made and </w:t>
      </w:r>
      <w:r w:rsidR="006F1120">
        <w:rPr>
          <w:rFonts w:eastAsia="Times New Roman"/>
          <w:sz w:val="24"/>
          <w:szCs w:val="24"/>
          <w:lang w:eastAsia="en-AU"/>
        </w:rPr>
        <w:t>approved in</w:t>
      </w:r>
      <w:r w:rsidR="00792619" w:rsidRPr="00792619">
        <w:rPr>
          <w:rFonts w:eastAsia="Times New Roman"/>
          <w:sz w:val="24"/>
          <w:szCs w:val="24"/>
          <w:lang w:eastAsia="en-AU"/>
        </w:rPr>
        <w:t xml:space="preserve"> </w:t>
      </w:r>
      <w:r w:rsidR="00792619">
        <w:rPr>
          <w:rFonts w:eastAsia="Times New Roman"/>
          <w:sz w:val="24"/>
          <w:szCs w:val="24"/>
          <w:lang w:eastAsia="en-AU"/>
        </w:rPr>
        <w:t>subparagraph 5(1)(m)(</w:t>
      </w:r>
      <w:proofErr w:type="spellStart"/>
      <w:r w:rsidR="00792619">
        <w:rPr>
          <w:rFonts w:eastAsia="Times New Roman"/>
          <w:sz w:val="24"/>
          <w:szCs w:val="24"/>
          <w:lang w:eastAsia="en-AU"/>
        </w:rPr>
        <w:t>i</w:t>
      </w:r>
      <w:proofErr w:type="spellEnd"/>
      <w:r w:rsidR="00792619">
        <w:rPr>
          <w:rFonts w:eastAsia="Times New Roman"/>
          <w:sz w:val="24"/>
          <w:szCs w:val="24"/>
          <w:lang w:eastAsia="en-AU"/>
        </w:rPr>
        <w:t>) of</w:t>
      </w:r>
      <w:r w:rsidR="006F1120">
        <w:rPr>
          <w:rFonts w:eastAsia="Times New Roman"/>
          <w:sz w:val="24"/>
          <w:szCs w:val="24"/>
          <w:lang w:eastAsia="en-AU"/>
        </w:rPr>
        <w:t xml:space="preserve"> </w:t>
      </w:r>
      <w:r w:rsidR="006F1120" w:rsidRPr="006F1120">
        <w:rPr>
          <w:rFonts w:eastAsia="Times New Roman"/>
          <w:i/>
          <w:iCs/>
          <w:sz w:val="24"/>
          <w:szCs w:val="24"/>
          <w:lang w:eastAsia="en-AU"/>
        </w:rPr>
        <w:t>ASIC Corporations, Credit</w:t>
      </w:r>
      <w:r w:rsidR="006F1120">
        <w:rPr>
          <w:rFonts w:eastAsia="Times New Roman"/>
          <w:i/>
          <w:iCs/>
          <w:sz w:val="24"/>
          <w:szCs w:val="24"/>
          <w:lang w:eastAsia="en-AU"/>
        </w:rPr>
        <w:t xml:space="preserve"> and Superannuation (Internal Dispute Resolution) Instrument 2020/98</w:t>
      </w:r>
      <w:r w:rsidR="006F1120">
        <w:rPr>
          <w:rFonts w:eastAsia="Times New Roman"/>
          <w:sz w:val="24"/>
          <w:szCs w:val="24"/>
          <w:lang w:eastAsia="en-AU"/>
        </w:rPr>
        <w:t xml:space="preserve">, to make publicly available its complaint management </w:t>
      </w:r>
      <w:r w:rsidR="007C1581">
        <w:rPr>
          <w:rFonts w:eastAsia="Times New Roman"/>
          <w:sz w:val="24"/>
          <w:szCs w:val="24"/>
          <w:lang w:eastAsia="en-AU"/>
        </w:rPr>
        <w:t>documentation for</w:t>
      </w:r>
      <w:r w:rsidR="006F1120">
        <w:rPr>
          <w:rFonts w:eastAsia="Times New Roman"/>
          <w:sz w:val="24"/>
          <w:szCs w:val="24"/>
          <w:lang w:eastAsia="en-AU"/>
        </w:rPr>
        <w:t xml:space="preserve"> the Vanguard Super Fund</w:t>
      </w:r>
      <w:r w:rsidR="00796794">
        <w:rPr>
          <w:rFonts w:eastAsia="Times New Roman"/>
          <w:sz w:val="24"/>
          <w:szCs w:val="24"/>
          <w:lang w:eastAsia="en-AU"/>
        </w:rPr>
        <w:t xml:space="preserve"> </w:t>
      </w:r>
      <w:r w:rsidR="007C1581">
        <w:rPr>
          <w:rFonts w:eastAsia="Times New Roman"/>
          <w:sz w:val="24"/>
          <w:szCs w:val="24"/>
          <w:lang w:eastAsia="en-AU"/>
        </w:rPr>
        <w:t xml:space="preserve">during </w:t>
      </w:r>
      <w:r w:rsidR="00796794">
        <w:rPr>
          <w:rFonts w:eastAsia="Times New Roman"/>
          <w:sz w:val="24"/>
          <w:szCs w:val="24"/>
          <w:lang w:eastAsia="en-AU"/>
        </w:rPr>
        <w:t>the Deferral Period</w:t>
      </w:r>
      <w:r w:rsidR="006F1120">
        <w:rPr>
          <w:rFonts w:eastAsia="Times New Roman"/>
          <w:sz w:val="24"/>
          <w:szCs w:val="24"/>
          <w:lang w:eastAsia="en-AU"/>
        </w:rPr>
        <w:t>.</w:t>
      </w:r>
    </w:p>
    <w:p w14:paraId="085DDD72" w14:textId="5B6CD74E" w:rsidR="00796794" w:rsidRDefault="00FB51E5" w:rsidP="00796794">
      <w:pPr>
        <w:shd w:val="clear" w:color="auto" w:fill="FFFFFF"/>
        <w:spacing w:before="100" w:beforeAutospacing="1" w:after="100" w:afterAutospacing="1" w:line="240" w:lineRule="auto"/>
        <w:ind w:left="1134" w:hanging="567"/>
        <w:rPr>
          <w:rFonts w:eastAsia="Times New Roman"/>
          <w:sz w:val="24"/>
          <w:szCs w:val="24"/>
          <w:lang w:eastAsia="en-AU"/>
        </w:rPr>
      </w:pPr>
      <w:r>
        <w:rPr>
          <w:rFonts w:eastAsia="Times New Roman"/>
          <w:sz w:val="24"/>
          <w:szCs w:val="24"/>
          <w:lang w:eastAsia="en-AU"/>
        </w:rPr>
        <w:t>(2)</w:t>
      </w:r>
      <w:r>
        <w:rPr>
          <w:rFonts w:eastAsia="Times New Roman"/>
          <w:sz w:val="24"/>
          <w:szCs w:val="24"/>
          <w:lang w:eastAsia="en-AU"/>
        </w:rPr>
        <w:tab/>
      </w:r>
      <w:r w:rsidR="00356A5D" w:rsidRPr="00356A5D">
        <w:rPr>
          <w:sz w:val="24"/>
          <w:szCs w:val="24"/>
        </w:rPr>
        <w:t xml:space="preserve">The exemption specified in </w:t>
      </w:r>
      <w:r w:rsidR="00A4552E">
        <w:rPr>
          <w:sz w:val="24"/>
          <w:szCs w:val="24"/>
        </w:rPr>
        <w:t xml:space="preserve">subsection </w:t>
      </w:r>
      <w:r w:rsidR="00D54CFE">
        <w:rPr>
          <w:sz w:val="24"/>
          <w:szCs w:val="24"/>
        </w:rPr>
        <w:t>6</w:t>
      </w:r>
      <w:r w:rsidR="00356A5D" w:rsidRPr="00356A5D">
        <w:rPr>
          <w:sz w:val="24"/>
          <w:szCs w:val="24"/>
        </w:rPr>
        <w:t xml:space="preserve">(1) applies where Vanguard Super complies with the conditions in </w:t>
      </w:r>
      <w:r w:rsidR="00A4552E">
        <w:rPr>
          <w:sz w:val="24"/>
          <w:szCs w:val="24"/>
        </w:rPr>
        <w:t>section</w:t>
      </w:r>
      <w:r w:rsidR="00A4552E" w:rsidRPr="00356A5D">
        <w:rPr>
          <w:sz w:val="24"/>
          <w:szCs w:val="24"/>
        </w:rPr>
        <w:t xml:space="preserve"> </w:t>
      </w:r>
      <w:r w:rsidR="00356A5D" w:rsidRPr="00356A5D">
        <w:rPr>
          <w:sz w:val="24"/>
          <w:szCs w:val="24"/>
        </w:rPr>
        <w:t xml:space="preserve">10. </w:t>
      </w:r>
    </w:p>
    <w:p w14:paraId="14052539" w14:textId="77777777" w:rsidR="007E559A" w:rsidRDefault="00E3699F" w:rsidP="007E559A">
      <w:pPr>
        <w:pStyle w:val="LI-Heading2"/>
        <w:rPr>
          <w:szCs w:val="24"/>
        </w:rPr>
      </w:pPr>
      <w:bookmarkStart w:id="19" w:name="_Toc485818193"/>
      <w:bookmarkStart w:id="20" w:name="_Toc114048872"/>
      <w:r>
        <w:rPr>
          <w:szCs w:val="24"/>
        </w:rPr>
        <w:t>7</w:t>
      </w:r>
      <w:r w:rsidR="007E559A">
        <w:rPr>
          <w:szCs w:val="24"/>
        </w:rPr>
        <w:tab/>
      </w:r>
      <w:r w:rsidR="00356A5D">
        <w:rPr>
          <w:szCs w:val="24"/>
        </w:rPr>
        <w:t>Corporations Act e</w:t>
      </w:r>
      <w:r w:rsidR="007E559A">
        <w:rPr>
          <w:szCs w:val="24"/>
        </w:rPr>
        <w:t xml:space="preserve">xemption </w:t>
      </w:r>
      <w:bookmarkEnd w:id="19"/>
      <w:r w:rsidR="00D54CFE">
        <w:rPr>
          <w:szCs w:val="24"/>
        </w:rPr>
        <w:t>–</w:t>
      </w:r>
      <w:r w:rsidR="005B42A8">
        <w:rPr>
          <w:szCs w:val="24"/>
        </w:rPr>
        <w:t xml:space="preserve"> </w:t>
      </w:r>
      <w:r w:rsidR="00D54CFE">
        <w:rPr>
          <w:szCs w:val="24"/>
        </w:rPr>
        <w:t xml:space="preserve">availability of </w:t>
      </w:r>
      <w:r w:rsidR="005B42A8">
        <w:rPr>
          <w:szCs w:val="24"/>
        </w:rPr>
        <w:t>target market determination</w:t>
      </w:r>
      <w:bookmarkEnd w:id="20"/>
      <w:r w:rsidR="005B42A8">
        <w:rPr>
          <w:szCs w:val="24"/>
        </w:rPr>
        <w:t xml:space="preserve"> </w:t>
      </w:r>
    </w:p>
    <w:p w14:paraId="2471C823" w14:textId="533B788E" w:rsidR="007E559A" w:rsidRDefault="007E559A" w:rsidP="005B42A8">
      <w:pPr>
        <w:shd w:val="clear" w:color="auto" w:fill="FFFFFF"/>
        <w:spacing w:before="100" w:beforeAutospacing="1" w:after="100" w:afterAutospacing="1" w:line="240" w:lineRule="auto"/>
        <w:ind w:left="1134" w:hanging="567"/>
        <w:rPr>
          <w:rFonts w:eastAsia="Times New Roman"/>
          <w:sz w:val="24"/>
          <w:szCs w:val="24"/>
          <w:lang w:eastAsia="en-AU"/>
        </w:rPr>
      </w:pPr>
      <w:r>
        <w:rPr>
          <w:rFonts w:eastAsia="Times New Roman"/>
          <w:sz w:val="24"/>
          <w:szCs w:val="24"/>
          <w:lang w:eastAsia="en-AU"/>
        </w:rPr>
        <w:t>(1)</w:t>
      </w:r>
      <w:r>
        <w:rPr>
          <w:rFonts w:eastAsia="Times New Roman"/>
          <w:sz w:val="24"/>
          <w:szCs w:val="24"/>
          <w:lang w:eastAsia="en-AU"/>
        </w:rPr>
        <w:tab/>
      </w:r>
      <w:r w:rsidR="005B42A8">
        <w:rPr>
          <w:rFonts w:eastAsia="Times New Roman"/>
          <w:sz w:val="24"/>
          <w:szCs w:val="24"/>
          <w:lang w:eastAsia="en-AU"/>
        </w:rPr>
        <w:t xml:space="preserve">Vanguard Super does not have to comply with </w:t>
      </w:r>
      <w:r w:rsidR="00A4552E">
        <w:rPr>
          <w:rFonts w:eastAsia="Times New Roman"/>
          <w:sz w:val="24"/>
          <w:szCs w:val="24"/>
          <w:lang w:eastAsia="en-AU"/>
        </w:rPr>
        <w:t>sub</w:t>
      </w:r>
      <w:r w:rsidR="005B42A8">
        <w:rPr>
          <w:rFonts w:eastAsia="Times New Roman"/>
          <w:sz w:val="24"/>
          <w:szCs w:val="24"/>
          <w:lang w:eastAsia="en-AU"/>
        </w:rPr>
        <w:t xml:space="preserve">section 994B(9) of the Corporations Act </w:t>
      </w:r>
      <w:r w:rsidR="004F5D18">
        <w:rPr>
          <w:rFonts w:eastAsia="Times New Roman"/>
          <w:sz w:val="24"/>
          <w:szCs w:val="24"/>
          <w:lang w:eastAsia="en-AU"/>
        </w:rPr>
        <w:t xml:space="preserve">in relation to the Vanguard Super Fund </w:t>
      </w:r>
      <w:r w:rsidR="000A6A66">
        <w:rPr>
          <w:rFonts w:eastAsia="Times New Roman"/>
          <w:sz w:val="24"/>
          <w:szCs w:val="24"/>
          <w:lang w:eastAsia="en-AU"/>
        </w:rPr>
        <w:t xml:space="preserve">during </w:t>
      </w:r>
      <w:r w:rsidR="005B42A8">
        <w:rPr>
          <w:rFonts w:eastAsia="Times New Roman"/>
          <w:sz w:val="24"/>
          <w:szCs w:val="24"/>
          <w:lang w:eastAsia="en-AU"/>
        </w:rPr>
        <w:t xml:space="preserve">the Deferral Period. </w:t>
      </w:r>
    </w:p>
    <w:p w14:paraId="3C17A4AE" w14:textId="2AFAC57C" w:rsidR="00FB51E5" w:rsidRDefault="00FB51E5" w:rsidP="005B42A8">
      <w:pPr>
        <w:shd w:val="clear" w:color="auto" w:fill="FFFFFF"/>
        <w:spacing w:before="100" w:beforeAutospacing="1" w:after="100" w:afterAutospacing="1" w:line="240" w:lineRule="auto"/>
        <w:ind w:left="1134" w:hanging="567"/>
        <w:rPr>
          <w:rFonts w:eastAsia="Times New Roman"/>
          <w:sz w:val="24"/>
          <w:szCs w:val="24"/>
          <w:lang w:eastAsia="en-AU"/>
        </w:rPr>
      </w:pPr>
      <w:r>
        <w:rPr>
          <w:rFonts w:eastAsia="Times New Roman"/>
          <w:sz w:val="24"/>
          <w:szCs w:val="24"/>
          <w:lang w:eastAsia="en-AU"/>
        </w:rPr>
        <w:t>(2)</w:t>
      </w:r>
      <w:r>
        <w:rPr>
          <w:rFonts w:eastAsia="Times New Roman"/>
          <w:sz w:val="24"/>
          <w:szCs w:val="24"/>
          <w:lang w:eastAsia="en-AU"/>
        </w:rPr>
        <w:tab/>
      </w:r>
      <w:r w:rsidR="00356A5D" w:rsidRPr="00356A5D">
        <w:rPr>
          <w:sz w:val="24"/>
          <w:szCs w:val="24"/>
        </w:rPr>
        <w:t xml:space="preserve">The exemption specified in </w:t>
      </w:r>
      <w:r w:rsidR="00A4552E">
        <w:rPr>
          <w:sz w:val="24"/>
          <w:szCs w:val="24"/>
        </w:rPr>
        <w:t>subsection</w:t>
      </w:r>
      <w:r w:rsidR="00A4552E" w:rsidRPr="00356A5D">
        <w:rPr>
          <w:sz w:val="24"/>
          <w:szCs w:val="24"/>
        </w:rPr>
        <w:t xml:space="preserve"> </w:t>
      </w:r>
      <w:r w:rsidR="00D54CFE">
        <w:rPr>
          <w:sz w:val="24"/>
          <w:szCs w:val="24"/>
        </w:rPr>
        <w:t>7</w:t>
      </w:r>
      <w:r w:rsidR="00356A5D" w:rsidRPr="00356A5D">
        <w:rPr>
          <w:sz w:val="24"/>
          <w:szCs w:val="24"/>
        </w:rPr>
        <w:t xml:space="preserve">(1) applies where Vanguard Super complies with the conditions in </w:t>
      </w:r>
      <w:r w:rsidR="00446B83">
        <w:rPr>
          <w:sz w:val="24"/>
          <w:szCs w:val="24"/>
        </w:rPr>
        <w:t>section</w:t>
      </w:r>
      <w:r w:rsidR="00446B83" w:rsidRPr="00356A5D">
        <w:rPr>
          <w:sz w:val="24"/>
          <w:szCs w:val="24"/>
        </w:rPr>
        <w:t xml:space="preserve"> </w:t>
      </w:r>
      <w:r w:rsidR="00356A5D" w:rsidRPr="00356A5D">
        <w:rPr>
          <w:sz w:val="24"/>
          <w:szCs w:val="24"/>
        </w:rPr>
        <w:t>10.</w:t>
      </w:r>
    </w:p>
    <w:p w14:paraId="7215895D" w14:textId="77777777" w:rsidR="005B42A8" w:rsidRDefault="00E3699F" w:rsidP="007E559A">
      <w:pPr>
        <w:pStyle w:val="LI-Heading2"/>
        <w:rPr>
          <w:szCs w:val="24"/>
        </w:rPr>
      </w:pPr>
      <w:bookmarkStart w:id="21" w:name="_Toc114048873"/>
      <w:bookmarkStart w:id="22" w:name="_Toc485818194"/>
      <w:r>
        <w:rPr>
          <w:szCs w:val="24"/>
        </w:rPr>
        <w:t>8</w:t>
      </w:r>
      <w:r w:rsidR="007E559A">
        <w:rPr>
          <w:szCs w:val="24"/>
        </w:rPr>
        <w:tab/>
      </w:r>
      <w:r w:rsidR="00356A5D">
        <w:rPr>
          <w:szCs w:val="24"/>
        </w:rPr>
        <w:t xml:space="preserve">Corporations Act exemption - </w:t>
      </w:r>
      <w:r w:rsidR="005B42A8">
        <w:rPr>
          <w:szCs w:val="24"/>
        </w:rPr>
        <w:t xml:space="preserve">product dashboard </w:t>
      </w:r>
      <w:r w:rsidR="00E75C33">
        <w:rPr>
          <w:szCs w:val="24"/>
        </w:rPr>
        <w:t>information</w:t>
      </w:r>
      <w:bookmarkEnd w:id="21"/>
    </w:p>
    <w:p w14:paraId="3F43B30A" w14:textId="77777777" w:rsidR="005B42A8" w:rsidRDefault="005B42A8" w:rsidP="005B42A8">
      <w:pPr>
        <w:pStyle w:val="LI-BodyTextUnnumbered"/>
        <w:tabs>
          <w:tab w:val="left" w:pos="1134"/>
        </w:tabs>
        <w:ind w:hanging="567"/>
        <w:rPr>
          <w:szCs w:val="24"/>
        </w:rPr>
      </w:pPr>
      <w:r>
        <w:t>(1)</w:t>
      </w:r>
      <w:r>
        <w:tab/>
        <w:t xml:space="preserve">Vanguard Super does not have to comply with section 1017BA(1) of the Corporations </w:t>
      </w:r>
      <w:r>
        <w:rPr>
          <w:szCs w:val="24"/>
        </w:rPr>
        <w:t xml:space="preserve">Act </w:t>
      </w:r>
      <w:r w:rsidR="004F5D18">
        <w:rPr>
          <w:szCs w:val="24"/>
        </w:rPr>
        <w:t xml:space="preserve">in relation to the Vanguard Super Fund during </w:t>
      </w:r>
      <w:r>
        <w:rPr>
          <w:szCs w:val="24"/>
        </w:rPr>
        <w:t xml:space="preserve">the Deferral Period. </w:t>
      </w:r>
    </w:p>
    <w:p w14:paraId="23386305" w14:textId="784FD22B" w:rsidR="00FB51E5" w:rsidRPr="00FB51E5" w:rsidRDefault="00FB51E5" w:rsidP="00FB51E5">
      <w:pPr>
        <w:shd w:val="clear" w:color="auto" w:fill="FFFFFF"/>
        <w:spacing w:before="100" w:beforeAutospacing="1" w:after="100" w:afterAutospacing="1" w:line="240" w:lineRule="auto"/>
        <w:ind w:left="1134" w:hanging="567"/>
        <w:rPr>
          <w:rFonts w:eastAsia="Times New Roman"/>
          <w:sz w:val="24"/>
          <w:szCs w:val="24"/>
          <w:lang w:eastAsia="en-AU"/>
        </w:rPr>
      </w:pPr>
      <w:r>
        <w:rPr>
          <w:rFonts w:eastAsia="Times New Roman"/>
          <w:sz w:val="24"/>
          <w:szCs w:val="24"/>
          <w:lang w:eastAsia="en-AU"/>
        </w:rPr>
        <w:lastRenderedPageBreak/>
        <w:t>(2)</w:t>
      </w:r>
      <w:r>
        <w:rPr>
          <w:rFonts w:eastAsia="Times New Roman"/>
          <w:sz w:val="24"/>
          <w:szCs w:val="24"/>
          <w:lang w:eastAsia="en-AU"/>
        </w:rPr>
        <w:tab/>
      </w:r>
      <w:r w:rsidR="00356A5D" w:rsidRPr="00356A5D">
        <w:rPr>
          <w:sz w:val="24"/>
          <w:szCs w:val="24"/>
        </w:rPr>
        <w:t xml:space="preserve">The exemption specified in </w:t>
      </w:r>
      <w:r w:rsidR="00446B83">
        <w:rPr>
          <w:sz w:val="24"/>
          <w:szCs w:val="24"/>
        </w:rPr>
        <w:t>subsection</w:t>
      </w:r>
      <w:r w:rsidR="00446B83" w:rsidRPr="00356A5D">
        <w:rPr>
          <w:sz w:val="24"/>
          <w:szCs w:val="24"/>
        </w:rPr>
        <w:t xml:space="preserve"> </w:t>
      </w:r>
      <w:r w:rsidR="00D54CFE">
        <w:rPr>
          <w:sz w:val="24"/>
          <w:szCs w:val="24"/>
        </w:rPr>
        <w:t>8</w:t>
      </w:r>
      <w:r w:rsidR="00356A5D" w:rsidRPr="00356A5D">
        <w:rPr>
          <w:sz w:val="24"/>
          <w:szCs w:val="24"/>
        </w:rPr>
        <w:t xml:space="preserve">(1) applies where Vanguard Super complies with the conditions in </w:t>
      </w:r>
      <w:r w:rsidR="00446B83">
        <w:rPr>
          <w:sz w:val="24"/>
          <w:szCs w:val="24"/>
        </w:rPr>
        <w:t>section</w:t>
      </w:r>
      <w:r w:rsidR="00446B83" w:rsidRPr="00356A5D">
        <w:rPr>
          <w:sz w:val="24"/>
          <w:szCs w:val="24"/>
        </w:rPr>
        <w:t xml:space="preserve"> </w:t>
      </w:r>
      <w:r w:rsidR="00356A5D" w:rsidRPr="00356A5D">
        <w:rPr>
          <w:sz w:val="24"/>
          <w:szCs w:val="24"/>
        </w:rPr>
        <w:t>10</w:t>
      </w:r>
      <w:r w:rsidR="00356A5D">
        <w:t>.</w:t>
      </w:r>
    </w:p>
    <w:p w14:paraId="453B8F3B" w14:textId="77777777" w:rsidR="005B42A8" w:rsidRDefault="00E3699F" w:rsidP="007E559A">
      <w:pPr>
        <w:pStyle w:val="LI-Heading2"/>
        <w:rPr>
          <w:szCs w:val="24"/>
        </w:rPr>
      </w:pPr>
      <w:bookmarkStart w:id="23" w:name="_Toc114048874"/>
      <w:r>
        <w:rPr>
          <w:szCs w:val="24"/>
        </w:rPr>
        <w:t>9</w:t>
      </w:r>
      <w:r w:rsidR="005B42A8">
        <w:rPr>
          <w:szCs w:val="24"/>
        </w:rPr>
        <w:tab/>
      </w:r>
      <w:r w:rsidR="00D54CFE">
        <w:rPr>
          <w:szCs w:val="24"/>
        </w:rPr>
        <w:t xml:space="preserve">Corporations </w:t>
      </w:r>
      <w:r w:rsidR="00D54CFE" w:rsidRPr="00E75C33">
        <w:rPr>
          <w:szCs w:val="24"/>
        </w:rPr>
        <w:t xml:space="preserve">Act </w:t>
      </w:r>
      <w:r w:rsidR="00D54CFE" w:rsidRPr="0022666F">
        <w:rPr>
          <w:szCs w:val="24"/>
        </w:rPr>
        <w:t>e</w:t>
      </w:r>
      <w:r w:rsidR="005B42A8" w:rsidRPr="0022666F">
        <w:rPr>
          <w:szCs w:val="24"/>
        </w:rPr>
        <w:t>xemption</w:t>
      </w:r>
      <w:r>
        <w:rPr>
          <w:szCs w:val="24"/>
        </w:rPr>
        <w:t xml:space="preserve"> </w:t>
      </w:r>
      <w:r w:rsidR="00D54CFE">
        <w:rPr>
          <w:szCs w:val="24"/>
        </w:rPr>
        <w:t xml:space="preserve">- </w:t>
      </w:r>
      <w:r>
        <w:rPr>
          <w:szCs w:val="24"/>
        </w:rPr>
        <w:t xml:space="preserve">unclaimed monies </w:t>
      </w:r>
      <w:r w:rsidR="00D54CFE">
        <w:rPr>
          <w:szCs w:val="24"/>
        </w:rPr>
        <w:t>information</w:t>
      </w:r>
      <w:bookmarkEnd w:id="23"/>
      <w:r>
        <w:rPr>
          <w:szCs w:val="24"/>
        </w:rPr>
        <w:t xml:space="preserve"> </w:t>
      </w:r>
    </w:p>
    <w:p w14:paraId="18F2B12A" w14:textId="77777777" w:rsidR="00E3699F" w:rsidRDefault="00E3699F" w:rsidP="00E3699F">
      <w:pPr>
        <w:pStyle w:val="LI-BodyTextUnnumbered"/>
        <w:tabs>
          <w:tab w:val="left" w:pos="1134"/>
        </w:tabs>
        <w:ind w:hanging="567"/>
      </w:pPr>
      <w:r>
        <w:t>(1)</w:t>
      </w:r>
      <w:r>
        <w:tab/>
        <w:t xml:space="preserve">Vanguard Super does not </w:t>
      </w:r>
      <w:r w:rsidR="00356A5D">
        <w:t xml:space="preserve">have to </w:t>
      </w:r>
      <w:r>
        <w:t xml:space="preserve">comply with the condition set out in section 6(2) of </w:t>
      </w:r>
      <w:r w:rsidRPr="00E3699F">
        <w:rPr>
          <w:i/>
          <w:iCs/>
          <w:szCs w:val="24"/>
        </w:rPr>
        <w:t>ASIC Corporations (Unclaimed Superannuation – Former Temporary Residents) Instrument 2019/873</w:t>
      </w:r>
      <w:r w:rsidRPr="00E3699F">
        <w:t xml:space="preserve"> </w:t>
      </w:r>
      <w:r>
        <w:t xml:space="preserve">to make certain statements and information available on the website for the Vanguard Super Fund during the Deferral Period. </w:t>
      </w:r>
    </w:p>
    <w:p w14:paraId="31834CDC" w14:textId="630F498F" w:rsidR="00FB51E5" w:rsidRDefault="00FB51E5" w:rsidP="00FB51E5">
      <w:pPr>
        <w:shd w:val="clear" w:color="auto" w:fill="FFFFFF"/>
        <w:spacing w:before="100" w:beforeAutospacing="1" w:after="100" w:afterAutospacing="1" w:line="240" w:lineRule="auto"/>
        <w:ind w:left="1134" w:hanging="567"/>
        <w:rPr>
          <w:rFonts w:eastAsia="Times New Roman"/>
          <w:sz w:val="24"/>
          <w:szCs w:val="24"/>
          <w:lang w:eastAsia="en-AU"/>
        </w:rPr>
      </w:pPr>
      <w:r>
        <w:rPr>
          <w:rFonts w:eastAsia="Times New Roman"/>
          <w:sz w:val="24"/>
          <w:szCs w:val="24"/>
          <w:lang w:eastAsia="en-AU"/>
        </w:rPr>
        <w:t>(2)</w:t>
      </w:r>
      <w:r>
        <w:rPr>
          <w:rFonts w:eastAsia="Times New Roman"/>
          <w:sz w:val="24"/>
          <w:szCs w:val="24"/>
          <w:lang w:eastAsia="en-AU"/>
        </w:rPr>
        <w:tab/>
      </w:r>
      <w:r w:rsidR="00356A5D" w:rsidRPr="00356A5D">
        <w:rPr>
          <w:sz w:val="24"/>
          <w:szCs w:val="24"/>
        </w:rPr>
        <w:t xml:space="preserve">The exemption specified in </w:t>
      </w:r>
      <w:r w:rsidR="00446B83">
        <w:rPr>
          <w:sz w:val="24"/>
          <w:szCs w:val="24"/>
        </w:rPr>
        <w:t>subsection</w:t>
      </w:r>
      <w:r w:rsidR="00446B83" w:rsidRPr="00356A5D">
        <w:rPr>
          <w:sz w:val="24"/>
          <w:szCs w:val="24"/>
        </w:rPr>
        <w:t xml:space="preserve"> </w:t>
      </w:r>
      <w:r w:rsidR="00D54CFE">
        <w:rPr>
          <w:sz w:val="24"/>
          <w:szCs w:val="24"/>
        </w:rPr>
        <w:t>9</w:t>
      </w:r>
      <w:r w:rsidR="00356A5D" w:rsidRPr="00356A5D">
        <w:rPr>
          <w:sz w:val="24"/>
          <w:szCs w:val="24"/>
        </w:rPr>
        <w:t xml:space="preserve">(1) applies where Vanguard Super complies with the conditions in </w:t>
      </w:r>
      <w:r w:rsidR="00446B83">
        <w:rPr>
          <w:sz w:val="24"/>
          <w:szCs w:val="24"/>
        </w:rPr>
        <w:t>section</w:t>
      </w:r>
      <w:r w:rsidR="00446B83" w:rsidRPr="00356A5D">
        <w:rPr>
          <w:sz w:val="24"/>
          <w:szCs w:val="24"/>
        </w:rPr>
        <w:t xml:space="preserve"> </w:t>
      </w:r>
      <w:r w:rsidR="00356A5D" w:rsidRPr="00356A5D">
        <w:rPr>
          <w:sz w:val="24"/>
          <w:szCs w:val="24"/>
        </w:rPr>
        <w:t>10</w:t>
      </w:r>
      <w:r w:rsidR="00356A5D">
        <w:t>.</w:t>
      </w:r>
    </w:p>
    <w:p w14:paraId="15285B08" w14:textId="77777777" w:rsidR="007E559A" w:rsidRDefault="00E3699F" w:rsidP="007E559A">
      <w:pPr>
        <w:pStyle w:val="LI-Heading2"/>
        <w:rPr>
          <w:szCs w:val="24"/>
        </w:rPr>
      </w:pPr>
      <w:bookmarkStart w:id="24" w:name="_Toc114048875"/>
      <w:r>
        <w:rPr>
          <w:szCs w:val="24"/>
        </w:rPr>
        <w:t>10</w:t>
      </w:r>
      <w:r w:rsidR="005B42A8">
        <w:rPr>
          <w:szCs w:val="24"/>
        </w:rPr>
        <w:tab/>
      </w:r>
      <w:r w:rsidR="007E559A">
        <w:rPr>
          <w:szCs w:val="24"/>
        </w:rPr>
        <w:t>Conditions</w:t>
      </w:r>
      <w:bookmarkEnd w:id="22"/>
      <w:bookmarkEnd w:id="24"/>
    </w:p>
    <w:p w14:paraId="483903D8" w14:textId="77777777" w:rsidR="009A017D" w:rsidRPr="0022666F" w:rsidRDefault="009A017D" w:rsidP="009A017D">
      <w:pPr>
        <w:keepNext/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left="567"/>
        <w:rPr>
          <w:i/>
          <w:iCs/>
          <w:sz w:val="24"/>
          <w:szCs w:val="24"/>
        </w:rPr>
      </w:pPr>
      <w:r w:rsidRPr="0022666F">
        <w:rPr>
          <w:i/>
          <w:iCs/>
          <w:sz w:val="24"/>
          <w:szCs w:val="24"/>
        </w:rPr>
        <w:t>Maximum number of participants in Initial Cohort</w:t>
      </w:r>
    </w:p>
    <w:p w14:paraId="4E554950" w14:textId="77777777" w:rsidR="009A017D" w:rsidRPr="0060618B" w:rsidRDefault="009A017D" w:rsidP="009A017D">
      <w:p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left="1134" w:hanging="567"/>
        <w:rPr>
          <w:sz w:val="24"/>
          <w:szCs w:val="24"/>
        </w:rPr>
      </w:pPr>
      <w:r w:rsidRPr="0022666F">
        <w:rPr>
          <w:sz w:val="24"/>
          <w:szCs w:val="24"/>
        </w:rPr>
        <w:t>(1)</w:t>
      </w:r>
      <w:r w:rsidRPr="0022666F">
        <w:rPr>
          <w:sz w:val="24"/>
          <w:szCs w:val="24"/>
        </w:rPr>
        <w:tab/>
      </w:r>
      <w:r w:rsidR="0022666F">
        <w:rPr>
          <w:sz w:val="24"/>
          <w:szCs w:val="24"/>
        </w:rPr>
        <w:t>D</w:t>
      </w:r>
      <w:r w:rsidR="0022666F" w:rsidRPr="00CA3CA0">
        <w:rPr>
          <w:sz w:val="24"/>
          <w:szCs w:val="24"/>
        </w:rPr>
        <w:t>uring the Deferral Peri</w:t>
      </w:r>
      <w:r w:rsidR="0022666F">
        <w:rPr>
          <w:sz w:val="24"/>
          <w:szCs w:val="24"/>
        </w:rPr>
        <w:t xml:space="preserve">od </w:t>
      </w:r>
      <w:r w:rsidRPr="0022666F">
        <w:rPr>
          <w:sz w:val="24"/>
          <w:szCs w:val="24"/>
        </w:rPr>
        <w:t xml:space="preserve">Vanguard Super must not offer </w:t>
      </w:r>
      <w:r w:rsidR="003D1370" w:rsidRPr="0022666F">
        <w:rPr>
          <w:sz w:val="24"/>
          <w:szCs w:val="24"/>
        </w:rPr>
        <w:t xml:space="preserve">membership of </w:t>
      </w:r>
      <w:r w:rsidRPr="0022666F">
        <w:rPr>
          <w:sz w:val="24"/>
          <w:szCs w:val="24"/>
        </w:rPr>
        <w:t xml:space="preserve">the Vanguard Super Fund </w:t>
      </w:r>
      <w:r w:rsidR="0022666F">
        <w:rPr>
          <w:sz w:val="24"/>
          <w:szCs w:val="24"/>
        </w:rPr>
        <w:t>to anyone other than a person in the Initial Cohort</w:t>
      </w:r>
      <w:r w:rsidRPr="0060618B">
        <w:rPr>
          <w:sz w:val="24"/>
          <w:szCs w:val="24"/>
        </w:rPr>
        <w:t xml:space="preserve">. </w:t>
      </w:r>
    </w:p>
    <w:p w14:paraId="38EA65B8" w14:textId="77777777" w:rsidR="009A017D" w:rsidRPr="0060618B" w:rsidRDefault="009A017D" w:rsidP="009A017D">
      <w:p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left="1134" w:hanging="567"/>
        <w:rPr>
          <w:sz w:val="24"/>
          <w:szCs w:val="24"/>
        </w:rPr>
      </w:pPr>
      <w:r w:rsidRPr="0060618B">
        <w:rPr>
          <w:sz w:val="24"/>
          <w:szCs w:val="24"/>
        </w:rPr>
        <w:t>(2)</w:t>
      </w:r>
      <w:r w:rsidRPr="0060618B">
        <w:rPr>
          <w:sz w:val="24"/>
          <w:szCs w:val="24"/>
        </w:rPr>
        <w:tab/>
        <w:t>The Initial Cohort must not consist of more than:</w:t>
      </w:r>
    </w:p>
    <w:p w14:paraId="134D0DA7" w14:textId="70276067" w:rsidR="009A017D" w:rsidRPr="0060618B" w:rsidRDefault="009A017D" w:rsidP="00A15053">
      <w:pPr>
        <w:shd w:val="clear" w:color="auto" w:fill="FFFFFF"/>
        <w:spacing w:before="100" w:beforeAutospacing="1" w:after="100" w:afterAutospacing="1" w:line="240" w:lineRule="auto"/>
        <w:ind w:left="1701" w:hanging="567"/>
        <w:rPr>
          <w:sz w:val="24"/>
          <w:szCs w:val="24"/>
        </w:rPr>
      </w:pPr>
      <w:r w:rsidRPr="0060618B">
        <w:rPr>
          <w:sz w:val="24"/>
          <w:szCs w:val="24"/>
        </w:rPr>
        <w:t xml:space="preserve">(a) </w:t>
      </w:r>
      <w:r w:rsidR="00A15053">
        <w:rPr>
          <w:sz w:val="24"/>
          <w:szCs w:val="24"/>
        </w:rPr>
        <w:tab/>
      </w:r>
      <w:r w:rsidRPr="0060618B">
        <w:rPr>
          <w:sz w:val="24"/>
          <w:szCs w:val="24"/>
        </w:rPr>
        <w:t>50 employees of Vanguard Super or its related bodies corporate operating within Australia; and</w:t>
      </w:r>
    </w:p>
    <w:p w14:paraId="0E116FED" w14:textId="0E538831" w:rsidR="009A017D" w:rsidRPr="0022666F" w:rsidRDefault="009A017D" w:rsidP="00A15053">
      <w:pPr>
        <w:shd w:val="clear" w:color="auto" w:fill="FFFFFF"/>
        <w:spacing w:before="100" w:beforeAutospacing="1" w:after="100" w:afterAutospacing="1" w:line="240" w:lineRule="auto"/>
        <w:ind w:left="1701" w:hanging="567"/>
        <w:rPr>
          <w:sz w:val="24"/>
          <w:szCs w:val="24"/>
        </w:rPr>
      </w:pPr>
      <w:r w:rsidRPr="0060618B">
        <w:rPr>
          <w:sz w:val="24"/>
          <w:szCs w:val="24"/>
        </w:rPr>
        <w:t>(b)</w:t>
      </w:r>
      <w:r w:rsidRPr="0060618B">
        <w:rPr>
          <w:sz w:val="24"/>
          <w:szCs w:val="24"/>
        </w:rPr>
        <w:tab/>
        <w:t xml:space="preserve">three </w:t>
      </w:r>
      <w:r w:rsidR="001B068C">
        <w:rPr>
          <w:sz w:val="24"/>
          <w:szCs w:val="24"/>
        </w:rPr>
        <w:t xml:space="preserve">additional </w:t>
      </w:r>
      <w:r w:rsidRPr="0060618B">
        <w:rPr>
          <w:sz w:val="24"/>
          <w:szCs w:val="24"/>
        </w:rPr>
        <w:t>natural persons</w:t>
      </w:r>
      <w:r w:rsidR="00D64485">
        <w:rPr>
          <w:sz w:val="24"/>
          <w:szCs w:val="24"/>
        </w:rPr>
        <w:t>, each of whom</w:t>
      </w:r>
      <w:r w:rsidRPr="0060618B">
        <w:rPr>
          <w:sz w:val="24"/>
          <w:szCs w:val="24"/>
        </w:rPr>
        <w:t xml:space="preserve"> are </w:t>
      </w:r>
      <w:r w:rsidR="00C73863">
        <w:rPr>
          <w:sz w:val="24"/>
          <w:szCs w:val="24"/>
        </w:rPr>
        <w:t>a Relative of</w:t>
      </w:r>
      <w:r w:rsidR="008E2276">
        <w:rPr>
          <w:sz w:val="24"/>
          <w:szCs w:val="24"/>
        </w:rPr>
        <w:t xml:space="preserve"> a </w:t>
      </w:r>
      <w:r w:rsidRPr="0022666F">
        <w:rPr>
          <w:sz w:val="24"/>
          <w:szCs w:val="24"/>
        </w:rPr>
        <w:t>person referred to in paragraph (</w:t>
      </w:r>
      <w:r w:rsidR="003D1370" w:rsidRPr="0022666F">
        <w:rPr>
          <w:sz w:val="24"/>
          <w:szCs w:val="24"/>
        </w:rPr>
        <w:t>a</w:t>
      </w:r>
      <w:r w:rsidRPr="0022666F">
        <w:rPr>
          <w:sz w:val="24"/>
          <w:szCs w:val="24"/>
        </w:rPr>
        <w:t xml:space="preserve">). </w:t>
      </w:r>
    </w:p>
    <w:p w14:paraId="4DFF89AC" w14:textId="77777777" w:rsidR="00417773" w:rsidRPr="00DE0BCF" w:rsidRDefault="000A6A66" w:rsidP="007E559A">
      <w:pPr>
        <w:pStyle w:val="LI-Sectionparaa"/>
        <w:ind w:left="567" w:firstLine="0"/>
        <w:rPr>
          <w:i/>
        </w:rPr>
      </w:pPr>
      <w:r w:rsidRPr="00DE0BCF">
        <w:rPr>
          <w:i/>
        </w:rPr>
        <w:t>Requirement to provide copies of complaint management documentation</w:t>
      </w:r>
    </w:p>
    <w:p w14:paraId="5F517CA0" w14:textId="44D3CD71" w:rsidR="000A6A66" w:rsidRPr="00DE0BCF" w:rsidRDefault="000A6A66" w:rsidP="00014A92">
      <w:pPr>
        <w:pStyle w:val="LI-Sectionparaa"/>
        <w:ind w:left="1134"/>
        <w:rPr>
          <w:iCs/>
        </w:rPr>
      </w:pPr>
      <w:r>
        <w:rPr>
          <w:iCs/>
        </w:rPr>
        <w:t>(</w:t>
      </w:r>
      <w:r w:rsidR="0060618B">
        <w:rPr>
          <w:iCs/>
        </w:rPr>
        <w:t>3</w:t>
      </w:r>
      <w:r>
        <w:rPr>
          <w:iCs/>
        </w:rPr>
        <w:t>)</w:t>
      </w:r>
      <w:r>
        <w:rPr>
          <w:iCs/>
        </w:rPr>
        <w:tab/>
        <w:t xml:space="preserve">Vanguard Super must provide each </w:t>
      </w:r>
      <w:r w:rsidRPr="00DE0BCF">
        <w:t xml:space="preserve">person in the Initial Cohort with a copy of the complaint management documentation for the Vanguard Super Fund mentioned in </w:t>
      </w:r>
      <w:r w:rsidR="00446B83">
        <w:t>section</w:t>
      </w:r>
      <w:r w:rsidR="00446B83" w:rsidRPr="00DE0BCF">
        <w:t xml:space="preserve"> </w:t>
      </w:r>
      <w:r w:rsidRPr="00DE0BCF">
        <w:t>6(1) before that person becomes a member of the Vanguard Super Fund, and if those documents are updated during the Deferral Period, Vanguard Super must provide persons in the Initial Cohort with the updated documents within 5 business days of the update taking effect</w:t>
      </w:r>
      <w:r>
        <w:t>.</w:t>
      </w:r>
    </w:p>
    <w:p w14:paraId="5426EA9A" w14:textId="77777777" w:rsidR="009A017D" w:rsidRDefault="009A017D" w:rsidP="00106083">
      <w:pPr>
        <w:pStyle w:val="LI-Sectionparaa"/>
        <w:keepNext/>
        <w:ind w:left="567" w:firstLine="0"/>
        <w:rPr>
          <w:i/>
        </w:rPr>
      </w:pPr>
      <w:r>
        <w:rPr>
          <w:i/>
        </w:rPr>
        <w:t xml:space="preserve">Details, </w:t>
      </w:r>
      <w:proofErr w:type="gramStart"/>
      <w:r>
        <w:rPr>
          <w:i/>
        </w:rPr>
        <w:t>documents</w:t>
      </w:r>
      <w:proofErr w:type="gramEnd"/>
      <w:r>
        <w:rPr>
          <w:i/>
        </w:rPr>
        <w:t xml:space="preserve"> and information to be made available to members of the Initial Cohort directly</w:t>
      </w:r>
    </w:p>
    <w:p w14:paraId="74030609" w14:textId="1B2A1BB2" w:rsidR="009A017D" w:rsidRDefault="009A017D" w:rsidP="009A017D">
      <w:pPr>
        <w:pStyle w:val="LI-Sectionparaa"/>
        <w:tabs>
          <w:tab w:val="left" w:pos="1134"/>
        </w:tabs>
        <w:ind w:left="1134"/>
      </w:pPr>
      <w:r>
        <w:rPr>
          <w:iCs/>
        </w:rPr>
        <w:t>(</w:t>
      </w:r>
      <w:r w:rsidR="009C3573">
        <w:rPr>
          <w:iCs/>
        </w:rPr>
        <w:t>4</w:t>
      </w:r>
      <w:r>
        <w:rPr>
          <w:iCs/>
        </w:rPr>
        <w:t>)</w:t>
      </w:r>
      <w:r>
        <w:rPr>
          <w:iCs/>
        </w:rPr>
        <w:tab/>
      </w:r>
      <w:r w:rsidR="003D1370">
        <w:t xml:space="preserve">Before </w:t>
      </w:r>
      <w:r w:rsidR="00E75C33">
        <w:t>Vanguard</w:t>
      </w:r>
      <w:r w:rsidR="003D1370">
        <w:t xml:space="preserve"> Super accepts an application to become a member of the Vanguard Super Fund</w:t>
      </w:r>
      <w:r w:rsidR="003D1370">
        <w:rPr>
          <w:iCs/>
        </w:rPr>
        <w:t xml:space="preserve"> </w:t>
      </w:r>
      <w:r w:rsidR="003D1370">
        <w:t xml:space="preserve">from a person in the Initial Cohort </w:t>
      </w:r>
      <w:r w:rsidR="003D1370">
        <w:rPr>
          <w:iCs/>
        </w:rPr>
        <w:t>each person in</w:t>
      </w:r>
      <w:r>
        <w:rPr>
          <w:iCs/>
        </w:rPr>
        <w:t xml:space="preserve"> the Initial Cohort must be provided with the details, documents </w:t>
      </w:r>
      <w:r w:rsidR="003D1370">
        <w:rPr>
          <w:iCs/>
        </w:rPr>
        <w:t xml:space="preserve">and </w:t>
      </w:r>
      <w:r>
        <w:rPr>
          <w:iCs/>
        </w:rPr>
        <w:t xml:space="preserve">information </w:t>
      </w:r>
      <w:r>
        <w:t xml:space="preserve">required to be publicly available on the Vanguard Super Fund website </w:t>
      </w:r>
      <w:r w:rsidR="00417773">
        <w:t>(including the details, documents and information</w:t>
      </w:r>
      <w:r w:rsidR="00446B83">
        <w:t xml:space="preserve"> referred to</w:t>
      </w:r>
      <w:r w:rsidR="00417773">
        <w:t xml:space="preserve"> in </w:t>
      </w:r>
      <w:r w:rsidR="00446B83">
        <w:t xml:space="preserve">subsection </w:t>
      </w:r>
      <w:r w:rsidR="00417773">
        <w:t xml:space="preserve">5(1)) </w:t>
      </w:r>
      <w:r>
        <w:t>during the Deferral Period in hard copy format or by electronic means (at the election of the member of the Initial Cohort)</w:t>
      </w:r>
      <w:r w:rsidR="00B06DA1">
        <w:t>.</w:t>
      </w:r>
      <w:r>
        <w:t xml:space="preserve"> </w:t>
      </w:r>
    </w:p>
    <w:p w14:paraId="330B7D48" w14:textId="77777777" w:rsidR="009A017D" w:rsidRPr="009A017D" w:rsidRDefault="009A017D" w:rsidP="009A017D">
      <w:pPr>
        <w:pStyle w:val="LI-Sectionparaa"/>
        <w:tabs>
          <w:tab w:val="left" w:pos="1134"/>
        </w:tabs>
        <w:ind w:left="1134"/>
        <w:rPr>
          <w:iCs/>
        </w:rPr>
      </w:pPr>
      <w:r>
        <w:lastRenderedPageBreak/>
        <w:t>(</w:t>
      </w:r>
      <w:r w:rsidR="009C3573">
        <w:t>5</w:t>
      </w:r>
      <w:r>
        <w:t>)</w:t>
      </w:r>
      <w:r>
        <w:tab/>
        <w:t xml:space="preserve">If updates to the details, documents and information made available to the Initial Cohort </w:t>
      </w:r>
      <w:r w:rsidR="00573669">
        <w:t xml:space="preserve">under </w:t>
      </w:r>
      <w:r>
        <w:t>to subsection (</w:t>
      </w:r>
      <w:r w:rsidR="0060618B">
        <w:t>4</w:t>
      </w:r>
      <w:r>
        <w:t>) are required during the Deferral Period, Vanguard Super must ensure that members of the Initial Cohort who become  member</w:t>
      </w:r>
      <w:r w:rsidR="003D1370">
        <w:t>s</w:t>
      </w:r>
      <w:r>
        <w:t xml:space="preserve"> of the V</w:t>
      </w:r>
      <w:r w:rsidR="003D1370">
        <w:t>ang</w:t>
      </w:r>
      <w:r>
        <w:t>uard Super Fund are provided with updated details, documents or information in hard copy format or by electronic means</w:t>
      </w:r>
      <w:r w:rsidR="003D1370">
        <w:t xml:space="preserve"> (at the election of the member) </w:t>
      </w:r>
      <w:r>
        <w:t xml:space="preserve"> within five business days of the relevant occurrence or change taking effect. </w:t>
      </w:r>
    </w:p>
    <w:p w14:paraId="5AD2104A" w14:textId="77777777" w:rsidR="009A017D" w:rsidRPr="00C914A0" w:rsidRDefault="009A017D" w:rsidP="009A017D">
      <w:p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left="567"/>
        <w:rPr>
          <w:i/>
          <w:iCs/>
          <w:sz w:val="24"/>
          <w:szCs w:val="24"/>
        </w:rPr>
      </w:pPr>
      <w:r w:rsidRPr="00C914A0">
        <w:rPr>
          <w:i/>
          <w:iCs/>
          <w:sz w:val="24"/>
          <w:szCs w:val="24"/>
        </w:rPr>
        <w:t>Restrictions on marketing to retail clients</w:t>
      </w:r>
    </w:p>
    <w:p w14:paraId="47C7DE9E" w14:textId="69500CFB" w:rsidR="009A017D" w:rsidRDefault="009A017D" w:rsidP="00D54CFE">
      <w:p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left="993" w:hanging="426"/>
        <w:rPr>
          <w:sz w:val="24"/>
          <w:szCs w:val="24"/>
        </w:rPr>
      </w:pPr>
      <w:r w:rsidRPr="00C914A0">
        <w:rPr>
          <w:sz w:val="24"/>
          <w:szCs w:val="24"/>
        </w:rPr>
        <w:t>(6)</w:t>
      </w:r>
      <w:r w:rsidRPr="00C914A0">
        <w:rPr>
          <w:sz w:val="24"/>
          <w:szCs w:val="24"/>
        </w:rPr>
        <w:tab/>
        <w:t xml:space="preserve">Vanguard Super must </w:t>
      </w:r>
      <w:proofErr w:type="gramStart"/>
      <w:r w:rsidR="0022666F" w:rsidRPr="00C914A0">
        <w:rPr>
          <w:sz w:val="24"/>
          <w:szCs w:val="24"/>
        </w:rPr>
        <w:t>not, and</w:t>
      </w:r>
      <w:proofErr w:type="gramEnd"/>
      <w:r w:rsidR="0022666F" w:rsidRPr="00C914A0">
        <w:rPr>
          <w:sz w:val="24"/>
          <w:szCs w:val="24"/>
        </w:rPr>
        <w:t xml:space="preserve"> must </w:t>
      </w:r>
      <w:r w:rsidRPr="00C914A0">
        <w:rPr>
          <w:sz w:val="24"/>
          <w:szCs w:val="24"/>
        </w:rPr>
        <w:t>ensure that its service providers</w:t>
      </w:r>
      <w:r w:rsidR="0022666F" w:rsidRPr="00C914A0">
        <w:rPr>
          <w:sz w:val="24"/>
          <w:szCs w:val="24"/>
        </w:rPr>
        <w:t xml:space="preserve"> </w:t>
      </w:r>
      <w:r w:rsidRPr="00C914A0">
        <w:rPr>
          <w:sz w:val="24"/>
          <w:szCs w:val="24"/>
        </w:rPr>
        <w:t xml:space="preserve">do not undertake any marketing </w:t>
      </w:r>
      <w:r w:rsidR="003D1370" w:rsidRPr="00C914A0">
        <w:rPr>
          <w:sz w:val="24"/>
          <w:szCs w:val="24"/>
        </w:rPr>
        <w:t xml:space="preserve">of the Vanguard Super Fund </w:t>
      </w:r>
      <w:r w:rsidRPr="00C914A0">
        <w:rPr>
          <w:sz w:val="24"/>
          <w:szCs w:val="24"/>
        </w:rPr>
        <w:t>to retail investors</w:t>
      </w:r>
      <w:r w:rsidR="00C73863" w:rsidRPr="00C914A0">
        <w:rPr>
          <w:sz w:val="24"/>
          <w:szCs w:val="24"/>
        </w:rPr>
        <w:t>,</w:t>
      </w:r>
      <w:r w:rsidR="004B15B3" w:rsidRPr="00C914A0">
        <w:rPr>
          <w:sz w:val="24"/>
          <w:szCs w:val="24"/>
        </w:rPr>
        <w:t xml:space="preserve"> </w:t>
      </w:r>
      <w:r w:rsidR="00C73863" w:rsidRPr="00C914A0">
        <w:rPr>
          <w:sz w:val="24"/>
          <w:szCs w:val="24"/>
        </w:rPr>
        <w:t>other than the maintenance of</w:t>
      </w:r>
      <w:r w:rsidR="004B15B3" w:rsidRPr="00C914A0">
        <w:rPr>
          <w:sz w:val="24"/>
          <w:szCs w:val="24"/>
        </w:rPr>
        <w:t xml:space="preserve"> the </w:t>
      </w:r>
      <w:r w:rsidR="00C73863" w:rsidRPr="00C914A0">
        <w:rPr>
          <w:sz w:val="24"/>
          <w:szCs w:val="24"/>
        </w:rPr>
        <w:t>E</w:t>
      </w:r>
      <w:r w:rsidR="004B15B3" w:rsidRPr="00C914A0">
        <w:rPr>
          <w:sz w:val="24"/>
          <w:szCs w:val="24"/>
        </w:rPr>
        <w:t xml:space="preserve">xpressions of </w:t>
      </w:r>
      <w:r w:rsidR="00C73863" w:rsidRPr="00C914A0">
        <w:rPr>
          <w:sz w:val="24"/>
          <w:szCs w:val="24"/>
        </w:rPr>
        <w:t>I</w:t>
      </w:r>
      <w:r w:rsidR="004B15B3" w:rsidRPr="00C914A0">
        <w:rPr>
          <w:sz w:val="24"/>
          <w:szCs w:val="24"/>
        </w:rPr>
        <w:t xml:space="preserve">nterest </w:t>
      </w:r>
      <w:r w:rsidR="00C73863" w:rsidRPr="00C914A0">
        <w:rPr>
          <w:sz w:val="24"/>
          <w:szCs w:val="24"/>
        </w:rPr>
        <w:t>Web</w:t>
      </w:r>
      <w:r w:rsidR="004B15B3" w:rsidRPr="00C914A0">
        <w:rPr>
          <w:sz w:val="24"/>
          <w:szCs w:val="24"/>
        </w:rPr>
        <w:t>page</w:t>
      </w:r>
      <w:r w:rsidRPr="00C914A0">
        <w:rPr>
          <w:sz w:val="24"/>
          <w:szCs w:val="24"/>
        </w:rPr>
        <w:t xml:space="preserve"> </w:t>
      </w:r>
      <w:r w:rsidR="00573669" w:rsidRPr="00C914A0">
        <w:rPr>
          <w:sz w:val="24"/>
          <w:szCs w:val="24"/>
        </w:rPr>
        <w:t xml:space="preserve">during the </w:t>
      </w:r>
      <w:r w:rsidR="003D1370" w:rsidRPr="00C914A0">
        <w:rPr>
          <w:sz w:val="24"/>
          <w:szCs w:val="24"/>
        </w:rPr>
        <w:t>D</w:t>
      </w:r>
      <w:r w:rsidR="00573669" w:rsidRPr="00C914A0">
        <w:rPr>
          <w:sz w:val="24"/>
          <w:szCs w:val="24"/>
        </w:rPr>
        <w:t xml:space="preserve">eferral </w:t>
      </w:r>
      <w:r w:rsidR="003D1370" w:rsidRPr="00C914A0">
        <w:rPr>
          <w:sz w:val="24"/>
          <w:szCs w:val="24"/>
        </w:rPr>
        <w:t>P</w:t>
      </w:r>
      <w:r w:rsidR="00573669" w:rsidRPr="00C914A0">
        <w:rPr>
          <w:sz w:val="24"/>
          <w:szCs w:val="24"/>
        </w:rPr>
        <w:t>eriod</w:t>
      </w:r>
      <w:r w:rsidRPr="00C914A0">
        <w:rPr>
          <w:sz w:val="24"/>
          <w:szCs w:val="24"/>
        </w:rPr>
        <w:t>.</w:t>
      </w:r>
      <w:r w:rsidRPr="0022666F">
        <w:rPr>
          <w:sz w:val="24"/>
          <w:szCs w:val="24"/>
        </w:rPr>
        <w:t xml:space="preserve"> </w:t>
      </w:r>
    </w:p>
    <w:p w14:paraId="0D6F2011" w14:textId="6A2F6D55" w:rsidR="00256EF7" w:rsidRPr="0022666F" w:rsidRDefault="00256EF7" w:rsidP="00D54CFE">
      <w:p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left="993" w:hanging="426"/>
        <w:rPr>
          <w:sz w:val="24"/>
          <w:szCs w:val="24"/>
        </w:rPr>
      </w:pPr>
      <w:r>
        <w:rPr>
          <w:sz w:val="24"/>
          <w:szCs w:val="24"/>
        </w:rPr>
        <w:t>(7)</w:t>
      </w:r>
      <w:r>
        <w:rPr>
          <w:sz w:val="24"/>
          <w:szCs w:val="24"/>
        </w:rPr>
        <w:tab/>
        <w:t xml:space="preserve">Vanguard Super must </w:t>
      </w:r>
      <w:r w:rsidR="00014A92">
        <w:rPr>
          <w:sz w:val="24"/>
          <w:szCs w:val="24"/>
        </w:rPr>
        <w:t xml:space="preserve">ensure that the </w:t>
      </w:r>
      <w:r w:rsidRPr="00256EF7">
        <w:rPr>
          <w:sz w:val="24"/>
          <w:szCs w:val="24"/>
        </w:rPr>
        <w:t xml:space="preserve">Expressions of Interest Webpage </w:t>
      </w:r>
      <w:r w:rsidR="00014A92">
        <w:rPr>
          <w:sz w:val="24"/>
          <w:szCs w:val="24"/>
        </w:rPr>
        <w:t>complies</w:t>
      </w:r>
      <w:r w:rsidRPr="00256EF7">
        <w:rPr>
          <w:sz w:val="24"/>
          <w:szCs w:val="24"/>
        </w:rPr>
        <w:t xml:space="preserve"> with section 1018A of the Corporations Act and only contain</w:t>
      </w:r>
      <w:r w:rsidR="008920E5">
        <w:rPr>
          <w:sz w:val="24"/>
          <w:szCs w:val="24"/>
        </w:rPr>
        <w:t>s</w:t>
      </w:r>
      <w:r w:rsidRPr="00256EF7">
        <w:rPr>
          <w:sz w:val="24"/>
          <w:szCs w:val="24"/>
        </w:rPr>
        <w:t xml:space="preserve"> statements which are factual and accurate.  </w:t>
      </w:r>
    </w:p>
    <w:p w14:paraId="59B43747" w14:textId="77777777" w:rsidR="00FB51E5" w:rsidRDefault="00FB51E5" w:rsidP="009A017D">
      <w:p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left="1134" w:hanging="567"/>
      </w:pPr>
    </w:p>
    <w:sectPr w:rsidR="00FB51E5" w:rsidSect="0040053F">
      <w:headerReference w:type="even" r:id="rId25"/>
      <w:headerReference w:type="default" r:id="rId26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72BB5" w14:textId="77777777" w:rsidR="00250CC2" w:rsidRDefault="00250CC2" w:rsidP="00715914">
      <w:pPr>
        <w:spacing w:line="240" w:lineRule="auto"/>
      </w:pPr>
      <w:r>
        <w:separator/>
      </w:r>
    </w:p>
  </w:endnote>
  <w:endnote w:type="continuationSeparator" w:id="0">
    <w:p w14:paraId="0761C592" w14:textId="77777777" w:rsidR="00250CC2" w:rsidRDefault="00250CC2" w:rsidP="00715914">
      <w:pPr>
        <w:spacing w:line="240" w:lineRule="auto"/>
      </w:pPr>
      <w:r>
        <w:continuationSeparator/>
      </w:r>
    </w:p>
  </w:endnote>
  <w:endnote w:type="continuationNotice" w:id="1">
    <w:p w14:paraId="0DDFEA80" w14:textId="77777777" w:rsidR="00250CC2" w:rsidRDefault="00250CC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399DBECE" w14:textId="77777777" w:rsidTr="00081794">
      <w:tc>
        <w:tcPr>
          <w:tcW w:w="8472" w:type="dxa"/>
          <w:shd w:val="clear" w:color="auto" w:fill="auto"/>
        </w:tcPr>
        <w:p w14:paraId="6C093E09" w14:textId="45D01135" w:rsidR="00102CA6" w:rsidRPr="00081794" w:rsidRDefault="0006250C" w:rsidP="00081794">
          <w:pPr>
            <w:jc w:val="right"/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I14KE197.v07.docx</w:t>
          </w:r>
          <w:r w:rsidR="00102CA6"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25/6/2014 3:37 PM</w:t>
          </w:r>
        </w:p>
      </w:tc>
    </w:tr>
  </w:tbl>
  <w:p w14:paraId="73ADAF16" w14:textId="77777777" w:rsidR="00102CA6" w:rsidRPr="007500C8" w:rsidRDefault="00102CA6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1F298" w14:textId="58812FD1" w:rsidR="00102CA6" w:rsidRDefault="00256EF7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689914C7" wp14:editId="13344D2B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4603338B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9914C7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8" type="#_x0000_t202" style="position:absolute;margin-left:0;margin-top:793.7pt;width:347.25pt;height:31.5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" stroked="f">
              <v:stroke joinstyle="round"/>
              <v:path arrowok="t"/>
              <v:textbox>
                <w:txbxContent>
                  <w:p w14:paraId="4603338B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56E26C1D" w14:textId="77777777" w:rsidTr="00081794">
      <w:tc>
        <w:tcPr>
          <w:tcW w:w="8472" w:type="dxa"/>
          <w:shd w:val="clear" w:color="auto" w:fill="auto"/>
        </w:tcPr>
        <w:p w14:paraId="6C24B28B" w14:textId="77777777" w:rsidR="00102CA6" w:rsidRPr="00081794" w:rsidRDefault="00102CA6" w:rsidP="00102CA6">
          <w:pPr>
            <w:rPr>
              <w:sz w:val="18"/>
            </w:rPr>
          </w:pPr>
        </w:p>
      </w:tc>
    </w:tr>
  </w:tbl>
  <w:p w14:paraId="475A8AD9" w14:textId="77777777" w:rsidR="00102CA6" w:rsidRPr="007500C8" w:rsidRDefault="00102CA6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39B2A" w14:textId="77777777" w:rsidR="00102CA6" w:rsidRPr="00ED79B6" w:rsidRDefault="00102CA6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7C32F" w14:textId="77777777" w:rsidR="00102CA6" w:rsidRPr="00E2168B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11E4C" w14:textId="77777777" w:rsidR="00102CA6" w:rsidRPr="00E33C1C" w:rsidRDefault="008945E0" w:rsidP="00243EC0">
    <w:pPr>
      <w:pStyle w:val="LI-Footer"/>
      <w:rPr>
        <w:sz w:val="16"/>
        <w:szCs w:val="16"/>
      </w:rPr>
    </w:pPr>
    <w:r w:rsidRPr="00A52B0F">
      <w:tab/>
    </w:r>
    <w:r w:rsidR="00D73C22"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16310F">
      <w:rPr>
        <w:noProof/>
      </w:rPr>
      <w:t>10</w:t>
    </w:r>
    <w:r w:rsidRPr="00A52B0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AF10B" w14:textId="77777777" w:rsidR="00250CC2" w:rsidRDefault="00250CC2" w:rsidP="00715914">
      <w:pPr>
        <w:spacing w:line="240" w:lineRule="auto"/>
      </w:pPr>
      <w:r>
        <w:separator/>
      </w:r>
    </w:p>
  </w:footnote>
  <w:footnote w:type="continuationSeparator" w:id="0">
    <w:p w14:paraId="26D74DD8" w14:textId="77777777" w:rsidR="00250CC2" w:rsidRDefault="00250CC2" w:rsidP="00715914">
      <w:pPr>
        <w:spacing w:line="240" w:lineRule="auto"/>
      </w:pPr>
      <w:r>
        <w:continuationSeparator/>
      </w:r>
    </w:p>
  </w:footnote>
  <w:footnote w:type="continuationNotice" w:id="1">
    <w:p w14:paraId="142832FD" w14:textId="77777777" w:rsidR="00250CC2" w:rsidRDefault="00250CC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7C3C1" w14:textId="0E4ABDF0" w:rsidR="00102CA6" w:rsidRPr="005F1388" w:rsidRDefault="00256EF7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CB729D3" wp14:editId="6C943F3B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3BF07CF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787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B729D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" stroked="f">
              <v:stroke joinstyle="round"/>
              <v:path arrowok="t"/>
              <v:textbox>
                <w:txbxContent>
                  <w:p w14:paraId="53BF07CF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787E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4A09B" w14:textId="3CE75F09" w:rsidR="00102CA6" w:rsidRPr="005F1388" w:rsidRDefault="00256EF7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9CC74B8" wp14:editId="70CB28C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0050E706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CC74B8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" stroked="f">
              <v:stroke joinstyle="round"/>
              <v:path arrowok="t"/>
              <v:textbox>
                <w:txbxContent>
                  <w:p w14:paraId="0050E706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F5A85" w14:textId="77777777" w:rsidR="00102CA6" w:rsidRDefault="00E2168B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4750E0" w:rsidRPr="00E40FF8" w14:paraId="269A9D81" w14:textId="77777777" w:rsidTr="00BC3081">
      <w:tc>
        <w:tcPr>
          <w:tcW w:w="6804" w:type="dxa"/>
          <w:shd w:val="clear" w:color="auto" w:fill="auto"/>
        </w:tcPr>
        <w:p w14:paraId="2F4C03AA" w14:textId="1120C1B4" w:rsidR="004750E0" w:rsidRDefault="00144989" w:rsidP="004750E0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 w:rsidR="00574EAA">
            <w:rPr>
              <w:noProof/>
            </w:rPr>
            <w:t>ASIC Corporations and Superannuation (Website Disclosure Deferral) Instrument 2022/808</w:t>
          </w:r>
          <w:r>
            <w:rPr>
              <w:noProof/>
            </w:rPr>
            <w:fldChar w:fldCharType="end"/>
          </w:r>
        </w:p>
      </w:tc>
      <w:tc>
        <w:tcPr>
          <w:tcW w:w="1509" w:type="dxa"/>
          <w:shd w:val="clear" w:color="auto" w:fill="auto"/>
        </w:tcPr>
        <w:p w14:paraId="12356CC6" w14:textId="77777777" w:rsidR="004750E0" w:rsidRDefault="004750E0" w:rsidP="004750E0">
          <w:pPr>
            <w:pStyle w:val="LI-Header"/>
            <w:pBdr>
              <w:bottom w:val="none" w:sz="0" w:space="0" w:color="auto"/>
            </w:pBdr>
          </w:pPr>
        </w:p>
      </w:tc>
    </w:tr>
  </w:tbl>
  <w:p w14:paraId="4ED88196" w14:textId="77777777" w:rsidR="00102CA6" w:rsidRPr="008945E0" w:rsidRDefault="00102CA6" w:rsidP="004750E0">
    <w:pPr>
      <w:pStyle w:val="LI-Header"/>
      <w:pBdr>
        <w:bottom w:val="none" w:sz="0" w:space="0" w:color="auto"/>
      </w:pBdr>
      <w:spacing w:befor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8A137" w14:textId="77777777" w:rsidR="00102CA6" w:rsidRPr="00ED79B6" w:rsidRDefault="00102CA6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099EB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641BC61E" w14:textId="77777777" w:rsidTr="00BF75C9">
      <w:tc>
        <w:tcPr>
          <w:tcW w:w="6804" w:type="dxa"/>
          <w:shd w:val="clear" w:color="auto" w:fill="auto"/>
        </w:tcPr>
        <w:p w14:paraId="6272A300" w14:textId="47C66F59" w:rsidR="00F4215A" w:rsidRDefault="00144989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>
            <w:rPr>
              <w:noProof/>
            </w:rPr>
            <w:t>ASIC Corporations and Superannuation (Website Disclosure Deferral) Instrument 2022/808</w:t>
          </w:r>
          <w:r>
            <w:rPr>
              <w:noProof/>
            </w:rPr>
            <w:fldChar w:fldCharType="end"/>
          </w:r>
        </w:p>
      </w:tc>
      <w:tc>
        <w:tcPr>
          <w:tcW w:w="1509" w:type="dxa"/>
          <w:shd w:val="clear" w:color="auto" w:fill="auto"/>
        </w:tcPr>
        <w:p w14:paraId="62E41C3A" w14:textId="01716C6E" w:rsidR="00F4215A" w:rsidRDefault="00144989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 xml:space="preserve"> STYLEREF  "LI - Heading 1" </w:instrText>
          </w:r>
          <w:r>
            <w:fldChar w:fldCharType="separate"/>
          </w:r>
          <w:r>
            <w:rPr>
              <w:noProof/>
            </w:rPr>
            <w:t>Part 2—Exemptions</w:t>
          </w:r>
          <w:r>
            <w:rPr>
              <w:noProof/>
            </w:rPr>
            <w:fldChar w:fldCharType="end"/>
          </w:r>
        </w:p>
      </w:tc>
    </w:tr>
  </w:tbl>
  <w:p w14:paraId="188C6011" w14:textId="77777777" w:rsidR="0040053F" w:rsidRPr="00F4215A" w:rsidRDefault="0040053F" w:rsidP="004750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D034B"/>
    <w:multiLevelType w:val="hybridMultilevel"/>
    <w:tmpl w:val="C33C8014"/>
    <w:lvl w:ilvl="0" w:tplc="87322C82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3AB60BAB"/>
    <w:multiLevelType w:val="hybridMultilevel"/>
    <w:tmpl w:val="85C451F4"/>
    <w:lvl w:ilvl="0" w:tplc="F2D0CF54">
      <w:start w:val="5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5475E"/>
    <w:multiLevelType w:val="hybridMultilevel"/>
    <w:tmpl w:val="9C0E6A7A"/>
    <w:lvl w:ilvl="0" w:tplc="1E3C3842">
      <w:start w:val="1"/>
      <w:numFmt w:val="lowerLetter"/>
      <w:lvlText w:val="(%1)"/>
      <w:lvlJc w:val="left"/>
      <w:pPr>
        <w:ind w:left="1524" w:hanging="39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2602533"/>
    <w:multiLevelType w:val="hybridMultilevel"/>
    <w:tmpl w:val="78782C40"/>
    <w:lvl w:ilvl="0" w:tplc="65027D6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7DE33884"/>
    <w:multiLevelType w:val="hybridMultilevel"/>
    <w:tmpl w:val="F24E48A0"/>
    <w:lvl w:ilvl="0" w:tplc="8CF88F3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1"/>
  </w:num>
  <w:num w:numId="14">
    <w:abstractNumId w:val="15"/>
  </w:num>
  <w:num w:numId="15">
    <w:abstractNumId w:val="12"/>
  </w:num>
  <w:num w:numId="16">
    <w:abstractNumId w:val="17"/>
  </w:num>
  <w:num w:numId="17">
    <w:abstractNumId w:val="16"/>
  </w:num>
  <w:num w:numId="18">
    <w:abstractNumId w:val="1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hideSpellingErrors/>
  <w:hideGrammaticalErrors/>
  <w:proofState w:spelling="clean" w:grammar="clean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2CA4"/>
    <w:rsid w:val="00004470"/>
    <w:rsid w:val="00005446"/>
    <w:rsid w:val="000136AF"/>
    <w:rsid w:val="00013B8D"/>
    <w:rsid w:val="00014A92"/>
    <w:rsid w:val="000179EC"/>
    <w:rsid w:val="00023D53"/>
    <w:rsid w:val="000255FD"/>
    <w:rsid w:val="000437C1"/>
    <w:rsid w:val="00047418"/>
    <w:rsid w:val="0005365D"/>
    <w:rsid w:val="00060615"/>
    <w:rsid w:val="000614BF"/>
    <w:rsid w:val="0006250C"/>
    <w:rsid w:val="00070AE4"/>
    <w:rsid w:val="00081794"/>
    <w:rsid w:val="000A0377"/>
    <w:rsid w:val="000A142F"/>
    <w:rsid w:val="000A1FAA"/>
    <w:rsid w:val="000A6A66"/>
    <w:rsid w:val="000A6C39"/>
    <w:rsid w:val="000B58FA"/>
    <w:rsid w:val="000C55A0"/>
    <w:rsid w:val="000D05EF"/>
    <w:rsid w:val="000E2261"/>
    <w:rsid w:val="000E3C2E"/>
    <w:rsid w:val="000E684B"/>
    <w:rsid w:val="000F21C1"/>
    <w:rsid w:val="00102CA6"/>
    <w:rsid w:val="00106083"/>
    <w:rsid w:val="0010745C"/>
    <w:rsid w:val="0010765D"/>
    <w:rsid w:val="00132CEB"/>
    <w:rsid w:val="00142B62"/>
    <w:rsid w:val="00144989"/>
    <w:rsid w:val="001534EB"/>
    <w:rsid w:val="00157B8B"/>
    <w:rsid w:val="0016310F"/>
    <w:rsid w:val="0016591D"/>
    <w:rsid w:val="00166C2F"/>
    <w:rsid w:val="00171A6E"/>
    <w:rsid w:val="001809D7"/>
    <w:rsid w:val="001939E1"/>
    <w:rsid w:val="00194C3E"/>
    <w:rsid w:val="00195382"/>
    <w:rsid w:val="00195BD4"/>
    <w:rsid w:val="001A1F08"/>
    <w:rsid w:val="001B068C"/>
    <w:rsid w:val="001C61C5"/>
    <w:rsid w:val="001C69C4"/>
    <w:rsid w:val="001D37EF"/>
    <w:rsid w:val="001D75A0"/>
    <w:rsid w:val="001E3590"/>
    <w:rsid w:val="001E7407"/>
    <w:rsid w:val="001F5D5E"/>
    <w:rsid w:val="001F6219"/>
    <w:rsid w:val="001F6CD4"/>
    <w:rsid w:val="00206319"/>
    <w:rsid w:val="00206C4D"/>
    <w:rsid w:val="0021053C"/>
    <w:rsid w:val="00215AF1"/>
    <w:rsid w:val="0022666F"/>
    <w:rsid w:val="002321E8"/>
    <w:rsid w:val="00236EEC"/>
    <w:rsid w:val="0024010F"/>
    <w:rsid w:val="00240749"/>
    <w:rsid w:val="00243018"/>
    <w:rsid w:val="00243EC0"/>
    <w:rsid w:val="00244742"/>
    <w:rsid w:val="0024652E"/>
    <w:rsid w:val="00247BBB"/>
    <w:rsid w:val="00250CC2"/>
    <w:rsid w:val="00252AFD"/>
    <w:rsid w:val="002564A4"/>
    <w:rsid w:val="00256EF7"/>
    <w:rsid w:val="0026736C"/>
    <w:rsid w:val="00281308"/>
    <w:rsid w:val="00281813"/>
    <w:rsid w:val="00281DB5"/>
    <w:rsid w:val="00283FE8"/>
    <w:rsid w:val="00284719"/>
    <w:rsid w:val="00293707"/>
    <w:rsid w:val="00297ECB"/>
    <w:rsid w:val="002A7BCF"/>
    <w:rsid w:val="002B19F3"/>
    <w:rsid w:val="002B4A0D"/>
    <w:rsid w:val="002C39C0"/>
    <w:rsid w:val="002D043A"/>
    <w:rsid w:val="002D16A2"/>
    <w:rsid w:val="002D3711"/>
    <w:rsid w:val="002D6224"/>
    <w:rsid w:val="002E3F4B"/>
    <w:rsid w:val="00304F8B"/>
    <w:rsid w:val="00324514"/>
    <w:rsid w:val="00326F7F"/>
    <w:rsid w:val="00327DDF"/>
    <w:rsid w:val="00327F27"/>
    <w:rsid w:val="00333743"/>
    <w:rsid w:val="003354D2"/>
    <w:rsid w:val="00335BC6"/>
    <w:rsid w:val="003415D3"/>
    <w:rsid w:val="00344701"/>
    <w:rsid w:val="003528DA"/>
    <w:rsid w:val="00352B0F"/>
    <w:rsid w:val="00356690"/>
    <w:rsid w:val="00356A5D"/>
    <w:rsid w:val="00360459"/>
    <w:rsid w:val="003616CF"/>
    <w:rsid w:val="00362843"/>
    <w:rsid w:val="00365497"/>
    <w:rsid w:val="00366C65"/>
    <w:rsid w:val="0037049A"/>
    <w:rsid w:val="00376F3A"/>
    <w:rsid w:val="00380635"/>
    <w:rsid w:val="00386AD9"/>
    <w:rsid w:val="00387A96"/>
    <w:rsid w:val="00395FDE"/>
    <w:rsid w:val="003A12F2"/>
    <w:rsid w:val="003A2A48"/>
    <w:rsid w:val="003A6E1A"/>
    <w:rsid w:val="003B0079"/>
    <w:rsid w:val="003B732F"/>
    <w:rsid w:val="003C6231"/>
    <w:rsid w:val="003D0BFE"/>
    <w:rsid w:val="003D1370"/>
    <w:rsid w:val="003D5700"/>
    <w:rsid w:val="003E0C0A"/>
    <w:rsid w:val="003E0F99"/>
    <w:rsid w:val="003E341B"/>
    <w:rsid w:val="003E6F35"/>
    <w:rsid w:val="0040053F"/>
    <w:rsid w:val="004009AA"/>
    <w:rsid w:val="004116CD"/>
    <w:rsid w:val="0041360B"/>
    <w:rsid w:val="00413B4F"/>
    <w:rsid w:val="004144EC"/>
    <w:rsid w:val="00417773"/>
    <w:rsid w:val="00417EB9"/>
    <w:rsid w:val="00424CA9"/>
    <w:rsid w:val="004303BE"/>
    <w:rsid w:val="00431E9B"/>
    <w:rsid w:val="004379E3"/>
    <w:rsid w:val="0044015E"/>
    <w:rsid w:val="0044291A"/>
    <w:rsid w:val="00444ABD"/>
    <w:rsid w:val="00446B83"/>
    <w:rsid w:val="00447DB4"/>
    <w:rsid w:val="00460889"/>
    <w:rsid w:val="00460F1D"/>
    <w:rsid w:val="004642C1"/>
    <w:rsid w:val="00467661"/>
    <w:rsid w:val="004705B7"/>
    <w:rsid w:val="00472DBE"/>
    <w:rsid w:val="00474A19"/>
    <w:rsid w:val="004750E0"/>
    <w:rsid w:val="004823C0"/>
    <w:rsid w:val="0048276B"/>
    <w:rsid w:val="00496B5F"/>
    <w:rsid w:val="00496F97"/>
    <w:rsid w:val="004A44FC"/>
    <w:rsid w:val="004B15B3"/>
    <w:rsid w:val="004E063A"/>
    <w:rsid w:val="004E146E"/>
    <w:rsid w:val="004E7BEC"/>
    <w:rsid w:val="004F5D18"/>
    <w:rsid w:val="0050044F"/>
    <w:rsid w:val="00505D3D"/>
    <w:rsid w:val="00506AF6"/>
    <w:rsid w:val="00514003"/>
    <w:rsid w:val="00516B8D"/>
    <w:rsid w:val="00517E56"/>
    <w:rsid w:val="0053072A"/>
    <w:rsid w:val="00532049"/>
    <w:rsid w:val="005356A7"/>
    <w:rsid w:val="00537FBC"/>
    <w:rsid w:val="005461B9"/>
    <w:rsid w:val="00546805"/>
    <w:rsid w:val="00547741"/>
    <w:rsid w:val="005574D1"/>
    <w:rsid w:val="005657FE"/>
    <w:rsid w:val="005725DC"/>
    <w:rsid w:val="00572BB1"/>
    <w:rsid w:val="00573669"/>
    <w:rsid w:val="00574EAA"/>
    <w:rsid w:val="0057670F"/>
    <w:rsid w:val="00584811"/>
    <w:rsid w:val="00585784"/>
    <w:rsid w:val="00593AA6"/>
    <w:rsid w:val="00594161"/>
    <w:rsid w:val="00594749"/>
    <w:rsid w:val="005A2AE4"/>
    <w:rsid w:val="005A7330"/>
    <w:rsid w:val="005B4067"/>
    <w:rsid w:val="005B42A8"/>
    <w:rsid w:val="005B780C"/>
    <w:rsid w:val="005C3F41"/>
    <w:rsid w:val="005D0489"/>
    <w:rsid w:val="005D2D09"/>
    <w:rsid w:val="005D3D41"/>
    <w:rsid w:val="005D5383"/>
    <w:rsid w:val="005E02D0"/>
    <w:rsid w:val="005E42B9"/>
    <w:rsid w:val="005E4810"/>
    <w:rsid w:val="005F65CD"/>
    <w:rsid w:val="00600219"/>
    <w:rsid w:val="00601175"/>
    <w:rsid w:val="00603DC4"/>
    <w:rsid w:val="0060618B"/>
    <w:rsid w:val="00607A71"/>
    <w:rsid w:val="00620076"/>
    <w:rsid w:val="00622213"/>
    <w:rsid w:val="00634044"/>
    <w:rsid w:val="00640161"/>
    <w:rsid w:val="00652769"/>
    <w:rsid w:val="0065542F"/>
    <w:rsid w:val="006554FF"/>
    <w:rsid w:val="00670B6A"/>
    <w:rsid w:val="00670EA1"/>
    <w:rsid w:val="00677CC2"/>
    <w:rsid w:val="00681FC1"/>
    <w:rsid w:val="006905DE"/>
    <w:rsid w:val="0069207B"/>
    <w:rsid w:val="006A13D3"/>
    <w:rsid w:val="006B5789"/>
    <w:rsid w:val="006C0F6D"/>
    <w:rsid w:val="006C30C5"/>
    <w:rsid w:val="006C3B16"/>
    <w:rsid w:val="006C48FA"/>
    <w:rsid w:val="006C7F8C"/>
    <w:rsid w:val="006E5320"/>
    <w:rsid w:val="006E6246"/>
    <w:rsid w:val="006F1120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1EE8"/>
    <w:rsid w:val="007440B7"/>
    <w:rsid w:val="007500C8"/>
    <w:rsid w:val="00756272"/>
    <w:rsid w:val="007662B5"/>
    <w:rsid w:val="0076681A"/>
    <w:rsid w:val="007678FC"/>
    <w:rsid w:val="007715C9"/>
    <w:rsid w:val="00771613"/>
    <w:rsid w:val="00774EDD"/>
    <w:rsid w:val="007757EC"/>
    <w:rsid w:val="0077787E"/>
    <w:rsid w:val="00783E89"/>
    <w:rsid w:val="00785A9E"/>
    <w:rsid w:val="00792619"/>
    <w:rsid w:val="00793915"/>
    <w:rsid w:val="00795307"/>
    <w:rsid w:val="00796794"/>
    <w:rsid w:val="007A4D49"/>
    <w:rsid w:val="007B4C4F"/>
    <w:rsid w:val="007B4DBD"/>
    <w:rsid w:val="007C1581"/>
    <w:rsid w:val="007C2253"/>
    <w:rsid w:val="007D230B"/>
    <w:rsid w:val="007D36D4"/>
    <w:rsid w:val="007E163D"/>
    <w:rsid w:val="007E3DF4"/>
    <w:rsid w:val="007E559A"/>
    <w:rsid w:val="007E667A"/>
    <w:rsid w:val="007F28C9"/>
    <w:rsid w:val="007F77A6"/>
    <w:rsid w:val="0080312D"/>
    <w:rsid w:val="00803587"/>
    <w:rsid w:val="008117E9"/>
    <w:rsid w:val="00824498"/>
    <w:rsid w:val="008346B8"/>
    <w:rsid w:val="00840442"/>
    <w:rsid w:val="00851D8A"/>
    <w:rsid w:val="008527C0"/>
    <w:rsid w:val="00856A31"/>
    <w:rsid w:val="00860B58"/>
    <w:rsid w:val="00861530"/>
    <w:rsid w:val="00861636"/>
    <w:rsid w:val="00867B37"/>
    <w:rsid w:val="00870E9E"/>
    <w:rsid w:val="008754D0"/>
    <w:rsid w:val="00883EAC"/>
    <w:rsid w:val="008855C9"/>
    <w:rsid w:val="00886456"/>
    <w:rsid w:val="0089056B"/>
    <w:rsid w:val="008920E5"/>
    <w:rsid w:val="008945E0"/>
    <w:rsid w:val="0089527F"/>
    <w:rsid w:val="008A362B"/>
    <w:rsid w:val="008A46E1"/>
    <w:rsid w:val="008A4F43"/>
    <w:rsid w:val="008B2706"/>
    <w:rsid w:val="008C0F29"/>
    <w:rsid w:val="008D0EE0"/>
    <w:rsid w:val="008D3422"/>
    <w:rsid w:val="008E1722"/>
    <w:rsid w:val="008E189B"/>
    <w:rsid w:val="008E2276"/>
    <w:rsid w:val="008E6067"/>
    <w:rsid w:val="008F4E95"/>
    <w:rsid w:val="008F54E7"/>
    <w:rsid w:val="008F6333"/>
    <w:rsid w:val="008F6F9C"/>
    <w:rsid w:val="00903422"/>
    <w:rsid w:val="00904545"/>
    <w:rsid w:val="009157A4"/>
    <w:rsid w:val="009157B9"/>
    <w:rsid w:val="00915DF9"/>
    <w:rsid w:val="009254C3"/>
    <w:rsid w:val="00930A0A"/>
    <w:rsid w:val="009319E3"/>
    <w:rsid w:val="00932377"/>
    <w:rsid w:val="00947D5A"/>
    <w:rsid w:val="009532A5"/>
    <w:rsid w:val="0095528E"/>
    <w:rsid w:val="0096753E"/>
    <w:rsid w:val="00982242"/>
    <w:rsid w:val="009837C9"/>
    <w:rsid w:val="009868E9"/>
    <w:rsid w:val="00987CCC"/>
    <w:rsid w:val="009944E6"/>
    <w:rsid w:val="009A017D"/>
    <w:rsid w:val="009A49C9"/>
    <w:rsid w:val="009B4B8F"/>
    <w:rsid w:val="009C3573"/>
    <w:rsid w:val="009D1818"/>
    <w:rsid w:val="009E2B83"/>
    <w:rsid w:val="009E5CFC"/>
    <w:rsid w:val="009E62E0"/>
    <w:rsid w:val="00A079CB"/>
    <w:rsid w:val="00A12128"/>
    <w:rsid w:val="00A12F48"/>
    <w:rsid w:val="00A15053"/>
    <w:rsid w:val="00A15512"/>
    <w:rsid w:val="00A22C98"/>
    <w:rsid w:val="00A231E2"/>
    <w:rsid w:val="00A33D55"/>
    <w:rsid w:val="00A40424"/>
    <w:rsid w:val="00A4552E"/>
    <w:rsid w:val="00A52B0F"/>
    <w:rsid w:val="00A53624"/>
    <w:rsid w:val="00A5632E"/>
    <w:rsid w:val="00A56547"/>
    <w:rsid w:val="00A64912"/>
    <w:rsid w:val="00A67B16"/>
    <w:rsid w:val="00A70A74"/>
    <w:rsid w:val="00A7223F"/>
    <w:rsid w:val="00A91966"/>
    <w:rsid w:val="00AA0D08"/>
    <w:rsid w:val="00AA66AC"/>
    <w:rsid w:val="00AB40BE"/>
    <w:rsid w:val="00AC0886"/>
    <w:rsid w:val="00AD5315"/>
    <w:rsid w:val="00AD5641"/>
    <w:rsid w:val="00AD7889"/>
    <w:rsid w:val="00AF021B"/>
    <w:rsid w:val="00AF06CF"/>
    <w:rsid w:val="00B067FC"/>
    <w:rsid w:val="00B06DA1"/>
    <w:rsid w:val="00B07CDB"/>
    <w:rsid w:val="00B16A31"/>
    <w:rsid w:val="00B17DFD"/>
    <w:rsid w:val="00B2799D"/>
    <w:rsid w:val="00B308FE"/>
    <w:rsid w:val="00B33709"/>
    <w:rsid w:val="00B33B3C"/>
    <w:rsid w:val="00B413B4"/>
    <w:rsid w:val="00B50ADC"/>
    <w:rsid w:val="00B566B1"/>
    <w:rsid w:val="00B60DC2"/>
    <w:rsid w:val="00B63834"/>
    <w:rsid w:val="00B66C1C"/>
    <w:rsid w:val="00B7233C"/>
    <w:rsid w:val="00B72734"/>
    <w:rsid w:val="00B80199"/>
    <w:rsid w:val="00B82D81"/>
    <w:rsid w:val="00B83204"/>
    <w:rsid w:val="00BA220B"/>
    <w:rsid w:val="00BA3A57"/>
    <w:rsid w:val="00BA62F3"/>
    <w:rsid w:val="00BA7E57"/>
    <w:rsid w:val="00BB4E1A"/>
    <w:rsid w:val="00BB5C17"/>
    <w:rsid w:val="00BC015E"/>
    <w:rsid w:val="00BC346F"/>
    <w:rsid w:val="00BC7183"/>
    <w:rsid w:val="00BC76AC"/>
    <w:rsid w:val="00BD0ECB"/>
    <w:rsid w:val="00BE2155"/>
    <w:rsid w:val="00BE2213"/>
    <w:rsid w:val="00BE719A"/>
    <w:rsid w:val="00BE720A"/>
    <w:rsid w:val="00BF0D73"/>
    <w:rsid w:val="00BF2465"/>
    <w:rsid w:val="00BF57F4"/>
    <w:rsid w:val="00BF75C9"/>
    <w:rsid w:val="00C0544A"/>
    <w:rsid w:val="00C059C1"/>
    <w:rsid w:val="00C11452"/>
    <w:rsid w:val="00C125CE"/>
    <w:rsid w:val="00C25E7F"/>
    <w:rsid w:val="00C2746F"/>
    <w:rsid w:val="00C324A0"/>
    <w:rsid w:val="00C3300F"/>
    <w:rsid w:val="00C34E77"/>
    <w:rsid w:val="00C35875"/>
    <w:rsid w:val="00C426AC"/>
    <w:rsid w:val="00C42BF8"/>
    <w:rsid w:val="00C45171"/>
    <w:rsid w:val="00C47552"/>
    <w:rsid w:val="00C50043"/>
    <w:rsid w:val="00C50B97"/>
    <w:rsid w:val="00C6434E"/>
    <w:rsid w:val="00C70CA8"/>
    <w:rsid w:val="00C73863"/>
    <w:rsid w:val="00C7573B"/>
    <w:rsid w:val="00C7761F"/>
    <w:rsid w:val="00C83C6D"/>
    <w:rsid w:val="00C87899"/>
    <w:rsid w:val="00C914A0"/>
    <w:rsid w:val="00C927E7"/>
    <w:rsid w:val="00C93C03"/>
    <w:rsid w:val="00CA1B10"/>
    <w:rsid w:val="00CA66DC"/>
    <w:rsid w:val="00CA6949"/>
    <w:rsid w:val="00CB215F"/>
    <w:rsid w:val="00CB2C8E"/>
    <w:rsid w:val="00CB602E"/>
    <w:rsid w:val="00CD2E90"/>
    <w:rsid w:val="00CE051D"/>
    <w:rsid w:val="00CE1335"/>
    <w:rsid w:val="00CE1BFB"/>
    <w:rsid w:val="00CE3D2A"/>
    <w:rsid w:val="00CE493D"/>
    <w:rsid w:val="00CF07FA"/>
    <w:rsid w:val="00CF0BB2"/>
    <w:rsid w:val="00CF3EE8"/>
    <w:rsid w:val="00D050E6"/>
    <w:rsid w:val="00D126A9"/>
    <w:rsid w:val="00D13441"/>
    <w:rsid w:val="00D150E7"/>
    <w:rsid w:val="00D222DA"/>
    <w:rsid w:val="00D22A37"/>
    <w:rsid w:val="00D32F65"/>
    <w:rsid w:val="00D33C71"/>
    <w:rsid w:val="00D33F9D"/>
    <w:rsid w:val="00D341C4"/>
    <w:rsid w:val="00D52DC2"/>
    <w:rsid w:val="00D53BCC"/>
    <w:rsid w:val="00D54CFE"/>
    <w:rsid w:val="00D64485"/>
    <w:rsid w:val="00D653A0"/>
    <w:rsid w:val="00D702DE"/>
    <w:rsid w:val="00D70DFB"/>
    <w:rsid w:val="00D73C22"/>
    <w:rsid w:val="00D766DF"/>
    <w:rsid w:val="00D94821"/>
    <w:rsid w:val="00DA186E"/>
    <w:rsid w:val="00DA4116"/>
    <w:rsid w:val="00DB251C"/>
    <w:rsid w:val="00DB38AD"/>
    <w:rsid w:val="00DB4630"/>
    <w:rsid w:val="00DC4445"/>
    <w:rsid w:val="00DC4F88"/>
    <w:rsid w:val="00DD2116"/>
    <w:rsid w:val="00DD2492"/>
    <w:rsid w:val="00DD75CF"/>
    <w:rsid w:val="00DE0BCF"/>
    <w:rsid w:val="00DE6CBE"/>
    <w:rsid w:val="00DE79F9"/>
    <w:rsid w:val="00DF400A"/>
    <w:rsid w:val="00E05704"/>
    <w:rsid w:val="00E06CC3"/>
    <w:rsid w:val="00E11E44"/>
    <w:rsid w:val="00E13AFA"/>
    <w:rsid w:val="00E2168B"/>
    <w:rsid w:val="00E21F03"/>
    <w:rsid w:val="00E338EF"/>
    <w:rsid w:val="00E3699F"/>
    <w:rsid w:val="00E40FF8"/>
    <w:rsid w:val="00E544BB"/>
    <w:rsid w:val="00E578EC"/>
    <w:rsid w:val="00E60423"/>
    <w:rsid w:val="00E662CB"/>
    <w:rsid w:val="00E71F25"/>
    <w:rsid w:val="00E74DC7"/>
    <w:rsid w:val="00E75C33"/>
    <w:rsid w:val="00E8075A"/>
    <w:rsid w:val="00E818A6"/>
    <w:rsid w:val="00E87AF6"/>
    <w:rsid w:val="00E91572"/>
    <w:rsid w:val="00E94D5E"/>
    <w:rsid w:val="00EA4C0D"/>
    <w:rsid w:val="00EA5693"/>
    <w:rsid w:val="00EA7100"/>
    <w:rsid w:val="00EA7F9F"/>
    <w:rsid w:val="00EB0E70"/>
    <w:rsid w:val="00EB1274"/>
    <w:rsid w:val="00EB2600"/>
    <w:rsid w:val="00EC4757"/>
    <w:rsid w:val="00EC7EDB"/>
    <w:rsid w:val="00ED257C"/>
    <w:rsid w:val="00ED2BB6"/>
    <w:rsid w:val="00ED34E1"/>
    <w:rsid w:val="00ED3B8D"/>
    <w:rsid w:val="00ED3D49"/>
    <w:rsid w:val="00EE0564"/>
    <w:rsid w:val="00EF2E3A"/>
    <w:rsid w:val="00EF4665"/>
    <w:rsid w:val="00EF4B9C"/>
    <w:rsid w:val="00F02EF9"/>
    <w:rsid w:val="00F072A7"/>
    <w:rsid w:val="00F07735"/>
    <w:rsid w:val="00F078DC"/>
    <w:rsid w:val="00F14593"/>
    <w:rsid w:val="00F171A1"/>
    <w:rsid w:val="00F23C29"/>
    <w:rsid w:val="00F245D3"/>
    <w:rsid w:val="00F32B12"/>
    <w:rsid w:val="00F32BA8"/>
    <w:rsid w:val="00F349F1"/>
    <w:rsid w:val="00F4215A"/>
    <w:rsid w:val="00F4350D"/>
    <w:rsid w:val="00F50532"/>
    <w:rsid w:val="00F567F7"/>
    <w:rsid w:val="00F61B09"/>
    <w:rsid w:val="00F62036"/>
    <w:rsid w:val="00F65B52"/>
    <w:rsid w:val="00F67BCA"/>
    <w:rsid w:val="00F73BD6"/>
    <w:rsid w:val="00F83989"/>
    <w:rsid w:val="00F84DD2"/>
    <w:rsid w:val="00F85099"/>
    <w:rsid w:val="00F9097B"/>
    <w:rsid w:val="00F9379C"/>
    <w:rsid w:val="00F93AC4"/>
    <w:rsid w:val="00F9632C"/>
    <w:rsid w:val="00F97F52"/>
    <w:rsid w:val="00FA1E52"/>
    <w:rsid w:val="00FA25B0"/>
    <w:rsid w:val="00FA31DE"/>
    <w:rsid w:val="00FA7D17"/>
    <w:rsid w:val="00FB03E2"/>
    <w:rsid w:val="00FB51E5"/>
    <w:rsid w:val="00FC3EB8"/>
    <w:rsid w:val="00FC7D25"/>
    <w:rsid w:val="00FE4688"/>
    <w:rsid w:val="00FE5949"/>
    <w:rsid w:val="00FE72D6"/>
    <w:rsid w:val="00FE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281A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iPriority w:val="99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uiPriority w:val="99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F07735"/>
    <w:pPr>
      <w:keepNext/>
      <w:keepLines/>
      <w:tabs>
        <w:tab w:val="right" w:pos="8278"/>
      </w:tabs>
      <w:spacing w:before="120" w:line="240" w:lineRule="auto"/>
      <w:ind w:right="562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paragraph" w:styleId="Revision">
    <w:name w:val="Revision"/>
    <w:hidden/>
    <w:uiPriority w:val="99"/>
    <w:semiHidden/>
    <w:rsid w:val="00E75C33"/>
    <w:rPr>
      <w:sz w:val="22"/>
      <w:lang w:eastAsia="en-US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link w:val="LI-Header"/>
    <w:rsid w:val="0040053F"/>
    <w:rPr>
      <w:i/>
      <w:sz w:val="18"/>
      <w:lang w:eastAsia="en-US"/>
    </w:rPr>
  </w:style>
  <w:style w:type="paragraph" w:customStyle="1" w:styleId="LI-Notestableheader">
    <w:name w:val="LI - Notes table header"/>
    <w:rsid w:val="001534EB"/>
    <w:pPr>
      <w:spacing w:before="60" w:after="60"/>
    </w:pPr>
    <w:rPr>
      <w:rFonts w:eastAsia="Times New Roman"/>
      <w:b/>
      <w:bCs/>
      <w:sz w:val="18"/>
      <w:szCs w:val="16"/>
      <w:lang w:eastAsia="en-US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paragraph" w:customStyle="1" w:styleId="LI-Notestabletext">
    <w:name w:val="LI - Notes table text"/>
    <w:rsid w:val="003B0079"/>
    <w:pPr>
      <w:spacing w:before="60" w:after="120"/>
    </w:pPr>
    <w:rPr>
      <w:rFonts w:eastAsia="Times New Roman"/>
      <w:sz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644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6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3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://www.legislation.gov.au/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5.xml"/><Relationship Id="rId28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5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 xsi:nil="true"/>
    <DocumentNotes xmlns="db2b92ca-6ed0-4085-802d-4c686a2e8c3f" xsi:nil="true"/>
    <NAPReason xmlns="db2b92ca-6ed0-4085-802d-4c686a2e8c3f" xsi:nil="true"/>
    <_dlc_DocId xmlns="eb44715b-cd74-4c79-92c4-f0e9f1a86440">000853-1726373233-1269</_dlc_DocId>
    <_dlc_DocIdUrl xmlns="eb44715b-cd74-4c79-92c4-f0e9f1a86440">
      <Url>https://asiclink.sharepoint.com/teams/000853/_layouts/15/DocIdRedir.aspx?ID=000853-1726373233-1269</Url>
      <Description>000853-1726373233-1269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08C9EE83D83D4448AF8205A6FC777399" ma:contentTypeVersion="20" ma:contentTypeDescription="" ma:contentTypeScope="" ma:versionID="698e68325071abb2ac38e96fcbbdaea9">
  <xsd:schema xmlns:xsd="http://www.w3.org/2001/XMLSchema" xmlns:xs="http://www.w3.org/2001/XMLSchema" xmlns:p="http://schemas.microsoft.com/office/2006/metadata/properties" xmlns:ns2="db2b92ca-6ed0-4085-802d-4c686a2e8c3f" xmlns:ns3="eb44715b-cd74-4c79-92c4-f0e9f1a86440" xmlns:ns4="97799607-2890-4a68-80f0-689cc1cb251f" targetNamespace="http://schemas.microsoft.com/office/2006/metadata/properties" ma:root="true" ma:fieldsID="c56322a47cd380e86ae0860c83825693" ns2:_="" ns3:_="" ns4:_="">
    <xsd:import namespace="db2b92ca-6ed0-4085-802d-4c686a2e8c3f"/>
    <xsd:import namespace="eb44715b-cd74-4c79-92c4-f0e9f1a86440"/>
    <xsd:import namespace="97799607-2890-4a68-80f0-689cc1cb251f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DocumentNotes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nillable="true" ma:displayName="Security Classification_1" ma:hidden="true" ma:internalName="p1abb5e704a84578aa4b8ef0390c3b25">
      <xsd:simpleType>
        <xsd:restriction base="dms:Note"/>
      </xsd:simpleType>
    </xsd:element>
    <xsd:element name="DocumentNotes" ma:index="10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715b-cd74-4c79-92c4-f0e9f1a86440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99607-2890-4a68-80f0-689cc1cb2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af302855-5de3-48f9-83c2-fc1acc0f760b" ContentTypeId="0x010100B5F685A1365F544391EF8C813B164F3A" PreviousValue="false" LastSyncTimeStamp="2022-04-21T03:15:02.147Z"/>
</file>

<file path=customXml/itemProps1.xml><?xml version="1.0" encoding="utf-8"?>
<ds:datastoreItem xmlns:ds="http://schemas.openxmlformats.org/officeDocument/2006/customXml" ds:itemID="{E95A88E6-7A3B-444D-887C-815065E182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CD4EE6-99DD-489C-B6D2-7D88034FE4A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919F9C3-8177-4185-9858-5BDC89F5E817}">
  <ds:schemaRefs>
    <ds:schemaRef ds:uri="http://schemas.microsoft.com/office/2006/metadata/properties"/>
    <ds:schemaRef ds:uri="http://schemas.microsoft.com/office/infopath/2007/PartnerControls"/>
    <ds:schemaRef ds:uri="db2b92ca-6ed0-4085-802d-4c686a2e8c3f"/>
    <ds:schemaRef ds:uri="eb44715b-cd74-4c79-92c4-f0e9f1a86440"/>
  </ds:schemaRefs>
</ds:datastoreItem>
</file>

<file path=customXml/itemProps4.xml><?xml version="1.0" encoding="utf-8"?>
<ds:datastoreItem xmlns:ds="http://schemas.openxmlformats.org/officeDocument/2006/customXml" ds:itemID="{C8EAED4E-5469-40A4-9AEB-DEECBD56F7E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E40D215-8495-48E0-B05A-4850367CE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eb44715b-cd74-4c79-92c4-f0e9f1a86440"/>
    <ds:schemaRef ds:uri="97799607-2890-4a68-80f0-689cc1cb2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E1AF510-2CE1-4B72-AC07-6E1D49F6D52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1491</Words>
  <Characters>8503</Characters>
  <Application>Microsoft Office Word</Application>
  <DocSecurity>0</DocSecurity>
  <PresentationFormat/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ASIC Corporations and Superannuation (Website Disclosure Deferral) Instrument 2022-XXX  (Vanguard Super 090922)</vt:lpstr>
    </vt:vector>
  </TitlesOfParts>
  <Company/>
  <LinksUpToDate>false</LinksUpToDate>
  <CharactersWithSpaces>9975</CharactersWithSpaces>
  <SharedDoc>false</SharedDoc>
  <HyperlinkBase/>
  <HLinks>
    <vt:vector size="78" baseType="variant">
      <vt:variant>
        <vt:i4>6946865</vt:i4>
      </vt:variant>
      <vt:variant>
        <vt:i4>75</vt:i4>
      </vt:variant>
      <vt:variant>
        <vt:i4>0</vt:i4>
      </vt:variant>
      <vt:variant>
        <vt:i4>5</vt:i4>
      </vt:variant>
      <vt:variant>
        <vt:lpwstr>http://www.legislation.gov.au/</vt:lpwstr>
      </vt:variant>
      <vt:variant>
        <vt:lpwstr/>
      </vt:variant>
      <vt:variant>
        <vt:i4>1114169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_Toc113433802</vt:lpwstr>
      </vt:variant>
      <vt:variant>
        <vt:i4>1114169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_Toc113433801</vt:lpwstr>
      </vt:variant>
      <vt:variant>
        <vt:i4>1114169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_Toc113433800</vt:lpwstr>
      </vt:variant>
      <vt:variant>
        <vt:i4>1572918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_Toc113433799</vt:lpwstr>
      </vt:variant>
      <vt:variant>
        <vt:i4>1572918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_Toc113433796</vt:lpwstr>
      </vt:variant>
      <vt:variant>
        <vt:i4>1572918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_Toc113433795</vt:lpwstr>
      </vt:variant>
      <vt:variant>
        <vt:i4>1572918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_Toc113433794</vt:lpwstr>
      </vt:variant>
      <vt:variant>
        <vt:i4>1572918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_Toc113433793</vt:lpwstr>
      </vt:variant>
      <vt:variant>
        <vt:i4>1572918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_Toc113433792</vt:lpwstr>
      </vt:variant>
      <vt:variant>
        <vt:i4>1572918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_Toc113433791</vt:lpwstr>
      </vt:variant>
      <vt:variant>
        <vt:i4>1572918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_Toc113433790</vt:lpwstr>
      </vt:variant>
      <vt:variant>
        <vt:i4>1638454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_Toc113433789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ASIC Corporations and Superannuation (Website Disclosure Deferral) Instrument 2022-XXX  (Vanguard Super 090922)</dc:title>
  <dc:subject/>
  <dc:creator/>
  <cp:keywords/>
  <dc:description/>
  <cp:lastModifiedBy/>
  <cp:revision>1</cp:revision>
  <dcterms:created xsi:type="dcterms:W3CDTF">2022-09-15T00:23:00Z</dcterms:created>
  <dcterms:modified xsi:type="dcterms:W3CDTF">2022-09-15T01:24:00Z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0x010100B5F685A1365F544391EF8C813B164F3A0008C9EE83D83D4448AF8205A6FC777399</vt:lpwstr>
  </property>
  <property fmtid="{D5CDD505-2E9C-101B-9397-08002B2CF9AE}" pid="3" name="RCRCaseSubType">
    <vt:lpwstr>17;#Application for declaration or exemption or order|18f57654-eecd-e911-813d-005056a82db1</vt:lpwstr>
  </property>
  <property fmtid="{D5CDD505-2E9C-101B-9397-08002B2CF9AE}" pid="4" name="RCRRegulatoryRole">
    <vt:lpwstr/>
  </property>
  <property fmtid="{D5CDD505-2E9C-101B-9397-08002B2CF9AE}" pid="5" name="RCRRegulatoryConsiderationSubType">
    <vt:lpwstr/>
  </property>
  <property fmtid="{D5CDD505-2E9C-101B-9397-08002B2CF9AE}" pid="6" name="RCRBusinessProcessPattern">
    <vt:lpwstr>12;#Initial Regulatory Assessment|a9f31fe5-c4f4-e611-811b-005056a8b064</vt:lpwstr>
  </property>
  <property fmtid="{D5CDD505-2E9C-101B-9397-08002B2CF9AE}" pid="7" name="RCRSourceSystem">
    <vt:lpwstr>11;#ASIC CRM|01de0d69-0bf4-e611-811b-005056a8b064</vt:lpwstr>
  </property>
  <property fmtid="{D5CDD505-2E9C-101B-9397-08002B2CF9AE}" pid="8" name="RCRCaseType">
    <vt:lpwstr>13;#Applications:Application for Relief|74bb2bb1-b94e-e911-8133-005056a82db1</vt:lpwstr>
  </property>
  <property fmtid="{D5CDD505-2E9C-101B-9397-08002B2CF9AE}" pid="9" name="RCRRegulatoryTopics">
    <vt:lpwstr>56;#Financial Services|62dbcff1-c4fb-e511-8104-0050569c5e38</vt:lpwstr>
  </property>
  <property fmtid="{D5CDD505-2E9C-101B-9397-08002B2CF9AE}" pid="10" name="RCRRegulatoryConsiderationType">
    <vt:lpwstr/>
  </property>
  <property fmtid="{D5CDD505-2E9C-101B-9397-08002B2CF9AE}" pid="11" name="RCRCfCs">
    <vt:lpwstr/>
  </property>
  <property fmtid="{D5CDD505-2E9C-101B-9397-08002B2CF9AE}" pid="12" name="Order">
    <vt:r8>3215900</vt:r8>
  </property>
  <property fmtid="{D5CDD505-2E9C-101B-9397-08002B2CF9AE}" pid="13" name="SecurityClassification">
    <vt:lpwstr>7;#OFFICIAL - Sensitive|6eccc17f-024b-41b0-b6b1-faf98d2aff85</vt:lpwstr>
  </property>
  <property fmtid="{D5CDD505-2E9C-101B-9397-08002B2CF9AE}" pid="14" name="RCRParentRecordType">
    <vt:lpwstr/>
  </property>
  <property fmtid="{D5CDD505-2E9C-101B-9397-08002B2CF9AE}" pid="15" name="RCRSourceRecordType">
    <vt:lpwstr/>
  </property>
  <property fmtid="{D5CDD505-2E9C-101B-9397-08002B2CF9AE}" pid="16" name="RCRDocumentType">
    <vt:lpwstr>41;#ASIC DOCUMENT|d6dfe730-960e-4670-85d5-e6d25d9f6901</vt:lpwstr>
  </property>
  <property fmtid="{D5CDD505-2E9C-101B-9397-08002B2CF9AE}" pid="17" name="_dlc_DocIdItemGuid">
    <vt:lpwstr>ced68516-d554-44e1-80a1-89928ad7b7e3</vt:lpwstr>
  </property>
</Properties>
</file>