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DB79" w14:textId="39F9579D" w:rsidR="00715914" w:rsidRPr="009D288B" w:rsidRDefault="00404699" w:rsidP="009460DC">
      <w:pPr>
        <w:spacing w:after="600"/>
        <w:rPr>
          <w:sz w:val="28"/>
        </w:rPr>
      </w:pPr>
      <w:r w:rsidRPr="009D288B">
        <w:rPr>
          <w:noProof/>
        </w:rPr>
        <w:drawing>
          <wp:inline distT="0" distB="0" distL="0" distR="0" wp14:anchorId="20167543" wp14:editId="2146F387">
            <wp:extent cx="3543300" cy="752475"/>
            <wp:effectExtent l="0" t="0" r="0" b="0"/>
            <wp:docPr id="3"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083DB9DB" w14:textId="3FA8ED10" w:rsidR="00243EC0" w:rsidRPr="009D288B" w:rsidRDefault="00447DB4" w:rsidP="003B28C3">
      <w:pPr>
        <w:pStyle w:val="LI-Title"/>
        <w:pBdr>
          <w:bottom w:val="single" w:sz="4" w:space="1" w:color="auto"/>
        </w:pBdr>
      </w:pPr>
      <w:r w:rsidRPr="009D288B">
        <w:t>A</w:t>
      </w:r>
      <w:r w:rsidR="00327DDF" w:rsidRPr="009D288B">
        <w:t xml:space="preserve">SIC Corporations </w:t>
      </w:r>
      <w:r w:rsidR="00C11452" w:rsidRPr="009D288B">
        <w:t>(</w:t>
      </w:r>
      <w:r w:rsidR="00276AE5" w:rsidRPr="009D288B">
        <w:t>Foreign Financial Services Provider—Queensland Fidelity and Indemnity Schemes)</w:t>
      </w:r>
      <w:r w:rsidR="00C11452" w:rsidRPr="009D288B">
        <w:t xml:space="preserve"> Instrument </w:t>
      </w:r>
      <w:r w:rsidR="0096224A" w:rsidRPr="009D288B">
        <w:t>2022</w:t>
      </w:r>
      <w:r w:rsidR="0094265B" w:rsidRPr="009D288B">
        <w:t>/437</w:t>
      </w:r>
    </w:p>
    <w:p w14:paraId="430FC02E" w14:textId="3071255A" w:rsidR="00F171A1" w:rsidRPr="009D288B" w:rsidRDefault="00F171A1" w:rsidP="00005446">
      <w:pPr>
        <w:pStyle w:val="LI-Fronttext"/>
        <w:rPr>
          <w:sz w:val="24"/>
          <w:szCs w:val="24"/>
        </w:rPr>
      </w:pPr>
      <w:r w:rsidRPr="009D288B">
        <w:rPr>
          <w:sz w:val="24"/>
          <w:szCs w:val="24"/>
        </w:rPr>
        <w:t xml:space="preserve">I, </w:t>
      </w:r>
      <w:r w:rsidR="00A02E11" w:rsidRPr="009D288B">
        <w:rPr>
          <w:sz w:val="24"/>
          <w:szCs w:val="24"/>
        </w:rPr>
        <w:t>Rhys Bollen</w:t>
      </w:r>
      <w:r w:rsidR="00C0544A" w:rsidRPr="009D288B">
        <w:rPr>
          <w:sz w:val="24"/>
          <w:szCs w:val="24"/>
        </w:rPr>
        <w:t>, delegate of the Australian Securities and Investments Commission</w:t>
      </w:r>
      <w:r w:rsidRPr="009D288B">
        <w:rPr>
          <w:sz w:val="24"/>
          <w:szCs w:val="24"/>
        </w:rPr>
        <w:t xml:space="preserve">, make the following </w:t>
      </w:r>
      <w:r w:rsidR="0096224A" w:rsidRPr="009D288B">
        <w:rPr>
          <w:sz w:val="24"/>
          <w:szCs w:val="24"/>
        </w:rPr>
        <w:t>notifiable</w:t>
      </w:r>
      <w:r w:rsidR="008C0F29" w:rsidRPr="009D288B">
        <w:rPr>
          <w:sz w:val="24"/>
          <w:szCs w:val="24"/>
        </w:rPr>
        <w:t xml:space="preserve"> instrument</w:t>
      </w:r>
      <w:r w:rsidRPr="009D288B">
        <w:rPr>
          <w:sz w:val="24"/>
          <w:szCs w:val="24"/>
        </w:rPr>
        <w:t>.</w:t>
      </w:r>
    </w:p>
    <w:p w14:paraId="4E4C7256" w14:textId="77777777" w:rsidR="003A2A48" w:rsidRPr="009D288B" w:rsidRDefault="003A2A48" w:rsidP="00005446">
      <w:pPr>
        <w:pStyle w:val="LI-Fronttext"/>
      </w:pPr>
    </w:p>
    <w:p w14:paraId="65CB2DF9" w14:textId="2FFF3362" w:rsidR="006554FF" w:rsidRPr="009D288B" w:rsidRDefault="00F171A1" w:rsidP="00005446">
      <w:pPr>
        <w:pStyle w:val="LI-Fronttext"/>
        <w:rPr>
          <w:sz w:val="24"/>
          <w:szCs w:val="24"/>
        </w:rPr>
      </w:pPr>
      <w:r w:rsidRPr="009D288B">
        <w:rPr>
          <w:sz w:val="24"/>
          <w:szCs w:val="24"/>
        </w:rPr>
        <w:t>Date</w:t>
      </w:r>
      <w:r w:rsidRPr="009D288B">
        <w:rPr>
          <w:sz w:val="24"/>
          <w:szCs w:val="24"/>
        </w:rPr>
        <w:tab/>
      </w:r>
      <w:bookmarkStart w:id="0" w:name="BKCheck15B_1"/>
      <w:bookmarkEnd w:id="0"/>
      <w:r w:rsidR="002B67F2" w:rsidRPr="009D288B">
        <w:rPr>
          <w:sz w:val="24"/>
          <w:szCs w:val="24"/>
        </w:rPr>
        <w:t>3</w:t>
      </w:r>
      <w:r w:rsidR="00404699" w:rsidRPr="009D288B">
        <w:rPr>
          <w:sz w:val="24"/>
          <w:szCs w:val="24"/>
        </w:rPr>
        <w:t>1</w:t>
      </w:r>
      <w:r w:rsidR="002B67F2" w:rsidRPr="009D288B">
        <w:rPr>
          <w:sz w:val="24"/>
          <w:szCs w:val="24"/>
        </w:rPr>
        <w:t xml:space="preserve"> May </w:t>
      </w:r>
      <w:r w:rsidR="00CE6D42" w:rsidRPr="009D288B">
        <w:rPr>
          <w:sz w:val="24"/>
          <w:szCs w:val="24"/>
        </w:rPr>
        <w:t>20</w:t>
      </w:r>
      <w:r w:rsidR="00E67AEE" w:rsidRPr="009D288B">
        <w:rPr>
          <w:sz w:val="24"/>
          <w:szCs w:val="24"/>
        </w:rPr>
        <w:t>2</w:t>
      </w:r>
      <w:r w:rsidR="00FD2944" w:rsidRPr="009D288B">
        <w:rPr>
          <w:sz w:val="24"/>
          <w:szCs w:val="24"/>
        </w:rPr>
        <w:t>2</w:t>
      </w:r>
    </w:p>
    <w:p w14:paraId="73E1EE55" w14:textId="3A9E8EA4" w:rsidR="00404699" w:rsidRPr="009D288B" w:rsidRDefault="00404699" w:rsidP="00465DC1">
      <w:pPr>
        <w:pStyle w:val="LI-Fronttext"/>
        <w:pBdr>
          <w:bottom w:val="single" w:sz="4" w:space="1" w:color="auto"/>
        </w:pBdr>
        <w:rPr>
          <w:sz w:val="24"/>
          <w:szCs w:val="24"/>
        </w:rPr>
      </w:pPr>
    </w:p>
    <w:p w14:paraId="6B6939AA" w14:textId="2A21F5DD" w:rsidR="00F171A1" w:rsidRPr="00BB5C17" w:rsidRDefault="00D05A0D" w:rsidP="00465DC1">
      <w:pPr>
        <w:pStyle w:val="LI-Fronttext"/>
        <w:pBdr>
          <w:bottom w:val="single" w:sz="4" w:space="1" w:color="auto"/>
        </w:pBdr>
        <w:rPr>
          <w:sz w:val="24"/>
          <w:szCs w:val="24"/>
        </w:rPr>
      </w:pPr>
      <w:r w:rsidRPr="009D288B">
        <w:rPr>
          <w:sz w:val="24"/>
          <w:szCs w:val="24"/>
        </w:rPr>
        <w:t>Rhys Bollen</w:t>
      </w:r>
    </w:p>
    <w:p w14:paraId="3ED60FCA" w14:textId="77777777" w:rsidR="00715914" w:rsidRPr="00F61B09" w:rsidRDefault="00715914" w:rsidP="00715914">
      <w:pPr>
        <w:pStyle w:val="Header"/>
        <w:tabs>
          <w:tab w:val="clear" w:pos="4150"/>
          <w:tab w:val="clear" w:pos="8307"/>
        </w:tabs>
      </w:pPr>
    </w:p>
    <w:p w14:paraId="35289AEA" w14:textId="77777777" w:rsidR="00715914" w:rsidRPr="00F61B09" w:rsidRDefault="00715914" w:rsidP="00715914">
      <w:pPr>
        <w:sectPr w:rsidR="00715914" w:rsidRPr="00F61B09" w:rsidSect="008945E0">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titlePg/>
          <w:docGrid w:linePitch="360"/>
        </w:sectPr>
      </w:pPr>
    </w:p>
    <w:p w14:paraId="71CBD760"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71A71296" w14:textId="7BDFB6EA" w:rsidR="003E14C3" w:rsidRPr="00D10BFF" w:rsidRDefault="00015719">
      <w:pPr>
        <w:pStyle w:val="TOC1"/>
        <w:rPr>
          <w:rFonts w:ascii="Calibri" w:hAnsi="Calibr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04459049" w:history="1">
        <w:r w:rsidR="003E14C3" w:rsidRPr="00785703">
          <w:rPr>
            <w:rStyle w:val="Hyperlink"/>
            <w:noProof/>
          </w:rPr>
          <w:t>Part 1—Preliminary</w:t>
        </w:r>
        <w:r w:rsidR="003E14C3">
          <w:rPr>
            <w:noProof/>
            <w:webHidden/>
          </w:rPr>
          <w:tab/>
        </w:r>
        <w:r w:rsidR="003E14C3">
          <w:rPr>
            <w:noProof/>
            <w:webHidden/>
          </w:rPr>
          <w:fldChar w:fldCharType="begin"/>
        </w:r>
        <w:r w:rsidR="003E14C3">
          <w:rPr>
            <w:noProof/>
            <w:webHidden/>
          </w:rPr>
          <w:instrText xml:space="preserve"> PAGEREF _Toc104459049 \h </w:instrText>
        </w:r>
        <w:r w:rsidR="003E14C3">
          <w:rPr>
            <w:noProof/>
            <w:webHidden/>
          </w:rPr>
        </w:r>
        <w:r w:rsidR="003E14C3">
          <w:rPr>
            <w:noProof/>
            <w:webHidden/>
          </w:rPr>
          <w:fldChar w:fldCharType="separate"/>
        </w:r>
        <w:r w:rsidR="003E14C3">
          <w:rPr>
            <w:noProof/>
            <w:webHidden/>
          </w:rPr>
          <w:t>3</w:t>
        </w:r>
        <w:r w:rsidR="003E14C3">
          <w:rPr>
            <w:noProof/>
            <w:webHidden/>
          </w:rPr>
          <w:fldChar w:fldCharType="end"/>
        </w:r>
      </w:hyperlink>
    </w:p>
    <w:p w14:paraId="3181043F" w14:textId="288BB662" w:rsidR="003E14C3" w:rsidRPr="00D10BFF" w:rsidRDefault="009D288B">
      <w:pPr>
        <w:pStyle w:val="TOC2"/>
        <w:tabs>
          <w:tab w:val="left" w:pos="1474"/>
        </w:tabs>
        <w:rPr>
          <w:rFonts w:ascii="Calibri" w:hAnsi="Calibri"/>
          <w:noProof/>
          <w:kern w:val="0"/>
          <w:sz w:val="22"/>
          <w:szCs w:val="22"/>
        </w:rPr>
      </w:pPr>
      <w:hyperlink w:anchor="_Toc104459050" w:history="1">
        <w:r w:rsidR="003E14C3" w:rsidRPr="00785703">
          <w:rPr>
            <w:rStyle w:val="Hyperlink"/>
            <w:noProof/>
          </w:rPr>
          <w:t>1</w:t>
        </w:r>
        <w:r w:rsidR="003E14C3" w:rsidRPr="00D10BFF">
          <w:rPr>
            <w:rFonts w:ascii="Calibri" w:hAnsi="Calibri"/>
            <w:noProof/>
            <w:kern w:val="0"/>
            <w:sz w:val="22"/>
            <w:szCs w:val="22"/>
          </w:rPr>
          <w:tab/>
        </w:r>
        <w:r w:rsidR="003E14C3" w:rsidRPr="00785703">
          <w:rPr>
            <w:rStyle w:val="Hyperlink"/>
            <w:noProof/>
          </w:rPr>
          <w:t>Name of notifiable instrument</w:t>
        </w:r>
        <w:r w:rsidR="003E14C3">
          <w:rPr>
            <w:noProof/>
            <w:webHidden/>
          </w:rPr>
          <w:tab/>
        </w:r>
        <w:r w:rsidR="003E14C3">
          <w:rPr>
            <w:noProof/>
            <w:webHidden/>
          </w:rPr>
          <w:fldChar w:fldCharType="begin"/>
        </w:r>
        <w:r w:rsidR="003E14C3">
          <w:rPr>
            <w:noProof/>
            <w:webHidden/>
          </w:rPr>
          <w:instrText xml:space="preserve"> PAGEREF _Toc104459050 \h </w:instrText>
        </w:r>
        <w:r w:rsidR="003E14C3">
          <w:rPr>
            <w:noProof/>
            <w:webHidden/>
          </w:rPr>
        </w:r>
        <w:r w:rsidR="003E14C3">
          <w:rPr>
            <w:noProof/>
            <w:webHidden/>
          </w:rPr>
          <w:fldChar w:fldCharType="separate"/>
        </w:r>
        <w:r w:rsidR="003E14C3">
          <w:rPr>
            <w:noProof/>
            <w:webHidden/>
          </w:rPr>
          <w:t>3</w:t>
        </w:r>
        <w:r w:rsidR="003E14C3">
          <w:rPr>
            <w:noProof/>
            <w:webHidden/>
          </w:rPr>
          <w:fldChar w:fldCharType="end"/>
        </w:r>
      </w:hyperlink>
    </w:p>
    <w:p w14:paraId="3D8CB330" w14:textId="7C50098B" w:rsidR="003E14C3" w:rsidRPr="00D10BFF" w:rsidRDefault="009D288B">
      <w:pPr>
        <w:pStyle w:val="TOC2"/>
        <w:tabs>
          <w:tab w:val="left" w:pos="1474"/>
        </w:tabs>
        <w:rPr>
          <w:rFonts w:ascii="Calibri" w:hAnsi="Calibri"/>
          <w:noProof/>
          <w:kern w:val="0"/>
          <w:sz w:val="22"/>
          <w:szCs w:val="22"/>
        </w:rPr>
      </w:pPr>
      <w:hyperlink w:anchor="_Toc104459051" w:history="1">
        <w:r w:rsidR="003E14C3" w:rsidRPr="00785703">
          <w:rPr>
            <w:rStyle w:val="Hyperlink"/>
            <w:noProof/>
          </w:rPr>
          <w:t>2</w:t>
        </w:r>
        <w:r w:rsidR="003E14C3" w:rsidRPr="00D10BFF">
          <w:rPr>
            <w:rFonts w:ascii="Calibri" w:hAnsi="Calibri"/>
            <w:noProof/>
            <w:kern w:val="0"/>
            <w:sz w:val="22"/>
            <w:szCs w:val="22"/>
          </w:rPr>
          <w:tab/>
        </w:r>
        <w:r w:rsidR="003E14C3" w:rsidRPr="00785703">
          <w:rPr>
            <w:rStyle w:val="Hyperlink"/>
            <w:noProof/>
          </w:rPr>
          <w:t>Commencement</w:t>
        </w:r>
        <w:r w:rsidR="003E14C3">
          <w:rPr>
            <w:noProof/>
            <w:webHidden/>
          </w:rPr>
          <w:tab/>
        </w:r>
        <w:r w:rsidR="003E14C3">
          <w:rPr>
            <w:noProof/>
            <w:webHidden/>
          </w:rPr>
          <w:fldChar w:fldCharType="begin"/>
        </w:r>
        <w:r w:rsidR="003E14C3">
          <w:rPr>
            <w:noProof/>
            <w:webHidden/>
          </w:rPr>
          <w:instrText xml:space="preserve"> PAGEREF _Toc104459051 \h </w:instrText>
        </w:r>
        <w:r w:rsidR="003E14C3">
          <w:rPr>
            <w:noProof/>
            <w:webHidden/>
          </w:rPr>
        </w:r>
        <w:r w:rsidR="003E14C3">
          <w:rPr>
            <w:noProof/>
            <w:webHidden/>
          </w:rPr>
          <w:fldChar w:fldCharType="separate"/>
        </w:r>
        <w:r w:rsidR="003E14C3">
          <w:rPr>
            <w:noProof/>
            <w:webHidden/>
          </w:rPr>
          <w:t>3</w:t>
        </w:r>
        <w:r w:rsidR="003E14C3">
          <w:rPr>
            <w:noProof/>
            <w:webHidden/>
          </w:rPr>
          <w:fldChar w:fldCharType="end"/>
        </w:r>
      </w:hyperlink>
    </w:p>
    <w:p w14:paraId="59C30B28" w14:textId="3FDA490C" w:rsidR="003E14C3" w:rsidRPr="00D10BFF" w:rsidRDefault="009D288B">
      <w:pPr>
        <w:pStyle w:val="TOC2"/>
        <w:tabs>
          <w:tab w:val="left" w:pos="1474"/>
        </w:tabs>
        <w:rPr>
          <w:rFonts w:ascii="Calibri" w:hAnsi="Calibri"/>
          <w:noProof/>
          <w:kern w:val="0"/>
          <w:sz w:val="22"/>
          <w:szCs w:val="22"/>
        </w:rPr>
      </w:pPr>
      <w:hyperlink w:anchor="_Toc104459052" w:history="1">
        <w:r w:rsidR="003E14C3" w:rsidRPr="00785703">
          <w:rPr>
            <w:rStyle w:val="Hyperlink"/>
            <w:noProof/>
          </w:rPr>
          <w:t>3</w:t>
        </w:r>
        <w:r w:rsidR="003E14C3" w:rsidRPr="00D10BFF">
          <w:rPr>
            <w:rFonts w:ascii="Calibri" w:hAnsi="Calibri"/>
            <w:noProof/>
            <w:kern w:val="0"/>
            <w:sz w:val="22"/>
            <w:szCs w:val="22"/>
          </w:rPr>
          <w:tab/>
        </w:r>
        <w:r w:rsidR="003E14C3" w:rsidRPr="00785703">
          <w:rPr>
            <w:rStyle w:val="Hyperlink"/>
            <w:noProof/>
          </w:rPr>
          <w:t>Authority</w:t>
        </w:r>
        <w:r w:rsidR="003E14C3">
          <w:rPr>
            <w:noProof/>
            <w:webHidden/>
          </w:rPr>
          <w:tab/>
        </w:r>
        <w:r w:rsidR="003E14C3">
          <w:rPr>
            <w:noProof/>
            <w:webHidden/>
          </w:rPr>
          <w:fldChar w:fldCharType="begin"/>
        </w:r>
        <w:r w:rsidR="003E14C3">
          <w:rPr>
            <w:noProof/>
            <w:webHidden/>
          </w:rPr>
          <w:instrText xml:space="preserve"> PAGEREF _Toc104459052 \h </w:instrText>
        </w:r>
        <w:r w:rsidR="003E14C3">
          <w:rPr>
            <w:noProof/>
            <w:webHidden/>
          </w:rPr>
        </w:r>
        <w:r w:rsidR="003E14C3">
          <w:rPr>
            <w:noProof/>
            <w:webHidden/>
          </w:rPr>
          <w:fldChar w:fldCharType="separate"/>
        </w:r>
        <w:r w:rsidR="003E14C3">
          <w:rPr>
            <w:noProof/>
            <w:webHidden/>
          </w:rPr>
          <w:t>3</w:t>
        </w:r>
        <w:r w:rsidR="003E14C3">
          <w:rPr>
            <w:noProof/>
            <w:webHidden/>
          </w:rPr>
          <w:fldChar w:fldCharType="end"/>
        </w:r>
      </w:hyperlink>
    </w:p>
    <w:p w14:paraId="2A8FEBC1" w14:textId="665BDF01" w:rsidR="003E14C3" w:rsidRPr="00D10BFF" w:rsidRDefault="009D288B">
      <w:pPr>
        <w:pStyle w:val="TOC2"/>
        <w:tabs>
          <w:tab w:val="left" w:pos="1474"/>
        </w:tabs>
        <w:rPr>
          <w:rFonts w:ascii="Calibri" w:hAnsi="Calibri"/>
          <w:noProof/>
          <w:kern w:val="0"/>
          <w:sz w:val="22"/>
          <w:szCs w:val="22"/>
        </w:rPr>
      </w:pPr>
      <w:hyperlink w:anchor="_Toc104459053" w:history="1">
        <w:r w:rsidR="003E14C3" w:rsidRPr="00785703">
          <w:rPr>
            <w:rStyle w:val="Hyperlink"/>
            <w:noProof/>
          </w:rPr>
          <w:t>4</w:t>
        </w:r>
        <w:r w:rsidR="003E14C3" w:rsidRPr="00D10BFF">
          <w:rPr>
            <w:rFonts w:ascii="Calibri" w:hAnsi="Calibri"/>
            <w:noProof/>
            <w:kern w:val="0"/>
            <w:sz w:val="22"/>
            <w:szCs w:val="22"/>
          </w:rPr>
          <w:tab/>
        </w:r>
        <w:r w:rsidR="003E14C3" w:rsidRPr="00785703">
          <w:rPr>
            <w:rStyle w:val="Hyperlink"/>
            <w:noProof/>
          </w:rPr>
          <w:t>Definitions</w:t>
        </w:r>
        <w:r w:rsidR="003E14C3">
          <w:rPr>
            <w:noProof/>
            <w:webHidden/>
          </w:rPr>
          <w:tab/>
        </w:r>
        <w:r w:rsidR="003E14C3">
          <w:rPr>
            <w:noProof/>
            <w:webHidden/>
          </w:rPr>
          <w:fldChar w:fldCharType="begin"/>
        </w:r>
        <w:r w:rsidR="003E14C3">
          <w:rPr>
            <w:noProof/>
            <w:webHidden/>
          </w:rPr>
          <w:instrText xml:space="preserve"> PAGEREF _Toc104459053 \h </w:instrText>
        </w:r>
        <w:r w:rsidR="003E14C3">
          <w:rPr>
            <w:noProof/>
            <w:webHidden/>
          </w:rPr>
        </w:r>
        <w:r w:rsidR="003E14C3">
          <w:rPr>
            <w:noProof/>
            <w:webHidden/>
          </w:rPr>
          <w:fldChar w:fldCharType="separate"/>
        </w:r>
        <w:r w:rsidR="003E14C3">
          <w:rPr>
            <w:noProof/>
            <w:webHidden/>
          </w:rPr>
          <w:t>3</w:t>
        </w:r>
        <w:r w:rsidR="003E14C3">
          <w:rPr>
            <w:noProof/>
            <w:webHidden/>
          </w:rPr>
          <w:fldChar w:fldCharType="end"/>
        </w:r>
      </w:hyperlink>
    </w:p>
    <w:p w14:paraId="6E540601" w14:textId="36578918" w:rsidR="003E14C3" w:rsidRPr="00D10BFF" w:rsidRDefault="009D288B">
      <w:pPr>
        <w:pStyle w:val="TOC1"/>
        <w:rPr>
          <w:rFonts w:ascii="Calibri" w:hAnsi="Calibri"/>
          <w:b w:val="0"/>
          <w:noProof/>
          <w:kern w:val="0"/>
          <w:sz w:val="22"/>
          <w:szCs w:val="22"/>
        </w:rPr>
      </w:pPr>
      <w:hyperlink w:anchor="_Toc104459054" w:history="1">
        <w:r w:rsidR="003E14C3" w:rsidRPr="00785703">
          <w:rPr>
            <w:rStyle w:val="Hyperlink"/>
            <w:noProof/>
          </w:rPr>
          <w:t>Part 2—Exemption</w:t>
        </w:r>
        <w:r w:rsidR="003E14C3">
          <w:rPr>
            <w:noProof/>
            <w:webHidden/>
          </w:rPr>
          <w:tab/>
        </w:r>
        <w:r w:rsidR="003E14C3">
          <w:rPr>
            <w:noProof/>
            <w:webHidden/>
          </w:rPr>
          <w:fldChar w:fldCharType="begin"/>
        </w:r>
        <w:r w:rsidR="003E14C3">
          <w:rPr>
            <w:noProof/>
            <w:webHidden/>
          </w:rPr>
          <w:instrText xml:space="preserve"> PAGEREF _Toc104459054 \h </w:instrText>
        </w:r>
        <w:r w:rsidR="003E14C3">
          <w:rPr>
            <w:noProof/>
            <w:webHidden/>
          </w:rPr>
        </w:r>
        <w:r w:rsidR="003E14C3">
          <w:rPr>
            <w:noProof/>
            <w:webHidden/>
          </w:rPr>
          <w:fldChar w:fldCharType="separate"/>
        </w:r>
        <w:r w:rsidR="003E14C3">
          <w:rPr>
            <w:noProof/>
            <w:webHidden/>
          </w:rPr>
          <w:t>5</w:t>
        </w:r>
        <w:r w:rsidR="003E14C3">
          <w:rPr>
            <w:noProof/>
            <w:webHidden/>
          </w:rPr>
          <w:fldChar w:fldCharType="end"/>
        </w:r>
      </w:hyperlink>
    </w:p>
    <w:p w14:paraId="28774BBA" w14:textId="39C447A3" w:rsidR="003E14C3" w:rsidRPr="00D10BFF" w:rsidRDefault="009D288B">
      <w:pPr>
        <w:pStyle w:val="TOC2"/>
        <w:tabs>
          <w:tab w:val="left" w:pos="1474"/>
        </w:tabs>
        <w:rPr>
          <w:rFonts w:ascii="Calibri" w:hAnsi="Calibri"/>
          <w:noProof/>
          <w:kern w:val="0"/>
          <w:sz w:val="22"/>
          <w:szCs w:val="22"/>
        </w:rPr>
      </w:pPr>
      <w:hyperlink w:anchor="_Toc104459055" w:history="1">
        <w:r w:rsidR="003E14C3" w:rsidRPr="00785703">
          <w:rPr>
            <w:rStyle w:val="Hyperlink"/>
            <w:noProof/>
          </w:rPr>
          <w:t>5</w:t>
        </w:r>
        <w:r w:rsidR="003E14C3" w:rsidRPr="00D10BFF">
          <w:rPr>
            <w:rFonts w:ascii="Calibri" w:hAnsi="Calibri"/>
            <w:noProof/>
            <w:kern w:val="0"/>
            <w:sz w:val="22"/>
            <w:szCs w:val="22"/>
          </w:rPr>
          <w:tab/>
        </w:r>
        <w:r w:rsidR="003E14C3" w:rsidRPr="00785703">
          <w:rPr>
            <w:rStyle w:val="Hyperlink"/>
            <w:noProof/>
          </w:rPr>
          <w:t>Queensland fidelity and indemnity scheme exemptions</w:t>
        </w:r>
        <w:r w:rsidR="003E14C3">
          <w:rPr>
            <w:noProof/>
            <w:webHidden/>
          </w:rPr>
          <w:tab/>
        </w:r>
        <w:r w:rsidR="003E14C3">
          <w:rPr>
            <w:noProof/>
            <w:webHidden/>
          </w:rPr>
          <w:fldChar w:fldCharType="begin"/>
        </w:r>
        <w:r w:rsidR="003E14C3">
          <w:rPr>
            <w:noProof/>
            <w:webHidden/>
          </w:rPr>
          <w:instrText xml:space="preserve"> PAGEREF _Toc104459055 \h </w:instrText>
        </w:r>
        <w:r w:rsidR="003E14C3">
          <w:rPr>
            <w:noProof/>
            <w:webHidden/>
          </w:rPr>
        </w:r>
        <w:r w:rsidR="003E14C3">
          <w:rPr>
            <w:noProof/>
            <w:webHidden/>
          </w:rPr>
          <w:fldChar w:fldCharType="separate"/>
        </w:r>
        <w:r w:rsidR="003E14C3">
          <w:rPr>
            <w:noProof/>
            <w:webHidden/>
          </w:rPr>
          <w:t>5</w:t>
        </w:r>
        <w:r w:rsidR="003E14C3">
          <w:rPr>
            <w:noProof/>
            <w:webHidden/>
          </w:rPr>
          <w:fldChar w:fldCharType="end"/>
        </w:r>
      </w:hyperlink>
    </w:p>
    <w:p w14:paraId="03A0DFB0" w14:textId="1508CE4A" w:rsidR="003E14C3" w:rsidRPr="00D10BFF" w:rsidRDefault="009D288B">
      <w:pPr>
        <w:pStyle w:val="TOC2"/>
        <w:tabs>
          <w:tab w:val="left" w:pos="1474"/>
        </w:tabs>
        <w:rPr>
          <w:rFonts w:ascii="Calibri" w:hAnsi="Calibri"/>
          <w:noProof/>
          <w:kern w:val="0"/>
          <w:sz w:val="22"/>
          <w:szCs w:val="22"/>
        </w:rPr>
      </w:pPr>
      <w:hyperlink w:anchor="_Toc104459056" w:history="1">
        <w:r w:rsidR="003E14C3" w:rsidRPr="00785703">
          <w:rPr>
            <w:rStyle w:val="Hyperlink"/>
            <w:noProof/>
          </w:rPr>
          <w:t>6</w:t>
        </w:r>
        <w:r w:rsidR="003E14C3" w:rsidRPr="00D10BFF">
          <w:rPr>
            <w:rFonts w:ascii="Calibri" w:hAnsi="Calibri"/>
            <w:noProof/>
            <w:kern w:val="0"/>
            <w:sz w:val="22"/>
            <w:szCs w:val="22"/>
          </w:rPr>
          <w:tab/>
        </w:r>
        <w:r w:rsidR="003E14C3" w:rsidRPr="00785703">
          <w:rPr>
            <w:rStyle w:val="Hyperlink"/>
            <w:noProof/>
          </w:rPr>
          <w:t>Conditions</w:t>
        </w:r>
        <w:r w:rsidR="003E14C3">
          <w:rPr>
            <w:noProof/>
            <w:webHidden/>
          </w:rPr>
          <w:tab/>
        </w:r>
        <w:r w:rsidR="003E14C3">
          <w:rPr>
            <w:noProof/>
            <w:webHidden/>
          </w:rPr>
          <w:fldChar w:fldCharType="begin"/>
        </w:r>
        <w:r w:rsidR="003E14C3">
          <w:rPr>
            <w:noProof/>
            <w:webHidden/>
          </w:rPr>
          <w:instrText xml:space="preserve"> PAGEREF _Toc104459056 \h </w:instrText>
        </w:r>
        <w:r w:rsidR="003E14C3">
          <w:rPr>
            <w:noProof/>
            <w:webHidden/>
          </w:rPr>
        </w:r>
        <w:r w:rsidR="003E14C3">
          <w:rPr>
            <w:noProof/>
            <w:webHidden/>
          </w:rPr>
          <w:fldChar w:fldCharType="separate"/>
        </w:r>
        <w:r w:rsidR="003E14C3">
          <w:rPr>
            <w:noProof/>
            <w:webHidden/>
          </w:rPr>
          <w:t>6</w:t>
        </w:r>
        <w:r w:rsidR="003E14C3">
          <w:rPr>
            <w:noProof/>
            <w:webHidden/>
          </w:rPr>
          <w:fldChar w:fldCharType="end"/>
        </w:r>
      </w:hyperlink>
    </w:p>
    <w:p w14:paraId="411E8227" w14:textId="77777777" w:rsidR="00670EA1" w:rsidRPr="00F61B09" w:rsidRDefault="00015719" w:rsidP="00715914">
      <w:r>
        <w:rPr>
          <w:rFonts w:eastAsia="Times New Roman"/>
          <w:kern w:val="28"/>
          <w:sz w:val="28"/>
          <w:lang w:eastAsia="en-AU"/>
        </w:rPr>
        <w:fldChar w:fldCharType="end"/>
      </w:r>
    </w:p>
    <w:p w14:paraId="4A73D66D" w14:textId="77777777" w:rsidR="00670EA1" w:rsidRPr="00F61B09" w:rsidRDefault="00670EA1" w:rsidP="00715914">
      <w:pPr>
        <w:sectPr w:rsidR="00670EA1" w:rsidRPr="00F61B09" w:rsidSect="00F4215A">
          <w:headerReference w:type="even" r:id="rId20"/>
          <w:headerReference w:type="default" r:id="rId21"/>
          <w:footerReference w:type="even" r:id="rId22"/>
          <w:footerReference w:type="default" r:id="rId23"/>
          <w:headerReference w:type="first" r:id="rId24"/>
          <w:pgSz w:w="11907" w:h="16839"/>
          <w:pgMar w:top="1098" w:right="1797" w:bottom="1440" w:left="1797" w:header="720" w:footer="709" w:gutter="0"/>
          <w:pgNumType w:fmt="lowerRoman"/>
          <w:cols w:space="708"/>
          <w:docGrid w:linePitch="360"/>
        </w:sectPr>
      </w:pPr>
    </w:p>
    <w:p w14:paraId="58F5FFA5" w14:textId="77777777" w:rsidR="00FA31DE" w:rsidRPr="00F61B09" w:rsidRDefault="00FA31DE" w:rsidP="006554FF">
      <w:pPr>
        <w:pStyle w:val="LI-Heading1"/>
      </w:pPr>
      <w:bookmarkStart w:id="2" w:name="BK_S3P1L1C1"/>
      <w:bookmarkStart w:id="3" w:name="_Toc104459049"/>
      <w:bookmarkEnd w:id="2"/>
      <w:r w:rsidRPr="006554FF">
        <w:lastRenderedPageBreak/>
        <w:t>Part</w:t>
      </w:r>
      <w:r w:rsidR="00F61B09" w:rsidRPr="006554FF">
        <w:t> </w:t>
      </w:r>
      <w:r w:rsidRPr="006E5320">
        <w:t>1</w:t>
      </w:r>
      <w:r w:rsidRPr="00F61B09">
        <w:t>—</w:t>
      </w:r>
      <w:r w:rsidRPr="00005446">
        <w:t>Preliminary</w:t>
      </w:r>
      <w:bookmarkEnd w:id="3"/>
    </w:p>
    <w:p w14:paraId="705D33EE" w14:textId="77777777" w:rsidR="00FA31DE" w:rsidRDefault="00FA31DE" w:rsidP="00C11452">
      <w:pPr>
        <w:pStyle w:val="LI-Heading2"/>
        <w:rPr>
          <w:szCs w:val="24"/>
        </w:rPr>
      </w:pPr>
      <w:bookmarkStart w:id="4" w:name="_Toc104459050"/>
      <w:r w:rsidRPr="008C0F29">
        <w:rPr>
          <w:szCs w:val="24"/>
        </w:rPr>
        <w:t>1</w:t>
      </w:r>
      <w:r w:rsidR="00FC3EB8">
        <w:rPr>
          <w:szCs w:val="24"/>
        </w:rPr>
        <w:tab/>
      </w:r>
      <w:r w:rsidRPr="008C0F29">
        <w:rPr>
          <w:szCs w:val="24"/>
        </w:rPr>
        <w:t xml:space="preserve">Name of </w:t>
      </w:r>
      <w:r w:rsidR="00FD2944">
        <w:rPr>
          <w:szCs w:val="24"/>
        </w:rPr>
        <w:t>notifiable</w:t>
      </w:r>
      <w:r w:rsidR="00FD2944" w:rsidRPr="008C0F29">
        <w:rPr>
          <w:szCs w:val="24"/>
        </w:rPr>
        <w:t xml:space="preserve"> </w:t>
      </w:r>
      <w:r w:rsidR="008C0F29" w:rsidRPr="008C0F29">
        <w:rPr>
          <w:szCs w:val="24"/>
        </w:rPr>
        <w:t>instrument</w:t>
      </w:r>
      <w:bookmarkEnd w:id="4"/>
    </w:p>
    <w:p w14:paraId="429E2D3E" w14:textId="082B22D2"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276AE5" w:rsidRPr="00276AE5">
        <w:rPr>
          <w:i/>
          <w:szCs w:val="24"/>
        </w:rPr>
        <w:t>(Foreign Financial Services Provider—Queensland Fidelity and Indemnity Schemes)</w:t>
      </w:r>
      <w:r w:rsidR="00C11452" w:rsidRPr="005D3D41">
        <w:rPr>
          <w:i/>
          <w:szCs w:val="24"/>
        </w:rPr>
        <w:t xml:space="preserve"> Instrument </w:t>
      </w:r>
      <w:r w:rsidR="0096224A">
        <w:rPr>
          <w:i/>
          <w:szCs w:val="24"/>
        </w:rPr>
        <w:t>2022</w:t>
      </w:r>
      <w:r w:rsidR="00FD13CC">
        <w:rPr>
          <w:i/>
          <w:szCs w:val="24"/>
        </w:rPr>
        <w:t>/</w:t>
      </w:r>
      <w:r w:rsidR="0094265B">
        <w:rPr>
          <w:i/>
          <w:szCs w:val="24"/>
        </w:rPr>
        <w:t>437</w:t>
      </w:r>
      <w:r w:rsidRPr="005D3D41">
        <w:rPr>
          <w:szCs w:val="24"/>
        </w:rPr>
        <w:t>.</w:t>
      </w:r>
    </w:p>
    <w:p w14:paraId="493A800F" w14:textId="77777777" w:rsidR="00FA31DE" w:rsidRPr="008C0F29" w:rsidRDefault="00FA31DE" w:rsidP="00C11452">
      <w:pPr>
        <w:pStyle w:val="LI-Heading2"/>
        <w:rPr>
          <w:szCs w:val="24"/>
        </w:rPr>
      </w:pPr>
      <w:bookmarkStart w:id="5" w:name="_Toc104459051"/>
      <w:r w:rsidRPr="008C0F29">
        <w:rPr>
          <w:szCs w:val="24"/>
        </w:rPr>
        <w:t>2</w:t>
      </w:r>
      <w:r w:rsidR="00FC3EB8">
        <w:rPr>
          <w:szCs w:val="24"/>
        </w:rPr>
        <w:tab/>
      </w:r>
      <w:r w:rsidRPr="008C0F29">
        <w:rPr>
          <w:szCs w:val="24"/>
        </w:rPr>
        <w:t>Commencement</w:t>
      </w:r>
      <w:bookmarkEnd w:id="5"/>
    </w:p>
    <w:p w14:paraId="644FA5CD"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5E9887F5"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5" w:history="1">
        <w:r w:rsidR="00F047D8" w:rsidRPr="008B4C0E">
          <w:rPr>
            <w:rStyle w:val="Hyperlink"/>
          </w:rPr>
          <w:t>www.legislation.gov.au</w:t>
        </w:r>
      </w:hyperlink>
      <w:r w:rsidR="004823C0">
        <w:t>.</w:t>
      </w:r>
    </w:p>
    <w:p w14:paraId="1CA49DB8" w14:textId="77777777" w:rsidR="00FA31DE" w:rsidRPr="008C0F29" w:rsidRDefault="00FA31DE" w:rsidP="00EC4757">
      <w:pPr>
        <w:pStyle w:val="LI-Heading2"/>
        <w:spacing w:before="240"/>
        <w:rPr>
          <w:szCs w:val="24"/>
        </w:rPr>
      </w:pPr>
      <w:bookmarkStart w:id="6" w:name="_Toc104459052"/>
      <w:r w:rsidRPr="008C0F29">
        <w:rPr>
          <w:szCs w:val="24"/>
        </w:rPr>
        <w:t>3</w:t>
      </w:r>
      <w:r w:rsidR="00FC3EB8">
        <w:rPr>
          <w:szCs w:val="24"/>
        </w:rPr>
        <w:tab/>
      </w:r>
      <w:r w:rsidRPr="008C0F29">
        <w:rPr>
          <w:szCs w:val="24"/>
        </w:rPr>
        <w:t>Authority</w:t>
      </w:r>
      <w:bookmarkEnd w:id="6"/>
    </w:p>
    <w:p w14:paraId="72435BE8" w14:textId="36E38AAB"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F10909" w:rsidRPr="00F10909">
        <w:rPr>
          <w:szCs w:val="24"/>
        </w:rPr>
        <w:t xml:space="preserve">paragraphs 601QA(1)(a), 926A(2)(a), 992B(1)(a) and 1020F(1)(a) of the </w:t>
      </w:r>
      <w:r w:rsidR="00F10909" w:rsidRPr="00F10909">
        <w:rPr>
          <w:i/>
          <w:iCs/>
          <w:szCs w:val="24"/>
        </w:rPr>
        <w:t>Corporations Act 2001</w:t>
      </w:r>
      <w:r w:rsidRPr="008C0F29">
        <w:rPr>
          <w:szCs w:val="24"/>
        </w:rPr>
        <w:t>.</w:t>
      </w:r>
    </w:p>
    <w:p w14:paraId="1D29B8BD" w14:textId="77777777" w:rsidR="00FA31DE" w:rsidRPr="00BB5C17" w:rsidRDefault="008C0F29" w:rsidP="00EC4757">
      <w:pPr>
        <w:pStyle w:val="LI-Heading2"/>
        <w:spacing w:before="240"/>
        <w:rPr>
          <w:szCs w:val="24"/>
        </w:rPr>
      </w:pPr>
      <w:bookmarkStart w:id="7" w:name="_Toc104459053"/>
      <w:r w:rsidRPr="00BB5C17">
        <w:rPr>
          <w:szCs w:val="24"/>
        </w:rPr>
        <w:t>4</w:t>
      </w:r>
      <w:r w:rsidR="00FC3EB8">
        <w:rPr>
          <w:szCs w:val="24"/>
        </w:rPr>
        <w:tab/>
      </w:r>
      <w:r w:rsidR="00FA31DE" w:rsidRPr="00BB5C17">
        <w:rPr>
          <w:szCs w:val="24"/>
        </w:rPr>
        <w:t>Definitions</w:t>
      </w:r>
      <w:bookmarkEnd w:id="7"/>
    </w:p>
    <w:p w14:paraId="64A0DC09" w14:textId="77777777" w:rsidR="005D2960" w:rsidRDefault="00FA31DE" w:rsidP="005D2960">
      <w:pPr>
        <w:pStyle w:val="LI-BodyTextUnnumbered"/>
      </w:pPr>
      <w:r w:rsidRPr="00005446">
        <w:t xml:space="preserve">In this </w:t>
      </w:r>
      <w:r w:rsidR="008C0F29" w:rsidRPr="00005446">
        <w:t>instrument</w:t>
      </w:r>
      <w:r w:rsidRPr="00005446">
        <w:t>:</w:t>
      </w:r>
    </w:p>
    <w:p w14:paraId="0A263A03" w14:textId="77777777" w:rsidR="00B3562B" w:rsidRDefault="00B3562B" w:rsidP="00B3562B">
      <w:pPr>
        <w:pStyle w:val="LI-BodyTextUnnumbered"/>
      </w:pPr>
      <w:r w:rsidRPr="005D2960">
        <w:rPr>
          <w:b/>
          <w:bCs/>
          <w:i/>
          <w:iCs/>
        </w:rPr>
        <w:t>Act</w:t>
      </w:r>
      <w:r>
        <w:t xml:space="preserve"> means the </w:t>
      </w:r>
      <w:r w:rsidRPr="005D2960">
        <w:rPr>
          <w:i/>
          <w:iCs/>
        </w:rPr>
        <w:t>Corporations Act 2001</w:t>
      </w:r>
      <w:r>
        <w:t>.</w:t>
      </w:r>
    </w:p>
    <w:p w14:paraId="778C386A" w14:textId="77777777" w:rsidR="005D2960" w:rsidRDefault="005D2960" w:rsidP="005D2960">
      <w:pPr>
        <w:pStyle w:val="LI-BodyTextUnnumbered"/>
      </w:pPr>
      <w:r w:rsidRPr="005D2960">
        <w:rPr>
          <w:b/>
          <w:bCs/>
          <w:i/>
          <w:iCs/>
        </w:rPr>
        <w:t>captive insurer</w:t>
      </w:r>
      <w:r>
        <w:t xml:space="preserve"> has the meaning given by section 2 of the </w:t>
      </w:r>
      <w:r w:rsidRPr="005D2960">
        <w:rPr>
          <w:i/>
          <w:iCs/>
        </w:rPr>
        <w:t>Insurance Act 1966 (Singapore)</w:t>
      </w:r>
      <w:r>
        <w:t>.</w:t>
      </w:r>
    </w:p>
    <w:p w14:paraId="595D249B" w14:textId="77777777" w:rsidR="00FD6062" w:rsidRDefault="00FD6062" w:rsidP="005D2960">
      <w:pPr>
        <w:pStyle w:val="LI-BodyTextUnnumbered"/>
      </w:pPr>
      <w:proofErr w:type="spellStart"/>
      <w:r w:rsidRPr="00A02E11">
        <w:rPr>
          <w:b/>
          <w:bCs/>
          <w:i/>
          <w:iCs/>
        </w:rPr>
        <w:t>Lexon</w:t>
      </w:r>
      <w:proofErr w:type="spellEnd"/>
      <w:r>
        <w:t xml:space="preserve"> means </w:t>
      </w:r>
      <w:proofErr w:type="spellStart"/>
      <w:r w:rsidRPr="007D4B64">
        <w:t>Lexon</w:t>
      </w:r>
      <w:proofErr w:type="spellEnd"/>
      <w:r w:rsidRPr="007D4B64">
        <w:t xml:space="preserve"> Insurance Pte Limited ARBN 098 964 740</w:t>
      </w:r>
      <w:r>
        <w:t>.</w:t>
      </w:r>
    </w:p>
    <w:p w14:paraId="20B57601" w14:textId="1259EC04" w:rsidR="00B362A6" w:rsidRPr="00D10BFF" w:rsidRDefault="00B362A6" w:rsidP="005D2960">
      <w:pPr>
        <w:pStyle w:val="LI-BodyTextUnnumbered"/>
      </w:pPr>
      <w:r w:rsidRPr="00B362A6">
        <w:rPr>
          <w:b/>
          <w:bCs/>
          <w:i/>
          <w:iCs/>
        </w:rPr>
        <w:t>Licence</w:t>
      </w:r>
      <w:r w:rsidRPr="00D10BFF">
        <w:t>: see paragraph 5(2)(a).</w:t>
      </w:r>
    </w:p>
    <w:p w14:paraId="1D05FE07" w14:textId="5B13C690" w:rsidR="005D2960" w:rsidRDefault="005D2960" w:rsidP="005D2960">
      <w:pPr>
        <w:pStyle w:val="LI-BodyTextUnnumbered"/>
      </w:pPr>
      <w:r w:rsidRPr="005D2960">
        <w:rPr>
          <w:b/>
          <w:bCs/>
          <w:i/>
          <w:iCs/>
        </w:rPr>
        <w:t>MAS</w:t>
      </w:r>
      <w:r>
        <w:t xml:space="preserve"> means the Monetary Authority of Singapore.</w:t>
      </w:r>
    </w:p>
    <w:p w14:paraId="3FA5DE19" w14:textId="77777777" w:rsidR="005D2960" w:rsidRDefault="005D2960" w:rsidP="005D2960">
      <w:pPr>
        <w:pStyle w:val="LI-BodyTextUnnumbered"/>
      </w:pPr>
      <w:r w:rsidRPr="005D2960">
        <w:rPr>
          <w:b/>
          <w:bCs/>
          <w:i/>
          <w:iCs/>
        </w:rPr>
        <w:t>overseas regulatory authority</w:t>
      </w:r>
      <w:r>
        <w:t xml:space="preserve"> means a foreign regulatory authority (other than MAS) which regulates financial </w:t>
      </w:r>
      <w:proofErr w:type="gramStart"/>
      <w:r>
        <w:t>services</w:t>
      </w:r>
      <w:proofErr w:type="gramEnd"/>
      <w:r>
        <w:t xml:space="preserve"> and which is established by or for the purposes of a foreign government or legislative body.</w:t>
      </w:r>
    </w:p>
    <w:p w14:paraId="59463674" w14:textId="2BBEB2BF" w:rsidR="005D2960" w:rsidRDefault="005D2960" w:rsidP="005D2960">
      <w:pPr>
        <w:pStyle w:val="LI-BodyTextUnnumbered"/>
      </w:pPr>
      <w:r w:rsidRPr="005D2960">
        <w:rPr>
          <w:b/>
          <w:bCs/>
          <w:i/>
          <w:iCs/>
        </w:rPr>
        <w:t>Queensland fidelity or indemnity scheme</w:t>
      </w:r>
      <w:r>
        <w:t xml:space="preserve"> means the professional indemnity insurance arrangements made pursuant to the Queensland </w:t>
      </w:r>
      <w:r w:rsidR="00601692">
        <w:t xml:space="preserve">Law Society </w:t>
      </w:r>
      <w:r>
        <w:t xml:space="preserve">Indemnity Rule and which </w:t>
      </w:r>
      <w:proofErr w:type="spellStart"/>
      <w:r>
        <w:t>Lexon</w:t>
      </w:r>
      <w:proofErr w:type="spellEnd"/>
      <w:r>
        <w:t xml:space="preserve"> is permitted to provide under the Licence and the associated scheme providing that insurance.</w:t>
      </w:r>
    </w:p>
    <w:p w14:paraId="75A3E404" w14:textId="76AFF58A" w:rsidR="005D2960" w:rsidRDefault="005D2960" w:rsidP="005D2960">
      <w:pPr>
        <w:pStyle w:val="LI-BodyTextUnnumbered"/>
      </w:pPr>
      <w:r w:rsidRPr="005D2960">
        <w:rPr>
          <w:b/>
          <w:bCs/>
          <w:i/>
          <w:iCs/>
        </w:rPr>
        <w:t>Queensland Law Society</w:t>
      </w:r>
      <w:r>
        <w:t xml:space="preserve"> means the Queensland Law Society Incorporated, being the body established under subsection 4(1) of the </w:t>
      </w:r>
      <w:r w:rsidRPr="005D2960">
        <w:rPr>
          <w:i/>
          <w:iCs/>
        </w:rPr>
        <w:t xml:space="preserve">Queensland Law Society Act 1952 </w:t>
      </w:r>
      <w:r w:rsidRPr="00DE1743">
        <w:t>(</w:t>
      </w:r>
      <w:r w:rsidR="00B362A6">
        <w:t>Qld</w:t>
      </w:r>
      <w:proofErr w:type="gramStart"/>
      <w:r w:rsidRPr="00DE1743">
        <w:t>)</w:t>
      </w:r>
      <w:r>
        <w:t>, and</w:t>
      </w:r>
      <w:proofErr w:type="gramEnd"/>
      <w:r>
        <w:t xml:space="preserve"> continued in existence by section 508 of the </w:t>
      </w:r>
      <w:r w:rsidRPr="005D2960">
        <w:rPr>
          <w:i/>
          <w:iCs/>
        </w:rPr>
        <w:t xml:space="preserve">Legal Profession Act 2004 </w:t>
      </w:r>
      <w:r w:rsidRPr="00DE1743">
        <w:t>(</w:t>
      </w:r>
      <w:r w:rsidR="00B362A6">
        <w:t>Qld</w:t>
      </w:r>
      <w:r w:rsidRPr="00DE1743">
        <w:t>)</w:t>
      </w:r>
      <w:r>
        <w:t xml:space="preserve">, and continued in existence under section 679 of the </w:t>
      </w:r>
      <w:r w:rsidRPr="005D2960">
        <w:rPr>
          <w:i/>
          <w:iCs/>
        </w:rPr>
        <w:t>Legal Profession Act 2007</w:t>
      </w:r>
      <w:r w:rsidRPr="00DE1743">
        <w:t xml:space="preserve"> (</w:t>
      </w:r>
      <w:r w:rsidR="00B362A6">
        <w:t>Qld</w:t>
      </w:r>
      <w:r w:rsidRPr="00DE1743">
        <w:t>)</w:t>
      </w:r>
      <w:r>
        <w:t>.</w:t>
      </w:r>
    </w:p>
    <w:p w14:paraId="2B6F7287" w14:textId="55FC2CFA" w:rsidR="00460C83" w:rsidRDefault="00460C83" w:rsidP="00460C83">
      <w:pPr>
        <w:pStyle w:val="LI-BodyTextUnnumbered"/>
      </w:pPr>
      <w:r w:rsidRPr="00460C83">
        <w:rPr>
          <w:b/>
          <w:bCs/>
          <w:i/>
          <w:iCs/>
        </w:rPr>
        <w:lastRenderedPageBreak/>
        <w:t xml:space="preserve">Queensland Law Society Indemnity </w:t>
      </w:r>
      <w:r w:rsidR="000F6637" w:rsidRPr="00460C83">
        <w:rPr>
          <w:b/>
          <w:bCs/>
          <w:i/>
          <w:iCs/>
        </w:rPr>
        <w:t xml:space="preserve">Rule </w:t>
      </w:r>
      <w:r w:rsidR="000F6637">
        <w:t>means</w:t>
      </w:r>
      <w:r>
        <w:t xml:space="preserve"> the </w:t>
      </w:r>
      <w:r w:rsidRPr="00460C83">
        <w:rPr>
          <w:i/>
          <w:iCs/>
        </w:rPr>
        <w:t>Queensland Law Society Indemnity Rule 2005</w:t>
      </w:r>
      <w:r>
        <w:t xml:space="preserve"> made by the Council of the Queensland Law Society under sections 226(2)(1) and 227 of the </w:t>
      </w:r>
      <w:r w:rsidRPr="00DE1743">
        <w:rPr>
          <w:i/>
          <w:iCs/>
        </w:rPr>
        <w:t>Legal Profession Act 2004</w:t>
      </w:r>
      <w:r>
        <w:t xml:space="preserve"> (</w:t>
      </w:r>
      <w:r w:rsidR="00B362A6">
        <w:t>Qld</w:t>
      </w:r>
      <w:r>
        <w:t xml:space="preserve">) and the replacement of those provisions by sections 231 and 232 of the </w:t>
      </w:r>
      <w:r w:rsidRPr="00DE1743">
        <w:rPr>
          <w:i/>
          <w:iCs/>
        </w:rPr>
        <w:t>Legal Profession Act 2007</w:t>
      </w:r>
      <w:r>
        <w:t xml:space="preserve"> (</w:t>
      </w:r>
      <w:r w:rsidR="00B362A6">
        <w:t>Qld</w:t>
      </w:r>
      <w:r>
        <w:t>).</w:t>
      </w:r>
    </w:p>
    <w:p w14:paraId="6D896F4B" w14:textId="77777777" w:rsidR="00FA31DE" w:rsidRPr="00005446" w:rsidRDefault="005D2960" w:rsidP="005D2960">
      <w:pPr>
        <w:pStyle w:val="LI-BodyTextUnnumbered"/>
      </w:pPr>
      <w:r w:rsidRPr="005D2960">
        <w:rPr>
          <w:b/>
          <w:bCs/>
          <w:i/>
          <w:iCs/>
        </w:rPr>
        <w:t>Singaporean regulatory requirements</w:t>
      </w:r>
      <w:r>
        <w:t xml:space="preserve"> </w:t>
      </w:r>
      <w:proofErr w:type="gramStart"/>
      <w:r>
        <w:t>means</w:t>
      </w:r>
      <w:proofErr w:type="gramEnd"/>
      <w:r>
        <w:t xml:space="preserve"> the rules that apply in relation to the financial services including any applicable legislation, instruments made under that legislation and any relevant policies or other documents (however described) issued by MAS.</w:t>
      </w:r>
    </w:p>
    <w:p w14:paraId="4C7F90AC" w14:textId="77777777" w:rsidR="0040053F" w:rsidRDefault="0040053F" w:rsidP="00242C90">
      <w:pPr>
        <w:pStyle w:val="LI-BodyTextParaa"/>
        <w:ind w:left="1134" w:firstLine="0"/>
        <w:sectPr w:rsidR="0040053F" w:rsidSect="007D230B">
          <w:headerReference w:type="even" r:id="rId26"/>
          <w:headerReference w:type="default" r:id="rId27"/>
          <w:footerReference w:type="even" r:id="rId28"/>
          <w:headerReference w:type="first" r:id="rId29"/>
          <w:footerReference w:type="first" r:id="rId30"/>
          <w:pgSz w:w="11907" w:h="16839" w:code="9"/>
          <w:pgMar w:top="1534" w:right="1797" w:bottom="1440" w:left="1797" w:header="720" w:footer="709" w:gutter="0"/>
          <w:cols w:space="708"/>
          <w:docGrid w:linePitch="360"/>
        </w:sectPr>
      </w:pPr>
    </w:p>
    <w:p w14:paraId="54DDFD36" w14:textId="77777777" w:rsidR="00FA31DE" w:rsidRPr="00F61B09" w:rsidRDefault="00FA31DE" w:rsidP="00015719">
      <w:pPr>
        <w:pStyle w:val="LI-Heading1"/>
        <w:ind w:left="1138" w:hanging="1138"/>
      </w:pPr>
      <w:bookmarkStart w:id="8" w:name="_Toc104459054"/>
      <w:r w:rsidRPr="006554FF">
        <w:lastRenderedPageBreak/>
        <w:t>Part</w:t>
      </w:r>
      <w:r w:rsidR="005D0489" w:rsidRPr="006554FF">
        <w:t xml:space="preserve"> </w:t>
      </w:r>
      <w:r w:rsidR="005D0489" w:rsidRPr="006E5320">
        <w:t>2</w:t>
      </w:r>
      <w:r w:rsidRPr="00F61B09">
        <w:t>—Exemption</w:t>
      </w:r>
      <w:bookmarkEnd w:id="8"/>
    </w:p>
    <w:p w14:paraId="6347DB94" w14:textId="77777777" w:rsidR="00FA31DE" w:rsidRPr="005D3D41" w:rsidRDefault="00FC3EB8" w:rsidP="00005446">
      <w:pPr>
        <w:pStyle w:val="LI-Heading2"/>
      </w:pPr>
      <w:bookmarkStart w:id="9" w:name="_Toc104459055"/>
      <w:r>
        <w:t>5</w:t>
      </w:r>
      <w:r>
        <w:tab/>
      </w:r>
      <w:r w:rsidR="002C7801" w:rsidRPr="002C7801">
        <w:t>Queensland fidelity and indemnity scheme exemptions</w:t>
      </w:r>
      <w:bookmarkEnd w:id="9"/>
    </w:p>
    <w:p w14:paraId="56BFAA3C" w14:textId="782410C7" w:rsidR="009D1818" w:rsidRPr="005D3D41" w:rsidRDefault="00FA31DE" w:rsidP="000E3C2E">
      <w:pPr>
        <w:pStyle w:val="LI-BodyTextNumbered"/>
      </w:pPr>
      <w:bookmarkStart w:id="10" w:name="_Hlk100576141"/>
      <w:r w:rsidRPr="005D3D41">
        <w:t>(1)</w:t>
      </w:r>
      <w:r w:rsidR="009D1818" w:rsidRPr="005D3D41">
        <w:tab/>
      </w:r>
      <w:proofErr w:type="spellStart"/>
      <w:r w:rsidR="007D4B64" w:rsidRPr="007D4B64">
        <w:t>Lexon</w:t>
      </w:r>
      <w:proofErr w:type="spellEnd"/>
      <w:r w:rsidR="007D4B64" w:rsidRPr="007D4B64">
        <w:t xml:space="preserve"> does not have to comply with any of the following:</w:t>
      </w:r>
    </w:p>
    <w:bookmarkEnd w:id="10"/>
    <w:p w14:paraId="11F2A81A" w14:textId="4656488A" w:rsidR="009D1818" w:rsidRPr="005D3D41" w:rsidRDefault="009D1818" w:rsidP="00FC3EB8">
      <w:pPr>
        <w:pStyle w:val="LI-BodyTextParaa"/>
      </w:pPr>
      <w:r w:rsidRPr="005D3D41">
        <w:t>(a)</w:t>
      </w:r>
      <w:r w:rsidRPr="005D3D41">
        <w:tab/>
      </w:r>
      <w:r w:rsidR="007D4B64" w:rsidRPr="007D4B64">
        <w:t xml:space="preserve">section 601ED(5) of the Act in relation to the operation of a managed investment scheme that is or arises from </w:t>
      </w:r>
      <w:r w:rsidR="00B362A6">
        <w:t>the</w:t>
      </w:r>
      <w:r w:rsidR="00B362A6" w:rsidRPr="007D4B64">
        <w:t xml:space="preserve"> </w:t>
      </w:r>
      <w:r w:rsidR="007D4B64" w:rsidRPr="007D4B64">
        <w:t xml:space="preserve">Queensland fidelity or indemnity </w:t>
      </w:r>
      <w:proofErr w:type="gramStart"/>
      <w:r w:rsidR="007D4B64" w:rsidRPr="007D4B64">
        <w:t>scheme;</w:t>
      </w:r>
      <w:proofErr w:type="gramEnd"/>
      <w:r w:rsidRPr="005D3D41">
        <w:t xml:space="preserve"> </w:t>
      </w:r>
    </w:p>
    <w:p w14:paraId="25279AEE" w14:textId="7729A82D" w:rsidR="00DB38AD" w:rsidRDefault="009D1818" w:rsidP="00FD6062">
      <w:pPr>
        <w:pStyle w:val="LI-BodyTextParaa"/>
      </w:pPr>
      <w:r w:rsidRPr="005D3D41">
        <w:t>(b)</w:t>
      </w:r>
      <w:r w:rsidRPr="005D3D41">
        <w:tab/>
      </w:r>
      <w:r w:rsidR="007D4B64" w:rsidRPr="007D4B64">
        <w:t xml:space="preserve">Divisions 2 to 5 of Part 7.9 and section 992A of the Act in relation to a financial product that arises from </w:t>
      </w:r>
      <w:r w:rsidR="00B362A6">
        <w:t>the</w:t>
      </w:r>
      <w:r w:rsidR="00B362A6" w:rsidRPr="007D4B64">
        <w:t xml:space="preserve"> </w:t>
      </w:r>
      <w:r w:rsidR="007D4B64" w:rsidRPr="007D4B64">
        <w:t xml:space="preserve">Queensland fidelity or indemnity </w:t>
      </w:r>
      <w:proofErr w:type="gramStart"/>
      <w:r w:rsidR="007D4B64" w:rsidRPr="007D4B64">
        <w:t>scheme;</w:t>
      </w:r>
      <w:proofErr w:type="gramEnd"/>
      <w:r w:rsidR="007D4B64">
        <w:t xml:space="preserve"> </w:t>
      </w:r>
    </w:p>
    <w:p w14:paraId="7B6F59C0" w14:textId="77777777" w:rsidR="00023D53" w:rsidRPr="005D3D41" w:rsidRDefault="00023D53" w:rsidP="000E3C2E">
      <w:pPr>
        <w:pStyle w:val="LI-BodyTextParaa"/>
      </w:pPr>
      <w:bookmarkStart w:id="11" w:name="_Hlk100577539"/>
      <w:r w:rsidRPr="005D3D41">
        <w:t>(</w:t>
      </w:r>
      <w:r w:rsidR="007D4B64">
        <w:t>c</w:t>
      </w:r>
      <w:r w:rsidRPr="005D3D41">
        <w:t>)</w:t>
      </w:r>
      <w:r w:rsidRPr="005D3D41">
        <w:tab/>
      </w:r>
      <w:r w:rsidR="007D4B64" w:rsidRPr="007D4B64">
        <w:t>subsection 911A(1) of the Act for the provision of a financial service where</w:t>
      </w:r>
      <w:r w:rsidRPr="005D3D41">
        <w:t>:</w:t>
      </w:r>
    </w:p>
    <w:p w14:paraId="79D30AEA" w14:textId="77777777" w:rsidR="009157B9" w:rsidRPr="005D3D41" w:rsidRDefault="009157B9" w:rsidP="000E3C2E">
      <w:pPr>
        <w:pStyle w:val="LI-BodyTextSubparai"/>
      </w:pPr>
      <w:bookmarkStart w:id="12" w:name="_Hlk100576470"/>
      <w:bookmarkEnd w:id="11"/>
      <w:r w:rsidRPr="005D3D41">
        <w:t>(</w:t>
      </w:r>
      <w:proofErr w:type="spellStart"/>
      <w:r w:rsidRPr="005D3D41">
        <w:t>i</w:t>
      </w:r>
      <w:proofErr w:type="spellEnd"/>
      <w:r w:rsidRPr="005D3D41">
        <w:t>)</w:t>
      </w:r>
      <w:r w:rsidRPr="005D3D41">
        <w:tab/>
      </w:r>
      <w:r w:rsidR="007D4B64" w:rsidRPr="007D4B64">
        <w:t xml:space="preserve">the service consists of any or </w:t>
      </w:r>
      <w:proofErr w:type="gramStart"/>
      <w:r w:rsidR="007D4B64" w:rsidRPr="007D4B64">
        <w:t>all of</w:t>
      </w:r>
      <w:proofErr w:type="gramEnd"/>
      <w:r w:rsidR="007D4B64" w:rsidRPr="007D4B64">
        <w:t xml:space="preserve"> the following</w:t>
      </w:r>
      <w:r w:rsidR="007D4B64">
        <w:t>:</w:t>
      </w:r>
    </w:p>
    <w:p w14:paraId="3056B010" w14:textId="77777777" w:rsidR="003528DA" w:rsidRPr="005D3D41" w:rsidRDefault="00281813" w:rsidP="007D4B64">
      <w:pPr>
        <w:pStyle w:val="LI-BodyTextSubsubparaA"/>
      </w:pPr>
      <w:bookmarkStart w:id="13" w:name="_Hlk100577676"/>
      <w:bookmarkEnd w:id="12"/>
      <w:r w:rsidRPr="005D3D41">
        <w:t>(A)</w:t>
      </w:r>
      <w:r w:rsidRPr="005D3D41">
        <w:tab/>
      </w:r>
      <w:r w:rsidR="007D4B64" w:rsidRPr="007D4B64">
        <w:t xml:space="preserve">providing financial product </w:t>
      </w:r>
      <w:proofErr w:type="gramStart"/>
      <w:r w:rsidR="007D4B64" w:rsidRPr="007D4B64">
        <w:t>advice</w:t>
      </w:r>
      <w:r w:rsidRPr="005D3D41">
        <w:t>;</w:t>
      </w:r>
      <w:proofErr w:type="gramEnd"/>
    </w:p>
    <w:bookmarkEnd w:id="13"/>
    <w:p w14:paraId="08AD35CD" w14:textId="77777777" w:rsidR="007D4B64" w:rsidRDefault="00281813" w:rsidP="000E3C2E">
      <w:pPr>
        <w:pStyle w:val="LI-BodyTextSubsubparaA"/>
      </w:pPr>
      <w:r w:rsidRPr="005D3D41">
        <w:t>(B)</w:t>
      </w:r>
      <w:r w:rsidRPr="005D3D41">
        <w:tab/>
      </w:r>
      <w:r w:rsidR="007D4B64" w:rsidRPr="007D4B64">
        <w:t xml:space="preserve">dealing in a financial </w:t>
      </w:r>
      <w:proofErr w:type="gramStart"/>
      <w:r w:rsidR="007D4B64" w:rsidRPr="007D4B64">
        <w:t>product;</w:t>
      </w:r>
      <w:proofErr w:type="gramEnd"/>
    </w:p>
    <w:p w14:paraId="77F5A0BB" w14:textId="77777777" w:rsidR="007D4B64" w:rsidRDefault="007D4B64" w:rsidP="000E3C2E">
      <w:pPr>
        <w:pStyle w:val="LI-BodyTextSubsubparaA"/>
      </w:pPr>
      <w:r>
        <w:t>(C)</w:t>
      </w:r>
      <w:r>
        <w:tab/>
      </w:r>
      <w:r w:rsidRPr="007D4B64">
        <w:t xml:space="preserve">providing a custodial or depository </w:t>
      </w:r>
      <w:proofErr w:type="gramStart"/>
      <w:r w:rsidRPr="007D4B64">
        <w:t>service;</w:t>
      </w:r>
      <w:proofErr w:type="gramEnd"/>
    </w:p>
    <w:p w14:paraId="25242D08" w14:textId="77777777" w:rsidR="00281813" w:rsidRPr="005D3D41" w:rsidRDefault="007D4B64" w:rsidP="000E3C2E">
      <w:pPr>
        <w:pStyle w:val="LI-BodyTextSubsubparaA"/>
      </w:pPr>
      <w:r w:rsidRPr="007D4B64">
        <w:t>(D)</w:t>
      </w:r>
      <w:r w:rsidRPr="007D4B64">
        <w:tab/>
        <w:t>claims handling and settling services; and</w:t>
      </w:r>
    </w:p>
    <w:p w14:paraId="77E0528F" w14:textId="1425C295" w:rsidR="00023D53" w:rsidRDefault="009157B9" w:rsidP="000E3C2E">
      <w:pPr>
        <w:pStyle w:val="LI-BodyTextSubparai"/>
      </w:pPr>
      <w:r w:rsidRPr="005D3D41">
        <w:t>(ii)</w:t>
      </w:r>
      <w:r w:rsidRPr="005D3D41">
        <w:tab/>
      </w:r>
      <w:r w:rsidR="007D4B64" w:rsidRPr="007D4B64">
        <w:t xml:space="preserve">the service is only provided to the extent reasonably necessary for the operation of </w:t>
      </w:r>
      <w:r w:rsidR="00B362A6">
        <w:t>the</w:t>
      </w:r>
      <w:r w:rsidR="007D4B64" w:rsidRPr="007D4B64">
        <w:t xml:space="preserve"> Queensland fidelity or indemnity scheme where the Queensland Law Society is providing related services in respect of which it is exempt from the requirement to hold an Australian financial services licence because of </w:t>
      </w:r>
      <w:r w:rsidR="007D4B64" w:rsidRPr="00B977C9">
        <w:rPr>
          <w:i/>
          <w:iCs/>
        </w:rPr>
        <w:t xml:space="preserve">ASIC Corporations (Law Societies—Fidelity and Indemnity Schemes) Instrument </w:t>
      </w:r>
      <w:r w:rsidR="007D4B64" w:rsidRPr="00162394">
        <w:rPr>
          <w:i/>
          <w:iCs/>
        </w:rPr>
        <w:t>2022/</w:t>
      </w:r>
      <w:r w:rsidR="00A02E11" w:rsidRPr="00162394">
        <w:rPr>
          <w:i/>
          <w:iCs/>
        </w:rPr>
        <w:t>4</w:t>
      </w:r>
      <w:r w:rsidR="00162394" w:rsidRPr="00162394">
        <w:rPr>
          <w:i/>
          <w:iCs/>
        </w:rPr>
        <w:t>3</w:t>
      </w:r>
      <w:r w:rsidR="00A02E11" w:rsidRPr="00162394">
        <w:rPr>
          <w:i/>
          <w:iCs/>
        </w:rPr>
        <w:t>5</w:t>
      </w:r>
      <w:r w:rsidRPr="00162394">
        <w:t>.</w:t>
      </w:r>
    </w:p>
    <w:p w14:paraId="73CC432A" w14:textId="77777777" w:rsidR="008527C0" w:rsidRPr="005D3D41" w:rsidRDefault="008527C0" w:rsidP="000E3C2E">
      <w:pPr>
        <w:pStyle w:val="LI-BodyTextNumbered"/>
      </w:pPr>
      <w:r>
        <w:t>(</w:t>
      </w:r>
      <w:r w:rsidR="00FD2944">
        <w:t>2</w:t>
      </w:r>
      <w:r w:rsidRPr="00E06CC3">
        <w:t>)</w:t>
      </w:r>
      <w:r w:rsidRPr="00E06CC3">
        <w:tab/>
      </w:r>
      <w:r w:rsidRPr="005D3D41">
        <w:t xml:space="preserve">The exemption in subsection (1) </w:t>
      </w:r>
      <w:r w:rsidR="00745C78">
        <w:t xml:space="preserve">is </w:t>
      </w:r>
      <w:r w:rsidRPr="005D3D41">
        <w:t xml:space="preserve">only available where </w:t>
      </w:r>
      <w:proofErr w:type="gramStart"/>
      <w:r w:rsidRPr="005D3D41">
        <w:t>all of</w:t>
      </w:r>
      <w:proofErr w:type="gramEnd"/>
      <w:r w:rsidRPr="005D3D41">
        <w:t xml:space="preserve"> the following are satisfied:</w:t>
      </w:r>
    </w:p>
    <w:p w14:paraId="7E398EFA" w14:textId="2DFF7D64" w:rsidR="00B977C9" w:rsidRDefault="008527C0" w:rsidP="00B977C9">
      <w:pPr>
        <w:pStyle w:val="LI-BodyTextParaa"/>
      </w:pPr>
      <w:r w:rsidRPr="005D3D41">
        <w:t>(a)</w:t>
      </w:r>
      <w:r w:rsidRPr="005D3D41">
        <w:tab/>
      </w:r>
      <w:proofErr w:type="spellStart"/>
      <w:r w:rsidR="00B977C9">
        <w:t>Lexon</w:t>
      </w:r>
      <w:proofErr w:type="spellEnd"/>
      <w:r w:rsidR="00B977C9">
        <w:t xml:space="preserve"> has a current licence granted to it by MAS authorising it to be a captive </w:t>
      </w:r>
      <w:proofErr w:type="gramStart"/>
      <w:r w:rsidR="00B977C9">
        <w:t>insurer;</w:t>
      </w:r>
      <w:proofErr w:type="gramEnd"/>
    </w:p>
    <w:p w14:paraId="012EFC3E" w14:textId="77777777" w:rsidR="00B977C9" w:rsidRDefault="00B977C9" w:rsidP="00B977C9">
      <w:pPr>
        <w:pStyle w:val="LI-BodyTextParaa"/>
      </w:pPr>
      <w:r>
        <w:t>(b)</w:t>
      </w:r>
      <w:r>
        <w:tab/>
      </w:r>
      <w:proofErr w:type="spellStart"/>
      <w:r>
        <w:t>Lexon</w:t>
      </w:r>
      <w:proofErr w:type="spellEnd"/>
      <w:r>
        <w:t xml:space="preserve"> is a wholly owned subsidiary of the Queensland Law </w:t>
      </w:r>
      <w:proofErr w:type="gramStart"/>
      <w:r>
        <w:t>Society;</w:t>
      </w:r>
      <w:proofErr w:type="gramEnd"/>
    </w:p>
    <w:p w14:paraId="028F8DE6" w14:textId="77777777" w:rsidR="00B977C9" w:rsidRDefault="00B977C9" w:rsidP="00B977C9">
      <w:pPr>
        <w:pStyle w:val="LI-BodyTextParaa"/>
      </w:pPr>
      <w:r>
        <w:t>(c)</w:t>
      </w:r>
      <w:r>
        <w:tab/>
      </w:r>
      <w:proofErr w:type="spellStart"/>
      <w:r>
        <w:t>Lexon</w:t>
      </w:r>
      <w:proofErr w:type="spellEnd"/>
      <w:r>
        <w:t xml:space="preserve"> is registered under Division 2 of Part 5B.2 of the </w:t>
      </w:r>
      <w:proofErr w:type="gramStart"/>
      <w:r>
        <w:t>Act;</w:t>
      </w:r>
      <w:proofErr w:type="gramEnd"/>
    </w:p>
    <w:p w14:paraId="58436CF2" w14:textId="77777777" w:rsidR="00B977C9" w:rsidRDefault="00B977C9" w:rsidP="00B977C9">
      <w:pPr>
        <w:pStyle w:val="LI-BodyTextParaa"/>
      </w:pPr>
      <w:r>
        <w:t>(d)</w:t>
      </w:r>
      <w:r>
        <w:tab/>
      </w:r>
      <w:proofErr w:type="spellStart"/>
      <w:r>
        <w:t>Lexon’s</w:t>
      </w:r>
      <w:proofErr w:type="spellEnd"/>
      <w:r>
        <w:t xml:space="preserve"> primary business is the provision of financial </w:t>
      </w:r>
      <w:proofErr w:type="gramStart"/>
      <w:r>
        <w:t>services;</w:t>
      </w:r>
      <w:proofErr w:type="gramEnd"/>
    </w:p>
    <w:p w14:paraId="04C1A746" w14:textId="04155F63" w:rsidR="00F82B59" w:rsidRDefault="00F82B59" w:rsidP="00F82B59">
      <w:pPr>
        <w:pStyle w:val="LI-BodyTextParaa"/>
      </w:pPr>
      <w:r w:rsidRPr="00F82B59">
        <w:t>(</w:t>
      </w:r>
      <w:r w:rsidR="00804BE7">
        <w:t>e</w:t>
      </w:r>
      <w:r w:rsidRPr="00F82B59">
        <w:t>)</w:t>
      </w:r>
      <w:r w:rsidRPr="00F82B59">
        <w:tab/>
      </w:r>
      <w:proofErr w:type="spellStart"/>
      <w:r w:rsidRPr="00F82B59">
        <w:t>Lexon</w:t>
      </w:r>
      <w:proofErr w:type="spellEnd"/>
      <w:r w:rsidRPr="00F82B59">
        <w:t xml:space="preserve"> has not notified ASIC </w:t>
      </w:r>
      <w:r w:rsidR="00714D34">
        <w:t xml:space="preserve">in writing </w:t>
      </w:r>
      <w:r w:rsidRPr="00F82B59">
        <w:t xml:space="preserve">that it will not rely on this </w:t>
      </w:r>
      <w:proofErr w:type="gramStart"/>
      <w:r w:rsidRPr="00F82B59">
        <w:t>instrument;</w:t>
      </w:r>
      <w:proofErr w:type="gramEnd"/>
    </w:p>
    <w:p w14:paraId="143AE2F4" w14:textId="62947C00" w:rsidR="00F82B59" w:rsidRDefault="00F82B59" w:rsidP="00F82B59">
      <w:pPr>
        <w:pStyle w:val="LI-BodyTextParaa"/>
      </w:pPr>
      <w:r>
        <w:lastRenderedPageBreak/>
        <w:t>(</w:t>
      </w:r>
      <w:r w:rsidR="00804BE7">
        <w:t>f</w:t>
      </w:r>
      <w:r>
        <w:t>)</w:t>
      </w:r>
      <w:r>
        <w:tab/>
      </w:r>
      <w:proofErr w:type="spellStart"/>
      <w:r w:rsidRPr="00F82B59">
        <w:t>Lexon</w:t>
      </w:r>
      <w:proofErr w:type="spellEnd"/>
      <w:r w:rsidRPr="00F82B59">
        <w:t xml:space="preserve"> has provided ASIC with</w:t>
      </w:r>
      <w:r w:rsidR="00FD2944">
        <w:t xml:space="preserve"> each of the following</w:t>
      </w:r>
      <w:r w:rsidRPr="00F82B59">
        <w:t>:</w:t>
      </w:r>
      <w:r>
        <w:t xml:space="preserve"> </w:t>
      </w:r>
    </w:p>
    <w:p w14:paraId="322158CC" w14:textId="62F84636" w:rsidR="00F82B59" w:rsidRDefault="0001722D" w:rsidP="00F82B59">
      <w:pPr>
        <w:pStyle w:val="LI-BodyTextSubparai"/>
      </w:pPr>
      <w:r w:rsidRPr="005D3D41">
        <w:t>(</w:t>
      </w:r>
      <w:proofErr w:type="spellStart"/>
      <w:r w:rsidRPr="005D3D41">
        <w:t>i</w:t>
      </w:r>
      <w:proofErr w:type="spellEnd"/>
      <w:r w:rsidRPr="005D3D41">
        <w:t>)</w:t>
      </w:r>
      <w:r w:rsidR="00F82B59">
        <w:tab/>
        <w:t xml:space="preserve">a copy of the Licence, or evidence that </w:t>
      </w:r>
      <w:r w:rsidR="00FD2944">
        <w:t>paragraph (2)</w:t>
      </w:r>
      <w:r w:rsidR="00F82B59">
        <w:t xml:space="preserve">(a) is satisfied that ASIC has stated in writing is </w:t>
      </w:r>
      <w:proofErr w:type="gramStart"/>
      <w:r w:rsidR="00F82B59">
        <w:t>adequate;</w:t>
      </w:r>
      <w:proofErr w:type="gramEnd"/>
    </w:p>
    <w:p w14:paraId="44585FC1" w14:textId="4A3F9862" w:rsidR="00F82B59" w:rsidRDefault="00F82B59" w:rsidP="00F82B59">
      <w:pPr>
        <w:pStyle w:val="LI-BodyTextSubparai"/>
      </w:pPr>
      <w:r>
        <w:t>(ii)</w:t>
      </w:r>
      <w:r>
        <w:tab/>
        <w:t xml:space="preserve">a </w:t>
      </w:r>
      <w:r w:rsidR="00714D34">
        <w:t xml:space="preserve">written </w:t>
      </w:r>
      <w:r>
        <w:t xml:space="preserve">notice that it will provide financial services in this jurisdiction in reliance on this </w:t>
      </w:r>
      <w:proofErr w:type="gramStart"/>
      <w:r>
        <w:t>instrument;</w:t>
      </w:r>
      <w:proofErr w:type="gramEnd"/>
    </w:p>
    <w:p w14:paraId="0D5E3A32" w14:textId="77777777" w:rsidR="0001722D" w:rsidRPr="005D3D41" w:rsidRDefault="00F82B59" w:rsidP="00F82B59">
      <w:pPr>
        <w:pStyle w:val="LI-BodyTextSubparai"/>
      </w:pPr>
      <w:r>
        <w:t>(iii)</w:t>
      </w:r>
      <w:r>
        <w:tab/>
        <w:t xml:space="preserve">a copy of a deed of </w:t>
      </w:r>
      <w:proofErr w:type="spellStart"/>
      <w:r>
        <w:t>Lexon</w:t>
      </w:r>
      <w:proofErr w:type="spellEnd"/>
      <w:r>
        <w:t xml:space="preserve"> for the benefit of and enforceable by ASIC and the other persons referred to in subsection 659B(1) of the Act, which provides that:</w:t>
      </w:r>
    </w:p>
    <w:p w14:paraId="72EB43C9" w14:textId="77777777" w:rsidR="00F82B59" w:rsidRDefault="00B977C9" w:rsidP="00F82B59">
      <w:pPr>
        <w:pStyle w:val="LI-BodyTextSubsubparaA"/>
      </w:pPr>
      <w:r w:rsidRPr="005D3D41">
        <w:t>(A)</w:t>
      </w:r>
      <w:r w:rsidR="00F82B59">
        <w:tab/>
        <w:t xml:space="preserve">the deed is irrevocable except with the prior written consent of </w:t>
      </w:r>
      <w:proofErr w:type="gramStart"/>
      <w:r w:rsidR="00F82B59">
        <w:t>ASIC;</w:t>
      </w:r>
      <w:proofErr w:type="gramEnd"/>
    </w:p>
    <w:p w14:paraId="46947BFE" w14:textId="69AA825F" w:rsidR="00F82B59" w:rsidRDefault="00F82B59" w:rsidP="00F82B59">
      <w:pPr>
        <w:pStyle w:val="LI-BodyTextSubsubparaA"/>
      </w:pPr>
      <w:r>
        <w:t>(B)</w:t>
      </w:r>
      <w:r>
        <w:tab/>
      </w:r>
      <w:proofErr w:type="spellStart"/>
      <w:r>
        <w:t>Lexon</w:t>
      </w:r>
      <w:proofErr w:type="spellEnd"/>
      <w:r>
        <w:t xml:space="preserve"> submits to the non-exclusive jurisdiction of the Australian courts in legal proceedings conducted by </w:t>
      </w:r>
      <w:r w:rsidR="0084561C" w:rsidRPr="0084561C">
        <w:t xml:space="preserve">ASIC (including under section 50 of the </w:t>
      </w:r>
      <w:r w:rsidR="00E73EE8" w:rsidRPr="00A02E11">
        <w:rPr>
          <w:i/>
          <w:iCs/>
        </w:rPr>
        <w:t xml:space="preserve">Australian Securities and Investments Commission </w:t>
      </w:r>
      <w:r w:rsidR="0084561C" w:rsidRPr="00A02E11">
        <w:rPr>
          <w:i/>
          <w:iCs/>
        </w:rPr>
        <w:t>Act</w:t>
      </w:r>
      <w:r w:rsidR="00E73EE8" w:rsidRPr="00A02E11">
        <w:rPr>
          <w:i/>
          <w:iCs/>
        </w:rPr>
        <w:t xml:space="preserve"> 2001</w:t>
      </w:r>
      <w:r w:rsidR="0084561C" w:rsidRPr="0084561C">
        <w:t>) and, in relation to proceedings relating to a financial services law, by any</w:t>
      </w:r>
      <w:r w:rsidR="0084561C">
        <w:t xml:space="preserve"> </w:t>
      </w:r>
      <w:r>
        <w:t>person referred to in s</w:t>
      </w:r>
      <w:r w:rsidR="00FD2944">
        <w:t xml:space="preserve">ubsection </w:t>
      </w:r>
      <w:r>
        <w:t xml:space="preserve">659B(1) of the </w:t>
      </w:r>
      <w:proofErr w:type="gramStart"/>
      <w:r>
        <w:t>Act;</w:t>
      </w:r>
      <w:proofErr w:type="gramEnd"/>
    </w:p>
    <w:p w14:paraId="4965906C" w14:textId="77777777" w:rsidR="00F82B59" w:rsidRDefault="00F82B59" w:rsidP="00F82B59">
      <w:pPr>
        <w:pStyle w:val="LI-BodyTextSubsubparaA"/>
      </w:pPr>
      <w:r>
        <w:t>(C)</w:t>
      </w:r>
      <w:r>
        <w:tab/>
      </w:r>
      <w:proofErr w:type="spellStart"/>
      <w:r>
        <w:t>Lexon</w:t>
      </w:r>
      <w:proofErr w:type="spellEnd"/>
      <w:r>
        <w:t xml:space="preserve"> covenants to comply with any order of an Australian court in respect of any matter relating to the provision of the financial </w:t>
      </w:r>
      <w:proofErr w:type="gramStart"/>
      <w:r>
        <w:t>services;</w:t>
      </w:r>
      <w:proofErr w:type="gramEnd"/>
    </w:p>
    <w:p w14:paraId="58624E35" w14:textId="4D5860E9" w:rsidR="00B977C9" w:rsidRPr="005D3D41" w:rsidRDefault="00F82B59" w:rsidP="00F82B59">
      <w:pPr>
        <w:pStyle w:val="LI-BodyTextSubsubparaA"/>
      </w:pPr>
      <w:r>
        <w:t>(D)</w:t>
      </w:r>
      <w:r>
        <w:tab/>
      </w:r>
      <w:proofErr w:type="spellStart"/>
      <w:r>
        <w:t>Lexon</w:t>
      </w:r>
      <w:proofErr w:type="spellEnd"/>
      <w:r>
        <w:t xml:space="preserve"> covenants that, on written request of either MAS or ASIC, it will give or vary written consent and take all other practicable steps to enable and assist MAS to disclose to ASIC and ASIC to disclose to MAS any information or document that MAS or ASIC has that relates to </w:t>
      </w:r>
      <w:proofErr w:type="spellStart"/>
      <w:proofErr w:type="gramStart"/>
      <w:r>
        <w:t>Lexon</w:t>
      </w:r>
      <w:proofErr w:type="spellEnd"/>
      <w:r>
        <w:t>;</w:t>
      </w:r>
      <w:proofErr w:type="gramEnd"/>
      <w:r>
        <w:t xml:space="preserve"> </w:t>
      </w:r>
    </w:p>
    <w:p w14:paraId="4E5F3253" w14:textId="77777777" w:rsidR="005B6028" w:rsidRDefault="005B6028" w:rsidP="005B6028">
      <w:pPr>
        <w:pStyle w:val="LI-BodyTextSubparai"/>
      </w:pPr>
      <w:r>
        <w:t>(iv)</w:t>
      </w:r>
      <w:r>
        <w:tab/>
      </w:r>
      <w:r w:rsidRPr="005B6028">
        <w:t xml:space="preserve">written consents to the disclosures between ASIC and MAS of any information or document relating to </w:t>
      </w:r>
      <w:proofErr w:type="spellStart"/>
      <w:r w:rsidRPr="005B6028">
        <w:t>Lexon</w:t>
      </w:r>
      <w:proofErr w:type="spellEnd"/>
      <w:r w:rsidRPr="005B6028">
        <w:t>. The consents must be in such form (if any) as ASIC specifies in writing.</w:t>
      </w:r>
    </w:p>
    <w:p w14:paraId="0C448325" w14:textId="77777777" w:rsidR="00162394" w:rsidRDefault="00FC3EB8" w:rsidP="00162394">
      <w:pPr>
        <w:pStyle w:val="LI-Heading2"/>
      </w:pPr>
      <w:bookmarkStart w:id="14" w:name="_Toc104459056"/>
      <w:r w:rsidRPr="005D3D41">
        <w:t>6</w:t>
      </w:r>
      <w:r w:rsidRPr="005D3D41">
        <w:tab/>
      </w:r>
      <w:r w:rsidR="009944E6" w:rsidRPr="005D3D41">
        <w:t>Conditions</w:t>
      </w:r>
      <w:bookmarkEnd w:id="14"/>
    </w:p>
    <w:p w14:paraId="561F6392" w14:textId="6CD0406D" w:rsidR="009944E6" w:rsidRPr="00E06CC3" w:rsidRDefault="0007414D" w:rsidP="00D10BFF">
      <w:pPr>
        <w:pStyle w:val="LI-BodyTextNumbered"/>
        <w:ind w:left="1701"/>
      </w:pPr>
      <w:proofErr w:type="spellStart"/>
      <w:r w:rsidRPr="0007414D">
        <w:t>Lexon</w:t>
      </w:r>
      <w:proofErr w:type="spellEnd"/>
      <w:r w:rsidRPr="0007414D">
        <w:t xml:space="preserve"> must:</w:t>
      </w:r>
    </w:p>
    <w:p w14:paraId="0D3BAFB5" w14:textId="4A9432A6" w:rsidR="0007414D" w:rsidRDefault="009944E6" w:rsidP="0007414D">
      <w:pPr>
        <w:pStyle w:val="LI-BodyTextParaa"/>
      </w:pPr>
      <w:r w:rsidRPr="00E06CC3">
        <w:t>(a)</w:t>
      </w:r>
      <w:r w:rsidRPr="00E06CC3">
        <w:tab/>
      </w:r>
      <w:r w:rsidR="0007414D">
        <w:t>provide each of the financial services in this jurisdiction in a manner which it believes would comply, so far as possible, with the Singaporean regulatory requirements if the financial service were provided in Singapore in like circumstances</w:t>
      </w:r>
      <w:r w:rsidR="00E85B5F">
        <w:t>; and</w:t>
      </w:r>
    </w:p>
    <w:p w14:paraId="45D07A29" w14:textId="6DB44B49" w:rsidR="009944E6" w:rsidRPr="005D3D41" w:rsidRDefault="0007414D" w:rsidP="0007414D">
      <w:pPr>
        <w:pStyle w:val="LI-BodyTextParaa"/>
      </w:pPr>
      <w:r>
        <w:t>(b)</w:t>
      </w:r>
      <w:r>
        <w:tab/>
        <w:t xml:space="preserve">notify ASIC </w:t>
      </w:r>
      <w:r w:rsidR="00714D34">
        <w:t xml:space="preserve">in writing </w:t>
      </w:r>
      <w:r>
        <w:t>within 30 days of the details of:</w:t>
      </w:r>
    </w:p>
    <w:p w14:paraId="69EB54B4" w14:textId="64CDF30C" w:rsidR="0007414D" w:rsidRDefault="009944E6" w:rsidP="0007414D">
      <w:pPr>
        <w:pStyle w:val="LI-BodyTextSubparai"/>
      </w:pPr>
      <w:r w:rsidRPr="005D3D41">
        <w:lastRenderedPageBreak/>
        <w:t>(</w:t>
      </w:r>
      <w:proofErr w:type="spellStart"/>
      <w:r w:rsidRPr="005D3D41">
        <w:t>i</w:t>
      </w:r>
      <w:proofErr w:type="spellEnd"/>
      <w:r w:rsidRPr="005D3D41">
        <w:t>)</w:t>
      </w:r>
      <w:r w:rsidRPr="005D3D41">
        <w:tab/>
      </w:r>
      <w:r w:rsidR="0007414D">
        <w:t xml:space="preserve">each significant change to, including the termination </w:t>
      </w:r>
      <w:proofErr w:type="gramStart"/>
      <w:r w:rsidR="0007414D">
        <w:t>of,</w:t>
      </w:r>
      <w:proofErr w:type="gramEnd"/>
      <w:r w:rsidR="0007414D">
        <w:t xml:space="preserve"> the Licence applying to </w:t>
      </w:r>
      <w:proofErr w:type="spellStart"/>
      <w:r w:rsidR="0007414D">
        <w:t>Lexon</w:t>
      </w:r>
      <w:proofErr w:type="spellEnd"/>
      <w:r w:rsidR="0007414D">
        <w:t xml:space="preserve"> relevant to the financial services </w:t>
      </w:r>
      <w:proofErr w:type="spellStart"/>
      <w:r w:rsidR="0007414D">
        <w:t>Lexon</w:t>
      </w:r>
      <w:proofErr w:type="spellEnd"/>
      <w:r w:rsidR="0007414D">
        <w:t xml:space="preserve"> provides or intends to provide in this jurisdiction;</w:t>
      </w:r>
      <w:r w:rsidR="00B362A6">
        <w:t xml:space="preserve"> and</w:t>
      </w:r>
    </w:p>
    <w:p w14:paraId="041D671E" w14:textId="158F55F4" w:rsidR="0007414D" w:rsidRDefault="0007414D" w:rsidP="0007414D">
      <w:pPr>
        <w:pStyle w:val="LI-BodyTextSubparai"/>
      </w:pPr>
      <w:r>
        <w:t>(ii)</w:t>
      </w:r>
      <w:r>
        <w:tab/>
        <w:t xml:space="preserve">each significant change to the Singaporean regulatory requirements that is relevant to the financial services </w:t>
      </w:r>
      <w:proofErr w:type="spellStart"/>
      <w:r>
        <w:t>Lexon</w:t>
      </w:r>
      <w:proofErr w:type="spellEnd"/>
      <w:r>
        <w:t xml:space="preserve"> provides or intends to provide in this jurisdiction, including in the power or authority of MAS to supervise, monitor or procure compliance by </w:t>
      </w:r>
      <w:proofErr w:type="spellStart"/>
      <w:r>
        <w:t>Lexon</w:t>
      </w:r>
      <w:proofErr w:type="spellEnd"/>
      <w:r>
        <w:t xml:space="preserve"> with the Singaporean regulatory requirements applicable to the provision of those financial services, unless ASIC has stated in writing that notice of that change is not required for the purpose of this instrument;</w:t>
      </w:r>
      <w:r w:rsidR="00B362A6">
        <w:t xml:space="preserve"> and</w:t>
      </w:r>
    </w:p>
    <w:p w14:paraId="7709A8AF" w14:textId="33108617" w:rsidR="0007414D" w:rsidRDefault="0007414D" w:rsidP="0007414D">
      <w:pPr>
        <w:pStyle w:val="LI-BodyTextSubparai"/>
      </w:pPr>
      <w:r>
        <w:t>(iii)</w:t>
      </w:r>
      <w:r>
        <w:tab/>
        <w:t xml:space="preserve">each significant </w:t>
      </w:r>
      <w:proofErr w:type="gramStart"/>
      <w:r>
        <w:t>particular exemption</w:t>
      </w:r>
      <w:proofErr w:type="gramEnd"/>
      <w:r>
        <w:t xml:space="preserve"> or other relief which </w:t>
      </w:r>
      <w:proofErr w:type="spellStart"/>
      <w:r>
        <w:t>Lexon</w:t>
      </w:r>
      <w:proofErr w:type="spellEnd"/>
      <w:r>
        <w:t xml:space="preserve"> obtain</w:t>
      </w:r>
      <w:r w:rsidR="00C93D8E">
        <w:t>s</w:t>
      </w:r>
      <w:r>
        <w:t xml:space="preserve"> from the Singaporean regulatory requirements relevant to the financial services </w:t>
      </w:r>
      <w:proofErr w:type="spellStart"/>
      <w:r>
        <w:t>Lexon</w:t>
      </w:r>
      <w:proofErr w:type="spellEnd"/>
      <w:r>
        <w:t xml:space="preserve"> provides or intends to provide in this jurisdiction; and </w:t>
      </w:r>
    </w:p>
    <w:p w14:paraId="48994A05" w14:textId="77777777" w:rsidR="009944E6" w:rsidRPr="005D3D41" w:rsidRDefault="0007414D" w:rsidP="0007414D">
      <w:pPr>
        <w:pStyle w:val="LI-BodyTextSubparai"/>
      </w:pPr>
      <w:r>
        <w:t>(iv)</w:t>
      </w:r>
      <w:r>
        <w:tab/>
        <w:t xml:space="preserve">each enforcement or disciplinary action taken by MAS or other overseas regulatory authority against </w:t>
      </w:r>
      <w:proofErr w:type="spellStart"/>
      <w:r>
        <w:t>Lexon</w:t>
      </w:r>
      <w:proofErr w:type="spellEnd"/>
      <w:r>
        <w:t>; and</w:t>
      </w:r>
    </w:p>
    <w:p w14:paraId="3BB972D1" w14:textId="77777777" w:rsidR="0007414D" w:rsidRPr="005D3D41" w:rsidRDefault="0007414D" w:rsidP="0007414D">
      <w:pPr>
        <w:pStyle w:val="LI-BodyTextParaa"/>
      </w:pPr>
      <w:r w:rsidRPr="0007414D">
        <w:t>(c)</w:t>
      </w:r>
      <w:r w:rsidRPr="0007414D">
        <w:tab/>
        <w:t>provide written disclosure to all persons to whom the financial services are provided in this jurisdiction (before the financial services are provided) containing prominent statements to the following effect:</w:t>
      </w:r>
    </w:p>
    <w:p w14:paraId="54767CF6" w14:textId="77777777" w:rsidR="0007414D" w:rsidRDefault="0007414D" w:rsidP="0007414D">
      <w:pPr>
        <w:pStyle w:val="LI-BodyTextSubparai"/>
      </w:pPr>
      <w:r w:rsidRPr="005D3D41">
        <w:t>(</w:t>
      </w:r>
      <w:proofErr w:type="spellStart"/>
      <w:r w:rsidRPr="005D3D41">
        <w:t>i</w:t>
      </w:r>
      <w:proofErr w:type="spellEnd"/>
      <w:r w:rsidRPr="005D3D41">
        <w:t>)</w:t>
      </w:r>
      <w:r w:rsidRPr="005D3D41">
        <w:tab/>
      </w:r>
      <w:proofErr w:type="spellStart"/>
      <w:r>
        <w:t>Lexon</w:t>
      </w:r>
      <w:proofErr w:type="spellEnd"/>
      <w:r>
        <w:t xml:space="preserve"> is exempt from the requirement to hold an Australian financial services licence under the Act in respect of the financial services; and </w:t>
      </w:r>
    </w:p>
    <w:p w14:paraId="60A4DCAE" w14:textId="5682D2CB" w:rsidR="00F93A35" w:rsidRDefault="0007414D" w:rsidP="00F93A35">
      <w:pPr>
        <w:pStyle w:val="LI-BodyTextSubparai"/>
      </w:pPr>
      <w:r>
        <w:t>(ii)</w:t>
      </w:r>
      <w:r>
        <w:tab/>
      </w:r>
      <w:proofErr w:type="spellStart"/>
      <w:r>
        <w:t>Lexon</w:t>
      </w:r>
      <w:proofErr w:type="spellEnd"/>
      <w:r>
        <w:t xml:space="preserve"> is regulated by MAS under Singaporean laws, which differ from Australian law</w:t>
      </w:r>
      <w:r w:rsidR="006D53E5">
        <w:t>s</w:t>
      </w:r>
      <w:r w:rsidR="00F93A35">
        <w:t>; and</w:t>
      </w:r>
    </w:p>
    <w:p w14:paraId="2FB2EDF5" w14:textId="1310263D" w:rsidR="00F93A35" w:rsidRDefault="00F93A35" w:rsidP="00F93A35">
      <w:pPr>
        <w:pStyle w:val="LI-BodyTextParaa"/>
      </w:pPr>
      <w:r w:rsidRPr="00F93A35">
        <w:t>(d)</w:t>
      </w:r>
      <w:r w:rsidRPr="00F93A35">
        <w:tab/>
        <w:t xml:space="preserve">if it becomes or should reasonably have become aware of matters that give it reason to believe that it has failed, in a material respect, to comply with any of the conditions set out in </w:t>
      </w:r>
      <w:r w:rsidR="00B362A6">
        <w:t>paragraphs</w:t>
      </w:r>
      <w:r w:rsidR="00B362A6" w:rsidRPr="00F93A35">
        <w:t xml:space="preserve"> </w:t>
      </w:r>
      <w:r w:rsidRPr="00F93A35">
        <w:t>(a)</w:t>
      </w:r>
      <w:r w:rsidR="00B362A6">
        <w:t xml:space="preserve"> to </w:t>
      </w:r>
      <w:r w:rsidRPr="00F93A35">
        <w:t>(c):</w:t>
      </w:r>
    </w:p>
    <w:p w14:paraId="7E5F954F" w14:textId="77777777" w:rsidR="00B467FB" w:rsidRDefault="00F93A35" w:rsidP="00B467FB">
      <w:pPr>
        <w:pStyle w:val="LI-BodyTextSubparai"/>
      </w:pPr>
      <w:r>
        <w:t>(</w:t>
      </w:r>
      <w:proofErr w:type="spellStart"/>
      <w:r>
        <w:t>i</w:t>
      </w:r>
      <w:proofErr w:type="spellEnd"/>
      <w:r>
        <w:t>)</w:t>
      </w:r>
      <w:r>
        <w:tab/>
        <w:t xml:space="preserve">provide full particulars of the failure to ASIC, to the extent that </w:t>
      </w:r>
      <w:proofErr w:type="spellStart"/>
      <w:r>
        <w:t>Lexon</w:t>
      </w:r>
      <w:proofErr w:type="spellEnd"/>
      <w:r>
        <w:t xml:space="preserve"> knows those particulars or would have known them if it had undertaken reasonable enquiries; and</w:t>
      </w:r>
    </w:p>
    <w:p w14:paraId="33EFF894" w14:textId="76F54960" w:rsidR="00F93A35" w:rsidRDefault="00B467FB" w:rsidP="00A02E11">
      <w:pPr>
        <w:pStyle w:val="LI-BodyTextSubparai"/>
      </w:pPr>
      <w:r>
        <w:t>(ii)</w:t>
      </w:r>
      <w:r>
        <w:tab/>
      </w:r>
      <w:r w:rsidR="00F93A35">
        <w:t>notif</w:t>
      </w:r>
      <w:r w:rsidR="00B8243A">
        <w:t>y</w:t>
      </w:r>
      <w:r w:rsidR="00F93A35">
        <w:t xml:space="preserve"> ASIC </w:t>
      </w:r>
      <w:r w:rsidR="00714D34">
        <w:t xml:space="preserve">in writing </w:t>
      </w:r>
      <w:r w:rsidR="00F93A35">
        <w:t xml:space="preserve">in accordance with </w:t>
      </w:r>
      <w:r w:rsidR="00B362A6">
        <w:t>sub</w:t>
      </w:r>
      <w:r w:rsidR="00F93A35">
        <w:t>paragraph (</w:t>
      </w:r>
      <w:proofErr w:type="spellStart"/>
      <w:r w:rsidR="00F93A35">
        <w:t>i</w:t>
      </w:r>
      <w:proofErr w:type="spellEnd"/>
      <w:r w:rsidR="00F93A35">
        <w:t xml:space="preserve">) not more than 30 calendar days after </w:t>
      </w:r>
      <w:r w:rsidR="00B8243A">
        <w:t xml:space="preserve">it </w:t>
      </w:r>
      <w:r w:rsidR="00F93A35">
        <w:t>becomes or should reasonably have become aware of the failure.</w:t>
      </w:r>
    </w:p>
    <w:sectPr w:rsidR="00F93A35" w:rsidSect="0040053F">
      <w:headerReference w:type="even" r:id="rId31"/>
      <w:headerReference w:type="default" r:id="rId32"/>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5707" w14:textId="77777777" w:rsidR="00BC79F0" w:rsidRDefault="00BC79F0" w:rsidP="00715914">
      <w:pPr>
        <w:spacing w:line="240" w:lineRule="auto"/>
      </w:pPr>
      <w:r>
        <w:separator/>
      </w:r>
    </w:p>
  </w:endnote>
  <w:endnote w:type="continuationSeparator" w:id="0">
    <w:p w14:paraId="5E79D061" w14:textId="77777777" w:rsidR="00BC79F0" w:rsidRDefault="00BC79F0" w:rsidP="00715914">
      <w:pPr>
        <w:spacing w:line="240" w:lineRule="auto"/>
      </w:pPr>
      <w:r>
        <w:continuationSeparator/>
      </w:r>
    </w:p>
  </w:endnote>
  <w:endnote w:type="continuationNotice" w:id="1">
    <w:p w14:paraId="5B50A0C4" w14:textId="77777777" w:rsidR="002F6198" w:rsidRDefault="002F61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5164C52A" w14:textId="77777777" w:rsidTr="00081794">
      <w:tc>
        <w:tcPr>
          <w:tcW w:w="8472" w:type="dxa"/>
          <w:shd w:val="clear" w:color="auto" w:fill="auto"/>
        </w:tcPr>
        <w:p w14:paraId="7241624B" w14:textId="685AC4BD" w:rsidR="00102CA6" w:rsidRPr="00081794" w:rsidRDefault="00404699" w:rsidP="00081794">
          <w:pPr>
            <w:jc w:val="right"/>
            <w:rPr>
              <w:sz w:val="18"/>
            </w:rPr>
          </w:pPr>
          <w:r>
            <w:rPr>
              <w:noProof/>
            </w:rPr>
            <mc:AlternateContent>
              <mc:Choice Requires="wps">
                <w:drawing>
                  <wp:anchor distT="0" distB="0" distL="114300" distR="114300" simplePos="0" relativeHeight="251658243" behindDoc="1" locked="0" layoutInCell="1" allowOverlap="1" wp14:anchorId="394DFE5F" wp14:editId="613FD1A6">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0C91A4A"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DFE5F"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X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" stroked="f">
                    <v:stroke joinstyle="round"/>
                    <v:path arrowok="t"/>
                    <v:textbox>
                      <w:txbxContent>
                        <w:p w14:paraId="50C91A4A"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21ECC815"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142" w14:textId="11CC79AE" w:rsidR="00102CA6" w:rsidRDefault="00404699" w:rsidP="007500C8">
    <w:pPr>
      <w:pStyle w:val="Footer"/>
    </w:pPr>
    <w:r>
      <w:rPr>
        <w:noProof/>
      </w:rPr>
      <mc:AlternateContent>
        <mc:Choice Requires="wps">
          <w:drawing>
            <wp:anchor distT="0" distB="0" distL="114300" distR="114300" simplePos="0" relativeHeight="251658242" behindDoc="1" locked="0" layoutInCell="1" allowOverlap="1" wp14:anchorId="00246665" wp14:editId="708AA442">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E6C868B"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46665"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" stroked="f">
              <v:stroke joinstyle="round"/>
              <v:path arrowok="t"/>
              <v:textbox>
                <w:txbxContent>
                  <w:p w14:paraId="4E6C868B"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6E42F0AA" w14:textId="77777777" w:rsidTr="00081794">
      <w:tc>
        <w:tcPr>
          <w:tcW w:w="8472" w:type="dxa"/>
          <w:shd w:val="clear" w:color="auto" w:fill="auto"/>
        </w:tcPr>
        <w:p w14:paraId="483682C1" w14:textId="77777777" w:rsidR="00102CA6" w:rsidRPr="00081794" w:rsidRDefault="00102CA6" w:rsidP="00102CA6">
          <w:pPr>
            <w:rPr>
              <w:sz w:val="18"/>
            </w:rPr>
          </w:pPr>
        </w:p>
      </w:tc>
    </w:tr>
  </w:tbl>
  <w:p w14:paraId="19179FB3"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6963"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5DEF"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119A"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1884"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FA93"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4F19000D" w14:textId="77777777" w:rsidTr="00081794">
      <w:tc>
        <w:tcPr>
          <w:tcW w:w="1384" w:type="dxa"/>
          <w:tcBorders>
            <w:top w:val="nil"/>
            <w:left w:val="nil"/>
            <w:bottom w:val="nil"/>
            <w:right w:val="nil"/>
          </w:tcBorders>
          <w:shd w:val="clear" w:color="auto" w:fill="auto"/>
        </w:tcPr>
        <w:p w14:paraId="34D0AEE6"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44D26AB2"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C35DAF">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575410E5"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312C44D5"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D23CAEB"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0A596058"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D493" w14:textId="77777777" w:rsidR="00BC79F0" w:rsidRDefault="00BC79F0" w:rsidP="00715914">
      <w:pPr>
        <w:spacing w:line="240" w:lineRule="auto"/>
      </w:pPr>
      <w:r>
        <w:separator/>
      </w:r>
    </w:p>
  </w:footnote>
  <w:footnote w:type="continuationSeparator" w:id="0">
    <w:p w14:paraId="7BB55681" w14:textId="77777777" w:rsidR="00BC79F0" w:rsidRDefault="00BC79F0" w:rsidP="00715914">
      <w:pPr>
        <w:spacing w:line="240" w:lineRule="auto"/>
      </w:pPr>
      <w:r>
        <w:continuationSeparator/>
      </w:r>
    </w:p>
  </w:footnote>
  <w:footnote w:type="continuationNotice" w:id="1">
    <w:p w14:paraId="1269F8EC" w14:textId="77777777" w:rsidR="002F6198" w:rsidRDefault="002F61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C5C6" w14:textId="6A4D24CE" w:rsidR="00102CA6" w:rsidRPr="005F1388" w:rsidRDefault="00404699"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41506B81" wp14:editId="1467B9BC">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F78E90A"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06B81"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H+uH6WVAgAAOwUAAA4AAAAAAAAAAAAAAAAALgIAAGRycy9lMm9Eb2MueG1s&#10;UEsBAi0AFAAGAAgAAAAhAOYK37rcAAAABgEAAA8AAAAAAAAAAAAAAAAA7wQAAGRycy9kb3ducmV2&#10;LnhtbFBLBQYAAAAABAAEAPMAAAD4BQAAAAA=&#10;" stroked="f">
              <v:stroke joinstyle="round"/>
              <v:path arrowok="t"/>
              <v:textbox>
                <w:txbxContent>
                  <w:p w14:paraId="0F78E90A"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BE25"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5C3C2B95" w14:textId="77777777" w:rsidTr="00BF75C9">
      <w:tc>
        <w:tcPr>
          <w:tcW w:w="6804" w:type="dxa"/>
          <w:shd w:val="clear" w:color="auto" w:fill="auto"/>
        </w:tcPr>
        <w:p w14:paraId="7D8E7EE8" w14:textId="2D404D82" w:rsidR="00F4215A" w:rsidRDefault="002B68B8" w:rsidP="00E40FF8">
          <w:pPr>
            <w:pStyle w:val="LI-Header"/>
            <w:pBdr>
              <w:bottom w:val="none" w:sz="0" w:space="0" w:color="auto"/>
            </w:pBdr>
            <w:jc w:val="left"/>
          </w:pPr>
          <w:fldSimple w:instr=" STYLEREF  &quot;LI - Title&quot; ">
            <w:r w:rsidR="009D288B">
              <w:rPr>
                <w:noProof/>
              </w:rPr>
              <w:t>ASIC Corporations (Foreign Financial Services Provider—Queensland Fidelity and Indemnity Schemes) Instrument 2022/437</w:t>
            </w:r>
          </w:fldSimple>
        </w:p>
      </w:tc>
      <w:tc>
        <w:tcPr>
          <w:tcW w:w="1509" w:type="dxa"/>
          <w:shd w:val="clear" w:color="auto" w:fill="auto"/>
        </w:tcPr>
        <w:p w14:paraId="5EA788E9" w14:textId="32D93558" w:rsidR="00F4215A" w:rsidRDefault="002B68B8" w:rsidP="00E40FF8">
          <w:pPr>
            <w:pStyle w:val="LI-Header"/>
            <w:pBdr>
              <w:bottom w:val="none" w:sz="0" w:space="0" w:color="auto"/>
            </w:pBdr>
          </w:pPr>
          <w:fldSimple w:instr=" STYLEREF  &quot;LI - Heading 1&quot; ">
            <w:r w:rsidR="009D288B">
              <w:rPr>
                <w:noProof/>
              </w:rPr>
              <w:t>Part 2—Exemption</w:t>
            </w:r>
          </w:fldSimple>
        </w:p>
      </w:tc>
    </w:tr>
  </w:tbl>
  <w:p w14:paraId="0B60E446"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B47A" w14:textId="41F71A4E" w:rsidR="00102CA6" w:rsidRPr="005F1388" w:rsidRDefault="00404699"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45391100" wp14:editId="74E2F5A8">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F2962E5"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91100"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o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" stroked="f">
              <v:stroke joinstyle="round"/>
              <v:path arrowok="t"/>
              <v:textbox>
                <w:txbxContent>
                  <w:p w14:paraId="4F2962E5"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B1BF"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31E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2EF979D9" w14:textId="77777777" w:rsidTr="00BF75C9">
      <w:tc>
        <w:tcPr>
          <w:tcW w:w="6804" w:type="dxa"/>
          <w:shd w:val="clear" w:color="auto" w:fill="auto"/>
        </w:tcPr>
        <w:p w14:paraId="1A4297AE" w14:textId="387903A6" w:rsidR="00F4215A" w:rsidRDefault="002B68B8" w:rsidP="00E40FF8">
          <w:pPr>
            <w:pStyle w:val="LI-Header"/>
            <w:pBdr>
              <w:bottom w:val="none" w:sz="0" w:space="0" w:color="auto"/>
            </w:pBdr>
            <w:jc w:val="left"/>
          </w:pPr>
          <w:fldSimple w:instr=" STYLEREF  &quot;LI - Title&quot; ">
            <w:r w:rsidR="009D288B">
              <w:rPr>
                <w:noProof/>
              </w:rPr>
              <w:t>ASIC Corporations (Foreign Financial Services Provider—Queensland Fidelity and Indemnity Schemes) Instrument 2022/437</w:t>
            </w:r>
          </w:fldSimple>
        </w:p>
      </w:tc>
      <w:tc>
        <w:tcPr>
          <w:tcW w:w="1509" w:type="dxa"/>
          <w:shd w:val="clear" w:color="auto" w:fill="auto"/>
        </w:tcPr>
        <w:p w14:paraId="07C1C043" w14:textId="77777777" w:rsidR="00F4215A" w:rsidRDefault="00F4215A" w:rsidP="00E40FF8">
          <w:pPr>
            <w:pStyle w:val="LI-Header"/>
            <w:pBdr>
              <w:bottom w:val="none" w:sz="0" w:space="0" w:color="auto"/>
            </w:pBdr>
          </w:pPr>
        </w:p>
      </w:tc>
    </w:tr>
  </w:tbl>
  <w:p w14:paraId="33C43374"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0568"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3545"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120B3F72" w14:textId="77777777" w:rsidTr="00BF75C9">
      <w:tc>
        <w:tcPr>
          <w:tcW w:w="6804" w:type="dxa"/>
          <w:shd w:val="clear" w:color="auto" w:fill="auto"/>
        </w:tcPr>
        <w:p w14:paraId="339FF70E" w14:textId="262CCEBC" w:rsidR="00F4215A" w:rsidRDefault="002B68B8" w:rsidP="00E40FF8">
          <w:pPr>
            <w:pStyle w:val="LI-Header"/>
            <w:pBdr>
              <w:bottom w:val="none" w:sz="0" w:space="0" w:color="auto"/>
            </w:pBdr>
            <w:jc w:val="left"/>
          </w:pPr>
          <w:fldSimple w:instr=" STYLEREF  &quot;LI - Title&quot; ">
            <w:r w:rsidR="009D288B">
              <w:rPr>
                <w:noProof/>
              </w:rPr>
              <w:t>ASIC Corporations (Foreign Financial Services Provider—Queensland Fidelity and Indemnity Schemes) Instrument 2022/437</w:t>
            </w:r>
          </w:fldSimple>
        </w:p>
      </w:tc>
      <w:tc>
        <w:tcPr>
          <w:tcW w:w="1509" w:type="dxa"/>
          <w:shd w:val="clear" w:color="auto" w:fill="auto"/>
        </w:tcPr>
        <w:p w14:paraId="1AD5AAEE" w14:textId="4C43FD5D" w:rsidR="00F4215A" w:rsidRDefault="002B68B8" w:rsidP="00E40FF8">
          <w:pPr>
            <w:pStyle w:val="LI-Header"/>
            <w:pBdr>
              <w:bottom w:val="none" w:sz="0" w:space="0" w:color="auto"/>
            </w:pBdr>
          </w:pPr>
          <w:fldSimple w:instr=" STYLEREF  &quot;LI - Heading 1&quot; ">
            <w:r w:rsidR="009D288B">
              <w:rPr>
                <w:noProof/>
              </w:rPr>
              <w:t>Part 1—Preliminary</w:t>
            </w:r>
          </w:fldSimple>
        </w:p>
      </w:tc>
    </w:tr>
  </w:tbl>
  <w:p w14:paraId="548DC57A"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7768"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1722D"/>
    <w:rsid w:val="00020C86"/>
    <w:rsid w:val="00023D53"/>
    <w:rsid w:val="000437C1"/>
    <w:rsid w:val="0005365D"/>
    <w:rsid w:val="000614BF"/>
    <w:rsid w:val="0006250C"/>
    <w:rsid w:val="00065884"/>
    <w:rsid w:val="0007414D"/>
    <w:rsid w:val="00081794"/>
    <w:rsid w:val="00084FF4"/>
    <w:rsid w:val="000A142F"/>
    <w:rsid w:val="000A6C39"/>
    <w:rsid w:val="000B58FA"/>
    <w:rsid w:val="000C55A0"/>
    <w:rsid w:val="000D041F"/>
    <w:rsid w:val="000D05EF"/>
    <w:rsid w:val="000E2261"/>
    <w:rsid w:val="000E3C2E"/>
    <w:rsid w:val="000F21C1"/>
    <w:rsid w:val="000F6637"/>
    <w:rsid w:val="00102CA6"/>
    <w:rsid w:val="001036D5"/>
    <w:rsid w:val="0010745C"/>
    <w:rsid w:val="00125141"/>
    <w:rsid w:val="00132CEB"/>
    <w:rsid w:val="00134049"/>
    <w:rsid w:val="00142B62"/>
    <w:rsid w:val="00153B32"/>
    <w:rsid w:val="00157B8B"/>
    <w:rsid w:val="00162394"/>
    <w:rsid w:val="00166C2F"/>
    <w:rsid w:val="00171A6E"/>
    <w:rsid w:val="001802BC"/>
    <w:rsid w:val="001809D7"/>
    <w:rsid w:val="00181CF2"/>
    <w:rsid w:val="001939E1"/>
    <w:rsid w:val="00194C3E"/>
    <w:rsid w:val="00195382"/>
    <w:rsid w:val="00195BD4"/>
    <w:rsid w:val="001B0554"/>
    <w:rsid w:val="001B4BDF"/>
    <w:rsid w:val="001C61C5"/>
    <w:rsid w:val="001C69C4"/>
    <w:rsid w:val="001D37EF"/>
    <w:rsid w:val="001E3590"/>
    <w:rsid w:val="001E7407"/>
    <w:rsid w:val="001F02B1"/>
    <w:rsid w:val="001F5D5E"/>
    <w:rsid w:val="001F6219"/>
    <w:rsid w:val="001F6CD4"/>
    <w:rsid w:val="00206C4D"/>
    <w:rsid w:val="0021053C"/>
    <w:rsid w:val="00215AF1"/>
    <w:rsid w:val="002321E8"/>
    <w:rsid w:val="00236EEC"/>
    <w:rsid w:val="0024010F"/>
    <w:rsid w:val="00240749"/>
    <w:rsid w:val="00241B54"/>
    <w:rsid w:val="00242C90"/>
    <w:rsid w:val="00242EF3"/>
    <w:rsid w:val="00243018"/>
    <w:rsid w:val="00243EC0"/>
    <w:rsid w:val="00244742"/>
    <w:rsid w:val="002564A4"/>
    <w:rsid w:val="00265D92"/>
    <w:rsid w:val="0026736C"/>
    <w:rsid w:val="00276AE5"/>
    <w:rsid w:val="00281308"/>
    <w:rsid w:val="00281813"/>
    <w:rsid w:val="00284719"/>
    <w:rsid w:val="00297ECB"/>
    <w:rsid w:val="002A7328"/>
    <w:rsid w:val="002A7BCF"/>
    <w:rsid w:val="002B19F3"/>
    <w:rsid w:val="002B4A0D"/>
    <w:rsid w:val="002B67F2"/>
    <w:rsid w:val="002B68B8"/>
    <w:rsid w:val="002C7801"/>
    <w:rsid w:val="002C7B6F"/>
    <w:rsid w:val="002D043A"/>
    <w:rsid w:val="002D2271"/>
    <w:rsid w:val="002D6224"/>
    <w:rsid w:val="002E3F4B"/>
    <w:rsid w:val="002F4FFA"/>
    <w:rsid w:val="002F6198"/>
    <w:rsid w:val="00304F8B"/>
    <w:rsid w:val="00315F82"/>
    <w:rsid w:val="00327DDF"/>
    <w:rsid w:val="003354D2"/>
    <w:rsid w:val="00335BC6"/>
    <w:rsid w:val="003415D3"/>
    <w:rsid w:val="00344701"/>
    <w:rsid w:val="003528DA"/>
    <w:rsid w:val="00352B0F"/>
    <w:rsid w:val="00356690"/>
    <w:rsid w:val="00357DD0"/>
    <w:rsid w:val="00360459"/>
    <w:rsid w:val="00365497"/>
    <w:rsid w:val="00387A96"/>
    <w:rsid w:val="003A2A48"/>
    <w:rsid w:val="003B28C3"/>
    <w:rsid w:val="003B732F"/>
    <w:rsid w:val="003C6231"/>
    <w:rsid w:val="003D08F3"/>
    <w:rsid w:val="003D0BFE"/>
    <w:rsid w:val="003D5700"/>
    <w:rsid w:val="003E0F99"/>
    <w:rsid w:val="003E14C3"/>
    <w:rsid w:val="003E341B"/>
    <w:rsid w:val="0040053F"/>
    <w:rsid w:val="00401857"/>
    <w:rsid w:val="00404699"/>
    <w:rsid w:val="004116CD"/>
    <w:rsid w:val="004144EC"/>
    <w:rsid w:val="00417EB9"/>
    <w:rsid w:val="00424CA9"/>
    <w:rsid w:val="00431E9B"/>
    <w:rsid w:val="004379E3"/>
    <w:rsid w:val="0044015E"/>
    <w:rsid w:val="0044291A"/>
    <w:rsid w:val="00444ABD"/>
    <w:rsid w:val="00447DB4"/>
    <w:rsid w:val="00460C83"/>
    <w:rsid w:val="00460F1D"/>
    <w:rsid w:val="00465DC1"/>
    <w:rsid w:val="00467661"/>
    <w:rsid w:val="004705B7"/>
    <w:rsid w:val="00472DBE"/>
    <w:rsid w:val="00474A19"/>
    <w:rsid w:val="004823C0"/>
    <w:rsid w:val="0048276B"/>
    <w:rsid w:val="00496B5F"/>
    <w:rsid w:val="00496F97"/>
    <w:rsid w:val="004A44FC"/>
    <w:rsid w:val="004B5B44"/>
    <w:rsid w:val="004C1CB1"/>
    <w:rsid w:val="004E063A"/>
    <w:rsid w:val="004E7BEC"/>
    <w:rsid w:val="004F1E46"/>
    <w:rsid w:val="004F59E4"/>
    <w:rsid w:val="0050044F"/>
    <w:rsid w:val="00505D3D"/>
    <w:rsid w:val="00506AF6"/>
    <w:rsid w:val="00507335"/>
    <w:rsid w:val="005123AB"/>
    <w:rsid w:val="00514DDE"/>
    <w:rsid w:val="00516B8D"/>
    <w:rsid w:val="00517E56"/>
    <w:rsid w:val="00532049"/>
    <w:rsid w:val="005356A7"/>
    <w:rsid w:val="00536184"/>
    <w:rsid w:val="00537FBC"/>
    <w:rsid w:val="005574D1"/>
    <w:rsid w:val="0055751E"/>
    <w:rsid w:val="00562AB2"/>
    <w:rsid w:val="005657FE"/>
    <w:rsid w:val="005703AC"/>
    <w:rsid w:val="00572BB1"/>
    <w:rsid w:val="0057670F"/>
    <w:rsid w:val="00584811"/>
    <w:rsid w:val="00585784"/>
    <w:rsid w:val="00593AA6"/>
    <w:rsid w:val="00594161"/>
    <w:rsid w:val="00594749"/>
    <w:rsid w:val="005B4067"/>
    <w:rsid w:val="005B6028"/>
    <w:rsid w:val="005B780C"/>
    <w:rsid w:val="005C3F41"/>
    <w:rsid w:val="005D0489"/>
    <w:rsid w:val="005D2960"/>
    <w:rsid w:val="005D2D09"/>
    <w:rsid w:val="005D3D41"/>
    <w:rsid w:val="005E4810"/>
    <w:rsid w:val="005F1F2B"/>
    <w:rsid w:val="005F4140"/>
    <w:rsid w:val="005F65CD"/>
    <w:rsid w:val="00600219"/>
    <w:rsid w:val="00601692"/>
    <w:rsid w:val="00603DC4"/>
    <w:rsid w:val="00607A71"/>
    <w:rsid w:val="006117CB"/>
    <w:rsid w:val="00617EF0"/>
    <w:rsid w:val="00620076"/>
    <w:rsid w:val="00634044"/>
    <w:rsid w:val="00640161"/>
    <w:rsid w:val="00652769"/>
    <w:rsid w:val="0065542F"/>
    <w:rsid w:val="006554FF"/>
    <w:rsid w:val="0067058C"/>
    <w:rsid w:val="00670EA1"/>
    <w:rsid w:val="00677CC2"/>
    <w:rsid w:val="006905DE"/>
    <w:rsid w:val="006911E4"/>
    <w:rsid w:val="0069207B"/>
    <w:rsid w:val="006B5789"/>
    <w:rsid w:val="006C30C5"/>
    <w:rsid w:val="006C404A"/>
    <w:rsid w:val="006C48FA"/>
    <w:rsid w:val="006C7F8C"/>
    <w:rsid w:val="006D53E5"/>
    <w:rsid w:val="006E5320"/>
    <w:rsid w:val="006E6246"/>
    <w:rsid w:val="006F318F"/>
    <w:rsid w:val="006F4226"/>
    <w:rsid w:val="0070017E"/>
    <w:rsid w:val="00700B2C"/>
    <w:rsid w:val="00702EFD"/>
    <w:rsid w:val="007050A2"/>
    <w:rsid w:val="00713084"/>
    <w:rsid w:val="0071399B"/>
    <w:rsid w:val="00714D34"/>
    <w:rsid w:val="00714F20"/>
    <w:rsid w:val="0071590F"/>
    <w:rsid w:val="00715914"/>
    <w:rsid w:val="00731E00"/>
    <w:rsid w:val="00741EE8"/>
    <w:rsid w:val="007440B7"/>
    <w:rsid w:val="00745C78"/>
    <w:rsid w:val="007500C8"/>
    <w:rsid w:val="00756272"/>
    <w:rsid w:val="007662B5"/>
    <w:rsid w:val="0076681A"/>
    <w:rsid w:val="007715C9"/>
    <w:rsid w:val="00771613"/>
    <w:rsid w:val="00774EDD"/>
    <w:rsid w:val="0077506D"/>
    <w:rsid w:val="007757EC"/>
    <w:rsid w:val="00783E89"/>
    <w:rsid w:val="00785A9E"/>
    <w:rsid w:val="00793915"/>
    <w:rsid w:val="007946C9"/>
    <w:rsid w:val="007B4C4F"/>
    <w:rsid w:val="007C2253"/>
    <w:rsid w:val="007D230B"/>
    <w:rsid w:val="007D4B64"/>
    <w:rsid w:val="007D4EC6"/>
    <w:rsid w:val="007E163D"/>
    <w:rsid w:val="007E667A"/>
    <w:rsid w:val="007F28C9"/>
    <w:rsid w:val="0080312D"/>
    <w:rsid w:val="00803587"/>
    <w:rsid w:val="00804BE7"/>
    <w:rsid w:val="008117E9"/>
    <w:rsid w:val="00815DD7"/>
    <w:rsid w:val="00824498"/>
    <w:rsid w:val="00840442"/>
    <w:rsid w:val="0084561C"/>
    <w:rsid w:val="00851FA4"/>
    <w:rsid w:val="008527C0"/>
    <w:rsid w:val="0085320C"/>
    <w:rsid w:val="00856A31"/>
    <w:rsid w:val="00860B58"/>
    <w:rsid w:val="00867B37"/>
    <w:rsid w:val="008718DD"/>
    <w:rsid w:val="008754D0"/>
    <w:rsid w:val="008855C9"/>
    <w:rsid w:val="00886456"/>
    <w:rsid w:val="008945E0"/>
    <w:rsid w:val="0089527F"/>
    <w:rsid w:val="008A362B"/>
    <w:rsid w:val="008A46E1"/>
    <w:rsid w:val="008A4F43"/>
    <w:rsid w:val="008B2706"/>
    <w:rsid w:val="008C0F29"/>
    <w:rsid w:val="008D0EE0"/>
    <w:rsid w:val="008D3422"/>
    <w:rsid w:val="008E2EBC"/>
    <w:rsid w:val="008E6067"/>
    <w:rsid w:val="008F54E7"/>
    <w:rsid w:val="009016BE"/>
    <w:rsid w:val="00903422"/>
    <w:rsid w:val="009157B9"/>
    <w:rsid w:val="00915DF9"/>
    <w:rsid w:val="009254C3"/>
    <w:rsid w:val="00926940"/>
    <w:rsid w:val="00930A0A"/>
    <w:rsid w:val="00932377"/>
    <w:rsid w:val="0094265B"/>
    <w:rsid w:val="009460DC"/>
    <w:rsid w:val="00947D5A"/>
    <w:rsid w:val="009532A5"/>
    <w:rsid w:val="0095528E"/>
    <w:rsid w:val="0096224A"/>
    <w:rsid w:val="00966A6E"/>
    <w:rsid w:val="0096753E"/>
    <w:rsid w:val="00982242"/>
    <w:rsid w:val="009826E2"/>
    <w:rsid w:val="009868E9"/>
    <w:rsid w:val="009944E6"/>
    <w:rsid w:val="009A49C9"/>
    <w:rsid w:val="009D1818"/>
    <w:rsid w:val="009D195A"/>
    <w:rsid w:val="009D288B"/>
    <w:rsid w:val="009E5CFC"/>
    <w:rsid w:val="009F1B0F"/>
    <w:rsid w:val="00A02E11"/>
    <w:rsid w:val="00A079CB"/>
    <w:rsid w:val="00A12128"/>
    <w:rsid w:val="00A12F48"/>
    <w:rsid w:val="00A15512"/>
    <w:rsid w:val="00A22C98"/>
    <w:rsid w:val="00A231E2"/>
    <w:rsid w:val="00A33D55"/>
    <w:rsid w:val="00A34412"/>
    <w:rsid w:val="00A40424"/>
    <w:rsid w:val="00A448D7"/>
    <w:rsid w:val="00A458AE"/>
    <w:rsid w:val="00A52B0F"/>
    <w:rsid w:val="00A5632E"/>
    <w:rsid w:val="00A64912"/>
    <w:rsid w:val="00A70A74"/>
    <w:rsid w:val="00A91966"/>
    <w:rsid w:val="00AA66AC"/>
    <w:rsid w:val="00AB1DE8"/>
    <w:rsid w:val="00AC0886"/>
    <w:rsid w:val="00AC2BC6"/>
    <w:rsid w:val="00AD1F73"/>
    <w:rsid w:val="00AD5315"/>
    <w:rsid w:val="00AD5641"/>
    <w:rsid w:val="00AD7889"/>
    <w:rsid w:val="00AF021B"/>
    <w:rsid w:val="00AF06CF"/>
    <w:rsid w:val="00B07CDB"/>
    <w:rsid w:val="00B16A31"/>
    <w:rsid w:val="00B17DFD"/>
    <w:rsid w:val="00B2799D"/>
    <w:rsid w:val="00B308FE"/>
    <w:rsid w:val="00B33709"/>
    <w:rsid w:val="00B33B3C"/>
    <w:rsid w:val="00B33BD1"/>
    <w:rsid w:val="00B3562B"/>
    <w:rsid w:val="00B362A6"/>
    <w:rsid w:val="00B467FB"/>
    <w:rsid w:val="00B50ADC"/>
    <w:rsid w:val="00B566B1"/>
    <w:rsid w:val="00B618A4"/>
    <w:rsid w:val="00B63834"/>
    <w:rsid w:val="00B72734"/>
    <w:rsid w:val="00B80199"/>
    <w:rsid w:val="00B8243A"/>
    <w:rsid w:val="00B82D81"/>
    <w:rsid w:val="00B83204"/>
    <w:rsid w:val="00B9126E"/>
    <w:rsid w:val="00B977C9"/>
    <w:rsid w:val="00BA220B"/>
    <w:rsid w:val="00BA3A57"/>
    <w:rsid w:val="00BB20D2"/>
    <w:rsid w:val="00BB4E1A"/>
    <w:rsid w:val="00BB5C17"/>
    <w:rsid w:val="00BC015E"/>
    <w:rsid w:val="00BC7183"/>
    <w:rsid w:val="00BC76AC"/>
    <w:rsid w:val="00BC79F0"/>
    <w:rsid w:val="00BD0ECB"/>
    <w:rsid w:val="00BE2155"/>
    <w:rsid w:val="00BE2213"/>
    <w:rsid w:val="00BE3D6B"/>
    <w:rsid w:val="00BE719A"/>
    <w:rsid w:val="00BE720A"/>
    <w:rsid w:val="00BF0D73"/>
    <w:rsid w:val="00BF2465"/>
    <w:rsid w:val="00BF75C9"/>
    <w:rsid w:val="00C0544A"/>
    <w:rsid w:val="00C11452"/>
    <w:rsid w:val="00C15BA3"/>
    <w:rsid w:val="00C17734"/>
    <w:rsid w:val="00C25E7F"/>
    <w:rsid w:val="00C2746F"/>
    <w:rsid w:val="00C324A0"/>
    <w:rsid w:val="00C3300F"/>
    <w:rsid w:val="00C34E77"/>
    <w:rsid w:val="00C35875"/>
    <w:rsid w:val="00C35DAF"/>
    <w:rsid w:val="00C42BF8"/>
    <w:rsid w:val="00C45171"/>
    <w:rsid w:val="00C50043"/>
    <w:rsid w:val="00C50B97"/>
    <w:rsid w:val="00C55442"/>
    <w:rsid w:val="00C6434E"/>
    <w:rsid w:val="00C70CA8"/>
    <w:rsid w:val="00C7573B"/>
    <w:rsid w:val="00C7761F"/>
    <w:rsid w:val="00C93C03"/>
    <w:rsid w:val="00C93D8E"/>
    <w:rsid w:val="00CA66DC"/>
    <w:rsid w:val="00CB2C8E"/>
    <w:rsid w:val="00CB602E"/>
    <w:rsid w:val="00CD2E90"/>
    <w:rsid w:val="00CE051D"/>
    <w:rsid w:val="00CE1335"/>
    <w:rsid w:val="00CE3D2A"/>
    <w:rsid w:val="00CE493D"/>
    <w:rsid w:val="00CE6D42"/>
    <w:rsid w:val="00CF07FA"/>
    <w:rsid w:val="00CF0BB2"/>
    <w:rsid w:val="00CF3EE8"/>
    <w:rsid w:val="00D02ED8"/>
    <w:rsid w:val="00D050E6"/>
    <w:rsid w:val="00D05A0D"/>
    <w:rsid w:val="00D10BFF"/>
    <w:rsid w:val="00D13441"/>
    <w:rsid w:val="00D150E7"/>
    <w:rsid w:val="00D32F65"/>
    <w:rsid w:val="00D341C4"/>
    <w:rsid w:val="00D52DC2"/>
    <w:rsid w:val="00D53BCC"/>
    <w:rsid w:val="00D702DE"/>
    <w:rsid w:val="00D70DFB"/>
    <w:rsid w:val="00D73C22"/>
    <w:rsid w:val="00D766DF"/>
    <w:rsid w:val="00D81872"/>
    <w:rsid w:val="00D96DA1"/>
    <w:rsid w:val="00DA186E"/>
    <w:rsid w:val="00DA4116"/>
    <w:rsid w:val="00DB251C"/>
    <w:rsid w:val="00DB38AD"/>
    <w:rsid w:val="00DB4630"/>
    <w:rsid w:val="00DC4445"/>
    <w:rsid w:val="00DC4F88"/>
    <w:rsid w:val="00DE1743"/>
    <w:rsid w:val="00DE79F9"/>
    <w:rsid w:val="00E05704"/>
    <w:rsid w:val="00E06CC3"/>
    <w:rsid w:val="00E11E44"/>
    <w:rsid w:val="00E13AFA"/>
    <w:rsid w:val="00E2168B"/>
    <w:rsid w:val="00E21F03"/>
    <w:rsid w:val="00E338EF"/>
    <w:rsid w:val="00E37DFA"/>
    <w:rsid w:val="00E40FF8"/>
    <w:rsid w:val="00E544BB"/>
    <w:rsid w:val="00E578EC"/>
    <w:rsid w:val="00E60423"/>
    <w:rsid w:val="00E649D7"/>
    <w:rsid w:val="00E662CB"/>
    <w:rsid w:val="00E67AEE"/>
    <w:rsid w:val="00E73EE8"/>
    <w:rsid w:val="00E74DC7"/>
    <w:rsid w:val="00E8075A"/>
    <w:rsid w:val="00E818A6"/>
    <w:rsid w:val="00E85A91"/>
    <w:rsid w:val="00E85B5F"/>
    <w:rsid w:val="00E87718"/>
    <w:rsid w:val="00E94D5E"/>
    <w:rsid w:val="00EA7100"/>
    <w:rsid w:val="00EA7F9F"/>
    <w:rsid w:val="00EB0E70"/>
    <w:rsid w:val="00EB1274"/>
    <w:rsid w:val="00EC4757"/>
    <w:rsid w:val="00EC7BEB"/>
    <w:rsid w:val="00EC7EDB"/>
    <w:rsid w:val="00ED2BB6"/>
    <w:rsid w:val="00ED34E1"/>
    <w:rsid w:val="00ED3B8D"/>
    <w:rsid w:val="00ED4008"/>
    <w:rsid w:val="00EF15D3"/>
    <w:rsid w:val="00EF2E3A"/>
    <w:rsid w:val="00F02EF9"/>
    <w:rsid w:val="00F047D8"/>
    <w:rsid w:val="00F04DF3"/>
    <w:rsid w:val="00F072A7"/>
    <w:rsid w:val="00F078DC"/>
    <w:rsid w:val="00F10909"/>
    <w:rsid w:val="00F14593"/>
    <w:rsid w:val="00F171A1"/>
    <w:rsid w:val="00F32BA8"/>
    <w:rsid w:val="00F349F1"/>
    <w:rsid w:val="00F4117C"/>
    <w:rsid w:val="00F4215A"/>
    <w:rsid w:val="00F4350D"/>
    <w:rsid w:val="00F50532"/>
    <w:rsid w:val="00F567F7"/>
    <w:rsid w:val="00F61B09"/>
    <w:rsid w:val="00F62036"/>
    <w:rsid w:val="00F65B52"/>
    <w:rsid w:val="00F67BCA"/>
    <w:rsid w:val="00F73BD6"/>
    <w:rsid w:val="00F82B59"/>
    <w:rsid w:val="00F83989"/>
    <w:rsid w:val="00F85099"/>
    <w:rsid w:val="00F9379C"/>
    <w:rsid w:val="00F93A35"/>
    <w:rsid w:val="00F9460D"/>
    <w:rsid w:val="00F9632C"/>
    <w:rsid w:val="00F964F1"/>
    <w:rsid w:val="00FA1E52"/>
    <w:rsid w:val="00FA31DE"/>
    <w:rsid w:val="00FA7D17"/>
    <w:rsid w:val="00FC3EB8"/>
    <w:rsid w:val="00FC7D25"/>
    <w:rsid w:val="00FD13CC"/>
    <w:rsid w:val="00FD2944"/>
    <w:rsid w:val="00FD6062"/>
    <w:rsid w:val="00FE4688"/>
    <w:rsid w:val="00FE72D6"/>
    <w:rsid w:val="00FE79D0"/>
    <w:rsid w:val="00FF0E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9A9C1F"/>
  <w15:chartTrackingRefBased/>
  <w15:docId w15:val="{95E255F2-E20C-457C-B0D8-B5A54C1D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562AB2"/>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character" w:styleId="FollowedHyperlink">
    <w:name w:val="FollowedHyperlink"/>
    <w:uiPriority w:val="99"/>
    <w:semiHidden/>
    <w:unhideWhenUsed/>
    <w:rsid w:val="00FD2944"/>
    <w:rPr>
      <w:color w:val="954F72"/>
      <w:u w:val="single"/>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legislation.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R20220001081138</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Reviewers xmlns="17f478ab-373e-4295-9ff0-9b833ad01319">
      <UserInfo>
        <DisplayName/>
        <AccountId xsi:nil="true"/>
        <AccountType/>
      </UserInfo>
    </Reviewers>
    <SignificantReason xmlns="da7a9ac0-bc47-4684-84e6-3a8e9ac80c12" xsi:nil="true"/>
    <NotesLinks xmlns="da7a9ac0-bc47-4684-84e6-3a8e9ac80c12" xsi:nil="true"/>
    <Approvers xmlns="17f478ab-373e-4295-9ff0-9b833ad01319">
      <UserInfo>
        <DisplayName/>
        <AccountId xsi:nil="true"/>
        <AccountType/>
      </UserInfo>
    </Approvers>
    <IconOverlay xmlns="http://schemas.microsoft.com/sharepoint/v4" xsi:nil="true"/>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TaxCatchAll xmlns="6fdf923d-1605-456d-9034-49e4c2a6593d">
      <Value>7</Value>
    </TaxCatchAll>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8e83bb0dc901e30dd4bddba9d405a43b">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498df3a669fe9a849b24f0bdbdb11869"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1;#OFFICIAL - Sensitive|6eccc17f-024b-41b0-b6b1-faf98d2aff85"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8B31FD7-9E45-4F91-A84D-B925CAF3391A}">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f478ab-373e-4295-9ff0-9b833ad01319"/>
    <ds:schemaRef ds:uri="http://purl.org/dc/elements/1.1/"/>
    <ds:schemaRef ds:uri="http://schemas.microsoft.com/office/2006/metadata/properties"/>
    <ds:schemaRef ds:uri="6fdf923d-1605-456d-9034-49e4c2a6593d"/>
    <ds:schemaRef ds:uri="da7a9ac0-bc47-4684-84e6-3a8e9ac80c12"/>
    <ds:schemaRef ds:uri="http://www.w3.org/XML/1998/namespace"/>
    <ds:schemaRef ds:uri="http://purl.org/dc/dcmitype/"/>
  </ds:schemaRefs>
</ds:datastoreItem>
</file>

<file path=customXml/itemProps2.xml><?xml version="1.0" encoding="utf-8"?>
<ds:datastoreItem xmlns:ds="http://schemas.openxmlformats.org/officeDocument/2006/customXml" ds:itemID="{0392B0EA-21E2-4C8B-BD66-65A860D93A2E}">
  <ds:schemaRefs/>
</ds:datastoreItem>
</file>

<file path=customXml/itemProps3.xml><?xml version="1.0" encoding="utf-8"?>
<ds:datastoreItem xmlns:ds="http://schemas.openxmlformats.org/officeDocument/2006/customXml" ds:itemID="{257E21C1-91A1-49FE-8346-37159CBF1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25E02-72D3-4A6B-9525-7D5DE6B922B3}">
  <ds:schemaRefs>
    <ds:schemaRef ds:uri="http://schemas.openxmlformats.org/officeDocument/2006/bibliography"/>
  </ds:schemaRefs>
</ds:datastoreItem>
</file>

<file path=customXml/itemProps5.xml><?xml version="1.0" encoding="utf-8"?>
<ds:datastoreItem xmlns:ds="http://schemas.openxmlformats.org/officeDocument/2006/customXml" ds:itemID="{AC372168-807F-4BA2-AE9D-14B1AE66E67B}">
  <ds:schemaRefs>
    <ds:schemaRef ds:uri="http://schemas.microsoft.com/sharepoint/v3/contenttype/forms/url"/>
  </ds:schemaRefs>
</ds:datastoreItem>
</file>

<file path=customXml/itemProps6.xml><?xml version="1.0" encoding="utf-8"?>
<ds:datastoreItem xmlns:ds="http://schemas.openxmlformats.org/officeDocument/2006/customXml" ds:itemID="{6584DF70-7DA2-48A0-8998-B5B6BDBF9DA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7</Pages>
  <Words>1306</Words>
  <Characters>7448</Characters>
  <Application>Microsoft Office Word</Application>
  <DocSecurity>0</DocSecurity>
  <PresentationFormat/>
  <Lines>62</Lines>
  <Paragraphs>17</Paragraphs>
  <ScaleCrop>false</ScaleCrop>
  <HeadingPairs>
    <vt:vector size="2" baseType="variant">
      <vt:variant>
        <vt:lpstr>Title</vt:lpstr>
      </vt:variant>
      <vt:variant>
        <vt:i4>1</vt:i4>
      </vt:variant>
    </vt:vector>
  </HeadingPairs>
  <TitlesOfParts>
    <vt:vector size="1" baseType="lpstr">
      <vt:lpstr>ASIC Corporations (Foreign Financial Services Provider - Queensland Fidelity and Indemnity Schemes) Instrument 2022-437</vt:lpstr>
    </vt:vector>
  </TitlesOfParts>
  <Company>ASIC</Company>
  <LinksUpToDate>false</LinksUpToDate>
  <CharactersWithSpaces>8737</CharactersWithSpaces>
  <SharedDoc>false</SharedDoc>
  <HyperlinkBase/>
  <HLinks>
    <vt:vector size="54" baseType="variant">
      <vt:variant>
        <vt:i4>6946865</vt:i4>
      </vt:variant>
      <vt:variant>
        <vt:i4>54</vt:i4>
      </vt:variant>
      <vt:variant>
        <vt:i4>0</vt:i4>
      </vt:variant>
      <vt:variant>
        <vt:i4>5</vt:i4>
      </vt:variant>
      <vt:variant>
        <vt:lpwstr>http://www.legislation.gov.au/</vt:lpwstr>
      </vt:variant>
      <vt:variant>
        <vt:lpwstr/>
      </vt:variant>
      <vt:variant>
        <vt:i4>1638448</vt:i4>
      </vt:variant>
      <vt:variant>
        <vt:i4>47</vt:i4>
      </vt:variant>
      <vt:variant>
        <vt:i4>0</vt:i4>
      </vt:variant>
      <vt:variant>
        <vt:i4>5</vt:i4>
      </vt:variant>
      <vt:variant>
        <vt:lpwstr/>
      </vt:variant>
      <vt:variant>
        <vt:lpwstr>_Toc100235294</vt:lpwstr>
      </vt:variant>
      <vt:variant>
        <vt:i4>1638448</vt:i4>
      </vt:variant>
      <vt:variant>
        <vt:i4>41</vt:i4>
      </vt:variant>
      <vt:variant>
        <vt:i4>0</vt:i4>
      </vt:variant>
      <vt:variant>
        <vt:i4>5</vt:i4>
      </vt:variant>
      <vt:variant>
        <vt:lpwstr/>
      </vt:variant>
      <vt:variant>
        <vt:lpwstr>_Toc100235293</vt:lpwstr>
      </vt:variant>
      <vt:variant>
        <vt:i4>1638448</vt:i4>
      </vt:variant>
      <vt:variant>
        <vt:i4>35</vt:i4>
      </vt:variant>
      <vt:variant>
        <vt:i4>0</vt:i4>
      </vt:variant>
      <vt:variant>
        <vt:i4>5</vt:i4>
      </vt:variant>
      <vt:variant>
        <vt:lpwstr/>
      </vt:variant>
      <vt:variant>
        <vt:lpwstr>_Toc100235292</vt:lpwstr>
      </vt:variant>
      <vt:variant>
        <vt:i4>1638448</vt:i4>
      </vt:variant>
      <vt:variant>
        <vt:i4>29</vt:i4>
      </vt:variant>
      <vt:variant>
        <vt:i4>0</vt:i4>
      </vt:variant>
      <vt:variant>
        <vt:i4>5</vt:i4>
      </vt:variant>
      <vt:variant>
        <vt:lpwstr/>
      </vt:variant>
      <vt:variant>
        <vt:lpwstr>_Toc100235291</vt:lpwstr>
      </vt:variant>
      <vt:variant>
        <vt:i4>1638448</vt:i4>
      </vt:variant>
      <vt:variant>
        <vt:i4>23</vt:i4>
      </vt:variant>
      <vt:variant>
        <vt:i4>0</vt:i4>
      </vt:variant>
      <vt:variant>
        <vt:i4>5</vt:i4>
      </vt:variant>
      <vt:variant>
        <vt:lpwstr/>
      </vt:variant>
      <vt:variant>
        <vt:lpwstr>_Toc100235290</vt:lpwstr>
      </vt:variant>
      <vt:variant>
        <vt:i4>1572912</vt:i4>
      </vt:variant>
      <vt:variant>
        <vt:i4>17</vt:i4>
      </vt:variant>
      <vt:variant>
        <vt:i4>0</vt:i4>
      </vt:variant>
      <vt:variant>
        <vt:i4>5</vt:i4>
      </vt:variant>
      <vt:variant>
        <vt:lpwstr/>
      </vt:variant>
      <vt:variant>
        <vt:lpwstr>_Toc100235289</vt:lpwstr>
      </vt:variant>
      <vt:variant>
        <vt:i4>1572912</vt:i4>
      </vt:variant>
      <vt:variant>
        <vt:i4>11</vt:i4>
      </vt:variant>
      <vt:variant>
        <vt:i4>0</vt:i4>
      </vt:variant>
      <vt:variant>
        <vt:i4>5</vt:i4>
      </vt:variant>
      <vt:variant>
        <vt:lpwstr/>
      </vt:variant>
      <vt:variant>
        <vt:lpwstr>_Toc100235288</vt:lpwstr>
      </vt:variant>
      <vt:variant>
        <vt:i4>1572912</vt:i4>
      </vt:variant>
      <vt:variant>
        <vt:i4>5</vt:i4>
      </vt:variant>
      <vt:variant>
        <vt:i4>0</vt:i4>
      </vt:variant>
      <vt:variant>
        <vt:i4>5</vt:i4>
      </vt:variant>
      <vt:variant>
        <vt:lpwstr/>
      </vt:variant>
      <vt:variant>
        <vt:lpwstr>_Toc100235287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Corporations (Foreign Financial Services Provider - Queensland Fidelity and Indemnity Schemes) Instrument 2022-437</dc:title>
  <dc:subject/>
  <dc:creator>Rebecca Wong</dc:creator>
  <cp:keywords/>
  <cp:lastModifiedBy>Narelle Kane</cp:lastModifiedBy>
  <cp:revision>6</cp:revision>
  <cp:lastPrinted>2014-06-13T06:38:00Z</cp:lastPrinted>
  <dcterms:created xsi:type="dcterms:W3CDTF">2022-05-31T04:52:00Z</dcterms:created>
  <dcterms:modified xsi:type="dcterms:W3CDTF">2022-05-31T05:29:00Z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{fa96e6fb-4129-44b7-b105-10ec3844cb78}</vt:lpwstr>
  </property>
  <property fmtid="{D5CDD505-2E9C-101B-9397-08002B2CF9AE}" pid="41" name="RecordPoint_ActiveItemListId">
    <vt:lpwstr>{e8634c1b-1868-4a02-8de8-ef4b1316a551}</vt:lpwstr>
  </property>
  <property fmtid="{D5CDD505-2E9C-101B-9397-08002B2CF9AE}" pid="42" name="RecordPoint_ActiveItemUniqueId">
    <vt:lpwstr>{029a39a3-f3d2-4b47-a40b-76f02215cda9}</vt:lpwstr>
  </property>
  <property fmtid="{D5CDD505-2E9C-101B-9397-08002B2CF9AE}" pid="43" name="RecordPoint_ActiveItemWebId">
    <vt:lpwstr>{6fdf923d-1605-456d-9034-49e4c2a6593d}</vt:lpwstr>
  </property>
  <property fmtid="{D5CDD505-2E9C-101B-9397-08002B2CF9AE}" pid="44" name="RecordPoint_SubmissionCompleted">
    <vt:lpwstr>2022-05-30T11:14:40.9620907+10:00</vt:lpwstr>
  </property>
  <property fmtid="{D5CDD505-2E9C-101B-9397-08002B2CF9AE}" pid="45" name="RecordPoint_RecordNumberSubmitted">
    <vt:lpwstr>R20220001081138</vt:lpwstr>
  </property>
  <property fmtid="{D5CDD505-2E9C-101B-9397-08002B2CF9AE}" pid="46" name="SecurityClassification">
    <vt:lpwstr>7;#Sensitive|19fd2cb8-3e97-4464-ae71-8c2c2095d028</vt:lpwstr>
  </property>
  <property fmtid="{D5CDD505-2E9C-101B-9397-08002B2CF9AE}" pid="47" name="RecordPoint_SubmissionDate">
    <vt:lpwstr/>
  </property>
  <property fmtid="{D5CDD505-2E9C-101B-9397-08002B2CF9AE}" pid="48" name="RecordPoint_RecordFormat">
    <vt:lpwstr/>
  </property>
  <property fmtid="{D5CDD505-2E9C-101B-9397-08002B2CF9AE}" pid="49" name="ContentTypeId">
    <vt:lpwstr>0x010100B5F685A1365F544391EF8C813B164F3A003FC3A1FB886AA841B1151906BEDCBCDF</vt:lpwstr>
  </property>
  <property fmtid="{D5CDD505-2E9C-101B-9397-08002B2CF9AE}" pid="50" name="RCRRegulatoryConsiderationSubType">
    <vt:lpwstr/>
  </property>
  <property fmtid="{D5CDD505-2E9C-101B-9397-08002B2CF9AE}" pid="51" name="RCRCaseType">
    <vt:lpwstr>24;#Public Enquiry|13d9aa20-0d9a-e811-812b-005056a82db1</vt:lpwstr>
  </property>
  <property fmtid="{D5CDD505-2E9C-101B-9397-08002B2CF9AE}" pid="52" name="RCRRegulatoryTopics">
    <vt:lpwstr>21;#Financial Services|62dbcff1-c4fb-e511-8104-0050569c5e38</vt:lpwstr>
  </property>
  <property fmtid="{D5CDD505-2E9C-101B-9397-08002B2CF9AE}" pid="53" name="RCRRegulatoryConsiderationType">
    <vt:lpwstr/>
  </property>
  <property fmtid="{D5CDD505-2E9C-101B-9397-08002B2CF9AE}" pid="54" name="RCRCfCs">
    <vt:lpwstr/>
  </property>
  <property fmtid="{D5CDD505-2E9C-101B-9397-08002B2CF9AE}" pid="55" name="RCRCaseSubType">
    <vt:lpwstr>30;#Advice and research|42d6b3ce-2d4d-e911-8133-005056a82db1</vt:lpwstr>
  </property>
  <property fmtid="{D5CDD505-2E9C-101B-9397-08002B2CF9AE}" pid="56" name="RCRRegulatoryRole">
    <vt:lpwstr/>
  </property>
  <property fmtid="{D5CDD505-2E9C-101B-9397-08002B2CF9AE}" pid="57" name="RCRSourceSystem">
    <vt:lpwstr/>
  </property>
  <property fmtid="{D5CDD505-2E9C-101B-9397-08002B2CF9AE}" pid="58" name="RCRBusinessProcessPattern">
    <vt:lpwstr/>
  </property>
  <property fmtid="{D5CDD505-2E9C-101B-9397-08002B2CF9AE}" pid="59" name="RCRSourceRecordType">
    <vt:lpwstr/>
  </property>
  <property fmtid="{D5CDD505-2E9C-101B-9397-08002B2CF9AE}" pid="60" name="RCRDocumentType">
    <vt:lpwstr>203;#Instrument (Draft)|93950dbd-ee74-e811-8128-005056a82db1</vt:lpwstr>
  </property>
  <property fmtid="{D5CDD505-2E9C-101B-9397-08002B2CF9AE}" pid="61" name="RCRParentRecordType">
    <vt:lpwstr/>
  </property>
  <property fmtid="{D5CDD505-2E9C-101B-9397-08002B2CF9AE}" pid="62" name="Order">
    <vt:r8>1554100</vt:r8>
  </property>
</Properties>
</file>