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2D11F" w14:textId="77777777" w:rsidR="00FA6784" w:rsidRPr="00212528" w:rsidRDefault="00FA6784" w:rsidP="00FA6784">
      <w:pPr>
        <w:pStyle w:val="H3"/>
        <w:jc w:val="center"/>
        <w:rPr>
          <w:sz w:val="24"/>
          <w:szCs w:val="24"/>
        </w:rPr>
      </w:pPr>
      <w:r w:rsidRPr="00212528">
        <w:rPr>
          <w:sz w:val="24"/>
          <w:szCs w:val="24"/>
        </w:rPr>
        <w:t>EXPLANATORY STATEMENT</w:t>
      </w:r>
    </w:p>
    <w:p w14:paraId="2412D120" w14:textId="77777777" w:rsidR="00FA6784" w:rsidRPr="00212528" w:rsidRDefault="00FA6784" w:rsidP="00FA6784">
      <w:pPr>
        <w:jc w:val="center"/>
        <w:rPr>
          <w:sz w:val="22"/>
          <w:szCs w:val="22"/>
        </w:rPr>
      </w:pPr>
    </w:p>
    <w:p w14:paraId="2412D123" w14:textId="77777777" w:rsidR="00FA6784" w:rsidRPr="00212528" w:rsidRDefault="00FA6784" w:rsidP="00FA6784">
      <w:pPr>
        <w:jc w:val="center"/>
        <w:rPr>
          <w:i/>
          <w:iCs/>
        </w:rPr>
      </w:pPr>
      <w:r w:rsidRPr="00212528">
        <w:rPr>
          <w:i/>
          <w:iCs/>
        </w:rPr>
        <w:t>Health Insurance Act 1973</w:t>
      </w:r>
    </w:p>
    <w:p w14:paraId="2412D124" w14:textId="77777777" w:rsidR="00A1739A" w:rsidRPr="00212528" w:rsidRDefault="00A1739A" w:rsidP="00A1739A">
      <w:pPr>
        <w:rPr>
          <w:szCs w:val="24"/>
          <w:u w:val="single"/>
        </w:rPr>
      </w:pPr>
    </w:p>
    <w:p w14:paraId="2838A7B4" w14:textId="34FC4FCC" w:rsidR="00FD602D" w:rsidRPr="00212528" w:rsidRDefault="006D5BDE" w:rsidP="006D5BDE">
      <w:pPr>
        <w:ind w:right="84"/>
        <w:jc w:val="center"/>
        <w:rPr>
          <w:bCs/>
          <w:i/>
          <w:iCs/>
        </w:rPr>
      </w:pPr>
      <w:r w:rsidRPr="00212528">
        <w:rPr>
          <w:bCs/>
          <w:i/>
          <w:iCs/>
        </w:rPr>
        <w:t>Health Insurance (Section 3C General Medical Services – Telehealth and Telephone Attendances) Amendment (High Risk Groups) Determination 2022</w:t>
      </w:r>
    </w:p>
    <w:p w14:paraId="052E97C1" w14:textId="77777777" w:rsidR="00164A69" w:rsidRPr="00212528" w:rsidRDefault="00164A69" w:rsidP="004C6AE7">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shd w:val="clear" w:color="auto" w:fill="FFFFFF"/>
        </w:rPr>
      </w:pPr>
    </w:p>
    <w:p w14:paraId="30CCE728" w14:textId="5269999C" w:rsidR="00164A69" w:rsidRPr="00212528" w:rsidRDefault="00164A69" w:rsidP="00164A69">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shd w:val="clear" w:color="auto" w:fill="FFFFFF"/>
        </w:rPr>
      </w:pPr>
      <w:r w:rsidRPr="00212528">
        <w:rPr>
          <w:shd w:val="clear" w:color="auto" w:fill="FFFFFF"/>
        </w:rPr>
        <w:t xml:space="preserve">Subsection 3C(1) of the </w:t>
      </w:r>
      <w:r w:rsidRPr="00212528">
        <w:rPr>
          <w:i/>
          <w:shd w:val="clear" w:color="auto" w:fill="FFFFFF"/>
        </w:rPr>
        <w:t>Health Insurance Act 1973</w:t>
      </w:r>
      <w:r w:rsidRPr="00212528">
        <w:rPr>
          <w:shd w:val="clear" w:color="auto" w:fill="FFFFFF"/>
        </w:rPr>
        <w:t xml:space="preserve"> (the Act) </w:t>
      </w:r>
      <w:r w:rsidR="00477C74" w:rsidRPr="00212528">
        <w:rPr>
          <w:shd w:val="clear" w:color="auto" w:fill="FFFFFF"/>
        </w:rPr>
        <w:t>provide</w:t>
      </w:r>
      <w:r w:rsidR="002E5708" w:rsidRPr="00212528">
        <w:rPr>
          <w:shd w:val="clear" w:color="auto" w:fill="FFFFFF"/>
        </w:rPr>
        <w:t>s</w:t>
      </w:r>
      <w:r w:rsidR="00477C74" w:rsidRPr="00212528">
        <w:rPr>
          <w:shd w:val="clear" w:color="auto" w:fill="FFFFFF"/>
        </w:rPr>
        <w:t xml:space="preserve"> that</w:t>
      </w:r>
      <w:r w:rsidRPr="00212528">
        <w:rPr>
          <w:shd w:val="clear" w:color="auto" w:fill="FFFFFF"/>
        </w:rPr>
        <w:t xml:space="preserve"> the Minister </w:t>
      </w:r>
      <w:r w:rsidR="00477C74" w:rsidRPr="00212528">
        <w:rPr>
          <w:shd w:val="clear" w:color="auto" w:fill="FFFFFF"/>
        </w:rPr>
        <w:t>may</w:t>
      </w:r>
      <w:r w:rsidRPr="00212528">
        <w:rPr>
          <w:shd w:val="clear" w:color="auto" w:fill="FFFFFF"/>
        </w:rPr>
        <w:t xml:space="preserve">, by legislative instrument, determine that a health service not specified in an item in the </w:t>
      </w:r>
      <w:r w:rsidR="006D5BDE" w:rsidRPr="00212528">
        <w:rPr>
          <w:shd w:val="clear" w:color="auto" w:fill="FFFFFF"/>
        </w:rPr>
        <w:t>general medical</w:t>
      </w:r>
      <w:r w:rsidRPr="00212528">
        <w:rPr>
          <w:shd w:val="clear" w:color="auto" w:fill="FFFFFF"/>
        </w:rPr>
        <w:t xml:space="preserve"> services table </w:t>
      </w:r>
      <w:r w:rsidR="00D01D5A" w:rsidRPr="00212528">
        <w:rPr>
          <w:shd w:val="clear" w:color="auto" w:fill="FFFFFF"/>
        </w:rPr>
        <w:t xml:space="preserve">(the Table) </w:t>
      </w:r>
      <w:r w:rsidRPr="00212528">
        <w:rPr>
          <w:shd w:val="clear" w:color="auto" w:fill="FFFFFF"/>
        </w:rPr>
        <w:t xml:space="preserve">shall, in specified circumstances and for specified statutory provisions, be treated as if it were specified in the </w:t>
      </w:r>
      <w:r w:rsidR="00D01D5A" w:rsidRPr="00212528">
        <w:rPr>
          <w:shd w:val="clear" w:color="auto" w:fill="FFFFFF"/>
        </w:rPr>
        <w:t xml:space="preserve">Table. </w:t>
      </w:r>
      <w:r w:rsidRPr="00212528">
        <w:rPr>
          <w:shd w:val="clear" w:color="auto" w:fill="FFFFFF"/>
        </w:rPr>
        <w:t xml:space="preserve">  </w:t>
      </w:r>
    </w:p>
    <w:p w14:paraId="7DB18649" w14:textId="77777777" w:rsidR="00841EDA" w:rsidRPr="00212528" w:rsidRDefault="00841EDA" w:rsidP="004C6AE7">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shd w:val="clear" w:color="auto" w:fill="FFFFFF"/>
        </w:rPr>
      </w:pPr>
    </w:p>
    <w:p w14:paraId="0CD04EE8" w14:textId="5B5BBAB5" w:rsidR="00050623" w:rsidRPr="00212528" w:rsidRDefault="00050623" w:rsidP="00050623">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pPr>
      <w:r w:rsidRPr="00212528">
        <w:t xml:space="preserve">The </w:t>
      </w:r>
      <w:r w:rsidR="00D01D5A" w:rsidRPr="00212528">
        <w:t>Table</w:t>
      </w:r>
      <w:r w:rsidRPr="00212528">
        <w:t xml:space="preserve"> is set out in the regulations made under subsection 4</w:t>
      </w:r>
      <w:r w:rsidR="006D5BDE" w:rsidRPr="00212528">
        <w:t>(1)</w:t>
      </w:r>
      <w:r w:rsidRPr="00212528">
        <w:t xml:space="preserve"> of the Act.  The most recent version of the regulations is the </w:t>
      </w:r>
      <w:bookmarkStart w:id="0" w:name="_Hlk98834175"/>
      <w:r w:rsidR="0024749A" w:rsidRPr="00212528">
        <w:rPr>
          <w:i/>
          <w:iCs/>
        </w:rPr>
        <w:t>Health Insurance (General Medical Services Table) Regulations 2021</w:t>
      </w:r>
      <w:bookmarkEnd w:id="0"/>
      <w:r w:rsidR="00E43ED0" w:rsidRPr="00212528">
        <w:t xml:space="preserve"> (GMST)</w:t>
      </w:r>
      <w:r w:rsidR="0024749A" w:rsidRPr="00212528">
        <w:t>.</w:t>
      </w:r>
    </w:p>
    <w:p w14:paraId="2E6FE463" w14:textId="77777777" w:rsidR="00050623" w:rsidRPr="00212528" w:rsidRDefault="00050623" w:rsidP="00050623">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pPr>
    </w:p>
    <w:p w14:paraId="15997618" w14:textId="77777777" w:rsidR="00050623" w:rsidRPr="00212528" w:rsidRDefault="00050623" w:rsidP="00050623">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pPr>
      <w:r w:rsidRPr="00212528">
        <w:t xml:space="preserve">This instrument relies on subsection 33(3) of the </w:t>
      </w:r>
      <w:r w:rsidRPr="00212528">
        <w:rPr>
          <w:i/>
        </w:rPr>
        <w:t>Acts Interpretation Act 1901</w:t>
      </w:r>
      <w:r w:rsidRPr="00212528">
        <w:t xml:space="preserve"> (AIA).  Subsection 33(3) of the AIA</w:t>
      </w:r>
      <w:r w:rsidRPr="00212528">
        <w:rPr>
          <w:i/>
        </w:rPr>
        <w:t xml:space="preserve"> </w:t>
      </w:r>
      <w:r w:rsidRPr="00212528">
        <w:t>provides that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2412D129" w14:textId="2D4AC742" w:rsidR="008C5F1C" w:rsidRPr="00212528" w:rsidRDefault="008C5F1C" w:rsidP="00D33180">
      <w:pPr>
        <w:autoSpaceDE w:val="0"/>
        <w:autoSpaceDN w:val="0"/>
        <w:adjustRightInd w:val="0"/>
        <w:ind w:right="-483"/>
        <w:rPr>
          <w:szCs w:val="24"/>
        </w:rPr>
      </w:pPr>
    </w:p>
    <w:p w14:paraId="2412D12A" w14:textId="77777777" w:rsidR="00BB00BA" w:rsidRPr="00212528" w:rsidRDefault="00A1739A" w:rsidP="00BB00BA">
      <w:pPr>
        <w:rPr>
          <w:b/>
          <w:szCs w:val="24"/>
          <w:lang w:val="en-US" w:eastAsia="en-US"/>
        </w:rPr>
      </w:pPr>
      <w:r w:rsidRPr="00212528">
        <w:rPr>
          <w:b/>
          <w:szCs w:val="24"/>
          <w:lang w:val="en-US" w:eastAsia="en-US"/>
        </w:rPr>
        <w:t>Purpose</w:t>
      </w:r>
    </w:p>
    <w:p w14:paraId="065C92E4" w14:textId="05E72851" w:rsidR="00F66D8D" w:rsidRPr="00212528" w:rsidRDefault="0072495B" w:rsidP="00F66D8D">
      <w:pPr>
        <w:ind w:right="-483"/>
        <w:rPr>
          <w:bCs/>
          <w:szCs w:val="24"/>
        </w:rPr>
      </w:pPr>
      <w:r w:rsidRPr="00212528">
        <w:rPr>
          <w:szCs w:val="24"/>
        </w:rPr>
        <w:t xml:space="preserve">The purpose of the </w:t>
      </w:r>
      <w:r w:rsidRPr="00212528">
        <w:rPr>
          <w:bCs/>
          <w:i/>
          <w:iCs/>
          <w:szCs w:val="24"/>
        </w:rPr>
        <w:t>Health Insurance (Section 3C General Medical Services – Telehealth and Telephone Attendances) Amendment (High Risk Groups) Determination 2022</w:t>
      </w:r>
      <w:r w:rsidRPr="00212528">
        <w:rPr>
          <w:bCs/>
          <w:szCs w:val="24"/>
        </w:rPr>
        <w:t xml:space="preserve"> (the Amendment Determination) is to amend the </w:t>
      </w:r>
      <w:r w:rsidRPr="00212528">
        <w:rPr>
          <w:bCs/>
          <w:i/>
          <w:iCs/>
          <w:szCs w:val="24"/>
        </w:rPr>
        <w:t>Health Insurance (Section 3C General Medical Services – Telehealth and Telephone Attendances) Determination 2021</w:t>
      </w:r>
      <w:r w:rsidRPr="00212528">
        <w:rPr>
          <w:bCs/>
          <w:szCs w:val="24"/>
        </w:rPr>
        <w:t xml:space="preserve"> (the Principal Determination). This amendment will allow</w:t>
      </w:r>
      <w:r w:rsidRPr="00212528">
        <w:rPr>
          <w:b/>
          <w:szCs w:val="24"/>
        </w:rPr>
        <w:t xml:space="preserve"> </w:t>
      </w:r>
      <w:r w:rsidRPr="00212528">
        <w:rPr>
          <w:bCs/>
          <w:szCs w:val="24"/>
        </w:rPr>
        <w:t>people</w:t>
      </w:r>
      <w:r w:rsidRPr="00212528">
        <w:rPr>
          <w:bCs/>
          <w:szCs w:val="24"/>
        </w:rPr>
        <w:softHyphen/>
        <w:t xml:space="preserve"> who are experiencing acute respiratory symptoms and who meet the Pharmaceutical Benefits Schedule (PBS) eligibility criteria for antiviral therapy to receive telehealth or telephone consultations from any available medical practitioner to seek a request to a private pathologist for </w:t>
      </w:r>
      <w:r w:rsidRPr="00212528">
        <w:rPr>
          <w:szCs w:val="24"/>
        </w:rPr>
        <w:t>Polymerase Chain Reaction (</w:t>
      </w:r>
      <w:r w:rsidRPr="00212528">
        <w:rPr>
          <w:bCs/>
          <w:szCs w:val="24"/>
        </w:rPr>
        <w:t xml:space="preserve">PCR) testing. This exemption will apply until 31 March 2023. </w:t>
      </w:r>
    </w:p>
    <w:p w14:paraId="287BE742" w14:textId="77777777" w:rsidR="00F66D8D" w:rsidRPr="00212528" w:rsidRDefault="00F66D8D" w:rsidP="00F66D8D">
      <w:pPr>
        <w:ind w:right="-483"/>
        <w:rPr>
          <w:bCs/>
          <w:szCs w:val="24"/>
        </w:rPr>
      </w:pPr>
    </w:p>
    <w:p w14:paraId="01E472AD" w14:textId="0882FFC8" w:rsidR="00A46732" w:rsidRPr="00212528" w:rsidRDefault="00A46732" w:rsidP="00A46732">
      <w:pPr>
        <w:ind w:right="-483"/>
        <w:rPr>
          <w:bCs/>
          <w:szCs w:val="24"/>
        </w:rPr>
      </w:pPr>
      <w:r w:rsidRPr="00212528">
        <w:rPr>
          <w:bCs/>
          <w:szCs w:val="24"/>
        </w:rPr>
        <w:t xml:space="preserve">Usually, a patient must have an established clinical relationship with the medical practitioner, meaning one face to face service in a </w:t>
      </w:r>
      <w:proofErr w:type="gramStart"/>
      <w:r w:rsidRPr="00212528">
        <w:rPr>
          <w:bCs/>
          <w:szCs w:val="24"/>
        </w:rPr>
        <w:t>12 month</w:t>
      </w:r>
      <w:proofErr w:type="gramEnd"/>
      <w:r w:rsidRPr="00212528">
        <w:rPr>
          <w:bCs/>
          <w:szCs w:val="24"/>
        </w:rPr>
        <w:t xml:space="preserve"> period, before they are eligible to receive telehealth or telephone consultations (known as the usual medical practitioner rule or the UMP rule) if the patient doesn’t qualify for an exemption under existing exemption criteria. In a period where </w:t>
      </w:r>
      <w:r w:rsidR="007113C2" w:rsidRPr="00212528">
        <w:rPr>
          <w:bCs/>
          <w:szCs w:val="24"/>
        </w:rPr>
        <w:t xml:space="preserve">there is a higher </w:t>
      </w:r>
      <w:r w:rsidR="0079715F" w:rsidRPr="00212528">
        <w:rPr>
          <w:bCs/>
          <w:szCs w:val="24"/>
        </w:rPr>
        <w:t>prevalence o</w:t>
      </w:r>
      <w:r w:rsidR="007113C2" w:rsidRPr="00212528">
        <w:rPr>
          <w:bCs/>
          <w:szCs w:val="24"/>
        </w:rPr>
        <w:t>f COVID-19</w:t>
      </w:r>
      <w:r w:rsidR="0079715F" w:rsidRPr="00212528">
        <w:rPr>
          <w:bCs/>
          <w:szCs w:val="24"/>
        </w:rPr>
        <w:t>,</w:t>
      </w:r>
      <w:r w:rsidR="007113C2" w:rsidRPr="00212528">
        <w:rPr>
          <w:bCs/>
          <w:szCs w:val="24"/>
        </w:rPr>
        <w:t xml:space="preserve"> and taking into consideration the holiday period with practices having reduced staff</w:t>
      </w:r>
      <w:r w:rsidRPr="00212528">
        <w:rPr>
          <w:bCs/>
          <w:szCs w:val="24"/>
        </w:rPr>
        <w:t xml:space="preserve">, there is potential for </w:t>
      </w:r>
      <w:proofErr w:type="gramStart"/>
      <w:r w:rsidRPr="00212528">
        <w:rPr>
          <w:bCs/>
          <w:szCs w:val="24"/>
        </w:rPr>
        <w:t>high risk</w:t>
      </w:r>
      <w:proofErr w:type="gramEnd"/>
      <w:r w:rsidRPr="00212528">
        <w:rPr>
          <w:bCs/>
          <w:szCs w:val="24"/>
        </w:rPr>
        <w:t xml:space="preserve"> patient groups miss</w:t>
      </w:r>
      <w:r w:rsidR="007113C2" w:rsidRPr="00212528">
        <w:rPr>
          <w:bCs/>
          <w:szCs w:val="24"/>
        </w:rPr>
        <w:t>ing</w:t>
      </w:r>
      <w:r w:rsidRPr="00212528">
        <w:rPr>
          <w:bCs/>
          <w:szCs w:val="24"/>
        </w:rPr>
        <w:t xml:space="preserve"> out on accessing the COVID</w:t>
      </w:r>
      <w:r w:rsidRPr="00212528">
        <w:rPr>
          <w:bCs/>
          <w:szCs w:val="24"/>
        </w:rPr>
        <w:noBreakHyphen/>
        <w:t>19 antiviral therapy in a timely manner</w:t>
      </w:r>
      <w:r w:rsidR="007113C2" w:rsidRPr="00212528">
        <w:rPr>
          <w:bCs/>
          <w:szCs w:val="24"/>
        </w:rPr>
        <w:t>, if they are unable to confirm their diagnosis through a PCR test.</w:t>
      </w:r>
    </w:p>
    <w:p w14:paraId="69F7BDA5" w14:textId="77777777" w:rsidR="00F66D8D" w:rsidRPr="00212528" w:rsidRDefault="00F66D8D" w:rsidP="00F66D8D">
      <w:pPr>
        <w:ind w:right="-483"/>
        <w:rPr>
          <w:bCs/>
          <w:szCs w:val="24"/>
        </w:rPr>
      </w:pPr>
    </w:p>
    <w:p w14:paraId="5B690D57" w14:textId="249B46F8" w:rsidR="00B02B33" w:rsidRPr="00212528" w:rsidRDefault="00B02B33" w:rsidP="00B02B33">
      <w:pPr>
        <w:ind w:right="-483"/>
        <w:rPr>
          <w:bCs/>
          <w:szCs w:val="24"/>
        </w:rPr>
      </w:pPr>
      <w:r w:rsidRPr="00212528">
        <w:rPr>
          <w:bCs/>
          <w:szCs w:val="24"/>
        </w:rPr>
        <w:t xml:space="preserve">This exemption will allow patients who meet the </w:t>
      </w:r>
      <w:proofErr w:type="gramStart"/>
      <w:r w:rsidRPr="00212528">
        <w:rPr>
          <w:bCs/>
          <w:szCs w:val="24"/>
        </w:rPr>
        <w:t>high risk</w:t>
      </w:r>
      <w:proofErr w:type="gramEnd"/>
      <w:r w:rsidRPr="00212528">
        <w:rPr>
          <w:bCs/>
          <w:szCs w:val="24"/>
        </w:rPr>
        <w:t xml:space="preserve"> patient criteria to receive a telehealth consultation for the purpose of seeking a request for a Medical Benefits Schedule (MBS) PCR test. Where a treating practitioner considers a test for COVID-19 to be necessary for the clinical management of their patient, it should be explicitly stated in the request, including where testing for COVID-19 is requested alongside testing for other respiratory pathogens (e.g. “Respiratory virus PCR including COVID-19”). </w:t>
      </w:r>
    </w:p>
    <w:p w14:paraId="2BE89137" w14:textId="77777777" w:rsidR="00F66D8D" w:rsidRPr="00212528" w:rsidRDefault="00F66D8D" w:rsidP="00F66D8D">
      <w:pPr>
        <w:ind w:right="-483"/>
        <w:rPr>
          <w:bCs/>
          <w:szCs w:val="24"/>
        </w:rPr>
      </w:pPr>
    </w:p>
    <w:p w14:paraId="1417A487" w14:textId="77777777" w:rsidR="00F66D8D" w:rsidRPr="00212528" w:rsidRDefault="00F66D8D" w:rsidP="00F66D8D">
      <w:pPr>
        <w:ind w:right="-483"/>
        <w:rPr>
          <w:bCs/>
          <w:szCs w:val="24"/>
        </w:rPr>
      </w:pPr>
      <w:r w:rsidRPr="00212528">
        <w:rPr>
          <w:bCs/>
          <w:szCs w:val="24"/>
        </w:rPr>
        <w:t>The Amendment Determination will benefit people who are experiencing acute respiratory symptoms and:</w:t>
      </w:r>
    </w:p>
    <w:p w14:paraId="6A0F95B3" w14:textId="77777777" w:rsidR="00F66D8D" w:rsidRPr="00212528" w:rsidRDefault="00F66D8D" w:rsidP="00F66D8D">
      <w:pPr>
        <w:pStyle w:val="ListParagraph"/>
        <w:numPr>
          <w:ilvl w:val="0"/>
          <w:numId w:val="37"/>
        </w:numPr>
        <w:ind w:right="-483"/>
        <w:rPr>
          <w:bCs/>
          <w:szCs w:val="24"/>
        </w:rPr>
      </w:pPr>
      <w:r w:rsidRPr="00212528">
        <w:rPr>
          <w:bCs/>
          <w:szCs w:val="24"/>
        </w:rPr>
        <w:t>suspect they have COVID-19 but have not tested positive with a RAT;</w:t>
      </w:r>
    </w:p>
    <w:p w14:paraId="72EED8E1" w14:textId="77777777" w:rsidR="00F66D8D" w:rsidRPr="00212528" w:rsidRDefault="00F66D8D" w:rsidP="00F66D8D">
      <w:pPr>
        <w:pStyle w:val="ListParagraph"/>
        <w:numPr>
          <w:ilvl w:val="0"/>
          <w:numId w:val="37"/>
        </w:numPr>
        <w:ind w:right="-483"/>
        <w:rPr>
          <w:bCs/>
          <w:szCs w:val="24"/>
        </w:rPr>
      </w:pPr>
      <w:r w:rsidRPr="00212528">
        <w:rPr>
          <w:bCs/>
          <w:szCs w:val="24"/>
        </w:rPr>
        <w:t>are seeking a PCR test from a private pathologist (due to not being able to access a General Practitioner Respiratory clinic, for example) to confirm diagnosis;</w:t>
      </w:r>
    </w:p>
    <w:p w14:paraId="50031C4F" w14:textId="77777777" w:rsidR="00F66D8D" w:rsidRPr="00212528" w:rsidRDefault="00F66D8D" w:rsidP="00F66D8D">
      <w:pPr>
        <w:pStyle w:val="ListParagraph"/>
        <w:numPr>
          <w:ilvl w:val="0"/>
          <w:numId w:val="37"/>
        </w:numPr>
        <w:ind w:right="-483"/>
        <w:rPr>
          <w:bCs/>
          <w:szCs w:val="24"/>
        </w:rPr>
      </w:pPr>
      <w:r w:rsidRPr="00212528">
        <w:rPr>
          <w:bCs/>
          <w:szCs w:val="24"/>
        </w:rPr>
        <w:t>would be eligible for oral antiviral treatment should they test positive for COVID</w:t>
      </w:r>
      <w:r w:rsidRPr="00212528">
        <w:rPr>
          <w:bCs/>
          <w:szCs w:val="24"/>
        </w:rPr>
        <w:noBreakHyphen/>
        <w:t xml:space="preserve">19 as they are considered a </w:t>
      </w:r>
      <w:proofErr w:type="gramStart"/>
      <w:r w:rsidRPr="00212528">
        <w:rPr>
          <w:bCs/>
          <w:szCs w:val="24"/>
        </w:rPr>
        <w:t>high risk</w:t>
      </w:r>
      <w:proofErr w:type="gramEnd"/>
      <w:r w:rsidRPr="00212528">
        <w:rPr>
          <w:bCs/>
          <w:szCs w:val="24"/>
        </w:rPr>
        <w:t xml:space="preserve"> group; and</w:t>
      </w:r>
    </w:p>
    <w:p w14:paraId="2261E42F" w14:textId="77777777" w:rsidR="00F66D8D" w:rsidRPr="00212528" w:rsidRDefault="00F66D8D" w:rsidP="00F66D8D">
      <w:pPr>
        <w:pStyle w:val="ListParagraph"/>
        <w:numPr>
          <w:ilvl w:val="0"/>
          <w:numId w:val="37"/>
        </w:numPr>
        <w:ind w:right="-483"/>
        <w:rPr>
          <w:bCs/>
          <w:szCs w:val="24"/>
        </w:rPr>
      </w:pPr>
      <w:r w:rsidRPr="00212528">
        <w:rPr>
          <w:bCs/>
          <w:szCs w:val="24"/>
        </w:rPr>
        <w:t>are unable to make a timely appointment with their usual general practitioner.</w:t>
      </w:r>
    </w:p>
    <w:p w14:paraId="207B9E9E" w14:textId="77777777" w:rsidR="00F66D8D" w:rsidRPr="00212528" w:rsidRDefault="00F66D8D" w:rsidP="00F66D8D">
      <w:pPr>
        <w:ind w:right="-483"/>
        <w:rPr>
          <w:bCs/>
          <w:szCs w:val="24"/>
        </w:rPr>
      </w:pPr>
    </w:p>
    <w:p w14:paraId="4180C813" w14:textId="77777777" w:rsidR="00F66D8D" w:rsidRPr="00212528" w:rsidRDefault="00F66D8D" w:rsidP="00F66D8D">
      <w:pPr>
        <w:ind w:right="-483"/>
        <w:rPr>
          <w:bCs/>
          <w:szCs w:val="24"/>
        </w:rPr>
      </w:pPr>
      <w:r w:rsidRPr="00212528">
        <w:rPr>
          <w:bCs/>
          <w:szCs w:val="24"/>
        </w:rPr>
        <w:t>A person is considered a high risk of severe illness as a result of a COVID-19 infection if they are:</w:t>
      </w:r>
    </w:p>
    <w:p w14:paraId="04884EFB" w14:textId="77777777" w:rsidR="00F66D8D" w:rsidRPr="00212528" w:rsidRDefault="00F66D8D" w:rsidP="00F66D8D">
      <w:pPr>
        <w:pStyle w:val="ListParagraph"/>
        <w:numPr>
          <w:ilvl w:val="0"/>
          <w:numId w:val="38"/>
        </w:numPr>
        <w:ind w:right="-483"/>
        <w:rPr>
          <w:bCs/>
          <w:szCs w:val="24"/>
        </w:rPr>
      </w:pPr>
      <w:r w:rsidRPr="00212528">
        <w:rPr>
          <w:bCs/>
          <w:szCs w:val="24"/>
        </w:rPr>
        <w:t xml:space="preserve">70 years of age or older; </w:t>
      </w:r>
    </w:p>
    <w:p w14:paraId="7C4AB0FF" w14:textId="77777777" w:rsidR="00F66D8D" w:rsidRPr="00212528" w:rsidRDefault="00F66D8D" w:rsidP="00F66D8D">
      <w:pPr>
        <w:pStyle w:val="ListParagraph"/>
        <w:numPr>
          <w:ilvl w:val="0"/>
          <w:numId w:val="38"/>
        </w:numPr>
        <w:ind w:right="-483"/>
        <w:rPr>
          <w:bCs/>
          <w:szCs w:val="24"/>
        </w:rPr>
      </w:pPr>
      <w:r w:rsidRPr="00212528">
        <w:rPr>
          <w:bCs/>
          <w:szCs w:val="24"/>
        </w:rPr>
        <w:t xml:space="preserve">50 years of age or older with at least two additional risk factors; </w:t>
      </w:r>
    </w:p>
    <w:p w14:paraId="58752138" w14:textId="77777777" w:rsidR="00F66D8D" w:rsidRPr="00212528" w:rsidRDefault="00F66D8D" w:rsidP="00F66D8D">
      <w:pPr>
        <w:pStyle w:val="ListParagraph"/>
        <w:numPr>
          <w:ilvl w:val="0"/>
          <w:numId w:val="38"/>
        </w:numPr>
        <w:ind w:right="-483"/>
        <w:rPr>
          <w:bCs/>
          <w:szCs w:val="24"/>
        </w:rPr>
      </w:pPr>
      <w:r w:rsidRPr="00212528">
        <w:rPr>
          <w:bCs/>
          <w:szCs w:val="24"/>
        </w:rPr>
        <w:t xml:space="preserve">of First Nations descent, who is 30 years of age or older and with at least one additional risk factor; or </w:t>
      </w:r>
    </w:p>
    <w:p w14:paraId="2088417B" w14:textId="77777777" w:rsidR="00F66D8D" w:rsidRPr="00212528" w:rsidRDefault="00F66D8D" w:rsidP="00F66D8D">
      <w:pPr>
        <w:pStyle w:val="ListParagraph"/>
        <w:numPr>
          <w:ilvl w:val="0"/>
          <w:numId w:val="38"/>
        </w:numPr>
        <w:ind w:right="-483"/>
        <w:rPr>
          <w:bCs/>
          <w:szCs w:val="24"/>
        </w:rPr>
      </w:pPr>
      <w:r w:rsidRPr="00212528">
        <w:rPr>
          <w:bCs/>
          <w:szCs w:val="24"/>
        </w:rPr>
        <w:t xml:space="preserve">18 years of age or older and who is moderately to severely immunocompromised. </w:t>
      </w:r>
    </w:p>
    <w:p w14:paraId="3AFE74C1" w14:textId="3549347A" w:rsidR="00E0618D" w:rsidRPr="00212528" w:rsidRDefault="00E0618D" w:rsidP="00E0618D">
      <w:pPr>
        <w:ind w:right="-483"/>
        <w:rPr>
          <w:bCs/>
          <w:szCs w:val="24"/>
        </w:rPr>
      </w:pPr>
    </w:p>
    <w:p w14:paraId="17E75940" w14:textId="1FADBF3C" w:rsidR="00FC61E9" w:rsidRPr="00212528" w:rsidRDefault="004B7338" w:rsidP="00E0618D">
      <w:pPr>
        <w:ind w:right="-483"/>
        <w:rPr>
          <w:bCs/>
          <w:szCs w:val="24"/>
        </w:rPr>
      </w:pPr>
      <w:r w:rsidRPr="00212528">
        <w:rPr>
          <w:bCs/>
          <w:szCs w:val="24"/>
        </w:rPr>
        <w:t xml:space="preserve">The </w:t>
      </w:r>
      <w:r w:rsidR="00960AF1" w:rsidRPr="00212528">
        <w:rPr>
          <w:bCs/>
          <w:szCs w:val="24"/>
        </w:rPr>
        <w:t xml:space="preserve">Government </w:t>
      </w:r>
      <w:r w:rsidR="007113C2" w:rsidRPr="00212528">
        <w:rPr>
          <w:bCs/>
          <w:szCs w:val="24"/>
        </w:rPr>
        <w:t>agreed to these changes 22 December 2022.</w:t>
      </w:r>
      <w:r w:rsidRPr="00212528">
        <w:rPr>
          <w:bCs/>
          <w:szCs w:val="24"/>
        </w:rPr>
        <w:t xml:space="preserve"> </w:t>
      </w:r>
      <w:r w:rsidR="004439FB" w:rsidRPr="00212528">
        <w:rPr>
          <w:bCs/>
          <w:szCs w:val="24"/>
        </w:rPr>
        <w:t xml:space="preserve">The </w:t>
      </w:r>
      <w:r w:rsidR="00074CE1" w:rsidRPr="00212528">
        <w:rPr>
          <w:bCs/>
          <w:szCs w:val="24"/>
        </w:rPr>
        <w:t>Amendment Determination</w:t>
      </w:r>
      <w:r w:rsidR="004439FB" w:rsidRPr="00212528">
        <w:rPr>
          <w:bCs/>
          <w:szCs w:val="24"/>
        </w:rPr>
        <w:t xml:space="preserve"> will ensure people who are experiencing acute respiratory symptoms and are at a high risk of developing a severe illness as a result of a COVID-19 infection to access medical services when they need it most. </w:t>
      </w:r>
    </w:p>
    <w:p w14:paraId="19B1E5C6" w14:textId="58C894AD" w:rsidR="00FC61E9" w:rsidRPr="00212528" w:rsidRDefault="00FC61E9" w:rsidP="00E0618D">
      <w:pPr>
        <w:ind w:right="-483"/>
        <w:rPr>
          <w:bCs/>
          <w:szCs w:val="24"/>
        </w:rPr>
      </w:pPr>
    </w:p>
    <w:p w14:paraId="21FC9015" w14:textId="487C0B6B" w:rsidR="00FC61E9" w:rsidRPr="00212528" w:rsidRDefault="00FC61E9" w:rsidP="00E0618D">
      <w:pPr>
        <w:ind w:right="-483"/>
        <w:rPr>
          <w:bCs/>
          <w:i/>
          <w:iCs/>
          <w:szCs w:val="24"/>
        </w:rPr>
      </w:pPr>
      <w:r w:rsidRPr="00212528">
        <w:rPr>
          <w:bCs/>
          <w:i/>
          <w:iCs/>
          <w:szCs w:val="24"/>
        </w:rPr>
        <w:t xml:space="preserve">Examples of </w:t>
      </w:r>
      <w:r w:rsidR="00EC4A9F" w:rsidRPr="00212528">
        <w:rPr>
          <w:bCs/>
          <w:i/>
          <w:iCs/>
          <w:szCs w:val="24"/>
        </w:rPr>
        <w:t xml:space="preserve">Risk Factors and </w:t>
      </w:r>
      <w:r w:rsidRPr="00212528">
        <w:rPr>
          <w:bCs/>
          <w:i/>
          <w:iCs/>
          <w:szCs w:val="24"/>
        </w:rPr>
        <w:t xml:space="preserve">Conditions for UMP Rule Exemption </w:t>
      </w:r>
    </w:p>
    <w:p w14:paraId="37CC4E30" w14:textId="77777777" w:rsidR="00E43ED0" w:rsidRPr="00212528" w:rsidRDefault="00E43ED0" w:rsidP="00E0618D">
      <w:pPr>
        <w:ind w:right="-483"/>
        <w:rPr>
          <w:bCs/>
          <w:szCs w:val="24"/>
        </w:rPr>
      </w:pPr>
    </w:p>
    <w:p w14:paraId="6371052F" w14:textId="2CDD106F" w:rsidR="00E0618D" w:rsidRPr="00212528" w:rsidRDefault="00E0618D" w:rsidP="00E0618D">
      <w:pPr>
        <w:ind w:right="-483"/>
        <w:rPr>
          <w:bCs/>
          <w:szCs w:val="24"/>
        </w:rPr>
      </w:pPr>
      <w:r w:rsidRPr="00212528">
        <w:rPr>
          <w:bCs/>
          <w:szCs w:val="24"/>
        </w:rPr>
        <w:t>Risk factors for people over 70, 50 or 30 years of age can include:</w:t>
      </w:r>
    </w:p>
    <w:p w14:paraId="08C2D035" w14:textId="3CB45A13" w:rsidR="00E0618D" w:rsidRPr="00212528" w:rsidRDefault="00E0618D" w:rsidP="00E0618D">
      <w:pPr>
        <w:numPr>
          <w:ilvl w:val="0"/>
          <w:numId w:val="34"/>
        </w:numPr>
        <w:ind w:right="-483"/>
        <w:rPr>
          <w:bCs/>
          <w:szCs w:val="24"/>
        </w:rPr>
      </w:pPr>
      <w:r w:rsidRPr="00212528">
        <w:rPr>
          <w:bCs/>
          <w:szCs w:val="24"/>
        </w:rPr>
        <w:t>living in residential aged care;</w:t>
      </w:r>
    </w:p>
    <w:p w14:paraId="34BA37E1" w14:textId="62C50DEE" w:rsidR="00E0618D" w:rsidRPr="00212528" w:rsidRDefault="00E0618D" w:rsidP="00E0618D">
      <w:pPr>
        <w:numPr>
          <w:ilvl w:val="0"/>
          <w:numId w:val="34"/>
        </w:numPr>
        <w:ind w:right="-483"/>
        <w:rPr>
          <w:bCs/>
          <w:szCs w:val="24"/>
        </w:rPr>
      </w:pPr>
      <w:r w:rsidRPr="00212528">
        <w:rPr>
          <w:bCs/>
          <w:szCs w:val="24"/>
        </w:rPr>
        <w:t>living with disability with multiple conditions and/or frailty (but not limited to living in supported accommodation);</w:t>
      </w:r>
    </w:p>
    <w:p w14:paraId="66FE81AC" w14:textId="7A13C04C" w:rsidR="00E0618D" w:rsidRPr="00212528" w:rsidRDefault="00E0618D" w:rsidP="00E0618D">
      <w:pPr>
        <w:numPr>
          <w:ilvl w:val="0"/>
          <w:numId w:val="34"/>
        </w:numPr>
        <w:ind w:right="-483"/>
        <w:rPr>
          <w:bCs/>
          <w:szCs w:val="24"/>
        </w:rPr>
      </w:pPr>
      <w:r w:rsidRPr="00212528">
        <w:rPr>
          <w:bCs/>
          <w:szCs w:val="24"/>
        </w:rPr>
        <w:t>neurological conditions like stroke or dementia and demyelinating conditions e.g. multiple sclerosis, Guillain-Barre Syndrome;</w:t>
      </w:r>
    </w:p>
    <w:p w14:paraId="4CC19E41" w14:textId="1349321A" w:rsidR="00E0618D" w:rsidRPr="00212528" w:rsidRDefault="00E0618D" w:rsidP="00E0618D">
      <w:pPr>
        <w:numPr>
          <w:ilvl w:val="0"/>
          <w:numId w:val="34"/>
        </w:numPr>
        <w:ind w:right="-483"/>
        <w:rPr>
          <w:bCs/>
          <w:szCs w:val="24"/>
        </w:rPr>
      </w:pPr>
      <w:r w:rsidRPr="00212528">
        <w:rPr>
          <w:bCs/>
          <w:szCs w:val="24"/>
        </w:rPr>
        <w:t>chronic respiratory conditions including COPD, moderate or severe asthma;</w:t>
      </w:r>
    </w:p>
    <w:p w14:paraId="3AE10206" w14:textId="4C13163E" w:rsidR="00E0618D" w:rsidRPr="00212528" w:rsidRDefault="00E0618D" w:rsidP="00E0618D">
      <w:pPr>
        <w:numPr>
          <w:ilvl w:val="0"/>
          <w:numId w:val="34"/>
        </w:numPr>
        <w:ind w:right="-483"/>
        <w:rPr>
          <w:bCs/>
          <w:szCs w:val="24"/>
        </w:rPr>
      </w:pPr>
      <w:r w:rsidRPr="00212528">
        <w:rPr>
          <w:bCs/>
          <w:szCs w:val="24"/>
        </w:rPr>
        <w:t>obesity or diabetes (type I or II requiring medication);</w:t>
      </w:r>
    </w:p>
    <w:p w14:paraId="651774EC" w14:textId="76BD026D" w:rsidR="00E0618D" w:rsidRPr="00212528" w:rsidRDefault="00E0618D" w:rsidP="00E0618D">
      <w:pPr>
        <w:numPr>
          <w:ilvl w:val="0"/>
          <w:numId w:val="34"/>
        </w:numPr>
        <w:ind w:right="-483"/>
        <w:rPr>
          <w:bCs/>
          <w:szCs w:val="24"/>
        </w:rPr>
      </w:pPr>
      <w:r w:rsidRPr="00212528">
        <w:rPr>
          <w:bCs/>
          <w:szCs w:val="24"/>
        </w:rPr>
        <w:t>heart failure, coronary artery disease, cardiomyopathies;</w:t>
      </w:r>
    </w:p>
    <w:p w14:paraId="4FED6C48" w14:textId="3D4AB98C" w:rsidR="00E0618D" w:rsidRPr="00212528" w:rsidRDefault="00E0618D" w:rsidP="00E0618D">
      <w:pPr>
        <w:numPr>
          <w:ilvl w:val="0"/>
          <w:numId w:val="34"/>
        </w:numPr>
        <w:ind w:right="-483"/>
        <w:rPr>
          <w:bCs/>
          <w:szCs w:val="24"/>
        </w:rPr>
      </w:pPr>
      <w:r w:rsidRPr="00212528">
        <w:rPr>
          <w:bCs/>
          <w:szCs w:val="24"/>
        </w:rPr>
        <w:t>kidney failure or cirrhosis; and/or</w:t>
      </w:r>
    </w:p>
    <w:p w14:paraId="625FEB3C" w14:textId="77777777" w:rsidR="00E0618D" w:rsidRPr="00212528" w:rsidRDefault="00E0618D" w:rsidP="00E0618D">
      <w:pPr>
        <w:numPr>
          <w:ilvl w:val="0"/>
          <w:numId w:val="34"/>
        </w:numPr>
        <w:ind w:right="-483"/>
        <w:rPr>
          <w:bCs/>
          <w:szCs w:val="24"/>
        </w:rPr>
      </w:pPr>
      <w:r w:rsidRPr="00212528">
        <w:rPr>
          <w:bCs/>
          <w:szCs w:val="24"/>
        </w:rPr>
        <w:t>living remotely with reduced access to higher level healthcare.</w:t>
      </w:r>
    </w:p>
    <w:p w14:paraId="2E97A003" w14:textId="6DF052FB" w:rsidR="00E0618D" w:rsidRPr="00212528" w:rsidRDefault="00E0618D" w:rsidP="00E0618D">
      <w:pPr>
        <w:ind w:right="-483"/>
        <w:rPr>
          <w:bCs/>
          <w:szCs w:val="24"/>
        </w:rPr>
      </w:pPr>
    </w:p>
    <w:p w14:paraId="37AC5D59" w14:textId="014E58F8" w:rsidR="00E0618D" w:rsidRPr="00212528" w:rsidRDefault="00E0618D" w:rsidP="00E0618D">
      <w:pPr>
        <w:ind w:right="-483"/>
        <w:rPr>
          <w:bCs/>
          <w:szCs w:val="24"/>
        </w:rPr>
      </w:pPr>
      <w:r w:rsidRPr="00212528">
        <w:rPr>
          <w:bCs/>
          <w:szCs w:val="24"/>
        </w:rPr>
        <w:t>Conditions for people 18 years of age or older who are moderately to severely immunocompromised include:</w:t>
      </w:r>
    </w:p>
    <w:p w14:paraId="3E7EA928" w14:textId="12DB8C84" w:rsidR="00FC61E9" w:rsidRPr="00212528" w:rsidRDefault="00FC61E9" w:rsidP="00FC61E9">
      <w:pPr>
        <w:numPr>
          <w:ilvl w:val="0"/>
          <w:numId w:val="36"/>
        </w:numPr>
        <w:ind w:right="-483"/>
        <w:rPr>
          <w:bCs/>
          <w:szCs w:val="24"/>
        </w:rPr>
      </w:pPr>
      <w:r w:rsidRPr="00212528">
        <w:rPr>
          <w:bCs/>
          <w:szCs w:val="24"/>
        </w:rPr>
        <w:t>blood cancer or some red blood cell disorders (thalassemia, sickle cell disease);</w:t>
      </w:r>
    </w:p>
    <w:p w14:paraId="1C2C3548" w14:textId="0BAA5004" w:rsidR="00FC61E9" w:rsidRPr="00212528" w:rsidRDefault="00FC61E9" w:rsidP="00FC61E9">
      <w:pPr>
        <w:numPr>
          <w:ilvl w:val="0"/>
          <w:numId w:val="36"/>
        </w:numPr>
        <w:ind w:right="-483"/>
        <w:rPr>
          <w:bCs/>
          <w:szCs w:val="24"/>
        </w:rPr>
      </w:pPr>
      <w:r w:rsidRPr="00212528">
        <w:rPr>
          <w:bCs/>
          <w:szCs w:val="24"/>
        </w:rPr>
        <w:t>transplant recipient;</w:t>
      </w:r>
    </w:p>
    <w:p w14:paraId="6704C526" w14:textId="1FCC5570" w:rsidR="00FC61E9" w:rsidRPr="00212528" w:rsidRDefault="00FC61E9" w:rsidP="00FC61E9">
      <w:pPr>
        <w:numPr>
          <w:ilvl w:val="0"/>
          <w:numId w:val="36"/>
        </w:numPr>
        <w:ind w:right="-483"/>
        <w:rPr>
          <w:bCs/>
          <w:szCs w:val="24"/>
        </w:rPr>
      </w:pPr>
      <w:r w:rsidRPr="00212528">
        <w:rPr>
          <w:bCs/>
          <w:szCs w:val="24"/>
        </w:rPr>
        <w:t>primary or acquired (HIV) immunodeficiency;</w:t>
      </w:r>
    </w:p>
    <w:p w14:paraId="3D0C3346" w14:textId="7CF67510" w:rsidR="00FC61E9" w:rsidRPr="00212528" w:rsidRDefault="00FC61E9" w:rsidP="00FC61E9">
      <w:pPr>
        <w:numPr>
          <w:ilvl w:val="0"/>
          <w:numId w:val="36"/>
        </w:numPr>
        <w:ind w:right="-483"/>
        <w:rPr>
          <w:bCs/>
          <w:szCs w:val="24"/>
        </w:rPr>
      </w:pPr>
      <w:r w:rsidRPr="00212528">
        <w:rPr>
          <w:bCs/>
          <w:szCs w:val="24"/>
        </w:rPr>
        <w:t>chemotherapy or whole-body radiotherapy in the last 3 months;</w:t>
      </w:r>
    </w:p>
    <w:p w14:paraId="1817D08F" w14:textId="15F5DCAD" w:rsidR="00FC61E9" w:rsidRPr="00212528" w:rsidRDefault="00FC61E9" w:rsidP="00FC61E9">
      <w:pPr>
        <w:numPr>
          <w:ilvl w:val="0"/>
          <w:numId w:val="36"/>
        </w:numPr>
        <w:ind w:right="-483"/>
        <w:rPr>
          <w:bCs/>
          <w:szCs w:val="24"/>
        </w:rPr>
      </w:pPr>
      <w:r w:rsidRPr="00212528">
        <w:rPr>
          <w:bCs/>
          <w:szCs w:val="24"/>
        </w:rPr>
        <w:t>high dose corticosteroids or pulse corticosteroid therapy in the last 3 months;</w:t>
      </w:r>
    </w:p>
    <w:p w14:paraId="64A8C667" w14:textId="141FA80D" w:rsidR="00FC61E9" w:rsidRPr="00212528" w:rsidRDefault="00FC61E9" w:rsidP="00FC61E9">
      <w:pPr>
        <w:numPr>
          <w:ilvl w:val="0"/>
          <w:numId w:val="36"/>
        </w:numPr>
        <w:ind w:right="-483"/>
        <w:rPr>
          <w:bCs/>
          <w:szCs w:val="24"/>
        </w:rPr>
      </w:pPr>
      <w:r w:rsidRPr="00212528">
        <w:rPr>
          <w:bCs/>
          <w:szCs w:val="24"/>
        </w:rPr>
        <w:t>immunosuppressive treatments in the last 3 months;</w:t>
      </w:r>
    </w:p>
    <w:p w14:paraId="39D0500F" w14:textId="1D7EADFA" w:rsidR="00FC61E9" w:rsidRPr="00212528" w:rsidRDefault="00FC61E9" w:rsidP="00FC61E9">
      <w:pPr>
        <w:numPr>
          <w:ilvl w:val="0"/>
          <w:numId w:val="36"/>
        </w:numPr>
        <w:ind w:right="-483"/>
        <w:rPr>
          <w:bCs/>
          <w:szCs w:val="24"/>
        </w:rPr>
      </w:pPr>
      <w:r w:rsidRPr="00212528">
        <w:rPr>
          <w:bCs/>
          <w:szCs w:val="24"/>
        </w:rPr>
        <w:t>rituximab in the last 12 months;</w:t>
      </w:r>
    </w:p>
    <w:p w14:paraId="079C25D8" w14:textId="1FE50C97" w:rsidR="00FC61E9" w:rsidRPr="00212528" w:rsidRDefault="00FC61E9" w:rsidP="00FC61E9">
      <w:pPr>
        <w:numPr>
          <w:ilvl w:val="0"/>
          <w:numId w:val="36"/>
        </w:numPr>
        <w:ind w:right="-483"/>
        <w:rPr>
          <w:bCs/>
          <w:szCs w:val="24"/>
        </w:rPr>
      </w:pPr>
      <w:r w:rsidRPr="00212528">
        <w:rPr>
          <w:bCs/>
          <w:szCs w:val="24"/>
        </w:rPr>
        <w:t>cerebral palsy or Down Syndrome;</w:t>
      </w:r>
    </w:p>
    <w:p w14:paraId="0C649382" w14:textId="5E454627" w:rsidR="00FC61E9" w:rsidRPr="00212528" w:rsidRDefault="00FC61E9" w:rsidP="00FC61E9">
      <w:pPr>
        <w:numPr>
          <w:ilvl w:val="0"/>
          <w:numId w:val="36"/>
        </w:numPr>
        <w:ind w:right="-483"/>
        <w:rPr>
          <w:bCs/>
          <w:szCs w:val="24"/>
        </w:rPr>
      </w:pPr>
      <w:r w:rsidRPr="00212528">
        <w:rPr>
          <w:bCs/>
          <w:szCs w:val="24"/>
        </w:rPr>
        <w:t>congenital heart disease; and/or</w:t>
      </w:r>
    </w:p>
    <w:p w14:paraId="06477197" w14:textId="65A19DFC" w:rsidR="007708B3" w:rsidRPr="00212528" w:rsidRDefault="00FC61E9" w:rsidP="00EC4A9F">
      <w:pPr>
        <w:numPr>
          <w:ilvl w:val="0"/>
          <w:numId w:val="36"/>
        </w:numPr>
        <w:ind w:right="-483"/>
        <w:rPr>
          <w:bCs/>
          <w:szCs w:val="24"/>
        </w:rPr>
      </w:pPr>
      <w:r w:rsidRPr="00212528">
        <w:rPr>
          <w:bCs/>
          <w:szCs w:val="24"/>
        </w:rPr>
        <w:t>living with disability with multiple conditions and/or frailty.</w:t>
      </w:r>
    </w:p>
    <w:p w14:paraId="2412D131" w14:textId="27EF2D7D" w:rsidR="001865F8" w:rsidRPr="00212528" w:rsidRDefault="00A1739A" w:rsidP="00D46EB9">
      <w:pPr>
        <w:shd w:val="clear" w:color="auto" w:fill="FFFFFF"/>
        <w:spacing w:before="100" w:beforeAutospacing="1"/>
        <w:rPr>
          <w:rFonts w:ascii="Helvetica Neue" w:hAnsi="Helvetica Neue"/>
          <w:szCs w:val="24"/>
          <w:lang w:val="en-US"/>
        </w:rPr>
      </w:pPr>
      <w:r w:rsidRPr="00212528">
        <w:rPr>
          <w:b/>
        </w:rPr>
        <w:t>Consultation</w:t>
      </w:r>
    </w:p>
    <w:p w14:paraId="2D84476C" w14:textId="2ABD27A3" w:rsidR="004B7338" w:rsidRPr="00212528" w:rsidRDefault="003D44C8" w:rsidP="002806A1">
      <w:pPr>
        <w:shd w:val="clear" w:color="auto" w:fill="FFFFFF"/>
        <w:rPr>
          <w:szCs w:val="24"/>
        </w:rPr>
      </w:pPr>
      <w:r w:rsidRPr="00212528">
        <w:rPr>
          <w:szCs w:val="24"/>
        </w:rPr>
        <w:lastRenderedPageBreak/>
        <w:t xml:space="preserve">No consultation was undertaken on these changes as they are intended to provide access to </w:t>
      </w:r>
      <w:proofErr w:type="gramStart"/>
      <w:r w:rsidRPr="00212528">
        <w:rPr>
          <w:szCs w:val="24"/>
        </w:rPr>
        <w:t>high risk</w:t>
      </w:r>
      <w:proofErr w:type="gramEnd"/>
      <w:r w:rsidRPr="00212528">
        <w:rPr>
          <w:szCs w:val="24"/>
        </w:rPr>
        <w:t xml:space="preserve"> patient groups as soon as they begin to experience symptoms of COVID</w:t>
      </w:r>
      <w:r w:rsidRPr="00212528">
        <w:rPr>
          <w:szCs w:val="24"/>
        </w:rPr>
        <w:noBreakHyphen/>
        <w:t xml:space="preserve">19. As the changes made in the Amendment </w:t>
      </w:r>
      <w:r w:rsidR="00E43ED0" w:rsidRPr="00212528">
        <w:rPr>
          <w:szCs w:val="24"/>
        </w:rPr>
        <w:t>D</w:t>
      </w:r>
      <w:r w:rsidRPr="00212528">
        <w:rPr>
          <w:szCs w:val="24"/>
        </w:rPr>
        <w:t>etermination address a patient access gap, it was not practicable to conduct a consultation process with all affected stakeholders.</w:t>
      </w:r>
    </w:p>
    <w:p w14:paraId="02264A85" w14:textId="77777777" w:rsidR="007708B3" w:rsidRPr="00212528" w:rsidRDefault="007708B3" w:rsidP="002806A1">
      <w:pPr>
        <w:shd w:val="clear" w:color="auto" w:fill="FFFFFF"/>
        <w:rPr>
          <w:szCs w:val="24"/>
        </w:rPr>
      </w:pPr>
    </w:p>
    <w:p w14:paraId="2412D134" w14:textId="77777777" w:rsidR="00967E51" w:rsidRPr="00212528" w:rsidRDefault="00A1739A" w:rsidP="000337CB">
      <w:pPr>
        <w:rPr>
          <w:szCs w:val="24"/>
        </w:rPr>
      </w:pPr>
      <w:r w:rsidRPr="00212528">
        <w:rPr>
          <w:szCs w:val="24"/>
        </w:rPr>
        <w:t xml:space="preserve">Details of the </w:t>
      </w:r>
      <w:r w:rsidR="00574E71" w:rsidRPr="00212528">
        <w:rPr>
          <w:szCs w:val="24"/>
        </w:rPr>
        <w:t>Determination</w:t>
      </w:r>
      <w:r w:rsidRPr="00212528">
        <w:rPr>
          <w:szCs w:val="24"/>
        </w:rPr>
        <w:t xml:space="preserve"> are set out in the </w:t>
      </w:r>
      <w:r w:rsidRPr="00212528">
        <w:rPr>
          <w:szCs w:val="24"/>
          <w:u w:val="single"/>
        </w:rPr>
        <w:t>Attachment</w:t>
      </w:r>
      <w:r w:rsidRPr="00212528">
        <w:rPr>
          <w:szCs w:val="24"/>
        </w:rPr>
        <w:t>.</w:t>
      </w:r>
    </w:p>
    <w:p w14:paraId="2412D135" w14:textId="7CC9AAA5" w:rsidR="006C138D" w:rsidRPr="00212528" w:rsidRDefault="00297AD0" w:rsidP="006C138D">
      <w:pPr>
        <w:tabs>
          <w:tab w:val="left" w:pos="567"/>
        </w:tabs>
        <w:spacing w:before="240"/>
        <w:rPr>
          <w:szCs w:val="24"/>
        </w:rPr>
      </w:pPr>
      <w:r w:rsidRPr="00212528">
        <w:rPr>
          <w:szCs w:val="24"/>
        </w:rPr>
        <w:t xml:space="preserve">The </w:t>
      </w:r>
      <w:r w:rsidR="00967E51" w:rsidRPr="00212528">
        <w:rPr>
          <w:szCs w:val="24"/>
        </w:rPr>
        <w:t>Determination</w:t>
      </w:r>
      <w:r w:rsidRPr="00212528">
        <w:rPr>
          <w:szCs w:val="24"/>
        </w:rPr>
        <w:t xml:space="preserve"> </w:t>
      </w:r>
      <w:r w:rsidR="007524B0" w:rsidRPr="00212528">
        <w:rPr>
          <w:szCs w:val="24"/>
        </w:rPr>
        <w:t xml:space="preserve">commences </w:t>
      </w:r>
      <w:r w:rsidR="00C63FDC" w:rsidRPr="00212528">
        <w:rPr>
          <w:szCs w:val="24"/>
        </w:rPr>
        <w:t xml:space="preserve">on </w:t>
      </w:r>
      <w:r w:rsidR="00CC3479" w:rsidRPr="00212528">
        <w:rPr>
          <w:szCs w:val="24"/>
        </w:rPr>
        <w:t>the day after registration</w:t>
      </w:r>
      <w:r w:rsidR="00697ED2" w:rsidRPr="00212528">
        <w:rPr>
          <w:szCs w:val="24"/>
        </w:rPr>
        <w:t>.</w:t>
      </w:r>
    </w:p>
    <w:p w14:paraId="2412D136" w14:textId="77777777" w:rsidR="00236DF2" w:rsidRPr="00212528" w:rsidRDefault="00236DF2" w:rsidP="00574E71">
      <w:pPr>
        <w:rPr>
          <w:szCs w:val="24"/>
        </w:rPr>
      </w:pPr>
    </w:p>
    <w:p w14:paraId="2412D138" w14:textId="65B73875" w:rsidR="00574E71" w:rsidRPr="00212528" w:rsidRDefault="0002728B" w:rsidP="00DE07E4">
      <w:pPr>
        <w:spacing w:after="200" w:line="276" w:lineRule="auto"/>
        <w:rPr>
          <w:szCs w:val="24"/>
        </w:rPr>
      </w:pPr>
      <w:r w:rsidRPr="00212528">
        <w:rPr>
          <w:szCs w:val="24"/>
        </w:rPr>
        <w:t>T</w:t>
      </w:r>
      <w:r w:rsidR="00574E71" w:rsidRPr="00212528">
        <w:rPr>
          <w:szCs w:val="24"/>
        </w:rPr>
        <w:t xml:space="preserve">he Determination is </w:t>
      </w:r>
      <w:r w:rsidR="004417A2" w:rsidRPr="00212528">
        <w:rPr>
          <w:szCs w:val="24"/>
        </w:rPr>
        <w:t xml:space="preserve">a </w:t>
      </w:r>
      <w:r w:rsidR="00574E71" w:rsidRPr="00212528">
        <w:rPr>
          <w:szCs w:val="24"/>
        </w:rPr>
        <w:t xml:space="preserve">legislative instrument for the purposes of the </w:t>
      </w:r>
      <w:r w:rsidR="00574E71" w:rsidRPr="00212528">
        <w:rPr>
          <w:i/>
        </w:rPr>
        <w:t>Legislation Act 2003</w:t>
      </w:r>
      <w:r w:rsidR="00574E71" w:rsidRPr="00212528">
        <w:rPr>
          <w:szCs w:val="24"/>
        </w:rPr>
        <w:t>.</w:t>
      </w:r>
    </w:p>
    <w:p w14:paraId="2412D139" w14:textId="77777777" w:rsidR="00A1739A" w:rsidRPr="00212528" w:rsidRDefault="00A1739A" w:rsidP="000337CB">
      <w:pPr>
        <w:ind w:left="6663" w:hanging="3119"/>
        <w:rPr>
          <w:szCs w:val="24"/>
        </w:rPr>
      </w:pPr>
      <w:r w:rsidRPr="00212528">
        <w:rPr>
          <w:szCs w:val="24"/>
        </w:rPr>
        <w:t xml:space="preserve">           </w:t>
      </w:r>
    </w:p>
    <w:p w14:paraId="2412D13A" w14:textId="77777777" w:rsidR="00A1739A" w:rsidRPr="00212528" w:rsidRDefault="00A1739A" w:rsidP="000337CB">
      <w:pPr>
        <w:ind w:left="6663" w:hanging="3119"/>
        <w:rPr>
          <w:szCs w:val="24"/>
        </w:rPr>
      </w:pPr>
      <w:r w:rsidRPr="00212528">
        <w:rPr>
          <w:szCs w:val="24"/>
          <w:u w:val="single"/>
        </w:rPr>
        <w:t>Authority</w:t>
      </w:r>
      <w:r w:rsidR="00967E51" w:rsidRPr="00212528">
        <w:rPr>
          <w:szCs w:val="24"/>
        </w:rPr>
        <w:t xml:space="preserve">:     Subsection </w:t>
      </w:r>
      <w:r w:rsidRPr="00212528">
        <w:rPr>
          <w:szCs w:val="24"/>
        </w:rPr>
        <w:t>3</w:t>
      </w:r>
      <w:r w:rsidR="00967E51" w:rsidRPr="00212528">
        <w:rPr>
          <w:szCs w:val="24"/>
        </w:rPr>
        <w:t>C</w:t>
      </w:r>
      <w:r w:rsidRPr="00212528">
        <w:rPr>
          <w:szCs w:val="24"/>
        </w:rPr>
        <w:t xml:space="preserve">(1) of the </w:t>
      </w:r>
    </w:p>
    <w:p w14:paraId="2412D13B" w14:textId="0596CD30" w:rsidR="00A1739A" w:rsidRPr="00212528" w:rsidRDefault="00A1739A" w:rsidP="000337CB">
      <w:pPr>
        <w:tabs>
          <w:tab w:val="left" w:pos="4820"/>
        </w:tabs>
        <w:rPr>
          <w:szCs w:val="24"/>
        </w:rPr>
        <w:sectPr w:rsidR="00A1739A" w:rsidRPr="00212528" w:rsidSect="00235B6C">
          <w:headerReference w:type="default" r:id="rId11"/>
          <w:pgSz w:w="11906" w:h="16838"/>
          <w:pgMar w:top="1440" w:right="1800" w:bottom="1135" w:left="1800" w:header="708" w:footer="708" w:gutter="0"/>
          <w:pgNumType w:start="1"/>
          <w:cols w:space="708"/>
          <w:docGrid w:linePitch="360"/>
        </w:sectPr>
      </w:pPr>
      <w:r w:rsidRPr="00212528">
        <w:rPr>
          <w:i/>
          <w:szCs w:val="24"/>
        </w:rPr>
        <w:tab/>
        <w:t>Health Insurance Act 1973</w:t>
      </w:r>
    </w:p>
    <w:p w14:paraId="2412D13D" w14:textId="77777777" w:rsidR="006D5816" w:rsidRPr="00212528" w:rsidRDefault="006D5816" w:rsidP="000337CB">
      <w:pPr>
        <w:pStyle w:val="BodyText"/>
        <w:jc w:val="right"/>
        <w:rPr>
          <w:szCs w:val="24"/>
        </w:rPr>
      </w:pPr>
      <w:r w:rsidRPr="00212528">
        <w:rPr>
          <w:szCs w:val="24"/>
        </w:rPr>
        <w:lastRenderedPageBreak/>
        <w:t>ATTACHMENT</w:t>
      </w:r>
    </w:p>
    <w:p w14:paraId="2412D13E" w14:textId="77777777" w:rsidR="006D5816" w:rsidRPr="00212528" w:rsidRDefault="006D5816" w:rsidP="000337CB">
      <w:pPr>
        <w:pStyle w:val="BodyText"/>
        <w:rPr>
          <w:szCs w:val="24"/>
          <w:u w:val="single"/>
        </w:rPr>
      </w:pPr>
    </w:p>
    <w:p w14:paraId="5B0C808A" w14:textId="5CF937A1" w:rsidR="00215191" w:rsidRPr="00212528" w:rsidRDefault="00A41364" w:rsidP="00186752">
      <w:pPr>
        <w:pStyle w:val="BodyText"/>
        <w:rPr>
          <w:i/>
          <w:iCs/>
        </w:rPr>
      </w:pPr>
      <w:r w:rsidRPr="00212528">
        <w:rPr>
          <w:szCs w:val="24"/>
        </w:rPr>
        <w:t xml:space="preserve">Details of the </w:t>
      </w:r>
      <w:r w:rsidR="00FC61E9" w:rsidRPr="00212528">
        <w:rPr>
          <w:bCs/>
          <w:i/>
          <w:iCs/>
        </w:rPr>
        <w:t>Health Insurance (Section 3C General Medical Services – Telehealth and Telephone Attendances) Amendment (High Risk Groups) Determination 2022</w:t>
      </w:r>
    </w:p>
    <w:p w14:paraId="7BBEB147" w14:textId="720F9678" w:rsidR="00E70355" w:rsidRPr="00212528" w:rsidRDefault="00E70355" w:rsidP="000337CB">
      <w:pPr>
        <w:pStyle w:val="BodyText"/>
        <w:rPr>
          <w:b w:val="0"/>
          <w:i/>
          <w:szCs w:val="24"/>
        </w:rPr>
      </w:pPr>
    </w:p>
    <w:p w14:paraId="2412D141" w14:textId="7C34D5F4" w:rsidR="00FE02C2" w:rsidRPr="00212528" w:rsidRDefault="001B0111" w:rsidP="000337CB">
      <w:pPr>
        <w:pStyle w:val="BodyText"/>
        <w:rPr>
          <w:b w:val="0"/>
          <w:szCs w:val="24"/>
          <w:u w:val="single"/>
        </w:rPr>
      </w:pPr>
      <w:r w:rsidRPr="00212528">
        <w:rPr>
          <w:b w:val="0"/>
          <w:szCs w:val="24"/>
          <w:u w:val="single"/>
        </w:rPr>
        <w:t>Section 1 – Name</w:t>
      </w:r>
    </w:p>
    <w:p w14:paraId="2412D142" w14:textId="77777777" w:rsidR="00FE02C2" w:rsidRPr="00212528" w:rsidRDefault="00FE02C2" w:rsidP="000337CB">
      <w:pPr>
        <w:pStyle w:val="BodyText"/>
        <w:rPr>
          <w:b w:val="0"/>
          <w:szCs w:val="24"/>
          <w:u w:val="single"/>
        </w:rPr>
      </w:pPr>
    </w:p>
    <w:p w14:paraId="2412D144" w14:textId="419E8962" w:rsidR="00F83B6F" w:rsidRPr="00212528" w:rsidRDefault="00BC7397" w:rsidP="00C67BC7">
      <w:pPr>
        <w:pStyle w:val="BodyText"/>
        <w:rPr>
          <w:i/>
          <w:iCs/>
        </w:rPr>
      </w:pPr>
      <w:r w:rsidRPr="00212528">
        <w:rPr>
          <w:b w:val="0"/>
          <w:szCs w:val="24"/>
        </w:rPr>
        <w:t>S</w:t>
      </w:r>
      <w:r w:rsidR="00FE02C2" w:rsidRPr="00212528">
        <w:rPr>
          <w:b w:val="0"/>
          <w:szCs w:val="24"/>
        </w:rPr>
        <w:t xml:space="preserve">ection </w:t>
      </w:r>
      <w:r w:rsidRPr="00212528">
        <w:rPr>
          <w:b w:val="0"/>
          <w:szCs w:val="24"/>
        </w:rPr>
        <w:t xml:space="preserve">1 </w:t>
      </w:r>
      <w:r w:rsidR="00FE02C2" w:rsidRPr="00212528">
        <w:rPr>
          <w:b w:val="0"/>
          <w:szCs w:val="24"/>
        </w:rPr>
        <w:t>provides</w:t>
      </w:r>
      <w:r w:rsidR="008B683E" w:rsidRPr="00212528">
        <w:rPr>
          <w:b w:val="0"/>
          <w:szCs w:val="24"/>
        </w:rPr>
        <w:t xml:space="preserve"> for the </w:t>
      </w:r>
      <w:r w:rsidR="008B2094" w:rsidRPr="00212528">
        <w:rPr>
          <w:b w:val="0"/>
          <w:szCs w:val="24"/>
        </w:rPr>
        <w:t>Determination</w:t>
      </w:r>
      <w:r w:rsidR="00FE02C2" w:rsidRPr="00212528">
        <w:rPr>
          <w:b w:val="0"/>
          <w:szCs w:val="24"/>
        </w:rPr>
        <w:t xml:space="preserve"> to be referred to as the </w:t>
      </w:r>
      <w:r w:rsidR="00FC61E9" w:rsidRPr="00212528">
        <w:rPr>
          <w:b w:val="0"/>
          <w:i/>
          <w:iCs/>
        </w:rPr>
        <w:t>Health Insurance (Section 3C General Medical Services – Telehealth and Telephone Attendances) Amendment (High Risk Groups) Determination 2022.</w:t>
      </w:r>
    </w:p>
    <w:p w14:paraId="68DAA207" w14:textId="77777777" w:rsidR="00FD602D" w:rsidRPr="00212528" w:rsidRDefault="00FD602D" w:rsidP="00FD602D"/>
    <w:p w14:paraId="49D1E050" w14:textId="77777777" w:rsidR="007A4089" w:rsidRPr="00212528" w:rsidRDefault="00FE02C2" w:rsidP="000337CB">
      <w:pPr>
        <w:pStyle w:val="BodyText"/>
        <w:rPr>
          <w:b w:val="0"/>
          <w:szCs w:val="24"/>
          <w:u w:val="single"/>
        </w:rPr>
      </w:pPr>
      <w:r w:rsidRPr="00212528">
        <w:rPr>
          <w:b w:val="0"/>
          <w:szCs w:val="24"/>
          <w:u w:val="single"/>
        </w:rPr>
        <w:t xml:space="preserve">Section 2 – Commencement </w:t>
      </w:r>
    </w:p>
    <w:p w14:paraId="2DCE2ED0" w14:textId="77777777" w:rsidR="007A4089" w:rsidRPr="00212528" w:rsidRDefault="007A4089" w:rsidP="000337CB">
      <w:pPr>
        <w:pStyle w:val="BodyText"/>
        <w:rPr>
          <w:b w:val="0"/>
          <w:szCs w:val="24"/>
          <w:u w:val="single"/>
        </w:rPr>
      </w:pPr>
    </w:p>
    <w:p w14:paraId="2412D148" w14:textId="2E908315" w:rsidR="00510A4F" w:rsidRPr="00212528" w:rsidRDefault="00510A4F" w:rsidP="000337CB">
      <w:pPr>
        <w:pStyle w:val="BodyText"/>
        <w:rPr>
          <w:b w:val="0"/>
          <w:szCs w:val="24"/>
        </w:rPr>
      </w:pPr>
      <w:r w:rsidRPr="00212528">
        <w:rPr>
          <w:b w:val="0"/>
          <w:szCs w:val="24"/>
        </w:rPr>
        <w:t xml:space="preserve">Section 2 </w:t>
      </w:r>
      <w:r w:rsidR="00404F11" w:rsidRPr="00212528">
        <w:rPr>
          <w:b w:val="0"/>
          <w:szCs w:val="24"/>
        </w:rPr>
        <w:t xml:space="preserve">provides that the </w:t>
      </w:r>
      <w:r w:rsidR="008B2094" w:rsidRPr="00212528">
        <w:rPr>
          <w:b w:val="0"/>
          <w:szCs w:val="24"/>
        </w:rPr>
        <w:t xml:space="preserve">Determination </w:t>
      </w:r>
      <w:r w:rsidR="00404F11" w:rsidRPr="00212528">
        <w:rPr>
          <w:b w:val="0"/>
          <w:szCs w:val="24"/>
        </w:rPr>
        <w:t xml:space="preserve">commences </w:t>
      </w:r>
      <w:r w:rsidR="00C63FDC" w:rsidRPr="00212528">
        <w:rPr>
          <w:b w:val="0"/>
          <w:szCs w:val="24"/>
        </w:rPr>
        <w:t xml:space="preserve">on </w:t>
      </w:r>
      <w:r w:rsidR="00CC3479" w:rsidRPr="00212528">
        <w:rPr>
          <w:b w:val="0"/>
          <w:szCs w:val="24"/>
        </w:rPr>
        <w:t>the day after registration</w:t>
      </w:r>
      <w:r w:rsidR="00697ED2" w:rsidRPr="00212528">
        <w:rPr>
          <w:b w:val="0"/>
          <w:szCs w:val="24"/>
        </w:rPr>
        <w:t>.</w:t>
      </w:r>
      <w:r w:rsidR="00C63FDC" w:rsidRPr="00212528">
        <w:rPr>
          <w:b w:val="0"/>
          <w:szCs w:val="24"/>
        </w:rPr>
        <w:t xml:space="preserve"> </w:t>
      </w:r>
    </w:p>
    <w:p w14:paraId="16C03200" w14:textId="77777777" w:rsidR="007E0017" w:rsidRPr="00212528" w:rsidRDefault="007E0017" w:rsidP="000337CB">
      <w:pPr>
        <w:pStyle w:val="BodyText"/>
        <w:rPr>
          <w:b w:val="0"/>
          <w:szCs w:val="24"/>
        </w:rPr>
      </w:pPr>
    </w:p>
    <w:p w14:paraId="005D5660" w14:textId="77777777" w:rsidR="007A4089" w:rsidRPr="00212528" w:rsidRDefault="00FE02C2" w:rsidP="000337CB">
      <w:pPr>
        <w:pStyle w:val="BodyText"/>
        <w:rPr>
          <w:b w:val="0"/>
          <w:szCs w:val="24"/>
          <w:u w:val="single"/>
        </w:rPr>
      </w:pPr>
      <w:r w:rsidRPr="00212528">
        <w:rPr>
          <w:b w:val="0"/>
          <w:szCs w:val="24"/>
          <w:u w:val="single"/>
        </w:rPr>
        <w:t xml:space="preserve">Section 3 – </w:t>
      </w:r>
      <w:r w:rsidR="00E5798A" w:rsidRPr="00212528">
        <w:rPr>
          <w:b w:val="0"/>
          <w:szCs w:val="24"/>
          <w:u w:val="single"/>
        </w:rPr>
        <w:t>Authority</w:t>
      </w:r>
    </w:p>
    <w:p w14:paraId="53BFA098" w14:textId="77777777" w:rsidR="007A4089" w:rsidRPr="00212528" w:rsidRDefault="007A4089" w:rsidP="000337CB">
      <w:pPr>
        <w:pStyle w:val="BodyText"/>
        <w:rPr>
          <w:b w:val="0"/>
          <w:szCs w:val="24"/>
          <w:u w:val="single"/>
        </w:rPr>
      </w:pPr>
    </w:p>
    <w:p w14:paraId="2412D14B" w14:textId="60EB4E9C" w:rsidR="00FE02C2" w:rsidRPr="00212528" w:rsidRDefault="00F83B6F" w:rsidP="000337CB">
      <w:pPr>
        <w:pStyle w:val="BodyText"/>
        <w:rPr>
          <w:b w:val="0"/>
        </w:rPr>
      </w:pPr>
      <w:r w:rsidRPr="00212528">
        <w:rPr>
          <w:b w:val="0"/>
        </w:rPr>
        <w:t xml:space="preserve">Section 3 provides that the </w:t>
      </w:r>
      <w:r w:rsidR="008B2094" w:rsidRPr="00212528">
        <w:rPr>
          <w:b w:val="0"/>
          <w:szCs w:val="24"/>
        </w:rPr>
        <w:t xml:space="preserve">Determination </w:t>
      </w:r>
      <w:r w:rsidR="00E5798A" w:rsidRPr="00212528">
        <w:rPr>
          <w:b w:val="0"/>
        </w:rPr>
        <w:t xml:space="preserve">is made under </w:t>
      </w:r>
      <w:r w:rsidR="00367440" w:rsidRPr="00212528">
        <w:rPr>
          <w:b w:val="0"/>
        </w:rPr>
        <w:t xml:space="preserve">subsection </w:t>
      </w:r>
      <w:r w:rsidR="00E5798A" w:rsidRPr="00212528">
        <w:rPr>
          <w:b w:val="0"/>
        </w:rPr>
        <w:t xml:space="preserve">3C(1) of the </w:t>
      </w:r>
      <w:r w:rsidR="00E5798A" w:rsidRPr="00212528">
        <w:rPr>
          <w:b w:val="0"/>
          <w:i/>
        </w:rPr>
        <w:t>Health Insurance Act 1973</w:t>
      </w:r>
      <w:r w:rsidR="00E5798A" w:rsidRPr="00212528">
        <w:rPr>
          <w:b w:val="0"/>
        </w:rPr>
        <w:t>.</w:t>
      </w:r>
    </w:p>
    <w:p w14:paraId="0DBF1241" w14:textId="77777777" w:rsidR="00E70355" w:rsidRPr="00212528" w:rsidRDefault="00E70355" w:rsidP="000337CB">
      <w:pPr>
        <w:pStyle w:val="BodyText"/>
        <w:rPr>
          <w:b w:val="0"/>
        </w:rPr>
      </w:pPr>
    </w:p>
    <w:p w14:paraId="20CBF84A" w14:textId="77777777" w:rsidR="00C63FDC" w:rsidRPr="00212528" w:rsidRDefault="00C63FDC" w:rsidP="00C63FDC">
      <w:pPr>
        <w:pStyle w:val="BodyText"/>
        <w:rPr>
          <w:b w:val="0"/>
          <w:szCs w:val="24"/>
          <w:u w:val="single"/>
        </w:rPr>
      </w:pPr>
      <w:r w:rsidRPr="00212528">
        <w:rPr>
          <w:b w:val="0"/>
          <w:szCs w:val="24"/>
          <w:u w:val="single"/>
        </w:rPr>
        <w:t>Section 4 – Schedules</w:t>
      </w:r>
    </w:p>
    <w:p w14:paraId="4C010161" w14:textId="77777777" w:rsidR="00C63FDC" w:rsidRPr="00212528" w:rsidRDefault="00C63FDC" w:rsidP="00C63FDC">
      <w:pPr>
        <w:pStyle w:val="BodyText"/>
        <w:rPr>
          <w:b w:val="0"/>
          <w:szCs w:val="24"/>
          <w:u w:val="single"/>
        </w:rPr>
      </w:pPr>
    </w:p>
    <w:p w14:paraId="5D9EBF8D" w14:textId="77777777" w:rsidR="00C63FDC" w:rsidRPr="00212528" w:rsidRDefault="00C63FDC" w:rsidP="00C63FDC">
      <w:pPr>
        <w:pStyle w:val="BodyText"/>
        <w:rPr>
          <w:b w:val="0"/>
          <w:szCs w:val="24"/>
        </w:rPr>
      </w:pPr>
      <w:r w:rsidRPr="00212528">
        <w:rPr>
          <w:b w:val="0"/>
          <w:szCs w:val="24"/>
        </w:rPr>
        <w:t>Section 4 provides that each instrument that is specified in a Schedule to this Determination is amended or repealed as set out in the applicable items in the Schedule concerned, and any other item in a Schedule to this Determination has effect according to its terms.</w:t>
      </w:r>
    </w:p>
    <w:p w14:paraId="17D2CF69" w14:textId="77777777" w:rsidR="007E0017" w:rsidRPr="00212528" w:rsidRDefault="007E0017" w:rsidP="00404F11">
      <w:pPr>
        <w:pStyle w:val="BodyText"/>
        <w:rPr>
          <w:b w:val="0"/>
          <w:szCs w:val="24"/>
        </w:rPr>
      </w:pPr>
    </w:p>
    <w:p w14:paraId="768D340E" w14:textId="77777777" w:rsidR="00C63FDC" w:rsidRPr="00212528" w:rsidRDefault="00C63FDC" w:rsidP="00C63FDC">
      <w:pPr>
        <w:pStyle w:val="Header"/>
        <w:tabs>
          <w:tab w:val="num" w:pos="1080"/>
        </w:tabs>
        <w:rPr>
          <w:szCs w:val="24"/>
          <w:u w:val="single"/>
        </w:rPr>
      </w:pPr>
      <w:r w:rsidRPr="00212528">
        <w:rPr>
          <w:szCs w:val="24"/>
          <w:u w:val="single"/>
        </w:rPr>
        <w:t>Schedule 1 – Amendments</w:t>
      </w:r>
    </w:p>
    <w:p w14:paraId="2212E577" w14:textId="77777777" w:rsidR="00C63FDC" w:rsidRPr="00212528" w:rsidRDefault="00C63FDC" w:rsidP="00C63FDC">
      <w:pPr>
        <w:pStyle w:val="Header"/>
        <w:tabs>
          <w:tab w:val="num" w:pos="1080"/>
        </w:tabs>
        <w:rPr>
          <w:szCs w:val="24"/>
          <w:u w:val="single"/>
        </w:rPr>
      </w:pPr>
    </w:p>
    <w:p w14:paraId="49F9BAC1" w14:textId="2A5C5DB3" w:rsidR="00C63FDC" w:rsidRPr="00212528" w:rsidRDefault="00FC61E9" w:rsidP="00505F9A">
      <w:pPr>
        <w:pStyle w:val="Header"/>
        <w:tabs>
          <w:tab w:val="num" w:pos="1080"/>
        </w:tabs>
        <w:rPr>
          <w:szCs w:val="24"/>
        </w:rPr>
      </w:pPr>
      <w:r w:rsidRPr="00212528">
        <w:rPr>
          <w:bCs/>
          <w:i/>
          <w:iCs/>
        </w:rPr>
        <w:t>Health Insurance (Section 3C General Medical Services – Telehealth and Telephone Attendances) Determination 2021</w:t>
      </w:r>
    </w:p>
    <w:p w14:paraId="0C7E649E" w14:textId="77777777" w:rsidR="00C63FDC" w:rsidRPr="00212528" w:rsidRDefault="00C63FDC" w:rsidP="00C63FDC">
      <w:pPr>
        <w:pStyle w:val="Header"/>
        <w:tabs>
          <w:tab w:val="num" w:pos="1080"/>
        </w:tabs>
        <w:rPr>
          <w:i/>
          <w:szCs w:val="24"/>
        </w:rPr>
      </w:pPr>
    </w:p>
    <w:p w14:paraId="5BF9B173" w14:textId="3523896A" w:rsidR="00697ED2" w:rsidRPr="00212528" w:rsidRDefault="00697ED2" w:rsidP="00C63FDC">
      <w:pPr>
        <w:pStyle w:val="Header"/>
        <w:tabs>
          <w:tab w:val="num" w:pos="1080"/>
        </w:tabs>
        <w:rPr>
          <w:szCs w:val="24"/>
        </w:rPr>
      </w:pPr>
      <w:r w:rsidRPr="00212528">
        <w:rPr>
          <w:b/>
          <w:bCs/>
          <w:szCs w:val="24"/>
        </w:rPr>
        <w:t>Item [1]</w:t>
      </w:r>
      <w:r w:rsidRPr="00212528">
        <w:rPr>
          <w:szCs w:val="24"/>
        </w:rPr>
        <w:t xml:space="preserve"> </w:t>
      </w:r>
      <w:r w:rsidR="00E43ED0" w:rsidRPr="00212528">
        <w:rPr>
          <w:szCs w:val="24"/>
        </w:rPr>
        <w:t xml:space="preserve">amends subsection 5(1) to </w:t>
      </w:r>
      <w:r w:rsidRPr="00212528">
        <w:rPr>
          <w:szCs w:val="24"/>
        </w:rPr>
        <w:t>insert a definition for ‘</w:t>
      </w:r>
      <w:r w:rsidRPr="00212528">
        <w:rPr>
          <w:i/>
          <w:iCs/>
          <w:szCs w:val="24"/>
        </w:rPr>
        <w:t>person who meets the PBS criteria for COVID</w:t>
      </w:r>
      <w:r w:rsidR="00E43ED0" w:rsidRPr="00212528">
        <w:rPr>
          <w:i/>
          <w:iCs/>
          <w:szCs w:val="24"/>
        </w:rPr>
        <w:t>-19</w:t>
      </w:r>
      <w:r w:rsidRPr="00212528">
        <w:rPr>
          <w:i/>
          <w:iCs/>
          <w:szCs w:val="24"/>
        </w:rPr>
        <w:t xml:space="preserve"> antiviral therapy</w:t>
      </w:r>
      <w:r w:rsidRPr="00212528">
        <w:rPr>
          <w:szCs w:val="24"/>
        </w:rPr>
        <w:t>’. Under this definition, a person who meets the Pharmaceutical Benefits Scheme (PBS) criteria for COVID</w:t>
      </w:r>
      <w:r w:rsidR="00E43ED0" w:rsidRPr="00212528">
        <w:rPr>
          <w:szCs w:val="24"/>
        </w:rPr>
        <w:t>-19</w:t>
      </w:r>
      <w:r w:rsidRPr="00212528">
        <w:rPr>
          <w:szCs w:val="24"/>
        </w:rPr>
        <w:t xml:space="preserve"> antiviral therapy means a person who is: </w:t>
      </w:r>
    </w:p>
    <w:p w14:paraId="52BA5EC1" w14:textId="77777777" w:rsidR="00697ED2" w:rsidRPr="00212528" w:rsidRDefault="00697ED2" w:rsidP="00697ED2">
      <w:pPr>
        <w:pStyle w:val="Item"/>
        <w:rPr>
          <w:sz w:val="24"/>
          <w:szCs w:val="24"/>
          <w:lang w:eastAsia="en-US"/>
        </w:rPr>
      </w:pPr>
      <w:r w:rsidRPr="00212528">
        <w:rPr>
          <w:sz w:val="24"/>
          <w:szCs w:val="24"/>
          <w:lang w:eastAsia="en-US"/>
        </w:rPr>
        <w:t>(a) 70 years of age or older;</w:t>
      </w:r>
    </w:p>
    <w:p w14:paraId="52D1E116" w14:textId="77777777" w:rsidR="00697ED2" w:rsidRPr="00212528" w:rsidRDefault="00697ED2" w:rsidP="00697ED2">
      <w:pPr>
        <w:pStyle w:val="Item"/>
        <w:rPr>
          <w:sz w:val="24"/>
          <w:szCs w:val="24"/>
          <w:lang w:eastAsia="en-US"/>
        </w:rPr>
      </w:pPr>
      <w:r w:rsidRPr="00212528">
        <w:rPr>
          <w:sz w:val="24"/>
          <w:szCs w:val="24"/>
          <w:lang w:eastAsia="en-US"/>
        </w:rPr>
        <w:t>(b) 50 years of age or older with at least two additional risk factors;</w:t>
      </w:r>
    </w:p>
    <w:p w14:paraId="58B4F410" w14:textId="77777777" w:rsidR="00697ED2" w:rsidRPr="00212528" w:rsidRDefault="00697ED2" w:rsidP="005B6191">
      <w:pPr>
        <w:pStyle w:val="Item"/>
        <w:ind w:left="1049" w:hanging="340"/>
        <w:rPr>
          <w:sz w:val="24"/>
          <w:szCs w:val="24"/>
          <w:lang w:eastAsia="en-US"/>
        </w:rPr>
      </w:pPr>
      <w:r w:rsidRPr="00212528">
        <w:rPr>
          <w:sz w:val="24"/>
          <w:szCs w:val="24"/>
          <w:lang w:eastAsia="en-US"/>
        </w:rPr>
        <w:t>(c) of First Nations descent, who is 30 years of age or older and with at least one additional risk factor; or</w:t>
      </w:r>
    </w:p>
    <w:p w14:paraId="3103F94F" w14:textId="77777777" w:rsidR="00697ED2" w:rsidRPr="00212528" w:rsidRDefault="00697ED2" w:rsidP="00697ED2">
      <w:pPr>
        <w:pStyle w:val="Item"/>
        <w:rPr>
          <w:sz w:val="24"/>
          <w:szCs w:val="24"/>
          <w:lang w:eastAsia="en-US"/>
        </w:rPr>
      </w:pPr>
      <w:r w:rsidRPr="00212528">
        <w:rPr>
          <w:sz w:val="24"/>
          <w:szCs w:val="24"/>
          <w:lang w:eastAsia="en-US"/>
        </w:rPr>
        <w:t xml:space="preserve">(d) 18 years of age or older and who is moderately to severely immunocompromised. </w:t>
      </w:r>
    </w:p>
    <w:p w14:paraId="01F765B3" w14:textId="77777777" w:rsidR="00697ED2" w:rsidRPr="00212528" w:rsidRDefault="00697ED2" w:rsidP="00C63FDC">
      <w:pPr>
        <w:pStyle w:val="Header"/>
        <w:tabs>
          <w:tab w:val="num" w:pos="1080"/>
        </w:tabs>
        <w:rPr>
          <w:szCs w:val="24"/>
        </w:rPr>
      </w:pPr>
    </w:p>
    <w:p w14:paraId="371F01D6" w14:textId="6C51D1F6" w:rsidR="007708B3" w:rsidRPr="00212528" w:rsidRDefault="00697ED2" w:rsidP="00C63FDC">
      <w:pPr>
        <w:pStyle w:val="Header"/>
        <w:tabs>
          <w:tab w:val="num" w:pos="1080"/>
        </w:tabs>
        <w:rPr>
          <w:szCs w:val="24"/>
        </w:rPr>
      </w:pPr>
      <w:r w:rsidRPr="00212528">
        <w:rPr>
          <w:b/>
          <w:bCs/>
          <w:szCs w:val="24"/>
        </w:rPr>
        <w:t>Item [2]</w:t>
      </w:r>
      <w:r w:rsidRPr="00212528">
        <w:rPr>
          <w:szCs w:val="24"/>
        </w:rPr>
        <w:t xml:space="preserve"> amends</w:t>
      </w:r>
      <w:r w:rsidRPr="00212528">
        <w:rPr>
          <w:i/>
          <w:iCs/>
          <w:szCs w:val="24"/>
        </w:rPr>
        <w:t> </w:t>
      </w:r>
      <w:r w:rsidRPr="00212528">
        <w:rPr>
          <w:szCs w:val="24"/>
        </w:rPr>
        <w:t xml:space="preserve">subsection </w:t>
      </w:r>
      <w:r w:rsidR="00E43ED0" w:rsidRPr="00212528">
        <w:rPr>
          <w:szCs w:val="24"/>
        </w:rPr>
        <w:t>7</w:t>
      </w:r>
      <w:r w:rsidRPr="00212528">
        <w:rPr>
          <w:szCs w:val="24"/>
        </w:rPr>
        <w:t xml:space="preserve">(6), which provides </w:t>
      </w:r>
      <w:r w:rsidR="00E43ED0" w:rsidRPr="00212528">
        <w:rPr>
          <w:szCs w:val="24"/>
        </w:rPr>
        <w:t xml:space="preserve">exemptions </w:t>
      </w:r>
      <w:r w:rsidR="00D77C18" w:rsidRPr="00212528">
        <w:rPr>
          <w:szCs w:val="24"/>
        </w:rPr>
        <w:t xml:space="preserve">to the usual medical practitioner rule set out in subsection </w:t>
      </w:r>
      <w:r w:rsidR="00E43ED0" w:rsidRPr="00212528">
        <w:rPr>
          <w:szCs w:val="24"/>
        </w:rPr>
        <w:t>7</w:t>
      </w:r>
      <w:r w:rsidR="00D77C18" w:rsidRPr="00212528">
        <w:rPr>
          <w:szCs w:val="24"/>
        </w:rPr>
        <w:t xml:space="preserve">(5), to insert subparagraph (viii). Under this amendment, the usual medical practitioner rule </w:t>
      </w:r>
      <w:r w:rsidR="00E43ED0" w:rsidRPr="00212528">
        <w:rPr>
          <w:szCs w:val="24"/>
        </w:rPr>
        <w:t>will</w:t>
      </w:r>
      <w:r w:rsidR="00D77C18" w:rsidRPr="00212528">
        <w:rPr>
          <w:szCs w:val="24"/>
        </w:rPr>
        <w:t xml:space="preserve"> not apply to people who meet the PBS criteria for COVID</w:t>
      </w:r>
      <w:r w:rsidR="00E43ED0" w:rsidRPr="00212528">
        <w:rPr>
          <w:szCs w:val="24"/>
        </w:rPr>
        <w:t>-19</w:t>
      </w:r>
      <w:r w:rsidR="00D77C18" w:rsidRPr="00212528">
        <w:rPr>
          <w:szCs w:val="24"/>
        </w:rPr>
        <w:t xml:space="preserve"> antiviral therapy</w:t>
      </w:r>
      <w:r w:rsidR="00E43ED0" w:rsidRPr="00212528">
        <w:rPr>
          <w:szCs w:val="24"/>
        </w:rPr>
        <w:t xml:space="preserve"> who are experiencing acute respiratory symptoms</w:t>
      </w:r>
      <w:r w:rsidR="00D77C18" w:rsidRPr="00212528">
        <w:rPr>
          <w:szCs w:val="24"/>
        </w:rPr>
        <w:t xml:space="preserve">. This amendment will </w:t>
      </w:r>
      <w:r w:rsidR="00D77C18" w:rsidRPr="00212528">
        <w:rPr>
          <w:bCs/>
          <w:szCs w:val="24"/>
        </w:rPr>
        <w:t>ensure</w:t>
      </w:r>
      <w:r w:rsidR="001C754B" w:rsidRPr="00212528">
        <w:rPr>
          <w:bCs/>
          <w:szCs w:val="24"/>
        </w:rPr>
        <w:t xml:space="preserve"> that</w:t>
      </w:r>
      <w:r w:rsidR="00D77C18" w:rsidRPr="00212528">
        <w:rPr>
          <w:bCs/>
          <w:szCs w:val="24"/>
        </w:rPr>
        <w:t xml:space="preserve"> people who are experiencing acute respiratory symptoms </w:t>
      </w:r>
      <w:r w:rsidR="001C754B" w:rsidRPr="00212528">
        <w:rPr>
          <w:bCs/>
          <w:szCs w:val="24"/>
        </w:rPr>
        <w:t>and</w:t>
      </w:r>
      <w:r w:rsidR="00D77C18" w:rsidRPr="00212528">
        <w:rPr>
          <w:bCs/>
          <w:szCs w:val="24"/>
        </w:rPr>
        <w:t xml:space="preserve"> are at a high risk of developing a severe illness </w:t>
      </w:r>
      <w:r w:rsidR="001C754B" w:rsidRPr="00212528">
        <w:rPr>
          <w:bCs/>
          <w:szCs w:val="24"/>
        </w:rPr>
        <w:t>arising from</w:t>
      </w:r>
      <w:r w:rsidR="00D77C18" w:rsidRPr="00212528">
        <w:rPr>
          <w:bCs/>
          <w:szCs w:val="24"/>
        </w:rPr>
        <w:t xml:space="preserve"> a COVID-19 infection </w:t>
      </w:r>
      <w:r w:rsidR="00E43ED0" w:rsidRPr="00212528">
        <w:rPr>
          <w:bCs/>
          <w:szCs w:val="24"/>
        </w:rPr>
        <w:t>can</w:t>
      </w:r>
      <w:r w:rsidR="00D77C18" w:rsidRPr="00212528">
        <w:rPr>
          <w:bCs/>
          <w:szCs w:val="24"/>
        </w:rPr>
        <w:t xml:space="preserve"> access </w:t>
      </w:r>
      <w:r w:rsidR="00E43ED0" w:rsidRPr="00212528">
        <w:rPr>
          <w:bCs/>
          <w:szCs w:val="24"/>
        </w:rPr>
        <w:t xml:space="preserve">general practice telehealth </w:t>
      </w:r>
      <w:r w:rsidR="00CD4B55" w:rsidRPr="00212528">
        <w:rPr>
          <w:bCs/>
          <w:szCs w:val="24"/>
        </w:rPr>
        <w:t>and phone</w:t>
      </w:r>
      <w:r w:rsidR="00E43ED0" w:rsidRPr="00212528">
        <w:rPr>
          <w:bCs/>
          <w:szCs w:val="24"/>
        </w:rPr>
        <w:t xml:space="preserve"> </w:t>
      </w:r>
      <w:r w:rsidR="00D77C18" w:rsidRPr="00212528">
        <w:rPr>
          <w:bCs/>
          <w:szCs w:val="24"/>
        </w:rPr>
        <w:t xml:space="preserve">services when they need it most. </w:t>
      </w:r>
    </w:p>
    <w:p w14:paraId="21DF9DDC" w14:textId="1767E1F1" w:rsidR="00331752" w:rsidRPr="00212528" w:rsidRDefault="00331752">
      <w:pPr>
        <w:spacing w:after="200" w:line="276" w:lineRule="auto"/>
        <w:rPr>
          <w:szCs w:val="24"/>
        </w:rPr>
      </w:pPr>
      <w:r w:rsidRPr="00212528">
        <w:rPr>
          <w:szCs w:val="24"/>
        </w:rPr>
        <w:br w:type="page"/>
      </w:r>
    </w:p>
    <w:p w14:paraId="2412D14E" w14:textId="632B4BE9" w:rsidR="00A17F2C" w:rsidRPr="00212528" w:rsidRDefault="00A17F2C" w:rsidP="008D136F">
      <w:pPr>
        <w:pStyle w:val="Header"/>
        <w:tabs>
          <w:tab w:val="num" w:pos="1080"/>
        </w:tabs>
        <w:jc w:val="center"/>
        <w:rPr>
          <w:b/>
          <w:sz w:val="28"/>
          <w:szCs w:val="28"/>
        </w:rPr>
      </w:pPr>
      <w:r w:rsidRPr="00212528">
        <w:rPr>
          <w:b/>
          <w:sz w:val="28"/>
          <w:szCs w:val="28"/>
        </w:rPr>
        <w:lastRenderedPageBreak/>
        <w:t>Statement of Compatibility with Human Rights</w:t>
      </w:r>
    </w:p>
    <w:p w14:paraId="2412D14F" w14:textId="77777777" w:rsidR="00A17F2C" w:rsidRPr="00212528" w:rsidRDefault="00A17F2C" w:rsidP="000337CB">
      <w:pPr>
        <w:spacing w:before="120" w:after="120"/>
        <w:jc w:val="center"/>
        <w:rPr>
          <w:szCs w:val="24"/>
        </w:rPr>
      </w:pPr>
      <w:r w:rsidRPr="00212528">
        <w:rPr>
          <w:i/>
          <w:szCs w:val="24"/>
        </w:rPr>
        <w:t>Prepared in accordance with Part 3 of the Human Rights (Parliamentary Scrutiny) Act 2011</w:t>
      </w:r>
    </w:p>
    <w:p w14:paraId="751DE726" w14:textId="77777777" w:rsidR="002A6C77" w:rsidRPr="00212528" w:rsidRDefault="002A6C77" w:rsidP="000337CB">
      <w:pPr>
        <w:tabs>
          <w:tab w:val="left" w:pos="1418"/>
        </w:tabs>
        <w:ind w:left="851"/>
        <w:jc w:val="center"/>
        <w:rPr>
          <w:b/>
          <w:i/>
          <w:iCs/>
        </w:rPr>
      </w:pPr>
    </w:p>
    <w:p w14:paraId="19E1821C" w14:textId="77777777" w:rsidR="00903373" w:rsidRPr="00212528" w:rsidRDefault="00903373" w:rsidP="00903373">
      <w:pPr>
        <w:ind w:right="84"/>
        <w:jc w:val="center"/>
        <w:rPr>
          <w:bCs/>
          <w:i/>
          <w:iCs/>
        </w:rPr>
      </w:pPr>
      <w:r w:rsidRPr="00212528">
        <w:rPr>
          <w:bCs/>
          <w:i/>
          <w:iCs/>
        </w:rPr>
        <w:t>Health Insurance (Section 3C General Medical Services – Telehealth and Telephone Attendances) Amendment (High Risk Groups) Determination 2022</w:t>
      </w:r>
    </w:p>
    <w:p w14:paraId="1BF56C38" w14:textId="77777777" w:rsidR="007708B3" w:rsidRPr="00212528" w:rsidRDefault="007708B3" w:rsidP="000337CB">
      <w:pPr>
        <w:tabs>
          <w:tab w:val="left" w:pos="1418"/>
        </w:tabs>
        <w:ind w:left="851"/>
        <w:jc w:val="center"/>
        <w:rPr>
          <w:b/>
          <w:i/>
          <w:szCs w:val="24"/>
        </w:rPr>
      </w:pPr>
    </w:p>
    <w:p w14:paraId="2412D153" w14:textId="7AFD921D" w:rsidR="00A17F2C" w:rsidRPr="00212528" w:rsidRDefault="00A17F2C" w:rsidP="000337CB">
      <w:pPr>
        <w:jc w:val="center"/>
        <w:rPr>
          <w:szCs w:val="24"/>
        </w:rPr>
      </w:pPr>
      <w:r w:rsidRPr="00212528">
        <w:rPr>
          <w:szCs w:val="24"/>
        </w:rPr>
        <w:t xml:space="preserve">This </w:t>
      </w:r>
      <w:r w:rsidR="0046022A" w:rsidRPr="00212528">
        <w:rPr>
          <w:szCs w:val="24"/>
        </w:rPr>
        <w:t>instrument</w:t>
      </w:r>
      <w:r w:rsidRPr="00212528">
        <w:rPr>
          <w:szCs w:val="24"/>
        </w:rPr>
        <w:t xml:space="preserve"> is compatible with the human rights and freedoms recognised or declared in the international instruments listed in section 3 of the </w:t>
      </w:r>
      <w:r w:rsidRPr="00212528">
        <w:rPr>
          <w:i/>
          <w:szCs w:val="24"/>
        </w:rPr>
        <w:t>Human Rights (Parliamentary Scrutiny) Act 2011</w:t>
      </w:r>
      <w:r w:rsidRPr="00212528">
        <w:rPr>
          <w:szCs w:val="24"/>
        </w:rPr>
        <w:t>.</w:t>
      </w:r>
    </w:p>
    <w:p w14:paraId="7EDA9098" w14:textId="306A78E1" w:rsidR="006E6BBF" w:rsidRPr="00212528" w:rsidRDefault="006E6BBF" w:rsidP="008734F5">
      <w:pPr>
        <w:spacing w:before="120" w:after="120"/>
        <w:rPr>
          <w:b/>
          <w:szCs w:val="24"/>
        </w:rPr>
      </w:pPr>
      <w:r w:rsidRPr="00212528">
        <w:rPr>
          <w:b/>
          <w:szCs w:val="24"/>
        </w:rPr>
        <w:t xml:space="preserve">Overview of the </w:t>
      </w:r>
      <w:r w:rsidR="00B86A9F" w:rsidRPr="00212528">
        <w:rPr>
          <w:b/>
          <w:szCs w:val="24"/>
        </w:rPr>
        <w:t>Determination</w:t>
      </w:r>
    </w:p>
    <w:p w14:paraId="4FE76D20" w14:textId="295640E5" w:rsidR="00D8391B" w:rsidRPr="00212528" w:rsidRDefault="0072495B" w:rsidP="00D8391B">
      <w:pPr>
        <w:ind w:right="-483"/>
        <w:rPr>
          <w:bCs/>
          <w:szCs w:val="24"/>
        </w:rPr>
      </w:pPr>
      <w:r w:rsidRPr="00212528">
        <w:rPr>
          <w:szCs w:val="24"/>
        </w:rPr>
        <w:t xml:space="preserve">The purpose of the </w:t>
      </w:r>
      <w:r w:rsidRPr="00212528">
        <w:rPr>
          <w:bCs/>
          <w:i/>
          <w:iCs/>
          <w:szCs w:val="24"/>
        </w:rPr>
        <w:t>Health Insurance (Section 3C General Medical Services – Telehealth and Telephone Attendances) Amendment (High Risk Groups) Determination 2022</w:t>
      </w:r>
      <w:r w:rsidRPr="00212528">
        <w:rPr>
          <w:bCs/>
          <w:szCs w:val="24"/>
        </w:rPr>
        <w:t xml:space="preserve"> (the Amendment Determination) is to amend the </w:t>
      </w:r>
      <w:r w:rsidRPr="00212528">
        <w:rPr>
          <w:bCs/>
          <w:i/>
          <w:iCs/>
          <w:szCs w:val="24"/>
        </w:rPr>
        <w:t>Health Insurance (Section 3C General Medical Services – Telehealth and Telephone Attendances) Determination 2021</w:t>
      </w:r>
      <w:r w:rsidRPr="00212528">
        <w:rPr>
          <w:bCs/>
          <w:szCs w:val="24"/>
        </w:rPr>
        <w:t xml:space="preserve"> (the Principal Determination). This amendment will allow</w:t>
      </w:r>
      <w:r w:rsidRPr="00212528">
        <w:rPr>
          <w:b/>
          <w:szCs w:val="24"/>
        </w:rPr>
        <w:t xml:space="preserve"> </w:t>
      </w:r>
      <w:r w:rsidRPr="00212528">
        <w:rPr>
          <w:bCs/>
          <w:szCs w:val="24"/>
        </w:rPr>
        <w:t>people</w:t>
      </w:r>
      <w:r w:rsidRPr="00212528">
        <w:rPr>
          <w:bCs/>
          <w:szCs w:val="24"/>
        </w:rPr>
        <w:softHyphen/>
        <w:t xml:space="preserve"> who are experiencing acute respiratory symptoms and who meet the Pharmaceutical Benefits Schedule (PBS) eligibility criteria for antiviral therapy to receive telehealth or telephone consultations from any available medical practitioner to seek a request to a private pathologist for </w:t>
      </w:r>
      <w:r w:rsidRPr="00212528">
        <w:rPr>
          <w:szCs w:val="24"/>
        </w:rPr>
        <w:t>Polymerase Chain Reaction (</w:t>
      </w:r>
      <w:r w:rsidRPr="00212528">
        <w:rPr>
          <w:bCs/>
          <w:szCs w:val="24"/>
        </w:rPr>
        <w:t xml:space="preserve">PCR) testing. This exemption will apply until 31 March 2023. </w:t>
      </w:r>
      <w:r w:rsidR="00D8391B" w:rsidRPr="00212528">
        <w:rPr>
          <w:bCs/>
          <w:szCs w:val="24"/>
        </w:rPr>
        <w:t xml:space="preserve"> </w:t>
      </w:r>
    </w:p>
    <w:p w14:paraId="7C5256D0" w14:textId="77777777" w:rsidR="00D8391B" w:rsidRPr="00212528" w:rsidRDefault="00D8391B" w:rsidP="00D8391B">
      <w:pPr>
        <w:ind w:right="-483"/>
        <w:rPr>
          <w:bCs/>
          <w:szCs w:val="24"/>
        </w:rPr>
      </w:pPr>
    </w:p>
    <w:p w14:paraId="52BAE44F" w14:textId="46A8A3D7" w:rsidR="0079715F" w:rsidRPr="00212528" w:rsidRDefault="0079715F" w:rsidP="0079715F">
      <w:pPr>
        <w:ind w:right="-483"/>
        <w:rPr>
          <w:bCs/>
          <w:szCs w:val="24"/>
        </w:rPr>
      </w:pPr>
      <w:r w:rsidRPr="00212528">
        <w:rPr>
          <w:bCs/>
          <w:szCs w:val="24"/>
        </w:rPr>
        <w:t xml:space="preserve">Usually, a patient must have an established clinical relationship with the medical practitioner, meaning one face to face service in a </w:t>
      </w:r>
      <w:proofErr w:type="gramStart"/>
      <w:r w:rsidRPr="00212528">
        <w:rPr>
          <w:bCs/>
          <w:szCs w:val="24"/>
        </w:rPr>
        <w:t>12 month</w:t>
      </w:r>
      <w:proofErr w:type="gramEnd"/>
      <w:r w:rsidRPr="00212528">
        <w:rPr>
          <w:bCs/>
          <w:szCs w:val="24"/>
        </w:rPr>
        <w:t xml:space="preserve"> period, before they are eligible to receive telehealth or telephone consultations (known as the usual medical practitioner rule or the UMP rule) if the patient doesn’t qualify for an exemption under existing exemption criteria. In a period where there is a higher prevalence of COVID-19, and taking into consideration the holiday period with practices having reduced staff, there is potential for </w:t>
      </w:r>
      <w:proofErr w:type="gramStart"/>
      <w:r w:rsidRPr="00212528">
        <w:rPr>
          <w:bCs/>
          <w:szCs w:val="24"/>
        </w:rPr>
        <w:t>high risk</w:t>
      </w:r>
      <w:proofErr w:type="gramEnd"/>
      <w:r w:rsidRPr="00212528">
        <w:rPr>
          <w:bCs/>
          <w:szCs w:val="24"/>
        </w:rPr>
        <w:t xml:space="preserve"> patient groups missing out on accessing the COVID</w:t>
      </w:r>
      <w:r w:rsidRPr="00212528">
        <w:rPr>
          <w:bCs/>
          <w:szCs w:val="24"/>
        </w:rPr>
        <w:noBreakHyphen/>
        <w:t>19 antiviral therapy in a timely manner, if they are unable to confirm their diagnosis through a PCR test.</w:t>
      </w:r>
    </w:p>
    <w:p w14:paraId="66D5928C" w14:textId="77777777" w:rsidR="0079715F" w:rsidRPr="00212528" w:rsidRDefault="0079715F" w:rsidP="0079715F">
      <w:pPr>
        <w:ind w:right="-483"/>
        <w:rPr>
          <w:bCs/>
          <w:szCs w:val="24"/>
        </w:rPr>
      </w:pPr>
    </w:p>
    <w:p w14:paraId="2A63FB9F" w14:textId="77777777" w:rsidR="0079715F" w:rsidRPr="00212528" w:rsidRDefault="0079715F" w:rsidP="0079715F">
      <w:pPr>
        <w:ind w:right="-483"/>
        <w:rPr>
          <w:bCs/>
          <w:szCs w:val="24"/>
        </w:rPr>
      </w:pPr>
      <w:r w:rsidRPr="00212528">
        <w:rPr>
          <w:bCs/>
          <w:szCs w:val="24"/>
        </w:rPr>
        <w:t xml:space="preserve">This exemption will allow patients who meet the </w:t>
      </w:r>
      <w:proofErr w:type="gramStart"/>
      <w:r w:rsidRPr="00212528">
        <w:rPr>
          <w:bCs/>
          <w:szCs w:val="24"/>
        </w:rPr>
        <w:t>high risk</w:t>
      </w:r>
      <w:proofErr w:type="gramEnd"/>
      <w:r w:rsidRPr="00212528">
        <w:rPr>
          <w:bCs/>
          <w:szCs w:val="24"/>
        </w:rPr>
        <w:t xml:space="preserve"> patient criteria to receive a telehealth consultation for the purpose of seeking a request for a Medical Benefits Schedule (MBS) PCR test. Where a treating practitioner considers a test for COVID-19 to be necessary for the clinical management of their patient, it should be explicitly stated in the request, including where testing for COVID-19 is requested alongside testing for other respiratory pathogens (e.g. “Respiratory virus PCR including COVID-19”). </w:t>
      </w:r>
    </w:p>
    <w:p w14:paraId="41AB44D1" w14:textId="77777777" w:rsidR="0079715F" w:rsidRPr="00212528" w:rsidRDefault="0079715F" w:rsidP="00D8391B">
      <w:pPr>
        <w:ind w:right="-483"/>
        <w:rPr>
          <w:bCs/>
          <w:szCs w:val="24"/>
        </w:rPr>
      </w:pPr>
    </w:p>
    <w:p w14:paraId="557B3F1D" w14:textId="4CDC7CC4" w:rsidR="00D8391B" w:rsidRPr="00212528" w:rsidRDefault="00D8391B" w:rsidP="00D8391B">
      <w:pPr>
        <w:ind w:right="-483"/>
        <w:rPr>
          <w:bCs/>
          <w:szCs w:val="24"/>
        </w:rPr>
      </w:pPr>
      <w:r w:rsidRPr="00212528">
        <w:rPr>
          <w:bCs/>
          <w:szCs w:val="24"/>
        </w:rPr>
        <w:t>The Amendment Determination will benefit people who are experiencing acute respiratory symptoms and:</w:t>
      </w:r>
    </w:p>
    <w:p w14:paraId="743110F3" w14:textId="77777777" w:rsidR="00D8391B" w:rsidRPr="00212528" w:rsidRDefault="00D8391B" w:rsidP="00D8391B">
      <w:pPr>
        <w:pStyle w:val="ListParagraph"/>
        <w:numPr>
          <w:ilvl w:val="0"/>
          <w:numId w:val="37"/>
        </w:numPr>
        <w:ind w:right="-483"/>
        <w:rPr>
          <w:bCs/>
          <w:szCs w:val="24"/>
        </w:rPr>
      </w:pPr>
      <w:r w:rsidRPr="00212528">
        <w:rPr>
          <w:bCs/>
          <w:szCs w:val="24"/>
        </w:rPr>
        <w:t>suspect they have COVID-19 but have not tested positive with a RAT;</w:t>
      </w:r>
    </w:p>
    <w:p w14:paraId="19643D2E" w14:textId="77777777" w:rsidR="00D8391B" w:rsidRPr="00212528" w:rsidRDefault="00D8391B" w:rsidP="00D8391B">
      <w:pPr>
        <w:pStyle w:val="ListParagraph"/>
        <w:numPr>
          <w:ilvl w:val="0"/>
          <w:numId w:val="37"/>
        </w:numPr>
        <w:ind w:right="-483"/>
        <w:rPr>
          <w:bCs/>
          <w:szCs w:val="24"/>
        </w:rPr>
      </w:pPr>
      <w:r w:rsidRPr="00212528">
        <w:rPr>
          <w:bCs/>
          <w:szCs w:val="24"/>
        </w:rPr>
        <w:t>are seeking a PCR test from a private pathologist (due to not being able to access a General Practitioner Respiratory clinic, for example) to confirm diagnosis;</w:t>
      </w:r>
    </w:p>
    <w:p w14:paraId="358BCDC7" w14:textId="77777777" w:rsidR="00D8391B" w:rsidRPr="00212528" w:rsidRDefault="00D8391B" w:rsidP="00D8391B">
      <w:pPr>
        <w:pStyle w:val="ListParagraph"/>
        <w:numPr>
          <w:ilvl w:val="0"/>
          <w:numId w:val="37"/>
        </w:numPr>
        <w:ind w:right="-483"/>
        <w:rPr>
          <w:bCs/>
          <w:szCs w:val="24"/>
        </w:rPr>
      </w:pPr>
      <w:r w:rsidRPr="00212528">
        <w:rPr>
          <w:bCs/>
          <w:szCs w:val="24"/>
        </w:rPr>
        <w:t>would be eligible for oral antiviral treatment should they test positive for COVID</w:t>
      </w:r>
      <w:r w:rsidRPr="00212528">
        <w:rPr>
          <w:bCs/>
          <w:szCs w:val="24"/>
        </w:rPr>
        <w:noBreakHyphen/>
        <w:t xml:space="preserve">19 as they are considered a </w:t>
      </w:r>
      <w:proofErr w:type="gramStart"/>
      <w:r w:rsidRPr="00212528">
        <w:rPr>
          <w:bCs/>
          <w:szCs w:val="24"/>
        </w:rPr>
        <w:t>high risk</w:t>
      </w:r>
      <w:proofErr w:type="gramEnd"/>
      <w:r w:rsidRPr="00212528">
        <w:rPr>
          <w:bCs/>
          <w:szCs w:val="24"/>
        </w:rPr>
        <w:t xml:space="preserve"> group; and</w:t>
      </w:r>
    </w:p>
    <w:p w14:paraId="4F620A62" w14:textId="77777777" w:rsidR="00D8391B" w:rsidRPr="00212528" w:rsidRDefault="00D8391B" w:rsidP="00D8391B">
      <w:pPr>
        <w:pStyle w:val="ListParagraph"/>
        <w:numPr>
          <w:ilvl w:val="0"/>
          <w:numId w:val="37"/>
        </w:numPr>
        <w:ind w:right="-483"/>
        <w:rPr>
          <w:bCs/>
          <w:szCs w:val="24"/>
        </w:rPr>
      </w:pPr>
      <w:r w:rsidRPr="00212528">
        <w:rPr>
          <w:bCs/>
          <w:szCs w:val="24"/>
        </w:rPr>
        <w:t>are unable to make a timely appointment with their usual general practitioner.</w:t>
      </w:r>
    </w:p>
    <w:p w14:paraId="7F352930" w14:textId="77777777" w:rsidR="00D8391B" w:rsidRPr="00212528" w:rsidRDefault="00D8391B" w:rsidP="00D8391B">
      <w:pPr>
        <w:ind w:right="-483"/>
        <w:rPr>
          <w:bCs/>
          <w:szCs w:val="24"/>
        </w:rPr>
      </w:pPr>
    </w:p>
    <w:p w14:paraId="357A239A" w14:textId="77777777" w:rsidR="00D8391B" w:rsidRPr="00212528" w:rsidRDefault="00D8391B" w:rsidP="00D8391B">
      <w:pPr>
        <w:ind w:right="-483"/>
        <w:rPr>
          <w:bCs/>
          <w:szCs w:val="24"/>
        </w:rPr>
      </w:pPr>
      <w:r w:rsidRPr="00212528">
        <w:rPr>
          <w:bCs/>
          <w:szCs w:val="24"/>
        </w:rPr>
        <w:t>A person is considered a high risk of severe illness as a result of a COVID-19 infection if they are:</w:t>
      </w:r>
    </w:p>
    <w:p w14:paraId="29B4ACE1" w14:textId="77777777" w:rsidR="00D8391B" w:rsidRPr="00212528" w:rsidRDefault="00D8391B" w:rsidP="00D8391B">
      <w:pPr>
        <w:pStyle w:val="ListParagraph"/>
        <w:numPr>
          <w:ilvl w:val="0"/>
          <w:numId w:val="38"/>
        </w:numPr>
        <w:ind w:right="-483"/>
        <w:rPr>
          <w:bCs/>
          <w:szCs w:val="24"/>
        </w:rPr>
      </w:pPr>
      <w:r w:rsidRPr="00212528">
        <w:rPr>
          <w:bCs/>
          <w:szCs w:val="24"/>
        </w:rPr>
        <w:t xml:space="preserve">70 years of age or older; </w:t>
      </w:r>
    </w:p>
    <w:p w14:paraId="1358F6BA" w14:textId="77777777" w:rsidR="00D8391B" w:rsidRPr="00212528" w:rsidRDefault="00D8391B" w:rsidP="00D8391B">
      <w:pPr>
        <w:pStyle w:val="ListParagraph"/>
        <w:numPr>
          <w:ilvl w:val="0"/>
          <w:numId w:val="38"/>
        </w:numPr>
        <w:ind w:right="-483"/>
        <w:rPr>
          <w:bCs/>
          <w:szCs w:val="24"/>
        </w:rPr>
      </w:pPr>
      <w:r w:rsidRPr="00212528">
        <w:rPr>
          <w:bCs/>
          <w:szCs w:val="24"/>
        </w:rPr>
        <w:t xml:space="preserve">50 years of age or older with at least two additional risk factors; </w:t>
      </w:r>
    </w:p>
    <w:p w14:paraId="56FDFFE1" w14:textId="77777777" w:rsidR="00D8391B" w:rsidRPr="00212528" w:rsidRDefault="00D8391B" w:rsidP="00D8391B">
      <w:pPr>
        <w:pStyle w:val="ListParagraph"/>
        <w:numPr>
          <w:ilvl w:val="0"/>
          <w:numId w:val="38"/>
        </w:numPr>
        <w:ind w:right="-483"/>
        <w:rPr>
          <w:bCs/>
          <w:szCs w:val="24"/>
        </w:rPr>
      </w:pPr>
      <w:r w:rsidRPr="00212528">
        <w:rPr>
          <w:bCs/>
          <w:szCs w:val="24"/>
        </w:rPr>
        <w:t xml:space="preserve">of First Nations descent, who is 30 years of age or older and with at least one additional risk factor; or </w:t>
      </w:r>
    </w:p>
    <w:p w14:paraId="694E516C" w14:textId="77777777" w:rsidR="00D8391B" w:rsidRPr="00212528" w:rsidRDefault="00D8391B" w:rsidP="00D8391B">
      <w:pPr>
        <w:pStyle w:val="ListParagraph"/>
        <w:numPr>
          <w:ilvl w:val="0"/>
          <w:numId w:val="38"/>
        </w:numPr>
        <w:ind w:right="-483"/>
        <w:rPr>
          <w:bCs/>
          <w:szCs w:val="24"/>
        </w:rPr>
      </w:pPr>
      <w:r w:rsidRPr="00212528">
        <w:rPr>
          <w:bCs/>
          <w:szCs w:val="24"/>
        </w:rPr>
        <w:lastRenderedPageBreak/>
        <w:t xml:space="preserve">18 years of age or older and who is moderately to severely immunocompromised. </w:t>
      </w:r>
    </w:p>
    <w:p w14:paraId="099F9D1C" w14:textId="77777777" w:rsidR="00903373" w:rsidRPr="00212528" w:rsidRDefault="00903373" w:rsidP="00903373">
      <w:pPr>
        <w:ind w:right="-483"/>
        <w:rPr>
          <w:bCs/>
          <w:szCs w:val="24"/>
        </w:rPr>
      </w:pPr>
    </w:p>
    <w:p w14:paraId="17098090" w14:textId="77777777" w:rsidR="00960AF1" w:rsidRPr="00212528" w:rsidRDefault="00960AF1" w:rsidP="00960AF1">
      <w:pPr>
        <w:ind w:right="-483"/>
        <w:rPr>
          <w:bCs/>
          <w:szCs w:val="24"/>
        </w:rPr>
      </w:pPr>
      <w:r w:rsidRPr="00212528">
        <w:rPr>
          <w:bCs/>
          <w:szCs w:val="24"/>
        </w:rPr>
        <w:t xml:space="preserve">The Government agreed to these changes 22 December 2022. The Amendment Determination will ensure people who are experiencing acute respiratory symptoms and are at a high risk of developing a severe illness as a result of a COVID-19 infection to access medical services when they need it most. </w:t>
      </w:r>
    </w:p>
    <w:p w14:paraId="7B739D1C" w14:textId="77777777" w:rsidR="00903373" w:rsidRPr="00212528" w:rsidRDefault="00903373" w:rsidP="00903373">
      <w:pPr>
        <w:ind w:right="-483"/>
        <w:rPr>
          <w:bCs/>
          <w:szCs w:val="24"/>
        </w:rPr>
      </w:pPr>
    </w:p>
    <w:p w14:paraId="1D5F3A07" w14:textId="77777777" w:rsidR="00903373" w:rsidRPr="00212528" w:rsidRDefault="00903373" w:rsidP="00903373">
      <w:pPr>
        <w:ind w:right="-483"/>
        <w:rPr>
          <w:bCs/>
          <w:i/>
          <w:iCs/>
          <w:szCs w:val="24"/>
        </w:rPr>
      </w:pPr>
      <w:r w:rsidRPr="00212528">
        <w:rPr>
          <w:bCs/>
          <w:i/>
          <w:iCs/>
          <w:szCs w:val="24"/>
        </w:rPr>
        <w:t xml:space="preserve">Examples of Risk Factors and Conditions for UMP Rule Exemption </w:t>
      </w:r>
    </w:p>
    <w:p w14:paraId="6941E5F3" w14:textId="77777777" w:rsidR="00903373" w:rsidRPr="00212528" w:rsidRDefault="00903373" w:rsidP="00903373">
      <w:pPr>
        <w:ind w:right="-483"/>
        <w:rPr>
          <w:bCs/>
          <w:szCs w:val="24"/>
        </w:rPr>
      </w:pPr>
    </w:p>
    <w:p w14:paraId="201F7917" w14:textId="77777777" w:rsidR="00903373" w:rsidRPr="00212528" w:rsidRDefault="00903373" w:rsidP="00903373">
      <w:pPr>
        <w:ind w:right="-483"/>
        <w:rPr>
          <w:bCs/>
          <w:szCs w:val="24"/>
        </w:rPr>
      </w:pPr>
      <w:r w:rsidRPr="00212528">
        <w:rPr>
          <w:bCs/>
          <w:szCs w:val="24"/>
        </w:rPr>
        <w:t>Risk factors for people over 70, 50 or 30 years of age can include:</w:t>
      </w:r>
    </w:p>
    <w:p w14:paraId="72752AB7" w14:textId="77777777" w:rsidR="00903373" w:rsidRPr="00212528" w:rsidRDefault="00903373" w:rsidP="00903373">
      <w:pPr>
        <w:numPr>
          <w:ilvl w:val="0"/>
          <w:numId w:val="34"/>
        </w:numPr>
        <w:ind w:right="-483"/>
        <w:rPr>
          <w:bCs/>
          <w:szCs w:val="24"/>
        </w:rPr>
      </w:pPr>
      <w:r w:rsidRPr="00212528">
        <w:rPr>
          <w:bCs/>
          <w:szCs w:val="24"/>
        </w:rPr>
        <w:t>living in residential aged care;</w:t>
      </w:r>
    </w:p>
    <w:p w14:paraId="13F493A3" w14:textId="77777777" w:rsidR="00903373" w:rsidRPr="00212528" w:rsidRDefault="00903373" w:rsidP="00903373">
      <w:pPr>
        <w:numPr>
          <w:ilvl w:val="0"/>
          <w:numId w:val="34"/>
        </w:numPr>
        <w:ind w:right="-483"/>
        <w:rPr>
          <w:bCs/>
          <w:szCs w:val="24"/>
        </w:rPr>
      </w:pPr>
      <w:r w:rsidRPr="00212528">
        <w:rPr>
          <w:bCs/>
          <w:szCs w:val="24"/>
        </w:rPr>
        <w:t>living with disability with multiple conditions and/or frailty (but not limited to living in supported accommodation);</w:t>
      </w:r>
    </w:p>
    <w:p w14:paraId="28D09016" w14:textId="77777777" w:rsidR="00903373" w:rsidRPr="00212528" w:rsidRDefault="00903373" w:rsidP="00903373">
      <w:pPr>
        <w:numPr>
          <w:ilvl w:val="0"/>
          <w:numId w:val="34"/>
        </w:numPr>
        <w:ind w:right="-483"/>
        <w:rPr>
          <w:bCs/>
          <w:szCs w:val="24"/>
        </w:rPr>
      </w:pPr>
      <w:r w:rsidRPr="00212528">
        <w:rPr>
          <w:bCs/>
          <w:szCs w:val="24"/>
        </w:rPr>
        <w:t>neurological conditions like stroke or dementia and demyelinating conditions e.g. multiple sclerosis, Guillain-Barre Syndrome;</w:t>
      </w:r>
    </w:p>
    <w:p w14:paraId="6434547C" w14:textId="77777777" w:rsidR="00903373" w:rsidRPr="00212528" w:rsidRDefault="00903373" w:rsidP="00903373">
      <w:pPr>
        <w:numPr>
          <w:ilvl w:val="0"/>
          <w:numId w:val="34"/>
        </w:numPr>
        <w:ind w:right="-483"/>
        <w:rPr>
          <w:bCs/>
          <w:szCs w:val="24"/>
        </w:rPr>
      </w:pPr>
      <w:r w:rsidRPr="00212528">
        <w:rPr>
          <w:bCs/>
          <w:szCs w:val="24"/>
        </w:rPr>
        <w:t>chronic respiratory conditions including COPD, moderate or severe asthma;</w:t>
      </w:r>
    </w:p>
    <w:p w14:paraId="469A179A" w14:textId="77777777" w:rsidR="00903373" w:rsidRPr="00212528" w:rsidRDefault="00903373" w:rsidP="00903373">
      <w:pPr>
        <w:numPr>
          <w:ilvl w:val="0"/>
          <w:numId w:val="34"/>
        </w:numPr>
        <w:ind w:right="-483"/>
        <w:rPr>
          <w:bCs/>
          <w:szCs w:val="24"/>
        </w:rPr>
      </w:pPr>
      <w:r w:rsidRPr="00212528">
        <w:rPr>
          <w:bCs/>
          <w:szCs w:val="24"/>
        </w:rPr>
        <w:t>obesity or diabetes (type I or II requiring medication);</w:t>
      </w:r>
    </w:p>
    <w:p w14:paraId="208840C5" w14:textId="77777777" w:rsidR="00903373" w:rsidRPr="00212528" w:rsidRDefault="00903373" w:rsidP="00903373">
      <w:pPr>
        <w:numPr>
          <w:ilvl w:val="0"/>
          <w:numId w:val="34"/>
        </w:numPr>
        <w:ind w:right="-483"/>
        <w:rPr>
          <w:bCs/>
          <w:szCs w:val="24"/>
        </w:rPr>
      </w:pPr>
      <w:r w:rsidRPr="00212528">
        <w:rPr>
          <w:bCs/>
          <w:szCs w:val="24"/>
        </w:rPr>
        <w:t>heart failure, coronary artery disease, cardiomyopathies;</w:t>
      </w:r>
    </w:p>
    <w:p w14:paraId="26298688" w14:textId="77777777" w:rsidR="00903373" w:rsidRPr="00212528" w:rsidRDefault="00903373" w:rsidP="00903373">
      <w:pPr>
        <w:numPr>
          <w:ilvl w:val="0"/>
          <w:numId w:val="34"/>
        </w:numPr>
        <w:ind w:right="-483"/>
        <w:rPr>
          <w:bCs/>
          <w:szCs w:val="24"/>
        </w:rPr>
      </w:pPr>
      <w:r w:rsidRPr="00212528">
        <w:rPr>
          <w:bCs/>
          <w:szCs w:val="24"/>
        </w:rPr>
        <w:t>kidney failure or cirrhosis; and/or</w:t>
      </w:r>
    </w:p>
    <w:p w14:paraId="221AD564" w14:textId="77777777" w:rsidR="00903373" w:rsidRPr="00212528" w:rsidRDefault="00903373" w:rsidP="00903373">
      <w:pPr>
        <w:numPr>
          <w:ilvl w:val="0"/>
          <w:numId w:val="34"/>
        </w:numPr>
        <w:ind w:right="-483"/>
        <w:rPr>
          <w:bCs/>
          <w:szCs w:val="24"/>
        </w:rPr>
      </w:pPr>
      <w:r w:rsidRPr="00212528">
        <w:rPr>
          <w:bCs/>
          <w:szCs w:val="24"/>
        </w:rPr>
        <w:t>living remotely with reduced access to higher level healthcare.</w:t>
      </w:r>
    </w:p>
    <w:p w14:paraId="7A7929D4" w14:textId="77777777" w:rsidR="00903373" w:rsidRPr="00212528" w:rsidRDefault="00903373" w:rsidP="00903373">
      <w:pPr>
        <w:ind w:right="-483"/>
        <w:rPr>
          <w:bCs/>
          <w:szCs w:val="24"/>
        </w:rPr>
      </w:pPr>
    </w:p>
    <w:p w14:paraId="15469551" w14:textId="77777777" w:rsidR="00903373" w:rsidRPr="00212528" w:rsidRDefault="00903373" w:rsidP="00903373">
      <w:pPr>
        <w:ind w:right="-483"/>
        <w:rPr>
          <w:bCs/>
          <w:szCs w:val="24"/>
        </w:rPr>
      </w:pPr>
      <w:r w:rsidRPr="00212528">
        <w:rPr>
          <w:bCs/>
          <w:szCs w:val="24"/>
        </w:rPr>
        <w:t>Conditions for people 18 years of age or older who are moderately to severely immunocompromised include:</w:t>
      </w:r>
    </w:p>
    <w:p w14:paraId="4FDAFC19" w14:textId="77777777" w:rsidR="00903373" w:rsidRPr="00212528" w:rsidRDefault="00903373" w:rsidP="00903373">
      <w:pPr>
        <w:numPr>
          <w:ilvl w:val="0"/>
          <w:numId w:val="36"/>
        </w:numPr>
        <w:ind w:right="-483"/>
        <w:rPr>
          <w:bCs/>
          <w:szCs w:val="24"/>
        </w:rPr>
      </w:pPr>
      <w:r w:rsidRPr="00212528">
        <w:rPr>
          <w:bCs/>
          <w:szCs w:val="24"/>
        </w:rPr>
        <w:t>blood cancer or some red blood cell disorders (thalassemia, sickle cell disease);</w:t>
      </w:r>
    </w:p>
    <w:p w14:paraId="1F06235A" w14:textId="77777777" w:rsidR="00903373" w:rsidRPr="00212528" w:rsidRDefault="00903373" w:rsidP="00903373">
      <w:pPr>
        <w:numPr>
          <w:ilvl w:val="0"/>
          <w:numId w:val="36"/>
        </w:numPr>
        <w:ind w:right="-483"/>
        <w:rPr>
          <w:bCs/>
          <w:szCs w:val="24"/>
        </w:rPr>
      </w:pPr>
      <w:r w:rsidRPr="00212528">
        <w:rPr>
          <w:bCs/>
          <w:szCs w:val="24"/>
        </w:rPr>
        <w:t>transplant recipient;</w:t>
      </w:r>
    </w:p>
    <w:p w14:paraId="4986E61F" w14:textId="77777777" w:rsidR="00903373" w:rsidRPr="00212528" w:rsidRDefault="00903373" w:rsidP="00903373">
      <w:pPr>
        <w:numPr>
          <w:ilvl w:val="0"/>
          <w:numId w:val="36"/>
        </w:numPr>
        <w:ind w:right="-483"/>
        <w:rPr>
          <w:bCs/>
          <w:szCs w:val="24"/>
        </w:rPr>
      </w:pPr>
      <w:r w:rsidRPr="00212528">
        <w:rPr>
          <w:bCs/>
          <w:szCs w:val="24"/>
        </w:rPr>
        <w:t>primary or acquired (HIV) immunodeficiency;</w:t>
      </w:r>
    </w:p>
    <w:p w14:paraId="57371677" w14:textId="77777777" w:rsidR="00903373" w:rsidRPr="00212528" w:rsidRDefault="00903373" w:rsidP="00903373">
      <w:pPr>
        <w:numPr>
          <w:ilvl w:val="0"/>
          <w:numId w:val="36"/>
        </w:numPr>
        <w:ind w:right="-483"/>
        <w:rPr>
          <w:bCs/>
          <w:szCs w:val="24"/>
        </w:rPr>
      </w:pPr>
      <w:r w:rsidRPr="00212528">
        <w:rPr>
          <w:bCs/>
          <w:szCs w:val="24"/>
        </w:rPr>
        <w:t>chemotherapy or whole-body radiotherapy in the last 3 months;</w:t>
      </w:r>
    </w:p>
    <w:p w14:paraId="7765BFF3" w14:textId="77777777" w:rsidR="00903373" w:rsidRPr="00212528" w:rsidRDefault="00903373" w:rsidP="00903373">
      <w:pPr>
        <w:numPr>
          <w:ilvl w:val="0"/>
          <w:numId w:val="36"/>
        </w:numPr>
        <w:ind w:right="-483"/>
        <w:rPr>
          <w:bCs/>
          <w:szCs w:val="24"/>
        </w:rPr>
      </w:pPr>
      <w:r w:rsidRPr="00212528">
        <w:rPr>
          <w:bCs/>
          <w:szCs w:val="24"/>
        </w:rPr>
        <w:t>high dose corticosteroids or pulse corticosteroid therapy in the last 3 months;</w:t>
      </w:r>
    </w:p>
    <w:p w14:paraId="1581BCA0" w14:textId="77777777" w:rsidR="00903373" w:rsidRPr="00212528" w:rsidRDefault="00903373" w:rsidP="00903373">
      <w:pPr>
        <w:numPr>
          <w:ilvl w:val="0"/>
          <w:numId w:val="36"/>
        </w:numPr>
        <w:ind w:right="-483"/>
        <w:rPr>
          <w:bCs/>
          <w:szCs w:val="24"/>
        </w:rPr>
      </w:pPr>
      <w:r w:rsidRPr="00212528">
        <w:rPr>
          <w:bCs/>
          <w:szCs w:val="24"/>
        </w:rPr>
        <w:t>immunosuppressive treatments in the last 3 months;</w:t>
      </w:r>
    </w:p>
    <w:p w14:paraId="2D2DF69B" w14:textId="77777777" w:rsidR="00903373" w:rsidRPr="00212528" w:rsidRDefault="00903373" w:rsidP="00903373">
      <w:pPr>
        <w:numPr>
          <w:ilvl w:val="0"/>
          <w:numId w:val="36"/>
        </w:numPr>
        <w:ind w:right="-483"/>
        <w:rPr>
          <w:bCs/>
          <w:szCs w:val="24"/>
        </w:rPr>
      </w:pPr>
      <w:r w:rsidRPr="00212528">
        <w:rPr>
          <w:bCs/>
          <w:szCs w:val="24"/>
        </w:rPr>
        <w:t>rituximab in the last 12 months;</w:t>
      </w:r>
    </w:p>
    <w:p w14:paraId="575A5FCA" w14:textId="77777777" w:rsidR="00903373" w:rsidRPr="00212528" w:rsidRDefault="00903373" w:rsidP="00903373">
      <w:pPr>
        <w:numPr>
          <w:ilvl w:val="0"/>
          <w:numId w:val="36"/>
        </w:numPr>
        <w:ind w:right="-483"/>
        <w:rPr>
          <w:bCs/>
          <w:szCs w:val="24"/>
        </w:rPr>
      </w:pPr>
      <w:r w:rsidRPr="00212528">
        <w:rPr>
          <w:bCs/>
          <w:szCs w:val="24"/>
        </w:rPr>
        <w:t>cerebral palsy or Down Syndrome;</w:t>
      </w:r>
    </w:p>
    <w:p w14:paraId="4119AD29" w14:textId="77777777" w:rsidR="00903373" w:rsidRPr="00212528" w:rsidRDefault="00903373" w:rsidP="00903373">
      <w:pPr>
        <w:numPr>
          <w:ilvl w:val="0"/>
          <w:numId w:val="36"/>
        </w:numPr>
        <w:ind w:right="-483"/>
        <w:rPr>
          <w:bCs/>
          <w:szCs w:val="24"/>
        </w:rPr>
      </w:pPr>
      <w:r w:rsidRPr="00212528">
        <w:rPr>
          <w:bCs/>
          <w:szCs w:val="24"/>
        </w:rPr>
        <w:t>congenital heart disease; and/or</w:t>
      </w:r>
    </w:p>
    <w:p w14:paraId="1114E380" w14:textId="77777777" w:rsidR="00903373" w:rsidRPr="00212528" w:rsidRDefault="00903373" w:rsidP="00903373">
      <w:pPr>
        <w:numPr>
          <w:ilvl w:val="0"/>
          <w:numId w:val="36"/>
        </w:numPr>
        <w:ind w:right="-483"/>
        <w:rPr>
          <w:bCs/>
          <w:szCs w:val="24"/>
        </w:rPr>
      </w:pPr>
      <w:r w:rsidRPr="00212528">
        <w:rPr>
          <w:bCs/>
          <w:szCs w:val="24"/>
        </w:rPr>
        <w:t>living with disability with multiple conditions and/or frailty.</w:t>
      </w:r>
    </w:p>
    <w:p w14:paraId="31515278" w14:textId="28FBF7FC" w:rsidR="007708B3" w:rsidRPr="00212528" w:rsidRDefault="007708B3" w:rsidP="002A6C77">
      <w:pPr>
        <w:ind w:right="-482"/>
        <w:rPr>
          <w:iCs/>
        </w:rPr>
      </w:pPr>
    </w:p>
    <w:p w14:paraId="2412D15C" w14:textId="50D38E8B" w:rsidR="00A17F2C" w:rsidRPr="00212528" w:rsidRDefault="00A17F2C" w:rsidP="002A6C77">
      <w:pPr>
        <w:ind w:right="-482"/>
        <w:rPr>
          <w:b/>
          <w:szCs w:val="24"/>
        </w:rPr>
      </w:pPr>
      <w:r w:rsidRPr="00212528">
        <w:rPr>
          <w:b/>
          <w:szCs w:val="24"/>
        </w:rPr>
        <w:t>Human rights implications</w:t>
      </w:r>
    </w:p>
    <w:p w14:paraId="449665F0" w14:textId="2ED3F54B" w:rsidR="00806020" w:rsidRPr="00212528" w:rsidRDefault="00806020" w:rsidP="00806020">
      <w:pPr>
        <w:spacing w:before="120" w:after="120"/>
        <w:rPr>
          <w:szCs w:val="24"/>
        </w:rPr>
      </w:pPr>
      <w:r w:rsidRPr="00212528">
        <w:rPr>
          <w:szCs w:val="24"/>
        </w:rPr>
        <w:t xml:space="preserve">This instrument engages Articles 9 and 12 of the International Covenant on Economic Social and Cultural Rights (ICESCR), specifically the rights to health and social security. </w:t>
      </w:r>
    </w:p>
    <w:p w14:paraId="2412D15E" w14:textId="1567A7A0" w:rsidR="00A17F2C" w:rsidRPr="00212528" w:rsidRDefault="00A17F2C" w:rsidP="00806020">
      <w:pPr>
        <w:spacing w:before="120" w:after="120"/>
        <w:rPr>
          <w:i/>
          <w:szCs w:val="24"/>
        </w:rPr>
      </w:pPr>
      <w:r w:rsidRPr="00212528">
        <w:rPr>
          <w:i/>
          <w:szCs w:val="24"/>
        </w:rPr>
        <w:t>The Right to Health</w:t>
      </w:r>
    </w:p>
    <w:p w14:paraId="2412D15F" w14:textId="77777777" w:rsidR="00A17F2C" w:rsidRPr="00212528" w:rsidRDefault="00A17F2C" w:rsidP="000337CB">
      <w:pPr>
        <w:spacing w:before="120" w:after="120"/>
        <w:rPr>
          <w:szCs w:val="24"/>
        </w:rPr>
      </w:pPr>
      <w:r w:rsidRPr="00212528">
        <w:rPr>
          <w:szCs w:val="24"/>
        </w:rPr>
        <w:t xml:space="preserve">The right to the enjoyment of the highest attainable standard of physical and mental health is contained in Article 12(1) of the ICESCR. The UN Committee on Economic Social and Cultural Rights (the Committee) has stated that the right to health is not a right for each individual to be healthy, but is a right to a system of health protection which provides equality of opportunity for people to enjoy the highest attainable level of health. </w:t>
      </w:r>
    </w:p>
    <w:p w14:paraId="2412D160" w14:textId="77777777" w:rsidR="00A17F2C" w:rsidRPr="00212528" w:rsidRDefault="00A17F2C" w:rsidP="000337CB">
      <w:pPr>
        <w:spacing w:before="120" w:after="120"/>
        <w:rPr>
          <w:szCs w:val="24"/>
        </w:rPr>
      </w:pPr>
      <w:r w:rsidRPr="00212528">
        <w:rPr>
          <w:szCs w:val="24"/>
        </w:rPr>
        <w:t xml:space="preserve">The Committee reports that the </w:t>
      </w:r>
      <w:r w:rsidRPr="00212528">
        <w:rPr>
          <w:i/>
          <w:szCs w:val="24"/>
        </w:rPr>
        <w:t>‘highest attainable standard of health’</w:t>
      </w:r>
      <w:r w:rsidRPr="00212528">
        <w:rPr>
          <w:szCs w:val="24"/>
        </w:rPr>
        <w:t xml:space="preserve"> takes into account the country’s available resources. This right may be understood as a right of access to a variety of public health and health care facilities, goods, services, programs, and conditions necessary for the realisation of the highest attainable standard of health. </w:t>
      </w:r>
    </w:p>
    <w:p w14:paraId="2412D161" w14:textId="0585490B" w:rsidR="00A17F2C" w:rsidRPr="00212528" w:rsidRDefault="00A17F2C" w:rsidP="000337CB">
      <w:pPr>
        <w:spacing w:before="120" w:after="120"/>
        <w:rPr>
          <w:i/>
          <w:szCs w:val="24"/>
        </w:rPr>
      </w:pPr>
      <w:r w:rsidRPr="00212528">
        <w:rPr>
          <w:i/>
          <w:szCs w:val="24"/>
        </w:rPr>
        <w:t xml:space="preserve">The Right to Social Security </w:t>
      </w:r>
    </w:p>
    <w:p w14:paraId="2412D162" w14:textId="77777777" w:rsidR="00A17F2C" w:rsidRPr="00212528" w:rsidRDefault="00A17F2C" w:rsidP="000337CB">
      <w:pPr>
        <w:spacing w:before="120" w:after="120"/>
        <w:rPr>
          <w:szCs w:val="24"/>
        </w:rPr>
      </w:pPr>
      <w:r w:rsidRPr="00212528">
        <w:rPr>
          <w:szCs w:val="24"/>
        </w:rPr>
        <w:lastRenderedPageBreak/>
        <w:t>The right to social security is contained in Article 9 of the ICESCR. It requires that a country must, within its maximum available resources, ensure access to a social security scheme that</w:t>
      </w:r>
      <w:r w:rsidR="00BA69CB" w:rsidRPr="00212528">
        <w:rPr>
          <w:szCs w:val="24"/>
        </w:rPr>
        <w:t xml:space="preserve"> </w:t>
      </w:r>
      <w:r w:rsidRPr="00212528">
        <w:rPr>
          <w:szCs w:val="24"/>
        </w:rPr>
        <w:t>provides a minimum essential level of benefits to all individuals and families that will enable them to acquire at least essential health care. Countries are obliged to demonstrate that every effort has been made to use all resources that are at their disposal in an effort to satisfy, as a matter of priority, this minimum obligation.</w:t>
      </w:r>
    </w:p>
    <w:p w14:paraId="0345FFEA" w14:textId="2A5A9406" w:rsidR="00A46B56" w:rsidRPr="00212528" w:rsidRDefault="00A17F2C" w:rsidP="000337CB">
      <w:pPr>
        <w:spacing w:before="120" w:after="120"/>
        <w:rPr>
          <w:szCs w:val="24"/>
        </w:rPr>
      </w:pPr>
      <w:r w:rsidRPr="00212528">
        <w:rPr>
          <w:szCs w:val="24"/>
        </w:rPr>
        <w:t xml:space="preserve">The Committee reports that there is a strong presumption that retrogressive measures taken in relation to the right to social security are prohibited under ICESCR. In this context, a retrogressive measure would be one taken without adequate justification that had the effect of reducing existing levels of social security benefits, or of denying benefits to persons or groups previously entitled to them. However, it is legitimate for a </w:t>
      </w:r>
      <w:proofErr w:type="gramStart"/>
      <w:r w:rsidRPr="00212528">
        <w:rPr>
          <w:szCs w:val="24"/>
        </w:rPr>
        <w:t>Government</w:t>
      </w:r>
      <w:proofErr w:type="gramEnd"/>
      <w:r w:rsidRPr="00212528">
        <w:rPr>
          <w:szCs w:val="24"/>
        </w:rPr>
        <w:t xml:space="preserve"> to re-direct its limited resources in ways that it considers to be more effective at meeting the general health needs of all society, particularly the needs of the more disadvantaged members of society.</w:t>
      </w:r>
    </w:p>
    <w:p w14:paraId="6F845A27" w14:textId="77777777" w:rsidR="00A46B56" w:rsidRPr="00212528" w:rsidRDefault="00A46B56" w:rsidP="00A46B56">
      <w:pPr>
        <w:shd w:val="clear" w:color="auto" w:fill="FFFFFF"/>
        <w:spacing w:before="120" w:after="120"/>
        <w:rPr>
          <w:szCs w:val="24"/>
        </w:rPr>
      </w:pPr>
      <w:r w:rsidRPr="00212528">
        <w:rPr>
          <w:i/>
          <w:iCs/>
          <w:szCs w:val="24"/>
        </w:rPr>
        <w:t>The right of equality and non-discrimination</w:t>
      </w:r>
    </w:p>
    <w:p w14:paraId="11907FD2" w14:textId="43837338" w:rsidR="00A46B56" w:rsidRPr="00212528" w:rsidRDefault="00A46B56" w:rsidP="00A46B56">
      <w:pPr>
        <w:spacing w:before="120" w:after="120"/>
        <w:rPr>
          <w:szCs w:val="24"/>
        </w:rPr>
      </w:pPr>
      <w:r w:rsidRPr="00212528">
        <w:rPr>
          <w:szCs w:val="24"/>
        </w:rPr>
        <w:t>The rights of equality and non-discrimination are contained in articles 2, 16 and 26 of the International Covenant on Civil and Political Rights (ICCPR).  Article 26 of the ICCPR requires that all persons are equal before the law, are entitled without any discrimination to the equal protection of the law and in this respect, the law shall prohibit any discrimination and guarantee to all persons equal and effective protection against discrimination on any ground such as race, colour, sex, language, religion, political or other opinion, national or social origin, property, birth or other status.</w:t>
      </w:r>
    </w:p>
    <w:p w14:paraId="2412D164" w14:textId="1BF78036" w:rsidR="00A17F2C" w:rsidRPr="00212528" w:rsidRDefault="00A17F2C" w:rsidP="000337CB">
      <w:pPr>
        <w:spacing w:before="120" w:after="120"/>
        <w:rPr>
          <w:szCs w:val="24"/>
          <w:u w:val="single"/>
        </w:rPr>
      </w:pPr>
      <w:r w:rsidRPr="00212528">
        <w:rPr>
          <w:szCs w:val="24"/>
          <w:u w:val="single"/>
        </w:rPr>
        <w:t xml:space="preserve">Analysis </w:t>
      </w:r>
    </w:p>
    <w:p w14:paraId="5CED5F70" w14:textId="3F8A2F76" w:rsidR="0079191B" w:rsidRPr="00212528" w:rsidRDefault="00806020" w:rsidP="00302F5C">
      <w:pPr>
        <w:rPr>
          <w:szCs w:val="24"/>
        </w:rPr>
      </w:pPr>
      <w:r w:rsidRPr="00212528">
        <w:rPr>
          <w:szCs w:val="24"/>
        </w:rPr>
        <w:t xml:space="preserve">This instrument will </w:t>
      </w:r>
      <w:r w:rsidR="00B15781" w:rsidRPr="00212528">
        <w:rPr>
          <w:szCs w:val="24"/>
        </w:rPr>
        <w:t xml:space="preserve">reflect </w:t>
      </w:r>
      <w:r w:rsidR="00B15781" w:rsidRPr="00212528">
        <w:t>contemporary clinical practice</w:t>
      </w:r>
      <w:r w:rsidR="00B15781" w:rsidRPr="00212528">
        <w:rPr>
          <w:szCs w:val="24"/>
        </w:rPr>
        <w:t xml:space="preserve"> to ensure that patients </w:t>
      </w:r>
      <w:r w:rsidR="007C7403" w:rsidRPr="00212528">
        <w:rPr>
          <w:szCs w:val="24"/>
        </w:rPr>
        <w:t xml:space="preserve">continue to </w:t>
      </w:r>
      <w:r w:rsidR="00B15781" w:rsidRPr="00212528">
        <w:rPr>
          <w:szCs w:val="24"/>
        </w:rPr>
        <w:t>have access to</w:t>
      </w:r>
      <w:r w:rsidRPr="00212528">
        <w:rPr>
          <w:szCs w:val="24"/>
        </w:rPr>
        <w:t xml:space="preserve"> health and social security </w:t>
      </w:r>
      <w:r w:rsidR="00B15781" w:rsidRPr="00212528">
        <w:rPr>
          <w:szCs w:val="24"/>
        </w:rPr>
        <w:t xml:space="preserve">through relevant </w:t>
      </w:r>
      <w:r w:rsidR="00C67BC7" w:rsidRPr="00212528">
        <w:rPr>
          <w:szCs w:val="24"/>
        </w:rPr>
        <w:t xml:space="preserve">subsidised </w:t>
      </w:r>
      <w:r w:rsidR="0039493F" w:rsidRPr="00212528">
        <w:rPr>
          <w:szCs w:val="24"/>
        </w:rPr>
        <w:t>general medical</w:t>
      </w:r>
      <w:r w:rsidR="00C67BC7" w:rsidRPr="00212528">
        <w:rPr>
          <w:szCs w:val="24"/>
        </w:rPr>
        <w:t xml:space="preserve"> services </w:t>
      </w:r>
      <w:r w:rsidR="0039170C" w:rsidRPr="00212528">
        <w:rPr>
          <w:szCs w:val="24"/>
        </w:rPr>
        <w:t xml:space="preserve">on the Medicare Benefits Schedule. </w:t>
      </w:r>
    </w:p>
    <w:p w14:paraId="2412D166" w14:textId="1973400E" w:rsidR="00A17F2C" w:rsidRPr="00212528" w:rsidRDefault="00A17F2C" w:rsidP="004B7CB9">
      <w:pPr>
        <w:spacing w:before="120" w:after="120" w:line="276" w:lineRule="auto"/>
        <w:rPr>
          <w:rFonts w:eastAsia="Calibri"/>
          <w:b/>
          <w:szCs w:val="24"/>
          <w:lang w:eastAsia="en-US"/>
        </w:rPr>
      </w:pPr>
      <w:r w:rsidRPr="00212528">
        <w:rPr>
          <w:rFonts w:eastAsia="Calibri"/>
          <w:b/>
          <w:szCs w:val="24"/>
          <w:lang w:eastAsia="en-US"/>
        </w:rPr>
        <w:t xml:space="preserve">Conclusion </w:t>
      </w:r>
    </w:p>
    <w:p w14:paraId="2412D167" w14:textId="21A7E23F" w:rsidR="00A17F2C" w:rsidRPr="00212528" w:rsidRDefault="006E6BBF" w:rsidP="000337CB">
      <w:pPr>
        <w:rPr>
          <w:szCs w:val="24"/>
        </w:rPr>
      </w:pPr>
      <w:r w:rsidRPr="00212528">
        <w:rPr>
          <w:szCs w:val="24"/>
        </w:rPr>
        <w:t xml:space="preserve">This </w:t>
      </w:r>
      <w:r w:rsidR="0046022A" w:rsidRPr="00212528">
        <w:rPr>
          <w:szCs w:val="24"/>
        </w:rPr>
        <w:t>instrument</w:t>
      </w:r>
      <w:r w:rsidRPr="00212528">
        <w:rPr>
          <w:szCs w:val="24"/>
        </w:rPr>
        <w:t xml:space="preserve"> </w:t>
      </w:r>
      <w:r w:rsidR="00F15284" w:rsidRPr="00212528">
        <w:rPr>
          <w:szCs w:val="24"/>
        </w:rPr>
        <w:t xml:space="preserve">is compatible with human rights as it </w:t>
      </w:r>
      <w:r w:rsidR="007C7403" w:rsidRPr="00212528">
        <w:rPr>
          <w:szCs w:val="24"/>
        </w:rPr>
        <w:t xml:space="preserve">maintains the </w:t>
      </w:r>
      <w:r w:rsidR="00910EF6" w:rsidRPr="00212528">
        <w:rPr>
          <w:szCs w:val="24"/>
        </w:rPr>
        <w:t xml:space="preserve">right to health and the right to social security. </w:t>
      </w:r>
    </w:p>
    <w:p w14:paraId="2412D168" w14:textId="77777777" w:rsidR="00F15284" w:rsidRPr="00212528" w:rsidRDefault="00F15284" w:rsidP="000337CB">
      <w:pPr>
        <w:rPr>
          <w:rFonts w:eastAsia="Calibri"/>
          <w:szCs w:val="24"/>
          <w:lang w:eastAsia="en-US"/>
        </w:rPr>
      </w:pPr>
    </w:p>
    <w:p w14:paraId="75A46380" w14:textId="77777777" w:rsidR="00C67BC7" w:rsidRPr="00212528" w:rsidRDefault="00C67BC7" w:rsidP="000F2948">
      <w:pPr>
        <w:jc w:val="center"/>
        <w:rPr>
          <w:b/>
          <w:bCs/>
        </w:rPr>
      </w:pPr>
    </w:p>
    <w:p w14:paraId="56989AA0" w14:textId="77777777" w:rsidR="0039493F" w:rsidRPr="00212528" w:rsidRDefault="0039493F" w:rsidP="0039493F">
      <w:pPr>
        <w:jc w:val="center"/>
        <w:rPr>
          <w:b/>
          <w:bCs/>
        </w:rPr>
      </w:pPr>
      <w:r w:rsidRPr="00212528">
        <w:rPr>
          <w:b/>
          <w:bCs/>
        </w:rPr>
        <w:t>Travis Haslam</w:t>
      </w:r>
    </w:p>
    <w:p w14:paraId="3770D134" w14:textId="77777777" w:rsidR="0039493F" w:rsidRPr="00212528" w:rsidRDefault="0039493F" w:rsidP="0039493F">
      <w:pPr>
        <w:jc w:val="center"/>
        <w:rPr>
          <w:b/>
          <w:bCs/>
        </w:rPr>
      </w:pPr>
      <w:r w:rsidRPr="00212528">
        <w:rPr>
          <w:b/>
          <w:bCs/>
        </w:rPr>
        <w:t>Acting First Assistant Secretary</w:t>
      </w:r>
    </w:p>
    <w:p w14:paraId="7E169300" w14:textId="77777777" w:rsidR="0039493F" w:rsidRPr="00212528" w:rsidRDefault="0039493F" w:rsidP="0039493F">
      <w:pPr>
        <w:jc w:val="center"/>
        <w:rPr>
          <w:b/>
          <w:bCs/>
        </w:rPr>
      </w:pPr>
      <w:r w:rsidRPr="00212528">
        <w:rPr>
          <w:b/>
          <w:bCs/>
        </w:rPr>
        <w:t>Medical Benefits Division</w:t>
      </w:r>
    </w:p>
    <w:p w14:paraId="43126268" w14:textId="77777777" w:rsidR="0039493F" w:rsidRPr="00212528" w:rsidRDefault="0039493F" w:rsidP="0039493F">
      <w:pPr>
        <w:jc w:val="center"/>
        <w:rPr>
          <w:b/>
          <w:bCs/>
        </w:rPr>
      </w:pPr>
      <w:r w:rsidRPr="00212528">
        <w:rPr>
          <w:b/>
          <w:bCs/>
        </w:rPr>
        <w:t>Health Resourcing Group</w:t>
      </w:r>
    </w:p>
    <w:p w14:paraId="2412D16E" w14:textId="07AD5F93" w:rsidR="00636C51" w:rsidRPr="00212528" w:rsidRDefault="000F2948" w:rsidP="0039493F">
      <w:pPr>
        <w:jc w:val="center"/>
        <w:rPr>
          <w:b/>
          <w:bCs/>
        </w:rPr>
      </w:pPr>
      <w:r w:rsidRPr="00212528">
        <w:rPr>
          <w:b/>
          <w:bCs/>
        </w:rPr>
        <w:t>Department of Health</w:t>
      </w:r>
    </w:p>
    <w:sectPr w:rsidR="00636C51" w:rsidRPr="00212528" w:rsidSect="00B15781">
      <w:headerReference w:type="even" r:id="rId12"/>
      <w:headerReference w:type="default" r:id="rId13"/>
      <w:headerReference w:type="first" r:id="rId14"/>
      <w:pgSz w:w="11906" w:h="16838"/>
      <w:pgMar w:top="1440" w:right="1133" w:bottom="1440" w:left="1440" w:header="720" w:footer="720" w:gutter="0"/>
      <w:paperSrc w:first="7" w:other="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EEB54" w14:textId="77777777" w:rsidR="009B49BE" w:rsidRDefault="009B49BE">
      <w:r>
        <w:separator/>
      </w:r>
    </w:p>
  </w:endnote>
  <w:endnote w:type="continuationSeparator" w:id="0">
    <w:p w14:paraId="7F98B0FB" w14:textId="77777777" w:rsidR="009B49BE" w:rsidRDefault="009B4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etica Neue">
    <w:altName w:val="Arial"/>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E60D91" w14:textId="77777777" w:rsidR="009B49BE" w:rsidRDefault="009B49BE">
      <w:r>
        <w:separator/>
      </w:r>
    </w:p>
  </w:footnote>
  <w:footnote w:type="continuationSeparator" w:id="0">
    <w:p w14:paraId="3DAAF515" w14:textId="77777777" w:rsidR="009B49BE" w:rsidRDefault="009B49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2D176" w14:textId="45DBF4EF" w:rsidR="00A1739A" w:rsidRDefault="00A1739A" w:rsidP="00BD6F5F">
    <w:pPr>
      <w:pStyle w:val="Header"/>
      <w:jc w:val="center"/>
    </w:pPr>
    <w:r>
      <w:fldChar w:fldCharType="begin"/>
    </w:r>
    <w:r>
      <w:instrText xml:space="preserve"> PAGE  \* Arabic  \* MERGEFORMAT </w:instrText>
    </w:r>
    <w:r>
      <w:fldChar w:fldCharType="separate"/>
    </w:r>
    <w:r w:rsidR="00476510">
      <w:rPr>
        <w:noProof/>
      </w:rPr>
      <w:t>1</w:t>
    </w:r>
    <w:r>
      <w:fldChar w:fldCharType="end"/>
    </w:r>
  </w:p>
  <w:p w14:paraId="2412D177" w14:textId="77777777" w:rsidR="00A1739A" w:rsidRDefault="00A173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2D178" w14:textId="77777777" w:rsidR="001C35BC" w:rsidRDefault="001C35BC" w:rsidP="009D377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2412D179" w14:textId="77777777" w:rsidR="001C35BC" w:rsidRDefault="001C35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1527589"/>
      <w:docPartObj>
        <w:docPartGallery w:val="Page Numbers (Top of Page)"/>
        <w:docPartUnique/>
      </w:docPartObj>
    </w:sdtPr>
    <w:sdtEndPr>
      <w:rPr>
        <w:noProof/>
      </w:rPr>
    </w:sdtEndPr>
    <w:sdtContent>
      <w:p w14:paraId="2412D17A" w14:textId="52942954" w:rsidR="00E23B6B" w:rsidRDefault="00E23B6B">
        <w:pPr>
          <w:pStyle w:val="Header"/>
          <w:jc w:val="center"/>
        </w:pPr>
        <w:r>
          <w:fldChar w:fldCharType="begin"/>
        </w:r>
        <w:r>
          <w:instrText xml:space="preserve"> PAGE   \* MERGEFORMAT </w:instrText>
        </w:r>
        <w:r>
          <w:fldChar w:fldCharType="separate"/>
        </w:r>
        <w:r w:rsidR="00476510">
          <w:rPr>
            <w:noProof/>
          </w:rPr>
          <w:t>4</w:t>
        </w:r>
        <w:r>
          <w:rPr>
            <w:noProof/>
          </w:rPr>
          <w:fldChar w:fldCharType="end"/>
        </w:r>
      </w:p>
    </w:sdtContent>
  </w:sdt>
  <w:p w14:paraId="2412D17B" w14:textId="77777777" w:rsidR="001C35BC" w:rsidRDefault="001C35BC" w:rsidP="00E23B6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2389212"/>
      <w:docPartObj>
        <w:docPartGallery w:val="Page Numbers (Top of Page)"/>
        <w:docPartUnique/>
      </w:docPartObj>
    </w:sdtPr>
    <w:sdtEndPr>
      <w:rPr>
        <w:noProof/>
      </w:rPr>
    </w:sdtEndPr>
    <w:sdtContent>
      <w:p w14:paraId="2412D17C" w14:textId="3EF9A7C2" w:rsidR="00E23B6B" w:rsidRDefault="00E23B6B">
        <w:pPr>
          <w:pStyle w:val="Header"/>
          <w:jc w:val="center"/>
        </w:pPr>
        <w:r>
          <w:fldChar w:fldCharType="begin"/>
        </w:r>
        <w:r>
          <w:instrText xml:space="preserve"> PAGE   \* MERGEFORMAT </w:instrText>
        </w:r>
        <w:r>
          <w:fldChar w:fldCharType="separate"/>
        </w:r>
        <w:r w:rsidR="00476510">
          <w:rPr>
            <w:noProof/>
          </w:rPr>
          <w:t>3</w:t>
        </w:r>
        <w:r>
          <w:rPr>
            <w:noProof/>
          </w:rPr>
          <w:fldChar w:fldCharType="end"/>
        </w:r>
      </w:p>
    </w:sdtContent>
  </w:sdt>
  <w:p w14:paraId="2412D17D" w14:textId="77777777" w:rsidR="00BA67DC" w:rsidRDefault="00BA67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23F34"/>
    <w:multiLevelType w:val="hybridMultilevel"/>
    <w:tmpl w:val="C76C1D78"/>
    <w:lvl w:ilvl="0" w:tplc="0CCC3EE2">
      <w:start w:val="1"/>
      <w:numFmt w:val="lowerRoman"/>
      <w:lvlText w:val="(%1)"/>
      <w:lvlJc w:val="left"/>
      <w:pPr>
        <w:ind w:left="1974" w:hanging="720"/>
      </w:pPr>
    </w:lvl>
    <w:lvl w:ilvl="1" w:tplc="0C090019">
      <w:start w:val="1"/>
      <w:numFmt w:val="lowerLetter"/>
      <w:lvlText w:val="%2."/>
      <w:lvlJc w:val="left"/>
      <w:pPr>
        <w:ind w:left="2334" w:hanging="360"/>
      </w:pPr>
    </w:lvl>
    <w:lvl w:ilvl="2" w:tplc="0C09001B">
      <w:start w:val="1"/>
      <w:numFmt w:val="lowerRoman"/>
      <w:lvlText w:val="%3."/>
      <w:lvlJc w:val="right"/>
      <w:pPr>
        <w:ind w:left="3054" w:hanging="180"/>
      </w:pPr>
    </w:lvl>
    <w:lvl w:ilvl="3" w:tplc="0C09000F">
      <w:start w:val="1"/>
      <w:numFmt w:val="decimal"/>
      <w:lvlText w:val="%4."/>
      <w:lvlJc w:val="left"/>
      <w:pPr>
        <w:ind w:left="3774" w:hanging="360"/>
      </w:pPr>
    </w:lvl>
    <w:lvl w:ilvl="4" w:tplc="0C090019">
      <w:start w:val="1"/>
      <w:numFmt w:val="lowerLetter"/>
      <w:lvlText w:val="%5."/>
      <w:lvlJc w:val="left"/>
      <w:pPr>
        <w:ind w:left="4494" w:hanging="360"/>
      </w:pPr>
    </w:lvl>
    <w:lvl w:ilvl="5" w:tplc="0C09001B">
      <w:start w:val="1"/>
      <w:numFmt w:val="lowerRoman"/>
      <w:lvlText w:val="%6."/>
      <w:lvlJc w:val="right"/>
      <w:pPr>
        <w:ind w:left="5214" w:hanging="180"/>
      </w:pPr>
    </w:lvl>
    <w:lvl w:ilvl="6" w:tplc="0C09000F">
      <w:start w:val="1"/>
      <w:numFmt w:val="decimal"/>
      <w:lvlText w:val="%7."/>
      <w:lvlJc w:val="left"/>
      <w:pPr>
        <w:ind w:left="5934" w:hanging="360"/>
      </w:pPr>
    </w:lvl>
    <w:lvl w:ilvl="7" w:tplc="0C090019">
      <w:start w:val="1"/>
      <w:numFmt w:val="lowerLetter"/>
      <w:lvlText w:val="%8."/>
      <w:lvlJc w:val="left"/>
      <w:pPr>
        <w:ind w:left="6654" w:hanging="360"/>
      </w:pPr>
    </w:lvl>
    <w:lvl w:ilvl="8" w:tplc="0C09001B">
      <w:start w:val="1"/>
      <w:numFmt w:val="lowerRoman"/>
      <w:lvlText w:val="%9."/>
      <w:lvlJc w:val="right"/>
      <w:pPr>
        <w:ind w:left="7374" w:hanging="180"/>
      </w:pPr>
    </w:lvl>
  </w:abstractNum>
  <w:abstractNum w:abstractNumId="1" w15:restartNumberingAfterBreak="0">
    <w:nsid w:val="03312BE0"/>
    <w:multiLevelType w:val="hybridMultilevel"/>
    <w:tmpl w:val="A2EA9C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E13706"/>
    <w:multiLevelType w:val="hybridMultilevel"/>
    <w:tmpl w:val="E49A9306"/>
    <w:lvl w:ilvl="0" w:tplc="03E6116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1556406F"/>
    <w:multiLevelType w:val="hybridMultilevel"/>
    <w:tmpl w:val="33245BB8"/>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99E067B"/>
    <w:multiLevelType w:val="hybridMultilevel"/>
    <w:tmpl w:val="939083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AE447B6"/>
    <w:multiLevelType w:val="hybridMultilevel"/>
    <w:tmpl w:val="CD724C4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20F76946"/>
    <w:multiLevelType w:val="hybridMultilevel"/>
    <w:tmpl w:val="CAF23526"/>
    <w:lvl w:ilvl="0" w:tplc="B8F404A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16547D8"/>
    <w:multiLevelType w:val="hybridMultilevel"/>
    <w:tmpl w:val="970889D8"/>
    <w:lvl w:ilvl="0" w:tplc="E248A25E">
      <w:start w:val="6"/>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8934A34"/>
    <w:multiLevelType w:val="hybridMultilevel"/>
    <w:tmpl w:val="CD6E7E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9AC647D"/>
    <w:multiLevelType w:val="hybridMultilevel"/>
    <w:tmpl w:val="9E4EB83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0" w15:restartNumberingAfterBreak="0">
    <w:nsid w:val="2C0B5175"/>
    <w:multiLevelType w:val="hybridMultilevel"/>
    <w:tmpl w:val="7CD0B868"/>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F423F78"/>
    <w:multiLevelType w:val="hybridMultilevel"/>
    <w:tmpl w:val="65F839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FE34265"/>
    <w:multiLevelType w:val="hybridMultilevel"/>
    <w:tmpl w:val="D12617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33653CE"/>
    <w:multiLevelType w:val="hybridMultilevel"/>
    <w:tmpl w:val="9E825B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C136E61"/>
    <w:multiLevelType w:val="hybridMultilevel"/>
    <w:tmpl w:val="05C2201A"/>
    <w:lvl w:ilvl="0" w:tplc="40E4B4B0">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C42605F"/>
    <w:multiLevelType w:val="hybridMultilevel"/>
    <w:tmpl w:val="C03899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23709A8"/>
    <w:multiLevelType w:val="hybridMultilevel"/>
    <w:tmpl w:val="6B925332"/>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2EB7FCD"/>
    <w:multiLevelType w:val="hybridMultilevel"/>
    <w:tmpl w:val="6B52B5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97B3599"/>
    <w:multiLevelType w:val="hybridMultilevel"/>
    <w:tmpl w:val="F35EF4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D4D45DE"/>
    <w:multiLevelType w:val="multilevel"/>
    <w:tmpl w:val="B5D06B6E"/>
    <w:lvl w:ilvl="0">
      <w:start w:val="1"/>
      <w:numFmt w:val="lowerLetter"/>
      <w:lvlText w:val="%1)"/>
      <w:lvlJc w:val="left"/>
      <w:pPr>
        <w:tabs>
          <w:tab w:val="num" w:pos="720"/>
        </w:tabs>
        <w:ind w:left="720" w:hanging="360"/>
      </w:pPr>
      <w:rPr>
        <w:rFonts w:hint="default"/>
        <w:sz w:val="22"/>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F0C46A6"/>
    <w:multiLevelType w:val="hybridMultilevel"/>
    <w:tmpl w:val="3B2C59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F7871D1"/>
    <w:multiLevelType w:val="hybridMultilevel"/>
    <w:tmpl w:val="6E588790"/>
    <w:lvl w:ilvl="0" w:tplc="9CFE6CFC">
      <w:start w:val="1"/>
      <w:numFmt w:val="lowerLetter"/>
      <w:lvlText w:val="(%1)"/>
      <w:lvlJc w:val="left"/>
      <w:pPr>
        <w:ind w:left="1495" w:hanging="360"/>
      </w:pPr>
      <w:rPr>
        <w:rFonts w:ascii="Times New Roman" w:hAnsi="Times New Roman" w:cs="Times New Roman" w:hint="default"/>
        <w:color w:val="000000"/>
        <w:sz w:val="22"/>
      </w:rPr>
    </w:lvl>
    <w:lvl w:ilvl="1" w:tplc="0C090019">
      <w:start w:val="1"/>
      <w:numFmt w:val="lowerLetter"/>
      <w:lvlText w:val="%2."/>
      <w:lvlJc w:val="left"/>
      <w:pPr>
        <w:ind w:left="2215" w:hanging="360"/>
      </w:pPr>
    </w:lvl>
    <w:lvl w:ilvl="2" w:tplc="0C09001B">
      <w:start w:val="1"/>
      <w:numFmt w:val="lowerRoman"/>
      <w:lvlText w:val="%3."/>
      <w:lvlJc w:val="right"/>
      <w:pPr>
        <w:ind w:left="2935" w:hanging="180"/>
      </w:pPr>
    </w:lvl>
    <w:lvl w:ilvl="3" w:tplc="0C09000F">
      <w:start w:val="1"/>
      <w:numFmt w:val="decimal"/>
      <w:lvlText w:val="%4."/>
      <w:lvlJc w:val="left"/>
      <w:pPr>
        <w:ind w:left="3655" w:hanging="360"/>
      </w:pPr>
    </w:lvl>
    <w:lvl w:ilvl="4" w:tplc="0C090019">
      <w:start w:val="1"/>
      <w:numFmt w:val="lowerLetter"/>
      <w:lvlText w:val="%5."/>
      <w:lvlJc w:val="left"/>
      <w:pPr>
        <w:ind w:left="4375" w:hanging="360"/>
      </w:pPr>
    </w:lvl>
    <w:lvl w:ilvl="5" w:tplc="0C09001B">
      <w:start w:val="1"/>
      <w:numFmt w:val="lowerRoman"/>
      <w:lvlText w:val="%6."/>
      <w:lvlJc w:val="right"/>
      <w:pPr>
        <w:ind w:left="5095" w:hanging="180"/>
      </w:pPr>
    </w:lvl>
    <w:lvl w:ilvl="6" w:tplc="0C09000F">
      <w:start w:val="1"/>
      <w:numFmt w:val="decimal"/>
      <w:lvlText w:val="%7."/>
      <w:lvlJc w:val="left"/>
      <w:pPr>
        <w:ind w:left="5815" w:hanging="360"/>
      </w:pPr>
    </w:lvl>
    <w:lvl w:ilvl="7" w:tplc="0C090019">
      <w:start w:val="1"/>
      <w:numFmt w:val="lowerLetter"/>
      <w:lvlText w:val="%8."/>
      <w:lvlJc w:val="left"/>
      <w:pPr>
        <w:ind w:left="6535" w:hanging="360"/>
      </w:pPr>
    </w:lvl>
    <w:lvl w:ilvl="8" w:tplc="0C09001B">
      <w:start w:val="1"/>
      <w:numFmt w:val="lowerRoman"/>
      <w:lvlText w:val="%9."/>
      <w:lvlJc w:val="right"/>
      <w:pPr>
        <w:ind w:left="7255" w:hanging="180"/>
      </w:pPr>
    </w:lvl>
  </w:abstractNum>
  <w:abstractNum w:abstractNumId="22" w15:restartNumberingAfterBreak="0">
    <w:nsid w:val="52B11796"/>
    <w:multiLevelType w:val="hybridMultilevel"/>
    <w:tmpl w:val="0D3E48DC"/>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2D2117F"/>
    <w:multiLevelType w:val="hybridMultilevel"/>
    <w:tmpl w:val="D19CE4E0"/>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2F842BB"/>
    <w:multiLevelType w:val="hybridMultilevel"/>
    <w:tmpl w:val="79A8AC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412769E"/>
    <w:multiLevelType w:val="multilevel"/>
    <w:tmpl w:val="C690F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4580D81"/>
    <w:multiLevelType w:val="hybridMultilevel"/>
    <w:tmpl w:val="77A0CA76"/>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74651FD"/>
    <w:multiLevelType w:val="multilevel"/>
    <w:tmpl w:val="B5D06B6E"/>
    <w:lvl w:ilvl="0">
      <w:start w:val="1"/>
      <w:numFmt w:val="lowerLetter"/>
      <w:lvlText w:val="%1)"/>
      <w:lvlJc w:val="left"/>
      <w:pPr>
        <w:tabs>
          <w:tab w:val="num" w:pos="720"/>
        </w:tabs>
        <w:ind w:left="720" w:hanging="360"/>
      </w:pPr>
      <w:rPr>
        <w:rFonts w:hint="default"/>
        <w:sz w:val="22"/>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2FE71A6"/>
    <w:multiLevelType w:val="hybridMultilevel"/>
    <w:tmpl w:val="DEEC8012"/>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9" w15:restartNumberingAfterBreak="0">
    <w:nsid w:val="680F4A58"/>
    <w:multiLevelType w:val="hybridMultilevel"/>
    <w:tmpl w:val="1C36CA60"/>
    <w:lvl w:ilvl="0" w:tplc="ECC29448">
      <w:start w:val="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99D779E"/>
    <w:multiLevelType w:val="hybridMultilevel"/>
    <w:tmpl w:val="F0A456B8"/>
    <w:lvl w:ilvl="0" w:tplc="6B3C780C">
      <w:start w:val="1"/>
      <w:numFmt w:val="lowerLetter"/>
      <w:lvlText w:val="(%1)"/>
      <w:lvlJc w:val="left"/>
      <w:pPr>
        <w:ind w:left="1330" w:hanging="360"/>
      </w:pPr>
      <w:rPr>
        <w:rFonts w:hint="default"/>
      </w:rPr>
    </w:lvl>
    <w:lvl w:ilvl="1" w:tplc="0C090019" w:tentative="1">
      <w:start w:val="1"/>
      <w:numFmt w:val="lowerLetter"/>
      <w:lvlText w:val="%2."/>
      <w:lvlJc w:val="left"/>
      <w:pPr>
        <w:ind w:left="2050" w:hanging="360"/>
      </w:pPr>
    </w:lvl>
    <w:lvl w:ilvl="2" w:tplc="0C09001B" w:tentative="1">
      <w:start w:val="1"/>
      <w:numFmt w:val="lowerRoman"/>
      <w:lvlText w:val="%3."/>
      <w:lvlJc w:val="right"/>
      <w:pPr>
        <w:ind w:left="2770" w:hanging="180"/>
      </w:pPr>
    </w:lvl>
    <w:lvl w:ilvl="3" w:tplc="0C09000F" w:tentative="1">
      <w:start w:val="1"/>
      <w:numFmt w:val="decimal"/>
      <w:lvlText w:val="%4."/>
      <w:lvlJc w:val="left"/>
      <w:pPr>
        <w:ind w:left="3490" w:hanging="360"/>
      </w:pPr>
    </w:lvl>
    <w:lvl w:ilvl="4" w:tplc="0C090019" w:tentative="1">
      <w:start w:val="1"/>
      <w:numFmt w:val="lowerLetter"/>
      <w:lvlText w:val="%5."/>
      <w:lvlJc w:val="left"/>
      <w:pPr>
        <w:ind w:left="4210" w:hanging="360"/>
      </w:pPr>
    </w:lvl>
    <w:lvl w:ilvl="5" w:tplc="0C09001B" w:tentative="1">
      <w:start w:val="1"/>
      <w:numFmt w:val="lowerRoman"/>
      <w:lvlText w:val="%6."/>
      <w:lvlJc w:val="right"/>
      <w:pPr>
        <w:ind w:left="4930" w:hanging="180"/>
      </w:pPr>
    </w:lvl>
    <w:lvl w:ilvl="6" w:tplc="0C09000F" w:tentative="1">
      <w:start w:val="1"/>
      <w:numFmt w:val="decimal"/>
      <w:lvlText w:val="%7."/>
      <w:lvlJc w:val="left"/>
      <w:pPr>
        <w:ind w:left="5650" w:hanging="360"/>
      </w:pPr>
    </w:lvl>
    <w:lvl w:ilvl="7" w:tplc="0C090019" w:tentative="1">
      <w:start w:val="1"/>
      <w:numFmt w:val="lowerLetter"/>
      <w:lvlText w:val="%8."/>
      <w:lvlJc w:val="left"/>
      <w:pPr>
        <w:ind w:left="6370" w:hanging="360"/>
      </w:pPr>
    </w:lvl>
    <w:lvl w:ilvl="8" w:tplc="0C09001B" w:tentative="1">
      <w:start w:val="1"/>
      <w:numFmt w:val="lowerRoman"/>
      <w:lvlText w:val="%9."/>
      <w:lvlJc w:val="right"/>
      <w:pPr>
        <w:ind w:left="7090" w:hanging="180"/>
      </w:pPr>
    </w:lvl>
  </w:abstractNum>
  <w:abstractNum w:abstractNumId="31" w15:restartNumberingAfterBreak="0">
    <w:nsid w:val="69A66298"/>
    <w:multiLevelType w:val="multilevel"/>
    <w:tmpl w:val="3C1EC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A144E79"/>
    <w:multiLevelType w:val="hybridMultilevel"/>
    <w:tmpl w:val="76E8FF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EE05509"/>
    <w:multiLevelType w:val="hybridMultilevel"/>
    <w:tmpl w:val="FFEA3C84"/>
    <w:lvl w:ilvl="0" w:tplc="6FA0B29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FAF4D0B"/>
    <w:multiLevelType w:val="hybridMultilevel"/>
    <w:tmpl w:val="DC7C1D34"/>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8010E6E"/>
    <w:multiLevelType w:val="hybridMultilevel"/>
    <w:tmpl w:val="906633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AF00AC0"/>
    <w:multiLevelType w:val="hybridMultilevel"/>
    <w:tmpl w:val="987679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8"/>
  </w:num>
  <w:num w:numId="2">
    <w:abstractNumId w:val="1"/>
  </w:num>
  <w:num w:numId="3">
    <w:abstractNumId w:val="2"/>
  </w:num>
  <w:num w:numId="4">
    <w:abstractNumId w:val="13"/>
  </w:num>
  <w:num w:numId="5">
    <w:abstractNumId w:val="20"/>
  </w:num>
  <w:num w:numId="6">
    <w:abstractNumId w:val="10"/>
  </w:num>
  <w:num w:numId="7">
    <w:abstractNumId w:val="34"/>
  </w:num>
  <w:num w:numId="8">
    <w:abstractNumId w:val="6"/>
  </w:num>
  <w:num w:numId="9">
    <w:abstractNumId w:val="5"/>
  </w:num>
  <w:num w:numId="10">
    <w:abstractNumId w:val="36"/>
  </w:num>
  <w:num w:numId="11">
    <w:abstractNumId w:val="33"/>
  </w:num>
  <w:num w:numId="12">
    <w:abstractNumId w:val="14"/>
  </w:num>
  <w:num w:numId="13">
    <w:abstractNumId w:val="16"/>
  </w:num>
  <w:num w:numId="14">
    <w:abstractNumId w:val="30"/>
  </w:num>
  <w:num w:numId="15">
    <w:abstractNumId w:val="7"/>
  </w:num>
  <w:num w:numId="16">
    <w:abstractNumId w:val="22"/>
  </w:num>
  <w:num w:numId="17">
    <w:abstractNumId w:val="26"/>
  </w:num>
  <w:num w:numId="18">
    <w:abstractNumId w:val="23"/>
  </w:num>
  <w:num w:numId="19">
    <w:abstractNumId w:val="3"/>
  </w:num>
  <w:num w:numId="20">
    <w:abstractNumId w:val="11"/>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24"/>
  </w:num>
  <w:num w:numId="25">
    <w:abstractNumId w:val="8"/>
  </w:num>
  <w:num w:numId="26">
    <w:abstractNumId w:val="4"/>
  </w:num>
  <w:num w:numId="27">
    <w:abstractNumId w:val="17"/>
  </w:num>
  <w:num w:numId="28">
    <w:abstractNumId w:val="35"/>
  </w:num>
  <w:num w:numId="29">
    <w:abstractNumId w:val="18"/>
  </w:num>
  <w:num w:numId="30">
    <w:abstractNumId w:val="32"/>
  </w:num>
  <w:num w:numId="31">
    <w:abstractNumId w:val="15"/>
  </w:num>
  <w:num w:numId="32">
    <w:abstractNumId w:val="29"/>
  </w:num>
  <w:num w:numId="33">
    <w:abstractNumId w:val="25"/>
  </w:num>
  <w:num w:numId="34">
    <w:abstractNumId w:val="27"/>
  </w:num>
  <w:num w:numId="35">
    <w:abstractNumId w:val="31"/>
  </w:num>
  <w:num w:numId="36">
    <w:abstractNumId w:val="19"/>
  </w:num>
  <w:num w:numId="37">
    <w:abstractNumId w:val="12"/>
  </w:num>
  <w:num w:numId="38">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251"/>
    <w:rsid w:val="0000029E"/>
    <w:rsid w:val="00000DEE"/>
    <w:rsid w:val="00001CCE"/>
    <w:rsid w:val="00003D66"/>
    <w:rsid w:val="0000441D"/>
    <w:rsid w:val="00004E17"/>
    <w:rsid w:val="00005906"/>
    <w:rsid w:val="00007B65"/>
    <w:rsid w:val="00010199"/>
    <w:rsid w:val="00012B9E"/>
    <w:rsid w:val="00014639"/>
    <w:rsid w:val="00014B38"/>
    <w:rsid w:val="00014E40"/>
    <w:rsid w:val="00016774"/>
    <w:rsid w:val="000203B4"/>
    <w:rsid w:val="00021EFA"/>
    <w:rsid w:val="00024158"/>
    <w:rsid w:val="00024A1D"/>
    <w:rsid w:val="00025F64"/>
    <w:rsid w:val="0002704E"/>
    <w:rsid w:val="0002728B"/>
    <w:rsid w:val="00027830"/>
    <w:rsid w:val="000319EF"/>
    <w:rsid w:val="00033034"/>
    <w:rsid w:val="000337CB"/>
    <w:rsid w:val="0003591F"/>
    <w:rsid w:val="00041849"/>
    <w:rsid w:val="0004426E"/>
    <w:rsid w:val="00044A2A"/>
    <w:rsid w:val="00050623"/>
    <w:rsid w:val="000509BA"/>
    <w:rsid w:val="0005224B"/>
    <w:rsid w:val="00054F46"/>
    <w:rsid w:val="0005533C"/>
    <w:rsid w:val="00063242"/>
    <w:rsid w:val="000640CF"/>
    <w:rsid w:val="00064BA4"/>
    <w:rsid w:val="00067F59"/>
    <w:rsid w:val="000710DD"/>
    <w:rsid w:val="0007187A"/>
    <w:rsid w:val="0007236F"/>
    <w:rsid w:val="000727E0"/>
    <w:rsid w:val="00073983"/>
    <w:rsid w:val="00073BC9"/>
    <w:rsid w:val="00074CE1"/>
    <w:rsid w:val="00076C34"/>
    <w:rsid w:val="00076FE3"/>
    <w:rsid w:val="00080116"/>
    <w:rsid w:val="00081188"/>
    <w:rsid w:val="00081C37"/>
    <w:rsid w:val="00082D12"/>
    <w:rsid w:val="0009514A"/>
    <w:rsid w:val="000969EF"/>
    <w:rsid w:val="000A199B"/>
    <w:rsid w:val="000A31F2"/>
    <w:rsid w:val="000A45BE"/>
    <w:rsid w:val="000A467F"/>
    <w:rsid w:val="000A6FB3"/>
    <w:rsid w:val="000A7B9B"/>
    <w:rsid w:val="000B208E"/>
    <w:rsid w:val="000B3452"/>
    <w:rsid w:val="000C1226"/>
    <w:rsid w:val="000C12EE"/>
    <w:rsid w:val="000C3BA7"/>
    <w:rsid w:val="000C3D8A"/>
    <w:rsid w:val="000C46E6"/>
    <w:rsid w:val="000C4B3D"/>
    <w:rsid w:val="000C5BA2"/>
    <w:rsid w:val="000C6797"/>
    <w:rsid w:val="000C6FF8"/>
    <w:rsid w:val="000C7FE1"/>
    <w:rsid w:val="000D1325"/>
    <w:rsid w:val="000D1A87"/>
    <w:rsid w:val="000D2300"/>
    <w:rsid w:val="000D3B79"/>
    <w:rsid w:val="000D7803"/>
    <w:rsid w:val="000E0C87"/>
    <w:rsid w:val="000E1ACD"/>
    <w:rsid w:val="000E1EB3"/>
    <w:rsid w:val="000E3444"/>
    <w:rsid w:val="000E4AFA"/>
    <w:rsid w:val="000E534F"/>
    <w:rsid w:val="000E66FA"/>
    <w:rsid w:val="000E7163"/>
    <w:rsid w:val="000F14A0"/>
    <w:rsid w:val="000F1575"/>
    <w:rsid w:val="000F162A"/>
    <w:rsid w:val="000F1714"/>
    <w:rsid w:val="000F249E"/>
    <w:rsid w:val="000F2948"/>
    <w:rsid w:val="000F2AFC"/>
    <w:rsid w:val="000F37A0"/>
    <w:rsid w:val="000F548E"/>
    <w:rsid w:val="000F5E76"/>
    <w:rsid w:val="000F6853"/>
    <w:rsid w:val="001000CE"/>
    <w:rsid w:val="00103FA2"/>
    <w:rsid w:val="00104751"/>
    <w:rsid w:val="0010617D"/>
    <w:rsid w:val="00106763"/>
    <w:rsid w:val="00107F36"/>
    <w:rsid w:val="0011066E"/>
    <w:rsid w:val="00110D12"/>
    <w:rsid w:val="00113B2E"/>
    <w:rsid w:val="00120766"/>
    <w:rsid w:val="00121189"/>
    <w:rsid w:val="00121A66"/>
    <w:rsid w:val="00132087"/>
    <w:rsid w:val="00134B27"/>
    <w:rsid w:val="00135D0D"/>
    <w:rsid w:val="001400C4"/>
    <w:rsid w:val="00141323"/>
    <w:rsid w:val="00141E8C"/>
    <w:rsid w:val="00143685"/>
    <w:rsid w:val="00143943"/>
    <w:rsid w:val="001448F2"/>
    <w:rsid w:val="00145918"/>
    <w:rsid w:val="00145D25"/>
    <w:rsid w:val="00145DED"/>
    <w:rsid w:val="00147D01"/>
    <w:rsid w:val="001519E4"/>
    <w:rsid w:val="00154FC4"/>
    <w:rsid w:val="001551FE"/>
    <w:rsid w:val="0015521F"/>
    <w:rsid w:val="001603DB"/>
    <w:rsid w:val="001641C0"/>
    <w:rsid w:val="00164A69"/>
    <w:rsid w:val="0016646C"/>
    <w:rsid w:val="00166BD5"/>
    <w:rsid w:val="00167DA1"/>
    <w:rsid w:val="00167E9B"/>
    <w:rsid w:val="0017187F"/>
    <w:rsid w:val="00174E96"/>
    <w:rsid w:val="001770D9"/>
    <w:rsid w:val="0017759F"/>
    <w:rsid w:val="0018012F"/>
    <w:rsid w:val="00180206"/>
    <w:rsid w:val="00180742"/>
    <w:rsid w:val="00181B3E"/>
    <w:rsid w:val="00181F74"/>
    <w:rsid w:val="00183C10"/>
    <w:rsid w:val="0018451D"/>
    <w:rsid w:val="001865F8"/>
    <w:rsid w:val="00186752"/>
    <w:rsid w:val="001867EA"/>
    <w:rsid w:val="00187EE5"/>
    <w:rsid w:val="00190FC9"/>
    <w:rsid w:val="0019289B"/>
    <w:rsid w:val="001929C3"/>
    <w:rsid w:val="0019464A"/>
    <w:rsid w:val="00195A6A"/>
    <w:rsid w:val="001965DA"/>
    <w:rsid w:val="0019711F"/>
    <w:rsid w:val="001978CE"/>
    <w:rsid w:val="001A43A5"/>
    <w:rsid w:val="001A4BE2"/>
    <w:rsid w:val="001A5BC0"/>
    <w:rsid w:val="001A7249"/>
    <w:rsid w:val="001A7EF8"/>
    <w:rsid w:val="001B0111"/>
    <w:rsid w:val="001B3714"/>
    <w:rsid w:val="001B5ED9"/>
    <w:rsid w:val="001B6095"/>
    <w:rsid w:val="001B66AF"/>
    <w:rsid w:val="001B7092"/>
    <w:rsid w:val="001C1B86"/>
    <w:rsid w:val="001C35BC"/>
    <w:rsid w:val="001C51D8"/>
    <w:rsid w:val="001C5FC1"/>
    <w:rsid w:val="001C6713"/>
    <w:rsid w:val="001C754B"/>
    <w:rsid w:val="001D0C04"/>
    <w:rsid w:val="001D6B46"/>
    <w:rsid w:val="001D778A"/>
    <w:rsid w:val="001D7D62"/>
    <w:rsid w:val="001E014D"/>
    <w:rsid w:val="001E2D6D"/>
    <w:rsid w:val="001E3B02"/>
    <w:rsid w:val="001E5391"/>
    <w:rsid w:val="001E5787"/>
    <w:rsid w:val="001E57BC"/>
    <w:rsid w:val="001E5DE7"/>
    <w:rsid w:val="001E63F3"/>
    <w:rsid w:val="001E7C25"/>
    <w:rsid w:val="001F004A"/>
    <w:rsid w:val="001F0923"/>
    <w:rsid w:val="001F1F27"/>
    <w:rsid w:val="00200145"/>
    <w:rsid w:val="002003CA"/>
    <w:rsid w:val="002003F7"/>
    <w:rsid w:val="00200971"/>
    <w:rsid w:val="0020245D"/>
    <w:rsid w:val="00203952"/>
    <w:rsid w:val="00203F23"/>
    <w:rsid w:val="00204413"/>
    <w:rsid w:val="00210EE7"/>
    <w:rsid w:val="00212528"/>
    <w:rsid w:val="00213177"/>
    <w:rsid w:val="00215191"/>
    <w:rsid w:val="00216C44"/>
    <w:rsid w:val="00217EBF"/>
    <w:rsid w:val="00220EE3"/>
    <w:rsid w:val="00221C4B"/>
    <w:rsid w:val="002227DF"/>
    <w:rsid w:val="0022342C"/>
    <w:rsid w:val="0022384B"/>
    <w:rsid w:val="00225B50"/>
    <w:rsid w:val="00225D8E"/>
    <w:rsid w:val="002264F4"/>
    <w:rsid w:val="002322A8"/>
    <w:rsid w:val="0023311C"/>
    <w:rsid w:val="00233BEB"/>
    <w:rsid w:val="00235B6C"/>
    <w:rsid w:val="00236DF2"/>
    <w:rsid w:val="0024152E"/>
    <w:rsid w:val="002427DC"/>
    <w:rsid w:val="00242974"/>
    <w:rsid w:val="00244D84"/>
    <w:rsid w:val="0024749A"/>
    <w:rsid w:val="00250061"/>
    <w:rsid w:val="00250642"/>
    <w:rsid w:val="00251E4A"/>
    <w:rsid w:val="00251F50"/>
    <w:rsid w:val="002538F6"/>
    <w:rsid w:val="00253E30"/>
    <w:rsid w:val="0025493F"/>
    <w:rsid w:val="00257459"/>
    <w:rsid w:val="00257E4D"/>
    <w:rsid w:val="00262865"/>
    <w:rsid w:val="00263279"/>
    <w:rsid w:val="002643FC"/>
    <w:rsid w:val="00267A18"/>
    <w:rsid w:val="00274073"/>
    <w:rsid w:val="0027545F"/>
    <w:rsid w:val="0027610D"/>
    <w:rsid w:val="002806A1"/>
    <w:rsid w:val="00281918"/>
    <w:rsid w:val="00284483"/>
    <w:rsid w:val="00284749"/>
    <w:rsid w:val="00285256"/>
    <w:rsid w:val="00287AEF"/>
    <w:rsid w:val="00287B08"/>
    <w:rsid w:val="00290B98"/>
    <w:rsid w:val="002944D4"/>
    <w:rsid w:val="00296763"/>
    <w:rsid w:val="0029737E"/>
    <w:rsid w:val="00297AD0"/>
    <w:rsid w:val="002A0CC8"/>
    <w:rsid w:val="002A1E2C"/>
    <w:rsid w:val="002A3243"/>
    <w:rsid w:val="002A5CDF"/>
    <w:rsid w:val="002A68B3"/>
    <w:rsid w:val="002A6C77"/>
    <w:rsid w:val="002B155D"/>
    <w:rsid w:val="002B2AC5"/>
    <w:rsid w:val="002B2E78"/>
    <w:rsid w:val="002B49DE"/>
    <w:rsid w:val="002B4E4D"/>
    <w:rsid w:val="002B53D3"/>
    <w:rsid w:val="002B7177"/>
    <w:rsid w:val="002C1BFE"/>
    <w:rsid w:val="002C4F5B"/>
    <w:rsid w:val="002C54A1"/>
    <w:rsid w:val="002C5DCD"/>
    <w:rsid w:val="002D03AB"/>
    <w:rsid w:val="002D2A4E"/>
    <w:rsid w:val="002D4293"/>
    <w:rsid w:val="002D5294"/>
    <w:rsid w:val="002D59E0"/>
    <w:rsid w:val="002D5DFC"/>
    <w:rsid w:val="002D5E92"/>
    <w:rsid w:val="002D6269"/>
    <w:rsid w:val="002D629A"/>
    <w:rsid w:val="002E12C3"/>
    <w:rsid w:val="002E3493"/>
    <w:rsid w:val="002E35BF"/>
    <w:rsid w:val="002E5708"/>
    <w:rsid w:val="002E5F5C"/>
    <w:rsid w:val="002E6FD5"/>
    <w:rsid w:val="002E7D88"/>
    <w:rsid w:val="002F0434"/>
    <w:rsid w:val="002F1707"/>
    <w:rsid w:val="002F2F33"/>
    <w:rsid w:val="002F3A26"/>
    <w:rsid w:val="002F449C"/>
    <w:rsid w:val="002F4CD2"/>
    <w:rsid w:val="002F6069"/>
    <w:rsid w:val="002F70B1"/>
    <w:rsid w:val="002F7549"/>
    <w:rsid w:val="00301D49"/>
    <w:rsid w:val="003025C7"/>
    <w:rsid w:val="00302F5C"/>
    <w:rsid w:val="00304080"/>
    <w:rsid w:val="0031124D"/>
    <w:rsid w:val="00312ED1"/>
    <w:rsid w:val="00313554"/>
    <w:rsid w:val="00317B55"/>
    <w:rsid w:val="0032155B"/>
    <w:rsid w:val="003239D0"/>
    <w:rsid w:val="00324908"/>
    <w:rsid w:val="00331752"/>
    <w:rsid w:val="00332AF9"/>
    <w:rsid w:val="003332C9"/>
    <w:rsid w:val="0033493D"/>
    <w:rsid w:val="00337DE1"/>
    <w:rsid w:val="00340BDB"/>
    <w:rsid w:val="00340E39"/>
    <w:rsid w:val="00341145"/>
    <w:rsid w:val="003412CB"/>
    <w:rsid w:val="00342331"/>
    <w:rsid w:val="00351499"/>
    <w:rsid w:val="0035214B"/>
    <w:rsid w:val="003527D6"/>
    <w:rsid w:val="00353351"/>
    <w:rsid w:val="00353622"/>
    <w:rsid w:val="0035389C"/>
    <w:rsid w:val="00357CD8"/>
    <w:rsid w:val="00357EDD"/>
    <w:rsid w:val="0036001E"/>
    <w:rsid w:val="0036105C"/>
    <w:rsid w:val="00361ADE"/>
    <w:rsid w:val="00362B20"/>
    <w:rsid w:val="00363306"/>
    <w:rsid w:val="0036495A"/>
    <w:rsid w:val="00366990"/>
    <w:rsid w:val="00366C2C"/>
    <w:rsid w:val="00367440"/>
    <w:rsid w:val="00370BE6"/>
    <w:rsid w:val="00371F67"/>
    <w:rsid w:val="00375E39"/>
    <w:rsid w:val="00376051"/>
    <w:rsid w:val="003760ED"/>
    <w:rsid w:val="003764AE"/>
    <w:rsid w:val="003775D7"/>
    <w:rsid w:val="00380CBA"/>
    <w:rsid w:val="00381278"/>
    <w:rsid w:val="0038127E"/>
    <w:rsid w:val="00384080"/>
    <w:rsid w:val="00386C22"/>
    <w:rsid w:val="003876E6"/>
    <w:rsid w:val="0039170C"/>
    <w:rsid w:val="00391AFA"/>
    <w:rsid w:val="003937EF"/>
    <w:rsid w:val="00393E9B"/>
    <w:rsid w:val="0039493F"/>
    <w:rsid w:val="00397A97"/>
    <w:rsid w:val="003A280D"/>
    <w:rsid w:val="003A5A70"/>
    <w:rsid w:val="003A6230"/>
    <w:rsid w:val="003A6299"/>
    <w:rsid w:val="003B1976"/>
    <w:rsid w:val="003B1D46"/>
    <w:rsid w:val="003B27BA"/>
    <w:rsid w:val="003B366C"/>
    <w:rsid w:val="003B38C1"/>
    <w:rsid w:val="003B59A9"/>
    <w:rsid w:val="003B6B63"/>
    <w:rsid w:val="003B7C31"/>
    <w:rsid w:val="003C02D4"/>
    <w:rsid w:val="003C37E3"/>
    <w:rsid w:val="003C4CBD"/>
    <w:rsid w:val="003C546B"/>
    <w:rsid w:val="003C7719"/>
    <w:rsid w:val="003D0FBD"/>
    <w:rsid w:val="003D2A6D"/>
    <w:rsid w:val="003D44C8"/>
    <w:rsid w:val="003E005B"/>
    <w:rsid w:val="003E04DA"/>
    <w:rsid w:val="003E1249"/>
    <w:rsid w:val="003E3544"/>
    <w:rsid w:val="003E35A8"/>
    <w:rsid w:val="003E4F2D"/>
    <w:rsid w:val="003E57BE"/>
    <w:rsid w:val="003E77CB"/>
    <w:rsid w:val="003F47FD"/>
    <w:rsid w:val="003F4B52"/>
    <w:rsid w:val="003F73BA"/>
    <w:rsid w:val="003F73F0"/>
    <w:rsid w:val="00401423"/>
    <w:rsid w:val="00403105"/>
    <w:rsid w:val="00404F11"/>
    <w:rsid w:val="00405890"/>
    <w:rsid w:val="00405EF4"/>
    <w:rsid w:val="00406D7A"/>
    <w:rsid w:val="00411365"/>
    <w:rsid w:val="0041237F"/>
    <w:rsid w:val="00412B6C"/>
    <w:rsid w:val="00414613"/>
    <w:rsid w:val="00415B19"/>
    <w:rsid w:val="0041767B"/>
    <w:rsid w:val="00420205"/>
    <w:rsid w:val="00421D5F"/>
    <w:rsid w:val="004225D8"/>
    <w:rsid w:val="00422831"/>
    <w:rsid w:val="00424197"/>
    <w:rsid w:val="00425F40"/>
    <w:rsid w:val="004265AA"/>
    <w:rsid w:val="00426A8D"/>
    <w:rsid w:val="0043032B"/>
    <w:rsid w:val="00430861"/>
    <w:rsid w:val="00432D4D"/>
    <w:rsid w:val="00433DCE"/>
    <w:rsid w:val="00437B1B"/>
    <w:rsid w:val="004405B8"/>
    <w:rsid w:val="004417A2"/>
    <w:rsid w:val="00442F9D"/>
    <w:rsid w:val="004439FB"/>
    <w:rsid w:val="00444782"/>
    <w:rsid w:val="00444EDF"/>
    <w:rsid w:val="004456A4"/>
    <w:rsid w:val="00445A6D"/>
    <w:rsid w:val="00446A6B"/>
    <w:rsid w:val="0045189C"/>
    <w:rsid w:val="00451A88"/>
    <w:rsid w:val="004524A0"/>
    <w:rsid w:val="00456B1D"/>
    <w:rsid w:val="0046022A"/>
    <w:rsid w:val="004636B4"/>
    <w:rsid w:val="004641DC"/>
    <w:rsid w:val="00464AC7"/>
    <w:rsid w:val="004669A4"/>
    <w:rsid w:val="00466A5B"/>
    <w:rsid w:val="0046799A"/>
    <w:rsid w:val="0047494B"/>
    <w:rsid w:val="00475A85"/>
    <w:rsid w:val="00476510"/>
    <w:rsid w:val="00476F13"/>
    <w:rsid w:val="00477C74"/>
    <w:rsid w:val="00480561"/>
    <w:rsid w:val="004806B3"/>
    <w:rsid w:val="00481E5E"/>
    <w:rsid w:val="004828A9"/>
    <w:rsid w:val="004849DE"/>
    <w:rsid w:val="00484A65"/>
    <w:rsid w:val="00484E4F"/>
    <w:rsid w:val="004876DF"/>
    <w:rsid w:val="00492341"/>
    <w:rsid w:val="00492DBE"/>
    <w:rsid w:val="004962CC"/>
    <w:rsid w:val="00497EC1"/>
    <w:rsid w:val="004A0313"/>
    <w:rsid w:val="004A0A89"/>
    <w:rsid w:val="004A0BE6"/>
    <w:rsid w:val="004A2249"/>
    <w:rsid w:val="004A26E0"/>
    <w:rsid w:val="004A524A"/>
    <w:rsid w:val="004A56D3"/>
    <w:rsid w:val="004A6B0F"/>
    <w:rsid w:val="004B1ECE"/>
    <w:rsid w:val="004B38C8"/>
    <w:rsid w:val="004B5C2E"/>
    <w:rsid w:val="004B7338"/>
    <w:rsid w:val="004B7CB9"/>
    <w:rsid w:val="004C10BA"/>
    <w:rsid w:val="004C27EB"/>
    <w:rsid w:val="004C33D9"/>
    <w:rsid w:val="004C357A"/>
    <w:rsid w:val="004C405B"/>
    <w:rsid w:val="004C5B35"/>
    <w:rsid w:val="004C68D1"/>
    <w:rsid w:val="004C6AE7"/>
    <w:rsid w:val="004C72E8"/>
    <w:rsid w:val="004D04DF"/>
    <w:rsid w:val="004D1BF4"/>
    <w:rsid w:val="004D480B"/>
    <w:rsid w:val="004D7821"/>
    <w:rsid w:val="004E10C5"/>
    <w:rsid w:val="004E22A7"/>
    <w:rsid w:val="004E39E6"/>
    <w:rsid w:val="004E71DC"/>
    <w:rsid w:val="004E7F97"/>
    <w:rsid w:val="004F1563"/>
    <w:rsid w:val="004F20B0"/>
    <w:rsid w:val="004F4BAD"/>
    <w:rsid w:val="004F7682"/>
    <w:rsid w:val="005012BC"/>
    <w:rsid w:val="00502156"/>
    <w:rsid w:val="00502277"/>
    <w:rsid w:val="005042B5"/>
    <w:rsid w:val="00505C67"/>
    <w:rsid w:val="00505F9A"/>
    <w:rsid w:val="00510A4F"/>
    <w:rsid w:val="005119E9"/>
    <w:rsid w:val="00512A65"/>
    <w:rsid w:val="005130BE"/>
    <w:rsid w:val="005140F2"/>
    <w:rsid w:val="0051709B"/>
    <w:rsid w:val="0052165A"/>
    <w:rsid w:val="00521802"/>
    <w:rsid w:val="0052430B"/>
    <w:rsid w:val="00525D51"/>
    <w:rsid w:val="00532CD3"/>
    <w:rsid w:val="005345A9"/>
    <w:rsid w:val="00534D8A"/>
    <w:rsid w:val="005378EB"/>
    <w:rsid w:val="0054004F"/>
    <w:rsid w:val="00540C67"/>
    <w:rsid w:val="00541BC5"/>
    <w:rsid w:val="00542913"/>
    <w:rsid w:val="005440E4"/>
    <w:rsid w:val="005452CD"/>
    <w:rsid w:val="0054588E"/>
    <w:rsid w:val="00546DB4"/>
    <w:rsid w:val="005474A5"/>
    <w:rsid w:val="00547D82"/>
    <w:rsid w:val="005504B4"/>
    <w:rsid w:val="00550DAB"/>
    <w:rsid w:val="00552105"/>
    <w:rsid w:val="0055354D"/>
    <w:rsid w:val="00554543"/>
    <w:rsid w:val="005555B8"/>
    <w:rsid w:val="005567CF"/>
    <w:rsid w:val="00562165"/>
    <w:rsid w:val="005642D9"/>
    <w:rsid w:val="00564C2B"/>
    <w:rsid w:val="00564C37"/>
    <w:rsid w:val="00564D84"/>
    <w:rsid w:val="00570F2B"/>
    <w:rsid w:val="0057258C"/>
    <w:rsid w:val="00573651"/>
    <w:rsid w:val="00574E71"/>
    <w:rsid w:val="005811D8"/>
    <w:rsid w:val="00581904"/>
    <w:rsid w:val="00582B3F"/>
    <w:rsid w:val="00583643"/>
    <w:rsid w:val="00585309"/>
    <w:rsid w:val="005857E8"/>
    <w:rsid w:val="005858CB"/>
    <w:rsid w:val="0058699E"/>
    <w:rsid w:val="00586CE9"/>
    <w:rsid w:val="00590B04"/>
    <w:rsid w:val="00592F78"/>
    <w:rsid w:val="00594EB6"/>
    <w:rsid w:val="0059798F"/>
    <w:rsid w:val="00597EC9"/>
    <w:rsid w:val="005A0300"/>
    <w:rsid w:val="005A163F"/>
    <w:rsid w:val="005A3D73"/>
    <w:rsid w:val="005A3D8D"/>
    <w:rsid w:val="005A445D"/>
    <w:rsid w:val="005B0EA3"/>
    <w:rsid w:val="005B1B0A"/>
    <w:rsid w:val="005B5062"/>
    <w:rsid w:val="005B6191"/>
    <w:rsid w:val="005B6234"/>
    <w:rsid w:val="005B7596"/>
    <w:rsid w:val="005C4A91"/>
    <w:rsid w:val="005C5824"/>
    <w:rsid w:val="005C6118"/>
    <w:rsid w:val="005D3575"/>
    <w:rsid w:val="005D3CED"/>
    <w:rsid w:val="005D538F"/>
    <w:rsid w:val="005D63D9"/>
    <w:rsid w:val="005D68D1"/>
    <w:rsid w:val="005E293A"/>
    <w:rsid w:val="005E44A6"/>
    <w:rsid w:val="005E49E7"/>
    <w:rsid w:val="005E56FE"/>
    <w:rsid w:val="005E62D6"/>
    <w:rsid w:val="005E6A82"/>
    <w:rsid w:val="005E7398"/>
    <w:rsid w:val="005F04DC"/>
    <w:rsid w:val="005F0F6C"/>
    <w:rsid w:val="005F1A7F"/>
    <w:rsid w:val="00601165"/>
    <w:rsid w:val="00605AE8"/>
    <w:rsid w:val="00607971"/>
    <w:rsid w:val="00611A4E"/>
    <w:rsid w:val="006122C0"/>
    <w:rsid w:val="0061281D"/>
    <w:rsid w:val="00613C46"/>
    <w:rsid w:val="00614085"/>
    <w:rsid w:val="00616889"/>
    <w:rsid w:val="00617F77"/>
    <w:rsid w:val="00623004"/>
    <w:rsid w:val="006237CC"/>
    <w:rsid w:val="00627C91"/>
    <w:rsid w:val="00635031"/>
    <w:rsid w:val="006369D4"/>
    <w:rsid w:val="00636C51"/>
    <w:rsid w:val="006407FA"/>
    <w:rsid w:val="00642537"/>
    <w:rsid w:val="006427B2"/>
    <w:rsid w:val="00642BEB"/>
    <w:rsid w:val="00647426"/>
    <w:rsid w:val="00647590"/>
    <w:rsid w:val="006526F5"/>
    <w:rsid w:val="00656275"/>
    <w:rsid w:val="00657702"/>
    <w:rsid w:val="006619F5"/>
    <w:rsid w:val="006629F9"/>
    <w:rsid w:val="006639F0"/>
    <w:rsid w:val="0066562D"/>
    <w:rsid w:val="0066727B"/>
    <w:rsid w:val="00670998"/>
    <w:rsid w:val="00672050"/>
    <w:rsid w:val="00673872"/>
    <w:rsid w:val="00674A34"/>
    <w:rsid w:val="00685515"/>
    <w:rsid w:val="0068642A"/>
    <w:rsid w:val="00694C76"/>
    <w:rsid w:val="00694F4A"/>
    <w:rsid w:val="00697ED2"/>
    <w:rsid w:val="006A029B"/>
    <w:rsid w:val="006A17A1"/>
    <w:rsid w:val="006A61C5"/>
    <w:rsid w:val="006B0F31"/>
    <w:rsid w:val="006B13BC"/>
    <w:rsid w:val="006B32FE"/>
    <w:rsid w:val="006B3959"/>
    <w:rsid w:val="006B4B58"/>
    <w:rsid w:val="006B6925"/>
    <w:rsid w:val="006C026A"/>
    <w:rsid w:val="006C138D"/>
    <w:rsid w:val="006C3807"/>
    <w:rsid w:val="006C6821"/>
    <w:rsid w:val="006C7491"/>
    <w:rsid w:val="006C761B"/>
    <w:rsid w:val="006C76B5"/>
    <w:rsid w:val="006D03ED"/>
    <w:rsid w:val="006D2B37"/>
    <w:rsid w:val="006D3D81"/>
    <w:rsid w:val="006D46A1"/>
    <w:rsid w:val="006D4AA4"/>
    <w:rsid w:val="006D54FB"/>
    <w:rsid w:val="006D5816"/>
    <w:rsid w:val="006D5BDE"/>
    <w:rsid w:val="006D627E"/>
    <w:rsid w:val="006D62D4"/>
    <w:rsid w:val="006E1A62"/>
    <w:rsid w:val="006E320C"/>
    <w:rsid w:val="006E3D84"/>
    <w:rsid w:val="006E527B"/>
    <w:rsid w:val="006E5C6B"/>
    <w:rsid w:val="006E6377"/>
    <w:rsid w:val="006E6640"/>
    <w:rsid w:val="006E6BBF"/>
    <w:rsid w:val="006E7529"/>
    <w:rsid w:val="006F21CE"/>
    <w:rsid w:val="006F2E4F"/>
    <w:rsid w:val="006F5CDC"/>
    <w:rsid w:val="006F6EC2"/>
    <w:rsid w:val="0070058D"/>
    <w:rsid w:val="00702854"/>
    <w:rsid w:val="00704585"/>
    <w:rsid w:val="00704A1A"/>
    <w:rsid w:val="00705833"/>
    <w:rsid w:val="00705924"/>
    <w:rsid w:val="00707B77"/>
    <w:rsid w:val="00707CE9"/>
    <w:rsid w:val="00710055"/>
    <w:rsid w:val="007103BC"/>
    <w:rsid w:val="007113C2"/>
    <w:rsid w:val="0071184F"/>
    <w:rsid w:val="00712189"/>
    <w:rsid w:val="007134A2"/>
    <w:rsid w:val="00713FB2"/>
    <w:rsid w:val="00717B45"/>
    <w:rsid w:val="007202C4"/>
    <w:rsid w:val="0072331C"/>
    <w:rsid w:val="0072495B"/>
    <w:rsid w:val="00726CFA"/>
    <w:rsid w:val="0072758A"/>
    <w:rsid w:val="007304D5"/>
    <w:rsid w:val="00730965"/>
    <w:rsid w:val="00733599"/>
    <w:rsid w:val="00733F09"/>
    <w:rsid w:val="00735753"/>
    <w:rsid w:val="00735CCC"/>
    <w:rsid w:val="007368DC"/>
    <w:rsid w:val="00736AC9"/>
    <w:rsid w:val="00741A4E"/>
    <w:rsid w:val="00742E97"/>
    <w:rsid w:val="007452E0"/>
    <w:rsid w:val="00745BD4"/>
    <w:rsid w:val="00750378"/>
    <w:rsid w:val="007505FB"/>
    <w:rsid w:val="007524B0"/>
    <w:rsid w:val="00752997"/>
    <w:rsid w:val="007533EC"/>
    <w:rsid w:val="00756FEA"/>
    <w:rsid w:val="00757618"/>
    <w:rsid w:val="007614DB"/>
    <w:rsid w:val="00762606"/>
    <w:rsid w:val="00762B45"/>
    <w:rsid w:val="0076544A"/>
    <w:rsid w:val="00767402"/>
    <w:rsid w:val="0077044D"/>
    <w:rsid w:val="007708B3"/>
    <w:rsid w:val="007710A8"/>
    <w:rsid w:val="007721B6"/>
    <w:rsid w:val="00774454"/>
    <w:rsid w:val="00774ABF"/>
    <w:rsid w:val="00776E17"/>
    <w:rsid w:val="00782D07"/>
    <w:rsid w:val="007859F8"/>
    <w:rsid w:val="00791384"/>
    <w:rsid w:val="0079191B"/>
    <w:rsid w:val="00791C27"/>
    <w:rsid w:val="0079239C"/>
    <w:rsid w:val="007934F3"/>
    <w:rsid w:val="00795A80"/>
    <w:rsid w:val="00796464"/>
    <w:rsid w:val="00796F15"/>
    <w:rsid w:val="0079715F"/>
    <w:rsid w:val="00797C68"/>
    <w:rsid w:val="007A0403"/>
    <w:rsid w:val="007A12F5"/>
    <w:rsid w:val="007A4089"/>
    <w:rsid w:val="007A5936"/>
    <w:rsid w:val="007A5B55"/>
    <w:rsid w:val="007A5F41"/>
    <w:rsid w:val="007A5FEC"/>
    <w:rsid w:val="007B08D1"/>
    <w:rsid w:val="007B161A"/>
    <w:rsid w:val="007B29C6"/>
    <w:rsid w:val="007B37E0"/>
    <w:rsid w:val="007B4EAA"/>
    <w:rsid w:val="007B790F"/>
    <w:rsid w:val="007C20FA"/>
    <w:rsid w:val="007C27D3"/>
    <w:rsid w:val="007C2C95"/>
    <w:rsid w:val="007C6927"/>
    <w:rsid w:val="007C7403"/>
    <w:rsid w:val="007C767F"/>
    <w:rsid w:val="007C79FB"/>
    <w:rsid w:val="007D3891"/>
    <w:rsid w:val="007D4584"/>
    <w:rsid w:val="007D4A14"/>
    <w:rsid w:val="007E0017"/>
    <w:rsid w:val="007E0D9D"/>
    <w:rsid w:val="007E4B14"/>
    <w:rsid w:val="007E4B4C"/>
    <w:rsid w:val="007E7ABF"/>
    <w:rsid w:val="007F0907"/>
    <w:rsid w:val="007F0D24"/>
    <w:rsid w:val="007F10B5"/>
    <w:rsid w:val="007F1C81"/>
    <w:rsid w:val="007F6ABA"/>
    <w:rsid w:val="0080144C"/>
    <w:rsid w:val="00801B90"/>
    <w:rsid w:val="00804A3C"/>
    <w:rsid w:val="00804A98"/>
    <w:rsid w:val="00805C3A"/>
    <w:rsid w:val="00806020"/>
    <w:rsid w:val="008061B8"/>
    <w:rsid w:val="008100CF"/>
    <w:rsid w:val="008129B1"/>
    <w:rsid w:val="00817A12"/>
    <w:rsid w:val="0082437E"/>
    <w:rsid w:val="008259FD"/>
    <w:rsid w:val="00825B2C"/>
    <w:rsid w:val="00825D67"/>
    <w:rsid w:val="00826C1C"/>
    <w:rsid w:val="00832E86"/>
    <w:rsid w:val="00833BAB"/>
    <w:rsid w:val="00833FCC"/>
    <w:rsid w:val="008356E6"/>
    <w:rsid w:val="008360AA"/>
    <w:rsid w:val="00837412"/>
    <w:rsid w:val="00840877"/>
    <w:rsid w:val="0084180A"/>
    <w:rsid w:val="0084197A"/>
    <w:rsid w:val="00841EDA"/>
    <w:rsid w:val="00843425"/>
    <w:rsid w:val="00845708"/>
    <w:rsid w:val="00846239"/>
    <w:rsid w:val="00846484"/>
    <w:rsid w:val="008478EE"/>
    <w:rsid w:val="00852FB1"/>
    <w:rsid w:val="0085475F"/>
    <w:rsid w:val="00855C39"/>
    <w:rsid w:val="00856225"/>
    <w:rsid w:val="0085681C"/>
    <w:rsid w:val="008604B1"/>
    <w:rsid w:val="008609B1"/>
    <w:rsid w:val="008645C4"/>
    <w:rsid w:val="00867884"/>
    <w:rsid w:val="008734F5"/>
    <w:rsid w:val="00874DE6"/>
    <w:rsid w:val="00875104"/>
    <w:rsid w:val="008774D2"/>
    <w:rsid w:val="00880E40"/>
    <w:rsid w:val="00883771"/>
    <w:rsid w:val="00883C9D"/>
    <w:rsid w:val="00883EFE"/>
    <w:rsid w:val="008869CA"/>
    <w:rsid w:val="008870CD"/>
    <w:rsid w:val="008905BA"/>
    <w:rsid w:val="0089375C"/>
    <w:rsid w:val="0089513F"/>
    <w:rsid w:val="00895699"/>
    <w:rsid w:val="008A153F"/>
    <w:rsid w:val="008A54A9"/>
    <w:rsid w:val="008A6188"/>
    <w:rsid w:val="008A79C6"/>
    <w:rsid w:val="008B2094"/>
    <w:rsid w:val="008B28F2"/>
    <w:rsid w:val="008B444F"/>
    <w:rsid w:val="008B5DB8"/>
    <w:rsid w:val="008B683E"/>
    <w:rsid w:val="008C0EF7"/>
    <w:rsid w:val="008C11A2"/>
    <w:rsid w:val="008C20F7"/>
    <w:rsid w:val="008C5F1C"/>
    <w:rsid w:val="008D06D8"/>
    <w:rsid w:val="008D136F"/>
    <w:rsid w:val="008D1B01"/>
    <w:rsid w:val="008D25D7"/>
    <w:rsid w:val="008D2A83"/>
    <w:rsid w:val="008D2D7B"/>
    <w:rsid w:val="008D2D98"/>
    <w:rsid w:val="008D44EB"/>
    <w:rsid w:val="008D6051"/>
    <w:rsid w:val="008E3E1A"/>
    <w:rsid w:val="008E4039"/>
    <w:rsid w:val="008F1AA9"/>
    <w:rsid w:val="008F7C5B"/>
    <w:rsid w:val="00901C4E"/>
    <w:rsid w:val="00903373"/>
    <w:rsid w:val="00904502"/>
    <w:rsid w:val="009049C0"/>
    <w:rsid w:val="00906257"/>
    <w:rsid w:val="009069D6"/>
    <w:rsid w:val="00910EF6"/>
    <w:rsid w:val="00912380"/>
    <w:rsid w:val="009124F6"/>
    <w:rsid w:val="00912BC1"/>
    <w:rsid w:val="00913B67"/>
    <w:rsid w:val="0091520D"/>
    <w:rsid w:val="00915B08"/>
    <w:rsid w:val="00921DD1"/>
    <w:rsid w:val="009225FE"/>
    <w:rsid w:val="00923D31"/>
    <w:rsid w:val="00923F94"/>
    <w:rsid w:val="00926DD3"/>
    <w:rsid w:val="00935308"/>
    <w:rsid w:val="009361FD"/>
    <w:rsid w:val="009406D2"/>
    <w:rsid w:val="00940F17"/>
    <w:rsid w:val="009414C5"/>
    <w:rsid w:val="009427F2"/>
    <w:rsid w:val="00944F64"/>
    <w:rsid w:val="00945CE1"/>
    <w:rsid w:val="009467A8"/>
    <w:rsid w:val="00947DB2"/>
    <w:rsid w:val="00951A0B"/>
    <w:rsid w:val="00953383"/>
    <w:rsid w:val="009574A8"/>
    <w:rsid w:val="009574C6"/>
    <w:rsid w:val="00960AF1"/>
    <w:rsid w:val="00961795"/>
    <w:rsid w:val="009632FC"/>
    <w:rsid w:val="009648F3"/>
    <w:rsid w:val="00964D68"/>
    <w:rsid w:val="00965025"/>
    <w:rsid w:val="009654C8"/>
    <w:rsid w:val="00967E51"/>
    <w:rsid w:val="00971039"/>
    <w:rsid w:val="00971B7B"/>
    <w:rsid w:val="00971D3B"/>
    <w:rsid w:val="00972D48"/>
    <w:rsid w:val="00975E68"/>
    <w:rsid w:val="00977A95"/>
    <w:rsid w:val="00982585"/>
    <w:rsid w:val="00983FD9"/>
    <w:rsid w:val="00985DC9"/>
    <w:rsid w:val="00985FA9"/>
    <w:rsid w:val="00987A99"/>
    <w:rsid w:val="009902F7"/>
    <w:rsid w:val="0099448D"/>
    <w:rsid w:val="00995A06"/>
    <w:rsid w:val="00996BF2"/>
    <w:rsid w:val="009A222A"/>
    <w:rsid w:val="009A26CA"/>
    <w:rsid w:val="009A6FE7"/>
    <w:rsid w:val="009B1BCA"/>
    <w:rsid w:val="009B1FD2"/>
    <w:rsid w:val="009B3AEB"/>
    <w:rsid w:val="009B49BE"/>
    <w:rsid w:val="009B7AE2"/>
    <w:rsid w:val="009C3EB5"/>
    <w:rsid w:val="009C42BD"/>
    <w:rsid w:val="009C444B"/>
    <w:rsid w:val="009D3773"/>
    <w:rsid w:val="009D499D"/>
    <w:rsid w:val="009D72AA"/>
    <w:rsid w:val="009D7484"/>
    <w:rsid w:val="009E0078"/>
    <w:rsid w:val="009E14BA"/>
    <w:rsid w:val="009E2AEA"/>
    <w:rsid w:val="009E3183"/>
    <w:rsid w:val="009E36E1"/>
    <w:rsid w:val="009E3783"/>
    <w:rsid w:val="009E3EA3"/>
    <w:rsid w:val="009E3ED4"/>
    <w:rsid w:val="009E61D9"/>
    <w:rsid w:val="009F0715"/>
    <w:rsid w:val="009F1615"/>
    <w:rsid w:val="009F4352"/>
    <w:rsid w:val="009F45FE"/>
    <w:rsid w:val="009F4E4E"/>
    <w:rsid w:val="009F6717"/>
    <w:rsid w:val="00A01F6A"/>
    <w:rsid w:val="00A0321B"/>
    <w:rsid w:val="00A045CA"/>
    <w:rsid w:val="00A04DC3"/>
    <w:rsid w:val="00A0597B"/>
    <w:rsid w:val="00A05DAD"/>
    <w:rsid w:val="00A06FB4"/>
    <w:rsid w:val="00A127C3"/>
    <w:rsid w:val="00A14878"/>
    <w:rsid w:val="00A1707B"/>
    <w:rsid w:val="00A1739A"/>
    <w:rsid w:val="00A17694"/>
    <w:rsid w:val="00A17F2C"/>
    <w:rsid w:val="00A232B9"/>
    <w:rsid w:val="00A24F4B"/>
    <w:rsid w:val="00A3185E"/>
    <w:rsid w:val="00A33893"/>
    <w:rsid w:val="00A34C9A"/>
    <w:rsid w:val="00A34D89"/>
    <w:rsid w:val="00A3611E"/>
    <w:rsid w:val="00A41364"/>
    <w:rsid w:val="00A41F72"/>
    <w:rsid w:val="00A4278E"/>
    <w:rsid w:val="00A4292D"/>
    <w:rsid w:val="00A44A25"/>
    <w:rsid w:val="00A46732"/>
    <w:rsid w:val="00A46B56"/>
    <w:rsid w:val="00A54891"/>
    <w:rsid w:val="00A54CA1"/>
    <w:rsid w:val="00A56516"/>
    <w:rsid w:val="00A62031"/>
    <w:rsid w:val="00A65D80"/>
    <w:rsid w:val="00A66849"/>
    <w:rsid w:val="00A672A7"/>
    <w:rsid w:val="00A714DD"/>
    <w:rsid w:val="00A73044"/>
    <w:rsid w:val="00A7379C"/>
    <w:rsid w:val="00A73CF1"/>
    <w:rsid w:val="00A75C9A"/>
    <w:rsid w:val="00A77EB0"/>
    <w:rsid w:val="00A835D4"/>
    <w:rsid w:val="00A853D1"/>
    <w:rsid w:val="00A85AA3"/>
    <w:rsid w:val="00A86302"/>
    <w:rsid w:val="00A86D69"/>
    <w:rsid w:val="00A90EE0"/>
    <w:rsid w:val="00A9123D"/>
    <w:rsid w:val="00A918D2"/>
    <w:rsid w:val="00A91DC0"/>
    <w:rsid w:val="00A91EEC"/>
    <w:rsid w:val="00A92534"/>
    <w:rsid w:val="00A927C4"/>
    <w:rsid w:val="00A92BCA"/>
    <w:rsid w:val="00A93B9E"/>
    <w:rsid w:val="00AA0F9E"/>
    <w:rsid w:val="00AA2734"/>
    <w:rsid w:val="00AA3015"/>
    <w:rsid w:val="00AA3E46"/>
    <w:rsid w:val="00AA4399"/>
    <w:rsid w:val="00AA4D97"/>
    <w:rsid w:val="00AA59AF"/>
    <w:rsid w:val="00AA74B7"/>
    <w:rsid w:val="00AB05D5"/>
    <w:rsid w:val="00AB1416"/>
    <w:rsid w:val="00AB2611"/>
    <w:rsid w:val="00AB35DC"/>
    <w:rsid w:val="00AB419D"/>
    <w:rsid w:val="00AB52D0"/>
    <w:rsid w:val="00AC046B"/>
    <w:rsid w:val="00AC1E16"/>
    <w:rsid w:val="00AC1EDB"/>
    <w:rsid w:val="00AC3A0C"/>
    <w:rsid w:val="00AC3EEC"/>
    <w:rsid w:val="00AC50EE"/>
    <w:rsid w:val="00AC54F8"/>
    <w:rsid w:val="00AC57A5"/>
    <w:rsid w:val="00AC681D"/>
    <w:rsid w:val="00AC6FF1"/>
    <w:rsid w:val="00AD0F67"/>
    <w:rsid w:val="00AD1A30"/>
    <w:rsid w:val="00AD7E8E"/>
    <w:rsid w:val="00AE0487"/>
    <w:rsid w:val="00AE0F81"/>
    <w:rsid w:val="00AE330D"/>
    <w:rsid w:val="00AE7A51"/>
    <w:rsid w:val="00AF134A"/>
    <w:rsid w:val="00AF3563"/>
    <w:rsid w:val="00AF3BCE"/>
    <w:rsid w:val="00AF421C"/>
    <w:rsid w:val="00AF5C05"/>
    <w:rsid w:val="00AF7622"/>
    <w:rsid w:val="00B00238"/>
    <w:rsid w:val="00B019A9"/>
    <w:rsid w:val="00B02B33"/>
    <w:rsid w:val="00B03218"/>
    <w:rsid w:val="00B03273"/>
    <w:rsid w:val="00B039EC"/>
    <w:rsid w:val="00B07EFF"/>
    <w:rsid w:val="00B10984"/>
    <w:rsid w:val="00B109B2"/>
    <w:rsid w:val="00B10D67"/>
    <w:rsid w:val="00B110B5"/>
    <w:rsid w:val="00B14C3A"/>
    <w:rsid w:val="00B15781"/>
    <w:rsid w:val="00B167A2"/>
    <w:rsid w:val="00B174E3"/>
    <w:rsid w:val="00B20415"/>
    <w:rsid w:val="00B2772E"/>
    <w:rsid w:val="00B27A5B"/>
    <w:rsid w:val="00B316E7"/>
    <w:rsid w:val="00B3398C"/>
    <w:rsid w:val="00B34BDE"/>
    <w:rsid w:val="00B34EF9"/>
    <w:rsid w:val="00B3578F"/>
    <w:rsid w:val="00B35DAD"/>
    <w:rsid w:val="00B36EB3"/>
    <w:rsid w:val="00B40E17"/>
    <w:rsid w:val="00B41AE8"/>
    <w:rsid w:val="00B445D0"/>
    <w:rsid w:val="00B45159"/>
    <w:rsid w:val="00B45C4D"/>
    <w:rsid w:val="00B50E59"/>
    <w:rsid w:val="00B53FF2"/>
    <w:rsid w:val="00B54620"/>
    <w:rsid w:val="00B55CDD"/>
    <w:rsid w:val="00B56E4F"/>
    <w:rsid w:val="00B63345"/>
    <w:rsid w:val="00B63A7A"/>
    <w:rsid w:val="00B652B0"/>
    <w:rsid w:val="00B70D13"/>
    <w:rsid w:val="00B7119B"/>
    <w:rsid w:val="00B71CF1"/>
    <w:rsid w:val="00B72847"/>
    <w:rsid w:val="00B73A3D"/>
    <w:rsid w:val="00B74168"/>
    <w:rsid w:val="00B746F1"/>
    <w:rsid w:val="00B7481E"/>
    <w:rsid w:val="00B748AE"/>
    <w:rsid w:val="00B75DB2"/>
    <w:rsid w:val="00B7681E"/>
    <w:rsid w:val="00B81EB1"/>
    <w:rsid w:val="00B832A3"/>
    <w:rsid w:val="00B83AFF"/>
    <w:rsid w:val="00B84886"/>
    <w:rsid w:val="00B84958"/>
    <w:rsid w:val="00B86A9F"/>
    <w:rsid w:val="00B90E4C"/>
    <w:rsid w:val="00B910E8"/>
    <w:rsid w:val="00B93137"/>
    <w:rsid w:val="00B9328C"/>
    <w:rsid w:val="00B94CD8"/>
    <w:rsid w:val="00B96F16"/>
    <w:rsid w:val="00B97A54"/>
    <w:rsid w:val="00BA0974"/>
    <w:rsid w:val="00BA1526"/>
    <w:rsid w:val="00BA3D73"/>
    <w:rsid w:val="00BA5640"/>
    <w:rsid w:val="00BA58AC"/>
    <w:rsid w:val="00BA67DC"/>
    <w:rsid w:val="00BA69CB"/>
    <w:rsid w:val="00BA7C49"/>
    <w:rsid w:val="00BB00BA"/>
    <w:rsid w:val="00BB112B"/>
    <w:rsid w:val="00BB1B81"/>
    <w:rsid w:val="00BB1CDA"/>
    <w:rsid w:val="00BB25B1"/>
    <w:rsid w:val="00BB2CD8"/>
    <w:rsid w:val="00BB4114"/>
    <w:rsid w:val="00BB49CB"/>
    <w:rsid w:val="00BB6375"/>
    <w:rsid w:val="00BC2D71"/>
    <w:rsid w:val="00BC459E"/>
    <w:rsid w:val="00BC4AAE"/>
    <w:rsid w:val="00BC5DCD"/>
    <w:rsid w:val="00BC626B"/>
    <w:rsid w:val="00BC7397"/>
    <w:rsid w:val="00BD0628"/>
    <w:rsid w:val="00BD304A"/>
    <w:rsid w:val="00BD7FD9"/>
    <w:rsid w:val="00BE1022"/>
    <w:rsid w:val="00BE283F"/>
    <w:rsid w:val="00BE2ECA"/>
    <w:rsid w:val="00BE2EFA"/>
    <w:rsid w:val="00BE597C"/>
    <w:rsid w:val="00BE6870"/>
    <w:rsid w:val="00BE71FD"/>
    <w:rsid w:val="00BE7B19"/>
    <w:rsid w:val="00BF23A6"/>
    <w:rsid w:val="00BF3B3D"/>
    <w:rsid w:val="00BF564D"/>
    <w:rsid w:val="00BF591D"/>
    <w:rsid w:val="00BF5A87"/>
    <w:rsid w:val="00BF6341"/>
    <w:rsid w:val="00C0045E"/>
    <w:rsid w:val="00C00FC7"/>
    <w:rsid w:val="00C00FD8"/>
    <w:rsid w:val="00C05E84"/>
    <w:rsid w:val="00C073E4"/>
    <w:rsid w:val="00C07C34"/>
    <w:rsid w:val="00C13962"/>
    <w:rsid w:val="00C154E6"/>
    <w:rsid w:val="00C158B5"/>
    <w:rsid w:val="00C16E23"/>
    <w:rsid w:val="00C17ED8"/>
    <w:rsid w:val="00C2082B"/>
    <w:rsid w:val="00C20DBA"/>
    <w:rsid w:val="00C23920"/>
    <w:rsid w:val="00C33771"/>
    <w:rsid w:val="00C3411B"/>
    <w:rsid w:val="00C34230"/>
    <w:rsid w:val="00C3661B"/>
    <w:rsid w:val="00C42112"/>
    <w:rsid w:val="00C435EB"/>
    <w:rsid w:val="00C45768"/>
    <w:rsid w:val="00C46207"/>
    <w:rsid w:val="00C4692B"/>
    <w:rsid w:val="00C46A0C"/>
    <w:rsid w:val="00C473F7"/>
    <w:rsid w:val="00C501E5"/>
    <w:rsid w:val="00C5100A"/>
    <w:rsid w:val="00C51884"/>
    <w:rsid w:val="00C549BC"/>
    <w:rsid w:val="00C54B90"/>
    <w:rsid w:val="00C54F71"/>
    <w:rsid w:val="00C56251"/>
    <w:rsid w:val="00C5667B"/>
    <w:rsid w:val="00C56A65"/>
    <w:rsid w:val="00C56FE0"/>
    <w:rsid w:val="00C6072B"/>
    <w:rsid w:val="00C6094D"/>
    <w:rsid w:val="00C62733"/>
    <w:rsid w:val="00C62FDC"/>
    <w:rsid w:val="00C63FDC"/>
    <w:rsid w:val="00C67BC7"/>
    <w:rsid w:val="00C724F5"/>
    <w:rsid w:val="00C73066"/>
    <w:rsid w:val="00C743D2"/>
    <w:rsid w:val="00C77923"/>
    <w:rsid w:val="00C77A1F"/>
    <w:rsid w:val="00C80647"/>
    <w:rsid w:val="00C80836"/>
    <w:rsid w:val="00C84DDE"/>
    <w:rsid w:val="00C85162"/>
    <w:rsid w:val="00C87864"/>
    <w:rsid w:val="00C90EAC"/>
    <w:rsid w:val="00C917FD"/>
    <w:rsid w:val="00C93D01"/>
    <w:rsid w:val="00C958FA"/>
    <w:rsid w:val="00C96958"/>
    <w:rsid w:val="00C96A6B"/>
    <w:rsid w:val="00CA62C0"/>
    <w:rsid w:val="00CA73CB"/>
    <w:rsid w:val="00CA79BB"/>
    <w:rsid w:val="00CB4161"/>
    <w:rsid w:val="00CB43A2"/>
    <w:rsid w:val="00CB6DE1"/>
    <w:rsid w:val="00CB7730"/>
    <w:rsid w:val="00CC12A0"/>
    <w:rsid w:val="00CC26A8"/>
    <w:rsid w:val="00CC3479"/>
    <w:rsid w:val="00CC4CED"/>
    <w:rsid w:val="00CC6EBB"/>
    <w:rsid w:val="00CD4A21"/>
    <w:rsid w:val="00CD4B55"/>
    <w:rsid w:val="00CE3A6F"/>
    <w:rsid w:val="00CE63F9"/>
    <w:rsid w:val="00CF0A31"/>
    <w:rsid w:val="00CF1E87"/>
    <w:rsid w:val="00CF240F"/>
    <w:rsid w:val="00CF34FA"/>
    <w:rsid w:val="00CF4B5F"/>
    <w:rsid w:val="00CF4FAD"/>
    <w:rsid w:val="00CF5C15"/>
    <w:rsid w:val="00CF6201"/>
    <w:rsid w:val="00CF6B2F"/>
    <w:rsid w:val="00D01D5A"/>
    <w:rsid w:val="00D054A5"/>
    <w:rsid w:val="00D05CAA"/>
    <w:rsid w:val="00D05DD5"/>
    <w:rsid w:val="00D06129"/>
    <w:rsid w:val="00D114E6"/>
    <w:rsid w:val="00D1198D"/>
    <w:rsid w:val="00D15F17"/>
    <w:rsid w:val="00D161BE"/>
    <w:rsid w:val="00D162D9"/>
    <w:rsid w:val="00D17BDD"/>
    <w:rsid w:val="00D24F7B"/>
    <w:rsid w:val="00D30F03"/>
    <w:rsid w:val="00D33180"/>
    <w:rsid w:val="00D34E5E"/>
    <w:rsid w:val="00D37CF1"/>
    <w:rsid w:val="00D4044B"/>
    <w:rsid w:val="00D4046C"/>
    <w:rsid w:val="00D41D2D"/>
    <w:rsid w:val="00D42638"/>
    <w:rsid w:val="00D44316"/>
    <w:rsid w:val="00D448E6"/>
    <w:rsid w:val="00D46EB9"/>
    <w:rsid w:val="00D4743F"/>
    <w:rsid w:val="00D5065B"/>
    <w:rsid w:val="00D51CBC"/>
    <w:rsid w:val="00D548E4"/>
    <w:rsid w:val="00D56338"/>
    <w:rsid w:val="00D565F8"/>
    <w:rsid w:val="00D56ABB"/>
    <w:rsid w:val="00D571B1"/>
    <w:rsid w:val="00D57944"/>
    <w:rsid w:val="00D57EFC"/>
    <w:rsid w:val="00D602E0"/>
    <w:rsid w:val="00D63EFF"/>
    <w:rsid w:val="00D64096"/>
    <w:rsid w:val="00D644BD"/>
    <w:rsid w:val="00D65500"/>
    <w:rsid w:val="00D65F8F"/>
    <w:rsid w:val="00D664A9"/>
    <w:rsid w:val="00D66520"/>
    <w:rsid w:val="00D66C5B"/>
    <w:rsid w:val="00D671E2"/>
    <w:rsid w:val="00D67E0A"/>
    <w:rsid w:val="00D712E9"/>
    <w:rsid w:val="00D7566A"/>
    <w:rsid w:val="00D77C18"/>
    <w:rsid w:val="00D8391B"/>
    <w:rsid w:val="00D85008"/>
    <w:rsid w:val="00D87426"/>
    <w:rsid w:val="00D8754D"/>
    <w:rsid w:val="00D92717"/>
    <w:rsid w:val="00D93E05"/>
    <w:rsid w:val="00D9515D"/>
    <w:rsid w:val="00DA3A08"/>
    <w:rsid w:val="00DA4715"/>
    <w:rsid w:val="00DA62DF"/>
    <w:rsid w:val="00DA7439"/>
    <w:rsid w:val="00DB0DA9"/>
    <w:rsid w:val="00DB108A"/>
    <w:rsid w:val="00DC1776"/>
    <w:rsid w:val="00DC3210"/>
    <w:rsid w:val="00DC33A5"/>
    <w:rsid w:val="00DC4340"/>
    <w:rsid w:val="00DC7898"/>
    <w:rsid w:val="00DD19F8"/>
    <w:rsid w:val="00DD1C70"/>
    <w:rsid w:val="00DD3239"/>
    <w:rsid w:val="00DE07E4"/>
    <w:rsid w:val="00DE0877"/>
    <w:rsid w:val="00DE0FF8"/>
    <w:rsid w:val="00DE3EBF"/>
    <w:rsid w:val="00DE6D39"/>
    <w:rsid w:val="00DE7345"/>
    <w:rsid w:val="00DE76EB"/>
    <w:rsid w:val="00DF51CA"/>
    <w:rsid w:val="00DF5581"/>
    <w:rsid w:val="00DF7501"/>
    <w:rsid w:val="00DF7936"/>
    <w:rsid w:val="00E004EF"/>
    <w:rsid w:val="00E04B6F"/>
    <w:rsid w:val="00E0618D"/>
    <w:rsid w:val="00E13833"/>
    <w:rsid w:val="00E13BEF"/>
    <w:rsid w:val="00E17001"/>
    <w:rsid w:val="00E17406"/>
    <w:rsid w:val="00E20AE5"/>
    <w:rsid w:val="00E20F00"/>
    <w:rsid w:val="00E21297"/>
    <w:rsid w:val="00E23A38"/>
    <w:rsid w:val="00E23B6B"/>
    <w:rsid w:val="00E24721"/>
    <w:rsid w:val="00E25139"/>
    <w:rsid w:val="00E265A0"/>
    <w:rsid w:val="00E266DE"/>
    <w:rsid w:val="00E30F30"/>
    <w:rsid w:val="00E311F5"/>
    <w:rsid w:val="00E34BF8"/>
    <w:rsid w:val="00E35B1E"/>
    <w:rsid w:val="00E4250F"/>
    <w:rsid w:val="00E43ED0"/>
    <w:rsid w:val="00E44A7E"/>
    <w:rsid w:val="00E46A7E"/>
    <w:rsid w:val="00E46CE8"/>
    <w:rsid w:val="00E51559"/>
    <w:rsid w:val="00E548DB"/>
    <w:rsid w:val="00E552BD"/>
    <w:rsid w:val="00E55649"/>
    <w:rsid w:val="00E56A50"/>
    <w:rsid w:val="00E5798A"/>
    <w:rsid w:val="00E57A3E"/>
    <w:rsid w:val="00E628D9"/>
    <w:rsid w:val="00E63ADA"/>
    <w:rsid w:val="00E640E0"/>
    <w:rsid w:val="00E645F6"/>
    <w:rsid w:val="00E64C5F"/>
    <w:rsid w:val="00E664F4"/>
    <w:rsid w:val="00E70355"/>
    <w:rsid w:val="00E72855"/>
    <w:rsid w:val="00E72E5D"/>
    <w:rsid w:val="00E7377F"/>
    <w:rsid w:val="00E74710"/>
    <w:rsid w:val="00E74C1D"/>
    <w:rsid w:val="00E75ACC"/>
    <w:rsid w:val="00E81B2F"/>
    <w:rsid w:val="00E844ED"/>
    <w:rsid w:val="00E85810"/>
    <w:rsid w:val="00E85B0A"/>
    <w:rsid w:val="00E90558"/>
    <w:rsid w:val="00E909CD"/>
    <w:rsid w:val="00E92248"/>
    <w:rsid w:val="00E92BD1"/>
    <w:rsid w:val="00E935A1"/>
    <w:rsid w:val="00E93FB6"/>
    <w:rsid w:val="00E94BB6"/>
    <w:rsid w:val="00EA1715"/>
    <w:rsid w:val="00EA2EE8"/>
    <w:rsid w:val="00EA31FD"/>
    <w:rsid w:val="00EA327D"/>
    <w:rsid w:val="00EA4349"/>
    <w:rsid w:val="00EA4EE4"/>
    <w:rsid w:val="00EA5A32"/>
    <w:rsid w:val="00EB2F51"/>
    <w:rsid w:val="00EB3BF0"/>
    <w:rsid w:val="00EB4DA6"/>
    <w:rsid w:val="00EB601D"/>
    <w:rsid w:val="00EB6CCD"/>
    <w:rsid w:val="00EC0273"/>
    <w:rsid w:val="00EC25BA"/>
    <w:rsid w:val="00EC4A9F"/>
    <w:rsid w:val="00ED0AD5"/>
    <w:rsid w:val="00ED1DE2"/>
    <w:rsid w:val="00ED1F31"/>
    <w:rsid w:val="00ED3630"/>
    <w:rsid w:val="00ED7140"/>
    <w:rsid w:val="00ED77E5"/>
    <w:rsid w:val="00EE026E"/>
    <w:rsid w:val="00EE1B31"/>
    <w:rsid w:val="00EE3C59"/>
    <w:rsid w:val="00EE5B70"/>
    <w:rsid w:val="00EE66B6"/>
    <w:rsid w:val="00EE7B48"/>
    <w:rsid w:val="00EF0AFA"/>
    <w:rsid w:val="00EF38E5"/>
    <w:rsid w:val="00EF5C33"/>
    <w:rsid w:val="00EF629C"/>
    <w:rsid w:val="00EF6508"/>
    <w:rsid w:val="00EF6AB8"/>
    <w:rsid w:val="00EF7C6E"/>
    <w:rsid w:val="00F012F4"/>
    <w:rsid w:val="00F01632"/>
    <w:rsid w:val="00F0546E"/>
    <w:rsid w:val="00F0625D"/>
    <w:rsid w:val="00F0672D"/>
    <w:rsid w:val="00F072E1"/>
    <w:rsid w:val="00F11185"/>
    <w:rsid w:val="00F11DDA"/>
    <w:rsid w:val="00F12E98"/>
    <w:rsid w:val="00F1446A"/>
    <w:rsid w:val="00F14DDA"/>
    <w:rsid w:val="00F15284"/>
    <w:rsid w:val="00F169CB"/>
    <w:rsid w:val="00F207AB"/>
    <w:rsid w:val="00F2161A"/>
    <w:rsid w:val="00F21724"/>
    <w:rsid w:val="00F2198A"/>
    <w:rsid w:val="00F21A81"/>
    <w:rsid w:val="00F21CC1"/>
    <w:rsid w:val="00F22D61"/>
    <w:rsid w:val="00F2324D"/>
    <w:rsid w:val="00F2428F"/>
    <w:rsid w:val="00F25075"/>
    <w:rsid w:val="00F27444"/>
    <w:rsid w:val="00F317CA"/>
    <w:rsid w:val="00F319F3"/>
    <w:rsid w:val="00F31BFB"/>
    <w:rsid w:val="00F323E7"/>
    <w:rsid w:val="00F324D2"/>
    <w:rsid w:val="00F32A56"/>
    <w:rsid w:val="00F335E4"/>
    <w:rsid w:val="00F35509"/>
    <w:rsid w:val="00F358C3"/>
    <w:rsid w:val="00F413D8"/>
    <w:rsid w:val="00F42100"/>
    <w:rsid w:val="00F42A9B"/>
    <w:rsid w:val="00F45470"/>
    <w:rsid w:val="00F464FE"/>
    <w:rsid w:val="00F465F9"/>
    <w:rsid w:val="00F47621"/>
    <w:rsid w:val="00F570AB"/>
    <w:rsid w:val="00F571A5"/>
    <w:rsid w:val="00F57A71"/>
    <w:rsid w:val="00F61C28"/>
    <w:rsid w:val="00F61E69"/>
    <w:rsid w:val="00F633B7"/>
    <w:rsid w:val="00F645F1"/>
    <w:rsid w:val="00F6591A"/>
    <w:rsid w:val="00F66D8D"/>
    <w:rsid w:val="00F70D35"/>
    <w:rsid w:val="00F7546C"/>
    <w:rsid w:val="00F77B00"/>
    <w:rsid w:val="00F83B6F"/>
    <w:rsid w:val="00F84470"/>
    <w:rsid w:val="00F857BC"/>
    <w:rsid w:val="00F90273"/>
    <w:rsid w:val="00F90BD0"/>
    <w:rsid w:val="00F91A5F"/>
    <w:rsid w:val="00F93ACB"/>
    <w:rsid w:val="00F93C4F"/>
    <w:rsid w:val="00F95994"/>
    <w:rsid w:val="00FA2611"/>
    <w:rsid w:val="00FA29C9"/>
    <w:rsid w:val="00FA2D81"/>
    <w:rsid w:val="00FA3F17"/>
    <w:rsid w:val="00FA49C5"/>
    <w:rsid w:val="00FA5BD2"/>
    <w:rsid w:val="00FA6175"/>
    <w:rsid w:val="00FA6784"/>
    <w:rsid w:val="00FA7E00"/>
    <w:rsid w:val="00FB1780"/>
    <w:rsid w:val="00FB35C6"/>
    <w:rsid w:val="00FB4C5A"/>
    <w:rsid w:val="00FB5BFA"/>
    <w:rsid w:val="00FB6F79"/>
    <w:rsid w:val="00FC10F6"/>
    <w:rsid w:val="00FC33A2"/>
    <w:rsid w:val="00FC61E9"/>
    <w:rsid w:val="00FC7C25"/>
    <w:rsid w:val="00FD1C2E"/>
    <w:rsid w:val="00FD3574"/>
    <w:rsid w:val="00FD602D"/>
    <w:rsid w:val="00FD60D2"/>
    <w:rsid w:val="00FD6A7D"/>
    <w:rsid w:val="00FD6FC9"/>
    <w:rsid w:val="00FE02C2"/>
    <w:rsid w:val="00FE2D34"/>
    <w:rsid w:val="00FF26F6"/>
    <w:rsid w:val="00FF35E2"/>
    <w:rsid w:val="00FF784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412D11F"/>
  <w15:docId w15:val="{E574E81B-4A76-4110-B683-FA3D0CF8E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715F"/>
    <w:pPr>
      <w:spacing w:after="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qFormat/>
    <w:rsid w:val="00C56251"/>
    <w:pPr>
      <w:keepNext/>
      <w:jc w:val="center"/>
      <w:outlineLvl w:val="0"/>
    </w:pPr>
    <w:rPr>
      <w:b/>
      <w:u w:val="single"/>
    </w:rPr>
  </w:style>
  <w:style w:type="paragraph" w:styleId="Heading2">
    <w:name w:val="heading 2"/>
    <w:basedOn w:val="Normal"/>
    <w:next w:val="Normal"/>
    <w:link w:val="Heading2Char"/>
    <w:uiPriority w:val="9"/>
    <w:semiHidden/>
    <w:unhideWhenUsed/>
    <w:qFormat/>
    <w:rsid w:val="00C20DB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56251"/>
    <w:rPr>
      <w:rFonts w:ascii="Times New Roman" w:eastAsia="Times New Roman" w:hAnsi="Times New Roman" w:cs="Times New Roman"/>
      <w:b/>
      <w:sz w:val="24"/>
      <w:szCs w:val="20"/>
      <w:u w:val="single"/>
      <w:lang w:eastAsia="en-AU"/>
    </w:rPr>
  </w:style>
  <w:style w:type="paragraph" w:styleId="Subtitle">
    <w:name w:val="Subtitle"/>
    <w:basedOn w:val="Normal"/>
    <w:link w:val="SubtitleChar"/>
    <w:qFormat/>
    <w:rsid w:val="00C56251"/>
    <w:rPr>
      <w:u w:val="single"/>
    </w:rPr>
  </w:style>
  <w:style w:type="character" w:customStyle="1" w:styleId="SubtitleChar">
    <w:name w:val="Subtitle Char"/>
    <w:basedOn w:val="DefaultParagraphFont"/>
    <w:link w:val="Subtitle"/>
    <w:rsid w:val="00C56251"/>
    <w:rPr>
      <w:rFonts w:ascii="Times New Roman" w:eastAsia="Times New Roman" w:hAnsi="Times New Roman" w:cs="Times New Roman"/>
      <w:sz w:val="24"/>
      <w:szCs w:val="20"/>
      <w:u w:val="single"/>
      <w:lang w:eastAsia="en-AU"/>
    </w:rPr>
  </w:style>
  <w:style w:type="paragraph" w:styleId="BodyText">
    <w:name w:val="Body Text"/>
    <w:basedOn w:val="Normal"/>
    <w:link w:val="BodyTextChar"/>
    <w:rsid w:val="00C56251"/>
    <w:rPr>
      <w:b/>
    </w:rPr>
  </w:style>
  <w:style w:type="character" w:customStyle="1" w:styleId="BodyTextChar">
    <w:name w:val="Body Text Char"/>
    <w:basedOn w:val="DefaultParagraphFont"/>
    <w:link w:val="BodyText"/>
    <w:rsid w:val="00C56251"/>
    <w:rPr>
      <w:rFonts w:ascii="Times New Roman" w:eastAsia="Times New Roman" w:hAnsi="Times New Roman" w:cs="Times New Roman"/>
      <w:b/>
      <w:sz w:val="24"/>
      <w:szCs w:val="20"/>
      <w:lang w:eastAsia="en-AU"/>
    </w:rPr>
  </w:style>
  <w:style w:type="paragraph" w:styleId="Header">
    <w:name w:val="header"/>
    <w:basedOn w:val="Normal"/>
    <w:link w:val="HeaderChar"/>
    <w:uiPriority w:val="99"/>
    <w:rsid w:val="00C56251"/>
    <w:pPr>
      <w:tabs>
        <w:tab w:val="center" w:pos="4153"/>
        <w:tab w:val="right" w:pos="8306"/>
      </w:tabs>
    </w:pPr>
  </w:style>
  <w:style w:type="character" w:customStyle="1" w:styleId="HeaderChar">
    <w:name w:val="Header Char"/>
    <w:basedOn w:val="DefaultParagraphFont"/>
    <w:link w:val="Header"/>
    <w:uiPriority w:val="99"/>
    <w:rsid w:val="00C56251"/>
    <w:rPr>
      <w:rFonts w:ascii="Times New Roman" w:eastAsia="Times New Roman" w:hAnsi="Times New Roman" w:cs="Times New Roman"/>
      <w:sz w:val="24"/>
      <w:szCs w:val="20"/>
      <w:lang w:eastAsia="en-AU"/>
    </w:rPr>
  </w:style>
  <w:style w:type="character" w:styleId="PageNumber">
    <w:name w:val="page number"/>
    <w:basedOn w:val="DefaultParagraphFont"/>
    <w:rsid w:val="00C56251"/>
  </w:style>
  <w:style w:type="paragraph" w:customStyle="1" w:styleId="CharCharChar">
    <w:name w:val="Char Char Char"/>
    <w:basedOn w:val="Normal"/>
    <w:rsid w:val="00C56251"/>
    <w:rPr>
      <w:rFonts w:ascii="Arial" w:hAnsi="Arial" w:cs="Arial"/>
      <w:sz w:val="22"/>
      <w:szCs w:val="22"/>
      <w:lang w:eastAsia="en-US"/>
    </w:rPr>
  </w:style>
  <w:style w:type="paragraph" w:styleId="ListParagraph">
    <w:name w:val="List Paragraph"/>
    <w:aliases w:val="List Paragraph1,Recommendation,List Paragraph11,dot point 1,Body text"/>
    <w:basedOn w:val="Normal"/>
    <w:link w:val="ListParagraphChar"/>
    <w:uiPriority w:val="34"/>
    <w:qFormat/>
    <w:rsid w:val="00AC681D"/>
    <w:pPr>
      <w:ind w:left="720"/>
      <w:contextualSpacing/>
    </w:pPr>
  </w:style>
  <w:style w:type="character" w:styleId="Hyperlink">
    <w:name w:val="Hyperlink"/>
    <w:basedOn w:val="DefaultParagraphFont"/>
    <w:uiPriority w:val="99"/>
    <w:unhideWhenUsed/>
    <w:rsid w:val="000710DD"/>
    <w:rPr>
      <w:color w:val="0000FF" w:themeColor="hyperlink"/>
      <w:u w:val="single"/>
    </w:rPr>
  </w:style>
  <w:style w:type="paragraph" w:customStyle="1" w:styleId="Default">
    <w:name w:val="Default"/>
    <w:rsid w:val="000710DD"/>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B08D1"/>
    <w:rPr>
      <w:rFonts w:ascii="Tahoma" w:hAnsi="Tahoma" w:cs="Tahoma"/>
      <w:sz w:val="16"/>
      <w:szCs w:val="16"/>
    </w:rPr>
  </w:style>
  <w:style w:type="character" w:customStyle="1" w:styleId="BalloonTextChar">
    <w:name w:val="Balloon Text Char"/>
    <w:basedOn w:val="DefaultParagraphFont"/>
    <w:link w:val="BalloonText"/>
    <w:uiPriority w:val="99"/>
    <w:semiHidden/>
    <w:rsid w:val="007B08D1"/>
    <w:rPr>
      <w:rFonts w:ascii="Tahoma" w:eastAsia="Times New Roman" w:hAnsi="Tahoma" w:cs="Tahoma"/>
      <w:sz w:val="16"/>
      <w:szCs w:val="16"/>
      <w:lang w:eastAsia="en-AU"/>
    </w:rPr>
  </w:style>
  <w:style w:type="character" w:styleId="CommentReference">
    <w:name w:val="annotation reference"/>
    <w:basedOn w:val="DefaultParagraphFont"/>
    <w:unhideWhenUsed/>
    <w:rsid w:val="003E35A8"/>
    <w:rPr>
      <w:sz w:val="16"/>
      <w:szCs w:val="16"/>
    </w:rPr>
  </w:style>
  <w:style w:type="paragraph" w:styleId="CommentText">
    <w:name w:val="annotation text"/>
    <w:basedOn w:val="Normal"/>
    <w:link w:val="CommentTextChar"/>
    <w:unhideWhenUsed/>
    <w:rsid w:val="003E35A8"/>
    <w:rPr>
      <w:sz w:val="20"/>
    </w:rPr>
  </w:style>
  <w:style w:type="character" w:customStyle="1" w:styleId="CommentTextChar">
    <w:name w:val="Comment Text Char"/>
    <w:basedOn w:val="DefaultParagraphFont"/>
    <w:link w:val="CommentText"/>
    <w:rsid w:val="003E35A8"/>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3E35A8"/>
    <w:rPr>
      <w:b/>
      <w:bCs/>
    </w:rPr>
  </w:style>
  <w:style w:type="character" w:customStyle="1" w:styleId="CommentSubjectChar">
    <w:name w:val="Comment Subject Char"/>
    <w:basedOn w:val="CommentTextChar"/>
    <w:link w:val="CommentSubject"/>
    <w:uiPriority w:val="99"/>
    <w:semiHidden/>
    <w:rsid w:val="003E35A8"/>
    <w:rPr>
      <w:rFonts w:ascii="Times New Roman" w:eastAsia="Times New Roman" w:hAnsi="Times New Roman" w:cs="Times New Roman"/>
      <w:b/>
      <w:bCs/>
      <w:sz w:val="20"/>
      <w:szCs w:val="20"/>
      <w:lang w:eastAsia="en-AU"/>
    </w:rPr>
  </w:style>
  <w:style w:type="paragraph" w:styleId="Revision">
    <w:name w:val="Revision"/>
    <w:hidden/>
    <w:uiPriority w:val="99"/>
    <w:semiHidden/>
    <w:rsid w:val="007D4A14"/>
    <w:pPr>
      <w:spacing w:after="0" w:line="240" w:lineRule="auto"/>
    </w:pPr>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F90273"/>
    <w:pPr>
      <w:tabs>
        <w:tab w:val="center" w:pos="4513"/>
        <w:tab w:val="right" w:pos="9026"/>
      </w:tabs>
    </w:pPr>
  </w:style>
  <w:style w:type="character" w:customStyle="1" w:styleId="FooterChar">
    <w:name w:val="Footer Char"/>
    <w:basedOn w:val="DefaultParagraphFont"/>
    <w:link w:val="Footer"/>
    <w:uiPriority w:val="99"/>
    <w:rsid w:val="00F90273"/>
    <w:rPr>
      <w:rFonts w:ascii="Times New Roman" w:eastAsia="Times New Roman" w:hAnsi="Times New Roman" w:cs="Times New Roman"/>
      <w:sz w:val="24"/>
      <w:szCs w:val="20"/>
      <w:lang w:eastAsia="en-AU"/>
    </w:rPr>
  </w:style>
  <w:style w:type="character" w:styleId="IntenseReference">
    <w:name w:val="Intense Reference"/>
    <w:basedOn w:val="DefaultParagraphFont"/>
    <w:uiPriority w:val="32"/>
    <w:qFormat/>
    <w:rsid w:val="003A6230"/>
    <w:rPr>
      <w:b/>
      <w:bCs/>
      <w:i/>
      <w:smallCaps/>
      <w:color w:val="C0504D" w:themeColor="accent2"/>
      <w:spacing w:val="5"/>
      <w:u w:val="none"/>
    </w:rPr>
  </w:style>
  <w:style w:type="paragraph" w:customStyle="1" w:styleId="ActHead9">
    <w:name w:val="ActHead 9"/>
    <w:aliases w:val="aat"/>
    <w:basedOn w:val="Normal"/>
    <w:next w:val="Normal"/>
    <w:qFormat/>
    <w:rsid w:val="006D5816"/>
    <w:pPr>
      <w:keepNext/>
      <w:keepLines/>
      <w:spacing w:before="280"/>
      <w:ind w:left="1134" w:hanging="1134"/>
      <w:outlineLvl w:val="8"/>
    </w:pPr>
    <w:rPr>
      <w:b/>
      <w:i/>
      <w:kern w:val="28"/>
      <w:sz w:val="28"/>
    </w:rPr>
  </w:style>
  <w:style w:type="paragraph" w:styleId="NoSpacing">
    <w:name w:val="No Spacing"/>
    <w:uiPriority w:val="1"/>
    <w:qFormat/>
    <w:rsid w:val="00A1739A"/>
    <w:pPr>
      <w:spacing w:after="0" w:line="240" w:lineRule="auto"/>
    </w:pPr>
    <w:rPr>
      <w:rFonts w:ascii="Times New Roman" w:eastAsia="Times New Roman" w:hAnsi="Times New Roman" w:cs="Times New Roman"/>
      <w:sz w:val="24"/>
      <w:szCs w:val="24"/>
    </w:rPr>
  </w:style>
  <w:style w:type="paragraph" w:customStyle="1" w:styleId="ItemHead">
    <w:name w:val="ItemHead"/>
    <w:aliases w:val="ih"/>
    <w:basedOn w:val="Normal"/>
    <w:next w:val="Normal"/>
    <w:rsid w:val="00A1739A"/>
    <w:pPr>
      <w:keepNext/>
      <w:keepLines/>
      <w:spacing w:before="220"/>
      <w:ind w:left="709" w:hanging="709"/>
    </w:pPr>
    <w:rPr>
      <w:rFonts w:ascii="Arial" w:hAnsi="Arial"/>
      <w:b/>
      <w:kern w:val="28"/>
    </w:rPr>
  </w:style>
  <w:style w:type="paragraph" w:customStyle="1" w:styleId="Tablea">
    <w:name w:val="Table(a)"/>
    <w:aliases w:val="ta"/>
    <w:basedOn w:val="Normal"/>
    <w:rsid w:val="00A1739A"/>
    <w:pPr>
      <w:spacing w:before="60"/>
      <w:ind w:left="284" w:hanging="284"/>
    </w:pPr>
    <w:rPr>
      <w:sz w:val="20"/>
    </w:rPr>
  </w:style>
  <w:style w:type="paragraph" w:customStyle="1" w:styleId="Tabletext">
    <w:name w:val="Tabletext"/>
    <w:aliases w:val="tt"/>
    <w:basedOn w:val="Normal"/>
    <w:rsid w:val="00F90BD0"/>
    <w:pPr>
      <w:spacing w:before="60" w:line="240" w:lineRule="atLeast"/>
    </w:pPr>
    <w:rPr>
      <w:sz w:val="20"/>
    </w:rPr>
  </w:style>
  <w:style w:type="paragraph" w:customStyle="1" w:styleId="Item">
    <w:name w:val="Item"/>
    <w:aliases w:val="i"/>
    <w:basedOn w:val="Normal"/>
    <w:next w:val="ItemHead"/>
    <w:rsid w:val="00A41364"/>
    <w:pPr>
      <w:keepLines/>
      <w:spacing w:before="80"/>
      <w:ind w:left="709"/>
    </w:pPr>
    <w:rPr>
      <w:sz w:val="22"/>
    </w:rPr>
  </w:style>
  <w:style w:type="paragraph" w:styleId="PlainText">
    <w:name w:val="Plain Text"/>
    <w:basedOn w:val="Normal"/>
    <w:link w:val="PlainTextChar"/>
    <w:uiPriority w:val="99"/>
    <w:unhideWhenUsed/>
    <w:rsid w:val="001E5787"/>
    <w:rPr>
      <w:rFonts w:ascii="Calibri" w:eastAsiaTheme="minorHAnsi" w:hAnsi="Calibri"/>
      <w:sz w:val="22"/>
      <w:szCs w:val="22"/>
      <w:lang w:eastAsia="en-US"/>
    </w:rPr>
  </w:style>
  <w:style w:type="character" w:customStyle="1" w:styleId="PlainTextChar">
    <w:name w:val="Plain Text Char"/>
    <w:basedOn w:val="DefaultParagraphFont"/>
    <w:link w:val="PlainText"/>
    <w:uiPriority w:val="99"/>
    <w:rsid w:val="001E5787"/>
    <w:rPr>
      <w:rFonts w:ascii="Calibri" w:hAnsi="Calibri" w:cs="Times New Roman"/>
    </w:rPr>
  </w:style>
  <w:style w:type="paragraph" w:customStyle="1" w:styleId="H3">
    <w:name w:val="H3"/>
    <w:basedOn w:val="Normal"/>
    <w:next w:val="Normal"/>
    <w:rsid w:val="00FA6784"/>
    <w:pPr>
      <w:keepNext/>
      <w:spacing w:before="100" w:after="100"/>
      <w:outlineLvl w:val="3"/>
    </w:pPr>
    <w:rPr>
      <w:b/>
      <w:bCs/>
      <w:sz w:val="28"/>
      <w:szCs w:val="28"/>
      <w:lang w:eastAsia="en-US"/>
    </w:rPr>
  </w:style>
  <w:style w:type="paragraph" w:customStyle="1" w:styleId="pfparanumlevel10">
    <w:name w:val="pfparanumlevel10"/>
    <w:basedOn w:val="Normal"/>
    <w:rsid w:val="00DE0FF8"/>
    <w:pPr>
      <w:spacing w:before="100" w:beforeAutospacing="1" w:after="100" w:afterAutospacing="1"/>
    </w:pPr>
    <w:rPr>
      <w:szCs w:val="24"/>
    </w:rPr>
  </w:style>
  <w:style w:type="character" w:customStyle="1" w:styleId="apple-converted-space">
    <w:name w:val="apple-converted-space"/>
    <w:basedOn w:val="DefaultParagraphFont"/>
    <w:rsid w:val="00393E9B"/>
  </w:style>
  <w:style w:type="character" w:customStyle="1" w:styleId="ListParagraphChar">
    <w:name w:val="List Paragraph Char"/>
    <w:aliases w:val="List Paragraph1 Char,Recommendation Char,List Paragraph11 Char,dot point 1 Char,Body text Char"/>
    <w:link w:val="ListParagraph"/>
    <w:uiPriority w:val="34"/>
    <w:locked/>
    <w:rsid w:val="00E92248"/>
    <w:rPr>
      <w:rFonts w:ascii="Times New Roman" w:eastAsia="Times New Roman" w:hAnsi="Times New Roman" w:cs="Times New Roman"/>
      <w:sz w:val="24"/>
      <w:szCs w:val="20"/>
      <w:lang w:eastAsia="en-AU"/>
    </w:rPr>
  </w:style>
  <w:style w:type="paragraph" w:customStyle="1" w:styleId="r1">
    <w:name w:val="r1"/>
    <w:basedOn w:val="Normal"/>
    <w:rsid w:val="002E7D88"/>
    <w:pPr>
      <w:spacing w:before="100" w:beforeAutospacing="1" w:after="100" w:afterAutospacing="1"/>
    </w:pPr>
    <w:rPr>
      <w:szCs w:val="24"/>
    </w:rPr>
  </w:style>
  <w:style w:type="paragraph" w:customStyle="1" w:styleId="p1">
    <w:name w:val="p1"/>
    <w:basedOn w:val="Normal"/>
    <w:rsid w:val="002E7D88"/>
    <w:pPr>
      <w:spacing w:before="100" w:beforeAutospacing="1" w:after="100" w:afterAutospacing="1"/>
    </w:pPr>
    <w:rPr>
      <w:szCs w:val="24"/>
    </w:rPr>
  </w:style>
  <w:style w:type="paragraph" w:customStyle="1" w:styleId="p2">
    <w:name w:val="p2"/>
    <w:basedOn w:val="Normal"/>
    <w:rsid w:val="002E7D88"/>
    <w:pPr>
      <w:spacing w:before="100" w:beforeAutospacing="1" w:after="100" w:afterAutospacing="1"/>
    </w:pPr>
    <w:rPr>
      <w:szCs w:val="24"/>
    </w:rPr>
  </w:style>
  <w:style w:type="character" w:customStyle="1" w:styleId="Heading2Char">
    <w:name w:val="Heading 2 Char"/>
    <w:basedOn w:val="DefaultParagraphFont"/>
    <w:link w:val="Heading2"/>
    <w:uiPriority w:val="9"/>
    <w:semiHidden/>
    <w:rsid w:val="00C20DBA"/>
    <w:rPr>
      <w:rFonts w:asciiTheme="majorHAnsi" w:eastAsiaTheme="majorEastAsia" w:hAnsiTheme="majorHAnsi" w:cstheme="majorBidi"/>
      <w:b/>
      <w:bCs/>
      <w:color w:val="4F81BD" w:themeColor="accent1"/>
      <w:sz w:val="26"/>
      <w:szCs w:val="26"/>
      <w:lang w:eastAsia="en-AU"/>
    </w:rPr>
  </w:style>
  <w:style w:type="paragraph" w:customStyle="1" w:styleId="Tabletext0">
    <w:name w:val="Table text"/>
    <w:basedOn w:val="Normal"/>
    <w:link w:val="TabletextChar"/>
    <w:qFormat/>
    <w:rsid w:val="00E72E5D"/>
    <w:pPr>
      <w:keepLines/>
      <w:spacing w:before="40" w:after="40"/>
    </w:pPr>
    <w:rPr>
      <w:rFonts w:ascii="Arial Narrow" w:hAnsi="Arial Narrow" w:cs="Tahoma"/>
      <w:sz w:val="20"/>
      <w:lang w:val="en-GB" w:eastAsia="en-US"/>
    </w:rPr>
  </w:style>
  <w:style w:type="character" w:customStyle="1" w:styleId="TabletextChar">
    <w:name w:val="Table text Char"/>
    <w:link w:val="Tabletext0"/>
    <w:rsid w:val="00E72E5D"/>
    <w:rPr>
      <w:rFonts w:ascii="Arial Narrow" w:eastAsia="Times New Roman" w:hAnsi="Arial Narrow" w:cs="Tahoma"/>
      <w:sz w:val="20"/>
      <w:szCs w:val="20"/>
      <w:lang w:val="en-GB"/>
    </w:rPr>
  </w:style>
  <w:style w:type="paragraph" w:customStyle="1" w:styleId="paragraphsub">
    <w:name w:val="paragraphsub"/>
    <w:basedOn w:val="Normal"/>
    <w:rsid w:val="002427DC"/>
    <w:pPr>
      <w:spacing w:before="100" w:beforeAutospacing="1" w:after="100" w:afterAutospacing="1"/>
    </w:pPr>
    <w:rPr>
      <w:szCs w:val="24"/>
    </w:rPr>
  </w:style>
  <w:style w:type="paragraph" w:customStyle="1" w:styleId="paragraph">
    <w:name w:val="paragraph"/>
    <w:basedOn w:val="Normal"/>
    <w:rsid w:val="002427DC"/>
    <w:pPr>
      <w:spacing w:before="100" w:beforeAutospacing="1" w:after="100" w:afterAutospacing="1"/>
    </w:pPr>
    <w:rPr>
      <w:szCs w:val="24"/>
    </w:rPr>
  </w:style>
  <w:style w:type="paragraph" w:customStyle="1" w:styleId="Char1">
    <w:name w:val="Char1"/>
    <w:basedOn w:val="Normal"/>
    <w:rsid w:val="002806A1"/>
    <w:rPr>
      <w:rFonts w:ascii="Arial" w:hAnsi="Arial" w:cs="Arial"/>
      <w:sz w:val="22"/>
      <w:szCs w:val="22"/>
      <w:lang w:eastAsia="en-US"/>
    </w:rPr>
  </w:style>
  <w:style w:type="character" w:styleId="Emphasis">
    <w:name w:val="Emphasis"/>
    <w:basedOn w:val="DefaultParagraphFont"/>
    <w:uiPriority w:val="20"/>
    <w:qFormat/>
    <w:rsid w:val="00B1578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142790">
      <w:bodyDiv w:val="1"/>
      <w:marLeft w:val="0"/>
      <w:marRight w:val="0"/>
      <w:marTop w:val="0"/>
      <w:marBottom w:val="0"/>
      <w:divBdr>
        <w:top w:val="none" w:sz="0" w:space="0" w:color="auto"/>
        <w:left w:val="none" w:sz="0" w:space="0" w:color="auto"/>
        <w:bottom w:val="none" w:sz="0" w:space="0" w:color="auto"/>
        <w:right w:val="none" w:sz="0" w:space="0" w:color="auto"/>
      </w:divBdr>
    </w:div>
    <w:div w:id="236207998">
      <w:bodyDiv w:val="1"/>
      <w:marLeft w:val="0"/>
      <w:marRight w:val="0"/>
      <w:marTop w:val="0"/>
      <w:marBottom w:val="0"/>
      <w:divBdr>
        <w:top w:val="none" w:sz="0" w:space="0" w:color="auto"/>
        <w:left w:val="none" w:sz="0" w:space="0" w:color="auto"/>
        <w:bottom w:val="none" w:sz="0" w:space="0" w:color="auto"/>
        <w:right w:val="none" w:sz="0" w:space="0" w:color="auto"/>
      </w:divBdr>
    </w:div>
    <w:div w:id="321276056">
      <w:bodyDiv w:val="1"/>
      <w:marLeft w:val="0"/>
      <w:marRight w:val="0"/>
      <w:marTop w:val="0"/>
      <w:marBottom w:val="0"/>
      <w:divBdr>
        <w:top w:val="none" w:sz="0" w:space="0" w:color="auto"/>
        <w:left w:val="none" w:sz="0" w:space="0" w:color="auto"/>
        <w:bottom w:val="none" w:sz="0" w:space="0" w:color="auto"/>
        <w:right w:val="none" w:sz="0" w:space="0" w:color="auto"/>
      </w:divBdr>
    </w:div>
    <w:div w:id="336883452">
      <w:bodyDiv w:val="1"/>
      <w:marLeft w:val="0"/>
      <w:marRight w:val="0"/>
      <w:marTop w:val="0"/>
      <w:marBottom w:val="0"/>
      <w:divBdr>
        <w:top w:val="none" w:sz="0" w:space="0" w:color="auto"/>
        <w:left w:val="none" w:sz="0" w:space="0" w:color="auto"/>
        <w:bottom w:val="none" w:sz="0" w:space="0" w:color="auto"/>
        <w:right w:val="none" w:sz="0" w:space="0" w:color="auto"/>
      </w:divBdr>
    </w:div>
    <w:div w:id="427039913">
      <w:bodyDiv w:val="1"/>
      <w:marLeft w:val="0"/>
      <w:marRight w:val="0"/>
      <w:marTop w:val="0"/>
      <w:marBottom w:val="0"/>
      <w:divBdr>
        <w:top w:val="none" w:sz="0" w:space="0" w:color="auto"/>
        <w:left w:val="none" w:sz="0" w:space="0" w:color="auto"/>
        <w:bottom w:val="none" w:sz="0" w:space="0" w:color="auto"/>
        <w:right w:val="none" w:sz="0" w:space="0" w:color="auto"/>
      </w:divBdr>
    </w:div>
    <w:div w:id="491877123">
      <w:bodyDiv w:val="1"/>
      <w:marLeft w:val="0"/>
      <w:marRight w:val="0"/>
      <w:marTop w:val="0"/>
      <w:marBottom w:val="0"/>
      <w:divBdr>
        <w:top w:val="none" w:sz="0" w:space="0" w:color="auto"/>
        <w:left w:val="none" w:sz="0" w:space="0" w:color="auto"/>
        <w:bottom w:val="none" w:sz="0" w:space="0" w:color="auto"/>
        <w:right w:val="none" w:sz="0" w:space="0" w:color="auto"/>
      </w:divBdr>
    </w:div>
    <w:div w:id="535854373">
      <w:bodyDiv w:val="1"/>
      <w:marLeft w:val="0"/>
      <w:marRight w:val="0"/>
      <w:marTop w:val="0"/>
      <w:marBottom w:val="0"/>
      <w:divBdr>
        <w:top w:val="none" w:sz="0" w:space="0" w:color="auto"/>
        <w:left w:val="none" w:sz="0" w:space="0" w:color="auto"/>
        <w:bottom w:val="none" w:sz="0" w:space="0" w:color="auto"/>
        <w:right w:val="none" w:sz="0" w:space="0" w:color="auto"/>
      </w:divBdr>
    </w:div>
    <w:div w:id="631834190">
      <w:bodyDiv w:val="1"/>
      <w:marLeft w:val="0"/>
      <w:marRight w:val="0"/>
      <w:marTop w:val="0"/>
      <w:marBottom w:val="0"/>
      <w:divBdr>
        <w:top w:val="none" w:sz="0" w:space="0" w:color="auto"/>
        <w:left w:val="none" w:sz="0" w:space="0" w:color="auto"/>
        <w:bottom w:val="none" w:sz="0" w:space="0" w:color="auto"/>
        <w:right w:val="none" w:sz="0" w:space="0" w:color="auto"/>
      </w:divBdr>
    </w:div>
    <w:div w:id="638460004">
      <w:bodyDiv w:val="1"/>
      <w:marLeft w:val="0"/>
      <w:marRight w:val="0"/>
      <w:marTop w:val="0"/>
      <w:marBottom w:val="0"/>
      <w:divBdr>
        <w:top w:val="none" w:sz="0" w:space="0" w:color="auto"/>
        <w:left w:val="none" w:sz="0" w:space="0" w:color="auto"/>
        <w:bottom w:val="none" w:sz="0" w:space="0" w:color="auto"/>
        <w:right w:val="none" w:sz="0" w:space="0" w:color="auto"/>
      </w:divBdr>
    </w:div>
    <w:div w:id="801313901">
      <w:bodyDiv w:val="1"/>
      <w:marLeft w:val="0"/>
      <w:marRight w:val="0"/>
      <w:marTop w:val="0"/>
      <w:marBottom w:val="0"/>
      <w:divBdr>
        <w:top w:val="none" w:sz="0" w:space="0" w:color="auto"/>
        <w:left w:val="none" w:sz="0" w:space="0" w:color="auto"/>
        <w:bottom w:val="none" w:sz="0" w:space="0" w:color="auto"/>
        <w:right w:val="none" w:sz="0" w:space="0" w:color="auto"/>
      </w:divBdr>
      <w:divsChild>
        <w:div w:id="273826955">
          <w:marLeft w:val="0"/>
          <w:marRight w:val="0"/>
          <w:marTop w:val="0"/>
          <w:marBottom w:val="0"/>
          <w:divBdr>
            <w:top w:val="none" w:sz="0" w:space="0" w:color="auto"/>
            <w:left w:val="none" w:sz="0" w:space="0" w:color="auto"/>
            <w:bottom w:val="none" w:sz="0" w:space="0" w:color="auto"/>
            <w:right w:val="none" w:sz="0" w:space="0" w:color="auto"/>
          </w:divBdr>
          <w:divsChild>
            <w:div w:id="1544754915">
              <w:marLeft w:val="0"/>
              <w:marRight w:val="0"/>
              <w:marTop w:val="0"/>
              <w:marBottom w:val="0"/>
              <w:divBdr>
                <w:top w:val="none" w:sz="0" w:space="0" w:color="auto"/>
                <w:left w:val="none" w:sz="0" w:space="0" w:color="auto"/>
                <w:bottom w:val="none" w:sz="0" w:space="0" w:color="auto"/>
                <w:right w:val="none" w:sz="0" w:space="0" w:color="auto"/>
              </w:divBdr>
              <w:divsChild>
                <w:div w:id="274022750">
                  <w:marLeft w:val="0"/>
                  <w:marRight w:val="0"/>
                  <w:marTop w:val="0"/>
                  <w:marBottom w:val="0"/>
                  <w:divBdr>
                    <w:top w:val="none" w:sz="0" w:space="0" w:color="auto"/>
                    <w:left w:val="none" w:sz="0" w:space="0" w:color="auto"/>
                    <w:bottom w:val="none" w:sz="0" w:space="0" w:color="auto"/>
                    <w:right w:val="none" w:sz="0" w:space="0" w:color="auto"/>
                  </w:divBdr>
                  <w:divsChild>
                    <w:div w:id="1905868625">
                      <w:marLeft w:val="0"/>
                      <w:marRight w:val="0"/>
                      <w:marTop w:val="0"/>
                      <w:marBottom w:val="0"/>
                      <w:divBdr>
                        <w:top w:val="none" w:sz="0" w:space="0" w:color="auto"/>
                        <w:left w:val="none" w:sz="0" w:space="0" w:color="auto"/>
                        <w:bottom w:val="none" w:sz="0" w:space="0" w:color="auto"/>
                        <w:right w:val="none" w:sz="0" w:space="0" w:color="auto"/>
                      </w:divBdr>
                      <w:divsChild>
                        <w:div w:id="1726488885">
                          <w:marLeft w:val="0"/>
                          <w:marRight w:val="0"/>
                          <w:marTop w:val="0"/>
                          <w:marBottom w:val="0"/>
                          <w:divBdr>
                            <w:top w:val="none" w:sz="0" w:space="0" w:color="auto"/>
                            <w:left w:val="none" w:sz="0" w:space="0" w:color="auto"/>
                            <w:bottom w:val="none" w:sz="0" w:space="0" w:color="auto"/>
                            <w:right w:val="none" w:sz="0" w:space="0" w:color="auto"/>
                          </w:divBdr>
                          <w:divsChild>
                            <w:div w:id="967977015">
                              <w:marLeft w:val="0"/>
                              <w:marRight w:val="0"/>
                              <w:marTop w:val="0"/>
                              <w:marBottom w:val="0"/>
                              <w:divBdr>
                                <w:top w:val="none" w:sz="0" w:space="0" w:color="auto"/>
                                <w:left w:val="none" w:sz="0" w:space="0" w:color="auto"/>
                                <w:bottom w:val="none" w:sz="0" w:space="0" w:color="auto"/>
                                <w:right w:val="none" w:sz="0" w:space="0" w:color="auto"/>
                              </w:divBdr>
                              <w:divsChild>
                                <w:div w:id="19476708">
                                  <w:marLeft w:val="0"/>
                                  <w:marRight w:val="0"/>
                                  <w:marTop w:val="0"/>
                                  <w:marBottom w:val="0"/>
                                  <w:divBdr>
                                    <w:top w:val="none" w:sz="0" w:space="0" w:color="auto"/>
                                    <w:left w:val="none" w:sz="0" w:space="0" w:color="auto"/>
                                    <w:bottom w:val="none" w:sz="0" w:space="0" w:color="auto"/>
                                    <w:right w:val="none" w:sz="0" w:space="0" w:color="auto"/>
                                  </w:divBdr>
                                  <w:divsChild>
                                    <w:div w:id="402527790">
                                      <w:marLeft w:val="0"/>
                                      <w:marRight w:val="0"/>
                                      <w:marTop w:val="0"/>
                                      <w:marBottom w:val="0"/>
                                      <w:divBdr>
                                        <w:top w:val="none" w:sz="0" w:space="0" w:color="auto"/>
                                        <w:left w:val="none" w:sz="0" w:space="0" w:color="auto"/>
                                        <w:bottom w:val="none" w:sz="0" w:space="0" w:color="auto"/>
                                        <w:right w:val="none" w:sz="0" w:space="0" w:color="auto"/>
                                      </w:divBdr>
                                      <w:divsChild>
                                        <w:div w:id="332806679">
                                          <w:marLeft w:val="0"/>
                                          <w:marRight w:val="0"/>
                                          <w:marTop w:val="0"/>
                                          <w:marBottom w:val="0"/>
                                          <w:divBdr>
                                            <w:top w:val="none" w:sz="0" w:space="0" w:color="auto"/>
                                            <w:left w:val="none" w:sz="0" w:space="0" w:color="auto"/>
                                            <w:bottom w:val="none" w:sz="0" w:space="0" w:color="auto"/>
                                            <w:right w:val="none" w:sz="0" w:space="0" w:color="auto"/>
                                          </w:divBdr>
                                          <w:divsChild>
                                            <w:div w:id="1982274262">
                                              <w:marLeft w:val="0"/>
                                              <w:marRight w:val="0"/>
                                              <w:marTop w:val="0"/>
                                              <w:marBottom w:val="0"/>
                                              <w:divBdr>
                                                <w:top w:val="none" w:sz="0" w:space="0" w:color="auto"/>
                                                <w:left w:val="none" w:sz="0" w:space="0" w:color="auto"/>
                                                <w:bottom w:val="none" w:sz="0" w:space="0" w:color="auto"/>
                                                <w:right w:val="none" w:sz="0" w:space="0" w:color="auto"/>
                                              </w:divBdr>
                                              <w:divsChild>
                                                <w:div w:id="1525749501">
                                                  <w:marLeft w:val="0"/>
                                                  <w:marRight w:val="0"/>
                                                  <w:marTop w:val="0"/>
                                                  <w:marBottom w:val="0"/>
                                                  <w:divBdr>
                                                    <w:top w:val="none" w:sz="0" w:space="0" w:color="auto"/>
                                                    <w:left w:val="none" w:sz="0" w:space="0" w:color="auto"/>
                                                    <w:bottom w:val="none" w:sz="0" w:space="0" w:color="auto"/>
                                                    <w:right w:val="none" w:sz="0" w:space="0" w:color="auto"/>
                                                  </w:divBdr>
                                                  <w:divsChild>
                                                    <w:div w:id="293798688">
                                                      <w:marLeft w:val="0"/>
                                                      <w:marRight w:val="0"/>
                                                      <w:marTop w:val="0"/>
                                                      <w:marBottom w:val="0"/>
                                                      <w:divBdr>
                                                        <w:top w:val="none" w:sz="0" w:space="0" w:color="auto"/>
                                                        <w:left w:val="none" w:sz="0" w:space="0" w:color="auto"/>
                                                        <w:bottom w:val="none" w:sz="0" w:space="0" w:color="auto"/>
                                                        <w:right w:val="none" w:sz="0" w:space="0" w:color="auto"/>
                                                      </w:divBdr>
                                                      <w:divsChild>
                                                        <w:div w:id="181980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38234931">
      <w:bodyDiv w:val="1"/>
      <w:marLeft w:val="0"/>
      <w:marRight w:val="0"/>
      <w:marTop w:val="0"/>
      <w:marBottom w:val="0"/>
      <w:divBdr>
        <w:top w:val="none" w:sz="0" w:space="0" w:color="auto"/>
        <w:left w:val="none" w:sz="0" w:space="0" w:color="auto"/>
        <w:bottom w:val="none" w:sz="0" w:space="0" w:color="auto"/>
        <w:right w:val="none" w:sz="0" w:space="0" w:color="auto"/>
      </w:divBdr>
      <w:divsChild>
        <w:div w:id="103158440">
          <w:marLeft w:val="0"/>
          <w:marRight w:val="0"/>
          <w:marTop w:val="0"/>
          <w:marBottom w:val="0"/>
          <w:divBdr>
            <w:top w:val="none" w:sz="0" w:space="0" w:color="auto"/>
            <w:left w:val="none" w:sz="0" w:space="0" w:color="auto"/>
            <w:bottom w:val="none" w:sz="0" w:space="0" w:color="auto"/>
            <w:right w:val="none" w:sz="0" w:space="0" w:color="auto"/>
          </w:divBdr>
          <w:divsChild>
            <w:div w:id="1975720635">
              <w:marLeft w:val="0"/>
              <w:marRight w:val="0"/>
              <w:marTop w:val="0"/>
              <w:marBottom w:val="0"/>
              <w:divBdr>
                <w:top w:val="none" w:sz="0" w:space="0" w:color="auto"/>
                <w:left w:val="none" w:sz="0" w:space="0" w:color="auto"/>
                <w:bottom w:val="none" w:sz="0" w:space="0" w:color="auto"/>
                <w:right w:val="none" w:sz="0" w:space="0" w:color="auto"/>
              </w:divBdr>
              <w:divsChild>
                <w:div w:id="1285844245">
                  <w:marLeft w:val="0"/>
                  <w:marRight w:val="0"/>
                  <w:marTop w:val="0"/>
                  <w:marBottom w:val="0"/>
                  <w:divBdr>
                    <w:top w:val="none" w:sz="0" w:space="0" w:color="auto"/>
                    <w:left w:val="none" w:sz="0" w:space="0" w:color="auto"/>
                    <w:bottom w:val="none" w:sz="0" w:space="0" w:color="auto"/>
                    <w:right w:val="none" w:sz="0" w:space="0" w:color="auto"/>
                  </w:divBdr>
                  <w:divsChild>
                    <w:div w:id="1009257078">
                      <w:marLeft w:val="0"/>
                      <w:marRight w:val="0"/>
                      <w:marTop w:val="0"/>
                      <w:marBottom w:val="0"/>
                      <w:divBdr>
                        <w:top w:val="none" w:sz="0" w:space="0" w:color="auto"/>
                        <w:left w:val="none" w:sz="0" w:space="0" w:color="auto"/>
                        <w:bottom w:val="none" w:sz="0" w:space="0" w:color="auto"/>
                        <w:right w:val="none" w:sz="0" w:space="0" w:color="auto"/>
                      </w:divBdr>
                      <w:divsChild>
                        <w:div w:id="637418678">
                          <w:marLeft w:val="0"/>
                          <w:marRight w:val="0"/>
                          <w:marTop w:val="0"/>
                          <w:marBottom w:val="0"/>
                          <w:divBdr>
                            <w:top w:val="none" w:sz="0" w:space="0" w:color="auto"/>
                            <w:left w:val="none" w:sz="0" w:space="0" w:color="auto"/>
                            <w:bottom w:val="none" w:sz="0" w:space="0" w:color="auto"/>
                            <w:right w:val="none" w:sz="0" w:space="0" w:color="auto"/>
                          </w:divBdr>
                          <w:divsChild>
                            <w:div w:id="1215654006">
                              <w:marLeft w:val="0"/>
                              <w:marRight w:val="0"/>
                              <w:marTop w:val="0"/>
                              <w:marBottom w:val="0"/>
                              <w:divBdr>
                                <w:top w:val="none" w:sz="0" w:space="0" w:color="auto"/>
                                <w:left w:val="none" w:sz="0" w:space="0" w:color="auto"/>
                                <w:bottom w:val="none" w:sz="0" w:space="0" w:color="auto"/>
                                <w:right w:val="none" w:sz="0" w:space="0" w:color="auto"/>
                              </w:divBdr>
                              <w:divsChild>
                                <w:div w:id="1042360788">
                                  <w:marLeft w:val="0"/>
                                  <w:marRight w:val="0"/>
                                  <w:marTop w:val="0"/>
                                  <w:marBottom w:val="0"/>
                                  <w:divBdr>
                                    <w:top w:val="none" w:sz="0" w:space="0" w:color="auto"/>
                                    <w:left w:val="none" w:sz="0" w:space="0" w:color="auto"/>
                                    <w:bottom w:val="none" w:sz="0" w:space="0" w:color="auto"/>
                                    <w:right w:val="none" w:sz="0" w:space="0" w:color="auto"/>
                                  </w:divBdr>
                                  <w:divsChild>
                                    <w:div w:id="447772035">
                                      <w:marLeft w:val="0"/>
                                      <w:marRight w:val="0"/>
                                      <w:marTop w:val="0"/>
                                      <w:marBottom w:val="0"/>
                                      <w:divBdr>
                                        <w:top w:val="none" w:sz="0" w:space="0" w:color="auto"/>
                                        <w:left w:val="none" w:sz="0" w:space="0" w:color="auto"/>
                                        <w:bottom w:val="none" w:sz="0" w:space="0" w:color="auto"/>
                                        <w:right w:val="none" w:sz="0" w:space="0" w:color="auto"/>
                                      </w:divBdr>
                                      <w:divsChild>
                                        <w:div w:id="1059523645">
                                          <w:marLeft w:val="0"/>
                                          <w:marRight w:val="0"/>
                                          <w:marTop w:val="0"/>
                                          <w:marBottom w:val="0"/>
                                          <w:divBdr>
                                            <w:top w:val="none" w:sz="0" w:space="0" w:color="auto"/>
                                            <w:left w:val="none" w:sz="0" w:space="0" w:color="auto"/>
                                            <w:bottom w:val="none" w:sz="0" w:space="0" w:color="auto"/>
                                            <w:right w:val="none" w:sz="0" w:space="0" w:color="auto"/>
                                          </w:divBdr>
                                          <w:divsChild>
                                            <w:div w:id="910503621">
                                              <w:marLeft w:val="0"/>
                                              <w:marRight w:val="0"/>
                                              <w:marTop w:val="0"/>
                                              <w:marBottom w:val="0"/>
                                              <w:divBdr>
                                                <w:top w:val="none" w:sz="0" w:space="0" w:color="auto"/>
                                                <w:left w:val="none" w:sz="0" w:space="0" w:color="auto"/>
                                                <w:bottom w:val="none" w:sz="0" w:space="0" w:color="auto"/>
                                                <w:right w:val="none" w:sz="0" w:space="0" w:color="auto"/>
                                              </w:divBdr>
                                              <w:divsChild>
                                                <w:div w:id="1458521124">
                                                  <w:marLeft w:val="0"/>
                                                  <w:marRight w:val="0"/>
                                                  <w:marTop w:val="0"/>
                                                  <w:marBottom w:val="0"/>
                                                  <w:divBdr>
                                                    <w:top w:val="none" w:sz="0" w:space="0" w:color="auto"/>
                                                    <w:left w:val="none" w:sz="0" w:space="0" w:color="auto"/>
                                                    <w:bottom w:val="none" w:sz="0" w:space="0" w:color="auto"/>
                                                    <w:right w:val="none" w:sz="0" w:space="0" w:color="auto"/>
                                                  </w:divBdr>
                                                  <w:divsChild>
                                                    <w:div w:id="1765228687">
                                                      <w:marLeft w:val="0"/>
                                                      <w:marRight w:val="0"/>
                                                      <w:marTop w:val="0"/>
                                                      <w:marBottom w:val="0"/>
                                                      <w:divBdr>
                                                        <w:top w:val="none" w:sz="0" w:space="0" w:color="auto"/>
                                                        <w:left w:val="none" w:sz="0" w:space="0" w:color="auto"/>
                                                        <w:bottom w:val="none" w:sz="0" w:space="0" w:color="auto"/>
                                                        <w:right w:val="none" w:sz="0" w:space="0" w:color="auto"/>
                                                      </w:divBdr>
                                                      <w:divsChild>
                                                        <w:div w:id="40830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18335264">
      <w:bodyDiv w:val="1"/>
      <w:marLeft w:val="0"/>
      <w:marRight w:val="0"/>
      <w:marTop w:val="0"/>
      <w:marBottom w:val="0"/>
      <w:divBdr>
        <w:top w:val="none" w:sz="0" w:space="0" w:color="auto"/>
        <w:left w:val="none" w:sz="0" w:space="0" w:color="auto"/>
        <w:bottom w:val="none" w:sz="0" w:space="0" w:color="auto"/>
        <w:right w:val="none" w:sz="0" w:space="0" w:color="auto"/>
      </w:divBdr>
    </w:div>
    <w:div w:id="1161115642">
      <w:bodyDiv w:val="1"/>
      <w:marLeft w:val="0"/>
      <w:marRight w:val="0"/>
      <w:marTop w:val="0"/>
      <w:marBottom w:val="0"/>
      <w:divBdr>
        <w:top w:val="none" w:sz="0" w:space="0" w:color="auto"/>
        <w:left w:val="none" w:sz="0" w:space="0" w:color="auto"/>
        <w:bottom w:val="none" w:sz="0" w:space="0" w:color="auto"/>
        <w:right w:val="none" w:sz="0" w:space="0" w:color="auto"/>
      </w:divBdr>
    </w:div>
    <w:div w:id="1239828909">
      <w:bodyDiv w:val="1"/>
      <w:marLeft w:val="0"/>
      <w:marRight w:val="0"/>
      <w:marTop w:val="0"/>
      <w:marBottom w:val="0"/>
      <w:divBdr>
        <w:top w:val="none" w:sz="0" w:space="0" w:color="auto"/>
        <w:left w:val="none" w:sz="0" w:space="0" w:color="auto"/>
        <w:bottom w:val="none" w:sz="0" w:space="0" w:color="auto"/>
        <w:right w:val="none" w:sz="0" w:space="0" w:color="auto"/>
      </w:divBdr>
      <w:divsChild>
        <w:div w:id="1176580735">
          <w:marLeft w:val="0"/>
          <w:marRight w:val="0"/>
          <w:marTop w:val="0"/>
          <w:marBottom w:val="0"/>
          <w:divBdr>
            <w:top w:val="none" w:sz="0" w:space="0" w:color="auto"/>
            <w:left w:val="none" w:sz="0" w:space="0" w:color="auto"/>
            <w:bottom w:val="none" w:sz="0" w:space="0" w:color="auto"/>
            <w:right w:val="none" w:sz="0" w:space="0" w:color="auto"/>
          </w:divBdr>
          <w:divsChild>
            <w:div w:id="766459630">
              <w:marLeft w:val="0"/>
              <w:marRight w:val="0"/>
              <w:marTop w:val="0"/>
              <w:marBottom w:val="0"/>
              <w:divBdr>
                <w:top w:val="none" w:sz="0" w:space="0" w:color="auto"/>
                <w:left w:val="none" w:sz="0" w:space="0" w:color="auto"/>
                <w:bottom w:val="none" w:sz="0" w:space="0" w:color="auto"/>
                <w:right w:val="none" w:sz="0" w:space="0" w:color="auto"/>
              </w:divBdr>
              <w:divsChild>
                <w:div w:id="625813468">
                  <w:marLeft w:val="0"/>
                  <w:marRight w:val="0"/>
                  <w:marTop w:val="0"/>
                  <w:marBottom w:val="0"/>
                  <w:divBdr>
                    <w:top w:val="none" w:sz="0" w:space="0" w:color="auto"/>
                    <w:left w:val="none" w:sz="0" w:space="0" w:color="auto"/>
                    <w:bottom w:val="none" w:sz="0" w:space="0" w:color="auto"/>
                    <w:right w:val="none" w:sz="0" w:space="0" w:color="auto"/>
                  </w:divBdr>
                  <w:divsChild>
                    <w:div w:id="1139759348">
                      <w:marLeft w:val="0"/>
                      <w:marRight w:val="0"/>
                      <w:marTop w:val="0"/>
                      <w:marBottom w:val="0"/>
                      <w:divBdr>
                        <w:top w:val="none" w:sz="0" w:space="0" w:color="auto"/>
                        <w:left w:val="none" w:sz="0" w:space="0" w:color="auto"/>
                        <w:bottom w:val="none" w:sz="0" w:space="0" w:color="auto"/>
                        <w:right w:val="none" w:sz="0" w:space="0" w:color="auto"/>
                      </w:divBdr>
                      <w:divsChild>
                        <w:div w:id="1328052494">
                          <w:marLeft w:val="0"/>
                          <w:marRight w:val="0"/>
                          <w:marTop w:val="0"/>
                          <w:marBottom w:val="0"/>
                          <w:divBdr>
                            <w:top w:val="none" w:sz="0" w:space="0" w:color="auto"/>
                            <w:left w:val="none" w:sz="0" w:space="0" w:color="auto"/>
                            <w:bottom w:val="none" w:sz="0" w:space="0" w:color="auto"/>
                            <w:right w:val="none" w:sz="0" w:space="0" w:color="auto"/>
                          </w:divBdr>
                          <w:divsChild>
                            <w:div w:id="2044673811">
                              <w:marLeft w:val="0"/>
                              <w:marRight w:val="0"/>
                              <w:marTop w:val="0"/>
                              <w:marBottom w:val="0"/>
                              <w:divBdr>
                                <w:top w:val="none" w:sz="0" w:space="0" w:color="auto"/>
                                <w:left w:val="none" w:sz="0" w:space="0" w:color="auto"/>
                                <w:bottom w:val="none" w:sz="0" w:space="0" w:color="auto"/>
                                <w:right w:val="none" w:sz="0" w:space="0" w:color="auto"/>
                              </w:divBdr>
                              <w:divsChild>
                                <w:div w:id="297885232">
                                  <w:marLeft w:val="0"/>
                                  <w:marRight w:val="0"/>
                                  <w:marTop w:val="0"/>
                                  <w:marBottom w:val="0"/>
                                  <w:divBdr>
                                    <w:top w:val="none" w:sz="0" w:space="0" w:color="auto"/>
                                    <w:left w:val="none" w:sz="0" w:space="0" w:color="auto"/>
                                    <w:bottom w:val="none" w:sz="0" w:space="0" w:color="auto"/>
                                    <w:right w:val="none" w:sz="0" w:space="0" w:color="auto"/>
                                  </w:divBdr>
                                  <w:divsChild>
                                    <w:div w:id="1257447096">
                                      <w:marLeft w:val="0"/>
                                      <w:marRight w:val="0"/>
                                      <w:marTop w:val="0"/>
                                      <w:marBottom w:val="0"/>
                                      <w:divBdr>
                                        <w:top w:val="none" w:sz="0" w:space="0" w:color="auto"/>
                                        <w:left w:val="none" w:sz="0" w:space="0" w:color="auto"/>
                                        <w:bottom w:val="none" w:sz="0" w:space="0" w:color="auto"/>
                                        <w:right w:val="none" w:sz="0" w:space="0" w:color="auto"/>
                                      </w:divBdr>
                                      <w:divsChild>
                                        <w:div w:id="2065593274">
                                          <w:marLeft w:val="0"/>
                                          <w:marRight w:val="0"/>
                                          <w:marTop w:val="0"/>
                                          <w:marBottom w:val="0"/>
                                          <w:divBdr>
                                            <w:top w:val="none" w:sz="0" w:space="0" w:color="auto"/>
                                            <w:left w:val="none" w:sz="0" w:space="0" w:color="auto"/>
                                            <w:bottom w:val="none" w:sz="0" w:space="0" w:color="auto"/>
                                            <w:right w:val="none" w:sz="0" w:space="0" w:color="auto"/>
                                          </w:divBdr>
                                          <w:divsChild>
                                            <w:div w:id="443311344">
                                              <w:marLeft w:val="0"/>
                                              <w:marRight w:val="0"/>
                                              <w:marTop w:val="0"/>
                                              <w:marBottom w:val="0"/>
                                              <w:divBdr>
                                                <w:top w:val="none" w:sz="0" w:space="0" w:color="auto"/>
                                                <w:left w:val="none" w:sz="0" w:space="0" w:color="auto"/>
                                                <w:bottom w:val="none" w:sz="0" w:space="0" w:color="auto"/>
                                                <w:right w:val="none" w:sz="0" w:space="0" w:color="auto"/>
                                              </w:divBdr>
                                              <w:divsChild>
                                                <w:div w:id="1393580753">
                                                  <w:marLeft w:val="0"/>
                                                  <w:marRight w:val="0"/>
                                                  <w:marTop w:val="0"/>
                                                  <w:marBottom w:val="0"/>
                                                  <w:divBdr>
                                                    <w:top w:val="none" w:sz="0" w:space="0" w:color="auto"/>
                                                    <w:left w:val="none" w:sz="0" w:space="0" w:color="auto"/>
                                                    <w:bottom w:val="none" w:sz="0" w:space="0" w:color="auto"/>
                                                    <w:right w:val="none" w:sz="0" w:space="0" w:color="auto"/>
                                                  </w:divBdr>
                                                  <w:divsChild>
                                                    <w:div w:id="2140027089">
                                                      <w:marLeft w:val="0"/>
                                                      <w:marRight w:val="0"/>
                                                      <w:marTop w:val="0"/>
                                                      <w:marBottom w:val="0"/>
                                                      <w:divBdr>
                                                        <w:top w:val="none" w:sz="0" w:space="0" w:color="auto"/>
                                                        <w:left w:val="none" w:sz="0" w:space="0" w:color="auto"/>
                                                        <w:bottom w:val="none" w:sz="0" w:space="0" w:color="auto"/>
                                                        <w:right w:val="none" w:sz="0" w:space="0" w:color="auto"/>
                                                      </w:divBdr>
                                                      <w:divsChild>
                                                        <w:div w:id="129237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70910966">
      <w:bodyDiv w:val="1"/>
      <w:marLeft w:val="0"/>
      <w:marRight w:val="0"/>
      <w:marTop w:val="0"/>
      <w:marBottom w:val="0"/>
      <w:divBdr>
        <w:top w:val="none" w:sz="0" w:space="0" w:color="auto"/>
        <w:left w:val="none" w:sz="0" w:space="0" w:color="auto"/>
        <w:bottom w:val="none" w:sz="0" w:space="0" w:color="auto"/>
        <w:right w:val="none" w:sz="0" w:space="0" w:color="auto"/>
      </w:divBdr>
      <w:divsChild>
        <w:div w:id="1771970544">
          <w:marLeft w:val="0"/>
          <w:marRight w:val="0"/>
          <w:marTop w:val="0"/>
          <w:marBottom w:val="0"/>
          <w:divBdr>
            <w:top w:val="none" w:sz="0" w:space="0" w:color="auto"/>
            <w:left w:val="none" w:sz="0" w:space="0" w:color="auto"/>
            <w:bottom w:val="none" w:sz="0" w:space="0" w:color="auto"/>
            <w:right w:val="none" w:sz="0" w:space="0" w:color="auto"/>
          </w:divBdr>
          <w:divsChild>
            <w:div w:id="1670595938">
              <w:marLeft w:val="0"/>
              <w:marRight w:val="0"/>
              <w:marTop w:val="0"/>
              <w:marBottom w:val="0"/>
              <w:divBdr>
                <w:top w:val="none" w:sz="0" w:space="0" w:color="auto"/>
                <w:left w:val="none" w:sz="0" w:space="0" w:color="auto"/>
                <w:bottom w:val="none" w:sz="0" w:space="0" w:color="auto"/>
                <w:right w:val="none" w:sz="0" w:space="0" w:color="auto"/>
              </w:divBdr>
              <w:divsChild>
                <w:div w:id="1869220343">
                  <w:marLeft w:val="0"/>
                  <w:marRight w:val="0"/>
                  <w:marTop w:val="0"/>
                  <w:marBottom w:val="0"/>
                  <w:divBdr>
                    <w:top w:val="none" w:sz="0" w:space="0" w:color="auto"/>
                    <w:left w:val="none" w:sz="0" w:space="0" w:color="auto"/>
                    <w:bottom w:val="none" w:sz="0" w:space="0" w:color="auto"/>
                    <w:right w:val="none" w:sz="0" w:space="0" w:color="auto"/>
                  </w:divBdr>
                  <w:divsChild>
                    <w:div w:id="1181161797">
                      <w:marLeft w:val="0"/>
                      <w:marRight w:val="0"/>
                      <w:marTop w:val="0"/>
                      <w:marBottom w:val="0"/>
                      <w:divBdr>
                        <w:top w:val="none" w:sz="0" w:space="0" w:color="auto"/>
                        <w:left w:val="none" w:sz="0" w:space="0" w:color="auto"/>
                        <w:bottom w:val="none" w:sz="0" w:space="0" w:color="auto"/>
                        <w:right w:val="none" w:sz="0" w:space="0" w:color="auto"/>
                      </w:divBdr>
                      <w:divsChild>
                        <w:div w:id="627928534">
                          <w:marLeft w:val="0"/>
                          <w:marRight w:val="0"/>
                          <w:marTop w:val="0"/>
                          <w:marBottom w:val="0"/>
                          <w:divBdr>
                            <w:top w:val="none" w:sz="0" w:space="0" w:color="auto"/>
                            <w:left w:val="none" w:sz="0" w:space="0" w:color="auto"/>
                            <w:bottom w:val="none" w:sz="0" w:space="0" w:color="auto"/>
                            <w:right w:val="none" w:sz="0" w:space="0" w:color="auto"/>
                          </w:divBdr>
                          <w:divsChild>
                            <w:div w:id="1983921637">
                              <w:marLeft w:val="0"/>
                              <w:marRight w:val="0"/>
                              <w:marTop w:val="0"/>
                              <w:marBottom w:val="0"/>
                              <w:divBdr>
                                <w:top w:val="none" w:sz="0" w:space="0" w:color="auto"/>
                                <w:left w:val="none" w:sz="0" w:space="0" w:color="auto"/>
                                <w:bottom w:val="none" w:sz="0" w:space="0" w:color="auto"/>
                                <w:right w:val="none" w:sz="0" w:space="0" w:color="auto"/>
                              </w:divBdr>
                              <w:divsChild>
                                <w:div w:id="385226643">
                                  <w:marLeft w:val="0"/>
                                  <w:marRight w:val="0"/>
                                  <w:marTop w:val="0"/>
                                  <w:marBottom w:val="0"/>
                                  <w:divBdr>
                                    <w:top w:val="none" w:sz="0" w:space="0" w:color="auto"/>
                                    <w:left w:val="none" w:sz="0" w:space="0" w:color="auto"/>
                                    <w:bottom w:val="none" w:sz="0" w:space="0" w:color="auto"/>
                                    <w:right w:val="none" w:sz="0" w:space="0" w:color="auto"/>
                                  </w:divBdr>
                                  <w:divsChild>
                                    <w:div w:id="3824493">
                                      <w:marLeft w:val="0"/>
                                      <w:marRight w:val="0"/>
                                      <w:marTop w:val="0"/>
                                      <w:marBottom w:val="0"/>
                                      <w:divBdr>
                                        <w:top w:val="none" w:sz="0" w:space="0" w:color="auto"/>
                                        <w:left w:val="none" w:sz="0" w:space="0" w:color="auto"/>
                                        <w:bottom w:val="none" w:sz="0" w:space="0" w:color="auto"/>
                                        <w:right w:val="none" w:sz="0" w:space="0" w:color="auto"/>
                                      </w:divBdr>
                                      <w:divsChild>
                                        <w:div w:id="1818262810">
                                          <w:marLeft w:val="0"/>
                                          <w:marRight w:val="0"/>
                                          <w:marTop w:val="0"/>
                                          <w:marBottom w:val="0"/>
                                          <w:divBdr>
                                            <w:top w:val="none" w:sz="0" w:space="0" w:color="auto"/>
                                            <w:left w:val="none" w:sz="0" w:space="0" w:color="auto"/>
                                            <w:bottom w:val="none" w:sz="0" w:space="0" w:color="auto"/>
                                            <w:right w:val="none" w:sz="0" w:space="0" w:color="auto"/>
                                          </w:divBdr>
                                          <w:divsChild>
                                            <w:div w:id="169935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3574671">
      <w:bodyDiv w:val="1"/>
      <w:marLeft w:val="0"/>
      <w:marRight w:val="0"/>
      <w:marTop w:val="0"/>
      <w:marBottom w:val="0"/>
      <w:divBdr>
        <w:top w:val="none" w:sz="0" w:space="0" w:color="auto"/>
        <w:left w:val="none" w:sz="0" w:space="0" w:color="auto"/>
        <w:bottom w:val="none" w:sz="0" w:space="0" w:color="auto"/>
        <w:right w:val="none" w:sz="0" w:space="0" w:color="auto"/>
      </w:divBdr>
      <w:divsChild>
        <w:div w:id="1430807174">
          <w:marLeft w:val="0"/>
          <w:marRight w:val="0"/>
          <w:marTop w:val="0"/>
          <w:marBottom w:val="0"/>
          <w:divBdr>
            <w:top w:val="none" w:sz="0" w:space="0" w:color="auto"/>
            <w:left w:val="none" w:sz="0" w:space="0" w:color="auto"/>
            <w:bottom w:val="none" w:sz="0" w:space="0" w:color="auto"/>
            <w:right w:val="none" w:sz="0" w:space="0" w:color="auto"/>
          </w:divBdr>
          <w:divsChild>
            <w:div w:id="243532155">
              <w:marLeft w:val="0"/>
              <w:marRight w:val="0"/>
              <w:marTop w:val="0"/>
              <w:marBottom w:val="0"/>
              <w:divBdr>
                <w:top w:val="none" w:sz="0" w:space="0" w:color="auto"/>
                <w:left w:val="none" w:sz="0" w:space="0" w:color="auto"/>
                <w:bottom w:val="none" w:sz="0" w:space="0" w:color="auto"/>
                <w:right w:val="none" w:sz="0" w:space="0" w:color="auto"/>
              </w:divBdr>
              <w:divsChild>
                <w:div w:id="1096439898">
                  <w:marLeft w:val="0"/>
                  <w:marRight w:val="0"/>
                  <w:marTop w:val="0"/>
                  <w:marBottom w:val="0"/>
                  <w:divBdr>
                    <w:top w:val="none" w:sz="0" w:space="0" w:color="auto"/>
                    <w:left w:val="none" w:sz="0" w:space="0" w:color="auto"/>
                    <w:bottom w:val="none" w:sz="0" w:space="0" w:color="auto"/>
                    <w:right w:val="none" w:sz="0" w:space="0" w:color="auto"/>
                  </w:divBdr>
                  <w:divsChild>
                    <w:div w:id="1393698627">
                      <w:marLeft w:val="0"/>
                      <w:marRight w:val="0"/>
                      <w:marTop w:val="0"/>
                      <w:marBottom w:val="0"/>
                      <w:divBdr>
                        <w:top w:val="none" w:sz="0" w:space="0" w:color="auto"/>
                        <w:left w:val="none" w:sz="0" w:space="0" w:color="auto"/>
                        <w:bottom w:val="none" w:sz="0" w:space="0" w:color="auto"/>
                        <w:right w:val="none" w:sz="0" w:space="0" w:color="auto"/>
                      </w:divBdr>
                      <w:divsChild>
                        <w:div w:id="1387797174">
                          <w:marLeft w:val="0"/>
                          <w:marRight w:val="0"/>
                          <w:marTop w:val="0"/>
                          <w:marBottom w:val="0"/>
                          <w:divBdr>
                            <w:top w:val="none" w:sz="0" w:space="0" w:color="auto"/>
                            <w:left w:val="none" w:sz="0" w:space="0" w:color="auto"/>
                            <w:bottom w:val="none" w:sz="0" w:space="0" w:color="auto"/>
                            <w:right w:val="none" w:sz="0" w:space="0" w:color="auto"/>
                          </w:divBdr>
                          <w:divsChild>
                            <w:div w:id="385106741">
                              <w:marLeft w:val="0"/>
                              <w:marRight w:val="0"/>
                              <w:marTop w:val="0"/>
                              <w:marBottom w:val="0"/>
                              <w:divBdr>
                                <w:top w:val="none" w:sz="0" w:space="0" w:color="auto"/>
                                <w:left w:val="none" w:sz="0" w:space="0" w:color="auto"/>
                                <w:bottom w:val="none" w:sz="0" w:space="0" w:color="auto"/>
                                <w:right w:val="none" w:sz="0" w:space="0" w:color="auto"/>
                              </w:divBdr>
                              <w:divsChild>
                                <w:div w:id="477966340">
                                  <w:marLeft w:val="0"/>
                                  <w:marRight w:val="0"/>
                                  <w:marTop w:val="0"/>
                                  <w:marBottom w:val="0"/>
                                  <w:divBdr>
                                    <w:top w:val="none" w:sz="0" w:space="0" w:color="auto"/>
                                    <w:left w:val="none" w:sz="0" w:space="0" w:color="auto"/>
                                    <w:bottom w:val="none" w:sz="0" w:space="0" w:color="auto"/>
                                    <w:right w:val="none" w:sz="0" w:space="0" w:color="auto"/>
                                  </w:divBdr>
                                  <w:divsChild>
                                    <w:div w:id="1847360628">
                                      <w:marLeft w:val="0"/>
                                      <w:marRight w:val="0"/>
                                      <w:marTop w:val="0"/>
                                      <w:marBottom w:val="0"/>
                                      <w:divBdr>
                                        <w:top w:val="none" w:sz="0" w:space="0" w:color="auto"/>
                                        <w:left w:val="none" w:sz="0" w:space="0" w:color="auto"/>
                                        <w:bottom w:val="none" w:sz="0" w:space="0" w:color="auto"/>
                                        <w:right w:val="none" w:sz="0" w:space="0" w:color="auto"/>
                                      </w:divBdr>
                                      <w:divsChild>
                                        <w:div w:id="1733041517">
                                          <w:marLeft w:val="0"/>
                                          <w:marRight w:val="0"/>
                                          <w:marTop w:val="0"/>
                                          <w:marBottom w:val="0"/>
                                          <w:divBdr>
                                            <w:top w:val="none" w:sz="0" w:space="0" w:color="auto"/>
                                            <w:left w:val="none" w:sz="0" w:space="0" w:color="auto"/>
                                            <w:bottom w:val="none" w:sz="0" w:space="0" w:color="auto"/>
                                            <w:right w:val="none" w:sz="0" w:space="0" w:color="auto"/>
                                          </w:divBdr>
                                          <w:divsChild>
                                            <w:div w:id="103044471">
                                              <w:marLeft w:val="0"/>
                                              <w:marRight w:val="0"/>
                                              <w:marTop w:val="0"/>
                                              <w:marBottom w:val="0"/>
                                              <w:divBdr>
                                                <w:top w:val="none" w:sz="0" w:space="0" w:color="auto"/>
                                                <w:left w:val="none" w:sz="0" w:space="0" w:color="auto"/>
                                                <w:bottom w:val="none" w:sz="0" w:space="0" w:color="auto"/>
                                                <w:right w:val="none" w:sz="0" w:space="0" w:color="auto"/>
                                              </w:divBdr>
                                              <w:divsChild>
                                                <w:div w:id="1163274133">
                                                  <w:marLeft w:val="0"/>
                                                  <w:marRight w:val="0"/>
                                                  <w:marTop w:val="0"/>
                                                  <w:marBottom w:val="0"/>
                                                  <w:divBdr>
                                                    <w:top w:val="none" w:sz="0" w:space="0" w:color="auto"/>
                                                    <w:left w:val="none" w:sz="0" w:space="0" w:color="auto"/>
                                                    <w:bottom w:val="none" w:sz="0" w:space="0" w:color="auto"/>
                                                    <w:right w:val="none" w:sz="0" w:space="0" w:color="auto"/>
                                                  </w:divBdr>
                                                  <w:divsChild>
                                                    <w:div w:id="1087457730">
                                                      <w:marLeft w:val="0"/>
                                                      <w:marRight w:val="0"/>
                                                      <w:marTop w:val="0"/>
                                                      <w:marBottom w:val="0"/>
                                                      <w:divBdr>
                                                        <w:top w:val="none" w:sz="0" w:space="0" w:color="auto"/>
                                                        <w:left w:val="none" w:sz="0" w:space="0" w:color="auto"/>
                                                        <w:bottom w:val="none" w:sz="0" w:space="0" w:color="auto"/>
                                                        <w:right w:val="none" w:sz="0" w:space="0" w:color="auto"/>
                                                      </w:divBdr>
                                                      <w:divsChild>
                                                        <w:div w:id="136440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05188248">
      <w:bodyDiv w:val="1"/>
      <w:marLeft w:val="0"/>
      <w:marRight w:val="0"/>
      <w:marTop w:val="0"/>
      <w:marBottom w:val="0"/>
      <w:divBdr>
        <w:top w:val="none" w:sz="0" w:space="0" w:color="auto"/>
        <w:left w:val="none" w:sz="0" w:space="0" w:color="auto"/>
        <w:bottom w:val="none" w:sz="0" w:space="0" w:color="auto"/>
        <w:right w:val="none" w:sz="0" w:space="0" w:color="auto"/>
      </w:divBdr>
      <w:divsChild>
        <w:div w:id="984120464">
          <w:marLeft w:val="0"/>
          <w:marRight w:val="0"/>
          <w:marTop w:val="0"/>
          <w:marBottom w:val="0"/>
          <w:divBdr>
            <w:top w:val="none" w:sz="0" w:space="0" w:color="auto"/>
            <w:left w:val="none" w:sz="0" w:space="0" w:color="auto"/>
            <w:bottom w:val="none" w:sz="0" w:space="0" w:color="auto"/>
            <w:right w:val="none" w:sz="0" w:space="0" w:color="auto"/>
          </w:divBdr>
          <w:divsChild>
            <w:div w:id="897321369">
              <w:marLeft w:val="0"/>
              <w:marRight w:val="0"/>
              <w:marTop w:val="0"/>
              <w:marBottom w:val="0"/>
              <w:divBdr>
                <w:top w:val="none" w:sz="0" w:space="0" w:color="auto"/>
                <w:left w:val="none" w:sz="0" w:space="0" w:color="auto"/>
                <w:bottom w:val="none" w:sz="0" w:space="0" w:color="auto"/>
                <w:right w:val="none" w:sz="0" w:space="0" w:color="auto"/>
              </w:divBdr>
              <w:divsChild>
                <w:div w:id="436607783">
                  <w:marLeft w:val="0"/>
                  <w:marRight w:val="0"/>
                  <w:marTop w:val="0"/>
                  <w:marBottom w:val="0"/>
                  <w:divBdr>
                    <w:top w:val="none" w:sz="0" w:space="0" w:color="auto"/>
                    <w:left w:val="none" w:sz="0" w:space="0" w:color="auto"/>
                    <w:bottom w:val="none" w:sz="0" w:space="0" w:color="auto"/>
                    <w:right w:val="none" w:sz="0" w:space="0" w:color="auto"/>
                  </w:divBdr>
                  <w:divsChild>
                    <w:div w:id="1948459361">
                      <w:marLeft w:val="0"/>
                      <w:marRight w:val="0"/>
                      <w:marTop w:val="0"/>
                      <w:marBottom w:val="0"/>
                      <w:divBdr>
                        <w:top w:val="none" w:sz="0" w:space="0" w:color="auto"/>
                        <w:left w:val="none" w:sz="0" w:space="0" w:color="auto"/>
                        <w:bottom w:val="none" w:sz="0" w:space="0" w:color="auto"/>
                        <w:right w:val="none" w:sz="0" w:space="0" w:color="auto"/>
                      </w:divBdr>
                      <w:divsChild>
                        <w:div w:id="1160123933">
                          <w:marLeft w:val="0"/>
                          <w:marRight w:val="0"/>
                          <w:marTop w:val="0"/>
                          <w:marBottom w:val="0"/>
                          <w:divBdr>
                            <w:top w:val="none" w:sz="0" w:space="0" w:color="auto"/>
                            <w:left w:val="none" w:sz="0" w:space="0" w:color="auto"/>
                            <w:bottom w:val="none" w:sz="0" w:space="0" w:color="auto"/>
                            <w:right w:val="none" w:sz="0" w:space="0" w:color="auto"/>
                          </w:divBdr>
                          <w:divsChild>
                            <w:div w:id="404030146">
                              <w:marLeft w:val="0"/>
                              <w:marRight w:val="0"/>
                              <w:marTop w:val="0"/>
                              <w:marBottom w:val="0"/>
                              <w:divBdr>
                                <w:top w:val="none" w:sz="0" w:space="0" w:color="auto"/>
                                <w:left w:val="none" w:sz="0" w:space="0" w:color="auto"/>
                                <w:bottom w:val="none" w:sz="0" w:space="0" w:color="auto"/>
                                <w:right w:val="none" w:sz="0" w:space="0" w:color="auto"/>
                              </w:divBdr>
                              <w:divsChild>
                                <w:div w:id="1450973420">
                                  <w:marLeft w:val="0"/>
                                  <w:marRight w:val="0"/>
                                  <w:marTop w:val="0"/>
                                  <w:marBottom w:val="0"/>
                                  <w:divBdr>
                                    <w:top w:val="none" w:sz="0" w:space="0" w:color="auto"/>
                                    <w:left w:val="none" w:sz="0" w:space="0" w:color="auto"/>
                                    <w:bottom w:val="none" w:sz="0" w:space="0" w:color="auto"/>
                                    <w:right w:val="none" w:sz="0" w:space="0" w:color="auto"/>
                                  </w:divBdr>
                                  <w:divsChild>
                                    <w:div w:id="2073311308">
                                      <w:marLeft w:val="0"/>
                                      <w:marRight w:val="0"/>
                                      <w:marTop w:val="0"/>
                                      <w:marBottom w:val="0"/>
                                      <w:divBdr>
                                        <w:top w:val="none" w:sz="0" w:space="0" w:color="auto"/>
                                        <w:left w:val="none" w:sz="0" w:space="0" w:color="auto"/>
                                        <w:bottom w:val="none" w:sz="0" w:space="0" w:color="auto"/>
                                        <w:right w:val="none" w:sz="0" w:space="0" w:color="auto"/>
                                      </w:divBdr>
                                      <w:divsChild>
                                        <w:div w:id="1128163872">
                                          <w:marLeft w:val="0"/>
                                          <w:marRight w:val="0"/>
                                          <w:marTop w:val="0"/>
                                          <w:marBottom w:val="0"/>
                                          <w:divBdr>
                                            <w:top w:val="none" w:sz="0" w:space="0" w:color="auto"/>
                                            <w:left w:val="none" w:sz="0" w:space="0" w:color="auto"/>
                                            <w:bottom w:val="none" w:sz="0" w:space="0" w:color="auto"/>
                                            <w:right w:val="none" w:sz="0" w:space="0" w:color="auto"/>
                                          </w:divBdr>
                                          <w:divsChild>
                                            <w:div w:id="1247154983">
                                              <w:marLeft w:val="0"/>
                                              <w:marRight w:val="0"/>
                                              <w:marTop w:val="0"/>
                                              <w:marBottom w:val="0"/>
                                              <w:divBdr>
                                                <w:top w:val="none" w:sz="0" w:space="0" w:color="auto"/>
                                                <w:left w:val="none" w:sz="0" w:space="0" w:color="auto"/>
                                                <w:bottom w:val="none" w:sz="0" w:space="0" w:color="auto"/>
                                                <w:right w:val="none" w:sz="0" w:space="0" w:color="auto"/>
                                              </w:divBdr>
                                              <w:divsChild>
                                                <w:div w:id="1570849028">
                                                  <w:marLeft w:val="0"/>
                                                  <w:marRight w:val="0"/>
                                                  <w:marTop w:val="0"/>
                                                  <w:marBottom w:val="0"/>
                                                  <w:divBdr>
                                                    <w:top w:val="none" w:sz="0" w:space="0" w:color="auto"/>
                                                    <w:left w:val="none" w:sz="0" w:space="0" w:color="auto"/>
                                                    <w:bottom w:val="none" w:sz="0" w:space="0" w:color="auto"/>
                                                    <w:right w:val="none" w:sz="0" w:space="0" w:color="auto"/>
                                                  </w:divBdr>
                                                  <w:divsChild>
                                                    <w:div w:id="386341188">
                                                      <w:marLeft w:val="0"/>
                                                      <w:marRight w:val="0"/>
                                                      <w:marTop w:val="0"/>
                                                      <w:marBottom w:val="0"/>
                                                      <w:divBdr>
                                                        <w:top w:val="none" w:sz="0" w:space="0" w:color="auto"/>
                                                        <w:left w:val="none" w:sz="0" w:space="0" w:color="auto"/>
                                                        <w:bottom w:val="none" w:sz="0" w:space="0" w:color="auto"/>
                                                        <w:right w:val="none" w:sz="0" w:space="0" w:color="auto"/>
                                                      </w:divBdr>
                                                      <w:divsChild>
                                                        <w:div w:id="45456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30549008">
      <w:bodyDiv w:val="1"/>
      <w:marLeft w:val="0"/>
      <w:marRight w:val="0"/>
      <w:marTop w:val="0"/>
      <w:marBottom w:val="0"/>
      <w:divBdr>
        <w:top w:val="none" w:sz="0" w:space="0" w:color="auto"/>
        <w:left w:val="none" w:sz="0" w:space="0" w:color="auto"/>
        <w:bottom w:val="none" w:sz="0" w:space="0" w:color="auto"/>
        <w:right w:val="none" w:sz="0" w:space="0" w:color="auto"/>
      </w:divBdr>
      <w:divsChild>
        <w:div w:id="1390496052">
          <w:marLeft w:val="0"/>
          <w:marRight w:val="0"/>
          <w:marTop w:val="0"/>
          <w:marBottom w:val="0"/>
          <w:divBdr>
            <w:top w:val="none" w:sz="0" w:space="0" w:color="auto"/>
            <w:left w:val="none" w:sz="0" w:space="0" w:color="auto"/>
            <w:bottom w:val="none" w:sz="0" w:space="0" w:color="auto"/>
            <w:right w:val="none" w:sz="0" w:space="0" w:color="auto"/>
          </w:divBdr>
          <w:divsChild>
            <w:div w:id="886139543">
              <w:marLeft w:val="0"/>
              <w:marRight w:val="0"/>
              <w:marTop w:val="0"/>
              <w:marBottom w:val="0"/>
              <w:divBdr>
                <w:top w:val="none" w:sz="0" w:space="0" w:color="auto"/>
                <w:left w:val="none" w:sz="0" w:space="0" w:color="auto"/>
                <w:bottom w:val="none" w:sz="0" w:space="0" w:color="auto"/>
                <w:right w:val="none" w:sz="0" w:space="0" w:color="auto"/>
              </w:divBdr>
              <w:divsChild>
                <w:div w:id="179438413">
                  <w:marLeft w:val="0"/>
                  <w:marRight w:val="0"/>
                  <w:marTop w:val="0"/>
                  <w:marBottom w:val="0"/>
                  <w:divBdr>
                    <w:top w:val="none" w:sz="0" w:space="0" w:color="auto"/>
                    <w:left w:val="none" w:sz="0" w:space="0" w:color="auto"/>
                    <w:bottom w:val="none" w:sz="0" w:space="0" w:color="auto"/>
                    <w:right w:val="none" w:sz="0" w:space="0" w:color="auto"/>
                  </w:divBdr>
                  <w:divsChild>
                    <w:div w:id="1630434823">
                      <w:marLeft w:val="0"/>
                      <w:marRight w:val="0"/>
                      <w:marTop w:val="0"/>
                      <w:marBottom w:val="0"/>
                      <w:divBdr>
                        <w:top w:val="none" w:sz="0" w:space="0" w:color="auto"/>
                        <w:left w:val="none" w:sz="0" w:space="0" w:color="auto"/>
                        <w:bottom w:val="none" w:sz="0" w:space="0" w:color="auto"/>
                        <w:right w:val="none" w:sz="0" w:space="0" w:color="auto"/>
                      </w:divBdr>
                      <w:divsChild>
                        <w:div w:id="1692028225">
                          <w:marLeft w:val="0"/>
                          <w:marRight w:val="0"/>
                          <w:marTop w:val="0"/>
                          <w:marBottom w:val="0"/>
                          <w:divBdr>
                            <w:top w:val="none" w:sz="0" w:space="0" w:color="auto"/>
                            <w:left w:val="none" w:sz="0" w:space="0" w:color="auto"/>
                            <w:bottom w:val="none" w:sz="0" w:space="0" w:color="auto"/>
                            <w:right w:val="none" w:sz="0" w:space="0" w:color="auto"/>
                          </w:divBdr>
                          <w:divsChild>
                            <w:div w:id="2044092035">
                              <w:marLeft w:val="0"/>
                              <w:marRight w:val="0"/>
                              <w:marTop w:val="0"/>
                              <w:marBottom w:val="0"/>
                              <w:divBdr>
                                <w:top w:val="none" w:sz="0" w:space="0" w:color="auto"/>
                                <w:left w:val="none" w:sz="0" w:space="0" w:color="auto"/>
                                <w:bottom w:val="none" w:sz="0" w:space="0" w:color="auto"/>
                                <w:right w:val="none" w:sz="0" w:space="0" w:color="auto"/>
                              </w:divBdr>
                              <w:divsChild>
                                <w:div w:id="13112888">
                                  <w:marLeft w:val="0"/>
                                  <w:marRight w:val="0"/>
                                  <w:marTop w:val="0"/>
                                  <w:marBottom w:val="0"/>
                                  <w:divBdr>
                                    <w:top w:val="none" w:sz="0" w:space="0" w:color="auto"/>
                                    <w:left w:val="none" w:sz="0" w:space="0" w:color="auto"/>
                                    <w:bottom w:val="none" w:sz="0" w:space="0" w:color="auto"/>
                                    <w:right w:val="none" w:sz="0" w:space="0" w:color="auto"/>
                                  </w:divBdr>
                                  <w:divsChild>
                                    <w:div w:id="237832743">
                                      <w:marLeft w:val="0"/>
                                      <w:marRight w:val="0"/>
                                      <w:marTop w:val="0"/>
                                      <w:marBottom w:val="0"/>
                                      <w:divBdr>
                                        <w:top w:val="none" w:sz="0" w:space="0" w:color="auto"/>
                                        <w:left w:val="none" w:sz="0" w:space="0" w:color="auto"/>
                                        <w:bottom w:val="none" w:sz="0" w:space="0" w:color="auto"/>
                                        <w:right w:val="none" w:sz="0" w:space="0" w:color="auto"/>
                                      </w:divBdr>
                                      <w:divsChild>
                                        <w:div w:id="2081907773">
                                          <w:marLeft w:val="0"/>
                                          <w:marRight w:val="0"/>
                                          <w:marTop w:val="0"/>
                                          <w:marBottom w:val="0"/>
                                          <w:divBdr>
                                            <w:top w:val="none" w:sz="0" w:space="0" w:color="auto"/>
                                            <w:left w:val="none" w:sz="0" w:space="0" w:color="auto"/>
                                            <w:bottom w:val="none" w:sz="0" w:space="0" w:color="auto"/>
                                            <w:right w:val="none" w:sz="0" w:space="0" w:color="auto"/>
                                          </w:divBdr>
                                          <w:divsChild>
                                            <w:div w:id="674964602">
                                              <w:marLeft w:val="0"/>
                                              <w:marRight w:val="0"/>
                                              <w:marTop w:val="0"/>
                                              <w:marBottom w:val="0"/>
                                              <w:divBdr>
                                                <w:top w:val="none" w:sz="0" w:space="0" w:color="auto"/>
                                                <w:left w:val="none" w:sz="0" w:space="0" w:color="auto"/>
                                                <w:bottom w:val="none" w:sz="0" w:space="0" w:color="auto"/>
                                                <w:right w:val="none" w:sz="0" w:space="0" w:color="auto"/>
                                              </w:divBdr>
                                              <w:divsChild>
                                                <w:div w:id="1363507356">
                                                  <w:marLeft w:val="0"/>
                                                  <w:marRight w:val="0"/>
                                                  <w:marTop w:val="0"/>
                                                  <w:marBottom w:val="0"/>
                                                  <w:divBdr>
                                                    <w:top w:val="none" w:sz="0" w:space="0" w:color="auto"/>
                                                    <w:left w:val="none" w:sz="0" w:space="0" w:color="auto"/>
                                                    <w:bottom w:val="none" w:sz="0" w:space="0" w:color="auto"/>
                                                    <w:right w:val="none" w:sz="0" w:space="0" w:color="auto"/>
                                                  </w:divBdr>
                                                  <w:divsChild>
                                                    <w:div w:id="430204740">
                                                      <w:marLeft w:val="0"/>
                                                      <w:marRight w:val="0"/>
                                                      <w:marTop w:val="0"/>
                                                      <w:marBottom w:val="0"/>
                                                      <w:divBdr>
                                                        <w:top w:val="none" w:sz="0" w:space="0" w:color="auto"/>
                                                        <w:left w:val="none" w:sz="0" w:space="0" w:color="auto"/>
                                                        <w:bottom w:val="none" w:sz="0" w:space="0" w:color="auto"/>
                                                        <w:right w:val="none" w:sz="0" w:space="0" w:color="auto"/>
                                                      </w:divBdr>
                                                      <w:divsChild>
                                                        <w:div w:id="74071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32266222">
      <w:bodyDiv w:val="1"/>
      <w:marLeft w:val="0"/>
      <w:marRight w:val="0"/>
      <w:marTop w:val="0"/>
      <w:marBottom w:val="0"/>
      <w:divBdr>
        <w:top w:val="none" w:sz="0" w:space="0" w:color="auto"/>
        <w:left w:val="none" w:sz="0" w:space="0" w:color="auto"/>
        <w:bottom w:val="none" w:sz="0" w:space="0" w:color="auto"/>
        <w:right w:val="none" w:sz="0" w:space="0" w:color="auto"/>
      </w:divBdr>
    </w:div>
    <w:div w:id="1753771209">
      <w:bodyDiv w:val="1"/>
      <w:marLeft w:val="0"/>
      <w:marRight w:val="0"/>
      <w:marTop w:val="0"/>
      <w:marBottom w:val="0"/>
      <w:divBdr>
        <w:top w:val="none" w:sz="0" w:space="0" w:color="auto"/>
        <w:left w:val="none" w:sz="0" w:space="0" w:color="auto"/>
        <w:bottom w:val="none" w:sz="0" w:space="0" w:color="auto"/>
        <w:right w:val="none" w:sz="0" w:space="0" w:color="auto"/>
      </w:divBdr>
    </w:div>
    <w:div w:id="1779527508">
      <w:bodyDiv w:val="1"/>
      <w:marLeft w:val="0"/>
      <w:marRight w:val="0"/>
      <w:marTop w:val="0"/>
      <w:marBottom w:val="0"/>
      <w:divBdr>
        <w:top w:val="none" w:sz="0" w:space="0" w:color="auto"/>
        <w:left w:val="none" w:sz="0" w:space="0" w:color="auto"/>
        <w:bottom w:val="none" w:sz="0" w:space="0" w:color="auto"/>
        <w:right w:val="none" w:sz="0" w:space="0" w:color="auto"/>
      </w:divBdr>
      <w:divsChild>
        <w:div w:id="503862300">
          <w:marLeft w:val="0"/>
          <w:marRight w:val="0"/>
          <w:marTop w:val="0"/>
          <w:marBottom w:val="0"/>
          <w:divBdr>
            <w:top w:val="none" w:sz="0" w:space="0" w:color="auto"/>
            <w:left w:val="none" w:sz="0" w:space="0" w:color="auto"/>
            <w:bottom w:val="none" w:sz="0" w:space="0" w:color="auto"/>
            <w:right w:val="none" w:sz="0" w:space="0" w:color="auto"/>
          </w:divBdr>
          <w:divsChild>
            <w:div w:id="475269338">
              <w:marLeft w:val="0"/>
              <w:marRight w:val="0"/>
              <w:marTop w:val="0"/>
              <w:marBottom w:val="0"/>
              <w:divBdr>
                <w:top w:val="none" w:sz="0" w:space="0" w:color="auto"/>
                <w:left w:val="none" w:sz="0" w:space="0" w:color="auto"/>
                <w:bottom w:val="none" w:sz="0" w:space="0" w:color="auto"/>
                <w:right w:val="none" w:sz="0" w:space="0" w:color="auto"/>
              </w:divBdr>
              <w:divsChild>
                <w:div w:id="1530218358">
                  <w:marLeft w:val="0"/>
                  <w:marRight w:val="0"/>
                  <w:marTop w:val="0"/>
                  <w:marBottom w:val="0"/>
                  <w:divBdr>
                    <w:top w:val="none" w:sz="0" w:space="0" w:color="auto"/>
                    <w:left w:val="none" w:sz="0" w:space="0" w:color="auto"/>
                    <w:bottom w:val="none" w:sz="0" w:space="0" w:color="auto"/>
                    <w:right w:val="none" w:sz="0" w:space="0" w:color="auto"/>
                  </w:divBdr>
                  <w:divsChild>
                    <w:div w:id="130052536">
                      <w:marLeft w:val="0"/>
                      <w:marRight w:val="0"/>
                      <w:marTop w:val="0"/>
                      <w:marBottom w:val="0"/>
                      <w:divBdr>
                        <w:top w:val="none" w:sz="0" w:space="0" w:color="auto"/>
                        <w:left w:val="none" w:sz="0" w:space="0" w:color="auto"/>
                        <w:bottom w:val="none" w:sz="0" w:space="0" w:color="auto"/>
                        <w:right w:val="none" w:sz="0" w:space="0" w:color="auto"/>
                      </w:divBdr>
                      <w:divsChild>
                        <w:div w:id="1829900626">
                          <w:marLeft w:val="0"/>
                          <w:marRight w:val="0"/>
                          <w:marTop w:val="0"/>
                          <w:marBottom w:val="0"/>
                          <w:divBdr>
                            <w:top w:val="none" w:sz="0" w:space="0" w:color="auto"/>
                            <w:left w:val="none" w:sz="0" w:space="0" w:color="auto"/>
                            <w:bottom w:val="none" w:sz="0" w:space="0" w:color="auto"/>
                            <w:right w:val="none" w:sz="0" w:space="0" w:color="auto"/>
                          </w:divBdr>
                          <w:divsChild>
                            <w:div w:id="644506637">
                              <w:marLeft w:val="0"/>
                              <w:marRight w:val="0"/>
                              <w:marTop w:val="0"/>
                              <w:marBottom w:val="0"/>
                              <w:divBdr>
                                <w:top w:val="none" w:sz="0" w:space="0" w:color="auto"/>
                                <w:left w:val="none" w:sz="0" w:space="0" w:color="auto"/>
                                <w:bottom w:val="none" w:sz="0" w:space="0" w:color="auto"/>
                                <w:right w:val="none" w:sz="0" w:space="0" w:color="auto"/>
                              </w:divBdr>
                              <w:divsChild>
                                <w:div w:id="39401690">
                                  <w:marLeft w:val="0"/>
                                  <w:marRight w:val="0"/>
                                  <w:marTop w:val="0"/>
                                  <w:marBottom w:val="0"/>
                                  <w:divBdr>
                                    <w:top w:val="none" w:sz="0" w:space="0" w:color="auto"/>
                                    <w:left w:val="none" w:sz="0" w:space="0" w:color="auto"/>
                                    <w:bottom w:val="none" w:sz="0" w:space="0" w:color="auto"/>
                                    <w:right w:val="none" w:sz="0" w:space="0" w:color="auto"/>
                                  </w:divBdr>
                                  <w:divsChild>
                                    <w:div w:id="2081437236">
                                      <w:marLeft w:val="0"/>
                                      <w:marRight w:val="0"/>
                                      <w:marTop w:val="0"/>
                                      <w:marBottom w:val="0"/>
                                      <w:divBdr>
                                        <w:top w:val="none" w:sz="0" w:space="0" w:color="auto"/>
                                        <w:left w:val="none" w:sz="0" w:space="0" w:color="auto"/>
                                        <w:bottom w:val="none" w:sz="0" w:space="0" w:color="auto"/>
                                        <w:right w:val="none" w:sz="0" w:space="0" w:color="auto"/>
                                      </w:divBdr>
                                      <w:divsChild>
                                        <w:div w:id="1334064365">
                                          <w:marLeft w:val="0"/>
                                          <w:marRight w:val="0"/>
                                          <w:marTop w:val="0"/>
                                          <w:marBottom w:val="0"/>
                                          <w:divBdr>
                                            <w:top w:val="none" w:sz="0" w:space="0" w:color="auto"/>
                                            <w:left w:val="none" w:sz="0" w:space="0" w:color="auto"/>
                                            <w:bottom w:val="none" w:sz="0" w:space="0" w:color="auto"/>
                                            <w:right w:val="none" w:sz="0" w:space="0" w:color="auto"/>
                                          </w:divBdr>
                                          <w:divsChild>
                                            <w:div w:id="217471535">
                                              <w:marLeft w:val="0"/>
                                              <w:marRight w:val="0"/>
                                              <w:marTop w:val="0"/>
                                              <w:marBottom w:val="0"/>
                                              <w:divBdr>
                                                <w:top w:val="none" w:sz="0" w:space="0" w:color="auto"/>
                                                <w:left w:val="none" w:sz="0" w:space="0" w:color="auto"/>
                                                <w:bottom w:val="none" w:sz="0" w:space="0" w:color="auto"/>
                                                <w:right w:val="none" w:sz="0" w:space="0" w:color="auto"/>
                                              </w:divBdr>
                                              <w:divsChild>
                                                <w:div w:id="1016224928">
                                                  <w:marLeft w:val="0"/>
                                                  <w:marRight w:val="0"/>
                                                  <w:marTop w:val="0"/>
                                                  <w:marBottom w:val="0"/>
                                                  <w:divBdr>
                                                    <w:top w:val="none" w:sz="0" w:space="0" w:color="auto"/>
                                                    <w:left w:val="none" w:sz="0" w:space="0" w:color="auto"/>
                                                    <w:bottom w:val="none" w:sz="0" w:space="0" w:color="auto"/>
                                                    <w:right w:val="none" w:sz="0" w:space="0" w:color="auto"/>
                                                  </w:divBdr>
                                                  <w:divsChild>
                                                    <w:div w:id="2094550326">
                                                      <w:marLeft w:val="0"/>
                                                      <w:marRight w:val="0"/>
                                                      <w:marTop w:val="0"/>
                                                      <w:marBottom w:val="0"/>
                                                      <w:divBdr>
                                                        <w:top w:val="none" w:sz="0" w:space="0" w:color="auto"/>
                                                        <w:left w:val="none" w:sz="0" w:space="0" w:color="auto"/>
                                                        <w:bottom w:val="none" w:sz="0" w:space="0" w:color="auto"/>
                                                        <w:right w:val="none" w:sz="0" w:space="0" w:color="auto"/>
                                                      </w:divBdr>
                                                      <w:divsChild>
                                                        <w:div w:id="23529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85463814">
      <w:bodyDiv w:val="1"/>
      <w:marLeft w:val="0"/>
      <w:marRight w:val="0"/>
      <w:marTop w:val="0"/>
      <w:marBottom w:val="0"/>
      <w:divBdr>
        <w:top w:val="none" w:sz="0" w:space="0" w:color="auto"/>
        <w:left w:val="none" w:sz="0" w:space="0" w:color="auto"/>
        <w:bottom w:val="none" w:sz="0" w:space="0" w:color="auto"/>
        <w:right w:val="none" w:sz="0" w:space="0" w:color="auto"/>
      </w:divBdr>
    </w:div>
    <w:div w:id="1938949947">
      <w:bodyDiv w:val="1"/>
      <w:marLeft w:val="0"/>
      <w:marRight w:val="0"/>
      <w:marTop w:val="0"/>
      <w:marBottom w:val="0"/>
      <w:divBdr>
        <w:top w:val="none" w:sz="0" w:space="0" w:color="auto"/>
        <w:left w:val="none" w:sz="0" w:space="0" w:color="auto"/>
        <w:bottom w:val="none" w:sz="0" w:space="0" w:color="auto"/>
        <w:right w:val="none" w:sz="0" w:space="0" w:color="auto"/>
      </w:divBdr>
    </w:div>
    <w:div w:id="2139831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Category xmlns="8bd9498f-fa43-4ae2-8bb2-4c55a71680a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D4509C3D779E74F86554752994C3202" ma:contentTypeVersion="1" ma:contentTypeDescription="Create a new document." ma:contentTypeScope="" ma:versionID="cc38fab6ee7250a1ec76ade8891a3b1a">
  <xsd:schema xmlns:xsd="http://www.w3.org/2001/XMLSchema" xmlns:xs="http://www.w3.org/2001/XMLSchema" xmlns:p="http://schemas.microsoft.com/office/2006/metadata/properties" xmlns:ns2="8bd9498f-fa43-4ae2-8bb2-4c55a71680ad" targetNamespace="http://schemas.microsoft.com/office/2006/metadata/properties" ma:root="true" ma:fieldsID="242b35c5b343e57f5b0319ba383165ed" ns2:_="">
    <xsd:import namespace="8bd9498f-fa43-4ae2-8bb2-4c55a71680ad"/>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9498f-fa43-4ae2-8bb2-4c55a71680ad" elementFormDefault="qualified">
    <xsd:import namespace="http://schemas.microsoft.com/office/2006/documentManagement/types"/>
    <xsd:import namespace="http://schemas.microsoft.com/office/infopath/2007/PartnerControls"/>
    <xsd:element name="Category" ma:index="8" nillable="true" ma:displayName="Category" ma:description="brief description of document type" ma:internalName="Categor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302654-7AE2-4618-95A8-D8C9C03930B2}">
  <ds:schemaRefs>
    <ds:schemaRef ds:uri="http://schemas.microsoft.com/sharepoint/v3/contenttype/forms"/>
  </ds:schemaRefs>
</ds:datastoreItem>
</file>

<file path=customXml/itemProps2.xml><?xml version="1.0" encoding="utf-8"?>
<ds:datastoreItem xmlns:ds="http://schemas.openxmlformats.org/officeDocument/2006/customXml" ds:itemID="{5C3244E2-8503-4AE0-8C25-B2A32E5088FD}">
  <ds:schemaRefs>
    <ds:schemaRef ds:uri="http://schemas.openxmlformats.org/officeDocument/2006/bibliography"/>
  </ds:schemaRefs>
</ds:datastoreItem>
</file>

<file path=customXml/itemProps3.xml><?xml version="1.0" encoding="utf-8"?>
<ds:datastoreItem xmlns:ds="http://schemas.openxmlformats.org/officeDocument/2006/customXml" ds:itemID="{2B13C29E-D991-4DB9-A13E-7C1AA632889D}">
  <ds:schemaRefs>
    <ds:schemaRef ds:uri="http://schemas.microsoft.com/office/2006/metadata/properties"/>
    <ds:schemaRef ds:uri="http://schemas.microsoft.com/office/infopath/2007/PartnerControls"/>
    <ds:schemaRef ds:uri="8bd9498f-fa43-4ae2-8bb2-4c55a71680ad"/>
  </ds:schemaRefs>
</ds:datastoreItem>
</file>

<file path=customXml/itemProps4.xml><?xml version="1.0" encoding="utf-8"?>
<ds:datastoreItem xmlns:ds="http://schemas.openxmlformats.org/officeDocument/2006/customXml" ds:itemID="{159BCE3D-4D7E-4F2D-BAFC-F3760C0233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9498f-fa43-4ae2-8bb2-4c55a71680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7</Pages>
  <Words>2542</Words>
  <Characters>14496</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17004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Nicoli Carol</dc:creator>
  <cp:lastModifiedBy>PANTIC, Sandra</cp:lastModifiedBy>
  <cp:revision>33</cp:revision>
  <cp:lastPrinted>2022-12-22T22:04:00Z</cp:lastPrinted>
  <dcterms:created xsi:type="dcterms:W3CDTF">2022-12-16T03:57:00Z</dcterms:created>
  <dcterms:modified xsi:type="dcterms:W3CDTF">2022-12-23T00:23:00Z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ContentTypeId">
    <vt:lpwstr>0x010100DD4509C3D779E74F86554752994C3202</vt:lpwstr>
  </property>
</Properties>
</file>