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32372" w14:textId="77777777" w:rsidR="001364E8" w:rsidRPr="0020287E" w:rsidRDefault="001364E8" w:rsidP="00CA4B5B">
      <w:pPr>
        <w:spacing w:line="276" w:lineRule="auto"/>
        <w:jc w:val="center"/>
        <w:rPr>
          <w:rFonts w:asciiTheme="minorHAnsi" w:hAnsiTheme="minorHAnsi" w:cstheme="minorHAnsi"/>
          <w:b/>
          <w:color w:val="000000"/>
          <w:u w:val="single"/>
        </w:rPr>
      </w:pPr>
      <w:r w:rsidRPr="0020287E">
        <w:rPr>
          <w:rFonts w:asciiTheme="minorHAnsi" w:hAnsiTheme="minorHAnsi" w:cstheme="minorHAnsi"/>
          <w:b/>
          <w:color w:val="000000"/>
          <w:u w:val="single"/>
        </w:rPr>
        <w:t>EXPLANATORY STATEMENT</w:t>
      </w:r>
    </w:p>
    <w:p w14:paraId="1013CA26" w14:textId="77777777" w:rsidR="001364E8" w:rsidRPr="0020287E" w:rsidRDefault="001364E8" w:rsidP="00CA4B5B">
      <w:pPr>
        <w:spacing w:line="276" w:lineRule="auto"/>
        <w:rPr>
          <w:rFonts w:asciiTheme="minorHAnsi" w:hAnsiTheme="minorHAnsi" w:cstheme="minorHAnsi"/>
          <w:color w:val="000000"/>
        </w:rPr>
      </w:pPr>
    </w:p>
    <w:p w14:paraId="7D73BD45" w14:textId="61E3680F" w:rsidR="00DA4D7E" w:rsidRPr="00DA4D7E" w:rsidRDefault="00DA4D7E" w:rsidP="00DA4D7E">
      <w:pPr>
        <w:jc w:val="center"/>
        <w:rPr>
          <w:rFonts w:asciiTheme="minorHAnsi" w:hAnsiTheme="minorHAnsi" w:cstheme="minorHAnsi"/>
          <w:u w:val="single"/>
        </w:rPr>
      </w:pPr>
      <w:r w:rsidRPr="0088497A">
        <w:rPr>
          <w:rFonts w:asciiTheme="minorHAnsi" w:hAnsiTheme="minorHAnsi" w:cstheme="minorHAnsi"/>
          <w:u w:val="single"/>
        </w:rPr>
        <w:t>Issued by the authority of</w:t>
      </w:r>
      <w:r>
        <w:rPr>
          <w:rFonts w:asciiTheme="minorHAnsi" w:hAnsiTheme="minorHAnsi" w:cstheme="minorHAnsi"/>
          <w:u w:val="single"/>
        </w:rPr>
        <w:t xml:space="preserve"> </w:t>
      </w:r>
      <w:r w:rsidR="00A34A7A">
        <w:rPr>
          <w:rFonts w:asciiTheme="minorHAnsi" w:hAnsiTheme="minorHAnsi" w:cstheme="minorHAnsi"/>
          <w:u w:val="single"/>
        </w:rPr>
        <w:t xml:space="preserve">the </w:t>
      </w:r>
      <w:r>
        <w:rPr>
          <w:rFonts w:asciiTheme="minorHAnsi" w:hAnsiTheme="minorHAnsi" w:cstheme="minorHAnsi"/>
          <w:u w:val="single"/>
        </w:rPr>
        <w:t xml:space="preserve">Minister for </w:t>
      </w:r>
      <w:r w:rsidR="00AA1C24">
        <w:rPr>
          <w:rFonts w:asciiTheme="minorHAnsi" w:hAnsiTheme="minorHAnsi" w:cstheme="minorHAnsi"/>
          <w:u w:val="single"/>
        </w:rPr>
        <w:t>Education</w:t>
      </w:r>
    </w:p>
    <w:p w14:paraId="5CDEC017" w14:textId="77777777" w:rsidR="00DA4D7E" w:rsidRPr="002830F7" w:rsidRDefault="00DA4D7E" w:rsidP="00CA4B5B">
      <w:pPr>
        <w:spacing w:line="276" w:lineRule="auto"/>
        <w:jc w:val="center"/>
        <w:rPr>
          <w:rFonts w:asciiTheme="minorHAnsi" w:hAnsiTheme="minorHAnsi" w:cstheme="minorHAnsi"/>
          <w:b/>
          <w:bCs/>
          <w:i/>
          <w:color w:val="000000"/>
        </w:rPr>
      </w:pPr>
    </w:p>
    <w:p w14:paraId="1C3F348A" w14:textId="1004D2AD" w:rsidR="001364E8" w:rsidRPr="002830F7" w:rsidRDefault="00B3614E" w:rsidP="00CA4B5B">
      <w:pPr>
        <w:spacing w:line="276" w:lineRule="auto"/>
        <w:jc w:val="center"/>
        <w:rPr>
          <w:rFonts w:asciiTheme="minorHAnsi" w:hAnsiTheme="minorHAnsi" w:cstheme="minorHAnsi"/>
          <w:b/>
          <w:bCs/>
          <w:color w:val="000000"/>
        </w:rPr>
      </w:pPr>
      <w:r w:rsidRPr="006632D8">
        <w:rPr>
          <w:rFonts w:asciiTheme="minorHAnsi" w:hAnsiTheme="minorHAnsi" w:cstheme="minorHAnsi"/>
          <w:b/>
          <w:bCs/>
          <w:i/>
          <w:iCs/>
        </w:rPr>
        <w:t>Education Services for Overseas Students (TPS Levies) Act 2012</w:t>
      </w:r>
    </w:p>
    <w:p w14:paraId="0CBA394F" w14:textId="78FCDBC1" w:rsidR="00B1554E" w:rsidRDefault="0080013D" w:rsidP="00CA4B5B">
      <w:pPr>
        <w:spacing w:line="276" w:lineRule="auto"/>
        <w:jc w:val="center"/>
        <w:rPr>
          <w:rFonts w:asciiTheme="minorHAnsi" w:hAnsiTheme="minorHAnsi" w:cstheme="minorHAnsi"/>
          <w:b/>
          <w:bCs/>
          <w:i/>
        </w:rPr>
      </w:pPr>
      <w:r w:rsidRPr="0080013D">
        <w:rPr>
          <w:rFonts w:asciiTheme="minorHAnsi" w:hAnsiTheme="minorHAnsi" w:cstheme="minorHAnsi"/>
          <w:b/>
          <w:bCs/>
          <w:i/>
        </w:rPr>
        <w:t>Education Services for Overseas Students (TPS Levies—Exemptions) Instrument 2022</w:t>
      </w:r>
    </w:p>
    <w:p w14:paraId="1787819D" w14:textId="77777777" w:rsidR="0080013D" w:rsidRPr="0020287E" w:rsidRDefault="0080013D" w:rsidP="00CA4B5B">
      <w:pPr>
        <w:spacing w:line="276" w:lineRule="auto"/>
        <w:jc w:val="center"/>
        <w:rPr>
          <w:rFonts w:asciiTheme="minorHAnsi" w:hAnsiTheme="minorHAnsi" w:cstheme="minorHAnsi"/>
          <w:color w:val="000000"/>
        </w:rPr>
      </w:pPr>
    </w:p>
    <w:p w14:paraId="48C87A63" w14:textId="3BE7863D" w:rsidR="001364E8" w:rsidRPr="008F4DA7" w:rsidRDefault="002830F7" w:rsidP="00CA4B5B">
      <w:pPr>
        <w:spacing w:line="276" w:lineRule="auto"/>
        <w:rPr>
          <w:rFonts w:asciiTheme="minorHAnsi" w:hAnsiTheme="minorHAnsi" w:cstheme="minorHAnsi"/>
          <w:b/>
          <w:color w:val="000000"/>
        </w:rPr>
      </w:pPr>
      <w:r w:rsidRPr="0020287E">
        <w:rPr>
          <w:rFonts w:asciiTheme="minorHAnsi" w:hAnsiTheme="minorHAnsi" w:cstheme="minorHAnsi"/>
          <w:b/>
          <w:color w:val="000000"/>
        </w:rPr>
        <w:t>AUTHORITY</w:t>
      </w:r>
    </w:p>
    <w:p w14:paraId="4E0BF19E" w14:textId="655A3492" w:rsidR="001364E8" w:rsidRPr="0020287E" w:rsidRDefault="0072007D" w:rsidP="00CA4B5B">
      <w:pPr>
        <w:spacing w:line="276" w:lineRule="auto"/>
        <w:rPr>
          <w:rFonts w:asciiTheme="minorHAnsi" w:hAnsiTheme="minorHAnsi" w:cstheme="minorHAnsi"/>
          <w:color w:val="000000"/>
        </w:rPr>
      </w:pPr>
      <w:r w:rsidRPr="0020287E">
        <w:rPr>
          <w:rFonts w:asciiTheme="minorHAnsi" w:hAnsiTheme="minorHAnsi" w:cstheme="minorHAnsi"/>
          <w:color w:val="000000"/>
        </w:rPr>
        <w:t>Section 12</w:t>
      </w:r>
      <w:r w:rsidR="00B1554E" w:rsidRPr="0020287E">
        <w:rPr>
          <w:rFonts w:asciiTheme="minorHAnsi" w:hAnsiTheme="minorHAnsi" w:cstheme="minorHAnsi"/>
          <w:color w:val="000000"/>
        </w:rPr>
        <w:t xml:space="preserve"> </w:t>
      </w:r>
      <w:r w:rsidR="001364E8" w:rsidRPr="0020287E">
        <w:rPr>
          <w:rFonts w:asciiTheme="minorHAnsi" w:hAnsiTheme="minorHAnsi" w:cstheme="minorHAnsi"/>
          <w:color w:val="000000"/>
        </w:rPr>
        <w:t xml:space="preserve">of the </w:t>
      </w:r>
      <w:r w:rsidRPr="0020287E">
        <w:rPr>
          <w:rFonts w:asciiTheme="minorHAnsi" w:hAnsiTheme="minorHAnsi" w:cstheme="minorHAnsi"/>
          <w:i/>
          <w:iCs/>
        </w:rPr>
        <w:t>Education Services for Overseas Students (TPS Levies) Act 2012</w:t>
      </w:r>
      <w:r w:rsidRPr="0020287E">
        <w:rPr>
          <w:rFonts w:asciiTheme="minorHAnsi" w:hAnsiTheme="minorHAnsi" w:cstheme="minorHAnsi"/>
          <w:color w:val="000000"/>
        </w:rPr>
        <w:t xml:space="preserve"> </w:t>
      </w:r>
      <w:r w:rsidR="001364E8" w:rsidRPr="0020287E">
        <w:rPr>
          <w:rFonts w:asciiTheme="minorHAnsi" w:hAnsiTheme="minorHAnsi" w:cstheme="minorHAnsi"/>
          <w:color w:val="000000"/>
        </w:rPr>
        <w:t>(the Act) provides that the Minister may</w:t>
      </w:r>
      <w:r w:rsidR="00B1554E" w:rsidRPr="0020287E">
        <w:rPr>
          <w:rFonts w:asciiTheme="minorHAnsi" w:hAnsiTheme="minorHAnsi" w:cstheme="minorHAnsi"/>
          <w:color w:val="000000"/>
        </w:rPr>
        <w:t xml:space="preserve">, by legislative instrument, </w:t>
      </w:r>
      <w:r w:rsidRPr="0020287E">
        <w:rPr>
          <w:rFonts w:asciiTheme="minorHAnsi" w:hAnsiTheme="minorHAnsi" w:cstheme="minorHAnsi"/>
          <w:color w:val="000000"/>
        </w:rPr>
        <w:t xml:space="preserve">prescribe one or more classes of registered providers who are exempt from the requirement to pay </w:t>
      </w:r>
      <w:r w:rsidR="005E0E31" w:rsidRPr="0020287E">
        <w:rPr>
          <w:rFonts w:asciiTheme="minorHAnsi" w:hAnsiTheme="minorHAnsi" w:cstheme="minorHAnsi"/>
          <w:color w:val="000000"/>
        </w:rPr>
        <w:t xml:space="preserve">one or </w:t>
      </w:r>
      <w:proofErr w:type="gramStart"/>
      <w:r w:rsidR="005E0E31" w:rsidRPr="0020287E">
        <w:rPr>
          <w:rFonts w:asciiTheme="minorHAnsi" w:hAnsiTheme="minorHAnsi" w:cstheme="minorHAnsi"/>
          <w:color w:val="000000"/>
        </w:rPr>
        <w:t xml:space="preserve">both of </w:t>
      </w:r>
      <w:r w:rsidRPr="0020287E">
        <w:rPr>
          <w:rFonts w:asciiTheme="minorHAnsi" w:hAnsiTheme="minorHAnsi" w:cstheme="minorHAnsi"/>
          <w:color w:val="000000"/>
        </w:rPr>
        <w:t>the base</w:t>
      </w:r>
      <w:proofErr w:type="gramEnd"/>
      <w:r w:rsidRPr="0020287E">
        <w:rPr>
          <w:rFonts w:asciiTheme="minorHAnsi" w:hAnsiTheme="minorHAnsi" w:cstheme="minorHAnsi"/>
          <w:color w:val="000000"/>
        </w:rPr>
        <w:t xml:space="preserve"> fee component and the risk rated premium component of the </w:t>
      </w:r>
      <w:r w:rsidR="00E601AA" w:rsidRPr="00E601AA">
        <w:rPr>
          <w:rFonts w:asciiTheme="minorHAnsi" w:hAnsiTheme="minorHAnsi" w:cstheme="minorHAnsi"/>
          <w:color w:val="000000"/>
        </w:rPr>
        <w:t>tuition protection service (TPS)</w:t>
      </w:r>
      <w:r w:rsidRPr="0020287E">
        <w:rPr>
          <w:rFonts w:asciiTheme="minorHAnsi" w:hAnsiTheme="minorHAnsi" w:cstheme="minorHAnsi"/>
          <w:color w:val="000000"/>
        </w:rPr>
        <w:t xml:space="preserve"> levy. </w:t>
      </w:r>
      <w:r w:rsidR="00B1554E" w:rsidRPr="0020287E">
        <w:rPr>
          <w:rFonts w:asciiTheme="minorHAnsi" w:hAnsiTheme="minorHAnsi" w:cstheme="minorHAnsi"/>
          <w:color w:val="000000"/>
        </w:rPr>
        <w:t xml:space="preserve"> </w:t>
      </w:r>
    </w:p>
    <w:p w14:paraId="5D82097F" w14:textId="39409687" w:rsidR="001364E8" w:rsidRPr="0020287E" w:rsidRDefault="001364E8" w:rsidP="00CA4B5B">
      <w:pPr>
        <w:spacing w:line="276" w:lineRule="auto"/>
        <w:rPr>
          <w:rFonts w:asciiTheme="minorHAnsi" w:hAnsiTheme="minorHAnsi" w:cstheme="minorHAnsi"/>
        </w:rPr>
      </w:pPr>
    </w:p>
    <w:p w14:paraId="2B2C3861" w14:textId="55112B2E" w:rsidR="008756E2" w:rsidRPr="0020287E" w:rsidRDefault="002830F7" w:rsidP="00CA4B5B">
      <w:pPr>
        <w:spacing w:line="276" w:lineRule="auto"/>
        <w:rPr>
          <w:rFonts w:asciiTheme="minorHAnsi" w:hAnsiTheme="minorHAnsi" w:cstheme="minorHAnsi"/>
        </w:rPr>
      </w:pPr>
      <w:r w:rsidRPr="0020287E">
        <w:rPr>
          <w:rFonts w:asciiTheme="minorHAnsi" w:hAnsiTheme="minorHAnsi" w:cstheme="minorHAnsi"/>
          <w:b/>
          <w:bCs/>
        </w:rPr>
        <w:t xml:space="preserve">PURPOSE AND </w:t>
      </w:r>
      <w:r w:rsidR="008F4DA7">
        <w:rPr>
          <w:rFonts w:asciiTheme="minorHAnsi" w:hAnsiTheme="minorHAnsi" w:cstheme="minorHAnsi"/>
          <w:b/>
          <w:bCs/>
        </w:rPr>
        <w:t>OPERATION</w:t>
      </w:r>
      <w:r w:rsidRPr="0020287E">
        <w:rPr>
          <w:rFonts w:asciiTheme="minorHAnsi" w:hAnsiTheme="minorHAnsi" w:cstheme="minorHAnsi"/>
          <w:b/>
          <w:bCs/>
        </w:rPr>
        <w:t xml:space="preserve"> </w:t>
      </w:r>
    </w:p>
    <w:p w14:paraId="72D804CC" w14:textId="71FD3515" w:rsidR="00D000C1" w:rsidRPr="00D000C1" w:rsidRDefault="003D4B9D" w:rsidP="00D000C1">
      <w:pPr>
        <w:spacing w:line="276" w:lineRule="auto"/>
        <w:rPr>
          <w:rFonts w:asciiTheme="minorHAnsi" w:hAnsiTheme="minorHAnsi" w:cstheme="minorHAnsi"/>
        </w:rPr>
      </w:pPr>
      <w:r w:rsidRPr="0020287E">
        <w:rPr>
          <w:rFonts w:asciiTheme="minorHAnsi" w:hAnsiTheme="minorHAnsi" w:cstheme="minorHAnsi"/>
        </w:rPr>
        <w:t>S</w:t>
      </w:r>
      <w:r w:rsidR="007875FB" w:rsidRPr="0020287E">
        <w:rPr>
          <w:rFonts w:asciiTheme="minorHAnsi" w:hAnsiTheme="minorHAnsi" w:cstheme="minorHAnsi"/>
        </w:rPr>
        <w:t>ubs</w:t>
      </w:r>
      <w:r w:rsidRPr="0020287E">
        <w:rPr>
          <w:rFonts w:asciiTheme="minorHAnsi" w:hAnsiTheme="minorHAnsi" w:cstheme="minorHAnsi"/>
        </w:rPr>
        <w:t>ection</w:t>
      </w:r>
      <w:r w:rsidR="00F54A3A" w:rsidRPr="0020287E">
        <w:rPr>
          <w:rFonts w:asciiTheme="minorHAnsi" w:hAnsiTheme="minorHAnsi" w:cstheme="minorHAnsi"/>
        </w:rPr>
        <w:t xml:space="preserve"> </w:t>
      </w:r>
      <w:r w:rsidRPr="0020287E">
        <w:rPr>
          <w:rFonts w:asciiTheme="minorHAnsi" w:hAnsiTheme="minorHAnsi" w:cstheme="minorHAnsi"/>
        </w:rPr>
        <w:t>5</w:t>
      </w:r>
      <w:r w:rsidR="00F54A3A" w:rsidRPr="0020287E">
        <w:rPr>
          <w:rFonts w:asciiTheme="minorHAnsi" w:hAnsiTheme="minorHAnsi" w:cstheme="minorHAnsi"/>
        </w:rPr>
        <w:t>(1) of t</w:t>
      </w:r>
      <w:r w:rsidR="002167F6" w:rsidRPr="0020287E">
        <w:rPr>
          <w:rFonts w:asciiTheme="minorHAnsi" w:hAnsiTheme="minorHAnsi" w:cstheme="minorHAnsi"/>
        </w:rPr>
        <w:t>he</w:t>
      </w:r>
      <w:r w:rsidR="00F54A3A" w:rsidRPr="0020287E">
        <w:rPr>
          <w:rFonts w:asciiTheme="minorHAnsi" w:hAnsiTheme="minorHAnsi" w:cstheme="minorHAnsi"/>
        </w:rPr>
        <w:t xml:space="preserve"> </w:t>
      </w:r>
      <w:r w:rsidRPr="0020287E">
        <w:rPr>
          <w:rFonts w:asciiTheme="minorHAnsi" w:hAnsiTheme="minorHAnsi" w:cstheme="minorHAnsi"/>
        </w:rPr>
        <w:t>Act</w:t>
      </w:r>
      <w:r w:rsidR="002167F6" w:rsidRPr="0020287E">
        <w:rPr>
          <w:rFonts w:asciiTheme="minorHAnsi" w:hAnsiTheme="minorHAnsi" w:cstheme="minorHAnsi"/>
        </w:rPr>
        <w:t xml:space="preserve"> </w:t>
      </w:r>
      <w:r w:rsidR="00F54A3A" w:rsidRPr="0020287E">
        <w:rPr>
          <w:rFonts w:asciiTheme="minorHAnsi" w:hAnsiTheme="minorHAnsi" w:cstheme="minorHAnsi"/>
        </w:rPr>
        <w:t xml:space="preserve">provides that </w:t>
      </w:r>
      <w:r w:rsidRPr="0020287E">
        <w:rPr>
          <w:rFonts w:asciiTheme="minorHAnsi" w:hAnsiTheme="minorHAnsi" w:cstheme="minorHAnsi"/>
        </w:rPr>
        <w:t xml:space="preserve">a </w:t>
      </w:r>
      <w:r w:rsidR="00F54A3A" w:rsidRPr="0020287E">
        <w:rPr>
          <w:rFonts w:asciiTheme="minorHAnsi" w:hAnsiTheme="minorHAnsi" w:cstheme="minorHAnsi"/>
        </w:rPr>
        <w:t>provider</w:t>
      </w:r>
      <w:r w:rsidRPr="0020287E">
        <w:rPr>
          <w:rFonts w:asciiTheme="minorHAnsi" w:hAnsiTheme="minorHAnsi" w:cstheme="minorHAnsi"/>
        </w:rPr>
        <w:t xml:space="preserve"> registered with </w:t>
      </w:r>
      <w:r w:rsidR="006C1129">
        <w:rPr>
          <w:rFonts w:asciiTheme="minorHAnsi" w:hAnsiTheme="minorHAnsi" w:cstheme="minorHAnsi"/>
        </w:rPr>
        <w:t>an</w:t>
      </w:r>
      <w:r w:rsidRPr="0020287E">
        <w:rPr>
          <w:rFonts w:asciiTheme="minorHAnsi" w:hAnsiTheme="minorHAnsi" w:cstheme="minorHAnsi"/>
        </w:rPr>
        <w:t xml:space="preserve"> </w:t>
      </w:r>
      <w:r w:rsidR="007127FB">
        <w:rPr>
          <w:rFonts w:asciiTheme="minorHAnsi" w:hAnsiTheme="minorHAnsi" w:cstheme="minorHAnsi"/>
        </w:rPr>
        <w:t>Education Service</w:t>
      </w:r>
      <w:r w:rsidR="00214E6C">
        <w:rPr>
          <w:rFonts w:asciiTheme="minorHAnsi" w:hAnsiTheme="minorHAnsi" w:cstheme="minorHAnsi"/>
        </w:rPr>
        <w:t>s</w:t>
      </w:r>
      <w:r w:rsidR="007127FB">
        <w:rPr>
          <w:rFonts w:asciiTheme="minorHAnsi" w:hAnsiTheme="minorHAnsi" w:cstheme="minorHAnsi"/>
        </w:rPr>
        <w:t xml:space="preserve"> for Overseas Student</w:t>
      </w:r>
      <w:r w:rsidR="00BD0151">
        <w:rPr>
          <w:rFonts w:asciiTheme="minorHAnsi" w:hAnsiTheme="minorHAnsi" w:cstheme="minorHAnsi"/>
        </w:rPr>
        <w:t>s</w:t>
      </w:r>
      <w:r w:rsidR="007127FB">
        <w:rPr>
          <w:rFonts w:asciiTheme="minorHAnsi" w:hAnsiTheme="minorHAnsi" w:cstheme="minorHAnsi"/>
        </w:rPr>
        <w:t xml:space="preserve"> (</w:t>
      </w:r>
      <w:r w:rsidRPr="0020287E">
        <w:rPr>
          <w:rFonts w:asciiTheme="minorHAnsi" w:hAnsiTheme="minorHAnsi" w:cstheme="minorHAnsi"/>
        </w:rPr>
        <w:t>ESOS</w:t>
      </w:r>
      <w:r w:rsidR="007127FB">
        <w:rPr>
          <w:rFonts w:asciiTheme="minorHAnsi" w:hAnsiTheme="minorHAnsi" w:cstheme="minorHAnsi"/>
        </w:rPr>
        <w:t>)</w:t>
      </w:r>
      <w:r w:rsidRPr="0020287E">
        <w:rPr>
          <w:rFonts w:asciiTheme="minorHAnsi" w:hAnsiTheme="minorHAnsi" w:cstheme="minorHAnsi"/>
        </w:rPr>
        <w:t xml:space="preserve"> agency on 1 January of a year is liable to pay </w:t>
      </w:r>
      <w:r w:rsidR="00CC0D56">
        <w:rPr>
          <w:rFonts w:asciiTheme="minorHAnsi" w:hAnsiTheme="minorHAnsi" w:cstheme="minorHAnsi"/>
        </w:rPr>
        <w:t xml:space="preserve">the </w:t>
      </w:r>
      <w:r w:rsidRPr="0020287E">
        <w:rPr>
          <w:rFonts w:asciiTheme="minorHAnsi" w:hAnsiTheme="minorHAnsi" w:cstheme="minorHAnsi"/>
        </w:rPr>
        <w:t xml:space="preserve">TPS levy for </w:t>
      </w:r>
      <w:r w:rsidR="002E1DBE" w:rsidRPr="0020287E">
        <w:rPr>
          <w:rFonts w:asciiTheme="minorHAnsi" w:hAnsiTheme="minorHAnsi" w:cstheme="minorHAnsi"/>
        </w:rPr>
        <w:t>that</w:t>
      </w:r>
      <w:r w:rsidRPr="0020287E">
        <w:rPr>
          <w:rFonts w:asciiTheme="minorHAnsi" w:hAnsiTheme="minorHAnsi" w:cstheme="minorHAnsi"/>
        </w:rPr>
        <w:t xml:space="preserve"> calendar year. </w:t>
      </w:r>
      <w:r w:rsidR="0088755B">
        <w:rPr>
          <w:rFonts w:asciiTheme="minorHAnsi" w:hAnsiTheme="minorHAnsi" w:cstheme="minorHAnsi"/>
        </w:rPr>
        <w:t xml:space="preserve">The TPS levy is an annual </w:t>
      </w:r>
      <w:r w:rsidR="00F2569A">
        <w:rPr>
          <w:rFonts w:asciiTheme="minorHAnsi" w:hAnsiTheme="minorHAnsi" w:cstheme="minorHAnsi"/>
        </w:rPr>
        <w:t>l</w:t>
      </w:r>
      <w:r w:rsidR="0088755B">
        <w:rPr>
          <w:rFonts w:asciiTheme="minorHAnsi" w:hAnsiTheme="minorHAnsi" w:cstheme="minorHAnsi"/>
        </w:rPr>
        <w:t>evy</w:t>
      </w:r>
      <w:r w:rsidR="001D3B28">
        <w:rPr>
          <w:rFonts w:asciiTheme="minorHAnsi" w:hAnsiTheme="minorHAnsi" w:cstheme="minorHAnsi"/>
        </w:rPr>
        <w:t xml:space="preserve"> made up of four components:</w:t>
      </w:r>
      <w:r w:rsidR="00D000C1">
        <w:rPr>
          <w:rFonts w:asciiTheme="minorHAnsi" w:hAnsiTheme="minorHAnsi" w:cstheme="minorHAnsi"/>
        </w:rPr>
        <w:t xml:space="preserve"> the </w:t>
      </w:r>
      <w:r w:rsidR="00D000C1" w:rsidRPr="00D000C1">
        <w:rPr>
          <w:rFonts w:asciiTheme="minorHAnsi" w:hAnsiTheme="minorHAnsi" w:cstheme="minorHAnsi"/>
        </w:rPr>
        <w:t>administrative fee component (see section 6</w:t>
      </w:r>
      <w:r w:rsidR="00D000C1">
        <w:rPr>
          <w:rFonts w:asciiTheme="minorHAnsi" w:hAnsiTheme="minorHAnsi" w:cstheme="minorHAnsi"/>
        </w:rPr>
        <w:t xml:space="preserve"> of the Act</w:t>
      </w:r>
      <w:r w:rsidR="00D000C1" w:rsidRPr="00D000C1">
        <w:rPr>
          <w:rFonts w:asciiTheme="minorHAnsi" w:hAnsiTheme="minorHAnsi" w:cstheme="minorHAnsi"/>
        </w:rPr>
        <w:t>);</w:t>
      </w:r>
      <w:r w:rsidR="00D000C1">
        <w:rPr>
          <w:rFonts w:asciiTheme="minorHAnsi" w:hAnsiTheme="minorHAnsi" w:cstheme="minorHAnsi"/>
        </w:rPr>
        <w:t xml:space="preserve"> the </w:t>
      </w:r>
      <w:r w:rsidR="00D000C1" w:rsidRPr="00D000C1">
        <w:rPr>
          <w:rFonts w:asciiTheme="minorHAnsi" w:hAnsiTheme="minorHAnsi" w:cstheme="minorHAnsi"/>
        </w:rPr>
        <w:t>base fee component (see section 7</w:t>
      </w:r>
      <w:r w:rsidR="00D000C1">
        <w:rPr>
          <w:rFonts w:asciiTheme="minorHAnsi" w:hAnsiTheme="minorHAnsi" w:cstheme="minorHAnsi"/>
        </w:rPr>
        <w:t xml:space="preserve"> of the Act</w:t>
      </w:r>
      <w:r w:rsidR="00D000C1" w:rsidRPr="00D000C1">
        <w:rPr>
          <w:rFonts w:asciiTheme="minorHAnsi" w:hAnsiTheme="minorHAnsi" w:cstheme="minorHAnsi"/>
        </w:rPr>
        <w:t>);</w:t>
      </w:r>
      <w:r w:rsidR="00D000C1">
        <w:rPr>
          <w:rFonts w:asciiTheme="minorHAnsi" w:hAnsiTheme="minorHAnsi" w:cstheme="minorHAnsi"/>
        </w:rPr>
        <w:t xml:space="preserve"> </w:t>
      </w:r>
      <w:r w:rsidR="00D000C1" w:rsidRPr="00D000C1">
        <w:rPr>
          <w:rFonts w:asciiTheme="minorHAnsi" w:hAnsiTheme="minorHAnsi" w:cstheme="minorHAnsi"/>
        </w:rPr>
        <w:t>the</w:t>
      </w:r>
      <w:r w:rsidR="00D000C1">
        <w:rPr>
          <w:rFonts w:asciiTheme="minorHAnsi" w:hAnsiTheme="minorHAnsi" w:cstheme="minorHAnsi"/>
        </w:rPr>
        <w:t xml:space="preserve"> </w:t>
      </w:r>
      <w:r w:rsidR="00D000C1" w:rsidRPr="00D000C1">
        <w:rPr>
          <w:rFonts w:asciiTheme="minorHAnsi" w:hAnsiTheme="minorHAnsi" w:cstheme="minorHAnsi"/>
        </w:rPr>
        <w:t>risk rated premium component (see section 9</w:t>
      </w:r>
      <w:r w:rsidR="00D000C1">
        <w:rPr>
          <w:rFonts w:asciiTheme="minorHAnsi" w:hAnsiTheme="minorHAnsi" w:cstheme="minorHAnsi"/>
        </w:rPr>
        <w:t xml:space="preserve"> of the Act</w:t>
      </w:r>
      <w:r w:rsidR="00D000C1" w:rsidRPr="00D000C1">
        <w:rPr>
          <w:rFonts w:asciiTheme="minorHAnsi" w:hAnsiTheme="minorHAnsi" w:cstheme="minorHAnsi"/>
        </w:rPr>
        <w:t>);</w:t>
      </w:r>
      <w:r w:rsidR="00D000C1">
        <w:rPr>
          <w:rFonts w:asciiTheme="minorHAnsi" w:hAnsiTheme="minorHAnsi" w:cstheme="minorHAnsi"/>
        </w:rPr>
        <w:t xml:space="preserve"> and </w:t>
      </w:r>
      <w:r w:rsidR="00D000C1" w:rsidRPr="00D000C1">
        <w:rPr>
          <w:rFonts w:asciiTheme="minorHAnsi" w:hAnsiTheme="minorHAnsi" w:cstheme="minorHAnsi"/>
        </w:rPr>
        <w:t>the special tuition protection component (see section 10</w:t>
      </w:r>
      <w:r w:rsidR="00D000C1">
        <w:rPr>
          <w:rFonts w:asciiTheme="minorHAnsi" w:hAnsiTheme="minorHAnsi" w:cstheme="minorHAnsi"/>
        </w:rPr>
        <w:t xml:space="preserve"> of the Act</w:t>
      </w:r>
      <w:r w:rsidR="00D000C1" w:rsidRPr="00D000C1">
        <w:rPr>
          <w:rFonts w:asciiTheme="minorHAnsi" w:hAnsiTheme="minorHAnsi" w:cstheme="minorHAnsi"/>
        </w:rPr>
        <w:t>).</w:t>
      </w:r>
    </w:p>
    <w:p w14:paraId="7ADDEAA3" w14:textId="77777777" w:rsidR="00D000C1" w:rsidRDefault="00D000C1" w:rsidP="00CA4B5B">
      <w:pPr>
        <w:spacing w:line="276" w:lineRule="auto"/>
        <w:rPr>
          <w:rFonts w:asciiTheme="minorHAnsi" w:hAnsiTheme="minorHAnsi" w:cstheme="minorHAnsi"/>
        </w:rPr>
      </w:pPr>
    </w:p>
    <w:p w14:paraId="14CFB861" w14:textId="2D9A0D25" w:rsidR="007875FB" w:rsidRPr="0020287E" w:rsidRDefault="0004737B" w:rsidP="00CA4B5B">
      <w:pPr>
        <w:spacing w:line="276" w:lineRule="auto"/>
        <w:rPr>
          <w:rFonts w:asciiTheme="minorHAnsi" w:hAnsiTheme="minorHAnsi" w:cstheme="minorHAnsi"/>
        </w:rPr>
      </w:pPr>
      <w:r w:rsidRPr="0020287E">
        <w:rPr>
          <w:rFonts w:asciiTheme="minorHAnsi" w:hAnsiTheme="minorHAnsi" w:cstheme="minorHAnsi"/>
        </w:rPr>
        <w:t xml:space="preserve">TPS </w:t>
      </w:r>
      <w:r w:rsidR="008E370D" w:rsidRPr="0020287E">
        <w:rPr>
          <w:rFonts w:asciiTheme="minorHAnsi" w:hAnsiTheme="minorHAnsi" w:cstheme="minorHAnsi"/>
        </w:rPr>
        <w:t>l</w:t>
      </w:r>
      <w:r w:rsidRPr="0020287E">
        <w:rPr>
          <w:rFonts w:asciiTheme="minorHAnsi" w:hAnsiTheme="minorHAnsi" w:cstheme="minorHAnsi"/>
        </w:rPr>
        <w:t xml:space="preserve">evy </w:t>
      </w:r>
      <w:r w:rsidR="00132606">
        <w:rPr>
          <w:rFonts w:asciiTheme="minorHAnsi" w:hAnsiTheme="minorHAnsi" w:cstheme="minorHAnsi"/>
        </w:rPr>
        <w:t>payments are</w:t>
      </w:r>
      <w:r w:rsidRPr="0020287E">
        <w:rPr>
          <w:rFonts w:asciiTheme="minorHAnsi" w:hAnsiTheme="minorHAnsi" w:cstheme="minorHAnsi"/>
        </w:rPr>
        <w:t xml:space="preserve"> held in the Overseas Student Tuition Fund (OST</w:t>
      </w:r>
      <w:r w:rsidR="00211864">
        <w:rPr>
          <w:rFonts w:asciiTheme="minorHAnsi" w:hAnsiTheme="minorHAnsi" w:cstheme="minorHAnsi"/>
        </w:rPr>
        <w:t xml:space="preserve">F). The </w:t>
      </w:r>
      <w:r w:rsidR="00065D21">
        <w:rPr>
          <w:rFonts w:asciiTheme="minorHAnsi" w:hAnsiTheme="minorHAnsi" w:cstheme="minorHAnsi"/>
        </w:rPr>
        <w:t xml:space="preserve">purpose of the </w:t>
      </w:r>
      <w:r w:rsidR="00211864">
        <w:rPr>
          <w:rFonts w:asciiTheme="minorHAnsi" w:hAnsiTheme="minorHAnsi" w:cstheme="minorHAnsi"/>
        </w:rPr>
        <w:t>OSTF is</w:t>
      </w:r>
      <w:r w:rsidRPr="0020287E">
        <w:rPr>
          <w:rFonts w:asciiTheme="minorHAnsi" w:hAnsiTheme="minorHAnsi" w:cstheme="minorHAnsi"/>
        </w:rPr>
        <w:t xml:space="preserve"> </w:t>
      </w:r>
      <w:r w:rsidR="00065D21">
        <w:rPr>
          <w:rFonts w:asciiTheme="minorHAnsi" w:hAnsiTheme="minorHAnsi" w:cstheme="minorHAnsi"/>
        </w:rPr>
        <w:t>to fund</w:t>
      </w:r>
      <w:r w:rsidRPr="0020287E">
        <w:rPr>
          <w:rFonts w:asciiTheme="minorHAnsi" w:hAnsiTheme="minorHAnsi" w:cstheme="minorHAnsi"/>
        </w:rPr>
        <w:t xml:space="preserve"> the </w:t>
      </w:r>
      <w:r w:rsidR="005249AA">
        <w:rPr>
          <w:rFonts w:asciiTheme="minorHAnsi" w:hAnsiTheme="minorHAnsi" w:cstheme="minorHAnsi"/>
        </w:rPr>
        <w:t>activities</w:t>
      </w:r>
      <w:r w:rsidR="00E811A0">
        <w:rPr>
          <w:rFonts w:asciiTheme="minorHAnsi" w:hAnsiTheme="minorHAnsi" w:cstheme="minorHAnsi"/>
        </w:rPr>
        <w:t>, remuneration and allowances</w:t>
      </w:r>
      <w:r w:rsidR="005249AA">
        <w:rPr>
          <w:rFonts w:asciiTheme="minorHAnsi" w:hAnsiTheme="minorHAnsi" w:cstheme="minorHAnsi"/>
        </w:rPr>
        <w:t xml:space="preserve"> of</w:t>
      </w:r>
      <w:r w:rsidR="008E370D" w:rsidRPr="0020287E">
        <w:rPr>
          <w:rFonts w:asciiTheme="minorHAnsi" w:hAnsiTheme="minorHAnsi" w:cstheme="minorHAnsi"/>
        </w:rPr>
        <w:t xml:space="preserve"> the TPS Director. </w:t>
      </w:r>
      <w:r w:rsidR="00211864" w:rsidRPr="0020287E">
        <w:rPr>
          <w:rFonts w:asciiTheme="minorHAnsi" w:hAnsiTheme="minorHAnsi" w:cstheme="minorHAnsi"/>
        </w:rPr>
        <w:t xml:space="preserve">The TPS Director is a Commonwealth statutory officer established by the </w:t>
      </w:r>
      <w:proofErr w:type="gramStart"/>
      <w:r w:rsidR="00C821C5" w:rsidRPr="0020287E">
        <w:rPr>
          <w:rFonts w:asciiTheme="minorHAnsi" w:hAnsiTheme="minorHAnsi" w:cstheme="minorHAnsi"/>
        </w:rPr>
        <w:t>Act</w:t>
      </w:r>
      <w:r w:rsidR="00C821C5">
        <w:rPr>
          <w:rFonts w:asciiTheme="minorHAnsi" w:hAnsiTheme="minorHAnsi" w:cstheme="minorHAnsi"/>
        </w:rPr>
        <w:t>,</w:t>
      </w:r>
      <w:r w:rsidR="00C821C5" w:rsidRPr="0020287E">
        <w:rPr>
          <w:rFonts w:asciiTheme="minorHAnsi" w:hAnsiTheme="minorHAnsi" w:cstheme="minorHAnsi"/>
        </w:rPr>
        <w:t xml:space="preserve"> and</w:t>
      </w:r>
      <w:proofErr w:type="gramEnd"/>
      <w:r w:rsidR="00211864" w:rsidRPr="0020287E">
        <w:rPr>
          <w:rFonts w:asciiTheme="minorHAnsi" w:hAnsiTheme="minorHAnsi" w:cstheme="minorHAnsi"/>
        </w:rPr>
        <w:t xml:space="preserve"> has functions that include overseeing the operation of </w:t>
      </w:r>
      <w:r w:rsidR="00065D21">
        <w:rPr>
          <w:rFonts w:asciiTheme="minorHAnsi" w:hAnsiTheme="minorHAnsi" w:cstheme="minorHAnsi"/>
        </w:rPr>
        <w:t xml:space="preserve">overseas </w:t>
      </w:r>
      <w:r w:rsidR="00211864" w:rsidRPr="0020287E">
        <w:rPr>
          <w:rFonts w:asciiTheme="minorHAnsi" w:hAnsiTheme="minorHAnsi" w:cstheme="minorHAnsi"/>
        </w:rPr>
        <w:t xml:space="preserve">student placements, </w:t>
      </w:r>
      <w:r w:rsidR="00132606">
        <w:rPr>
          <w:rFonts w:asciiTheme="minorHAnsi" w:hAnsiTheme="minorHAnsi" w:cstheme="minorHAnsi"/>
        </w:rPr>
        <w:t xml:space="preserve">making </w:t>
      </w:r>
      <w:r w:rsidR="00211864" w:rsidRPr="0020287E">
        <w:rPr>
          <w:rFonts w:asciiTheme="minorHAnsi" w:hAnsiTheme="minorHAnsi" w:cstheme="minorHAnsi"/>
        </w:rPr>
        <w:t xml:space="preserve">payments to providers for accepting </w:t>
      </w:r>
      <w:r w:rsidR="00435F05">
        <w:rPr>
          <w:rFonts w:asciiTheme="minorHAnsi" w:hAnsiTheme="minorHAnsi" w:cstheme="minorHAnsi"/>
        </w:rPr>
        <w:t xml:space="preserve">overseas </w:t>
      </w:r>
      <w:r w:rsidR="00211864" w:rsidRPr="0020287E">
        <w:rPr>
          <w:rFonts w:asciiTheme="minorHAnsi" w:hAnsiTheme="minorHAnsi" w:cstheme="minorHAnsi"/>
        </w:rPr>
        <w:t xml:space="preserve">students affected by a provider default, overseeing refunds to </w:t>
      </w:r>
      <w:r w:rsidR="00435F05">
        <w:rPr>
          <w:rFonts w:asciiTheme="minorHAnsi" w:hAnsiTheme="minorHAnsi" w:cstheme="minorHAnsi"/>
        </w:rPr>
        <w:t xml:space="preserve">overseas </w:t>
      </w:r>
      <w:r w:rsidR="00211864" w:rsidRPr="0020287E">
        <w:rPr>
          <w:rFonts w:asciiTheme="minorHAnsi" w:hAnsiTheme="minorHAnsi" w:cstheme="minorHAnsi"/>
        </w:rPr>
        <w:t>students, managing the operation of the OSTF</w:t>
      </w:r>
      <w:r w:rsidR="001D3B28">
        <w:rPr>
          <w:rFonts w:asciiTheme="minorHAnsi" w:hAnsiTheme="minorHAnsi" w:cstheme="minorHAnsi"/>
        </w:rPr>
        <w:t>,</w:t>
      </w:r>
      <w:r w:rsidR="00211864" w:rsidRPr="0020287E">
        <w:rPr>
          <w:rFonts w:asciiTheme="minorHAnsi" w:hAnsiTheme="minorHAnsi" w:cstheme="minorHAnsi"/>
        </w:rPr>
        <w:t xml:space="preserve"> and determining the amount of the </w:t>
      </w:r>
      <w:r w:rsidR="00F5039C">
        <w:rPr>
          <w:rFonts w:asciiTheme="minorHAnsi" w:hAnsiTheme="minorHAnsi" w:cstheme="minorHAnsi"/>
        </w:rPr>
        <w:t>risk</w:t>
      </w:r>
      <w:r w:rsidR="00882313">
        <w:rPr>
          <w:rFonts w:asciiTheme="minorHAnsi" w:hAnsiTheme="minorHAnsi" w:cstheme="minorHAnsi"/>
        </w:rPr>
        <w:t xml:space="preserve"> </w:t>
      </w:r>
      <w:r w:rsidR="00F5039C">
        <w:rPr>
          <w:rFonts w:asciiTheme="minorHAnsi" w:hAnsiTheme="minorHAnsi" w:cstheme="minorHAnsi"/>
        </w:rPr>
        <w:t xml:space="preserve">rated premium component and the special tuition protection component of the </w:t>
      </w:r>
      <w:r w:rsidR="00211864" w:rsidRPr="0020287E">
        <w:rPr>
          <w:rFonts w:asciiTheme="minorHAnsi" w:hAnsiTheme="minorHAnsi" w:cstheme="minorHAnsi"/>
        </w:rPr>
        <w:t xml:space="preserve">annual TPS levy. </w:t>
      </w:r>
    </w:p>
    <w:p w14:paraId="30CA4E7E" w14:textId="77777777" w:rsidR="002167F6" w:rsidRPr="0020287E" w:rsidRDefault="002167F6" w:rsidP="00CA4B5B">
      <w:pPr>
        <w:spacing w:line="276" w:lineRule="auto"/>
        <w:rPr>
          <w:rFonts w:asciiTheme="minorHAnsi" w:hAnsiTheme="minorHAnsi" w:cstheme="minorHAnsi"/>
        </w:rPr>
      </w:pPr>
    </w:p>
    <w:p w14:paraId="51B423D5" w14:textId="61F08522" w:rsidR="00014A7E" w:rsidRDefault="0067545F" w:rsidP="00CA4B5B">
      <w:pPr>
        <w:spacing w:line="276" w:lineRule="auto"/>
        <w:rPr>
          <w:rFonts w:asciiTheme="minorHAnsi" w:hAnsiTheme="minorHAnsi" w:cstheme="minorHAnsi"/>
          <w:bCs/>
          <w:iCs/>
        </w:rPr>
      </w:pPr>
      <w:r w:rsidRPr="0020287E">
        <w:rPr>
          <w:rFonts w:asciiTheme="minorHAnsi" w:hAnsiTheme="minorHAnsi" w:cstheme="minorHAnsi"/>
        </w:rPr>
        <w:t xml:space="preserve">The purpose of the </w:t>
      </w:r>
      <w:r w:rsidR="0080013D" w:rsidRPr="0080013D">
        <w:rPr>
          <w:rFonts w:asciiTheme="minorHAnsi" w:hAnsiTheme="minorHAnsi" w:cstheme="minorHAnsi"/>
          <w:bCs/>
          <w:i/>
        </w:rPr>
        <w:t>Education Services for Overseas Students (TPS Levies—Exemptions) Instrument 2022</w:t>
      </w:r>
      <w:r w:rsidRPr="0020287E">
        <w:rPr>
          <w:rFonts w:asciiTheme="minorHAnsi" w:hAnsiTheme="minorHAnsi" w:cstheme="minorHAnsi"/>
          <w:b/>
          <w:i/>
        </w:rPr>
        <w:t xml:space="preserve"> </w:t>
      </w:r>
      <w:r w:rsidRPr="0020287E">
        <w:rPr>
          <w:rFonts w:asciiTheme="minorHAnsi" w:hAnsiTheme="minorHAnsi" w:cstheme="minorHAnsi"/>
          <w:bCs/>
          <w:iCs/>
        </w:rPr>
        <w:t xml:space="preserve">(the Instrument) is to prescribe the classes of providers </w:t>
      </w:r>
      <w:r w:rsidR="00457D2A">
        <w:rPr>
          <w:rFonts w:asciiTheme="minorHAnsi" w:hAnsiTheme="minorHAnsi" w:cstheme="minorHAnsi"/>
          <w:bCs/>
          <w:iCs/>
        </w:rPr>
        <w:t>that</w:t>
      </w:r>
      <w:r w:rsidR="00457D2A" w:rsidRPr="0020287E">
        <w:rPr>
          <w:rFonts w:asciiTheme="minorHAnsi" w:hAnsiTheme="minorHAnsi" w:cstheme="minorHAnsi"/>
          <w:bCs/>
          <w:iCs/>
        </w:rPr>
        <w:t xml:space="preserve"> </w:t>
      </w:r>
      <w:r w:rsidRPr="0020287E">
        <w:rPr>
          <w:rFonts w:asciiTheme="minorHAnsi" w:hAnsiTheme="minorHAnsi" w:cstheme="minorHAnsi"/>
          <w:bCs/>
          <w:iCs/>
        </w:rPr>
        <w:t xml:space="preserve">are exempt from paying </w:t>
      </w:r>
      <w:r w:rsidR="00F71495" w:rsidRPr="0020287E">
        <w:rPr>
          <w:rFonts w:asciiTheme="minorHAnsi" w:hAnsiTheme="minorHAnsi" w:cstheme="minorHAnsi"/>
        </w:rPr>
        <w:t xml:space="preserve">one or </w:t>
      </w:r>
      <w:proofErr w:type="gramStart"/>
      <w:r w:rsidR="00F71495" w:rsidRPr="0020287E">
        <w:rPr>
          <w:rFonts w:asciiTheme="minorHAnsi" w:hAnsiTheme="minorHAnsi" w:cstheme="minorHAnsi"/>
        </w:rPr>
        <w:t>both</w:t>
      </w:r>
      <w:r w:rsidR="00D8353F">
        <w:rPr>
          <w:rFonts w:asciiTheme="minorHAnsi" w:hAnsiTheme="minorHAnsi" w:cstheme="minorHAnsi"/>
        </w:rPr>
        <w:t xml:space="preserve"> of</w:t>
      </w:r>
      <w:r w:rsidR="00F71495" w:rsidRPr="0020287E">
        <w:rPr>
          <w:rFonts w:asciiTheme="minorHAnsi" w:hAnsiTheme="minorHAnsi" w:cstheme="minorHAnsi"/>
        </w:rPr>
        <w:t xml:space="preserve"> </w:t>
      </w:r>
      <w:r w:rsidRPr="0020287E">
        <w:rPr>
          <w:rFonts w:asciiTheme="minorHAnsi" w:hAnsiTheme="minorHAnsi" w:cstheme="minorHAnsi"/>
          <w:bCs/>
          <w:iCs/>
        </w:rPr>
        <w:t>the base</w:t>
      </w:r>
      <w:proofErr w:type="gramEnd"/>
      <w:r w:rsidRPr="0020287E">
        <w:rPr>
          <w:rFonts w:asciiTheme="minorHAnsi" w:hAnsiTheme="minorHAnsi" w:cstheme="minorHAnsi"/>
          <w:bCs/>
          <w:iCs/>
        </w:rPr>
        <w:t xml:space="preserve"> fee component </w:t>
      </w:r>
      <w:r w:rsidR="00214D49">
        <w:rPr>
          <w:rFonts w:asciiTheme="minorHAnsi" w:hAnsiTheme="minorHAnsi" w:cstheme="minorHAnsi"/>
          <w:bCs/>
          <w:iCs/>
        </w:rPr>
        <w:t>and</w:t>
      </w:r>
      <w:r w:rsidR="00F94264" w:rsidRPr="0020287E">
        <w:rPr>
          <w:rFonts w:asciiTheme="minorHAnsi" w:hAnsiTheme="minorHAnsi" w:cstheme="minorHAnsi"/>
          <w:bCs/>
          <w:iCs/>
        </w:rPr>
        <w:t xml:space="preserve"> </w:t>
      </w:r>
      <w:r w:rsidRPr="0020287E">
        <w:rPr>
          <w:rFonts w:asciiTheme="minorHAnsi" w:hAnsiTheme="minorHAnsi" w:cstheme="minorHAnsi"/>
          <w:bCs/>
          <w:iCs/>
        </w:rPr>
        <w:t>the risk rated premium component</w:t>
      </w:r>
      <w:r w:rsidR="006616B8">
        <w:rPr>
          <w:rFonts w:asciiTheme="minorHAnsi" w:hAnsiTheme="minorHAnsi" w:cstheme="minorHAnsi"/>
          <w:bCs/>
          <w:iCs/>
        </w:rPr>
        <w:t xml:space="preserve"> of the TPS levy</w:t>
      </w:r>
      <w:r w:rsidR="00AA0A09">
        <w:rPr>
          <w:rFonts w:asciiTheme="minorHAnsi" w:hAnsiTheme="minorHAnsi" w:cstheme="minorHAnsi"/>
          <w:bCs/>
          <w:iCs/>
        </w:rPr>
        <w:t>, consistent with section 12 of the Act</w:t>
      </w:r>
      <w:r w:rsidRPr="0020287E">
        <w:rPr>
          <w:rFonts w:asciiTheme="minorHAnsi" w:hAnsiTheme="minorHAnsi" w:cstheme="minorHAnsi"/>
          <w:bCs/>
          <w:iCs/>
        </w:rPr>
        <w:t>.</w:t>
      </w:r>
      <w:r w:rsidR="004D00C3">
        <w:rPr>
          <w:rFonts w:asciiTheme="minorHAnsi" w:hAnsiTheme="minorHAnsi" w:cstheme="minorHAnsi"/>
          <w:bCs/>
          <w:iCs/>
        </w:rPr>
        <w:t xml:space="preserve"> The purpose of the Instrument is to </w:t>
      </w:r>
      <w:r w:rsidR="00BC22D1">
        <w:rPr>
          <w:rFonts w:asciiTheme="minorHAnsi" w:hAnsiTheme="minorHAnsi" w:cstheme="minorHAnsi"/>
          <w:bCs/>
          <w:iCs/>
        </w:rPr>
        <w:t>specify</w:t>
      </w:r>
      <w:r w:rsidR="004D00C3">
        <w:rPr>
          <w:rFonts w:asciiTheme="minorHAnsi" w:hAnsiTheme="minorHAnsi" w:cstheme="minorHAnsi"/>
          <w:bCs/>
          <w:iCs/>
        </w:rPr>
        <w:t xml:space="preserve"> providers </w:t>
      </w:r>
      <w:r w:rsidR="00BC22D1">
        <w:rPr>
          <w:rFonts w:asciiTheme="minorHAnsi" w:hAnsiTheme="minorHAnsi" w:cstheme="minorHAnsi"/>
          <w:bCs/>
          <w:iCs/>
        </w:rPr>
        <w:t>that</w:t>
      </w:r>
      <w:r w:rsidR="004D00C3">
        <w:rPr>
          <w:rFonts w:asciiTheme="minorHAnsi" w:hAnsiTheme="minorHAnsi" w:cstheme="minorHAnsi"/>
          <w:bCs/>
          <w:iCs/>
        </w:rPr>
        <w:t xml:space="preserve">, for equity reasons, or because the providers are </w:t>
      </w:r>
      <w:r w:rsidR="00C821C5">
        <w:rPr>
          <w:rFonts w:asciiTheme="minorHAnsi" w:hAnsiTheme="minorHAnsi" w:cstheme="minorHAnsi"/>
          <w:bCs/>
          <w:iCs/>
        </w:rPr>
        <w:t>low risk</w:t>
      </w:r>
      <w:r w:rsidR="004D00C3">
        <w:rPr>
          <w:rFonts w:asciiTheme="minorHAnsi" w:hAnsiTheme="minorHAnsi" w:cstheme="minorHAnsi"/>
          <w:bCs/>
          <w:iCs/>
        </w:rPr>
        <w:t>, should be exempt from paying the base fee component or risk rated component of the TPS levy.</w:t>
      </w:r>
      <w:r w:rsidRPr="0020287E">
        <w:rPr>
          <w:rFonts w:asciiTheme="minorHAnsi" w:hAnsiTheme="minorHAnsi" w:cstheme="minorHAnsi"/>
          <w:bCs/>
          <w:iCs/>
        </w:rPr>
        <w:t xml:space="preserve"> </w:t>
      </w:r>
      <w:r w:rsidR="00306E6C">
        <w:rPr>
          <w:rFonts w:asciiTheme="minorHAnsi" w:hAnsiTheme="minorHAnsi" w:cstheme="minorHAnsi"/>
          <w:bCs/>
          <w:iCs/>
        </w:rPr>
        <w:t>Until 1 January 2022, when the previous exemptions instrument was repealed, t</w:t>
      </w:r>
      <w:r w:rsidR="004525D0">
        <w:rPr>
          <w:rFonts w:asciiTheme="minorHAnsi" w:hAnsiTheme="minorHAnsi" w:cstheme="minorHAnsi"/>
          <w:bCs/>
          <w:iCs/>
        </w:rPr>
        <w:t xml:space="preserve">he providers </w:t>
      </w:r>
      <w:r w:rsidR="00DF59E4">
        <w:rPr>
          <w:rFonts w:asciiTheme="minorHAnsi" w:hAnsiTheme="minorHAnsi" w:cstheme="minorHAnsi"/>
          <w:bCs/>
          <w:iCs/>
        </w:rPr>
        <w:t>listed</w:t>
      </w:r>
      <w:r w:rsidR="004525D0">
        <w:rPr>
          <w:rFonts w:asciiTheme="minorHAnsi" w:hAnsiTheme="minorHAnsi" w:cstheme="minorHAnsi"/>
          <w:bCs/>
          <w:iCs/>
        </w:rPr>
        <w:t xml:space="preserve"> in the Instrument were exempt from the requirement to pay the relevant components on the TPS lev</w:t>
      </w:r>
      <w:r w:rsidR="00306E6C">
        <w:rPr>
          <w:rFonts w:asciiTheme="minorHAnsi" w:hAnsiTheme="minorHAnsi" w:cstheme="minorHAnsi"/>
          <w:bCs/>
          <w:iCs/>
        </w:rPr>
        <w:t>y</w:t>
      </w:r>
      <w:r w:rsidR="00E14CA5" w:rsidRPr="00E14CA5">
        <w:rPr>
          <w:rFonts w:asciiTheme="minorHAnsi" w:hAnsiTheme="minorHAnsi" w:cstheme="minorHAnsi"/>
          <w:bCs/>
          <w:iCs/>
        </w:rPr>
        <w:t>.</w:t>
      </w:r>
      <w:r w:rsidR="00C70597">
        <w:rPr>
          <w:rFonts w:asciiTheme="minorHAnsi" w:hAnsiTheme="minorHAnsi" w:cstheme="minorHAnsi"/>
          <w:bCs/>
          <w:iCs/>
        </w:rPr>
        <w:t xml:space="preserve"> The previous exemptions instrument was repealed ahead of that instrument sunsetting and ceasing to have effect, and was not remade</w:t>
      </w:r>
      <w:r w:rsidR="00A57D24">
        <w:rPr>
          <w:rFonts w:asciiTheme="minorHAnsi" w:hAnsiTheme="minorHAnsi" w:cstheme="minorHAnsi"/>
          <w:bCs/>
          <w:iCs/>
        </w:rPr>
        <w:t xml:space="preserve"> immediately</w:t>
      </w:r>
      <w:r w:rsidR="00C70597">
        <w:rPr>
          <w:rFonts w:asciiTheme="minorHAnsi" w:hAnsiTheme="minorHAnsi" w:cstheme="minorHAnsi"/>
          <w:bCs/>
          <w:iCs/>
        </w:rPr>
        <w:t xml:space="preserve"> </w:t>
      </w:r>
      <w:r w:rsidR="00C70597">
        <w:rPr>
          <w:rFonts w:asciiTheme="minorHAnsi" w:hAnsiTheme="minorHAnsi" w:cstheme="minorHAnsi"/>
          <w:bCs/>
          <w:iCs/>
        </w:rPr>
        <w:lastRenderedPageBreak/>
        <w:t>because</w:t>
      </w:r>
      <w:r w:rsidR="00880214">
        <w:rPr>
          <w:rFonts w:asciiTheme="minorHAnsi" w:hAnsiTheme="minorHAnsi" w:cstheme="minorHAnsi"/>
          <w:bCs/>
          <w:iCs/>
        </w:rPr>
        <w:t>,</w:t>
      </w:r>
      <w:r w:rsidR="00C70597">
        <w:rPr>
          <w:rFonts w:asciiTheme="minorHAnsi" w:hAnsiTheme="minorHAnsi" w:cstheme="minorHAnsi"/>
          <w:bCs/>
          <w:iCs/>
        </w:rPr>
        <w:t xml:space="preserve"> at the time, the </w:t>
      </w:r>
      <w:r w:rsidR="00951D92">
        <w:rPr>
          <w:rFonts w:asciiTheme="minorHAnsi" w:hAnsiTheme="minorHAnsi" w:cstheme="minorHAnsi"/>
          <w:bCs/>
          <w:iCs/>
        </w:rPr>
        <w:t xml:space="preserve">relevant </w:t>
      </w:r>
      <w:r w:rsidR="00C70597">
        <w:rPr>
          <w:rFonts w:asciiTheme="minorHAnsi" w:hAnsiTheme="minorHAnsi" w:cstheme="minorHAnsi"/>
          <w:bCs/>
          <w:iCs/>
        </w:rPr>
        <w:t xml:space="preserve">components of the TPS levy had been set at zero so no provider was liable to pay the base fee or risk rated </w:t>
      </w:r>
      <w:r w:rsidR="00951D92">
        <w:rPr>
          <w:rFonts w:asciiTheme="minorHAnsi" w:hAnsiTheme="minorHAnsi" w:cstheme="minorHAnsi"/>
          <w:bCs/>
          <w:iCs/>
        </w:rPr>
        <w:t xml:space="preserve">premium </w:t>
      </w:r>
      <w:r w:rsidR="00C70597">
        <w:rPr>
          <w:rFonts w:asciiTheme="minorHAnsi" w:hAnsiTheme="minorHAnsi" w:cstheme="minorHAnsi"/>
          <w:bCs/>
          <w:iCs/>
        </w:rPr>
        <w:t>component</w:t>
      </w:r>
      <w:r w:rsidR="00951D92">
        <w:rPr>
          <w:rFonts w:asciiTheme="minorHAnsi" w:hAnsiTheme="minorHAnsi" w:cstheme="minorHAnsi"/>
          <w:bCs/>
          <w:iCs/>
        </w:rPr>
        <w:t>s</w:t>
      </w:r>
      <w:r w:rsidR="00C70597">
        <w:rPr>
          <w:rFonts w:asciiTheme="minorHAnsi" w:hAnsiTheme="minorHAnsi" w:cstheme="minorHAnsi"/>
          <w:bCs/>
          <w:iCs/>
        </w:rPr>
        <w:t xml:space="preserve"> of the TPS levy.</w:t>
      </w:r>
    </w:p>
    <w:p w14:paraId="631F0CF2" w14:textId="256275B7" w:rsidR="008756E2" w:rsidRPr="00872887" w:rsidRDefault="008756E2" w:rsidP="00CA4B5B">
      <w:pPr>
        <w:spacing w:line="276" w:lineRule="auto"/>
        <w:rPr>
          <w:rFonts w:asciiTheme="minorHAnsi" w:hAnsiTheme="minorHAnsi" w:cstheme="minorHAnsi"/>
        </w:rPr>
      </w:pPr>
    </w:p>
    <w:p w14:paraId="7B8795D1" w14:textId="517807D3" w:rsidR="008F4DA7" w:rsidRPr="0020287E" w:rsidRDefault="008F4DA7" w:rsidP="008F4DA7">
      <w:pPr>
        <w:spacing w:line="276" w:lineRule="auto"/>
        <w:rPr>
          <w:rFonts w:asciiTheme="minorHAnsi" w:hAnsiTheme="minorHAnsi" w:cstheme="minorHAnsi"/>
        </w:rPr>
      </w:pPr>
      <w:r w:rsidRPr="0020287E">
        <w:rPr>
          <w:rFonts w:asciiTheme="minorHAnsi" w:hAnsiTheme="minorHAnsi" w:cstheme="minorHAnsi"/>
          <w:b/>
          <w:bCs/>
        </w:rPr>
        <w:t xml:space="preserve">REGULATORY IMPACT </w:t>
      </w:r>
    </w:p>
    <w:p w14:paraId="1B8B6558" w14:textId="477C57E3" w:rsidR="008F4DA7" w:rsidRPr="0020287E" w:rsidRDefault="008F4DA7" w:rsidP="008F4DA7">
      <w:pPr>
        <w:spacing w:line="276" w:lineRule="auto"/>
        <w:rPr>
          <w:rFonts w:asciiTheme="minorHAnsi" w:hAnsiTheme="minorHAnsi" w:cstheme="minorHAnsi"/>
        </w:rPr>
      </w:pPr>
      <w:r w:rsidRPr="0020287E">
        <w:rPr>
          <w:rFonts w:asciiTheme="minorHAnsi" w:hAnsiTheme="minorHAnsi" w:cstheme="minorHAnsi"/>
        </w:rPr>
        <w:t xml:space="preserve">The Office of Best Practice regulation has been consulted and advised that a Regulatory Impact Statement is not required for the Instrument due to the minor regulatory impact of the proposed changes (OBPR ID: </w:t>
      </w:r>
      <w:r w:rsidR="00EE17B1" w:rsidRPr="00EE17B1">
        <w:rPr>
          <w:rFonts w:asciiTheme="minorHAnsi" w:hAnsiTheme="minorHAnsi" w:cstheme="minorHAnsi"/>
        </w:rPr>
        <w:t>03462</w:t>
      </w:r>
      <w:r w:rsidRPr="0020287E">
        <w:rPr>
          <w:rFonts w:asciiTheme="minorHAnsi" w:hAnsiTheme="minorHAnsi" w:cstheme="minorHAnsi"/>
        </w:rPr>
        <w:t>).</w:t>
      </w:r>
    </w:p>
    <w:p w14:paraId="08C7BE88" w14:textId="77777777" w:rsidR="008F4DA7" w:rsidRDefault="008F4DA7" w:rsidP="00CA4B5B">
      <w:pPr>
        <w:spacing w:line="276" w:lineRule="auto"/>
        <w:rPr>
          <w:rFonts w:asciiTheme="minorHAnsi" w:hAnsiTheme="minorHAnsi" w:cstheme="minorHAnsi"/>
          <w:b/>
          <w:bCs/>
        </w:rPr>
      </w:pPr>
    </w:p>
    <w:p w14:paraId="5E80569B" w14:textId="70A9A9B7" w:rsidR="00404DB6" w:rsidRPr="0020287E" w:rsidRDefault="008F4DA7" w:rsidP="00CA4B5B">
      <w:pPr>
        <w:spacing w:line="276" w:lineRule="auto"/>
        <w:rPr>
          <w:rFonts w:asciiTheme="minorHAnsi" w:hAnsiTheme="minorHAnsi" w:cstheme="minorHAnsi"/>
        </w:rPr>
      </w:pPr>
      <w:r w:rsidRPr="0020287E">
        <w:rPr>
          <w:rFonts w:asciiTheme="minorHAnsi" w:hAnsiTheme="minorHAnsi" w:cstheme="minorHAnsi"/>
          <w:b/>
          <w:bCs/>
        </w:rPr>
        <w:t>COMMENCEMENT</w:t>
      </w:r>
      <w:r w:rsidRPr="0020287E">
        <w:rPr>
          <w:rFonts w:asciiTheme="minorHAnsi" w:hAnsiTheme="minorHAnsi" w:cstheme="minorHAnsi"/>
        </w:rPr>
        <w:t xml:space="preserve"> </w:t>
      </w:r>
    </w:p>
    <w:p w14:paraId="70EB3081" w14:textId="5D91C84C" w:rsidR="00404DB6" w:rsidRPr="0020287E" w:rsidRDefault="00404DB6" w:rsidP="00CA4B5B">
      <w:pPr>
        <w:spacing w:line="276" w:lineRule="auto"/>
        <w:rPr>
          <w:rFonts w:asciiTheme="minorHAnsi" w:hAnsiTheme="minorHAnsi" w:cstheme="minorHAnsi"/>
        </w:rPr>
      </w:pPr>
      <w:r w:rsidRPr="0020287E">
        <w:rPr>
          <w:rFonts w:asciiTheme="minorHAnsi" w:hAnsiTheme="minorHAnsi" w:cstheme="minorHAnsi"/>
        </w:rPr>
        <w:t>The Instrument takes effect from the day after the Instrument is registered</w:t>
      </w:r>
      <w:r w:rsidR="008756E2" w:rsidRPr="0020287E">
        <w:rPr>
          <w:rFonts w:asciiTheme="minorHAnsi" w:hAnsiTheme="minorHAnsi" w:cstheme="minorHAnsi"/>
        </w:rPr>
        <w:t xml:space="preserve"> on the Federal Register of Legislation. </w:t>
      </w:r>
    </w:p>
    <w:p w14:paraId="19B93DDA" w14:textId="7AE3A347" w:rsidR="00E514F1" w:rsidRPr="0020287E" w:rsidRDefault="00E514F1" w:rsidP="00CA4B5B">
      <w:pPr>
        <w:spacing w:line="276" w:lineRule="auto"/>
        <w:rPr>
          <w:rFonts w:asciiTheme="minorHAnsi" w:hAnsiTheme="minorHAnsi" w:cstheme="minorHAnsi"/>
        </w:rPr>
      </w:pPr>
    </w:p>
    <w:p w14:paraId="711C4993" w14:textId="4F255255" w:rsidR="007072B9" w:rsidRPr="0020287E" w:rsidRDefault="008F4DA7" w:rsidP="00CA4B5B">
      <w:pPr>
        <w:spacing w:line="276" w:lineRule="auto"/>
        <w:rPr>
          <w:rFonts w:asciiTheme="minorHAnsi" w:hAnsiTheme="minorHAnsi" w:cstheme="minorHAnsi"/>
        </w:rPr>
      </w:pPr>
      <w:r w:rsidRPr="0020287E">
        <w:rPr>
          <w:rFonts w:asciiTheme="minorHAnsi" w:hAnsiTheme="minorHAnsi" w:cstheme="minorHAnsi"/>
          <w:b/>
          <w:bCs/>
        </w:rPr>
        <w:t>CONSULTATION</w:t>
      </w:r>
      <w:r w:rsidRPr="0020287E">
        <w:rPr>
          <w:rFonts w:asciiTheme="minorHAnsi" w:hAnsiTheme="minorHAnsi" w:cstheme="minorHAnsi"/>
        </w:rPr>
        <w:t xml:space="preserve"> </w:t>
      </w:r>
    </w:p>
    <w:p w14:paraId="4ED19372" w14:textId="6AC742DE" w:rsidR="00A97C78" w:rsidRDefault="00A97C78" w:rsidP="00CA4B5B">
      <w:pPr>
        <w:spacing w:line="276" w:lineRule="auto"/>
        <w:rPr>
          <w:rFonts w:asciiTheme="minorHAnsi" w:hAnsiTheme="minorHAnsi" w:cstheme="minorHAnsi"/>
        </w:rPr>
      </w:pPr>
      <w:r w:rsidRPr="0020287E">
        <w:rPr>
          <w:rFonts w:asciiTheme="minorHAnsi" w:hAnsiTheme="minorHAnsi" w:cstheme="minorHAnsi"/>
        </w:rPr>
        <w:t>The TPS Operations Team is located within the Department of Education</w:t>
      </w:r>
      <w:r w:rsidR="00A40CE4">
        <w:rPr>
          <w:rFonts w:asciiTheme="minorHAnsi" w:hAnsiTheme="minorHAnsi" w:cstheme="minorHAnsi"/>
        </w:rPr>
        <w:t xml:space="preserve"> (department)</w:t>
      </w:r>
      <w:r w:rsidRPr="0020287E">
        <w:rPr>
          <w:rFonts w:asciiTheme="minorHAnsi" w:hAnsiTheme="minorHAnsi" w:cstheme="minorHAnsi"/>
        </w:rPr>
        <w:t xml:space="preserve"> and supports the TPS Director. The TPS Director and the TPS Operations </w:t>
      </w:r>
      <w:proofErr w:type="gramStart"/>
      <w:r w:rsidRPr="0020287E">
        <w:rPr>
          <w:rFonts w:asciiTheme="minorHAnsi" w:hAnsiTheme="minorHAnsi" w:cstheme="minorHAnsi"/>
        </w:rPr>
        <w:t>Team</w:t>
      </w:r>
      <w:proofErr w:type="gramEnd"/>
      <w:r w:rsidRPr="0020287E">
        <w:rPr>
          <w:rFonts w:asciiTheme="minorHAnsi" w:hAnsiTheme="minorHAnsi" w:cstheme="minorHAnsi"/>
        </w:rPr>
        <w:t xml:space="preserve"> were consulted in the preparation of this Instrument and are supportive of this Instrument. </w:t>
      </w:r>
    </w:p>
    <w:p w14:paraId="795D3D46" w14:textId="77777777" w:rsidR="00D341A3" w:rsidRDefault="00D341A3" w:rsidP="00CA4B5B">
      <w:pPr>
        <w:spacing w:line="276" w:lineRule="auto"/>
        <w:rPr>
          <w:rFonts w:asciiTheme="minorHAnsi" w:hAnsiTheme="minorHAnsi" w:cstheme="minorHAnsi"/>
        </w:rPr>
      </w:pPr>
    </w:p>
    <w:p w14:paraId="3C0930CA" w14:textId="31604431" w:rsidR="00D341A3" w:rsidRPr="0020287E" w:rsidRDefault="00D341A3" w:rsidP="00CA4B5B">
      <w:pPr>
        <w:spacing w:line="276" w:lineRule="auto"/>
        <w:rPr>
          <w:rFonts w:asciiTheme="minorHAnsi" w:hAnsiTheme="minorHAnsi" w:cstheme="minorHAnsi"/>
        </w:rPr>
      </w:pPr>
      <w:r w:rsidRPr="00D341A3">
        <w:rPr>
          <w:rFonts w:asciiTheme="minorHAnsi" w:hAnsiTheme="minorHAnsi" w:cstheme="minorHAnsi"/>
        </w:rPr>
        <w:t xml:space="preserve">The </w:t>
      </w:r>
      <w:r w:rsidR="00CA0FE2">
        <w:rPr>
          <w:rFonts w:asciiTheme="minorHAnsi" w:hAnsiTheme="minorHAnsi" w:cstheme="minorHAnsi"/>
        </w:rPr>
        <w:t>d</w:t>
      </w:r>
      <w:r w:rsidRPr="00D341A3">
        <w:rPr>
          <w:rFonts w:asciiTheme="minorHAnsi" w:hAnsiTheme="minorHAnsi" w:cstheme="minorHAnsi"/>
        </w:rPr>
        <w:t>epartment consulted peak education bodies (including Group of 8, Universities Australia</w:t>
      </w:r>
      <w:r>
        <w:rPr>
          <w:rFonts w:asciiTheme="minorHAnsi" w:hAnsiTheme="minorHAnsi" w:cstheme="minorHAnsi"/>
        </w:rPr>
        <w:t>, Australian Government Schools International (AGSI)</w:t>
      </w:r>
      <w:r w:rsidRPr="00D341A3">
        <w:rPr>
          <w:rFonts w:asciiTheme="minorHAnsi" w:hAnsiTheme="minorHAnsi" w:cstheme="minorHAnsi"/>
        </w:rPr>
        <w:t xml:space="preserve"> and TAFE Directors Australia</w:t>
      </w:r>
      <w:r w:rsidR="009E397A">
        <w:rPr>
          <w:rFonts w:asciiTheme="minorHAnsi" w:hAnsiTheme="minorHAnsi" w:cstheme="minorHAnsi"/>
        </w:rPr>
        <w:t xml:space="preserve"> (TDA)</w:t>
      </w:r>
      <w:r w:rsidRPr="00D341A3">
        <w:rPr>
          <w:rFonts w:asciiTheme="minorHAnsi" w:hAnsiTheme="minorHAnsi" w:cstheme="minorHAnsi"/>
        </w:rPr>
        <w:t xml:space="preserve">) about </w:t>
      </w:r>
      <w:r>
        <w:rPr>
          <w:rFonts w:asciiTheme="minorHAnsi" w:hAnsiTheme="minorHAnsi" w:cstheme="minorHAnsi"/>
        </w:rPr>
        <w:t>exemptions from the requirement to pay the base fee or risk rated premium component of the inte</w:t>
      </w:r>
      <w:r w:rsidRPr="00D341A3">
        <w:rPr>
          <w:rFonts w:asciiTheme="minorHAnsi" w:hAnsiTheme="minorHAnsi" w:cstheme="minorHAnsi"/>
        </w:rPr>
        <w:t xml:space="preserve">rnational TPS levy. </w:t>
      </w:r>
      <w:r w:rsidR="009E397A" w:rsidRPr="009E397A">
        <w:rPr>
          <w:rFonts w:asciiTheme="minorHAnsi" w:hAnsiTheme="minorHAnsi" w:cstheme="minorHAnsi"/>
        </w:rPr>
        <w:t xml:space="preserve">TDA </w:t>
      </w:r>
      <w:r w:rsidR="009E397A">
        <w:rPr>
          <w:rFonts w:asciiTheme="minorHAnsi" w:hAnsiTheme="minorHAnsi" w:cstheme="minorHAnsi"/>
        </w:rPr>
        <w:t xml:space="preserve">provided feedback and </w:t>
      </w:r>
      <w:r w:rsidR="009E397A" w:rsidRPr="009E397A">
        <w:rPr>
          <w:rFonts w:asciiTheme="minorHAnsi" w:hAnsiTheme="minorHAnsi" w:cstheme="minorHAnsi"/>
        </w:rPr>
        <w:t xml:space="preserve">requested that the 22 TAFEs continue to be exempt from the risk rated premium component of the TPS levy in recognition of the </w:t>
      </w:r>
      <w:proofErr w:type="gramStart"/>
      <w:r w:rsidR="009E397A" w:rsidRPr="009E397A">
        <w:rPr>
          <w:rFonts w:asciiTheme="minorHAnsi" w:hAnsiTheme="minorHAnsi" w:cstheme="minorHAnsi"/>
        </w:rPr>
        <w:t>low-risk</w:t>
      </w:r>
      <w:proofErr w:type="gramEnd"/>
      <w:r w:rsidR="009E397A" w:rsidRPr="009E397A">
        <w:rPr>
          <w:rFonts w:asciiTheme="minorHAnsi" w:hAnsiTheme="minorHAnsi" w:cstheme="minorHAnsi"/>
        </w:rPr>
        <w:t xml:space="preserve"> posed by state and territory owned </w:t>
      </w:r>
      <w:r w:rsidR="00882313">
        <w:rPr>
          <w:rFonts w:asciiTheme="minorHAnsi" w:hAnsiTheme="minorHAnsi" w:cstheme="minorHAnsi"/>
        </w:rPr>
        <w:t>vocational education and training (</w:t>
      </w:r>
      <w:r w:rsidR="009E397A" w:rsidRPr="009E397A">
        <w:rPr>
          <w:rFonts w:asciiTheme="minorHAnsi" w:hAnsiTheme="minorHAnsi" w:cstheme="minorHAnsi"/>
        </w:rPr>
        <w:t>VET</w:t>
      </w:r>
      <w:r w:rsidR="00882313">
        <w:rPr>
          <w:rFonts w:asciiTheme="minorHAnsi" w:hAnsiTheme="minorHAnsi" w:cstheme="minorHAnsi"/>
        </w:rPr>
        <w:t>)</w:t>
      </w:r>
      <w:r w:rsidR="009E397A" w:rsidRPr="009E397A">
        <w:rPr>
          <w:rFonts w:asciiTheme="minorHAnsi" w:hAnsiTheme="minorHAnsi" w:cstheme="minorHAnsi"/>
        </w:rPr>
        <w:t xml:space="preserve"> institutions.</w:t>
      </w:r>
      <w:r w:rsidR="009E397A">
        <w:rPr>
          <w:rFonts w:asciiTheme="minorHAnsi" w:hAnsiTheme="minorHAnsi" w:cstheme="minorHAnsi"/>
        </w:rPr>
        <w:t xml:space="preserve"> This feedback was taken into consideration when making th</w:t>
      </w:r>
      <w:r w:rsidR="00CA0FE2">
        <w:rPr>
          <w:rFonts w:asciiTheme="minorHAnsi" w:hAnsiTheme="minorHAnsi" w:cstheme="minorHAnsi"/>
        </w:rPr>
        <w:t>e</w:t>
      </w:r>
      <w:r w:rsidR="009E397A">
        <w:rPr>
          <w:rFonts w:asciiTheme="minorHAnsi" w:hAnsiTheme="minorHAnsi" w:cstheme="minorHAnsi"/>
        </w:rPr>
        <w:t xml:space="preserve"> Instrument.</w:t>
      </w:r>
    </w:p>
    <w:p w14:paraId="09FBCAD0" w14:textId="77777777" w:rsidR="007072B9" w:rsidRPr="0020287E" w:rsidRDefault="007072B9" w:rsidP="00CA4B5B">
      <w:pPr>
        <w:spacing w:line="276" w:lineRule="auto"/>
        <w:rPr>
          <w:rFonts w:asciiTheme="minorHAnsi" w:hAnsiTheme="minorHAnsi" w:cstheme="minorHAnsi"/>
        </w:rPr>
      </w:pPr>
    </w:p>
    <w:p w14:paraId="5DB216B4" w14:textId="683A82DC" w:rsidR="003C25EA" w:rsidRPr="00C96194" w:rsidRDefault="003C25EA" w:rsidP="003C25EA">
      <w:pPr>
        <w:spacing w:line="276" w:lineRule="auto"/>
        <w:rPr>
          <w:rFonts w:asciiTheme="minorHAnsi" w:hAnsiTheme="minorHAnsi" w:cstheme="minorHAnsi"/>
        </w:rPr>
      </w:pPr>
      <w:r w:rsidRPr="00055E48">
        <w:rPr>
          <w:rFonts w:asciiTheme="minorHAnsi" w:hAnsiTheme="minorHAnsi" w:cstheme="minorHAnsi"/>
        </w:rPr>
        <w:t>As prescribed in legislation (</w:t>
      </w:r>
      <w:bookmarkStart w:id="0" w:name="_Hlk95828090"/>
      <w:r w:rsidRPr="00055E48">
        <w:rPr>
          <w:rFonts w:asciiTheme="minorHAnsi" w:hAnsiTheme="minorHAnsi" w:cstheme="minorHAnsi"/>
        </w:rPr>
        <w:t>s</w:t>
      </w:r>
      <w:r w:rsidR="00A34A7A">
        <w:rPr>
          <w:rFonts w:asciiTheme="minorHAnsi" w:hAnsiTheme="minorHAnsi" w:cstheme="minorHAnsi"/>
        </w:rPr>
        <w:t>ection</w:t>
      </w:r>
      <w:r w:rsidRPr="00055E48">
        <w:rPr>
          <w:rFonts w:asciiTheme="minorHAnsi" w:hAnsiTheme="minorHAnsi" w:cstheme="minorHAnsi"/>
        </w:rPr>
        <w:t xml:space="preserve"> 113A of the </w:t>
      </w:r>
      <w:r w:rsidR="00A957F0">
        <w:rPr>
          <w:rFonts w:asciiTheme="minorHAnsi" w:hAnsiTheme="minorHAnsi" w:cstheme="minorHAnsi"/>
          <w:i/>
          <w:iCs/>
        </w:rPr>
        <w:t xml:space="preserve">VET </w:t>
      </w:r>
      <w:r w:rsidR="00A34A7A">
        <w:rPr>
          <w:rFonts w:asciiTheme="minorHAnsi" w:hAnsiTheme="minorHAnsi" w:cstheme="minorHAnsi"/>
          <w:i/>
          <w:iCs/>
        </w:rPr>
        <w:t xml:space="preserve">Student Loans Act 2016 </w:t>
      </w:r>
      <w:r w:rsidR="00A34A7A">
        <w:rPr>
          <w:rFonts w:asciiTheme="minorHAnsi" w:hAnsiTheme="minorHAnsi" w:cstheme="minorHAnsi"/>
        </w:rPr>
        <w:t>(</w:t>
      </w:r>
      <w:r w:rsidRPr="00055E48">
        <w:rPr>
          <w:rFonts w:asciiTheme="minorHAnsi" w:hAnsiTheme="minorHAnsi" w:cstheme="minorHAnsi"/>
        </w:rPr>
        <w:t>VSL Act</w:t>
      </w:r>
      <w:r w:rsidR="00A34A7A">
        <w:rPr>
          <w:rFonts w:asciiTheme="minorHAnsi" w:hAnsiTheme="minorHAnsi" w:cstheme="minorHAnsi"/>
        </w:rPr>
        <w:t>),</w:t>
      </w:r>
      <w:r w:rsidRPr="00055E48">
        <w:rPr>
          <w:rFonts w:asciiTheme="minorHAnsi" w:hAnsiTheme="minorHAnsi" w:cstheme="minorHAnsi"/>
        </w:rPr>
        <w:t xml:space="preserve"> s</w:t>
      </w:r>
      <w:r w:rsidR="00A34A7A">
        <w:rPr>
          <w:rFonts w:asciiTheme="minorHAnsi" w:hAnsiTheme="minorHAnsi" w:cstheme="minorHAnsi"/>
        </w:rPr>
        <w:t>ection</w:t>
      </w:r>
      <w:r w:rsidRPr="00055E48">
        <w:rPr>
          <w:rFonts w:asciiTheme="minorHAnsi" w:hAnsiTheme="minorHAnsi" w:cstheme="minorHAnsi"/>
        </w:rPr>
        <w:t xml:space="preserve"> 176A of the </w:t>
      </w:r>
      <w:r w:rsidR="00A34A7A">
        <w:rPr>
          <w:rFonts w:asciiTheme="minorHAnsi" w:hAnsiTheme="minorHAnsi" w:cstheme="minorHAnsi"/>
          <w:i/>
          <w:iCs/>
        </w:rPr>
        <w:t xml:space="preserve">Education Services for Overseas Students Act 2000 </w:t>
      </w:r>
      <w:r w:rsidR="00A34A7A">
        <w:rPr>
          <w:rFonts w:asciiTheme="minorHAnsi" w:hAnsiTheme="minorHAnsi" w:cstheme="minorHAnsi"/>
        </w:rPr>
        <w:t>(</w:t>
      </w:r>
      <w:r w:rsidRPr="00055E48">
        <w:rPr>
          <w:rFonts w:asciiTheme="minorHAnsi" w:hAnsiTheme="minorHAnsi" w:cstheme="minorHAnsi"/>
        </w:rPr>
        <w:t>ESOS Act</w:t>
      </w:r>
      <w:r w:rsidR="00A34A7A">
        <w:rPr>
          <w:rFonts w:asciiTheme="minorHAnsi" w:hAnsiTheme="minorHAnsi" w:cstheme="minorHAnsi"/>
        </w:rPr>
        <w:t>),</w:t>
      </w:r>
      <w:r w:rsidRPr="00055E48">
        <w:rPr>
          <w:rFonts w:asciiTheme="minorHAnsi" w:hAnsiTheme="minorHAnsi" w:cstheme="minorHAnsi"/>
        </w:rPr>
        <w:t xml:space="preserve"> s</w:t>
      </w:r>
      <w:r w:rsidR="00A34A7A">
        <w:rPr>
          <w:rFonts w:asciiTheme="minorHAnsi" w:hAnsiTheme="minorHAnsi" w:cstheme="minorHAnsi"/>
        </w:rPr>
        <w:t>ection</w:t>
      </w:r>
      <w:r w:rsidRPr="00055E48">
        <w:rPr>
          <w:rFonts w:asciiTheme="minorHAnsi" w:hAnsiTheme="minorHAnsi" w:cstheme="minorHAnsi"/>
        </w:rPr>
        <w:t xml:space="preserve"> 238-7 of </w:t>
      </w:r>
      <w:r w:rsidR="00A34A7A">
        <w:rPr>
          <w:rFonts w:asciiTheme="minorHAnsi" w:hAnsiTheme="minorHAnsi" w:cstheme="minorHAnsi"/>
        </w:rPr>
        <w:t xml:space="preserve">the </w:t>
      </w:r>
      <w:r w:rsidR="00A34A7A">
        <w:rPr>
          <w:rFonts w:asciiTheme="minorHAnsi" w:hAnsiTheme="minorHAnsi" w:cstheme="minorHAnsi"/>
          <w:i/>
          <w:iCs/>
        </w:rPr>
        <w:t xml:space="preserve">Higher Education Support Act 2003 </w:t>
      </w:r>
      <w:r w:rsidR="00A34A7A">
        <w:rPr>
          <w:rFonts w:asciiTheme="minorHAnsi" w:hAnsiTheme="minorHAnsi" w:cstheme="minorHAnsi"/>
        </w:rPr>
        <w:t>(</w:t>
      </w:r>
      <w:r w:rsidRPr="00055E48">
        <w:rPr>
          <w:rFonts w:asciiTheme="minorHAnsi" w:hAnsiTheme="minorHAnsi" w:cstheme="minorHAnsi"/>
        </w:rPr>
        <w:t>HESA</w:t>
      </w:r>
      <w:r w:rsidR="00A34A7A">
        <w:rPr>
          <w:rFonts w:asciiTheme="minorHAnsi" w:hAnsiTheme="minorHAnsi" w:cstheme="minorHAnsi"/>
        </w:rPr>
        <w:t>) and</w:t>
      </w:r>
      <w:r w:rsidRPr="00055E48">
        <w:rPr>
          <w:rFonts w:asciiTheme="minorHAnsi" w:hAnsiTheme="minorHAnsi" w:cstheme="minorHAnsi"/>
        </w:rPr>
        <w:t xml:space="preserve"> s</w:t>
      </w:r>
      <w:r w:rsidR="00A34A7A">
        <w:rPr>
          <w:rFonts w:asciiTheme="minorHAnsi" w:hAnsiTheme="minorHAnsi" w:cstheme="minorHAnsi"/>
        </w:rPr>
        <w:t>ection</w:t>
      </w:r>
      <w:r w:rsidRPr="00055E48">
        <w:rPr>
          <w:rFonts w:asciiTheme="minorHAnsi" w:hAnsiTheme="minorHAnsi" w:cstheme="minorHAnsi"/>
        </w:rPr>
        <w:t xml:space="preserve"> 203A of the </w:t>
      </w:r>
      <w:r w:rsidR="00A34A7A">
        <w:rPr>
          <w:rFonts w:asciiTheme="minorHAnsi" w:hAnsiTheme="minorHAnsi" w:cstheme="minorHAnsi"/>
          <w:i/>
          <w:iCs/>
        </w:rPr>
        <w:t xml:space="preserve">Tertiary Education Quality and Standards Agency 2011 </w:t>
      </w:r>
      <w:r w:rsidR="00A34A7A">
        <w:rPr>
          <w:rFonts w:asciiTheme="minorHAnsi" w:hAnsiTheme="minorHAnsi" w:cstheme="minorHAnsi"/>
        </w:rPr>
        <w:t>(</w:t>
      </w:r>
      <w:r w:rsidRPr="00055E48">
        <w:rPr>
          <w:rFonts w:asciiTheme="minorHAnsi" w:hAnsiTheme="minorHAnsi" w:cstheme="minorHAnsi"/>
        </w:rPr>
        <w:t>TEQSA Act</w:t>
      </w:r>
      <w:bookmarkEnd w:id="0"/>
      <w:r w:rsidR="00A34A7A">
        <w:rPr>
          <w:rFonts w:asciiTheme="minorHAnsi" w:hAnsiTheme="minorHAnsi" w:cstheme="minorHAnsi"/>
        </w:rPr>
        <w:t>)</w:t>
      </w:r>
      <w:r w:rsidRPr="00055E48">
        <w:rPr>
          <w:rFonts w:asciiTheme="minorHAnsi" w:hAnsiTheme="minorHAnsi" w:cstheme="minorHAnsi"/>
        </w:rPr>
        <w:t>), the</w:t>
      </w:r>
      <w:r w:rsidR="00A40CE4">
        <w:rPr>
          <w:rFonts w:asciiTheme="minorHAnsi" w:hAnsiTheme="minorHAnsi" w:cstheme="minorHAnsi"/>
        </w:rPr>
        <w:t xml:space="preserve"> department, on behalf of the</w:t>
      </w:r>
      <w:r w:rsidRPr="00055E48">
        <w:rPr>
          <w:rFonts w:asciiTheme="minorHAnsi" w:hAnsiTheme="minorHAnsi" w:cstheme="minorHAnsi"/>
        </w:rPr>
        <w:t xml:space="preserve"> responsible Minister</w:t>
      </w:r>
      <w:r w:rsidR="00A40CE4">
        <w:rPr>
          <w:rFonts w:asciiTheme="minorHAnsi" w:hAnsiTheme="minorHAnsi" w:cstheme="minorHAnsi"/>
        </w:rPr>
        <w:t>,</w:t>
      </w:r>
      <w:r w:rsidRPr="00055E48">
        <w:rPr>
          <w:rFonts w:asciiTheme="minorHAnsi" w:hAnsiTheme="minorHAnsi" w:cstheme="minorHAnsi"/>
        </w:rPr>
        <w:t xml:space="preserve"> </w:t>
      </w:r>
      <w:r w:rsidR="00AC6BFF">
        <w:rPr>
          <w:rFonts w:asciiTheme="minorHAnsi" w:hAnsiTheme="minorHAnsi" w:cstheme="minorHAnsi"/>
        </w:rPr>
        <w:t xml:space="preserve">arranged for </w:t>
      </w:r>
      <w:r w:rsidRPr="00055E48">
        <w:rPr>
          <w:rFonts w:asciiTheme="minorHAnsi" w:hAnsiTheme="minorHAnsi" w:cstheme="minorHAnsi"/>
        </w:rPr>
        <w:t>a review of the tuition protection arrangements</w:t>
      </w:r>
      <w:r w:rsidR="00AC6BFF">
        <w:rPr>
          <w:rFonts w:asciiTheme="minorHAnsi" w:hAnsiTheme="minorHAnsi" w:cstheme="minorHAnsi"/>
        </w:rPr>
        <w:t xml:space="preserve"> to be conducted</w:t>
      </w:r>
      <w:r w:rsidR="006F56B2">
        <w:rPr>
          <w:rFonts w:asciiTheme="minorHAnsi" w:hAnsiTheme="minorHAnsi" w:cstheme="minorHAnsi"/>
        </w:rPr>
        <w:t xml:space="preserve"> in late 2021 and early 2022</w:t>
      </w:r>
      <w:r w:rsidR="008D71D4">
        <w:rPr>
          <w:rFonts w:asciiTheme="minorHAnsi" w:hAnsiTheme="minorHAnsi" w:cstheme="minorHAnsi"/>
        </w:rPr>
        <w:t xml:space="preserve"> (the Review)</w:t>
      </w:r>
      <w:r w:rsidRPr="00055E48">
        <w:rPr>
          <w:rFonts w:asciiTheme="minorHAnsi" w:hAnsiTheme="minorHAnsi" w:cstheme="minorHAnsi"/>
        </w:rPr>
        <w:t>. The Review consider</w:t>
      </w:r>
      <w:r w:rsidR="0070535A">
        <w:rPr>
          <w:rFonts w:asciiTheme="minorHAnsi" w:hAnsiTheme="minorHAnsi" w:cstheme="minorHAnsi"/>
        </w:rPr>
        <w:t>ed</w:t>
      </w:r>
      <w:r w:rsidRPr="00055E48">
        <w:rPr>
          <w:rFonts w:asciiTheme="minorHAnsi" w:hAnsiTheme="minorHAnsi" w:cstheme="minorHAnsi"/>
        </w:rPr>
        <w:t xml:space="preserve"> the operation of tuition protection arrangements and each Tuition Protection Fund and related matters. The Review was conducted by an independent consultant who</w:t>
      </w:r>
      <w:r w:rsidR="00290A6F">
        <w:rPr>
          <w:rFonts w:asciiTheme="minorHAnsi" w:hAnsiTheme="minorHAnsi" w:cstheme="minorHAnsi"/>
        </w:rPr>
        <w:t>se analysis</w:t>
      </w:r>
      <w:r w:rsidR="00AE27A7">
        <w:rPr>
          <w:rFonts w:asciiTheme="minorHAnsi" w:hAnsiTheme="minorHAnsi" w:cstheme="minorHAnsi"/>
        </w:rPr>
        <w:t xml:space="preserve"> </w:t>
      </w:r>
      <w:r w:rsidRPr="00055E48">
        <w:rPr>
          <w:rFonts w:asciiTheme="minorHAnsi" w:hAnsiTheme="minorHAnsi" w:cstheme="minorHAnsi"/>
        </w:rPr>
        <w:t xml:space="preserve">was informed by comprehensive consultations with key stakeholders across the International Education, Higher Education and VET sectors. The </w:t>
      </w:r>
      <w:r w:rsidR="00A03413">
        <w:rPr>
          <w:rFonts w:asciiTheme="minorHAnsi" w:hAnsiTheme="minorHAnsi" w:cstheme="minorHAnsi"/>
        </w:rPr>
        <w:t>T</w:t>
      </w:r>
      <w:r w:rsidRPr="00055E48">
        <w:rPr>
          <w:rFonts w:asciiTheme="minorHAnsi" w:hAnsiTheme="minorHAnsi" w:cstheme="minorHAnsi"/>
        </w:rPr>
        <w:t xml:space="preserve">erms of </w:t>
      </w:r>
      <w:r w:rsidR="00290A6F">
        <w:rPr>
          <w:rFonts w:asciiTheme="minorHAnsi" w:hAnsiTheme="minorHAnsi" w:cstheme="minorHAnsi"/>
        </w:rPr>
        <w:t>R</w:t>
      </w:r>
      <w:r w:rsidRPr="00055E48">
        <w:rPr>
          <w:rFonts w:asciiTheme="minorHAnsi" w:hAnsiTheme="minorHAnsi" w:cstheme="minorHAnsi"/>
        </w:rPr>
        <w:t>eference</w:t>
      </w:r>
      <w:r w:rsidR="00FD6B6B">
        <w:rPr>
          <w:rFonts w:asciiTheme="minorHAnsi" w:hAnsiTheme="minorHAnsi" w:cstheme="minorHAnsi"/>
        </w:rPr>
        <w:t xml:space="preserve"> for the </w:t>
      </w:r>
      <w:r w:rsidR="00214E6C">
        <w:rPr>
          <w:rFonts w:asciiTheme="minorHAnsi" w:hAnsiTheme="minorHAnsi" w:cstheme="minorHAnsi"/>
        </w:rPr>
        <w:t>R</w:t>
      </w:r>
      <w:r w:rsidR="00FD6B6B">
        <w:rPr>
          <w:rFonts w:asciiTheme="minorHAnsi" w:hAnsiTheme="minorHAnsi" w:cstheme="minorHAnsi"/>
        </w:rPr>
        <w:t>eview required the consultant</w:t>
      </w:r>
      <w:r w:rsidRPr="00055E48">
        <w:rPr>
          <w:rFonts w:asciiTheme="minorHAnsi" w:hAnsiTheme="minorHAnsi" w:cstheme="minorHAnsi"/>
        </w:rPr>
        <w:t xml:space="preserve"> </w:t>
      </w:r>
      <w:r w:rsidRPr="00A34A7A">
        <w:rPr>
          <w:rFonts w:asciiTheme="minorHAnsi" w:hAnsiTheme="minorHAnsi" w:cstheme="minorHAnsi"/>
        </w:rPr>
        <w:t xml:space="preserve">to </w:t>
      </w:r>
      <w:r w:rsidRPr="00C96194">
        <w:rPr>
          <w:rFonts w:asciiTheme="minorHAnsi" w:hAnsiTheme="minorHAnsi" w:cstheme="minorHAnsi"/>
        </w:rPr>
        <w:t>assess the effectiveness and efficiency of the current legislative, operational, administrative and governance arrangements of the TPS, including:</w:t>
      </w:r>
      <w:r w:rsidR="00225BD5">
        <w:rPr>
          <w:rFonts w:asciiTheme="minorHAnsi" w:hAnsiTheme="minorHAnsi" w:cstheme="minorHAnsi"/>
        </w:rPr>
        <w:br/>
      </w:r>
    </w:p>
    <w:p w14:paraId="141DE52A" w14:textId="70EAC95F" w:rsidR="003C25EA" w:rsidRPr="00C96194" w:rsidRDefault="003C25EA" w:rsidP="003C25EA">
      <w:pPr>
        <w:pStyle w:val="ListParagraph"/>
        <w:numPr>
          <w:ilvl w:val="0"/>
          <w:numId w:val="8"/>
        </w:numPr>
        <w:spacing w:line="276" w:lineRule="auto"/>
        <w:rPr>
          <w:rFonts w:asciiTheme="minorHAnsi" w:hAnsiTheme="minorHAnsi" w:cstheme="minorHAnsi"/>
        </w:rPr>
      </w:pPr>
      <w:r w:rsidRPr="00C96194">
        <w:rPr>
          <w:rFonts w:asciiTheme="minorHAnsi" w:hAnsiTheme="minorHAnsi" w:cstheme="minorHAnsi"/>
        </w:rPr>
        <w:t xml:space="preserve">whether the current delivery arrangements best meet the tuition protection policy objectives as set out in the ESOS Act, VSL Act, HESA and the TEQSA </w:t>
      </w:r>
      <w:proofErr w:type="gramStart"/>
      <w:r w:rsidRPr="00C96194">
        <w:rPr>
          <w:rFonts w:asciiTheme="minorHAnsi" w:hAnsiTheme="minorHAnsi" w:cstheme="minorHAnsi"/>
        </w:rPr>
        <w:t>Act</w:t>
      </w:r>
      <w:r w:rsidR="009D746D">
        <w:rPr>
          <w:rFonts w:asciiTheme="minorHAnsi" w:hAnsiTheme="minorHAnsi" w:cstheme="minorHAnsi"/>
        </w:rPr>
        <w:t>;</w:t>
      </w:r>
      <w:proofErr w:type="gramEnd"/>
    </w:p>
    <w:p w14:paraId="02B1853B" w14:textId="301F4EFA" w:rsidR="00225BD5" w:rsidRPr="00A34A7A" w:rsidRDefault="003C25EA" w:rsidP="003C25EA">
      <w:pPr>
        <w:pStyle w:val="ListParagraph"/>
        <w:numPr>
          <w:ilvl w:val="0"/>
          <w:numId w:val="8"/>
        </w:numPr>
        <w:spacing w:line="276" w:lineRule="auto"/>
        <w:rPr>
          <w:rFonts w:asciiTheme="minorHAnsi" w:hAnsiTheme="minorHAnsi" w:cstheme="minorHAnsi"/>
        </w:rPr>
      </w:pPr>
      <w:r w:rsidRPr="00C96194">
        <w:rPr>
          <w:rFonts w:asciiTheme="minorHAnsi" w:hAnsiTheme="minorHAnsi" w:cstheme="minorHAnsi"/>
        </w:rPr>
        <w:lastRenderedPageBreak/>
        <w:t>the framework of the current legislative structure of the TPS as set out in the ESOS Act, VSL Act, HESA, the TEQSA Act, and multiple subordinate legislative instruments</w:t>
      </w:r>
      <w:r w:rsidR="001731BF" w:rsidRPr="00A34A7A">
        <w:rPr>
          <w:rFonts w:asciiTheme="minorHAnsi" w:hAnsiTheme="minorHAnsi" w:cstheme="minorHAnsi"/>
        </w:rPr>
        <w:t>, and</w:t>
      </w:r>
    </w:p>
    <w:p w14:paraId="7C1A4F3D" w14:textId="0B71B354" w:rsidR="001731BF" w:rsidRDefault="001731BF" w:rsidP="00C96194">
      <w:pPr>
        <w:pStyle w:val="ListParagraph"/>
        <w:numPr>
          <w:ilvl w:val="0"/>
          <w:numId w:val="8"/>
        </w:numPr>
        <w:spacing w:line="276" w:lineRule="auto"/>
        <w:rPr>
          <w:szCs w:val="22"/>
        </w:rPr>
      </w:pPr>
      <w:r w:rsidRPr="00DB17BD">
        <w:rPr>
          <w:rFonts w:asciiTheme="minorHAnsi" w:hAnsiTheme="minorHAnsi" w:cstheme="minorHAnsi"/>
        </w:rPr>
        <w:t>levy mechanisms.</w:t>
      </w:r>
      <w:r w:rsidR="00161D80">
        <w:rPr>
          <w:rFonts w:asciiTheme="minorHAnsi" w:hAnsiTheme="minorHAnsi" w:cstheme="minorHAnsi"/>
        </w:rPr>
        <w:br/>
      </w:r>
    </w:p>
    <w:p w14:paraId="6514FEC6" w14:textId="585566A2" w:rsidR="001731BF" w:rsidRDefault="001731BF" w:rsidP="00F71495">
      <w:pPr>
        <w:spacing w:line="276" w:lineRule="auto"/>
        <w:rPr>
          <w:rFonts w:asciiTheme="minorHAnsi" w:hAnsiTheme="minorHAnsi" w:cstheme="minorHAnsi"/>
        </w:rPr>
      </w:pPr>
      <w:r>
        <w:rPr>
          <w:rFonts w:asciiTheme="minorHAnsi" w:hAnsiTheme="minorHAnsi" w:cstheme="minorHAnsi"/>
        </w:rPr>
        <w:t>The Review</w:t>
      </w:r>
      <w:r w:rsidR="00ED68D4">
        <w:rPr>
          <w:rFonts w:asciiTheme="minorHAnsi" w:hAnsiTheme="minorHAnsi" w:cstheme="minorHAnsi"/>
        </w:rPr>
        <w:t xml:space="preserve">, tabled </w:t>
      </w:r>
      <w:r w:rsidR="006F2868">
        <w:rPr>
          <w:rFonts w:asciiTheme="minorHAnsi" w:hAnsiTheme="minorHAnsi" w:cstheme="minorHAnsi"/>
        </w:rPr>
        <w:t>in Parliament on 7 April 2022,</w:t>
      </w:r>
      <w:r>
        <w:rPr>
          <w:rFonts w:asciiTheme="minorHAnsi" w:hAnsiTheme="minorHAnsi" w:cstheme="minorHAnsi"/>
        </w:rPr>
        <w:t xml:space="preserve"> made </w:t>
      </w:r>
      <w:r w:rsidR="00DE6255">
        <w:rPr>
          <w:rFonts w:asciiTheme="minorHAnsi" w:hAnsiTheme="minorHAnsi" w:cstheme="minorHAnsi"/>
        </w:rPr>
        <w:t>several</w:t>
      </w:r>
      <w:r w:rsidR="00C818A6">
        <w:rPr>
          <w:rFonts w:asciiTheme="minorHAnsi" w:hAnsiTheme="minorHAnsi" w:cstheme="minorHAnsi"/>
        </w:rPr>
        <w:t xml:space="preserve"> </w:t>
      </w:r>
      <w:r>
        <w:rPr>
          <w:rFonts w:asciiTheme="minorHAnsi" w:hAnsiTheme="minorHAnsi" w:cstheme="minorHAnsi"/>
        </w:rPr>
        <w:t xml:space="preserve">recommendations regarding </w:t>
      </w:r>
      <w:r w:rsidR="00B03D82">
        <w:rPr>
          <w:rFonts w:asciiTheme="minorHAnsi" w:hAnsiTheme="minorHAnsi" w:cstheme="minorHAnsi"/>
        </w:rPr>
        <w:t>the</w:t>
      </w:r>
      <w:r>
        <w:rPr>
          <w:rFonts w:asciiTheme="minorHAnsi" w:hAnsiTheme="minorHAnsi" w:cstheme="minorHAnsi"/>
        </w:rPr>
        <w:t xml:space="preserve"> levy components enshrined in the primary legislation</w:t>
      </w:r>
      <w:r w:rsidR="007D0660">
        <w:rPr>
          <w:rFonts w:asciiTheme="minorHAnsi" w:hAnsiTheme="minorHAnsi" w:cstheme="minorHAnsi"/>
        </w:rPr>
        <w:t xml:space="preserve"> (</w:t>
      </w:r>
      <w:r w:rsidR="00A34A7A">
        <w:rPr>
          <w:rFonts w:asciiTheme="minorHAnsi" w:hAnsiTheme="minorHAnsi" w:cstheme="minorHAnsi"/>
        </w:rPr>
        <w:t>for example,</w:t>
      </w:r>
      <w:r w:rsidR="007D0660">
        <w:rPr>
          <w:rFonts w:asciiTheme="minorHAnsi" w:hAnsiTheme="minorHAnsi" w:cstheme="minorHAnsi"/>
        </w:rPr>
        <w:t xml:space="preserve"> making funding arrangement</w:t>
      </w:r>
      <w:r w:rsidR="00A34A7A">
        <w:rPr>
          <w:rFonts w:asciiTheme="minorHAnsi" w:hAnsiTheme="minorHAnsi" w:cstheme="minorHAnsi"/>
        </w:rPr>
        <w:t>s</w:t>
      </w:r>
      <w:r w:rsidR="007D0660">
        <w:rPr>
          <w:rFonts w:asciiTheme="minorHAnsi" w:hAnsiTheme="minorHAnsi" w:cstheme="minorHAnsi"/>
        </w:rPr>
        <w:t xml:space="preserve"> clearer and simpler, simplifying levy calculations, </w:t>
      </w:r>
      <w:r w:rsidR="007267DA">
        <w:rPr>
          <w:rFonts w:asciiTheme="minorHAnsi" w:hAnsiTheme="minorHAnsi" w:cstheme="minorHAnsi"/>
        </w:rPr>
        <w:t xml:space="preserve">improving the </w:t>
      </w:r>
      <w:r w:rsidR="007D0660">
        <w:rPr>
          <w:rFonts w:asciiTheme="minorHAnsi" w:hAnsiTheme="minorHAnsi" w:cstheme="minorHAnsi"/>
        </w:rPr>
        <w:t xml:space="preserve">transparency of assessing risk rates, </w:t>
      </w:r>
      <w:r w:rsidR="003F2206">
        <w:rPr>
          <w:rFonts w:asciiTheme="minorHAnsi" w:hAnsiTheme="minorHAnsi" w:cstheme="minorHAnsi"/>
        </w:rPr>
        <w:t xml:space="preserve">considering </w:t>
      </w:r>
      <w:r w:rsidR="00595EB6">
        <w:rPr>
          <w:rFonts w:asciiTheme="minorHAnsi" w:hAnsiTheme="minorHAnsi" w:cstheme="minorHAnsi"/>
        </w:rPr>
        <w:t>whether to remove the base fee component,</w:t>
      </w:r>
      <w:r w:rsidR="007D0660">
        <w:rPr>
          <w:rFonts w:asciiTheme="minorHAnsi" w:hAnsiTheme="minorHAnsi" w:cstheme="minorHAnsi"/>
        </w:rPr>
        <w:t xml:space="preserve"> </w:t>
      </w:r>
      <w:r w:rsidR="00B80B3A">
        <w:rPr>
          <w:rFonts w:asciiTheme="minorHAnsi" w:hAnsiTheme="minorHAnsi" w:cstheme="minorHAnsi"/>
        </w:rPr>
        <w:t xml:space="preserve">as well as </w:t>
      </w:r>
      <w:r w:rsidR="007D0660">
        <w:rPr>
          <w:rFonts w:asciiTheme="minorHAnsi" w:hAnsiTheme="minorHAnsi" w:cstheme="minorHAnsi"/>
        </w:rPr>
        <w:t xml:space="preserve">moving to full industry </w:t>
      </w:r>
      <w:r w:rsidR="007D0660" w:rsidRPr="00ED68D4">
        <w:rPr>
          <w:rFonts w:asciiTheme="minorHAnsi" w:hAnsiTheme="minorHAnsi" w:cstheme="minorHAnsi"/>
        </w:rPr>
        <w:t>funding</w:t>
      </w:r>
      <w:r w:rsidR="00595EB6" w:rsidRPr="00ED68D4">
        <w:rPr>
          <w:rFonts w:asciiTheme="minorHAnsi" w:hAnsiTheme="minorHAnsi" w:cstheme="minorHAnsi"/>
        </w:rPr>
        <w:t xml:space="preserve"> and therefore the equity of distinguishing between private and public providers</w:t>
      </w:r>
      <w:r w:rsidR="007D0660" w:rsidRPr="00ED68D4">
        <w:rPr>
          <w:rFonts w:asciiTheme="minorHAnsi" w:hAnsiTheme="minorHAnsi" w:cstheme="minorHAnsi"/>
        </w:rPr>
        <w:t>)</w:t>
      </w:r>
      <w:r w:rsidRPr="00ED68D4">
        <w:rPr>
          <w:rFonts w:asciiTheme="minorHAnsi" w:hAnsiTheme="minorHAnsi" w:cstheme="minorHAnsi"/>
        </w:rPr>
        <w:t>.</w:t>
      </w:r>
      <w:r w:rsidR="00595EB6" w:rsidRPr="00ED68D4">
        <w:rPr>
          <w:rFonts w:asciiTheme="minorHAnsi" w:hAnsiTheme="minorHAnsi" w:cstheme="minorHAnsi"/>
        </w:rPr>
        <w:t xml:space="preserve"> </w:t>
      </w:r>
      <w:r w:rsidR="00ED68D4">
        <w:rPr>
          <w:rFonts w:asciiTheme="minorHAnsi" w:hAnsiTheme="minorHAnsi" w:cstheme="minorHAnsi"/>
        </w:rPr>
        <w:t>Overall, t</w:t>
      </w:r>
      <w:r>
        <w:rPr>
          <w:rFonts w:asciiTheme="minorHAnsi" w:hAnsiTheme="minorHAnsi" w:cstheme="minorHAnsi"/>
        </w:rPr>
        <w:t xml:space="preserve">he Review made no </w:t>
      </w:r>
      <w:r w:rsidR="00595EB6">
        <w:rPr>
          <w:rFonts w:asciiTheme="minorHAnsi" w:hAnsiTheme="minorHAnsi" w:cstheme="minorHAnsi"/>
        </w:rPr>
        <w:t xml:space="preserve">express </w:t>
      </w:r>
      <w:r>
        <w:rPr>
          <w:rFonts w:asciiTheme="minorHAnsi" w:hAnsiTheme="minorHAnsi" w:cstheme="minorHAnsi"/>
        </w:rPr>
        <w:t xml:space="preserve">recommendations </w:t>
      </w:r>
      <w:r w:rsidR="008A5F6D">
        <w:rPr>
          <w:rFonts w:asciiTheme="minorHAnsi" w:hAnsiTheme="minorHAnsi" w:cstheme="minorHAnsi"/>
        </w:rPr>
        <w:t xml:space="preserve">that </w:t>
      </w:r>
      <w:r w:rsidR="007F4BCB">
        <w:rPr>
          <w:rFonts w:asciiTheme="minorHAnsi" w:hAnsiTheme="minorHAnsi" w:cstheme="minorHAnsi"/>
        </w:rPr>
        <w:t>affect</w:t>
      </w:r>
      <w:r w:rsidR="008A5F6D">
        <w:rPr>
          <w:rFonts w:asciiTheme="minorHAnsi" w:hAnsiTheme="minorHAnsi" w:cstheme="minorHAnsi"/>
        </w:rPr>
        <w:t xml:space="preserve"> the content of</w:t>
      </w:r>
      <w:r>
        <w:rPr>
          <w:rFonts w:asciiTheme="minorHAnsi" w:hAnsiTheme="minorHAnsi" w:cstheme="minorHAnsi"/>
        </w:rPr>
        <w:t xml:space="preserve"> this Instrument.</w:t>
      </w:r>
    </w:p>
    <w:p w14:paraId="717EDB0D" w14:textId="77777777" w:rsidR="001731BF" w:rsidRDefault="001731BF" w:rsidP="001731BF">
      <w:pPr>
        <w:widowControl w:val="0"/>
        <w:spacing w:before="120" w:after="120"/>
        <w:rPr>
          <w:rFonts w:asciiTheme="minorHAnsi" w:eastAsiaTheme="majorEastAsia" w:hAnsiTheme="minorHAnsi" w:cstheme="minorHAnsi"/>
          <w:bCs/>
          <w:color w:val="000000" w:themeColor="text1"/>
          <w:szCs w:val="26"/>
        </w:rPr>
      </w:pPr>
    </w:p>
    <w:p w14:paraId="723105A2" w14:textId="77777777" w:rsidR="003C25EA" w:rsidRPr="0020287E" w:rsidRDefault="003C25EA" w:rsidP="00CA4B5B">
      <w:pPr>
        <w:spacing w:line="276" w:lineRule="auto"/>
        <w:rPr>
          <w:rFonts w:asciiTheme="minorHAnsi" w:hAnsiTheme="minorHAnsi" w:cstheme="minorHAnsi"/>
        </w:rPr>
      </w:pPr>
    </w:p>
    <w:p w14:paraId="7B5534C5" w14:textId="68E0DA2E" w:rsidR="008756E2" w:rsidRPr="0020287E" w:rsidRDefault="008756E2" w:rsidP="00CA4B5B">
      <w:pPr>
        <w:spacing w:after="160" w:line="276" w:lineRule="auto"/>
        <w:rPr>
          <w:rFonts w:asciiTheme="minorHAnsi" w:hAnsiTheme="minorHAnsi" w:cstheme="minorHAnsi"/>
        </w:rPr>
      </w:pPr>
      <w:r w:rsidRPr="0020287E">
        <w:rPr>
          <w:rFonts w:asciiTheme="minorHAnsi" w:hAnsiTheme="minorHAnsi" w:cstheme="minorHAnsi"/>
        </w:rPr>
        <w:br w:type="page"/>
      </w:r>
    </w:p>
    <w:p w14:paraId="2EB7AB37" w14:textId="3E542CE0" w:rsidR="00A249FF" w:rsidRPr="0020287E" w:rsidRDefault="005166B4" w:rsidP="00CA4B5B">
      <w:pPr>
        <w:spacing w:line="276" w:lineRule="auto"/>
        <w:jc w:val="center"/>
        <w:rPr>
          <w:rFonts w:asciiTheme="minorHAnsi" w:hAnsiTheme="minorHAnsi" w:cstheme="minorHAnsi"/>
          <w:b/>
        </w:rPr>
      </w:pPr>
      <w:r w:rsidRPr="0020287E">
        <w:rPr>
          <w:rFonts w:asciiTheme="minorHAnsi" w:hAnsiTheme="minorHAnsi" w:cstheme="minorHAnsi"/>
          <w:b/>
        </w:rPr>
        <w:lastRenderedPageBreak/>
        <w:t>STATEMENT OF COMPATIBILITY WITH HUMAN RIGHTS</w:t>
      </w:r>
    </w:p>
    <w:p w14:paraId="57301699" w14:textId="77777777" w:rsidR="00A249FF" w:rsidRPr="0020287E" w:rsidRDefault="00A249FF" w:rsidP="00CA4B5B">
      <w:pPr>
        <w:spacing w:line="276" w:lineRule="auto"/>
        <w:jc w:val="center"/>
        <w:rPr>
          <w:rFonts w:asciiTheme="minorHAnsi" w:hAnsiTheme="minorHAnsi" w:cstheme="minorHAnsi"/>
          <w:i/>
        </w:rPr>
      </w:pPr>
    </w:p>
    <w:p w14:paraId="2990C4C6" w14:textId="4C82DCC2" w:rsidR="00A249FF" w:rsidRPr="0020287E" w:rsidRDefault="00A249FF" w:rsidP="0080013D">
      <w:pPr>
        <w:spacing w:line="276" w:lineRule="auto"/>
        <w:jc w:val="center"/>
        <w:rPr>
          <w:rFonts w:asciiTheme="minorHAnsi" w:hAnsiTheme="minorHAnsi" w:cstheme="minorHAnsi"/>
        </w:rPr>
      </w:pPr>
      <w:r w:rsidRPr="0020287E">
        <w:rPr>
          <w:rFonts w:asciiTheme="minorHAnsi" w:hAnsiTheme="minorHAnsi" w:cstheme="minorHAnsi"/>
          <w:i/>
        </w:rPr>
        <w:t>Prepared in accordance with Part 3 of the Human Rights (Parliamentary Scrutiny) Act 2011</w:t>
      </w:r>
    </w:p>
    <w:p w14:paraId="05D8AD59" w14:textId="0A347609" w:rsidR="00A249FF" w:rsidRDefault="0080013D" w:rsidP="00CA4B5B">
      <w:pPr>
        <w:spacing w:line="276" w:lineRule="auto"/>
        <w:jc w:val="center"/>
        <w:rPr>
          <w:rFonts w:asciiTheme="minorHAnsi" w:hAnsiTheme="minorHAnsi" w:cstheme="minorHAnsi"/>
          <w:bCs/>
          <w:i/>
          <w:iCs/>
        </w:rPr>
      </w:pPr>
      <w:r w:rsidRPr="0080013D">
        <w:rPr>
          <w:rFonts w:asciiTheme="minorHAnsi" w:hAnsiTheme="minorHAnsi" w:cstheme="minorHAnsi"/>
          <w:bCs/>
          <w:i/>
          <w:iCs/>
        </w:rPr>
        <w:t>Education Services for Overseas Students (TPS Levies—Exemptions) Instrument 2022</w:t>
      </w:r>
    </w:p>
    <w:p w14:paraId="19A0E521" w14:textId="77777777" w:rsidR="0080013D" w:rsidRPr="0020287E" w:rsidRDefault="0080013D" w:rsidP="00CA4B5B">
      <w:pPr>
        <w:spacing w:line="276" w:lineRule="auto"/>
        <w:jc w:val="center"/>
        <w:rPr>
          <w:rFonts w:asciiTheme="minorHAnsi" w:hAnsiTheme="minorHAnsi" w:cstheme="minorHAnsi"/>
          <w:color w:val="000000"/>
        </w:rPr>
      </w:pPr>
    </w:p>
    <w:p w14:paraId="647EF58A" w14:textId="18A065E5" w:rsidR="00A249FF" w:rsidRPr="0020287E" w:rsidRDefault="00A249FF" w:rsidP="00CA4B5B">
      <w:pPr>
        <w:spacing w:line="276" w:lineRule="auto"/>
        <w:rPr>
          <w:rFonts w:asciiTheme="minorHAnsi" w:hAnsiTheme="minorHAnsi" w:cstheme="minorHAnsi"/>
          <w:iCs/>
          <w:color w:val="000000"/>
        </w:rPr>
      </w:pPr>
      <w:r w:rsidRPr="0020287E">
        <w:rPr>
          <w:rFonts w:asciiTheme="minorHAnsi" w:hAnsiTheme="minorHAnsi" w:cstheme="minorHAnsi"/>
          <w:iCs/>
          <w:color w:val="000000"/>
        </w:rPr>
        <w:t xml:space="preserve">The </w:t>
      </w:r>
      <w:r w:rsidR="0080013D" w:rsidRPr="0080013D">
        <w:rPr>
          <w:rFonts w:asciiTheme="minorHAnsi" w:hAnsiTheme="minorHAnsi" w:cstheme="minorHAnsi"/>
          <w:bCs/>
          <w:i/>
          <w:iCs/>
        </w:rPr>
        <w:t xml:space="preserve">Education Services for Overseas Students (TPS Levies—Exemptions) Instrument 2022 </w:t>
      </w:r>
      <w:r w:rsidRPr="0020287E">
        <w:rPr>
          <w:rFonts w:asciiTheme="minorHAnsi" w:hAnsiTheme="minorHAnsi" w:cstheme="minorHAnsi"/>
          <w:iCs/>
          <w:color w:val="000000"/>
        </w:rPr>
        <w:t xml:space="preserve">(the Instrument) is compatible with the human rights and freedoms recognised or declared in the international instruments listed in section 3 of the </w:t>
      </w:r>
      <w:r w:rsidRPr="0020287E">
        <w:rPr>
          <w:rFonts w:asciiTheme="minorHAnsi" w:hAnsiTheme="minorHAnsi" w:cstheme="minorHAnsi"/>
          <w:i/>
          <w:color w:val="000000"/>
        </w:rPr>
        <w:t>Human Rights (Parliamentary Scrutiny) Act 2011</w:t>
      </w:r>
      <w:r w:rsidRPr="0020287E">
        <w:rPr>
          <w:rFonts w:asciiTheme="minorHAnsi" w:hAnsiTheme="minorHAnsi" w:cstheme="minorHAnsi"/>
          <w:iCs/>
          <w:color w:val="000000"/>
        </w:rPr>
        <w:t xml:space="preserve">. </w:t>
      </w:r>
    </w:p>
    <w:p w14:paraId="759E9089" w14:textId="77777777" w:rsidR="00A249FF" w:rsidRPr="0020287E" w:rsidRDefault="00A249FF" w:rsidP="00CA4B5B">
      <w:pPr>
        <w:spacing w:line="276" w:lineRule="auto"/>
        <w:rPr>
          <w:rFonts w:asciiTheme="minorHAnsi" w:hAnsiTheme="minorHAnsi" w:cstheme="minorHAnsi"/>
          <w:iCs/>
          <w:color w:val="000000"/>
        </w:rPr>
      </w:pPr>
    </w:p>
    <w:p w14:paraId="5F1BDD11" w14:textId="77777777" w:rsidR="00A249FF" w:rsidRPr="0020287E" w:rsidRDefault="00A249FF" w:rsidP="00CA4B5B">
      <w:pPr>
        <w:spacing w:line="276" w:lineRule="auto"/>
        <w:rPr>
          <w:rFonts w:asciiTheme="minorHAnsi" w:hAnsiTheme="minorHAnsi" w:cstheme="minorHAnsi"/>
          <w:iCs/>
          <w:color w:val="000000"/>
        </w:rPr>
      </w:pPr>
      <w:r w:rsidRPr="0020287E">
        <w:rPr>
          <w:rFonts w:asciiTheme="minorHAnsi" w:hAnsiTheme="minorHAnsi" w:cstheme="minorHAnsi"/>
          <w:b/>
          <w:bCs/>
          <w:iCs/>
          <w:color w:val="000000"/>
        </w:rPr>
        <w:t>Overview of the Legislative Instrument</w:t>
      </w:r>
      <w:r w:rsidRPr="0020287E">
        <w:rPr>
          <w:rFonts w:asciiTheme="minorHAnsi" w:hAnsiTheme="minorHAnsi" w:cstheme="minorHAnsi"/>
          <w:iCs/>
          <w:color w:val="000000"/>
        </w:rPr>
        <w:t xml:space="preserve"> </w:t>
      </w:r>
    </w:p>
    <w:p w14:paraId="4AFCB469" w14:textId="77777777" w:rsidR="00A249FF" w:rsidRPr="0020287E" w:rsidRDefault="00A249FF" w:rsidP="00CA4B5B">
      <w:pPr>
        <w:spacing w:line="276" w:lineRule="auto"/>
        <w:rPr>
          <w:rFonts w:asciiTheme="minorHAnsi" w:hAnsiTheme="minorHAnsi" w:cstheme="minorHAnsi"/>
        </w:rPr>
      </w:pPr>
    </w:p>
    <w:p w14:paraId="49509024" w14:textId="1E39A91E" w:rsidR="00E4388E" w:rsidRDefault="00CF72BC" w:rsidP="00CF72BC">
      <w:pPr>
        <w:spacing w:line="276" w:lineRule="auto"/>
        <w:rPr>
          <w:rFonts w:asciiTheme="minorHAnsi" w:hAnsiTheme="minorHAnsi" w:cstheme="minorHAnsi"/>
        </w:rPr>
      </w:pPr>
      <w:r w:rsidRPr="0020287E">
        <w:rPr>
          <w:rFonts w:asciiTheme="minorHAnsi" w:hAnsiTheme="minorHAnsi" w:cstheme="minorHAnsi"/>
        </w:rPr>
        <w:t xml:space="preserve">Subsection 5(1) of </w:t>
      </w:r>
      <w:r w:rsidR="00405603">
        <w:rPr>
          <w:rFonts w:asciiTheme="minorHAnsi" w:hAnsiTheme="minorHAnsi" w:cstheme="minorHAnsi"/>
        </w:rPr>
        <w:t xml:space="preserve">the </w:t>
      </w:r>
      <w:r w:rsidR="00405603" w:rsidRPr="0020287E">
        <w:rPr>
          <w:rFonts w:asciiTheme="minorHAnsi" w:hAnsiTheme="minorHAnsi" w:cstheme="minorHAnsi"/>
          <w:i/>
          <w:iCs/>
        </w:rPr>
        <w:t>Education Services for Overseas Students (TPS Levies) Act 2012</w:t>
      </w:r>
      <w:r w:rsidR="00405603" w:rsidRPr="0020287E">
        <w:rPr>
          <w:rFonts w:asciiTheme="minorHAnsi" w:hAnsiTheme="minorHAnsi" w:cstheme="minorHAnsi"/>
          <w:color w:val="000000"/>
        </w:rPr>
        <w:t xml:space="preserve"> </w:t>
      </w:r>
      <w:r w:rsidR="00405603">
        <w:rPr>
          <w:rFonts w:asciiTheme="minorHAnsi" w:hAnsiTheme="minorHAnsi" w:cstheme="minorHAnsi"/>
          <w:color w:val="000000"/>
        </w:rPr>
        <w:t>(</w:t>
      </w:r>
      <w:r w:rsidRPr="0020287E">
        <w:rPr>
          <w:rFonts w:asciiTheme="minorHAnsi" w:hAnsiTheme="minorHAnsi" w:cstheme="minorHAnsi"/>
        </w:rPr>
        <w:t>the Act</w:t>
      </w:r>
      <w:r w:rsidR="00405603">
        <w:rPr>
          <w:rFonts w:asciiTheme="minorHAnsi" w:hAnsiTheme="minorHAnsi" w:cstheme="minorHAnsi"/>
        </w:rPr>
        <w:t>)</w:t>
      </w:r>
      <w:r w:rsidRPr="0020287E">
        <w:rPr>
          <w:rFonts w:asciiTheme="minorHAnsi" w:hAnsiTheme="minorHAnsi" w:cstheme="minorHAnsi"/>
        </w:rPr>
        <w:t xml:space="preserve"> provides that a provider registered with </w:t>
      </w:r>
      <w:r w:rsidR="00E4388E">
        <w:rPr>
          <w:rFonts w:asciiTheme="minorHAnsi" w:hAnsiTheme="minorHAnsi" w:cstheme="minorHAnsi"/>
        </w:rPr>
        <w:t>an</w:t>
      </w:r>
      <w:r w:rsidR="00E4388E" w:rsidRPr="0020287E">
        <w:rPr>
          <w:rFonts w:asciiTheme="minorHAnsi" w:hAnsiTheme="minorHAnsi" w:cstheme="minorHAnsi"/>
        </w:rPr>
        <w:t xml:space="preserve"> </w:t>
      </w:r>
      <w:r w:rsidRPr="0020287E">
        <w:rPr>
          <w:rFonts w:asciiTheme="minorHAnsi" w:hAnsiTheme="minorHAnsi" w:cstheme="minorHAnsi"/>
        </w:rPr>
        <w:t xml:space="preserve">ESOS agency on 1 January of a year is liable to pay a </w:t>
      </w:r>
      <w:r>
        <w:rPr>
          <w:rFonts w:asciiTheme="minorHAnsi" w:hAnsiTheme="minorHAnsi" w:cstheme="minorHAnsi"/>
        </w:rPr>
        <w:t>tuition protection service (</w:t>
      </w:r>
      <w:r w:rsidRPr="0020287E">
        <w:rPr>
          <w:rFonts w:asciiTheme="minorHAnsi" w:hAnsiTheme="minorHAnsi" w:cstheme="minorHAnsi"/>
        </w:rPr>
        <w:t>TPS</w:t>
      </w:r>
      <w:r>
        <w:rPr>
          <w:rFonts w:asciiTheme="minorHAnsi" w:hAnsiTheme="minorHAnsi" w:cstheme="minorHAnsi"/>
        </w:rPr>
        <w:t>)</w:t>
      </w:r>
      <w:r w:rsidRPr="0020287E">
        <w:rPr>
          <w:rFonts w:asciiTheme="minorHAnsi" w:hAnsiTheme="minorHAnsi" w:cstheme="minorHAnsi"/>
        </w:rPr>
        <w:t xml:space="preserve"> levy for that calendar year. </w:t>
      </w:r>
      <w:r>
        <w:rPr>
          <w:rFonts w:asciiTheme="minorHAnsi" w:hAnsiTheme="minorHAnsi" w:cstheme="minorHAnsi"/>
        </w:rPr>
        <w:t xml:space="preserve">The TPS levy is an annual </w:t>
      </w:r>
      <w:r w:rsidR="00750127">
        <w:rPr>
          <w:rFonts w:asciiTheme="minorHAnsi" w:hAnsiTheme="minorHAnsi" w:cstheme="minorHAnsi"/>
        </w:rPr>
        <w:t>l</w:t>
      </w:r>
      <w:r>
        <w:rPr>
          <w:rFonts w:asciiTheme="minorHAnsi" w:hAnsiTheme="minorHAnsi" w:cstheme="minorHAnsi"/>
        </w:rPr>
        <w:t xml:space="preserve">evy </w:t>
      </w:r>
      <w:r w:rsidR="00E4388E" w:rsidRPr="00E4388E">
        <w:rPr>
          <w:rFonts w:asciiTheme="minorHAnsi" w:hAnsiTheme="minorHAnsi" w:cstheme="minorHAnsi"/>
        </w:rPr>
        <w:t xml:space="preserve">made up of four components: the </w:t>
      </w:r>
      <w:r w:rsidR="00E4388E" w:rsidRPr="00D000C1">
        <w:rPr>
          <w:rFonts w:asciiTheme="minorHAnsi" w:hAnsiTheme="minorHAnsi" w:cstheme="minorHAnsi"/>
        </w:rPr>
        <w:t>administrative fee component (see section 6</w:t>
      </w:r>
      <w:r w:rsidR="00E4388E" w:rsidRPr="00E4388E">
        <w:rPr>
          <w:rFonts w:asciiTheme="minorHAnsi" w:hAnsiTheme="minorHAnsi" w:cstheme="minorHAnsi"/>
        </w:rPr>
        <w:t xml:space="preserve"> of the Act</w:t>
      </w:r>
      <w:r w:rsidR="00E4388E" w:rsidRPr="00D000C1">
        <w:rPr>
          <w:rFonts w:asciiTheme="minorHAnsi" w:hAnsiTheme="minorHAnsi" w:cstheme="minorHAnsi"/>
        </w:rPr>
        <w:t>);</w:t>
      </w:r>
      <w:r w:rsidR="00E4388E" w:rsidRPr="00E4388E">
        <w:rPr>
          <w:rFonts w:asciiTheme="minorHAnsi" w:hAnsiTheme="minorHAnsi" w:cstheme="minorHAnsi"/>
        </w:rPr>
        <w:t xml:space="preserve"> the </w:t>
      </w:r>
      <w:r w:rsidR="00E4388E" w:rsidRPr="00D000C1">
        <w:rPr>
          <w:rFonts w:asciiTheme="minorHAnsi" w:hAnsiTheme="minorHAnsi" w:cstheme="minorHAnsi"/>
        </w:rPr>
        <w:t>base fee component (see section 7</w:t>
      </w:r>
      <w:r w:rsidR="00E4388E" w:rsidRPr="00E4388E">
        <w:rPr>
          <w:rFonts w:asciiTheme="minorHAnsi" w:hAnsiTheme="minorHAnsi" w:cstheme="minorHAnsi"/>
        </w:rPr>
        <w:t xml:space="preserve"> of the Act</w:t>
      </w:r>
      <w:r w:rsidR="00E4388E" w:rsidRPr="00D000C1">
        <w:rPr>
          <w:rFonts w:asciiTheme="minorHAnsi" w:hAnsiTheme="minorHAnsi" w:cstheme="minorHAnsi"/>
        </w:rPr>
        <w:t>);</w:t>
      </w:r>
      <w:r w:rsidR="00E4388E" w:rsidRPr="00E4388E">
        <w:rPr>
          <w:rFonts w:asciiTheme="minorHAnsi" w:hAnsiTheme="minorHAnsi" w:cstheme="minorHAnsi"/>
        </w:rPr>
        <w:t xml:space="preserve"> </w:t>
      </w:r>
      <w:r w:rsidR="00E4388E" w:rsidRPr="00D000C1">
        <w:rPr>
          <w:rFonts w:asciiTheme="minorHAnsi" w:hAnsiTheme="minorHAnsi" w:cstheme="minorHAnsi"/>
        </w:rPr>
        <w:t>the</w:t>
      </w:r>
      <w:r w:rsidR="00E4388E" w:rsidRPr="00E4388E">
        <w:rPr>
          <w:rFonts w:asciiTheme="minorHAnsi" w:hAnsiTheme="minorHAnsi" w:cstheme="minorHAnsi"/>
        </w:rPr>
        <w:t xml:space="preserve"> </w:t>
      </w:r>
      <w:r w:rsidR="00E4388E" w:rsidRPr="00D000C1">
        <w:rPr>
          <w:rFonts w:asciiTheme="minorHAnsi" w:hAnsiTheme="minorHAnsi" w:cstheme="minorHAnsi"/>
        </w:rPr>
        <w:t>risk rated premium component (see section 9</w:t>
      </w:r>
      <w:r w:rsidR="00E4388E" w:rsidRPr="00E4388E">
        <w:rPr>
          <w:rFonts w:asciiTheme="minorHAnsi" w:hAnsiTheme="minorHAnsi" w:cstheme="minorHAnsi"/>
        </w:rPr>
        <w:t xml:space="preserve"> of the Act</w:t>
      </w:r>
      <w:r w:rsidR="00E4388E" w:rsidRPr="00D000C1">
        <w:rPr>
          <w:rFonts w:asciiTheme="minorHAnsi" w:hAnsiTheme="minorHAnsi" w:cstheme="minorHAnsi"/>
        </w:rPr>
        <w:t>);</w:t>
      </w:r>
      <w:r w:rsidR="00E4388E" w:rsidRPr="00E4388E">
        <w:rPr>
          <w:rFonts w:asciiTheme="minorHAnsi" w:hAnsiTheme="minorHAnsi" w:cstheme="minorHAnsi"/>
        </w:rPr>
        <w:t xml:space="preserve"> and </w:t>
      </w:r>
      <w:r w:rsidR="00E4388E" w:rsidRPr="00D000C1">
        <w:rPr>
          <w:rFonts w:asciiTheme="minorHAnsi" w:hAnsiTheme="minorHAnsi" w:cstheme="minorHAnsi"/>
        </w:rPr>
        <w:t>the special tuition protection component (see section 10</w:t>
      </w:r>
      <w:r w:rsidR="00E4388E" w:rsidRPr="00E4388E">
        <w:rPr>
          <w:rFonts w:asciiTheme="minorHAnsi" w:hAnsiTheme="minorHAnsi" w:cstheme="minorHAnsi"/>
        </w:rPr>
        <w:t xml:space="preserve"> of the Act</w:t>
      </w:r>
      <w:r w:rsidR="00E4388E" w:rsidRPr="00D000C1">
        <w:rPr>
          <w:rFonts w:asciiTheme="minorHAnsi" w:hAnsiTheme="minorHAnsi" w:cstheme="minorHAnsi"/>
        </w:rPr>
        <w:t>).</w:t>
      </w:r>
      <w:r>
        <w:rPr>
          <w:rFonts w:asciiTheme="minorHAnsi" w:hAnsiTheme="minorHAnsi" w:cstheme="minorHAnsi"/>
        </w:rPr>
        <w:t xml:space="preserve"> </w:t>
      </w:r>
    </w:p>
    <w:p w14:paraId="22058E7E" w14:textId="77777777" w:rsidR="00E4388E" w:rsidRDefault="00E4388E" w:rsidP="00CF72BC">
      <w:pPr>
        <w:spacing w:line="276" w:lineRule="auto"/>
        <w:rPr>
          <w:rFonts w:asciiTheme="minorHAnsi" w:hAnsiTheme="minorHAnsi" w:cstheme="minorHAnsi"/>
        </w:rPr>
      </w:pPr>
    </w:p>
    <w:p w14:paraId="1254B0AC" w14:textId="10F27FED" w:rsidR="00CF72BC" w:rsidRDefault="00CF72BC" w:rsidP="00CF72BC">
      <w:pPr>
        <w:spacing w:line="276" w:lineRule="auto"/>
        <w:rPr>
          <w:rFonts w:asciiTheme="minorHAnsi" w:hAnsiTheme="minorHAnsi" w:cstheme="minorHAnsi"/>
        </w:rPr>
      </w:pPr>
      <w:r w:rsidRPr="0020287E">
        <w:rPr>
          <w:rFonts w:asciiTheme="minorHAnsi" w:hAnsiTheme="minorHAnsi" w:cstheme="minorHAnsi"/>
        </w:rPr>
        <w:t xml:space="preserve">TPS levy </w:t>
      </w:r>
      <w:r w:rsidR="00E4388E">
        <w:rPr>
          <w:rFonts w:asciiTheme="minorHAnsi" w:hAnsiTheme="minorHAnsi" w:cstheme="minorHAnsi"/>
        </w:rPr>
        <w:t>payments are</w:t>
      </w:r>
      <w:r w:rsidRPr="0020287E">
        <w:rPr>
          <w:rFonts w:asciiTheme="minorHAnsi" w:hAnsiTheme="minorHAnsi" w:cstheme="minorHAnsi"/>
        </w:rPr>
        <w:t xml:space="preserve"> held in the Overseas Student Tuition Fund (OST</w:t>
      </w:r>
      <w:r>
        <w:rPr>
          <w:rFonts w:asciiTheme="minorHAnsi" w:hAnsiTheme="minorHAnsi" w:cstheme="minorHAnsi"/>
        </w:rPr>
        <w:t xml:space="preserve">F). The </w:t>
      </w:r>
      <w:r w:rsidR="00110E3E">
        <w:rPr>
          <w:rFonts w:asciiTheme="minorHAnsi" w:hAnsiTheme="minorHAnsi" w:cstheme="minorHAnsi"/>
        </w:rPr>
        <w:t xml:space="preserve">purpose of the </w:t>
      </w:r>
      <w:r>
        <w:rPr>
          <w:rFonts w:asciiTheme="minorHAnsi" w:hAnsiTheme="minorHAnsi" w:cstheme="minorHAnsi"/>
        </w:rPr>
        <w:t>OSTF is</w:t>
      </w:r>
      <w:r w:rsidRPr="0020287E">
        <w:rPr>
          <w:rFonts w:asciiTheme="minorHAnsi" w:hAnsiTheme="minorHAnsi" w:cstheme="minorHAnsi"/>
        </w:rPr>
        <w:t xml:space="preserve"> </w:t>
      </w:r>
      <w:r w:rsidR="00110E3E">
        <w:rPr>
          <w:rFonts w:asciiTheme="minorHAnsi" w:hAnsiTheme="minorHAnsi" w:cstheme="minorHAnsi"/>
        </w:rPr>
        <w:t>to fund</w:t>
      </w:r>
      <w:r w:rsidRPr="0020287E">
        <w:rPr>
          <w:rFonts w:asciiTheme="minorHAnsi" w:hAnsiTheme="minorHAnsi" w:cstheme="minorHAnsi"/>
        </w:rPr>
        <w:t xml:space="preserve"> the </w:t>
      </w:r>
      <w:r w:rsidR="00E4388E">
        <w:rPr>
          <w:rFonts w:asciiTheme="minorHAnsi" w:hAnsiTheme="minorHAnsi" w:cstheme="minorHAnsi"/>
        </w:rPr>
        <w:t>activities</w:t>
      </w:r>
      <w:r w:rsidR="00110E3E">
        <w:rPr>
          <w:rFonts w:asciiTheme="minorHAnsi" w:hAnsiTheme="minorHAnsi" w:cstheme="minorHAnsi"/>
        </w:rPr>
        <w:t>, renumeration and allowances</w:t>
      </w:r>
      <w:r w:rsidRPr="0020287E">
        <w:rPr>
          <w:rFonts w:asciiTheme="minorHAnsi" w:hAnsiTheme="minorHAnsi" w:cstheme="minorHAnsi"/>
        </w:rPr>
        <w:t xml:space="preserve"> of the TPS Director. The TPS Director is a Commonwealth statutory officer established by the </w:t>
      </w:r>
      <w:proofErr w:type="gramStart"/>
      <w:r w:rsidRPr="0020287E">
        <w:rPr>
          <w:rFonts w:asciiTheme="minorHAnsi" w:hAnsiTheme="minorHAnsi" w:cstheme="minorHAnsi"/>
        </w:rPr>
        <w:t>Act, and</w:t>
      </w:r>
      <w:proofErr w:type="gramEnd"/>
      <w:r w:rsidRPr="0020287E">
        <w:rPr>
          <w:rFonts w:asciiTheme="minorHAnsi" w:hAnsiTheme="minorHAnsi" w:cstheme="minorHAnsi"/>
        </w:rPr>
        <w:t xml:space="preserve"> has functions that include overseeing the operation of </w:t>
      </w:r>
      <w:r w:rsidR="00110E3E">
        <w:rPr>
          <w:rFonts w:asciiTheme="minorHAnsi" w:hAnsiTheme="minorHAnsi" w:cstheme="minorHAnsi"/>
        </w:rPr>
        <w:t xml:space="preserve">overseas </w:t>
      </w:r>
      <w:r w:rsidRPr="0020287E">
        <w:rPr>
          <w:rFonts w:asciiTheme="minorHAnsi" w:hAnsiTheme="minorHAnsi" w:cstheme="minorHAnsi"/>
        </w:rPr>
        <w:t xml:space="preserve">student placements, </w:t>
      </w:r>
      <w:r w:rsidR="00750127">
        <w:rPr>
          <w:rFonts w:asciiTheme="minorHAnsi" w:hAnsiTheme="minorHAnsi" w:cstheme="minorHAnsi"/>
        </w:rPr>
        <w:t xml:space="preserve">making </w:t>
      </w:r>
      <w:r w:rsidRPr="0020287E">
        <w:rPr>
          <w:rFonts w:asciiTheme="minorHAnsi" w:hAnsiTheme="minorHAnsi" w:cstheme="minorHAnsi"/>
        </w:rPr>
        <w:t xml:space="preserve">payments to providers for accepting </w:t>
      </w:r>
      <w:r w:rsidR="00110E3E">
        <w:rPr>
          <w:rFonts w:asciiTheme="minorHAnsi" w:hAnsiTheme="minorHAnsi" w:cstheme="minorHAnsi"/>
        </w:rPr>
        <w:t xml:space="preserve">overseas </w:t>
      </w:r>
      <w:r w:rsidRPr="0020287E">
        <w:rPr>
          <w:rFonts w:asciiTheme="minorHAnsi" w:hAnsiTheme="minorHAnsi" w:cstheme="minorHAnsi"/>
        </w:rPr>
        <w:t xml:space="preserve">students affected by a provider default, overseeing refunds to </w:t>
      </w:r>
      <w:r w:rsidR="00110E3E">
        <w:rPr>
          <w:rFonts w:asciiTheme="minorHAnsi" w:hAnsiTheme="minorHAnsi" w:cstheme="minorHAnsi"/>
        </w:rPr>
        <w:t xml:space="preserve">overseas </w:t>
      </w:r>
      <w:r w:rsidRPr="0020287E">
        <w:rPr>
          <w:rFonts w:asciiTheme="minorHAnsi" w:hAnsiTheme="minorHAnsi" w:cstheme="minorHAnsi"/>
        </w:rPr>
        <w:t>students, managing the operation of the OSTF</w:t>
      </w:r>
      <w:r w:rsidR="00750127">
        <w:rPr>
          <w:rFonts w:asciiTheme="minorHAnsi" w:hAnsiTheme="minorHAnsi" w:cstheme="minorHAnsi"/>
        </w:rPr>
        <w:t>,</w:t>
      </w:r>
      <w:r w:rsidRPr="0020287E">
        <w:rPr>
          <w:rFonts w:asciiTheme="minorHAnsi" w:hAnsiTheme="minorHAnsi" w:cstheme="minorHAnsi"/>
        </w:rPr>
        <w:t xml:space="preserve"> and determining the amount of the</w:t>
      </w:r>
      <w:r w:rsidR="00F5039C">
        <w:rPr>
          <w:rFonts w:asciiTheme="minorHAnsi" w:hAnsiTheme="minorHAnsi" w:cstheme="minorHAnsi"/>
        </w:rPr>
        <w:t xml:space="preserve"> risk-rated premium component and the special tuition protection component of the</w:t>
      </w:r>
      <w:r w:rsidRPr="0020287E">
        <w:rPr>
          <w:rFonts w:asciiTheme="minorHAnsi" w:hAnsiTheme="minorHAnsi" w:cstheme="minorHAnsi"/>
        </w:rPr>
        <w:t xml:space="preserve"> annual TPS levy. </w:t>
      </w:r>
    </w:p>
    <w:p w14:paraId="6C310B37" w14:textId="77777777" w:rsidR="00250CB6" w:rsidRPr="0020287E" w:rsidRDefault="00250CB6" w:rsidP="00CF72BC">
      <w:pPr>
        <w:spacing w:line="276" w:lineRule="auto"/>
        <w:rPr>
          <w:rFonts w:asciiTheme="minorHAnsi" w:hAnsiTheme="minorHAnsi" w:cstheme="minorHAnsi"/>
        </w:rPr>
      </w:pPr>
    </w:p>
    <w:p w14:paraId="73F698F5" w14:textId="4DCF8F56" w:rsidR="00250CB6" w:rsidRPr="0020287E" w:rsidRDefault="00CF72BC" w:rsidP="00CF72BC">
      <w:pPr>
        <w:spacing w:line="276" w:lineRule="auto"/>
        <w:rPr>
          <w:rFonts w:asciiTheme="minorHAnsi" w:hAnsiTheme="minorHAnsi" w:cstheme="minorHAnsi"/>
        </w:rPr>
      </w:pPr>
      <w:r w:rsidRPr="0020287E">
        <w:rPr>
          <w:rFonts w:asciiTheme="minorHAnsi" w:hAnsiTheme="minorHAnsi" w:cstheme="minorHAnsi"/>
        </w:rPr>
        <w:t xml:space="preserve">Section 12 of the Act provides that the Minister may, by legislative instrument, prescribe one or more classes of registered providers </w:t>
      </w:r>
      <w:r>
        <w:rPr>
          <w:rFonts w:asciiTheme="minorHAnsi" w:hAnsiTheme="minorHAnsi" w:cstheme="minorHAnsi"/>
        </w:rPr>
        <w:t xml:space="preserve">that </w:t>
      </w:r>
      <w:r w:rsidRPr="0020287E">
        <w:rPr>
          <w:rFonts w:asciiTheme="minorHAnsi" w:hAnsiTheme="minorHAnsi" w:cstheme="minorHAnsi"/>
        </w:rPr>
        <w:t xml:space="preserve">are exempt from the requirement to pay one or </w:t>
      </w:r>
      <w:proofErr w:type="gramStart"/>
      <w:r w:rsidRPr="0020287E">
        <w:rPr>
          <w:rFonts w:asciiTheme="minorHAnsi" w:hAnsiTheme="minorHAnsi" w:cstheme="minorHAnsi"/>
        </w:rPr>
        <w:t>both of the base</w:t>
      </w:r>
      <w:proofErr w:type="gramEnd"/>
      <w:r w:rsidRPr="0020287E">
        <w:rPr>
          <w:rFonts w:asciiTheme="minorHAnsi" w:hAnsiTheme="minorHAnsi" w:cstheme="minorHAnsi"/>
        </w:rPr>
        <w:t xml:space="preserve"> fee component and the risk rated premium component of the TPS </w:t>
      </w:r>
      <w:r w:rsidR="00741A09">
        <w:rPr>
          <w:rFonts w:asciiTheme="minorHAnsi" w:hAnsiTheme="minorHAnsi" w:cstheme="minorHAnsi"/>
        </w:rPr>
        <w:t>l</w:t>
      </w:r>
      <w:r w:rsidRPr="0020287E">
        <w:rPr>
          <w:rFonts w:asciiTheme="minorHAnsi" w:hAnsiTheme="minorHAnsi" w:cstheme="minorHAnsi"/>
        </w:rPr>
        <w:t xml:space="preserve">evy. </w:t>
      </w:r>
    </w:p>
    <w:p w14:paraId="2C0522DD" w14:textId="77777777" w:rsidR="00CF72BC" w:rsidRPr="0020287E" w:rsidRDefault="00CF72BC" w:rsidP="00CF72BC">
      <w:pPr>
        <w:spacing w:line="276" w:lineRule="auto"/>
        <w:rPr>
          <w:rFonts w:asciiTheme="minorHAnsi" w:hAnsiTheme="minorHAnsi" w:cstheme="minorHAnsi"/>
        </w:rPr>
      </w:pPr>
    </w:p>
    <w:p w14:paraId="754EDA5B" w14:textId="27BB2C48" w:rsidR="007A13F6" w:rsidRDefault="00CF72BC" w:rsidP="007A13F6">
      <w:pPr>
        <w:spacing w:line="276" w:lineRule="auto"/>
        <w:rPr>
          <w:rFonts w:asciiTheme="minorHAnsi" w:hAnsiTheme="minorHAnsi" w:cstheme="minorHAnsi"/>
          <w:bCs/>
          <w:iCs/>
        </w:rPr>
      </w:pPr>
      <w:r w:rsidRPr="0020287E">
        <w:rPr>
          <w:rFonts w:asciiTheme="minorHAnsi" w:hAnsiTheme="minorHAnsi" w:cstheme="minorHAnsi"/>
        </w:rPr>
        <w:t xml:space="preserve">The purpose of </w:t>
      </w:r>
      <w:r w:rsidRPr="0020287E">
        <w:rPr>
          <w:rFonts w:asciiTheme="minorHAnsi" w:hAnsiTheme="minorHAnsi" w:cstheme="minorHAnsi"/>
          <w:bCs/>
          <w:iCs/>
        </w:rPr>
        <w:t xml:space="preserve">the Instrument is to prescribe the classes of providers </w:t>
      </w:r>
      <w:r>
        <w:rPr>
          <w:rFonts w:asciiTheme="minorHAnsi" w:hAnsiTheme="minorHAnsi" w:cstheme="minorHAnsi"/>
          <w:bCs/>
          <w:iCs/>
        </w:rPr>
        <w:t>that</w:t>
      </w:r>
      <w:r w:rsidRPr="0020287E">
        <w:rPr>
          <w:rFonts w:asciiTheme="minorHAnsi" w:hAnsiTheme="minorHAnsi" w:cstheme="minorHAnsi"/>
          <w:bCs/>
          <w:iCs/>
        </w:rPr>
        <w:t xml:space="preserve"> are exempt </w:t>
      </w:r>
      <w:r w:rsidRPr="0070535A">
        <w:rPr>
          <w:rFonts w:asciiTheme="minorHAnsi" w:hAnsiTheme="minorHAnsi" w:cstheme="minorHAnsi"/>
          <w:bCs/>
          <w:iCs/>
        </w:rPr>
        <w:t xml:space="preserve">from paying </w:t>
      </w:r>
      <w:r w:rsidR="00F5039C">
        <w:rPr>
          <w:rFonts w:asciiTheme="minorHAnsi" w:hAnsiTheme="minorHAnsi" w:cstheme="minorHAnsi"/>
          <w:bCs/>
          <w:iCs/>
        </w:rPr>
        <w:t xml:space="preserve">one or </w:t>
      </w:r>
      <w:proofErr w:type="gramStart"/>
      <w:r w:rsidR="00F5039C">
        <w:rPr>
          <w:rFonts w:asciiTheme="minorHAnsi" w:hAnsiTheme="minorHAnsi" w:cstheme="minorHAnsi"/>
          <w:bCs/>
          <w:iCs/>
        </w:rPr>
        <w:t xml:space="preserve">both of </w:t>
      </w:r>
      <w:r w:rsidRPr="0070535A">
        <w:rPr>
          <w:rFonts w:asciiTheme="minorHAnsi" w:hAnsiTheme="minorHAnsi" w:cstheme="minorHAnsi"/>
          <w:bCs/>
          <w:iCs/>
        </w:rPr>
        <w:t>the base</w:t>
      </w:r>
      <w:proofErr w:type="gramEnd"/>
      <w:r w:rsidRPr="0070535A">
        <w:rPr>
          <w:rFonts w:asciiTheme="minorHAnsi" w:hAnsiTheme="minorHAnsi" w:cstheme="minorHAnsi"/>
          <w:bCs/>
          <w:iCs/>
        </w:rPr>
        <w:t xml:space="preserve"> fee component and the risk rated premium component</w:t>
      </w:r>
      <w:r w:rsidR="00750127">
        <w:rPr>
          <w:rFonts w:asciiTheme="minorHAnsi" w:hAnsiTheme="minorHAnsi" w:cstheme="minorHAnsi"/>
          <w:bCs/>
          <w:iCs/>
        </w:rPr>
        <w:t xml:space="preserve"> of the levy, </w:t>
      </w:r>
      <w:r w:rsidR="00750127" w:rsidRPr="00750127">
        <w:rPr>
          <w:rFonts w:asciiTheme="minorHAnsi" w:hAnsiTheme="minorHAnsi" w:cstheme="minorHAnsi"/>
          <w:bCs/>
          <w:iCs/>
        </w:rPr>
        <w:t>consistent with section 12 of the Act</w:t>
      </w:r>
      <w:r w:rsidRPr="0070535A">
        <w:rPr>
          <w:rFonts w:asciiTheme="minorHAnsi" w:hAnsiTheme="minorHAnsi" w:cstheme="minorHAnsi"/>
          <w:bCs/>
          <w:iCs/>
        </w:rPr>
        <w:t xml:space="preserve">. </w:t>
      </w:r>
      <w:r w:rsidR="00090C67">
        <w:rPr>
          <w:rFonts w:asciiTheme="minorHAnsi" w:hAnsiTheme="minorHAnsi" w:cstheme="minorHAnsi"/>
          <w:bCs/>
          <w:iCs/>
        </w:rPr>
        <w:t xml:space="preserve">The purpose of the Instrument is to </w:t>
      </w:r>
      <w:r w:rsidR="00C422BA">
        <w:rPr>
          <w:rFonts w:asciiTheme="minorHAnsi" w:hAnsiTheme="minorHAnsi" w:cstheme="minorHAnsi"/>
          <w:bCs/>
          <w:iCs/>
        </w:rPr>
        <w:t>specify</w:t>
      </w:r>
      <w:r w:rsidR="00090C67">
        <w:rPr>
          <w:rFonts w:asciiTheme="minorHAnsi" w:hAnsiTheme="minorHAnsi" w:cstheme="minorHAnsi"/>
          <w:bCs/>
          <w:iCs/>
        </w:rPr>
        <w:t xml:space="preserve"> providers </w:t>
      </w:r>
      <w:r w:rsidR="00C422BA">
        <w:rPr>
          <w:rFonts w:asciiTheme="minorHAnsi" w:hAnsiTheme="minorHAnsi" w:cstheme="minorHAnsi"/>
          <w:bCs/>
          <w:iCs/>
        </w:rPr>
        <w:t>that</w:t>
      </w:r>
      <w:r w:rsidR="00090C67">
        <w:rPr>
          <w:rFonts w:asciiTheme="minorHAnsi" w:hAnsiTheme="minorHAnsi" w:cstheme="minorHAnsi"/>
          <w:bCs/>
          <w:iCs/>
        </w:rPr>
        <w:t xml:space="preserve">, for equity reasons, or because the providers are </w:t>
      </w:r>
      <w:proofErr w:type="gramStart"/>
      <w:r w:rsidR="00090C67">
        <w:rPr>
          <w:rFonts w:asciiTheme="minorHAnsi" w:hAnsiTheme="minorHAnsi" w:cstheme="minorHAnsi"/>
          <w:bCs/>
          <w:iCs/>
        </w:rPr>
        <w:t>low-risk</w:t>
      </w:r>
      <w:proofErr w:type="gramEnd"/>
      <w:r w:rsidR="00090C67">
        <w:rPr>
          <w:rFonts w:asciiTheme="minorHAnsi" w:hAnsiTheme="minorHAnsi" w:cstheme="minorHAnsi"/>
          <w:bCs/>
          <w:iCs/>
        </w:rPr>
        <w:t>, should be exempt from paying the base fee component or risk rated component of the TPS levy.</w:t>
      </w:r>
      <w:r w:rsidR="00090C67" w:rsidRPr="0020287E">
        <w:rPr>
          <w:rFonts w:asciiTheme="minorHAnsi" w:hAnsiTheme="minorHAnsi" w:cstheme="minorHAnsi"/>
          <w:bCs/>
          <w:iCs/>
        </w:rPr>
        <w:t xml:space="preserve"> </w:t>
      </w:r>
      <w:r w:rsidR="00250CB6" w:rsidRPr="00250CB6">
        <w:rPr>
          <w:rFonts w:asciiTheme="minorHAnsi" w:hAnsiTheme="minorHAnsi" w:cstheme="minorHAnsi"/>
          <w:bCs/>
          <w:iCs/>
        </w:rPr>
        <w:t>Until 1</w:t>
      </w:r>
      <w:r w:rsidR="00E347DC">
        <w:rPr>
          <w:rFonts w:asciiTheme="minorHAnsi" w:hAnsiTheme="minorHAnsi" w:cstheme="minorHAnsi"/>
          <w:bCs/>
          <w:iCs/>
        </w:rPr>
        <w:t> </w:t>
      </w:r>
      <w:r w:rsidR="00250CB6" w:rsidRPr="00250CB6">
        <w:rPr>
          <w:rFonts w:asciiTheme="minorHAnsi" w:hAnsiTheme="minorHAnsi" w:cstheme="minorHAnsi"/>
          <w:bCs/>
          <w:iCs/>
        </w:rPr>
        <w:t xml:space="preserve">January 2022, when the previous exemptions instrument was repealed, the providers listed in the Instrument were exempt from the requirement to pay the relevant components </w:t>
      </w:r>
      <w:r w:rsidR="00250CB6" w:rsidRPr="00250CB6">
        <w:rPr>
          <w:rFonts w:asciiTheme="minorHAnsi" w:hAnsiTheme="minorHAnsi" w:cstheme="minorHAnsi"/>
          <w:bCs/>
          <w:iCs/>
        </w:rPr>
        <w:lastRenderedPageBreak/>
        <w:t>on the TPS levy</w:t>
      </w:r>
      <w:r w:rsidR="00E14CA5">
        <w:rPr>
          <w:rFonts w:asciiTheme="minorHAnsi" w:hAnsiTheme="minorHAnsi" w:cstheme="minorHAnsi"/>
          <w:bCs/>
          <w:iCs/>
        </w:rPr>
        <w:t>.</w:t>
      </w:r>
      <w:r w:rsidR="007A13F6" w:rsidRPr="007A13F6">
        <w:rPr>
          <w:rFonts w:asciiTheme="minorHAnsi" w:hAnsiTheme="minorHAnsi" w:cstheme="minorHAnsi"/>
          <w:bCs/>
          <w:iCs/>
        </w:rPr>
        <w:t xml:space="preserve"> </w:t>
      </w:r>
      <w:r w:rsidR="007A13F6">
        <w:rPr>
          <w:rFonts w:asciiTheme="minorHAnsi" w:hAnsiTheme="minorHAnsi" w:cstheme="minorHAnsi"/>
          <w:bCs/>
          <w:iCs/>
        </w:rPr>
        <w:t>The previous exemptions instrument was repealed ahead of that instrument sunsetting and ceasing to have effect, and was not remade immediately because</w:t>
      </w:r>
      <w:r w:rsidR="005B269B">
        <w:rPr>
          <w:rFonts w:asciiTheme="minorHAnsi" w:hAnsiTheme="minorHAnsi" w:cstheme="minorHAnsi"/>
          <w:bCs/>
          <w:iCs/>
        </w:rPr>
        <w:t>,</w:t>
      </w:r>
      <w:r w:rsidR="007A13F6">
        <w:rPr>
          <w:rFonts w:asciiTheme="minorHAnsi" w:hAnsiTheme="minorHAnsi" w:cstheme="minorHAnsi"/>
          <w:bCs/>
          <w:iCs/>
        </w:rPr>
        <w:t xml:space="preserve"> at the time, the </w:t>
      </w:r>
      <w:r w:rsidR="005B269B">
        <w:rPr>
          <w:rFonts w:asciiTheme="minorHAnsi" w:hAnsiTheme="minorHAnsi" w:cstheme="minorHAnsi"/>
          <w:bCs/>
          <w:iCs/>
        </w:rPr>
        <w:t xml:space="preserve">relevant </w:t>
      </w:r>
      <w:r w:rsidR="007A13F6">
        <w:rPr>
          <w:rFonts w:asciiTheme="minorHAnsi" w:hAnsiTheme="minorHAnsi" w:cstheme="minorHAnsi"/>
          <w:bCs/>
          <w:iCs/>
        </w:rPr>
        <w:t xml:space="preserve">components of the TPS levy had been set at zero so no provider was liable to pay the base fee or risk rated </w:t>
      </w:r>
      <w:r w:rsidR="005B269B">
        <w:rPr>
          <w:rFonts w:asciiTheme="minorHAnsi" w:hAnsiTheme="minorHAnsi" w:cstheme="minorHAnsi"/>
          <w:bCs/>
          <w:iCs/>
        </w:rPr>
        <w:t xml:space="preserve">premium </w:t>
      </w:r>
      <w:r w:rsidR="007A13F6">
        <w:rPr>
          <w:rFonts w:asciiTheme="minorHAnsi" w:hAnsiTheme="minorHAnsi" w:cstheme="minorHAnsi"/>
          <w:bCs/>
          <w:iCs/>
        </w:rPr>
        <w:t>component</w:t>
      </w:r>
      <w:r w:rsidR="005B269B">
        <w:rPr>
          <w:rFonts w:asciiTheme="minorHAnsi" w:hAnsiTheme="minorHAnsi" w:cstheme="minorHAnsi"/>
          <w:bCs/>
          <w:iCs/>
        </w:rPr>
        <w:t>s</w:t>
      </w:r>
      <w:r w:rsidR="007A13F6">
        <w:rPr>
          <w:rFonts w:asciiTheme="minorHAnsi" w:hAnsiTheme="minorHAnsi" w:cstheme="minorHAnsi"/>
          <w:bCs/>
          <w:iCs/>
        </w:rPr>
        <w:t xml:space="preserve"> of the TPS levy.</w:t>
      </w:r>
    </w:p>
    <w:p w14:paraId="079D6AC3" w14:textId="77777777" w:rsidR="00A249FF" w:rsidRPr="0020287E" w:rsidRDefault="00A249FF" w:rsidP="00CA4B5B">
      <w:pPr>
        <w:spacing w:line="276" w:lineRule="auto"/>
        <w:rPr>
          <w:rFonts w:asciiTheme="minorHAnsi" w:hAnsiTheme="minorHAnsi" w:cstheme="minorHAnsi"/>
        </w:rPr>
      </w:pPr>
    </w:p>
    <w:p w14:paraId="3D156733" w14:textId="77777777" w:rsidR="00A249FF" w:rsidRPr="0020287E" w:rsidRDefault="00A249FF" w:rsidP="00DB17BD">
      <w:pPr>
        <w:keepNext/>
        <w:spacing w:line="276" w:lineRule="auto"/>
        <w:rPr>
          <w:rFonts w:asciiTheme="minorHAnsi" w:hAnsiTheme="minorHAnsi" w:cstheme="minorHAnsi"/>
        </w:rPr>
      </w:pPr>
      <w:r w:rsidRPr="0020287E">
        <w:rPr>
          <w:rFonts w:asciiTheme="minorHAnsi" w:hAnsiTheme="minorHAnsi" w:cstheme="minorHAnsi"/>
          <w:b/>
          <w:bCs/>
        </w:rPr>
        <w:t>Human rights implications</w:t>
      </w:r>
    </w:p>
    <w:p w14:paraId="31A3FE0A" w14:textId="77777777" w:rsidR="00064678" w:rsidRPr="0020287E" w:rsidRDefault="00064678" w:rsidP="00DB17BD">
      <w:pPr>
        <w:keepNext/>
        <w:spacing w:line="276" w:lineRule="auto"/>
        <w:rPr>
          <w:rFonts w:asciiTheme="minorHAnsi" w:hAnsiTheme="minorHAnsi" w:cstheme="minorHAnsi"/>
        </w:rPr>
      </w:pPr>
    </w:p>
    <w:p w14:paraId="4538E812" w14:textId="669D48C7" w:rsidR="00A249FF" w:rsidRPr="00064678" w:rsidRDefault="00A249FF" w:rsidP="00DB17BD">
      <w:pPr>
        <w:keepNext/>
        <w:spacing w:line="276" w:lineRule="auto"/>
        <w:rPr>
          <w:rFonts w:asciiTheme="minorHAnsi" w:hAnsiTheme="minorHAnsi" w:cstheme="minorHAnsi"/>
          <w:u w:val="single"/>
        </w:rPr>
      </w:pPr>
      <w:r w:rsidRPr="005166B4">
        <w:rPr>
          <w:rFonts w:asciiTheme="minorHAnsi" w:hAnsiTheme="minorHAnsi" w:cstheme="minorHAnsi"/>
          <w:u w:val="single"/>
        </w:rPr>
        <w:t xml:space="preserve">Right to education </w:t>
      </w:r>
    </w:p>
    <w:p w14:paraId="640A2C90" w14:textId="77777777" w:rsidR="00741A09" w:rsidRDefault="00A249FF" w:rsidP="00DB17BD">
      <w:pPr>
        <w:keepNext/>
        <w:spacing w:line="276" w:lineRule="auto"/>
        <w:rPr>
          <w:rFonts w:asciiTheme="minorHAnsi" w:hAnsiTheme="minorHAnsi" w:cstheme="minorHAnsi"/>
        </w:rPr>
      </w:pPr>
      <w:r w:rsidRPr="0020287E">
        <w:rPr>
          <w:rFonts w:asciiTheme="minorHAnsi" w:hAnsiTheme="minorHAnsi" w:cstheme="minorHAnsi"/>
        </w:rPr>
        <w:t xml:space="preserve">The Instrument engages the right to education, under Article 13 of the </w:t>
      </w:r>
      <w:r w:rsidRPr="0020287E">
        <w:rPr>
          <w:rFonts w:asciiTheme="minorHAnsi" w:hAnsiTheme="minorHAnsi" w:cstheme="minorHAnsi"/>
          <w:i/>
          <w:iCs/>
        </w:rPr>
        <w:t xml:space="preserve">International Covenant on Economic, Social and Cultural Rights </w:t>
      </w:r>
      <w:r w:rsidRPr="0020287E">
        <w:rPr>
          <w:rFonts w:asciiTheme="minorHAnsi" w:hAnsiTheme="minorHAnsi" w:cstheme="minorHAnsi"/>
        </w:rPr>
        <w:t xml:space="preserve">(ICESCR). Paragraph 13(2)(c) of the ICESCR provides that higher education shall be made equally accessible to all, </w:t>
      </w:r>
      <w:proofErr w:type="gramStart"/>
      <w:r w:rsidRPr="0020287E">
        <w:rPr>
          <w:rFonts w:asciiTheme="minorHAnsi" w:hAnsiTheme="minorHAnsi" w:cstheme="minorHAnsi"/>
        </w:rPr>
        <w:t>on the basis of</w:t>
      </w:r>
      <w:proofErr w:type="gramEnd"/>
      <w:r w:rsidRPr="0020287E">
        <w:rPr>
          <w:rFonts w:asciiTheme="minorHAnsi" w:hAnsiTheme="minorHAnsi" w:cstheme="minorHAnsi"/>
        </w:rPr>
        <w:t xml:space="preserve"> capacity, by every appropriate means, and in particular by the progressive introduction of free education. </w:t>
      </w:r>
    </w:p>
    <w:p w14:paraId="79498D38" w14:textId="77777777" w:rsidR="00741A09" w:rsidRDefault="00741A09" w:rsidP="00CA4B5B">
      <w:pPr>
        <w:spacing w:line="276" w:lineRule="auto"/>
        <w:rPr>
          <w:rFonts w:asciiTheme="minorHAnsi" w:hAnsiTheme="minorHAnsi" w:cstheme="minorHAnsi"/>
        </w:rPr>
      </w:pPr>
    </w:p>
    <w:p w14:paraId="2989B638" w14:textId="6FDAC85F" w:rsidR="00B52342" w:rsidRDefault="00741A09" w:rsidP="00CA4B5B">
      <w:pPr>
        <w:spacing w:line="276" w:lineRule="auto"/>
        <w:rPr>
          <w:rFonts w:asciiTheme="minorHAnsi" w:hAnsiTheme="minorHAnsi" w:cstheme="minorHAnsi"/>
        </w:rPr>
      </w:pPr>
      <w:r>
        <w:rPr>
          <w:rFonts w:asciiTheme="minorHAnsi" w:hAnsiTheme="minorHAnsi" w:cstheme="minorHAnsi"/>
        </w:rPr>
        <w:t xml:space="preserve">The Instrument prescribes classes of registered providers that are exempt from the requirement to pay one or </w:t>
      </w:r>
      <w:proofErr w:type="gramStart"/>
      <w:r>
        <w:rPr>
          <w:rFonts w:asciiTheme="minorHAnsi" w:hAnsiTheme="minorHAnsi" w:cstheme="minorHAnsi"/>
        </w:rPr>
        <w:t>both of the base</w:t>
      </w:r>
      <w:proofErr w:type="gramEnd"/>
      <w:r>
        <w:rPr>
          <w:rFonts w:asciiTheme="minorHAnsi" w:hAnsiTheme="minorHAnsi" w:cstheme="minorHAnsi"/>
        </w:rPr>
        <w:t xml:space="preserve"> fee component and the risk rated premium component of the TPS levy. The TPS levy assists with supporting the functions of the TPS</w:t>
      </w:r>
      <w:proofErr w:type="gramStart"/>
      <w:r>
        <w:rPr>
          <w:rFonts w:asciiTheme="minorHAnsi" w:hAnsiTheme="minorHAnsi" w:cstheme="minorHAnsi"/>
        </w:rPr>
        <w:t>, in particular, by</w:t>
      </w:r>
      <w:proofErr w:type="gramEnd"/>
      <w:r>
        <w:rPr>
          <w:rFonts w:asciiTheme="minorHAnsi" w:hAnsiTheme="minorHAnsi" w:cstheme="minorHAnsi"/>
        </w:rPr>
        <w:t xml:space="preserve"> funding the activities</w:t>
      </w:r>
      <w:r w:rsidR="00143121">
        <w:rPr>
          <w:rFonts w:asciiTheme="minorHAnsi" w:hAnsiTheme="minorHAnsi" w:cstheme="minorHAnsi"/>
        </w:rPr>
        <w:t>, renumeration and allowances</w:t>
      </w:r>
      <w:r>
        <w:rPr>
          <w:rFonts w:asciiTheme="minorHAnsi" w:hAnsiTheme="minorHAnsi" w:cstheme="minorHAnsi"/>
        </w:rPr>
        <w:t xml:space="preserve"> of the TPS Director. Therefore, any exemptions from the requirement to pay components of the TPS levy limit the right to education, as </w:t>
      </w:r>
      <w:r w:rsidR="001F219F">
        <w:rPr>
          <w:rFonts w:asciiTheme="minorHAnsi" w:hAnsiTheme="minorHAnsi" w:cstheme="minorHAnsi"/>
        </w:rPr>
        <w:t xml:space="preserve">such exemptions </w:t>
      </w:r>
      <w:r>
        <w:rPr>
          <w:rFonts w:asciiTheme="minorHAnsi" w:hAnsiTheme="minorHAnsi" w:cstheme="minorHAnsi"/>
        </w:rPr>
        <w:t>limit the amount of funds available to support the functions of the TPS. However, that limitation is reasonable and proportionate because</w:t>
      </w:r>
      <w:r w:rsidR="00B52342">
        <w:rPr>
          <w:rFonts w:asciiTheme="minorHAnsi" w:hAnsiTheme="minorHAnsi" w:cstheme="minorHAnsi"/>
        </w:rPr>
        <w:t>:</w:t>
      </w:r>
    </w:p>
    <w:p w14:paraId="6486725D" w14:textId="390AE4ED" w:rsidR="00A957F0" w:rsidRDefault="0010163F" w:rsidP="00F233C0">
      <w:pPr>
        <w:pStyle w:val="ListParagraph"/>
        <w:numPr>
          <w:ilvl w:val="0"/>
          <w:numId w:val="10"/>
        </w:numPr>
        <w:spacing w:line="276" w:lineRule="auto"/>
      </w:pPr>
      <w:r>
        <w:rPr>
          <w:rFonts w:asciiTheme="minorHAnsi" w:hAnsiTheme="minorHAnsi" w:cstheme="minorHAnsi"/>
        </w:rPr>
        <w:t xml:space="preserve">for the base fee component exemption: </w:t>
      </w:r>
      <w:r w:rsidR="00A957F0" w:rsidRPr="00F233C0">
        <w:rPr>
          <w:rFonts w:asciiTheme="minorHAnsi" w:hAnsiTheme="minorHAnsi" w:cstheme="minorHAnsi"/>
        </w:rPr>
        <w:t xml:space="preserve">many registered schools only maintain their Commonwealth Register of Institutions and Courses for Overseas Students (CRICOS) registration to be ready to enrol small numbers of international students from time to time as part of cultural enrichment and related programs. The exemption recognises that these schools did not receive any additional revenue from international student enrolments in the calendar year immediately prior to the year for which the levy was imposed. </w:t>
      </w:r>
    </w:p>
    <w:p w14:paraId="6AC19033" w14:textId="5D296284" w:rsidR="00B52342" w:rsidRPr="00CF2A93" w:rsidRDefault="0010163F" w:rsidP="001F219F">
      <w:pPr>
        <w:pStyle w:val="ListParagraph"/>
        <w:numPr>
          <w:ilvl w:val="0"/>
          <w:numId w:val="10"/>
        </w:numPr>
        <w:spacing w:line="276" w:lineRule="auto"/>
        <w:rPr>
          <w:rFonts w:asciiTheme="minorHAnsi" w:hAnsiTheme="minorHAnsi" w:cstheme="minorHAnsi"/>
        </w:rPr>
      </w:pPr>
      <w:r>
        <w:rPr>
          <w:rFonts w:asciiTheme="minorHAnsi" w:hAnsiTheme="minorHAnsi" w:cstheme="minorHAnsi"/>
        </w:rPr>
        <w:t xml:space="preserve">for the risk rated premium component exemption: </w:t>
      </w:r>
      <w:r w:rsidR="007C0FB1" w:rsidRPr="00B52342">
        <w:rPr>
          <w:rFonts w:asciiTheme="minorHAnsi" w:hAnsiTheme="minorHAnsi" w:cstheme="minorHAnsi"/>
        </w:rPr>
        <w:t>Table A providers, government schools and State or Territory VET institutions</w:t>
      </w:r>
      <w:r>
        <w:rPr>
          <w:rFonts w:asciiTheme="minorHAnsi" w:hAnsiTheme="minorHAnsi" w:cstheme="minorHAnsi"/>
        </w:rPr>
        <w:t>, as public institutions,</w:t>
      </w:r>
      <w:r w:rsidR="0078337D" w:rsidRPr="00B52342">
        <w:rPr>
          <w:rFonts w:asciiTheme="minorHAnsi" w:hAnsiTheme="minorHAnsi" w:cstheme="minorHAnsi"/>
        </w:rPr>
        <w:t xml:space="preserve"> are at low risk of defaulting on obligations to students</w:t>
      </w:r>
      <w:r w:rsidR="00765316" w:rsidRPr="00765316">
        <w:rPr>
          <w:rFonts w:asciiTheme="minorHAnsi" w:hAnsiTheme="minorHAnsi" w:cstheme="minorHAnsi"/>
        </w:rPr>
        <w:t xml:space="preserve"> </w:t>
      </w:r>
      <w:r w:rsidR="00765316">
        <w:rPr>
          <w:rFonts w:asciiTheme="minorHAnsi" w:hAnsiTheme="minorHAnsi" w:cstheme="minorHAnsi"/>
        </w:rPr>
        <w:t xml:space="preserve">as they are </w:t>
      </w:r>
      <w:r w:rsidR="00765316" w:rsidRPr="00765316">
        <w:rPr>
          <w:rFonts w:asciiTheme="minorHAnsi" w:hAnsiTheme="minorHAnsi" w:cstheme="minorHAnsi"/>
        </w:rPr>
        <w:t>effectively underwritten by government</w:t>
      </w:r>
      <w:r w:rsidR="00AB0CEA" w:rsidRPr="00CF2A93">
        <w:rPr>
          <w:rFonts w:asciiTheme="minorHAnsi" w:hAnsiTheme="minorHAnsi" w:cstheme="minorHAnsi"/>
        </w:rPr>
        <w:t>.</w:t>
      </w:r>
    </w:p>
    <w:p w14:paraId="4DADBC18" w14:textId="77777777" w:rsidR="00A249FF" w:rsidRPr="0020287E" w:rsidRDefault="00A249FF" w:rsidP="00CA4B5B">
      <w:pPr>
        <w:spacing w:line="276" w:lineRule="auto"/>
        <w:rPr>
          <w:rFonts w:asciiTheme="minorHAnsi" w:hAnsiTheme="minorHAnsi" w:cstheme="minorHAnsi"/>
        </w:rPr>
      </w:pPr>
    </w:p>
    <w:p w14:paraId="65E8E95F" w14:textId="2AD89D11" w:rsidR="00A249FF" w:rsidRPr="0020287E" w:rsidRDefault="00A249FF" w:rsidP="00CA4B5B">
      <w:pPr>
        <w:spacing w:line="276" w:lineRule="auto"/>
        <w:rPr>
          <w:rFonts w:asciiTheme="minorHAnsi" w:hAnsiTheme="minorHAnsi" w:cstheme="minorHAnsi"/>
        </w:rPr>
      </w:pPr>
      <w:r w:rsidRPr="0020287E">
        <w:rPr>
          <w:rFonts w:asciiTheme="minorHAnsi" w:hAnsiTheme="minorHAnsi" w:cstheme="minorHAnsi"/>
          <w:b/>
          <w:bCs/>
        </w:rPr>
        <w:t>Conclusion</w:t>
      </w:r>
      <w:r w:rsidRPr="0020287E">
        <w:rPr>
          <w:rFonts w:asciiTheme="minorHAnsi" w:hAnsiTheme="minorHAnsi" w:cstheme="minorHAnsi"/>
        </w:rPr>
        <w:t xml:space="preserve"> </w:t>
      </w:r>
    </w:p>
    <w:p w14:paraId="334DBF53" w14:textId="5DFB1E66" w:rsidR="00A249FF" w:rsidRPr="0020287E" w:rsidRDefault="00A249FF" w:rsidP="00CA4B5B">
      <w:pPr>
        <w:spacing w:line="276" w:lineRule="auto"/>
        <w:rPr>
          <w:rFonts w:asciiTheme="minorHAnsi" w:hAnsiTheme="minorHAnsi" w:cstheme="minorHAnsi"/>
        </w:rPr>
      </w:pPr>
      <w:r w:rsidRPr="0020287E">
        <w:rPr>
          <w:rFonts w:asciiTheme="minorHAnsi" w:hAnsiTheme="minorHAnsi" w:cstheme="minorHAnsi"/>
        </w:rPr>
        <w:t>The Instrument is compatible with human rights because</w:t>
      </w:r>
      <w:r w:rsidR="00F02506">
        <w:rPr>
          <w:rFonts w:asciiTheme="minorHAnsi" w:hAnsiTheme="minorHAnsi" w:cstheme="minorHAnsi"/>
        </w:rPr>
        <w:t xml:space="preserve">, while it limits the right to education, that limitation is reasonable and proportionate. </w:t>
      </w:r>
    </w:p>
    <w:p w14:paraId="48B19683" w14:textId="77777777" w:rsidR="00A249FF" w:rsidRPr="0020287E" w:rsidRDefault="00A249FF" w:rsidP="00CA4B5B">
      <w:pPr>
        <w:spacing w:line="276" w:lineRule="auto"/>
        <w:rPr>
          <w:rFonts w:asciiTheme="minorHAnsi" w:hAnsiTheme="minorHAnsi" w:cstheme="minorHAnsi"/>
        </w:rPr>
      </w:pPr>
    </w:p>
    <w:p w14:paraId="5FE804BE" w14:textId="791FE34E" w:rsidR="00064678" w:rsidRDefault="00A249FF" w:rsidP="00CA4B5B">
      <w:pPr>
        <w:spacing w:line="276" w:lineRule="auto"/>
        <w:jc w:val="center"/>
        <w:rPr>
          <w:rFonts w:asciiTheme="minorHAnsi" w:hAnsiTheme="minorHAnsi" w:cstheme="minorHAnsi"/>
          <w:b/>
        </w:rPr>
      </w:pPr>
      <w:r w:rsidRPr="0020287E">
        <w:rPr>
          <w:rFonts w:asciiTheme="minorHAnsi" w:hAnsiTheme="minorHAnsi" w:cstheme="minorHAnsi"/>
          <w:b/>
        </w:rPr>
        <w:t xml:space="preserve">The Hon </w:t>
      </w:r>
      <w:r w:rsidR="00AA1C24">
        <w:rPr>
          <w:rFonts w:asciiTheme="minorHAnsi" w:hAnsiTheme="minorHAnsi" w:cstheme="minorHAnsi"/>
          <w:b/>
        </w:rPr>
        <w:t>Jason Clare</w:t>
      </w:r>
      <w:r w:rsidRPr="0020287E">
        <w:rPr>
          <w:rFonts w:asciiTheme="minorHAnsi" w:hAnsiTheme="minorHAnsi" w:cstheme="minorHAnsi"/>
          <w:b/>
        </w:rPr>
        <w:t xml:space="preserve"> MP, Minister for </w:t>
      </w:r>
      <w:r w:rsidR="00AA1C24">
        <w:rPr>
          <w:rFonts w:asciiTheme="minorHAnsi" w:hAnsiTheme="minorHAnsi" w:cstheme="minorHAnsi"/>
          <w:b/>
        </w:rPr>
        <w:t>Education</w:t>
      </w:r>
    </w:p>
    <w:p w14:paraId="1C3FCAA9" w14:textId="77777777" w:rsidR="00064678" w:rsidRDefault="00064678">
      <w:pPr>
        <w:spacing w:after="160" w:line="259" w:lineRule="auto"/>
        <w:rPr>
          <w:rFonts w:asciiTheme="minorHAnsi" w:hAnsiTheme="minorHAnsi" w:cstheme="minorHAnsi"/>
          <w:b/>
        </w:rPr>
      </w:pPr>
      <w:r>
        <w:rPr>
          <w:rFonts w:asciiTheme="minorHAnsi" w:hAnsiTheme="minorHAnsi" w:cstheme="minorHAnsi"/>
          <w:b/>
        </w:rPr>
        <w:br w:type="page"/>
      </w:r>
    </w:p>
    <w:p w14:paraId="6872E467" w14:textId="77777777" w:rsidR="00A249FF" w:rsidRPr="0020287E" w:rsidRDefault="00A249FF" w:rsidP="00CA4B5B">
      <w:pPr>
        <w:spacing w:line="276" w:lineRule="auto"/>
        <w:jc w:val="center"/>
        <w:rPr>
          <w:rFonts w:asciiTheme="minorHAnsi" w:hAnsiTheme="minorHAnsi" w:cstheme="minorHAnsi"/>
          <w:color w:val="000000"/>
        </w:rPr>
      </w:pPr>
    </w:p>
    <w:p w14:paraId="151F1292" w14:textId="7EE2CDAE" w:rsidR="00C66479" w:rsidRDefault="00064678" w:rsidP="00064678">
      <w:pPr>
        <w:spacing w:line="276" w:lineRule="auto"/>
        <w:jc w:val="center"/>
        <w:rPr>
          <w:rFonts w:asciiTheme="minorHAnsi" w:hAnsiTheme="minorHAnsi" w:cstheme="minorHAnsi"/>
          <w:b/>
          <w:bCs/>
        </w:rPr>
      </w:pPr>
      <w:r w:rsidRPr="00064678">
        <w:rPr>
          <w:rFonts w:asciiTheme="minorHAnsi" w:hAnsiTheme="minorHAnsi" w:cstheme="minorHAnsi"/>
          <w:b/>
          <w:bCs/>
        </w:rPr>
        <w:t>EDUCATION SERVICES FOR OVERSEAS STUDENTS (TPS LEVIES</w:t>
      </w:r>
      <w:r w:rsidR="00B92405">
        <w:rPr>
          <w:rFonts w:asciiTheme="minorHAnsi" w:hAnsiTheme="minorHAnsi" w:cstheme="minorHAnsi"/>
          <w:b/>
          <w:bCs/>
        </w:rPr>
        <w:t xml:space="preserve"> </w:t>
      </w:r>
      <w:proofErr w:type="gramStart"/>
      <w:r w:rsidR="00B92405">
        <w:rPr>
          <w:rFonts w:asciiTheme="minorHAnsi" w:hAnsiTheme="minorHAnsi" w:cstheme="minorHAnsi"/>
          <w:b/>
          <w:bCs/>
        </w:rPr>
        <w:t xml:space="preserve">– </w:t>
      </w:r>
      <w:r w:rsidRPr="00064678">
        <w:rPr>
          <w:rFonts w:asciiTheme="minorHAnsi" w:hAnsiTheme="minorHAnsi" w:cstheme="minorHAnsi"/>
          <w:b/>
          <w:bCs/>
        </w:rPr>
        <w:t xml:space="preserve"> EXEMPTIONS</w:t>
      </w:r>
      <w:proofErr w:type="gramEnd"/>
      <w:r w:rsidRPr="00064678">
        <w:rPr>
          <w:rFonts w:asciiTheme="minorHAnsi" w:hAnsiTheme="minorHAnsi" w:cstheme="minorHAnsi"/>
          <w:b/>
          <w:bCs/>
        </w:rPr>
        <w:t>) INSTRUMENT 2022</w:t>
      </w:r>
    </w:p>
    <w:p w14:paraId="1C3553D0" w14:textId="44DD1519" w:rsidR="00064678" w:rsidRDefault="00064678" w:rsidP="00064678">
      <w:pPr>
        <w:spacing w:line="276" w:lineRule="auto"/>
        <w:jc w:val="center"/>
        <w:rPr>
          <w:rFonts w:asciiTheme="minorHAnsi" w:hAnsiTheme="minorHAnsi" w:cstheme="minorHAnsi"/>
          <w:b/>
          <w:bCs/>
        </w:rPr>
      </w:pPr>
    </w:p>
    <w:p w14:paraId="707F454F" w14:textId="29AF9506" w:rsidR="00064678" w:rsidRPr="00064678" w:rsidRDefault="00064678" w:rsidP="00064678">
      <w:pPr>
        <w:spacing w:line="276" w:lineRule="auto"/>
        <w:jc w:val="center"/>
        <w:rPr>
          <w:rFonts w:asciiTheme="minorHAnsi" w:hAnsiTheme="minorHAnsi" w:cstheme="minorHAnsi"/>
          <w:b/>
          <w:bCs/>
        </w:rPr>
      </w:pPr>
      <w:r>
        <w:rPr>
          <w:rFonts w:asciiTheme="minorHAnsi" w:hAnsiTheme="minorHAnsi" w:cstheme="minorHAnsi"/>
          <w:b/>
          <w:bCs/>
        </w:rPr>
        <w:t>EXPLANATION OF PROVISIONS</w:t>
      </w:r>
    </w:p>
    <w:p w14:paraId="304732AA" w14:textId="366F6818" w:rsidR="008756E2" w:rsidRPr="0020287E" w:rsidRDefault="008756E2" w:rsidP="00CA4B5B">
      <w:pPr>
        <w:spacing w:line="276" w:lineRule="auto"/>
        <w:rPr>
          <w:rFonts w:asciiTheme="minorHAnsi" w:hAnsiTheme="minorHAnsi" w:cstheme="minorHAnsi"/>
          <w:i/>
          <w:iCs/>
        </w:rPr>
      </w:pPr>
    </w:p>
    <w:p w14:paraId="6AF92D5E" w14:textId="6F267922" w:rsidR="008756E2" w:rsidRPr="00064678" w:rsidRDefault="008756E2" w:rsidP="00CA4B5B">
      <w:pPr>
        <w:spacing w:line="276" w:lineRule="auto"/>
        <w:rPr>
          <w:rFonts w:asciiTheme="minorHAnsi" w:hAnsiTheme="minorHAnsi" w:cstheme="minorHAnsi"/>
          <w:b/>
          <w:bCs/>
        </w:rPr>
      </w:pPr>
      <w:r w:rsidRPr="00064678">
        <w:rPr>
          <w:rFonts w:asciiTheme="minorHAnsi" w:hAnsiTheme="minorHAnsi" w:cstheme="minorHAnsi"/>
          <w:b/>
          <w:bCs/>
          <w:u w:val="single"/>
        </w:rPr>
        <w:t>Section 1</w:t>
      </w:r>
      <w:r w:rsidR="006053BD">
        <w:rPr>
          <w:rFonts w:asciiTheme="minorHAnsi" w:hAnsiTheme="minorHAnsi" w:cstheme="minorHAnsi"/>
          <w:b/>
          <w:bCs/>
          <w:u w:val="single"/>
        </w:rPr>
        <w:t>:</w:t>
      </w:r>
      <w:r w:rsidRPr="00064678">
        <w:rPr>
          <w:rFonts w:asciiTheme="minorHAnsi" w:hAnsiTheme="minorHAnsi" w:cstheme="minorHAnsi"/>
          <w:b/>
          <w:bCs/>
          <w:u w:val="single"/>
        </w:rPr>
        <w:t xml:space="preserve"> Name </w:t>
      </w:r>
    </w:p>
    <w:p w14:paraId="2A2B09A7" w14:textId="501E1E63" w:rsidR="008756E2" w:rsidRPr="0020287E" w:rsidRDefault="008756E2" w:rsidP="00CA4B5B">
      <w:pPr>
        <w:spacing w:line="276" w:lineRule="auto"/>
        <w:rPr>
          <w:rFonts w:asciiTheme="minorHAnsi" w:hAnsiTheme="minorHAnsi" w:cstheme="minorHAnsi"/>
        </w:rPr>
      </w:pPr>
    </w:p>
    <w:p w14:paraId="2E80AA30" w14:textId="78E69904" w:rsidR="008756E2" w:rsidRPr="007E6ECD" w:rsidRDefault="008756E2" w:rsidP="007E6ECD">
      <w:pPr>
        <w:pStyle w:val="ListParagraph"/>
        <w:numPr>
          <w:ilvl w:val="0"/>
          <w:numId w:val="6"/>
        </w:numPr>
        <w:spacing w:line="276" w:lineRule="auto"/>
        <w:rPr>
          <w:rFonts w:asciiTheme="minorHAnsi" w:hAnsiTheme="minorHAnsi" w:cstheme="minorHAnsi"/>
          <w:bCs/>
          <w:i/>
          <w:iCs/>
        </w:rPr>
      </w:pPr>
      <w:r w:rsidRPr="007E6ECD">
        <w:rPr>
          <w:rFonts w:asciiTheme="minorHAnsi" w:hAnsiTheme="minorHAnsi" w:cstheme="minorHAnsi"/>
        </w:rPr>
        <w:t xml:space="preserve">This section provides that the title of the Instrument is the </w:t>
      </w:r>
      <w:r w:rsidR="00B92405" w:rsidRPr="00B92405">
        <w:rPr>
          <w:rFonts w:asciiTheme="minorHAnsi" w:hAnsiTheme="minorHAnsi" w:cstheme="minorHAnsi"/>
          <w:bCs/>
          <w:i/>
          <w:iCs/>
        </w:rPr>
        <w:t xml:space="preserve">Education Services for Overseas Students (TPS Levies—Exemptions) Instrument 2022 </w:t>
      </w:r>
      <w:r w:rsidR="00FB2CFB" w:rsidRPr="007E6ECD">
        <w:rPr>
          <w:rFonts w:asciiTheme="minorHAnsi" w:hAnsiTheme="minorHAnsi" w:cstheme="minorHAnsi"/>
        </w:rPr>
        <w:t>(the Instrument)</w:t>
      </w:r>
      <w:r w:rsidRPr="007E6ECD">
        <w:rPr>
          <w:rFonts w:asciiTheme="minorHAnsi" w:hAnsiTheme="minorHAnsi" w:cstheme="minorHAnsi"/>
        </w:rPr>
        <w:t xml:space="preserve">. </w:t>
      </w:r>
    </w:p>
    <w:p w14:paraId="65AE5F0C" w14:textId="6D813D47" w:rsidR="008756E2" w:rsidRPr="0020287E" w:rsidRDefault="008756E2" w:rsidP="00CA4B5B">
      <w:pPr>
        <w:spacing w:line="276" w:lineRule="auto"/>
        <w:rPr>
          <w:rFonts w:asciiTheme="minorHAnsi" w:hAnsiTheme="minorHAnsi" w:cstheme="minorHAnsi"/>
        </w:rPr>
      </w:pPr>
    </w:p>
    <w:p w14:paraId="1218B88B" w14:textId="421607E9" w:rsidR="008756E2" w:rsidRPr="00064678" w:rsidRDefault="008756E2" w:rsidP="00CA4B5B">
      <w:pPr>
        <w:spacing w:line="276" w:lineRule="auto"/>
        <w:rPr>
          <w:rFonts w:asciiTheme="minorHAnsi" w:hAnsiTheme="minorHAnsi" w:cstheme="minorHAnsi"/>
          <w:b/>
          <w:bCs/>
        </w:rPr>
      </w:pPr>
      <w:r w:rsidRPr="00064678">
        <w:rPr>
          <w:rFonts w:asciiTheme="minorHAnsi" w:hAnsiTheme="minorHAnsi" w:cstheme="minorHAnsi"/>
          <w:b/>
          <w:bCs/>
          <w:u w:val="single"/>
        </w:rPr>
        <w:t>Section 2</w:t>
      </w:r>
      <w:r w:rsidR="006053BD">
        <w:rPr>
          <w:rFonts w:asciiTheme="minorHAnsi" w:hAnsiTheme="minorHAnsi" w:cstheme="minorHAnsi"/>
          <w:b/>
          <w:bCs/>
          <w:u w:val="single"/>
        </w:rPr>
        <w:t>:</w:t>
      </w:r>
      <w:r w:rsidRPr="00064678">
        <w:rPr>
          <w:rFonts w:asciiTheme="minorHAnsi" w:hAnsiTheme="minorHAnsi" w:cstheme="minorHAnsi"/>
          <w:b/>
          <w:bCs/>
          <w:u w:val="single"/>
        </w:rPr>
        <w:t xml:space="preserve"> Commencement </w:t>
      </w:r>
    </w:p>
    <w:p w14:paraId="3D2E113F" w14:textId="2B58831E" w:rsidR="008756E2" w:rsidRPr="0020287E" w:rsidRDefault="008756E2" w:rsidP="00CA4B5B">
      <w:pPr>
        <w:spacing w:line="276" w:lineRule="auto"/>
        <w:rPr>
          <w:rFonts w:asciiTheme="minorHAnsi" w:hAnsiTheme="minorHAnsi" w:cstheme="minorHAnsi"/>
        </w:rPr>
      </w:pPr>
    </w:p>
    <w:p w14:paraId="7DAAD895" w14:textId="6ADCBF28" w:rsidR="008756E2" w:rsidRPr="007E6ECD" w:rsidRDefault="008756E2" w:rsidP="007E6ECD">
      <w:pPr>
        <w:pStyle w:val="ListParagraph"/>
        <w:numPr>
          <w:ilvl w:val="0"/>
          <w:numId w:val="6"/>
        </w:numPr>
        <w:spacing w:line="276" w:lineRule="auto"/>
        <w:rPr>
          <w:rFonts w:asciiTheme="minorHAnsi" w:hAnsiTheme="minorHAnsi" w:cstheme="minorHAnsi"/>
        </w:rPr>
      </w:pPr>
      <w:r w:rsidRPr="007E6ECD">
        <w:rPr>
          <w:rFonts w:asciiTheme="minorHAnsi" w:hAnsiTheme="minorHAnsi" w:cstheme="minorHAnsi"/>
        </w:rPr>
        <w:t xml:space="preserve">This section provides </w:t>
      </w:r>
      <w:r w:rsidR="00FB2CFB" w:rsidRPr="007E6ECD">
        <w:rPr>
          <w:rFonts w:asciiTheme="minorHAnsi" w:hAnsiTheme="minorHAnsi" w:cstheme="minorHAnsi"/>
        </w:rPr>
        <w:t>that</w:t>
      </w:r>
      <w:r w:rsidRPr="007E6ECD">
        <w:rPr>
          <w:rFonts w:asciiTheme="minorHAnsi" w:hAnsiTheme="minorHAnsi" w:cstheme="minorHAnsi"/>
        </w:rPr>
        <w:t xml:space="preserve"> the Instrument </w:t>
      </w:r>
      <w:r w:rsidR="00FB2CFB" w:rsidRPr="007E6ECD">
        <w:rPr>
          <w:rFonts w:asciiTheme="minorHAnsi" w:hAnsiTheme="minorHAnsi" w:cstheme="minorHAnsi"/>
        </w:rPr>
        <w:t>will commence</w:t>
      </w:r>
      <w:r w:rsidRPr="007E6ECD">
        <w:rPr>
          <w:rFonts w:asciiTheme="minorHAnsi" w:hAnsiTheme="minorHAnsi" w:cstheme="minorHAnsi"/>
        </w:rPr>
        <w:t xml:space="preserve"> the day after the Instrument is registered on the Federal Register of Legislation. </w:t>
      </w:r>
    </w:p>
    <w:p w14:paraId="2EED49E3" w14:textId="603848A1" w:rsidR="008756E2" w:rsidRPr="0020287E" w:rsidRDefault="008756E2" w:rsidP="00CA4B5B">
      <w:pPr>
        <w:spacing w:line="276" w:lineRule="auto"/>
        <w:rPr>
          <w:rFonts w:asciiTheme="minorHAnsi" w:hAnsiTheme="minorHAnsi" w:cstheme="minorHAnsi"/>
        </w:rPr>
      </w:pPr>
    </w:p>
    <w:p w14:paraId="6A47270C" w14:textId="41C267A4" w:rsidR="008756E2" w:rsidRPr="00064678" w:rsidRDefault="008756E2" w:rsidP="00CA4B5B">
      <w:pPr>
        <w:spacing w:line="276" w:lineRule="auto"/>
        <w:rPr>
          <w:rFonts w:asciiTheme="minorHAnsi" w:hAnsiTheme="minorHAnsi" w:cstheme="minorHAnsi"/>
          <w:b/>
          <w:bCs/>
        </w:rPr>
      </w:pPr>
      <w:r w:rsidRPr="00064678">
        <w:rPr>
          <w:rFonts w:asciiTheme="minorHAnsi" w:hAnsiTheme="minorHAnsi" w:cstheme="minorHAnsi"/>
          <w:b/>
          <w:bCs/>
          <w:u w:val="single"/>
        </w:rPr>
        <w:t>Section 3</w:t>
      </w:r>
      <w:r w:rsidR="006053BD">
        <w:rPr>
          <w:rFonts w:asciiTheme="minorHAnsi" w:hAnsiTheme="minorHAnsi" w:cstheme="minorHAnsi"/>
          <w:b/>
          <w:bCs/>
          <w:u w:val="single"/>
        </w:rPr>
        <w:t>:</w:t>
      </w:r>
      <w:r w:rsidRPr="00064678">
        <w:rPr>
          <w:rFonts w:asciiTheme="minorHAnsi" w:hAnsiTheme="minorHAnsi" w:cstheme="minorHAnsi"/>
          <w:b/>
          <w:bCs/>
          <w:u w:val="single"/>
        </w:rPr>
        <w:t xml:space="preserve"> Authority</w:t>
      </w:r>
    </w:p>
    <w:p w14:paraId="1AD838C6" w14:textId="4A397182" w:rsidR="008756E2" w:rsidRPr="0020287E" w:rsidRDefault="008756E2" w:rsidP="00CA4B5B">
      <w:pPr>
        <w:spacing w:line="276" w:lineRule="auto"/>
        <w:rPr>
          <w:rFonts w:asciiTheme="minorHAnsi" w:hAnsiTheme="minorHAnsi" w:cstheme="minorHAnsi"/>
        </w:rPr>
      </w:pPr>
    </w:p>
    <w:p w14:paraId="18C4624B" w14:textId="3F6AA318" w:rsidR="008756E2" w:rsidRPr="007E6ECD" w:rsidRDefault="008756E2" w:rsidP="007E6ECD">
      <w:pPr>
        <w:pStyle w:val="ListParagraph"/>
        <w:numPr>
          <w:ilvl w:val="0"/>
          <w:numId w:val="6"/>
        </w:numPr>
        <w:spacing w:line="276" w:lineRule="auto"/>
        <w:rPr>
          <w:rFonts w:asciiTheme="minorHAnsi" w:hAnsiTheme="minorHAnsi" w:cstheme="minorHAnsi"/>
        </w:rPr>
      </w:pPr>
      <w:r w:rsidRPr="007E6ECD">
        <w:rPr>
          <w:rFonts w:asciiTheme="minorHAnsi" w:hAnsiTheme="minorHAnsi" w:cstheme="minorHAnsi"/>
        </w:rPr>
        <w:t xml:space="preserve">This section provides that the Instrument is made under </w:t>
      </w:r>
      <w:r w:rsidR="0067545F" w:rsidRPr="007E6ECD">
        <w:rPr>
          <w:rFonts w:asciiTheme="minorHAnsi" w:hAnsiTheme="minorHAnsi" w:cstheme="minorHAnsi"/>
        </w:rPr>
        <w:t>section</w:t>
      </w:r>
      <w:r w:rsidRPr="007E6ECD">
        <w:rPr>
          <w:rFonts w:asciiTheme="minorHAnsi" w:hAnsiTheme="minorHAnsi" w:cstheme="minorHAnsi"/>
        </w:rPr>
        <w:t xml:space="preserve"> </w:t>
      </w:r>
      <w:r w:rsidR="0067545F" w:rsidRPr="007E6ECD">
        <w:rPr>
          <w:rFonts w:asciiTheme="minorHAnsi" w:hAnsiTheme="minorHAnsi" w:cstheme="minorHAnsi"/>
        </w:rPr>
        <w:t>12</w:t>
      </w:r>
      <w:r w:rsidRPr="007E6ECD">
        <w:rPr>
          <w:rFonts w:asciiTheme="minorHAnsi" w:hAnsiTheme="minorHAnsi" w:cstheme="minorHAnsi"/>
        </w:rPr>
        <w:t xml:space="preserve"> of the </w:t>
      </w:r>
      <w:r w:rsidR="0067545F" w:rsidRPr="007E6ECD">
        <w:rPr>
          <w:rFonts w:asciiTheme="minorHAnsi" w:hAnsiTheme="minorHAnsi" w:cstheme="minorHAnsi"/>
          <w:i/>
          <w:iCs/>
        </w:rPr>
        <w:t>Education Services for Overseas Students (TPS Levies) Act 2012</w:t>
      </w:r>
      <w:r w:rsidR="0067545F" w:rsidRPr="007E6ECD">
        <w:rPr>
          <w:rFonts w:asciiTheme="minorHAnsi" w:hAnsiTheme="minorHAnsi" w:cstheme="minorHAnsi"/>
          <w:color w:val="000000"/>
        </w:rPr>
        <w:t xml:space="preserve"> </w:t>
      </w:r>
      <w:r w:rsidR="001E23CF" w:rsidRPr="007E6ECD">
        <w:rPr>
          <w:rFonts w:asciiTheme="minorHAnsi" w:hAnsiTheme="minorHAnsi" w:cstheme="minorHAnsi"/>
        </w:rPr>
        <w:t>(the Act)</w:t>
      </w:r>
      <w:r w:rsidRPr="007E6ECD">
        <w:rPr>
          <w:rFonts w:asciiTheme="minorHAnsi" w:hAnsiTheme="minorHAnsi" w:cstheme="minorHAnsi"/>
        </w:rPr>
        <w:t xml:space="preserve">. </w:t>
      </w:r>
    </w:p>
    <w:p w14:paraId="15E396E1" w14:textId="571FF593" w:rsidR="00FB2CFB" w:rsidRPr="0020287E" w:rsidRDefault="00FB2CFB" w:rsidP="00CA4B5B">
      <w:pPr>
        <w:spacing w:line="276" w:lineRule="auto"/>
        <w:rPr>
          <w:rFonts w:asciiTheme="minorHAnsi" w:hAnsiTheme="minorHAnsi" w:cstheme="minorHAnsi"/>
        </w:rPr>
      </w:pPr>
    </w:p>
    <w:p w14:paraId="001CFF51" w14:textId="577B44C0" w:rsidR="00FB2CFB" w:rsidRPr="00064678" w:rsidRDefault="00FB2CFB" w:rsidP="00CA4B5B">
      <w:pPr>
        <w:spacing w:line="276" w:lineRule="auto"/>
        <w:rPr>
          <w:rFonts w:asciiTheme="minorHAnsi" w:hAnsiTheme="minorHAnsi" w:cstheme="minorHAnsi"/>
          <w:b/>
          <w:bCs/>
        </w:rPr>
      </w:pPr>
      <w:r w:rsidRPr="00064678">
        <w:rPr>
          <w:rFonts w:asciiTheme="minorHAnsi" w:hAnsiTheme="minorHAnsi" w:cstheme="minorHAnsi"/>
          <w:b/>
          <w:bCs/>
          <w:u w:val="single"/>
        </w:rPr>
        <w:t>Section 4</w:t>
      </w:r>
      <w:r w:rsidR="006053BD">
        <w:rPr>
          <w:rFonts w:asciiTheme="minorHAnsi" w:hAnsiTheme="minorHAnsi" w:cstheme="minorHAnsi"/>
          <w:b/>
          <w:bCs/>
          <w:u w:val="single"/>
        </w:rPr>
        <w:t>:</w:t>
      </w:r>
      <w:r w:rsidRPr="00064678">
        <w:rPr>
          <w:rFonts w:asciiTheme="minorHAnsi" w:hAnsiTheme="minorHAnsi" w:cstheme="minorHAnsi"/>
          <w:b/>
          <w:bCs/>
          <w:u w:val="single"/>
        </w:rPr>
        <w:t xml:space="preserve"> Definitions </w:t>
      </w:r>
    </w:p>
    <w:p w14:paraId="5821752B" w14:textId="136420E7" w:rsidR="00FB2CFB" w:rsidRPr="0020287E" w:rsidRDefault="00FB2CFB" w:rsidP="00CA4B5B">
      <w:pPr>
        <w:spacing w:line="276" w:lineRule="auto"/>
        <w:rPr>
          <w:rFonts w:asciiTheme="minorHAnsi" w:hAnsiTheme="minorHAnsi" w:cstheme="minorHAnsi"/>
        </w:rPr>
      </w:pPr>
    </w:p>
    <w:p w14:paraId="034EEEDA" w14:textId="2CC4079E" w:rsidR="00FB2CFB" w:rsidRPr="007E6ECD" w:rsidRDefault="00FB2CFB" w:rsidP="007E6ECD">
      <w:pPr>
        <w:pStyle w:val="ListParagraph"/>
        <w:numPr>
          <w:ilvl w:val="0"/>
          <w:numId w:val="6"/>
        </w:numPr>
        <w:spacing w:line="276" w:lineRule="auto"/>
        <w:rPr>
          <w:rFonts w:asciiTheme="minorHAnsi" w:hAnsiTheme="minorHAnsi" w:cstheme="minorHAnsi"/>
        </w:rPr>
      </w:pPr>
      <w:r w:rsidRPr="007E6ECD">
        <w:rPr>
          <w:rFonts w:asciiTheme="minorHAnsi" w:hAnsiTheme="minorHAnsi" w:cstheme="minorHAnsi"/>
        </w:rPr>
        <w:t xml:space="preserve">This section </w:t>
      </w:r>
      <w:r w:rsidR="005E1F26" w:rsidRPr="007E6ECD">
        <w:rPr>
          <w:rFonts w:asciiTheme="minorHAnsi" w:hAnsiTheme="minorHAnsi" w:cstheme="minorHAnsi"/>
        </w:rPr>
        <w:t xml:space="preserve">provides definitions for certain expressions used in the Instrument, and notes that </w:t>
      </w:r>
      <w:proofErr w:type="gramStart"/>
      <w:r w:rsidR="005E1F26" w:rsidRPr="007E6ECD">
        <w:rPr>
          <w:rFonts w:asciiTheme="minorHAnsi" w:hAnsiTheme="minorHAnsi" w:cstheme="minorHAnsi"/>
        </w:rPr>
        <w:t>a number of</w:t>
      </w:r>
      <w:proofErr w:type="gramEnd"/>
      <w:r w:rsidR="005E1F26" w:rsidRPr="007E6ECD">
        <w:rPr>
          <w:rFonts w:asciiTheme="minorHAnsi" w:hAnsiTheme="minorHAnsi" w:cstheme="minorHAnsi"/>
        </w:rPr>
        <w:t xml:space="preserve"> expressions used in the Instrument are already defined in the Act. </w:t>
      </w:r>
      <w:r w:rsidRPr="007E6ECD">
        <w:rPr>
          <w:rFonts w:asciiTheme="minorHAnsi" w:hAnsiTheme="minorHAnsi" w:cstheme="minorHAnsi"/>
        </w:rPr>
        <w:t xml:space="preserve"> </w:t>
      </w:r>
    </w:p>
    <w:p w14:paraId="750F8CAD" w14:textId="7094BC89" w:rsidR="005E1F26" w:rsidRPr="0020287E" w:rsidRDefault="005E1F26" w:rsidP="00CA4B5B">
      <w:pPr>
        <w:spacing w:line="276" w:lineRule="auto"/>
        <w:rPr>
          <w:rFonts w:asciiTheme="minorHAnsi" w:hAnsiTheme="minorHAnsi" w:cstheme="minorHAnsi"/>
        </w:rPr>
      </w:pPr>
    </w:p>
    <w:p w14:paraId="1511BEFF" w14:textId="3D6D0F6D" w:rsidR="005E1F26" w:rsidRPr="00064678" w:rsidRDefault="005E1F26" w:rsidP="00CA4B5B">
      <w:pPr>
        <w:spacing w:line="276" w:lineRule="auto"/>
        <w:rPr>
          <w:rFonts w:asciiTheme="minorHAnsi" w:hAnsiTheme="minorHAnsi" w:cstheme="minorHAnsi"/>
          <w:b/>
          <w:bCs/>
        </w:rPr>
      </w:pPr>
      <w:r w:rsidRPr="00064678">
        <w:rPr>
          <w:rFonts w:asciiTheme="minorHAnsi" w:hAnsiTheme="minorHAnsi" w:cstheme="minorHAnsi"/>
          <w:b/>
          <w:bCs/>
          <w:u w:val="single"/>
        </w:rPr>
        <w:t xml:space="preserve">Section </w:t>
      </w:r>
      <w:r w:rsidR="0038031B">
        <w:rPr>
          <w:rFonts w:asciiTheme="minorHAnsi" w:hAnsiTheme="minorHAnsi" w:cstheme="minorHAnsi"/>
          <w:b/>
          <w:bCs/>
          <w:u w:val="single"/>
        </w:rPr>
        <w:t>5</w:t>
      </w:r>
      <w:r w:rsidR="006D59FB">
        <w:rPr>
          <w:rFonts w:asciiTheme="minorHAnsi" w:hAnsiTheme="minorHAnsi" w:cstheme="minorHAnsi"/>
          <w:b/>
          <w:bCs/>
          <w:u w:val="single"/>
        </w:rPr>
        <w:t>:</w:t>
      </w:r>
      <w:r w:rsidRPr="00064678">
        <w:rPr>
          <w:rFonts w:asciiTheme="minorHAnsi" w:hAnsiTheme="minorHAnsi" w:cstheme="minorHAnsi"/>
          <w:b/>
          <w:bCs/>
          <w:u w:val="single"/>
        </w:rPr>
        <w:t xml:space="preserve"> </w:t>
      </w:r>
      <w:r w:rsidR="00491F56" w:rsidRPr="00064678">
        <w:rPr>
          <w:rFonts w:asciiTheme="minorHAnsi" w:hAnsiTheme="minorHAnsi" w:cstheme="minorHAnsi"/>
          <w:b/>
          <w:bCs/>
          <w:u w:val="single"/>
        </w:rPr>
        <w:t xml:space="preserve">Base fee component – exemption </w:t>
      </w:r>
    </w:p>
    <w:p w14:paraId="467C7256" w14:textId="2F3B206A" w:rsidR="005E1F26" w:rsidRPr="0020287E" w:rsidRDefault="005E1F26" w:rsidP="00CA4B5B">
      <w:pPr>
        <w:spacing w:line="276" w:lineRule="auto"/>
        <w:rPr>
          <w:rFonts w:asciiTheme="minorHAnsi" w:hAnsiTheme="minorHAnsi" w:cstheme="minorHAnsi"/>
        </w:rPr>
      </w:pPr>
    </w:p>
    <w:p w14:paraId="28CAE636" w14:textId="1424FCC2" w:rsidR="00491F56" w:rsidRPr="007D32BF" w:rsidRDefault="005E1F26" w:rsidP="007D32BF">
      <w:pPr>
        <w:pStyle w:val="ListParagraph"/>
        <w:numPr>
          <w:ilvl w:val="0"/>
          <w:numId w:val="6"/>
        </w:numPr>
        <w:spacing w:line="276" w:lineRule="auto"/>
        <w:rPr>
          <w:rFonts w:asciiTheme="minorHAnsi" w:hAnsiTheme="minorHAnsi" w:cstheme="minorHAnsi"/>
        </w:rPr>
      </w:pPr>
      <w:r w:rsidRPr="007D32BF">
        <w:rPr>
          <w:rFonts w:asciiTheme="minorHAnsi" w:hAnsiTheme="minorHAnsi" w:cstheme="minorHAnsi"/>
        </w:rPr>
        <w:t xml:space="preserve">This section </w:t>
      </w:r>
      <w:r w:rsidR="0069724A">
        <w:rPr>
          <w:rFonts w:asciiTheme="minorHAnsi" w:hAnsiTheme="minorHAnsi" w:cstheme="minorHAnsi"/>
        </w:rPr>
        <w:t>provides</w:t>
      </w:r>
      <w:r w:rsidR="0069724A" w:rsidRPr="007D32BF">
        <w:rPr>
          <w:rFonts w:asciiTheme="minorHAnsi" w:hAnsiTheme="minorHAnsi" w:cstheme="minorHAnsi"/>
        </w:rPr>
        <w:t xml:space="preserve"> </w:t>
      </w:r>
      <w:r w:rsidR="00491F56" w:rsidRPr="007D32BF">
        <w:rPr>
          <w:rFonts w:asciiTheme="minorHAnsi" w:hAnsiTheme="minorHAnsi" w:cstheme="minorHAnsi"/>
        </w:rPr>
        <w:t>that registered schools that ha</w:t>
      </w:r>
      <w:r w:rsidR="00A97C78" w:rsidRPr="007D32BF">
        <w:rPr>
          <w:rFonts w:asciiTheme="minorHAnsi" w:hAnsiTheme="minorHAnsi" w:cstheme="minorHAnsi"/>
        </w:rPr>
        <w:t>d</w:t>
      </w:r>
      <w:r w:rsidR="00491F56" w:rsidRPr="007D32BF">
        <w:rPr>
          <w:rFonts w:asciiTheme="minorHAnsi" w:hAnsiTheme="minorHAnsi" w:cstheme="minorHAnsi"/>
        </w:rPr>
        <w:t xml:space="preserve"> no </w:t>
      </w:r>
      <w:r w:rsidR="0070700F">
        <w:rPr>
          <w:rFonts w:asciiTheme="minorHAnsi" w:hAnsiTheme="minorHAnsi" w:cstheme="minorHAnsi"/>
        </w:rPr>
        <w:t>overseas</w:t>
      </w:r>
      <w:r w:rsidR="0070700F" w:rsidRPr="007D32BF">
        <w:rPr>
          <w:rFonts w:asciiTheme="minorHAnsi" w:hAnsiTheme="minorHAnsi" w:cstheme="minorHAnsi"/>
        </w:rPr>
        <w:t xml:space="preserve"> </w:t>
      </w:r>
      <w:r w:rsidR="00491F56" w:rsidRPr="007D32BF">
        <w:rPr>
          <w:rFonts w:asciiTheme="minorHAnsi" w:hAnsiTheme="minorHAnsi" w:cstheme="minorHAnsi"/>
        </w:rPr>
        <w:t>student</w:t>
      </w:r>
      <w:r w:rsidR="00A97C78" w:rsidRPr="007D32BF">
        <w:rPr>
          <w:rFonts w:asciiTheme="minorHAnsi" w:hAnsiTheme="minorHAnsi" w:cstheme="minorHAnsi"/>
        </w:rPr>
        <w:t xml:space="preserve"> enrolments in the </w:t>
      </w:r>
      <w:r w:rsidR="00A84579" w:rsidRPr="007D32BF">
        <w:rPr>
          <w:rFonts w:asciiTheme="minorHAnsi" w:hAnsiTheme="minorHAnsi" w:cstheme="minorHAnsi"/>
        </w:rPr>
        <w:t>calendar</w:t>
      </w:r>
      <w:r w:rsidR="00A97C78" w:rsidRPr="007D32BF">
        <w:rPr>
          <w:rFonts w:asciiTheme="minorHAnsi" w:hAnsiTheme="minorHAnsi" w:cstheme="minorHAnsi"/>
        </w:rPr>
        <w:t xml:space="preserve"> year</w:t>
      </w:r>
      <w:r w:rsidR="00A84579" w:rsidRPr="007D32BF">
        <w:rPr>
          <w:rFonts w:asciiTheme="minorHAnsi" w:hAnsiTheme="minorHAnsi" w:cstheme="minorHAnsi"/>
        </w:rPr>
        <w:t xml:space="preserve"> immediately prior to the year for which the levy is imposed</w:t>
      </w:r>
      <w:r w:rsidR="00BE1618">
        <w:rPr>
          <w:rFonts w:asciiTheme="minorHAnsi" w:hAnsiTheme="minorHAnsi" w:cstheme="minorHAnsi"/>
        </w:rPr>
        <w:t xml:space="preserve"> (the relevant year)</w:t>
      </w:r>
      <w:r w:rsidR="00A97C78" w:rsidRPr="007D32BF">
        <w:rPr>
          <w:rFonts w:asciiTheme="minorHAnsi" w:hAnsiTheme="minorHAnsi" w:cstheme="minorHAnsi"/>
        </w:rPr>
        <w:t xml:space="preserve"> </w:t>
      </w:r>
      <w:r w:rsidR="00491F56" w:rsidRPr="007D32BF">
        <w:rPr>
          <w:rFonts w:asciiTheme="minorHAnsi" w:hAnsiTheme="minorHAnsi" w:cstheme="minorHAnsi"/>
        </w:rPr>
        <w:t xml:space="preserve">are exempt from the requirement to pay the base fee component of the TPS levy. </w:t>
      </w:r>
      <w:r w:rsidR="00CF4636">
        <w:rPr>
          <w:rFonts w:asciiTheme="minorHAnsi" w:hAnsiTheme="minorHAnsi" w:cstheme="minorHAnsi"/>
        </w:rPr>
        <w:t>These registered schools</w:t>
      </w:r>
      <w:r w:rsidR="00730EF8">
        <w:rPr>
          <w:rFonts w:asciiTheme="minorHAnsi" w:hAnsiTheme="minorHAnsi" w:cstheme="minorHAnsi"/>
        </w:rPr>
        <w:t xml:space="preserve"> </w:t>
      </w:r>
      <w:r w:rsidR="00730EF8" w:rsidRPr="00730EF8">
        <w:rPr>
          <w:rFonts w:asciiTheme="minorHAnsi" w:hAnsiTheme="minorHAnsi" w:cstheme="minorHAnsi"/>
        </w:rPr>
        <w:t xml:space="preserve">did not receive any additional revenue from </w:t>
      </w:r>
      <w:r w:rsidR="00FC1660">
        <w:rPr>
          <w:rFonts w:asciiTheme="minorHAnsi" w:hAnsiTheme="minorHAnsi" w:cstheme="minorHAnsi"/>
        </w:rPr>
        <w:t>overseas</w:t>
      </w:r>
      <w:r w:rsidR="00730EF8" w:rsidRPr="00730EF8">
        <w:rPr>
          <w:rFonts w:asciiTheme="minorHAnsi" w:hAnsiTheme="minorHAnsi" w:cstheme="minorHAnsi"/>
        </w:rPr>
        <w:t xml:space="preserve"> student enrolments</w:t>
      </w:r>
      <w:r w:rsidR="00730EF8">
        <w:rPr>
          <w:rFonts w:asciiTheme="minorHAnsi" w:hAnsiTheme="minorHAnsi" w:cstheme="minorHAnsi"/>
        </w:rPr>
        <w:t xml:space="preserve"> in the relevant year</w:t>
      </w:r>
      <w:r w:rsidR="00250C26">
        <w:rPr>
          <w:rFonts w:asciiTheme="minorHAnsi" w:hAnsiTheme="minorHAnsi" w:cstheme="minorHAnsi"/>
        </w:rPr>
        <w:t>.</w:t>
      </w:r>
      <w:r w:rsidR="00730EF8" w:rsidRPr="00730EF8">
        <w:rPr>
          <w:rFonts w:asciiTheme="minorHAnsi" w:hAnsiTheme="minorHAnsi" w:cstheme="minorHAnsi"/>
        </w:rPr>
        <w:t xml:space="preserve"> </w:t>
      </w:r>
      <w:r w:rsidR="00250C26">
        <w:rPr>
          <w:rFonts w:asciiTheme="minorHAnsi" w:hAnsiTheme="minorHAnsi" w:cstheme="minorHAnsi"/>
        </w:rPr>
        <w:t xml:space="preserve">Noting this, </w:t>
      </w:r>
      <w:r w:rsidR="00730EF8" w:rsidRPr="00730EF8">
        <w:rPr>
          <w:rFonts w:asciiTheme="minorHAnsi" w:hAnsiTheme="minorHAnsi" w:cstheme="minorHAnsi"/>
        </w:rPr>
        <w:t>as an equity measure, the government has agreed to provide some relief to these providers by giving this exemption</w:t>
      </w:r>
      <w:r w:rsidR="00730EF8">
        <w:rPr>
          <w:rFonts w:asciiTheme="minorHAnsi" w:hAnsiTheme="minorHAnsi" w:cstheme="minorHAnsi"/>
        </w:rPr>
        <w:t>.</w:t>
      </w:r>
      <w:r w:rsidR="00730EF8" w:rsidRPr="00730EF8">
        <w:rPr>
          <w:rFonts w:asciiTheme="minorHAnsi" w:hAnsiTheme="minorHAnsi" w:cstheme="minorHAnsi"/>
        </w:rPr>
        <w:t xml:space="preserve"> </w:t>
      </w:r>
      <w:r w:rsidR="000D318C" w:rsidRPr="000D318C">
        <w:rPr>
          <w:rFonts w:asciiTheme="minorHAnsi" w:hAnsiTheme="minorHAnsi" w:cstheme="minorHAnsi"/>
        </w:rPr>
        <w:t xml:space="preserve">This </w:t>
      </w:r>
      <w:r w:rsidR="00250C26">
        <w:rPr>
          <w:rFonts w:asciiTheme="minorHAnsi" w:hAnsiTheme="minorHAnsi" w:cstheme="minorHAnsi"/>
        </w:rPr>
        <w:t xml:space="preserve">exemption also </w:t>
      </w:r>
      <w:r w:rsidR="000D318C" w:rsidRPr="000D318C">
        <w:rPr>
          <w:rFonts w:asciiTheme="minorHAnsi" w:hAnsiTheme="minorHAnsi" w:cstheme="minorHAnsi"/>
        </w:rPr>
        <w:t xml:space="preserve">recognises that many registered schools only enrol small numbers of </w:t>
      </w:r>
      <w:r w:rsidR="00FC1660">
        <w:rPr>
          <w:rFonts w:asciiTheme="minorHAnsi" w:hAnsiTheme="minorHAnsi" w:cstheme="minorHAnsi"/>
        </w:rPr>
        <w:t>overseas</w:t>
      </w:r>
      <w:r w:rsidR="000D318C" w:rsidRPr="000D318C">
        <w:rPr>
          <w:rFonts w:asciiTheme="minorHAnsi" w:hAnsiTheme="minorHAnsi" w:cstheme="minorHAnsi"/>
        </w:rPr>
        <w:t xml:space="preserve"> students from time to time as part of cultural enrichment and related programs. </w:t>
      </w:r>
    </w:p>
    <w:p w14:paraId="77272501" w14:textId="111CBFA2" w:rsidR="00491F56" w:rsidRDefault="00491F56" w:rsidP="00CA4B5B">
      <w:pPr>
        <w:spacing w:line="276" w:lineRule="auto"/>
        <w:rPr>
          <w:rFonts w:asciiTheme="minorHAnsi" w:hAnsiTheme="minorHAnsi" w:cstheme="minorHAnsi"/>
        </w:rPr>
      </w:pPr>
    </w:p>
    <w:p w14:paraId="16F07036" w14:textId="210D9099" w:rsidR="00D2588B" w:rsidRDefault="00D2588B" w:rsidP="00CA4B5B">
      <w:pPr>
        <w:spacing w:line="276" w:lineRule="auto"/>
        <w:rPr>
          <w:rFonts w:asciiTheme="minorHAnsi" w:hAnsiTheme="minorHAnsi" w:cstheme="minorHAnsi"/>
        </w:rPr>
      </w:pPr>
    </w:p>
    <w:p w14:paraId="20711447" w14:textId="77777777" w:rsidR="00D2588B" w:rsidRDefault="00D2588B" w:rsidP="00CA4B5B">
      <w:pPr>
        <w:spacing w:line="276" w:lineRule="auto"/>
        <w:rPr>
          <w:rFonts w:asciiTheme="minorHAnsi" w:hAnsiTheme="minorHAnsi" w:cstheme="minorHAnsi"/>
        </w:rPr>
      </w:pPr>
    </w:p>
    <w:p w14:paraId="4B85CB07" w14:textId="153EA6DB" w:rsidR="00491F56" w:rsidRPr="00064678" w:rsidRDefault="00491F56" w:rsidP="00CA4B5B">
      <w:pPr>
        <w:spacing w:line="276" w:lineRule="auto"/>
        <w:rPr>
          <w:rFonts w:asciiTheme="minorHAnsi" w:hAnsiTheme="minorHAnsi" w:cstheme="minorHAnsi"/>
          <w:b/>
          <w:bCs/>
          <w:u w:val="single"/>
        </w:rPr>
      </w:pPr>
      <w:r w:rsidRPr="00064678">
        <w:rPr>
          <w:rFonts w:asciiTheme="minorHAnsi" w:hAnsiTheme="minorHAnsi" w:cstheme="minorHAnsi"/>
          <w:b/>
          <w:bCs/>
          <w:u w:val="single"/>
        </w:rPr>
        <w:lastRenderedPageBreak/>
        <w:t xml:space="preserve">Section </w:t>
      </w:r>
      <w:r w:rsidR="0038031B">
        <w:rPr>
          <w:rFonts w:asciiTheme="minorHAnsi" w:hAnsiTheme="minorHAnsi" w:cstheme="minorHAnsi"/>
          <w:b/>
          <w:bCs/>
          <w:u w:val="single"/>
        </w:rPr>
        <w:t>6</w:t>
      </w:r>
      <w:r w:rsidR="006D59FB">
        <w:rPr>
          <w:rFonts w:asciiTheme="minorHAnsi" w:hAnsiTheme="minorHAnsi" w:cstheme="minorHAnsi"/>
          <w:b/>
          <w:bCs/>
          <w:u w:val="single"/>
        </w:rPr>
        <w:t>:</w:t>
      </w:r>
      <w:r w:rsidRPr="00064678">
        <w:rPr>
          <w:rFonts w:asciiTheme="minorHAnsi" w:hAnsiTheme="minorHAnsi" w:cstheme="minorHAnsi"/>
          <w:b/>
          <w:bCs/>
          <w:u w:val="single"/>
        </w:rPr>
        <w:t xml:space="preserve"> Risk rated premium component – exemption </w:t>
      </w:r>
    </w:p>
    <w:p w14:paraId="7207A281" w14:textId="77777777" w:rsidR="00491F56" w:rsidRPr="0020287E" w:rsidRDefault="00491F56" w:rsidP="00CA4B5B">
      <w:pPr>
        <w:spacing w:line="276" w:lineRule="auto"/>
        <w:rPr>
          <w:rFonts w:asciiTheme="minorHAnsi" w:hAnsiTheme="minorHAnsi" w:cstheme="minorHAnsi"/>
        </w:rPr>
      </w:pPr>
    </w:p>
    <w:p w14:paraId="25212136" w14:textId="3CEA6C9A" w:rsidR="00DF4EEA" w:rsidRPr="007D32BF" w:rsidRDefault="00491F56" w:rsidP="007D32BF">
      <w:pPr>
        <w:pStyle w:val="ListParagraph"/>
        <w:numPr>
          <w:ilvl w:val="0"/>
          <w:numId w:val="6"/>
        </w:numPr>
        <w:spacing w:line="276" w:lineRule="auto"/>
        <w:rPr>
          <w:rFonts w:asciiTheme="minorHAnsi" w:hAnsiTheme="minorHAnsi" w:cstheme="minorHAnsi"/>
        </w:rPr>
      </w:pPr>
      <w:r w:rsidRPr="007D32BF">
        <w:rPr>
          <w:rFonts w:asciiTheme="minorHAnsi" w:hAnsiTheme="minorHAnsi" w:cstheme="minorHAnsi"/>
        </w:rPr>
        <w:t xml:space="preserve">This section </w:t>
      </w:r>
      <w:r w:rsidR="00DD3B90">
        <w:rPr>
          <w:rFonts w:asciiTheme="minorHAnsi" w:hAnsiTheme="minorHAnsi" w:cstheme="minorHAnsi"/>
        </w:rPr>
        <w:t>provides</w:t>
      </w:r>
      <w:r w:rsidR="00DD3B90" w:rsidRPr="007D32BF">
        <w:rPr>
          <w:rFonts w:asciiTheme="minorHAnsi" w:hAnsiTheme="minorHAnsi" w:cstheme="minorHAnsi"/>
        </w:rPr>
        <w:t xml:space="preserve"> </w:t>
      </w:r>
      <w:r w:rsidRPr="007D32BF">
        <w:rPr>
          <w:rFonts w:asciiTheme="minorHAnsi" w:hAnsiTheme="minorHAnsi" w:cstheme="minorHAnsi"/>
        </w:rPr>
        <w:t xml:space="preserve">that Table A providers, government schools and State or Territory VET institutions are exempt from the requirement to pay the risk rated premium component of the TPS levy. </w:t>
      </w:r>
      <w:r w:rsidR="000D141A" w:rsidRPr="000D141A">
        <w:rPr>
          <w:rFonts w:asciiTheme="minorHAnsi" w:hAnsiTheme="minorHAnsi" w:cstheme="minorHAnsi"/>
        </w:rPr>
        <w:t>Th</w:t>
      </w:r>
      <w:r w:rsidR="000D141A">
        <w:rPr>
          <w:rFonts w:asciiTheme="minorHAnsi" w:hAnsiTheme="minorHAnsi" w:cstheme="minorHAnsi"/>
        </w:rPr>
        <w:t xml:space="preserve">is exemption recognises that these </w:t>
      </w:r>
      <w:r w:rsidR="000D141A" w:rsidRPr="000D141A">
        <w:rPr>
          <w:rFonts w:asciiTheme="minorHAnsi" w:hAnsiTheme="minorHAnsi" w:cstheme="minorHAnsi"/>
        </w:rPr>
        <w:t xml:space="preserve">public institutions are </w:t>
      </w:r>
      <w:r w:rsidR="00464D39" w:rsidRPr="00464D39">
        <w:rPr>
          <w:rFonts w:asciiTheme="minorHAnsi" w:hAnsiTheme="minorHAnsi" w:cstheme="minorHAnsi"/>
        </w:rPr>
        <w:t xml:space="preserve">at low risk of defaulting on obligations to students </w:t>
      </w:r>
      <w:r w:rsidR="00464D39">
        <w:rPr>
          <w:rFonts w:asciiTheme="minorHAnsi" w:hAnsiTheme="minorHAnsi" w:cstheme="minorHAnsi"/>
        </w:rPr>
        <w:t xml:space="preserve">as they are </w:t>
      </w:r>
      <w:r w:rsidR="000D141A" w:rsidRPr="000D141A">
        <w:rPr>
          <w:rFonts w:asciiTheme="minorHAnsi" w:hAnsiTheme="minorHAnsi" w:cstheme="minorHAnsi"/>
        </w:rPr>
        <w:t>effectively underwritten by government and</w:t>
      </w:r>
      <w:r w:rsidR="00810EC3">
        <w:rPr>
          <w:rFonts w:asciiTheme="minorHAnsi" w:hAnsiTheme="minorHAnsi" w:cstheme="minorHAnsi"/>
        </w:rPr>
        <w:t>, as such,</w:t>
      </w:r>
      <w:r w:rsidR="000D141A" w:rsidRPr="000D141A">
        <w:rPr>
          <w:rFonts w:asciiTheme="minorHAnsi" w:hAnsiTheme="minorHAnsi" w:cstheme="minorHAnsi"/>
        </w:rPr>
        <w:t xml:space="preserve"> present a negligible risk to the TPS.</w:t>
      </w:r>
    </w:p>
    <w:p w14:paraId="552DB565" w14:textId="5594B5A9" w:rsidR="00602672" w:rsidRPr="0020287E" w:rsidRDefault="00602672" w:rsidP="00CA4B5B">
      <w:pPr>
        <w:spacing w:line="276" w:lineRule="auto"/>
        <w:rPr>
          <w:rFonts w:asciiTheme="minorHAnsi" w:hAnsiTheme="minorHAnsi" w:cstheme="minorHAnsi"/>
        </w:rPr>
      </w:pPr>
    </w:p>
    <w:p w14:paraId="74C5D23C" w14:textId="641F4D51" w:rsidR="006455E6" w:rsidRPr="0020287E" w:rsidRDefault="006455E6" w:rsidP="00CA4B5B">
      <w:pPr>
        <w:spacing w:line="276" w:lineRule="auto"/>
        <w:rPr>
          <w:rFonts w:asciiTheme="minorHAnsi" w:hAnsiTheme="minorHAnsi" w:cstheme="minorHAnsi"/>
          <w:b/>
          <w:bCs/>
        </w:rPr>
      </w:pPr>
    </w:p>
    <w:sectPr w:rsidR="006455E6" w:rsidRPr="0020287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B97DF1" w14:textId="77777777" w:rsidR="00CB4420" w:rsidRDefault="00CB4420" w:rsidP="003C25EA">
      <w:r>
        <w:separator/>
      </w:r>
    </w:p>
  </w:endnote>
  <w:endnote w:type="continuationSeparator" w:id="0">
    <w:p w14:paraId="0D33D13D" w14:textId="77777777" w:rsidR="00CB4420" w:rsidRDefault="00CB4420" w:rsidP="003C2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F7079" w14:textId="77777777" w:rsidR="00CB4420" w:rsidRDefault="00CB4420" w:rsidP="003C25EA">
      <w:r>
        <w:separator/>
      </w:r>
    </w:p>
  </w:footnote>
  <w:footnote w:type="continuationSeparator" w:id="0">
    <w:p w14:paraId="7A659135" w14:textId="77777777" w:rsidR="00CB4420" w:rsidRDefault="00CB4420" w:rsidP="003C25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56B14"/>
    <w:multiLevelType w:val="hybridMultilevel"/>
    <w:tmpl w:val="7ACC65B6"/>
    <w:lvl w:ilvl="0" w:tplc="C3C25FC8">
      <w:start w:val="1"/>
      <w:numFmt w:val="decimal"/>
      <w:lvlText w:val="%1."/>
      <w:lvlJc w:val="left"/>
      <w:pPr>
        <w:ind w:left="786" w:hanging="360"/>
      </w:pPr>
      <w:rPr>
        <w:rFonts w:hint="default"/>
      </w:rPr>
    </w:lvl>
    <w:lvl w:ilvl="1" w:tplc="DE3C4ADE" w:tentative="1">
      <w:start w:val="1"/>
      <w:numFmt w:val="lowerLetter"/>
      <w:lvlText w:val="%2."/>
      <w:lvlJc w:val="left"/>
      <w:pPr>
        <w:ind w:left="1137" w:hanging="360"/>
      </w:pPr>
    </w:lvl>
    <w:lvl w:ilvl="2" w:tplc="BB1E14FA" w:tentative="1">
      <w:start w:val="1"/>
      <w:numFmt w:val="lowerRoman"/>
      <w:lvlText w:val="%3."/>
      <w:lvlJc w:val="right"/>
      <w:pPr>
        <w:ind w:left="1857" w:hanging="180"/>
      </w:pPr>
    </w:lvl>
    <w:lvl w:ilvl="3" w:tplc="2C4CAB7C" w:tentative="1">
      <w:start w:val="1"/>
      <w:numFmt w:val="decimal"/>
      <w:lvlText w:val="%4."/>
      <w:lvlJc w:val="left"/>
      <w:pPr>
        <w:ind w:left="2577" w:hanging="360"/>
      </w:pPr>
    </w:lvl>
    <w:lvl w:ilvl="4" w:tplc="4E8A576E" w:tentative="1">
      <w:start w:val="1"/>
      <w:numFmt w:val="lowerLetter"/>
      <w:lvlText w:val="%5."/>
      <w:lvlJc w:val="left"/>
      <w:pPr>
        <w:ind w:left="3297" w:hanging="360"/>
      </w:pPr>
    </w:lvl>
    <w:lvl w:ilvl="5" w:tplc="6CFECD2C" w:tentative="1">
      <w:start w:val="1"/>
      <w:numFmt w:val="lowerRoman"/>
      <w:lvlText w:val="%6."/>
      <w:lvlJc w:val="right"/>
      <w:pPr>
        <w:ind w:left="4017" w:hanging="180"/>
      </w:pPr>
    </w:lvl>
    <w:lvl w:ilvl="6" w:tplc="96AA7BFE" w:tentative="1">
      <w:start w:val="1"/>
      <w:numFmt w:val="decimal"/>
      <w:lvlText w:val="%7."/>
      <w:lvlJc w:val="left"/>
      <w:pPr>
        <w:ind w:left="4737" w:hanging="360"/>
      </w:pPr>
    </w:lvl>
    <w:lvl w:ilvl="7" w:tplc="37E01400" w:tentative="1">
      <w:start w:val="1"/>
      <w:numFmt w:val="lowerLetter"/>
      <w:lvlText w:val="%8."/>
      <w:lvlJc w:val="left"/>
      <w:pPr>
        <w:ind w:left="5457" w:hanging="360"/>
      </w:pPr>
    </w:lvl>
    <w:lvl w:ilvl="8" w:tplc="BBD42382" w:tentative="1">
      <w:start w:val="1"/>
      <w:numFmt w:val="lowerRoman"/>
      <w:lvlText w:val="%9."/>
      <w:lvlJc w:val="right"/>
      <w:pPr>
        <w:ind w:left="6177" w:hanging="180"/>
      </w:pPr>
    </w:lvl>
  </w:abstractNum>
  <w:abstractNum w:abstractNumId="1" w15:restartNumberingAfterBreak="0">
    <w:nsid w:val="0E093345"/>
    <w:multiLevelType w:val="hybridMultilevel"/>
    <w:tmpl w:val="CBC0FC86"/>
    <w:lvl w:ilvl="0" w:tplc="0C09000F">
      <w:start w:val="1"/>
      <w:numFmt w:val="decimal"/>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25627E9"/>
    <w:multiLevelType w:val="hybridMultilevel"/>
    <w:tmpl w:val="9904D0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38212AA"/>
    <w:multiLevelType w:val="hybridMultilevel"/>
    <w:tmpl w:val="7BAC1D4E"/>
    <w:lvl w:ilvl="0" w:tplc="FF9A6132">
      <w:start w:val="1"/>
      <w:numFmt w:val="decimal"/>
      <w:lvlText w:val="%1."/>
      <w:lvlJc w:val="left"/>
      <w:pPr>
        <w:ind w:left="-207" w:hanging="360"/>
      </w:pPr>
      <w:rPr>
        <w:rFonts w:hint="default"/>
      </w:rPr>
    </w:lvl>
    <w:lvl w:ilvl="1" w:tplc="0C090001">
      <w:start w:val="1"/>
      <w:numFmt w:val="bullet"/>
      <w:lvlText w:val=""/>
      <w:lvlJc w:val="left"/>
      <w:pPr>
        <w:ind w:left="786" w:hanging="360"/>
      </w:pPr>
      <w:rPr>
        <w:rFonts w:ascii="Symbol" w:hAnsi="Symbol" w:hint="default"/>
      </w:rPr>
    </w:lvl>
    <w:lvl w:ilvl="2" w:tplc="4A4E11B6">
      <w:start w:val="1"/>
      <w:numFmt w:val="lowerRoman"/>
      <w:lvlText w:val="%3."/>
      <w:lvlJc w:val="right"/>
      <w:pPr>
        <w:ind w:left="1233" w:hanging="180"/>
      </w:pPr>
    </w:lvl>
    <w:lvl w:ilvl="3" w:tplc="B2144CF2" w:tentative="1">
      <w:start w:val="1"/>
      <w:numFmt w:val="decimal"/>
      <w:lvlText w:val="%4."/>
      <w:lvlJc w:val="left"/>
      <w:pPr>
        <w:ind w:left="1953" w:hanging="360"/>
      </w:pPr>
    </w:lvl>
    <w:lvl w:ilvl="4" w:tplc="6BDE92FE" w:tentative="1">
      <w:start w:val="1"/>
      <w:numFmt w:val="lowerLetter"/>
      <w:lvlText w:val="%5."/>
      <w:lvlJc w:val="left"/>
      <w:pPr>
        <w:ind w:left="2673" w:hanging="360"/>
      </w:pPr>
    </w:lvl>
    <w:lvl w:ilvl="5" w:tplc="B8E6FA2A" w:tentative="1">
      <w:start w:val="1"/>
      <w:numFmt w:val="lowerRoman"/>
      <w:lvlText w:val="%6."/>
      <w:lvlJc w:val="right"/>
      <w:pPr>
        <w:ind w:left="3393" w:hanging="180"/>
      </w:pPr>
    </w:lvl>
    <w:lvl w:ilvl="6" w:tplc="D1FA0320" w:tentative="1">
      <w:start w:val="1"/>
      <w:numFmt w:val="decimal"/>
      <w:lvlText w:val="%7."/>
      <w:lvlJc w:val="left"/>
      <w:pPr>
        <w:ind w:left="4113" w:hanging="360"/>
      </w:pPr>
    </w:lvl>
    <w:lvl w:ilvl="7" w:tplc="42308250" w:tentative="1">
      <w:start w:val="1"/>
      <w:numFmt w:val="lowerLetter"/>
      <w:lvlText w:val="%8."/>
      <w:lvlJc w:val="left"/>
      <w:pPr>
        <w:ind w:left="4833" w:hanging="360"/>
      </w:pPr>
    </w:lvl>
    <w:lvl w:ilvl="8" w:tplc="9E86EA16" w:tentative="1">
      <w:start w:val="1"/>
      <w:numFmt w:val="lowerRoman"/>
      <w:lvlText w:val="%9."/>
      <w:lvlJc w:val="right"/>
      <w:pPr>
        <w:ind w:left="5553" w:hanging="180"/>
      </w:pPr>
    </w:lvl>
  </w:abstractNum>
  <w:abstractNum w:abstractNumId="4" w15:restartNumberingAfterBreak="0">
    <w:nsid w:val="1EDB6A73"/>
    <w:multiLevelType w:val="hybridMultilevel"/>
    <w:tmpl w:val="AB52EBFC"/>
    <w:lvl w:ilvl="0" w:tplc="0C090001">
      <w:numFmt w:val="bullet"/>
      <w:lvlText w:val=""/>
      <w:lvlJc w:val="left"/>
      <w:pPr>
        <w:ind w:left="720" w:hanging="360"/>
      </w:pPr>
      <w:rPr>
        <w:rFonts w:ascii="Symbol" w:eastAsia="Times New Roman"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20CD1D4E"/>
    <w:multiLevelType w:val="hybridMultilevel"/>
    <w:tmpl w:val="4F4C947A"/>
    <w:lvl w:ilvl="0" w:tplc="9C982366">
      <w:start w:val="1"/>
      <w:numFmt w:val="decimal"/>
      <w:lvlText w:val="%1."/>
      <w:lvlJc w:val="left"/>
      <w:pPr>
        <w:ind w:left="720" w:hanging="360"/>
      </w:pPr>
      <w:rPr>
        <w:rFonts w:hint="default"/>
        <w:b w:val="0"/>
        <w:bCs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3202B65"/>
    <w:multiLevelType w:val="hybridMultilevel"/>
    <w:tmpl w:val="1C52C45A"/>
    <w:lvl w:ilvl="0" w:tplc="0C090001">
      <w:start w:val="1"/>
      <w:numFmt w:val="bullet"/>
      <w:lvlText w:val=""/>
      <w:lvlJc w:val="left"/>
      <w:pPr>
        <w:ind w:left="770" w:hanging="360"/>
      </w:pPr>
      <w:rPr>
        <w:rFonts w:ascii="Symbol" w:hAnsi="Symbol" w:hint="default"/>
      </w:rPr>
    </w:lvl>
    <w:lvl w:ilvl="1" w:tplc="0C090003">
      <w:start w:val="1"/>
      <w:numFmt w:val="bullet"/>
      <w:lvlText w:val="o"/>
      <w:lvlJc w:val="left"/>
      <w:pPr>
        <w:ind w:left="1490" w:hanging="360"/>
      </w:pPr>
      <w:rPr>
        <w:rFonts w:ascii="Courier New" w:hAnsi="Courier New" w:cs="Courier New" w:hint="default"/>
      </w:rPr>
    </w:lvl>
    <w:lvl w:ilvl="2" w:tplc="0C090005">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7" w15:restartNumberingAfterBreak="0">
    <w:nsid w:val="34931CBE"/>
    <w:multiLevelType w:val="hybridMultilevel"/>
    <w:tmpl w:val="6C9C20DA"/>
    <w:lvl w:ilvl="0" w:tplc="43580D28">
      <w:start w:val="1"/>
      <w:numFmt w:val="decimal"/>
      <w:lvlText w:val="%1."/>
      <w:lvlJc w:val="left"/>
      <w:pPr>
        <w:ind w:left="777" w:hanging="360"/>
      </w:pPr>
      <w:rPr>
        <w:rFonts w:hint="default"/>
      </w:rPr>
    </w:lvl>
    <w:lvl w:ilvl="1" w:tplc="0C090017">
      <w:start w:val="1"/>
      <w:numFmt w:val="lowerLetter"/>
      <w:lvlText w:val="%2)"/>
      <w:lvlJc w:val="left"/>
      <w:pPr>
        <w:ind w:left="1497" w:hanging="360"/>
      </w:pPr>
      <w:rPr>
        <w:rFonts w:hint="default"/>
      </w:rPr>
    </w:lvl>
    <w:lvl w:ilvl="2" w:tplc="0C09001B">
      <w:start w:val="1"/>
      <w:numFmt w:val="lowerRoman"/>
      <w:lvlText w:val="%3."/>
      <w:lvlJc w:val="right"/>
      <w:pPr>
        <w:ind w:left="2217" w:hanging="180"/>
      </w:pPr>
    </w:lvl>
    <w:lvl w:ilvl="3" w:tplc="0C09001B">
      <w:start w:val="1"/>
      <w:numFmt w:val="lowerRoman"/>
      <w:lvlText w:val="%4."/>
      <w:lvlJc w:val="righ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8" w15:restartNumberingAfterBreak="0">
    <w:nsid w:val="493A7DFA"/>
    <w:multiLevelType w:val="hybridMultilevel"/>
    <w:tmpl w:val="6A6C1AEC"/>
    <w:lvl w:ilvl="0" w:tplc="DCF43714">
      <w:start w:val="1"/>
      <w:numFmt w:val="lowerLetter"/>
      <w:lvlText w:val="(%1)"/>
      <w:lvlJc w:val="left"/>
      <w:pPr>
        <w:ind w:left="1755" w:hanging="360"/>
      </w:pPr>
      <w:rPr>
        <w:rFonts w:hint="default"/>
      </w:rPr>
    </w:lvl>
    <w:lvl w:ilvl="1" w:tplc="0C090019" w:tentative="1">
      <w:start w:val="1"/>
      <w:numFmt w:val="lowerLetter"/>
      <w:lvlText w:val="%2."/>
      <w:lvlJc w:val="left"/>
      <w:pPr>
        <w:ind w:left="2475" w:hanging="360"/>
      </w:pPr>
    </w:lvl>
    <w:lvl w:ilvl="2" w:tplc="0C09001B" w:tentative="1">
      <w:start w:val="1"/>
      <w:numFmt w:val="lowerRoman"/>
      <w:lvlText w:val="%3."/>
      <w:lvlJc w:val="right"/>
      <w:pPr>
        <w:ind w:left="3195" w:hanging="180"/>
      </w:pPr>
    </w:lvl>
    <w:lvl w:ilvl="3" w:tplc="0C09000F" w:tentative="1">
      <w:start w:val="1"/>
      <w:numFmt w:val="decimal"/>
      <w:lvlText w:val="%4."/>
      <w:lvlJc w:val="left"/>
      <w:pPr>
        <w:ind w:left="3915" w:hanging="360"/>
      </w:pPr>
    </w:lvl>
    <w:lvl w:ilvl="4" w:tplc="0C090019" w:tentative="1">
      <w:start w:val="1"/>
      <w:numFmt w:val="lowerLetter"/>
      <w:lvlText w:val="%5."/>
      <w:lvlJc w:val="left"/>
      <w:pPr>
        <w:ind w:left="4635" w:hanging="360"/>
      </w:pPr>
    </w:lvl>
    <w:lvl w:ilvl="5" w:tplc="0C09001B" w:tentative="1">
      <w:start w:val="1"/>
      <w:numFmt w:val="lowerRoman"/>
      <w:lvlText w:val="%6."/>
      <w:lvlJc w:val="right"/>
      <w:pPr>
        <w:ind w:left="5355" w:hanging="180"/>
      </w:pPr>
    </w:lvl>
    <w:lvl w:ilvl="6" w:tplc="0C09000F" w:tentative="1">
      <w:start w:val="1"/>
      <w:numFmt w:val="decimal"/>
      <w:lvlText w:val="%7."/>
      <w:lvlJc w:val="left"/>
      <w:pPr>
        <w:ind w:left="6075" w:hanging="360"/>
      </w:pPr>
    </w:lvl>
    <w:lvl w:ilvl="7" w:tplc="0C090019" w:tentative="1">
      <w:start w:val="1"/>
      <w:numFmt w:val="lowerLetter"/>
      <w:lvlText w:val="%8."/>
      <w:lvlJc w:val="left"/>
      <w:pPr>
        <w:ind w:left="6795" w:hanging="360"/>
      </w:pPr>
    </w:lvl>
    <w:lvl w:ilvl="8" w:tplc="0C09001B" w:tentative="1">
      <w:start w:val="1"/>
      <w:numFmt w:val="lowerRoman"/>
      <w:lvlText w:val="%9."/>
      <w:lvlJc w:val="right"/>
      <w:pPr>
        <w:ind w:left="7515" w:hanging="180"/>
      </w:pPr>
    </w:lvl>
  </w:abstractNum>
  <w:abstractNum w:abstractNumId="9" w15:restartNumberingAfterBreak="0">
    <w:nsid w:val="4954543B"/>
    <w:multiLevelType w:val="hybridMultilevel"/>
    <w:tmpl w:val="24F66C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507A1413"/>
    <w:multiLevelType w:val="hybridMultilevel"/>
    <w:tmpl w:val="D31C6A64"/>
    <w:lvl w:ilvl="0" w:tplc="0C09000F">
      <w:start w:val="1"/>
      <w:numFmt w:val="decimal"/>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3A17CFA"/>
    <w:multiLevelType w:val="multilevel"/>
    <w:tmpl w:val="CC9E3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5A0FA8"/>
    <w:multiLevelType w:val="hybridMultilevel"/>
    <w:tmpl w:val="98C0903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5B104FCE"/>
    <w:multiLevelType w:val="hybridMultilevel"/>
    <w:tmpl w:val="9348C6FC"/>
    <w:lvl w:ilvl="0" w:tplc="FF9A6132">
      <w:start w:val="1"/>
      <w:numFmt w:val="decimal"/>
      <w:pStyle w:val="MBPoint"/>
      <w:lvlText w:val="%1."/>
      <w:lvlJc w:val="left"/>
      <w:pPr>
        <w:ind w:left="-207" w:hanging="360"/>
      </w:pPr>
      <w:rPr>
        <w:rFonts w:hint="default"/>
      </w:rPr>
    </w:lvl>
    <w:lvl w:ilvl="1" w:tplc="1F54327C">
      <w:start w:val="1"/>
      <w:numFmt w:val="lowerLetter"/>
      <w:pStyle w:val="MBPointSub"/>
      <w:lvlText w:val="%2."/>
      <w:lvlJc w:val="left"/>
      <w:pPr>
        <w:ind w:left="786" w:hanging="360"/>
      </w:pPr>
    </w:lvl>
    <w:lvl w:ilvl="2" w:tplc="4A4E11B6">
      <w:start w:val="1"/>
      <w:numFmt w:val="lowerRoman"/>
      <w:lvlText w:val="%3."/>
      <w:lvlJc w:val="right"/>
      <w:pPr>
        <w:ind w:left="1233" w:hanging="180"/>
      </w:pPr>
    </w:lvl>
    <w:lvl w:ilvl="3" w:tplc="B2144CF2" w:tentative="1">
      <w:start w:val="1"/>
      <w:numFmt w:val="decimal"/>
      <w:lvlText w:val="%4."/>
      <w:lvlJc w:val="left"/>
      <w:pPr>
        <w:ind w:left="1953" w:hanging="360"/>
      </w:pPr>
    </w:lvl>
    <w:lvl w:ilvl="4" w:tplc="6BDE92FE" w:tentative="1">
      <w:start w:val="1"/>
      <w:numFmt w:val="lowerLetter"/>
      <w:lvlText w:val="%5."/>
      <w:lvlJc w:val="left"/>
      <w:pPr>
        <w:ind w:left="2673" w:hanging="360"/>
      </w:pPr>
    </w:lvl>
    <w:lvl w:ilvl="5" w:tplc="B8E6FA2A" w:tentative="1">
      <w:start w:val="1"/>
      <w:numFmt w:val="lowerRoman"/>
      <w:lvlText w:val="%6."/>
      <w:lvlJc w:val="right"/>
      <w:pPr>
        <w:ind w:left="3393" w:hanging="180"/>
      </w:pPr>
    </w:lvl>
    <w:lvl w:ilvl="6" w:tplc="D1FA0320" w:tentative="1">
      <w:start w:val="1"/>
      <w:numFmt w:val="decimal"/>
      <w:lvlText w:val="%7."/>
      <w:lvlJc w:val="left"/>
      <w:pPr>
        <w:ind w:left="4113" w:hanging="360"/>
      </w:pPr>
    </w:lvl>
    <w:lvl w:ilvl="7" w:tplc="42308250" w:tentative="1">
      <w:start w:val="1"/>
      <w:numFmt w:val="lowerLetter"/>
      <w:lvlText w:val="%8."/>
      <w:lvlJc w:val="left"/>
      <w:pPr>
        <w:ind w:left="4833" w:hanging="360"/>
      </w:pPr>
    </w:lvl>
    <w:lvl w:ilvl="8" w:tplc="9E86EA16" w:tentative="1">
      <w:start w:val="1"/>
      <w:numFmt w:val="lowerRoman"/>
      <w:lvlText w:val="%9."/>
      <w:lvlJc w:val="right"/>
      <w:pPr>
        <w:ind w:left="5553" w:hanging="180"/>
      </w:pPr>
    </w:lvl>
  </w:abstractNum>
  <w:abstractNum w:abstractNumId="14" w15:restartNumberingAfterBreak="0">
    <w:nsid w:val="66D96E3D"/>
    <w:multiLevelType w:val="hybridMultilevel"/>
    <w:tmpl w:val="E5105C60"/>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8DA09F4"/>
    <w:multiLevelType w:val="hybridMultilevel"/>
    <w:tmpl w:val="145E9E00"/>
    <w:lvl w:ilvl="0" w:tplc="FF9A6132">
      <w:start w:val="1"/>
      <w:numFmt w:val="decimal"/>
      <w:lvlText w:val="%1."/>
      <w:lvlJc w:val="left"/>
      <w:pPr>
        <w:ind w:left="-207" w:hanging="360"/>
      </w:pPr>
      <w:rPr>
        <w:rFonts w:hint="default"/>
      </w:rPr>
    </w:lvl>
    <w:lvl w:ilvl="1" w:tplc="0C090001">
      <w:start w:val="1"/>
      <w:numFmt w:val="bullet"/>
      <w:lvlText w:val=""/>
      <w:lvlJc w:val="left"/>
      <w:pPr>
        <w:ind w:left="786" w:hanging="360"/>
      </w:pPr>
      <w:rPr>
        <w:rFonts w:ascii="Symbol" w:hAnsi="Symbol" w:hint="default"/>
      </w:rPr>
    </w:lvl>
    <w:lvl w:ilvl="2" w:tplc="4A4E11B6">
      <w:start w:val="1"/>
      <w:numFmt w:val="lowerRoman"/>
      <w:lvlText w:val="%3."/>
      <w:lvlJc w:val="right"/>
      <w:pPr>
        <w:ind w:left="1233" w:hanging="180"/>
      </w:pPr>
    </w:lvl>
    <w:lvl w:ilvl="3" w:tplc="B2144CF2" w:tentative="1">
      <w:start w:val="1"/>
      <w:numFmt w:val="decimal"/>
      <w:lvlText w:val="%4."/>
      <w:lvlJc w:val="left"/>
      <w:pPr>
        <w:ind w:left="1953" w:hanging="360"/>
      </w:pPr>
    </w:lvl>
    <w:lvl w:ilvl="4" w:tplc="6BDE92FE" w:tentative="1">
      <w:start w:val="1"/>
      <w:numFmt w:val="lowerLetter"/>
      <w:lvlText w:val="%5."/>
      <w:lvlJc w:val="left"/>
      <w:pPr>
        <w:ind w:left="2673" w:hanging="360"/>
      </w:pPr>
    </w:lvl>
    <w:lvl w:ilvl="5" w:tplc="B8E6FA2A" w:tentative="1">
      <w:start w:val="1"/>
      <w:numFmt w:val="lowerRoman"/>
      <w:lvlText w:val="%6."/>
      <w:lvlJc w:val="right"/>
      <w:pPr>
        <w:ind w:left="3393" w:hanging="180"/>
      </w:pPr>
    </w:lvl>
    <w:lvl w:ilvl="6" w:tplc="D1FA0320" w:tentative="1">
      <w:start w:val="1"/>
      <w:numFmt w:val="decimal"/>
      <w:lvlText w:val="%7."/>
      <w:lvlJc w:val="left"/>
      <w:pPr>
        <w:ind w:left="4113" w:hanging="360"/>
      </w:pPr>
    </w:lvl>
    <w:lvl w:ilvl="7" w:tplc="42308250" w:tentative="1">
      <w:start w:val="1"/>
      <w:numFmt w:val="lowerLetter"/>
      <w:lvlText w:val="%8."/>
      <w:lvlJc w:val="left"/>
      <w:pPr>
        <w:ind w:left="4833" w:hanging="360"/>
      </w:pPr>
    </w:lvl>
    <w:lvl w:ilvl="8" w:tplc="9E86EA16" w:tentative="1">
      <w:start w:val="1"/>
      <w:numFmt w:val="lowerRoman"/>
      <w:lvlText w:val="%9."/>
      <w:lvlJc w:val="right"/>
      <w:pPr>
        <w:ind w:left="5553" w:hanging="180"/>
      </w:pPr>
    </w:lvl>
  </w:abstractNum>
  <w:num w:numId="1">
    <w:abstractNumId w:val="14"/>
  </w:num>
  <w:num w:numId="2">
    <w:abstractNumId w:val="12"/>
  </w:num>
  <w:num w:numId="3">
    <w:abstractNumId w:val="8"/>
  </w:num>
  <w:num w:numId="4">
    <w:abstractNumId w:val="4"/>
  </w:num>
  <w:num w:numId="5">
    <w:abstractNumId w:val="10"/>
  </w:num>
  <w:num w:numId="6">
    <w:abstractNumId w:val="5"/>
  </w:num>
  <w:num w:numId="7">
    <w:abstractNumId w:val="1"/>
  </w:num>
  <w:num w:numId="8">
    <w:abstractNumId w:val="2"/>
  </w:num>
  <w:num w:numId="9">
    <w:abstractNumId w:val="9"/>
  </w:num>
  <w:num w:numId="10">
    <w:abstractNumId w:val="6"/>
  </w:num>
  <w:num w:numId="11">
    <w:abstractNumId w:val="13"/>
  </w:num>
  <w:num w:numId="12">
    <w:abstractNumId w:val="3"/>
  </w:num>
  <w:num w:numId="13">
    <w:abstractNumId w:val="15"/>
  </w:num>
  <w:num w:numId="14">
    <w:abstractNumId w:val="11"/>
  </w:num>
  <w:num w:numId="15">
    <w:abstractNumId w:val="0"/>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4E8"/>
    <w:rsid w:val="00002601"/>
    <w:rsid w:val="00014A7E"/>
    <w:rsid w:val="00017744"/>
    <w:rsid w:val="00024BB6"/>
    <w:rsid w:val="00045611"/>
    <w:rsid w:val="0004737B"/>
    <w:rsid w:val="00057B35"/>
    <w:rsid w:val="00063C7D"/>
    <w:rsid w:val="00064678"/>
    <w:rsid w:val="00065D21"/>
    <w:rsid w:val="000750F1"/>
    <w:rsid w:val="00081215"/>
    <w:rsid w:val="00090C67"/>
    <w:rsid w:val="00091AEF"/>
    <w:rsid w:val="00092F8C"/>
    <w:rsid w:val="000B059C"/>
    <w:rsid w:val="000B25FC"/>
    <w:rsid w:val="000C0D06"/>
    <w:rsid w:val="000C485A"/>
    <w:rsid w:val="000C57CC"/>
    <w:rsid w:val="000D141A"/>
    <w:rsid w:val="000D318C"/>
    <w:rsid w:val="000D3193"/>
    <w:rsid w:val="000D3E79"/>
    <w:rsid w:val="000D429C"/>
    <w:rsid w:val="000D47D7"/>
    <w:rsid w:val="000E0596"/>
    <w:rsid w:val="000E2874"/>
    <w:rsid w:val="000E3B73"/>
    <w:rsid w:val="000F3138"/>
    <w:rsid w:val="000F3237"/>
    <w:rsid w:val="000F393B"/>
    <w:rsid w:val="000F3ADD"/>
    <w:rsid w:val="000F4561"/>
    <w:rsid w:val="000F4BBE"/>
    <w:rsid w:val="0010163F"/>
    <w:rsid w:val="00104826"/>
    <w:rsid w:val="00107006"/>
    <w:rsid w:val="00110E3E"/>
    <w:rsid w:val="001117B6"/>
    <w:rsid w:val="00123BA4"/>
    <w:rsid w:val="00127A36"/>
    <w:rsid w:val="00132606"/>
    <w:rsid w:val="00133985"/>
    <w:rsid w:val="001364E8"/>
    <w:rsid w:val="00136C61"/>
    <w:rsid w:val="001427C4"/>
    <w:rsid w:val="00143121"/>
    <w:rsid w:val="00147A67"/>
    <w:rsid w:val="00161D80"/>
    <w:rsid w:val="00172B31"/>
    <w:rsid w:val="00172D86"/>
    <w:rsid w:val="001731BF"/>
    <w:rsid w:val="00177ED8"/>
    <w:rsid w:val="00184A02"/>
    <w:rsid w:val="00186490"/>
    <w:rsid w:val="00193DEB"/>
    <w:rsid w:val="001A1116"/>
    <w:rsid w:val="001A3F33"/>
    <w:rsid w:val="001C676F"/>
    <w:rsid w:val="001D3B28"/>
    <w:rsid w:val="001D4700"/>
    <w:rsid w:val="001E23CF"/>
    <w:rsid w:val="001F16D5"/>
    <w:rsid w:val="001F219F"/>
    <w:rsid w:val="001F5063"/>
    <w:rsid w:val="002001B5"/>
    <w:rsid w:val="0020100C"/>
    <w:rsid w:val="0020287E"/>
    <w:rsid w:val="002051C2"/>
    <w:rsid w:val="00211864"/>
    <w:rsid w:val="002125FB"/>
    <w:rsid w:val="00214D49"/>
    <w:rsid w:val="00214E6C"/>
    <w:rsid w:val="00215075"/>
    <w:rsid w:val="00216356"/>
    <w:rsid w:val="002167F6"/>
    <w:rsid w:val="00224EF1"/>
    <w:rsid w:val="00225BD5"/>
    <w:rsid w:val="00250C26"/>
    <w:rsid w:val="00250CB6"/>
    <w:rsid w:val="00250E8F"/>
    <w:rsid w:val="00257998"/>
    <w:rsid w:val="002830F7"/>
    <w:rsid w:val="0028432E"/>
    <w:rsid w:val="00290A6F"/>
    <w:rsid w:val="002950D8"/>
    <w:rsid w:val="00296136"/>
    <w:rsid w:val="002A047B"/>
    <w:rsid w:val="002A1DBE"/>
    <w:rsid w:val="002A2DBE"/>
    <w:rsid w:val="002B4D55"/>
    <w:rsid w:val="002C4EA8"/>
    <w:rsid w:val="002C5517"/>
    <w:rsid w:val="002E014B"/>
    <w:rsid w:val="002E1DBE"/>
    <w:rsid w:val="002F29B1"/>
    <w:rsid w:val="002F31A7"/>
    <w:rsid w:val="002F4FCE"/>
    <w:rsid w:val="002F5582"/>
    <w:rsid w:val="003004BB"/>
    <w:rsid w:val="00306E6C"/>
    <w:rsid w:val="003107B9"/>
    <w:rsid w:val="00325AE3"/>
    <w:rsid w:val="003358F0"/>
    <w:rsid w:val="003372CD"/>
    <w:rsid w:val="00354C84"/>
    <w:rsid w:val="00372915"/>
    <w:rsid w:val="00376C30"/>
    <w:rsid w:val="0038031B"/>
    <w:rsid w:val="003821C9"/>
    <w:rsid w:val="00391CCB"/>
    <w:rsid w:val="003963EB"/>
    <w:rsid w:val="003A4DA4"/>
    <w:rsid w:val="003B70ED"/>
    <w:rsid w:val="003C25EA"/>
    <w:rsid w:val="003C56AC"/>
    <w:rsid w:val="003D0629"/>
    <w:rsid w:val="003D4B9D"/>
    <w:rsid w:val="003E2271"/>
    <w:rsid w:val="003F2206"/>
    <w:rsid w:val="004011B5"/>
    <w:rsid w:val="00401F1B"/>
    <w:rsid w:val="00404DB6"/>
    <w:rsid w:val="00405523"/>
    <w:rsid w:val="00405603"/>
    <w:rsid w:val="00417B5A"/>
    <w:rsid w:val="00425150"/>
    <w:rsid w:val="00426C15"/>
    <w:rsid w:val="0043233B"/>
    <w:rsid w:val="00435F05"/>
    <w:rsid w:val="00440E00"/>
    <w:rsid w:val="004416AB"/>
    <w:rsid w:val="004525D0"/>
    <w:rsid w:val="00457D2A"/>
    <w:rsid w:val="00460F37"/>
    <w:rsid w:val="00464D39"/>
    <w:rsid w:val="00465E3B"/>
    <w:rsid w:val="00485835"/>
    <w:rsid w:val="00486209"/>
    <w:rsid w:val="00487C2B"/>
    <w:rsid w:val="004905C6"/>
    <w:rsid w:val="00491F56"/>
    <w:rsid w:val="0049568F"/>
    <w:rsid w:val="00495B84"/>
    <w:rsid w:val="004A372F"/>
    <w:rsid w:val="004A37F6"/>
    <w:rsid w:val="004A3C3F"/>
    <w:rsid w:val="004A4B8F"/>
    <w:rsid w:val="004B041E"/>
    <w:rsid w:val="004B1654"/>
    <w:rsid w:val="004D00C3"/>
    <w:rsid w:val="004D4933"/>
    <w:rsid w:val="004D5491"/>
    <w:rsid w:val="004E0146"/>
    <w:rsid w:val="004E162B"/>
    <w:rsid w:val="004F0BA8"/>
    <w:rsid w:val="004F4E75"/>
    <w:rsid w:val="004F54F0"/>
    <w:rsid w:val="004F55BB"/>
    <w:rsid w:val="0050221A"/>
    <w:rsid w:val="005022E5"/>
    <w:rsid w:val="00504D6B"/>
    <w:rsid w:val="00505DB8"/>
    <w:rsid w:val="00514D16"/>
    <w:rsid w:val="005166B4"/>
    <w:rsid w:val="00520F10"/>
    <w:rsid w:val="00521909"/>
    <w:rsid w:val="0052382A"/>
    <w:rsid w:val="005249AA"/>
    <w:rsid w:val="00524D97"/>
    <w:rsid w:val="0054004B"/>
    <w:rsid w:val="00541214"/>
    <w:rsid w:val="00544256"/>
    <w:rsid w:val="00547E93"/>
    <w:rsid w:val="00557DA5"/>
    <w:rsid w:val="00566E8C"/>
    <w:rsid w:val="00572EA1"/>
    <w:rsid w:val="00575C71"/>
    <w:rsid w:val="00582128"/>
    <w:rsid w:val="00585325"/>
    <w:rsid w:val="0059148E"/>
    <w:rsid w:val="00595EB6"/>
    <w:rsid w:val="005A00D7"/>
    <w:rsid w:val="005A79B1"/>
    <w:rsid w:val="005B2577"/>
    <w:rsid w:val="005B269B"/>
    <w:rsid w:val="005B5F87"/>
    <w:rsid w:val="005C294B"/>
    <w:rsid w:val="005D2484"/>
    <w:rsid w:val="005D3295"/>
    <w:rsid w:val="005E0E31"/>
    <w:rsid w:val="005E1F26"/>
    <w:rsid w:val="005E2BEB"/>
    <w:rsid w:val="00601D42"/>
    <w:rsid w:val="00602672"/>
    <w:rsid w:val="00602775"/>
    <w:rsid w:val="0060356E"/>
    <w:rsid w:val="006053BD"/>
    <w:rsid w:val="006053F3"/>
    <w:rsid w:val="00606F07"/>
    <w:rsid w:val="00616DF3"/>
    <w:rsid w:val="00620A6B"/>
    <w:rsid w:val="00620DC9"/>
    <w:rsid w:val="00620DDA"/>
    <w:rsid w:val="00642593"/>
    <w:rsid w:val="006455E6"/>
    <w:rsid w:val="006538B4"/>
    <w:rsid w:val="006613A5"/>
    <w:rsid w:val="006616B8"/>
    <w:rsid w:val="006632D8"/>
    <w:rsid w:val="00670508"/>
    <w:rsid w:val="00671268"/>
    <w:rsid w:val="0067306E"/>
    <w:rsid w:val="006741DA"/>
    <w:rsid w:val="0067545F"/>
    <w:rsid w:val="00676F27"/>
    <w:rsid w:val="00682ADD"/>
    <w:rsid w:val="00686CEF"/>
    <w:rsid w:val="006969FF"/>
    <w:rsid w:val="0069724A"/>
    <w:rsid w:val="006A4F5E"/>
    <w:rsid w:val="006A5C43"/>
    <w:rsid w:val="006B0B21"/>
    <w:rsid w:val="006B742E"/>
    <w:rsid w:val="006C06F3"/>
    <w:rsid w:val="006C1129"/>
    <w:rsid w:val="006C25E8"/>
    <w:rsid w:val="006D59FB"/>
    <w:rsid w:val="006F2868"/>
    <w:rsid w:val="006F56B2"/>
    <w:rsid w:val="00700A72"/>
    <w:rsid w:val="0070535A"/>
    <w:rsid w:val="0070700F"/>
    <w:rsid w:val="007072B9"/>
    <w:rsid w:val="007127FB"/>
    <w:rsid w:val="00716132"/>
    <w:rsid w:val="0072007D"/>
    <w:rsid w:val="00725A6A"/>
    <w:rsid w:val="0072672C"/>
    <w:rsid w:val="007267DA"/>
    <w:rsid w:val="00730EF8"/>
    <w:rsid w:val="00741A09"/>
    <w:rsid w:val="007434EF"/>
    <w:rsid w:val="00750127"/>
    <w:rsid w:val="00750491"/>
    <w:rsid w:val="007537EB"/>
    <w:rsid w:val="007554CA"/>
    <w:rsid w:val="007558F0"/>
    <w:rsid w:val="00765316"/>
    <w:rsid w:val="0078337D"/>
    <w:rsid w:val="00784980"/>
    <w:rsid w:val="00785A00"/>
    <w:rsid w:val="007875FB"/>
    <w:rsid w:val="0079758A"/>
    <w:rsid w:val="007A036A"/>
    <w:rsid w:val="007A13F6"/>
    <w:rsid w:val="007A34AB"/>
    <w:rsid w:val="007A625B"/>
    <w:rsid w:val="007A7196"/>
    <w:rsid w:val="007C0FB1"/>
    <w:rsid w:val="007D0660"/>
    <w:rsid w:val="007D1452"/>
    <w:rsid w:val="007D32BF"/>
    <w:rsid w:val="007E1CAA"/>
    <w:rsid w:val="007E6ECD"/>
    <w:rsid w:val="007E70A2"/>
    <w:rsid w:val="007F4BCB"/>
    <w:rsid w:val="007F4C03"/>
    <w:rsid w:val="007F76EB"/>
    <w:rsid w:val="0080013D"/>
    <w:rsid w:val="00802DB6"/>
    <w:rsid w:val="008063A3"/>
    <w:rsid w:val="008076B4"/>
    <w:rsid w:val="00810EC3"/>
    <w:rsid w:val="008117C2"/>
    <w:rsid w:val="0081553A"/>
    <w:rsid w:val="00817B9F"/>
    <w:rsid w:val="00842248"/>
    <w:rsid w:val="00843B5D"/>
    <w:rsid w:val="00845D8B"/>
    <w:rsid w:val="00854264"/>
    <w:rsid w:val="00855DA1"/>
    <w:rsid w:val="00857E4C"/>
    <w:rsid w:val="008621ED"/>
    <w:rsid w:val="00872887"/>
    <w:rsid w:val="008756E2"/>
    <w:rsid w:val="00877CA9"/>
    <w:rsid w:val="00880214"/>
    <w:rsid w:val="00882313"/>
    <w:rsid w:val="0088755B"/>
    <w:rsid w:val="0089052F"/>
    <w:rsid w:val="008A5F6D"/>
    <w:rsid w:val="008A675E"/>
    <w:rsid w:val="008B5800"/>
    <w:rsid w:val="008B7137"/>
    <w:rsid w:val="008D71D4"/>
    <w:rsid w:val="008E20B6"/>
    <w:rsid w:val="008E2A96"/>
    <w:rsid w:val="008E370D"/>
    <w:rsid w:val="008E665F"/>
    <w:rsid w:val="008F4DA7"/>
    <w:rsid w:val="00914F6F"/>
    <w:rsid w:val="009320BB"/>
    <w:rsid w:val="00932144"/>
    <w:rsid w:val="00947A17"/>
    <w:rsid w:val="00951D92"/>
    <w:rsid w:val="0097334D"/>
    <w:rsid w:val="009759E8"/>
    <w:rsid w:val="0097765A"/>
    <w:rsid w:val="0099254D"/>
    <w:rsid w:val="009A6D0D"/>
    <w:rsid w:val="009B3A11"/>
    <w:rsid w:val="009C5C19"/>
    <w:rsid w:val="009D1212"/>
    <w:rsid w:val="009D247F"/>
    <w:rsid w:val="009D3DCA"/>
    <w:rsid w:val="009D746D"/>
    <w:rsid w:val="009E397A"/>
    <w:rsid w:val="00A00AE2"/>
    <w:rsid w:val="00A03413"/>
    <w:rsid w:val="00A16A58"/>
    <w:rsid w:val="00A21CF1"/>
    <w:rsid w:val="00A249FF"/>
    <w:rsid w:val="00A34A7A"/>
    <w:rsid w:val="00A364F4"/>
    <w:rsid w:val="00A40CE4"/>
    <w:rsid w:val="00A57D24"/>
    <w:rsid w:val="00A84579"/>
    <w:rsid w:val="00A85902"/>
    <w:rsid w:val="00A957F0"/>
    <w:rsid w:val="00A97C78"/>
    <w:rsid w:val="00AA0A09"/>
    <w:rsid w:val="00AA1C24"/>
    <w:rsid w:val="00AB0CEA"/>
    <w:rsid w:val="00AC6BFF"/>
    <w:rsid w:val="00AC7B8F"/>
    <w:rsid w:val="00AD4561"/>
    <w:rsid w:val="00AD7404"/>
    <w:rsid w:val="00AD751D"/>
    <w:rsid w:val="00AE27A7"/>
    <w:rsid w:val="00AE3940"/>
    <w:rsid w:val="00AE7696"/>
    <w:rsid w:val="00B03D82"/>
    <w:rsid w:val="00B0798A"/>
    <w:rsid w:val="00B1554E"/>
    <w:rsid w:val="00B25158"/>
    <w:rsid w:val="00B26F51"/>
    <w:rsid w:val="00B35C5C"/>
    <w:rsid w:val="00B3614E"/>
    <w:rsid w:val="00B37828"/>
    <w:rsid w:val="00B518F3"/>
    <w:rsid w:val="00B52342"/>
    <w:rsid w:val="00B55A82"/>
    <w:rsid w:val="00B56AF1"/>
    <w:rsid w:val="00B64209"/>
    <w:rsid w:val="00B64E78"/>
    <w:rsid w:val="00B65A0C"/>
    <w:rsid w:val="00B67A33"/>
    <w:rsid w:val="00B76CE0"/>
    <w:rsid w:val="00B80B3A"/>
    <w:rsid w:val="00B92405"/>
    <w:rsid w:val="00BA15AC"/>
    <w:rsid w:val="00BA2CEE"/>
    <w:rsid w:val="00BA69B7"/>
    <w:rsid w:val="00BB35F1"/>
    <w:rsid w:val="00BB4859"/>
    <w:rsid w:val="00BC14A6"/>
    <w:rsid w:val="00BC22D1"/>
    <w:rsid w:val="00BC6529"/>
    <w:rsid w:val="00BD0151"/>
    <w:rsid w:val="00BD5223"/>
    <w:rsid w:val="00BE1618"/>
    <w:rsid w:val="00BE24AC"/>
    <w:rsid w:val="00BE2E6D"/>
    <w:rsid w:val="00BE566D"/>
    <w:rsid w:val="00BF433F"/>
    <w:rsid w:val="00BF5DC7"/>
    <w:rsid w:val="00C0046D"/>
    <w:rsid w:val="00C07458"/>
    <w:rsid w:val="00C12009"/>
    <w:rsid w:val="00C17DD3"/>
    <w:rsid w:val="00C25AAC"/>
    <w:rsid w:val="00C3352E"/>
    <w:rsid w:val="00C365AE"/>
    <w:rsid w:val="00C422BA"/>
    <w:rsid w:val="00C64D54"/>
    <w:rsid w:val="00C66479"/>
    <w:rsid w:val="00C70597"/>
    <w:rsid w:val="00C80C98"/>
    <w:rsid w:val="00C80F73"/>
    <w:rsid w:val="00C818A6"/>
    <w:rsid w:val="00C821C5"/>
    <w:rsid w:val="00C94C3C"/>
    <w:rsid w:val="00C96194"/>
    <w:rsid w:val="00C976A3"/>
    <w:rsid w:val="00CA0FE2"/>
    <w:rsid w:val="00CA2083"/>
    <w:rsid w:val="00CA3F99"/>
    <w:rsid w:val="00CA4B5B"/>
    <w:rsid w:val="00CB20DA"/>
    <w:rsid w:val="00CB4420"/>
    <w:rsid w:val="00CB64B6"/>
    <w:rsid w:val="00CB71B6"/>
    <w:rsid w:val="00CC0D56"/>
    <w:rsid w:val="00CC3ED3"/>
    <w:rsid w:val="00CC57F3"/>
    <w:rsid w:val="00CE5F46"/>
    <w:rsid w:val="00CF2A93"/>
    <w:rsid w:val="00CF4116"/>
    <w:rsid w:val="00CF4636"/>
    <w:rsid w:val="00CF58E2"/>
    <w:rsid w:val="00CF72BC"/>
    <w:rsid w:val="00D000C1"/>
    <w:rsid w:val="00D04D01"/>
    <w:rsid w:val="00D1355F"/>
    <w:rsid w:val="00D2588B"/>
    <w:rsid w:val="00D341A3"/>
    <w:rsid w:val="00D349DE"/>
    <w:rsid w:val="00D474A8"/>
    <w:rsid w:val="00D503DA"/>
    <w:rsid w:val="00D6033F"/>
    <w:rsid w:val="00D74121"/>
    <w:rsid w:val="00D80E06"/>
    <w:rsid w:val="00D8353F"/>
    <w:rsid w:val="00D8750B"/>
    <w:rsid w:val="00D904DC"/>
    <w:rsid w:val="00D93FA0"/>
    <w:rsid w:val="00DA147A"/>
    <w:rsid w:val="00DA4D7E"/>
    <w:rsid w:val="00DA75CF"/>
    <w:rsid w:val="00DB17BD"/>
    <w:rsid w:val="00DB61A5"/>
    <w:rsid w:val="00DD3B90"/>
    <w:rsid w:val="00DD51F1"/>
    <w:rsid w:val="00DE0AC8"/>
    <w:rsid w:val="00DE1A0C"/>
    <w:rsid w:val="00DE4339"/>
    <w:rsid w:val="00DE5FF1"/>
    <w:rsid w:val="00DE6255"/>
    <w:rsid w:val="00DF4EEA"/>
    <w:rsid w:val="00DF59E4"/>
    <w:rsid w:val="00DF6206"/>
    <w:rsid w:val="00E001EA"/>
    <w:rsid w:val="00E0345B"/>
    <w:rsid w:val="00E12A18"/>
    <w:rsid w:val="00E14CA5"/>
    <w:rsid w:val="00E26512"/>
    <w:rsid w:val="00E3094F"/>
    <w:rsid w:val="00E347DC"/>
    <w:rsid w:val="00E34E06"/>
    <w:rsid w:val="00E35E2C"/>
    <w:rsid w:val="00E4388E"/>
    <w:rsid w:val="00E45232"/>
    <w:rsid w:val="00E47B1F"/>
    <w:rsid w:val="00E514F1"/>
    <w:rsid w:val="00E601AA"/>
    <w:rsid w:val="00E60461"/>
    <w:rsid w:val="00E719D0"/>
    <w:rsid w:val="00E76541"/>
    <w:rsid w:val="00E811A0"/>
    <w:rsid w:val="00E928E0"/>
    <w:rsid w:val="00EC47E0"/>
    <w:rsid w:val="00ED68D4"/>
    <w:rsid w:val="00ED7668"/>
    <w:rsid w:val="00EE17B1"/>
    <w:rsid w:val="00EE1B5A"/>
    <w:rsid w:val="00EE445A"/>
    <w:rsid w:val="00F02506"/>
    <w:rsid w:val="00F04C22"/>
    <w:rsid w:val="00F233C0"/>
    <w:rsid w:val="00F2569A"/>
    <w:rsid w:val="00F30244"/>
    <w:rsid w:val="00F41B0A"/>
    <w:rsid w:val="00F5039C"/>
    <w:rsid w:val="00F54129"/>
    <w:rsid w:val="00F54A3A"/>
    <w:rsid w:val="00F607E1"/>
    <w:rsid w:val="00F6123C"/>
    <w:rsid w:val="00F71495"/>
    <w:rsid w:val="00F800C3"/>
    <w:rsid w:val="00F833DD"/>
    <w:rsid w:val="00F94264"/>
    <w:rsid w:val="00FA04E7"/>
    <w:rsid w:val="00FA13E0"/>
    <w:rsid w:val="00FA21D3"/>
    <w:rsid w:val="00FA42DC"/>
    <w:rsid w:val="00FA4525"/>
    <w:rsid w:val="00FB2CFB"/>
    <w:rsid w:val="00FB3303"/>
    <w:rsid w:val="00FC1660"/>
    <w:rsid w:val="00FC23B1"/>
    <w:rsid w:val="00FD6B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CE1B3"/>
  <w15:chartTrackingRefBased/>
  <w15:docId w15:val="{24246B7B-1910-4FF5-AB00-23C9ADE57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4E8"/>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04DB6"/>
    <w:pPr>
      <w:ind w:left="720"/>
      <w:contextualSpacing/>
    </w:pPr>
  </w:style>
  <w:style w:type="character" w:styleId="Hyperlink">
    <w:name w:val="Hyperlink"/>
    <w:basedOn w:val="DefaultParagraphFont"/>
    <w:uiPriority w:val="99"/>
    <w:semiHidden/>
    <w:unhideWhenUsed/>
    <w:rsid w:val="001C676F"/>
    <w:rPr>
      <w:color w:val="0563C1" w:themeColor="hyperlink"/>
      <w:u w:val="single"/>
    </w:rPr>
  </w:style>
  <w:style w:type="paragraph" w:styleId="BalloonText">
    <w:name w:val="Balloon Text"/>
    <w:basedOn w:val="Normal"/>
    <w:link w:val="BalloonTextChar"/>
    <w:uiPriority w:val="99"/>
    <w:semiHidden/>
    <w:unhideWhenUsed/>
    <w:rsid w:val="00FA45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4525"/>
    <w:rPr>
      <w:rFonts w:ascii="Segoe UI" w:eastAsia="Times New Roman" w:hAnsi="Segoe UI" w:cs="Segoe UI"/>
      <w:sz w:val="18"/>
      <w:szCs w:val="18"/>
      <w:lang w:eastAsia="en-AU"/>
    </w:rPr>
  </w:style>
  <w:style w:type="character" w:styleId="CommentReference">
    <w:name w:val="annotation reference"/>
    <w:basedOn w:val="DefaultParagraphFont"/>
    <w:uiPriority w:val="99"/>
    <w:semiHidden/>
    <w:unhideWhenUsed/>
    <w:rsid w:val="006455E6"/>
    <w:rPr>
      <w:sz w:val="16"/>
      <w:szCs w:val="16"/>
    </w:rPr>
  </w:style>
  <w:style w:type="paragraph" w:styleId="CommentText">
    <w:name w:val="annotation text"/>
    <w:basedOn w:val="Normal"/>
    <w:link w:val="CommentTextChar"/>
    <w:uiPriority w:val="99"/>
    <w:semiHidden/>
    <w:unhideWhenUsed/>
    <w:rsid w:val="006455E6"/>
    <w:rPr>
      <w:sz w:val="20"/>
      <w:szCs w:val="20"/>
    </w:rPr>
  </w:style>
  <w:style w:type="character" w:customStyle="1" w:styleId="CommentTextChar">
    <w:name w:val="Comment Text Char"/>
    <w:basedOn w:val="DefaultParagraphFont"/>
    <w:link w:val="CommentText"/>
    <w:uiPriority w:val="99"/>
    <w:semiHidden/>
    <w:rsid w:val="006455E6"/>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455E6"/>
    <w:rPr>
      <w:b/>
      <w:bCs/>
    </w:rPr>
  </w:style>
  <w:style w:type="character" w:customStyle="1" w:styleId="CommentSubjectChar">
    <w:name w:val="Comment Subject Char"/>
    <w:basedOn w:val="CommentTextChar"/>
    <w:link w:val="CommentSubject"/>
    <w:uiPriority w:val="99"/>
    <w:semiHidden/>
    <w:rsid w:val="006455E6"/>
    <w:rPr>
      <w:rFonts w:ascii="Times New Roman" w:eastAsia="Times New Roman" w:hAnsi="Times New Roman" w:cs="Times New Roman"/>
      <w:b/>
      <w:bCs/>
      <w:sz w:val="20"/>
      <w:szCs w:val="20"/>
      <w:lang w:eastAsia="en-AU"/>
    </w:rPr>
  </w:style>
  <w:style w:type="character" w:customStyle="1" w:styleId="ListParagraphChar">
    <w:name w:val="List Paragraph Char"/>
    <w:link w:val="ListParagraph"/>
    <w:uiPriority w:val="34"/>
    <w:locked/>
    <w:rsid w:val="007072B9"/>
    <w:rPr>
      <w:rFonts w:ascii="Times New Roman" w:eastAsia="Times New Roman" w:hAnsi="Times New Roman" w:cs="Times New Roman"/>
      <w:sz w:val="24"/>
      <w:szCs w:val="24"/>
      <w:lang w:eastAsia="en-AU"/>
    </w:rPr>
  </w:style>
  <w:style w:type="paragraph" w:customStyle="1" w:styleId="MBPoint">
    <w:name w:val="MB Point"/>
    <w:basedOn w:val="ListParagraph"/>
    <w:link w:val="MBPointChar"/>
    <w:qFormat/>
    <w:rsid w:val="0070535A"/>
    <w:pPr>
      <w:numPr>
        <w:numId w:val="11"/>
      </w:numPr>
      <w:spacing w:after="60"/>
      <w:contextualSpacing w:val="0"/>
    </w:pPr>
    <w:rPr>
      <w:rFonts w:eastAsiaTheme="minorHAnsi"/>
      <w:lang w:eastAsia="en-US"/>
    </w:rPr>
  </w:style>
  <w:style w:type="paragraph" w:customStyle="1" w:styleId="MBPointSub">
    <w:name w:val="MB Point Sub"/>
    <w:basedOn w:val="ListParagraph"/>
    <w:link w:val="MBPointSubChar"/>
    <w:qFormat/>
    <w:rsid w:val="0070535A"/>
    <w:pPr>
      <w:numPr>
        <w:ilvl w:val="1"/>
        <w:numId w:val="11"/>
      </w:numPr>
      <w:spacing w:after="60"/>
      <w:contextualSpacing w:val="0"/>
    </w:pPr>
  </w:style>
  <w:style w:type="character" w:customStyle="1" w:styleId="MBPointSubChar">
    <w:name w:val="MB Point Sub Char"/>
    <w:basedOn w:val="ListParagraphChar"/>
    <w:link w:val="MBPointSub"/>
    <w:rsid w:val="0070535A"/>
    <w:rPr>
      <w:rFonts w:ascii="Times New Roman" w:eastAsia="Times New Roman" w:hAnsi="Times New Roman" w:cs="Times New Roman"/>
      <w:sz w:val="24"/>
      <w:szCs w:val="24"/>
      <w:lang w:eastAsia="en-AU"/>
    </w:rPr>
  </w:style>
  <w:style w:type="paragraph" w:customStyle="1" w:styleId="hr">
    <w:name w:val="hr"/>
    <w:basedOn w:val="Normal"/>
    <w:rsid w:val="00676F27"/>
    <w:pPr>
      <w:spacing w:before="100" w:beforeAutospacing="1" w:after="100" w:afterAutospacing="1"/>
    </w:pPr>
  </w:style>
  <w:style w:type="paragraph" w:customStyle="1" w:styleId="default">
    <w:name w:val="default"/>
    <w:basedOn w:val="Normal"/>
    <w:rsid w:val="00676F27"/>
    <w:pPr>
      <w:spacing w:before="100" w:beforeAutospacing="1" w:after="100" w:afterAutospacing="1"/>
    </w:pPr>
  </w:style>
  <w:style w:type="character" w:customStyle="1" w:styleId="MBPointChar">
    <w:name w:val="MB Point Char"/>
    <w:basedOn w:val="ListParagraphChar"/>
    <w:link w:val="MBPoint"/>
    <w:rsid w:val="00A957F0"/>
    <w:rPr>
      <w:rFonts w:ascii="Times New Roman" w:eastAsia="Times New Roman" w:hAnsi="Times New Roman" w:cs="Times New Roman"/>
      <w:sz w:val="24"/>
      <w:szCs w:val="24"/>
      <w:lang w:eastAsia="en-AU"/>
    </w:rPr>
  </w:style>
  <w:style w:type="paragraph" w:styleId="Header">
    <w:name w:val="header"/>
    <w:basedOn w:val="Normal"/>
    <w:link w:val="HeaderChar"/>
    <w:uiPriority w:val="99"/>
    <w:unhideWhenUsed/>
    <w:rsid w:val="00D2588B"/>
    <w:pPr>
      <w:tabs>
        <w:tab w:val="center" w:pos="4513"/>
        <w:tab w:val="right" w:pos="9026"/>
      </w:tabs>
    </w:pPr>
  </w:style>
  <w:style w:type="character" w:customStyle="1" w:styleId="HeaderChar">
    <w:name w:val="Header Char"/>
    <w:basedOn w:val="DefaultParagraphFont"/>
    <w:link w:val="Header"/>
    <w:uiPriority w:val="99"/>
    <w:rsid w:val="00D2588B"/>
    <w:rPr>
      <w:rFonts w:ascii="Times New Roman" w:eastAsia="Times New Roman" w:hAnsi="Times New Roman" w:cs="Times New Roman"/>
      <w:sz w:val="24"/>
      <w:szCs w:val="24"/>
      <w:lang w:eastAsia="en-AU"/>
    </w:rPr>
  </w:style>
  <w:style w:type="paragraph" w:styleId="Footer">
    <w:name w:val="footer"/>
    <w:basedOn w:val="Normal"/>
    <w:link w:val="FooterChar"/>
    <w:uiPriority w:val="99"/>
    <w:unhideWhenUsed/>
    <w:rsid w:val="00D2588B"/>
    <w:pPr>
      <w:tabs>
        <w:tab w:val="center" w:pos="4513"/>
        <w:tab w:val="right" w:pos="9026"/>
      </w:tabs>
    </w:pPr>
  </w:style>
  <w:style w:type="character" w:customStyle="1" w:styleId="FooterChar">
    <w:name w:val="Footer Char"/>
    <w:basedOn w:val="DefaultParagraphFont"/>
    <w:link w:val="Footer"/>
    <w:uiPriority w:val="99"/>
    <w:rsid w:val="00D2588B"/>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37381">
      <w:bodyDiv w:val="1"/>
      <w:marLeft w:val="0"/>
      <w:marRight w:val="0"/>
      <w:marTop w:val="0"/>
      <w:marBottom w:val="0"/>
      <w:divBdr>
        <w:top w:val="none" w:sz="0" w:space="0" w:color="auto"/>
        <w:left w:val="none" w:sz="0" w:space="0" w:color="auto"/>
        <w:bottom w:val="none" w:sz="0" w:space="0" w:color="auto"/>
        <w:right w:val="none" w:sz="0" w:space="0" w:color="auto"/>
      </w:divBdr>
    </w:div>
    <w:div w:id="77529150">
      <w:bodyDiv w:val="1"/>
      <w:marLeft w:val="0"/>
      <w:marRight w:val="0"/>
      <w:marTop w:val="0"/>
      <w:marBottom w:val="0"/>
      <w:divBdr>
        <w:top w:val="none" w:sz="0" w:space="0" w:color="auto"/>
        <w:left w:val="none" w:sz="0" w:space="0" w:color="auto"/>
        <w:bottom w:val="none" w:sz="0" w:space="0" w:color="auto"/>
        <w:right w:val="none" w:sz="0" w:space="0" w:color="auto"/>
      </w:divBdr>
    </w:div>
    <w:div w:id="253131661">
      <w:bodyDiv w:val="1"/>
      <w:marLeft w:val="0"/>
      <w:marRight w:val="0"/>
      <w:marTop w:val="0"/>
      <w:marBottom w:val="0"/>
      <w:divBdr>
        <w:top w:val="none" w:sz="0" w:space="0" w:color="auto"/>
        <w:left w:val="none" w:sz="0" w:space="0" w:color="auto"/>
        <w:bottom w:val="none" w:sz="0" w:space="0" w:color="auto"/>
        <w:right w:val="none" w:sz="0" w:space="0" w:color="auto"/>
      </w:divBdr>
    </w:div>
    <w:div w:id="328020170">
      <w:bodyDiv w:val="1"/>
      <w:marLeft w:val="0"/>
      <w:marRight w:val="0"/>
      <w:marTop w:val="0"/>
      <w:marBottom w:val="0"/>
      <w:divBdr>
        <w:top w:val="none" w:sz="0" w:space="0" w:color="auto"/>
        <w:left w:val="none" w:sz="0" w:space="0" w:color="auto"/>
        <w:bottom w:val="none" w:sz="0" w:space="0" w:color="auto"/>
        <w:right w:val="none" w:sz="0" w:space="0" w:color="auto"/>
      </w:divBdr>
    </w:div>
    <w:div w:id="416678358">
      <w:bodyDiv w:val="1"/>
      <w:marLeft w:val="0"/>
      <w:marRight w:val="0"/>
      <w:marTop w:val="0"/>
      <w:marBottom w:val="0"/>
      <w:divBdr>
        <w:top w:val="none" w:sz="0" w:space="0" w:color="auto"/>
        <w:left w:val="none" w:sz="0" w:space="0" w:color="auto"/>
        <w:bottom w:val="none" w:sz="0" w:space="0" w:color="auto"/>
        <w:right w:val="none" w:sz="0" w:space="0" w:color="auto"/>
      </w:divBdr>
    </w:div>
    <w:div w:id="520707516">
      <w:bodyDiv w:val="1"/>
      <w:marLeft w:val="0"/>
      <w:marRight w:val="0"/>
      <w:marTop w:val="0"/>
      <w:marBottom w:val="0"/>
      <w:divBdr>
        <w:top w:val="none" w:sz="0" w:space="0" w:color="auto"/>
        <w:left w:val="none" w:sz="0" w:space="0" w:color="auto"/>
        <w:bottom w:val="none" w:sz="0" w:space="0" w:color="auto"/>
        <w:right w:val="none" w:sz="0" w:space="0" w:color="auto"/>
      </w:divBdr>
    </w:div>
    <w:div w:id="851066632">
      <w:bodyDiv w:val="1"/>
      <w:marLeft w:val="0"/>
      <w:marRight w:val="0"/>
      <w:marTop w:val="0"/>
      <w:marBottom w:val="0"/>
      <w:divBdr>
        <w:top w:val="none" w:sz="0" w:space="0" w:color="auto"/>
        <w:left w:val="none" w:sz="0" w:space="0" w:color="auto"/>
        <w:bottom w:val="none" w:sz="0" w:space="0" w:color="auto"/>
        <w:right w:val="none" w:sz="0" w:space="0" w:color="auto"/>
      </w:divBdr>
    </w:div>
    <w:div w:id="1125584640">
      <w:bodyDiv w:val="1"/>
      <w:marLeft w:val="0"/>
      <w:marRight w:val="0"/>
      <w:marTop w:val="0"/>
      <w:marBottom w:val="0"/>
      <w:divBdr>
        <w:top w:val="none" w:sz="0" w:space="0" w:color="auto"/>
        <w:left w:val="none" w:sz="0" w:space="0" w:color="auto"/>
        <w:bottom w:val="none" w:sz="0" w:space="0" w:color="auto"/>
        <w:right w:val="none" w:sz="0" w:space="0" w:color="auto"/>
      </w:divBdr>
    </w:div>
    <w:div w:id="1318343818">
      <w:bodyDiv w:val="1"/>
      <w:marLeft w:val="0"/>
      <w:marRight w:val="0"/>
      <w:marTop w:val="0"/>
      <w:marBottom w:val="0"/>
      <w:divBdr>
        <w:top w:val="none" w:sz="0" w:space="0" w:color="auto"/>
        <w:left w:val="none" w:sz="0" w:space="0" w:color="auto"/>
        <w:bottom w:val="none" w:sz="0" w:space="0" w:color="auto"/>
        <w:right w:val="none" w:sz="0" w:space="0" w:color="auto"/>
      </w:divBdr>
    </w:div>
    <w:div w:id="1421439904">
      <w:bodyDiv w:val="1"/>
      <w:marLeft w:val="0"/>
      <w:marRight w:val="0"/>
      <w:marTop w:val="0"/>
      <w:marBottom w:val="0"/>
      <w:divBdr>
        <w:top w:val="none" w:sz="0" w:space="0" w:color="auto"/>
        <w:left w:val="none" w:sz="0" w:space="0" w:color="auto"/>
        <w:bottom w:val="none" w:sz="0" w:space="0" w:color="auto"/>
        <w:right w:val="none" w:sz="0" w:space="0" w:color="auto"/>
      </w:divBdr>
    </w:div>
    <w:div w:id="1443453290">
      <w:bodyDiv w:val="1"/>
      <w:marLeft w:val="0"/>
      <w:marRight w:val="0"/>
      <w:marTop w:val="0"/>
      <w:marBottom w:val="0"/>
      <w:divBdr>
        <w:top w:val="none" w:sz="0" w:space="0" w:color="auto"/>
        <w:left w:val="none" w:sz="0" w:space="0" w:color="auto"/>
        <w:bottom w:val="none" w:sz="0" w:space="0" w:color="auto"/>
        <w:right w:val="none" w:sz="0" w:space="0" w:color="auto"/>
      </w:divBdr>
    </w:div>
    <w:div w:id="1617902651">
      <w:bodyDiv w:val="1"/>
      <w:marLeft w:val="0"/>
      <w:marRight w:val="0"/>
      <w:marTop w:val="0"/>
      <w:marBottom w:val="0"/>
      <w:divBdr>
        <w:top w:val="none" w:sz="0" w:space="0" w:color="auto"/>
        <w:left w:val="none" w:sz="0" w:space="0" w:color="auto"/>
        <w:bottom w:val="none" w:sz="0" w:space="0" w:color="auto"/>
        <w:right w:val="none" w:sz="0" w:space="0" w:color="auto"/>
      </w:divBdr>
    </w:div>
    <w:div w:id="1633248228">
      <w:bodyDiv w:val="1"/>
      <w:marLeft w:val="0"/>
      <w:marRight w:val="0"/>
      <w:marTop w:val="0"/>
      <w:marBottom w:val="0"/>
      <w:divBdr>
        <w:top w:val="none" w:sz="0" w:space="0" w:color="auto"/>
        <w:left w:val="none" w:sz="0" w:space="0" w:color="auto"/>
        <w:bottom w:val="none" w:sz="0" w:space="0" w:color="auto"/>
        <w:right w:val="none" w:sz="0" w:space="0" w:color="auto"/>
      </w:divBdr>
    </w:div>
    <w:div w:id="1893233050">
      <w:bodyDiv w:val="1"/>
      <w:marLeft w:val="0"/>
      <w:marRight w:val="0"/>
      <w:marTop w:val="0"/>
      <w:marBottom w:val="0"/>
      <w:divBdr>
        <w:top w:val="none" w:sz="0" w:space="0" w:color="auto"/>
        <w:left w:val="none" w:sz="0" w:space="0" w:color="auto"/>
        <w:bottom w:val="none" w:sz="0" w:space="0" w:color="auto"/>
        <w:right w:val="none" w:sz="0" w:space="0" w:color="auto"/>
      </w:divBdr>
    </w:div>
    <w:div w:id="2036734614">
      <w:bodyDiv w:val="1"/>
      <w:marLeft w:val="0"/>
      <w:marRight w:val="0"/>
      <w:marTop w:val="0"/>
      <w:marBottom w:val="0"/>
      <w:divBdr>
        <w:top w:val="none" w:sz="0" w:space="0" w:color="auto"/>
        <w:left w:val="none" w:sz="0" w:space="0" w:color="auto"/>
        <w:bottom w:val="none" w:sz="0" w:space="0" w:color="auto"/>
        <w:right w:val="none" w:sz="0" w:space="0" w:color="auto"/>
      </w:divBdr>
    </w:div>
    <w:div w:id="2103649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D8D66CFB-2EE0-4DAF-ACE1-5A4E84D5A40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E7523EDE6B40F142AF45F79CAC5BB11A" ma:contentTypeVersion="" ma:contentTypeDescription="PDMS Document Site Content Type" ma:contentTypeScope="" ma:versionID="57d9a99f23e1d1b8a6cb93978adde0fd">
  <xsd:schema xmlns:xsd="http://www.w3.org/2001/XMLSchema" xmlns:xs="http://www.w3.org/2001/XMLSchema" xmlns:p="http://schemas.microsoft.com/office/2006/metadata/properties" xmlns:ns2="D8D66CFB-2EE0-4DAF-ACE1-5A4E84D5A40A" targetNamespace="http://schemas.microsoft.com/office/2006/metadata/properties" ma:root="true" ma:fieldsID="1b65617a49482f46aa46ee172ae6ebe9" ns2:_="">
    <xsd:import namespace="D8D66CFB-2EE0-4DAF-ACE1-5A4E84D5A40A"/>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D66CFB-2EE0-4DAF-ACE1-5A4E84D5A40A"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66C7FA-CD31-4085-91C2-7034BE463923}">
  <ds:schemaRefs>
    <ds:schemaRef ds:uri="http://schemas.openxmlformats.org/package/2006/metadata/core-properties"/>
    <ds:schemaRef ds:uri="http://schemas.microsoft.com/office/2006/documentManagement/types"/>
    <ds:schemaRef ds:uri="http://schemas.microsoft.com/office/2006/metadata/properties"/>
    <ds:schemaRef ds:uri="http://purl.org/dc/terms/"/>
    <ds:schemaRef ds:uri="D8D66CFB-2EE0-4DAF-ACE1-5A4E84D5A40A"/>
    <ds:schemaRef ds:uri="http://purl.org/dc/elements/1.1/"/>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CF6DBAE0-EEF4-445E-82B4-D7E33D8E49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D66CFB-2EE0-4DAF-ACE1-5A4E84D5A4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C0EC94-03BB-430B-BD0B-D6057D8896C4}">
  <ds:schemaRefs>
    <ds:schemaRef ds:uri="http://schemas.openxmlformats.org/officeDocument/2006/bibliography"/>
  </ds:schemaRefs>
</ds:datastoreItem>
</file>

<file path=customXml/itemProps4.xml><?xml version="1.0" encoding="utf-8"?>
<ds:datastoreItem xmlns:ds="http://schemas.openxmlformats.org/officeDocument/2006/customXml" ds:itemID="{5A8B661F-C5EC-49C0-B14F-C60EF49875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7</Pages>
  <Words>1952</Words>
  <Characters>11131</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SIM,Tanya</dc:creator>
  <cp:keywords/>
  <dc:description/>
  <cp:lastModifiedBy>CHEN,Meira</cp:lastModifiedBy>
  <cp:revision>15</cp:revision>
  <cp:lastPrinted>2021-06-01T05:37:00Z</cp:lastPrinted>
  <dcterms:created xsi:type="dcterms:W3CDTF">2022-11-09T23:28:00Z</dcterms:created>
  <dcterms:modified xsi:type="dcterms:W3CDTF">2022-12-19T04:27:00Z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2022-07-13T01:46:07Z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28709538-fca8-4e8c-bd4f-ce1416e9cb44</vt:lpwstr>
  </property>
  <property fmtid="{D5CDD505-2E9C-101B-9397-08002B2CF9AE}" pid="8" name="MSIP_Label_79d889eb-932f-4752-8739-64d25806ef64_ContentBits">
    <vt:lpwstr>0</vt:lpwstr>
  </property>
  <property fmtid="{D5CDD505-2E9C-101B-9397-08002B2CF9AE}" pid="9" name="ContentTypeId">
    <vt:lpwstr>0x010100266966F133664895A6EE3632470D45F500E7523EDE6B40F142AF45F79CAC5BB11A</vt:lpwstr>
  </property>
</Properties>
</file>