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C36BD" w14:textId="302EC4CF" w:rsidR="00715914" w:rsidRPr="005F1388" w:rsidRDefault="00DA186E" w:rsidP="00715914">
      <w:pPr>
        <w:rPr>
          <w:sz w:val="28"/>
        </w:rPr>
      </w:pPr>
      <w:r>
        <w:rPr>
          <w:noProof/>
          <w:lang w:eastAsia="en-AU"/>
        </w:rPr>
        <w:drawing>
          <wp:inline distT="0" distB="0" distL="0" distR="0" wp14:anchorId="029C687A" wp14:editId="4560CB9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FCC003" w14:textId="77777777" w:rsidR="00715914" w:rsidRPr="00E500D4" w:rsidRDefault="00715914" w:rsidP="00715914">
      <w:pPr>
        <w:rPr>
          <w:sz w:val="19"/>
        </w:rPr>
      </w:pPr>
    </w:p>
    <w:p w14:paraId="1C5EF448" w14:textId="076A50E1" w:rsidR="00554826" w:rsidRPr="00E500D4" w:rsidRDefault="003170E1" w:rsidP="00554826">
      <w:pPr>
        <w:pStyle w:val="ShortT"/>
      </w:pPr>
      <w:r>
        <w:t>Therapeutic Goods</w:t>
      </w:r>
      <w:r w:rsidR="00554826" w:rsidRPr="00DA182D">
        <w:t xml:space="preserve"> </w:t>
      </w:r>
      <w:r w:rsidR="00554826">
        <w:t>(</w:t>
      </w:r>
      <w:r>
        <w:t>Serious Scarcity and Substitutable Medicine</w:t>
      </w:r>
      <w:r w:rsidR="00554826">
        <w:t>)</w:t>
      </w:r>
      <w:r>
        <w:t xml:space="preserve"> (</w:t>
      </w:r>
      <w:r w:rsidR="0058299B">
        <w:t>Cefalexin</w:t>
      </w:r>
      <w:r>
        <w:t>)</w:t>
      </w:r>
      <w:r w:rsidR="00554826">
        <w:t xml:space="preserve"> </w:t>
      </w:r>
      <w:r w:rsidR="00554826" w:rsidRPr="003170E1">
        <w:t xml:space="preserve">Instrument </w:t>
      </w:r>
      <w:r w:rsidRPr="003170E1">
        <w:t>2022</w:t>
      </w:r>
    </w:p>
    <w:p w14:paraId="01CE22AF" w14:textId="32879D72" w:rsidR="00554826" w:rsidRPr="00DA182D" w:rsidRDefault="00554826" w:rsidP="00554826">
      <w:pPr>
        <w:pStyle w:val="SignCoverPageStart"/>
        <w:spacing w:before="240"/>
        <w:ind w:right="91"/>
        <w:rPr>
          <w:szCs w:val="22"/>
        </w:rPr>
      </w:pPr>
      <w:r w:rsidRPr="00DA182D">
        <w:rPr>
          <w:szCs w:val="22"/>
        </w:rPr>
        <w:t xml:space="preserve">I, </w:t>
      </w:r>
      <w:r w:rsidR="00986BB3">
        <w:rPr>
          <w:szCs w:val="22"/>
        </w:rPr>
        <w:t>Elspeth Kay</w:t>
      </w:r>
      <w:r w:rsidRPr="00DA182D">
        <w:rPr>
          <w:szCs w:val="22"/>
        </w:rPr>
        <w:t xml:space="preserve">, </w:t>
      </w:r>
      <w:r w:rsidR="003170E1">
        <w:rPr>
          <w:szCs w:val="22"/>
        </w:rPr>
        <w:t>as delegate of the Minister for Health and Aged Care</w:t>
      </w:r>
      <w:r w:rsidRPr="00DA182D">
        <w:rPr>
          <w:szCs w:val="22"/>
        </w:rPr>
        <w:t xml:space="preserve">, </w:t>
      </w:r>
      <w:r>
        <w:rPr>
          <w:szCs w:val="22"/>
        </w:rPr>
        <w:t xml:space="preserve">make the following </w:t>
      </w:r>
      <w:r w:rsidRPr="003170E1">
        <w:rPr>
          <w:szCs w:val="22"/>
        </w:rPr>
        <w:t>instrument</w:t>
      </w:r>
      <w:r w:rsidRPr="00DA182D">
        <w:rPr>
          <w:szCs w:val="22"/>
        </w:rPr>
        <w:t>.</w:t>
      </w:r>
    </w:p>
    <w:p w14:paraId="5C1553B6" w14:textId="11F09E02" w:rsidR="00554826" w:rsidRPr="00001A63" w:rsidRDefault="00554826" w:rsidP="00554826">
      <w:pPr>
        <w:keepNext/>
        <w:spacing w:before="300" w:line="240" w:lineRule="atLeast"/>
        <w:ind w:right="397"/>
        <w:jc w:val="both"/>
        <w:rPr>
          <w:szCs w:val="22"/>
        </w:rPr>
      </w:pPr>
      <w:r>
        <w:rPr>
          <w:szCs w:val="22"/>
        </w:rPr>
        <w:t>Dated</w:t>
      </w:r>
      <w:r w:rsidR="00EA468A">
        <w:rPr>
          <w:szCs w:val="22"/>
        </w:rPr>
        <w:t xml:space="preserve"> 20 </w:t>
      </w:r>
      <w:r w:rsidR="008A7DAE">
        <w:rPr>
          <w:szCs w:val="22"/>
        </w:rPr>
        <w:t xml:space="preserve">December </w:t>
      </w:r>
      <w:r w:rsidR="003170E1">
        <w:rPr>
          <w:szCs w:val="22"/>
        </w:rPr>
        <w:t>2022</w:t>
      </w:r>
    </w:p>
    <w:p w14:paraId="3939598B" w14:textId="44D23063" w:rsidR="00554826" w:rsidRPr="00721D5E" w:rsidRDefault="00986BB3" w:rsidP="00554826">
      <w:pPr>
        <w:keepNext/>
        <w:tabs>
          <w:tab w:val="left" w:pos="3402"/>
        </w:tabs>
        <w:spacing w:before="1440" w:line="300" w:lineRule="atLeast"/>
        <w:ind w:right="397"/>
        <w:rPr>
          <w:b/>
          <w:bCs/>
          <w:szCs w:val="22"/>
        </w:rPr>
      </w:pPr>
      <w:r>
        <w:rPr>
          <w:szCs w:val="22"/>
        </w:rPr>
        <w:t>Elspeth Kay</w:t>
      </w:r>
    </w:p>
    <w:p w14:paraId="682CED9B" w14:textId="580E8172" w:rsidR="00554826" w:rsidRPr="008E0027" w:rsidRDefault="003170E1" w:rsidP="00554826">
      <w:pPr>
        <w:pStyle w:val="SignCoverPageEnd"/>
        <w:ind w:right="91"/>
        <w:rPr>
          <w:sz w:val="22"/>
        </w:rPr>
      </w:pPr>
      <w:r>
        <w:rPr>
          <w:sz w:val="22"/>
        </w:rPr>
        <w:t>Assistant Secretary</w:t>
      </w:r>
      <w:r>
        <w:rPr>
          <w:sz w:val="22"/>
        </w:rPr>
        <w:br/>
        <w:t>Medicines Regulation Division</w:t>
      </w:r>
      <w:r>
        <w:rPr>
          <w:sz w:val="22"/>
        </w:rPr>
        <w:br/>
        <w:t>Health Products Regulation Group</w:t>
      </w:r>
      <w:r>
        <w:rPr>
          <w:sz w:val="22"/>
        </w:rPr>
        <w:br/>
        <w:t>Department of Health and Aged Care</w:t>
      </w:r>
    </w:p>
    <w:p w14:paraId="1EA4316C" w14:textId="77777777" w:rsidR="00554826" w:rsidRDefault="00554826" w:rsidP="00554826"/>
    <w:p w14:paraId="1C08B51C" w14:textId="77777777" w:rsidR="00554826" w:rsidRPr="00ED79B6" w:rsidRDefault="00554826" w:rsidP="00554826"/>
    <w:p w14:paraId="1518A17B" w14:textId="77777777" w:rsidR="00F6696E" w:rsidRDefault="00F6696E" w:rsidP="00F6696E"/>
    <w:p w14:paraId="6CF7A8E6"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741768C0" w14:textId="77777777" w:rsidR="007500C8" w:rsidRDefault="00715914" w:rsidP="00715914">
      <w:pPr>
        <w:outlineLvl w:val="0"/>
        <w:rPr>
          <w:sz w:val="36"/>
        </w:rPr>
      </w:pPr>
      <w:r w:rsidRPr="007A1328">
        <w:rPr>
          <w:sz w:val="36"/>
        </w:rPr>
        <w:lastRenderedPageBreak/>
        <w:t>Contents</w:t>
      </w:r>
    </w:p>
    <w:p w14:paraId="3F0BC7DD" w14:textId="57C728AA" w:rsidR="00747C1A"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747C1A">
        <w:rPr>
          <w:noProof/>
        </w:rPr>
        <w:t>1  Name</w:t>
      </w:r>
      <w:r w:rsidR="00747C1A">
        <w:rPr>
          <w:noProof/>
        </w:rPr>
        <w:tab/>
      </w:r>
      <w:r w:rsidR="00747C1A">
        <w:rPr>
          <w:noProof/>
        </w:rPr>
        <w:fldChar w:fldCharType="begin"/>
      </w:r>
      <w:r w:rsidR="00747C1A">
        <w:rPr>
          <w:noProof/>
        </w:rPr>
        <w:instrText xml:space="preserve"> PAGEREF _Toc121823038 \h </w:instrText>
      </w:r>
      <w:r w:rsidR="00747C1A">
        <w:rPr>
          <w:noProof/>
        </w:rPr>
      </w:r>
      <w:r w:rsidR="00747C1A">
        <w:rPr>
          <w:noProof/>
        </w:rPr>
        <w:fldChar w:fldCharType="separate"/>
      </w:r>
      <w:r w:rsidR="00511EB8">
        <w:rPr>
          <w:noProof/>
        </w:rPr>
        <w:t>1</w:t>
      </w:r>
      <w:r w:rsidR="00747C1A">
        <w:rPr>
          <w:noProof/>
        </w:rPr>
        <w:fldChar w:fldCharType="end"/>
      </w:r>
    </w:p>
    <w:p w14:paraId="41FF4153" w14:textId="7813E28A" w:rsidR="00747C1A" w:rsidRDefault="00747C1A">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_Toc121823039 \h </w:instrText>
      </w:r>
      <w:r>
        <w:rPr>
          <w:noProof/>
        </w:rPr>
      </w:r>
      <w:r>
        <w:rPr>
          <w:noProof/>
        </w:rPr>
        <w:fldChar w:fldCharType="separate"/>
      </w:r>
      <w:r w:rsidR="00511EB8">
        <w:rPr>
          <w:noProof/>
        </w:rPr>
        <w:t>1</w:t>
      </w:r>
      <w:r>
        <w:rPr>
          <w:noProof/>
        </w:rPr>
        <w:fldChar w:fldCharType="end"/>
      </w:r>
    </w:p>
    <w:p w14:paraId="7879F766" w14:textId="07C8F234" w:rsidR="00747C1A" w:rsidRDefault="00747C1A">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_Toc121823040 \h </w:instrText>
      </w:r>
      <w:r>
        <w:rPr>
          <w:noProof/>
        </w:rPr>
      </w:r>
      <w:r>
        <w:rPr>
          <w:noProof/>
        </w:rPr>
        <w:fldChar w:fldCharType="separate"/>
      </w:r>
      <w:r w:rsidR="00511EB8">
        <w:rPr>
          <w:noProof/>
        </w:rPr>
        <w:t>1</w:t>
      </w:r>
      <w:r>
        <w:rPr>
          <w:noProof/>
        </w:rPr>
        <w:fldChar w:fldCharType="end"/>
      </w:r>
    </w:p>
    <w:p w14:paraId="7A14F39F" w14:textId="00775DEC" w:rsidR="00747C1A" w:rsidRDefault="00747C1A">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_Toc121823041 \h </w:instrText>
      </w:r>
      <w:r>
        <w:rPr>
          <w:noProof/>
        </w:rPr>
      </w:r>
      <w:r>
        <w:rPr>
          <w:noProof/>
        </w:rPr>
        <w:fldChar w:fldCharType="separate"/>
      </w:r>
      <w:r w:rsidR="00511EB8">
        <w:rPr>
          <w:noProof/>
        </w:rPr>
        <w:t>1</w:t>
      </w:r>
      <w:r>
        <w:rPr>
          <w:noProof/>
        </w:rPr>
        <w:fldChar w:fldCharType="end"/>
      </w:r>
    </w:p>
    <w:p w14:paraId="10D30670" w14:textId="7CB48F55" w:rsidR="00747C1A" w:rsidRDefault="00747C1A">
      <w:pPr>
        <w:pStyle w:val="TOC5"/>
        <w:rPr>
          <w:rFonts w:asciiTheme="minorHAnsi" w:eastAsiaTheme="minorEastAsia" w:hAnsiTheme="minorHAnsi" w:cstheme="minorBidi"/>
          <w:noProof/>
          <w:kern w:val="0"/>
          <w:sz w:val="22"/>
          <w:szCs w:val="22"/>
        </w:rPr>
      </w:pPr>
      <w:r>
        <w:rPr>
          <w:noProof/>
        </w:rPr>
        <w:t>5  Declaration of a serious scarcity</w:t>
      </w:r>
      <w:r>
        <w:rPr>
          <w:noProof/>
        </w:rPr>
        <w:tab/>
      </w:r>
      <w:r>
        <w:rPr>
          <w:noProof/>
        </w:rPr>
        <w:fldChar w:fldCharType="begin"/>
      </w:r>
      <w:r>
        <w:rPr>
          <w:noProof/>
        </w:rPr>
        <w:instrText xml:space="preserve"> PAGEREF _Toc121823042 \h </w:instrText>
      </w:r>
      <w:r>
        <w:rPr>
          <w:noProof/>
        </w:rPr>
      </w:r>
      <w:r>
        <w:rPr>
          <w:noProof/>
        </w:rPr>
        <w:fldChar w:fldCharType="separate"/>
      </w:r>
      <w:r w:rsidR="00511EB8">
        <w:rPr>
          <w:noProof/>
        </w:rPr>
        <w:t>2</w:t>
      </w:r>
      <w:r>
        <w:rPr>
          <w:noProof/>
        </w:rPr>
        <w:fldChar w:fldCharType="end"/>
      </w:r>
    </w:p>
    <w:p w14:paraId="0AAAAAEB" w14:textId="2D78AB42" w:rsidR="00747C1A" w:rsidRDefault="00747C1A">
      <w:pPr>
        <w:pStyle w:val="TOC5"/>
        <w:rPr>
          <w:rFonts w:asciiTheme="minorHAnsi" w:eastAsiaTheme="minorEastAsia" w:hAnsiTheme="minorHAnsi" w:cstheme="minorBidi"/>
          <w:noProof/>
          <w:kern w:val="0"/>
          <w:sz w:val="22"/>
          <w:szCs w:val="22"/>
        </w:rPr>
      </w:pPr>
      <w:r>
        <w:rPr>
          <w:noProof/>
        </w:rPr>
        <w:t>6  Substitution of scarce medicine by pharmacists</w:t>
      </w:r>
      <w:r>
        <w:rPr>
          <w:noProof/>
        </w:rPr>
        <w:tab/>
      </w:r>
      <w:r>
        <w:rPr>
          <w:noProof/>
        </w:rPr>
        <w:fldChar w:fldCharType="begin"/>
      </w:r>
      <w:r>
        <w:rPr>
          <w:noProof/>
        </w:rPr>
        <w:instrText xml:space="preserve"> PAGEREF _Toc121823043 \h </w:instrText>
      </w:r>
      <w:r>
        <w:rPr>
          <w:noProof/>
        </w:rPr>
      </w:r>
      <w:r>
        <w:rPr>
          <w:noProof/>
        </w:rPr>
        <w:fldChar w:fldCharType="separate"/>
      </w:r>
      <w:r w:rsidR="00511EB8">
        <w:rPr>
          <w:noProof/>
        </w:rPr>
        <w:t>2</w:t>
      </w:r>
      <w:r>
        <w:rPr>
          <w:noProof/>
        </w:rPr>
        <w:fldChar w:fldCharType="end"/>
      </w:r>
    </w:p>
    <w:p w14:paraId="506B9DA3" w14:textId="2DFC17D2" w:rsidR="00747C1A" w:rsidRDefault="00747C1A">
      <w:pPr>
        <w:pStyle w:val="TOC5"/>
        <w:rPr>
          <w:rFonts w:asciiTheme="minorHAnsi" w:eastAsiaTheme="minorEastAsia" w:hAnsiTheme="minorHAnsi" w:cstheme="minorBidi"/>
          <w:noProof/>
          <w:kern w:val="0"/>
          <w:sz w:val="22"/>
          <w:szCs w:val="22"/>
        </w:rPr>
      </w:pPr>
      <w:r>
        <w:rPr>
          <w:noProof/>
        </w:rPr>
        <w:t>7  Period instrument in force</w:t>
      </w:r>
      <w:r>
        <w:rPr>
          <w:noProof/>
        </w:rPr>
        <w:tab/>
      </w:r>
      <w:r>
        <w:rPr>
          <w:noProof/>
        </w:rPr>
        <w:fldChar w:fldCharType="begin"/>
      </w:r>
      <w:r>
        <w:rPr>
          <w:noProof/>
        </w:rPr>
        <w:instrText xml:space="preserve"> PAGEREF _Toc121823044 \h </w:instrText>
      </w:r>
      <w:r>
        <w:rPr>
          <w:noProof/>
        </w:rPr>
      </w:r>
      <w:r>
        <w:rPr>
          <w:noProof/>
        </w:rPr>
        <w:fldChar w:fldCharType="separate"/>
      </w:r>
      <w:r w:rsidR="00511EB8">
        <w:rPr>
          <w:noProof/>
        </w:rPr>
        <w:t>2</w:t>
      </w:r>
      <w:r>
        <w:rPr>
          <w:noProof/>
        </w:rPr>
        <w:fldChar w:fldCharType="end"/>
      </w:r>
    </w:p>
    <w:p w14:paraId="4B8B4CC2" w14:textId="6BC8649F" w:rsidR="00747C1A" w:rsidRDefault="00747C1A">
      <w:pPr>
        <w:pStyle w:val="TOC5"/>
        <w:rPr>
          <w:rFonts w:asciiTheme="minorHAnsi" w:eastAsiaTheme="minorEastAsia" w:hAnsiTheme="minorHAnsi" w:cstheme="minorBidi"/>
          <w:noProof/>
          <w:kern w:val="0"/>
          <w:sz w:val="22"/>
          <w:szCs w:val="22"/>
        </w:rPr>
      </w:pPr>
      <w:r>
        <w:rPr>
          <w:noProof/>
        </w:rPr>
        <w:t>8  Repeals</w:t>
      </w:r>
      <w:r>
        <w:rPr>
          <w:noProof/>
        </w:rPr>
        <w:tab/>
      </w:r>
      <w:r>
        <w:rPr>
          <w:noProof/>
        </w:rPr>
        <w:fldChar w:fldCharType="begin"/>
      </w:r>
      <w:r>
        <w:rPr>
          <w:noProof/>
        </w:rPr>
        <w:instrText xml:space="preserve"> PAGEREF _Toc121823045 \h </w:instrText>
      </w:r>
      <w:r>
        <w:rPr>
          <w:noProof/>
        </w:rPr>
      </w:r>
      <w:r>
        <w:rPr>
          <w:noProof/>
        </w:rPr>
        <w:fldChar w:fldCharType="separate"/>
      </w:r>
      <w:r w:rsidR="00511EB8">
        <w:rPr>
          <w:noProof/>
        </w:rPr>
        <w:t>2</w:t>
      </w:r>
      <w:r>
        <w:rPr>
          <w:noProof/>
        </w:rPr>
        <w:fldChar w:fldCharType="end"/>
      </w:r>
    </w:p>
    <w:p w14:paraId="3A0C8073" w14:textId="185A9698" w:rsidR="00747C1A" w:rsidRDefault="00747C1A">
      <w:pPr>
        <w:pStyle w:val="TOC6"/>
        <w:rPr>
          <w:rFonts w:asciiTheme="minorHAnsi" w:eastAsiaTheme="minorEastAsia" w:hAnsiTheme="minorHAnsi" w:cstheme="minorBidi"/>
          <w:b w:val="0"/>
          <w:noProof/>
          <w:kern w:val="0"/>
          <w:sz w:val="22"/>
          <w:szCs w:val="22"/>
        </w:rPr>
      </w:pPr>
      <w:r>
        <w:rPr>
          <w:noProof/>
        </w:rPr>
        <w:t>Schedule 1—Scarce medicine, substitutable medicine, dose unit equivalence and specific permitted circumstances</w:t>
      </w:r>
      <w:r>
        <w:rPr>
          <w:noProof/>
        </w:rPr>
        <w:tab/>
      </w:r>
      <w:r>
        <w:rPr>
          <w:noProof/>
        </w:rPr>
        <w:fldChar w:fldCharType="begin"/>
      </w:r>
      <w:r>
        <w:rPr>
          <w:noProof/>
        </w:rPr>
        <w:instrText xml:space="preserve"> PAGEREF _Toc121823046 \h </w:instrText>
      </w:r>
      <w:r>
        <w:rPr>
          <w:noProof/>
        </w:rPr>
      </w:r>
      <w:r>
        <w:rPr>
          <w:noProof/>
        </w:rPr>
        <w:fldChar w:fldCharType="separate"/>
      </w:r>
      <w:r w:rsidR="00511EB8">
        <w:rPr>
          <w:noProof/>
        </w:rPr>
        <w:t>3</w:t>
      </w:r>
      <w:r>
        <w:rPr>
          <w:noProof/>
        </w:rPr>
        <w:fldChar w:fldCharType="end"/>
      </w:r>
    </w:p>
    <w:p w14:paraId="0CA88AAE" w14:textId="2501CD78" w:rsidR="00747C1A" w:rsidRDefault="00747C1A">
      <w:pPr>
        <w:pStyle w:val="TOC2"/>
        <w:rPr>
          <w:rFonts w:asciiTheme="minorHAnsi" w:eastAsiaTheme="minorEastAsia" w:hAnsiTheme="minorHAnsi" w:cstheme="minorBidi"/>
          <w:b w:val="0"/>
          <w:noProof/>
          <w:kern w:val="0"/>
          <w:sz w:val="22"/>
          <w:szCs w:val="22"/>
        </w:rPr>
      </w:pPr>
      <w:r>
        <w:rPr>
          <w:noProof/>
        </w:rPr>
        <w:t>Part 1—Scarce medicine: cefalexin in liquid or suspension preparations</w:t>
      </w:r>
      <w:r>
        <w:rPr>
          <w:noProof/>
        </w:rPr>
        <w:tab/>
      </w:r>
      <w:r>
        <w:rPr>
          <w:noProof/>
        </w:rPr>
        <w:fldChar w:fldCharType="begin"/>
      </w:r>
      <w:r>
        <w:rPr>
          <w:noProof/>
        </w:rPr>
        <w:instrText xml:space="preserve"> PAGEREF _Toc121823047 \h </w:instrText>
      </w:r>
      <w:r>
        <w:rPr>
          <w:noProof/>
        </w:rPr>
      </w:r>
      <w:r>
        <w:rPr>
          <w:noProof/>
        </w:rPr>
        <w:fldChar w:fldCharType="separate"/>
      </w:r>
      <w:r w:rsidR="00511EB8">
        <w:rPr>
          <w:noProof/>
        </w:rPr>
        <w:t>3</w:t>
      </w:r>
      <w:r>
        <w:rPr>
          <w:noProof/>
        </w:rPr>
        <w:fldChar w:fldCharType="end"/>
      </w:r>
    </w:p>
    <w:p w14:paraId="38DCF2F4" w14:textId="5DE2D34E" w:rsidR="00747C1A" w:rsidRDefault="00747C1A">
      <w:pPr>
        <w:pStyle w:val="TOC2"/>
        <w:rPr>
          <w:rFonts w:asciiTheme="minorHAnsi" w:eastAsiaTheme="minorEastAsia" w:hAnsiTheme="minorHAnsi" w:cstheme="minorBidi"/>
          <w:b w:val="0"/>
          <w:noProof/>
          <w:kern w:val="0"/>
          <w:sz w:val="22"/>
          <w:szCs w:val="22"/>
        </w:rPr>
      </w:pPr>
      <w:r>
        <w:rPr>
          <w:noProof/>
        </w:rPr>
        <w:t>Part 2—Scarce medicine: cefalexin in capsule dosage form</w:t>
      </w:r>
      <w:r>
        <w:rPr>
          <w:noProof/>
        </w:rPr>
        <w:tab/>
      </w:r>
      <w:r>
        <w:rPr>
          <w:noProof/>
        </w:rPr>
        <w:fldChar w:fldCharType="begin"/>
      </w:r>
      <w:r>
        <w:rPr>
          <w:noProof/>
        </w:rPr>
        <w:instrText xml:space="preserve"> PAGEREF _Toc121823048 \h </w:instrText>
      </w:r>
      <w:r>
        <w:rPr>
          <w:noProof/>
        </w:rPr>
      </w:r>
      <w:r>
        <w:rPr>
          <w:noProof/>
        </w:rPr>
        <w:fldChar w:fldCharType="separate"/>
      </w:r>
      <w:r w:rsidR="00511EB8">
        <w:rPr>
          <w:noProof/>
        </w:rPr>
        <w:t>7</w:t>
      </w:r>
      <w:r>
        <w:rPr>
          <w:noProof/>
        </w:rPr>
        <w:fldChar w:fldCharType="end"/>
      </w:r>
    </w:p>
    <w:p w14:paraId="0F6147E5" w14:textId="357FED2B" w:rsidR="00747C1A" w:rsidRDefault="00747C1A">
      <w:pPr>
        <w:pStyle w:val="TOC6"/>
        <w:rPr>
          <w:rFonts w:asciiTheme="minorHAnsi" w:eastAsiaTheme="minorEastAsia" w:hAnsiTheme="minorHAnsi" w:cstheme="minorBidi"/>
          <w:b w:val="0"/>
          <w:noProof/>
          <w:kern w:val="0"/>
          <w:sz w:val="22"/>
          <w:szCs w:val="22"/>
        </w:rPr>
      </w:pPr>
      <w:r>
        <w:rPr>
          <w:noProof/>
        </w:rPr>
        <w:t>Schedule 2—General permitted circumstances</w:t>
      </w:r>
      <w:r>
        <w:rPr>
          <w:noProof/>
        </w:rPr>
        <w:tab/>
      </w:r>
      <w:r>
        <w:rPr>
          <w:noProof/>
        </w:rPr>
        <w:fldChar w:fldCharType="begin"/>
      </w:r>
      <w:r>
        <w:rPr>
          <w:noProof/>
        </w:rPr>
        <w:instrText xml:space="preserve"> PAGEREF _Toc121823049 \h </w:instrText>
      </w:r>
      <w:r>
        <w:rPr>
          <w:noProof/>
        </w:rPr>
      </w:r>
      <w:r>
        <w:rPr>
          <w:noProof/>
        </w:rPr>
        <w:fldChar w:fldCharType="separate"/>
      </w:r>
      <w:r w:rsidR="00511EB8">
        <w:rPr>
          <w:noProof/>
        </w:rPr>
        <w:t>8</w:t>
      </w:r>
      <w:r>
        <w:rPr>
          <w:noProof/>
        </w:rPr>
        <w:fldChar w:fldCharType="end"/>
      </w:r>
    </w:p>
    <w:p w14:paraId="70BCF9CD" w14:textId="39DB34EE" w:rsidR="00F6696E" w:rsidRPr="00043CF3" w:rsidRDefault="00B418CB" w:rsidP="00747C1A">
      <w:pPr>
        <w:pStyle w:val="TOC6"/>
        <w:ind w:left="0" w:firstLine="0"/>
        <w:rPr>
          <w:rFonts w:asciiTheme="minorHAnsi" w:eastAsiaTheme="minorEastAsia" w:hAnsiTheme="minorHAnsi" w:cstheme="minorBidi"/>
          <w:b w:val="0"/>
          <w:noProof/>
          <w:kern w:val="0"/>
          <w:sz w:val="22"/>
          <w:szCs w:val="22"/>
        </w:rPr>
      </w:pPr>
      <w:r>
        <w:fldChar w:fldCharType="end"/>
      </w:r>
    </w:p>
    <w:p w14:paraId="1CC81D1E" w14:textId="77777777" w:rsidR="00F6696E" w:rsidRPr="00A802BC" w:rsidRDefault="00F6696E" w:rsidP="00F6696E">
      <w:pPr>
        <w:outlineLvl w:val="0"/>
        <w:rPr>
          <w:sz w:val="20"/>
        </w:rPr>
      </w:pPr>
    </w:p>
    <w:p w14:paraId="4411D440" w14:textId="77777777" w:rsidR="00F6696E" w:rsidRDefault="00F6696E" w:rsidP="00F6696E">
      <w:pPr>
        <w:sectPr w:rsidR="00F6696E" w:rsidSect="00A87A58">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7B08789B" w14:textId="77777777" w:rsidR="00554826" w:rsidRPr="00554826" w:rsidRDefault="00554826" w:rsidP="00554826">
      <w:pPr>
        <w:pStyle w:val="ActHead5"/>
      </w:pPr>
      <w:bookmarkStart w:id="0" w:name="_Toc121823038"/>
      <w:r w:rsidRPr="00554826">
        <w:lastRenderedPageBreak/>
        <w:t>1  Name</w:t>
      </w:r>
      <w:bookmarkEnd w:id="0"/>
    </w:p>
    <w:p w14:paraId="0F07DEF4" w14:textId="362D5D79" w:rsidR="00554826" w:rsidRDefault="00554826" w:rsidP="00554826">
      <w:pPr>
        <w:pStyle w:val="subsection"/>
      </w:pPr>
      <w:r w:rsidRPr="009C2562">
        <w:tab/>
      </w:r>
      <w:r w:rsidRPr="009C2562">
        <w:tab/>
        <w:t xml:space="preserve">This </w:t>
      </w:r>
      <w:r>
        <w:t xml:space="preserve">instrument </w:t>
      </w:r>
      <w:r w:rsidRPr="009C2562">
        <w:t xml:space="preserve">is the </w:t>
      </w:r>
      <w:bookmarkStart w:id="1" w:name="BKCheck15B_3"/>
      <w:bookmarkEnd w:id="1"/>
      <w:r w:rsidR="00473251">
        <w:rPr>
          <w:i/>
        </w:rPr>
        <w:t>Therapeutic Goods (Serious Scarcity and Substitutable Medicine) (</w:t>
      </w:r>
      <w:r w:rsidR="00ED0E9C">
        <w:rPr>
          <w:i/>
        </w:rPr>
        <w:t>Cefalexin</w:t>
      </w:r>
      <w:r w:rsidR="00473251">
        <w:rPr>
          <w:i/>
        </w:rPr>
        <w:t>) Instrument 2022</w:t>
      </w:r>
      <w:r w:rsidRPr="009C2562">
        <w:t>.</w:t>
      </w:r>
    </w:p>
    <w:p w14:paraId="3C00E7DE" w14:textId="77777777" w:rsidR="00554826" w:rsidRPr="00554826" w:rsidRDefault="00554826" w:rsidP="00554826">
      <w:pPr>
        <w:pStyle w:val="ActHead5"/>
      </w:pPr>
      <w:bookmarkStart w:id="2" w:name="_Toc121823039"/>
      <w:r w:rsidRPr="00554826">
        <w:t>2  Commencement</w:t>
      </w:r>
      <w:bookmarkEnd w:id="2"/>
    </w:p>
    <w:p w14:paraId="09CC1674" w14:textId="58F63BAD" w:rsidR="003767E2" w:rsidRPr="003422B4" w:rsidRDefault="003767E2" w:rsidP="003767E2">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75861BB5"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572C4645" w14:textId="77777777" w:rsidTr="00A02135">
        <w:trPr>
          <w:tblHeader/>
        </w:trPr>
        <w:tc>
          <w:tcPr>
            <w:tcW w:w="8364" w:type="dxa"/>
            <w:gridSpan w:val="3"/>
            <w:tcBorders>
              <w:top w:val="single" w:sz="12" w:space="0" w:color="auto"/>
              <w:bottom w:val="single" w:sz="6" w:space="0" w:color="auto"/>
            </w:tcBorders>
            <w:shd w:val="clear" w:color="auto" w:fill="auto"/>
            <w:hideMark/>
          </w:tcPr>
          <w:p w14:paraId="34E1D81B" w14:textId="77777777" w:rsidR="003767E2" w:rsidRPr="003422B4" w:rsidRDefault="003767E2" w:rsidP="00A02135">
            <w:pPr>
              <w:pStyle w:val="TableHeading"/>
            </w:pPr>
            <w:r w:rsidRPr="003422B4">
              <w:t>Commencement information</w:t>
            </w:r>
          </w:p>
        </w:tc>
      </w:tr>
      <w:tr w:rsidR="003767E2" w:rsidRPr="003422B4" w14:paraId="28F41219" w14:textId="77777777" w:rsidTr="00A02135">
        <w:trPr>
          <w:tblHeader/>
        </w:trPr>
        <w:tc>
          <w:tcPr>
            <w:tcW w:w="2127" w:type="dxa"/>
            <w:tcBorders>
              <w:top w:val="single" w:sz="6" w:space="0" w:color="auto"/>
              <w:bottom w:val="single" w:sz="6" w:space="0" w:color="auto"/>
            </w:tcBorders>
            <w:shd w:val="clear" w:color="auto" w:fill="auto"/>
            <w:hideMark/>
          </w:tcPr>
          <w:p w14:paraId="5890A353" w14:textId="77777777" w:rsidR="003767E2" w:rsidRPr="003422B4" w:rsidRDefault="003767E2"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3FD69453" w14:textId="77777777" w:rsidR="003767E2" w:rsidRPr="003422B4" w:rsidRDefault="003767E2"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26050095" w14:textId="77777777" w:rsidR="003767E2" w:rsidRPr="003422B4" w:rsidRDefault="003767E2" w:rsidP="00A02135">
            <w:pPr>
              <w:pStyle w:val="TableHeading"/>
            </w:pPr>
            <w:r w:rsidRPr="003422B4">
              <w:t>Column 3</w:t>
            </w:r>
          </w:p>
        </w:tc>
      </w:tr>
      <w:tr w:rsidR="003767E2" w:rsidRPr="003422B4" w14:paraId="2773A8E7" w14:textId="77777777" w:rsidTr="00A02135">
        <w:trPr>
          <w:tblHeader/>
        </w:trPr>
        <w:tc>
          <w:tcPr>
            <w:tcW w:w="2127" w:type="dxa"/>
            <w:tcBorders>
              <w:top w:val="single" w:sz="6" w:space="0" w:color="auto"/>
              <w:bottom w:val="single" w:sz="12" w:space="0" w:color="auto"/>
            </w:tcBorders>
            <w:shd w:val="clear" w:color="auto" w:fill="auto"/>
            <w:hideMark/>
          </w:tcPr>
          <w:p w14:paraId="366704E0" w14:textId="77777777" w:rsidR="003767E2" w:rsidRPr="003422B4" w:rsidRDefault="003767E2"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2932DD45" w14:textId="77777777" w:rsidR="003767E2" w:rsidRPr="003422B4" w:rsidRDefault="003767E2"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1F5F5604" w14:textId="77777777" w:rsidR="003767E2" w:rsidRPr="003422B4" w:rsidRDefault="003767E2" w:rsidP="00A02135">
            <w:pPr>
              <w:pStyle w:val="TableHeading"/>
            </w:pPr>
            <w:r w:rsidRPr="003422B4">
              <w:t>Date/Details</w:t>
            </w:r>
          </w:p>
        </w:tc>
      </w:tr>
      <w:tr w:rsidR="003767E2" w:rsidRPr="003422B4" w14:paraId="529F009A" w14:textId="77777777" w:rsidTr="00A02135">
        <w:tc>
          <w:tcPr>
            <w:tcW w:w="2127" w:type="dxa"/>
            <w:tcBorders>
              <w:top w:val="single" w:sz="12" w:space="0" w:color="auto"/>
              <w:bottom w:val="single" w:sz="12" w:space="0" w:color="auto"/>
            </w:tcBorders>
            <w:shd w:val="clear" w:color="auto" w:fill="auto"/>
            <w:hideMark/>
          </w:tcPr>
          <w:p w14:paraId="1B236A68" w14:textId="1FEC0AFB" w:rsidR="003767E2" w:rsidRPr="003A6229" w:rsidRDefault="003767E2" w:rsidP="00A02135">
            <w:pPr>
              <w:pStyle w:val="Tabletext"/>
              <w:rPr>
                <w:i/>
              </w:rPr>
            </w:pPr>
            <w:r w:rsidRPr="003422B4">
              <w:t xml:space="preserve">1.  </w:t>
            </w:r>
            <w:r w:rsidR="00473251">
              <w:rPr>
                <w:iCs/>
              </w:rPr>
              <w:t>The whole of this instrument</w:t>
            </w:r>
          </w:p>
        </w:tc>
        <w:tc>
          <w:tcPr>
            <w:tcW w:w="4394" w:type="dxa"/>
            <w:tcBorders>
              <w:top w:val="single" w:sz="12" w:space="0" w:color="auto"/>
              <w:bottom w:val="single" w:sz="12" w:space="0" w:color="auto"/>
            </w:tcBorders>
            <w:shd w:val="clear" w:color="auto" w:fill="auto"/>
            <w:hideMark/>
          </w:tcPr>
          <w:p w14:paraId="38B5CC02" w14:textId="37E5E8AC" w:rsidR="003767E2" w:rsidRPr="009A3546" w:rsidRDefault="007E5115" w:rsidP="00A02135">
            <w:pPr>
              <w:pStyle w:val="Tabletext"/>
              <w:rPr>
                <w:iCs/>
              </w:rPr>
            </w:pPr>
            <w:r>
              <w:rPr>
                <w:iCs/>
              </w:rPr>
              <w:t>21 December 2022</w:t>
            </w:r>
            <w:r w:rsidR="009A3546" w:rsidRPr="009A3546">
              <w:rPr>
                <w:iCs/>
              </w:rPr>
              <w:t>.</w:t>
            </w:r>
          </w:p>
        </w:tc>
        <w:tc>
          <w:tcPr>
            <w:tcW w:w="1843" w:type="dxa"/>
            <w:tcBorders>
              <w:top w:val="single" w:sz="12" w:space="0" w:color="auto"/>
              <w:bottom w:val="single" w:sz="12" w:space="0" w:color="auto"/>
            </w:tcBorders>
            <w:shd w:val="clear" w:color="auto" w:fill="auto"/>
          </w:tcPr>
          <w:p w14:paraId="3160335B" w14:textId="340ED92D" w:rsidR="003767E2" w:rsidRPr="009A3546" w:rsidRDefault="007E5115" w:rsidP="00A02135">
            <w:pPr>
              <w:pStyle w:val="Tabletext"/>
              <w:rPr>
                <w:iCs/>
              </w:rPr>
            </w:pPr>
            <w:r>
              <w:rPr>
                <w:iCs/>
              </w:rPr>
              <w:t>21 December</w:t>
            </w:r>
            <w:r w:rsidR="009A3546" w:rsidRPr="009A3546">
              <w:rPr>
                <w:iCs/>
              </w:rPr>
              <w:t xml:space="preserve"> 2022</w:t>
            </w:r>
          </w:p>
        </w:tc>
      </w:tr>
    </w:tbl>
    <w:p w14:paraId="38E6E5EB"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0D0F3746" w14:textId="77777777" w:rsidR="003767E2" w:rsidRPr="003422B4" w:rsidRDefault="003767E2" w:rsidP="003767E2">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1BC8362C" w14:textId="77777777" w:rsidR="00554826" w:rsidRPr="00554826" w:rsidRDefault="00554826" w:rsidP="00554826">
      <w:pPr>
        <w:pStyle w:val="ActHead5"/>
      </w:pPr>
      <w:bookmarkStart w:id="3" w:name="_Toc121823040"/>
      <w:r w:rsidRPr="00554826">
        <w:t>3  Authority</w:t>
      </w:r>
      <w:bookmarkEnd w:id="3"/>
    </w:p>
    <w:p w14:paraId="6AD3033C" w14:textId="178FF8B2" w:rsidR="00554826" w:rsidRPr="00473251" w:rsidRDefault="00554826" w:rsidP="00554826">
      <w:pPr>
        <w:pStyle w:val="subsection"/>
      </w:pPr>
      <w:r w:rsidRPr="009C2562">
        <w:tab/>
      </w:r>
      <w:r w:rsidRPr="009C2562">
        <w:tab/>
        <w:t xml:space="preserve">This instrument is made under </w:t>
      </w:r>
      <w:r w:rsidR="00473251">
        <w:t xml:space="preserve">section 30EK of the </w:t>
      </w:r>
      <w:r w:rsidR="00473251">
        <w:rPr>
          <w:i/>
          <w:iCs/>
        </w:rPr>
        <w:t>Therapeutic Goods Act 1989</w:t>
      </w:r>
      <w:r w:rsidR="00473251">
        <w:t>.</w:t>
      </w:r>
    </w:p>
    <w:p w14:paraId="3C2FF90D" w14:textId="77777777" w:rsidR="00554826" w:rsidRPr="00554826" w:rsidRDefault="00554826" w:rsidP="00554826">
      <w:pPr>
        <w:pStyle w:val="ActHead5"/>
      </w:pPr>
      <w:bookmarkStart w:id="4" w:name="_Toc121823041"/>
      <w:r w:rsidRPr="00ED0E9C">
        <w:t>4  Definitions</w:t>
      </w:r>
      <w:bookmarkEnd w:id="4"/>
    </w:p>
    <w:p w14:paraId="17724310" w14:textId="062859A8" w:rsidR="00554826" w:rsidRPr="009C2562" w:rsidRDefault="00554826" w:rsidP="00554826">
      <w:pPr>
        <w:pStyle w:val="notetext"/>
      </w:pPr>
      <w:r w:rsidRPr="009C2562">
        <w:t>Note:</w:t>
      </w:r>
      <w:r w:rsidRPr="009C2562">
        <w:tab/>
        <w:t xml:space="preserve">A number of expressions used in this instrument are defined in </w:t>
      </w:r>
      <w:r w:rsidR="00473251">
        <w:t>subsection 3(1)</w:t>
      </w:r>
      <w:r>
        <w:t xml:space="preserve"> of the Act</w:t>
      </w:r>
      <w:r w:rsidRPr="009C2562">
        <w:t>, including the following:</w:t>
      </w:r>
    </w:p>
    <w:p w14:paraId="70E19CBF" w14:textId="452AB747" w:rsidR="00554826" w:rsidRDefault="00A87222" w:rsidP="00483700">
      <w:pPr>
        <w:pStyle w:val="notepara"/>
      </w:pPr>
      <w:r>
        <w:t>(</w:t>
      </w:r>
      <w:r w:rsidR="00DF0E82">
        <w:t>a</w:t>
      </w:r>
      <w:r>
        <w:t>)</w:t>
      </w:r>
      <w:r>
        <w:tab/>
      </w:r>
      <w:r w:rsidR="00473251">
        <w:t>medicine</w:t>
      </w:r>
      <w:r>
        <w:t>;</w:t>
      </w:r>
    </w:p>
    <w:p w14:paraId="3D06CE74" w14:textId="12C5FE8E" w:rsidR="00A87222" w:rsidRDefault="00A87222" w:rsidP="00483700">
      <w:pPr>
        <w:pStyle w:val="notepara"/>
      </w:pPr>
      <w:r>
        <w:t>(</w:t>
      </w:r>
      <w:r w:rsidR="00DF0E82">
        <w:t>b</w:t>
      </w:r>
      <w:r>
        <w:t>)</w:t>
      </w:r>
      <w:r>
        <w:tab/>
        <w:t>Register;</w:t>
      </w:r>
    </w:p>
    <w:p w14:paraId="04EF2349" w14:textId="6E6D0B6E" w:rsidR="00A87222" w:rsidRDefault="00A87222" w:rsidP="00483700">
      <w:pPr>
        <w:pStyle w:val="notepara"/>
      </w:pPr>
      <w:r>
        <w:t>(</w:t>
      </w:r>
      <w:r w:rsidR="00DF0E82">
        <w:t>c</w:t>
      </w:r>
      <w:r>
        <w:t>)</w:t>
      </w:r>
      <w:r>
        <w:tab/>
        <w:t>registered goods</w:t>
      </w:r>
      <w:r w:rsidR="00DF0E82">
        <w:t>.</w:t>
      </w:r>
    </w:p>
    <w:p w14:paraId="1A474778" w14:textId="73FE2C82" w:rsidR="00554826" w:rsidRPr="009C2562" w:rsidRDefault="00554826" w:rsidP="00554826">
      <w:pPr>
        <w:pStyle w:val="subsection"/>
      </w:pPr>
      <w:r w:rsidRPr="009C2562">
        <w:tab/>
      </w:r>
      <w:r w:rsidRPr="009C2562">
        <w:tab/>
        <w:t>In this instrument:</w:t>
      </w:r>
    </w:p>
    <w:p w14:paraId="3B8D98A4" w14:textId="260232DC" w:rsidR="00554826" w:rsidRPr="009C2562" w:rsidRDefault="00554826" w:rsidP="00554826">
      <w:pPr>
        <w:pStyle w:val="Definition"/>
      </w:pPr>
      <w:r w:rsidRPr="009C2562">
        <w:rPr>
          <w:b/>
          <w:i/>
        </w:rPr>
        <w:t>Act</w:t>
      </w:r>
      <w:r w:rsidRPr="009C2562">
        <w:t xml:space="preserve"> means the </w:t>
      </w:r>
      <w:r w:rsidR="00473251">
        <w:rPr>
          <w:i/>
        </w:rPr>
        <w:t>Therapeutic Goods Act 1989</w:t>
      </w:r>
      <w:r>
        <w:t>.</w:t>
      </w:r>
    </w:p>
    <w:p w14:paraId="55104607" w14:textId="6A38790E" w:rsidR="00A87222" w:rsidRPr="002665D7" w:rsidRDefault="00A87222" w:rsidP="00554826">
      <w:pPr>
        <w:pStyle w:val="Definition"/>
        <w:rPr>
          <w:bCs/>
          <w:iCs/>
        </w:rPr>
      </w:pPr>
      <w:r>
        <w:rPr>
          <w:b/>
          <w:i/>
        </w:rPr>
        <w:t xml:space="preserve">capsule </w:t>
      </w:r>
      <w:r>
        <w:rPr>
          <w:bCs/>
          <w:iCs/>
        </w:rPr>
        <w:t>has the same meaning as in TGO 101.</w:t>
      </w:r>
    </w:p>
    <w:p w14:paraId="4225A172" w14:textId="5AE317AE" w:rsidR="00554826" w:rsidRDefault="00473251" w:rsidP="00554826">
      <w:pPr>
        <w:pStyle w:val="Definition"/>
      </w:pPr>
      <w:r w:rsidRPr="00473251">
        <w:rPr>
          <w:b/>
          <w:i/>
        </w:rPr>
        <w:t>pharmacist</w:t>
      </w:r>
      <w:r>
        <w:rPr>
          <w:bCs/>
          <w:iCs/>
        </w:rPr>
        <w:t xml:space="preserve"> </w:t>
      </w:r>
      <w:r w:rsidRPr="00473251">
        <w:rPr>
          <w:bCs/>
          <w:iCs/>
        </w:rPr>
        <w:t>has</w:t>
      </w:r>
      <w:r w:rsidR="00554826">
        <w:t xml:space="preserve"> </w:t>
      </w:r>
      <w:r>
        <w:t>the same meaning as in subsection 30EK(6) of the Act</w:t>
      </w:r>
      <w:r w:rsidR="00554826">
        <w:t>.</w:t>
      </w:r>
    </w:p>
    <w:p w14:paraId="3D86D48E" w14:textId="77777777" w:rsidR="00473251" w:rsidRDefault="00473251" w:rsidP="00554826">
      <w:pPr>
        <w:pStyle w:val="Definition"/>
      </w:pPr>
      <w:r>
        <w:rPr>
          <w:b/>
          <w:i/>
        </w:rPr>
        <w:t>prescriber</w:t>
      </w:r>
      <w:r w:rsidR="00554826" w:rsidRPr="00473251">
        <w:rPr>
          <w:bCs/>
          <w:iCs/>
        </w:rPr>
        <w:t xml:space="preserve"> </w:t>
      </w:r>
      <w:r w:rsidR="00554826" w:rsidRPr="009C2562">
        <w:t>means</w:t>
      </w:r>
      <w:r w:rsidR="00554826">
        <w:t xml:space="preserve"> </w:t>
      </w:r>
      <w:r>
        <w:t>the person who:</w:t>
      </w:r>
    </w:p>
    <w:p w14:paraId="38953791" w14:textId="401C152C" w:rsidR="00473251" w:rsidRPr="00473251" w:rsidRDefault="00473251" w:rsidP="00473251">
      <w:pPr>
        <w:pStyle w:val="paragraph"/>
      </w:pPr>
      <w:r w:rsidRPr="00473251">
        <w:tab/>
        <w:t>(</w:t>
      </w:r>
      <w:r>
        <w:t>a)</w:t>
      </w:r>
      <w:r>
        <w:tab/>
      </w:r>
      <w:r w:rsidRPr="00473251">
        <w:t>is authorised under a law of a State or Territory to prescribe medicine; and</w:t>
      </w:r>
    </w:p>
    <w:p w14:paraId="38AF7266" w14:textId="6C742792" w:rsidR="00554826" w:rsidRDefault="00473251" w:rsidP="00473251">
      <w:pPr>
        <w:pStyle w:val="paragraph"/>
      </w:pPr>
      <w:r>
        <w:tab/>
        <w:t>(b)</w:t>
      </w:r>
      <w:r>
        <w:tab/>
      </w:r>
      <w:r w:rsidRPr="00473251">
        <w:t>prescribed the scarce medicine for the patient</w:t>
      </w:r>
      <w:r w:rsidR="00554826">
        <w:t>.</w:t>
      </w:r>
    </w:p>
    <w:p w14:paraId="6487F723" w14:textId="4B5DDF89" w:rsidR="00A87222" w:rsidRPr="002665D7" w:rsidRDefault="00A87222" w:rsidP="00473251">
      <w:pPr>
        <w:pStyle w:val="Definition"/>
        <w:rPr>
          <w:bCs/>
          <w:iCs/>
        </w:rPr>
      </w:pPr>
      <w:r>
        <w:rPr>
          <w:b/>
          <w:i/>
        </w:rPr>
        <w:t xml:space="preserve">registered medicine </w:t>
      </w:r>
      <w:r>
        <w:rPr>
          <w:bCs/>
          <w:iCs/>
        </w:rPr>
        <w:t>means a medicine that is included in the part of the Register for goods known as registered goods.</w:t>
      </w:r>
    </w:p>
    <w:p w14:paraId="26AC917A" w14:textId="48D9BF2D" w:rsidR="00473251" w:rsidRDefault="00473251" w:rsidP="00473251">
      <w:pPr>
        <w:pStyle w:val="Definition"/>
        <w:rPr>
          <w:bCs/>
          <w:iCs/>
        </w:rPr>
      </w:pPr>
      <w:r>
        <w:rPr>
          <w:b/>
          <w:i/>
        </w:rPr>
        <w:lastRenderedPageBreak/>
        <w:t>scarce</w:t>
      </w:r>
      <w:r w:rsidRPr="00473251">
        <w:rPr>
          <w:b/>
          <w:i/>
        </w:rPr>
        <w:t xml:space="preserve"> medicine</w:t>
      </w:r>
      <w:r>
        <w:rPr>
          <w:bCs/>
          <w:iCs/>
        </w:rPr>
        <w:t xml:space="preserve"> has the meaning given by section 5.</w:t>
      </w:r>
    </w:p>
    <w:p w14:paraId="1F2E1B05" w14:textId="75A3EA31" w:rsidR="00473251" w:rsidRDefault="00473251" w:rsidP="00473251">
      <w:pPr>
        <w:pStyle w:val="Definition"/>
        <w:rPr>
          <w:bCs/>
          <w:iCs/>
        </w:rPr>
      </w:pPr>
      <w:r>
        <w:rPr>
          <w:b/>
          <w:i/>
        </w:rPr>
        <w:t>substitutable medicine</w:t>
      </w:r>
      <w:r>
        <w:rPr>
          <w:bCs/>
          <w:iCs/>
        </w:rPr>
        <w:t xml:space="preserve"> has the meaning given by section 6.</w:t>
      </w:r>
    </w:p>
    <w:p w14:paraId="29D43DAB" w14:textId="2FF6EEAB" w:rsidR="00176543" w:rsidRPr="002665D7" w:rsidRDefault="00176543" w:rsidP="00473251">
      <w:pPr>
        <w:pStyle w:val="Definition"/>
        <w:rPr>
          <w:bCs/>
          <w:i/>
        </w:rPr>
      </w:pPr>
      <w:r>
        <w:rPr>
          <w:b/>
          <w:i/>
        </w:rPr>
        <w:t xml:space="preserve">TGO 101 </w:t>
      </w:r>
      <w:r>
        <w:rPr>
          <w:bCs/>
          <w:iCs/>
        </w:rPr>
        <w:t xml:space="preserve">means the </w:t>
      </w:r>
      <w:r>
        <w:rPr>
          <w:bCs/>
          <w:i/>
        </w:rPr>
        <w:t>Therapeutic Goods (Standard for Tablets, Capsules and Pills) (TGO 101) Order 2019.</w:t>
      </w:r>
    </w:p>
    <w:p w14:paraId="1EC66521" w14:textId="7004A07E" w:rsidR="00176543" w:rsidRPr="003422B4" w:rsidRDefault="00176543" w:rsidP="00176543">
      <w:pPr>
        <w:pStyle w:val="notetext"/>
      </w:pPr>
      <w:r w:rsidRPr="003422B4">
        <w:rPr>
          <w:snapToGrid w:val="0"/>
          <w:lang w:eastAsia="en-US"/>
        </w:rPr>
        <w:t>Note:</w:t>
      </w:r>
      <w:r w:rsidRPr="003422B4">
        <w:rPr>
          <w:snapToGrid w:val="0"/>
          <w:lang w:eastAsia="en-US"/>
        </w:rPr>
        <w:tab/>
      </w:r>
      <w:r w:rsidR="00A87222">
        <w:rPr>
          <w:snapToGrid w:val="0"/>
          <w:lang w:eastAsia="en-US"/>
        </w:rPr>
        <w:t xml:space="preserve">TGO 101 </w:t>
      </w:r>
      <w:r w:rsidR="009E6957">
        <w:rPr>
          <w:snapToGrid w:val="0"/>
          <w:lang w:eastAsia="en-US"/>
        </w:rPr>
        <w:t xml:space="preserve">is a legislative instrument </w:t>
      </w:r>
      <w:r w:rsidR="00D002DD">
        <w:rPr>
          <w:snapToGrid w:val="0"/>
          <w:lang w:eastAsia="en-US"/>
        </w:rPr>
        <w:t>published on the Federal Register of Legislation</w:t>
      </w:r>
      <w:r w:rsidR="00A87222">
        <w:rPr>
          <w:snapToGrid w:val="0"/>
          <w:lang w:eastAsia="en-US"/>
        </w:rPr>
        <w:t xml:space="preserve"> at www.legislation.gov.au</w:t>
      </w:r>
      <w:r w:rsidRPr="003422B4">
        <w:rPr>
          <w:snapToGrid w:val="0"/>
          <w:lang w:eastAsia="en-US"/>
        </w:rPr>
        <w:t>.</w:t>
      </w:r>
    </w:p>
    <w:p w14:paraId="5231D17F" w14:textId="48942F0B" w:rsidR="00554826" w:rsidRPr="00062897" w:rsidRDefault="00062897" w:rsidP="00062897">
      <w:pPr>
        <w:pStyle w:val="ActHead5"/>
        <w:keepNext w:val="0"/>
        <w:keepLines w:val="0"/>
      </w:pPr>
      <w:bookmarkStart w:id="5" w:name="_Toc121823042"/>
      <w:r w:rsidRPr="00062897">
        <w:t>5</w:t>
      </w:r>
      <w:r w:rsidR="00554826" w:rsidRPr="00062897">
        <w:t xml:space="preserve">  </w:t>
      </w:r>
      <w:r>
        <w:t>Declaration of a serious scarcity</w:t>
      </w:r>
      <w:bookmarkEnd w:id="5"/>
    </w:p>
    <w:p w14:paraId="5C3ED305" w14:textId="38516126" w:rsidR="00554826" w:rsidRDefault="00554826" w:rsidP="00554826">
      <w:pPr>
        <w:pStyle w:val="subsection"/>
      </w:pPr>
      <w:r w:rsidRPr="00062897">
        <w:tab/>
      </w:r>
      <w:r w:rsidRPr="00062897">
        <w:tab/>
      </w:r>
      <w:r w:rsidR="00062897">
        <w:t xml:space="preserve">For paragraph 30EK(1)(a) of the Act, a serious scarcity of the medicine specified in column 2 of each item in the tables in Part 1 and Part 2 of Schedule 1 (the </w:t>
      </w:r>
      <w:r w:rsidR="00062897">
        <w:rPr>
          <w:b/>
          <w:bCs/>
          <w:i/>
          <w:iCs/>
        </w:rPr>
        <w:t>scarce medicine</w:t>
      </w:r>
      <w:r w:rsidR="00062897">
        <w:t>) across the whole of Australia is declared.</w:t>
      </w:r>
    </w:p>
    <w:p w14:paraId="2508B491" w14:textId="77B98C04" w:rsidR="00062897" w:rsidRPr="00062897" w:rsidRDefault="00062897" w:rsidP="00062897">
      <w:pPr>
        <w:pStyle w:val="ActHead5"/>
        <w:keepNext w:val="0"/>
        <w:keepLines w:val="0"/>
      </w:pPr>
      <w:bookmarkStart w:id="6" w:name="_Toc121823043"/>
      <w:r w:rsidRPr="00062897">
        <w:t>6  Substitution of scarce medicine by pharmacists</w:t>
      </w:r>
      <w:bookmarkEnd w:id="6"/>
    </w:p>
    <w:p w14:paraId="71325782" w14:textId="4D2EE980" w:rsidR="00554826" w:rsidRPr="00062897" w:rsidRDefault="00554826" w:rsidP="00554826">
      <w:pPr>
        <w:pStyle w:val="subsection"/>
      </w:pPr>
      <w:r w:rsidRPr="00062897">
        <w:tab/>
      </w:r>
      <w:r w:rsidRPr="00062897">
        <w:tab/>
      </w:r>
      <w:r w:rsidR="00062897">
        <w:t xml:space="preserve">For paragraph 30EK(1)(b) of the Act, in relation to each item mentioned in the tables in Part 1 and Part 2 of Schedule 1, </w:t>
      </w:r>
      <w:r w:rsidR="00D002DD">
        <w:t xml:space="preserve">each </w:t>
      </w:r>
      <w:r w:rsidR="00062897">
        <w:t xml:space="preserve">medicine specified in column 3 (the </w:t>
      </w:r>
      <w:r w:rsidR="00062897">
        <w:rPr>
          <w:b/>
          <w:bCs/>
          <w:i/>
          <w:iCs/>
        </w:rPr>
        <w:t>substitutable medicine</w:t>
      </w:r>
      <w:r w:rsidR="00062897">
        <w:t>) is permitted to be dispensed by a pharmacist in substitution for the scarce medicine specified in column 2, in the circumstances specified in</w:t>
      </w:r>
      <w:r w:rsidRPr="00062897">
        <w:t>:</w:t>
      </w:r>
    </w:p>
    <w:p w14:paraId="3353F743" w14:textId="508F4916" w:rsidR="00554826" w:rsidRPr="00062897" w:rsidRDefault="00554826" w:rsidP="00554826">
      <w:pPr>
        <w:pStyle w:val="paragraph"/>
      </w:pPr>
      <w:r w:rsidRPr="00062897">
        <w:tab/>
        <w:t>(a)</w:t>
      </w:r>
      <w:r w:rsidRPr="00062897">
        <w:tab/>
      </w:r>
      <w:r w:rsidR="00062897">
        <w:t xml:space="preserve">column 5 of that item (the </w:t>
      </w:r>
      <w:r w:rsidR="00062897">
        <w:rPr>
          <w:b/>
          <w:bCs/>
          <w:i/>
          <w:iCs/>
        </w:rPr>
        <w:t>specific permitted circumstances</w:t>
      </w:r>
      <w:r w:rsidR="00062897">
        <w:t>)</w:t>
      </w:r>
      <w:r w:rsidRPr="00062897">
        <w:t>; and</w:t>
      </w:r>
    </w:p>
    <w:p w14:paraId="69785A85" w14:textId="2E5EFFC5" w:rsidR="00554826" w:rsidRDefault="00554826" w:rsidP="00062897">
      <w:pPr>
        <w:pStyle w:val="paragraph"/>
      </w:pPr>
      <w:r w:rsidRPr="00062897">
        <w:tab/>
        <w:t>(b)</w:t>
      </w:r>
      <w:r w:rsidRPr="00062897">
        <w:tab/>
      </w:r>
      <w:r w:rsidR="00062897">
        <w:t xml:space="preserve">the table in Schedule 2 (the </w:t>
      </w:r>
      <w:r w:rsidR="00062897">
        <w:rPr>
          <w:b/>
          <w:bCs/>
          <w:i/>
          <w:iCs/>
        </w:rPr>
        <w:t>general permitted circumstances</w:t>
      </w:r>
      <w:r w:rsidR="00062897">
        <w:t>)</w:t>
      </w:r>
      <w:r w:rsidRPr="00062897">
        <w:t>.</w:t>
      </w:r>
    </w:p>
    <w:p w14:paraId="0D87034F" w14:textId="1B1A676E" w:rsidR="00062897" w:rsidRDefault="00D5152C" w:rsidP="00D5152C">
      <w:pPr>
        <w:pStyle w:val="notetext"/>
      </w:pPr>
      <w:r>
        <w:t>Note:</w:t>
      </w:r>
      <w:r>
        <w:tab/>
        <w:t>Substitution is only permitted where both the specific permitted circumstances and the general permitted circumstances exist.</w:t>
      </w:r>
    </w:p>
    <w:p w14:paraId="5EFE9F9B" w14:textId="729A424B" w:rsidR="00D5152C" w:rsidRDefault="00D5152C" w:rsidP="00D5152C">
      <w:pPr>
        <w:pStyle w:val="ActHead5"/>
        <w:keepNext w:val="0"/>
        <w:keepLines w:val="0"/>
      </w:pPr>
      <w:bookmarkStart w:id="7" w:name="_Toc121823044"/>
      <w:r w:rsidRPr="00D5152C">
        <w:t>7  Period instrument in force</w:t>
      </w:r>
      <w:bookmarkEnd w:id="7"/>
    </w:p>
    <w:p w14:paraId="22EE24CB" w14:textId="25F8D7A9" w:rsidR="00D5152C" w:rsidRDefault="00D5152C" w:rsidP="00D5152C">
      <w:pPr>
        <w:pStyle w:val="subsection"/>
      </w:pPr>
      <w:r>
        <w:tab/>
      </w:r>
      <w:r>
        <w:tab/>
        <w:t xml:space="preserve">This instrument remains in force until </w:t>
      </w:r>
      <w:r w:rsidR="00986BB3">
        <w:t xml:space="preserve">31 July </w:t>
      </w:r>
      <w:r w:rsidR="0040235F">
        <w:t>2023</w:t>
      </w:r>
      <w:r>
        <w:t>.</w:t>
      </w:r>
    </w:p>
    <w:p w14:paraId="6CA2921B" w14:textId="08B5082C" w:rsidR="006448E1" w:rsidRDefault="006448E1" w:rsidP="006448E1">
      <w:pPr>
        <w:pStyle w:val="ActHead5"/>
        <w:keepNext w:val="0"/>
        <w:keepLines w:val="0"/>
      </w:pPr>
      <w:bookmarkStart w:id="8" w:name="_Toc121823045"/>
      <w:r>
        <w:t>8</w:t>
      </w:r>
      <w:r w:rsidRPr="00D5152C">
        <w:t xml:space="preserve">  </w:t>
      </w:r>
      <w:r>
        <w:t>Repeals</w:t>
      </w:r>
      <w:bookmarkEnd w:id="8"/>
    </w:p>
    <w:p w14:paraId="5C97B7F0" w14:textId="62D49E79" w:rsidR="006448E1" w:rsidRPr="00D5152C" w:rsidRDefault="006448E1" w:rsidP="00721D5E">
      <w:pPr>
        <w:pStyle w:val="subsection"/>
      </w:pPr>
      <w:r>
        <w:tab/>
      </w:r>
      <w:r>
        <w:tab/>
        <w:t xml:space="preserve">Unless repealed earlier, this instrument is repealed at the start of </w:t>
      </w:r>
      <w:r w:rsidR="00B75316">
        <w:t xml:space="preserve">1 </w:t>
      </w:r>
      <w:r w:rsidR="00986BB3">
        <w:t>August</w:t>
      </w:r>
      <w:r>
        <w:t xml:space="preserve"> 2023.</w:t>
      </w:r>
    </w:p>
    <w:p w14:paraId="4935889E" w14:textId="77777777" w:rsidR="00554826" w:rsidRDefault="00554826" w:rsidP="00554826">
      <w:pPr>
        <w:spacing w:line="240" w:lineRule="auto"/>
        <w:rPr>
          <w:rFonts w:eastAsia="Times New Roman" w:cs="Times New Roman"/>
          <w:lang w:eastAsia="en-AU"/>
        </w:rPr>
      </w:pPr>
      <w:r>
        <w:br w:type="page"/>
      </w:r>
    </w:p>
    <w:p w14:paraId="5DB4E334" w14:textId="77777777" w:rsidR="009278F8" w:rsidRPr="006A3956" w:rsidRDefault="009278F8" w:rsidP="009278F8">
      <w:pPr>
        <w:pStyle w:val="ActHead6"/>
      </w:pPr>
      <w:bookmarkStart w:id="9" w:name="_Toc95212918"/>
      <w:bookmarkStart w:id="10" w:name="_Toc121823046"/>
      <w:r w:rsidRPr="006A3956">
        <w:lastRenderedPageBreak/>
        <w:t>Schedule 1—</w:t>
      </w:r>
      <w:r w:rsidRPr="006A3956">
        <w:rPr>
          <w:rStyle w:val="CharPartNo"/>
        </w:rPr>
        <w:t>Scarce medicine, substitutable medicine, dose unit equivalence and specific permitted circumstances</w:t>
      </w:r>
      <w:bookmarkEnd w:id="9"/>
      <w:bookmarkEnd w:id="10"/>
    </w:p>
    <w:p w14:paraId="7F7D1B80" w14:textId="77777777" w:rsidR="009278F8" w:rsidRPr="006A3956" w:rsidRDefault="009278F8" w:rsidP="009278F8">
      <w:pPr>
        <w:pStyle w:val="notemargin"/>
        <w:spacing w:after="240"/>
        <w:ind w:left="0" w:firstLine="0"/>
      </w:pPr>
      <w:r w:rsidRPr="006A3956">
        <w:t>Note:</w:t>
      </w:r>
      <w:r w:rsidRPr="006A3956">
        <w:tab/>
        <w:t>See sections 5 and 6.</w:t>
      </w:r>
    </w:p>
    <w:p w14:paraId="7D9506FD" w14:textId="6458A119" w:rsidR="009278F8" w:rsidRPr="006A3956" w:rsidRDefault="009278F8" w:rsidP="009278F8">
      <w:pPr>
        <w:pStyle w:val="ActHead2"/>
        <w:spacing w:before="120" w:after="240"/>
      </w:pPr>
      <w:bookmarkStart w:id="11" w:name="_Toc529794663"/>
      <w:bookmarkStart w:id="12" w:name="_Toc57970877"/>
      <w:bookmarkStart w:id="13" w:name="_Toc95212919"/>
      <w:bookmarkStart w:id="14" w:name="_Toc121823047"/>
      <w:r w:rsidRPr="006A3956">
        <w:rPr>
          <w:rStyle w:val="CharPartNo"/>
        </w:rPr>
        <w:t>Part 1—</w:t>
      </w:r>
      <w:bookmarkEnd w:id="11"/>
      <w:bookmarkEnd w:id="12"/>
      <w:r w:rsidRPr="006A3956">
        <w:rPr>
          <w:rStyle w:val="CharPartNo"/>
        </w:rPr>
        <w:t xml:space="preserve">Scarce </w:t>
      </w:r>
      <w:r w:rsidRPr="000D287D">
        <w:rPr>
          <w:rStyle w:val="CharPartNo"/>
        </w:rPr>
        <w:t xml:space="preserve">medicine: </w:t>
      </w:r>
      <w:bookmarkEnd w:id="13"/>
      <w:r w:rsidR="0058299B">
        <w:rPr>
          <w:rStyle w:val="CharPartNo"/>
        </w:rPr>
        <w:t>cefalexin</w:t>
      </w:r>
      <w:r w:rsidR="000D287D" w:rsidRPr="007E2EAE">
        <w:rPr>
          <w:rStyle w:val="CharPartNo"/>
        </w:rPr>
        <w:t xml:space="preserve"> in liquid </w:t>
      </w:r>
      <w:r w:rsidR="00836C06">
        <w:rPr>
          <w:rStyle w:val="CharPartNo"/>
        </w:rPr>
        <w:t>or suspension preparations</w:t>
      </w:r>
      <w:bookmarkEnd w:id="14"/>
    </w:p>
    <w:tbl>
      <w:tblPr>
        <w:tblW w:w="5281"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34"/>
        <w:gridCol w:w="1990"/>
        <w:gridCol w:w="2130"/>
        <w:gridCol w:w="1557"/>
        <w:gridCol w:w="2411"/>
      </w:tblGrid>
      <w:tr w:rsidR="009278F8" w:rsidRPr="006A3956" w14:paraId="2687CD97" w14:textId="77777777" w:rsidTr="00C61B9A">
        <w:trPr>
          <w:trHeight w:val="57"/>
          <w:tblHeader/>
        </w:trPr>
        <w:tc>
          <w:tcPr>
            <w:tcW w:w="5000" w:type="pct"/>
            <w:gridSpan w:val="5"/>
            <w:tcBorders>
              <w:top w:val="single" w:sz="12" w:space="0" w:color="auto"/>
              <w:bottom w:val="single" w:sz="8" w:space="0" w:color="auto"/>
            </w:tcBorders>
          </w:tcPr>
          <w:p w14:paraId="593A241A" w14:textId="77777777" w:rsidR="009278F8" w:rsidRPr="006A3956" w:rsidRDefault="009278F8" w:rsidP="009A7A32">
            <w:pPr>
              <w:pStyle w:val="TableHeading"/>
            </w:pPr>
            <w:r w:rsidRPr="006A3956">
              <w:t>Scarce medicine, substitutable medicine, dose unit equivalence and specific permitted circumstances</w:t>
            </w:r>
          </w:p>
        </w:tc>
      </w:tr>
      <w:tr w:rsidR="00AB047B" w:rsidRPr="006A3956" w14:paraId="3185EEA3" w14:textId="77777777" w:rsidTr="00C61B9A">
        <w:trPr>
          <w:trHeight w:val="57"/>
          <w:tblHeader/>
        </w:trPr>
        <w:tc>
          <w:tcPr>
            <w:tcW w:w="615" w:type="pct"/>
            <w:tcBorders>
              <w:top w:val="single" w:sz="8" w:space="0" w:color="auto"/>
              <w:bottom w:val="single" w:sz="8" w:space="0" w:color="auto"/>
            </w:tcBorders>
          </w:tcPr>
          <w:p w14:paraId="42E6F305" w14:textId="77777777" w:rsidR="009278F8" w:rsidRPr="006A3956" w:rsidRDefault="009278F8" w:rsidP="009A7A32">
            <w:pPr>
              <w:pStyle w:val="TableHeading"/>
            </w:pPr>
            <w:r w:rsidRPr="006A3956">
              <w:t>Column 1</w:t>
            </w:r>
          </w:p>
        </w:tc>
        <w:tc>
          <w:tcPr>
            <w:tcW w:w="1079" w:type="pct"/>
            <w:tcBorders>
              <w:top w:val="single" w:sz="8" w:space="0" w:color="auto"/>
              <w:bottom w:val="single" w:sz="8" w:space="0" w:color="auto"/>
            </w:tcBorders>
            <w:shd w:val="clear" w:color="auto" w:fill="auto"/>
          </w:tcPr>
          <w:p w14:paraId="3105E680" w14:textId="77777777" w:rsidR="009278F8" w:rsidRPr="006A3956" w:rsidRDefault="009278F8" w:rsidP="009A7A32">
            <w:pPr>
              <w:pStyle w:val="TableHeading"/>
            </w:pPr>
            <w:r w:rsidRPr="006A3956">
              <w:t>Column 2</w:t>
            </w:r>
          </w:p>
        </w:tc>
        <w:tc>
          <w:tcPr>
            <w:tcW w:w="1155" w:type="pct"/>
            <w:tcBorders>
              <w:top w:val="single" w:sz="8" w:space="0" w:color="auto"/>
              <w:bottom w:val="single" w:sz="8" w:space="0" w:color="auto"/>
            </w:tcBorders>
            <w:shd w:val="clear" w:color="auto" w:fill="auto"/>
          </w:tcPr>
          <w:p w14:paraId="4A68949E" w14:textId="77777777" w:rsidR="009278F8" w:rsidRPr="006A3956" w:rsidRDefault="009278F8" w:rsidP="009A7A32">
            <w:pPr>
              <w:pStyle w:val="TableHeading"/>
            </w:pPr>
            <w:r w:rsidRPr="006A3956">
              <w:t>Column 3</w:t>
            </w:r>
          </w:p>
        </w:tc>
        <w:tc>
          <w:tcPr>
            <w:tcW w:w="844" w:type="pct"/>
            <w:tcBorders>
              <w:top w:val="single" w:sz="8" w:space="0" w:color="auto"/>
              <w:bottom w:val="single" w:sz="8" w:space="0" w:color="auto"/>
            </w:tcBorders>
            <w:shd w:val="clear" w:color="auto" w:fill="auto"/>
          </w:tcPr>
          <w:p w14:paraId="291A3C41" w14:textId="77777777" w:rsidR="009278F8" w:rsidRPr="006A3956" w:rsidRDefault="009278F8" w:rsidP="009A7A32">
            <w:pPr>
              <w:pStyle w:val="Tabletext"/>
            </w:pPr>
            <w:r w:rsidRPr="006A3956">
              <w:rPr>
                <w:b/>
              </w:rPr>
              <w:t>Column 4</w:t>
            </w:r>
          </w:p>
        </w:tc>
        <w:tc>
          <w:tcPr>
            <w:tcW w:w="1307" w:type="pct"/>
            <w:tcBorders>
              <w:top w:val="single" w:sz="8" w:space="0" w:color="auto"/>
              <w:bottom w:val="single" w:sz="8" w:space="0" w:color="auto"/>
            </w:tcBorders>
          </w:tcPr>
          <w:p w14:paraId="6E864EB2" w14:textId="77777777" w:rsidR="009278F8" w:rsidRPr="006A3956" w:rsidRDefault="009278F8" w:rsidP="009A7A32">
            <w:pPr>
              <w:pStyle w:val="TableHeading"/>
            </w:pPr>
            <w:r w:rsidRPr="006A3956">
              <w:t>Column 5</w:t>
            </w:r>
          </w:p>
        </w:tc>
      </w:tr>
      <w:tr w:rsidR="00AB047B" w:rsidRPr="006A3956" w14:paraId="42174921" w14:textId="77777777" w:rsidTr="00C61B9A">
        <w:trPr>
          <w:trHeight w:val="57"/>
          <w:tblHeader/>
        </w:trPr>
        <w:tc>
          <w:tcPr>
            <w:tcW w:w="615" w:type="pct"/>
            <w:tcBorders>
              <w:top w:val="single" w:sz="8" w:space="0" w:color="auto"/>
              <w:bottom w:val="single" w:sz="12" w:space="0" w:color="auto"/>
            </w:tcBorders>
          </w:tcPr>
          <w:p w14:paraId="7A20B34F" w14:textId="77777777" w:rsidR="009278F8" w:rsidRPr="006A3956" w:rsidRDefault="009278F8" w:rsidP="009A7A32">
            <w:pPr>
              <w:pStyle w:val="TableHeading"/>
            </w:pPr>
            <w:r w:rsidRPr="006A3956">
              <w:t>Item</w:t>
            </w:r>
          </w:p>
        </w:tc>
        <w:tc>
          <w:tcPr>
            <w:tcW w:w="1079" w:type="pct"/>
            <w:tcBorders>
              <w:top w:val="single" w:sz="8" w:space="0" w:color="auto"/>
              <w:bottom w:val="single" w:sz="12" w:space="0" w:color="auto"/>
            </w:tcBorders>
            <w:shd w:val="clear" w:color="auto" w:fill="auto"/>
          </w:tcPr>
          <w:p w14:paraId="538BE492" w14:textId="77777777" w:rsidR="009278F8" w:rsidRPr="006A3956" w:rsidRDefault="009278F8" w:rsidP="009A7A32">
            <w:pPr>
              <w:pStyle w:val="TableHeading"/>
            </w:pPr>
            <w:r w:rsidRPr="006A3956">
              <w:t>Scarce medicine</w:t>
            </w:r>
          </w:p>
        </w:tc>
        <w:tc>
          <w:tcPr>
            <w:tcW w:w="1155" w:type="pct"/>
            <w:tcBorders>
              <w:top w:val="single" w:sz="8" w:space="0" w:color="auto"/>
              <w:bottom w:val="single" w:sz="12" w:space="0" w:color="auto"/>
            </w:tcBorders>
            <w:shd w:val="clear" w:color="auto" w:fill="auto"/>
          </w:tcPr>
          <w:p w14:paraId="38CC8D15" w14:textId="77777777" w:rsidR="009278F8" w:rsidRPr="006A3956" w:rsidRDefault="009278F8" w:rsidP="009A7A32">
            <w:pPr>
              <w:pStyle w:val="TableHeading"/>
            </w:pPr>
            <w:r w:rsidRPr="006A3956">
              <w:t>Substitutable medicine</w:t>
            </w:r>
          </w:p>
        </w:tc>
        <w:tc>
          <w:tcPr>
            <w:tcW w:w="844" w:type="pct"/>
            <w:tcBorders>
              <w:top w:val="single" w:sz="8" w:space="0" w:color="auto"/>
              <w:bottom w:val="single" w:sz="12" w:space="0" w:color="auto"/>
            </w:tcBorders>
            <w:shd w:val="clear" w:color="auto" w:fill="auto"/>
          </w:tcPr>
          <w:p w14:paraId="1A4D2284" w14:textId="122BC937" w:rsidR="009278F8" w:rsidRPr="006A3956" w:rsidRDefault="009278F8" w:rsidP="009A7A32">
            <w:pPr>
              <w:pStyle w:val="Tabletext"/>
            </w:pPr>
            <w:r w:rsidRPr="006A3956">
              <w:rPr>
                <w:b/>
              </w:rPr>
              <w:t>Dose unit equivalence</w:t>
            </w:r>
          </w:p>
        </w:tc>
        <w:tc>
          <w:tcPr>
            <w:tcW w:w="1307" w:type="pct"/>
            <w:tcBorders>
              <w:top w:val="single" w:sz="8" w:space="0" w:color="auto"/>
              <w:bottom w:val="single" w:sz="12" w:space="0" w:color="auto"/>
            </w:tcBorders>
          </w:tcPr>
          <w:p w14:paraId="1C31EB29" w14:textId="77777777" w:rsidR="009278F8" w:rsidRPr="006A3956" w:rsidRDefault="009278F8" w:rsidP="009A7A32">
            <w:pPr>
              <w:pStyle w:val="TableHeading"/>
            </w:pPr>
            <w:r w:rsidRPr="006A3956">
              <w:t>Specific permitted circumstances</w:t>
            </w:r>
          </w:p>
        </w:tc>
      </w:tr>
      <w:tr w:rsidR="0058299B" w:rsidRPr="006A3956" w14:paraId="53C18A60" w14:textId="77777777" w:rsidTr="00C61B9A">
        <w:trPr>
          <w:trHeight w:val="340"/>
        </w:trPr>
        <w:tc>
          <w:tcPr>
            <w:tcW w:w="615" w:type="pct"/>
            <w:tcBorders>
              <w:top w:val="single" w:sz="12" w:space="0" w:color="auto"/>
              <w:bottom w:val="single" w:sz="8" w:space="0" w:color="auto"/>
              <w:right w:val="nil"/>
            </w:tcBorders>
          </w:tcPr>
          <w:p w14:paraId="7A203F4D" w14:textId="1DF0C355" w:rsidR="0058299B" w:rsidRDefault="0058299B" w:rsidP="00D27479">
            <w:pPr>
              <w:pStyle w:val="Tabletext"/>
            </w:pPr>
            <w:r>
              <w:t>1</w:t>
            </w:r>
          </w:p>
        </w:tc>
        <w:tc>
          <w:tcPr>
            <w:tcW w:w="1079" w:type="pct"/>
            <w:tcBorders>
              <w:top w:val="single" w:sz="12" w:space="0" w:color="auto"/>
              <w:left w:val="nil"/>
              <w:bottom w:val="single" w:sz="8" w:space="0" w:color="auto"/>
            </w:tcBorders>
            <w:shd w:val="clear" w:color="auto" w:fill="auto"/>
          </w:tcPr>
          <w:p w14:paraId="107F8194" w14:textId="77777777" w:rsidR="0058299B" w:rsidRDefault="0058299B" w:rsidP="00D27479">
            <w:pPr>
              <w:pStyle w:val="Tabletext"/>
              <w:rPr>
                <w:lang w:eastAsia="en-US"/>
              </w:rPr>
            </w:pPr>
            <w:r>
              <w:rPr>
                <w:lang w:eastAsia="en-US"/>
              </w:rPr>
              <w:t>a registered medicine that:</w:t>
            </w:r>
          </w:p>
          <w:p w14:paraId="7C4E8426" w14:textId="2CB2CB97" w:rsidR="0058299B" w:rsidRDefault="0058299B" w:rsidP="0058299B">
            <w:pPr>
              <w:pStyle w:val="Tabletext"/>
              <w:ind w:left="284" w:hanging="284"/>
            </w:pPr>
            <w:r w:rsidRPr="00251943">
              <w:t>(a</w:t>
            </w:r>
            <w:r>
              <w:t>)</w:t>
            </w:r>
            <w:r>
              <w:tab/>
              <w:t>contains</w:t>
            </w:r>
            <w:r w:rsidR="00D414E3">
              <w:t xml:space="preserve"> </w:t>
            </w:r>
            <w:r w:rsidR="00FC44E7">
              <w:t>cefalexin</w:t>
            </w:r>
            <w:r>
              <w:t xml:space="preserve"> </w:t>
            </w:r>
            <w:r w:rsidR="00FC44E7">
              <w:t>125 mg/5 mL</w:t>
            </w:r>
            <w:r>
              <w:t xml:space="preserve"> in a 100 mL </w:t>
            </w:r>
            <w:r w:rsidR="00FC44E7">
              <w:t>oral liquid</w:t>
            </w:r>
            <w:r>
              <w:t xml:space="preserve"> or suspension; and</w:t>
            </w:r>
          </w:p>
          <w:p w14:paraId="42296D53" w14:textId="5EAA5B87" w:rsidR="0058299B" w:rsidRDefault="0058299B" w:rsidP="0058299B">
            <w:pPr>
              <w:pStyle w:val="Tabletext"/>
              <w:ind w:left="284" w:hanging="284"/>
            </w:pPr>
            <w:r>
              <w:t>(b)</w:t>
            </w:r>
            <w:r w:rsidR="003D7AC2">
              <w:tab/>
            </w:r>
            <w:r>
              <w:t>is manufactured in the dosage form of a powder for oral liquid</w:t>
            </w:r>
            <w:r w:rsidR="00FC44E7">
              <w:t xml:space="preserve"> or suspension, as relevant</w:t>
            </w:r>
          </w:p>
        </w:tc>
        <w:tc>
          <w:tcPr>
            <w:tcW w:w="1155" w:type="pct"/>
            <w:tcBorders>
              <w:top w:val="single" w:sz="12" w:space="0" w:color="auto"/>
              <w:bottom w:val="single" w:sz="8" w:space="0" w:color="auto"/>
              <w:right w:val="nil"/>
            </w:tcBorders>
            <w:shd w:val="clear" w:color="auto" w:fill="auto"/>
          </w:tcPr>
          <w:p w14:paraId="29CD400F" w14:textId="0271CF07" w:rsidR="0058299B" w:rsidRDefault="00576139" w:rsidP="00D27479">
            <w:pPr>
              <w:pStyle w:val="Tabletext"/>
              <w:rPr>
                <w:lang w:eastAsia="en-US"/>
              </w:rPr>
            </w:pPr>
            <w:r>
              <w:rPr>
                <w:lang w:eastAsia="en-US"/>
              </w:rPr>
              <w:t>a medicine that</w:t>
            </w:r>
            <w:r w:rsidR="00FC44E7">
              <w:rPr>
                <w:lang w:eastAsia="en-US"/>
              </w:rPr>
              <w:t>:</w:t>
            </w:r>
          </w:p>
          <w:p w14:paraId="5412959F" w14:textId="7DBAB697" w:rsidR="00584F80" w:rsidRDefault="00FC44E7" w:rsidP="00FC44E7">
            <w:pPr>
              <w:pStyle w:val="Tabletext"/>
              <w:ind w:left="284" w:hanging="284"/>
            </w:pPr>
            <w:r w:rsidRPr="00251943">
              <w:t>(a</w:t>
            </w:r>
            <w:r>
              <w:t>)</w:t>
            </w:r>
            <w:r>
              <w:tab/>
            </w:r>
            <w:r w:rsidR="00584F80">
              <w:t>contains</w:t>
            </w:r>
            <w:r w:rsidR="00D414E3">
              <w:t xml:space="preserve"> </w:t>
            </w:r>
            <w:r w:rsidR="00584F80">
              <w:t>cefalexin 250 mg/5 mL in a 100 mL oral liquid or suspension;</w:t>
            </w:r>
            <w:r w:rsidR="00576139">
              <w:t xml:space="preserve"> and</w:t>
            </w:r>
          </w:p>
          <w:p w14:paraId="4A53E8D6" w14:textId="3DE31AB1" w:rsidR="00FC44E7" w:rsidRDefault="00CF2341" w:rsidP="00584F80">
            <w:pPr>
              <w:pStyle w:val="Tabletext"/>
              <w:ind w:left="284" w:hanging="284"/>
            </w:pPr>
            <w:r>
              <w:t>(b)</w:t>
            </w:r>
            <w:r w:rsidR="003D7AC2">
              <w:tab/>
            </w:r>
            <w:r w:rsidR="00576139">
              <w:t>is manufactured in the dosage form of a powder for oral liquid or suspension</w:t>
            </w:r>
            <w:r w:rsidR="00780327">
              <w:t>, as relevant</w:t>
            </w:r>
          </w:p>
        </w:tc>
        <w:tc>
          <w:tcPr>
            <w:tcW w:w="844" w:type="pct"/>
            <w:tcBorders>
              <w:top w:val="single" w:sz="12" w:space="0" w:color="auto"/>
              <w:left w:val="nil"/>
              <w:bottom w:val="single" w:sz="8" w:space="0" w:color="auto"/>
              <w:right w:val="nil"/>
            </w:tcBorders>
            <w:shd w:val="clear" w:color="auto" w:fill="auto"/>
          </w:tcPr>
          <w:p w14:paraId="101831DC" w14:textId="4FCFD9AD" w:rsidR="0060062B" w:rsidRDefault="0060062B" w:rsidP="00C61B9A">
            <w:pPr>
              <w:pStyle w:val="Tabletext"/>
            </w:pPr>
            <w:r>
              <w:t xml:space="preserve">250 mg of cefalexin is equivalent to </w:t>
            </w:r>
            <w:r w:rsidR="00576139">
              <w:t xml:space="preserve">5 mL of </w:t>
            </w:r>
            <w:r w:rsidR="00723B78">
              <w:t xml:space="preserve">the </w:t>
            </w:r>
            <w:r w:rsidR="00576139">
              <w:t>substitutable medicine</w:t>
            </w:r>
          </w:p>
        </w:tc>
        <w:tc>
          <w:tcPr>
            <w:tcW w:w="1307" w:type="pct"/>
            <w:tcBorders>
              <w:top w:val="single" w:sz="12" w:space="0" w:color="auto"/>
              <w:left w:val="nil"/>
              <w:bottom w:val="single" w:sz="8" w:space="0" w:color="auto"/>
              <w:right w:val="nil"/>
            </w:tcBorders>
          </w:tcPr>
          <w:p w14:paraId="271CDC90" w14:textId="49BF19C4" w:rsidR="00195258" w:rsidRDefault="00872075" w:rsidP="00D27479">
            <w:pPr>
              <w:pStyle w:val="Tabletext"/>
            </w:pPr>
            <w:r>
              <w:t>the pharmacist has:</w:t>
            </w:r>
          </w:p>
          <w:p w14:paraId="1263769F" w14:textId="57891123" w:rsidR="00872075" w:rsidRDefault="00195258" w:rsidP="00872075">
            <w:pPr>
              <w:pStyle w:val="Tabletext"/>
              <w:ind w:left="284" w:hanging="284"/>
            </w:pPr>
            <w:r>
              <w:t>(</w:t>
            </w:r>
            <w:r w:rsidR="003D7AC2">
              <w:t>a</w:t>
            </w:r>
            <w:r>
              <w:t>)</w:t>
            </w:r>
            <w:r w:rsidR="00747C1A">
              <w:t xml:space="preserve"> </w:t>
            </w:r>
            <w:r w:rsidR="00872075">
              <w:t>advised the patient, or person acting on behalf of the patient, of the number of dose units in millilitres of substitutable medicine that must be taken by the patient in substitution for the prescribed dose of scarce medicine, based on the dose unit equivalence specified in column 4; and</w:t>
            </w:r>
          </w:p>
          <w:p w14:paraId="115ECB4D" w14:textId="36A62609" w:rsidR="00872075" w:rsidRDefault="00872075" w:rsidP="00872075">
            <w:pPr>
              <w:pStyle w:val="Tabletext"/>
              <w:ind w:left="284" w:hanging="284"/>
            </w:pPr>
            <w:r>
              <w:t>(b)</w:t>
            </w:r>
            <w:r w:rsidR="003D7AC2">
              <w:tab/>
            </w:r>
            <w:r w:rsidR="00697CD5">
              <w:t>ensured that the correct dose of substitutable medicine is written in millilitres on the dispensing label; and</w:t>
            </w:r>
          </w:p>
          <w:p w14:paraId="060B4AE9" w14:textId="116CABD1" w:rsidR="00697CD5" w:rsidRDefault="00697CD5" w:rsidP="00872075">
            <w:pPr>
              <w:pStyle w:val="Tabletext"/>
              <w:ind w:left="284" w:hanging="284"/>
            </w:pPr>
            <w:r>
              <w:t>(c)</w:t>
            </w:r>
            <w:r w:rsidR="003D7AC2">
              <w:tab/>
            </w:r>
            <w:r>
              <w:t>if multiple bottles of substitutable medicine are dispensed—ensured that the patient’s treatment course will be completed prior to the expiry of each bottle; and</w:t>
            </w:r>
          </w:p>
          <w:p w14:paraId="0B3D8FC7" w14:textId="3C67327C" w:rsidR="00872075" w:rsidRDefault="00697CD5" w:rsidP="00697CD5">
            <w:pPr>
              <w:pStyle w:val="Tabletext"/>
              <w:ind w:left="284" w:hanging="284"/>
            </w:pPr>
            <w:r>
              <w:t>(d)</w:t>
            </w:r>
            <w:r w:rsidR="003D7AC2">
              <w:tab/>
            </w:r>
            <w:r>
              <w:t>ensured the patient, or person acting on behalf of the patient, has access to information to support them in administering the substitutable medicine</w:t>
            </w:r>
          </w:p>
        </w:tc>
      </w:tr>
      <w:tr w:rsidR="00576139" w:rsidRPr="006A3956" w14:paraId="3921D9D5" w14:textId="77777777" w:rsidTr="00C61B9A">
        <w:trPr>
          <w:trHeight w:val="340"/>
        </w:trPr>
        <w:tc>
          <w:tcPr>
            <w:tcW w:w="615" w:type="pct"/>
            <w:tcBorders>
              <w:top w:val="single" w:sz="8" w:space="0" w:color="auto"/>
              <w:bottom w:val="single" w:sz="8" w:space="0" w:color="auto"/>
              <w:right w:val="nil"/>
            </w:tcBorders>
          </w:tcPr>
          <w:p w14:paraId="6B3ED57C" w14:textId="3725B389" w:rsidR="00576139" w:rsidRDefault="00576139" w:rsidP="00D27479">
            <w:pPr>
              <w:pStyle w:val="Tabletext"/>
            </w:pPr>
            <w:r>
              <w:lastRenderedPageBreak/>
              <w:t>2</w:t>
            </w:r>
          </w:p>
        </w:tc>
        <w:tc>
          <w:tcPr>
            <w:tcW w:w="1079" w:type="pct"/>
            <w:tcBorders>
              <w:top w:val="single" w:sz="8" w:space="0" w:color="auto"/>
              <w:left w:val="nil"/>
              <w:bottom w:val="single" w:sz="8" w:space="0" w:color="auto"/>
            </w:tcBorders>
            <w:shd w:val="clear" w:color="auto" w:fill="auto"/>
          </w:tcPr>
          <w:p w14:paraId="5DA043B7" w14:textId="77777777" w:rsidR="00576139" w:rsidRDefault="00576139" w:rsidP="00576139">
            <w:pPr>
              <w:pStyle w:val="Tabletext"/>
              <w:rPr>
                <w:lang w:eastAsia="en-US"/>
              </w:rPr>
            </w:pPr>
            <w:r>
              <w:rPr>
                <w:lang w:eastAsia="en-US"/>
              </w:rPr>
              <w:t>a registered medicine that:</w:t>
            </w:r>
          </w:p>
          <w:p w14:paraId="6852BD89" w14:textId="130888B3" w:rsidR="00576139" w:rsidRDefault="00576139" w:rsidP="00576139">
            <w:pPr>
              <w:pStyle w:val="Tabletext"/>
              <w:ind w:left="284" w:hanging="284"/>
            </w:pPr>
            <w:r w:rsidRPr="00251943">
              <w:t>(a</w:t>
            </w:r>
            <w:r>
              <w:t>)</w:t>
            </w:r>
            <w:r>
              <w:tab/>
              <w:t>contains cefalexin 125 mg/5 mL in a 100 mL oral liquid or suspension; and</w:t>
            </w:r>
          </w:p>
          <w:p w14:paraId="6490E144" w14:textId="3F8B391E" w:rsidR="00576139" w:rsidRDefault="00576139" w:rsidP="00576139">
            <w:pPr>
              <w:pStyle w:val="Tabletext"/>
              <w:ind w:left="284" w:hanging="284"/>
            </w:pPr>
            <w:r>
              <w:t>(b)</w:t>
            </w:r>
            <w:r w:rsidR="003D7AC2">
              <w:tab/>
            </w:r>
            <w:r>
              <w:t>is manufactured in the dosage form of a powder for oral liquid or suspension, as relevant</w:t>
            </w:r>
          </w:p>
        </w:tc>
        <w:tc>
          <w:tcPr>
            <w:tcW w:w="1155" w:type="pct"/>
            <w:tcBorders>
              <w:top w:val="single" w:sz="8" w:space="0" w:color="auto"/>
              <w:bottom w:val="single" w:sz="8" w:space="0" w:color="auto"/>
              <w:right w:val="nil"/>
            </w:tcBorders>
            <w:shd w:val="clear" w:color="auto" w:fill="auto"/>
          </w:tcPr>
          <w:p w14:paraId="60FD4401" w14:textId="77777777" w:rsidR="00576139" w:rsidRDefault="00576139" w:rsidP="00D27479">
            <w:pPr>
              <w:pStyle w:val="Tabletext"/>
              <w:rPr>
                <w:lang w:eastAsia="en-US"/>
              </w:rPr>
            </w:pPr>
            <w:r>
              <w:rPr>
                <w:lang w:eastAsia="en-US"/>
              </w:rPr>
              <w:t>a medicine that:</w:t>
            </w:r>
          </w:p>
          <w:p w14:paraId="226AE211" w14:textId="054D349D" w:rsidR="00576139" w:rsidRDefault="00576139" w:rsidP="00576139">
            <w:pPr>
              <w:pStyle w:val="Tabletext"/>
              <w:ind w:left="284" w:hanging="284"/>
            </w:pPr>
            <w:r w:rsidRPr="00251943">
              <w:t>(a</w:t>
            </w:r>
            <w:r>
              <w:t>)</w:t>
            </w:r>
            <w:r>
              <w:tab/>
              <w:t>contains 250</w:t>
            </w:r>
            <w:r w:rsidR="00603D9D">
              <w:t> </w:t>
            </w:r>
            <w:r>
              <w:t>mg cefalexin; and</w:t>
            </w:r>
          </w:p>
          <w:p w14:paraId="251EEB36" w14:textId="3BC5A481" w:rsidR="00576139" w:rsidRDefault="00576139" w:rsidP="00747C1A">
            <w:pPr>
              <w:pStyle w:val="Tabletext"/>
              <w:ind w:left="284" w:hanging="284"/>
              <w:rPr>
                <w:lang w:eastAsia="en-US"/>
              </w:rPr>
            </w:pPr>
            <w:r>
              <w:t>(b)</w:t>
            </w:r>
            <w:r w:rsidR="003D7AC2">
              <w:tab/>
            </w:r>
            <w:r>
              <w:t>is manufactured in the dosage form of a capsule</w:t>
            </w:r>
          </w:p>
        </w:tc>
        <w:tc>
          <w:tcPr>
            <w:tcW w:w="844" w:type="pct"/>
            <w:tcBorders>
              <w:top w:val="single" w:sz="8" w:space="0" w:color="auto"/>
              <w:left w:val="nil"/>
              <w:bottom w:val="single" w:sz="8" w:space="0" w:color="auto"/>
              <w:right w:val="nil"/>
            </w:tcBorders>
            <w:shd w:val="clear" w:color="auto" w:fill="auto"/>
          </w:tcPr>
          <w:p w14:paraId="2E32339C" w14:textId="79705488" w:rsidR="00576139" w:rsidRDefault="00576139" w:rsidP="00697CD5">
            <w:pPr>
              <w:pStyle w:val="Tabletext"/>
              <w:widowControl w:val="0"/>
            </w:pPr>
            <w:r>
              <w:t xml:space="preserve">250 mg of cefalexin is equivalent to one </w:t>
            </w:r>
            <w:r w:rsidR="00556928">
              <w:t>capsul</w:t>
            </w:r>
            <w:r>
              <w:t>e</w:t>
            </w:r>
            <w:r w:rsidR="00556928">
              <w:t xml:space="preserve"> of </w:t>
            </w:r>
            <w:r w:rsidR="00723B78">
              <w:t xml:space="preserve">the </w:t>
            </w:r>
            <w:r w:rsidR="00556928">
              <w:t>substitutable medicine</w:t>
            </w:r>
          </w:p>
        </w:tc>
        <w:tc>
          <w:tcPr>
            <w:tcW w:w="1307" w:type="pct"/>
            <w:tcBorders>
              <w:top w:val="single" w:sz="8" w:space="0" w:color="auto"/>
              <w:left w:val="nil"/>
              <w:bottom w:val="single" w:sz="8" w:space="0" w:color="auto"/>
              <w:right w:val="nil"/>
            </w:tcBorders>
          </w:tcPr>
          <w:p w14:paraId="221813CA" w14:textId="77777777" w:rsidR="00576139" w:rsidRDefault="00576139" w:rsidP="00576139">
            <w:pPr>
              <w:pStyle w:val="Tabletext"/>
              <w:ind w:right="33"/>
            </w:pPr>
            <w:r>
              <w:t>the pharmacist has:</w:t>
            </w:r>
          </w:p>
          <w:p w14:paraId="10BBFB23" w14:textId="02CA3EB7" w:rsidR="00576139" w:rsidRDefault="00576139" w:rsidP="00576139">
            <w:pPr>
              <w:pStyle w:val="Tabletext"/>
              <w:ind w:left="284" w:right="175" w:hanging="284"/>
            </w:pPr>
            <w:r>
              <w:t>(a)</w:t>
            </w:r>
            <w:r>
              <w:tab/>
              <w:t xml:space="preserve">ensured that the patient </w:t>
            </w:r>
            <w:r w:rsidR="008F4984">
              <w:t>can take</w:t>
            </w:r>
            <w:r>
              <w:t xml:space="preserve"> </w:t>
            </w:r>
            <w:r w:rsidR="0097023B">
              <w:t>the substitutable medicine in a capsule dosage form</w:t>
            </w:r>
            <w:r>
              <w:t>; and</w:t>
            </w:r>
          </w:p>
          <w:p w14:paraId="169E1D86" w14:textId="6E585505" w:rsidR="00576139" w:rsidRDefault="00576139" w:rsidP="00576139">
            <w:pPr>
              <w:pStyle w:val="Tabletext"/>
              <w:ind w:left="284" w:right="175" w:hanging="284"/>
            </w:pPr>
            <w:r>
              <w:t>(b)</w:t>
            </w:r>
            <w:r w:rsidR="00836C06">
              <w:tab/>
            </w:r>
            <w:r>
              <w:t>only substituted the substitutable medicine for the scarce medicine where the prescribed dose of scarce medicine is divisible by 250 mg; and</w:t>
            </w:r>
          </w:p>
          <w:p w14:paraId="4ADF4CCF" w14:textId="50EA164B" w:rsidR="00576139" w:rsidRDefault="00576139" w:rsidP="00576139">
            <w:pPr>
              <w:pStyle w:val="Tabletext"/>
              <w:ind w:left="284" w:right="175" w:hanging="284"/>
            </w:pPr>
            <w:r>
              <w:t>(c)</w:t>
            </w:r>
            <w:r w:rsidR="00836C06">
              <w:tab/>
            </w:r>
            <w:r>
              <w:t>advised the patient, or person acting on behalf of the patient, of the number of dose units of substitutable medicine that must be taken by the patient in substitution for the prescribed dose of scarce medicine, based on the dose unit equivalence specified in column 4; and</w:t>
            </w:r>
          </w:p>
          <w:p w14:paraId="739284B3" w14:textId="2801817E" w:rsidR="00576139" w:rsidRDefault="00576139" w:rsidP="00576139">
            <w:pPr>
              <w:pStyle w:val="Tabletext"/>
              <w:ind w:left="284" w:right="175" w:hanging="284"/>
            </w:pPr>
            <w:r>
              <w:t>(d)</w:t>
            </w:r>
            <w:r w:rsidR="00836C06">
              <w:tab/>
            </w:r>
            <w:r>
              <w:t>ensured that the correct number of dose units of substitutable medicine that must be taken by the patient in substitution for the prescribed dose of scarce medicine is written on the dispensing label; and</w:t>
            </w:r>
          </w:p>
          <w:p w14:paraId="56F2BBF7" w14:textId="32486DCB" w:rsidR="00576139" w:rsidRDefault="00576139" w:rsidP="00576139">
            <w:pPr>
              <w:pStyle w:val="Tabletext"/>
              <w:ind w:left="284" w:right="175" w:hanging="284"/>
            </w:pPr>
            <w:r>
              <w:t>(e)</w:t>
            </w:r>
            <w:r w:rsidR="00836C06">
              <w:tab/>
            </w:r>
            <w:r>
              <w:t xml:space="preserve">ensured that the patient, or person acting on behalf of the patient, has </w:t>
            </w:r>
            <w:r>
              <w:lastRenderedPageBreak/>
              <w:t>access to information to support them in administering the substitutable medicine</w:t>
            </w:r>
          </w:p>
        </w:tc>
      </w:tr>
      <w:tr w:rsidR="00D27479" w:rsidRPr="006A3956" w14:paraId="400BEDAA" w14:textId="77777777" w:rsidTr="00C61B9A">
        <w:trPr>
          <w:trHeight w:val="340"/>
        </w:trPr>
        <w:tc>
          <w:tcPr>
            <w:tcW w:w="615" w:type="pct"/>
            <w:tcBorders>
              <w:top w:val="single" w:sz="8" w:space="0" w:color="auto"/>
              <w:bottom w:val="single" w:sz="8" w:space="0" w:color="auto"/>
              <w:right w:val="nil"/>
            </w:tcBorders>
          </w:tcPr>
          <w:p w14:paraId="669B27B9" w14:textId="79707DAE" w:rsidR="00D27479" w:rsidRPr="006A3956" w:rsidRDefault="00A13D33" w:rsidP="00D27479">
            <w:pPr>
              <w:pStyle w:val="Tabletext"/>
            </w:pPr>
            <w:r>
              <w:lastRenderedPageBreak/>
              <w:t>3</w:t>
            </w:r>
          </w:p>
        </w:tc>
        <w:tc>
          <w:tcPr>
            <w:tcW w:w="1079" w:type="pct"/>
            <w:tcBorders>
              <w:top w:val="single" w:sz="8" w:space="0" w:color="auto"/>
              <w:left w:val="nil"/>
              <w:bottom w:val="single" w:sz="8" w:space="0" w:color="auto"/>
            </w:tcBorders>
            <w:shd w:val="clear" w:color="auto" w:fill="auto"/>
          </w:tcPr>
          <w:p w14:paraId="3554942E" w14:textId="77777777" w:rsidR="00D27479" w:rsidRDefault="00D27479" w:rsidP="00D27479">
            <w:pPr>
              <w:pStyle w:val="Tabletext"/>
              <w:rPr>
                <w:lang w:eastAsia="en-US"/>
              </w:rPr>
            </w:pPr>
            <w:r>
              <w:rPr>
                <w:lang w:eastAsia="en-US"/>
              </w:rPr>
              <w:t>a registered medicine that:</w:t>
            </w:r>
          </w:p>
          <w:p w14:paraId="08C568EE" w14:textId="406C531C" w:rsidR="00D27479" w:rsidRDefault="00D27479" w:rsidP="00D27479">
            <w:pPr>
              <w:pStyle w:val="Tabletext"/>
              <w:ind w:left="284" w:hanging="284"/>
            </w:pPr>
            <w:r w:rsidRPr="00251943">
              <w:t>(a</w:t>
            </w:r>
            <w:r>
              <w:t>)</w:t>
            </w:r>
            <w:r>
              <w:tab/>
              <w:t>contains</w:t>
            </w:r>
            <w:r w:rsidR="00D414E3">
              <w:t xml:space="preserve"> </w:t>
            </w:r>
            <w:r w:rsidR="00697CD5">
              <w:t>cefalexin 250 mg/5 mL in a 100 mL oral liquid or suspension</w:t>
            </w:r>
            <w:r>
              <w:t>; and</w:t>
            </w:r>
          </w:p>
          <w:p w14:paraId="694FC72F" w14:textId="52BA74A7" w:rsidR="00D27479" w:rsidRPr="006A3956" w:rsidRDefault="00D27479" w:rsidP="00043CF3">
            <w:pPr>
              <w:pStyle w:val="Tabletext"/>
              <w:widowControl w:val="0"/>
              <w:ind w:left="284" w:hanging="284"/>
            </w:pPr>
            <w:r w:rsidRPr="00251943">
              <w:t>(</w:t>
            </w:r>
            <w:r>
              <w:t>b)</w:t>
            </w:r>
            <w:r w:rsidR="005A61C6">
              <w:tab/>
            </w:r>
            <w:r>
              <w:t>is manufactured in the dosage form of a powder for oral liquid</w:t>
            </w:r>
            <w:r w:rsidR="00697CD5">
              <w:t xml:space="preserve"> or suspension, as relevant</w:t>
            </w:r>
          </w:p>
        </w:tc>
        <w:tc>
          <w:tcPr>
            <w:tcW w:w="1155" w:type="pct"/>
            <w:tcBorders>
              <w:top w:val="single" w:sz="8" w:space="0" w:color="auto"/>
              <w:bottom w:val="single" w:sz="8" w:space="0" w:color="auto"/>
              <w:right w:val="nil"/>
            </w:tcBorders>
            <w:shd w:val="clear" w:color="auto" w:fill="auto"/>
          </w:tcPr>
          <w:p w14:paraId="3D2B759E" w14:textId="1642759D" w:rsidR="003B5D7A" w:rsidRDefault="0047267E" w:rsidP="00D27479">
            <w:pPr>
              <w:pStyle w:val="Tabletext"/>
              <w:rPr>
                <w:lang w:eastAsia="en-US"/>
              </w:rPr>
            </w:pPr>
            <w:r>
              <w:rPr>
                <w:lang w:eastAsia="en-US"/>
              </w:rPr>
              <w:t>a medicine that</w:t>
            </w:r>
            <w:r w:rsidR="003B5D7A">
              <w:rPr>
                <w:lang w:eastAsia="en-US"/>
              </w:rPr>
              <w:t>:</w:t>
            </w:r>
          </w:p>
          <w:p w14:paraId="7BBB0539" w14:textId="15F2F840" w:rsidR="0047267E" w:rsidRDefault="00697CD5" w:rsidP="0047267E">
            <w:pPr>
              <w:pStyle w:val="Tabletext"/>
              <w:ind w:left="284" w:hanging="284"/>
            </w:pPr>
            <w:r w:rsidRPr="00251943">
              <w:t>(a</w:t>
            </w:r>
            <w:r>
              <w:t>)</w:t>
            </w:r>
            <w:r>
              <w:tab/>
            </w:r>
            <w:r w:rsidR="003B5D7A">
              <w:t>contains</w:t>
            </w:r>
            <w:r w:rsidR="00904594">
              <w:t xml:space="preserve"> </w:t>
            </w:r>
            <w:r w:rsidR="00DA5F1D">
              <w:t>cefalexin</w:t>
            </w:r>
            <w:r w:rsidR="003B5D7A">
              <w:t xml:space="preserve"> 125</w:t>
            </w:r>
            <w:r w:rsidR="002A5DC4">
              <w:t> </w:t>
            </w:r>
            <w:r w:rsidR="003B5D7A">
              <w:t>mg/5 mL in a 100 mL oral liquid or suspension</w:t>
            </w:r>
            <w:r w:rsidR="0047267E">
              <w:t>; and</w:t>
            </w:r>
          </w:p>
          <w:p w14:paraId="34995441" w14:textId="2844CA0C" w:rsidR="00D27479" w:rsidRPr="006A3956" w:rsidRDefault="0047267E" w:rsidP="0047267E">
            <w:pPr>
              <w:pStyle w:val="Tabletext"/>
              <w:ind w:left="284" w:hanging="284"/>
            </w:pPr>
            <w:r>
              <w:t>(b)</w:t>
            </w:r>
            <w:r w:rsidR="00836C06">
              <w:tab/>
            </w:r>
            <w:r w:rsidR="003B5D7A">
              <w:t>is manufactured in the dosage form of a powder for oral liquid or suspension, as relevant</w:t>
            </w:r>
          </w:p>
        </w:tc>
        <w:tc>
          <w:tcPr>
            <w:tcW w:w="844" w:type="pct"/>
            <w:tcBorders>
              <w:top w:val="single" w:sz="8" w:space="0" w:color="auto"/>
              <w:left w:val="nil"/>
              <w:bottom w:val="single" w:sz="8" w:space="0" w:color="auto"/>
              <w:right w:val="nil"/>
            </w:tcBorders>
            <w:shd w:val="clear" w:color="auto" w:fill="auto"/>
          </w:tcPr>
          <w:p w14:paraId="794216F4" w14:textId="28005F3D" w:rsidR="00D27479" w:rsidRPr="006A3956" w:rsidRDefault="00A13D33" w:rsidP="00697CD5">
            <w:pPr>
              <w:pStyle w:val="Tabletext"/>
              <w:widowControl w:val="0"/>
            </w:pPr>
            <w:r>
              <w:t xml:space="preserve">250 mg of cefalexin is equivalent to 10 mL of </w:t>
            </w:r>
            <w:r w:rsidR="00723B78">
              <w:t xml:space="preserve">the </w:t>
            </w:r>
            <w:r>
              <w:t>substitutable medicine</w:t>
            </w:r>
          </w:p>
        </w:tc>
        <w:tc>
          <w:tcPr>
            <w:tcW w:w="1307" w:type="pct"/>
            <w:tcBorders>
              <w:top w:val="single" w:sz="8" w:space="0" w:color="auto"/>
              <w:left w:val="nil"/>
              <w:bottom w:val="single" w:sz="8" w:space="0" w:color="auto"/>
              <w:right w:val="nil"/>
            </w:tcBorders>
          </w:tcPr>
          <w:p w14:paraId="048BE6F7" w14:textId="77777777" w:rsidR="00697CD5" w:rsidRDefault="00697CD5" w:rsidP="00697CD5">
            <w:pPr>
              <w:pStyle w:val="Tabletext"/>
            </w:pPr>
            <w:r>
              <w:t>the pharmacist has:</w:t>
            </w:r>
          </w:p>
          <w:p w14:paraId="0628498E" w14:textId="77777777" w:rsidR="00697CD5" w:rsidRDefault="00697CD5" w:rsidP="00697CD5">
            <w:pPr>
              <w:pStyle w:val="Tabletext"/>
              <w:ind w:left="284" w:hanging="284"/>
            </w:pPr>
            <w:r w:rsidRPr="00251943">
              <w:t>(a</w:t>
            </w:r>
            <w:r>
              <w:t>)</w:t>
            </w:r>
            <w:r>
              <w:tab/>
              <w:t>advised the patient, or person acting on behalf of the patient, of the number of dose units in millilitres of substitutable medicine that must be taken by the patient in substitution for the prescribed dose of scarce medicine, based on the dose unit equivalence specified in column 4; and</w:t>
            </w:r>
          </w:p>
          <w:p w14:paraId="529A8C6D" w14:textId="7207F863" w:rsidR="00697CD5" w:rsidRDefault="00697CD5" w:rsidP="00697CD5">
            <w:pPr>
              <w:pStyle w:val="Tabletext"/>
              <w:ind w:left="284" w:hanging="284"/>
            </w:pPr>
            <w:r>
              <w:t>(b)</w:t>
            </w:r>
            <w:r w:rsidR="00836C06">
              <w:tab/>
            </w:r>
            <w:r>
              <w:t>ensured that the correct dose of substitutable medicine is written in millilitres on the dispensing label; and</w:t>
            </w:r>
          </w:p>
          <w:p w14:paraId="0E0A0226" w14:textId="36D0D97D" w:rsidR="00697CD5" w:rsidRDefault="00697CD5" w:rsidP="00697CD5">
            <w:pPr>
              <w:pStyle w:val="Tabletext"/>
              <w:ind w:left="284" w:hanging="284"/>
            </w:pPr>
            <w:r>
              <w:t>(c)</w:t>
            </w:r>
            <w:r w:rsidR="00836C06">
              <w:tab/>
            </w:r>
            <w:r>
              <w:t>if multiple bottles of substitutable medicine are dispensed—ensured that the patient’s treatment course will be completed prior to the expiry of each bottle; and</w:t>
            </w:r>
          </w:p>
          <w:p w14:paraId="77778A92" w14:textId="05345D11" w:rsidR="00D27479" w:rsidRPr="006A3956" w:rsidRDefault="00697CD5" w:rsidP="00697CD5">
            <w:pPr>
              <w:pStyle w:val="Tabletext"/>
              <w:ind w:left="284" w:hanging="284"/>
            </w:pPr>
            <w:r>
              <w:t>(d)</w:t>
            </w:r>
            <w:r w:rsidR="00836C06">
              <w:tab/>
            </w:r>
            <w:r>
              <w:t>ensured the patient, or person acting on behalf of the patient, has access to information to support them in administering the substitutable medicine</w:t>
            </w:r>
          </w:p>
        </w:tc>
      </w:tr>
      <w:tr w:rsidR="00361048" w:rsidRPr="006A3956" w14:paraId="513447C3" w14:textId="77777777" w:rsidTr="00603D9D">
        <w:trPr>
          <w:trHeight w:val="340"/>
        </w:trPr>
        <w:tc>
          <w:tcPr>
            <w:tcW w:w="615" w:type="pct"/>
            <w:tcBorders>
              <w:top w:val="single" w:sz="8" w:space="0" w:color="auto"/>
              <w:bottom w:val="single" w:sz="8" w:space="0" w:color="auto"/>
              <w:right w:val="nil"/>
            </w:tcBorders>
          </w:tcPr>
          <w:p w14:paraId="6CE58CEE" w14:textId="27667EEA" w:rsidR="00361048" w:rsidRDefault="00361048" w:rsidP="00361048">
            <w:pPr>
              <w:pStyle w:val="Tabletext"/>
            </w:pPr>
            <w:r>
              <w:t>4</w:t>
            </w:r>
          </w:p>
        </w:tc>
        <w:tc>
          <w:tcPr>
            <w:tcW w:w="1079" w:type="pct"/>
            <w:tcBorders>
              <w:top w:val="single" w:sz="8" w:space="0" w:color="auto"/>
              <w:left w:val="nil"/>
              <w:bottom w:val="single" w:sz="8" w:space="0" w:color="auto"/>
            </w:tcBorders>
            <w:shd w:val="clear" w:color="auto" w:fill="auto"/>
          </w:tcPr>
          <w:p w14:paraId="1FCE9D13" w14:textId="77777777" w:rsidR="00361048" w:rsidRDefault="00361048" w:rsidP="00361048">
            <w:pPr>
              <w:pStyle w:val="Tabletext"/>
              <w:rPr>
                <w:lang w:eastAsia="en-US"/>
              </w:rPr>
            </w:pPr>
            <w:r>
              <w:rPr>
                <w:lang w:eastAsia="en-US"/>
              </w:rPr>
              <w:t>a registered medicine that:</w:t>
            </w:r>
          </w:p>
          <w:p w14:paraId="546CA94F" w14:textId="3ED37ACC" w:rsidR="00361048" w:rsidRDefault="00361048" w:rsidP="00361048">
            <w:pPr>
              <w:pStyle w:val="Tabletext"/>
              <w:ind w:left="284" w:hanging="284"/>
            </w:pPr>
            <w:r w:rsidRPr="00251943">
              <w:t>(a</w:t>
            </w:r>
            <w:r>
              <w:t>)</w:t>
            </w:r>
            <w:r>
              <w:tab/>
              <w:t xml:space="preserve">contains cefalexin 250 mg/5 mL in a 100 mL oral </w:t>
            </w:r>
            <w:r>
              <w:lastRenderedPageBreak/>
              <w:t>liquid or suspension; and</w:t>
            </w:r>
          </w:p>
          <w:p w14:paraId="3D5C81A5" w14:textId="61BE1241" w:rsidR="00361048" w:rsidRDefault="00C61B9A" w:rsidP="00C61B9A">
            <w:pPr>
              <w:pStyle w:val="Tabletext"/>
              <w:ind w:left="284" w:hanging="284"/>
              <w:rPr>
                <w:lang w:eastAsia="en-US"/>
              </w:rPr>
            </w:pPr>
            <w:r>
              <w:t>(b) is manufactured in the dosage form of a powder for oral liquid or suspension, as relevant</w:t>
            </w:r>
          </w:p>
        </w:tc>
        <w:tc>
          <w:tcPr>
            <w:tcW w:w="1155" w:type="pct"/>
            <w:tcBorders>
              <w:top w:val="single" w:sz="8" w:space="0" w:color="auto"/>
              <w:bottom w:val="single" w:sz="8" w:space="0" w:color="auto"/>
              <w:right w:val="nil"/>
            </w:tcBorders>
            <w:shd w:val="clear" w:color="auto" w:fill="auto"/>
          </w:tcPr>
          <w:p w14:paraId="36B9E41D" w14:textId="77777777" w:rsidR="00361048" w:rsidRDefault="00361048" w:rsidP="00361048">
            <w:pPr>
              <w:pStyle w:val="Tabletext"/>
              <w:rPr>
                <w:lang w:eastAsia="en-US"/>
              </w:rPr>
            </w:pPr>
            <w:r>
              <w:rPr>
                <w:lang w:eastAsia="en-US"/>
              </w:rPr>
              <w:lastRenderedPageBreak/>
              <w:t>a medicine that:</w:t>
            </w:r>
          </w:p>
          <w:p w14:paraId="1470FE49" w14:textId="1CF5BF10" w:rsidR="00361048" w:rsidRDefault="00361048" w:rsidP="00361048">
            <w:pPr>
              <w:pStyle w:val="Tabletext"/>
              <w:ind w:left="284" w:hanging="284"/>
            </w:pPr>
            <w:r w:rsidRPr="00251943">
              <w:t>(a</w:t>
            </w:r>
            <w:r>
              <w:t>)</w:t>
            </w:r>
            <w:r>
              <w:tab/>
              <w:t>contains 250 mg cefalexin; and</w:t>
            </w:r>
          </w:p>
          <w:p w14:paraId="20E66219" w14:textId="73DEA919" w:rsidR="00361048" w:rsidRDefault="00C61B9A" w:rsidP="00C61B9A">
            <w:pPr>
              <w:pStyle w:val="Tabletext"/>
              <w:ind w:left="284" w:hanging="284"/>
              <w:rPr>
                <w:lang w:eastAsia="en-US"/>
              </w:rPr>
            </w:pPr>
            <w:r>
              <w:lastRenderedPageBreak/>
              <w:t>(b) is manufactured in the dosage form of a capsule</w:t>
            </w:r>
          </w:p>
        </w:tc>
        <w:tc>
          <w:tcPr>
            <w:tcW w:w="844" w:type="pct"/>
            <w:tcBorders>
              <w:top w:val="single" w:sz="8" w:space="0" w:color="auto"/>
              <w:left w:val="nil"/>
              <w:bottom w:val="single" w:sz="8" w:space="0" w:color="auto"/>
              <w:right w:val="nil"/>
            </w:tcBorders>
            <w:shd w:val="clear" w:color="auto" w:fill="auto"/>
          </w:tcPr>
          <w:p w14:paraId="414E13AD" w14:textId="176F3361" w:rsidR="00361048" w:rsidRDefault="00361048" w:rsidP="00361048">
            <w:pPr>
              <w:pStyle w:val="Tabletext"/>
              <w:widowControl w:val="0"/>
            </w:pPr>
            <w:r>
              <w:lastRenderedPageBreak/>
              <w:t xml:space="preserve">250 mg of cefalexin is equivalent to one capsule of the substitutable </w:t>
            </w:r>
            <w:r>
              <w:lastRenderedPageBreak/>
              <w:t>medicine</w:t>
            </w:r>
          </w:p>
        </w:tc>
        <w:tc>
          <w:tcPr>
            <w:tcW w:w="1307" w:type="pct"/>
            <w:tcBorders>
              <w:top w:val="single" w:sz="8" w:space="0" w:color="auto"/>
              <w:left w:val="nil"/>
              <w:bottom w:val="single" w:sz="8" w:space="0" w:color="auto"/>
              <w:right w:val="nil"/>
            </w:tcBorders>
          </w:tcPr>
          <w:p w14:paraId="295C2605" w14:textId="77777777" w:rsidR="00361048" w:rsidRDefault="00361048" w:rsidP="00361048">
            <w:pPr>
              <w:pStyle w:val="Tabletext"/>
              <w:ind w:right="33"/>
            </w:pPr>
            <w:r>
              <w:lastRenderedPageBreak/>
              <w:t>the pharmacist has:</w:t>
            </w:r>
          </w:p>
          <w:p w14:paraId="4F2B573F" w14:textId="77777777" w:rsidR="00361048" w:rsidRDefault="00361048" w:rsidP="00361048">
            <w:pPr>
              <w:pStyle w:val="Tabletext"/>
              <w:ind w:left="284" w:right="175" w:hanging="284"/>
            </w:pPr>
            <w:r>
              <w:t>(a)</w:t>
            </w:r>
            <w:r>
              <w:tab/>
              <w:t xml:space="preserve">ensured that the patient can take the substitutable </w:t>
            </w:r>
            <w:r>
              <w:lastRenderedPageBreak/>
              <w:t>medicine in a capsule dosage form; and</w:t>
            </w:r>
          </w:p>
          <w:p w14:paraId="4CBEE606" w14:textId="77777777" w:rsidR="00361048" w:rsidRDefault="00361048" w:rsidP="00361048">
            <w:pPr>
              <w:pStyle w:val="Tabletext"/>
              <w:ind w:left="284" w:right="175" w:hanging="284"/>
            </w:pPr>
            <w:r>
              <w:t>(b)</w:t>
            </w:r>
            <w:r>
              <w:tab/>
              <w:t>only substituted the substitutable medicine for the scarce medicine where the prescribed dose of scarce medicine is divisible by 250 mg; and</w:t>
            </w:r>
          </w:p>
          <w:p w14:paraId="528B61B9" w14:textId="77777777" w:rsidR="00361048" w:rsidRDefault="00361048" w:rsidP="00361048">
            <w:pPr>
              <w:pStyle w:val="Tabletext"/>
              <w:ind w:left="284" w:right="175" w:hanging="284"/>
            </w:pPr>
            <w:r>
              <w:t>(c)</w:t>
            </w:r>
            <w:r>
              <w:tab/>
              <w:t>advised the patient, or person acting on behalf of the patient, of the number of dose units of substitutable medicine that must be taken by the patient in substitution for the prescribed dose of scarce medicine, based on the dose unit equivalence specified in column 4; and</w:t>
            </w:r>
          </w:p>
          <w:p w14:paraId="4830E57A" w14:textId="77777777" w:rsidR="00361048" w:rsidRDefault="00361048" w:rsidP="00361048">
            <w:pPr>
              <w:pStyle w:val="Tabletext"/>
              <w:ind w:left="284" w:right="175" w:hanging="284"/>
            </w:pPr>
            <w:r>
              <w:t>(d)</w:t>
            </w:r>
            <w:r>
              <w:tab/>
              <w:t>ensured that the correct number of dose units of substitutable medicine that must be taken by the patient in substitution for the prescribed dose of scarce medicine is written on the dispensing label; and</w:t>
            </w:r>
          </w:p>
          <w:p w14:paraId="6B55AF55" w14:textId="16E0490C" w:rsidR="00361048" w:rsidRDefault="00361048" w:rsidP="00C61B9A">
            <w:pPr>
              <w:pStyle w:val="Tabletext"/>
              <w:ind w:left="284" w:right="175" w:hanging="284"/>
            </w:pPr>
            <w:r>
              <w:t>(e)</w:t>
            </w:r>
            <w:r>
              <w:tab/>
              <w:t>ensured that the patient, or person acting on behalf of the patient, has access to information to support them in administering the substitutable medicine</w:t>
            </w:r>
          </w:p>
        </w:tc>
      </w:tr>
    </w:tbl>
    <w:p w14:paraId="3DE37338" w14:textId="6FB8882B" w:rsidR="009278F8" w:rsidRPr="006A3956" w:rsidRDefault="009278F8" w:rsidP="009278F8">
      <w:pPr>
        <w:pStyle w:val="ActHead2"/>
        <w:spacing w:before="480" w:after="240"/>
      </w:pPr>
      <w:bookmarkStart w:id="15" w:name="_Toc95212920"/>
      <w:bookmarkStart w:id="16" w:name="_Toc121823048"/>
      <w:r w:rsidRPr="006A3956">
        <w:rPr>
          <w:rStyle w:val="CharPartNo"/>
        </w:rPr>
        <w:lastRenderedPageBreak/>
        <w:t>Part 2—Scarce me</w:t>
      </w:r>
      <w:r w:rsidRPr="00D86282">
        <w:rPr>
          <w:rStyle w:val="CharPartNo"/>
        </w:rPr>
        <w:t xml:space="preserve">dicine: </w:t>
      </w:r>
      <w:bookmarkEnd w:id="15"/>
      <w:r w:rsidR="0058299B">
        <w:rPr>
          <w:rStyle w:val="CharPartNo"/>
        </w:rPr>
        <w:t>cefalexin</w:t>
      </w:r>
      <w:r w:rsidR="000D287D" w:rsidRPr="00D86282">
        <w:rPr>
          <w:rStyle w:val="CharPartNo"/>
        </w:rPr>
        <w:t xml:space="preserve"> in </w:t>
      </w:r>
      <w:r w:rsidR="00754D28" w:rsidRPr="00D86282">
        <w:rPr>
          <w:rStyle w:val="CharPartNo"/>
        </w:rPr>
        <w:t xml:space="preserve">capsule </w:t>
      </w:r>
      <w:r w:rsidR="00EA753E">
        <w:rPr>
          <w:rStyle w:val="CharPartNo"/>
        </w:rPr>
        <w:t>dosage form</w:t>
      </w:r>
      <w:bookmarkEnd w:id="16"/>
    </w:p>
    <w:tbl>
      <w:tblPr>
        <w:tblW w:w="907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66"/>
        <w:gridCol w:w="1911"/>
        <w:gridCol w:w="1843"/>
        <w:gridCol w:w="1559"/>
        <w:gridCol w:w="2693"/>
      </w:tblGrid>
      <w:tr w:rsidR="009278F8" w:rsidRPr="006A3956" w14:paraId="673707DE" w14:textId="77777777" w:rsidTr="0070723A">
        <w:trPr>
          <w:trHeight w:val="57"/>
          <w:tblHeader/>
        </w:trPr>
        <w:tc>
          <w:tcPr>
            <w:tcW w:w="9072" w:type="dxa"/>
            <w:gridSpan w:val="5"/>
            <w:tcBorders>
              <w:top w:val="single" w:sz="12" w:space="0" w:color="auto"/>
              <w:bottom w:val="single" w:sz="8" w:space="0" w:color="auto"/>
            </w:tcBorders>
          </w:tcPr>
          <w:p w14:paraId="59C7F60C" w14:textId="77777777" w:rsidR="009278F8" w:rsidRPr="006A3956" w:rsidRDefault="009278F8" w:rsidP="009A7A32">
            <w:pPr>
              <w:pStyle w:val="TableHeading"/>
              <w:ind w:right="43"/>
            </w:pPr>
            <w:r w:rsidRPr="006A3956">
              <w:t>Scarce medicine, substitutable medicine, dose unit equivalence and specific permitted circumstances</w:t>
            </w:r>
          </w:p>
        </w:tc>
      </w:tr>
      <w:tr w:rsidR="009278F8" w:rsidRPr="006A3956" w14:paraId="5513A8CB" w14:textId="77777777" w:rsidTr="00747C1A">
        <w:trPr>
          <w:trHeight w:val="57"/>
          <w:tblHeader/>
        </w:trPr>
        <w:tc>
          <w:tcPr>
            <w:tcW w:w="1066" w:type="dxa"/>
            <w:tcBorders>
              <w:top w:val="single" w:sz="8" w:space="0" w:color="auto"/>
              <w:bottom w:val="single" w:sz="8" w:space="0" w:color="auto"/>
            </w:tcBorders>
          </w:tcPr>
          <w:p w14:paraId="4535C3DD" w14:textId="77777777" w:rsidR="009278F8" w:rsidRPr="006A3956" w:rsidRDefault="009278F8" w:rsidP="009A7A32">
            <w:pPr>
              <w:pStyle w:val="TableHeading"/>
            </w:pPr>
            <w:r w:rsidRPr="006A3956">
              <w:t>Column 1</w:t>
            </w:r>
          </w:p>
        </w:tc>
        <w:tc>
          <w:tcPr>
            <w:tcW w:w="1911" w:type="dxa"/>
            <w:tcBorders>
              <w:top w:val="single" w:sz="8" w:space="0" w:color="auto"/>
              <w:bottom w:val="single" w:sz="8" w:space="0" w:color="auto"/>
            </w:tcBorders>
            <w:shd w:val="clear" w:color="auto" w:fill="auto"/>
          </w:tcPr>
          <w:p w14:paraId="3AA7C48F" w14:textId="77777777" w:rsidR="009278F8" w:rsidRPr="006A3956" w:rsidRDefault="009278F8" w:rsidP="009A7A32">
            <w:pPr>
              <w:pStyle w:val="TableHeading"/>
            </w:pPr>
            <w:r w:rsidRPr="006A3956">
              <w:t>Column 2</w:t>
            </w:r>
          </w:p>
        </w:tc>
        <w:tc>
          <w:tcPr>
            <w:tcW w:w="1843" w:type="dxa"/>
            <w:tcBorders>
              <w:top w:val="single" w:sz="8" w:space="0" w:color="auto"/>
              <w:bottom w:val="single" w:sz="8" w:space="0" w:color="auto"/>
            </w:tcBorders>
            <w:shd w:val="clear" w:color="auto" w:fill="auto"/>
          </w:tcPr>
          <w:p w14:paraId="512C8288" w14:textId="77777777" w:rsidR="009278F8" w:rsidRPr="006A3956" w:rsidRDefault="009278F8" w:rsidP="009A7A32">
            <w:pPr>
              <w:pStyle w:val="TableHeading"/>
            </w:pPr>
            <w:r w:rsidRPr="006A3956">
              <w:t>Column 3</w:t>
            </w:r>
          </w:p>
        </w:tc>
        <w:tc>
          <w:tcPr>
            <w:tcW w:w="1559" w:type="dxa"/>
            <w:tcBorders>
              <w:top w:val="single" w:sz="8" w:space="0" w:color="auto"/>
              <w:bottom w:val="single" w:sz="8" w:space="0" w:color="auto"/>
            </w:tcBorders>
            <w:shd w:val="clear" w:color="auto" w:fill="auto"/>
          </w:tcPr>
          <w:p w14:paraId="33987A6B" w14:textId="77777777" w:rsidR="009278F8" w:rsidRPr="006A3956" w:rsidRDefault="009278F8" w:rsidP="009A7A32">
            <w:pPr>
              <w:pStyle w:val="Tabletext"/>
            </w:pPr>
            <w:r w:rsidRPr="006A3956">
              <w:rPr>
                <w:b/>
              </w:rPr>
              <w:t>Column 4</w:t>
            </w:r>
          </w:p>
        </w:tc>
        <w:tc>
          <w:tcPr>
            <w:tcW w:w="2693" w:type="dxa"/>
            <w:tcBorders>
              <w:top w:val="single" w:sz="8" w:space="0" w:color="auto"/>
              <w:bottom w:val="single" w:sz="8" w:space="0" w:color="auto"/>
            </w:tcBorders>
          </w:tcPr>
          <w:p w14:paraId="7B9D1AA2" w14:textId="77777777" w:rsidR="009278F8" w:rsidRPr="006A3956" w:rsidRDefault="009278F8" w:rsidP="009A7A32">
            <w:pPr>
              <w:pStyle w:val="TableHeading"/>
              <w:ind w:right="178"/>
            </w:pPr>
            <w:r w:rsidRPr="006A3956">
              <w:t>Column 5</w:t>
            </w:r>
          </w:p>
        </w:tc>
      </w:tr>
      <w:tr w:rsidR="009278F8" w:rsidRPr="006A3956" w14:paraId="102FBF51" w14:textId="77777777" w:rsidTr="00747C1A">
        <w:trPr>
          <w:trHeight w:val="57"/>
          <w:tblHeader/>
        </w:trPr>
        <w:tc>
          <w:tcPr>
            <w:tcW w:w="1066" w:type="dxa"/>
            <w:tcBorders>
              <w:top w:val="single" w:sz="8" w:space="0" w:color="auto"/>
              <w:bottom w:val="single" w:sz="8" w:space="0" w:color="auto"/>
            </w:tcBorders>
          </w:tcPr>
          <w:p w14:paraId="6E3F5BF8" w14:textId="77777777" w:rsidR="009278F8" w:rsidRPr="006A3956" w:rsidRDefault="009278F8" w:rsidP="009A7A32">
            <w:pPr>
              <w:pStyle w:val="TableHeading"/>
            </w:pPr>
            <w:r w:rsidRPr="006A3956">
              <w:t>Item</w:t>
            </w:r>
          </w:p>
        </w:tc>
        <w:tc>
          <w:tcPr>
            <w:tcW w:w="1911" w:type="dxa"/>
            <w:tcBorders>
              <w:top w:val="single" w:sz="8" w:space="0" w:color="auto"/>
              <w:bottom w:val="single" w:sz="8" w:space="0" w:color="auto"/>
            </w:tcBorders>
            <w:shd w:val="clear" w:color="auto" w:fill="auto"/>
          </w:tcPr>
          <w:p w14:paraId="0FB82C56" w14:textId="77777777" w:rsidR="009278F8" w:rsidRPr="006A3956" w:rsidRDefault="009278F8" w:rsidP="009A7A32">
            <w:pPr>
              <w:pStyle w:val="TableHeading"/>
            </w:pPr>
            <w:r w:rsidRPr="006A3956">
              <w:t>Scarce medicine</w:t>
            </w:r>
          </w:p>
        </w:tc>
        <w:tc>
          <w:tcPr>
            <w:tcW w:w="1843" w:type="dxa"/>
            <w:tcBorders>
              <w:top w:val="single" w:sz="8" w:space="0" w:color="auto"/>
              <w:bottom w:val="single" w:sz="8" w:space="0" w:color="auto"/>
            </w:tcBorders>
            <w:shd w:val="clear" w:color="auto" w:fill="auto"/>
          </w:tcPr>
          <w:p w14:paraId="2789A0CE" w14:textId="77777777" w:rsidR="009278F8" w:rsidRPr="006A3956" w:rsidRDefault="009278F8" w:rsidP="009A7A32">
            <w:pPr>
              <w:pStyle w:val="TableHeading"/>
            </w:pPr>
            <w:r w:rsidRPr="006A3956">
              <w:t>Substitutable medicine</w:t>
            </w:r>
          </w:p>
        </w:tc>
        <w:tc>
          <w:tcPr>
            <w:tcW w:w="1559" w:type="dxa"/>
            <w:tcBorders>
              <w:top w:val="single" w:sz="8" w:space="0" w:color="auto"/>
              <w:bottom w:val="single" w:sz="8" w:space="0" w:color="auto"/>
            </w:tcBorders>
            <w:shd w:val="clear" w:color="auto" w:fill="auto"/>
          </w:tcPr>
          <w:p w14:paraId="65EAD633" w14:textId="77777777" w:rsidR="009278F8" w:rsidRPr="006A3956" w:rsidRDefault="009278F8" w:rsidP="009A7A32">
            <w:pPr>
              <w:pStyle w:val="Tabletext"/>
            </w:pPr>
            <w:r w:rsidRPr="006A3956">
              <w:rPr>
                <w:b/>
              </w:rPr>
              <w:t xml:space="preserve">Dose unit equivalence </w:t>
            </w:r>
          </w:p>
        </w:tc>
        <w:tc>
          <w:tcPr>
            <w:tcW w:w="2693" w:type="dxa"/>
            <w:tcBorders>
              <w:top w:val="single" w:sz="8" w:space="0" w:color="auto"/>
              <w:bottom w:val="single" w:sz="8" w:space="0" w:color="auto"/>
            </w:tcBorders>
          </w:tcPr>
          <w:p w14:paraId="7D285AC9" w14:textId="77777777" w:rsidR="009278F8" w:rsidRPr="006A3956" w:rsidRDefault="009278F8" w:rsidP="009A7A32">
            <w:pPr>
              <w:pStyle w:val="TableHeading"/>
              <w:ind w:right="178"/>
            </w:pPr>
            <w:r w:rsidRPr="006A3956">
              <w:t>Specific permitted circumstances</w:t>
            </w:r>
          </w:p>
        </w:tc>
      </w:tr>
      <w:tr w:rsidR="00C611B4" w:rsidRPr="006A3956" w14:paraId="5A994C7D" w14:textId="77777777" w:rsidTr="00CD5191">
        <w:trPr>
          <w:trHeight w:val="170"/>
        </w:trPr>
        <w:tc>
          <w:tcPr>
            <w:tcW w:w="1066" w:type="dxa"/>
            <w:tcBorders>
              <w:top w:val="single" w:sz="8" w:space="0" w:color="auto"/>
              <w:bottom w:val="single" w:sz="12" w:space="0" w:color="auto"/>
            </w:tcBorders>
          </w:tcPr>
          <w:p w14:paraId="2E66BD6C" w14:textId="0ECCEBAC" w:rsidR="00C611B4" w:rsidRDefault="0078201E" w:rsidP="00C611B4">
            <w:pPr>
              <w:pStyle w:val="Tabletext"/>
            </w:pPr>
            <w:r>
              <w:t>1</w:t>
            </w:r>
          </w:p>
        </w:tc>
        <w:tc>
          <w:tcPr>
            <w:tcW w:w="1911" w:type="dxa"/>
            <w:tcBorders>
              <w:top w:val="single" w:sz="8" w:space="0" w:color="auto"/>
              <w:bottom w:val="single" w:sz="12" w:space="0" w:color="auto"/>
            </w:tcBorders>
            <w:shd w:val="clear" w:color="auto" w:fill="auto"/>
          </w:tcPr>
          <w:p w14:paraId="49A2ECA7" w14:textId="77777777" w:rsidR="00C611B4" w:rsidRDefault="00C611B4" w:rsidP="00C611B4">
            <w:pPr>
              <w:pStyle w:val="Tabletext"/>
              <w:rPr>
                <w:lang w:eastAsia="en-US"/>
              </w:rPr>
            </w:pPr>
            <w:r>
              <w:rPr>
                <w:lang w:eastAsia="en-US"/>
              </w:rPr>
              <w:t>a registered medicine that:</w:t>
            </w:r>
          </w:p>
          <w:p w14:paraId="457E5DF4" w14:textId="7E9B50DF" w:rsidR="00C611B4" w:rsidRDefault="00C611B4" w:rsidP="00C611B4">
            <w:pPr>
              <w:pStyle w:val="Tabletext"/>
              <w:ind w:left="284" w:hanging="284"/>
            </w:pPr>
            <w:r w:rsidRPr="00251943">
              <w:t>(a</w:t>
            </w:r>
            <w:r>
              <w:t>)</w:t>
            </w:r>
            <w:r>
              <w:rPr>
                <w:lang w:eastAsia="en-US"/>
              </w:rPr>
              <w:tab/>
              <w:t>contains</w:t>
            </w:r>
            <w:r w:rsidR="00361048">
              <w:rPr>
                <w:lang w:eastAsia="en-US"/>
              </w:rPr>
              <w:t xml:space="preserve"> </w:t>
            </w:r>
            <w:r>
              <w:rPr>
                <w:lang w:eastAsia="en-US"/>
              </w:rPr>
              <w:t>500</w:t>
            </w:r>
            <w:r w:rsidR="00361048">
              <w:rPr>
                <w:lang w:eastAsia="en-US"/>
              </w:rPr>
              <w:t> </w:t>
            </w:r>
            <w:r>
              <w:rPr>
                <w:lang w:eastAsia="en-US"/>
              </w:rPr>
              <w:t>mg cefalexin</w:t>
            </w:r>
            <w:r>
              <w:t>; and</w:t>
            </w:r>
          </w:p>
          <w:p w14:paraId="367DA6C3" w14:textId="5E1B52B8" w:rsidR="00C611B4" w:rsidRDefault="00C611B4" w:rsidP="00C611B4">
            <w:pPr>
              <w:pStyle w:val="Tabletext"/>
              <w:ind w:left="284" w:hanging="284"/>
              <w:rPr>
                <w:lang w:eastAsia="en-US"/>
              </w:rPr>
            </w:pPr>
            <w:r>
              <w:t>(b)</w:t>
            </w:r>
            <w:r w:rsidR="00836C06">
              <w:tab/>
            </w:r>
            <w:r>
              <w:t>is manufactured in the dosage form of a capsule</w:t>
            </w:r>
          </w:p>
        </w:tc>
        <w:tc>
          <w:tcPr>
            <w:tcW w:w="1843" w:type="dxa"/>
            <w:tcBorders>
              <w:top w:val="single" w:sz="8" w:space="0" w:color="auto"/>
              <w:bottom w:val="single" w:sz="12" w:space="0" w:color="auto"/>
            </w:tcBorders>
            <w:shd w:val="clear" w:color="auto" w:fill="auto"/>
          </w:tcPr>
          <w:p w14:paraId="6A1EF74F" w14:textId="77777777" w:rsidR="00C611B4" w:rsidRDefault="00C611B4" w:rsidP="00C611B4">
            <w:pPr>
              <w:pStyle w:val="Tabletext"/>
              <w:rPr>
                <w:lang w:eastAsia="en-US"/>
              </w:rPr>
            </w:pPr>
            <w:r>
              <w:rPr>
                <w:lang w:eastAsia="en-US"/>
              </w:rPr>
              <w:t>a medicine that:</w:t>
            </w:r>
          </w:p>
          <w:p w14:paraId="4327DFEB" w14:textId="36E31BE7" w:rsidR="00C611B4" w:rsidRDefault="00C611B4" w:rsidP="00C611B4">
            <w:pPr>
              <w:pStyle w:val="Tabletext"/>
              <w:ind w:left="284" w:hanging="284"/>
            </w:pPr>
            <w:r w:rsidRPr="00251943">
              <w:t>(a</w:t>
            </w:r>
            <w:r>
              <w:t>)</w:t>
            </w:r>
            <w:r>
              <w:rPr>
                <w:lang w:eastAsia="en-US"/>
              </w:rPr>
              <w:tab/>
              <w:t>contains</w:t>
            </w:r>
            <w:r w:rsidR="00646B24">
              <w:rPr>
                <w:lang w:eastAsia="en-US"/>
              </w:rPr>
              <w:t xml:space="preserve"> </w:t>
            </w:r>
            <w:r>
              <w:rPr>
                <w:lang w:eastAsia="en-US"/>
              </w:rPr>
              <w:t>250 mg cefalexin</w:t>
            </w:r>
            <w:r>
              <w:t>; and</w:t>
            </w:r>
          </w:p>
          <w:p w14:paraId="0D73481B" w14:textId="393FC231" w:rsidR="00C611B4" w:rsidRDefault="00C611B4" w:rsidP="00747C1A">
            <w:pPr>
              <w:pStyle w:val="Tabletext"/>
              <w:ind w:left="284" w:hanging="284"/>
              <w:rPr>
                <w:lang w:eastAsia="en-US"/>
              </w:rPr>
            </w:pPr>
            <w:r>
              <w:t>(b)</w:t>
            </w:r>
            <w:r w:rsidR="00836C06">
              <w:tab/>
            </w:r>
            <w:r>
              <w:t>is manufactured in the dosage form of a capsule</w:t>
            </w:r>
          </w:p>
        </w:tc>
        <w:tc>
          <w:tcPr>
            <w:tcW w:w="1559" w:type="dxa"/>
            <w:tcBorders>
              <w:top w:val="single" w:sz="8" w:space="0" w:color="auto"/>
              <w:bottom w:val="single" w:sz="12" w:space="0" w:color="auto"/>
            </w:tcBorders>
            <w:shd w:val="clear" w:color="auto" w:fill="auto"/>
          </w:tcPr>
          <w:p w14:paraId="1AA1EF4E" w14:textId="55430F23" w:rsidR="00C611B4" w:rsidRDefault="00F33047" w:rsidP="00C611B4">
            <w:pPr>
              <w:pStyle w:val="Tabletext"/>
              <w:rPr>
                <w:lang w:eastAsia="en-US"/>
              </w:rPr>
            </w:pPr>
            <w:r>
              <w:rPr>
                <w:lang w:eastAsia="en-US"/>
              </w:rPr>
              <w:t xml:space="preserve">one capsule of </w:t>
            </w:r>
            <w:r w:rsidR="00723B78">
              <w:rPr>
                <w:lang w:eastAsia="en-US"/>
              </w:rPr>
              <w:t xml:space="preserve">the </w:t>
            </w:r>
            <w:r>
              <w:rPr>
                <w:lang w:eastAsia="en-US"/>
              </w:rPr>
              <w:t>scarce medicine</w:t>
            </w:r>
            <w:r w:rsidR="00641177">
              <w:rPr>
                <w:lang w:eastAsia="en-US"/>
              </w:rPr>
              <w:t xml:space="preserve"> is equivalent to </w:t>
            </w:r>
            <w:r>
              <w:rPr>
                <w:lang w:eastAsia="en-US"/>
              </w:rPr>
              <w:t>two</w:t>
            </w:r>
            <w:r w:rsidR="00641177">
              <w:rPr>
                <w:lang w:eastAsia="en-US"/>
              </w:rPr>
              <w:t xml:space="preserve"> capsule</w:t>
            </w:r>
            <w:r>
              <w:rPr>
                <w:lang w:eastAsia="en-US"/>
              </w:rPr>
              <w:t>s</w:t>
            </w:r>
            <w:r w:rsidR="00641177">
              <w:rPr>
                <w:lang w:eastAsia="en-US"/>
              </w:rPr>
              <w:t xml:space="preserve"> of </w:t>
            </w:r>
            <w:r w:rsidR="00723B78">
              <w:rPr>
                <w:lang w:eastAsia="en-US"/>
              </w:rPr>
              <w:t xml:space="preserve">the </w:t>
            </w:r>
            <w:r w:rsidR="00641177">
              <w:rPr>
                <w:lang w:eastAsia="en-US"/>
              </w:rPr>
              <w:t>substitutable medicine</w:t>
            </w:r>
          </w:p>
        </w:tc>
        <w:tc>
          <w:tcPr>
            <w:tcW w:w="2693" w:type="dxa"/>
            <w:tcBorders>
              <w:top w:val="single" w:sz="8" w:space="0" w:color="auto"/>
              <w:bottom w:val="single" w:sz="12" w:space="0" w:color="auto"/>
            </w:tcBorders>
          </w:tcPr>
          <w:p w14:paraId="335109B9" w14:textId="77777777" w:rsidR="00C611B4" w:rsidRDefault="00C611B4" w:rsidP="00C611B4">
            <w:pPr>
              <w:pStyle w:val="Tabletext"/>
              <w:ind w:right="33"/>
            </w:pPr>
            <w:r>
              <w:t>the pharmacist has:</w:t>
            </w:r>
          </w:p>
          <w:p w14:paraId="7394743D" w14:textId="31C23EF4" w:rsidR="00C611B4" w:rsidRDefault="00C611B4" w:rsidP="00D414E3">
            <w:pPr>
              <w:pStyle w:val="Tabletext"/>
              <w:ind w:left="284" w:right="175" w:hanging="284"/>
            </w:pPr>
            <w:bookmarkStart w:id="17" w:name="_Hlk122001521"/>
            <w:r>
              <w:t>(a)</w:t>
            </w:r>
            <w:r>
              <w:tab/>
              <w:t>advised the patient, or person acting on behalf of the patient, of the number of dose units of substitutable medicine that must be taken by the patient in substitution for the prescribed dose of scarce medicine, based on the dose unit equivalence specified in column 4; and</w:t>
            </w:r>
          </w:p>
          <w:p w14:paraId="213C376E" w14:textId="6D927BA3" w:rsidR="00C611B4" w:rsidRDefault="00C611B4" w:rsidP="00C611B4">
            <w:pPr>
              <w:pStyle w:val="Tabletext"/>
              <w:ind w:left="284" w:right="175" w:hanging="284"/>
            </w:pPr>
            <w:r>
              <w:t>(</w:t>
            </w:r>
            <w:r w:rsidR="0020773A">
              <w:t>b</w:t>
            </w:r>
            <w:r>
              <w:t>)</w:t>
            </w:r>
            <w:r w:rsidR="00723B78">
              <w:tab/>
            </w:r>
            <w:r>
              <w:t>ensured that the correct number of dose units of substitutable medicine that must be taken by the patient in substitution for the prescribed dose of scarce medicine is written on the dispensing label; and</w:t>
            </w:r>
          </w:p>
          <w:p w14:paraId="51663F5A" w14:textId="50FC1F9A" w:rsidR="00C611B4" w:rsidRDefault="00C611B4" w:rsidP="00C611B4">
            <w:pPr>
              <w:pStyle w:val="Tabletext"/>
              <w:ind w:left="284" w:right="175" w:hanging="284"/>
            </w:pPr>
            <w:r>
              <w:t>(</w:t>
            </w:r>
            <w:r w:rsidR="0020773A">
              <w:t>c</w:t>
            </w:r>
            <w:r>
              <w:t>) ensured that the patient, or person acting on behalf of the patient, has access to information to support them in administering the substitutable medicine</w:t>
            </w:r>
            <w:bookmarkEnd w:id="17"/>
          </w:p>
        </w:tc>
      </w:tr>
    </w:tbl>
    <w:p w14:paraId="35B5B035" w14:textId="577AA201" w:rsidR="009278F8" w:rsidRPr="006A3956" w:rsidRDefault="009278F8" w:rsidP="009278F8">
      <w:pPr>
        <w:spacing w:line="240" w:lineRule="auto"/>
      </w:pPr>
      <w:r w:rsidRPr="006A3956">
        <w:br w:type="page"/>
      </w:r>
    </w:p>
    <w:p w14:paraId="1635B840" w14:textId="77777777" w:rsidR="009278F8" w:rsidRPr="006A3956" w:rsidRDefault="009278F8" w:rsidP="009278F8">
      <w:pPr>
        <w:pStyle w:val="ActHead6"/>
      </w:pPr>
      <w:bookmarkStart w:id="18" w:name="_Toc95212921"/>
      <w:bookmarkStart w:id="19" w:name="_Toc121823049"/>
      <w:r w:rsidRPr="006A3956">
        <w:lastRenderedPageBreak/>
        <w:t>Schedule 2—General permitted circumstances</w:t>
      </w:r>
      <w:bookmarkEnd w:id="18"/>
      <w:bookmarkEnd w:id="19"/>
    </w:p>
    <w:p w14:paraId="25EA1E4F" w14:textId="77777777" w:rsidR="009278F8" w:rsidRPr="006A3956" w:rsidRDefault="009278F8" w:rsidP="009278F8">
      <w:pPr>
        <w:pStyle w:val="notemargin"/>
        <w:spacing w:after="240"/>
        <w:ind w:left="0" w:firstLine="0"/>
      </w:pPr>
      <w:r w:rsidRPr="006A3956">
        <w:t>Note:</w:t>
      </w:r>
      <w:r w:rsidRPr="006A3956">
        <w:tab/>
        <w:t>See section 6.</w:t>
      </w: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1191"/>
        <w:gridCol w:w="7540"/>
      </w:tblGrid>
      <w:tr w:rsidR="009278F8" w:rsidRPr="006A3956" w14:paraId="16D8BB5E" w14:textId="77777777" w:rsidTr="009A7A32">
        <w:trPr>
          <w:trHeight w:val="57"/>
          <w:tblHeader/>
        </w:trPr>
        <w:tc>
          <w:tcPr>
            <w:tcW w:w="5000" w:type="pct"/>
            <w:gridSpan w:val="2"/>
            <w:tcBorders>
              <w:top w:val="single" w:sz="12" w:space="0" w:color="auto"/>
              <w:left w:val="nil"/>
              <w:bottom w:val="single" w:sz="4" w:space="0" w:color="auto"/>
              <w:right w:val="nil"/>
            </w:tcBorders>
            <w:hideMark/>
          </w:tcPr>
          <w:p w14:paraId="219972E0" w14:textId="77777777" w:rsidR="009278F8" w:rsidRPr="006A3956" w:rsidRDefault="009278F8" w:rsidP="009A7A32">
            <w:pPr>
              <w:pStyle w:val="TableHeading"/>
              <w:rPr>
                <w:lang w:eastAsia="en-US"/>
              </w:rPr>
            </w:pPr>
            <w:r w:rsidRPr="006A3956">
              <w:rPr>
                <w:lang w:eastAsia="en-US"/>
              </w:rPr>
              <w:t>General permitted circumstances</w:t>
            </w:r>
          </w:p>
        </w:tc>
      </w:tr>
      <w:tr w:rsidR="009278F8" w:rsidRPr="006A3956" w14:paraId="0D7947B9" w14:textId="77777777" w:rsidTr="009A7A32">
        <w:trPr>
          <w:trHeight w:val="57"/>
          <w:tblHeader/>
        </w:trPr>
        <w:tc>
          <w:tcPr>
            <w:tcW w:w="682" w:type="pct"/>
            <w:tcBorders>
              <w:top w:val="single" w:sz="4" w:space="0" w:color="auto"/>
              <w:left w:val="nil"/>
              <w:bottom w:val="single" w:sz="2" w:space="0" w:color="auto"/>
              <w:right w:val="nil"/>
            </w:tcBorders>
            <w:hideMark/>
          </w:tcPr>
          <w:p w14:paraId="1398BD46" w14:textId="77777777" w:rsidR="009278F8" w:rsidRPr="006A3956" w:rsidRDefault="009278F8" w:rsidP="009A7A32">
            <w:pPr>
              <w:pStyle w:val="TableHeading"/>
              <w:rPr>
                <w:lang w:eastAsia="en-US"/>
              </w:rPr>
            </w:pPr>
            <w:r w:rsidRPr="006A3956">
              <w:rPr>
                <w:lang w:eastAsia="en-US"/>
              </w:rPr>
              <w:t>Column 1</w:t>
            </w:r>
          </w:p>
        </w:tc>
        <w:tc>
          <w:tcPr>
            <w:tcW w:w="4318" w:type="pct"/>
            <w:tcBorders>
              <w:top w:val="single" w:sz="4" w:space="0" w:color="auto"/>
              <w:left w:val="nil"/>
              <w:bottom w:val="single" w:sz="2" w:space="0" w:color="auto"/>
              <w:right w:val="nil"/>
            </w:tcBorders>
            <w:hideMark/>
          </w:tcPr>
          <w:p w14:paraId="65A1DBC7" w14:textId="77777777" w:rsidR="009278F8" w:rsidRPr="006A3956" w:rsidRDefault="009278F8" w:rsidP="009A7A32">
            <w:pPr>
              <w:pStyle w:val="TableHeading"/>
              <w:rPr>
                <w:lang w:eastAsia="en-US"/>
              </w:rPr>
            </w:pPr>
            <w:r w:rsidRPr="006A3956">
              <w:rPr>
                <w:lang w:eastAsia="en-US"/>
              </w:rPr>
              <w:t>Column 2</w:t>
            </w:r>
          </w:p>
        </w:tc>
      </w:tr>
      <w:tr w:rsidR="009278F8" w:rsidRPr="006A3956" w14:paraId="4ED89554" w14:textId="77777777" w:rsidTr="009A7A32">
        <w:trPr>
          <w:trHeight w:val="57"/>
          <w:tblHeader/>
        </w:trPr>
        <w:tc>
          <w:tcPr>
            <w:tcW w:w="682" w:type="pct"/>
            <w:tcBorders>
              <w:top w:val="single" w:sz="2" w:space="0" w:color="auto"/>
              <w:left w:val="nil"/>
              <w:bottom w:val="single" w:sz="12" w:space="0" w:color="auto"/>
              <w:right w:val="nil"/>
            </w:tcBorders>
            <w:hideMark/>
          </w:tcPr>
          <w:p w14:paraId="00C1434D" w14:textId="77777777" w:rsidR="009278F8" w:rsidRPr="006A3956" w:rsidRDefault="009278F8" w:rsidP="009A7A32">
            <w:pPr>
              <w:pStyle w:val="TableHeading"/>
              <w:rPr>
                <w:lang w:eastAsia="en-US"/>
              </w:rPr>
            </w:pPr>
            <w:r w:rsidRPr="006A3956">
              <w:rPr>
                <w:lang w:eastAsia="en-US"/>
              </w:rPr>
              <w:t>Item</w:t>
            </w:r>
          </w:p>
        </w:tc>
        <w:tc>
          <w:tcPr>
            <w:tcW w:w="4318" w:type="pct"/>
            <w:tcBorders>
              <w:top w:val="single" w:sz="2" w:space="0" w:color="auto"/>
              <w:left w:val="nil"/>
              <w:bottom w:val="single" w:sz="12" w:space="0" w:color="auto"/>
              <w:right w:val="nil"/>
            </w:tcBorders>
            <w:hideMark/>
          </w:tcPr>
          <w:p w14:paraId="113F9234" w14:textId="77777777" w:rsidR="009278F8" w:rsidRPr="006A3956" w:rsidRDefault="009278F8" w:rsidP="009A7A32">
            <w:pPr>
              <w:pStyle w:val="TableHeading"/>
              <w:rPr>
                <w:lang w:eastAsia="en-US"/>
              </w:rPr>
            </w:pPr>
            <w:r w:rsidRPr="006A3956">
              <w:rPr>
                <w:lang w:eastAsia="en-US"/>
              </w:rPr>
              <w:t>Circumstances</w:t>
            </w:r>
          </w:p>
        </w:tc>
      </w:tr>
      <w:tr w:rsidR="009278F8" w:rsidRPr="006A3956" w14:paraId="323776AB" w14:textId="77777777" w:rsidTr="009A7A32">
        <w:trPr>
          <w:trHeight w:val="20"/>
        </w:trPr>
        <w:tc>
          <w:tcPr>
            <w:tcW w:w="682" w:type="pct"/>
            <w:tcBorders>
              <w:top w:val="single" w:sz="2" w:space="0" w:color="auto"/>
              <w:left w:val="nil"/>
              <w:bottom w:val="single" w:sz="2" w:space="0" w:color="auto"/>
              <w:right w:val="nil"/>
            </w:tcBorders>
          </w:tcPr>
          <w:p w14:paraId="65E5A4F2" w14:textId="77777777" w:rsidR="009278F8" w:rsidRPr="006A3956" w:rsidRDefault="009278F8" w:rsidP="009A7A32">
            <w:pPr>
              <w:pStyle w:val="Tabletext"/>
              <w:rPr>
                <w:lang w:eastAsia="en-US"/>
              </w:rPr>
            </w:pPr>
            <w:r w:rsidRPr="006A3956">
              <w:rPr>
                <w:lang w:eastAsia="en-US"/>
              </w:rPr>
              <w:t>1</w:t>
            </w:r>
          </w:p>
        </w:tc>
        <w:tc>
          <w:tcPr>
            <w:tcW w:w="4318" w:type="pct"/>
            <w:tcBorders>
              <w:top w:val="single" w:sz="2" w:space="0" w:color="auto"/>
              <w:left w:val="nil"/>
              <w:bottom w:val="single" w:sz="2" w:space="0" w:color="auto"/>
              <w:right w:val="nil"/>
            </w:tcBorders>
          </w:tcPr>
          <w:p w14:paraId="35F5CFF3" w14:textId="77777777" w:rsidR="009278F8" w:rsidRPr="006A3956" w:rsidRDefault="009278F8" w:rsidP="009A7A32">
            <w:pPr>
              <w:pStyle w:val="paragraph"/>
              <w:ind w:left="0" w:firstLine="0"/>
              <w:rPr>
                <w:sz w:val="20"/>
                <w:lang w:eastAsia="en-US"/>
              </w:rPr>
            </w:pPr>
            <w:r w:rsidRPr="006A3956">
              <w:rPr>
                <w:sz w:val="20"/>
                <w:lang w:eastAsia="en-US"/>
              </w:rPr>
              <w:t>the patient, or person acting on behalf of the patient, has evidence of a valid prescription for the scarce medicine, unless otherwise permitted by law</w:t>
            </w:r>
          </w:p>
        </w:tc>
      </w:tr>
      <w:tr w:rsidR="009278F8" w:rsidRPr="006A3956" w14:paraId="28421DF9" w14:textId="77777777" w:rsidTr="009A7A32">
        <w:trPr>
          <w:trHeight w:val="20"/>
        </w:trPr>
        <w:tc>
          <w:tcPr>
            <w:tcW w:w="682" w:type="pct"/>
            <w:tcBorders>
              <w:top w:val="single" w:sz="2" w:space="0" w:color="auto"/>
              <w:left w:val="nil"/>
              <w:bottom w:val="single" w:sz="2" w:space="0" w:color="auto"/>
              <w:right w:val="nil"/>
            </w:tcBorders>
          </w:tcPr>
          <w:p w14:paraId="14D04C59" w14:textId="77777777" w:rsidR="009278F8" w:rsidRPr="006A3956" w:rsidRDefault="009278F8" w:rsidP="009A7A32">
            <w:pPr>
              <w:pStyle w:val="Tabletext"/>
              <w:rPr>
                <w:lang w:eastAsia="en-US"/>
              </w:rPr>
            </w:pPr>
            <w:r w:rsidRPr="006A3956">
              <w:rPr>
                <w:lang w:eastAsia="en-US"/>
              </w:rPr>
              <w:t>2</w:t>
            </w:r>
          </w:p>
        </w:tc>
        <w:tc>
          <w:tcPr>
            <w:tcW w:w="4318" w:type="pct"/>
            <w:tcBorders>
              <w:top w:val="single" w:sz="2" w:space="0" w:color="auto"/>
              <w:left w:val="nil"/>
              <w:bottom w:val="single" w:sz="2" w:space="0" w:color="auto"/>
              <w:right w:val="nil"/>
            </w:tcBorders>
          </w:tcPr>
          <w:p w14:paraId="160DBE16" w14:textId="77777777" w:rsidR="009278F8" w:rsidRPr="006A3956" w:rsidRDefault="009278F8" w:rsidP="009A7A32">
            <w:pPr>
              <w:pStyle w:val="paragraph"/>
              <w:rPr>
                <w:sz w:val="20"/>
                <w:lang w:eastAsia="en-US"/>
              </w:rPr>
            </w:pPr>
            <w:r w:rsidRPr="006A3956">
              <w:rPr>
                <w:sz w:val="20"/>
                <w:lang w:eastAsia="en-US"/>
              </w:rPr>
              <w:t>the pharmacist does not have access to the scarce medicine</w:t>
            </w:r>
          </w:p>
        </w:tc>
      </w:tr>
      <w:tr w:rsidR="009278F8" w:rsidRPr="006A3956" w14:paraId="0C1F8941" w14:textId="77777777" w:rsidTr="009A7A32">
        <w:trPr>
          <w:trHeight w:val="20"/>
        </w:trPr>
        <w:tc>
          <w:tcPr>
            <w:tcW w:w="682" w:type="pct"/>
            <w:tcBorders>
              <w:top w:val="single" w:sz="2" w:space="0" w:color="auto"/>
              <w:left w:val="nil"/>
              <w:bottom w:val="single" w:sz="2" w:space="0" w:color="auto"/>
              <w:right w:val="nil"/>
            </w:tcBorders>
          </w:tcPr>
          <w:p w14:paraId="0B8493FB" w14:textId="77777777" w:rsidR="009278F8" w:rsidRPr="006A3956" w:rsidRDefault="009278F8" w:rsidP="009A7A32">
            <w:pPr>
              <w:pStyle w:val="Tabletext"/>
              <w:rPr>
                <w:lang w:eastAsia="en-US"/>
              </w:rPr>
            </w:pPr>
            <w:r w:rsidRPr="006A3956">
              <w:rPr>
                <w:lang w:eastAsia="en-US"/>
              </w:rPr>
              <w:t>3</w:t>
            </w:r>
          </w:p>
        </w:tc>
        <w:tc>
          <w:tcPr>
            <w:tcW w:w="4318" w:type="pct"/>
            <w:tcBorders>
              <w:top w:val="single" w:sz="2" w:space="0" w:color="auto"/>
              <w:left w:val="nil"/>
              <w:bottom w:val="single" w:sz="2" w:space="0" w:color="auto"/>
              <w:right w:val="nil"/>
            </w:tcBorders>
          </w:tcPr>
          <w:p w14:paraId="782DB256" w14:textId="77777777" w:rsidR="009278F8" w:rsidRPr="006A3956" w:rsidRDefault="009278F8" w:rsidP="009A7A32">
            <w:pPr>
              <w:pStyle w:val="paragraph"/>
              <w:ind w:left="0" w:firstLine="0"/>
              <w:rPr>
                <w:sz w:val="20"/>
                <w:lang w:eastAsia="en-US"/>
              </w:rPr>
            </w:pPr>
            <w:r w:rsidRPr="006A3956">
              <w:rPr>
                <w:sz w:val="20"/>
                <w:lang w:eastAsia="en-US"/>
              </w:rPr>
              <w:t>the prescriber has not indicated on the prescription for the scarce medicine that substitution is not permitted</w:t>
            </w:r>
          </w:p>
        </w:tc>
      </w:tr>
      <w:tr w:rsidR="009278F8" w:rsidRPr="006A3956" w14:paraId="5BD6ED5C" w14:textId="77777777" w:rsidTr="009A7A32">
        <w:trPr>
          <w:trHeight w:val="20"/>
        </w:trPr>
        <w:tc>
          <w:tcPr>
            <w:tcW w:w="682" w:type="pct"/>
            <w:tcBorders>
              <w:top w:val="single" w:sz="2" w:space="0" w:color="auto"/>
              <w:left w:val="nil"/>
              <w:bottom w:val="single" w:sz="2" w:space="0" w:color="auto"/>
              <w:right w:val="nil"/>
            </w:tcBorders>
          </w:tcPr>
          <w:p w14:paraId="30E12768" w14:textId="77777777" w:rsidR="009278F8" w:rsidRPr="006A3956" w:rsidRDefault="009278F8" w:rsidP="009A7A32">
            <w:pPr>
              <w:pStyle w:val="Tabletext"/>
              <w:rPr>
                <w:lang w:eastAsia="en-US"/>
              </w:rPr>
            </w:pPr>
            <w:r w:rsidRPr="006A3956">
              <w:rPr>
                <w:lang w:eastAsia="en-US"/>
              </w:rPr>
              <w:t>4</w:t>
            </w:r>
          </w:p>
        </w:tc>
        <w:tc>
          <w:tcPr>
            <w:tcW w:w="4318" w:type="pct"/>
            <w:tcBorders>
              <w:top w:val="single" w:sz="2" w:space="0" w:color="auto"/>
              <w:left w:val="nil"/>
              <w:bottom w:val="single" w:sz="2" w:space="0" w:color="auto"/>
              <w:right w:val="nil"/>
            </w:tcBorders>
          </w:tcPr>
          <w:p w14:paraId="48B17B60" w14:textId="77777777" w:rsidR="009278F8" w:rsidRPr="006A3956" w:rsidRDefault="009278F8" w:rsidP="009A7A32">
            <w:pPr>
              <w:pStyle w:val="paragraph"/>
              <w:ind w:left="0" w:firstLine="0"/>
              <w:rPr>
                <w:sz w:val="20"/>
                <w:lang w:eastAsia="en-US"/>
              </w:rPr>
            </w:pPr>
            <w:r w:rsidRPr="006A3956">
              <w:rPr>
                <w:sz w:val="20"/>
              </w:rPr>
              <w:t>the pharmacist has exercised professional judgement and determined that the patient is suitable to receive the substitutable medicine</w:t>
            </w:r>
          </w:p>
        </w:tc>
      </w:tr>
      <w:tr w:rsidR="009278F8" w:rsidRPr="006A3956" w14:paraId="2DEAB2A3" w14:textId="77777777" w:rsidTr="009A7A32">
        <w:trPr>
          <w:trHeight w:val="20"/>
        </w:trPr>
        <w:tc>
          <w:tcPr>
            <w:tcW w:w="682" w:type="pct"/>
            <w:tcBorders>
              <w:top w:val="single" w:sz="2" w:space="0" w:color="auto"/>
              <w:left w:val="nil"/>
              <w:bottom w:val="single" w:sz="2" w:space="0" w:color="auto"/>
              <w:right w:val="nil"/>
            </w:tcBorders>
          </w:tcPr>
          <w:p w14:paraId="5F5CDA4E" w14:textId="77777777" w:rsidR="009278F8" w:rsidRPr="006A3956" w:rsidRDefault="009278F8" w:rsidP="009A7A32">
            <w:pPr>
              <w:pStyle w:val="Tabletext"/>
              <w:rPr>
                <w:lang w:eastAsia="en-US"/>
              </w:rPr>
            </w:pPr>
            <w:r w:rsidRPr="006A3956">
              <w:rPr>
                <w:lang w:eastAsia="en-US"/>
              </w:rPr>
              <w:t>5</w:t>
            </w:r>
          </w:p>
        </w:tc>
        <w:tc>
          <w:tcPr>
            <w:tcW w:w="4318" w:type="pct"/>
            <w:tcBorders>
              <w:top w:val="single" w:sz="2" w:space="0" w:color="auto"/>
              <w:left w:val="nil"/>
              <w:bottom w:val="single" w:sz="2" w:space="0" w:color="auto"/>
              <w:right w:val="nil"/>
            </w:tcBorders>
          </w:tcPr>
          <w:p w14:paraId="082FD428" w14:textId="77777777" w:rsidR="009278F8" w:rsidRPr="006A3956" w:rsidRDefault="009278F8" w:rsidP="009A7A32">
            <w:pPr>
              <w:pStyle w:val="Tabletext"/>
              <w:rPr>
                <w:lang w:eastAsia="en-US"/>
              </w:rPr>
            </w:pPr>
            <w:r w:rsidRPr="006A3956">
              <w:t>the amount of substitutable medicine dispensed would result in the patient receiving sufficient medicine to ensure an equivalent dosage regimen and duration to that prescribed in relation to the scarce medicine</w:t>
            </w:r>
          </w:p>
        </w:tc>
      </w:tr>
      <w:tr w:rsidR="009278F8" w:rsidRPr="006A3956" w14:paraId="21304084" w14:textId="77777777" w:rsidTr="009A7A32">
        <w:trPr>
          <w:trHeight w:val="20"/>
        </w:trPr>
        <w:tc>
          <w:tcPr>
            <w:tcW w:w="682" w:type="pct"/>
            <w:tcBorders>
              <w:top w:val="single" w:sz="2" w:space="0" w:color="auto"/>
              <w:left w:val="nil"/>
              <w:bottom w:val="single" w:sz="2" w:space="0" w:color="auto"/>
              <w:right w:val="nil"/>
            </w:tcBorders>
          </w:tcPr>
          <w:p w14:paraId="1FD3E238" w14:textId="77777777" w:rsidR="009278F8" w:rsidRPr="006A3956" w:rsidRDefault="009278F8" w:rsidP="009A7A32">
            <w:pPr>
              <w:pStyle w:val="Tabletext"/>
              <w:rPr>
                <w:lang w:eastAsia="en-US"/>
              </w:rPr>
            </w:pPr>
            <w:r w:rsidRPr="006A3956">
              <w:rPr>
                <w:lang w:eastAsia="en-US"/>
              </w:rPr>
              <w:t>6</w:t>
            </w:r>
          </w:p>
        </w:tc>
        <w:tc>
          <w:tcPr>
            <w:tcW w:w="4318" w:type="pct"/>
            <w:tcBorders>
              <w:top w:val="single" w:sz="2" w:space="0" w:color="auto"/>
              <w:left w:val="nil"/>
              <w:bottom w:val="single" w:sz="2" w:space="0" w:color="auto"/>
              <w:right w:val="nil"/>
            </w:tcBorders>
          </w:tcPr>
          <w:p w14:paraId="1E9A515E" w14:textId="77777777" w:rsidR="009278F8" w:rsidRPr="006A3956" w:rsidRDefault="009278F8" w:rsidP="009A7A32">
            <w:pPr>
              <w:pStyle w:val="Tabletext"/>
              <w:rPr>
                <w:lang w:eastAsia="en-US"/>
              </w:rPr>
            </w:pPr>
            <w:r w:rsidRPr="006A3956">
              <w:t>the patient, or person acting on behalf of the patient, has consented to receiving the substitutable medicine</w:t>
            </w:r>
          </w:p>
        </w:tc>
      </w:tr>
      <w:tr w:rsidR="009278F8" w:rsidRPr="006A3956" w14:paraId="6004A77D" w14:textId="77777777" w:rsidTr="009A7A32">
        <w:trPr>
          <w:trHeight w:val="20"/>
        </w:trPr>
        <w:tc>
          <w:tcPr>
            <w:tcW w:w="682" w:type="pct"/>
            <w:tcBorders>
              <w:top w:val="single" w:sz="2" w:space="0" w:color="auto"/>
              <w:left w:val="nil"/>
              <w:bottom w:val="single" w:sz="2" w:space="0" w:color="auto"/>
              <w:right w:val="nil"/>
            </w:tcBorders>
          </w:tcPr>
          <w:p w14:paraId="5327D8BA" w14:textId="77777777" w:rsidR="009278F8" w:rsidRPr="006A3956" w:rsidRDefault="009278F8" w:rsidP="009A7A32">
            <w:pPr>
              <w:pStyle w:val="Tabletext"/>
              <w:rPr>
                <w:lang w:eastAsia="en-US"/>
              </w:rPr>
            </w:pPr>
            <w:r w:rsidRPr="006A3956">
              <w:rPr>
                <w:lang w:eastAsia="en-US"/>
              </w:rPr>
              <w:t>7</w:t>
            </w:r>
          </w:p>
        </w:tc>
        <w:tc>
          <w:tcPr>
            <w:tcW w:w="4318" w:type="pct"/>
            <w:tcBorders>
              <w:top w:val="single" w:sz="2" w:space="0" w:color="auto"/>
              <w:left w:val="nil"/>
              <w:bottom w:val="single" w:sz="2" w:space="0" w:color="auto"/>
              <w:right w:val="nil"/>
            </w:tcBorders>
          </w:tcPr>
          <w:p w14:paraId="3AB22A11" w14:textId="77777777" w:rsidR="009278F8" w:rsidRPr="006A3956" w:rsidRDefault="009278F8" w:rsidP="009A7A32">
            <w:pPr>
              <w:pStyle w:val="Tabletext"/>
            </w:pPr>
            <w:r w:rsidRPr="006A3956">
              <w:t>the pharmacist makes a record of dispensing the substitutable medicine in substitution of the scarce medicine at the time of dispensing</w:t>
            </w:r>
          </w:p>
        </w:tc>
      </w:tr>
      <w:tr w:rsidR="009278F8" w:rsidRPr="00F92731" w14:paraId="6DBD7242" w14:textId="77777777" w:rsidTr="009A7A32">
        <w:trPr>
          <w:trHeight w:val="20"/>
        </w:trPr>
        <w:tc>
          <w:tcPr>
            <w:tcW w:w="682" w:type="pct"/>
            <w:tcBorders>
              <w:top w:val="single" w:sz="2" w:space="0" w:color="auto"/>
              <w:left w:val="nil"/>
              <w:bottom w:val="single" w:sz="12" w:space="0" w:color="auto"/>
              <w:right w:val="nil"/>
            </w:tcBorders>
          </w:tcPr>
          <w:p w14:paraId="2D9A5408" w14:textId="77777777" w:rsidR="009278F8" w:rsidRPr="006A3956" w:rsidRDefault="009278F8" w:rsidP="009A7A32">
            <w:pPr>
              <w:pStyle w:val="Tabletext"/>
              <w:rPr>
                <w:lang w:eastAsia="en-US"/>
              </w:rPr>
            </w:pPr>
            <w:r w:rsidRPr="006A3956">
              <w:rPr>
                <w:lang w:eastAsia="en-US"/>
              </w:rPr>
              <w:t>8</w:t>
            </w:r>
          </w:p>
        </w:tc>
        <w:tc>
          <w:tcPr>
            <w:tcW w:w="4318" w:type="pct"/>
            <w:tcBorders>
              <w:top w:val="single" w:sz="2" w:space="0" w:color="auto"/>
              <w:left w:val="nil"/>
              <w:bottom w:val="single" w:sz="12" w:space="0" w:color="auto"/>
              <w:right w:val="nil"/>
            </w:tcBorders>
          </w:tcPr>
          <w:p w14:paraId="149686C8" w14:textId="77777777" w:rsidR="009278F8" w:rsidRPr="006F3E89" w:rsidRDefault="009278F8" w:rsidP="009A7A32">
            <w:pPr>
              <w:pStyle w:val="Tabletext"/>
            </w:pPr>
            <w:bookmarkStart w:id="20" w:name="_Hlk78551627"/>
            <w:r w:rsidRPr="006A3956">
              <w:t>the pharmacist has an established procedure to notify the prescriber of the substitution at the time of, or as soon as practical after, dispensing the substitutable medicine</w:t>
            </w:r>
            <w:bookmarkEnd w:id="20"/>
          </w:p>
        </w:tc>
      </w:tr>
    </w:tbl>
    <w:p w14:paraId="66B953F6" w14:textId="595D8182" w:rsidR="00554826" w:rsidRDefault="00554826">
      <w:pPr>
        <w:spacing w:line="240" w:lineRule="auto"/>
      </w:pPr>
    </w:p>
    <w:sectPr w:rsidR="00554826" w:rsidSect="00AB047B">
      <w:headerReference w:type="even" r:id="rId19"/>
      <w:headerReference w:type="default" r:id="rId20"/>
      <w:footerReference w:type="even" r:id="rId21"/>
      <w:footerReference w:type="default" r:id="rId22"/>
      <w:pgSz w:w="11907" w:h="16839" w:code="9"/>
      <w:pgMar w:top="2234" w:right="1588" w:bottom="1440" w:left="1588"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6CD0" w14:textId="77777777" w:rsidR="00E85770" w:rsidRDefault="00E85770" w:rsidP="00715914">
      <w:pPr>
        <w:spacing w:line="240" w:lineRule="auto"/>
      </w:pPr>
      <w:r>
        <w:separator/>
      </w:r>
    </w:p>
  </w:endnote>
  <w:endnote w:type="continuationSeparator" w:id="0">
    <w:p w14:paraId="67525740" w14:textId="77777777" w:rsidR="00E85770" w:rsidRDefault="00E8577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D9B9"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797795E9" w14:textId="77777777" w:rsidTr="00B33709">
      <w:tc>
        <w:tcPr>
          <w:tcW w:w="709" w:type="dxa"/>
          <w:tcBorders>
            <w:top w:val="nil"/>
            <w:left w:val="nil"/>
            <w:bottom w:val="nil"/>
            <w:right w:val="nil"/>
          </w:tcBorders>
        </w:tcPr>
        <w:p w14:paraId="23F182B9"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0330B812" w14:textId="675E03A0"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D0E9C">
            <w:rPr>
              <w:i/>
              <w:noProof/>
              <w:sz w:val="18"/>
            </w:rPr>
            <w:t>Therapeutic Goods (Serious Scarcity and Substitutable Medicine) (Cefalexin) Instrument 2022</w:t>
          </w:r>
          <w:r w:rsidRPr="004E1307">
            <w:rPr>
              <w:i/>
              <w:sz w:val="18"/>
            </w:rPr>
            <w:fldChar w:fldCharType="end"/>
          </w:r>
        </w:p>
      </w:tc>
      <w:tc>
        <w:tcPr>
          <w:tcW w:w="1383" w:type="dxa"/>
          <w:tcBorders>
            <w:top w:val="nil"/>
            <w:left w:val="nil"/>
            <w:bottom w:val="nil"/>
            <w:right w:val="nil"/>
          </w:tcBorders>
        </w:tcPr>
        <w:p w14:paraId="7F123B3D" w14:textId="77777777" w:rsidR="0072147A" w:rsidRDefault="0072147A" w:rsidP="00A369E3">
          <w:pPr>
            <w:spacing w:line="0" w:lineRule="atLeast"/>
            <w:jc w:val="right"/>
            <w:rPr>
              <w:sz w:val="18"/>
            </w:rPr>
          </w:pPr>
        </w:p>
      </w:tc>
    </w:tr>
    <w:tr w:rsidR="0072147A" w14:paraId="68B2728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BBEFB0F" w14:textId="77777777" w:rsidR="0072147A" w:rsidRDefault="0072147A" w:rsidP="00A369E3">
          <w:pPr>
            <w:jc w:val="right"/>
            <w:rPr>
              <w:sz w:val="18"/>
            </w:rPr>
          </w:pPr>
        </w:p>
      </w:tc>
    </w:tr>
  </w:tbl>
  <w:p w14:paraId="20E147B1"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914B"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7"/>
      <w:gridCol w:w="700"/>
    </w:tblGrid>
    <w:tr w:rsidR="0072147A" w14:paraId="50C8FA77" w14:textId="77777777" w:rsidTr="00A369E3">
      <w:tc>
        <w:tcPr>
          <w:tcW w:w="1384" w:type="dxa"/>
          <w:tcBorders>
            <w:top w:val="nil"/>
            <w:left w:val="nil"/>
            <w:bottom w:val="nil"/>
            <w:right w:val="nil"/>
          </w:tcBorders>
        </w:tcPr>
        <w:p w14:paraId="10DDE582" w14:textId="77777777" w:rsidR="0072147A" w:rsidRDefault="0072147A" w:rsidP="00A369E3">
          <w:pPr>
            <w:spacing w:line="0" w:lineRule="atLeast"/>
            <w:rPr>
              <w:sz w:val="18"/>
            </w:rPr>
          </w:pPr>
        </w:p>
      </w:tc>
      <w:tc>
        <w:tcPr>
          <w:tcW w:w="6379" w:type="dxa"/>
          <w:tcBorders>
            <w:top w:val="nil"/>
            <w:left w:val="nil"/>
            <w:bottom w:val="nil"/>
            <w:right w:val="nil"/>
          </w:tcBorders>
        </w:tcPr>
        <w:p w14:paraId="2BBA57FC" w14:textId="352719C1"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D0E9C">
            <w:rPr>
              <w:i/>
              <w:noProof/>
              <w:sz w:val="18"/>
            </w:rPr>
            <w:t>Therapeutic Goods (Serious Scarcity and Substitutable Medicine) (Cefalexin) Instrument 2022</w:t>
          </w:r>
          <w:r w:rsidRPr="004E1307">
            <w:rPr>
              <w:i/>
              <w:sz w:val="18"/>
            </w:rPr>
            <w:fldChar w:fldCharType="end"/>
          </w:r>
        </w:p>
      </w:tc>
      <w:tc>
        <w:tcPr>
          <w:tcW w:w="709" w:type="dxa"/>
          <w:tcBorders>
            <w:top w:val="nil"/>
            <w:left w:val="nil"/>
            <w:bottom w:val="nil"/>
            <w:right w:val="nil"/>
          </w:tcBorders>
        </w:tcPr>
        <w:p w14:paraId="26CE3B63"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5C735A5"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93D753B" w14:textId="77777777" w:rsidR="0072147A" w:rsidRDefault="0072147A" w:rsidP="00A369E3">
          <w:pPr>
            <w:rPr>
              <w:sz w:val="18"/>
            </w:rPr>
          </w:pPr>
        </w:p>
      </w:tc>
    </w:tr>
  </w:tbl>
  <w:p w14:paraId="5661D348"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0017"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134692E3" w14:textId="77777777" w:rsidTr="00B33709">
      <w:tc>
        <w:tcPr>
          <w:tcW w:w="1384" w:type="dxa"/>
          <w:tcBorders>
            <w:top w:val="nil"/>
            <w:left w:val="nil"/>
            <w:bottom w:val="nil"/>
            <w:right w:val="nil"/>
          </w:tcBorders>
        </w:tcPr>
        <w:p w14:paraId="73345F73" w14:textId="77777777" w:rsidR="0072147A" w:rsidRDefault="0072147A" w:rsidP="00A369E3">
          <w:pPr>
            <w:spacing w:line="0" w:lineRule="atLeast"/>
            <w:rPr>
              <w:sz w:val="18"/>
            </w:rPr>
          </w:pPr>
        </w:p>
      </w:tc>
      <w:tc>
        <w:tcPr>
          <w:tcW w:w="6379" w:type="dxa"/>
          <w:tcBorders>
            <w:top w:val="nil"/>
            <w:left w:val="nil"/>
            <w:bottom w:val="nil"/>
            <w:right w:val="nil"/>
          </w:tcBorders>
        </w:tcPr>
        <w:p w14:paraId="3B3EC1AD"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7198F046" w14:textId="77777777" w:rsidR="0072147A" w:rsidRDefault="0072147A" w:rsidP="00A369E3">
          <w:pPr>
            <w:spacing w:line="0" w:lineRule="atLeast"/>
            <w:jc w:val="right"/>
            <w:rPr>
              <w:sz w:val="18"/>
            </w:rPr>
          </w:pPr>
        </w:p>
      </w:tc>
    </w:tr>
  </w:tbl>
  <w:p w14:paraId="157DBFD8"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C475"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30C9DDAA" w14:textId="77777777" w:rsidTr="00A87A58">
      <w:tc>
        <w:tcPr>
          <w:tcW w:w="365" w:type="pct"/>
        </w:tcPr>
        <w:p w14:paraId="47E38B54"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7F64F2A6" w14:textId="7B6CE145"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D0E9C">
            <w:rPr>
              <w:i/>
              <w:noProof/>
              <w:sz w:val="18"/>
            </w:rPr>
            <w:t>Therapeutic Goods (Serious Scarcity and Substitutable Medicine) (Cefalexin) Instrument 2022</w:t>
          </w:r>
          <w:r w:rsidRPr="004E1307">
            <w:rPr>
              <w:i/>
              <w:sz w:val="18"/>
            </w:rPr>
            <w:fldChar w:fldCharType="end"/>
          </w:r>
        </w:p>
      </w:tc>
      <w:tc>
        <w:tcPr>
          <w:tcW w:w="947" w:type="pct"/>
        </w:tcPr>
        <w:p w14:paraId="5EBDC20A" w14:textId="77777777" w:rsidR="00F6696E" w:rsidRDefault="00F6696E" w:rsidP="000850AC">
          <w:pPr>
            <w:spacing w:line="0" w:lineRule="atLeast"/>
            <w:jc w:val="right"/>
            <w:rPr>
              <w:sz w:val="18"/>
            </w:rPr>
          </w:pPr>
        </w:p>
      </w:tc>
    </w:tr>
    <w:tr w:rsidR="00F6696E" w14:paraId="5F1B2D02" w14:textId="77777777" w:rsidTr="00A87A58">
      <w:tc>
        <w:tcPr>
          <w:tcW w:w="5000" w:type="pct"/>
          <w:gridSpan w:val="3"/>
        </w:tcPr>
        <w:p w14:paraId="4B49890A" w14:textId="77777777" w:rsidR="00F6696E" w:rsidRDefault="00F6696E" w:rsidP="000850AC">
          <w:pPr>
            <w:jc w:val="right"/>
            <w:rPr>
              <w:sz w:val="18"/>
            </w:rPr>
          </w:pPr>
        </w:p>
      </w:tc>
    </w:tr>
  </w:tbl>
  <w:p w14:paraId="309A808A"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234D"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6097"/>
      <w:gridCol w:w="1224"/>
    </w:tblGrid>
    <w:tr w:rsidR="00F6696E" w14:paraId="04F20F6B" w14:textId="77777777" w:rsidTr="00473251">
      <w:tc>
        <w:tcPr>
          <w:tcW w:w="597" w:type="pct"/>
        </w:tcPr>
        <w:p w14:paraId="183E1412" w14:textId="77777777" w:rsidR="00F6696E" w:rsidRDefault="00F6696E" w:rsidP="000850AC">
          <w:pPr>
            <w:spacing w:line="0" w:lineRule="atLeast"/>
            <w:rPr>
              <w:sz w:val="18"/>
            </w:rPr>
          </w:pPr>
        </w:p>
      </w:tc>
      <w:tc>
        <w:tcPr>
          <w:tcW w:w="3667" w:type="pct"/>
        </w:tcPr>
        <w:p w14:paraId="2094BAE0" w14:textId="4E26F04F"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A468A">
            <w:rPr>
              <w:i/>
              <w:noProof/>
              <w:sz w:val="18"/>
            </w:rPr>
            <w:t>Therapeutic Goods (Serious Scarcity and Substitutable Medicine) (Cefalexin) Instrument 2022</w:t>
          </w:r>
          <w:r w:rsidRPr="004E1307">
            <w:rPr>
              <w:i/>
              <w:sz w:val="18"/>
            </w:rPr>
            <w:fldChar w:fldCharType="end"/>
          </w:r>
        </w:p>
      </w:tc>
      <w:tc>
        <w:tcPr>
          <w:tcW w:w="737" w:type="pct"/>
        </w:tcPr>
        <w:p w14:paraId="04D1F008"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i</w:t>
          </w:r>
          <w:r w:rsidRPr="00ED79B6">
            <w:rPr>
              <w:i/>
              <w:sz w:val="18"/>
            </w:rPr>
            <w:fldChar w:fldCharType="end"/>
          </w:r>
        </w:p>
      </w:tc>
    </w:tr>
    <w:tr w:rsidR="00F6696E" w14:paraId="7FF801FC" w14:textId="77777777" w:rsidTr="00A87A58">
      <w:tc>
        <w:tcPr>
          <w:tcW w:w="5000" w:type="pct"/>
          <w:gridSpan w:val="3"/>
        </w:tcPr>
        <w:p w14:paraId="55462B4D" w14:textId="77777777" w:rsidR="00F6696E" w:rsidRDefault="00F6696E" w:rsidP="000850AC">
          <w:pPr>
            <w:rPr>
              <w:sz w:val="18"/>
            </w:rPr>
          </w:pPr>
        </w:p>
      </w:tc>
    </w:tr>
  </w:tbl>
  <w:p w14:paraId="687118A8"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CB93"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3B517BDA" w14:textId="77777777" w:rsidTr="00A87A58">
      <w:tc>
        <w:tcPr>
          <w:tcW w:w="365" w:type="pct"/>
        </w:tcPr>
        <w:p w14:paraId="2656B1A0"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6</w:t>
          </w:r>
          <w:r w:rsidRPr="00ED79B6">
            <w:rPr>
              <w:i/>
              <w:sz w:val="18"/>
            </w:rPr>
            <w:fldChar w:fldCharType="end"/>
          </w:r>
        </w:p>
      </w:tc>
      <w:tc>
        <w:tcPr>
          <w:tcW w:w="3688" w:type="pct"/>
        </w:tcPr>
        <w:p w14:paraId="66E91E31" w14:textId="287F628E"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A468A">
            <w:rPr>
              <w:i/>
              <w:noProof/>
              <w:sz w:val="18"/>
            </w:rPr>
            <w:t>Therapeutic Goods (Serious Scarcity and Substitutable Medicine) (Cefalexin) Instrument 2022</w:t>
          </w:r>
          <w:r w:rsidRPr="004E1307">
            <w:rPr>
              <w:i/>
              <w:sz w:val="18"/>
            </w:rPr>
            <w:fldChar w:fldCharType="end"/>
          </w:r>
        </w:p>
      </w:tc>
      <w:tc>
        <w:tcPr>
          <w:tcW w:w="947" w:type="pct"/>
        </w:tcPr>
        <w:p w14:paraId="18381A31" w14:textId="77777777" w:rsidR="008C2EAC" w:rsidRDefault="008C2EAC" w:rsidP="000850AC">
          <w:pPr>
            <w:spacing w:line="0" w:lineRule="atLeast"/>
            <w:jc w:val="right"/>
            <w:rPr>
              <w:sz w:val="18"/>
            </w:rPr>
          </w:pPr>
        </w:p>
      </w:tc>
    </w:tr>
    <w:tr w:rsidR="008C2EAC" w14:paraId="3E0C78B3" w14:textId="77777777" w:rsidTr="00A87A58">
      <w:tc>
        <w:tcPr>
          <w:tcW w:w="5000" w:type="pct"/>
          <w:gridSpan w:val="3"/>
        </w:tcPr>
        <w:p w14:paraId="400940EC" w14:textId="77777777" w:rsidR="008C2EAC" w:rsidRDefault="008C2EAC" w:rsidP="000850AC">
          <w:pPr>
            <w:jc w:val="right"/>
            <w:rPr>
              <w:sz w:val="18"/>
            </w:rPr>
          </w:pPr>
        </w:p>
      </w:tc>
    </w:tr>
  </w:tbl>
  <w:p w14:paraId="7F7F3221"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1C83"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
      <w:gridCol w:w="6613"/>
      <w:gridCol w:w="1076"/>
    </w:tblGrid>
    <w:tr w:rsidR="008C2EAC" w14:paraId="60D44F17" w14:textId="77777777" w:rsidTr="00747C1A">
      <w:tc>
        <w:tcPr>
          <w:tcW w:w="597" w:type="pct"/>
        </w:tcPr>
        <w:p w14:paraId="33EAB13F" w14:textId="77777777" w:rsidR="008C2EAC" w:rsidRDefault="008C2EAC" w:rsidP="000850AC">
          <w:pPr>
            <w:spacing w:line="0" w:lineRule="atLeast"/>
            <w:rPr>
              <w:sz w:val="18"/>
            </w:rPr>
          </w:pPr>
        </w:p>
      </w:tc>
      <w:tc>
        <w:tcPr>
          <w:tcW w:w="3787" w:type="pct"/>
        </w:tcPr>
        <w:p w14:paraId="4D9E87D7" w14:textId="6DDEF539"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A468A">
            <w:rPr>
              <w:i/>
              <w:noProof/>
              <w:sz w:val="18"/>
            </w:rPr>
            <w:t>Therapeutic Goods (Serious Scarcity and Substitutable Medicine) (Cefalexin) Instrument 2022</w:t>
          </w:r>
          <w:r w:rsidRPr="004E1307">
            <w:rPr>
              <w:i/>
              <w:sz w:val="18"/>
            </w:rPr>
            <w:fldChar w:fldCharType="end"/>
          </w:r>
        </w:p>
      </w:tc>
      <w:tc>
        <w:tcPr>
          <w:tcW w:w="616" w:type="pct"/>
        </w:tcPr>
        <w:p w14:paraId="55CE27A9"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5</w:t>
          </w:r>
          <w:r w:rsidRPr="00ED79B6">
            <w:rPr>
              <w:i/>
              <w:sz w:val="18"/>
            </w:rPr>
            <w:fldChar w:fldCharType="end"/>
          </w:r>
        </w:p>
      </w:tc>
    </w:tr>
    <w:tr w:rsidR="008C2EAC" w14:paraId="14E7A953" w14:textId="77777777" w:rsidTr="00A87A58">
      <w:tc>
        <w:tcPr>
          <w:tcW w:w="5000" w:type="pct"/>
          <w:gridSpan w:val="3"/>
        </w:tcPr>
        <w:p w14:paraId="4BEB173F" w14:textId="77777777" w:rsidR="008C2EAC" w:rsidRDefault="008C2EAC" w:rsidP="000850AC">
          <w:pPr>
            <w:rPr>
              <w:sz w:val="18"/>
            </w:rPr>
          </w:pPr>
        </w:p>
      </w:tc>
    </w:tr>
  </w:tbl>
  <w:p w14:paraId="16579C0A"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C64C" w14:textId="77777777" w:rsidR="00E85770" w:rsidRDefault="00E85770" w:rsidP="00715914">
      <w:pPr>
        <w:spacing w:line="240" w:lineRule="auto"/>
      </w:pPr>
      <w:r>
        <w:separator/>
      </w:r>
    </w:p>
  </w:footnote>
  <w:footnote w:type="continuationSeparator" w:id="0">
    <w:p w14:paraId="3F5280E2" w14:textId="77777777" w:rsidR="00E85770" w:rsidRDefault="00E8577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801F"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A2A7"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2B28"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0D1E"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374F"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BFCD" w14:textId="77777777" w:rsidR="004E1307" w:rsidRDefault="004E1307" w:rsidP="00715914">
    <w:pPr>
      <w:rPr>
        <w:sz w:val="20"/>
      </w:rPr>
    </w:pPr>
  </w:p>
  <w:p w14:paraId="2020E43B" w14:textId="77777777" w:rsidR="004E1307" w:rsidRDefault="004E1307" w:rsidP="00715914">
    <w:pPr>
      <w:rPr>
        <w:sz w:val="20"/>
      </w:rPr>
    </w:pPr>
  </w:p>
  <w:p w14:paraId="28E06D39" w14:textId="77777777" w:rsidR="004E1307" w:rsidRPr="007A1328" w:rsidRDefault="004E1307" w:rsidP="00715914">
    <w:pPr>
      <w:rPr>
        <w:sz w:val="20"/>
      </w:rPr>
    </w:pPr>
  </w:p>
  <w:p w14:paraId="44CAE99D" w14:textId="77777777" w:rsidR="004E1307" w:rsidRPr="007A1328" w:rsidRDefault="004E1307" w:rsidP="00715914">
    <w:pPr>
      <w:rPr>
        <w:b/>
        <w:sz w:val="24"/>
      </w:rPr>
    </w:pPr>
  </w:p>
  <w:p w14:paraId="377117EF"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3966" w14:textId="77777777" w:rsidR="004E1307" w:rsidRPr="007A1328" w:rsidRDefault="004E1307" w:rsidP="00715914">
    <w:pPr>
      <w:jc w:val="right"/>
      <w:rPr>
        <w:sz w:val="20"/>
      </w:rPr>
    </w:pPr>
  </w:p>
  <w:p w14:paraId="2A70D9D8" w14:textId="77777777" w:rsidR="004E1307" w:rsidRPr="007A1328" w:rsidRDefault="004E1307" w:rsidP="00715914">
    <w:pPr>
      <w:jc w:val="right"/>
      <w:rPr>
        <w:sz w:val="20"/>
      </w:rPr>
    </w:pPr>
  </w:p>
  <w:p w14:paraId="4661FA80" w14:textId="77777777" w:rsidR="004E1307" w:rsidRPr="007A1328" w:rsidRDefault="004E1307" w:rsidP="00715914">
    <w:pPr>
      <w:jc w:val="right"/>
      <w:rPr>
        <w:sz w:val="20"/>
      </w:rPr>
    </w:pPr>
  </w:p>
  <w:p w14:paraId="37D3E1D5" w14:textId="77777777" w:rsidR="004E1307" w:rsidRPr="007A1328" w:rsidRDefault="004E1307" w:rsidP="00715914">
    <w:pPr>
      <w:jc w:val="right"/>
      <w:rPr>
        <w:b/>
        <w:sz w:val="24"/>
      </w:rPr>
    </w:pPr>
  </w:p>
  <w:p w14:paraId="568B8058"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C41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EFF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1EA8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BAF8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EA63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6D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9E5B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6AEE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4C7F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82A2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E6EB4"/>
    <w:multiLevelType w:val="hybridMultilevel"/>
    <w:tmpl w:val="648A644C"/>
    <w:lvl w:ilvl="0" w:tplc="4C364C46">
      <w:start w:val="1"/>
      <w:numFmt w:val="lowerLetter"/>
      <w:lvlText w:val="(%1)"/>
      <w:lvlJc w:val="left"/>
      <w:pPr>
        <w:ind w:left="321" w:hanging="284"/>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11" w15:restartNumberingAfterBreak="0">
    <w:nsid w:val="02400C15"/>
    <w:multiLevelType w:val="hybridMultilevel"/>
    <w:tmpl w:val="9D00AB30"/>
    <w:lvl w:ilvl="0" w:tplc="97E01218">
      <w:start w:val="1"/>
      <w:numFmt w:val="lowerLetter"/>
      <w:lvlText w:val="(%1)"/>
      <w:lvlJc w:val="left"/>
      <w:pPr>
        <w:ind w:left="1710" w:hanging="360"/>
      </w:pPr>
      <w:rPr>
        <w:rFonts w:hint="default"/>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D36DA"/>
    <w:multiLevelType w:val="hybridMultilevel"/>
    <w:tmpl w:val="1B528830"/>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A0F1ED8"/>
    <w:multiLevelType w:val="hybridMultilevel"/>
    <w:tmpl w:val="5752566A"/>
    <w:lvl w:ilvl="0" w:tplc="B8EE06E8">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5" w15:restartNumberingAfterBreak="0">
    <w:nsid w:val="113C5AE8"/>
    <w:multiLevelType w:val="hybridMultilevel"/>
    <w:tmpl w:val="5DAE4796"/>
    <w:lvl w:ilvl="0" w:tplc="4C364C46">
      <w:start w:val="1"/>
      <w:numFmt w:val="lowerLetter"/>
      <w:lvlText w:val="(%1)"/>
      <w:lvlJc w:val="left"/>
      <w:pPr>
        <w:ind w:left="321"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487272F"/>
    <w:multiLevelType w:val="hybridMultilevel"/>
    <w:tmpl w:val="813EC79C"/>
    <w:lvl w:ilvl="0" w:tplc="F4888818">
      <w:start w:val="1"/>
      <w:numFmt w:val="lowerLetter"/>
      <w:lvlText w:val="(%1)"/>
      <w:lvlJc w:val="left"/>
      <w:pPr>
        <w:ind w:left="1890" w:hanging="15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6B2642F"/>
    <w:multiLevelType w:val="hybridMultilevel"/>
    <w:tmpl w:val="72A20DCC"/>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AD777A"/>
    <w:multiLevelType w:val="hybridMultilevel"/>
    <w:tmpl w:val="38C4499A"/>
    <w:lvl w:ilvl="0" w:tplc="C31A3A84">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20" w15:restartNumberingAfterBreak="0">
    <w:nsid w:val="1D1A16D2"/>
    <w:multiLevelType w:val="hybridMultilevel"/>
    <w:tmpl w:val="A8EE4262"/>
    <w:lvl w:ilvl="0" w:tplc="4C364C46">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D993EBD"/>
    <w:multiLevelType w:val="hybridMultilevel"/>
    <w:tmpl w:val="CCE61AEC"/>
    <w:lvl w:ilvl="0" w:tplc="047208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E543322"/>
    <w:multiLevelType w:val="hybridMultilevel"/>
    <w:tmpl w:val="DAEC3A08"/>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117" w:hanging="360"/>
      </w:pPr>
    </w:lvl>
    <w:lvl w:ilvl="2" w:tplc="0C09001B" w:tentative="1">
      <w:start w:val="1"/>
      <w:numFmt w:val="lowerRoman"/>
      <w:lvlText w:val="%3."/>
      <w:lvlJc w:val="right"/>
      <w:pPr>
        <w:ind w:left="1837" w:hanging="180"/>
      </w:pPr>
    </w:lvl>
    <w:lvl w:ilvl="3" w:tplc="0C09000F" w:tentative="1">
      <w:start w:val="1"/>
      <w:numFmt w:val="decimal"/>
      <w:lvlText w:val="%4."/>
      <w:lvlJc w:val="left"/>
      <w:pPr>
        <w:ind w:left="2557" w:hanging="360"/>
      </w:pPr>
    </w:lvl>
    <w:lvl w:ilvl="4" w:tplc="0C090019" w:tentative="1">
      <w:start w:val="1"/>
      <w:numFmt w:val="lowerLetter"/>
      <w:lvlText w:val="%5."/>
      <w:lvlJc w:val="left"/>
      <w:pPr>
        <w:ind w:left="3277" w:hanging="360"/>
      </w:pPr>
    </w:lvl>
    <w:lvl w:ilvl="5" w:tplc="0C09001B" w:tentative="1">
      <w:start w:val="1"/>
      <w:numFmt w:val="lowerRoman"/>
      <w:lvlText w:val="%6."/>
      <w:lvlJc w:val="right"/>
      <w:pPr>
        <w:ind w:left="3997" w:hanging="180"/>
      </w:pPr>
    </w:lvl>
    <w:lvl w:ilvl="6" w:tplc="0C09000F" w:tentative="1">
      <w:start w:val="1"/>
      <w:numFmt w:val="decimal"/>
      <w:lvlText w:val="%7."/>
      <w:lvlJc w:val="left"/>
      <w:pPr>
        <w:ind w:left="4717" w:hanging="360"/>
      </w:pPr>
    </w:lvl>
    <w:lvl w:ilvl="7" w:tplc="0C090019" w:tentative="1">
      <w:start w:val="1"/>
      <w:numFmt w:val="lowerLetter"/>
      <w:lvlText w:val="%8."/>
      <w:lvlJc w:val="left"/>
      <w:pPr>
        <w:ind w:left="5437" w:hanging="360"/>
      </w:pPr>
    </w:lvl>
    <w:lvl w:ilvl="8" w:tplc="0C09001B" w:tentative="1">
      <w:start w:val="1"/>
      <w:numFmt w:val="lowerRoman"/>
      <w:lvlText w:val="%9."/>
      <w:lvlJc w:val="right"/>
      <w:pPr>
        <w:ind w:left="6157" w:hanging="180"/>
      </w:pPr>
    </w:lvl>
  </w:abstractNum>
  <w:abstractNum w:abstractNumId="23" w15:restartNumberingAfterBreak="0">
    <w:nsid w:val="240D30D6"/>
    <w:multiLevelType w:val="hybridMultilevel"/>
    <w:tmpl w:val="89A857FA"/>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7DF440E"/>
    <w:multiLevelType w:val="hybridMultilevel"/>
    <w:tmpl w:val="5360023C"/>
    <w:lvl w:ilvl="0" w:tplc="C03C3658">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84E04E3"/>
    <w:multiLevelType w:val="hybridMultilevel"/>
    <w:tmpl w:val="89DC5172"/>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26" w15:restartNumberingAfterBreak="0">
    <w:nsid w:val="2CE9221E"/>
    <w:multiLevelType w:val="hybridMultilevel"/>
    <w:tmpl w:val="AAA4E22E"/>
    <w:lvl w:ilvl="0" w:tplc="5AC6C59C">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8DC09E0"/>
    <w:multiLevelType w:val="hybridMultilevel"/>
    <w:tmpl w:val="DAEC3A08"/>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117" w:hanging="360"/>
      </w:pPr>
    </w:lvl>
    <w:lvl w:ilvl="2" w:tplc="0C09001B" w:tentative="1">
      <w:start w:val="1"/>
      <w:numFmt w:val="lowerRoman"/>
      <w:lvlText w:val="%3."/>
      <w:lvlJc w:val="right"/>
      <w:pPr>
        <w:ind w:left="1837" w:hanging="180"/>
      </w:pPr>
    </w:lvl>
    <w:lvl w:ilvl="3" w:tplc="0C09000F" w:tentative="1">
      <w:start w:val="1"/>
      <w:numFmt w:val="decimal"/>
      <w:lvlText w:val="%4."/>
      <w:lvlJc w:val="left"/>
      <w:pPr>
        <w:ind w:left="2557" w:hanging="360"/>
      </w:pPr>
    </w:lvl>
    <w:lvl w:ilvl="4" w:tplc="0C090019" w:tentative="1">
      <w:start w:val="1"/>
      <w:numFmt w:val="lowerLetter"/>
      <w:lvlText w:val="%5."/>
      <w:lvlJc w:val="left"/>
      <w:pPr>
        <w:ind w:left="3277" w:hanging="360"/>
      </w:pPr>
    </w:lvl>
    <w:lvl w:ilvl="5" w:tplc="0C09001B" w:tentative="1">
      <w:start w:val="1"/>
      <w:numFmt w:val="lowerRoman"/>
      <w:lvlText w:val="%6."/>
      <w:lvlJc w:val="right"/>
      <w:pPr>
        <w:ind w:left="3997" w:hanging="180"/>
      </w:pPr>
    </w:lvl>
    <w:lvl w:ilvl="6" w:tplc="0C09000F" w:tentative="1">
      <w:start w:val="1"/>
      <w:numFmt w:val="decimal"/>
      <w:lvlText w:val="%7."/>
      <w:lvlJc w:val="left"/>
      <w:pPr>
        <w:ind w:left="4717" w:hanging="360"/>
      </w:pPr>
    </w:lvl>
    <w:lvl w:ilvl="7" w:tplc="0C090019" w:tentative="1">
      <w:start w:val="1"/>
      <w:numFmt w:val="lowerLetter"/>
      <w:lvlText w:val="%8."/>
      <w:lvlJc w:val="left"/>
      <w:pPr>
        <w:ind w:left="5437" w:hanging="360"/>
      </w:pPr>
    </w:lvl>
    <w:lvl w:ilvl="8" w:tplc="0C09001B" w:tentative="1">
      <w:start w:val="1"/>
      <w:numFmt w:val="lowerRoman"/>
      <w:lvlText w:val="%9."/>
      <w:lvlJc w:val="right"/>
      <w:pPr>
        <w:ind w:left="6157" w:hanging="180"/>
      </w:pPr>
    </w:lvl>
  </w:abstractNum>
  <w:abstractNum w:abstractNumId="2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15:restartNumberingAfterBreak="0">
    <w:nsid w:val="459C2D79"/>
    <w:multiLevelType w:val="hybridMultilevel"/>
    <w:tmpl w:val="A8EE4262"/>
    <w:lvl w:ilvl="0" w:tplc="4C364C46">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88143B8"/>
    <w:multiLevelType w:val="hybridMultilevel"/>
    <w:tmpl w:val="89DC5172"/>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31" w15:restartNumberingAfterBreak="0">
    <w:nsid w:val="4D784B8D"/>
    <w:multiLevelType w:val="hybridMultilevel"/>
    <w:tmpl w:val="DAEC3A08"/>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117" w:hanging="360"/>
      </w:pPr>
    </w:lvl>
    <w:lvl w:ilvl="2" w:tplc="0C09001B" w:tentative="1">
      <w:start w:val="1"/>
      <w:numFmt w:val="lowerRoman"/>
      <w:lvlText w:val="%3."/>
      <w:lvlJc w:val="right"/>
      <w:pPr>
        <w:ind w:left="1837" w:hanging="180"/>
      </w:pPr>
    </w:lvl>
    <w:lvl w:ilvl="3" w:tplc="0C09000F" w:tentative="1">
      <w:start w:val="1"/>
      <w:numFmt w:val="decimal"/>
      <w:lvlText w:val="%4."/>
      <w:lvlJc w:val="left"/>
      <w:pPr>
        <w:ind w:left="2557" w:hanging="360"/>
      </w:pPr>
    </w:lvl>
    <w:lvl w:ilvl="4" w:tplc="0C090019" w:tentative="1">
      <w:start w:val="1"/>
      <w:numFmt w:val="lowerLetter"/>
      <w:lvlText w:val="%5."/>
      <w:lvlJc w:val="left"/>
      <w:pPr>
        <w:ind w:left="3277" w:hanging="360"/>
      </w:pPr>
    </w:lvl>
    <w:lvl w:ilvl="5" w:tplc="0C09001B" w:tentative="1">
      <w:start w:val="1"/>
      <w:numFmt w:val="lowerRoman"/>
      <w:lvlText w:val="%6."/>
      <w:lvlJc w:val="right"/>
      <w:pPr>
        <w:ind w:left="3997" w:hanging="180"/>
      </w:pPr>
    </w:lvl>
    <w:lvl w:ilvl="6" w:tplc="0C09000F" w:tentative="1">
      <w:start w:val="1"/>
      <w:numFmt w:val="decimal"/>
      <w:lvlText w:val="%7."/>
      <w:lvlJc w:val="left"/>
      <w:pPr>
        <w:ind w:left="4717" w:hanging="360"/>
      </w:pPr>
    </w:lvl>
    <w:lvl w:ilvl="7" w:tplc="0C090019" w:tentative="1">
      <w:start w:val="1"/>
      <w:numFmt w:val="lowerLetter"/>
      <w:lvlText w:val="%8."/>
      <w:lvlJc w:val="left"/>
      <w:pPr>
        <w:ind w:left="5437" w:hanging="360"/>
      </w:pPr>
    </w:lvl>
    <w:lvl w:ilvl="8" w:tplc="0C09001B" w:tentative="1">
      <w:start w:val="1"/>
      <w:numFmt w:val="lowerRoman"/>
      <w:lvlText w:val="%9."/>
      <w:lvlJc w:val="right"/>
      <w:pPr>
        <w:ind w:left="6157" w:hanging="180"/>
      </w:pPr>
    </w:lvl>
  </w:abstractNum>
  <w:abstractNum w:abstractNumId="32" w15:restartNumberingAfterBreak="0">
    <w:nsid w:val="4F721465"/>
    <w:multiLevelType w:val="hybridMultilevel"/>
    <w:tmpl w:val="75722B8E"/>
    <w:lvl w:ilvl="0" w:tplc="600E8DAC">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33" w15:restartNumberingAfterBreak="0">
    <w:nsid w:val="513E7A3A"/>
    <w:multiLevelType w:val="hybridMultilevel"/>
    <w:tmpl w:val="CD06044E"/>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17258AD"/>
    <w:multiLevelType w:val="hybridMultilevel"/>
    <w:tmpl w:val="89DC5172"/>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35" w15:restartNumberingAfterBreak="0">
    <w:nsid w:val="571039CC"/>
    <w:multiLevelType w:val="hybridMultilevel"/>
    <w:tmpl w:val="13CCCDBA"/>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5B2051"/>
    <w:multiLevelType w:val="hybridMultilevel"/>
    <w:tmpl w:val="501EDF66"/>
    <w:lvl w:ilvl="0" w:tplc="AE4C0CB8">
      <w:start w:val="1"/>
      <w:numFmt w:val="lowerLetter"/>
      <w:lvlText w:val="(%1)"/>
      <w:lvlJc w:val="left"/>
      <w:pPr>
        <w:ind w:left="1710" w:hanging="360"/>
      </w:pPr>
      <w:rPr>
        <w:rFonts w:hint="default"/>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37" w15:restartNumberingAfterBreak="0">
    <w:nsid w:val="5E7F7D0D"/>
    <w:multiLevelType w:val="hybridMultilevel"/>
    <w:tmpl w:val="EC1ECA04"/>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EB5B3A"/>
    <w:multiLevelType w:val="hybridMultilevel"/>
    <w:tmpl w:val="0D8E5E80"/>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B41A95"/>
    <w:multiLevelType w:val="hybridMultilevel"/>
    <w:tmpl w:val="2B06D80A"/>
    <w:lvl w:ilvl="0" w:tplc="7F2AFE52">
      <w:start w:val="1"/>
      <w:numFmt w:val="lowerLetter"/>
      <w:lvlText w:val="(%1)"/>
      <w:lvlJc w:val="left"/>
      <w:pPr>
        <w:ind w:left="360" w:hanging="360"/>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40" w15:restartNumberingAfterBreak="0">
    <w:nsid w:val="71D25ECE"/>
    <w:multiLevelType w:val="hybridMultilevel"/>
    <w:tmpl w:val="A8EE4262"/>
    <w:lvl w:ilvl="0" w:tplc="4C364C46">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2795449"/>
    <w:multiLevelType w:val="hybridMultilevel"/>
    <w:tmpl w:val="89DC5172"/>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42" w15:restartNumberingAfterBreak="0">
    <w:nsid w:val="75297217"/>
    <w:multiLevelType w:val="hybridMultilevel"/>
    <w:tmpl w:val="18887E06"/>
    <w:lvl w:ilvl="0" w:tplc="33CA29D4">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A6D74C7"/>
    <w:multiLevelType w:val="hybridMultilevel"/>
    <w:tmpl w:val="ADECBC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2"/>
  </w:num>
  <w:num w:numId="13">
    <w:abstractNumId w:val="18"/>
  </w:num>
  <w:num w:numId="14">
    <w:abstractNumId w:val="16"/>
  </w:num>
  <w:num w:numId="15">
    <w:abstractNumId w:val="11"/>
  </w:num>
  <w:num w:numId="16">
    <w:abstractNumId w:val="36"/>
  </w:num>
  <w:num w:numId="17">
    <w:abstractNumId w:val="14"/>
  </w:num>
  <w:num w:numId="18">
    <w:abstractNumId w:val="21"/>
  </w:num>
  <w:num w:numId="19">
    <w:abstractNumId w:val="43"/>
  </w:num>
  <w:num w:numId="20">
    <w:abstractNumId w:val="19"/>
  </w:num>
  <w:num w:numId="21">
    <w:abstractNumId w:val="39"/>
  </w:num>
  <w:num w:numId="22">
    <w:abstractNumId w:val="32"/>
  </w:num>
  <w:num w:numId="23">
    <w:abstractNumId w:val="41"/>
  </w:num>
  <w:num w:numId="24">
    <w:abstractNumId w:val="31"/>
  </w:num>
  <w:num w:numId="25">
    <w:abstractNumId w:val="42"/>
  </w:num>
  <w:num w:numId="26">
    <w:abstractNumId w:val="26"/>
  </w:num>
  <w:num w:numId="27">
    <w:abstractNumId w:val="34"/>
  </w:num>
  <w:num w:numId="28">
    <w:abstractNumId w:val="38"/>
  </w:num>
  <w:num w:numId="29">
    <w:abstractNumId w:val="17"/>
  </w:num>
  <w:num w:numId="30">
    <w:abstractNumId w:val="25"/>
  </w:num>
  <w:num w:numId="31">
    <w:abstractNumId w:val="33"/>
  </w:num>
  <w:num w:numId="32">
    <w:abstractNumId w:val="23"/>
  </w:num>
  <w:num w:numId="33">
    <w:abstractNumId w:val="30"/>
  </w:num>
  <w:num w:numId="34">
    <w:abstractNumId w:val="37"/>
  </w:num>
  <w:num w:numId="35">
    <w:abstractNumId w:val="24"/>
  </w:num>
  <w:num w:numId="36">
    <w:abstractNumId w:val="20"/>
  </w:num>
  <w:num w:numId="37">
    <w:abstractNumId w:val="10"/>
  </w:num>
  <w:num w:numId="38">
    <w:abstractNumId w:val="27"/>
  </w:num>
  <w:num w:numId="39">
    <w:abstractNumId w:val="13"/>
  </w:num>
  <w:num w:numId="40">
    <w:abstractNumId w:val="29"/>
  </w:num>
  <w:num w:numId="41">
    <w:abstractNumId w:val="15"/>
  </w:num>
  <w:num w:numId="42">
    <w:abstractNumId w:val="22"/>
  </w:num>
  <w:num w:numId="43">
    <w:abstractNumId w:val="35"/>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E1"/>
    <w:rsid w:val="00001214"/>
    <w:rsid w:val="000027EA"/>
    <w:rsid w:val="00004174"/>
    <w:rsid w:val="00004470"/>
    <w:rsid w:val="00006ABB"/>
    <w:rsid w:val="000136AF"/>
    <w:rsid w:val="000258B1"/>
    <w:rsid w:val="00040A89"/>
    <w:rsid w:val="000437C1"/>
    <w:rsid w:val="00043CF3"/>
    <w:rsid w:val="0004455A"/>
    <w:rsid w:val="000463DA"/>
    <w:rsid w:val="00050F50"/>
    <w:rsid w:val="0005365D"/>
    <w:rsid w:val="000614BF"/>
    <w:rsid w:val="00062897"/>
    <w:rsid w:val="0006310B"/>
    <w:rsid w:val="00065456"/>
    <w:rsid w:val="0006709C"/>
    <w:rsid w:val="00074376"/>
    <w:rsid w:val="00081735"/>
    <w:rsid w:val="000873D5"/>
    <w:rsid w:val="00087B1A"/>
    <w:rsid w:val="000902BF"/>
    <w:rsid w:val="000978F5"/>
    <w:rsid w:val="00097DD3"/>
    <w:rsid w:val="000A374F"/>
    <w:rsid w:val="000B15CD"/>
    <w:rsid w:val="000B35EB"/>
    <w:rsid w:val="000C0A38"/>
    <w:rsid w:val="000C1FC6"/>
    <w:rsid w:val="000C6C16"/>
    <w:rsid w:val="000D05EF"/>
    <w:rsid w:val="000D141B"/>
    <w:rsid w:val="000D287D"/>
    <w:rsid w:val="000D3950"/>
    <w:rsid w:val="000E2261"/>
    <w:rsid w:val="000E78B7"/>
    <w:rsid w:val="000F21C1"/>
    <w:rsid w:val="000F2885"/>
    <w:rsid w:val="0010745C"/>
    <w:rsid w:val="00132CEB"/>
    <w:rsid w:val="001339B0"/>
    <w:rsid w:val="00142B62"/>
    <w:rsid w:val="001441B7"/>
    <w:rsid w:val="001516CB"/>
    <w:rsid w:val="001519A5"/>
    <w:rsid w:val="00152336"/>
    <w:rsid w:val="00153518"/>
    <w:rsid w:val="00157B8B"/>
    <w:rsid w:val="00166C2F"/>
    <w:rsid w:val="00176543"/>
    <w:rsid w:val="001775B4"/>
    <w:rsid w:val="001809D7"/>
    <w:rsid w:val="001907B9"/>
    <w:rsid w:val="001939E1"/>
    <w:rsid w:val="00194C3E"/>
    <w:rsid w:val="00195258"/>
    <w:rsid w:val="00195382"/>
    <w:rsid w:val="001B089E"/>
    <w:rsid w:val="001B2CB6"/>
    <w:rsid w:val="001C031E"/>
    <w:rsid w:val="001C1812"/>
    <w:rsid w:val="001C4814"/>
    <w:rsid w:val="001C61C5"/>
    <w:rsid w:val="001C69C4"/>
    <w:rsid w:val="001D37EF"/>
    <w:rsid w:val="001E2952"/>
    <w:rsid w:val="001E3590"/>
    <w:rsid w:val="001E3ABC"/>
    <w:rsid w:val="001E43DF"/>
    <w:rsid w:val="001E6325"/>
    <w:rsid w:val="001E6EC1"/>
    <w:rsid w:val="001E7407"/>
    <w:rsid w:val="001F5D5E"/>
    <w:rsid w:val="001F6219"/>
    <w:rsid w:val="001F6CD4"/>
    <w:rsid w:val="001F7385"/>
    <w:rsid w:val="00206C4D"/>
    <w:rsid w:val="0020773A"/>
    <w:rsid w:val="00215AF1"/>
    <w:rsid w:val="002166E2"/>
    <w:rsid w:val="002231E8"/>
    <w:rsid w:val="002317A2"/>
    <w:rsid w:val="002321E8"/>
    <w:rsid w:val="00232984"/>
    <w:rsid w:val="0024010F"/>
    <w:rsid w:val="00240749"/>
    <w:rsid w:val="00243018"/>
    <w:rsid w:val="00245F63"/>
    <w:rsid w:val="00246807"/>
    <w:rsid w:val="002472B9"/>
    <w:rsid w:val="002518C4"/>
    <w:rsid w:val="002564A4"/>
    <w:rsid w:val="002626DA"/>
    <w:rsid w:val="002665D7"/>
    <w:rsid w:val="0026736C"/>
    <w:rsid w:val="00281308"/>
    <w:rsid w:val="00284719"/>
    <w:rsid w:val="00290AB7"/>
    <w:rsid w:val="00290EFC"/>
    <w:rsid w:val="00297ECB"/>
    <w:rsid w:val="002A54FE"/>
    <w:rsid w:val="002A5DC4"/>
    <w:rsid w:val="002A7BCF"/>
    <w:rsid w:val="002B5675"/>
    <w:rsid w:val="002B6552"/>
    <w:rsid w:val="002C3FD1"/>
    <w:rsid w:val="002D043A"/>
    <w:rsid w:val="002D266B"/>
    <w:rsid w:val="002D6224"/>
    <w:rsid w:val="002D6791"/>
    <w:rsid w:val="002F0237"/>
    <w:rsid w:val="002F679A"/>
    <w:rsid w:val="0030465E"/>
    <w:rsid w:val="00304F8B"/>
    <w:rsid w:val="00311309"/>
    <w:rsid w:val="003170E1"/>
    <w:rsid w:val="00332C73"/>
    <w:rsid w:val="0033306B"/>
    <w:rsid w:val="00335BC6"/>
    <w:rsid w:val="003415D3"/>
    <w:rsid w:val="00344338"/>
    <w:rsid w:val="00344701"/>
    <w:rsid w:val="00350E15"/>
    <w:rsid w:val="00352B0F"/>
    <w:rsid w:val="00360459"/>
    <w:rsid w:val="00361048"/>
    <w:rsid w:val="00362E7A"/>
    <w:rsid w:val="00366423"/>
    <w:rsid w:val="00366944"/>
    <w:rsid w:val="00373DF7"/>
    <w:rsid w:val="003767E2"/>
    <w:rsid w:val="0038049F"/>
    <w:rsid w:val="00385C99"/>
    <w:rsid w:val="00397632"/>
    <w:rsid w:val="003A40AE"/>
    <w:rsid w:val="003A631B"/>
    <w:rsid w:val="003A67D3"/>
    <w:rsid w:val="003A77BD"/>
    <w:rsid w:val="003B3AF0"/>
    <w:rsid w:val="003B5D7A"/>
    <w:rsid w:val="003B6033"/>
    <w:rsid w:val="003C6231"/>
    <w:rsid w:val="003D0BFE"/>
    <w:rsid w:val="003D5700"/>
    <w:rsid w:val="003D6360"/>
    <w:rsid w:val="003D7AC2"/>
    <w:rsid w:val="003E341B"/>
    <w:rsid w:val="003E4D00"/>
    <w:rsid w:val="0040235F"/>
    <w:rsid w:val="00402CB7"/>
    <w:rsid w:val="00407280"/>
    <w:rsid w:val="004116CD"/>
    <w:rsid w:val="0041435C"/>
    <w:rsid w:val="00415D81"/>
    <w:rsid w:val="00417EB9"/>
    <w:rsid w:val="00423AB6"/>
    <w:rsid w:val="00424CA9"/>
    <w:rsid w:val="004276DF"/>
    <w:rsid w:val="0043079F"/>
    <w:rsid w:val="00431E9B"/>
    <w:rsid w:val="00433535"/>
    <w:rsid w:val="004349D5"/>
    <w:rsid w:val="004379E3"/>
    <w:rsid w:val="0044015E"/>
    <w:rsid w:val="0044291A"/>
    <w:rsid w:val="0044473F"/>
    <w:rsid w:val="00456E23"/>
    <w:rsid w:val="0045744F"/>
    <w:rsid w:val="00467661"/>
    <w:rsid w:val="0047267E"/>
    <w:rsid w:val="00472DBE"/>
    <w:rsid w:val="00473251"/>
    <w:rsid w:val="00474A19"/>
    <w:rsid w:val="00477830"/>
    <w:rsid w:val="00483700"/>
    <w:rsid w:val="00487764"/>
    <w:rsid w:val="00493FAE"/>
    <w:rsid w:val="00495A4D"/>
    <w:rsid w:val="00496F97"/>
    <w:rsid w:val="004A7977"/>
    <w:rsid w:val="004B544E"/>
    <w:rsid w:val="004B6C48"/>
    <w:rsid w:val="004B7BEA"/>
    <w:rsid w:val="004B7E28"/>
    <w:rsid w:val="004C16C7"/>
    <w:rsid w:val="004C4E59"/>
    <w:rsid w:val="004C4F42"/>
    <w:rsid w:val="004C6809"/>
    <w:rsid w:val="004D238E"/>
    <w:rsid w:val="004D30B2"/>
    <w:rsid w:val="004D6F49"/>
    <w:rsid w:val="004E063A"/>
    <w:rsid w:val="004E07F1"/>
    <w:rsid w:val="004E1307"/>
    <w:rsid w:val="004E7BEC"/>
    <w:rsid w:val="004F43FE"/>
    <w:rsid w:val="005038FA"/>
    <w:rsid w:val="00505D3D"/>
    <w:rsid w:val="00506AF6"/>
    <w:rsid w:val="00511EB8"/>
    <w:rsid w:val="00513DC1"/>
    <w:rsid w:val="00516B8D"/>
    <w:rsid w:val="0052050F"/>
    <w:rsid w:val="005213E2"/>
    <w:rsid w:val="005303C8"/>
    <w:rsid w:val="0053775C"/>
    <w:rsid w:val="00537FBC"/>
    <w:rsid w:val="00547892"/>
    <w:rsid w:val="00554826"/>
    <w:rsid w:val="00556928"/>
    <w:rsid w:val="00556F15"/>
    <w:rsid w:val="00562877"/>
    <w:rsid w:val="005674D4"/>
    <w:rsid w:val="00576139"/>
    <w:rsid w:val="0058299B"/>
    <w:rsid w:val="00584811"/>
    <w:rsid w:val="00584F80"/>
    <w:rsid w:val="00585784"/>
    <w:rsid w:val="00587BD0"/>
    <w:rsid w:val="00593AA6"/>
    <w:rsid w:val="00594161"/>
    <w:rsid w:val="00594749"/>
    <w:rsid w:val="00597E62"/>
    <w:rsid w:val="005A61C6"/>
    <w:rsid w:val="005A65D5"/>
    <w:rsid w:val="005B4067"/>
    <w:rsid w:val="005B4AB5"/>
    <w:rsid w:val="005C03BA"/>
    <w:rsid w:val="005C0EAF"/>
    <w:rsid w:val="005C3F41"/>
    <w:rsid w:val="005D1D92"/>
    <w:rsid w:val="005D29A2"/>
    <w:rsid w:val="005D2D09"/>
    <w:rsid w:val="005E2535"/>
    <w:rsid w:val="005E331A"/>
    <w:rsid w:val="00600219"/>
    <w:rsid w:val="0060062B"/>
    <w:rsid w:val="00603D9D"/>
    <w:rsid w:val="00604F2A"/>
    <w:rsid w:val="00620076"/>
    <w:rsid w:val="00620EFC"/>
    <w:rsid w:val="00627E0A"/>
    <w:rsid w:val="0063206E"/>
    <w:rsid w:val="00633942"/>
    <w:rsid w:val="00641177"/>
    <w:rsid w:val="006448E1"/>
    <w:rsid w:val="00646B24"/>
    <w:rsid w:val="00646F99"/>
    <w:rsid w:val="00647AF6"/>
    <w:rsid w:val="00650B68"/>
    <w:rsid w:val="00653B68"/>
    <w:rsid w:val="0065488B"/>
    <w:rsid w:val="006553A1"/>
    <w:rsid w:val="006618FC"/>
    <w:rsid w:val="0066377F"/>
    <w:rsid w:val="00670EA1"/>
    <w:rsid w:val="006716A1"/>
    <w:rsid w:val="00677CC2"/>
    <w:rsid w:val="0068744B"/>
    <w:rsid w:val="00687BEB"/>
    <w:rsid w:val="006905DE"/>
    <w:rsid w:val="0069207B"/>
    <w:rsid w:val="0069422C"/>
    <w:rsid w:val="00697CD5"/>
    <w:rsid w:val="006A154F"/>
    <w:rsid w:val="006A437B"/>
    <w:rsid w:val="006A5D80"/>
    <w:rsid w:val="006A626B"/>
    <w:rsid w:val="006B35BC"/>
    <w:rsid w:val="006B5789"/>
    <w:rsid w:val="006C30C5"/>
    <w:rsid w:val="006C427C"/>
    <w:rsid w:val="006C59E1"/>
    <w:rsid w:val="006C7F8C"/>
    <w:rsid w:val="006E2E1C"/>
    <w:rsid w:val="006E6246"/>
    <w:rsid w:val="006E69C2"/>
    <w:rsid w:val="006E6DCC"/>
    <w:rsid w:val="006E77A2"/>
    <w:rsid w:val="006F318F"/>
    <w:rsid w:val="0070017E"/>
    <w:rsid w:val="00700B2C"/>
    <w:rsid w:val="007014D0"/>
    <w:rsid w:val="00703E71"/>
    <w:rsid w:val="007050A2"/>
    <w:rsid w:val="0070723A"/>
    <w:rsid w:val="00710B73"/>
    <w:rsid w:val="00713084"/>
    <w:rsid w:val="0071419A"/>
    <w:rsid w:val="00714F20"/>
    <w:rsid w:val="0071590F"/>
    <w:rsid w:val="00715914"/>
    <w:rsid w:val="0072147A"/>
    <w:rsid w:val="00721D5E"/>
    <w:rsid w:val="00723791"/>
    <w:rsid w:val="00723B78"/>
    <w:rsid w:val="00731E00"/>
    <w:rsid w:val="0073628A"/>
    <w:rsid w:val="00742FAC"/>
    <w:rsid w:val="007440B7"/>
    <w:rsid w:val="00747C1A"/>
    <w:rsid w:val="007500C8"/>
    <w:rsid w:val="00754D28"/>
    <w:rsid w:val="00756272"/>
    <w:rsid w:val="00762D38"/>
    <w:rsid w:val="007715C9"/>
    <w:rsid w:val="00771613"/>
    <w:rsid w:val="00773054"/>
    <w:rsid w:val="00774EDD"/>
    <w:rsid w:val="0077539D"/>
    <w:rsid w:val="007757EC"/>
    <w:rsid w:val="00780327"/>
    <w:rsid w:val="00780AF3"/>
    <w:rsid w:val="0078201E"/>
    <w:rsid w:val="0078277B"/>
    <w:rsid w:val="00783E89"/>
    <w:rsid w:val="00790563"/>
    <w:rsid w:val="00793915"/>
    <w:rsid w:val="007A7CA5"/>
    <w:rsid w:val="007B1E0E"/>
    <w:rsid w:val="007B3F0D"/>
    <w:rsid w:val="007C0E15"/>
    <w:rsid w:val="007C2253"/>
    <w:rsid w:val="007C28EA"/>
    <w:rsid w:val="007D02B9"/>
    <w:rsid w:val="007D5202"/>
    <w:rsid w:val="007D7911"/>
    <w:rsid w:val="007E163D"/>
    <w:rsid w:val="007E2EAE"/>
    <w:rsid w:val="007E5115"/>
    <w:rsid w:val="007E667A"/>
    <w:rsid w:val="007F28C9"/>
    <w:rsid w:val="007F4D25"/>
    <w:rsid w:val="007F51B2"/>
    <w:rsid w:val="008040DD"/>
    <w:rsid w:val="00807D53"/>
    <w:rsid w:val="008117E9"/>
    <w:rsid w:val="008147FE"/>
    <w:rsid w:val="00824498"/>
    <w:rsid w:val="00826900"/>
    <w:rsid w:val="00826BD1"/>
    <w:rsid w:val="0083451C"/>
    <w:rsid w:val="00834F50"/>
    <w:rsid w:val="00836803"/>
    <w:rsid w:val="00836C06"/>
    <w:rsid w:val="00840766"/>
    <w:rsid w:val="00842401"/>
    <w:rsid w:val="00847898"/>
    <w:rsid w:val="00851B07"/>
    <w:rsid w:val="00853DC4"/>
    <w:rsid w:val="00854D0B"/>
    <w:rsid w:val="00856A31"/>
    <w:rsid w:val="00857406"/>
    <w:rsid w:val="00860B4E"/>
    <w:rsid w:val="00867B37"/>
    <w:rsid w:val="00872075"/>
    <w:rsid w:val="008743BE"/>
    <w:rsid w:val="00874B23"/>
    <w:rsid w:val="008754D0"/>
    <w:rsid w:val="00875D13"/>
    <w:rsid w:val="00875D22"/>
    <w:rsid w:val="00876BD7"/>
    <w:rsid w:val="00883E7D"/>
    <w:rsid w:val="008855C9"/>
    <w:rsid w:val="00886456"/>
    <w:rsid w:val="00896176"/>
    <w:rsid w:val="008A46E1"/>
    <w:rsid w:val="008A4F43"/>
    <w:rsid w:val="008A7DAE"/>
    <w:rsid w:val="008B0BDE"/>
    <w:rsid w:val="008B0DC5"/>
    <w:rsid w:val="008B2706"/>
    <w:rsid w:val="008C096A"/>
    <w:rsid w:val="008C1D51"/>
    <w:rsid w:val="008C2EAC"/>
    <w:rsid w:val="008C7754"/>
    <w:rsid w:val="008D0EE0"/>
    <w:rsid w:val="008E0027"/>
    <w:rsid w:val="008E6067"/>
    <w:rsid w:val="008F1C8C"/>
    <w:rsid w:val="008F458C"/>
    <w:rsid w:val="008F4984"/>
    <w:rsid w:val="008F54E7"/>
    <w:rsid w:val="00901F9A"/>
    <w:rsid w:val="00903422"/>
    <w:rsid w:val="009042E7"/>
    <w:rsid w:val="00904594"/>
    <w:rsid w:val="00920868"/>
    <w:rsid w:val="00920D4C"/>
    <w:rsid w:val="00921745"/>
    <w:rsid w:val="009254C3"/>
    <w:rsid w:val="009278F8"/>
    <w:rsid w:val="00927AF2"/>
    <w:rsid w:val="00932377"/>
    <w:rsid w:val="009400A9"/>
    <w:rsid w:val="009400C5"/>
    <w:rsid w:val="0094076E"/>
    <w:rsid w:val="00941236"/>
    <w:rsid w:val="00943E91"/>
    <w:rsid w:val="00943FD5"/>
    <w:rsid w:val="00944B69"/>
    <w:rsid w:val="00947D5A"/>
    <w:rsid w:val="009532A5"/>
    <w:rsid w:val="009540FD"/>
    <w:rsid w:val="009545BD"/>
    <w:rsid w:val="0096062D"/>
    <w:rsid w:val="00964CF0"/>
    <w:rsid w:val="0097023B"/>
    <w:rsid w:val="00976090"/>
    <w:rsid w:val="009776D9"/>
    <w:rsid w:val="00977806"/>
    <w:rsid w:val="00982242"/>
    <w:rsid w:val="009858D5"/>
    <w:rsid w:val="009868E9"/>
    <w:rsid w:val="00986BB3"/>
    <w:rsid w:val="009900A3"/>
    <w:rsid w:val="0099352A"/>
    <w:rsid w:val="00995C29"/>
    <w:rsid w:val="009968A7"/>
    <w:rsid w:val="009A33B1"/>
    <w:rsid w:val="009A3546"/>
    <w:rsid w:val="009A5620"/>
    <w:rsid w:val="009C3413"/>
    <w:rsid w:val="009C6AF1"/>
    <w:rsid w:val="009C72C5"/>
    <w:rsid w:val="009E6957"/>
    <w:rsid w:val="009F19AD"/>
    <w:rsid w:val="009F6BC0"/>
    <w:rsid w:val="00A0441E"/>
    <w:rsid w:val="00A12128"/>
    <w:rsid w:val="00A13D33"/>
    <w:rsid w:val="00A22C98"/>
    <w:rsid w:val="00A231E2"/>
    <w:rsid w:val="00A244F7"/>
    <w:rsid w:val="00A24F88"/>
    <w:rsid w:val="00A26CAD"/>
    <w:rsid w:val="00A343ED"/>
    <w:rsid w:val="00A369E3"/>
    <w:rsid w:val="00A37277"/>
    <w:rsid w:val="00A57600"/>
    <w:rsid w:val="00A64912"/>
    <w:rsid w:val="00A679F0"/>
    <w:rsid w:val="00A70A74"/>
    <w:rsid w:val="00A75FE9"/>
    <w:rsid w:val="00A80297"/>
    <w:rsid w:val="00A87222"/>
    <w:rsid w:val="00A87B8F"/>
    <w:rsid w:val="00AB01A8"/>
    <w:rsid w:val="00AB047B"/>
    <w:rsid w:val="00AB26BF"/>
    <w:rsid w:val="00AB50F1"/>
    <w:rsid w:val="00AD53CC"/>
    <w:rsid w:val="00AD5641"/>
    <w:rsid w:val="00AE34AF"/>
    <w:rsid w:val="00AF06CF"/>
    <w:rsid w:val="00AF669B"/>
    <w:rsid w:val="00B03071"/>
    <w:rsid w:val="00B07CC9"/>
    <w:rsid w:val="00B07CDB"/>
    <w:rsid w:val="00B103A6"/>
    <w:rsid w:val="00B146F8"/>
    <w:rsid w:val="00B16A31"/>
    <w:rsid w:val="00B17DFD"/>
    <w:rsid w:val="00B25306"/>
    <w:rsid w:val="00B27831"/>
    <w:rsid w:val="00B308FE"/>
    <w:rsid w:val="00B3279A"/>
    <w:rsid w:val="00B33709"/>
    <w:rsid w:val="00B33B3C"/>
    <w:rsid w:val="00B36392"/>
    <w:rsid w:val="00B418CB"/>
    <w:rsid w:val="00B43E53"/>
    <w:rsid w:val="00B456B3"/>
    <w:rsid w:val="00B47444"/>
    <w:rsid w:val="00B47868"/>
    <w:rsid w:val="00B503A2"/>
    <w:rsid w:val="00B50ADC"/>
    <w:rsid w:val="00B50B2C"/>
    <w:rsid w:val="00B5376B"/>
    <w:rsid w:val="00B566B1"/>
    <w:rsid w:val="00B63834"/>
    <w:rsid w:val="00B65541"/>
    <w:rsid w:val="00B75316"/>
    <w:rsid w:val="00B80199"/>
    <w:rsid w:val="00B83204"/>
    <w:rsid w:val="00B837C4"/>
    <w:rsid w:val="00B856E7"/>
    <w:rsid w:val="00B87D27"/>
    <w:rsid w:val="00B87F57"/>
    <w:rsid w:val="00BA0276"/>
    <w:rsid w:val="00BA220B"/>
    <w:rsid w:val="00BA3A57"/>
    <w:rsid w:val="00BB1533"/>
    <w:rsid w:val="00BB4E1A"/>
    <w:rsid w:val="00BB69E6"/>
    <w:rsid w:val="00BC015E"/>
    <w:rsid w:val="00BC5D71"/>
    <w:rsid w:val="00BC76AC"/>
    <w:rsid w:val="00BD0ECB"/>
    <w:rsid w:val="00BD4BAF"/>
    <w:rsid w:val="00BE2155"/>
    <w:rsid w:val="00BE719A"/>
    <w:rsid w:val="00BE720A"/>
    <w:rsid w:val="00BF0D73"/>
    <w:rsid w:val="00BF2465"/>
    <w:rsid w:val="00BF39EE"/>
    <w:rsid w:val="00C0795F"/>
    <w:rsid w:val="00C16619"/>
    <w:rsid w:val="00C24C8F"/>
    <w:rsid w:val="00C25E7F"/>
    <w:rsid w:val="00C2746F"/>
    <w:rsid w:val="00C323D6"/>
    <w:rsid w:val="00C324A0"/>
    <w:rsid w:val="00C41D9C"/>
    <w:rsid w:val="00C42BF8"/>
    <w:rsid w:val="00C45A6D"/>
    <w:rsid w:val="00C50043"/>
    <w:rsid w:val="00C5137E"/>
    <w:rsid w:val="00C54FF8"/>
    <w:rsid w:val="00C57C04"/>
    <w:rsid w:val="00C60497"/>
    <w:rsid w:val="00C611B4"/>
    <w:rsid w:val="00C61B9A"/>
    <w:rsid w:val="00C65C49"/>
    <w:rsid w:val="00C7573B"/>
    <w:rsid w:val="00C83C80"/>
    <w:rsid w:val="00C90173"/>
    <w:rsid w:val="00C97A54"/>
    <w:rsid w:val="00CA5B23"/>
    <w:rsid w:val="00CA6970"/>
    <w:rsid w:val="00CA7DA8"/>
    <w:rsid w:val="00CB602E"/>
    <w:rsid w:val="00CB7E90"/>
    <w:rsid w:val="00CC48BC"/>
    <w:rsid w:val="00CD0A7B"/>
    <w:rsid w:val="00CD5191"/>
    <w:rsid w:val="00CD6A18"/>
    <w:rsid w:val="00CE051D"/>
    <w:rsid w:val="00CE1335"/>
    <w:rsid w:val="00CE47CD"/>
    <w:rsid w:val="00CE493D"/>
    <w:rsid w:val="00CF07FA"/>
    <w:rsid w:val="00CF0BB2"/>
    <w:rsid w:val="00CF2341"/>
    <w:rsid w:val="00CF3EE8"/>
    <w:rsid w:val="00D002DD"/>
    <w:rsid w:val="00D04CCF"/>
    <w:rsid w:val="00D13441"/>
    <w:rsid w:val="00D150E7"/>
    <w:rsid w:val="00D22BE8"/>
    <w:rsid w:val="00D27479"/>
    <w:rsid w:val="00D31464"/>
    <w:rsid w:val="00D324C3"/>
    <w:rsid w:val="00D4015C"/>
    <w:rsid w:val="00D414E3"/>
    <w:rsid w:val="00D502CE"/>
    <w:rsid w:val="00D5152C"/>
    <w:rsid w:val="00D52DC2"/>
    <w:rsid w:val="00D53BCC"/>
    <w:rsid w:val="00D54C9E"/>
    <w:rsid w:val="00D563B0"/>
    <w:rsid w:val="00D63116"/>
    <w:rsid w:val="00D63321"/>
    <w:rsid w:val="00D6537E"/>
    <w:rsid w:val="00D70DFB"/>
    <w:rsid w:val="00D766DF"/>
    <w:rsid w:val="00D774DF"/>
    <w:rsid w:val="00D8206C"/>
    <w:rsid w:val="00D86282"/>
    <w:rsid w:val="00D9157C"/>
    <w:rsid w:val="00D91F10"/>
    <w:rsid w:val="00D92FF7"/>
    <w:rsid w:val="00D94E02"/>
    <w:rsid w:val="00DA186E"/>
    <w:rsid w:val="00DA4116"/>
    <w:rsid w:val="00DA5268"/>
    <w:rsid w:val="00DA5F1D"/>
    <w:rsid w:val="00DB251C"/>
    <w:rsid w:val="00DB4630"/>
    <w:rsid w:val="00DB698D"/>
    <w:rsid w:val="00DB7BF9"/>
    <w:rsid w:val="00DC15A0"/>
    <w:rsid w:val="00DC32F0"/>
    <w:rsid w:val="00DC4F88"/>
    <w:rsid w:val="00DC66A8"/>
    <w:rsid w:val="00DD37CF"/>
    <w:rsid w:val="00DE107C"/>
    <w:rsid w:val="00DF015F"/>
    <w:rsid w:val="00DF0E82"/>
    <w:rsid w:val="00DF2388"/>
    <w:rsid w:val="00E05704"/>
    <w:rsid w:val="00E20609"/>
    <w:rsid w:val="00E33407"/>
    <w:rsid w:val="00E338EF"/>
    <w:rsid w:val="00E36693"/>
    <w:rsid w:val="00E4226F"/>
    <w:rsid w:val="00E544BB"/>
    <w:rsid w:val="00E55E1A"/>
    <w:rsid w:val="00E5789F"/>
    <w:rsid w:val="00E6508C"/>
    <w:rsid w:val="00E65FC9"/>
    <w:rsid w:val="00E74DC7"/>
    <w:rsid w:val="00E77FAA"/>
    <w:rsid w:val="00E8075A"/>
    <w:rsid w:val="00E849CD"/>
    <w:rsid w:val="00E85770"/>
    <w:rsid w:val="00E85A66"/>
    <w:rsid w:val="00E87E0B"/>
    <w:rsid w:val="00E93DF4"/>
    <w:rsid w:val="00E940D8"/>
    <w:rsid w:val="00E94D5E"/>
    <w:rsid w:val="00EA468A"/>
    <w:rsid w:val="00EA7100"/>
    <w:rsid w:val="00EA753E"/>
    <w:rsid w:val="00EA7F9F"/>
    <w:rsid w:val="00EB1274"/>
    <w:rsid w:val="00EB220C"/>
    <w:rsid w:val="00ED0E9C"/>
    <w:rsid w:val="00ED2BB6"/>
    <w:rsid w:val="00ED34E1"/>
    <w:rsid w:val="00ED3B8D"/>
    <w:rsid w:val="00EE49A5"/>
    <w:rsid w:val="00EE5E36"/>
    <w:rsid w:val="00EF191E"/>
    <w:rsid w:val="00EF2E3A"/>
    <w:rsid w:val="00EF6EC1"/>
    <w:rsid w:val="00F00031"/>
    <w:rsid w:val="00F02C7C"/>
    <w:rsid w:val="00F06BCD"/>
    <w:rsid w:val="00F072A7"/>
    <w:rsid w:val="00F078DC"/>
    <w:rsid w:val="00F23AC6"/>
    <w:rsid w:val="00F24159"/>
    <w:rsid w:val="00F312E3"/>
    <w:rsid w:val="00F32BA8"/>
    <w:rsid w:val="00F32EE0"/>
    <w:rsid w:val="00F33047"/>
    <w:rsid w:val="00F349F1"/>
    <w:rsid w:val="00F4350D"/>
    <w:rsid w:val="00F479C4"/>
    <w:rsid w:val="00F567F7"/>
    <w:rsid w:val="00F63D5C"/>
    <w:rsid w:val="00F65F1A"/>
    <w:rsid w:val="00F6696E"/>
    <w:rsid w:val="00F73BD6"/>
    <w:rsid w:val="00F74042"/>
    <w:rsid w:val="00F83989"/>
    <w:rsid w:val="00F85099"/>
    <w:rsid w:val="00F9379C"/>
    <w:rsid w:val="00F951CC"/>
    <w:rsid w:val="00F9632C"/>
    <w:rsid w:val="00FA1E52"/>
    <w:rsid w:val="00FA45FC"/>
    <w:rsid w:val="00FA4BDE"/>
    <w:rsid w:val="00FB1F11"/>
    <w:rsid w:val="00FB5A08"/>
    <w:rsid w:val="00FC44E7"/>
    <w:rsid w:val="00FC6A80"/>
    <w:rsid w:val="00FE4688"/>
    <w:rsid w:val="00FE6151"/>
    <w:rsid w:val="00FE66AF"/>
    <w:rsid w:val="00FF1171"/>
    <w:rsid w:val="00FF2E0D"/>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D85B6"/>
  <w15:docId w15:val="{F45EE753-C4FA-46ED-9FA4-961E2819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7BEA"/>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unhideWhenUsed/>
    <w:rsid w:val="00E849CD"/>
    <w:pPr>
      <w:spacing w:line="240" w:lineRule="auto"/>
    </w:pPr>
    <w:rPr>
      <w:rFonts w:ascii="Tahoma" w:hAnsi="Tahoma" w:cs="Tahoma"/>
      <w:sz w:val="18"/>
      <w:szCs w:val="16"/>
    </w:rPr>
  </w:style>
  <w:style w:type="character" w:customStyle="1" w:styleId="BalloonTextChar">
    <w:name w:val="Balloon Text Char"/>
    <w:basedOn w:val="DefaultParagraphFont"/>
    <w:link w:val="BalloonText"/>
    <w:uiPriority w:val="99"/>
    <w:rsid w:val="00E849CD"/>
    <w:rPr>
      <w:rFonts w:ascii="Tahoma" w:hAnsi="Tahoma" w:cs="Tahoma"/>
      <w:sz w:val="18"/>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473251"/>
    <w:rPr>
      <w:rFonts w:eastAsia="Times New Roman" w:cs="Times New Roman"/>
      <w:sz w:val="22"/>
      <w:lang w:eastAsia="en-AU"/>
    </w:rPr>
  </w:style>
  <w:style w:type="character" w:styleId="CommentReference">
    <w:name w:val="annotation reference"/>
    <w:basedOn w:val="DefaultParagraphFont"/>
    <w:uiPriority w:val="99"/>
    <w:semiHidden/>
    <w:unhideWhenUsed/>
    <w:rsid w:val="00062897"/>
    <w:rPr>
      <w:sz w:val="16"/>
      <w:szCs w:val="16"/>
    </w:rPr>
  </w:style>
  <w:style w:type="paragraph" w:styleId="CommentText">
    <w:name w:val="annotation text"/>
    <w:basedOn w:val="Normal"/>
    <w:link w:val="CommentTextChar"/>
    <w:uiPriority w:val="99"/>
    <w:semiHidden/>
    <w:unhideWhenUsed/>
    <w:rsid w:val="00062897"/>
    <w:pPr>
      <w:spacing w:line="240" w:lineRule="auto"/>
    </w:pPr>
    <w:rPr>
      <w:sz w:val="20"/>
    </w:rPr>
  </w:style>
  <w:style w:type="character" w:customStyle="1" w:styleId="CommentTextChar">
    <w:name w:val="Comment Text Char"/>
    <w:basedOn w:val="DefaultParagraphFont"/>
    <w:link w:val="CommentText"/>
    <w:uiPriority w:val="99"/>
    <w:semiHidden/>
    <w:rsid w:val="00062897"/>
  </w:style>
  <w:style w:type="paragraph" w:styleId="CommentSubject">
    <w:name w:val="annotation subject"/>
    <w:basedOn w:val="CommentText"/>
    <w:next w:val="CommentText"/>
    <w:link w:val="CommentSubjectChar"/>
    <w:uiPriority w:val="99"/>
    <w:semiHidden/>
    <w:unhideWhenUsed/>
    <w:rsid w:val="00062897"/>
    <w:rPr>
      <w:b/>
      <w:bCs/>
    </w:rPr>
  </w:style>
  <w:style w:type="character" w:customStyle="1" w:styleId="CommentSubjectChar">
    <w:name w:val="Comment Subject Char"/>
    <w:basedOn w:val="CommentTextChar"/>
    <w:link w:val="CommentSubject"/>
    <w:uiPriority w:val="99"/>
    <w:semiHidden/>
    <w:rsid w:val="00062897"/>
    <w:rPr>
      <w:b/>
      <w:bCs/>
    </w:rPr>
  </w:style>
  <w:style w:type="character" w:styleId="Hyperlink">
    <w:name w:val="Hyperlink"/>
    <w:basedOn w:val="DefaultParagraphFont"/>
    <w:uiPriority w:val="99"/>
    <w:unhideWhenUsed/>
    <w:rsid w:val="00D31464"/>
    <w:rPr>
      <w:color w:val="0000FF" w:themeColor="hyperlink"/>
      <w:u w:val="single"/>
    </w:rPr>
  </w:style>
  <w:style w:type="character" w:styleId="UnresolvedMention">
    <w:name w:val="Unresolved Mention"/>
    <w:basedOn w:val="DefaultParagraphFont"/>
    <w:uiPriority w:val="99"/>
    <w:semiHidden/>
    <w:unhideWhenUsed/>
    <w:rsid w:val="00D31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MCDONALD, Jess</dc:creator>
  <cp:lastModifiedBy>Trent Newman</cp:lastModifiedBy>
  <cp:revision>3</cp:revision>
  <cp:lastPrinted>2022-11-24T05:02:00Z</cp:lastPrinted>
  <dcterms:created xsi:type="dcterms:W3CDTF">2022-12-20T00:11:00Z</dcterms:created>
  <dcterms:modified xsi:type="dcterms:W3CDTF">2022-12-20T00:12:00Z</dcterms:modified>
</cp:coreProperties>
</file>