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9479" w14:textId="77777777" w:rsidR="003612D0" w:rsidRPr="00614BA9" w:rsidRDefault="003612D0" w:rsidP="003612D0">
      <w:pPr>
        <w:pStyle w:val="numberpara"/>
        <w:spacing w:before="0" w:line="240" w:lineRule="auto"/>
        <w:jc w:val="center"/>
        <w:rPr>
          <w:rFonts w:ascii="Tms Rmn" w:hAnsi="Tms Rmn"/>
          <w:b/>
          <w:lang w:val="en-AU"/>
        </w:rPr>
      </w:pPr>
      <w:r w:rsidRPr="00614BA9">
        <w:rPr>
          <w:rFonts w:ascii="Tms Rmn" w:hAnsi="Tms Rmn"/>
          <w:b/>
          <w:lang w:val="en-AU"/>
        </w:rPr>
        <w:t>EXPLANATORY STATEMENT</w:t>
      </w:r>
    </w:p>
    <w:p w14:paraId="7E65C8A2" w14:textId="77777777" w:rsidR="003612D0" w:rsidRPr="00614BA9" w:rsidRDefault="003612D0" w:rsidP="003612D0">
      <w:pPr>
        <w:pStyle w:val="numberpara"/>
        <w:spacing w:before="0" w:line="240" w:lineRule="auto"/>
        <w:jc w:val="center"/>
        <w:rPr>
          <w:rFonts w:ascii="Tms Rmn" w:hAnsi="Tms Rmn"/>
          <w:b/>
          <w:lang w:val="en-AU"/>
        </w:rPr>
      </w:pPr>
    </w:p>
    <w:p w14:paraId="21CEF786" w14:textId="77777777" w:rsidR="003612D0" w:rsidRPr="00614BA9" w:rsidRDefault="003612D0" w:rsidP="003612D0">
      <w:pPr>
        <w:pStyle w:val="numberpara"/>
        <w:spacing w:before="0" w:line="240" w:lineRule="auto"/>
        <w:jc w:val="center"/>
        <w:rPr>
          <w:rFonts w:ascii="Tms Rmn" w:hAnsi="Tms Rmn"/>
          <w:b/>
          <w:bCs/>
          <w:lang w:val="en-AU"/>
        </w:rPr>
      </w:pPr>
      <w:r w:rsidRPr="00614BA9">
        <w:rPr>
          <w:b/>
          <w:bCs/>
          <w:color w:val="000000"/>
          <w:shd w:val="clear" w:color="auto" w:fill="FFFFFF"/>
        </w:rPr>
        <w:t>Issued by the Authority of the Minister for Health and Aged Care</w:t>
      </w:r>
    </w:p>
    <w:p w14:paraId="1BFA8F25" w14:textId="77777777" w:rsidR="003612D0" w:rsidRPr="00614BA9" w:rsidRDefault="003612D0" w:rsidP="003612D0">
      <w:pPr>
        <w:pStyle w:val="numberpara"/>
        <w:spacing w:before="0" w:line="240" w:lineRule="auto"/>
        <w:jc w:val="center"/>
        <w:rPr>
          <w:rFonts w:ascii="Tms Rmn" w:hAnsi="Tms Rmn"/>
          <w:b/>
          <w:bCs/>
          <w:lang w:val="en-AU"/>
        </w:rPr>
      </w:pPr>
    </w:p>
    <w:p w14:paraId="727F8219" w14:textId="77777777" w:rsidR="009E0964" w:rsidRPr="00614BA9" w:rsidRDefault="009E0964" w:rsidP="003612D0">
      <w:pPr>
        <w:pStyle w:val="numberpara"/>
        <w:spacing w:before="0" w:line="240" w:lineRule="auto"/>
        <w:jc w:val="center"/>
        <w:rPr>
          <w:b/>
          <w:bCs/>
          <w:i/>
          <w:iCs/>
        </w:rPr>
      </w:pPr>
      <w:r w:rsidRPr="00614BA9">
        <w:rPr>
          <w:b/>
          <w:bCs/>
          <w:i/>
          <w:iCs/>
        </w:rPr>
        <w:t>Medical Indemnity Act 2002</w:t>
      </w:r>
    </w:p>
    <w:p w14:paraId="340D69B7" w14:textId="77777777" w:rsidR="009E0964" w:rsidRPr="00614BA9" w:rsidRDefault="009E0964" w:rsidP="003612D0">
      <w:pPr>
        <w:pStyle w:val="numberpara"/>
        <w:spacing w:before="0" w:line="240" w:lineRule="auto"/>
        <w:jc w:val="center"/>
        <w:rPr>
          <w:b/>
          <w:bCs/>
          <w:i/>
          <w:iCs/>
        </w:rPr>
      </w:pPr>
      <w:r w:rsidRPr="00614BA9">
        <w:rPr>
          <w:b/>
          <w:bCs/>
          <w:i/>
          <w:iCs/>
        </w:rPr>
        <w:t>Midwife Professional Indemnity (Commonwealth Contribution) Scheme Act 2010</w:t>
      </w:r>
    </w:p>
    <w:p w14:paraId="2027F544" w14:textId="77777777" w:rsidR="003612D0" w:rsidRPr="00614BA9" w:rsidRDefault="003612D0" w:rsidP="003612D0">
      <w:pPr>
        <w:pStyle w:val="numberpara"/>
        <w:spacing w:before="0" w:line="240" w:lineRule="auto"/>
        <w:rPr>
          <w:rFonts w:ascii="Tms Rmn" w:hAnsi="Tms Rmn"/>
          <w:b/>
          <w:bCs/>
          <w:lang w:val="en-AU"/>
        </w:rPr>
      </w:pPr>
    </w:p>
    <w:p w14:paraId="37F8FBF5" w14:textId="64D5B176" w:rsidR="003612D0" w:rsidRPr="00614BA9" w:rsidRDefault="003612D0" w:rsidP="003612D0">
      <w:pPr>
        <w:pStyle w:val="numberpara"/>
        <w:spacing w:before="0" w:line="240" w:lineRule="auto"/>
        <w:jc w:val="center"/>
        <w:rPr>
          <w:rFonts w:ascii="Tms Rmn" w:hAnsi="Tms Rmn"/>
          <w:b/>
          <w:i/>
          <w:iCs/>
          <w:lang w:val="en-AU"/>
        </w:rPr>
      </w:pPr>
      <w:bookmarkStart w:id="0" w:name="_Hlk101349398"/>
      <w:r w:rsidRPr="00614BA9">
        <w:rPr>
          <w:rFonts w:ascii="Tms Rmn" w:hAnsi="Tms Rmn"/>
          <w:b/>
          <w:bCs/>
          <w:i/>
          <w:iCs/>
          <w:lang w:val="en-AU"/>
        </w:rPr>
        <w:t>Medical and Midwife Indemnity Legislation Amendment (</w:t>
      </w:r>
      <w:r w:rsidR="00A142C7" w:rsidRPr="00614BA9">
        <w:rPr>
          <w:rFonts w:ascii="Tms Rmn" w:hAnsi="Tms Rmn"/>
          <w:b/>
          <w:bCs/>
          <w:i/>
          <w:iCs/>
          <w:lang w:val="en-AU"/>
        </w:rPr>
        <w:t xml:space="preserve">Eligible </w:t>
      </w:r>
      <w:r w:rsidRPr="00614BA9">
        <w:rPr>
          <w:rFonts w:ascii="Tms Rmn" w:hAnsi="Tms Rmn"/>
          <w:b/>
          <w:bCs/>
          <w:i/>
          <w:iCs/>
          <w:lang w:val="en-AU"/>
        </w:rPr>
        <w:t>Run-off Claims</w:t>
      </w:r>
      <w:r w:rsidRPr="00614BA9">
        <w:rPr>
          <w:rFonts w:ascii="Tms Rmn" w:hAnsi="Tms Rmn"/>
          <w:b/>
          <w:i/>
          <w:iCs/>
          <w:lang w:val="en-AU"/>
        </w:rPr>
        <w:t>)</w:t>
      </w:r>
      <w:r w:rsidR="003F1267" w:rsidRPr="00614BA9">
        <w:rPr>
          <w:rFonts w:ascii="Tms Rmn" w:hAnsi="Tms Rmn"/>
          <w:b/>
          <w:i/>
          <w:iCs/>
          <w:lang w:val="en-AU"/>
        </w:rPr>
        <w:t xml:space="preserve"> (No 3)</w:t>
      </w:r>
      <w:r w:rsidR="00A142C7" w:rsidRPr="00614BA9">
        <w:rPr>
          <w:rFonts w:ascii="Tms Rmn" w:hAnsi="Tms Rmn"/>
          <w:b/>
          <w:i/>
          <w:iCs/>
          <w:lang w:val="en-AU"/>
        </w:rPr>
        <w:t xml:space="preserve"> </w:t>
      </w:r>
      <w:r w:rsidRPr="00614BA9">
        <w:rPr>
          <w:rFonts w:ascii="Tms Rmn" w:hAnsi="Tms Rmn"/>
          <w:b/>
          <w:i/>
          <w:iCs/>
          <w:lang w:val="en-AU"/>
        </w:rPr>
        <w:t>Rules 202</w:t>
      </w:r>
      <w:r w:rsidR="003F1267" w:rsidRPr="00614BA9">
        <w:rPr>
          <w:rFonts w:ascii="Tms Rmn" w:hAnsi="Tms Rmn"/>
          <w:b/>
          <w:i/>
          <w:iCs/>
          <w:lang w:val="en-AU"/>
        </w:rPr>
        <w:t>2</w:t>
      </w:r>
    </w:p>
    <w:bookmarkEnd w:id="0"/>
    <w:p w14:paraId="65E6C011" w14:textId="77777777" w:rsidR="003612D0" w:rsidRPr="00614BA9" w:rsidRDefault="003612D0" w:rsidP="003612D0">
      <w:pPr>
        <w:pStyle w:val="numberpara"/>
        <w:spacing w:before="0" w:line="240" w:lineRule="auto"/>
        <w:rPr>
          <w:rFonts w:ascii="Tms Rmn" w:hAnsi="Tms Rmn"/>
          <w:b/>
          <w:lang w:val="en-AU"/>
        </w:rPr>
      </w:pPr>
    </w:p>
    <w:p w14:paraId="03CE6D0C" w14:textId="77777777" w:rsidR="007840DD" w:rsidRPr="00614BA9" w:rsidRDefault="007840DD" w:rsidP="007840DD">
      <w:pPr>
        <w:pStyle w:val="numberpara"/>
        <w:spacing w:before="0" w:line="240" w:lineRule="auto"/>
        <w:rPr>
          <w:rFonts w:ascii="Tms Rmn" w:hAnsi="Tms Rmn"/>
          <w:b/>
          <w:lang w:val="en-AU"/>
        </w:rPr>
      </w:pPr>
      <w:r w:rsidRPr="00614BA9">
        <w:rPr>
          <w:rFonts w:ascii="Tms Rmn" w:hAnsi="Tms Rmn"/>
          <w:b/>
          <w:lang w:val="en-AU"/>
        </w:rPr>
        <w:t xml:space="preserve">Authority </w:t>
      </w:r>
    </w:p>
    <w:p w14:paraId="213A23DA" w14:textId="77777777" w:rsidR="007840DD" w:rsidRPr="00614BA9" w:rsidRDefault="007840DD" w:rsidP="007840DD">
      <w:pPr>
        <w:pStyle w:val="numberpara"/>
        <w:spacing w:before="0" w:line="240" w:lineRule="auto"/>
        <w:rPr>
          <w:rFonts w:ascii="Tms Rmn" w:hAnsi="Tms Rmn"/>
          <w:b/>
          <w:lang w:val="en-AU"/>
        </w:rPr>
      </w:pPr>
    </w:p>
    <w:p w14:paraId="4E7E2867" w14:textId="77777777" w:rsidR="007840DD" w:rsidRPr="00614BA9" w:rsidRDefault="007840DD" w:rsidP="007840DD">
      <w:pPr>
        <w:shd w:val="clear" w:color="auto" w:fill="FFFFFF"/>
        <w:spacing w:after="0" w:line="240" w:lineRule="auto"/>
        <w:rPr>
          <w:rFonts w:ascii="Calibri" w:eastAsia="Times New Roman" w:hAnsi="Calibri" w:cs="Calibri"/>
          <w:color w:val="000000"/>
          <w:sz w:val="22"/>
          <w:szCs w:val="22"/>
          <w:lang w:eastAsia="en-AU"/>
        </w:rPr>
      </w:pPr>
      <w:r w:rsidRPr="00614BA9">
        <w:rPr>
          <w:rFonts w:eastAsia="Times New Roman"/>
          <w:color w:val="000000"/>
          <w:lang w:eastAsia="en-AU"/>
        </w:rPr>
        <w:t>Section 80 of the </w:t>
      </w:r>
      <w:r w:rsidRPr="00614BA9">
        <w:rPr>
          <w:rFonts w:eastAsia="Times New Roman"/>
          <w:i/>
          <w:iCs/>
          <w:color w:val="000000"/>
          <w:lang w:eastAsia="en-AU"/>
        </w:rPr>
        <w:t>Medical Indemnity Act 2002</w:t>
      </w:r>
      <w:r w:rsidRPr="00614BA9">
        <w:rPr>
          <w:rFonts w:eastAsia="Times New Roman"/>
          <w:color w:val="000000"/>
          <w:lang w:eastAsia="en-AU"/>
        </w:rPr>
        <w:t> (the MI Act) provides that the Minister may make rules prescribing matters, which are required or permitted by the MI Act to be prescribed by the rules, or which are necessary or convenient to be prescribed for carrying out or giving effect to the MI Act.</w:t>
      </w:r>
    </w:p>
    <w:p w14:paraId="58E0D8D3" w14:textId="77777777" w:rsidR="007840DD" w:rsidRPr="00614BA9" w:rsidRDefault="007840DD" w:rsidP="007840DD">
      <w:pPr>
        <w:shd w:val="clear" w:color="auto" w:fill="FFFFFF"/>
        <w:spacing w:after="0" w:line="240" w:lineRule="auto"/>
        <w:rPr>
          <w:rFonts w:ascii="Calibri" w:eastAsia="Times New Roman" w:hAnsi="Calibri" w:cs="Calibri"/>
          <w:color w:val="000000"/>
          <w:sz w:val="22"/>
          <w:szCs w:val="22"/>
          <w:lang w:eastAsia="en-AU"/>
        </w:rPr>
      </w:pPr>
      <w:r w:rsidRPr="00614BA9">
        <w:rPr>
          <w:rFonts w:eastAsia="Times New Roman"/>
          <w:color w:val="000000"/>
          <w:lang w:eastAsia="en-AU"/>
        </w:rPr>
        <w:t> </w:t>
      </w:r>
    </w:p>
    <w:p w14:paraId="44EAF596" w14:textId="02A2791E" w:rsidR="007840DD" w:rsidRPr="00614BA9" w:rsidRDefault="007840DD" w:rsidP="007840DD">
      <w:pPr>
        <w:shd w:val="clear" w:color="auto" w:fill="FFFFFF"/>
        <w:spacing w:after="0" w:line="240" w:lineRule="auto"/>
        <w:rPr>
          <w:rFonts w:eastAsia="Times New Roman"/>
          <w:color w:val="000000"/>
          <w:lang w:eastAsia="en-AU"/>
        </w:rPr>
      </w:pPr>
      <w:r w:rsidRPr="00614BA9">
        <w:rPr>
          <w:rFonts w:eastAsia="Times New Roman"/>
          <w:color w:val="000000"/>
          <w:lang w:eastAsia="en-AU"/>
        </w:rPr>
        <w:t>Section 90 of the </w:t>
      </w:r>
      <w:r w:rsidRPr="00614BA9">
        <w:rPr>
          <w:rFonts w:eastAsia="Times New Roman"/>
          <w:i/>
          <w:iCs/>
          <w:color w:val="000000"/>
          <w:lang w:eastAsia="en-AU"/>
        </w:rPr>
        <w:t>Midwife Professional Indemnity (Commonwealth Contribution) Scheme Act 2010 </w:t>
      </w:r>
      <w:r w:rsidRPr="00614BA9">
        <w:rPr>
          <w:rFonts w:eastAsia="Times New Roman"/>
          <w:color w:val="000000"/>
          <w:lang w:eastAsia="en-AU"/>
        </w:rPr>
        <w:t>(the MPICCS Act) provides that the Minister may make rules providing for matters required or permitted by the Act to be provided for in the rules or necessary or convenient to be provided for in order to carry out or give effect to the MPICCS Act.</w:t>
      </w:r>
    </w:p>
    <w:p w14:paraId="1BECE288" w14:textId="69BB2CEE" w:rsidR="007840DD" w:rsidRPr="00614BA9" w:rsidRDefault="007840DD" w:rsidP="007840DD">
      <w:pPr>
        <w:shd w:val="clear" w:color="auto" w:fill="FFFFFF"/>
        <w:spacing w:after="0" w:line="240" w:lineRule="auto"/>
        <w:rPr>
          <w:rFonts w:eastAsia="Times New Roman"/>
          <w:color w:val="000000"/>
          <w:lang w:eastAsia="en-AU"/>
        </w:rPr>
      </w:pPr>
    </w:p>
    <w:p w14:paraId="3CE0752A" w14:textId="763D97C8" w:rsidR="007840DD" w:rsidRPr="00614BA9" w:rsidRDefault="007840DD" w:rsidP="007840DD">
      <w:pPr>
        <w:shd w:val="clear" w:color="auto" w:fill="FFFFFF"/>
        <w:spacing w:after="0" w:line="240" w:lineRule="auto"/>
        <w:rPr>
          <w:rFonts w:ascii="Calibri" w:eastAsia="Times New Roman" w:hAnsi="Calibri" w:cs="Calibri"/>
          <w:color w:val="000000"/>
          <w:sz w:val="22"/>
          <w:szCs w:val="22"/>
          <w:lang w:eastAsia="en-AU"/>
        </w:rPr>
      </w:pPr>
      <w:r w:rsidRPr="00614BA9">
        <w:rPr>
          <w:rFonts w:eastAsia="Times New Roman"/>
          <w:color w:val="000000"/>
          <w:lang w:eastAsia="en-AU"/>
        </w:rPr>
        <w:t>Under subsection 33(3) of the </w:t>
      </w:r>
      <w:r w:rsidRPr="00614BA9">
        <w:rPr>
          <w:rFonts w:eastAsia="Times New Roman"/>
          <w:i/>
          <w:iCs/>
          <w:color w:val="000000"/>
          <w:lang w:eastAsia="en-AU"/>
        </w:rPr>
        <w:t>Acts Interpretation Act 1901</w:t>
      </w:r>
      <w:r w:rsidRPr="00614BA9">
        <w:rPr>
          <w:rFonts w:eastAsia="Times New Roman"/>
          <w:color w:val="000000"/>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015A31" w:rsidRPr="00614BA9">
        <w:rPr>
          <w:rFonts w:eastAsia="Times New Roman"/>
          <w:color w:val="000000"/>
          <w:lang w:eastAsia="en-AU"/>
        </w:rPr>
        <w:t xml:space="preserve"> </w:t>
      </w:r>
    </w:p>
    <w:p w14:paraId="4CB7A923" w14:textId="77777777" w:rsidR="007840DD" w:rsidRPr="00614BA9" w:rsidRDefault="007840DD" w:rsidP="007840DD">
      <w:pPr>
        <w:shd w:val="clear" w:color="auto" w:fill="FFFFFF"/>
        <w:spacing w:after="0" w:line="240" w:lineRule="auto"/>
        <w:rPr>
          <w:rFonts w:ascii="Calibri" w:eastAsia="Times New Roman" w:hAnsi="Calibri" w:cs="Calibri"/>
          <w:color w:val="000000"/>
          <w:sz w:val="22"/>
          <w:szCs w:val="22"/>
          <w:lang w:eastAsia="en-AU"/>
        </w:rPr>
      </w:pPr>
    </w:p>
    <w:p w14:paraId="02374DED" w14:textId="6246E74A" w:rsidR="00222E85" w:rsidRPr="00614BA9" w:rsidRDefault="00222E85" w:rsidP="00222E85">
      <w:pPr>
        <w:pStyle w:val="numberpara"/>
        <w:spacing w:before="0" w:line="240" w:lineRule="auto"/>
        <w:rPr>
          <w:rFonts w:ascii="Tms Rmn" w:hAnsi="Tms Rmn"/>
          <w:b/>
          <w:lang w:val="en-AU"/>
        </w:rPr>
      </w:pPr>
      <w:r w:rsidRPr="00614BA9">
        <w:rPr>
          <w:rFonts w:ascii="Tms Rmn" w:hAnsi="Tms Rmn"/>
          <w:b/>
          <w:lang w:val="en-AU"/>
        </w:rPr>
        <w:t>Purpose and operation</w:t>
      </w:r>
    </w:p>
    <w:p w14:paraId="1EB52257" w14:textId="77777777" w:rsidR="00222E85" w:rsidRPr="00614BA9" w:rsidRDefault="00222E85" w:rsidP="00222E85">
      <w:pPr>
        <w:pStyle w:val="numberpara"/>
        <w:spacing w:before="0" w:line="240" w:lineRule="auto"/>
        <w:rPr>
          <w:rFonts w:ascii="Tms Rmn" w:hAnsi="Tms Rmn"/>
          <w:b/>
          <w:lang w:val="en-AU"/>
        </w:rPr>
      </w:pPr>
    </w:p>
    <w:p w14:paraId="25F321A6" w14:textId="25E60594" w:rsidR="00222E85" w:rsidRPr="00614BA9" w:rsidRDefault="00222E85" w:rsidP="00222E85">
      <w:pPr>
        <w:pStyle w:val="numberpara"/>
        <w:spacing w:before="0" w:line="240" w:lineRule="auto"/>
      </w:pPr>
      <w:r w:rsidRPr="00614BA9">
        <w:t xml:space="preserve">The </w:t>
      </w:r>
      <w:r w:rsidRPr="00614BA9">
        <w:rPr>
          <w:i/>
          <w:iCs/>
        </w:rPr>
        <w:t>Medical Indemnity Rules 2020</w:t>
      </w:r>
      <w:r w:rsidRPr="00614BA9">
        <w:t xml:space="preserve"> and the </w:t>
      </w:r>
      <w:r w:rsidRPr="00614BA9">
        <w:rPr>
          <w:i/>
          <w:iCs/>
        </w:rPr>
        <w:t>Midwife Professional Indemnity (Commonwealth Contribution) Scheme Rules 2020</w:t>
      </w:r>
      <w:r w:rsidRPr="00614BA9">
        <w:t xml:space="preserve"> (Medical and Midwife Indemnity Rules) were amended on 1 April 2020 by the </w:t>
      </w:r>
      <w:r w:rsidRPr="00614BA9">
        <w:rPr>
          <w:i/>
          <w:iCs/>
        </w:rPr>
        <w:t>Medical and Midwife Indemnity Legislation Amendment (Eligible Run</w:t>
      </w:r>
      <w:r w:rsidR="00A142C7" w:rsidRPr="00614BA9">
        <w:rPr>
          <w:i/>
          <w:iCs/>
        </w:rPr>
        <w:t>-</w:t>
      </w:r>
      <w:r w:rsidRPr="00614BA9">
        <w:rPr>
          <w:i/>
          <w:iCs/>
        </w:rPr>
        <w:t>off Claims) Rules 2020</w:t>
      </w:r>
      <w:r w:rsidRPr="00614BA9">
        <w:t xml:space="preserve"> (2020 Amending Instrument).</w:t>
      </w:r>
    </w:p>
    <w:p w14:paraId="7B5EB711" w14:textId="77777777" w:rsidR="00222E85" w:rsidRPr="00614BA9" w:rsidRDefault="00222E85" w:rsidP="00222E85">
      <w:pPr>
        <w:pStyle w:val="numberpara"/>
        <w:spacing w:before="0" w:line="240" w:lineRule="auto"/>
      </w:pPr>
    </w:p>
    <w:p w14:paraId="7BA1F83D" w14:textId="129A31E0" w:rsidR="00222E85" w:rsidRPr="00614BA9" w:rsidRDefault="00222E85" w:rsidP="00222E85">
      <w:pPr>
        <w:pStyle w:val="numberpara"/>
        <w:spacing w:before="0" w:line="240" w:lineRule="auto"/>
      </w:pPr>
      <w:r w:rsidRPr="00614BA9">
        <w:t>The 2020 Amending Instrument insert</w:t>
      </w:r>
      <w:r w:rsidR="0054630F" w:rsidRPr="00614BA9">
        <w:t>ed</w:t>
      </w:r>
      <w:r w:rsidRPr="00614BA9">
        <w:t xml:space="preserve"> a temporary exemption that applies to any </w:t>
      </w:r>
      <w:r w:rsidR="007840DD" w:rsidRPr="00614BA9">
        <w:t>medical practitioner</w:t>
      </w:r>
      <w:r w:rsidRPr="00614BA9">
        <w:t xml:space="preserve"> or eligible midwife (midwives endorsed by the Nursing and Midwifery Board of Australia to prescribe scheduled medicines)</w:t>
      </w:r>
      <w:r w:rsidR="007840DD" w:rsidRPr="00614BA9">
        <w:t>, within the meaning of subsection 4(1) of the MI Act and subsection 5(1) of the MPICCS Act, respectively,</w:t>
      </w:r>
      <w:r w:rsidRPr="00614BA9">
        <w:t xml:space="preserve"> who is eligible for the Run-off Cover Scheme and who returns to private practice. This temporary exemption allows retired </w:t>
      </w:r>
      <w:r w:rsidR="007840DD" w:rsidRPr="00614BA9">
        <w:t>medical practitioners</w:t>
      </w:r>
      <w:r w:rsidRPr="00614BA9">
        <w:t xml:space="preserve"> and </w:t>
      </w:r>
      <w:r w:rsidR="007840DD" w:rsidRPr="00614BA9">
        <w:t>eligible</w:t>
      </w:r>
      <w:r w:rsidRPr="00614BA9">
        <w:t xml:space="preserve"> midwives to return to private practice to provide treatment during the COVID-19 pandemic without losing their eligibility </w:t>
      </w:r>
      <w:r w:rsidR="0054630F" w:rsidRPr="00614BA9">
        <w:t xml:space="preserve">for medical indemnity insurance </w:t>
      </w:r>
      <w:r w:rsidRPr="00614BA9">
        <w:t>under the Run-off Cover Scheme</w:t>
      </w:r>
      <w:r w:rsidR="005B08B1" w:rsidRPr="00614BA9">
        <w:t xml:space="preserve"> (the temporary exemption)</w:t>
      </w:r>
      <w:r w:rsidRPr="00614BA9">
        <w:t>.</w:t>
      </w:r>
    </w:p>
    <w:p w14:paraId="0FBD401D" w14:textId="77777777" w:rsidR="00222E85" w:rsidRPr="00614BA9" w:rsidRDefault="00222E85" w:rsidP="00222E85">
      <w:pPr>
        <w:pStyle w:val="numberpara"/>
        <w:spacing w:before="0" w:line="240" w:lineRule="auto"/>
      </w:pPr>
    </w:p>
    <w:p w14:paraId="6758E4EE" w14:textId="165D6822" w:rsidR="005B08B1" w:rsidRPr="00614BA9" w:rsidRDefault="00AB4B6F" w:rsidP="00222E85">
      <w:pPr>
        <w:pStyle w:val="numberpara"/>
        <w:spacing w:before="0" w:line="240" w:lineRule="auto"/>
      </w:pPr>
      <w:r w:rsidRPr="00614BA9">
        <w:t>On 17 May 2022</w:t>
      </w:r>
      <w:r w:rsidR="00222E85" w:rsidRPr="00614BA9">
        <w:t xml:space="preserve"> the </w:t>
      </w:r>
      <w:r w:rsidR="00222E85" w:rsidRPr="00614BA9">
        <w:rPr>
          <w:i/>
          <w:iCs/>
        </w:rPr>
        <w:t>Medical and Midwife Indemnity Legislation Amendment (Eligible Run-off Claims) Rules 2022</w:t>
      </w:r>
      <w:r w:rsidR="00222E85" w:rsidRPr="00614BA9">
        <w:t xml:space="preserve"> (</w:t>
      </w:r>
      <w:r w:rsidR="007840DD" w:rsidRPr="00614BA9">
        <w:t>2022</w:t>
      </w:r>
      <w:r w:rsidR="00222E85" w:rsidRPr="00614BA9">
        <w:t xml:space="preserve"> Amending </w:t>
      </w:r>
      <w:r w:rsidR="007840DD" w:rsidRPr="00614BA9">
        <w:t>Instrument No 1</w:t>
      </w:r>
      <w:r w:rsidR="00222E85" w:rsidRPr="00614BA9">
        <w:t>) extend</w:t>
      </w:r>
      <w:r w:rsidRPr="00614BA9">
        <w:t>ed</w:t>
      </w:r>
      <w:r w:rsidR="00222E85" w:rsidRPr="00614BA9">
        <w:t xml:space="preserve"> the temporary Run-off Cover Scheme exemption from 17 May 2022 to 21 October 2022</w:t>
      </w:r>
      <w:r w:rsidR="003E76ED" w:rsidRPr="00614BA9">
        <w:t xml:space="preserve">. </w:t>
      </w:r>
      <w:r w:rsidR="00222E85" w:rsidRPr="00614BA9">
        <w:t>Th</w:t>
      </w:r>
      <w:r w:rsidR="0054630F" w:rsidRPr="00614BA9">
        <w:t>e</w:t>
      </w:r>
      <w:r w:rsidR="007840DD" w:rsidRPr="00614BA9">
        <w:t xml:space="preserve"> 2022</w:t>
      </w:r>
      <w:r w:rsidR="0054630F" w:rsidRPr="00614BA9">
        <w:t xml:space="preserve"> Amending </w:t>
      </w:r>
      <w:r w:rsidR="007840DD" w:rsidRPr="00614BA9">
        <w:t>Instrument No 1 was</w:t>
      </w:r>
      <w:r w:rsidR="0054630F" w:rsidRPr="00614BA9">
        <w:t xml:space="preserve"> made to </w:t>
      </w:r>
      <w:r w:rsidR="005B08B1" w:rsidRPr="00614BA9">
        <w:t xml:space="preserve">align </w:t>
      </w:r>
      <w:r w:rsidR="00585EF7" w:rsidRPr="00614BA9">
        <w:t xml:space="preserve">with </w:t>
      </w:r>
      <w:r w:rsidR="005B08B1" w:rsidRPr="00614BA9">
        <w:t>the cessation date for the temporary exemption to the Australian Health Practitioner Regulation Agency (A</w:t>
      </w:r>
      <w:r w:rsidR="00EA198A" w:rsidRPr="00614BA9">
        <w:t>hpra</w:t>
      </w:r>
      <w:r w:rsidR="005B08B1" w:rsidRPr="00614BA9">
        <w:t>) pandemic sub-register</w:t>
      </w:r>
      <w:r w:rsidR="00380584" w:rsidRPr="00614BA9">
        <w:t>.</w:t>
      </w:r>
    </w:p>
    <w:p w14:paraId="14072A43" w14:textId="77777777" w:rsidR="005B08B1" w:rsidRPr="00614BA9" w:rsidRDefault="005B08B1" w:rsidP="00222E85">
      <w:pPr>
        <w:pStyle w:val="numberpara"/>
        <w:spacing w:before="0" w:line="240" w:lineRule="auto"/>
      </w:pPr>
    </w:p>
    <w:p w14:paraId="71ED1757" w14:textId="3DB79DD1" w:rsidR="005B08B1" w:rsidRPr="00614BA9" w:rsidRDefault="005B08B1" w:rsidP="005B08B1">
      <w:pPr>
        <w:pStyle w:val="numberpara"/>
        <w:spacing w:before="0" w:line="240" w:lineRule="auto"/>
      </w:pPr>
      <w:r w:rsidRPr="00614BA9">
        <w:lastRenderedPageBreak/>
        <w:t>The A</w:t>
      </w:r>
      <w:r w:rsidR="00EA198A" w:rsidRPr="00614BA9">
        <w:t>hpra</w:t>
      </w:r>
      <w:r w:rsidRPr="00614BA9">
        <w:t xml:space="preserve"> pandemic sub-register was established </w:t>
      </w:r>
      <w:r w:rsidR="001647EC" w:rsidRPr="00614BA9">
        <w:t>in</w:t>
      </w:r>
      <w:r w:rsidR="007840B0" w:rsidRPr="00614BA9">
        <w:t xml:space="preserve"> April </w:t>
      </w:r>
      <w:r w:rsidRPr="00614BA9">
        <w:t xml:space="preserve">2020 to allow the health workforce to respond to the changing environment of the COVID-19 pandemic by ensuring there is an adequate number of registered healthcare professionals. The healthcare system has continued to sustain pressure during the COVID-19 pandemic, </w:t>
      </w:r>
      <w:r w:rsidR="007840B0" w:rsidRPr="00614BA9">
        <w:t>so the closure date for the sub-register has been extended on three occasions. The sub-register is now due to expire at midnight on 21 September 2023.</w:t>
      </w:r>
    </w:p>
    <w:p w14:paraId="274DAD6C" w14:textId="77777777" w:rsidR="007840B0" w:rsidRPr="00614BA9" w:rsidRDefault="007840B0" w:rsidP="005B08B1">
      <w:pPr>
        <w:pStyle w:val="numberpara"/>
        <w:spacing w:before="0" w:line="240" w:lineRule="auto"/>
      </w:pPr>
    </w:p>
    <w:p w14:paraId="36B10BCB" w14:textId="58537047" w:rsidR="00222E85" w:rsidRPr="00614BA9" w:rsidRDefault="00C24945" w:rsidP="00222E85">
      <w:pPr>
        <w:pStyle w:val="numberpara"/>
        <w:spacing w:before="0" w:line="240" w:lineRule="auto"/>
      </w:pPr>
      <w:r w:rsidRPr="00614BA9">
        <w:t xml:space="preserve">On 21 October 2022 the </w:t>
      </w:r>
      <w:r w:rsidRPr="00614BA9">
        <w:rPr>
          <w:i/>
          <w:iCs/>
        </w:rPr>
        <w:t>Medical and Midwife Indemnity Legislation Amendment (Eligible Run-off Claims) (No 2) Rules 2022</w:t>
      </w:r>
      <w:r w:rsidRPr="00614BA9">
        <w:t xml:space="preserve"> (2022 Amending Instrument No 2) extended the temporary Run-off Cover Scheme exemption from 21 October 2022 to 31 December 2022.</w:t>
      </w:r>
    </w:p>
    <w:p w14:paraId="411E47F5" w14:textId="77777777" w:rsidR="00222E85" w:rsidRPr="00614BA9" w:rsidRDefault="00222E85" w:rsidP="00222E85">
      <w:pPr>
        <w:pStyle w:val="numberpara"/>
        <w:spacing w:before="0" w:line="240" w:lineRule="auto"/>
      </w:pPr>
    </w:p>
    <w:p w14:paraId="7688AA01" w14:textId="0173326A" w:rsidR="00882EFD" w:rsidRPr="00614BA9" w:rsidRDefault="00015A31" w:rsidP="00222E85">
      <w:pPr>
        <w:pStyle w:val="numberpara"/>
        <w:spacing w:before="0" w:line="240" w:lineRule="auto"/>
      </w:pPr>
      <w:r w:rsidRPr="00614BA9">
        <w:t xml:space="preserve">The </w:t>
      </w:r>
      <w:r w:rsidRPr="00614BA9">
        <w:rPr>
          <w:i/>
          <w:iCs/>
        </w:rPr>
        <w:t>Medical and Midwife Indemnity Legislation Amendment (Eligible Run-off Claims)</w:t>
      </w:r>
      <w:r w:rsidR="003F1267" w:rsidRPr="00614BA9">
        <w:rPr>
          <w:i/>
          <w:iCs/>
        </w:rPr>
        <w:t xml:space="preserve"> (No 3)</w:t>
      </w:r>
      <w:r w:rsidRPr="00614BA9">
        <w:rPr>
          <w:i/>
          <w:iCs/>
        </w:rPr>
        <w:t xml:space="preserve"> Rules 202</w:t>
      </w:r>
      <w:r w:rsidR="003F1267" w:rsidRPr="00614BA9">
        <w:rPr>
          <w:i/>
          <w:iCs/>
        </w:rPr>
        <w:t>2</w:t>
      </w:r>
      <w:r w:rsidRPr="00614BA9">
        <w:t xml:space="preserve"> (202</w:t>
      </w:r>
      <w:r w:rsidR="003F1267" w:rsidRPr="00614BA9">
        <w:t>2</w:t>
      </w:r>
      <w:r w:rsidRPr="00614BA9">
        <w:t xml:space="preserve"> Amending Instrument</w:t>
      </w:r>
      <w:r w:rsidR="003F1267" w:rsidRPr="00614BA9">
        <w:t xml:space="preserve"> No 3</w:t>
      </w:r>
      <w:r w:rsidRPr="00614BA9">
        <w:t xml:space="preserve">) will extend the temporary exemption to </w:t>
      </w:r>
      <w:r w:rsidR="00380584" w:rsidRPr="00614BA9">
        <w:t xml:space="preserve">midnight on </w:t>
      </w:r>
      <w:r w:rsidRPr="00614BA9">
        <w:t>21 September 2023</w:t>
      </w:r>
      <w:r w:rsidR="00380584" w:rsidRPr="00614BA9">
        <w:t xml:space="preserve"> (noting that day has the ordinary meaning as provided by section</w:t>
      </w:r>
      <w:r w:rsidR="0038744D" w:rsidRPr="00614BA9">
        <w:rPr>
          <w:color w:val="000000"/>
        </w:rPr>
        <w:t xml:space="preserve"> 36(1) of the </w:t>
      </w:r>
      <w:r w:rsidR="0038744D" w:rsidRPr="00614BA9">
        <w:rPr>
          <w:i/>
          <w:iCs/>
          <w:color w:val="000000"/>
        </w:rPr>
        <w:t>Acts Interpretation Act 1901</w:t>
      </w:r>
      <w:r w:rsidR="00380584" w:rsidRPr="00614BA9">
        <w:rPr>
          <w:color w:val="000000"/>
        </w:rPr>
        <w:t>).</w:t>
      </w:r>
      <w:r w:rsidR="0038744D" w:rsidRPr="00614BA9">
        <w:rPr>
          <w:color w:val="000000"/>
        </w:rPr>
        <w:t xml:space="preserve"> </w:t>
      </w:r>
      <w:r w:rsidR="00222E85" w:rsidRPr="00614BA9">
        <w:t xml:space="preserve">This change will ensure that private sector retired </w:t>
      </w:r>
      <w:r w:rsidR="007840DD" w:rsidRPr="00614BA9">
        <w:t>medical practitioners</w:t>
      </w:r>
      <w:r w:rsidR="00222E85" w:rsidRPr="00614BA9">
        <w:t xml:space="preserve"> and eligible midwives can continue to assist with the COVID-19 Pandemic Response </w:t>
      </w:r>
      <w:r w:rsidR="00636816" w:rsidRPr="00614BA9">
        <w:t xml:space="preserve">until 21 September 2023, </w:t>
      </w:r>
      <w:r w:rsidR="00222E85" w:rsidRPr="00614BA9">
        <w:t xml:space="preserve">without losing their </w:t>
      </w:r>
      <w:r w:rsidR="00636816" w:rsidRPr="00614BA9">
        <w:t xml:space="preserve">professional indemnity </w:t>
      </w:r>
      <w:r w:rsidR="00222E85" w:rsidRPr="00614BA9">
        <w:t>entitlements under the Run-off Cover Scheme</w:t>
      </w:r>
      <w:r w:rsidR="00882EFD" w:rsidRPr="00614BA9">
        <w:t>.</w:t>
      </w:r>
    </w:p>
    <w:p w14:paraId="0FA882C4" w14:textId="77777777" w:rsidR="00222E85" w:rsidRPr="00614BA9" w:rsidRDefault="00222E85" w:rsidP="00222E85">
      <w:pPr>
        <w:pStyle w:val="numberpara"/>
        <w:spacing w:before="0" w:line="240" w:lineRule="auto"/>
      </w:pPr>
    </w:p>
    <w:p w14:paraId="6C2404F3" w14:textId="77777777" w:rsidR="007840DD" w:rsidRPr="00614BA9" w:rsidRDefault="007840DD" w:rsidP="007840DD">
      <w:pPr>
        <w:pStyle w:val="numberpara"/>
        <w:spacing w:before="0" w:line="240" w:lineRule="auto"/>
        <w:rPr>
          <w:b/>
          <w:bCs/>
        </w:rPr>
      </w:pPr>
      <w:r w:rsidRPr="00614BA9">
        <w:rPr>
          <w:b/>
          <w:bCs/>
        </w:rPr>
        <w:t xml:space="preserve">Consultation </w:t>
      </w:r>
    </w:p>
    <w:p w14:paraId="3CDECF0C" w14:textId="77777777" w:rsidR="007840DD" w:rsidRPr="00614BA9" w:rsidRDefault="007840DD" w:rsidP="007840DD">
      <w:pPr>
        <w:pStyle w:val="numberpara"/>
        <w:spacing w:before="0" w:line="240" w:lineRule="auto"/>
      </w:pPr>
    </w:p>
    <w:p w14:paraId="4AB9C112" w14:textId="2CEB1504" w:rsidR="007840DD" w:rsidRPr="00614BA9" w:rsidRDefault="007840DD" w:rsidP="007840DD">
      <w:pPr>
        <w:pStyle w:val="numberpara"/>
        <w:spacing w:before="0" w:line="240" w:lineRule="auto"/>
        <w:rPr>
          <w:color w:val="000000"/>
          <w:shd w:val="clear" w:color="auto" w:fill="FFFFFF"/>
        </w:rPr>
      </w:pPr>
      <w:r w:rsidRPr="00614BA9">
        <w:rPr>
          <w:color w:val="000000"/>
          <w:shd w:val="clear" w:color="auto" w:fill="FFFFFF"/>
        </w:rPr>
        <w:t xml:space="preserve">The policy of ensuring that </w:t>
      </w:r>
      <w:r w:rsidR="00636816" w:rsidRPr="00614BA9">
        <w:rPr>
          <w:color w:val="000000"/>
          <w:shd w:val="clear" w:color="auto" w:fill="FFFFFF"/>
        </w:rPr>
        <w:t>retire</w:t>
      </w:r>
      <w:r w:rsidR="00636816" w:rsidRPr="00614BA9">
        <w:t>d medical practitioners and eligible midwives</w:t>
      </w:r>
      <w:r w:rsidRPr="00614BA9">
        <w:rPr>
          <w:color w:val="000000"/>
          <w:shd w:val="clear" w:color="auto" w:fill="FFFFFF"/>
        </w:rPr>
        <w:t xml:space="preserve"> </w:t>
      </w:r>
      <w:r w:rsidR="00636816" w:rsidRPr="00614BA9">
        <w:rPr>
          <w:color w:val="000000"/>
          <w:shd w:val="clear" w:color="auto" w:fill="FFFFFF"/>
        </w:rPr>
        <w:t xml:space="preserve">returning to the workforce </w:t>
      </w:r>
      <w:r w:rsidRPr="00614BA9">
        <w:rPr>
          <w:color w:val="000000"/>
          <w:shd w:val="clear" w:color="auto" w:fill="FFFFFF"/>
        </w:rPr>
        <w:t>do not lose their R</w:t>
      </w:r>
      <w:r w:rsidR="001647EC" w:rsidRPr="00614BA9">
        <w:rPr>
          <w:color w:val="000000"/>
          <w:shd w:val="clear" w:color="auto" w:fill="FFFFFF"/>
        </w:rPr>
        <w:t xml:space="preserve">un-off Cover Scheme entitlements </w:t>
      </w:r>
      <w:r w:rsidRPr="00614BA9">
        <w:rPr>
          <w:color w:val="000000"/>
          <w:shd w:val="clear" w:color="auto" w:fill="FFFFFF"/>
        </w:rPr>
        <w:t>has been the subject of consultation with medical indemnity insurers.</w:t>
      </w:r>
    </w:p>
    <w:p w14:paraId="132C44B9" w14:textId="54A03346" w:rsidR="0045416C" w:rsidRPr="00614BA9" w:rsidRDefault="0045416C" w:rsidP="0045416C">
      <w:pPr>
        <w:shd w:val="clear" w:color="auto" w:fill="FFFFFF"/>
        <w:spacing w:after="0" w:line="240" w:lineRule="auto"/>
        <w:rPr>
          <w:rFonts w:ascii="Calibri" w:eastAsia="Times New Roman" w:hAnsi="Calibri" w:cs="Calibri"/>
          <w:color w:val="000000"/>
          <w:sz w:val="22"/>
          <w:szCs w:val="22"/>
          <w:lang w:eastAsia="en-AU"/>
        </w:rPr>
      </w:pPr>
      <w:r w:rsidRPr="00614BA9">
        <w:rPr>
          <w:rFonts w:eastAsia="Times New Roman"/>
          <w:color w:val="000000"/>
          <w:lang w:eastAsia="en-AU"/>
        </w:rPr>
        <w:t> </w:t>
      </w:r>
    </w:p>
    <w:p w14:paraId="71296720" w14:textId="77777777" w:rsidR="009E0964" w:rsidRPr="00614BA9" w:rsidRDefault="009E0964" w:rsidP="0045416C">
      <w:pPr>
        <w:shd w:val="clear" w:color="auto" w:fill="FFFFFF"/>
        <w:spacing w:after="0" w:line="240" w:lineRule="auto"/>
        <w:rPr>
          <w:rFonts w:eastAsia="Times New Roman"/>
          <w:b/>
          <w:bCs/>
          <w:color w:val="000000"/>
          <w:lang w:eastAsia="en-AU"/>
        </w:rPr>
      </w:pPr>
      <w:r w:rsidRPr="00614BA9">
        <w:rPr>
          <w:rFonts w:eastAsia="Times New Roman"/>
          <w:b/>
          <w:bCs/>
          <w:color w:val="000000"/>
          <w:lang w:eastAsia="en-AU"/>
        </w:rPr>
        <w:t>Commencement</w:t>
      </w:r>
    </w:p>
    <w:p w14:paraId="77FC7DA7" w14:textId="77777777" w:rsidR="009E0964" w:rsidRPr="00614BA9" w:rsidRDefault="009E0964" w:rsidP="0045416C">
      <w:pPr>
        <w:shd w:val="clear" w:color="auto" w:fill="FFFFFF"/>
        <w:spacing w:after="0" w:line="240" w:lineRule="auto"/>
        <w:rPr>
          <w:rFonts w:eastAsia="Times New Roman"/>
          <w:b/>
          <w:bCs/>
          <w:color w:val="000000"/>
          <w:lang w:eastAsia="en-AU"/>
        </w:rPr>
      </w:pPr>
    </w:p>
    <w:p w14:paraId="4938E5ED" w14:textId="2F00C461" w:rsidR="0045416C" w:rsidRPr="00614BA9" w:rsidRDefault="0045416C" w:rsidP="00015A31">
      <w:pPr>
        <w:pStyle w:val="numberpara"/>
        <w:spacing w:before="0" w:line="240" w:lineRule="auto"/>
        <w:rPr>
          <w:color w:val="000000"/>
        </w:rPr>
      </w:pPr>
      <w:r w:rsidRPr="00614BA9">
        <w:rPr>
          <w:color w:val="000000"/>
          <w:shd w:val="clear" w:color="auto" w:fill="FFFFFF"/>
        </w:rPr>
        <w:t xml:space="preserve">The </w:t>
      </w:r>
      <w:r w:rsidR="00D70209" w:rsidRPr="00614BA9">
        <w:rPr>
          <w:i/>
          <w:iCs/>
          <w:color w:val="000000"/>
          <w:shd w:val="clear" w:color="auto" w:fill="FFFFFF"/>
        </w:rPr>
        <w:t xml:space="preserve">Medical and Midwife Indemnity Legislation Amendment (Eligible Run-off Claims) </w:t>
      </w:r>
      <w:r w:rsidR="003F1267" w:rsidRPr="00614BA9">
        <w:rPr>
          <w:i/>
          <w:iCs/>
          <w:color w:val="000000"/>
          <w:shd w:val="clear" w:color="auto" w:fill="FFFFFF"/>
        </w:rPr>
        <w:t xml:space="preserve">(No 3) </w:t>
      </w:r>
      <w:r w:rsidR="00D70209" w:rsidRPr="00614BA9">
        <w:rPr>
          <w:i/>
          <w:iCs/>
          <w:color w:val="000000"/>
          <w:shd w:val="clear" w:color="auto" w:fill="FFFFFF"/>
        </w:rPr>
        <w:t>Rules 202</w:t>
      </w:r>
      <w:r w:rsidR="003F1267" w:rsidRPr="00614BA9">
        <w:rPr>
          <w:i/>
          <w:iCs/>
          <w:color w:val="000000"/>
          <w:shd w:val="clear" w:color="auto" w:fill="FFFFFF"/>
        </w:rPr>
        <w:t>2</w:t>
      </w:r>
      <w:r w:rsidR="00D70209" w:rsidRPr="00614BA9">
        <w:rPr>
          <w:color w:val="000000"/>
          <w:shd w:val="clear" w:color="auto" w:fill="FFFFFF"/>
        </w:rPr>
        <w:t xml:space="preserve"> (</w:t>
      </w:r>
      <w:r w:rsidR="00015A31" w:rsidRPr="00614BA9">
        <w:rPr>
          <w:color w:val="000000"/>
          <w:shd w:val="clear" w:color="auto" w:fill="FFFFFF"/>
        </w:rPr>
        <w:t>202</w:t>
      </w:r>
      <w:r w:rsidR="003F1267" w:rsidRPr="00614BA9">
        <w:rPr>
          <w:color w:val="000000"/>
          <w:shd w:val="clear" w:color="auto" w:fill="FFFFFF"/>
        </w:rPr>
        <w:t>2</w:t>
      </w:r>
      <w:r w:rsidR="00015A31" w:rsidRPr="00614BA9">
        <w:rPr>
          <w:color w:val="000000"/>
          <w:shd w:val="clear" w:color="auto" w:fill="FFFFFF"/>
        </w:rPr>
        <w:t xml:space="preserve"> </w:t>
      </w:r>
      <w:r w:rsidR="00D70209" w:rsidRPr="00614BA9">
        <w:rPr>
          <w:color w:val="000000"/>
          <w:shd w:val="clear" w:color="auto" w:fill="FFFFFF"/>
        </w:rPr>
        <w:t>Amending Instrument</w:t>
      </w:r>
      <w:r w:rsidR="003F1267" w:rsidRPr="00614BA9">
        <w:rPr>
          <w:color w:val="000000"/>
          <w:shd w:val="clear" w:color="auto" w:fill="FFFFFF"/>
        </w:rPr>
        <w:t xml:space="preserve"> No 3</w:t>
      </w:r>
      <w:r w:rsidR="00D70209" w:rsidRPr="00614BA9">
        <w:rPr>
          <w:color w:val="000000"/>
          <w:shd w:val="clear" w:color="auto" w:fill="FFFFFF"/>
        </w:rPr>
        <w:t xml:space="preserve">) </w:t>
      </w:r>
      <w:r w:rsidR="00843627" w:rsidRPr="00614BA9">
        <w:rPr>
          <w:color w:val="000000"/>
        </w:rPr>
        <w:t xml:space="preserve">is a disallowable legislative instrument for the purposes of the </w:t>
      </w:r>
      <w:r w:rsidR="00843627" w:rsidRPr="00614BA9">
        <w:rPr>
          <w:i/>
          <w:color w:val="000000"/>
        </w:rPr>
        <w:t xml:space="preserve">Legislation Act </w:t>
      </w:r>
      <w:r w:rsidR="007840DD" w:rsidRPr="00614BA9">
        <w:rPr>
          <w:i/>
          <w:iCs/>
          <w:color w:val="000000"/>
        </w:rPr>
        <w:t>2003</w:t>
      </w:r>
      <w:r w:rsidR="00843627" w:rsidRPr="00614BA9">
        <w:rPr>
          <w:color w:val="000000"/>
        </w:rPr>
        <w:t xml:space="preserve"> and </w:t>
      </w:r>
      <w:r w:rsidRPr="00614BA9">
        <w:rPr>
          <w:color w:val="000000"/>
        </w:rPr>
        <w:t>commence</w:t>
      </w:r>
      <w:r w:rsidR="00843627" w:rsidRPr="00614BA9">
        <w:rPr>
          <w:color w:val="000000"/>
        </w:rPr>
        <w:t>s</w:t>
      </w:r>
      <w:r w:rsidRPr="00614BA9">
        <w:rPr>
          <w:color w:val="000000"/>
        </w:rPr>
        <w:t xml:space="preserve"> on </w:t>
      </w:r>
      <w:r w:rsidR="00096D18" w:rsidRPr="00614BA9">
        <w:rPr>
          <w:color w:val="000000"/>
        </w:rPr>
        <w:t>1 January 2023.</w:t>
      </w:r>
    </w:p>
    <w:p w14:paraId="4667608C" w14:textId="77777777" w:rsidR="003612D0" w:rsidRPr="00614BA9" w:rsidRDefault="003612D0" w:rsidP="003612D0">
      <w:pPr>
        <w:pStyle w:val="numberpara"/>
        <w:spacing w:before="0" w:line="240" w:lineRule="auto"/>
      </w:pPr>
    </w:p>
    <w:p w14:paraId="236287E4" w14:textId="36C9B0CB" w:rsidR="00222E85" w:rsidRPr="00614BA9" w:rsidRDefault="00222E85" w:rsidP="00222E85">
      <w:pPr>
        <w:shd w:val="clear" w:color="auto" w:fill="FFFFFF"/>
        <w:spacing w:after="0" w:line="240" w:lineRule="auto"/>
        <w:rPr>
          <w:rFonts w:eastAsia="Times New Roman"/>
          <w:color w:val="000000"/>
          <w:lang w:eastAsia="en-AU"/>
        </w:rPr>
      </w:pPr>
      <w:r w:rsidRPr="00614BA9">
        <w:rPr>
          <w:rFonts w:eastAsia="Times New Roman"/>
          <w:color w:val="000000"/>
          <w:lang w:eastAsia="en-AU"/>
        </w:rPr>
        <w:t xml:space="preserve">Details of the </w:t>
      </w:r>
      <w:r w:rsidR="007840DD" w:rsidRPr="00614BA9">
        <w:rPr>
          <w:rFonts w:eastAsia="Times New Roman"/>
          <w:color w:val="000000"/>
          <w:lang w:eastAsia="en-AU"/>
        </w:rPr>
        <w:t>202</w:t>
      </w:r>
      <w:r w:rsidR="003F1267" w:rsidRPr="00614BA9">
        <w:rPr>
          <w:rFonts w:eastAsia="Times New Roman"/>
          <w:color w:val="000000"/>
          <w:lang w:eastAsia="en-AU"/>
        </w:rPr>
        <w:t>2</w:t>
      </w:r>
      <w:r w:rsidRPr="00614BA9">
        <w:rPr>
          <w:rFonts w:eastAsia="Times New Roman"/>
          <w:color w:val="000000"/>
          <w:lang w:eastAsia="en-AU"/>
        </w:rPr>
        <w:t xml:space="preserve"> Amending </w:t>
      </w:r>
      <w:r w:rsidR="007840DD" w:rsidRPr="00614BA9">
        <w:rPr>
          <w:rFonts w:eastAsia="Times New Roman"/>
          <w:color w:val="000000"/>
          <w:lang w:eastAsia="en-AU"/>
        </w:rPr>
        <w:t xml:space="preserve">Instrument </w:t>
      </w:r>
      <w:r w:rsidR="003F1267" w:rsidRPr="00614BA9">
        <w:rPr>
          <w:rFonts w:eastAsia="Times New Roman"/>
          <w:color w:val="000000"/>
          <w:lang w:eastAsia="en-AU"/>
        </w:rPr>
        <w:t xml:space="preserve">No 3 </w:t>
      </w:r>
      <w:r w:rsidRPr="00614BA9">
        <w:rPr>
          <w:rFonts w:eastAsia="Times New Roman"/>
          <w:color w:val="000000"/>
          <w:lang w:eastAsia="en-AU"/>
        </w:rPr>
        <w:t>are set out in </w:t>
      </w:r>
      <w:r w:rsidRPr="00614BA9">
        <w:rPr>
          <w:rFonts w:eastAsia="Times New Roman"/>
          <w:b/>
          <w:bCs/>
          <w:color w:val="000000"/>
          <w:lang w:eastAsia="en-AU"/>
        </w:rPr>
        <w:t>Attachment A</w:t>
      </w:r>
      <w:r w:rsidRPr="00614BA9">
        <w:rPr>
          <w:rFonts w:eastAsia="Times New Roman"/>
          <w:color w:val="000000"/>
          <w:lang w:eastAsia="en-AU"/>
        </w:rPr>
        <w:t>.</w:t>
      </w:r>
    </w:p>
    <w:p w14:paraId="71D378EB" w14:textId="58D2B25A" w:rsidR="00843627" w:rsidRPr="00614BA9" w:rsidRDefault="00843627" w:rsidP="00222E85">
      <w:pPr>
        <w:shd w:val="clear" w:color="auto" w:fill="FFFFFF"/>
        <w:spacing w:after="0" w:line="240" w:lineRule="auto"/>
        <w:rPr>
          <w:rFonts w:eastAsia="Times New Roman"/>
          <w:color w:val="000000"/>
          <w:lang w:eastAsia="en-AU"/>
        </w:rPr>
      </w:pPr>
    </w:p>
    <w:p w14:paraId="2610FE97" w14:textId="72902EFD" w:rsidR="00843627" w:rsidRPr="00614BA9" w:rsidRDefault="00843627" w:rsidP="00222E85">
      <w:pPr>
        <w:shd w:val="clear" w:color="auto" w:fill="FFFFFF"/>
        <w:spacing w:after="0" w:line="240" w:lineRule="auto"/>
        <w:rPr>
          <w:rFonts w:eastAsia="Times New Roman"/>
          <w:b/>
          <w:bCs/>
          <w:color w:val="000000"/>
          <w:lang w:eastAsia="en-AU"/>
        </w:rPr>
      </w:pPr>
      <w:r w:rsidRPr="00614BA9">
        <w:rPr>
          <w:rFonts w:eastAsia="Times New Roman"/>
          <w:color w:val="000000"/>
          <w:lang w:eastAsia="en-AU"/>
        </w:rPr>
        <w:t xml:space="preserve">The </w:t>
      </w:r>
      <w:r w:rsidR="001F7A50" w:rsidRPr="00614BA9">
        <w:rPr>
          <w:rFonts w:eastAsia="Times New Roman"/>
          <w:color w:val="000000"/>
          <w:lang w:eastAsia="en-AU"/>
        </w:rPr>
        <w:t>202</w:t>
      </w:r>
      <w:r w:rsidR="003F1267" w:rsidRPr="00614BA9">
        <w:rPr>
          <w:rFonts w:eastAsia="Times New Roman"/>
          <w:color w:val="000000"/>
          <w:lang w:eastAsia="en-AU"/>
        </w:rPr>
        <w:t>2</w:t>
      </w:r>
      <w:r w:rsidR="001F7A50" w:rsidRPr="00614BA9">
        <w:rPr>
          <w:rFonts w:eastAsia="Times New Roman"/>
          <w:color w:val="000000"/>
          <w:lang w:eastAsia="en-AU"/>
        </w:rPr>
        <w:t xml:space="preserve"> </w:t>
      </w:r>
      <w:r w:rsidRPr="00614BA9">
        <w:rPr>
          <w:rFonts w:eastAsia="Times New Roman"/>
          <w:color w:val="000000"/>
          <w:lang w:eastAsia="en-AU"/>
        </w:rPr>
        <w:t xml:space="preserve">Amending </w:t>
      </w:r>
      <w:r w:rsidR="001F7A50" w:rsidRPr="00614BA9">
        <w:rPr>
          <w:rFonts w:eastAsia="Times New Roman"/>
          <w:color w:val="000000"/>
          <w:lang w:eastAsia="en-AU"/>
        </w:rPr>
        <w:t>Instrument</w:t>
      </w:r>
      <w:r w:rsidR="003F1267" w:rsidRPr="00614BA9">
        <w:rPr>
          <w:rFonts w:eastAsia="Times New Roman"/>
          <w:color w:val="000000"/>
          <w:lang w:eastAsia="en-AU"/>
        </w:rPr>
        <w:t xml:space="preserve"> No 3</w:t>
      </w:r>
      <w:r w:rsidR="001F7A50" w:rsidRPr="00614BA9">
        <w:rPr>
          <w:rFonts w:eastAsia="Times New Roman"/>
          <w:color w:val="000000"/>
          <w:lang w:eastAsia="en-AU"/>
        </w:rPr>
        <w:t xml:space="preserve"> is</w:t>
      </w:r>
      <w:r w:rsidRPr="00614BA9">
        <w:rPr>
          <w:rFonts w:eastAsia="Times New Roman"/>
          <w:color w:val="000000"/>
          <w:lang w:eastAsia="en-AU"/>
        </w:rPr>
        <w:t xml:space="preserve"> compatible with the human rights and freedoms recognised or declared under section 3 of the </w:t>
      </w:r>
      <w:r w:rsidRPr="00614BA9">
        <w:rPr>
          <w:rFonts w:eastAsia="Times New Roman"/>
          <w:i/>
          <w:iCs/>
          <w:color w:val="000000"/>
          <w:lang w:eastAsia="en-AU"/>
        </w:rPr>
        <w:t xml:space="preserve">Human Rights (Parliamentary Scrutiny) Act 2011. </w:t>
      </w:r>
      <w:r w:rsidRPr="00614BA9">
        <w:rPr>
          <w:rFonts w:eastAsia="Times New Roman"/>
          <w:color w:val="000000"/>
          <w:lang w:eastAsia="en-AU"/>
        </w:rPr>
        <w:t xml:space="preserve">A full statement of compatibility is set out in </w:t>
      </w:r>
      <w:r w:rsidRPr="00614BA9">
        <w:rPr>
          <w:rFonts w:eastAsia="Times New Roman"/>
          <w:b/>
          <w:bCs/>
          <w:color w:val="000000"/>
          <w:lang w:eastAsia="en-AU"/>
        </w:rPr>
        <w:t xml:space="preserve">Attachment B. </w:t>
      </w:r>
    </w:p>
    <w:p w14:paraId="5F7E3AC9" w14:textId="2BEA0D4B" w:rsidR="009D763B" w:rsidRPr="00614BA9" w:rsidRDefault="009D763B">
      <w:pPr>
        <w:spacing w:line="259" w:lineRule="auto"/>
        <w:rPr>
          <w:rFonts w:eastAsia="Times New Roman"/>
          <w:b/>
          <w:bCs/>
          <w:color w:val="000000"/>
          <w:lang w:eastAsia="en-AU"/>
        </w:rPr>
      </w:pPr>
      <w:r w:rsidRPr="00614BA9">
        <w:rPr>
          <w:rFonts w:eastAsia="Times New Roman"/>
          <w:b/>
          <w:bCs/>
          <w:color w:val="000000"/>
          <w:lang w:eastAsia="en-AU"/>
        </w:rPr>
        <w:br w:type="page"/>
      </w:r>
    </w:p>
    <w:p w14:paraId="19BBA93E" w14:textId="6CBF4526" w:rsidR="009618F0" w:rsidRPr="00614BA9" w:rsidRDefault="00AE411E" w:rsidP="009618F0">
      <w:pPr>
        <w:shd w:val="clear" w:color="auto" w:fill="FFFFFF"/>
        <w:spacing w:after="0" w:line="240" w:lineRule="auto"/>
        <w:jc w:val="right"/>
        <w:rPr>
          <w:rFonts w:eastAsia="Times New Roman"/>
          <w:color w:val="000000"/>
          <w:lang w:eastAsia="en-AU"/>
        </w:rPr>
      </w:pPr>
      <w:r w:rsidRPr="00614BA9">
        <w:rPr>
          <w:rFonts w:eastAsia="Times New Roman"/>
          <w:b/>
          <w:bCs/>
          <w:color w:val="000000"/>
          <w:lang w:eastAsia="en-AU"/>
        </w:rPr>
        <w:lastRenderedPageBreak/>
        <w:t xml:space="preserve">ATTACHMENT </w:t>
      </w:r>
      <w:r w:rsidR="000712D6" w:rsidRPr="00614BA9">
        <w:rPr>
          <w:rFonts w:eastAsia="Times New Roman"/>
          <w:b/>
          <w:bCs/>
          <w:color w:val="000000"/>
          <w:lang w:eastAsia="en-AU"/>
        </w:rPr>
        <w:t>A</w:t>
      </w:r>
    </w:p>
    <w:p w14:paraId="4E241A61" w14:textId="77777777" w:rsidR="00261127" w:rsidRPr="00614BA9" w:rsidRDefault="00261127" w:rsidP="009618F0">
      <w:pPr>
        <w:shd w:val="clear" w:color="auto" w:fill="FFFFFF"/>
        <w:spacing w:after="0" w:line="240" w:lineRule="auto"/>
        <w:ind w:right="-316"/>
        <w:jc w:val="right"/>
        <w:rPr>
          <w:rFonts w:ascii="Arial" w:eastAsia="Times New Roman" w:hAnsi="Arial" w:cs="Arial"/>
          <w:color w:val="000000"/>
          <w:sz w:val="22"/>
          <w:szCs w:val="22"/>
          <w:lang w:eastAsia="en-AU"/>
        </w:rPr>
      </w:pPr>
    </w:p>
    <w:p w14:paraId="0C1A3157" w14:textId="2067988C" w:rsidR="009618F0" w:rsidRPr="00614BA9" w:rsidRDefault="009618F0" w:rsidP="009618F0">
      <w:pPr>
        <w:shd w:val="clear" w:color="auto" w:fill="FFFFFF"/>
        <w:spacing w:after="0" w:line="240" w:lineRule="auto"/>
        <w:ind w:right="-316"/>
        <w:rPr>
          <w:rFonts w:ascii="Arial" w:eastAsia="Times New Roman" w:hAnsi="Arial" w:cs="Arial"/>
          <w:color w:val="000000"/>
          <w:sz w:val="22"/>
          <w:szCs w:val="22"/>
          <w:lang w:eastAsia="en-AU"/>
        </w:rPr>
      </w:pPr>
      <w:r w:rsidRPr="00614BA9">
        <w:rPr>
          <w:rFonts w:eastAsia="Times New Roman"/>
          <w:b/>
          <w:bCs/>
          <w:color w:val="000000"/>
          <w:u w:val="single"/>
          <w:lang w:eastAsia="en-AU"/>
        </w:rPr>
        <w:t>Details of the </w:t>
      </w:r>
      <w:r w:rsidRPr="00614BA9">
        <w:rPr>
          <w:rFonts w:eastAsia="Times New Roman"/>
          <w:b/>
          <w:bCs/>
          <w:i/>
          <w:iCs/>
          <w:color w:val="000000"/>
          <w:u w:val="single"/>
          <w:lang w:eastAsia="en-AU"/>
        </w:rPr>
        <w:t>Medical and Midwife Indemnity Legislation Amendment (Eligible Run</w:t>
      </w:r>
      <w:r w:rsidR="00A142C7" w:rsidRPr="00614BA9">
        <w:rPr>
          <w:rFonts w:eastAsia="Times New Roman"/>
          <w:b/>
          <w:bCs/>
          <w:i/>
          <w:iCs/>
          <w:color w:val="000000"/>
          <w:u w:val="single"/>
          <w:lang w:eastAsia="en-AU"/>
        </w:rPr>
        <w:t>-</w:t>
      </w:r>
      <w:r w:rsidRPr="00614BA9">
        <w:rPr>
          <w:rFonts w:eastAsia="Times New Roman"/>
          <w:b/>
          <w:bCs/>
          <w:i/>
          <w:iCs/>
          <w:color w:val="000000"/>
          <w:u w:val="single"/>
          <w:lang w:eastAsia="en-AU"/>
        </w:rPr>
        <w:t>off Claims)</w:t>
      </w:r>
      <w:r w:rsidR="003F1267" w:rsidRPr="00614BA9">
        <w:rPr>
          <w:rFonts w:eastAsia="Times New Roman"/>
          <w:b/>
          <w:bCs/>
          <w:i/>
          <w:iCs/>
          <w:color w:val="000000"/>
          <w:u w:val="single"/>
          <w:lang w:eastAsia="en-AU"/>
        </w:rPr>
        <w:t xml:space="preserve"> (No 3)</w:t>
      </w:r>
      <w:r w:rsidRPr="00614BA9">
        <w:rPr>
          <w:rFonts w:eastAsia="Times New Roman"/>
          <w:b/>
          <w:bCs/>
          <w:i/>
          <w:iCs/>
          <w:color w:val="000000"/>
          <w:u w:val="single"/>
          <w:lang w:eastAsia="en-AU"/>
        </w:rPr>
        <w:t xml:space="preserve"> Rules 202</w:t>
      </w:r>
      <w:r w:rsidR="003F1267" w:rsidRPr="00614BA9">
        <w:rPr>
          <w:rFonts w:eastAsia="Times New Roman"/>
          <w:b/>
          <w:bCs/>
          <w:i/>
          <w:iCs/>
          <w:color w:val="000000"/>
          <w:u w:val="single"/>
          <w:lang w:eastAsia="en-AU"/>
        </w:rPr>
        <w:t>2</w:t>
      </w:r>
    </w:p>
    <w:p w14:paraId="63E39133" w14:textId="77777777" w:rsidR="009618F0" w:rsidRPr="00614BA9" w:rsidRDefault="009618F0" w:rsidP="001E31FE">
      <w:pPr>
        <w:shd w:val="clear" w:color="auto" w:fill="FFFFFF"/>
        <w:spacing w:after="0" w:line="240" w:lineRule="auto"/>
        <w:ind w:right="-316"/>
        <w:jc w:val="right"/>
        <w:rPr>
          <w:rFonts w:ascii="Arial" w:eastAsia="Times New Roman" w:hAnsi="Arial" w:cs="Arial"/>
          <w:color w:val="000000"/>
          <w:sz w:val="22"/>
          <w:szCs w:val="22"/>
          <w:lang w:eastAsia="en-AU"/>
        </w:rPr>
      </w:pPr>
      <w:r w:rsidRPr="00614BA9">
        <w:rPr>
          <w:rFonts w:ascii="Arial" w:eastAsia="Times New Roman" w:hAnsi="Arial" w:cs="Arial"/>
          <w:color w:val="000000"/>
          <w:sz w:val="22"/>
          <w:szCs w:val="22"/>
          <w:lang w:eastAsia="en-AU"/>
        </w:rPr>
        <w:t>  </w:t>
      </w:r>
    </w:p>
    <w:p w14:paraId="2C462D04" w14:textId="77777777" w:rsidR="009618F0" w:rsidRPr="00614BA9" w:rsidRDefault="009618F0" w:rsidP="009618F0">
      <w:pPr>
        <w:shd w:val="clear" w:color="auto" w:fill="FFFFFF"/>
        <w:spacing w:after="0" w:line="240" w:lineRule="auto"/>
        <w:outlineLvl w:val="1"/>
        <w:rPr>
          <w:rFonts w:ascii="Arial" w:eastAsia="Times New Roman" w:hAnsi="Arial" w:cs="Arial"/>
          <w:b/>
          <w:bCs/>
          <w:i/>
          <w:iCs/>
          <w:color w:val="000000"/>
          <w:lang w:eastAsia="en-AU"/>
        </w:rPr>
      </w:pPr>
      <w:r w:rsidRPr="00614BA9">
        <w:rPr>
          <w:rFonts w:eastAsia="Times New Roman"/>
          <w:b/>
          <w:bCs/>
          <w:color w:val="000000"/>
          <w:lang w:eastAsia="en-AU"/>
        </w:rPr>
        <w:t>Section 1 – Name</w:t>
      </w:r>
    </w:p>
    <w:p w14:paraId="1B39C3FA" w14:textId="77777777" w:rsidR="009618F0" w:rsidRPr="00614BA9" w:rsidRDefault="009618F0"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 </w:t>
      </w:r>
    </w:p>
    <w:p w14:paraId="12201947" w14:textId="4D47A56D" w:rsidR="009618F0" w:rsidRPr="00614BA9" w:rsidRDefault="000712D6"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Section 1</w:t>
      </w:r>
      <w:r w:rsidR="009618F0" w:rsidRPr="00614BA9">
        <w:rPr>
          <w:rFonts w:eastAsia="Times New Roman"/>
          <w:color w:val="000000"/>
          <w:lang w:eastAsia="en-AU"/>
        </w:rPr>
        <w:t xml:space="preserve"> provides that the name of the instrument is the </w:t>
      </w:r>
      <w:r w:rsidR="009618F0" w:rsidRPr="00614BA9">
        <w:rPr>
          <w:rFonts w:eastAsia="Times New Roman"/>
          <w:i/>
          <w:iCs/>
          <w:color w:val="000000"/>
          <w:lang w:eastAsia="en-AU"/>
        </w:rPr>
        <w:t>Medical and Midwife Indemnity Legislation Amendment (Eligible Run</w:t>
      </w:r>
      <w:r w:rsidR="00A142C7" w:rsidRPr="00614BA9">
        <w:rPr>
          <w:rFonts w:eastAsia="Times New Roman"/>
          <w:i/>
          <w:iCs/>
          <w:color w:val="000000"/>
          <w:lang w:eastAsia="en-AU"/>
        </w:rPr>
        <w:t>-</w:t>
      </w:r>
      <w:r w:rsidR="009618F0" w:rsidRPr="00614BA9">
        <w:rPr>
          <w:rFonts w:eastAsia="Times New Roman"/>
          <w:i/>
          <w:iCs/>
          <w:color w:val="000000"/>
          <w:lang w:eastAsia="en-AU"/>
        </w:rPr>
        <w:t>Off Claims)</w:t>
      </w:r>
      <w:r w:rsidR="009D763B" w:rsidRPr="00614BA9">
        <w:rPr>
          <w:rFonts w:eastAsia="Times New Roman"/>
          <w:i/>
          <w:iCs/>
          <w:color w:val="000000"/>
          <w:lang w:eastAsia="en-AU"/>
        </w:rPr>
        <w:t xml:space="preserve"> </w:t>
      </w:r>
      <w:r w:rsidR="003F1267" w:rsidRPr="00614BA9">
        <w:rPr>
          <w:rFonts w:eastAsia="Times New Roman"/>
          <w:i/>
          <w:iCs/>
          <w:color w:val="000000"/>
          <w:lang w:eastAsia="en-AU"/>
        </w:rPr>
        <w:t xml:space="preserve">(No 3) </w:t>
      </w:r>
      <w:r w:rsidR="009618F0" w:rsidRPr="00614BA9">
        <w:rPr>
          <w:rFonts w:eastAsia="Times New Roman"/>
          <w:i/>
          <w:iCs/>
          <w:color w:val="000000"/>
          <w:lang w:eastAsia="en-AU"/>
        </w:rPr>
        <w:t>Rules 202</w:t>
      </w:r>
      <w:r w:rsidR="003F1267" w:rsidRPr="00614BA9">
        <w:rPr>
          <w:rFonts w:eastAsia="Times New Roman"/>
          <w:i/>
          <w:iCs/>
          <w:color w:val="000000"/>
          <w:lang w:eastAsia="en-AU"/>
        </w:rPr>
        <w:t>2</w:t>
      </w:r>
      <w:r w:rsidR="001F7A50" w:rsidRPr="00614BA9">
        <w:rPr>
          <w:rFonts w:eastAsia="Times New Roman"/>
          <w:i/>
          <w:iCs/>
          <w:color w:val="000000"/>
          <w:lang w:eastAsia="en-AU"/>
        </w:rPr>
        <w:t xml:space="preserve"> </w:t>
      </w:r>
      <w:r w:rsidR="001F7A50" w:rsidRPr="00614BA9">
        <w:rPr>
          <w:rFonts w:eastAsia="Times New Roman"/>
          <w:color w:val="000000"/>
          <w:lang w:eastAsia="en-AU"/>
        </w:rPr>
        <w:t>(202</w:t>
      </w:r>
      <w:r w:rsidR="003F1267" w:rsidRPr="00614BA9">
        <w:rPr>
          <w:rFonts w:eastAsia="Times New Roman"/>
          <w:color w:val="000000"/>
          <w:lang w:eastAsia="en-AU"/>
        </w:rPr>
        <w:t>2</w:t>
      </w:r>
      <w:r w:rsidR="001F7A50" w:rsidRPr="00614BA9">
        <w:rPr>
          <w:rFonts w:eastAsia="Times New Roman"/>
          <w:color w:val="000000"/>
          <w:lang w:eastAsia="en-AU"/>
        </w:rPr>
        <w:t xml:space="preserve"> Amending Instrument</w:t>
      </w:r>
      <w:r w:rsidR="003F1267" w:rsidRPr="00614BA9">
        <w:rPr>
          <w:rFonts w:eastAsia="Times New Roman"/>
          <w:color w:val="000000"/>
          <w:lang w:eastAsia="en-AU"/>
        </w:rPr>
        <w:t xml:space="preserve"> No 3</w:t>
      </w:r>
      <w:r w:rsidR="001F7A50" w:rsidRPr="00614BA9">
        <w:rPr>
          <w:rFonts w:eastAsia="Times New Roman"/>
          <w:color w:val="000000"/>
          <w:lang w:eastAsia="en-AU"/>
        </w:rPr>
        <w:t>).</w:t>
      </w:r>
    </w:p>
    <w:p w14:paraId="747668E5" w14:textId="77777777" w:rsidR="009618F0" w:rsidRPr="00614BA9" w:rsidRDefault="009618F0"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 </w:t>
      </w:r>
    </w:p>
    <w:p w14:paraId="7DA30A8E" w14:textId="77777777" w:rsidR="009618F0" w:rsidRPr="00614BA9" w:rsidRDefault="009618F0" w:rsidP="009618F0">
      <w:pPr>
        <w:shd w:val="clear" w:color="auto" w:fill="FFFFFF"/>
        <w:spacing w:after="0" w:line="240" w:lineRule="auto"/>
        <w:outlineLvl w:val="1"/>
        <w:rPr>
          <w:rFonts w:ascii="Arial" w:eastAsia="Times New Roman" w:hAnsi="Arial" w:cs="Arial"/>
          <w:b/>
          <w:bCs/>
          <w:i/>
          <w:iCs/>
          <w:color w:val="000000"/>
          <w:lang w:eastAsia="en-AU"/>
        </w:rPr>
      </w:pPr>
      <w:r w:rsidRPr="00614BA9">
        <w:rPr>
          <w:rFonts w:eastAsia="Times New Roman"/>
          <w:b/>
          <w:bCs/>
          <w:color w:val="000000"/>
          <w:lang w:eastAsia="en-AU"/>
        </w:rPr>
        <w:t>Section 2 – Commencement</w:t>
      </w:r>
    </w:p>
    <w:p w14:paraId="72D8E30B" w14:textId="77777777" w:rsidR="009618F0" w:rsidRPr="00614BA9" w:rsidRDefault="009618F0"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 </w:t>
      </w:r>
    </w:p>
    <w:p w14:paraId="058B07C6" w14:textId="532308D1" w:rsidR="009618F0" w:rsidRPr="00614BA9" w:rsidRDefault="000712D6"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Section 2</w:t>
      </w:r>
      <w:r w:rsidR="009618F0" w:rsidRPr="00614BA9">
        <w:rPr>
          <w:rFonts w:eastAsia="Times New Roman"/>
          <w:color w:val="000000"/>
          <w:lang w:eastAsia="en-AU"/>
        </w:rPr>
        <w:t xml:space="preserve"> provides that the </w:t>
      </w:r>
      <w:r w:rsidR="001F7A50" w:rsidRPr="00614BA9">
        <w:rPr>
          <w:rFonts w:eastAsia="Times New Roman"/>
          <w:color w:val="000000"/>
          <w:lang w:eastAsia="en-AU"/>
        </w:rPr>
        <w:t>202</w:t>
      </w:r>
      <w:r w:rsidR="003F1267" w:rsidRPr="00614BA9">
        <w:rPr>
          <w:rFonts w:eastAsia="Times New Roman"/>
          <w:color w:val="000000"/>
          <w:lang w:eastAsia="en-AU"/>
        </w:rPr>
        <w:t>2</w:t>
      </w:r>
      <w:r w:rsidR="001F7A50" w:rsidRPr="00614BA9">
        <w:rPr>
          <w:rFonts w:eastAsia="Times New Roman"/>
          <w:color w:val="000000"/>
          <w:lang w:eastAsia="en-AU"/>
        </w:rPr>
        <w:t xml:space="preserve"> Amending Instrument</w:t>
      </w:r>
      <w:r w:rsidR="003F1267" w:rsidRPr="00614BA9">
        <w:rPr>
          <w:rFonts w:eastAsia="Times New Roman"/>
          <w:color w:val="000000"/>
          <w:lang w:eastAsia="en-AU"/>
        </w:rPr>
        <w:t xml:space="preserve"> No 3</w:t>
      </w:r>
      <w:r w:rsidR="001F7A50" w:rsidRPr="00614BA9">
        <w:rPr>
          <w:rFonts w:eastAsia="Times New Roman"/>
          <w:color w:val="000000"/>
          <w:lang w:eastAsia="en-AU"/>
        </w:rPr>
        <w:t xml:space="preserve"> </w:t>
      </w:r>
      <w:r w:rsidR="009618F0" w:rsidRPr="00614BA9">
        <w:rPr>
          <w:rFonts w:eastAsia="Times New Roman"/>
          <w:color w:val="000000"/>
          <w:lang w:eastAsia="en-AU"/>
        </w:rPr>
        <w:t>commence</w:t>
      </w:r>
      <w:r w:rsidRPr="00614BA9">
        <w:rPr>
          <w:rFonts w:eastAsia="Times New Roman"/>
          <w:color w:val="000000"/>
          <w:lang w:eastAsia="en-AU"/>
        </w:rPr>
        <w:t>s on</w:t>
      </w:r>
      <w:r w:rsidR="009618F0" w:rsidRPr="00614BA9">
        <w:rPr>
          <w:rFonts w:eastAsia="Times New Roman"/>
          <w:color w:val="000000"/>
          <w:lang w:eastAsia="en-AU"/>
        </w:rPr>
        <w:t xml:space="preserve"> </w:t>
      </w:r>
      <w:r w:rsidR="003F1267" w:rsidRPr="00614BA9">
        <w:rPr>
          <w:rFonts w:eastAsia="Times New Roman"/>
          <w:color w:val="000000"/>
          <w:lang w:eastAsia="en-AU"/>
        </w:rPr>
        <w:t>1 January 2023</w:t>
      </w:r>
      <w:r w:rsidR="009618F0" w:rsidRPr="00614BA9">
        <w:rPr>
          <w:rFonts w:eastAsia="Times New Roman"/>
          <w:color w:val="000000"/>
          <w:lang w:eastAsia="en-AU"/>
        </w:rPr>
        <w:t xml:space="preserve">.  </w:t>
      </w:r>
    </w:p>
    <w:p w14:paraId="41B5E443" w14:textId="77777777" w:rsidR="009618F0" w:rsidRPr="00614BA9" w:rsidRDefault="009618F0"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 </w:t>
      </w:r>
    </w:p>
    <w:p w14:paraId="7A02B40E" w14:textId="77777777" w:rsidR="009618F0" w:rsidRPr="00614BA9" w:rsidRDefault="009618F0" w:rsidP="009618F0">
      <w:pPr>
        <w:shd w:val="clear" w:color="auto" w:fill="FFFFFF"/>
        <w:spacing w:after="0" w:line="240" w:lineRule="auto"/>
        <w:outlineLvl w:val="1"/>
        <w:rPr>
          <w:rFonts w:ascii="Arial" w:eastAsia="Times New Roman" w:hAnsi="Arial" w:cs="Arial"/>
          <w:b/>
          <w:bCs/>
          <w:i/>
          <w:iCs/>
          <w:color w:val="000000"/>
          <w:lang w:eastAsia="en-AU"/>
        </w:rPr>
      </w:pPr>
      <w:r w:rsidRPr="00614BA9">
        <w:rPr>
          <w:rFonts w:eastAsia="Times New Roman"/>
          <w:b/>
          <w:bCs/>
          <w:color w:val="000000"/>
          <w:lang w:eastAsia="en-AU"/>
        </w:rPr>
        <w:t>Section 3 – Authority</w:t>
      </w:r>
    </w:p>
    <w:p w14:paraId="54C2757F" w14:textId="77777777" w:rsidR="009618F0" w:rsidRPr="00614BA9" w:rsidRDefault="009618F0"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 </w:t>
      </w:r>
    </w:p>
    <w:p w14:paraId="43225F14" w14:textId="02162A9F" w:rsidR="009618F0" w:rsidRPr="00614BA9" w:rsidRDefault="000712D6" w:rsidP="009618F0">
      <w:pPr>
        <w:shd w:val="clear" w:color="auto" w:fill="FFFFFF"/>
        <w:spacing w:after="120" w:line="240" w:lineRule="auto"/>
        <w:rPr>
          <w:rFonts w:eastAsia="Times New Roman"/>
          <w:color w:val="000000"/>
          <w:lang w:eastAsia="en-AU"/>
        </w:rPr>
      </w:pPr>
      <w:r w:rsidRPr="00614BA9">
        <w:rPr>
          <w:rFonts w:eastAsia="Times New Roman"/>
          <w:color w:val="000000"/>
          <w:lang w:eastAsia="en-AU"/>
        </w:rPr>
        <w:t>Section 3</w:t>
      </w:r>
      <w:r w:rsidR="009618F0" w:rsidRPr="00614BA9">
        <w:rPr>
          <w:rFonts w:eastAsia="Times New Roman"/>
          <w:color w:val="000000"/>
          <w:lang w:eastAsia="en-AU"/>
        </w:rPr>
        <w:t xml:space="preserve"> provides that </w:t>
      </w:r>
      <w:r w:rsidR="001F7A50" w:rsidRPr="00614BA9">
        <w:rPr>
          <w:rFonts w:eastAsia="Times New Roman"/>
          <w:color w:val="000000"/>
          <w:lang w:eastAsia="en-AU"/>
        </w:rPr>
        <w:t>the 202</w:t>
      </w:r>
      <w:r w:rsidR="003F1267" w:rsidRPr="00614BA9">
        <w:rPr>
          <w:rFonts w:eastAsia="Times New Roman"/>
          <w:color w:val="000000"/>
          <w:lang w:eastAsia="en-AU"/>
        </w:rPr>
        <w:t>2</w:t>
      </w:r>
      <w:r w:rsidR="001F7A50" w:rsidRPr="00614BA9">
        <w:rPr>
          <w:rFonts w:eastAsia="Times New Roman"/>
          <w:color w:val="000000"/>
          <w:lang w:eastAsia="en-AU"/>
        </w:rPr>
        <w:t xml:space="preserve"> Amending Instrument</w:t>
      </w:r>
      <w:r w:rsidR="003F1267" w:rsidRPr="00614BA9">
        <w:rPr>
          <w:rFonts w:eastAsia="Times New Roman"/>
          <w:color w:val="000000"/>
          <w:lang w:eastAsia="en-AU"/>
        </w:rPr>
        <w:t xml:space="preserve"> No 3</w:t>
      </w:r>
      <w:r w:rsidR="001F7A50" w:rsidRPr="00614BA9">
        <w:rPr>
          <w:rFonts w:eastAsia="Times New Roman"/>
          <w:color w:val="000000"/>
          <w:lang w:eastAsia="en-AU"/>
        </w:rPr>
        <w:t xml:space="preserve"> </w:t>
      </w:r>
      <w:r w:rsidR="009618F0" w:rsidRPr="00614BA9">
        <w:rPr>
          <w:rFonts w:eastAsia="Times New Roman"/>
          <w:color w:val="000000"/>
          <w:lang w:eastAsia="en-AU"/>
        </w:rPr>
        <w:t xml:space="preserve">is made under </w:t>
      </w:r>
      <w:r w:rsidR="001F7A50" w:rsidRPr="00614BA9">
        <w:rPr>
          <w:rFonts w:eastAsia="Times New Roman"/>
          <w:color w:val="000000"/>
          <w:lang w:eastAsia="en-AU"/>
        </w:rPr>
        <w:t xml:space="preserve">section 80 of the </w:t>
      </w:r>
      <w:r w:rsidR="001F7A50" w:rsidRPr="00614BA9">
        <w:rPr>
          <w:rFonts w:eastAsia="Times New Roman"/>
          <w:i/>
          <w:iCs/>
          <w:color w:val="000000"/>
          <w:lang w:eastAsia="en-AU"/>
        </w:rPr>
        <w:t>Medical Indemnity Act 2002</w:t>
      </w:r>
      <w:r w:rsidR="001F7A50" w:rsidRPr="00614BA9">
        <w:rPr>
          <w:rFonts w:eastAsia="Times New Roman"/>
          <w:color w:val="000000"/>
          <w:lang w:eastAsia="en-AU"/>
        </w:rPr>
        <w:t xml:space="preserve"> and section 90 of the </w:t>
      </w:r>
      <w:r w:rsidR="001F7A50" w:rsidRPr="00614BA9">
        <w:rPr>
          <w:rFonts w:eastAsia="Times New Roman"/>
          <w:i/>
          <w:iCs/>
          <w:color w:val="000000"/>
          <w:lang w:eastAsia="en-AU"/>
        </w:rPr>
        <w:t>Midwife Professional Indemnity (Commonwealth Contribution) Scheme Act 2010</w:t>
      </w:r>
      <w:r w:rsidR="001F7A50" w:rsidRPr="00614BA9">
        <w:rPr>
          <w:rFonts w:eastAsia="Times New Roman"/>
          <w:color w:val="000000"/>
          <w:lang w:eastAsia="en-AU"/>
        </w:rPr>
        <w:t>.</w:t>
      </w:r>
    </w:p>
    <w:p w14:paraId="23BA2FF1" w14:textId="77777777" w:rsidR="009618F0" w:rsidRPr="00614BA9" w:rsidRDefault="009618F0"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 </w:t>
      </w:r>
    </w:p>
    <w:p w14:paraId="38CDF39D" w14:textId="77777777" w:rsidR="009618F0" w:rsidRPr="00614BA9" w:rsidRDefault="009618F0" w:rsidP="009618F0">
      <w:pPr>
        <w:shd w:val="clear" w:color="auto" w:fill="FFFFFF"/>
        <w:spacing w:after="0" w:line="240" w:lineRule="auto"/>
        <w:outlineLvl w:val="1"/>
        <w:rPr>
          <w:rFonts w:ascii="Arial" w:eastAsia="Times New Roman" w:hAnsi="Arial" w:cs="Arial"/>
          <w:b/>
          <w:bCs/>
          <w:i/>
          <w:iCs/>
          <w:color w:val="000000"/>
          <w:lang w:eastAsia="en-AU"/>
        </w:rPr>
      </w:pPr>
      <w:r w:rsidRPr="00614BA9">
        <w:rPr>
          <w:rFonts w:eastAsia="Times New Roman"/>
          <w:b/>
          <w:bCs/>
          <w:color w:val="000000"/>
          <w:lang w:eastAsia="en-AU"/>
        </w:rPr>
        <w:t>Section 4 – Schedules</w:t>
      </w:r>
    </w:p>
    <w:p w14:paraId="50079750" w14:textId="77777777" w:rsidR="009618F0" w:rsidRPr="00614BA9" w:rsidRDefault="009618F0"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 </w:t>
      </w:r>
    </w:p>
    <w:p w14:paraId="4E44CAA1" w14:textId="0D0066F8" w:rsidR="009618F0" w:rsidRPr="00614BA9" w:rsidRDefault="000712D6" w:rsidP="009618F0">
      <w:pPr>
        <w:shd w:val="clear" w:color="auto" w:fill="FFFFFF"/>
        <w:spacing w:after="0" w:line="240" w:lineRule="auto"/>
        <w:rPr>
          <w:rFonts w:eastAsia="Times New Roman"/>
          <w:color w:val="000000"/>
          <w:lang w:eastAsia="en-AU"/>
        </w:rPr>
      </w:pPr>
      <w:r w:rsidRPr="00614BA9">
        <w:rPr>
          <w:rFonts w:eastAsia="Times New Roman"/>
          <w:color w:val="000000"/>
          <w:lang w:eastAsia="en-AU"/>
        </w:rPr>
        <w:t>Section 4</w:t>
      </w:r>
      <w:r w:rsidR="009618F0" w:rsidRPr="00614BA9">
        <w:rPr>
          <w:rFonts w:eastAsia="Times New Roman"/>
          <w:color w:val="000000"/>
          <w:lang w:eastAsia="en-AU"/>
        </w:rPr>
        <w:t xml:space="preserve"> provides that </w:t>
      </w:r>
      <w:r w:rsidRPr="00614BA9">
        <w:rPr>
          <w:rFonts w:eastAsia="Times New Roman"/>
          <w:color w:val="000000"/>
          <w:lang w:eastAsia="en-AU"/>
        </w:rPr>
        <w:t>the</w:t>
      </w:r>
      <w:r w:rsidR="009618F0" w:rsidRPr="00614BA9">
        <w:rPr>
          <w:rFonts w:eastAsia="Times New Roman"/>
          <w:color w:val="000000"/>
          <w:lang w:eastAsia="en-AU"/>
        </w:rPr>
        <w:t xml:space="preserve"> Schedule</w:t>
      </w:r>
      <w:r w:rsidRPr="00614BA9">
        <w:rPr>
          <w:rFonts w:eastAsia="Times New Roman"/>
          <w:color w:val="000000"/>
          <w:lang w:eastAsia="en-AU"/>
        </w:rPr>
        <w:t xml:space="preserve"> sets out the specific terms of amendment of each instrument</w:t>
      </w:r>
      <w:r w:rsidR="009618F0" w:rsidRPr="00614BA9">
        <w:rPr>
          <w:rFonts w:eastAsia="Times New Roman"/>
          <w:color w:val="000000"/>
          <w:lang w:eastAsia="en-AU"/>
        </w:rPr>
        <w:t xml:space="preserve">, and any other item in </w:t>
      </w:r>
      <w:r w:rsidRPr="00614BA9">
        <w:rPr>
          <w:rFonts w:eastAsia="Times New Roman"/>
          <w:color w:val="000000"/>
          <w:lang w:eastAsia="en-AU"/>
        </w:rPr>
        <w:t>the</w:t>
      </w:r>
      <w:r w:rsidR="009618F0" w:rsidRPr="00614BA9">
        <w:rPr>
          <w:rFonts w:eastAsia="Times New Roman"/>
          <w:color w:val="000000"/>
          <w:lang w:eastAsia="en-AU"/>
        </w:rPr>
        <w:t xml:space="preserve"> Schedule has effect according to its terms.  </w:t>
      </w:r>
    </w:p>
    <w:p w14:paraId="401E51EA" w14:textId="77777777" w:rsidR="009618F0" w:rsidRPr="00614BA9" w:rsidRDefault="009618F0" w:rsidP="009618F0">
      <w:pPr>
        <w:shd w:val="clear" w:color="auto" w:fill="FFFFFF"/>
        <w:spacing w:after="0" w:line="240" w:lineRule="auto"/>
        <w:rPr>
          <w:rFonts w:eastAsia="Times New Roman"/>
          <w:color w:val="000000"/>
          <w:lang w:eastAsia="en-AU"/>
        </w:rPr>
      </w:pPr>
      <w:r w:rsidRPr="00614BA9">
        <w:rPr>
          <w:rFonts w:eastAsia="Times New Roman"/>
          <w:color w:val="000000"/>
          <w:sz w:val="28"/>
          <w:szCs w:val="28"/>
          <w:lang w:eastAsia="en-AU"/>
        </w:rPr>
        <w:t> </w:t>
      </w:r>
    </w:p>
    <w:p w14:paraId="0B01D934" w14:textId="4A8114E3" w:rsidR="009618F0" w:rsidRPr="00614BA9" w:rsidRDefault="009618F0" w:rsidP="009618F0">
      <w:pPr>
        <w:shd w:val="clear" w:color="auto" w:fill="FFFFFF"/>
        <w:spacing w:after="0" w:line="240" w:lineRule="auto"/>
        <w:ind w:right="91"/>
        <w:rPr>
          <w:rFonts w:eastAsia="Times New Roman"/>
          <w:color w:val="000000"/>
          <w:lang w:eastAsia="en-AU"/>
        </w:rPr>
      </w:pPr>
      <w:bookmarkStart w:id="1" w:name="_Toc36020238"/>
      <w:r w:rsidRPr="00614BA9">
        <w:rPr>
          <w:rFonts w:eastAsia="Times New Roman"/>
          <w:b/>
          <w:bCs/>
          <w:color w:val="000000"/>
          <w:sz w:val="28"/>
          <w:szCs w:val="28"/>
          <w:lang w:eastAsia="en-AU"/>
        </w:rPr>
        <w:t>Schedule 1—Amendments</w:t>
      </w:r>
      <w:bookmarkEnd w:id="1"/>
    </w:p>
    <w:p w14:paraId="550B193D" w14:textId="77777777" w:rsidR="009618F0" w:rsidRPr="00614BA9" w:rsidRDefault="009618F0" w:rsidP="009618F0">
      <w:pPr>
        <w:shd w:val="clear" w:color="auto" w:fill="FFFFFF"/>
        <w:spacing w:after="0" w:line="240" w:lineRule="auto"/>
        <w:ind w:right="91"/>
        <w:rPr>
          <w:rFonts w:eastAsia="Times New Roman"/>
          <w:color w:val="000000"/>
          <w:lang w:eastAsia="en-AU"/>
        </w:rPr>
      </w:pPr>
    </w:p>
    <w:p w14:paraId="7B2FFB77" w14:textId="7A090789" w:rsidR="009618F0" w:rsidRPr="00614BA9" w:rsidRDefault="009618F0">
      <w:pPr>
        <w:spacing w:line="259" w:lineRule="auto"/>
        <w:rPr>
          <w:b/>
          <w:bCs/>
          <w:i/>
          <w:iCs/>
          <w:color w:val="000000"/>
          <w:sz w:val="26"/>
          <w:szCs w:val="26"/>
          <w:shd w:val="clear" w:color="auto" w:fill="FFFFFF"/>
        </w:rPr>
      </w:pPr>
      <w:bookmarkStart w:id="2" w:name="_Toc36034841"/>
      <w:r w:rsidRPr="00614BA9">
        <w:rPr>
          <w:b/>
          <w:bCs/>
          <w:i/>
          <w:iCs/>
          <w:color w:val="000000"/>
          <w:sz w:val="26"/>
          <w:szCs w:val="26"/>
          <w:shd w:val="clear" w:color="auto" w:fill="FFFFFF"/>
        </w:rPr>
        <w:t xml:space="preserve">Medical Indemnity </w:t>
      </w:r>
      <w:r w:rsidR="007F6E06" w:rsidRPr="00614BA9">
        <w:rPr>
          <w:b/>
          <w:bCs/>
          <w:i/>
          <w:iCs/>
          <w:color w:val="000000"/>
          <w:sz w:val="26"/>
          <w:szCs w:val="26"/>
          <w:shd w:val="clear" w:color="auto" w:fill="FFFFFF"/>
        </w:rPr>
        <w:t>Rules</w:t>
      </w:r>
      <w:r w:rsidRPr="00614BA9">
        <w:rPr>
          <w:b/>
          <w:bCs/>
          <w:i/>
          <w:iCs/>
          <w:color w:val="000000"/>
          <w:sz w:val="26"/>
          <w:szCs w:val="26"/>
          <w:shd w:val="clear" w:color="auto" w:fill="FFFFFF"/>
        </w:rPr>
        <w:t xml:space="preserve"> 20</w:t>
      </w:r>
      <w:r w:rsidR="007F6E06" w:rsidRPr="00614BA9">
        <w:rPr>
          <w:b/>
          <w:bCs/>
          <w:i/>
          <w:iCs/>
          <w:color w:val="000000"/>
          <w:sz w:val="26"/>
          <w:szCs w:val="26"/>
          <w:shd w:val="clear" w:color="auto" w:fill="FFFFFF"/>
        </w:rPr>
        <w:t>20</w:t>
      </w:r>
    </w:p>
    <w:p w14:paraId="293E7DAC" w14:textId="4D663781" w:rsidR="007F6E06" w:rsidRPr="00614BA9" w:rsidRDefault="007F6E06">
      <w:pPr>
        <w:spacing w:line="259" w:lineRule="auto"/>
        <w:rPr>
          <w:b/>
          <w:bCs/>
        </w:rPr>
      </w:pPr>
      <w:r w:rsidRPr="00614BA9">
        <w:rPr>
          <w:b/>
          <w:bCs/>
          <w:color w:val="000000"/>
          <w:shd w:val="clear" w:color="auto" w:fill="FFFFFF"/>
        </w:rPr>
        <w:t xml:space="preserve">Item </w:t>
      </w:r>
      <w:r w:rsidR="009D763B" w:rsidRPr="00614BA9">
        <w:rPr>
          <w:b/>
          <w:bCs/>
          <w:color w:val="000000"/>
          <w:shd w:val="clear" w:color="auto" w:fill="FFFFFF"/>
        </w:rPr>
        <w:t>1</w:t>
      </w:r>
      <w:r w:rsidR="00F627FE" w:rsidRPr="00614BA9">
        <w:rPr>
          <w:b/>
          <w:bCs/>
          <w:color w:val="000000"/>
          <w:shd w:val="clear" w:color="auto" w:fill="FFFFFF"/>
        </w:rPr>
        <w:t xml:space="preserve"> – </w:t>
      </w:r>
      <w:r w:rsidRPr="00614BA9">
        <w:rPr>
          <w:b/>
          <w:bCs/>
        </w:rPr>
        <w:t>Subsection 23(2)</w:t>
      </w:r>
      <w:r w:rsidR="009D763B" w:rsidRPr="00614BA9">
        <w:rPr>
          <w:b/>
          <w:bCs/>
        </w:rPr>
        <w:t>(b)</w:t>
      </w:r>
    </w:p>
    <w:p w14:paraId="78D61AF6" w14:textId="4CC5B1E4" w:rsidR="00833C48" w:rsidRPr="00614BA9" w:rsidRDefault="00833C48">
      <w:pPr>
        <w:spacing w:line="259" w:lineRule="auto"/>
      </w:pPr>
      <w:r w:rsidRPr="00614BA9">
        <w:t xml:space="preserve">This item </w:t>
      </w:r>
      <w:r w:rsidR="0068707E" w:rsidRPr="00614BA9">
        <w:t>omits</w:t>
      </w:r>
      <w:r w:rsidRPr="00614BA9">
        <w:t xml:space="preserve"> the word</w:t>
      </w:r>
      <w:r w:rsidR="00015A31" w:rsidRPr="00614BA9">
        <w:t>s</w:t>
      </w:r>
      <w:r w:rsidRPr="00614BA9">
        <w:t xml:space="preserve"> </w:t>
      </w:r>
      <w:r w:rsidR="009D763B" w:rsidRPr="00614BA9">
        <w:t>“</w:t>
      </w:r>
      <w:r w:rsidR="00015A31" w:rsidRPr="00614BA9">
        <w:t xml:space="preserve">31 December </w:t>
      </w:r>
      <w:r w:rsidRPr="00614BA9">
        <w:t>202</w:t>
      </w:r>
      <w:r w:rsidR="00015A31" w:rsidRPr="00614BA9">
        <w:t>2</w:t>
      </w:r>
      <w:r w:rsidR="009D763B" w:rsidRPr="00614BA9">
        <w:t>” and substitute</w:t>
      </w:r>
      <w:r w:rsidR="007255D1" w:rsidRPr="00614BA9">
        <w:t>s</w:t>
      </w:r>
      <w:r w:rsidR="009D763B" w:rsidRPr="00614BA9">
        <w:t xml:space="preserve"> “</w:t>
      </w:r>
      <w:r w:rsidR="00015A31" w:rsidRPr="00614BA9">
        <w:t xml:space="preserve">21 September </w:t>
      </w:r>
      <w:r w:rsidR="00882EFD" w:rsidRPr="00614BA9">
        <w:t>202</w:t>
      </w:r>
      <w:r w:rsidR="00D70209" w:rsidRPr="00614BA9">
        <w:t>3</w:t>
      </w:r>
      <w:r w:rsidR="0068707E" w:rsidRPr="00614BA9">
        <w:t>”</w:t>
      </w:r>
      <w:r w:rsidR="009D763B" w:rsidRPr="00614BA9">
        <w:t>.</w:t>
      </w:r>
      <w:r w:rsidRPr="00614BA9">
        <w:t xml:space="preserve"> </w:t>
      </w:r>
    </w:p>
    <w:p w14:paraId="1356B414" w14:textId="1996B3E2" w:rsidR="007F6E06" w:rsidRPr="00614BA9" w:rsidRDefault="007F6E06">
      <w:pPr>
        <w:spacing w:line="259" w:lineRule="auto"/>
        <w:rPr>
          <w:b/>
          <w:bCs/>
        </w:rPr>
      </w:pPr>
      <w:r w:rsidRPr="00614BA9">
        <w:rPr>
          <w:b/>
          <w:bCs/>
        </w:rPr>
        <w:t xml:space="preserve">Item </w:t>
      </w:r>
      <w:r w:rsidR="009D763B" w:rsidRPr="00614BA9">
        <w:rPr>
          <w:b/>
          <w:bCs/>
        </w:rPr>
        <w:t>2</w:t>
      </w:r>
      <w:r w:rsidR="00D63CD8" w:rsidRPr="00614BA9">
        <w:rPr>
          <w:b/>
          <w:bCs/>
        </w:rPr>
        <w:t xml:space="preserve"> – </w:t>
      </w:r>
      <w:r w:rsidRPr="00614BA9">
        <w:rPr>
          <w:b/>
          <w:bCs/>
        </w:rPr>
        <w:t xml:space="preserve">Subsection 23(3) </w:t>
      </w:r>
    </w:p>
    <w:p w14:paraId="46E9D13D" w14:textId="574650C4" w:rsidR="00A93320" w:rsidRPr="00614BA9" w:rsidRDefault="00833C48">
      <w:pPr>
        <w:spacing w:line="259" w:lineRule="auto"/>
      </w:pPr>
      <w:r w:rsidRPr="00614BA9">
        <w:t xml:space="preserve">This item </w:t>
      </w:r>
      <w:r w:rsidR="009D763B" w:rsidRPr="00614BA9">
        <w:t>omits the word</w:t>
      </w:r>
      <w:r w:rsidR="00015A31" w:rsidRPr="00614BA9">
        <w:t>s</w:t>
      </w:r>
      <w:r w:rsidR="009D763B" w:rsidRPr="00614BA9">
        <w:t xml:space="preserve"> “</w:t>
      </w:r>
      <w:r w:rsidR="00015A31" w:rsidRPr="00614BA9">
        <w:t xml:space="preserve">31 December </w:t>
      </w:r>
      <w:r w:rsidR="00A93320" w:rsidRPr="00614BA9">
        <w:t>2022” and substitute</w:t>
      </w:r>
      <w:r w:rsidR="007255D1" w:rsidRPr="00614BA9">
        <w:t>s</w:t>
      </w:r>
      <w:r w:rsidR="00A93320" w:rsidRPr="00614BA9">
        <w:t xml:space="preserve"> “</w:t>
      </w:r>
      <w:r w:rsidR="00015A31" w:rsidRPr="00614BA9">
        <w:t xml:space="preserve">21 September </w:t>
      </w:r>
      <w:r w:rsidR="00A93320" w:rsidRPr="00614BA9">
        <w:t>202</w:t>
      </w:r>
      <w:r w:rsidR="00D70209" w:rsidRPr="00614BA9">
        <w:t>3</w:t>
      </w:r>
      <w:r w:rsidR="00A93320" w:rsidRPr="00614BA9">
        <w:t>”.</w:t>
      </w:r>
    </w:p>
    <w:p w14:paraId="3192EF10" w14:textId="18157876" w:rsidR="009618F0" w:rsidRPr="00614BA9" w:rsidRDefault="009618F0" w:rsidP="00B17594">
      <w:pPr>
        <w:spacing w:before="240" w:after="240" w:line="259" w:lineRule="auto"/>
        <w:rPr>
          <w:b/>
          <w:bCs/>
          <w:color w:val="000000"/>
          <w:u w:val="single"/>
        </w:rPr>
      </w:pPr>
      <w:r w:rsidRPr="00614BA9">
        <w:rPr>
          <w:b/>
          <w:bCs/>
          <w:i/>
          <w:iCs/>
          <w:color w:val="000000"/>
          <w:sz w:val="26"/>
          <w:szCs w:val="26"/>
          <w:shd w:val="clear" w:color="auto" w:fill="FFFFFF"/>
        </w:rPr>
        <w:t>Midwife Professional Indemnity (Commonwealth Contribution) Scheme Rules 20</w:t>
      </w:r>
      <w:bookmarkEnd w:id="2"/>
      <w:r w:rsidR="007F6E06" w:rsidRPr="00614BA9">
        <w:rPr>
          <w:b/>
          <w:bCs/>
          <w:i/>
          <w:iCs/>
          <w:color w:val="000000"/>
          <w:sz w:val="26"/>
          <w:szCs w:val="26"/>
          <w:shd w:val="clear" w:color="auto" w:fill="FFFFFF"/>
        </w:rPr>
        <w:t>20</w:t>
      </w:r>
    </w:p>
    <w:p w14:paraId="16BB0E0C" w14:textId="3C9FC38D" w:rsidR="007F6E06" w:rsidRPr="00614BA9" w:rsidRDefault="007F6E06" w:rsidP="007F6E06">
      <w:pPr>
        <w:spacing w:line="259" w:lineRule="auto"/>
        <w:rPr>
          <w:b/>
          <w:bCs/>
        </w:rPr>
      </w:pPr>
      <w:r w:rsidRPr="00614BA9">
        <w:rPr>
          <w:b/>
          <w:bCs/>
          <w:color w:val="000000"/>
          <w:shd w:val="clear" w:color="auto" w:fill="FFFFFF"/>
        </w:rPr>
        <w:t xml:space="preserve">Item </w:t>
      </w:r>
      <w:r w:rsidR="00A93320" w:rsidRPr="00614BA9">
        <w:rPr>
          <w:b/>
          <w:bCs/>
          <w:color w:val="000000"/>
          <w:shd w:val="clear" w:color="auto" w:fill="FFFFFF"/>
        </w:rPr>
        <w:t>3</w:t>
      </w:r>
      <w:r w:rsidR="00EF5FDA" w:rsidRPr="00614BA9">
        <w:rPr>
          <w:b/>
          <w:bCs/>
          <w:color w:val="000000"/>
          <w:shd w:val="clear" w:color="auto" w:fill="FFFFFF"/>
        </w:rPr>
        <w:t xml:space="preserve"> –</w:t>
      </w:r>
      <w:r w:rsidRPr="00614BA9">
        <w:rPr>
          <w:b/>
          <w:bCs/>
          <w:color w:val="000000"/>
          <w:shd w:val="clear" w:color="auto" w:fill="FFFFFF"/>
        </w:rPr>
        <w:t xml:space="preserve"> </w:t>
      </w:r>
      <w:r w:rsidRPr="00614BA9">
        <w:rPr>
          <w:b/>
          <w:bCs/>
        </w:rPr>
        <w:t>Subsection 11(2)</w:t>
      </w:r>
    </w:p>
    <w:p w14:paraId="463E5776" w14:textId="3F956058" w:rsidR="00A93320" w:rsidRPr="00614BA9" w:rsidRDefault="00A93320" w:rsidP="00A93320">
      <w:pPr>
        <w:spacing w:line="259" w:lineRule="auto"/>
      </w:pPr>
      <w:r w:rsidRPr="00614BA9">
        <w:t>This item omits the word</w:t>
      </w:r>
      <w:r w:rsidR="00015A31" w:rsidRPr="00614BA9">
        <w:t>s</w:t>
      </w:r>
      <w:r w:rsidRPr="00614BA9">
        <w:t xml:space="preserve"> “</w:t>
      </w:r>
      <w:r w:rsidR="00015A31" w:rsidRPr="00614BA9">
        <w:t xml:space="preserve">31 December </w:t>
      </w:r>
      <w:r w:rsidRPr="00614BA9">
        <w:t>2022” and substitute</w:t>
      </w:r>
      <w:r w:rsidR="007255D1" w:rsidRPr="00614BA9">
        <w:t>s</w:t>
      </w:r>
      <w:r w:rsidRPr="00614BA9">
        <w:t xml:space="preserve"> “</w:t>
      </w:r>
      <w:r w:rsidR="00015A31" w:rsidRPr="00614BA9">
        <w:t xml:space="preserve">21 September </w:t>
      </w:r>
      <w:r w:rsidR="0006616B" w:rsidRPr="00614BA9">
        <w:t>202</w:t>
      </w:r>
      <w:r w:rsidR="00D70209" w:rsidRPr="00614BA9">
        <w:t>3”</w:t>
      </w:r>
      <w:r w:rsidRPr="00614BA9">
        <w:t xml:space="preserve">. </w:t>
      </w:r>
    </w:p>
    <w:p w14:paraId="21168D12" w14:textId="4EFC8D82" w:rsidR="007F6E06" w:rsidRPr="00614BA9" w:rsidRDefault="007F6E06" w:rsidP="007F6E06">
      <w:pPr>
        <w:spacing w:line="259" w:lineRule="auto"/>
        <w:rPr>
          <w:b/>
          <w:bCs/>
        </w:rPr>
      </w:pPr>
      <w:r w:rsidRPr="00614BA9">
        <w:rPr>
          <w:b/>
          <w:bCs/>
        </w:rPr>
        <w:t xml:space="preserve">Item </w:t>
      </w:r>
      <w:r w:rsidR="00A93320" w:rsidRPr="00614BA9">
        <w:rPr>
          <w:b/>
          <w:bCs/>
        </w:rPr>
        <w:t>4</w:t>
      </w:r>
      <w:r w:rsidRPr="00614BA9">
        <w:rPr>
          <w:b/>
          <w:bCs/>
        </w:rPr>
        <w:t xml:space="preserve"> </w:t>
      </w:r>
      <w:r w:rsidR="008535D8" w:rsidRPr="00614BA9">
        <w:rPr>
          <w:b/>
          <w:bCs/>
        </w:rPr>
        <w:t xml:space="preserve">– </w:t>
      </w:r>
      <w:r w:rsidRPr="00614BA9">
        <w:rPr>
          <w:b/>
          <w:bCs/>
        </w:rPr>
        <w:t xml:space="preserve">Subsections 11(3) </w:t>
      </w:r>
    </w:p>
    <w:p w14:paraId="6D31DAF5" w14:textId="609DF472" w:rsidR="00A93320" w:rsidRPr="00614BA9" w:rsidRDefault="00A93320" w:rsidP="00A93320">
      <w:pPr>
        <w:spacing w:line="259" w:lineRule="auto"/>
      </w:pPr>
      <w:r w:rsidRPr="00614BA9">
        <w:t>This item omits the word</w:t>
      </w:r>
      <w:r w:rsidR="00015A31" w:rsidRPr="00614BA9">
        <w:t>s</w:t>
      </w:r>
      <w:r w:rsidRPr="00614BA9">
        <w:t xml:space="preserve"> “</w:t>
      </w:r>
      <w:r w:rsidR="00015A31" w:rsidRPr="00614BA9">
        <w:t xml:space="preserve">31 December </w:t>
      </w:r>
      <w:r w:rsidRPr="00614BA9">
        <w:t>2022” and substitute</w:t>
      </w:r>
      <w:r w:rsidR="007255D1" w:rsidRPr="00614BA9">
        <w:t>s</w:t>
      </w:r>
      <w:r w:rsidRPr="00614BA9">
        <w:t xml:space="preserve"> “</w:t>
      </w:r>
      <w:r w:rsidR="00015A31" w:rsidRPr="00614BA9">
        <w:t xml:space="preserve">21 September </w:t>
      </w:r>
      <w:r w:rsidRPr="00614BA9">
        <w:t>202</w:t>
      </w:r>
      <w:r w:rsidR="00D70209" w:rsidRPr="00614BA9">
        <w:t>3</w:t>
      </w:r>
      <w:r w:rsidRPr="00614BA9">
        <w:t>”.</w:t>
      </w:r>
    </w:p>
    <w:p w14:paraId="1DB553B5" w14:textId="25AC0C57" w:rsidR="00882EFD" w:rsidRPr="00614BA9" w:rsidRDefault="00882EFD" w:rsidP="00882EFD">
      <w:pPr>
        <w:spacing w:line="259" w:lineRule="auto"/>
      </w:pPr>
    </w:p>
    <w:p w14:paraId="09815EE1" w14:textId="77777777" w:rsidR="007F6E06" w:rsidRPr="00614BA9" w:rsidRDefault="007F6E06">
      <w:pPr>
        <w:spacing w:line="259" w:lineRule="auto"/>
        <w:rPr>
          <w:b/>
          <w:bCs/>
          <w:color w:val="000000"/>
        </w:rPr>
      </w:pPr>
      <w:r w:rsidRPr="00614BA9">
        <w:rPr>
          <w:b/>
          <w:bCs/>
          <w:color w:val="000000"/>
        </w:rPr>
        <w:br w:type="page"/>
      </w:r>
    </w:p>
    <w:p w14:paraId="1328BEC9" w14:textId="0C7BE5B5" w:rsidR="003612D0" w:rsidRPr="00614BA9" w:rsidRDefault="008535D8" w:rsidP="003612D0">
      <w:pPr>
        <w:shd w:val="clear" w:color="auto" w:fill="FFFFFF"/>
        <w:spacing w:before="240" w:line="257" w:lineRule="atLeast"/>
        <w:jc w:val="right"/>
        <w:rPr>
          <w:rFonts w:ascii="Calibri" w:eastAsia="Times New Roman" w:hAnsi="Calibri" w:cs="Calibri"/>
          <w:color w:val="000000"/>
          <w:sz w:val="22"/>
          <w:szCs w:val="22"/>
          <w:u w:val="single"/>
          <w:lang w:eastAsia="en-AU"/>
        </w:rPr>
      </w:pPr>
      <w:r w:rsidRPr="00614BA9">
        <w:rPr>
          <w:b/>
          <w:bCs/>
          <w:color w:val="000000"/>
        </w:rPr>
        <w:lastRenderedPageBreak/>
        <w:t>ATTACHMENT B</w:t>
      </w:r>
    </w:p>
    <w:p w14:paraId="5D66631B" w14:textId="77777777" w:rsidR="003612D0" w:rsidRPr="00614BA9" w:rsidRDefault="003612D0" w:rsidP="003612D0">
      <w:pPr>
        <w:shd w:val="clear" w:color="auto" w:fill="FFFFFF"/>
        <w:spacing w:before="240" w:line="257" w:lineRule="atLeast"/>
        <w:jc w:val="center"/>
        <w:rPr>
          <w:rFonts w:ascii="Calibri" w:eastAsia="Times New Roman" w:hAnsi="Calibri" w:cs="Calibri"/>
          <w:color w:val="000000"/>
          <w:sz w:val="22"/>
          <w:szCs w:val="22"/>
          <w:lang w:eastAsia="en-AU"/>
        </w:rPr>
      </w:pPr>
      <w:r w:rsidRPr="00614BA9">
        <w:rPr>
          <w:rFonts w:eastAsia="Times New Roman"/>
          <w:b/>
          <w:bCs/>
          <w:color w:val="000000"/>
          <w:lang w:eastAsia="en-AU"/>
        </w:rPr>
        <w:t>Statement of Compatibility with Human Rights</w:t>
      </w:r>
    </w:p>
    <w:p w14:paraId="39730B66" w14:textId="77777777" w:rsidR="003612D0" w:rsidRPr="00614BA9" w:rsidRDefault="003612D0" w:rsidP="003612D0">
      <w:pPr>
        <w:shd w:val="clear" w:color="auto" w:fill="FFFFFF"/>
        <w:spacing w:before="240" w:line="257" w:lineRule="atLeast"/>
        <w:jc w:val="center"/>
        <w:rPr>
          <w:rFonts w:ascii="Calibri" w:eastAsia="Times New Roman" w:hAnsi="Calibri" w:cs="Calibri"/>
          <w:color w:val="000000"/>
          <w:sz w:val="22"/>
          <w:szCs w:val="22"/>
          <w:lang w:eastAsia="en-AU"/>
        </w:rPr>
      </w:pPr>
      <w:r w:rsidRPr="00614BA9">
        <w:rPr>
          <w:rFonts w:eastAsia="Times New Roman"/>
          <w:i/>
          <w:iCs/>
          <w:color w:val="000000"/>
          <w:lang w:eastAsia="en-AU"/>
        </w:rPr>
        <w:t>Prepared in accordance with Part 3 of the Human Rights (Parliamentary Scrutiny) Act 2011</w:t>
      </w:r>
    </w:p>
    <w:p w14:paraId="0D89251E" w14:textId="276DD06F" w:rsidR="003612D0" w:rsidRPr="00614BA9" w:rsidRDefault="003612D0" w:rsidP="003612D0">
      <w:pPr>
        <w:shd w:val="clear" w:color="auto" w:fill="FFFFFF"/>
        <w:spacing w:before="240" w:line="257" w:lineRule="atLeast"/>
        <w:jc w:val="center"/>
        <w:rPr>
          <w:rFonts w:ascii="Calibri" w:eastAsia="Times New Roman" w:hAnsi="Calibri" w:cs="Calibri"/>
          <w:color w:val="000000"/>
          <w:sz w:val="22"/>
          <w:szCs w:val="22"/>
          <w:lang w:eastAsia="en-AU"/>
        </w:rPr>
      </w:pPr>
      <w:r w:rsidRPr="00614BA9">
        <w:rPr>
          <w:rFonts w:eastAsia="Times New Roman"/>
          <w:b/>
          <w:bCs/>
          <w:i/>
          <w:iCs/>
          <w:color w:val="000000"/>
          <w:lang w:eastAsia="en-AU"/>
        </w:rPr>
        <w:t>Medical and Midwife Indemnity Legislation Amendment (</w:t>
      </w:r>
      <w:r w:rsidR="00866663" w:rsidRPr="00614BA9">
        <w:rPr>
          <w:rFonts w:eastAsia="Times New Roman"/>
          <w:b/>
          <w:bCs/>
          <w:i/>
          <w:iCs/>
          <w:color w:val="000000"/>
          <w:lang w:eastAsia="en-AU"/>
        </w:rPr>
        <w:t xml:space="preserve">Eligible </w:t>
      </w:r>
      <w:r w:rsidRPr="00614BA9">
        <w:rPr>
          <w:rFonts w:eastAsia="Times New Roman"/>
          <w:b/>
          <w:bCs/>
          <w:i/>
          <w:iCs/>
          <w:color w:val="000000"/>
          <w:lang w:eastAsia="en-AU"/>
        </w:rPr>
        <w:t>Run-off Claims)</w:t>
      </w:r>
      <w:r w:rsidR="00866663" w:rsidRPr="00614BA9">
        <w:rPr>
          <w:rFonts w:eastAsia="Times New Roman"/>
          <w:b/>
          <w:bCs/>
          <w:i/>
          <w:iCs/>
          <w:color w:val="000000"/>
          <w:lang w:eastAsia="en-AU"/>
        </w:rPr>
        <w:t xml:space="preserve"> </w:t>
      </w:r>
      <w:r w:rsidR="003F1267" w:rsidRPr="00614BA9">
        <w:rPr>
          <w:rFonts w:eastAsia="Times New Roman"/>
          <w:b/>
          <w:bCs/>
          <w:i/>
          <w:iCs/>
          <w:color w:val="000000"/>
          <w:lang w:eastAsia="en-AU"/>
        </w:rPr>
        <w:t xml:space="preserve">(No 3) </w:t>
      </w:r>
      <w:r w:rsidRPr="00614BA9">
        <w:rPr>
          <w:rFonts w:eastAsia="Times New Roman"/>
          <w:b/>
          <w:bCs/>
          <w:i/>
          <w:iCs/>
          <w:color w:val="000000"/>
          <w:lang w:eastAsia="en-AU"/>
        </w:rPr>
        <w:t>Rules 202</w:t>
      </w:r>
      <w:r w:rsidR="003F1267" w:rsidRPr="00614BA9">
        <w:rPr>
          <w:rFonts w:eastAsia="Times New Roman"/>
          <w:b/>
          <w:bCs/>
          <w:i/>
          <w:iCs/>
          <w:color w:val="000000"/>
          <w:lang w:eastAsia="en-AU"/>
        </w:rPr>
        <w:t>2</w:t>
      </w:r>
    </w:p>
    <w:p w14:paraId="6161BA4D" w14:textId="0003B675" w:rsidR="003612D0" w:rsidRPr="00614BA9" w:rsidRDefault="003612D0" w:rsidP="003612D0">
      <w:pPr>
        <w:shd w:val="clear" w:color="auto" w:fill="FFFFFF"/>
        <w:spacing w:before="240" w:line="257" w:lineRule="atLeast"/>
        <w:rPr>
          <w:rFonts w:ascii="Calibri" w:eastAsia="Times New Roman" w:hAnsi="Calibri" w:cs="Calibri"/>
          <w:color w:val="000000"/>
          <w:sz w:val="22"/>
          <w:szCs w:val="22"/>
          <w:lang w:eastAsia="en-AU"/>
        </w:rPr>
      </w:pPr>
      <w:r w:rsidRPr="00614BA9">
        <w:rPr>
          <w:rFonts w:eastAsia="Times New Roman"/>
          <w:color w:val="000000"/>
          <w:lang w:eastAsia="en-AU"/>
        </w:rPr>
        <w:t xml:space="preserve">This </w:t>
      </w:r>
      <w:r w:rsidR="00B70E75" w:rsidRPr="00614BA9">
        <w:rPr>
          <w:rFonts w:eastAsia="Times New Roman"/>
          <w:color w:val="000000"/>
          <w:lang w:eastAsia="en-AU"/>
        </w:rPr>
        <w:t>l</w:t>
      </w:r>
      <w:r w:rsidRPr="00614BA9">
        <w:rPr>
          <w:rFonts w:eastAsia="Times New Roman"/>
          <w:color w:val="000000"/>
          <w:lang w:eastAsia="en-AU"/>
        </w:rPr>
        <w:t xml:space="preserve">egislative </w:t>
      </w:r>
      <w:r w:rsidR="00B70E75" w:rsidRPr="00614BA9">
        <w:rPr>
          <w:rFonts w:eastAsia="Times New Roman"/>
          <w:color w:val="000000"/>
          <w:lang w:eastAsia="en-AU"/>
        </w:rPr>
        <w:t>i</w:t>
      </w:r>
      <w:r w:rsidRPr="00614BA9">
        <w:rPr>
          <w:rFonts w:eastAsia="Times New Roman"/>
          <w:color w:val="000000"/>
          <w:lang w:eastAsia="en-AU"/>
        </w:rPr>
        <w:t>nstrument is compatible with the human rights and freedoms recognised or declared in the international instruments listed in section 3 of the </w:t>
      </w:r>
      <w:r w:rsidR="00B70E75" w:rsidRPr="00614BA9">
        <w:rPr>
          <w:rFonts w:eastAsia="Times New Roman"/>
          <w:color w:val="000000"/>
          <w:lang w:eastAsia="en-AU"/>
        </w:rPr>
        <w:br/>
      </w:r>
      <w:r w:rsidRPr="00614BA9">
        <w:rPr>
          <w:rFonts w:eastAsia="Times New Roman"/>
          <w:i/>
          <w:iCs/>
          <w:color w:val="000000"/>
          <w:lang w:eastAsia="en-AU"/>
        </w:rPr>
        <w:t>Human Rights (Parliamentary Scrutiny) Act 2011</w:t>
      </w:r>
      <w:r w:rsidRPr="00614BA9">
        <w:rPr>
          <w:rFonts w:eastAsia="Times New Roman"/>
          <w:color w:val="000000"/>
          <w:lang w:eastAsia="en-AU"/>
        </w:rPr>
        <w:t>.</w:t>
      </w:r>
    </w:p>
    <w:p w14:paraId="75E645CA" w14:textId="297B5BA1" w:rsidR="003612D0" w:rsidRPr="00614BA9" w:rsidRDefault="003612D0" w:rsidP="003612D0">
      <w:pPr>
        <w:pStyle w:val="numberpara"/>
        <w:spacing w:before="0" w:line="240" w:lineRule="auto"/>
        <w:rPr>
          <w:b/>
          <w:bCs/>
          <w:color w:val="000000"/>
        </w:rPr>
      </w:pPr>
      <w:r w:rsidRPr="00614BA9">
        <w:rPr>
          <w:b/>
          <w:bCs/>
          <w:color w:val="000000"/>
        </w:rPr>
        <w:t>Overview of the Amending Rules</w:t>
      </w:r>
    </w:p>
    <w:p w14:paraId="7F43D25E" w14:textId="1CA7A30F" w:rsidR="0045416C" w:rsidRPr="00614BA9" w:rsidRDefault="0045416C" w:rsidP="0045416C">
      <w:pPr>
        <w:pStyle w:val="numberpara"/>
        <w:spacing w:before="0" w:line="240" w:lineRule="auto"/>
      </w:pPr>
    </w:p>
    <w:p w14:paraId="67EA5ACE" w14:textId="59E15D8E" w:rsidR="0045416C" w:rsidRPr="00614BA9" w:rsidRDefault="0045416C" w:rsidP="0045416C">
      <w:pPr>
        <w:pStyle w:val="numberpara"/>
        <w:spacing w:before="0" w:line="240" w:lineRule="auto"/>
      </w:pPr>
      <w:r w:rsidRPr="00614BA9">
        <w:t xml:space="preserve">The </w:t>
      </w:r>
      <w:r w:rsidRPr="00614BA9">
        <w:rPr>
          <w:i/>
          <w:iCs/>
        </w:rPr>
        <w:t>Medical and Midwife Indemnity Legislation Amendment (Eligible Run-off Claims)</w:t>
      </w:r>
      <w:r w:rsidR="003F1267" w:rsidRPr="00614BA9">
        <w:rPr>
          <w:i/>
          <w:iCs/>
        </w:rPr>
        <w:t xml:space="preserve"> (No 3)</w:t>
      </w:r>
      <w:r w:rsidRPr="00614BA9">
        <w:rPr>
          <w:i/>
          <w:iCs/>
        </w:rPr>
        <w:t xml:space="preserve"> Rules 202</w:t>
      </w:r>
      <w:r w:rsidR="003F1267" w:rsidRPr="00614BA9">
        <w:rPr>
          <w:i/>
          <w:iCs/>
        </w:rPr>
        <w:t>2</w:t>
      </w:r>
      <w:r w:rsidRPr="00614BA9">
        <w:t xml:space="preserve"> (the </w:t>
      </w:r>
      <w:r w:rsidR="001F7A50" w:rsidRPr="00614BA9">
        <w:t>202</w:t>
      </w:r>
      <w:r w:rsidR="003F1267" w:rsidRPr="00614BA9">
        <w:t>2</w:t>
      </w:r>
      <w:r w:rsidR="001F7A50" w:rsidRPr="00614BA9">
        <w:t xml:space="preserve"> </w:t>
      </w:r>
      <w:r w:rsidRPr="00614BA9">
        <w:t xml:space="preserve">Amending </w:t>
      </w:r>
      <w:r w:rsidR="001F7A50" w:rsidRPr="00614BA9">
        <w:t>Instrument</w:t>
      </w:r>
      <w:r w:rsidR="003F1267" w:rsidRPr="00614BA9">
        <w:t xml:space="preserve"> No 3</w:t>
      </w:r>
      <w:r w:rsidRPr="00614BA9">
        <w:t xml:space="preserve">) </w:t>
      </w:r>
      <w:r w:rsidR="000523DA" w:rsidRPr="00614BA9">
        <w:t xml:space="preserve">amends the </w:t>
      </w:r>
      <w:r w:rsidR="000523DA" w:rsidRPr="00614BA9">
        <w:rPr>
          <w:i/>
          <w:iCs/>
        </w:rPr>
        <w:t xml:space="preserve">Medical Indemnity Rules 2020 </w:t>
      </w:r>
      <w:r w:rsidR="000523DA" w:rsidRPr="00614BA9">
        <w:t xml:space="preserve">and the </w:t>
      </w:r>
      <w:r w:rsidR="000523DA" w:rsidRPr="00614BA9">
        <w:rPr>
          <w:i/>
          <w:iCs/>
        </w:rPr>
        <w:t xml:space="preserve">Midwife Professional Indemnity (Commonwealth Contribution Scheme Rules 2020 </w:t>
      </w:r>
      <w:r w:rsidR="000523DA" w:rsidRPr="00614BA9">
        <w:t xml:space="preserve">by </w:t>
      </w:r>
      <w:r w:rsidR="00866663" w:rsidRPr="00614BA9">
        <w:t xml:space="preserve">further </w:t>
      </w:r>
      <w:r w:rsidRPr="00614BA9">
        <w:t>extend</w:t>
      </w:r>
      <w:r w:rsidR="000523DA" w:rsidRPr="00614BA9">
        <w:t>ing</w:t>
      </w:r>
      <w:r w:rsidRPr="00614BA9">
        <w:t xml:space="preserve"> the temporary Run-off Cover Scheme </w:t>
      </w:r>
      <w:bookmarkStart w:id="3" w:name="_Hlk116542124"/>
      <w:r w:rsidRPr="00614BA9">
        <w:t>exemption</w:t>
      </w:r>
      <w:r w:rsidR="0090734C" w:rsidRPr="00614BA9">
        <w:t xml:space="preserve"> to</w:t>
      </w:r>
      <w:r w:rsidR="0006616B" w:rsidRPr="00614BA9">
        <w:t xml:space="preserve"> </w:t>
      </w:r>
      <w:bookmarkEnd w:id="3"/>
      <w:r w:rsidR="00096D18" w:rsidRPr="00614BA9">
        <w:t xml:space="preserve">21 September </w:t>
      </w:r>
      <w:r w:rsidR="00882EFD" w:rsidRPr="00614BA9">
        <w:t>202</w:t>
      </w:r>
      <w:r w:rsidR="00D70209" w:rsidRPr="00614BA9">
        <w:t>3</w:t>
      </w:r>
      <w:r w:rsidR="00305B3F" w:rsidRPr="00614BA9">
        <w:t xml:space="preserve">. </w:t>
      </w:r>
      <w:r w:rsidRPr="00614BA9">
        <w:t>Th</w:t>
      </w:r>
      <w:r w:rsidR="001C5EB9" w:rsidRPr="00614BA9">
        <w:t xml:space="preserve">e effect of the </w:t>
      </w:r>
      <w:r w:rsidR="009E5B2B" w:rsidRPr="00614BA9">
        <w:t>202</w:t>
      </w:r>
      <w:r w:rsidR="003F1267" w:rsidRPr="00614BA9">
        <w:t>2</w:t>
      </w:r>
      <w:r w:rsidR="009E5B2B" w:rsidRPr="00614BA9">
        <w:t xml:space="preserve"> Amending Instrument</w:t>
      </w:r>
      <w:r w:rsidR="003F1267" w:rsidRPr="00614BA9">
        <w:t xml:space="preserve"> No 3</w:t>
      </w:r>
      <w:r w:rsidR="009E5B2B" w:rsidRPr="00614BA9">
        <w:t xml:space="preserve"> </w:t>
      </w:r>
      <w:r w:rsidRPr="00614BA9">
        <w:t xml:space="preserve">is </w:t>
      </w:r>
      <w:r w:rsidR="001C5EB9" w:rsidRPr="00614BA9">
        <w:t>to</w:t>
      </w:r>
      <w:r w:rsidRPr="00614BA9">
        <w:t xml:space="preserve"> </w:t>
      </w:r>
      <w:r w:rsidR="00B70E75" w:rsidRPr="00614BA9">
        <w:t>allow</w:t>
      </w:r>
      <w:r w:rsidRPr="00614BA9">
        <w:t xml:space="preserve"> the</w:t>
      </w:r>
      <w:r w:rsidR="000523DA" w:rsidRPr="00614BA9">
        <w:t xml:space="preserve"> return and</w:t>
      </w:r>
      <w:r w:rsidRPr="00614BA9">
        <w:t xml:space="preserve"> ongoing involvement of formerly retired </w:t>
      </w:r>
      <w:r w:rsidR="001F7A50" w:rsidRPr="00614BA9">
        <w:t>medical practitioners</w:t>
      </w:r>
      <w:r w:rsidRPr="00614BA9">
        <w:t xml:space="preserve"> and eligible midwives </w:t>
      </w:r>
      <w:r w:rsidR="001F7A50" w:rsidRPr="00614BA9">
        <w:t xml:space="preserve">in private practice </w:t>
      </w:r>
      <w:r w:rsidR="000523DA" w:rsidRPr="00614BA9">
        <w:t>to assist with</w:t>
      </w:r>
      <w:r w:rsidRPr="00614BA9">
        <w:t xml:space="preserve"> the COVID-19 Pandemic Response</w:t>
      </w:r>
      <w:r w:rsidR="003B0338" w:rsidRPr="00614BA9">
        <w:t xml:space="preserve"> until 21 September 2023</w:t>
      </w:r>
      <w:r w:rsidRPr="00614BA9">
        <w:t xml:space="preserve"> without losing their entitlements under the Run-off Cover Scheme. </w:t>
      </w:r>
    </w:p>
    <w:p w14:paraId="24AA7804" w14:textId="77777777" w:rsidR="0045416C" w:rsidRPr="00614BA9" w:rsidRDefault="0045416C" w:rsidP="0045416C">
      <w:pPr>
        <w:pStyle w:val="numberpara"/>
        <w:spacing w:before="0" w:line="240" w:lineRule="auto"/>
      </w:pPr>
    </w:p>
    <w:p w14:paraId="2056C09F" w14:textId="530E974E" w:rsidR="0045416C" w:rsidRPr="00614BA9" w:rsidRDefault="007C09A5" w:rsidP="0045416C">
      <w:pPr>
        <w:pStyle w:val="numberpara"/>
        <w:spacing w:before="0" w:line="240" w:lineRule="auto"/>
      </w:pPr>
      <w:r w:rsidRPr="00614BA9">
        <w:t>This Instrument</w:t>
      </w:r>
      <w:r w:rsidR="0062160F" w:rsidRPr="00614BA9">
        <w:t xml:space="preserve"> enables</w:t>
      </w:r>
      <w:r w:rsidR="0045416C" w:rsidRPr="00614BA9">
        <w:t xml:space="preserve"> the health workforce to </w:t>
      </w:r>
      <w:r w:rsidR="0062160F" w:rsidRPr="00614BA9">
        <w:t xml:space="preserve">effectively </w:t>
      </w:r>
      <w:r w:rsidR="0045416C" w:rsidRPr="00614BA9">
        <w:t>respond to the changing environment of the COVID-19 pandemic by ensuring there is an adequate number of registered healthcare professionals. The healthcare system has come under sustained pressure during the COVID-19 pandemic. Th</w:t>
      </w:r>
      <w:r w:rsidR="00FF548E" w:rsidRPr="00614BA9">
        <w:t xml:space="preserve">e </w:t>
      </w:r>
      <w:r w:rsidR="003F1267" w:rsidRPr="00614BA9">
        <w:t>2022</w:t>
      </w:r>
      <w:r w:rsidR="00E67C2E" w:rsidRPr="00614BA9">
        <w:t xml:space="preserve"> </w:t>
      </w:r>
      <w:r w:rsidR="00FF548E" w:rsidRPr="00614BA9">
        <w:t xml:space="preserve">Amending </w:t>
      </w:r>
      <w:r w:rsidR="007A500E" w:rsidRPr="00614BA9">
        <w:t>Instrument</w:t>
      </w:r>
      <w:r w:rsidR="003F1267" w:rsidRPr="00614BA9">
        <w:t xml:space="preserve"> No 3</w:t>
      </w:r>
      <w:r w:rsidR="007A500E" w:rsidRPr="00614BA9">
        <w:t xml:space="preserve"> </w:t>
      </w:r>
      <w:r w:rsidR="0045416C" w:rsidRPr="00614BA9">
        <w:t xml:space="preserve">will ensure that private sector retired </w:t>
      </w:r>
      <w:r w:rsidR="001F7A50" w:rsidRPr="00614BA9">
        <w:t>medical practitioners</w:t>
      </w:r>
      <w:r w:rsidR="0045416C" w:rsidRPr="00614BA9">
        <w:t xml:space="preserve"> and eligible midwives can continue to assist with the COVID-19 Pandemic Response without losing their entitlements under the Run-off Cover Scheme</w:t>
      </w:r>
      <w:r w:rsidR="007A500E" w:rsidRPr="00614BA9">
        <w:t>.</w:t>
      </w:r>
    </w:p>
    <w:p w14:paraId="04C50E58" w14:textId="77777777" w:rsidR="003612D0" w:rsidRPr="00614BA9" w:rsidRDefault="003612D0" w:rsidP="003612D0">
      <w:pPr>
        <w:shd w:val="clear" w:color="auto" w:fill="FFFFFF"/>
        <w:spacing w:before="240" w:line="257" w:lineRule="atLeast"/>
        <w:rPr>
          <w:rFonts w:ascii="Calibri" w:eastAsia="Times New Roman" w:hAnsi="Calibri" w:cs="Calibri"/>
          <w:color w:val="000000"/>
          <w:sz w:val="22"/>
          <w:szCs w:val="22"/>
          <w:lang w:eastAsia="en-AU"/>
        </w:rPr>
      </w:pPr>
      <w:bookmarkStart w:id="4" w:name="_Hlk116546766"/>
      <w:r w:rsidRPr="00614BA9">
        <w:rPr>
          <w:rFonts w:eastAsia="Times New Roman"/>
          <w:b/>
          <w:bCs/>
          <w:color w:val="000000"/>
          <w:lang w:eastAsia="en-AU"/>
        </w:rPr>
        <w:t>Human rights implications</w:t>
      </w:r>
    </w:p>
    <w:p w14:paraId="2B07ABAB" w14:textId="2ED71A6C" w:rsidR="009E5B2B" w:rsidRPr="00614BA9" w:rsidRDefault="009E5B2B" w:rsidP="009E5B2B">
      <w:pPr>
        <w:shd w:val="clear" w:color="auto" w:fill="FFFFFF"/>
        <w:spacing w:before="120" w:after="120" w:line="240" w:lineRule="auto"/>
        <w:rPr>
          <w:rFonts w:eastAsia="Times New Roman"/>
          <w:color w:val="000000"/>
          <w:lang w:eastAsia="en-AU"/>
        </w:rPr>
      </w:pPr>
      <w:r w:rsidRPr="00614BA9">
        <w:rPr>
          <w:rFonts w:eastAsia="Times New Roman"/>
          <w:color w:val="000000"/>
          <w:lang w:eastAsia="en-AU"/>
        </w:rPr>
        <w:t xml:space="preserve">The </w:t>
      </w:r>
      <w:r w:rsidR="003F1267" w:rsidRPr="00614BA9">
        <w:t xml:space="preserve">2022 </w:t>
      </w:r>
      <w:r w:rsidRPr="00614BA9">
        <w:t xml:space="preserve">Amending Instrument </w:t>
      </w:r>
      <w:r w:rsidR="003F1267" w:rsidRPr="00614BA9">
        <w:t xml:space="preserve">No 3 </w:t>
      </w:r>
      <w:r w:rsidRPr="00614BA9">
        <w:rPr>
          <w:rFonts w:eastAsia="Times New Roman"/>
          <w:color w:val="000000"/>
          <w:lang w:eastAsia="en-AU"/>
        </w:rPr>
        <w:t>engages Article 12 of the International Covenant on Economic Social and Cultural Rights (the ICESCR), specifically the rights to health.</w:t>
      </w:r>
    </w:p>
    <w:p w14:paraId="30979E64" w14:textId="77777777" w:rsidR="009E5B2B" w:rsidRPr="00614BA9" w:rsidRDefault="009E5B2B" w:rsidP="009E5B2B">
      <w:pPr>
        <w:shd w:val="clear" w:color="auto" w:fill="FFFFFF"/>
        <w:spacing w:before="120" w:after="120" w:line="240" w:lineRule="auto"/>
        <w:rPr>
          <w:rFonts w:eastAsia="Times New Roman"/>
          <w:color w:val="000000"/>
          <w:lang w:eastAsia="en-AU"/>
        </w:rPr>
      </w:pPr>
      <w:r w:rsidRPr="00614BA9">
        <w:rPr>
          <w:rFonts w:eastAsia="Times New Roman"/>
          <w:color w:val="000000"/>
          <w:lang w:eastAsia="en-AU"/>
        </w:rPr>
        <w:t>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instead is a right to a system of health protection which provides equality of opportunity for people to enjoy the highest attainable level of health.</w:t>
      </w:r>
    </w:p>
    <w:p w14:paraId="43A43AD2" w14:textId="77777777" w:rsidR="009E5B2B" w:rsidRPr="00614BA9" w:rsidRDefault="009E5B2B" w:rsidP="009E5B2B">
      <w:pPr>
        <w:shd w:val="clear" w:color="auto" w:fill="FFFFFF"/>
        <w:spacing w:before="120" w:after="120" w:line="240" w:lineRule="auto"/>
        <w:rPr>
          <w:rFonts w:eastAsia="Times New Roman"/>
          <w:color w:val="000000"/>
          <w:lang w:eastAsia="en-AU"/>
        </w:rPr>
      </w:pPr>
      <w:r w:rsidRPr="00614BA9">
        <w:rPr>
          <w:rFonts w:eastAsia="Times New Roman"/>
          <w:color w:val="000000"/>
          <w:lang w:eastAsia="en-AU"/>
        </w:rPr>
        <w:t>The Committee reports that the </w:t>
      </w:r>
      <w:r w:rsidRPr="00614BA9">
        <w:rPr>
          <w:rFonts w:eastAsia="Times New Roman"/>
          <w:i/>
          <w:iCs/>
          <w:color w:val="000000"/>
          <w:lang w:eastAsia="en-AU"/>
        </w:rPr>
        <w:t>‘highest attainable standard of health’</w:t>
      </w:r>
      <w:r w:rsidRPr="00614BA9">
        <w:rPr>
          <w:rFonts w:eastAsia="Times New Roman"/>
          <w:color w:val="000000"/>
          <w:lang w:eastAsia="en-AU"/>
        </w:rPr>
        <w:t>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51444F2A" w14:textId="6F39B4B3" w:rsidR="00031A2C" w:rsidRPr="00614BA9" w:rsidRDefault="009E5B2B" w:rsidP="00305B3F">
      <w:pPr>
        <w:shd w:val="clear" w:color="auto" w:fill="FFFFFF"/>
        <w:spacing w:line="257" w:lineRule="atLeast"/>
        <w:rPr>
          <w:rFonts w:eastAsia="Times New Roman"/>
          <w:color w:val="000000"/>
          <w:lang w:eastAsia="en-AU"/>
        </w:rPr>
      </w:pPr>
      <w:r w:rsidRPr="00614BA9">
        <w:rPr>
          <w:rFonts w:eastAsia="Times New Roman"/>
          <w:color w:val="000000"/>
          <w:lang w:eastAsia="en-AU"/>
        </w:rPr>
        <w:t>T</w:t>
      </w:r>
      <w:r w:rsidR="003612D0" w:rsidRPr="00614BA9">
        <w:rPr>
          <w:rFonts w:eastAsia="Times New Roman"/>
          <w:color w:val="000000"/>
          <w:lang w:eastAsia="en-AU"/>
        </w:rPr>
        <w:t xml:space="preserve">he overarching purpose of the </w:t>
      </w:r>
      <w:r w:rsidR="00305B3F" w:rsidRPr="00614BA9">
        <w:rPr>
          <w:rFonts w:eastAsia="Times New Roman"/>
          <w:color w:val="000000"/>
          <w:lang w:eastAsia="en-AU"/>
        </w:rPr>
        <w:t>202</w:t>
      </w:r>
      <w:r w:rsidR="003F1267" w:rsidRPr="00614BA9">
        <w:rPr>
          <w:rFonts w:eastAsia="Times New Roman"/>
          <w:color w:val="000000"/>
          <w:lang w:eastAsia="en-AU"/>
        </w:rPr>
        <w:t>2</w:t>
      </w:r>
      <w:r w:rsidR="00E67C2E" w:rsidRPr="00614BA9">
        <w:rPr>
          <w:rFonts w:eastAsia="Times New Roman"/>
          <w:color w:val="000000"/>
          <w:lang w:eastAsia="en-AU"/>
        </w:rPr>
        <w:t xml:space="preserve"> </w:t>
      </w:r>
      <w:r w:rsidR="00305B3F" w:rsidRPr="00614BA9">
        <w:rPr>
          <w:rFonts w:eastAsia="Times New Roman"/>
          <w:color w:val="000000"/>
          <w:lang w:eastAsia="en-AU"/>
        </w:rPr>
        <w:t>Amending Instrument</w:t>
      </w:r>
      <w:r w:rsidR="003F1267" w:rsidRPr="00614BA9">
        <w:rPr>
          <w:rFonts w:eastAsia="Times New Roman"/>
          <w:color w:val="000000"/>
          <w:lang w:eastAsia="en-AU"/>
        </w:rPr>
        <w:t xml:space="preserve"> No 3</w:t>
      </w:r>
      <w:r w:rsidR="00305B3F" w:rsidRPr="00614BA9">
        <w:rPr>
          <w:rFonts w:eastAsia="Times New Roman"/>
          <w:color w:val="000000"/>
          <w:lang w:eastAsia="en-AU"/>
        </w:rPr>
        <w:t xml:space="preserve"> </w:t>
      </w:r>
      <w:r w:rsidR="003612D0" w:rsidRPr="00614BA9">
        <w:rPr>
          <w:rFonts w:eastAsia="Times New Roman"/>
          <w:color w:val="000000"/>
          <w:lang w:eastAsia="en-AU"/>
        </w:rPr>
        <w:t xml:space="preserve">is to facilitate the participation of </w:t>
      </w:r>
      <w:r w:rsidR="003B0338" w:rsidRPr="00614BA9">
        <w:rPr>
          <w:rFonts w:eastAsia="Times New Roman"/>
          <w:color w:val="000000"/>
          <w:lang w:eastAsia="en-AU"/>
        </w:rPr>
        <w:t xml:space="preserve">retired privately practising </w:t>
      </w:r>
      <w:r w:rsidR="00305B3F" w:rsidRPr="00614BA9">
        <w:rPr>
          <w:rFonts w:eastAsia="Times New Roman"/>
          <w:color w:val="000000"/>
          <w:lang w:eastAsia="en-AU"/>
        </w:rPr>
        <w:t>medical practitioners</w:t>
      </w:r>
      <w:r w:rsidR="003612D0" w:rsidRPr="00614BA9">
        <w:rPr>
          <w:rFonts w:eastAsia="Times New Roman"/>
          <w:color w:val="000000"/>
          <w:lang w:eastAsia="en-AU"/>
        </w:rPr>
        <w:t xml:space="preserve"> and eligible midwives in the country’s COVID-19 Pandemic Response. This supports Article 12(2)(d) of the International Covenant on Economic, Social and Cultural Rights such that it creates “conditions which would assure to all medical service and medical attention in the event of sickness”.</w:t>
      </w:r>
    </w:p>
    <w:p w14:paraId="76C6E1C6" w14:textId="2BE37D22" w:rsidR="003612D0" w:rsidRPr="00614BA9" w:rsidRDefault="003612D0" w:rsidP="003612D0">
      <w:pPr>
        <w:shd w:val="clear" w:color="auto" w:fill="FFFFFF"/>
        <w:spacing w:line="257" w:lineRule="atLeast"/>
        <w:rPr>
          <w:rFonts w:ascii="Calibri" w:eastAsia="Times New Roman" w:hAnsi="Calibri" w:cs="Calibri"/>
          <w:color w:val="000000"/>
          <w:sz w:val="22"/>
          <w:szCs w:val="22"/>
          <w:lang w:eastAsia="en-AU"/>
        </w:rPr>
      </w:pPr>
      <w:r w:rsidRPr="00614BA9">
        <w:rPr>
          <w:rFonts w:eastAsia="Times New Roman"/>
          <w:b/>
          <w:bCs/>
          <w:color w:val="000000"/>
          <w:lang w:eastAsia="en-AU"/>
        </w:rPr>
        <w:lastRenderedPageBreak/>
        <w:t>Conclusion</w:t>
      </w:r>
    </w:p>
    <w:p w14:paraId="2084A1F9" w14:textId="588DD279" w:rsidR="00FF548E" w:rsidRPr="00614BA9" w:rsidRDefault="003612D0" w:rsidP="003612D0">
      <w:pPr>
        <w:shd w:val="clear" w:color="auto" w:fill="FFFFFF"/>
        <w:spacing w:line="257" w:lineRule="atLeast"/>
        <w:rPr>
          <w:rFonts w:ascii="Calibri" w:eastAsia="Times New Roman" w:hAnsi="Calibri" w:cs="Calibri"/>
          <w:color w:val="000000"/>
          <w:sz w:val="22"/>
          <w:szCs w:val="22"/>
          <w:lang w:eastAsia="en-AU"/>
        </w:rPr>
      </w:pPr>
      <w:r w:rsidRPr="00614BA9">
        <w:rPr>
          <w:rFonts w:eastAsia="Times New Roman"/>
          <w:color w:val="000000"/>
          <w:lang w:eastAsia="en-AU"/>
        </w:rPr>
        <w:t xml:space="preserve">This Legislative Instrument is compatible with human rights as it </w:t>
      </w:r>
      <w:r w:rsidR="009E5B2B" w:rsidRPr="00614BA9">
        <w:rPr>
          <w:rFonts w:eastAsia="Times New Roman"/>
          <w:color w:val="000000"/>
          <w:lang w:eastAsia="en-AU"/>
        </w:rPr>
        <w:t>maintains the</w:t>
      </w:r>
      <w:r w:rsidRPr="00614BA9">
        <w:rPr>
          <w:rFonts w:eastAsia="Times New Roman"/>
          <w:color w:val="000000"/>
          <w:lang w:eastAsia="en-AU"/>
        </w:rPr>
        <w:t xml:space="preserve"> rights </w:t>
      </w:r>
      <w:r w:rsidR="009E5B2B" w:rsidRPr="00614BA9">
        <w:rPr>
          <w:rFonts w:eastAsia="Times New Roman"/>
          <w:color w:val="000000"/>
          <w:lang w:eastAsia="en-AU"/>
        </w:rPr>
        <w:t>to health.</w:t>
      </w:r>
      <w:bookmarkEnd w:id="4"/>
    </w:p>
    <w:p w14:paraId="6B62D225" w14:textId="30018582" w:rsidR="00FF548E" w:rsidRPr="00614BA9" w:rsidRDefault="003612D0" w:rsidP="003612D0">
      <w:pPr>
        <w:shd w:val="clear" w:color="auto" w:fill="FFFFFF"/>
        <w:spacing w:line="257" w:lineRule="atLeast"/>
        <w:jc w:val="center"/>
        <w:rPr>
          <w:rFonts w:eastAsia="Times New Roman"/>
          <w:b/>
          <w:bCs/>
          <w:color w:val="000000"/>
          <w:lang w:eastAsia="en-AU"/>
        </w:rPr>
      </w:pPr>
      <w:r w:rsidRPr="00614BA9">
        <w:rPr>
          <w:rFonts w:eastAsia="Times New Roman"/>
          <w:b/>
          <w:bCs/>
          <w:color w:val="000000"/>
          <w:lang w:eastAsia="en-AU"/>
        </w:rPr>
        <w:t xml:space="preserve">The Hon </w:t>
      </w:r>
      <w:r w:rsidR="00866663" w:rsidRPr="00614BA9">
        <w:rPr>
          <w:rFonts w:eastAsia="Times New Roman"/>
          <w:b/>
          <w:bCs/>
          <w:color w:val="000000"/>
          <w:lang w:eastAsia="en-AU"/>
        </w:rPr>
        <w:t xml:space="preserve">Mark Butler </w:t>
      </w:r>
      <w:r w:rsidRPr="00614BA9">
        <w:rPr>
          <w:rFonts w:eastAsia="Times New Roman"/>
          <w:b/>
          <w:bCs/>
          <w:color w:val="000000"/>
          <w:lang w:eastAsia="en-AU"/>
        </w:rPr>
        <w:t>MP</w:t>
      </w:r>
    </w:p>
    <w:p w14:paraId="42BA61FB" w14:textId="2935A428" w:rsidR="003612D0" w:rsidRDefault="003612D0" w:rsidP="003612D0">
      <w:pPr>
        <w:shd w:val="clear" w:color="auto" w:fill="FFFFFF"/>
        <w:spacing w:line="257" w:lineRule="atLeast"/>
        <w:jc w:val="center"/>
        <w:rPr>
          <w:rFonts w:ascii="Calibri" w:eastAsia="Times New Roman" w:hAnsi="Calibri" w:cs="Calibri"/>
          <w:color w:val="000000"/>
          <w:sz w:val="22"/>
          <w:szCs w:val="22"/>
          <w:lang w:eastAsia="en-AU"/>
        </w:rPr>
      </w:pPr>
      <w:r w:rsidRPr="00614BA9">
        <w:rPr>
          <w:rFonts w:eastAsia="Times New Roman"/>
          <w:b/>
          <w:bCs/>
          <w:color w:val="000000"/>
          <w:lang w:eastAsia="en-AU"/>
        </w:rPr>
        <w:t>Minister for Health and Aged Care</w:t>
      </w:r>
    </w:p>
    <w:p w14:paraId="77987D53" w14:textId="77777777" w:rsidR="00280050" w:rsidRDefault="00280050"/>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D0"/>
    <w:rsid w:val="00011A91"/>
    <w:rsid w:val="00011B5F"/>
    <w:rsid w:val="00015A31"/>
    <w:rsid w:val="00031A2C"/>
    <w:rsid w:val="000523DA"/>
    <w:rsid w:val="0006616B"/>
    <w:rsid w:val="000712D6"/>
    <w:rsid w:val="00096D18"/>
    <w:rsid w:val="000E1497"/>
    <w:rsid w:val="00100B48"/>
    <w:rsid w:val="001647EC"/>
    <w:rsid w:val="001C5EB9"/>
    <w:rsid w:val="001E31FE"/>
    <w:rsid w:val="001F7A50"/>
    <w:rsid w:val="00210841"/>
    <w:rsid w:val="00210D3B"/>
    <w:rsid w:val="00212B3B"/>
    <w:rsid w:val="00222E85"/>
    <w:rsid w:val="00246AA3"/>
    <w:rsid w:val="0026010A"/>
    <w:rsid w:val="00261127"/>
    <w:rsid w:val="00271170"/>
    <w:rsid w:val="00280050"/>
    <w:rsid w:val="002F41D5"/>
    <w:rsid w:val="002F5F41"/>
    <w:rsid w:val="00305B3F"/>
    <w:rsid w:val="00343C55"/>
    <w:rsid w:val="003612D0"/>
    <w:rsid w:val="00380584"/>
    <w:rsid w:val="00385F24"/>
    <w:rsid w:val="0038744D"/>
    <w:rsid w:val="003B0338"/>
    <w:rsid w:val="003B4EB3"/>
    <w:rsid w:val="003E76ED"/>
    <w:rsid w:val="003F1267"/>
    <w:rsid w:val="0045416C"/>
    <w:rsid w:val="0046703D"/>
    <w:rsid w:val="0054630F"/>
    <w:rsid w:val="00581075"/>
    <w:rsid w:val="00585EF7"/>
    <w:rsid w:val="005A1BE2"/>
    <w:rsid w:val="005B08B1"/>
    <w:rsid w:val="005F7723"/>
    <w:rsid w:val="00614BA9"/>
    <w:rsid w:val="0062160F"/>
    <w:rsid w:val="006251AD"/>
    <w:rsid w:val="00634BFB"/>
    <w:rsid w:val="00636816"/>
    <w:rsid w:val="00652494"/>
    <w:rsid w:val="00655FBF"/>
    <w:rsid w:val="0068707E"/>
    <w:rsid w:val="006C0D99"/>
    <w:rsid w:val="007220FB"/>
    <w:rsid w:val="007255D1"/>
    <w:rsid w:val="00782BD2"/>
    <w:rsid w:val="007840B0"/>
    <w:rsid w:val="007840DD"/>
    <w:rsid w:val="007A500E"/>
    <w:rsid w:val="007B3B3B"/>
    <w:rsid w:val="007B73D7"/>
    <w:rsid w:val="007C09A5"/>
    <w:rsid w:val="007E7380"/>
    <w:rsid w:val="007F6D2D"/>
    <w:rsid w:val="007F6E06"/>
    <w:rsid w:val="00814102"/>
    <w:rsid w:val="00833C48"/>
    <w:rsid w:val="00837F55"/>
    <w:rsid w:val="00843627"/>
    <w:rsid w:val="008535D8"/>
    <w:rsid w:val="00866663"/>
    <w:rsid w:val="00882EFD"/>
    <w:rsid w:val="009060EB"/>
    <w:rsid w:val="0090734C"/>
    <w:rsid w:val="009618F0"/>
    <w:rsid w:val="009D763B"/>
    <w:rsid w:val="009E0964"/>
    <w:rsid w:val="009E5B2B"/>
    <w:rsid w:val="00A142C7"/>
    <w:rsid w:val="00A233E9"/>
    <w:rsid w:val="00A93320"/>
    <w:rsid w:val="00AB487A"/>
    <w:rsid w:val="00AB4B6F"/>
    <w:rsid w:val="00AC1504"/>
    <w:rsid w:val="00AE411E"/>
    <w:rsid w:val="00B17594"/>
    <w:rsid w:val="00B527F0"/>
    <w:rsid w:val="00B60F90"/>
    <w:rsid w:val="00B70E75"/>
    <w:rsid w:val="00C24945"/>
    <w:rsid w:val="00C43B18"/>
    <w:rsid w:val="00C46718"/>
    <w:rsid w:val="00C509F3"/>
    <w:rsid w:val="00C555DC"/>
    <w:rsid w:val="00C72673"/>
    <w:rsid w:val="00C917A4"/>
    <w:rsid w:val="00C91932"/>
    <w:rsid w:val="00CC265F"/>
    <w:rsid w:val="00CD3635"/>
    <w:rsid w:val="00D00133"/>
    <w:rsid w:val="00D12729"/>
    <w:rsid w:val="00D63CD8"/>
    <w:rsid w:val="00D70209"/>
    <w:rsid w:val="00D83A85"/>
    <w:rsid w:val="00DD15EB"/>
    <w:rsid w:val="00E67C2E"/>
    <w:rsid w:val="00EA198A"/>
    <w:rsid w:val="00EE32B5"/>
    <w:rsid w:val="00EF5FDA"/>
    <w:rsid w:val="00F016EB"/>
    <w:rsid w:val="00F134DE"/>
    <w:rsid w:val="00F13A92"/>
    <w:rsid w:val="00F14D6C"/>
    <w:rsid w:val="00F54BC9"/>
    <w:rsid w:val="00F627FE"/>
    <w:rsid w:val="00F8270B"/>
    <w:rsid w:val="00FA1CBF"/>
    <w:rsid w:val="00FC4B1A"/>
    <w:rsid w:val="00FF5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BDC6"/>
  <w15:chartTrackingRefBased/>
  <w15:docId w15:val="{E9C2D2EC-082C-4F2D-8FCA-924B34D1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D0"/>
    <w:pPr>
      <w:spacing w:line="256" w:lineRule="auto"/>
    </w:pPr>
  </w:style>
  <w:style w:type="paragraph" w:styleId="Heading2">
    <w:name w:val="heading 2"/>
    <w:basedOn w:val="Normal"/>
    <w:link w:val="Heading2Char"/>
    <w:uiPriority w:val="9"/>
    <w:qFormat/>
    <w:rsid w:val="009618F0"/>
    <w:pPr>
      <w:spacing w:before="100" w:beforeAutospacing="1" w:after="100" w:afterAutospacing="1" w:line="240" w:lineRule="auto"/>
      <w:outlineLvl w:val="1"/>
    </w:pPr>
    <w:rPr>
      <w:rFonts w:eastAsia="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12D0"/>
    <w:rPr>
      <w:color w:val="0563C1" w:themeColor="hyperlink"/>
      <w:u w:val="single"/>
    </w:rPr>
  </w:style>
  <w:style w:type="paragraph" w:styleId="CommentText">
    <w:name w:val="annotation text"/>
    <w:basedOn w:val="Normal"/>
    <w:link w:val="CommentTextChar"/>
    <w:uiPriority w:val="99"/>
    <w:semiHidden/>
    <w:unhideWhenUsed/>
    <w:rsid w:val="003612D0"/>
    <w:pPr>
      <w:spacing w:line="240" w:lineRule="auto"/>
    </w:pPr>
    <w:rPr>
      <w:sz w:val="20"/>
      <w:szCs w:val="20"/>
    </w:rPr>
  </w:style>
  <w:style w:type="character" w:customStyle="1" w:styleId="CommentTextChar">
    <w:name w:val="Comment Text Char"/>
    <w:basedOn w:val="DefaultParagraphFont"/>
    <w:link w:val="CommentText"/>
    <w:uiPriority w:val="99"/>
    <w:semiHidden/>
    <w:rsid w:val="003612D0"/>
    <w:rPr>
      <w:sz w:val="20"/>
      <w:szCs w:val="20"/>
    </w:rPr>
  </w:style>
  <w:style w:type="paragraph" w:customStyle="1" w:styleId="numberpara">
    <w:name w:val="numberpara"/>
    <w:basedOn w:val="Footer"/>
    <w:rsid w:val="003612D0"/>
    <w:pPr>
      <w:tabs>
        <w:tab w:val="clear" w:pos="4513"/>
        <w:tab w:val="clear" w:pos="9026"/>
        <w:tab w:val="left" w:pos="360"/>
        <w:tab w:val="left" w:pos="567"/>
      </w:tabs>
      <w:spacing w:before="120" w:line="360" w:lineRule="auto"/>
    </w:pPr>
    <w:rPr>
      <w:rFonts w:eastAsia="Times New Roman"/>
      <w:szCs w:val="20"/>
      <w:lang w:val="en-US" w:eastAsia="en-AU"/>
    </w:rPr>
  </w:style>
  <w:style w:type="character" w:styleId="CommentReference">
    <w:name w:val="annotation reference"/>
    <w:basedOn w:val="DefaultParagraphFont"/>
    <w:uiPriority w:val="99"/>
    <w:semiHidden/>
    <w:unhideWhenUsed/>
    <w:rsid w:val="003612D0"/>
    <w:rPr>
      <w:sz w:val="16"/>
      <w:szCs w:val="16"/>
    </w:rPr>
  </w:style>
  <w:style w:type="paragraph" w:styleId="Footer">
    <w:name w:val="footer"/>
    <w:basedOn w:val="Normal"/>
    <w:link w:val="FooterChar"/>
    <w:uiPriority w:val="99"/>
    <w:semiHidden/>
    <w:unhideWhenUsed/>
    <w:rsid w:val="003612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12D0"/>
  </w:style>
  <w:style w:type="character" w:customStyle="1" w:styleId="Heading2Char">
    <w:name w:val="Heading 2 Char"/>
    <w:basedOn w:val="DefaultParagraphFont"/>
    <w:link w:val="Heading2"/>
    <w:uiPriority w:val="9"/>
    <w:rsid w:val="009618F0"/>
    <w:rPr>
      <w:rFonts w:eastAsia="Times New Roman"/>
      <w:b/>
      <w:bCs/>
      <w:sz w:val="36"/>
      <w:szCs w:val="36"/>
      <w:lang w:eastAsia="en-AU"/>
    </w:rPr>
  </w:style>
  <w:style w:type="paragraph" w:customStyle="1" w:styleId="plainparagraph">
    <w:name w:val="plainparagraph"/>
    <w:basedOn w:val="Normal"/>
    <w:rsid w:val="009618F0"/>
    <w:pPr>
      <w:spacing w:before="100" w:beforeAutospacing="1" w:after="100" w:afterAutospacing="1" w:line="240" w:lineRule="auto"/>
    </w:pPr>
    <w:rPr>
      <w:rFonts w:eastAsia="Times New Roman"/>
      <w:lang w:eastAsia="en-AU"/>
    </w:rPr>
  </w:style>
  <w:style w:type="character" w:customStyle="1" w:styleId="charampartno">
    <w:name w:val="charampartno"/>
    <w:basedOn w:val="DefaultParagraphFont"/>
    <w:rsid w:val="009618F0"/>
  </w:style>
  <w:style w:type="character" w:customStyle="1" w:styleId="charamparttext">
    <w:name w:val="charamparttext"/>
    <w:basedOn w:val="DefaultParagraphFont"/>
    <w:rsid w:val="009618F0"/>
  </w:style>
  <w:style w:type="paragraph" w:styleId="ListParagraph">
    <w:name w:val="List Paragraph"/>
    <w:basedOn w:val="Normal"/>
    <w:uiPriority w:val="34"/>
    <w:qFormat/>
    <w:rsid w:val="009618F0"/>
    <w:pPr>
      <w:spacing w:before="100" w:beforeAutospacing="1" w:after="100" w:afterAutospacing="1" w:line="240" w:lineRule="auto"/>
    </w:pPr>
    <w:rPr>
      <w:rFonts w:eastAsia="Times New Roman"/>
      <w:lang w:eastAsia="en-AU"/>
    </w:rPr>
  </w:style>
  <w:style w:type="character" w:customStyle="1" w:styleId="charparttext">
    <w:name w:val="charparttext"/>
    <w:basedOn w:val="DefaultParagraphFont"/>
    <w:rsid w:val="009618F0"/>
  </w:style>
  <w:style w:type="paragraph" w:styleId="CommentSubject">
    <w:name w:val="annotation subject"/>
    <w:basedOn w:val="CommentText"/>
    <w:next w:val="CommentText"/>
    <w:link w:val="CommentSubjectChar"/>
    <w:uiPriority w:val="99"/>
    <w:semiHidden/>
    <w:unhideWhenUsed/>
    <w:rsid w:val="009E0964"/>
    <w:rPr>
      <w:b/>
      <w:bCs/>
    </w:rPr>
  </w:style>
  <w:style w:type="character" w:customStyle="1" w:styleId="CommentSubjectChar">
    <w:name w:val="Comment Subject Char"/>
    <w:basedOn w:val="CommentTextChar"/>
    <w:link w:val="CommentSubject"/>
    <w:uiPriority w:val="99"/>
    <w:semiHidden/>
    <w:rsid w:val="009E0964"/>
    <w:rPr>
      <w:b/>
      <w:bCs/>
      <w:sz w:val="20"/>
      <w:szCs w:val="20"/>
    </w:rPr>
  </w:style>
  <w:style w:type="paragraph" w:styleId="Revision">
    <w:name w:val="Revision"/>
    <w:hidden/>
    <w:uiPriority w:val="99"/>
    <w:semiHidden/>
    <w:rsid w:val="009E0964"/>
    <w:pPr>
      <w:spacing w:after="0" w:line="240" w:lineRule="auto"/>
    </w:pPr>
  </w:style>
  <w:style w:type="character" w:styleId="FollowedHyperlink">
    <w:name w:val="FollowedHyperlink"/>
    <w:basedOn w:val="DefaultParagraphFont"/>
    <w:uiPriority w:val="99"/>
    <w:semiHidden/>
    <w:unhideWhenUsed/>
    <w:rsid w:val="00AC15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7606">
      <w:bodyDiv w:val="1"/>
      <w:marLeft w:val="0"/>
      <w:marRight w:val="0"/>
      <w:marTop w:val="0"/>
      <w:marBottom w:val="0"/>
      <w:divBdr>
        <w:top w:val="none" w:sz="0" w:space="0" w:color="auto"/>
        <w:left w:val="none" w:sz="0" w:space="0" w:color="auto"/>
        <w:bottom w:val="none" w:sz="0" w:space="0" w:color="auto"/>
        <w:right w:val="none" w:sz="0" w:space="0" w:color="auto"/>
      </w:divBdr>
    </w:div>
    <w:div w:id="263806801">
      <w:bodyDiv w:val="1"/>
      <w:marLeft w:val="0"/>
      <w:marRight w:val="0"/>
      <w:marTop w:val="0"/>
      <w:marBottom w:val="0"/>
      <w:divBdr>
        <w:top w:val="none" w:sz="0" w:space="0" w:color="auto"/>
        <w:left w:val="none" w:sz="0" w:space="0" w:color="auto"/>
        <w:bottom w:val="none" w:sz="0" w:space="0" w:color="auto"/>
        <w:right w:val="none" w:sz="0" w:space="0" w:color="auto"/>
      </w:divBdr>
    </w:div>
    <w:div w:id="961114555">
      <w:bodyDiv w:val="1"/>
      <w:marLeft w:val="0"/>
      <w:marRight w:val="0"/>
      <w:marTop w:val="0"/>
      <w:marBottom w:val="0"/>
      <w:divBdr>
        <w:top w:val="none" w:sz="0" w:space="0" w:color="auto"/>
        <w:left w:val="none" w:sz="0" w:space="0" w:color="auto"/>
        <w:bottom w:val="none" w:sz="0" w:space="0" w:color="auto"/>
        <w:right w:val="none" w:sz="0" w:space="0" w:color="auto"/>
      </w:divBdr>
    </w:div>
    <w:div w:id="1422873905">
      <w:bodyDiv w:val="1"/>
      <w:marLeft w:val="0"/>
      <w:marRight w:val="0"/>
      <w:marTop w:val="0"/>
      <w:marBottom w:val="0"/>
      <w:divBdr>
        <w:top w:val="none" w:sz="0" w:space="0" w:color="auto"/>
        <w:left w:val="none" w:sz="0" w:space="0" w:color="auto"/>
        <w:bottom w:val="none" w:sz="0" w:space="0" w:color="auto"/>
        <w:right w:val="none" w:sz="0" w:space="0" w:color="auto"/>
      </w:divBdr>
    </w:div>
    <w:div w:id="19720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F4AA758-90B1-4EAE-ACB7-F8DEB1B8DC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02AE1415C879C4E953A4152F45E6F62" ma:contentTypeVersion="" ma:contentTypeDescription="PDMS Document Site Content Type" ma:contentTypeScope="" ma:versionID="26aa78bbba77c49b49102b78558f7b6d">
  <xsd:schema xmlns:xsd="http://www.w3.org/2001/XMLSchema" xmlns:xs="http://www.w3.org/2001/XMLSchema" xmlns:p="http://schemas.microsoft.com/office/2006/metadata/properties" xmlns:ns2="FF4AA758-90B1-4EAE-ACB7-F8DEB1B8DCCD" targetNamespace="http://schemas.microsoft.com/office/2006/metadata/properties" ma:root="true" ma:fieldsID="e18309346e79b66571632dcb66fb5dd5" ns2:_="">
    <xsd:import namespace="FF4AA758-90B1-4EAE-ACB7-F8DEB1B8DCC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AA758-90B1-4EAE-ACB7-F8DEB1B8DCC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3A391-9C6A-40DA-A3FB-2D292174C8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F4AA758-90B1-4EAE-ACB7-F8DEB1B8DCCD"/>
    <ds:schemaRef ds:uri="http://www.w3.org/XML/1998/namespace"/>
    <ds:schemaRef ds:uri="http://purl.org/dc/dcmitype/"/>
  </ds:schemaRefs>
</ds:datastoreItem>
</file>

<file path=customXml/itemProps2.xml><?xml version="1.0" encoding="utf-8"?>
<ds:datastoreItem xmlns:ds="http://schemas.openxmlformats.org/officeDocument/2006/customXml" ds:itemID="{B75E4DA5-A2C5-47DA-9F01-4B65DB534E31}">
  <ds:schemaRefs>
    <ds:schemaRef ds:uri="http://schemas.openxmlformats.org/officeDocument/2006/bibliography"/>
  </ds:schemaRefs>
</ds:datastoreItem>
</file>

<file path=customXml/itemProps3.xml><?xml version="1.0" encoding="utf-8"?>
<ds:datastoreItem xmlns:ds="http://schemas.openxmlformats.org/officeDocument/2006/customXml" ds:itemID="{254CDF25-5426-466D-B9F8-AF31D7E07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AA758-90B1-4EAE-ACB7-F8DEB1B8D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05DC1-6860-4367-AB50-587330399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Byron</dc:creator>
  <cp:keywords/>
  <dc:description/>
  <cp:lastModifiedBy>PANTIC, Sandra</cp:lastModifiedBy>
  <cp:revision>7</cp:revision>
  <cp:lastPrinted>2022-05-04T23:59:00Z</cp:lastPrinted>
  <dcterms:created xsi:type="dcterms:W3CDTF">2022-11-28T22:11:00Z</dcterms:created>
  <dcterms:modified xsi:type="dcterms:W3CDTF">2022-12-16T00:18:00Z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0x010100266966F133664895A6EE3632470D45F500202AE1415C879C4E953A4152F45E6F62</vt:lpwstr>
  </property>
</Properties>
</file>