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B352" w14:textId="77777777" w:rsidR="00331886" w:rsidRDefault="00331886" w:rsidP="00331886">
      <w:pPr>
        <w:rPr>
          <w:noProof/>
          <w:lang w:eastAsia="en-AU"/>
        </w:rPr>
      </w:pPr>
    </w:p>
    <w:p w14:paraId="38C4242F" w14:textId="77777777" w:rsidR="00331886" w:rsidRDefault="00331886" w:rsidP="00331886">
      <w:pPr>
        <w:rPr>
          <w:sz w:val="28"/>
        </w:rPr>
      </w:pPr>
      <w:r>
        <w:rPr>
          <w:noProof/>
          <w:lang w:eastAsia="en-AU"/>
        </w:rPr>
        <w:drawing>
          <wp:inline distT="0" distB="0" distL="0" distR="0" wp14:anchorId="2127FFDE" wp14:editId="168FB700">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5090947" w14:textId="77777777" w:rsidR="004859EA" w:rsidRDefault="004859EA" w:rsidP="00331886">
      <w:pPr>
        <w:rPr>
          <w:sz w:val="28"/>
        </w:rPr>
      </w:pPr>
    </w:p>
    <w:p w14:paraId="57ACFF48" w14:textId="7BF4E109" w:rsidR="00DB7221" w:rsidRPr="00D4521B" w:rsidRDefault="0057376C" w:rsidP="0050242F">
      <w:pPr>
        <w:pStyle w:val="ShortT"/>
      </w:pPr>
      <w:r>
        <w:t>Therapeutic Goods (Biologicals—Authorised Supply) Rules 2022</w:t>
      </w:r>
    </w:p>
    <w:p w14:paraId="22CA4FB0" w14:textId="0D38DAD3" w:rsidR="00331886" w:rsidRPr="00BC3AE3" w:rsidRDefault="00331886" w:rsidP="00331886">
      <w:pPr>
        <w:pStyle w:val="MadeunderText"/>
      </w:pPr>
      <w:r w:rsidRPr="00BC3AE3">
        <w:t>made under</w:t>
      </w:r>
      <w:r>
        <w:t xml:space="preserve"> </w:t>
      </w:r>
      <w:r w:rsidR="0057376C">
        <w:t xml:space="preserve">subsection 32CM(7A) </w:t>
      </w:r>
      <w:r>
        <w:t>of the</w:t>
      </w:r>
    </w:p>
    <w:p w14:paraId="465FE74F" w14:textId="6C6560EE" w:rsidR="00331886" w:rsidRPr="0057376C" w:rsidRDefault="0057376C" w:rsidP="00331886">
      <w:pPr>
        <w:pStyle w:val="CompiledMadeUnder"/>
        <w:spacing w:before="240"/>
        <w:rPr>
          <w:i w:val="0"/>
          <w:iCs/>
        </w:rPr>
      </w:pPr>
      <w:r>
        <w:t>Therapeutic Goods Act 1989</w:t>
      </w:r>
    </w:p>
    <w:p w14:paraId="68398967" w14:textId="206BFA9E"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7D11B7">
        <w:rPr>
          <w:rFonts w:cs="Arial"/>
          <w:b/>
          <w:sz w:val="32"/>
          <w:szCs w:val="32"/>
        </w:rPr>
        <w:t>5</w:t>
      </w:r>
    </w:p>
    <w:p w14:paraId="02592E1B" w14:textId="70E52D12" w:rsidR="00331886" w:rsidRPr="00642BE4" w:rsidRDefault="00331886" w:rsidP="008275DE">
      <w:pPr>
        <w:tabs>
          <w:tab w:val="left" w:pos="2552"/>
        </w:tabs>
        <w:spacing w:before="480"/>
        <w:ind w:left="2552" w:hanging="2552"/>
        <w:rPr>
          <w:rFonts w:cs="Arial"/>
          <w:sz w:val="24"/>
        </w:rPr>
      </w:pPr>
      <w:r w:rsidRPr="00642BE4">
        <w:rPr>
          <w:rFonts w:cs="Arial"/>
          <w:b/>
          <w:sz w:val="24"/>
        </w:rPr>
        <w:t>Compilation date:</w:t>
      </w:r>
      <w:r>
        <w:rPr>
          <w:rFonts w:cs="Arial"/>
          <w:sz w:val="24"/>
        </w:rPr>
        <w:tab/>
      </w:r>
      <w:r w:rsidR="00FE3674">
        <w:rPr>
          <w:rFonts w:cs="Arial"/>
          <w:sz w:val="24"/>
        </w:rPr>
        <w:t>7 November 2025</w:t>
      </w:r>
    </w:p>
    <w:p w14:paraId="324A74B0" w14:textId="7860928E" w:rsidR="00331886" w:rsidRPr="00EE1683" w:rsidRDefault="00331886" w:rsidP="008275DE">
      <w:pPr>
        <w:tabs>
          <w:tab w:val="left" w:pos="2552"/>
        </w:tabs>
        <w:spacing w:before="240" w:after="240"/>
        <w:ind w:left="2552" w:hanging="2552"/>
        <w:rPr>
          <w:rFonts w:cs="Arial"/>
          <w:sz w:val="24"/>
        </w:rPr>
      </w:pPr>
      <w:r w:rsidRPr="00642BE4">
        <w:rPr>
          <w:rFonts w:cs="Arial"/>
          <w:b/>
          <w:sz w:val="24"/>
        </w:rPr>
        <w:t>Includes amendments:</w:t>
      </w:r>
      <w:r w:rsidRPr="008C1DFD">
        <w:rPr>
          <w:rFonts w:cs="Arial"/>
          <w:sz w:val="24"/>
        </w:rPr>
        <w:tab/>
      </w:r>
      <w:r w:rsidR="00F4747E" w:rsidRPr="00F4747E">
        <w:rPr>
          <w:rFonts w:cs="Arial"/>
          <w:sz w:val="24"/>
        </w:rPr>
        <w:t>F2025L00947</w:t>
      </w:r>
    </w:p>
    <w:p w14:paraId="7D7D84B3"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5358AFC7" w14:textId="77777777" w:rsidR="00331886" w:rsidRPr="00042EA7" w:rsidRDefault="00331886" w:rsidP="00331886">
      <w:pPr>
        <w:spacing w:before="240"/>
        <w:rPr>
          <w:rFonts w:cs="Arial"/>
        </w:rPr>
      </w:pPr>
      <w:r w:rsidRPr="00042EA7">
        <w:rPr>
          <w:rFonts w:cs="Arial"/>
          <w:b/>
          <w:szCs w:val="22"/>
        </w:rPr>
        <w:t>This compilation</w:t>
      </w:r>
    </w:p>
    <w:p w14:paraId="0C5C3CBD" w14:textId="5CB3D818" w:rsidR="00331886" w:rsidRPr="00042EA7" w:rsidRDefault="00331886" w:rsidP="00331886">
      <w:pPr>
        <w:spacing w:before="120" w:after="120"/>
        <w:rPr>
          <w:rFonts w:cs="Arial"/>
          <w:szCs w:val="22"/>
        </w:rPr>
      </w:pPr>
      <w:r w:rsidRPr="00042EA7">
        <w:rPr>
          <w:rFonts w:cs="Arial"/>
          <w:szCs w:val="22"/>
        </w:rPr>
        <w:t xml:space="preserve">This is a compilation of the </w:t>
      </w:r>
      <w:r w:rsidR="00E9390D" w:rsidRPr="00E9390D">
        <w:rPr>
          <w:rFonts w:cs="Arial"/>
          <w:i/>
          <w:iCs/>
          <w:szCs w:val="22"/>
        </w:rPr>
        <w:t>Therapeutic Goods (Biologicals—Authorised Supply) Rules</w:t>
      </w:r>
      <w:r w:rsidR="00E9390D">
        <w:rPr>
          <w:rFonts w:cs="Arial"/>
          <w:i/>
          <w:iCs/>
          <w:szCs w:val="22"/>
        </w:rPr>
        <w:t> </w:t>
      </w:r>
      <w:r w:rsidR="00E9390D" w:rsidRPr="00E9390D">
        <w:rPr>
          <w:rFonts w:cs="Arial"/>
          <w:i/>
          <w:iCs/>
          <w:szCs w:val="22"/>
        </w:rPr>
        <w:t>2022</w:t>
      </w:r>
      <w:r w:rsidR="00E9390D">
        <w:rPr>
          <w:rFonts w:cs="Arial"/>
          <w:szCs w:val="22"/>
        </w:rPr>
        <w:t xml:space="preserve"> </w:t>
      </w:r>
      <w:r w:rsidRPr="00042EA7">
        <w:rPr>
          <w:rFonts w:cs="Arial"/>
          <w:szCs w:val="22"/>
        </w:rPr>
        <w:t xml:space="preserve">that shows the text of the law as amended and in </w:t>
      </w:r>
      <w:r w:rsidRPr="00E9390D">
        <w:rPr>
          <w:rFonts w:cs="Arial"/>
          <w:color w:val="000000" w:themeColor="text1"/>
          <w:szCs w:val="22"/>
        </w:rPr>
        <w:t xml:space="preserve">force on </w:t>
      </w:r>
      <w:r w:rsidR="00E9390D" w:rsidRPr="00E9390D">
        <w:rPr>
          <w:rFonts w:cs="Arial"/>
          <w:color w:val="000000" w:themeColor="text1"/>
          <w:szCs w:val="22"/>
        </w:rPr>
        <w:t>7</w:t>
      </w:r>
      <w:r w:rsidR="00612F3B">
        <w:rPr>
          <w:rFonts w:cs="Arial"/>
          <w:color w:val="000000" w:themeColor="text1"/>
          <w:szCs w:val="22"/>
        </w:rPr>
        <w:t> </w:t>
      </w:r>
      <w:r w:rsidR="00E9390D" w:rsidRPr="00E9390D">
        <w:rPr>
          <w:rFonts w:cs="Arial"/>
          <w:color w:val="000000" w:themeColor="text1"/>
          <w:szCs w:val="22"/>
        </w:rPr>
        <w:t>November</w:t>
      </w:r>
      <w:r w:rsidR="00612F3B">
        <w:rPr>
          <w:rFonts w:cs="Arial"/>
          <w:color w:val="000000" w:themeColor="text1"/>
          <w:szCs w:val="22"/>
        </w:rPr>
        <w:t> </w:t>
      </w:r>
      <w:r w:rsidR="00E9390D" w:rsidRPr="00E9390D">
        <w:rPr>
          <w:rFonts w:cs="Arial"/>
          <w:color w:val="000000" w:themeColor="text1"/>
          <w:szCs w:val="22"/>
        </w:rPr>
        <w:t>2025</w:t>
      </w:r>
      <w:r w:rsidRPr="00E9390D">
        <w:rPr>
          <w:rFonts w:cs="Arial"/>
          <w:color w:val="000000" w:themeColor="text1"/>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p>
    <w:p w14:paraId="4992D129"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206EFC12" w14:textId="77777777" w:rsidR="00331886" w:rsidRPr="00042EA7" w:rsidRDefault="00331886" w:rsidP="00331886">
      <w:pPr>
        <w:tabs>
          <w:tab w:val="left" w:pos="5640"/>
        </w:tabs>
        <w:spacing w:before="120" w:after="120"/>
        <w:rPr>
          <w:rFonts w:cs="Arial"/>
          <w:b/>
          <w:szCs w:val="22"/>
        </w:rPr>
      </w:pPr>
      <w:r w:rsidRPr="00042EA7">
        <w:rPr>
          <w:rFonts w:cs="Arial"/>
          <w:b/>
          <w:szCs w:val="22"/>
        </w:rPr>
        <w:t>Uncommenced amendments</w:t>
      </w:r>
    </w:p>
    <w:p w14:paraId="5CC900C6" w14:textId="71B5AE14" w:rsidR="00331886" w:rsidRPr="00042EA7" w:rsidRDefault="00397ACA" w:rsidP="00331886">
      <w:pPr>
        <w:spacing w:after="12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262F9BA6" w14:textId="76DC8494" w:rsidR="00331886" w:rsidRPr="00042EA7" w:rsidRDefault="00331886" w:rsidP="00331886">
      <w:pPr>
        <w:spacing w:before="120" w:after="120"/>
        <w:rPr>
          <w:rFonts w:cs="Arial"/>
          <w:b/>
          <w:szCs w:val="22"/>
        </w:rPr>
      </w:pPr>
      <w:r w:rsidRPr="00042EA7">
        <w:rPr>
          <w:rFonts w:cs="Arial"/>
          <w:b/>
          <w:szCs w:val="22"/>
        </w:rPr>
        <w:t>Application, saving and transitional provisions</w:t>
      </w:r>
    </w:p>
    <w:p w14:paraId="0B73027B"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5632CD9F" w14:textId="77777777" w:rsidR="00331886" w:rsidRPr="00042EA7" w:rsidRDefault="00331886" w:rsidP="00331886">
      <w:pPr>
        <w:spacing w:before="120" w:after="120"/>
        <w:rPr>
          <w:rFonts w:cs="Arial"/>
          <w:b/>
          <w:szCs w:val="22"/>
        </w:rPr>
      </w:pPr>
      <w:r w:rsidRPr="00042EA7">
        <w:rPr>
          <w:rFonts w:cs="Arial"/>
          <w:b/>
          <w:szCs w:val="22"/>
        </w:rPr>
        <w:t>Modifications</w:t>
      </w:r>
    </w:p>
    <w:p w14:paraId="76073BA7" w14:textId="238B1EC0"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w:t>
      </w:r>
      <w:r w:rsidR="00F14C35" w:rsidRPr="00D82198">
        <w:rPr>
          <w:rFonts w:cs="Arial"/>
          <w:szCs w:val="22"/>
        </w:rPr>
        <w:t xml:space="preserve">Any </w:t>
      </w:r>
      <w:r w:rsidR="00F14C35">
        <w:rPr>
          <w:rFonts w:cs="Arial"/>
          <w:szCs w:val="22"/>
        </w:rPr>
        <w:t xml:space="preserve">modifications </w:t>
      </w:r>
      <w:r w:rsidR="00F14C35" w:rsidRPr="00D82198">
        <w:rPr>
          <w:rFonts w:cs="Arial"/>
          <w:szCs w:val="22"/>
        </w:rPr>
        <w:t>affecting the law are accessible on the Register.</w:t>
      </w:r>
    </w:p>
    <w:p w14:paraId="0E886F48"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2321C924"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622E3574"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21C59901"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348B8A7D"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684CB00E" w14:textId="77777777" w:rsidR="00331886" w:rsidRDefault="00331886" w:rsidP="00331886">
      <w:pPr>
        <w:sectPr w:rsidR="00331886" w:rsidSect="00331886">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3402" w:gutter="0"/>
          <w:cols w:space="708"/>
          <w:titlePg/>
          <w:docGrid w:linePitch="360"/>
        </w:sectPr>
      </w:pPr>
    </w:p>
    <w:p w14:paraId="610AF056" w14:textId="376D2EF9" w:rsidR="00331886" w:rsidRPr="00F562AE" w:rsidRDefault="00331886" w:rsidP="00331886">
      <w:pPr>
        <w:outlineLvl w:val="0"/>
        <w:rPr>
          <w:sz w:val="36"/>
        </w:rPr>
      </w:pPr>
      <w:r w:rsidRPr="007A1328">
        <w:rPr>
          <w:sz w:val="36"/>
        </w:rPr>
        <w:lastRenderedPageBreak/>
        <w:t>Contents</w:t>
      </w:r>
    </w:p>
    <w:p w14:paraId="5318A853" w14:textId="27B53CD3" w:rsidR="007A2E63" w:rsidRDefault="007E7D42">
      <w:pPr>
        <w:pStyle w:val="TOC5"/>
        <w:rPr>
          <w:rFonts w:asciiTheme="minorHAnsi" w:eastAsiaTheme="minorEastAsia" w:hAnsiTheme="minorHAnsi" w:cstheme="minorBidi"/>
          <w:noProof/>
          <w:kern w:val="2"/>
          <w:sz w:val="24"/>
          <w:szCs w:val="24"/>
          <w14:ligatures w14:val="standardContextual"/>
        </w:rPr>
      </w:pPr>
      <w:r w:rsidRPr="007E7D42">
        <w:fldChar w:fldCharType="begin"/>
      </w:r>
      <w:r w:rsidRPr="007E7D42">
        <w:instrText xml:space="preserve"> TOC \o "1-9" </w:instrText>
      </w:r>
      <w:r w:rsidRPr="007E7D42">
        <w:fldChar w:fldCharType="separate"/>
      </w:r>
      <w:r w:rsidR="007A2E63">
        <w:rPr>
          <w:noProof/>
        </w:rPr>
        <w:t>1  Name</w:t>
      </w:r>
      <w:r w:rsidR="007A2E63">
        <w:rPr>
          <w:noProof/>
        </w:rPr>
        <w:tab/>
      </w:r>
      <w:r w:rsidR="007A2E63">
        <w:rPr>
          <w:noProof/>
        </w:rPr>
        <w:fldChar w:fldCharType="begin"/>
      </w:r>
      <w:r w:rsidR="007A2E63">
        <w:rPr>
          <w:noProof/>
        </w:rPr>
        <w:instrText xml:space="preserve"> PAGEREF _Toc215742757 \h </w:instrText>
      </w:r>
      <w:r w:rsidR="007A2E63">
        <w:rPr>
          <w:noProof/>
        </w:rPr>
      </w:r>
      <w:r w:rsidR="007A2E63">
        <w:rPr>
          <w:noProof/>
        </w:rPr>
        <w:fldChar w:fldCharType="separate"/>
      </w:r>
      <w:r w:rsidR="007A2E63">
        <w:rPr>
          <w:noProof/>
        </w:rPr>
        <w:t>1</w:t>
      </w:r>
      <w:r w:rsidR="007A2E63">
        <w:rPr>
          <w:noProof/>
        </w:rPr>
        <w:fldChar w:fldCharType="end"/>
      </w:r>
    </w:p>
    <w:p w14:paraId="73FE66F8" w14:textId="4DA7A162" w:rsidR="007A2E63" w:rsidRDefault="007A2E63">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_Toc215742758 \h </w:instrText>
      </w:r>
      <w:r>
        <w:rPr>
          <w:noProof/>
        </w:rPr>
      </w:r>
      <w:r>
        <w:rPr>
          <w:noProof/>
        </w:rPr>
        <w:fldChar w:fldCharType="separate"/>
      </w:r>
      <w:r>
        <w:rPr>
          <w:noProof/>
        </w:rPr>
        <w:t>1</w:t>
      </w:r>
      <w:r>
        <w:rPr>
          <w:noProof/>
        </w:rPr>
        <w:fldChar w:fldCharType="end"/>
      </w:r>
    </w:p>
    <w:p w14:paraId="01C12ABD" w14:textId="649B66F6" w:rsidR="007A2E63" w:rsidRDefault="007A2E63">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_Toc215742759 \h </w:instrText>
      </w:r>
      <w:r>
        <w:rPr>
          <w:noProof/>
        </w:rPr>
      </w:r>
      <w:r>
        <w:rPr>
          <w:noProof/>
        </w:rPr>
        <w:fldChar w:fldCharType="separate"/>
      </w:r>
      <w:r>
        <w:rPr>
          <w:noProof/>
        </w:rPr>
        <w:t>1</w:t>
      </w:r>
      <w:r>
        <w:rPr>
          <w:noProof/>
        </w:rPr>
        <w:fldChar w:fldCharType="end"/>
      </w:r>
    </w:p>
    <w:p w14:paraId="6A9144D6" w14:textId="32BE6FF9" w:rsidR="007A2E63" w:rsidRDefault="007A2E63">
      <w:pPr>
        <w:pStyle w:val="TOC5"/>
        <w:rPr>
          <w:rFonts w:asciiTheme="minorHAnsi" w:eastAsiaTheme="minorEastAsia" w:hAnsiTheme="minorHAnsi" w:cstheme="minorBidi"/>
          <w:noProof/>
          <w:kern w:val="2"/>
          <w:sz w:val="24"/>
          <w:szCs w:val="24"/>
          <w14:ligatures w14:val="standardContextual"/>
        </w:rPr>
      </w:pPr>
      <w:r>
        <w:rPr>
          <w:noProof/>
        </w:rPr>
        <w:t>5  Authorisation</w:t>
      </w:r>
      <w:r>
        <w:rPr>
          <w:noProof/>
        </w:rPr>
        <w:tab/>
      </w:r>
      <w:r>
        <w:rPr>
          <w:noProof/>
        </w:rPr>
        <w:fldChar w:fldCharType="begin"/>
      </w:r>
      <w:r>
        <w:rPr>
          <w:noProof/>
        </w:rPr>
        <w:instrText xml:space="preserve"> PAGEREF _Toc215742760 \h </w:instrText>
      </w:r>
      <w:r>
        <w:rPr>
          <w:noProof/>
        </w:rPr>
      </w:r>
      <w:r>
        <w:rPr>
          <w:noProof/>
        </w:rPr>
        <w:fldChar w:fldCharType="separate"/>
      </w:r>
      <w:r>
        <w:rPr>
          <w:noProof/>
        </w:rPr>
        <w:t>1</w:t>
      </w:r>
      <w:r>
        <w:rPr>
          <w:noProof/>
        </w:rPr>
        <w:fldChar w:fldCharType="end"/>
      </w:r>
    </w:p>
    <w:p w14:paraId="620ABE14" w14:textId="2FBD9601" w:rsidR="007A2E63" w:rsidRDefault="007A2E63">
      <w:pPr>
        <w:pStyle w:val="TOC1"/>
        <w:rPr>
          <w:rFonts w:asciiTheme="minorHAnsi" w:eastAsiaTheme="minorEastAsia" w:hAnsiTheme="minorHAnsi" w:cstheme="minorBidi"/>
          <w:b w:val="0"/>
          <w:noProof/>
          <w:kern w:val="2"/>
          <w:sz w:val="24"/>
          <w:szCs w:val="24"/>
          <w14:ligatures w14:val="standardContextual"/>
        </w:rPr>
      </w:pPr>
      <w:r>
        <w:rPr>
          <w:noProof/>
        </w:rPr>
        <w:t>Schedule 1—Biologicals authorised for supply</w:t>
      </w:r>
      <w:r>
        <w:rPr>
          <w:noProof/>
        </w:rPr>
        <w:tab/>
      </w:r>
      <w:r>
        <w:rPr>
          <w:noProof/>
        </w:rPr>
        <w:fldChar w:fldCharType="begin"/>
      </w:r>
      <w:r>
        <w:rPr>
          <w:noProof/>
        </w:rPr>
        <w:instrText xml:space="preserve"> PAGEREF _Toc215742761 \h </w:instrText>
      </w:r>
      <w:r>
        <w:rPr>
          <w:noProof/>
        </w:rPr>
      </w:r>
      <w:r>
        <w:rPr>
          <w:noProof/>
        </w:rPr>
        <w:fldChar w:fldCharType="separate"/>
      </w:r>
      <w:r>
        <w:rPr>
          <w:noProof/>
        </w:rPr>
        <w:t>3</w:t>
      </w:r>
      <w:r>
        <w:rPr>
          <w:noProof/>
        </w:rPr>
        <w:fldChar w:fldCharType="end"/>
      </w:r>
    </w:p>
    <w:p w14:paraId="512AEB2B" w14:textId="3B0D1B10" w:rsidR="007A2E63" w:rsidRDefault="007A2E63">
      <w:pPr>
        <w:pStyle w:val="TOC2"/>
        <w:rPr>
          <w:rFonts w:asciiTheme="minorHAnsi" w:eastAsiaTheme="minorEastAsia" w:hAnsiTheme="minorHAnsi" w:cstheme="minorBidi"/>
          <w:b w:val="0"/>
          <w:noProof/>
          <w:kern w:val="2"/>
          <w:szCs w:val="24"/>
          <w14:ligatures w14:val="standardContextual"/>
        </w:rPr>
      </w:pPr>
      <w:r>
        <w:rPr>
          <w:noProof/>
        </w:rPr>
        <w:t>Endnotes</w:t>
      </w:r>
      <w:r>
        <w:rPr>
          <w:noProof/>
        </w:rPr>
        <w:tab/>
      </w:r>
      <w:r>
        <w:rPr>
          <w:noProof/>
        </w:rPr>
        <w:fldChar w:fldCharType="begin"/>
      </w:r>
      <w:r>
        <w:rPr>
          <w:noProof/>
        </w:rPr>
        <w:instrText xml:space="preserve"> PAGEREF _Toc215742762 \h </w:instrText>
      </w:r>
      <w:r>
        <w:rPr>
          <w:noProof/>
        </w:rPr>
      </w:r>
      <w:r>
        <w:rPr>
          <w:noProof/>
        </w:rPr>
        <w:fldChar w:fldCharType="separate"/>
      </w:r>
      <w:r>
        <w:rPr>
          <w:noProof/>
        </w:rPr>
        <w:t>4</w:t>
      </w:r>
      <w:r>
        <w:rPr>
          <w:noProof/>
        </w:rPr>
        <w:fldChar w:fldCharType="end"/>
      </w:r>
    </w:p>
    <w:p w14:paraId="768CABA8" w14:textId="60DE7E60" w:rsidR="007A2E63" w:rsidRDefault="007A2E63">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Pr>
          <w:noProof/>
        </w:rPr>
        <w:tab/>
      </w:r>
      <w:r>
        <w:rPr>
          <w:noProof/>
        </w:rPr>
        <w:fldChar w:fldCharType="begin"/>
      </w:r>
      <w:r>
        <w:rPr>
          <w:noProof/>
        </w:rPr>
        <w:instrText xml:space="preserve"> PAGEREF _Toc215742763 \h </w:instrText>
      </w:r>
      <w:r>
        <w:rPr>
          <w:noProof/>
        </w:rPr>
      </w:r>
      <w:r>
        <w:rPr>
          <w:noProof/>
        </w:rPr>
        <w:fldChar w:fldCharType="separate"/>
      </w:r>
      <w:r>
        <w:rPr>
          <w:noProof/>
        </w:rPr>
        <w:t>4</w:t>
      </w:r>
      <w:r>
        <w:rPr>
          <w:noProof/>
        </w:rPr>
        <w:fldChar w:fldCharType="end"/>
      </w:r>
    </w:p>
    <w:p w14:paraId="0DA24079" w14:textId="54722F2F" w:rsidR="007A2E63" w:rsidRDefault="007A2E63">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Pr>
          <w:noProof/>
        </w:rPr>
        <w:tab/>
      </w:r>
      <w:r>
        <w:rPr>
          <w:noProof/>
        </w:rPr>
        <w:fldChar w:fldCharType="begin"/>
      </w:r>
      <w:r>
        <w:rPr>
          <w:noProof/>
        </w:rPr>
        <w:instrText xml:space="preserve"> PAGEREF _Toc215742764 \h </w:instrText>
      </w:r>
      <w:r>
        <w:rPr>
          <w:noProof/>
        </w:rPr>
      </w:r>
      <w:r>
        <w:rPr>
          <w:noProof/>
        </w:rPr>
        <w:fldChar w:fldCharType="separate"/>
      </w:r>
      <w:r>
        <w:rPr>
          <w:noProof/>
        </w:rPr>
        <w:t>5</w:t>
      </w:r>
      <w:r>
        <w:rPr>
          <w:noProof/>
        </w:rPr>
        <w:fldChar w:fldCharType="end"/>
      </w:r>
    </w:p>
    <w:p w14:paraId="24901FED" w14:textId="0F7F0A7C" w:rsidR="007A2E63" w:rsidRDefault="007A2E63">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Pr>
          <w:noProof/>
        </w:rPr>
        <w:tab/>
      </w:r>
      <w:r>
        <w:rPr>
          <w:noProof/>
        </w:rPr>
        <w:fldChar w:fldCharType="begin"/>
      </w:r>
      <w:r>
        <w:rPr>
          <w:noProof/>
        </w:rPr>
        <w:instrText xml:space="preserve"> PAGEREF _Toc215742765 \h </w:instrText>
      </w:r>
      <w:r>
        <w:rPr>
          <w:noProof/>
        </w:rPr>
      </w:r>
      <w:r>
        <w:rPr>
          <w:noProof/>
        </w:rPr>
        <w:fldChar w:fldCharType="separate"/>
      </w:r>
      <w:r>
        <w:rPr>
          <w:noProof/>
        </w:rPr>
        <w:t>6</w:t>
      </w:r>
      <w:r>
        <w:rPr>
          <w:noProof/>
        </w:rPr>
        <w:fldChar w:fldCharType="end"/>
      </w:r>
    </w:p>
    <w:p w14:paraId="482582E4" w14:textId="08E3DF1A" w:rsidR="007A2E63" w:rsidRDefault="007A2E63">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Pr>
          <w:noProof/>
        </w:rPr>
        <w:tab/>
      </w:r>
      <w:r>
        <w:rPr>
          <w:noProof/>
        </w:rPr>
        <w:fldChar w:fldCharType="begin"/>
      </w:r>
      <w:r>
        <w:rPr>
          <w:noProof/>
        </w:rPr>
        <w:instrText xml:space="preserve"> PAGEREF _Toc215742766 \h </w:instrText>
      </w:r>
      <w:r>
        <w:rPr>
          <w:noProof/>
        </w:rPr>
      </w:r>
      <w:r>
        <w:rPr>
          <w:noProof/>
        </w:rPr>
        <w:fldChar w:fldCharType="separate"/>
      </w:r>
      <w:r>
        <w:rPr>
          <w:noProof/>
        </w:rPr>
        <w:t>7</w:t>
      </w:r>
      <w:r>
        <w:rPr>
          <w:noProof/>
        </w:rPr>
        <w:fldChar w:fldCharType="end"/>
      </w:r>
    </w:p>
    <w:p w14:paraId="5C0689FE" w14:textId="621B3CB8" w:rsidR="007E7D42" w:rsidRPr="007E7D42" w:rsidRDefault="007E7D42" w:rsidP="007E7D42">
      <w:pPr>
        <w:spacing w:before="40"/>
        <w:rPr>
          <w:rFonts w:eastAsia="Calibri" w:cs="Cordia New"/>
        </w:rPr>
      </w:pPr>
      <w:r w:rsidRPr="007E7D42">
        <w:rPr>
          <w:rFonts w:eastAsia="Calibri" w:cs="Cordia New"/>
        </w:rPr>
        <w:fldChar w:fldCharType="end"/>
      </w:r>
    </w:p>
    <w:p w14:paraId="7BB2F89E" w14:textId="77777777" w:rsidR="00331886" w:rsidRDefault="00331886" w:rsidP="00331886"/>
    <w:p w14:paraId="1BF8BC63" w14:textId="77777777" w:rsidR="00331886" w:rsidRPr="00164D8F" w:rsidRDefault="00331886" w:rsidP="00331886">
      <w:pPr>
        <w:sectPr w:rsidR="00331886" w:rsidRPr="00164D8F" w:rsidSect="00436157">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p>
    <w:p w14:paraId="6D048F27" w14:textId="77777777" w:rsidR="00CD5A1E" w:rsidRPr="00CD5A1E" w:rsidRDefault="00CD5A1E" w:rsidP="009D53DE">
      <w:pPr>
        <w:pStyle w:val="ActHead5"/>
      </w:pPr>
      <w:bookmarkStart w:id="0" w:name="_Toc117866932"/>
      <w:bookmarkStart w:id="1" w:name="_Toc215742757"/>
      <w:r w:rsidRPr="00CD5A1E">
        <w:lastRenderedPageBreak/>
        <w:t>1  Name</w:t>
      </w:r>
      <w:bookmarkEnd w:id="0"/>
      <w:bookmarkEnd w:id="1"/>
    </w:p>
    <w:p w14:paraId="62F4BFE8" w14:textId="77777777" w:rsidR="00CD5A1E" w:rsidRPr="00CD5A1E" w:rsidRDefault="00CD5A1E" w:rsidP="00CD5A1E">
      <w:pPr>
        <w:tabs>
          <w:tab w:val="right" w:pos="1021"/>
        </w:tabs>
        <w:spacing w:before="180" w:line="240" w:lineRule="auto"/>
        <w:ind w:left="1134" w:hanging="1134"/>
        <w:rPr>
          <w:rFonts w:eastAsia="Times New Roman" w:cs="Times New Roman"/>
          <w:b/>
          <w:i/>
          <w:lang w:eastAsia="en-AU"/>
        </w:rPr>
      </w:pPr>
      <w:r w:rsidRPr="00CD5A1E">
        <w:rPr>
          <w:rFonts w:eastAsia="Times New Roman" w:cs="Times New Roman"/>
          <w:lang w:eastAsia="en-AU"/>
        </w:rPr>
        <w:tab/>
      </w:r>
      <w:r w:rsidRPr="00CD5A1E">
        <w:rPr>
          <w:rFonts w:eastAsia="Times New Roman" w:cs="Times New Roman"/>
          <w:lang w:eastAsia="en-AU"/>
        </w:rPr>
        <w:tab/>
        <w:t xml:space="preserve">This instrument is the </w:t>
      </w:r>
      <w:bookmarkStart w:id="2" w:name="BKCheck15B_3"/>
      <w:bookmarkEnd w:id="2"/>
      <w:r w:rsidRPr="00CD5A1E">
        <w:rPr>
          <w:rFonts w:eastAsia="Times New Roman" w:cs="Times New Roman"/>
          <w:bCs/>
          <w:i/>
          <w:lang w:eastAsia="en-AU"/>
        </w:rPr>
        <w:t>Therapeutic Goods (Biologicals—Authorised Supply) Rules 2022.</w:t>
      </w:r>
    </w:p>
    <w:p w14:paraId="6273011E" w14:textId="77777777" w:rsidR="00CD5A1E" w:rsidRPr="00CD5A1E" w:rsidRDefault="00CD5A1E" w:rsidP="009D53DE">
      <w:pPr>
        <w:pStyle w:val="ActHead5"/>
      </w:pPr>
      <w:bookmarkStart w:id="3" w:name="_Toc117866934"/>
      <w:bookmarkStart w:id="4" w:name="_Toc215742758"/>
      <w:r w:rsidRPr="00CD5A1E">
        <w:t>3  Authority</w:t>
      </w:r>
      <w:bookmarkEnd w:id="3"/>
      <w:bookmarkEnd w:id="4"/>
    </w:p>
    <w:p w14:paraId="70FED3EE"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r>
      <w:r w:rsidRPr="00CD5A1E">
        <w:rPr>
          <w:rFonts w:eastAsia="Times New Roman" w:cs="Times New Roman"/>
          <w:lang w:eastAsia="en-AU"/>
        </w:rPr>
        <w:tab/>
        <w:t xml:space="preserve">This instrument is made under subsection 32CM(7A) of the </w:t>
      </w:r>
      <w:r w:rsidRPr="00CD5A1E">
        <w:rPr>
          <w:rFonts w:eastAsia="Times New Roman" w:cs="Times New Roman"/>
          <w:i/>
          <w:iCs/>
          <w:lang w:eastAsia="en-AU"/>
        </w:rPr>
        <w:t>Therapeutic Goods Act 1989</w:t>
      </w:r>
      <w:r w:rsidRPr="00CD5A1E">
        <w:rPr>
          <w:rFonts w:eastAsia="Times New Roman" w:cs="Times New Roman"/>
          <w:lang w:eastAsia="en-AU"/>
        </w:rPr>
        <w:t>.</w:t>
      </w:r>
    </w:p>
    <w:p w14:paraId="7B155136" w14:textId="77777777" w:rsidR="00CD5A1E" w:rsidRPr="00CD5A1E" w:rsidRDefault="00CD5A1E" w:rsidP="009D53DE">
      <w:pPr>
        <w:pStyle w:val="ActHead5"/>
      </w:pPr>
      <w:bookmarkStart w:id="5" w:name="_Toc117866935"/>
      <w:bookmarkStart w:id="6" w:name="_Toc215742759"/>
      <w:r w:rsidRPr="00CD5A1E">
        <w:t>4  Definitions</w:t>
      </w:r>
      <w:bookmarkEnd w:id="5"/>
      <w:bookmarkEnd w:id="6"/>
    </w:p>
    <w:p w14:paraId="7BD97947" w14:textId="77777777" w:rsidR="00CD5A1E" w:rsidRPr="00CD5A1E" w:rsidRDefault="00CD5A1E" w:rsidP="00CD5A1E">
      <w:pPr>
        <w:spacing w:before="122" w:line="198" w:lineRule="exact"/>
        <w:ind w:left="1985" w:hanging="851"/>
        <w:rPr>
          <w:rFonts w:eastAsia="Times New Roman" w:cs="Times New Roman"/>
          <w:sz w:val="18"/>
          <w:lang w:eastAsia="en-AU"/>
        </w:rPr>
      </w:pPr>
      <w:r w:rsidRPr="00CD5A1E">
        <w:rPr>
          <w:rFonts w:eastAsia="Times New Roman" w:cs="Times New Roman"/>
          <w:sz w:val="18"/>
          <w:lang w:eastAsia="en-AU"/>
        </w:rPr>
        <w:t>Note:</w:t>
      </w:r>
      <w:r w:rsidRPr="00CD5A1E">
        <w:rPr>
          <w:rFonts w:eastAsia="Times New Roman" w:cs="Times New Roman"/>
          <w:sz w:val="18"/>
          <w:lang w:eastAsia="en-AU"/>
        </w:rPr>
        <w:tab/>
        <w:t>A number of expressions used in this instrument are defined in subsection 3(1) of the Act, including the following:</w:t>
      </w:r>
    </w:p>
    <w:p w14:paraId="610E91F3"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(a)</w:t>
      </w:r>
      <w:r w:rsidRPr="00CD5A1E">
        <w:rPr>
          <w:rFonts w:eastAsia="Times New Roman" w:cs="Times New Roman"/>
          <w:sz w:val="18"/>
          <w:lang w:eastAsia="en-AU"/>
        </w:rPr>
        <w:tab/>
        <w:t>biological;</w:t>
      </w:r>
    </w:p>
    <w:p w14:paraId="07020C8B"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(b)</w:t>
      </w:r>
      <w:r w:rsidRPr="00CD5A1E">
        <w:rPr>
          <w:rFonts w:eastAsia="Times New Roman" w:cs="Times New Roman"/>
          <w:sz w:val="18"/>
          <w:lang w:eastAsia="en-AU"/>
        </w:rPr>
        <w:tab/>
        <w:t>health practitioner;</w:t>
      </w:r>
    </w:p>
    <w:p w14:paraId="74A7EE3C"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(c)</w:t>
      </w:r>
      <w:r w:rsidRPr="00CD5A1E">
        <w:rPr>
          <w:rFonts w:eastAsia="Times New Roman" w:cs="Times New Roman"/>
          <w:sz w:val="18"/>
          <w:lang w:eastAsia="en-AU"/>
        </w:rPr>
        <w:tab/>
        <w:t>included in the Register;</w:t>
      </w:r>
    </w:p>
    <w:p w14:paraId="696B6769"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(d)</w:t>
      </w:r>
      <w:r w:rsidRPr="00CD5A1E">
        <w:rPr>
          <w:rFonts w:eastAsia="Times New Roman" w:cs="Times New Roman"/>
          <w:sz w:val="18"/>
          <w:lang w:eastAsia="en-AU"/>
        </w:rPr>
        <w:tab/>
        <w:t>Register;</w:t>
      </w:r>
    </w:p>
    <w:p w14:paraId="586B0B79"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(e)</w:t>
      </w:r>
      <w:r w:rsidRPr="00CD5A1E">
        <w:rPr>
          <w:rFonts w:eastAsia="Times New Roman" w:cs="Times New Roman"/>
          <w:sz w:val="18"/>
          <w:lang w:eastAsia="en-AU"/>
        </w:rPr>
        <w:tab/>
        <w:t>sponsor;</w:t>
      </w:r>
    </w:p>
    <w:p w14:paraId="1DA4031E" w14:textId="77777777" w:rsidR="00CD5A1E" w:rsidRPr="00CD5A1E" w:rsidRDefault="00CD5A1E" w:rsidP="00CD5A1E">
      <w:pPr>
        <w:spacing w:before="40" w:line="198" w:lineRule="exact"/>
        <w:ind w:left="2354" w:hanging="369"/>
        <w:rPr>
          <w:rFonts w:eastAsia="Times New Roman" w:cs="Times New Roman"/>
          <w:sz w:val="18"/>
          <w:lang w:eastAsia="en-AU"/>
        </w:rPr>
      </w:pPr>
      <w:r w:rsidRPr="00CD5A1E">
        <w:rPr>
          <w:rFonts w:eastAsia="Times New Roman" w:cs="Times New Roman"/>
          <w:sz w:val="18"/>
          <w:lang w:eastAsia="en-AU"/>
        </w:rPr>
        <w:t>(f)</w:t>
      </w:r>
      <w:r w:rsidRPr="00CD5A1E">
        <w:rPr>
          <w:rFonts w:eastAsia="Times New Roman" w:cs="Times New Roman"/>
          <w:sz w:val="18"/>
          <w:lang w:eastAsia="en-AU"/>
        </w:rPr>
        <w:tab/>
        <w:t>supply.</w:t>
      </w:r>
    </w:p>
    <w:p w14:paraId="3818476D"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r>
      <w:r w:rsidRPr="00CD5A1E">
        <w:rPr>
          <w:rFonts w:eastAsia="Times New Roman" w:cs="Times New Roman"/>
          <w:lang w:eastAsia="en-AU"/>
        </w:rPr>
        <w:tab/>
        <w:t>In this instrument:</w:t>
      </w:r>
    </w:p>
    <w:p w14:paraId="0F04C926" w14:textId="68165BB4" w:rsidR="00A410DD" w:rsidRDefault="00CD5A1E" w:rsidP="00A410DD">
      <w:pPr>
        <w:shd w:val="clear" w:color="auto" w:fill="FFFFFF"/>
        <w:spacing w:before="180" w:line="240" w:lineRule="auto"/>
        <w:ind w:left="1134"/>
        <w:rPr>
          <w:rFonts w:eastAsia="Times New Roman" w:cs="Times New Roman"/>
          <w:color w:val="000000"/>
          <w:szCs w:val="22"/>
          <w:lang w:eastAsia="en-AU"/>
        </w:rPr>
      </w:pPr>
      <w:r w:rsidRPr="00CD5A1E">
        <w:rPr>
          <w:rFonts w:eastAsia="Times New Roman" w:cs="Times New Roman"/>
          <w:b/>
          <w:i/>
          <w:sz w:val="24"/>
          <w:szCs w:val="24"/>
          <w:lang w:eastAsia="en-AU"/>
        </w:rPr>
        <w:t>Act</w:t>
      </w:r>
      <w:r w:rsidRPr="00CD5A1E">
        <w:rPr>
          <w:rFonts w:eastAsia="Times New Roman" w:cs="Times New Roman"/>
          <w:sz w:val="24"/>
          <w:szCs w:val="24"/>
          <w:lang w:eastAsia="en-AU"/>
        </w:rPr>
        <w:t xml:space="preserve"> means the </w:t>
      </w:r>
      <w:r w:rsidRPr="00CD5A1E">
        <w:rPr>
          <w:rFonts w:eastAsia="Times New Roman" w:cs="Times New Roman"/>
          <w:i/>
          <w:iCs/>
          <w:color w:val="000000"/>
          <w:szCs w:val="22"/>
          <w:lang w:eastAsia="en-AU"/>
        </w:rPr>
        <w:t>Therapeutic Goods Act 1989</w:t>
      </w:r>
      <w:r w:rsidRPr="00CD5A1E">
        <w:rPr>
          <w:rFonts w:eastAsia="Times New Roman" w:cs="Times New Roman"/>
          <w:color w:val="000000"/>
          <w:szCs w:val="22"/>
          <w:lang w:eastAsia="en-AU"/>
        </w:rPr>
        <w:t>.</w:t>
      </w:r>
    </w:p>
    <w:p w14:paraId="69FB7FCF" w14:textId="77777777" w:rsidR="00D62471" w:rsidRPr="00C038BB" w:rsidRDefault="00D62471" w:rsidP="00D62471">
      <w:pPr>
        <w:spacing w:before="180" w:line="240" w:lineRule="auto"/>
        <w:ind w:left="1134"/>
        <w:rPr>
          <w:rFonts w:eastAsia="Times New Roman" w:cs="Times New Roman"/>
          <w:szCs w:val="22"/>
          <w:lang w:eastAsia="en-AU"/>
        </w:rPr>
      </w:pPr>
      <w:r w:rsidRPr="00C038BB">
        <w:rPr>
          <w:rFonts w:eastAsia="Times New Roman" w:cs="Times New Roman"/>
          <w:b/>
          <w:i/>
          <w:szCs w:val="22"/>
          <w:lang w:eastAsia="en-AU"/>
        </w:rPr>
        <w:t>adverse event</w:t>
      </w:r>
      <w:r w:rsidRPr="00C038BB">
        <w:rPr>
          <w:rFonts w:eastAsia="Times New Roman" w:cs="Times New Roman"/>
          <w:szCs w:val="22"/>
          <w:lang w:eastAsia="en-AU"/>
        </w:rPr>
        <w:t xml:space="preserve"> means an adverse event that occurs in relation to a person in Australia following the administration of a biological.</w:t>
      </w:r>
    </w:p>
    <w:p w14:paraId="0C598535" w14:textId="61A5A34D" w:rsidR="00CD5A1E" w:rsidRPr="00CD5A1E" w:rsidRDefault="00D62471" w:rsidP="009E24B5">
      <w:pPr>
        <w:spacing w:before="122" w:line="198" w:lineRule="exact"/>
        <w:ind w:left="1985" w:hanging="851"/>
        <w:rPr>
          <w:rFonts w:eastAsia="Times New Roman" w:cs="Times New Roman"/>
          <w:color w:val="000000"/>
          <w:sz w:val="18"/>
          <w:szCs w:val="18"/>
          <w:lang w:eastAsia="en-AU"/>
        </w:rPr>
      </w:pPr>
      <w:r w:rsidRPr="00D62471">
        <w:rPr>
          <w:rFonts w:eastAsia="Times New Roman" w:cs="Times New Roman"/>
          <w:sz w:val="18"/>
          <w:lang w:eastAsia="en-AU"/>
        </w:rPr>
        <w:t>Note:</w:t>
      </w:r>
      <w:r w:rsidRPr="00D62471">
        <w:rPr>
          <w:rFonts w:eastAsia="Times New Roman" w:cs="Times New Roman"/>
          <w:sz w:val="18"/>
          <w:lang w:eastAsia="en-AU"/>
        </w:rPr>
        <w:tab/>
        <w:t>An adverse event may not necessarily have a causal relationship with the administration or use of the biological.</w:t>
      </w:r>
    </w:p>
    <w:p w14:paraId="6157F67A" w14:textId="77777777" w:rsidR="00CD5A1E" w:rsidRPr="00CD5A1E" w:rsidRDefault="00CD5A1E" w:rsidP="00CD5A1E">
      <w:pPr>
        <w:shd w:val="clear" w:color="auto" w:fill="FFFFFF"/>
        <w:spacing w:before="180" w:line="240" w:lineRule="auto"/>
        <w:ind w:left="1134"/>
        <w:rPr>
          <w:rFonts w:eastAsia="Times New Roman" w:cs="Times New Roman"/>
          <w:color w:val="000000"/>
          <w:szCs w:val="22"/>
          <w:lang w:eastAsia="en-AU"/>
        </w:rPr>
      </w:pPr>
      <w:r w:rsidRPr="00CD5A1E">
        <w:rPr>
          <w:rFonts w:eastAsia="Times New Roman" w:cs="Times New Roman"/>
          <w:b/>
          <w:bCs/>
          <w:i/>
          <w:iCs/>
          <w:color w:val="000000"/>
          <w:szCs w:val="22"/>
          <w:lang w:eastAsia="en-AU"/>
        </w:rPr>
        <w:t xml:space="preserve">Therapeutic Goods Administration </w:t>
      </w:r>
      <w:r w:rsidRPr="00CD5A1E">
        <w:rPr>
          <w:rFonts w:eastAsia="Times New Roman" w:cs="Times New Roman"/>
          <w:color w:val="000000"/>
          <w:szCs w:val="22"/>
          <w:lang w:eastAsia="en-AU"/>
        </w:rPr>
        <w:t xml:space="preserve">has the same meaning as in the </w:t>
      </w:r>
      <w:r w:rsidRPr="00CD5A1E">
        <w:rPr>
          <w:rFonts w:eastAsia="Times New Roman" w:cs="Times New Roman"/>
          <w:i/>
          <w:iCs/>
          <w:color w:val="000000"/>
          <w:szCs w:val="22"/>
          <w:lang w:eastAsia="en-AU"/>
        </w:rPr>
        <w:t>Therapeutic Goods Regulations 1990</w:t>
      </w:r>
      <w:r w:rsidRPr="00CD5A1E">
        <w:rPr>
          <w:rFonts w:eastAsia="Times New Roman" w:cs="Times New Roman"/>
          <w:color w:val="000000"/>
          <w:szCs w:val="22"/>
          <w:lang w:eastAsia="en-AU"/>
        </w:rPr>
        <w:t>.</w:t>
      </w:r>
    </w:p>
    <w:p w14:paraId="06979751" w14:textId="77777777" w:rsidR="00CD5A1E" w:rsidRPr="00CD5A1E" w:rsidRDefault="00CD5A1E" w:rsidP="009D53DE">
      <w:pPr>
        <w:pStyle w:val="ActHead5"/>
      </w:pPr>
      <w:bookmarkStart w:id="7" w:name="_Toc117866936"/>
      <w:bookmarkStart w:id="8" w:name="_Toc215742760"/>
      <w:bookmarkStart w:id="9" w:name="_Toc454781205"/>
      <w:r w:rsidRPr="00CD5A1E">
        <w:t>5</w:t>
      </w:r>
      <w:bookmarkStart w:id="10" w:name="_Toc50392154"/>
      <w:r w:rsidRPr="00CD5A1E">
        <w:t xml:space="preserve">  Authorisation</w:t>
      </w:r>
      <w:bookmarkEnd w:id="7"/>
      <w:bookmarkEnd w:id="8"/>
      <w:bookmarkEnd w:id="10"/>
    </w:p>
    <w:p w14:paraId="0094AE9C" w14:textId="77777777" w:rsidR="00CD5A1E" w:rsidRPr="00CD5A1E" w:rsidRDefault="00CD5A1E" w:rsidP="00CD5A1E">
      <w:pPr>
        <w:keepNext/>
        <w:keepLines/>
        <w:spacing w:before="240" w:line="240" w:lineRule="auto"/>
        <w:ind w:left="1134"/>
        <w:rPr>
          <w:rFonts w:eastAsia="Times New Roman" w:cs="Times New Roman"/>
          <w:i/>
          <w:lang w:eastAsia="en-AU"/>
        </w:rPr>
      </w:pPr>
      <w:r w:rsidRPr="00CD5A1E">
        <w:rPr>
          <w:rFonts w:eastAsia="Times New Roman" w:cs="Times New Roman"/>
          <w:i/>
          <w:lang w:eastAsia="en-AU"/>
        </w:rPr>
        <w:t>Supply by a specified health practitioner</w:t>
      </w:r>
    </w:p>
    <w:p w14:paraId="62FB4247"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t>(1)</w:t>
      </w:r>
      <w:r w:rsidRPr="00CD5A1E">
        <w:rPr>
          <w:rFonts w:eastAsia="Times New Roman" w:cs="Times New Roman"/>
          <w:lang w:eastAsia="en-AU"/>
        </w:rPr>
        <w:tab/>
        <w:t>A health practitioner specified in column 5 of an item in the table in Schedule 1 is authorised to supply a biological to a patient of that practitioner where:</w:t>
      </w:r>
    </w:p>
    <w:p w14:paraId="5C2A930E"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(a)</w:t>
      </w:r>
      <w:r w:rsidRPr="00CD5A1E">
        <w:rPr>
          <w:rFonts w:eastAsia="Times New Roman" w:cs="Times New Roman"/>
          <w:lang w:eastAsia="en-AU"/>
        </w:rPr>
        <w:tab/>
        <w:t>the biological is specified in column 2 of that item; and</w:t>
      </w:r>
    </w:p>
    <w:p w14:paraId="68586FA7"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(b)</w:t>
      </w:r>
      <w:r w:rsidRPr="00CD5A1E">
        <w:rPr>
          <w:rFonts w:eastAsia="Times New Roman" w:cs="Times New Roman"/>
          <w:lang w:eastAsia="en-AU"/>
        </w:rPr>
        <w:tab/>
        <w:t>the biological is to be administered by the route specified in column 3 of that item; and</w:t>
      </w:r>
    </w:p>
    <w:p w14:paraId="23C04544"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(c)</w:t>
      </w:r>
      <w:r w:rsidRPr="00CD5A1E">
        <w:rPr>
          <w:rFonts w:eastAsia="Times New Roman" w:cs="Times New Roman"/>
          <w:lang w:eastAsia="en-AU"/>
        </w:rPr>
        <w:tab/>
        <w:t>the supply is for the indication specified in column 4 of that item; and</w:t>
      </w:r>
    </w:p>
    <w:p w14:paraId="222E1540"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(d)</w:t>
      </w:r>
      <w:r w:rsidRPr="00CD5A1E">
        <w:rPr>
          <w:rFonts w:eastAsia="Times New Roman" w:cs="Times New Roman"/>
          <w:lang w:eastAsia="en-AU"/>
        </w:rPr>
        <w:tab/>
        <w:t>the conditions specified in subsection (2) are satisfied.</w:t>
      </w:r>
    </w:p>
    <w:p w14:paraId="5CF20008"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t>(2)</w:t>
      </w:r>
      <w:r w:rsidRPr="00CD5A1E">
        <w:rPr>
          <w:rFonts w:eastAsia="Times New Roman" w:cs="Times New Roman"/>
          <w:lang w:eastAsia="en-AU"/>
        </w:rPr>
        <w:tab/>
        <w:t>The health practitioner must:</w:t>
      </w:r>
    </w:p>
    <w:p w14:paraId="4AF80D32"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(a)</w:t>
      </w:r>
      <w:r w:rsidRPr="00CD5A1E">
        <w:rPr>
          <w:rFonts w:eastAsia="Times New Roman" w:cs="Times New Roman"/>
          <w:lang w:eastAsia="en-AU"/>
        </w:rPr>
        <w:tab/>
        <w:t>inform the patient, or a parent or guardian of the patient, that the biological is not included in the Register; and</w:t>
      </w:r>
    </w:p>
    <w:p w14:paraId="291F0C49"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lastRenderedPageBreak/>
        <w:tab/>
        <w:t>(b)</w:t>
      </w:r>
      <w:r w:rsidRPr="00CD5A1E">
        <w:rPr>
          <w:rFonts w:eastAsia="Times New Roman" w:cs="Times New Roman"/>
          <w:lang w:eastAsia="en-AU"/>
        </w:rPr>
        <w:tab/>
        <w:t>obtain informed consent from the patient, or a parent or guardian of the patient, in relation to, and before, the supply of the biological; and</w:t>
      </w:r>
    </w:p>
    <w:p w14:paraId="27270D2F"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(c)</w:t>
      </w:r>
      <w:r w:rsidRPr="00CD5A1E">
        <w:rPr>
          <w:rFonts w:eastAsia="Times New Roman" w:cs="Times New Roman"/>
          <w:lang w:eastAsia="en-AU"/>
        </w:rPr>
        <w:tab/>
        <w:t>supply the biological in accordance with good medical practice or the relevant code of conduct for the health practitioner; and</w:t>
      </w:r>
    </w:p>
    <w:p w14:paraId="2031948D" w14:textId="2A76B9AF"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(d)</w:t>
      </w:r>
      <w:r w:rsidRPr="00CD5A1E">
        <w:rPr>
          <w:rFonts w:eastAsia="Times New Roman" w:cs="Times New Roman"/>
          <w:lang w:eastAsia="en-AU"/>
        </w:rPr>
        <w:tab/>
        <w:t xml:space="preserve">if the health practitioner becomes aware that the patient has suffered an adverse event in relation to the biological—notify the Therapeutic Goods Administration </w:t>
      </w:r>
      <w:r w:rsidR="0050112D">
        <w:rPr>
          <w:rFonts w:eastAsia="Times New Roman" w:cs="Times New Roman"/>
          <w:lang w:eastAsia="en-AU"/>
        </w:rPr>
        <w:t>within 15 days of becoming aware of the adverse event</w:t>
      </w:r>
      <w:r w:rsidRPr="00CD5A1E">
        <w:rPr>
          <w:rFonts w:eastAsia="Times New Roman" w:cs="Times New Roman"/>
          <w:lang w:eastAsia="en-AU"/>
        </w:rPr>
        <w:t>; and</w:t>
      </w:r>
    </w:p>
    <w:p w14:paraId="291C9BD9" w14:textId="27BE39F4"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(e)</w:t>
      </w:r>
      <w:r w:rsidRPr="00CD5A1E">
        <w:rPr>
          <w:rFonts w:eastAsia="Times New Roman" w:cs="Times New Roman"/>
          <w:lang w:eastAsia="en-AU"/>
        </w:rPr>
        <w:tab/>
        <w:t xml:space="preserve">if the health practitioner becomes aware of a defect in the biological—notify the Therapeutic Goods Administration </w:t>
      </w:r>
      <w:r w:rsidR="000940CE">
        <w:rPr>
          <w:rFonts w:eastAsia="Times New Roman" w:cs="Times New Roman"/>
          <w:lang w:eastAsia="en-AU"/>
        </w:rPr>
        <w:t xml:space="preserve">within 15 days of becoming aware of the </w:t>
      </w:r>
      <w:r w:rsidR="004B0C84">
        <w:rPr>
          <w:rFonts w:eastAsia="Times New Roman" w:cs="Times New Roman"/>
          <w:lang w:eastAsia="en-AU"/>
        </w:rPr>
        <w:t>defect</w:t>
      </w:r>
      <w:r w:rsidRPr="00CD5A1E">
        <w:rPr>
          <w:rFonts w:eastAsia="Times New Roman" w:cs="Times New Roman"/>
          <w:lang w:eastAsia="en-AU"/>
        </w:rPr>
        <w:t>.</w:t>
      </w:r>
    </w:p>
    <w:p w14:paraId="49939744" w14:textId="77777777" w:rsidR="00CD5A1E" w:rsidRPr="00CD5A1E" w:rsidRDefault="00CD5A1E" w:rsidP="00CD5A1E">
      <w:pPr>
        <w:keepNext/>
        <w:keepLines/>
        <w:spacing w:before="240" w:line="240" w:lineRule="auto"/>
        <w:ind w:left="1134"/>
        <w:rPr>
          <w:rFonts w:eastAsia="Times New Roman" w:cs="Times New Roman"/>
          <w:i/>
          <w:lang w:eastAsia="en-AU"/>
        </w:rPr>
      </w:pPr>
      <w:r w:rsidRPr="00CD5A1E">
        <w:rPr>
          <w:rFonts w:eastAsia="Times New Roman" w:cs="Times New Roman"/>
          <w:i/>
          <w:lang w:eastAsia="en-AU"/>
        </w:rPr>
        <w:t>Supply to a patient of a specified health practitioner</w:t>
      </w:r>
      <w:bookmarkStart w:id="11" w:name="_Hlk117767897"/>
      <w:bookmarkEnd w:id="11"/>
    </w:p>
    <w:p w14:paraId="3E1EF7D3"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t>(3)</w:t>
      </w:r>
      <w:r w:rsidRPr="00CD5A1E">
        <w:rPr>
          <w:rFonts w:eastAsia="Times New Roman" w:cs="Times New Roman"/>
          <w:lang w:eastAsia="en-AU"/>
        </w:rPr>
        <w:tab/>
        <w:t xml:space="preserve">A health practitioner is authorised to supply a biological to a patient of a health practitioner specified in column 5 of an item in the table in Schedule 1 (the </w:t>
      </w:r>
      <w:r w:rsidRPr="00CD5A1E">
        <w:rPr>
          <w:rFonts w:eastAsia="Times New Roman" w:cs="Times New Roman"/>
          <w:b/>
          <w:i/>
          <w:lang w:eastAsia="en-AU"/>
        </w:rPr>
        <w:t>treating practitioner</w:t>
      </w:r>
      <w:r w:rsidRPr="00CD5A1E">
        <w:rPr>
          <w:rFonts w:eastAsia="Times New Roman" w:cs="Times New Roman"/>
          <w:lang w:eastAsia="en-AU"/>
        </w:rPr>
        <w:t>) where:</w:t>
      </w:r>
    </w:p>
    <w:p w14:paraId="4516379D"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(a)</w:t>
      </w:r>
      <w:r w:rsidRPr="00CD5A1E">
        <w:rPr>
          <w:rFonts w:eastAsia="Times New Roman" w:cs="Times New Roman"/>
          <w:lang w:eastAsia="en-AU"/>
        </w:rPr>
        <w:tab/>
        <w:t>the biological is specified in column 2 of that item; and</w:t>
      </w:r>
    </w:p>
    <w:p w14:paraId="00605356"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(b)</w:t>
      </w:r>
      <w:r w:rsidRPr="00CD5A1E">
        <w:rPr>
          <w:rFonts w:eastAsia="Times New Roman" w:cs="Times New Roman"/>
          <w:lang w:eastAsia="en-AU"/>
        </w:rPr>
        <w:tab/>
        <w:t>the supply is requested by the treating practitioner; and</w:t>
      </w:r>
    </w:p>
    <w:p w14:paraId="0A69C0CB"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(c)</w:t>
      </w:r>
      <w:r w:rsidRPr="00CD5A1E">
        <w:rPr>
          <w:rFonts w:eastAsia="Times New Roman" w:cs="Times New Roman"/>
          <w:lang w:eastAsia="en-AU"/>
        </w:rPr>
        <w:tab/>
        <w:t>the biological is to be administered by the route specified in column 3 of that item; and</w:t>
      </w:r>
    </w:p>
    <w:p w14:paraId="1615E838"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(d)</w:t>
      </w:r>
      <w:r w:rsidRPr="00CD5A1E">
        <w:rPr>
          <w:rFonts w:eastAsia="Times New Roman" w:cs="Times New Roman"/>
          <w:lang w:eastAsia="en-AU"/>
        </w:rPr>
        <w:tab/>
        <w:t>the supply is for the indication specified in column 4 of that item; and</w:t>
      </w:r>
    </w:p>
    <w:p w14:paraId="617A5E3C" w14:textId="77777777"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(e)</w:t>
      </w:r>
      <w:r w:rsidRPr="00CD5A1E">
        <w:rPr>
          <w:rFonts w:eastAsia="Times New Roman" w:cs="Times New Roman"/>
          <w:lang w:eastAsia="en-AU"/>
        </w:rPr>
        <w:tab/>
        <w:t>the conditions specified in subsection (4) are satisfied.</w:t>
      </w:r>
    </w:p>
    <w:p w14:paraId="2E7E13B4" w14:textId="77777777" w:rsidR="00CD5A1E" w:rsidRPr="00CD5A1E" w:rsidRDefault="00CD5A1E" w:rsidP="00CD5A1E">
      <w:pPr>
        <w:tabs>
          <w:tab w:val="right" w:pos="1021"/>
        </w:tabs>
        <w:spacing w:before="180" w:line="240" w:lineRule="auto"/>
        <w:ind w:left="1134" w:hanging="1134"/>
        <w:rPr>
          <w:rFonts w:eastAsia="Times New Roman" w:cs="Times New Roman"/>
          <w:lang w:eastAsia="en-AU"/>
        </w:rPr>
      </w:pPr>
      <w:r w:rsidRPr="00CD5A1E">
        <w:rPr>
          <w:rFonts w:eastAsia="Times New Roman" w:cs="Times New Roman"/>
          <w:lang w:eastAsia="en-AU"/>
        </w:rPr>
        <w:tab/>
        <w:t>(4)</w:t>
      </w:r>
      <w:r w:rsidRPr="00CD5A1E">
        <w:rPr>
          <w:rFonts w:eastAsia="Times New Roman" w:cs="Times New Roman"/>
          <w:lang w:eastAsia="en-AU"/>
        </w:rPr>
        <w:tab/>
        <w:t>The health practitioner supplying the biological must:</w:t>
      </w:r>
    </w:p>
    <w:p w14:paraId="35C6B1C4" w14:textId="47C21524"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(a)</w:t>
      </w:r>
      <w:r w:rsidRPr="00CD5A1E">
        <w:rPr>
          <w:rFonts w:eastAsia="Times New Roman" w:cs="Times New Roman"/>
          <w:lang w:eastAsia="en-AU"/>
        </w:rPr>
        <w:tab/>
        <w:t xml:space="preserve">if the health practitioner becomes aware that the patient has suffered an adverse event in relation to the biological—notify the Therapeutic Goods Administration </w:t>
      </w:r>
      <w:r w:rsidR="00B611EE" w:rsidRPr="00B611EE">
        <w:rPr>
          <w:rFonts w:eastAsia="Times New Roman" w:cs="Times New Roman"/>
          <w:lang w:eastAsia="en-AU"/>
        </w:rPr>
        <w:t>within 15 days of becoming aware of the adverse event</w:t>
      </w:r>
      <w:r w:rsidRPr="00CD5A1E">
        <w:rPr>
          <w:rFonts w:eastAsia="Times New Roman" w:cs="Times New Roman"/>
          <w:lang w:eastAsia="en-AU"/>
        </w:rPr>
        <w:t>; and</w:t>
      </w:r>
    </w:p>
    <w:p w14:paraId="229E69B9" w14:textId="7BB1D533" w:rsidR="00CD5A1E" w:rsidRPr="00CD5A1E" w:rsidRDefault="00CD5A1E" w:rsidP="00CD5A1E">
      <w:pPr>
        <w:tabs>
          <w:tab w:val="right" w:pos="1531"/>
        </w:tabs>
        <w:spacing w:before="40" w:line="240" w:lineRule="auto"/>
        <w:ind w:left="1644" w:hanging="1644"/>
        <w:rPr>
          <w:rFonts w:eastAsia="Times New Roman" w:cs="Times New Roman"/>
          <w:lang w:eastAsia="en-AU"/>
        </w:rPr>
      </w:pPr>
      <w:r w:rsidRPr="00CD5A1E">
        <w:rPr>
          <w:rFonts w:eastAsia="Times New Roman" w:cs="Times New Roman"/>
          <w:lang w:eastAsia="en-AU"/>
        </w:rPr>
        <w:tab/>
        <w:t>(b)</w:t>
      </w:r>
      <w:r w:rsidRPr="00CD5A1E">
        <w:rPr>
          <w:rFonts w:eastAsia="Times New Roman" w:cs="Times New Roman"/>
          <w:lang w:eastAsia="en-AU"/>
        </w:rPr>
        <w:tab/>
        <w:t xml:space="preserve">if the health practitioner becomes aware of a defect in the biological—notify the Therapeutic Goods Administration </w:t>
      </w:r>
      <w:r w:rsidR="00B611EE" w:rsidRPr="00B611EE">
        <w:rPr>
          <w:rFonts w:eastAsia="Times New Roman" w:cs="Times New Roman"/>
          <w:lang w:eastAsia="en-AU"/>
        </w:rPr>
        <w:t xml:space="preserve">within 15 days of becoming aware of the </w:t>
      </w:r>
      <w:r w:rsidR="004B0C84">
        <w:rPr>
          <w:rFonts w:eastAsia="Times New Roman" w:cs="Times New Roman"/>
          <w:lang w:eastAsia="en-AU"/>
        </w:rPr>
        <w:t>defect</w:t>
      </w:r>
      <w:r w:rsidRPr="00CD5A1E">
        <w:rPr>
          <w:rFonts w:eastAsia="Times New Roman" w:cs="Times New Roman"/>
          <w:lang w:eastAsia="en-AU"/>
        </w:rPr>
        <w:t>.</w:t>
      </w:r>
      <w:bookmarkEnd w:id="9"/>
    </w:p>
    <w:p w14:paraId="324A968E" w14:textId="77777777" w:rsidR="00CD5A1E" w:rsidRPr="00CD5A1E" w:rsidRDefault="00CD5A1E" w:rsidP="00CD5A1E">
      <w:pPr>
        <w:spacing w:line="240" w:lineRule="auto"/>
        <w:rPr>
          <w:rFonts w:eastAsia="Times New Roman" w:cs="Times New Roman"/>
          <w:lang w:eastAsia="en-AU"/>
        </w:rPr>
      </w:pPr>
      <w:r w:rsidRPr="00CD5A1E">
        <w:rPr>
          <w:rFonts w:eastAsia="Calibri" w:cs="Cordia New"/>
        </w:rPr>
        <w:br w:type="page"/>
      </w:r>
    </w:p>
    <w:p w14:paraId="727E8FD6" w14:textId="77777777" w:rsidR="00CD5A1E" w:rsidRPr="00CD5A1E" w:rsidRDefault="00CD5A1E" w:rsidP="009D53DE">
      <w:pPr>
        <w:pStyle w:val="ActHead1"/>
      </w:pPr>
      <w:bookmarkStart w:id="12" w:name="_Toc117866937"/>
      <w:bookmarkStart w:id="13" w:name="_Toc215742761"/>
      <w:r w:rsidRPr="00CD5A1E">
        <w:lastRenderedPageBreak/>
        <w:t>Schedule 1—Biologicals authorised for supply</w:t>
      </w:r>
      <w:bookmarkEnd w:id="12"/>
      <w:bookmarkEnd w:id="13"/>
    </w:p>
    <w:p w14:paraId="7C61052A" w14:textId="77777777" w:rsidR="00CD5A1E" w:rsidRPr="00CD5A1E" w:rsidRDefault="00CD5A1E" w:rsidP="00CD5A1E">
      <w:pPr>
        <w:tabs>
          <w:tab w:val="left" w:pos="709"/>
        </w:tabs>
        <w:spacing w:before="122" w:after="240" w:line="198" w:lineRule="exact"/>
        <w:rPr>
          <w:rFonts w:eastAsia="Times New Roman" w:cs="Times New Roman"/>
          <w:sz w:val="18"/>
          <w:lang w:eastAsia="en-AU"/>
        </w:rPr>
      </w:pPr>
      <w:r w:rsidRPr="00CD5A1E">
        <w:rPr>
          <w:rFonts w:eastAsia="Times New Roman" w:cs="Times New Roman"/>
          <w:sz w:val="18"/>
          <w:lang w:eastAsia="en-AU"/>
        </w:rPr>
        <w:t>Note:</w:t>
      </w:r>
      <w:r w:rsidRPr="00CD5A1E">
        <w:rPr>
          <w:rFonts w:eastAsia="Times New Roman" w:cs="Times New Roman"/>
          <w:sz w:val="18"/>
          <w:lang w:eastAsia="en-AU"/>
        </w:rPr>
        <w:tab/>
        <w:t>See section 5.</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072"/>
        <w:gridCol w:w="1382"/>
        <w:gridCol w:w="1658"/>
        <w:gridCol w:w="2349"/>
        <w:gridCol w:w="1812"/>
        <w:gridCol w:w="40"/>
      </w:tblGrid>
      <w:tr w:rsidR="00CD5A1E" w:rsidRPr="00CD5A1E" w14:paraId="540F165E" w14:textId="77777777" w:rsidTr="00CD5A1E">
        <w:trPr>
          <w:trHeight w:val="57"/>
          <w:tblHeader/>
        </w:trPr>
        <w:tc>
          <w:tcPr>
            <w:tcW w:w="5000" w:type="pct"/>
            <w:gridSpan w:val="6"/>
            <w:tcBorders>
              <w:top w:val="single" w:sz="12" w:space="0" w:color="auto"/>
              <w:left w:val="nil"/>
              <w:bottom w:val="single" w:sz="4" w:space="0" w:color="auto"/>
              <w:right w:val="nil"/>
            </w:tcBorders>
            <w:hideMark/>
          </w:tcPr>
          <w:p w14:paraId="31102959"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Specified therapeutic goods</w:t>
            </w:r>
          </w:p>
        </w:tc>
      </w:tr>
      <w:tr w:rsidR="00CD5A1E" w:rsidRPr="00CD5A1E" w14:paraId="63AABBE2" w14:textId="77777777" w:rsidTr="00CD5A1E">
        <w:trPr>
          <w:gridAfter w:val="1"/>
          <w:wAfter w:w="24" w:type="pct"/>
          <w:trHeight w:val="57"/>
          <w:tblHeader/>
        </w:trPr>
        <w:tc>
          <w:tcPr>
            <w:tcW w:w="645" w:type="pct"/>
            <w:tcBorders>
              <w:top w:val="nil"/>
              <w:left w:val="nil"/>
              <w:bottom w:val="single" w:sz="2" w:space="0" w:color="auto"/>
              <w:right w:val="nil"/>
            </w:tcBorders>
            <w:hideMark/>
          </w:tcPr>
          <w:p w14:paraId="61DA0896"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Column 1</w:t>
            </w:r>
          </w:p>
        </w:tc>
        <w:tc>
          <w:tcPr>
            <w:tcW w:w="831" w:type="pct"/>
            <w:tcBorders>
              <w:top w:val="nil"/>
              <w:left w:val="nil"/>
              <w:bottom w:val="single" w:sz="2" w:space="0" w:color="auto"/>
              <w:right w:val="nil"/>
            </w:tcBorders>
            <w:hideMark/>
          </w:tcPr>
          <w:p w14:paraId="048846AD"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Column 2</w:t>
            </w:r>
          </w:p>
        </w:tc>
        <w:tc>
          <w:tcPr>
            <w:tcW w:w="997" w:type="pct"/>
            <w:tcBorders>
              <w:top w:val="nil"/>
              <w:left w:val="nil"/>
              <w:bottom w:val="single" w:sz="2" w:space="0" w:color="auto"/>
              <w:right w:val="nil"/>
            </w:tcBorders>
            <w:hideMark/>
          </w:tcPr>
          <w:p w14:paraId="7B0C08B3"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Column 3</w:t>
            </w:r>
          </w:p>
        </w:tc>
        <w:tc>
          <w:tcPr>
            <w:tcW w:w="1413" w:type="pct"/>
            <w:tcBorders>
              <w:top w:val="nil"/>
              <w:left w:val="nil"/>
              <w:bottom w:val="single" w:sz="2" w:space="0" w:color="auto"/>
              <w:right w:val="nil"/>
            </w:tcBorders>
            <w:hideMark/>
          </w:tcPr>
          <w:p w14:paraId="17B6C187"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Column 4</w:t>
            </w:r>
          </w:p>
        </w:tc>
        <w:tc>
          <w:tcPr>
            <w:tcW w:w="1090" w:type="pct"/>
            <w:tcBorders>
              <w:top w:val="nil"/>
              <w:left w:val="nil"/>
              <w:bottom w:val="single" w:sz="2" w:space="0" w:color="auto"/>
              <w:right w:val="nil"/>
            </w:tcBorders>
            <w:hideMark/>
          </w:tcPr>
          <w:p w14:paraId="592B0D51"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Column 5</w:t>
            </w:r>
          </w:p>
        </w:tc>
      </w:tr>
      <w:tr w:rsidR="00CD5A1E" w:rsidRPr="00CD5A1E" w14:paraId="0BFE6079" w14:textId="77777777" w:rsidTr="00CD5A1E">
        <w:trPr>
          <w:gridAfter w:val="1"/>
          <w:wAfter w:w="24" w:type="pct"/>
          <w:trHeight w:val="57"/>
          <w:tblHeader/>
        </w:trPr>
        <w:tc>
          <w:tcPr>
            <w:tcW w:w="645" w:type="pct"/>
            <w:tcBorders>
              <w:top w:val="single" w:sz="2" w:space="0" w:color="auto"/>
              <w:left w:val="nil"/>
              <w:bottom w:val="single" w:sz="12" w:space="0" w:color="auto"/>
              <w:right w:val="nil"/>
            </w:tcBorders>
            <w:hideMark/>
          </w:tcPr>
          <w:p w14:paraId="27F6B6AD"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Item</w:t>
            </w:r>
          </w:p>
        </w:tc>
        <w:tc>
          <w:tcPr>
            <w:tcW w:w="831" w:type="pct"/>
            <w:tcBorders>
              <w:top w:val="single" w:sz="2" w:space="0" w:color="auto"/>
              <w:left w:val="nil"/>
              <w:bottom w:val="single" w:sz="12" w:space="0" w:color="auto"/>
              <w:right w:val="nil"/>
            </w:tcBorders>
            <w:hideMark/>
          </w:tcPr>
          <w:p w14:paraId="3ECAE211"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Biological</w:t>
            </w:r>
          </w:p>
        </w:tc>
        <w:tc>
          <w:tcPr>
            <w:tcW w:w="997" w:type="pct"/>
            <w:tcBorders>
              <w:top w:val="single" w:sz="2" w:space="0" w:color="auto"/>
              <w:left w:val="nil"/>
              <w:bottom w:val="single" w:sz="12" w:space="0" w:color="auto"/>
              <w:right w:val="nil"/>
            </w:tcBorders>
            <w:hideMark/>
          </w:tcPr>
          <w:p w14:paraId="084F6A24"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Route of administration</w:t>
            </w:r>
          </w:p>
        </w:tc>
        <w:tc>
          <w:tcPr>
            <w:tcW w:w="1413" w:type="pct"/>
            <w:tcBorders>
              <w:top w:val="single" w:sz="2" w:space="0" w:color="auto"/>
              <w:left w:val="nil"/>
              <w:bottom w:val="single" w:sz="12" w:space="0" w:color="auto"/>
              <w:right w:val="nil"/>
            </w:tcBorders>
            <w:hideMark/>
          </w:tcPr>
          <w:p w14:paraId="69A790E3"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Indication</w:t>
            </w:r>
          </w:p>
        </w:tc>
        <w:tc>
          <w:tcPr>
            <w:tcW w:w="1090" w:type="pct"/>
            <w:tcBorders>
              <w:top w:val="single" w:sz="2" w:space="0" w:color="auto"/>
              <w:left w:val="nil"/>
              <w:bottom w:val="single" w:sz="12" w:space="0" w:color="auto"/>
              <w:right w:val="nil"/>
            </w:tcBorders>
            <w:hideMark/>
          </w:tcPr>
          <w:p w14:paraId="5C6E3BF0" w14:textId="77777777" w:rsidR="00CD5A1E" w:rsidRPr="00CD5A1E" w:rsidRDefault="00CD5A1E" w:rsidP="00CD5A1E">
            <w:pPr>
              <w:keepNext/>
              <w:spacing w:before="60" w:line="240" w:lineRule="atLeast"/>
              <w:rPr>
                <w:rFonts w:eastAsia="Times New Roman" w:cs="Times New Roman"/>
                <w:b/>
                <w:sz w:val="20"/>
              </w:rPr>
            </w:pPr>
            <w:r w:rsidRPr="00CD5A1E">
              <w:rPr>
                <w:rFonts w:eastAsia="Times New Roman" w:cs="Times New Roman"/>
                <w:b/>
                <w:sz w:val="20"/>
              </w:rPr>
              <w:t xml:space="preserve">Health practitioner </w:t>
            </w:r>
          </w:p>
        </w:tc>
      </w:tr>
      <w:tr w:rsidR="00CD5A1E" w:rsidRPr="00CD5A1E" w14:paraId="7168FBCE" w14:textId="77777777" w:rsidTr="00CD5A1E">
        <w:trPr>
          <w:gridAfter w:val="1"/>
          <w:wAfter w:w="24" w:type="pct"/>
          <w:trHeight w:val="20"/>
        </w:trPr>
        <w:tc>
          <w:tcPr>
            <w:tcW w:w="645" w:type="pct"/>
            <w:tcBorders>
              <w:top w:val="single" w:sz="2" w:space="0" w:color="auto"/>
              <w:left w:val="nil"/>
              <w:bottom w:val="single" w:sz="2" w:space="0" w:color="auto"/>
              <w:right w:val="nil"/>
            </w:tcBorders>
            <w:hideMark/>
          </w:tcPr>
          <w:p w14:paraId="38C7C638"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3</w:t>
            </w:r>
          </w:p>
        </w:tc>
        <w:tc>
          <w:tcPr>
            <w:tcW w:w="831" w:type="pct"/>
            <w:tcBorders>
              <w:top w:val="single" w:sz="2" w:space="0" w:color="auto"/>
              <w:left w:val="nil"/>
              <w:bottom w:val="single" w:sz="2" w:space="0" w:color="auto"/>
              <w:right w:val="nil"/>
            </w:tcBorders>
            <w:hideMark/>
          </w:tcPr>
          <w:p w14:paraId="630C1806"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Amniotic Membrane</w:t>
            </w:r>
          </w:p>
        </w:tc>
        <w:tc>
          <w:tcPr>
            <w:tcW w:w="997" w:type="pct"/>
            <w:tcBorders>
              <w:top w:val="single" w:sz="2" w:space="0" w:color="auto"/>
              <w:left w:val="nil"/>
              <w:bottom w:val="single" w:sz="2" w:space="0" w:color="auto"/>
              <w:right w:val="nil"/>
            </w:tcBorders>
            <w:hideMark/>
          </w:tcPr>
          <w:p w14:paraId="62029B88"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ophthalmic</w:t>
            </w:r>
          </w:p>
        </w:tc>
        <w:tc>
          <w:tcPr>
            <w:tcW w:w="1413" w:type="pct"/>
            <w:tcBorders>
              <w:top w:val="single" w:sz="2" w:space="0" w:color="auto"/>
              <w:left w:val="nil"/>
              <w:bottom w:val="single" w:sz="2" w:space="0" w:color="auto"/>
              <w:right w:val="nil"/>
            </w:tcBorders>
            <w:hideMark/>
          </w:tcPr>
          <w:p w14:paraId="1915AC31"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 xml:space="preserve">ocular conditions </w:t>
            </w:r>
          </w:p>
        </w:tc>
        <w:tc>
          <w:tcPr>
            <w:tcW w:w="1090" w:type="pct"/>
            <w:tcBorders>
              <w:top w:val="single" w:sz="2" w:space="0" w:color="auto"/>
              <w:left w:val="nil"/>
              <w:bottom w:val="single" w:sz="2" w:space="0" w:color="auto"/>
              <w:right w:val="nil"/>
            </w:tcBorders>
            <w:hideMark/>
          </w:tcPr>
          <w:p w14:paraId="6F7B89F9"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medical practitioner</w:t>
            </w:r>
          </w:p>
        </w:tc>
      </w:tr>
      <w:tr w:rsidR="00CD5A1E" w:rsidRPr="00CD5A1E" w14:paraId="45F2DDA5" w14:textId="77777777" w:rsidTr="00CD5A1E">
        <w:trPr>
          <w:gridAfter w:val="1"/>
          <w:wAfter w:w="24" w:type="pct"/>
          <w:trHeight w:val="20"/>
        </w:trPr>
        <w:tc>
          <w:tcPr>
            <w:tcW w:w="645" w:type="pct"/>
            <w:tcBorders>
              <w:top w:val="single" w:sz="2" w:space="0" w:color="auto"/>
              <w:left w:val="nil"/>
              <w:bottom w:val="single" w:sz="2" w:space="0" w:color="auto"/>
              <w:right w:val="nil"/>
            </w:tcBorders>
            <w:hideMark/>
          </w:tcPr>
          <w:p w14:paraId="639112D5"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8</w:t>
            </w:r>
          </w:p>
        </w:tc>
        <w:tc>
          <w:tcPr>
            <w:tcW w:w="831" w:type="pct"/>
            <w:tcBorders>
              <w:top w:val="single" w:sz="2" w:space="0" w:color="auto"/>
              <w:left w:val="nil"/>
              <w:bottom w:val="single" w:sz="2" w:space="0" w:color="auto"/>
              <w:right w:val="nil"/>
            </w:tcBorders>
            <w:hideMark/>
          </w:tcPr>
          <w:p w14:paraId="4F8C5F1A"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Ortho-ATI (tenocytes) cell suspension</w:t>
            </w:r>
          </w:p>
        </w:tc>
        <w:tc>
          <w:tcPr>
            <w:tcW w:w="997" w:type="pct"/>
            <w:tcBorders>
              <w:top w:val="single" w:sz="2" w:space="0" w:color="auto"/>
              <w:left w:val="nil"/>
              <w:bottom w:val="single" w:sz="2" w:space="0" w:color="auto"/>
              <w:right w:val="nil"/>
            </w:tcBorders>
            <w:hideMark/>
          </w:tcPr>
          <w:p w14:paraId="57294D99"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intratendinous injection</w:t>
            </w:r>
          </w:p>
        </w:tc>
        <w:tc>
          <w:tcPr>
            <w:tcW w:w="1413" w:type="pct"/>
            <w:tcBorders>
              <w:top w:val="single" w:sz="2" w:space="0" w:color="auto"/>
              <w:left w:val="nil"/>
              <w:bottom w:val="single" w:sz="2" w:space="0" w:color="auto"/>
              <w:right w:val="nil"/>
            </w:tcBorders>
            <w:vAlign w:val="center"/>
            <w:hideMark/>
          </w:tcPr>
          <w:p w14:paraId="6692C8A9"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treatment of chronic lateral epicondylitis or gluteal tendinopathy (&gt; 6 months) with or without partial tendon tear, that is not responsive to conservative treatment</w:t>
            </w:r>
          </w:p>
        </w:tc>
        <w:tc>
          <w:tcPr>
            <w:tcW w:w="1090" w:type="pct"/>
            <w:tcBorders>
              <w:top w:val="single" w:sz="2" w:space="0" w:color="auto"/>
              <w:left w:val="nil"/>
              <w:bottom w:val="single" w:sz="2" w:space="0" w:color="auto"/>
              <w:right w:val="nil"/>
            </w:tcBorders>
            <w:hideMark/>
          </w:tcPr>
          <w:p w14:paraId="2828F2AF"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orthopaedic surgeon</w:t>
            </w:r>
          </w:p>
        </w:tc>
      </w:tr>
      <w:tr w:rsidR="00CD5A1E" w:rsidRPr="00CD5A1E" w14:paraId="3427A61C" w14:textId="77777777" w:rsidTr="00CD5A1E">
        <w:trPr>
          <w:gridAfter w:val="1"/>
          <w:wAfter w:w="24" w:type="pct"/>
          <w:trHeight w:val="20"/>
        </w:trPr>
        <w:tc>
          <w:tcPr>
            <w:tcW w:w="645" w:type="pct"/>
            <w:tcBorders>
              <w:top w:val="single" w:sz="2" w:space="0" w:color="auto"/>
              <w:left w:val="nil"/>
              <w:bottom w:val="single" w:sz="18" w:space="0" w:color="auto"/>
              <w:right w:val="nil"/>
            </w:tcBorders>
            <w:hideMark/>
          </w:tcPr>
          <w:p w14:paraId="112DD404"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11</w:t>
            </w:r>
          </w:p>
        </w:tc>
        <w:tc>
          <w:tcPr>
            <w:tcW w:w="831" w:type="pct"/>
            <w:tcBorders>
              <w:top w:val="single" w:sz="2" w:space="0" w:color="auto"/>
              <w:left w:val="nil"/>
              <w:bottom w:val="single" w:sz="18" w:space="0" w:color="auto"/>
              <w:right w:val="nil"/>
            </w:tcBorders>
            <w:vAlign w:val="center"/>
            <w:hideMark/>
          </w:tcPr>
          <w:p w14:paraId="262B6576"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 xml:space="preserve">Tutoplast Pericardium (sterilised human tissue allograft) </w:t>
            </w:r>
          </w:p>
        </w:tc>
        <w:tc>
          <w:tcPr>
            <w:tcW w:w="997" w:type="pct"/>
            <w:tcBorders>
              <w:top w:val="single" w:sz="2" w:space="0" w:color="auto"/>
              <w:left w:val="nil"/>
              <w:bottom w:val="single" w:sz="18" w:space="0" w:color="auto"/>
              <w:right w:val="nil"/>
            </w:tcBorders>
            <w:hideMark/>
          </w:tcPr>
          <w:p w14:paraId="69E028B2"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topical</w:t>
            </w:r>
          </w:p>
        </w:tc>
        <w:tc>
          <w:tcPr>
            <w:tcW w:w="1413" w:type="pct"/>
            <w:tcBorders>
              <w:top w:val="single" w:sz="2" w:space="0" w:color="auto"/>
              <w:left w:val="nil"/>
              <w:bottom w:val="single" w:sz="18" w:space="0" w:color="auto"/>
              <w:right w:val="nil"/>
            </w:tcBorders>
            <w:hideMark/>
          </w:tcPr>
          <w:p w14:paraId="578623C8"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soft tissue graft</w:t>
            </w:r>
          </w:p>
        </w:tc>
        <w:tc>
          <w:tcPr>
            <w:tcW w:w="1090" w:type="pct"/>
            <w:tcBorders>
              <w:top w:val="single" w:sz="2" w:space="0" w:color="auto"/>
              <w:left w:val="nil"/>
              <w:bottom w:val="single" w:sz="18" w:space="0" w:color="auto"/>
              <w:right w:val="nil"/>
            </w:tcBorders>
            <w:hideMark/>
          </w:tcPr>
          <w:p w14:paraId="501797CE" w14:textId="77777777" w:rsidR="00CD5A1E" w:rsidRPr="00CD5A1E" w:rsidRDefault="00CD5A1E" w:rsidP="00CD5A1E">
            <w:pPr>
              <w:spacing w:before="60" w:line="240" w:lineRule="atLeast"/>
              <w:rPr>
                <w:rFonts w:eastAsia="Times New Roman" w:cs="Times New Roman"/>
                <w:sz w:val="20"/>
              </w:rPr>
            </w:pPr>
            <w:r w:rsidRPr="00CD5A1E">
              <w:rPr>
                <w:rFonts w:eastAsia="Times New Roman" w:cs="Times New Roman"/>
                <w:sz w:val="20"/>
              </w:rPr>
              <w:t xml:space="preserve">medical practitioner </w:t>
            </w:r>
          </w:p>
        </w:tc>
      </w:tr>
    </w:tbl>
    <w:p w14:paraId="6A1B843C" w14:textId="77777777" w:rsidR="00331886" w:rsidRPr="00746A7B" w:rsidRDefault="00331886" w:rsidP="00331886"/>
    <w:p w14:paraId="3CACDEAB" w14:textId="77777777" w:rsidR="00331886" w:rsidRDefault="00331886" w:rsidP="00331886">
      <w:pPr>
        <w:sectPr w:rsidR="00331886" w:rsidSect="00AC07B0">
          <w:headerReference w:type="even" r:id="rId19"/>
          <w:headerReference w:type="default" r:id="rId20"/>
          <w:footerReference w:type="even" r:id="rId21"/>
          <w:footerReference w:type="default" r:id="rId22"/>
          <w:headerReference w:type="first" r:id="rId23"/>
          <w:pgSz w:w="11907" w:h="16839"/>
          <w:pgMar w:top="2378" w:right="1797" w:bottom="1440" w:left="1797" w:header="720" w:footer="709" w:gutter="0"/>
          <w:pgNumType w:start="1"/>
          <w:cols w:space="708"/>
          <w:docGrid w:linePitch="360"/>
        </w:sectPr>
      </w:pPr>
    </w:p>
    <w:p w14:paraId="4EE71D0A" w14:textId="77777777" w:rsidR="00331886" w:rsidRPr="001778F8" w:rsidRDefault="00331886" w:rsidP="00970B92">
      <w:pPr>
        <w:pStyle w:val="ENotesHeading1"/>
      </w:pPr>
      <w:bookmarkStart w:id="14" w:name="_Toc215742762"/>
      <w:r>
        <w:lastRenderedPageBreak/>
        <w:t>Endnotes</w:t>
      </w:r>
      <w:bookmarkEnd w:id="14"/>
    </w:p>
    <w:p w14:paraId="1351D716" w14:textId="77777777" w:rsidR="00331886" w:rsidRPr="00BC57F4" w:rsidRDefault="00331886" w:rsidP="00970B92">
      <w:pPr>
        <w:pStyle w:val="ENotesHeading2"/>
      </w:pPr>
      <w:bookmarkStart w:id="15" w:name="_Toc215742763"/>
      <w:r w:rsidRPr="00BC57F4">
        <w:t>Endnote 1—About the endnotes</w:t>
      </w:r>
      <w:bookmarkEnd w:id="15"/>
    </w:p>
    <w:p w14:paraId="45B52149" w14:textId="77777777" w:rsidR="00331886" w:rsidRPr="00042EA7" w:rsidRDefault="00331886" w:rsidP="00331886">
      <w:pPr>
        <w:spacing w:after="120"/>
      </w:pPr>
      <w:r w:rsidRPr="00042EA7">
        <w:t>The endnotes provide information about this compilation and the compiled law.</w:t>
      </w:r>
    </w:p>
    <w:p w14:paraId="50CAD37F" w14:textId="77777777" w:rsidR="00331886" w:rsidRPr="00042EA7" w:rsidRDefault="00331886" w:rsidP="00331886">
      <w:pPr>
        <w:spacing w:after="120"/>
      </w:pPr>
      <w:r w:rsidRPr="00042EA7">
        <w:t>The following endnotes are included in every compilation:</w:t>
      </w:r>
    </w:p>
    <w:p w14:paraId="10209125" w14:textId="77777777" w:rsidR="00331886" w:rsidRPr="00042EA7" w:rsidRDefault="00331886" w:rsidP="00331886">
      <w:r w:rsidRPr="00042EA7">
        <w:t>Endnote 1—About the endnotes</w:t>
      </w:r>
    </w:p>
    <w:p w14:paraId="4C6D0265" w14:textId="77777777" w:rsidR="00331886" w:rsidRPr="00042EA7" w:rsidRDefault="00331886" w:rsidP="00331886">
      <w:r w:rsidRPr="00042EA7">
        <w:t>Endnote 2—Abbreviation key</w:t>
      </w:r>
    </w:p>
    <w:p w14:paraId="0D01C140" w14:textId="77777777" w:rsidR="00331886" w:rsidRPr="00042EA7" w:rsidRDefault="00331886" w:rsidP="00331886">
      <w:r w:rsidRPr="00042EA7">
        <w:t>Endnote 3—Legislation history</w:t>
      </w:r>
    </w:p>
    <w:p w14:paraId="175F5E96" w14:textId="77777777" w:rsidR="00331886" w:rsidRPr="00042EA7" w:rsidRDefault="00331886" w:rsidP="00331886">
      <w:pPr>
        <w:spacing w:after="120"/>
      </w:pPr>
      <w:r w:rsidRPr="00042EA7">
        <w:t>Endnote 4—Amendment history</w:t>
      </w:r>
    </w:p>
    <w:p w14:paraId="40BC6C05" w14:textId="77777777" w:rsidR="00331886" w:rsidRPr="00042EA7" w:rsidRDefault="00331886" w:rsidP="00331886">
      <w:r w:rsidRPr="00042EA7">
        <w:rPr>
          <w:b/>
        </w:rPr>
        <w:t>Abbreviation key—Endnote 2</w:t>
      </w:r>
    </w:p>
    <w:p w14:paraId="1788D941" w14:textId="77777777" w:rsidR="00331886" w:rsidRPr="00042EA7" w:rsidRDefault="00331886" w:rsidP="00331886">
      <w:pPr>
        <w:spacing w:after="120"/>
      </w:pPr>
      <w:r w:rsidRPr="00042EA7">
        <w:t>The abbreviation key sets out abbreviations that may be used in the endnotes.</w:t>
      </w:r>
    </w:p>
    <w:p w14:paraId="7803597E" w14:textId="77777777" w:rsidR="00331886" w:rsidRPr="00042EA7" w:rsidRDefault="00331886" w:rsidP="00331886">
      <w:pPr>
        <w:rPr>
          <w:b/>
        </w:rPr>
      </w:pPr>
      <w:r w:rsidRPr="00042EA7">
        <w:rPr>
          <w:b/>
        </w:rPr>
        <w:t>Legislation history and amendment history—Endnotes 3 and 4</w:t>
      </w:r>
    </w:p>
    <w:p w14:paraId="338D3088" w14:textId="77777777" w:rsidR="00331886" w:rsidRPr="00042EA7" w:rsidRDefault="00331886" w:rsidP="00331886">
      <w:pPr>
        <w:spacing w:after="120"/>
      </w:pPr>
      <w:r w:rsidRPr="00042EA7">
        <w:t>Amending laws are annotated in the legislation history and amendment history.</w:t>
      </w:r>
    </w:p>
    <w:p w14:paraId="4A8BB1B0"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C2C966F"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59416F1" w14:textId="77777777" w:rsidR="00331886" w:rsidRPr="00042EA7" w:rsidRDefault="00331886" w:rsidP="00331886">
      <w:pPr>
        <w:keepNext/>
      </w:pPr>
      <w:r w:rsidRPr="00042EA7">
        <w:rPr>
          <w:b/>
        </w:rPr>
        <w:t>Misdescribed amendments</w:t>
      </w:r>
    </w:p>
    <w:p w14:paraId="1D40BD59" w14:textId="77777777" w:rsidR="00331886" w:rsidRPr="00042EA7" w:rsidRDefault="008C6FDD" w:rsidP="00331886">
      <w:pPr>
        <w:spacing w:after="120"/>
      </w:pPr>
      <w: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w:t>
      </w:r>
      <w:r w:rsidR="000D129B">
        <w:t> </w:t>
      </w:r>
      <w:r>
        <w:t xml:space="preserve">15V of the </w:t>
      </w:r>
      <w:r w:rsidRPr="00FB13B4">
        <w:rPr>
          <w:i/>
        </w:rPr>
        <w:t>Legislation Act 2003</w:t>
      </w:r>
      <w:r>
        <w:t>.</w:t>
      </w:r>
    </w:p>
    <w:p w14:paraId="57ACAFBC"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16DEA62D" w14:textId="77777777" w:rsidR="00331886" w:rsidRPr="00164D8F" w:rsidRDefault="00331886" w:rsidP="00331886"/>
    <w:p w14:paraId="7699CEE2" w14:textId="77777777" w:rsidR="00331886" w:rsidRDefault="00331886" w:rsidP="00B52C6B">
      <w:pPr>
        <w:pStyle w:val="ENotesHeading2"/>
        <w:pageBreakBefore/>
      </w:pPr>
      <w:bookmarkStart w:id="16" w:name="_Toc215742764"/>
      <w:r w:rsidRPr="00BC57F4">
        <w:lastRenderedPageBreak/>
        <w:t>Endnote 2—Abbreviation key</w:t>
      </w:r>
      <w:bookmarkEnd w:id="16"/>
    </w:p>
    <w:p w14:paraId="32878D34" w14:textId="77777777" w:rsidR="005A0496" w:rsidRPr="00470BF0" w:rsidRDefault="005A0496" w:rsidP="005A0496">
      <w:pPr>
        <w:pStyle w:val="Tabletext"/>
      </w:pPr>
      <w:bookmarkStart w:id="17" w:name="_Hlk204336733"/>
    </w:p>
    <w:tbl>
      <w:tblPr>
        <w:tblW w:w="7939" w:type="dxa"/>
        <w:tblInd w:w="108" w:type="dxa"/>
        <w:tblLayout w:type="fixed"/>
        <w:tblLook w:val="0000" w:firstRow="0" w:lastRow="0" w:firstColumn="0" w:lastColumn="0" w:noHBand="0" w:noVBand="0"/>
      </w:tblPr>
      <w:tblGrid>
        <w:gridCol w:w="4253"/>
        <w:gridCol w:w="3686"/>
      </w:tblGrid>
      <w:tr w:rsidR="005A0496" w:rsidRPr="00470BF0" w14:paraId="2E72C9D6" w14:textId="77777777" w:rsidTr="005417FA">
        <w:tc>
          <w:tcPr>
            <w:tcW w:w="4253" w:type="dxa"/>
          </w:tcPr>
          <w:p w14:paraId="1540D56A" w14:textId="77777777" w:rsidR="005A0496" w:rsidRPr="00470BF0" w:rsidRDefault="005A0496" w:rsidP="005417FA">
            <w:pPr>
              <w:spacing w:before="60"/>
              <w:ind w:left="34"/>
              <w:rPr>
                <w:sz w:val="20"/>
              </w:rPr>
            </w:pPr>
            <w:r w:rsidRPr="00470BF0">
              <w:rPr>
                <w:sz w:val="20"/>
              </w:rPr>
              <w:t>ad = added or inserted</w:t>
            </w:r>
          </w:p>
        </w:tc>
        <w:tc>
          <w:tcPr>
            <w:tcW w:w="3686" w:type="dxa"/>
          </w:tcPr>
          <w:p w14:paraId="73480EF5" w14:textId="77777777" w:rsidR="005A0496" w:rsidRPr="00470BF0" w:rsidRDefault="005A0496" w:rsidP="005417FA">
            <w:pPr>
              <w:spacing w:before="60"/>
              <w:ind w:left="34"/>
              <w:rPr>
                <w:sz w:val="20"/>
              </w:rPr>
            </w:pPr>
            <w:r w:rsidRPr="00450836">
              <w:rPr>
                <w:sz w:val="20"/>
              </w:rPr>
              <w:t>orig</w:t>
            </w:r>
            <w:r w:rsidRPr="00470BF0">
              <w:rPr>
                <w:sz w:val="20"/>
              </w:rPr>
              <w:t xml:space="preserve"> = original</w:t>
            </w:r>
          </w:p>
        </w:tc>
      </w:tr>
      <w:tr w:rsidR="005A0496" w:rsidRPr="00470BF0" w14:paraId="558E604B" w14:textId="77777777" w:rsidTr="005417FA">
        <w:tc>
          <w:tcPr>
            <w:tcW w:w="4253" w:type="dxa"/>
          </w:tcPr>
          <w:p w14:paraId="04B5E1E6" w14:textId="77777777" w:rsidR="005A0496" w:rsidRPr="00470BF0" w:rsidRDefault="005A0496" w:rsidP="005417FA">
            <w:pPr>
              <w:spacing w:before="60"/>
              <w:ind w:left="34"/>
              <w:rPr>
                <w:sz w:val="20"/>
              </w:rPr>
            </w:pPr>
            <w:r w:rsidRPr="00470BF0">
              <w:rPr>
                <w:sz w:val="20"/>
              </w:rPr>
              <w:t>am = amended</w:t>
            </w:r>
          </w:p>
        </w:tc>
        <w:tc>
          <w:tcPr>
            <w:tcW w:w="3686" w:type="dxa"/>
          </w:tcPr>
          <w:p w14:paraId="50A7EF26" w14:textId="77777777" w:rsidR="005A0496" w:rsidRPr="00470BF0" w:rsidRDefault="005A0496" w:rsidP="005417FA">
            <w:pPr>
              <w:spacing w:before="60"/>
              <w:ind w:left="34"/>
              <w:rPr>
                <w:sz w:val="20"/>
              </w:rPr>
            </w:pPr>
            <w:r w:rsidRPr="00470BF0">
              <w:rPr>
                <w:sz w:val="20"/>
              </w:rPr>
              <w:t>p = page(s)</w:t>
            </w:r>
          </w:p>
        </w:tc>
      </w:tr>
      <w:tr w:rsidR="005A0496" w:rsidRPr="00470BF0" w14:paraId="4273E149" w14:textId="77777777" w:rsidTr="005417FA">
        <w:tc>
          <w:tcPr>
            <w:tcW w:w="4253" w:type="dxa"/>
          </w:tcPr>
          <w:p w14:paraId="5210EEC4" w14:textId="77777777" w:rsidR="005A0496" w:rsidRPr="00470BF0" w:rsidRDefault="005A0496" w:rsidP="005417FA">
            <w:pPr>
              <w:spacing w:before="60"/>
              <w:ind w:left="34"/>
              <w:rPr>
                <w:sz w:val="20"/>
              </w:rPr>
            </w:pPr>
            <w:r w:rsidRPr="00470BF0">
              <w:rPr>
                <w:sz w:val="20"/>
              </w:rPr>
              <w:t>amdt = amendment</w:t>
            </w:r>
          </w:p>
        </w:tc>
        <w:tc>
          <w:tcPr>
            <w:tcW w:w="3686" w:type="dxa"/>
          </w:tcPr>
          <w:p w14:paraId="6EA4C704" w14:textId="77777777" w:rsidR="005A0496" w:rsidRPr="00470BF0" w:rsidRDefault="005A0496" w:rsidP="005417FA">
            <w:pPr>
              <w:spacing w:before="60"/>
              <w:ind w:left="34"/>
              <w:rPr>
                <w:sz w:val="20"/>
              </w:rPr>
            </w:pPr>
            <w:r>
              <w:rPr>
                <w:sz w:val="20"/>
              </w:rPr>
              <w:t>para</w:t>
            </w:r>
            <w:r w:rsidRPr="00470BF0">
              <w:rPr>
                <w:sz w:val="20"/>
              </w:rPr>
              <w:t xml:space="preserve"> = paragraph(s)/subparagraph(s)</w:t>
            </w:r>
          </w:p>
        </w:tc>
      </w:tr>
      <w:tr w:rsidR="005A0496" w:rsidRPr="00470BF0" w14:paraId="4BAEADB0" w14:textId="77777777" w:rsidTr="005417FA">
        <w:tc>
          <w:tcPr>
            <w:tcW w:w="4253" w:type="dxa"/>
          </w:tcPr>
          <w:p w14:paraId="729678AB" w14:textId="77777777" w:rsidR="005A0496" w:rsidRPr="00470BF0" w:rsidRDefault="005A0496" w:rsidP="005417FA">
            <w:pPr>
              <w:spacing w:before="60"/>
              <w:ind w:left="34"/>
              <w:rPr>
                <w:sz w:val="20"/>
              </w:rPr>
            </w:pPr>
            <w:r w:rsidRPr="00470BF0">
              <w:rPr>
                <w:sz w:val="20"/>
              </w:rPr>
              <w:t>C[x] = Compilation No. x</w:t>
            </w:r>
          </w:p>
        </w:tc>
        <w:tc>
          <w:tcPr>
            <w:tcW w:w="3686" w:type="dxa"/>
          </w:tcPr>
          <w:p w14:paraId="11A03F72" w14:textId="77777777" w:rsidR="005A0496" w:rsidRPr="00470BF0" w:rsidRDefault="005A0496" w:rsidP="005417FA">
            <w:pPr>
              <w:ind w:left="34" w:firstLine="249"/>
              <w:rPr>
                <w:sz w:val="20"/>
              </w:rPr>
            </w:pPr>
            <w:r w:rsidRPr="00470BF0">
              <w:rPr>
                <w:sz w:val="20"/>
              </w:rPr>
              <w:t>/sub</w:t>
            </w:r>
            <w:r w:rsidRPr="00470BF0">
              <w:rPr>
                <w:sz w:val="20"/>
              </w:rPr>
              <w:noBreakHyphen/>
              <w:t>subparagraph(s)</w:t>
            </w:r>
          </w:p>
        </w:tc>
      </w:tr>
      <w:tr w:rsidR="005A0496" w:rsidRPr="00470BF0" w14:paraId="72F43BEB" w14:textId="77777777" w:rsidTr="005417FA">
        <w:tc>
          <w:tcPr>
            <w:tcW w:w="4253" w:type="dxa"/>
          </w:tcPr>
          <w:p w14:paraId="074A1866" w14:textId="77777777" w:rsidR="005A0496" w:rsidRPr="00470BF0" w:rsidRDefault="005A0496" w:rsidP="005417FA">
            <w:pPr>
              <w:spacing w:before="60"/>
              <w:ind w:left="34"/>
              <w:rPr>
                <w:sz w:val="20"/>
              </w:rPr>
            </w:pPr>
            <w:r>
              <w:rPr>
                <w:sz w:val="20"/>
              </w:rPr>
              <w:t>ch</w:t>
            </w:r>
            <w:r w:rsidRPr="00470BF0">
              <w:rPr>
                <w:sz w:val="20"/>
              </w:rPr>
              <w:t xml:space="preserve"> = Chapter(s)</w:t>
            </w:r>
          </w:p>
        </w:tc>
        <w:tc>
          <w:tcPr>
            <w:tcW w:w="3686" w:type="dxa"/>
          </w:tcPr>
          <w:p w14:paraId="4096C444" w14:textId="77777777" w:rsidR="005A0496" w:rsidRPr="00470BF0" w:rsidRDefault="005A0496" w:rsidP="005417FA">
            <w:pPr>
              <w:spacing w:before="60"/>
              <w:ind w:left="34"/>
              <w:rPr>
                <w:sz w:val="20"/>
              </w:rPr>
            </w:pPr>
            <w:r w:rsidRPr="00450836">
              <w:rPr>
                <w:sz w:val="20"/>
              </w:rPr>
              <w:t>pres</w:t>
            </w:r>
            <w:r w:rsidRPr="00470BF0">
              <w:rPr>
                <w:sz w:val="20"/>
              </w:rPr>
              <w:t xml:space="preserve"> = present</w:t>
            </w:r>
          </w:p>
        </w:tc>
      </w:tr>
      <w:tr w:rsidR="005A0496" w:rsidRPr="00470BF0" w14:paraId="02F3F518" w14:textId="77777777" w:rsidTr="005417FA">
        <w:tc>
          <w:tcPr>
            <w:tcW w:w="4253" w:type="dxa"/>
          </w:tcPr>
          <w:p w14:paraId="1EAB90B2" w14:textId="77777777" w:rsidR="005A0496" w:rsidRPr="00470BF0" w:rsidRDefault="005A0496" w:rsidP="005417FA">
            <w:pPr>
              <w:spacing w:before="60"/>
              <w:ind w:left="34"/>
              <w:rPr>
                <w:sz w:val="20"/>
              </w:rPr>
            </w:pPr>
            <w:r>
              <w:rPr>
                <w:sz w:val="20"/>
              </w:rPr>
              <w:t>cl</w:t>
            </w:r>
            <w:r w:rsidRPr="00470BF0">
              <w:rPr>
                <w:sz w:val="20"/>
              </w:rPr>
              <w:t xml:space="preserve"> = clause(s)</w:t>
            </w:r>
          </w:p>
        </w:tc>
        <w:tc>
          <w:tcPr>
            <w:tcW w:w="3686" w:type="dxa"/>
          </w:tcPr>
          <w:p w14:paraId="36DACCEA" w14:textId="77777777" w:rsidR="005A0496" w:rsidRPr="00470BF0" w:rsidRDefault="005A0496" w:rsidP="005417FA">
            <w:pPr>
              <w:spacing w:before="60"/>
              <w:ind w:left="34"/>
              <w:rPr>
                <w:sz w:val="20"/>
              </w:rPr>
            </w:pPr>
            <w:r w:rsidRPr="00470BF0">
              <w:rPr>
                <w:sz w:val="20"/>
              </w:rPr>
              <w:t>prev = previous</w:t>
            </w:r>
          </w:p>
        </w:tc>
      </w:tr>
      <w:tr w:rsidR="005A0496" w:rsidRPr="00470BF0" w14:paraId="4D7FBCC9" w14:textId="77777777" w:rsidTr="005417FA">
        <w:tc>
          <w:tcPr>
            <w:tcW w:w="4253" w:type="dxa"/>
          </w:tcPr>
          <w:p w14:paraId="640E4327" w14:textId="77777777" w:rsidR="005A0496" w:rsidRPr="00470BF0" w:rsidRDefault="005A0496" w:rsidP="005417FA">
            <w:pPr>
              <w:spacing w:before="60"/>
              <w:ind w:left="34"/>
              <w:rPr>
                <w:sz w:val="20"/>
              </w:rPr>
            </w:pPr>
            <w:r w:rsidRPr="00470BF0">
              <w:rPr>
                <w:sz w:val="20"/>
              </w:rPr>
              <w:t>cont. = continued</w:t>
            </w:r>
          </w:p>
        </w:tc>
        <w:tc>
          <w:tcPr>
            <w:tcW w:w="3686" w:type="dxa"/>
          </w:tcPr>
          <w:p w14:paraId="12331A2C" w14:textId="77777777" w:rsidR="005A0496" w:rsidRPr="00470BF0" w:rsidRDefault="005A0496" w:rsidP="005417FA">
            <w:pPr>
              <w:spacing w:before="60"/>
              <w:ind w:left="34"/>
              <w:rPr>
                <w:sz w:val="20"/>
              </w:rPr>
            </w:pPr>
            <w:r w:rsidRPr="00470BF0">
              <w:rPr>
                <w:sz w:val="20"/>
              </w:rPr>
              <w:t>(prev…) = previously</w:t>
            </w:r>
          </w:p>
        </w:tc>
      </w:tr>
      <w:tr w:rsidR="005A0496" w:rsidRPr="00470BF0" w14:paraId="38434D15" w14:textId="77777777" w:rsidTr="005417FA">
        <w:tc>
          <w:tcPr>
            <w:tcW w:w="4253" w:type="dxa"/>
          </w:tcPr>
          <w:p w14:paraId="387A4AB4" w14:textId="77777777" w:rsidR="005A0496" w:rsidRPr="00470BF0" w:rsidRDefault="005A0496" w:rsidP="005417FA">
            <w:pPr>
              <w:spacing w:before="60"/>
              <w:ind w:left="34"/>
              <w:rPr>
                <w:sz w:val="20"/>
              </w:rPr>
            </w:pPr>
            <w:r w:rsidRPr="00470BF0">
              <w:rPr>
                <w:sz w:val="20"/>
              </w:rPr>
              <w:t>def = definition(s)</w:t>
            </w:r>
          </w:p>
        </w:tc>
        <w:tc>
          <w:tcPr>
            <w:tcW w:w="3686" w:type="dxa"/>
          </w:tcPr>
          <w:p w14:paraId="4690B382" w14:textId="77777777" w:rsidR="005A0496" w:rsidRPr="00470BF0" w:rsidRDefault="005A0496" w:rsidP="005417FA">
            <w:pPr>
              <w:spacing w:before="60"/>
              <w:ind w:left="34"/>
              <w:rPr>
                <w:sz w:val="20"/>
              </w:rPr>
            </w:pPr>
            <w:r>
              <w:rPr>
                <w:sz w:val="20"/>
              </w:rPr>
              <w:t>pt</w:t>
            </w:r>
            <w:r w:rsidRPr="00470BF0">
              <w:rPr>
                <w:sz w:val="20"/>
              </w:rPr>
              <w:t xml:space="preserve"> = Part(s)</w:t>
            </w:r>
          </w:p>
        </w:tc>
      </w:tr>
      <w:tr w:rsidR="005A0496" w:rsidRPr="00470BF0" w14:paraId="29CFA761" w14:textId="77777777" w:rsidTr="005417FA">
        <w:tc>
          <w:tcPr>
            <w:tcW w:w="4253" w:type="dxa"/>
          </w:tcPr>
          <w:p w14:paraId="08F0E3B7" w14:textId="77777777" w:rsidR="005A0496" w:rsidRPr="00470BF0" w:rsidRDefault="005A0496" w:rsidP="005417FA">
            <w:pPr>
              <w:spacing w:before="60"/>
              <w:ind w:left="34"/>
              <w:rPr>
                <w:sz w:val="20"/>
              </w:rPr>
            </w:pPr>
            <w:r w:rsidRPr="00450836">
              <w:rPr>
                <w:sz w:val="20"/>
              </w:rPr>
              <w:t>Dict</w:t>
            </w:r>
            <w:r w:rsidRPr="00470BF0">
              <w:rPr>
                <w:sz w:val="20"/>
              </w:rPr>
              <w:t xml:space="preserve"> = Dictionary</w:t>
            </w:r>
          </w:p>
        </w:tc>
        <w:tc>
          <w:tcPr>
            <w:tcW w:w="3686" w:type="dxa"/>
          </w:tcPr>
          <w:p w14:paraId="1C5CA917" w14:textId="77777777" w:rsidR="005A0496" w:rsidRPr="00470BF0" w:rsidRDefault="005A0496" w:rsidP="005417FA">
            <w:pPr>
              <w:spacing w:before="60"/>
              <w:ind w:left="34"/>
              <w:rPr>
                <w:sz w:val="20"/>
              </w:rPr>
            </w:pPr>
            <w:r w:rsidRPr="00470BF0">
              <w:rPr>
                <w:sz w:val="20"/>
              </w:rPr>
              <w:t>r = regulation(s)/</w:t>
            </w:r>
            <w:r>
              <w:rPr>
                <w:sz w:val="20"/>
              </w:rPr>
              <w:t>Court</w:t>
            </w:r>
            <w:r w:rsidRPr="00470BF0">
              <w:rPr>
                <w:sz w:val="20"/>
              </w:rPr>
              <w:t xml:space="preserve"> rule(s)</w:t>
            </w:r>
          </w:p>
        </w:tc>
      </w:tr>
      <w:tr w:rsidR="005A0496" w:rsidRPr="00470BF0" w14:paraId="1DD3B704" w14:textId="77777777" w:rsidTr="005417FA">
        <w:tc>
          <w:tcPr>
            <w:tcW w:w="4253" w:type="dxa"/>
          </w:tcPr>
          <w:p w14:paraId="1E550DC8" w14:textId="77777777" w:rsidR="005A0496" w:rsidRPr="00470BF0" w:rsidRDefault="005A0496" w:rsidP="005417FA">
            <w:pPr>
              <w:spacing w:before="60"/>
              <w:ind w:left="34"/>
              <w:rPr>
                <w:sz w:val="20"/>
              </w:rPr>
            </w:pPr>
            <w:r w:rsidRPr="00470BF0">
              <w:rPr>
                <w:sz w:val="20"/>
              </w:rPr>
              <w:t>disallowed = disallowed by Parliament</w:t>
            </w:r>
          </w:p>
        </w:tc>
        <w:tc>
          <w:tcPr>
            <w:tcW w:w="3686" w:type="dxa"/>
          </w:tcPr>
          <w:p w14:paraId="3FFE6775" w14:textId="77777777" w:rsidR="005A0496" w:rsidRPr="00470BF0" w:rsidRDefault="005A0496" w:rsidP="005417FA">
            <w:pPr>
              <w:spacing w:before="60"/>
              <w:ind w:left="34"/>
              <w:rPr>
                <w:sz w:val="20"/>
              </w:rPr>
            </w:pPr>
            <w:r w:rsidRPr="00470BF0">
              <w:rPr>
                <w:sz w:val="20"/>
              </w:rPr>
              <w:t>reloc = relocated</w:t>
            </w:r>
          </w:p>
        </w:tc>
      </w:tr>
      <w:tr w:rsidR="005A0496" w:rsidRPr="00470BF0" w14:paraId="6C6FA1E4" w14:textId="77777777" w:rsidTr="005417FA">
        <w:tc>
          <w:tcPr>
            <w:tcW w:w="4253" w:type="dxa"/>
          </w:tcPr>
          <w:p w14:paraId="5E20E12E" w14:textId="77777777" w:rsidR="005A0496" w:rsidRPr="00470BF0" w:rsidRDefault="005A0496" w:rsidP="005417FA">
            <w:pPr>
              <w:spacing w:before="60"/>
              <w:ind w:left="34"/>
              <w:rPr>
                <w:sz w:val="20"/>
              </w:rPr>
            </w:pPr>
            <w:r>
              <w:rPr>
                <w:sz w:val="20"/>
              </w:rPr>
              <w:t>div</w:t>
            </w:r>
            <w:r w:rsidRPr="00470BF0">
              <w:rPr>
                <w:sz w:val="20"/>
              </w:rPr>
              <w:t xml:space="preserve"> = Division(s)</w:t>
            </w:r>
          </w:p>
        </w:tc>
        <w:tc>
          <w:tcPr>
            <w:tcW w:w="3686" w:type="dxa"/>
          </w:tcPr>
          <w:p w14:paraId="2E6B7B8D" w14:textId="77777777" w:rsidR="005A0496" w:rsidRPr="00470BF0" w:rsidRDefault="005A0496" w:rsidP="005417FA">
            <w:pPr>
              <w:spacing w:before="60"/>
              <w:ind w:left="34"/>
              <w:rPr>
                <w:sz w:val="20"/>
              </w:rPr>
            </w:pPr>
            <w:r w:rsidRPr="00470BF0">
              <w:rPr>
                <w:sz w:val="20"/>
              </w:rPr>
              <w:t>renum = renumbered</w:t>
            </w:r>
          </w:p>
        </w:tc>
      </w:tr>
      <w:tr w:rsidR="005A0496" w:rsidRPr="00470BF0" w14:paraId="34ECC7AF" w14:textId="77777777" w:rsidTr="005417FA">
        <w:tc>
          <w:tcPr>
            <w:tcW w:w="4253" w:type="dxa"/>
          </w:tcPr>
          <w:p w14:paraId="11A2A796" w14:textId="56703464" w:rsidR="005A0496" w:rsidRPr="00470BF0" w:rsidRDefault="00A20E0F" w:rsidP="005417FA">
            <w:pPr>
              <w:spacing w:before="60"/>
              <w:ind w:left="34"/>
              <w:rPr>
                <w:sz w:val="20"/>
              </w:rPr>
            </w:pPr>
            <w:r w:rsidRPr="00470BF0">
              <w:rPr>
                <w:sz w:val="20"/>
              </w:rPr>
              <w:t>exp = expires/expired or ceases/ceased to have</w:t>
            </w:r>
          </w:p>
        </w:tc>
        <w:tc>
          <w:tcPr>
            <w:tcW w:w="3686" w:type="dxa"/>
          </w:tcPr>
          <w:p w14:paraId="2803CD6E" w14:textId="77777777" w:rsidR="005A0496" w:rsidRPr="00470BF0" w:rsidRDefault="005A0496" w:rsidP="005417FA">
            <w:pPr>
              <w:spacing w:before="60"/>
              <w:ind w:left="34"/>
              <w:rPr>
                <w:sz w:val="20"/>
              </w:rPr>
            </w:pPr>
            <w:r w:rsidRPr="00470BF0">
              <w:rPr>
                <w:sz w:val="20"/>
              </w:rPr>
              <w:t>rep = repealed</w:t>
            </w:r>
          </w:p>
        </w:tc>
      </w:tr>
      <w:tr w:rsidR="005A0496" w:rsidRPr="00470BF0" w14:paraId="3602AA7E" w14:textId="77777777" w:rsidTr="005417FA">
        <w:tc>
          <w:tcPr>
            <w:tcW w:w="4253" w:type="dxa"/>
          </w:tcPr>
          <w:p w14:paraId="7AB54C6D" w14:textId="1D4CD963" w:rsidR="005A0496" w:rsidRPr="00470BF0" w:rsidRDefault="00A20E0F" w:rsidP="00A20E0F">
            <w:pPr>
              <w:ind w:left="34" w:firstLine="249"/>
              <w:rPr>
                <w:sz w:val="20"/>
              </w:rPr>
            </w:pPr>
            <w:r w:rsidRPr="00470BF0">
              <w:rPr>
                <w:sz w:val="20"/>
              </w:rPr>
              <w:t>effect</w:t>
            </w:r>
          </w:p>
        </w:tc>
        <w:tc>
          <w:tcPr>
            <w:tcW w:w="3686" w:type="dxa"/>
          </w:tcPr>
          <w:p w14:paraId="1841F938" w14:textId="77777777" w:rsidR="005A0496" w:rsidRPr="00470BF0" w:rsidRDefault="005A0496" w:rsidP="005417FA">
            <w:pPr>
              <w:spacing w:before="60"/>
              <w:ind w:left="34"/>
              <w:rPr>
                <w:sz w:val="20"/>
              </w:rPr>
            </w:pPr>
            <w:r w:rsidRPr="00470BF0">
              <w:rPr>
                <w:sz w:val="20"/>
              </w:rPr>
              <w:t>rs = repealed and substituted</w:t>
            </w:r>
          </w:p>
        </w:tc>
      </w:tr>
      <w:tr w:rsidR="005A0496" w:rsidRPr="00470BF0" w14:paraId="65601BFF" w14:textId="77777777" w:rsidTr="005417FA">
        <w:tc>
          <w:tcPr>
            <w:tcW w:w="4253" w:type="dxa"/>
          </w:tcPr>
          <w:p w14:paraId="1F5372C0" w14:textId="037D2D57" w:rsidR="005A0496" w:rsidRPr="00470BF0" w:rsidRDefault="00A20E0F" w:rsidP="00A20E0F">
            <w:pPr>
              <w:spacing w:before="60"/>
              <w:ind w:left="34"/>
              <w:rPr>
                <w:sz w:val="20"/>
              </w:rPr>
            </w:pPr>
            <w:r w:rsidRPr="00470BF0">
              <w:rPr>
                <w:sz w:val="20"/>
              </w:rPr>
              <w:t>gaz = gazette</w:t>
            </w:r>
          </w:p>
        </w:tc>
        <w:tc>
          <w:tcPr>
            <w:tcW w:w="3686" w:type="dxa"/>
          </w:tcPr>
          <w:p w14:paraId="5F65F475" w14:textId="77777777" w:rsidR="005A0496" w:rsidRPr="00470BF0" w:rsidRDefault="005A0496" w:rsidP="005417FA">
            <w:pPr>
              <w:spacing w:before="60"/>
              <w:ind w:left="34"/>
              <w:rPr>
                <w:sz w:val="20"/>
              </w:rPr>
            </w:pPr>
            <w:r w:rsidRPr="00470BF0">
              <w:rPr>
                <w:sz w:val="20"/>
              </w:rPr>
              <w:t>s = section(s)/subsection(s)</w:t>
            </w:r>
          </w:p>
        </w:tc>
      </w:tr>
      <w:tr w:rsidR="005A0496" w:rsidRPr="00470BF0" w14:paraId="69B0A5EB" w14:textId="77777777" w:rsidTr="005417FA">
        <w:tc>
          <w:tcPr>
            <w:tcW w:w="4253" w:type="dxa"/>
          </w:tcPr>
          <w:p w14:paraId="331EEA44" w14:textId="47A33B21" w:rsidR="005A0496" w:rsidRPr="00470BF0" w:rsidRDefault="00A20E0F" w:rsidP="005417FA">
            <w:pPr>
              <w:spacing w:before="60"/>
              <w:ind w:left="34"/>
              <w:rPr>
                <w:sz w:val="20"/>
              </w:rPr>
            </w:pPr>
            <w:r w:rsidRPr="00470BF0">
              <w:rPr>
                <w:sz w:val="20"/>
              </w:rPr>
              <w:t xml:space="preserve">LA = </w:t>
            </w:r>
            <w:r w:rsidRPr="00470BF0">
              <w:rPr>
                <w:i/>
                <w:sz w:val="20"/>
              </w:rPr>
              <w:t>Legislation Act 2003</w:t>
            </w:r>
          </w:p>
        </w:tc>
        <w:tc>
          <w:tcPr>
            <w:tcW w:w="3686" w:type="dxa"/>
          </w:tcPr>
          <w:p w14:paraId="440E0A5F" w14:textId="77777777" w:rsidR="005A0496" w:rsidRPr="00470BF0" w:rsidRDefault="005A0496" w:rsidP="005417FA">
            <w:pPr>
              <w:ind w:left="34" w:firstLine="249"/>
              <w:rPr>
                <w:sz w:val="20"/>
              </w:rPr>
            </w:pPr>
            <w:r>
              <w:rPr>
                <w:sz w:val="20"/>
              </w:rPr>
              <w:t>/</w:t>
            </w:r>
            <w:r w:rsidRPr="00470BF0">
              <w:rPr>
                <w:sz w:val="20"/>
              </w:rPr>
              <w:t>rule(s)/subrule(s)</w:t>
            </w:r>
            <w:r>
              <w:rPr>
                <w:sz w:val="20"/>
              </w:rPr>
              <w:t>/</w:t>
            </w:r>
            <w:r w:rsidRPr="00470BF0">
              <w:rPr>
                <w:sz w:val="20"/>
              </w:rPr>
              <w:t>order(s)/suborder(s)</w:t>
            </w:r>
          </w:p>
        </w:tc>
      </w:tr>
      <w:tr w:rsidR="005A0496" w:rsidRPr="00470BF0" w14:paraId="75801379" w14:textId="77777777" w:rsidTr="005417FA">
        <w:tc>
          <w:tcPr>
            <w:tcW w:w="4253" w:type="dxa"/>
          </w:tcPr>
          <w:p w14:paraId="38DA062F" w14:textId="1DF08832" w:rsidR="005A0496" w:rsidRPr="00470BF0" w:rsidRDefault="00A20E0F" w:rsidP="005417FA">
            <w:pPr>
              <w:spacing w:before="60"/>
              <w:ind w:left="34"/>
              <w:rPr>
                <w:sz w:val="20"/>
              </w:rPr>
            </w:pPr>
            <w:r w:rsidRPr="00470BF0">
              <w:rPr>
                <w:sz w:val="20"/>
              </w:rPr>
              <w:t xml:space="preserve">LIA = </w:t>
            </w:r>
            <w:r w:rsidRPr="00470BF0">
              <w:rPr>
                <w:i/>
                <w:sz w:val="20"/>
              </w:rPr>
              <w:t>Legislative Instruments Act 2003</w:t>
            </w:r>
          </w:p>
        </w:tc>
        <w:tc>
          <w:tcPr>
            <w:tcW w:w="3686" w:type="dxa"/>
          </w:tcPr>
          <w:p w14:paraId="1F2BFC70" w14:textId="77777777" w:rsidR="005A0496" w:rsidRPr="00470BF0" w:rsidRDefault="005A0496" w:rsidP="005417FA">
            <w:pPr>
              <w:spacing w:before="60"/>
              <w:ind w:left="34"/>
              <w:rPr>
                <w:sz w:val="20"/>
              </w:rPr>
            </w:pPr>
            <w:r>
              <w:rPr>
                <w:sz w:val="20"/>
              </w:rPr>
              <w:t>sch</w:t>
            </w:r>
            <w:r w:rsidRPr="00470BF0">
              <w:rPr>
                <w:sz w:val="20"/>
              </w:rPr>
              <w:t xml:space="preserve"> = Schedule(s)</w:t>
            </w:r>
          </w:p>
        </w:tc>
      </w:tr>
      <w:tr w:rsidR="005A0496" w:rsidRPr="00470BF0" w14:paraId="4CB262E9" w14:textId="77777777" w:rsidTr="005417FA">
        <w:tc>
          <w:tcPr>
            <w:tcW w:w="4253" w:type="dxa"/>
          </w:tcPr>
          <w:p w14:paraId="4D781167" w14:textId="02DE3177" w:rsidR="005A0496" w:rsidRPr="00470BF0" w:rsidRDefault="00A20E0F" w:rsidP="005417FA">
            <w:pPr>
              <w:spacing w:before="60"/>
              <w:ind w:left="34"/>
              <w:rPr>
                <w:sz w:val="20"/>
              </w:rPr>
            </w:pPr>
            <w:r w:rsidRPr="0095736F">
              <w:rPr>
                <w:sz w:val="20"/>
              </w:rPr>
              <w:t>(md not incorp) = misdescribed amendment</w:t>
            </w:r>
          </w:p>
        </w:tc>
        <w:tc>
          <w:tcPr>
            <w:tcW w:w="3686" w:type="dxa"/>
          </w:tcPr>
          <w:p w14:paraId="12406D6B" w14:textId="77777777" w:rsidR="005A0496" w:rsidRPr="00470BF0" w:rsidRDefault="005A0496" w:rsidP="005417FA">
            <w:pPr>
              <w:spacing w:before="60"/>
              <w:ind w:left="34"/>
              <w:rPr>
                <w:sz w:val="20"/>
              </w:rPr>
            </w:pPr>
            <w:r w:rsidRPr="00470BF0">
              <w:rPr>
                <w:sz w:val="20"/>
              </w:rPr>
              <w:t>SLI = Select Legislative Instrument</w:t>
            </w:r>
          </w:p>
        </w:tc>
      </w:tr>
      <w:tr w:rsidR="005A0496" w:rsidRPr="00470BF0" w14:paraId="01A62331" w14:textId="77777777" w:rsidTr="005417FA">
        <w:tc>
          <w:tcPr>
            <w:tcW w:w="4253" w:type="dxa"/>
          </w:tcPr>
          <w:p w14:paraId="72895198" w14:textId="37F7D895" w:rsidR="005A0496" w:rsidRPr="00470BF0" w:rsidRDefault="00A20E0F" w:rsidP="00A20E0F">
            <w:pPr>
              <w:ind w:left="34" w:firstLine="249"/>
              <w:rPr>
                <w:sz w:val="20"/>
              </w:rPr>
            </w:pPr>
            <w:r w:rsidRPr="00470BF0">
              <w:rPr>
                <w:sz w:val="20"/>
              </w:rPr>
              <w:t>cannot be given effect</w:t>
            </w:r>
          </w:p>
        </w:tc>
        <w:tc>
          <w:tcPr>
            <w:tcW w:w="3686" w:type="dxa"/>
          </w:tcPr>
          <w:p w14:paraId="190C22F7" w14:textId="77777777" w:rsidR="005A0496" w:rsidRPr="00470BF0" w:rsidRDefault="005A0496" w:rsidP="005417FA">
            <w:pPr>
              <w:spacing w:before="60"/>
              <w:ind w:left="34"/>
              <w:rPr>
                <w:sz w:val="20"/>
              </w:rPr>
            </w:pPr>
            <w:r w:rsidRPr="00470BF0">
              <w:rPr>
                <w:sz w:val="20"/>
              </w:rPr>
              <w:t>SR = Statutory Rules</w:t>
            </w:r>
          </w:p>
        </w:tc>
      </w:tr>
      <w:tr w:rsidR="005A0496" w:rsidRPr="00470BF0" w14:paraId="5E1735C3" w14:textId="77777777" w:rsidTr="005417FA">
        <w:tc>
          <w:tcPr>
            <w:tcW w:w="4253" w:type="dxa"/>
          </w:tcPr>
          <w:p w14:paraId="5DA0D0E3" w14:textId="0592D61D" w:rsidR="005A0496" w:rsidRPr="00470BF0" w:rsidRDefault="009A2896" w:rsidP="009A2896">
            <w:pPr>
              <w:spacing w:before="60"/>
              <w:ind w:left="34"/>
              <w:rPr>
                <w:sz w:val="20"/>
              </w:rPr>
            </w:pPr>
            <w:r w:rsidRPr="00470BF0">
              <w:rPr>
                <w:sz w:val="20"/>
              </w:rPr>
              <w:t>mod = modified/modification</w:t>
            </w:r>
          </w:p>
        </w:tc>
        <w:tc>
          <w:tcPr>
            <w:tcW w:w="3686" w:type="dxa"/>
          </w:tcPr>
          <w:p w14:paraId="7D7A763E" w14:textId="77777777" w:rsidR="005A0496" w:rsidRPr="00470BF0" w:rsidRDefault="005A0496" w:rsidP="005417FA">
            <w:pPr>
              <w:spacing w:before="60"/>
              <w:ind w:left="34"/>
              <w:rPr>
                <w:sz w:val="20"/>
              </w:rPr>
            </w:pPr>
            <w:r>
              <w:rPr>
                <w:sz w:val="20"/>
              </w:rPr>
              <w:t>sub ch</w:t>
            </w:r>
            <w:r w:rsidRPr="00470BF0">
              <w:rPr>
                <w:sz w:val="20"/>
              </w:rPr>
              <w:t xml:space="preserve"> = Sub</w:t>
            </w:r>
            <w:r w:rsidRPr="00470BF0">
              <w:rPr>
                <w:sz w:val="20"/>
              </w:rPr>
              <w:noBreakHyphen/>
              <w:t>Chapter(s)</w:t>
            </w:r>
          </w:p>
        </w:tc>
      </w:tr>
      <w:tr w:rsidR="005A0496" w:rsidRPr="00470BF0" w14:paraId="39E54468" w14:textId="77777777" w:rsidTr="005417FA">
        <w:tc>
          <w:tcPr>
            <w:tcW w:w="4253" w:type="dxa"/>
          </w:tcPr>
          <w:p w14:paraId="3B7662D1" w14:textId="5CD37E1B" w:rsidR="005A0496" w:rsidRPr="00470BF0" w:rsidRDefault="009A2896" w:rsidP="005417FA">
            <w:pPr>
              <w:spacing w:before="60"/>
              <w:ind w:left="34"/>
              <w:rPr>
                <w:sz w:val="20"/>
              </w:rPr>
            </w:pPr>
            <w:r w:rsidRPr="00470BF0">
              <w:rPr>
                <w:sz w:val="20"/>
              </w:rPr>
              <w:t>No. = Number(s)</w:t>
            </w:r>
          </w:p>
        </w:tc>
        <w:tc>
          <w:tcPr>
            <w:tcW w:w="3686" w:type="dxa"/>
          </w:tcPr>
          <w:p w14:paraId="47B9B1C2" w14:textId="77777777" w:rsidR="005A0496" w:rsidRPr="00470BF0" w:rsidRDefault="005A0496" w:rsidP="005417FA">
            <w:pPr>
              <w:spacing w:before="60"/>
              <w:ind w:left="34"/>
              <w:rPr>
                <w:sz w:val="20"/>
              </w:rPr>
            </w:pPr>
            <w:r>
              <w:rPr>
                <w:sz w:val="20"/>
              </w:rPr>
              <w:t>sub div</w:t>
            </w:r>
            <w:r w:rsidRPr="00470BF0">
              <w:rPr>
                <w:sz w:val="20"/>
              </w:rPr>
              <w:t xml:space="preserve"> = Subdivision(s)</w:t>
            </w:r>
          </w:p>
        </w:tc>
      </w:tr>
      <w:tr w:rsidR="005A0496" w:rsidRPr="00470BF0" w14:paraId="7E500030" w14:textId="77777777" w:rsidTr="005417FA">
        <w:tc>
          <w:tcPr>
            <w:tcW w:w="4253" w:type="dxa"/>
          </w:tcPr>
          <w:p w14:paraId="2B7E16F5" w14:textId="68569706" w:rsidR="005A0496" w:rsidRPr="00470BF0" w:rsidRDefault="009A2896" w:rsidP="009A2896">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tcPr>
          <w:p w14:paraId="1F43924B" w14:textId="77777777" w:rsidR="005A0496" w:rsidRPr="00470BF0" w:rsidRDefault="005A0496" w:rsidP="005417FA">
            <w:pPr>
              <w:spacing w:before="60"/>
              <w:ind w:left="34"/>
              <w:rPr>
                <w:sz w:val="20"/>
              </w:rPr>
            </w:pPr>
            <w:r>
              <w:rPr>
                <w:sz w:val="20"/>
              </w:rPr>
              <w:t>sub pt</w:t>
            </w:r>
            <w:r w:rsidRPr="00470BF0">
              <w:rPr>
                <w:sz w:val="20"/>
              </w:rPr>
              <w:t xml:space="preserve"> = Subpart(s)</w:t>
            </w:r>
          </w:p>
        </w:tc>
      </w:tr>
      <w:tr w:rsidR="005A0496" w:rsidRPr="00470BF0" w14:paraId="0CDE67E4" w14:textId="77777777" w:rsidTr="005417FA">
        <w:tc>
          <w:tcPr>
            <w:tcW w:w="4253" w:type="dxa"/>
          </w:tcPr>
          <w:p w14:paraId="5E243370" w14:textId="31AAEEAB" w:rsidR="005A0496" w:rsidRPr="00470BF0" w:rsidRDefault="005A0496" w:rsidP="005417FA">
            <w:pPr>
              <w:spacing w:before="60"/>
              <w:ind w:left="34"/>
              <w:rPr>
                <w:sz w:val="20"/>
              </w:rPr>
            </w:pPr>
          </w:p>
        </w:tc>
        <w:tc>
          <w:tcPr>
            <w:tcW w:w="3686" w:type="dxa"/>
          </w:tcPr>
          <w:p w14:paraId="2DD62F39" w14:textId="77777777" w:rsidR="005A0496" w:rsidRPr="00470BF0" w:rsidRDefault="005A0496" w:rsidP="005417FA">
            <w:pPr>
              <w:spacing w:before="60"/>
              <w:ind w:left="34"/>
              <w:rPr>
                <w:sz w:val="20"/>
              </w:rPr>
            </w:pPr>
            <w:r w:rsidRPr="001F2C1F">
              <w:rPr>
                <w:sz w:val="20"/>
                <w:u w:val="single"/>
              </w:rPr>
              <w:t>underlining</w:t>
            </w:r>
            <w:r w:rsidRPr="00470BF0">
              <w:rPr>
                <w:sz w:val="20"/>
              </w:rPr>
              <w:t xml:space="preserve"> = whole or part not</w:t>
            </w:r>
          </w:p>
        </w:tc>
      </w:tr>
      <w:tr w:rsidR="005A0496" w:rsidRPr="00470BF0" w14:paraId="4B0176F5" w14:textId="77777777" w:rsidTr="005417FA">
        <w:tc>
          <w:tcPr>
            <w:tcW w:w="4253" w:type="dxa"/>
          </w:tcPr>
          <w:p w14:paraId="4B44428F" w14:textId="4511F43C" w:rsidR="005A0496" w:rsidRPr="0095736F" w:rsidRDefault="005A0496" w:rsidP="005417FA">
            <w:pPr>
              <w:spacing w:before="60"/>
              <w:ind w:left="34"/>
              <w:rPr>
                <w:sz w:val="20"/>
              </w:rPr>
            </w:pPr>
          </w:p>
        </w:tc>
        <w:tc>
          <w:tcPr>
            <w:tcW w:w="3686" w:type="dxa"/>
          </w:tcPr>
          <w:p w14:paraId="14BA52A6" w14:textId="77777777" w:rsidR="005A0496" w:rsidRPr="00470BF0" w:rsidRDefault="005A0496" w:rsidP="005417FA">
            <w:pPr>
              <w:ind w:left="34" w:firstLine="249"/>
              <w:rPr>
                <w:sz w:val="20"/>
              </w:rPr>
            </w:pPr>
            <w:r w:rsidRPr="00470BF0">
              <w:rPr>
                <w:sz w:val="20"/>
              </w:rPr>
              <w:t>commenced or to be commenced</w:t>
            </w:r>
          </w:p>
        </w:tc>
      </w:tr>
    </w:tbl>
    <w:p w14:paraId="794802F5" w14:textId="6EC3EFD0" w:rsidR="005A0496" w:rsidRPr="00CB13B0" w:rsidRDefault="005A0496" w:rsidP="005A0496">
      <w:pPr>
        <w:pStyle w:val="Tabletext"/>
      </w:pPr>
    </w:p>
    <w:p w14:paraId="2E161931" w14:textId="77777777" w:rsidR="00331886" w:rsidRDefault="00331886" w:rsidP="00B52C6B">
      <w:pPr>
        <w:pStyle w:val="ENotesHeading2"/>
        <w:pageBreakBefore/>
      </w:pPr>
      <w:bookmarkStart w:id="18" w:name="_Toc215742765"/>
      <w:bookmarkEnd w:id="17"/>
      <w:r>
        <w:lastRenderedPageBreak/>
        <w:t>Endnote 3—Legislation history</w:t>
      </w:r>
      <w:bookmarkEnd w:id="18"/>
    </w:p>
    <w:p w14:paraId="20D13EC6"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648159A8" w14:textId="77777777" w:rsidTr="00C37EC7">
        <w:trPr>
          <w:cantSplit/>
          <w:tblHeader/>
        </w:trPr>
        <w:tc>
          <w:tcPr>
            <w:tcW w:w="2405" w:type="dxa"/>
            <w:tcBorders>
              <w:top w:val="single" w:sz="12" w:space="0" w:color="auto"/>
              <w:bottom w:val="single" w:sz="12" w:space="0" w:color="auto"/>
            </w:tcBorders>
          </w:tcPr>
          <w:p w14:paraId="166200D5" w14:textId="77777777" w:rsidR="00331886" w:rsidRPr="00E117A3" w:rsidRDefault="00331886" w:rsidP="00C37EC7">
            <w:pPr>
              <w:pStyle w:val="ENoteTableHeading"/>
            </w:pPr>
            <w:r>
              <w:t>Name</w:t>
            </w:r>
          </w:p>
        </w:tc>
        <w:tc>
          <w:tcPr>
            <w:tcW w:w="1985" w:type="dxa"/>
            <w:tcBorders>
              <w:top w:val="single" w:sz="12" w:space="0" w:color="auto"/>
              <w:bottom w:val="single" w:sz="12" w:space="0" w:color="auto"/>
            </w:tcBorders>
          </w:tcPr>
          <w:p w14:paraId="48C6A91F" w14:textId="77777777" w:rsidR="00331886" w:rsidRPr="00E117A3" w:rsidRDefault="00331886" w:rsidP="00C37EC7">
            <w:pPr>
              <w:pStyle w:val="ENoteTableHeading"/>
            </w:pPr>
            <w:r>
              <w:t>Registration</w:t>
            </w:r>
          </w:p>
        </w:tc>
        <w:tc>
          <w:tcPr>
            <w:tcW w:w="1984" w:type="dxa"/>
            <w:tcBorders>
              <w:top w:val="single" w:sz="12" w:space="0" w:color="auto"/>
              <w:bottom w:val="single" w:sz="12" w:space="0" w:color="auto"/>
            </w:tcBorders>
          </w:tcPr>
          <w:p w14:paraId="0852D784" w14:textId="77777777" w:rsidR="00331886" w:rsidRPr="00E117A3" w:rsidRDefault="00331886" w:rsidP="00C37EC7">
            <w:pPr>
              <w:pStyle w:val="ENoteTableHeading"/>
            </w:pPr>
            <w:r>
              <w:t>Commencement</w:t>
            </w:r>
          </w:p>
        </w:tc>
        <w:tc>
          <w:tcPr>
            <w:tcW w:w="1985" w:type="dxa"/>
            <w:tcBorders>
              <w:top w:val="single" w:sz="12" w:space="0" w:color="auto"/>
              <w:bottom w:val="single" w:sz="12" w:space="0" w:color="auto"/>
            </w:tcBorders>
          </w:tcPr>
          <w:p w14:paraId="6D22A0D7" w14:textId="77777777" w:rsidR="00331886" w:rsidRPr="00E117A3" w:rsidRDefault="00331886" w:rsidP="00C37EC7">
            <w:pPr>
              <w:pStyle w:val="ENoteTableHeading"/>
            </w:pPr>
            <w:r w:rsidRPr="00E117A3">
              <w:t>Application, saving and transitional provisions</w:t>
            </w:r>
          </w:p>
        </w:tc>
      </w:tr>
      <w:tr w:rsidR="0032009B" w:rsidRPr="00E117A3" w14:paraId="187B25B3" w14:textId="77777777" w:rsidTr="00C37EC7">
        <w:trPr>
          <w:cantSplit/>
        </w:trPr>
        <w:tc>
          <w:tcPr>
            <w:tcW w:w="2405" w:type="dxa"/>
            <w:tcBorders>
              <w:top w:val="single" w:sz="12" w:space="0" w:color="auto"/>
              <w:bottom w:val="single" w:sz="4" w:space="0" w:color="auto"/>
            </w:tcBorders>
          </w:tcPr>
          <w:p w14:paraId="51595E1E" w14:textId="2F41B835" w:rsidR="0032009B" w:rsidRPr="00E117A3" w:rsidRDefault="0032009B" w:rsidP="0032009B">
            <w:pPr>
              <w:pStyle w:val="ENoteTableText"/>
            </w:pPr>
            <w:r>
              <w:rPr>
                <w:bCs/>
                <w:i/>
                <w:lang w:eastAsia="en-US"/>
              </w:rPr>
              <w:t>Therapeutic Goods (Biologicals—Authorised Supply) Rules 2022</w:t>
            </w:r>
          </w:p>
        </w:tc>
        <w:tc>
          <w:tcPr>
            <w:tcW w:w="1985" w:type="dxa"/>
            <w:tcBorders>
              <w:top w:val="single" w:sz="12" w:space="0" w:color="auto"/>
              <w:bottom w:val="single" w:sz="4" w:space="0" w:color="auto"/>
            </w:tcBorders>
          </w:tcPr>
          <w:p w14:paraId="074486EC" w14:textId="77777777" w:rsidR="0032009B" w:rsidRDefault="0032009B" w:rsidP="0032009B">
            <w:pPr>
              <w:pStyle w:val="ENoteTableText"/>
              <w:rPr>
                <w:lang w:eastAsia="en-US"/>
              </w:rPr>
            </w:pPr>
            <w:r>
              <w:rPr>
                <w:lang w:eastAsia="en-US"/>
              </w:rPr>
              <w:t>16 Dec 2022</w:t>
            </w:r>
          </w:p>
          <w:p w14:paraId="6C7C87CD" w14:textId="6AF8D204" w:rsidR="0032009B" w:rsidRPr="00E117A3" w:rsidRDefault="0032009B" w:rsidP="0032009B">
            <w:pPr>
              <w:pStyle w:val="ENoteTableText"/>
            </w:pPr>
            <w:r>
              <w:rPr>
                <w:lang w:eastAsia="en-US"/>
              </w:rPr>
              <w:t>(F2022L01673)</w:t>
            </w:r>
          </w:p>
        </w:tc>
        <w:tc>
          <w:tcPr>
            <w:tcW w:w="1984" w:type="dxa"/>
            <w:tcBorders>
              <w:top w:val="single" w:sz="12" w:space="0" w:color="auto"/>
              <w:bottom w:val="single" w:sz="4" w:space="0" w:color="auto"/>
            </w:tcBorders>
          </w:tcPr>
          <w:p w14:paraId="0072BAB0" w14:textId="669DCBD4" w:rsidR="0032009B" w:rsidRPr="00E117A3" w:rsidRDefault="0032009B" w:rsidP="0032009B">
            <w:pPr>
              <w:pStyle w:val="ENoteTableText"/>
            </w:pPr>
            <w:r>
              <w:rPr>
                <w:lang w:eastAsia="en-US"/>
              </w:rPr>
              <w:t>17 Dec 2022</w:t>
            </w:r>
          </w:p>
        </w:tc>
        <w:tc>
          <w:tcPr>
            <w:tcW w:w="1985" w:type="dxa"/>
            <w:tcBorders>
              <w:top w:val="single" w:sz="12" w:space="0" w:color="auto"/>
              <w:bottom w:val="single" w:sz="4" w:space="0" w:color="auto"/>
            </w:tcBorders>
          </w:tcPr>
          <w:p w14:paraId="4C70A51D" w14:textId="77777777" w:rsidR="0032009B" w:rsidRPr="00E117A3" w:rsidRDefault="0032009B" w:rsidP="0032009B">
            <w:pPr>
              <w:pStyle w:val="ENoteTableText"/>
            </w:pPr>
          </w:p>
        </w:tc>
      </w:tr>
      <w:tr w:rsidR="00F53895" w14:paraId="1B190683" w14:textId="77777777" w:rsidTr="00F53895">
        <w:trPr>
          <w:cantSplit/>
        </w:trPr>
        <w:tc>
          <w:tcPr>
            <w:tcW w:w="2405" w:type="dxa"/>
          </w:tcPr>
          <w:p w14:paraId="47621300" w14:textId="0A28D1F0" w:rsidR="00F53895" w:rsidRPr="00E117A3" w:rsidRDefault="00F53895" w:rsidP="00F53895">
            <w:pPr>
              <w:pStyle w:val="ENoteTableText"/>
            </w:pPr>
            <w:r>
              <w:rPr>
                <w:i/>
                <w:lang w:eastAsia="en-US"/>
              </w:rPr>
              <w:t>Therapeutic Goods (Medicines—Authorised Supply) Amendment (Vaping) Rules 2023</w:t>
            </w:r>
          </w:p>
        </w:tc>
        <w:tc>
          <w:tcPr>
            <w:tcW w:w="1985" w:type="dxa"/>
          </w:tcPr>
          <w:p w14:paraId="5B0A8754" w14:textId="77777777" w:rsidR="00F53895" w:rsidRDefault="00F53895" w:rsidP="00F53895">
            <w:pPr>
              <w:pStyle w:val="ENoteTableText"/>
              <w:rPr>
                <w:lang w:eastAsia="en-US"/>
              </w:rPr>
            </w:pPr>
            <w:r>
              <w:rPr>
                <w:lang w:eastAsia="en-US"/>
              </w:rPr>
              <w:t>15 Dec 2023</w:t>
            </w:r>
          </w:p>
          <w:p w14:paraId="187FD213" w14:textId="3DF682A0" w:rsidR="00F53895" w:rsidRPr="00E117A3" w:rsidRDefault="00F53895" w:rsidP="00F53895">
            <w:pPr>
              <w:pStyle w:val="ENoteTableText"/>
            </w:pPr>
            <w:r>
              <w:rPr>
                <w:lang w:eastAsia="en-US"/>
              </w:rPr>
              <w:t>(F2023L01683)</w:t>
            </w:r>
          </w:p>
        </w:tc>
        <w:tc>
          <w:tcPr>
            <w:tcW w:w="1984" w:type="dxa"/>
          </w:tcPr>
          <w:p w14:paraId="7AAAEC07" w14:textId="34FDF730" w:rsidR="00F53895" w:rsidRPr="00E117A3" w:rsidRDefault="00F53895" w:rsidP="00F53895">
            <w:pPr>
              <w:pStyle w:val="ENoteTableText"/>
            </w:pPr>
            <w:r>
              <w:rPr>
                <w:lang w:eastAsia="en-US"/>
              </w:rPr>
              <w:t>1 Jan 2024</w:t>
            </w:r>
          </w:p>
        </w:tc>
        <w:tc>
          <w:tcPr>
            <w:tcW w:w="1985" w:type="dxa"/>
          </w:tcPr>
          <w:p w14:paraId="0A2DD38A" w14:textId="77777777" w:rsidR="00F53895" w:rsidRPr="00E117A3" w:rsidRDefault="00F53895" w:rsidP="00F53895">
            <w:pPr>
              <w:pStyle w:val="ENoteTableText"/>
            </w:pPr>
          </w:p>
        </w:tc>
      </w:tr>
      <w:tr w:rsidR="00F53895" w14:paraId="6C4ADC2B" w14:textId="77777777" w:rsidTr="00F53895">
        <w:trPr>
          <w:cantSplit/>
        </w:trPr>
        <w:tc>
          <w:tcPr>
            <w:tcW w:w="2405" w:type="dxa"/>
          </w:tcPr>
          <w:p w14:paraId="30644A20" w14:textId="0E00B5B9" w:rsidR="00F53895" w:rsidRPr="00E117A3" w:rsidRDefault="00F53895" w:rsidP="00F53895">
            <w:pPr>
              <w:pStyle w:val="ENoteTableText"/>
            </w:pPr>
            <w:r>
              <w:rPr>
                <w:i/>
                <w:lang w:eastAsia="en-US"/>
              </w:rPr>
              <w:t>Therapeutic Goods (Authorised Supply) Amendment (SAS Guidance) Rules 2024</w:t>
            </w:r>
          </w:p>
        </w:tc>
        <w:tc>
          <w:tcPr>
            <w:tcW w:w="1985" w:type="dxa"/>
          </w:tcPr>
          <w:p w14:paraId="4C48200C" w14:textId="77777777" w:rsidR="00F53895" w:rsidRDefault="00F53895" w:rsidP="00F53895">
            <w:pPr>
              <w:pStyle w:val="ENoteTableText"/>
              <w:rPr>
                <w:lang w:eastAsia="en-US"/>
              </w:rPr>
            </w:pPr>
            <w:r>
              <w:rPr>
                <w:lang w:eastAsia="en-US"/>
              </w:rPr>
              <w:t>6 Jun 2024</w:t>
            </w:r>
          </w:p>
          <w:p w14:paraId="127C88AA" w14:textId="06023BCA" w:rsidR="00F53895" w:rsidRPr="00E117A3" w:rsidRDefault="00F53895" w:rsidP="00F53895">
            <w:pPr>
              <w:pStyle w:val="ENoteTableText"/>
            </w:pPr>
            <w:r>
              <w:rPr>
                <w:lang w:eastAsia="en-US"/>
              </w:rPr>
              <w:t>(F2024L00639)</w:t>
            </w:r>
          </w:p>
        </w:tc>
        <w:tc>
          <w:tcPr>
            <w:tcW w:w="1984" w:type="dxa"/>
          </w:tcPr>
          <w:p w14:paraId="4E93AFD5" w14:textId="1EBC562E" w:rsidR="00F53895" w:rsidRPr="00E117A3" w:rsidRDefault="00F53895" w:rsidP="00F53895">
            <w:pPr>
              <w:pStyle w:val="ENoteTableText"/>
            </w:pPr>
            <w:r>
              <w:rPr>
                <w:lang w:eastAsia="en-US"/>
              </w:rPr>
              <w:t xml:space="preserve">5 Jun 2024 </w:t>
            </w:r>
          </w:p>
        </w:tc>
        <w:tc>
          <w:tcPr>
            <w:tcW w:w="1985" w:type="dxa"/>
          </w:tcPr>
          <w:p w14:paraId="12CD6290" w14:textId="77777777" w:rsidR="00F53895" w:rsidRPr="00E117A3" w:rsidRDefault="00F53895" w:rsidP="00F53895">
            <w:pPr>
              <w:pStyle w:val="ENoteTableText"/>
            </w:pPr>
          </w:p>
        </w:tc>
      </w:tr>
      <w:tr w:rsidR="00492F2C" w14:paraId="3A8A79FE" w14:textId="77777777" w:rsidTr="00492F2C">
        <w:trPr>
          <w:cantSplit/>
        </w:trPr>
        <w:tc>
          <w:tcPr>
            <w:tcW w:w="2405" w:type="dxa"/>
          </w:tcPr>
          <w:p w14:paraId="3CC69956" w14:textId="00731A28" w:rsidR="00492F2C" w:rsidRDefault="00492F2C" w:rsidP="00492F2C">
            <w:pPr>
              <w:pStyle w:val="ENoteTableText"/>
              <w:rPr>
                <w:i/>
                <w:lang w:eastAsia="en-US"/>
              </w:rPr>
            </w:pPr>
            <w:r>
              <w:rPr>
                <w:i/>
                <w:lang w:eastAsia="en-US"/>
              </w:rPr>
              <w:t>Therapeutic Goods (Authorised Supply) Amendment (SAS Guidance) Rules (No. 2) 2024</w:t>
            </w:r>
          </w:p>
        </w:tc>
        <w:tc>
          <w:tcPr>
            <w:tcW w:w="1985" w:type="dxa"/>
          </w:tcPr>
          <w:p w14:paraId="5ABF2F9F" w14:textId="77777777" w:rsidR="00492F2C" w:rsidRDefault="00492F2C" w:rsidP="00492F2C">
            <w:pPr>
              <w:pStyle w:val="ENoteTableText"/>
              <w:rPr>
                <w:lang w:eastAsia="en-US"/>
              </w:rPr>
            </w:pPr>
            <w:r>
              <w:rPr>
                <w:lang w:eastAsia="en-US"/>
              </w:rPr>
              <w:t>16 Oct 2024</w:t>
            </w:r>
          </w:p>
          <w:p w14:paraId="29F55C6C" w14:textId="7392BE5A" w:rsidR="00492F2C" w:rsidRDefault="00492F2C" w:rsidP="00492F2C">
            <w:pPr>
              <w:pStyle w:val="ENoteTableText"/>
              <w:rPr>
                <w:lang w:eastAsia="en-US"/>
              </w:rPr>
            </w:pPr>
            <w:r>
              <w:rPr>
                <w:lang w:eastAsia="en-US"/>
              </w:rPr>
              <w:t>(F2024L01321)</w:t>
            </w:r>
          </w:p>
        </w:tc>
        <w:tc>
          <w:tcPr>
            <w:tcW w:w="1984" w:type="dxa"/>
          </w:tcPr>
          <w:p w14:paraId="44E76F74" w14:textId="5F9D74F6" w:rsidR="00492F2C" w:rsidRDefault="00492F2C" w:rsidP="00492F2C">
            <w:pPr>
              <w:pStyle w:val="ENoteTableText"/>
              <w:rPr>
                <w:lang w:eastAsia="en-US"/>
              </w:rPr>
            </w:pPr>
            <w:r>
              <w:rPr>
                <w:lang w:eastAsia="en-US"/>
              </w:rPr>
              <w:t>17 Oct 2024</w:t>
            </w:r>
          </w:p>
        </w:tc>
        <w:tc>
          <w:tcPr>
            <w:tcW w:w="1985" w:type="dxa"/>
          </w:tcPr>
          <w:p w14:paraId="7DAB9545" w14:textId="77777777" w:rsidR="00492F2C" w:rsidRPr="00E117A3" w:rsidRDefault="00492F2C" w:rsidP="00492F2C">
            <w:pPr>
              <w:pStyle w:val="ENoteTableText"/>
            </w:pPr>
          </w:p>
        </w:tc>
      </w:tr>
      <w:tr w:rsidR="002D11D8" w14:paraId="71837AAF" w14:textId="77777777" w:rsidTr="00C37EC7">
        <w:trPr>
          <w:cantSplit/>
        </w:trPr>
        <w:tc>
          <w:tcPr>
            <w:tcW w:w="2405" w:type="dxa"/>
            <w:tcBorders>
              <w:bottom w:val="single" w:sz="12" w:space="0" w:color="auto"/>
            </w:tcBorders>
          </w:tcPr>
          <w:p w14:paraId="02E1FE2F" w14:textId="2A161557" w:rsidR="002D11D8" w:rsidRDefault="002D11D8" w:rsidP="002D11D8">
            <w:pPr>
              <w:pStyle w:val="ENoteTableText"/>
              <w:rPr>
                <w:i/>
                <w:lang w:eastAsia="en-US"/>
              </w:rPr>
            </w:pPr>
            <w:r>
              <w:rPr>
                <w:i/>
                <w:lang w:eastAsia="en-US"/>
              </w:rPr>
              <w:t>Therapeutic Goods (Authorised Supply) Amendment Rules 2025</w:t>
            </w:r>
          </w:p>
        </w:tc>
        <w:tc>
          <w:tcPr>
            <w:tcW w:w="1985" w:type="dxa"/>
            <w:tcBorders>
              <w:bottom w:val="single" w:sz="12" w:space="0" w:color="auto"/>
            </w:tcBorders>
          </w:tcPr>
          <w:p w14:paraId="2C3D7A7B" w14:textId="77777777" w:rsidR="002D11D8" w:rsidRDefault="002D11D8" w:rsidP="002D11D8">
            <w:pPr>
              <w:pStyle w:val="ENoteTableText"/>
              <w:rPr>
                <w:lang w:eastAsia="en-US"/>
              </w:rPr>
            </w:pPr>
            <w:r>
              <w:rPr>
                <w:lang w:eastAsia="en-US"/>
              </w:rPr>
              <w:t>20 Aug 2025</w:t>
            </w:r>
          </w:p>
          <w:p w14:paraId="32E0EFDF" w14:textId="4D908C49" w:rsidR="002D11D8" w:rsidRDefault="002D11D8" w:rsidP="002D11D8">
            <w:pPr>
              <w:pStyle w:val="ENoteTableText"/>
              <w:rPr>
                <w:lang w:eastAsia="en-US"/>
              </w:rPr>
            </w:pPr>
            <w:r>
              <w:rPr>
                <w:lang w:eastAsia="en-US"/>
              </w:rPr>
              <w:t>(F2025L00947)</w:t>
            </w:r>
          </w:p>
        </w:tc>
        <w:tc>
          <w:tcPr>
            <w:tcW w:w="1984" w:type="dxa"/>
            <w:tcBorders>
              <w:bottom w:val="single" w:sz="12" w:space="0" w:color="auto"/>
            </w:tcBorders>
          </w:tcPr>
          <w:p w14:paraId="3D62B0ED" w14:textId="77777777" w:rsidR="002D11D8" w:rsidRDefault="002D11D8" w:rsidP="002D11D8">
            <w:pPr>
              <w:pStyle w:val="ENoteTableText"/>
              <w:rPr>
                <w:lang w:eastAsia="en-US"/>
              </w:rPr>
            </w:pPr>
            <w:r>
              <w:rPr>
                <w:lang w:eastAsia="en-US"/>
              </w:rPr>
              <w:t>Sch 1, Part 1: 21 Aug 2025 (s 2(1) item 2)</w:t>
            </w:r>
          </w:p>
          <w:p w14:paraId="7A5F0A96" w14:textId="42ADE4E3" w:rsidR="002D11D8" w:rsidRDefault="002D11D8" w:rsidP="002D11D8">
            <w:pPr>
              <w:pStyle w:val="ENoteTableText"/>
              <w:rPr>
                <w:lang w:eastAsia="en-US"/>
              </w:rPr>
            </w:pPr>
            <w:r>
              <w:rPr>
                <w:lang w:eastAsia="en-US"/>
              </w:rPr>
              <w:t xml:space="preserve">Sch 1, Part 2: </w:t>
            </w:r>
            <w:r w:rsidRPr="002D11D8">
              <w:rPr>
                <w:lang w:eastAsia="en-US"/>
              </w:rPr>
              <w:t>7 Nov 2025 (s 2(1) item 3)</w:t>
            </w:r>
          </w:p>
        </w:tc>
        <w:tc>
          <w:tcPr>
            <w:tcW w:w="1985" w:type="dxa"/>
            <w:tcBorders>
              <w:bottom w:val="single" w:sz="12" w:space="0" w:color="auto"/>
            </w:tcBorders>
          </w:tcPr>
          <w:p w14:paraId="2B2625C3" w14:textId="77777777" w:rsidR="002D11D8" w:rsidRPr="00E117A3" w:rsidRDefault="002D11D8" w:rsidP="002D11D8">
            <w:pPr>
              <w:pStyle w:val="ENoteTableText"/>
            </w:pPr>
          </w:p>
        </w:tc>
      </w:tr>
    </w:tbl>
    <w:p w14:paraId="2A1B9DF7" w14:textId="77777777" w:rsidR="00331886" w:rsidRDefault="00331886" w:rsidP="00331886">
      <w:pPr>
        <w:pStyle w:val="Tabletext"/>
      </w:pPr>
    </w:p>
    <w:p w14:paraId="0087E66D" w14:textId="77777777" w:rsidR="00331886" w:rsidRDefault="00331886" w:rsidP="00B52C6B">
      <w:pPr>
        <w:pStyle w:val="ENotesHeading2"/>
        <w:pageBreakBefore/>
      </w:pPr>
      <w:bookmarkStart w:id="19" w:name="_Toc215742766"/>
      <w:r>
        <w:lastRenderedPageBreak/>
        <w:t>Endnote 4—Amendment history</w:t>
      </w:r>
      <w:bookmarkEnd w:id="19"/>
    </w:p>
    <w:p w14:paraId="789F80F7"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551"/>
        <w:gridCol w:w="5808"/>
      </w:tblGrid>
      <w:tr w:rsidR="00331886" w:rsidRPr="0098546F" w14:paraId="7CC8271B" w14:textId="77777777" w:rsidTr="00EB1DBF">
        <w:trPr>
          <w:cantSplit/>
          <w:tblHeader/>
        </w:trPr>
        <w:tc>
          <w:tcPr>
            <w:tcW w:w="2551" w:type="dxa"/>
            <w:tcBorders>
              <w:top w:val="single" w:sz="12" w:space="0" w:color="auto"/>
              <w:bottom w:val="single" w:sz="12" w:space="0" w:color="auto"/>
            </w:tcBorders>
          </w:tcPr>
          <w:p w14:paraId="1A238BBB" w14:textId="77777777" w:rsidR="00331886" w:rsidRPr="00E117A3" w:rsidRDefault="00331886" w:rsidP="00C37EC7">
            <w:pPr>
              <w:pStyle w:val="ENoteTableHeading"/>
            </w:pPr>
            <w:r w:rsidRPr="00E117A3">
              <w:t>Provision affected</w:t>
            </w:r>
          </w:p>
        </w:tc>
        <w:tc>
          <w:tcPr>
            <w:tcW w:w="5808" w:type="dxa"/>
            <w:tcBorders>
              <w:top w:val="single" w:sz="12" w:space="0" w:color="auto"/>
              <w:bottom w:val="single" w:sz="12" w:space="0" w:color="auto"/>
            </w:tcBorders>
          </w:tcPr>
          <w:p w14:paraId="60B437A9" w14:textId="77777777" w:rsidR="00331886" w:rsidRPr="00E117A3" w:rsidRDefault="00331886" w:rsidP="00C37EC7">
            <w:pPr>
              <w:pStyle w:val="ENoteTableHeading"/>
            </w:pPr>
            <w:r w:rsidRPr="00E117A3">
              <w:t>How affected</w:t>
            </w:r>
          </w:p>
        </w:tc>
      </w:tr>
      <w:tr w:rsidR="00A65954" w:rsidRPr="00143B0F" w14:paraId="6D831199" w14:textId="77777777" w:rsidTr="00EB1DBF">
        <w:trPr>
          <w:cantSplit/>
        </w:trPr>
        <w:tc>
          <w:tcPr>
            <w:tcW w:w="2551" w:type="dxa"/>
            <w:tcBorders>
              <w:top w:val="single" w:sz="12" w:space="0" w:color="auto"/>
            </w:tcBorders>
          </w:tcPr>
          <w:p w14:paraId="25913969" w14:textId="46A370BA" w:rsidR="00A65954" w:rsidRPr="00143B0F" w:rsidRDefault="00A65954" w:rsidP="00A65954">
            <w:pPr>
              <w:pStyle w:val="ENoteTableText"/>
              <w:rPr>
                <w:szCs w:val="16"/>
              </w:rPr>
            </w:pPr>
            <w:r>
              <w:rPr>
                <w:szCs w:val="16"/>
                <w:lang w:eastAsia="en-US"/>
              </w:rPr>
              <w:t>s 2……………………………….</w:t>
            </w:r>
          </w:p>
        </w:tc>
        <w:tc>
          <w:tcPr>
            <w:tcW w:w="5808" w:type="dxa"/>
            <w:tcBorders>
              <w:top w:val="single" w:sz="12" w:space="0" w:color="auto"/>
            </w:tcBorders>
          </w:tcPr>
          <w:p w14:paraId="4F543BB3" w14:textId="072867C4" w:rsidR="00A65954" w:rsidRPr="00A65954" w:rsidRDefault="00A65954" w:rsidP="00A65954">
            <w:pPr>
              <w:pStyle w:val="ENoteTableText"/>
              <w:rPr>
                <w:rFonts w:eastAsiaTheme="minorHAnsi" w:cstheme="minorBidi"/>
                <w:color w:val="000000" w:themeColor="text1"/>
                <w:szCs w:val="16"/>
                <w:lang w:eastAsia="en-US"/>
              </w:rPr>
            </w:pPr>
            <w:r w:rsidRPr="00A65954">
              <w:rPr>
                <w:color w:val="000000" w:themeColor="text1"/>
                <w:lang w:eastAsia="en-US"/>
              </w:rPr>
              <w:t>rep LA s 48D</w:t>
            </w:r>
          </w:p>
        </w:tc>
      </w:tr>
      <w:tr w:rsidR="00A65954" w14:paraId="03A82B08" w14:textId="77777777" w:rsidTr="00EB1DBF">
        <w:trPr>
          <w:cantSplit/>
        </w:trPr>
        <w:tc>
          <w:tcPr>
            <w:tcW w:w="2551" w:type="dxa"/>
          </w:tcPr>
          <w:p w14:paraId="58471709" w14:textId="342175AA" w:rsidR="00A65954" w:rsidRPr="00143B0F" w:rsidRDefault="00A65954" w:rsidP="00A65954">
            <w:pPr>
              <w:pStyle w:val="ENoteTableText"/>
            </w:pPr>
            <w:r>
              <w:rPr>
                <w:lang w:eastAsia="en-US"/>
              </w:rPr>
              <w:t>s 4</w:t>
            </w:r>
            <w:r>
              <w:rPr>
                <w:szCs w:val="16"/>
                <w:lang w:eastAsia="en-US"/>
              </w:rPr>
              <w:t>……………………………….</w:t>
            </w:r>
          </w:p>
        </w:tc>
        <w:tc>
          <w:tcPr>
            <w:tcW w:w="5808" w:type="dxa"/>
          </w:tcPr>
          <w:p w14:paraId="3A4BA93C" w14:textId="02ABBBBA" w:rsidR="00A65954" w:rsidRPr="00E117A3" w:rsidRDefault="00A65954" w:rsidP="00A65954">
            <w:pPr>
              <w:pStyle w:val="ENoteTableText"/>
            </w:pPr>
            <w:r>
              <w:rPr>
                <w:lang w:eastAsia="en-US"/>
              </w:rPr>
              <w:t>am F2023L01683; F2024L00639; F2024L01321;</w:t>
            </w:r>
            <w:r w:rsidRPr="00AB7302">
              <w:rPr>
                <w:lang w:eastAsia="en-US"/>
              </w:rPr>
              <w:t xml:space="preserve"> </w:t>
            </w:r>
            <w:r w:rsidRPr="009E24B5">
              <w:rPr>
                <w:lang w:eastAsia="en-US"/>
              </w:rPr>
              <w:t>F2025L00947</w:t>
            </w:r>
          </w:p>
        </w:tc>
      </w:tr>
      <w:tr w:rsidR="00A65954" w14:paraId="1DBEA2E1" w14:textId="77777777" w:rsidTr="00EB1DBF">
        <w:trPr>
          <w:cantSplit/>
        </w:trPr>
        <w:tc>
          <w:tcPr>
            <w:tcW w:w="2551" w:type="dxa"/>
          </w:tcPr>
          <w:p w14:paraId="50EBB413" w14:textId="114D6E31" w:rsidR="00A65954" w:rsidRPr="00143B0F" w:rsidRDefault="00A65954" w:rsidP="00A65954">
            <w:pPr>
              <w:pStyle w:val="ENoteTableText"/>
            </w:pPr>
            <w:r>
              <w:rPr>
                <w:lang w:eastAsia="en-US"/>
              </w:rPr>
              <w:t>s 5</w:t>
            </w:r>
            <w:r>
              <w:rPr>
                <w:szCs w:val="16"/>
                <w:lang w:eastAsia="en-US"/>
              </w:rPr>
              <w:t>……………………………….</w:t>
            </w:r>
          </w:p>
        </w:tc>
        <w:tc>
          <w:tcPr>
            <w:tcW w:w="5808" w:type="dxa"/>
          </w:tcPr>
          <w:p w14:paraId="7D681A1C" w14:textId="62891A4E" w:rsidR="00A65954" w:rsidRPr="00AB7302" w:rsidRDefault="00A65954" w:rsidP="00A65954">
            <w:pPr>
              <w:pStyle w:val="ENoteTableText"/>
            </w:pPr>
            <w:r w:rsidRPr="00AB7302">
              <w:rPr>
                <w:lang w:eastAsia="en-US"/>
              </w:rPr>
              <w:t xml:space="preserve">am </w:t>
            </w:r>
            <w:r w:rsidRPr="009E24B5">
              <w:rPr>
                <w:lang w:eastAsia="en-US"/>
              </w:rPr>
              <w:t>F2025L00947</w:t>
            </w:r>
          </w:p>
        </w:tc>
      </w:tr>
      <w:tr w:rsidR="00A65954" w14:paraId="568F9CB7" w14:textId="77777777" w:rsidTr="00EB1DBF">
        <w:trPr>
          <w:cantSplit/>
        </w:trPr>
        <w:tc>
          <w:tcPr>
            <w:tcW w:w="2551" w:type="dxa"/>
          </w:tcPr>
          <w:p w14:paraId="40D9E353" w14:textId="40C2FE46" w:rsidR="00A65954" w:rsidRPr="00143B0F" w:rsidRDefault="00A65954" w:rsidP="00A65954">
            <w:pPr>
              <w:pStyle w:val="ENoteTableText"/>
            </w:pPr>
            <w:r>
              <w:rPr>
                <w:lang w:eastAsia="en-US"/>
              </w:rPr>
              <w:t>s 6</w:t>
            </w:r>
            <w:r>
              <w:rPr>
                <w:szCs w:val="16"/>
                <w:lang w:eastAsia="en-US"/>
              </w:rPr>
              <w:t>……………………………….</w:t>
            </w:r>
          </w:p>
        </w:tc>
        <w:tc>
          <w:tcPr>
            <w:tcW w:w="5808" w:type="dxa"/>
          </w:tcPr>
          <w:p w14:paraId="01F2B17C" w14:textId="13A19867" w:rsidR="00A65954" w:rsidRPr="00E117A3" w:rsidRDefault="00A65954" w:rsidP="00A65954">
            <w:pPr>
              <w:pStyle w:val="ENoteTableText"/>
            </w:pPr>
            <w:r>
              <w:rPr>
                <w:lang w:eastAsia="en-US"/>
              </w:rPr>
              <w:t>rep LA s 48C</w:t>
            </w:r>
          </w:p>
        </w:tc>
      </w:tr>
      <w:tr w:rsidR="00A65954" w14:paraId="6F212322" w14:textId="77777777" w:rsidTr="00A65954">
        <w:trPr>
          <w:cantSplit/>
        </w:trPr>
        <w:tc>
          <w:tcPr>
            <w:tcW w:w="2551" w:type="dxa"/>
          </w:tcPr>
          <w:p w14:paraId="65878947" w14:textId="39605A25" w:rsidR="00A65954" w:rsidRPr="00E117A3" w:rsidRDefault="00A65954" w:rsidP="00A65954">
            <w:pPr>
              <w:pStyle w:val="ENoteTableText"/>
            </w:pPr>
            <w:r>
              <w:rPr>
                <w:lang w:eastAsia="en-US"/>
              </w:rPr>
              <w:t>Schedule 1</w:t>
            </w:r>
            <w:r>
              <w:rPr>
                <w:szCs w:val="16"/>
                <w:lang w:eastAsia="en-US"/>
              </w:rPr>
              <w:t>………………………</w:t>
            </w:r>
          </w:p>
        </w:tc>
        <w:tc>
          <w:tcPr>
            <w:tcW w:w="5808" w:type="dxa"/>
          </w:tcPr>
          <w:p w14:paraId="1BAA4B8D" w14:textId="406F1628" w:rsidR="00A65954" w:rsidRPr="00E117A3" w:rsidRDefault="00A65954" w:rsidP="00A65954">
            <w:pPr>
              <w:pStyle w:val="ENoteTableText"/>
            </w:pPr>
            <w:r>
              <w:rPr>
                <w:lang w:eastAsia="en-US"/>
              </w:rPr>
              <w:t>am F2025L00947</w:t>
            </w:r>
          </w:p>
        </w:tc>
      </w:tr>
      <w:tr w:rsidR="00A65954" w14:paraId="2E890462" w14:textId="77777777" w:rsidTr="00EB1DBF">
        <w:trPr>
          <w:cantSplit/>
        </w:trPr>
        <w:tc>
          <w:tcPr>
            <w:tcW w:w="2551" w:type="dxa"/>
            <w:tcBorders>
              <w:bottom w:val="single" w:sz="12" w:space="0" w:color="auto"/>
            </w:tcBorders>
          </w:tcPr>
          <w:p w14:paraId="2E4874DD" w14:textId="00B1D8C6" w:rsidR="00A65954" w:rsidRPr="00E117A3" w:rsidRDefault="00A65954" w:rsidP="00A65954">
            <w:pPr>
              <w:pStyle w:val="ENoteTableText"/>
            </w:pPr>
            <w:r>
              <w:rPr>
                <w:lang w:eastAsia="en-US"/>
              </w:rPr>
              <w:t>Schedule 2</w:t>
            </w:r>
            <w:r>
              <w:rPr>
                <w:szCs w:val="16"/>
                <w:lang w:eastAsia="en-US"/>
              </w:rPr>
              <w:t>………………………</w:t>
            </w:r>
          </w:p>
        </w:tc>
        <w:tc>
          <w:tcPr>
            <w:tcW w:w="5808" w:type="dxa"/>
            <w:tcBorders>
              <w:bottom w:val="single" w:sz="12" w:space="0" w:color="auto"/>
            </w:tcBorders>
          </w:tcPr>
          <w:p w14:paraId="2CB81EF9" w14:textId="41D5C80C" w:rsidR="00A65954" w:rsidRPr="00E117A3" w:rsidRDefault="00A65954" w:rsidP="00A65954">
            <w:pPr>
              <w:pStyle w:val="ENoteTableText"/>
            </w:pPr>
            <w:r>
              <w:rPr>
                <w:lang w:eastAsia="en-US"/>
              </w:rPr>
              <w:t>rep LA s 48C</w:t>
            </w:r>
          </w:p>
        </w:tc>
      </w:tr>
    </w:tbl>
    <w:p w14:paraId="654DB10E" w14:textId="77777777" w:rsidR="00331886" w:rsidRPr="00164D8F" w:rsidRDefault="00331886" w:rsidP="00331886">
      <w:pPr>
        <w:sectPr w:rsidR="00331886" w:rsidRPr="00164D8F" w:rsidSect="00836C1A">
          <w:headerReference w:type="even" r:id="rId24"/>
          <w:headerReference w:type="default" r:id="rId25"/>
          <w:footerReference w:type="even" r:id="rId26"/>
          <w:footerReference w:type="default" r:id="rId27"/>
          <w:footerReference w:type="first" r:id="rId28"/>
          <w:pgSz w:w="11907" w:h="16839"/>
          <w:pgMar w:top="2325" w:right="1797" w:bottom="1440" w:left="1797" w:header="720" w:footer="709" w:gutter="0"/>
          <w:cols w:space="708"/>
          <w:docGrid w:linePitch="360"/>
        </w:sectPr>
      </w:pPr>
    </w:p>
    <w:p w14:paraId="512EDE0C" w14:textId="77777777" w:rsidR="00122E80" w:rsidRDefault="00122E80" w:rsidP="00331886">
      <w:pPr>
        <w:sectPr w:rsidR="00122E80" w:rsidSect="00DF6D7F">
          <w:footerReference w:type="even" r:id="rId29"/>
          <w:footerReference w:type="default" r:id="rId30"/>
          <w:type w:val="continuous"/>
          <w:pgSz w:w="11907" w:h="16839" w:code="9"/>
          <w:pgMar w:top="1440" w:right="1797" w:bottom="1440" w:left="1797" w:header="720" w:footer="709" w:gutter="0"/>
          <w:cols w:space="708"/>
          <w:docGrid w:linePitch="360"/>
        </w:sectPr>
      </w:pPr>
    </w:p>
    <w:p w14:paraId="708E60E4" w14:textId="77777777" w:rsidR="00331886" w:rsidRPr="00152412" w:rsidRDefault="00331886" w:rsidP="00331886"/>
    <w:sectPr w:rsidR="00331886" w:rsidRPr="00152412" w:rsidSect="00DF6D7F">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7BA6" w14:textId="77777777" w:rsidR="00BF4144" w:rsidRDefault="00BF4144" w:rsidP="008E17F3">
      <w:pPr>
        <w:spacing w:line="240" w:lineRule="auto"/>
      </w:pPr>
      <w:r>
        <w:separator/>
      </w:r>
    </w:p>
  </w:endnote>
  <w:endnote w:type="continuationSeparator" w:id="0">
    <w:p w14:paraId="5A17BA0A" w14:textId="77777777" w:rsidR="00BF4144" w:rsidRDefault="00BF4144"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EA953F02-187A-45C4-B8CA-4A0AE688012E}"/>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BAE" w14:textId="0F8FCE96"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7492" w14:textId="3E05BE49" w:rsidR="00331886" w:rsidRPr="007A1328" w:rsidRDefault="003F345D" w:rsidP="0086496F">
    <w:pPr>
      <w:pBdr>
        <w:top w:val="single" w:sz="6" w:space="1" w:color="auto"/>
      </w:pBdr>
      <w:spacing w:before="120"/>
      <w:rPr>
        <w:sz w:val="18"/>
      </w:rPr>
    </w:pPr>
    <w:r>
      <w:rPr>
        <w:noProof/>
        <w:sz w:val="18"/>
      </w:rPr>
      <mc:AlternateContent>
        <mc:Choice Requires="wps">
          <w:drawing>
            <wp:anchor distT="0" distB="0" distL="0" distR="0" simplePos="0" relativeHeight="251661824" behindDoc="0" locked="0" layoutInCell="1" allowOverlap="1" wp14:anchorId="7D61C2CB" wp14:editId="55052E33">
              <wp:simplePos x="635" y="635"/>
              <wp:positionH relativeFrom="page">
                <wp:align>center</wp:align>
              </wp:positionH>
              <wp:positionV relativeFrom="page">
                <wp:align>bottom</wp:align>
              </wp:positionV>
              <wp:extent cx="551815" cy="376555"/>
              <wp:effectExtent l="0" t="0" r="635" b="0"/>
              <wp:wrapNone/>
              <wp:docPr id="3627390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C05891" w14:textId="701291E8"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1C2CB" id="_x0000_t202" coordsize="21600,21600" o:spt="202" path="m,l,21600r21600,l21600,xe">
              <v:stroke joinstyle="miter"/>
              <v:path gradientshapeok="t" o:connecttype="rect"/>
            </v:shapetype>
            <v:shape id="Text Box 19" o:spid="_x0000_s1032"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6AC05891" w14:textId="701291E8"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p w14:paraId="1246DA29" w14:textId="4756EFB5"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A4988">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432C178F"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A138" w14:textId="38C43BA2" w:rsidR="008E17F3" w:rsidRDefault="003F345D" w:rsidP="008E17F3">
    <w:pPr>
      <w:pStyle w:val="Footer"/>
      <w:framePr w:wrap="around" w:vAnchor="text" w:hAnchor="margin" w:xAlign="right" w:y="1"/>
      <w:rPr>
        <w:rStyle w:val="PageNumber"/>
      </w:rPr>
    </w:pPr>
    <w:r>
      <w:rPr>
        <w:noProof/>
      </w:rPr>
      <mc:AlternateContent>
        <mc:Choice Requires="wps">
          <w:drawing>
            <wp:anchor distT="0" distB="0" distL="0" distR="0" simplePos="0" relativeHeight="251662848" behindDoc="0" locked="0" layoutInCell="1" allowOverlap="1" wp14:anchorId="5B3099A8" wp14:editId="42CA2EF9">
              <wp:simplePos x="635" y="635"/>
              <wp:positionH relativeFrom="page">
                <wp:align>center</wp:align>
              </wp:positionH>
              <wp:positionV relativeFrom="page">
                <wp:align>bottom</wp:align>
              </wp:positionV>
              <wp:extent cx="551815" cy="376555"/>
              <wp:effectExtent l="0" t="0" r="635" b="0"/>
              <wp:wrapNone/>
              <wp:docPr id="121487452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EAFD2C" w14:textId="74FF7904"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099A8" id="_x0000_t202" coordsize="21600,21600" o:spt="202" path="m,l,21600r21600,l21600,xe">
              <v:stroke joinstyle="miter"/>
              <v:path gradientshapeok="t" o:connecttype="rect"/>
            </v:shapetype>
            <v:shape id="Text Box 22" o:spid="_x0000_s1033"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FEAFD2C" w14:textId="74FF7904"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r w:rsidR="006E2E9F">
      <w:rPr>
        <w:rStyle w:val="PageNumber"/>
      </w:rPr>
      <w:fldChar w:fldCharType="begin"/>
    </w:r>
    <w:r w:rsidR="008E17F3">
      <w:rPr>
        <w:rStyle w:val="PageNumber"/>
      </w:rPr>
      <w:instrText xml:space="preserve">PAGE  </w:instrText>
    </w:r>
    <w:r w:rsidR="006E2E9F">
      <w:rPr>
        <w:rStyle w:val="PageNumber"/>
      </w:rPr>
      <w:fldChar w:fldCharType="separate"/>
    </w:r>
    <w:r w:rsidR="0016127C">
      <w:rPr>
        <w:rStyle w:val="PageNumber"/>
        <w:noProof/>
      </w:rPr>
      <w:t>2</w:t>
    </w:r>
    <w:r w:rsidR="006E2E9F">
      <w:rPr>
        <w:rStyle w:val="PageNumber"/>
      </w:rPr>
      <w:fldChar w:fldCharType="end"/>
    </w:r>
  </w:p>
  <w:p w14:paraId="52E7CB24"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527D" w14:textId="065E15DB" w:rsidR="008E17F3" w:rsidRDefault="003F345D" w:rsidP="008E17F3">
    <w:pPr>
      <w:pStyle w:val="Footer"/>
      <w:tabs>
        <w:tab w:val="clear" w:pos="4153"/>
        <w:tab w:val="clear" w:pos="8306"/>
        <w:tab w:val="left" w:pos="7680"/>
      </w:tabs>
      <w:ind w:right="27"/>
      <w:rPr>
        <w:sz w:val="16"/>
      </w:rPr>
    </w:pPr>
    <w:r>
      <w:rPr>
        <w:noProof/>
        <w:sz w:val="16"/>
      </w:rPr>
      <mc:AlternateContent>
        <mc:Choice Requires="wps">
          <w:drawing>
            <wp:anchor distT="0" distB="0" distL="0" distR="0" simplePos="0" relativeHeight="251663872" behindDoc="0" locked="0" layoutInCell="1" allowOverlap="1" wp14:anchorId="6279292E" wp14:editId="6178D521">
              <wp:simplePos x="635" y="635"/>
              <wp:positionH relativeFrom="page">
                <wp:align>center</wp:align>
              </wp:positionH>
              <wp:positionV relativeFrom="page">
                <wp:align>bottom</wp:align>
              </wp:positionV>
              <wp:extent cx="551815" cy="376555"/>
              <wp:effectExtent l="0" t="0" r="635" b="0"/>
              <wp:wrapNone/>
              <wp:docPr id="122439571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322A4B" w14:textId="778D508A"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9292E" id="_x0000_t202" coordsize="21600,21600" o:spt="202" path="m,l,21600r21600,l21600,xe">
              <v:stroke joinstyle="miter"/>
              <v:path gradientshapeok="t" o:connecttype="rect"/>
            </v:shapetype>
            <v:shape id="Text Box 23" o:spid="_x0000_s1034" type="#_x0000_t202" alt="OFFICIAL" style="position:absolute;margin-left:0;margin-top:0;width:43.45pt;height:29.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8322A4B" w14:textId="778D508A"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r w:rsidR="008E17F3">
      <w:rPr>
        <w:sz w:val="16"/>
      </w:rPr>
      <w:tab/>
    </w:r>
    <w:r w:rsidR="008E17F3">
      <w:rPr>
        <w:sz w:val="16"/>
      </w:rPr>
      <w:tab/>
    </w:r>
    <w:r w:rsidR="008E17F3">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4E53" w14:textId="6E3F7063" w:rsidR="00331886" w:rsidRPr="00E33C1C" w:rsidRDefault="003F345D" w:rsidP="00F85C9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9776" behindDoc="0" locked="0" layoutInCell="1" allowOverlap="1" wp14:anchorId="12C78738" wp14:editId="4269A190">
              <wp:simplePos x="635" y="635"/>
              <wp:positionH relativeFrom="page">
                <wp:align>center</wp:align>
              </wp:positionH>
              <wp:positionV relativeFrom="page">
                <wp:align>bottom</wp:align>
              </wp:positionV>
              <wp:extent cx="551815" cy="376555"/>
              <wp:effectExtent l="0" t="0" r="635" b="0"/>
              <wp:wrapNone/>
              <wp:docPr id="139793854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C83F2B" w14:textId="7F2C3C2B"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78738" id="_x0000_t202" coordsize="21600,21600" o:spt="202" path="m,l,21600r21600,l21600,xe">
              <v:stroke joinstyle="miter"/>
              <v:path gradientshapeok="t" o:connecttype="rect"/>
            </v:shapetype>
            <v:shape id="Text Box 14" o:spid="_x0000_s1027" type="#_x0000_t202" alt="OFFICIAL" style="position:absolute;margin-left:0;margin-top:0;width:43.45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AC83F2B" w14:textId="7F2C3C2B"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p w14:paraId="1734AA56"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8831" w14:textId="49299969" w:rsidR="00331886" w:rsidRDefault="00331886" w:rsidP="003E7949">
    <w:pPr>
      <w:pStyle w:val="Footer"/>
      <w:spacing w:before="120"/>
    </w:pPr>
    <w:r w:rsidRPr="00CB7761">
      <w:t>Prepared by</w:t>
    </w:r>
    <w:r>
      <w:t xml:space="preserve"> </w:t>
    </w:r>
    <w:r w:rsidR="00E4599F">
      <w:t>the Department of Health, Disability and Ageing</w:t>
    </w:r>
    <w:r w:rsidR="003375AF">
      <w:t>,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B57" w14:textId="63176592" w:rsidR="00331886" w:rsidRPr="007B3B51" w:rsidRDefault="003F345D" w:rsidP="0086496F">
    <w:pPr>
      <w:pBdr>
        <w:top w:val="single" w:sz="6" w:space="1" w:color="auto"/>
      </w:pBdr>
      <w:spacing w:before="120"/>
      <w:rPr>
        <w:sz w:val="16"/>
        <w:szCs w:val="16"/>
      </w:rPr>
    </w:pPr>
    <w:r>
      <w:rPr>
        <w:noProof/>
        <w:sz w:val="16"/>
        <w:szCs w:val="16"/>
      </w:rPr>
      <mc:AlternateContent>
        <mc:Choice Requires="wps">
          <w:drawing>
            <wp:anchor distT="0" distB="0" distL="0" distR="0" simplePos="0" relativeHeight="251660800" behindDoc="0" locked="0" layoutInCell="1" allowOverlap="1" wp14:anchorId="13A08CB3" wp14:editId="6967FA96">
              <wp:simplePos x="635" y="635"/>
              <wp:positionH relativeFrom="page">
                <wp:align>center</wp:align>
              </wp:positionH>
              <wp:positionV relativeFrom="page">
                <wp:align>bottom</wp:align>
              </wp:positionV>
              <wp:extent cx="551815" cy="376555"/>
              <wp:effectExtent l="0" t="0" r="635" b="0"/>
              <wp:wrapNone/>
              <wp:docPr id="11151011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9B57CF" w14:textId="0D846403"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08CB3"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79B57CF" w14:textId="0D846403"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7CDCE5FB" w14:textId="77777777" w:rsidTr="00BF35A6">
      <w:tc>
        <w:tcPr>
          <w:tcW w:w="854" w:type="pct"/>
        </w:tcPr>
        <w:p w14:paraId="21359BDA"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20A8CC78"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06B8DC02" w14:textId="77777777" w:rsidR="00331886" w:rsidRPr="007B3B51" w:rsidRDefault="00331886" w:rsidP="0086496F">
          <w:pPr>
            <w:jc w:val="right"/>
            <w:rPr>
              <w:sz w:val="16"/>
              <w:szCs w:val="16"/>
            </w:rPr>
          </w:pPr>
        </w:p>
      </w:tc>
    </w:tr>
    <w:tr w:rsidR="00331886" w:rsidRPr="0055472E" w14:paraId="3C5AA791" w14:textId="77777777" w:rsidTr="00BF35A6">
      <w:tc>
        <w:tcPr>
          <w:tcW w:w="1499" w:type="pct"/>
          <w:gridSpan w:val="2"/>
        </w:tcPr>
        <w:p w14:paraId="416FC34C"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77A410D9" w14:textId="77777777" w:rsidR="00331886" w:rsidRPr="0055472E" w:rsidRDefault="00331886" w:rsidP="0086496F">
          <w:pPr>
            <w:spacing w:before="120"/>
            <w:jc w:val="center"/>
            <w:rPr>
              <w:sz w:val="16"/>
              <w:szCs w:val="16"/>
            </w:rPr>
          </w:pPr>
        </w:p>
      </w:tc>
      <w:tc>
        <w:tcPr>
          <w:tcW w:w="1502" w:type="pct"/>
          <w:gridSpan w:val="2"/>
        </w:tcPr>
        <w:p w14:paraId="6C2757A8" w14:textId="77777777"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w:t>
          </w:r>
          <w:proofErr w:type="spellStart"/>
          <w:r>
            <w:rPr>
              <w:sz w:val="16"/>
              <w:szCs w:val="16"/>
            </w:rPr>
            <w:t>yyyy</w:t>
          </w:r>
          <w:proofErr w:type="spellEnd"/>
        </w:p>
      </w:tc>
    </w:tr>
  </w:tbl>
  <w:p w14:paraId="7CDB2FED"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669" w14:textId="1C843CA6"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0231AB1" w14:textId="77777777" w:rsidTr="00BF35A6">
      <w:tc>
        <w:tcPr>
          <w:tcW w:w="854" w:type="pct"/>
        </w:tcPr>
        <w:p w14:paraId="6BE52ED1" w14:textId="77777777" w:rsidR="00331886" w:rsidRPr="007B3B51" w:rsidRDefault="00331886" w:rsidP="0086496F">
          <w:pPr>
            <w:rPr>
              <w:i/>
              <w:sz w:val="16"/>
              <w:szCs w:val="16"/>
            </w:rPr>
          </w:pPr>
        </w:p>
      </w:tc>
      <w:tc>
        <w:tcPr>
          <w:tcW w:w="3688" w:type="pct"/>
          <w:gridSpan w:val="3"/>
        </w:tcPr>
        <w:p w14:paraId="5241FC5D" w14:textId="31ED8546" w:rsidR="00331886" w:rsidRPr="007B3B51" w:rsidRDefault="00AC05B0" w:rsidP="0086496F">
          <w:pPr>
            <w:jc w:val="center"/>
            <w:rPr>
              <w:i/>
              <w:sz w:val="16"/>
              <w:szCs w:val="16"/>
            </w:rPr>
          </w:pPr>
          <w:r w:rsidRPr="00AC05B0">
            <w:rPr>
              <w:i/>
              <w:noProof/>
              <w:sz w:val="16"/>
              <w:szCs w:val="16"/>
            </w:rPr>
            <w:t>Therapeutic Goods (Biologicals—Authorised Supply) Rules</w:t>
          </w:r>
          <w:r>
            <w:rPr>
              <w:i/>
              <w:noProof/>
              <w:sz w:val="16"/>
              <w:szCs w:val="16"/>
            </w:rPr>
            <w:t> </w:t>
          </w:r>
          <w:r w:rsidRPr="00AC05B0">
            <w:rPr>
              <w:i/>
              <w:noProof/>
              <w:sz w:val="16"/>
              <w:szCs w:val="16"/>
            </w:rPr>
            <w:t>2022</w:t>
          </w:r>
        </w:p>
      </w:tc>
      <w:tc>
        <w:tcPr>
          <w:tcW w:w="458" w:type="pct"/>
        </w:tcPr>
        <w:p w14:paraId="487B601D"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7518511A" w14:textId="77777777" w:rsidTr="00BF35A6">
      <w:tc>
        <w:tcPr>
          <w:tcW w:w="1499" w:type="pct"/>
          <w:gridSpan w:val="2"/>
        </w:tcPr>
        <w:p w14:paraId="1DC3D032" w14:textId="388B5136" w:rsidR="00331886" w:rsidRPr="00130F37" w:rsidRDefault="00331886" w:rsidP="00F41764">
          <w:pPr>
            <w:spacing w:before="120"/>
            <w:rPr>
              <w:sz w:val="16"/>
              <w:szCs w:val="16"/>
            </w:rPr>
          </w:pPr>
          <w:r w:rsidRPr="00130F37">
            <w:rPr>
              <w:sz w:val="16"/>
              <w:szCs w:val="16"/>
            </w:rPr>
            <w:t xml:space="preserve">Compilation No. </w:t>
          </w:r>
          <w:r w:rsidR="008049AB">
            <w:rPr>
              <w:sz w:val="16"/>
              <w:szCs w:val="16"/>
            </w:rPr>
            <w:t>5</w:t>
          </w:r>
        </w:p>
      </w:tc>
      <w:tc>
        <w:tcPr>
          <w:tcW w:w="1999" w:type="pct"/>
        </w:tcPr>
        <w:p w14:paraId="7C16C41C" w14:textId="77777777" w:rsidR="00331886" w:rsidRPr="00130F37" w:rsidRDefault="00331886" w:rsidP="0086496F">
          <w:pPr>
            <w:spacing w:before="120"/>
            <w:jc w:val="center"/>
            <w:rPr>
              <w:sz w:val="16"/>
              <w:szCs w:val="16"/>
            </w:rPr>
          </w:pPr>
        </w:p>
      </w:tc>
      <w:tc>
        <w:tcPr>
          <w:tcW w:w="1502" w:type="pct"/>
          <w:gridSpan w:val="2"/>
        </w:tcPr>
        <w:p w14:paraId="106E5DFC" w14:textId="475954B5" w:rsidR="00331886" w:rsidRPr="00130F37" w:rsidRDefault="00331886" w:rsidP="0086496F">
          <w:pPr>
            <w:spacing w:before="120"/>
            <w:jc w:val="right"/>
            <w:rPr>
              <w:sz w:val="16"/>
              <w:szCs w:val="16"/>
            </w:rPr>
          </w:pPr>
          <w:r w:rsidRPr="0055472E">
            <w:rPr>
              <w:sz w:val="16"/>
              <w:szCs w:val="16"/>
            </w:rPr>
            <w:t xml:space="preserve">Compilation date: </w:t>
          </w:r>
          <w:r w:rsidR="00AC05B0">
            <w:rPr>
              <w:sz w:val="16"/>
              <w:szCs w:val="16"/>
            </w:rPr>
            <w:t>07</w:t>
          </w:r>
          <w:r>
            <w:rPr>
              <w:sz w:val="16"/>
              <w:szCs w:val="16"/>
            </w:rPr>
            <w:t>/</w:t>
          </w:r>
          <w:r w:rsidR="00AC05B0">
            <w:rPr>
              <w:sz w:val="16"/>
              <w:szCs w:val="16"/>
            </w:rPr>
            <w:t>11</w:t>
          </w:r>
          <w:r>
            <w:rPr>
              <w:sz w:val="16"/>
              <w:szCs w:val="16"/>
            </w:rPr>
            <w:t>/</w:t>
          </w:r>
          <w:r w:rsidR="00AC05B0">
            <w:rPr>
              <w:sz w:val="16"/>
              <w:szCs w:val="16"/>
            </w:rPr>
            <w:t>2025</w:t>
          </w:r>
        </w:p>
      </w:tc>
    </w:tr>
  </w:tbl>
  <w:p w14:paraId="40EC5A5E"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DD8" w14:textId="4BCD63CC"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36CFE2B3" w14:textId="77777777" w:rsidTr="0068554D">
      <w:tc>
        <w:tcPr>
          <w:tcW w:w="854" w:type="pct"/>
        </w:tcPr>
        <w:p w14:paraId="5060504B"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19F52B82" w14:textId="3E3B205E" w:rsidR="00331886" w:rsidRPr="007B3B51" w:rsidRDefault="00F37C76" w:rsidP="0068554D">
          <w:pPr>
            <w:jc w:val="center"/>
            <w:rPr>
              <w:i/>
              <w:sz w:val="16"/>
              <w:szCs w:val="16"/>
            </w:rPr>
          </w:pPr>
          <w:r w:rsidRPr="00F37C76">
            <w:rPr>
              <w:i/>
              <w:noProof/>
              <w:sz w:val="16"/>
              <w:szCs w:val="16"/>
            </w:rPr>
            <w:t>Therapeutic Goods (Biologicals—Authorised Supply) Rules</w:t>
          </w:r>
          <w:r>
            <w:rPr>
              <w:i/>
              <w:noProof/>
              <w:sz w:val="16"/>
              <w:szCs w:val="16"/>
            </w:rPr>
            <w:t> </w:t>
          </w:r>
          <w:r w:rsidRPr="00F37C76">
            <w:rPr>
              <w:i/>
              <w:noProof/>
              <w:sz w:val="16"/>
              <w:szCs w:val="16"/>
            </w:rPr>
            <w:t>2022</w:t>
          </w:r>
        </w:p>
      </w:tc>
      <w:tc>
        <w:tcPr>
          <w:tcW w:w="458" w:type="pct"/>
        </w:tcPr>
        <w:p w14:paraId="6D92E108" w14:textId="77777777" w:rsidR="00331886" w:rsidRPr="007B3B51" w:rsidRDefault="00331886" w:rsidP="0068554D">
          <w:pPr>
            <w:jc w:val="right"/>
            <w:rPr>
              <w:sz w:val="16"/>
              <w:szCs w:val="16"/>
            </w:rPr>
          </w:pPr>
        </w:p>
      </w:tc>
    </w:tr>
    <w:tr w:rsidR="00331886" w:rsidRPr="0055472E" w14:paraId="18BC0296" w14:textId="77777777" w:rsidTr="0068554D">
      <w:tc>
        <w:tcPr>
          <w:tcW w:w="1499" w:type="pct"/>
          <w:gridSpan w:val="2"/>
        </w:tcPr>
        <w:p w14:paraId="6038AAFE" w14:textId="30026992" w:rsidR="00331886" w:rsidRPr="0055472E" w:rsidRDefault="00331886" w:rsidP="0068554D">
          <w:pPr>
            <w:spacing w:before="120"/>
            <w:rPr>
              <w:sz w:val="16"/>
              <w:szCs w:val="16"/>
            </w:rPr>
          </w:pPr>
          <w:r w:rsidRPr="0055472E">
            <w:rPr>
              <w:sz w:val="16"/>
              <w:szCs w:val="16"/>
            </w:rPr>
            <w:t xml:space="preserve">Compilation No. </w:t>
          </w:r>
          <w:r w:rsidR="00F37C76">
            <w:rPr>
              <w:sz w:val="16"/>
              <w:szCs w:val="16"/>
            </w:rPr>
            <w:t>5</w:t>
          </w:r>
        </w:p>
      </w:tc>
      <w:tc>
        <w:tcPr>
          <w:tcW w:w="1999" w:type="pct"/>
        </w:tcPr>
        <w:p w14:paraId="7904B46D" w14:textId="77777777" w:rsidR="00331886" w:rsidRPr="0055472E" w:rsidRDefault="00331886" w:rsidP="0068554D">
          <w:pPr>
            <w:spacing w:before="120"/>
            <w:jc w:val="center"/>
            <w:rPr>
              <w:sz w:val="16"/>
              <w:szCs w:val="16"/>
            </w:rPr>
          </w:pPr>
        </w:p>
      </w:tc>
      <w:tc>
        <w:tcPr>
          <w:tcW w:w="1502" w:type="pct"/>
          <w:gridSpan w:val="2"/>
        </w:tcPr>
        <w:p w14:paraId="448AB7DA" w14:textId="1E3B878D" w:rsidR="00331886" w:rsidRPr="0055472E" w:rsidRDefault="00331886" w:rsidP="0068554D">
          <w:pPr>
            <w:spacing w:before="120"/>
            <w:jc w:val="right"/>
            <w:rPr>
              <w:sz w:val="16"/>
              <w:szCs w:val="16"/>
            </w:rPr>
          </w:pPr>
          <w:r w:rsidRPr="0055472E">
            <w:rPr>
              <w:sz w:val="16"/>
              <w:szCs w:val="16"/>
            </w:rPr>
            <w:t xml:space="preserve">Compilation date: </w:t>
          </w:r>
          <w:r w:rsidR="00F37C76">
            <w:rPr>
              <w:sz w:val="16"/>
              <w:szCs w:val="16"/>
            </w:rPr>
            <w:t>07</w:t>
          </w:r>
          <w:r>
            <w:rPr>
              <w:sz w:val="16"/>
              <w:szCs w:val="16"/>
            </w:rPr>
            <w:t>/</w:t>
          </w:r>
          <w:r w:rsidR="00F37C76">
            <w:rPr>
              <w:sz w:val="16"/>
              <w:szCs w:val="16"/>
            </w:rPr>
            <w:t>11</w:t>
          </w:r>
          <w:r>
            <w:rPr>
              <w:sz w:val="16"/>
              <w:szCs w:val="16"/>
            </w:rPr>
            <w:t>/</w:t>
          </w:r>
          <w:r w:rsidR="00F37C76">
            <w:rPr>
              <w:sz w:val="16"/>
              <w:szCs w:val="16"/>
            </w:rPr>
            <w:t>2025</w:t>
          </w:r>
        </w:p>
      </w:tc>
    </w:tr>
  </w:tbl>
  <w:p w14:paraId="7FBBE68A"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ABF" w14:textId="5506B8BC"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5994C3E6" w14:textId="77777777" w:rsidTr="000C1A3F">
      <w:tc>
        <w:tcPr>
          <w:tcW w:w="854" w:type="pct"/>
        </w:tcPr>
        <w:p w14:paraId="34D36F77" w14:textId="77777777" w:rsidR="00331886" w:rsidRPr="007B3B51" w:rsidRDefault="00331886" w:rsidP="000C1A3F">
          <w:pPr>
            <w:rPr>
              <w:i/>
              <w:sz w:val="16"/>
              <w:szCs w:val="16"/>
            </w:rPr>
          </w:pPr>
        </w:p>
      </w:tc>
      <w:tc>
        <w:tcPr>
          <w:tcW w:w="3688" w:type="pct"/>
          <w:gridSpan w:val="3"/>
        </w:tcPr>
        <w:p w14:paraId="2E67E60C" w14:textId="05B0781C" w:rsidR="00331886" w:rsidRPr="007B3B51" w:rsidRDefault="00F37C76" w:rsidP="000C1A3F">
          <w:pPr>
            <w:jc w:val="center"/>
            <w:rPr>
              <w:i/>
              <w:sz w:val="16"/>
              <w:szCs w:val="16"/>
            </w:rPr>
          </w:pPr>
          <w:r w:rsidRPr="00F37C76">
            <w:rPr>
              <w:i/>
              <w:noProof/>
              <w:sz w:val="16"/>
              <w:szCs w:val="16"/>
            </w:rPr>
            <w:t>Therapeutic Goods (Biologicals—Authorised Supply) Rules</w:t>
          </w:r>
          <w:r>
            <w:rPr>
              <w:i/>
              <w:noProof/>
              <w:sz w:val="16"/>
              <w:szCs w:val="16"/>
            </w:rPr>
            <w:t> </w:t>
          </w:r>
          <w:r w:rsidRPr="00F37C76">
            <w:rPr>
              <w:i/>
              <w:noProof/>
              <w:sz w:val="16"/>
              <w:szCs w:val="16"/>
            </w:rPr>
            <w:t>2022</w:t>
          </w:r>
        </w:p>
      </w:tc>
      <w:tc>
        <w:tcPr>
          <w:tcW w:w="458" w:type="pct"/>
        </w:tcPr>
        <w:p w14:paraId="62F12E94"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50B3223C" w14:textId="77777777" w:rsidTr="000C1A3F">
      <w:tc>
        <w:tcPr>
          <w:tcW w:w="1499" w:type="pct"/>
          <w:gridSpan w:val="2"/>
        </w:tcPr>
        <w:p w14:paraId="3B2C2A1E" w14:textId="4CDE1F7D" w:rsidR="00331886" w:rsidRPr="00130F37" w:rsidRDefault="00331886" w:rsidP="000C1A3F">
          <w:pPr>
            <w:spacing w:before="120"/>
            <w:rPr>
              <w:sz w:val="16"/>
              <w:szCs w:val="16"/>
            </w:rPr>
          </w:pPr>
          <w:r w:rsidRPr="00130F37">
            <w:rPr>
              <w:sz w:val="16"/>
              <w:szCs w:val="16"/>
            </w:rPr>
            <w:t xml:space="preserve">Compilation No. </w:t>
          </w:r>
          <w:r w:rsidR="00F37C76">
            <w:rPr>
              <w:sz w:val="16"/>
              <w:szCs w:val="16"/>
            </w:rPr>
            <w:t>5</w:t>
          </w:r>
        </w:p>
      </w:tc>
      <w:tc>
        <w:tcPr>
          <w:tcW w:w="1999" w:type="pct"/>
        </w:tcPr>
        <w:p w14:paraId="28589964" w14:textId="77777777" w:rsidR="00331886" w:rsidRPr="00130F37" w:rsidRDefault="00331886" w:rsidP="000C1A3F">
          <w:pPr>
            <w:spacing w:before="120"/>
            <w:jc w:val="center"/>
            <w:rPr>
              <w:sz w:val="16"/>
              <w:szCs w:val="16"/>
            </w:rPr>
          </w:pPr>
        </w:p>
      </w:tc>
      <w:tc>
        <w:tcPr>
          <w:tcW w:w="1502" w:type="pct"/>
          <w:gridSpan w:val="2"/>
        </w:tcPr>
        <w:p w14:paraId="6A0158A8" w14:textId="3BCED069" w:rsidR="00331886" w:rsidRPr="00130F37" w:rsidRDefault="00331886" w:rsidP="000C1A3F">
          <w:pPr>
            <w:spacing w:before="120"/>
            <w:jc w:val="right"/>
            <w:rPr>
              <w:sz w:val="16"/>
              <w:szCs w:val="16"/>
            </w:rPr>
          </w:pPr>
          <w:r w:rsidRPr="00130F37">
            <w:rPr>
              <w:sz w:val="16"/>
              <w:szCs w:val="16"/>
            </w:rPr>
            <w:t xml:space="preserve">Compilation date: </w:t>
          </w:r>
          <w:r w:rsidR="00F37C76">
            <w:rPr>
              <w:sz w:val="16"/>
              <w:szCs w:val="16"/>
            </w:rPr>
            <w:t>07</w:t>
          </w:r>
          <w:r>
            <w:rPr>
              <w:sz w:val="16"/>
              <w:szCs w:val="16"/>
            </w:rPr>
            <w:t>/</w:t>
          </w:r>
          <w:r w:rsidR="00F37C76">
            <w:rPr>
              <w:sz w:val="16"/>
              <w:szCs w:val="16"/>
            </w:rPr>
            <w:t>11</w:t>
          </w:r>
          <w:r>
            <w:rPr>
              <w:sz w:val="16"/>
              <w:szCs w:val="16"/>
            </w:rPr>
            <w:t>/</w:t>
          </w:r>
          <w:r w:rsidR="00F37C76">
            <w:rPr>
              <w:sz w:val="16"/>
              <w:szCs w:val="16"/>
            </w:rPr>
            <w:t>2025</w:t>
          </w:r>
        </w:p>
      </w:tc>
    </w:tr>
  </w:tbl>
  <w:p w14:paraId="033545A5"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79B" w14:textId="3E3B81EC"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1581EACF" w14:textId="77777777" w:rsidTr="00BF35A6">
      <w:tc>
        <w:tcPr>
          <w:tcW w:w="854" w:type="pct"/>
        </w:tcPr>
        <w:p w14:paraId="7663AEBC"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693362CC" w14:textId="27152F2E" w:rsidR="00331886" w:rsidRPr="007B3B51" w:rsidRDefault="00F37C76" w:rsidP="0086496F">
          <w:pPr>
            <w:jc w:val="center"/>
            <w:rPr>
              <w:i/>
              <w:sz w:val="16"/>
              <w:szCs w:val="16"/>
            </w:rPr>
          </w:pPr>
          <w:r w:rsidRPr="00F37C76">
            <w:rPr>
              <w:i/>
              <w:noProof/>
              <w:sz w:val="16"/>
              <w:szCs w:val="16"/>
            </w:rPr>
            <w:t>Therapeutic Goods (Biologicals—Authorised Supply) Rules</w:t>
          </w:r>
          <w:r>
            <w:rPr>
              <w:i/>
              <w:noProof/>
              <w:sz w:val="16"/>
              <w:szCs w:val="16"/>
            </w:rPr>
            <w:t> </w:t>
          </w:r>
          <w:r w:rsidRPr="00F37C76">
            <w:rPr>
              <w:i/>
              <w:noProof/>
              <w:sz w:val="16"/>
              <w:szCs w:val="16"/>
            </w:rPr>
            <w:t>2022</w:t>
          </w:r>
        </w:p>
      </w:tc>
      <w:tc>
        <w:tcPr>
          <w:tcW w:w="458" w:type="pct"/>
        </w:tcPr>
        <w:p w14:paraId="736219BA" w14:textId="77777777" w:rsidR="00331886" w:rsidRPr="007B3B51" w:rsidRDefault="00331886" w:rsidP="0086496F">
          <w:pPr>
            <w:jc w:val="right"/>
            <w:rPr>
              <w:sz w:val="16"/>
              <w:szCs w:val="16"/>
            </w:rPr>
          </w:pPr>
        </w:p>
      </w:tc>
    </w:tr>
    <w:tr w:rsidR="00331886" w:rsidRPr="0055472E" w14:paraId="19B18AAE" w14:textId="77777777" w:rsidTr="00BF35A6">
      <w:tc>
        <w:tcPr>
          <w:tcW w:w="1499" w:type="pct"/>
          <w:gridSpan w:val="2"/>
        </w:tcPr>
        <w:p w14:paraId="3419D2F4" w14:textId="317049FB" w:rsidR="00331886" w:rsidRPr="0055472E" w:rsidRDefault="00331886" w:rsidP="00836C1A">
          <w:pPr>
            <w:spacing w:before="120"/>
            <w:rPr>
              <w:sz w:val="16"/>
              <w:szCs w:val="16"/>
            </w:rPr>
          </w:pPr>
          <w:r w:rsidRPr="0055472E">
            <w:rPr>
              <w:sz w:val="16"/>
              <w:szCs w:val="16"/>
            </w:rPr>
            <w:t xml:space="preserve">Compilation No. </w:t>
          </w:r>
          <w:r w:rsidR="00F37C76">
            <w:rPr>
              <w:sz w:val="16"/>
              <w:szCs w:val="16"/>
            </w:rPr>
            <w:t>5</w:t>
          </w:r>
        </w:p>
      </w:tc>
      <w:tc>
        <w:tcPr>
          <w:tcW w:w="1999" w:type="pct"/>
        </w:tcPr>
        <w:p w14:paraId="5DBEA69E" w14:textId="77777777" w:rsidR="00331886" w:rsidRPr="0055472E" w:rsidRDefault="00331886" w:rsidP="0086496F">
          <w:pPr>
            <w:spacing w:before="120"/>
            <w:jc w:val="center"/>
            <w:rPr>
              <w:sz w:val="16"/>
              <w:szCs w:val="16"/>
            </w:rPr>
          </w:pPr>
        </w:p>
      </w:tc>
      <w:tc>
        <w:tcPr>
          <w:tcW w:w="1502" w:type="pct"/>
          <w:gridSpan w:val="2"/>
        </w:tcPr>
        <w:p w14:paraId="760ADC47" w14:textId="394F05F5" w:rsidR="00331886" w:rsidRPr="0055472E" w:rsidRDefault="00331886" w:rsidP="00836C1A">
          <w:pPr>
            <w:spacing w:before="120"/>
            <w:jc w:val="right"/>
            <w:rPr>
              <w:sz w:val="16"/>
              <w:szCs w:val="16"/>
            </w:rPr>
          </w:pPr>
          <w:r w:rsidRPr="0055472E">
            <w:rPr>
              <w:sz w:val="16"/>
              <w:szCs w:val="16"/>
            </w:rPr>
            <w:t xml:space="preserve">Compilation date: </w:t>
          </w:r>
          <w:r w:rsidR="00F37C76">
            <w:rPr>
              <w:sz w:val="16"/>
              <w:szCs w:val="16"/>
            </w:rPr>
            <w:t>07</w:t>
          </w:r>
          <w:r>
            <w:rPr>
              <w:sz w:val="16"/>
              <w:szCs w:val="16"/>
            </w:rPr>
            <w:t>/</w:t>
          </w:r>
          <w:r w:rsidR="00F37C76">
            <w:rPr>
              <w:sz w:val="16"/>
              <w:szCs w:val="16"/>
            </w:rPr>
            <w:t>11</w:t>
          </w:r>
          <w:r>
            <w:rPr>
              <w:sz w:val="16"/>
              <w:szCs w:val="16"/>
            </w:rPr>
            <w:t>/</w:t>
          </w:r>
          <w:r w:rsidR="00F37C76">
            <w:rPr>
              <w:sz w:val="16"/>
              <w:szCs w:val="16"/>
            </w:rPr>
            <w:t>2025</w:t>
          </w:r>
        </w:p>
      </w:tc>
    </w:tr>
  </w:tbl>
  <w:p w14:paraId="4B21E47E"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052F" w14:textId="2437DDA1"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96408FC" w14:textId="77777777" w:rsidTr="00BF35A6">
      <w:tc>
        <w:tcPr>
          <w:tcW w:w="854" w:type="pct"/>
        </w:tcPr>
        <w:p w14:paraId="1BFEBBC3" w14:textId="77777777" w:rsidR="00331886" w:rsidRPr="007B3B51" w:rsidRDefault="00331886" w:rsidP="0086496F">
          <w:pPr>
            <w:rPr>
              <w:i/>
              <w:sz w:val="16"/>
              <w:szCs w:val="16"/>
            </w:rPr>
          </w:pPr>
        </w:p>
      </w:tc>
      <w:tc>
        <w:tcPr>
          <w:tcW w:w="3688" w:type="pct"/>
          <w:gridSpan w:val="3"/>
        </w:tcPr>
        <w:p w14:paraId="1675D998" w14:textId="1387BA6B" w:rsidR="00331886" w:rsidRPr="007B3B51" w:rsidRDefault="005F57A6" w:rsidP="0086496F">
          <w:pPr>
            <w:jc w:val="center"/>
            <w:rPr>
              <w:i/>
              <w:sz w:val="16"/>
              <w:szCs w:val="16"/>
            </w:rPr>
          </w:pPr>
          <w:r w:rsidRPr="005F57A6">
            <w:rPr>
              <w:i/>
              <w:noProof/>
              <w:sz w:val="16"/>
              <w:szCs w:val="16"/>
            </w:rPr>
            <w:t>Therapeutic Goods (Biologicals—Authorised Supply) Rules</w:t>
          </w:r>
          <w:r>
            <w:rPr>
              <w:i/>
              <w:noProof/>
              <w:sz w:val="16"/>
              <w:szCs w:val="16"/>
            </w:rPr>
            <w:t> </w:t>
          </w:r>
          <w:r w:rsidRPr="005F57A6">
            <w:rPr>
              <w:i/>
              <w:noProof/>
              <w:sz w:val="16"/>
              <w:szCs w:val="16"/>
            </w:rPr>
            <w:t>2022</w:t>
          </w:r>
        </w:p>
      </w:tc>
      <w:tc>
        <w:tcPr>
          <w:tcW w:w="458" w:type="pct"/>
        </w:tcPr>
        <w:p w14:paraId="42296713"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0DBEFFAE" w14:textId="77777777" w:rsidTr="00BF35A6">
      <w:tc>
        <w:tcPr>
          <w:tcW w:w="1499" w:type="pct"/>
          <w:gridSpan w:val="2"/>
        </w:tcPr>
        <w:p w14:paraId="1DB99785" w14:textId="283E033D" w:rsidR="00331886" w:rsidRPr="00130F37" w:rsidRDefault="00331886" w:rsidP="00836C1A">
          <w:pPr>
            <w:spacing w:before="120"/>
            <w:rPr>
              <w:sz w:val="16"/>
              <w:szCs w:val="16"/>
            </w:rPr>
          </w:pPr>
          <w:r w:rsidRPr="00130F37">
            <w:rPr>
              <w:sz w:val="16"/>
              <w:szCs w:val="16"/>
            </w:rPr>
            <w:t xml:space="preserve">Compilation No. </w:t>
          </w:r>
          <w:r w:rsidR="005F57A6">
            <w:rPr>
              <w:sz w:val="16"/>
              <w:szCs w:val="16"/>
            </w:rPr>
            <w:t>5</w:t>
          </w:r>
        </w:p>
      </w:tc>
      <w:tc>
        <w:tcPr>
          <w:tcW w:w="1999" w:type="pct"/>
        </w:tcPr>
        <w:p w14:paraId="73F69956" w14:textId="77777777" w:rsidR="00331886" w:rsidRPr="00130F37" w:rsidRDefault="00331886" w:rsidP="0086496F">
          <w:pPr>
            <w:spacing w:before="120"/>
            <w:jc w:val="center"/>
            <w:rPr>
              <w:sz w:val="16"/>
              <w:szCs w:val="16"/>
            </w:rPr>
          </w:pPr>
        </w:p>
      </w:tc>
      <w:tc>
        <w:tcPr>
          <w:tcW w:w="1502" w:type="pct"/>
          <w:gridSpan w:val="2"/>
        </w:tcPr>
        <w:p w14:paraId="56657825" w14:textId="1CF7EE90" w:rsidR="00331886" w:rsidRPr="00130F37" w:rsidRDefault="00331886" w:rsidP="0086496F">
          <w:pPr>
            <w:spacing w:before="120"/>
            <w:jc w:val="right"/>
            <w:rPr>
              <w:sz w:val="16"/>
              <w:szCs w:val="16"/>
            </w:rPr>
          </w:pPr>
          <w:r w:rsidRPr="00130F37">
            <w:rPr>
              <w:sz w:val="16"/>
              <w:szCs w:val="16"/>
            </w:rPr>
            <w:t xml:space="preserve">Compilation date: </w:t>
          </w:r>
          <w:r w:rsidR="005F57A6">
            <w:rPr>
              <w:sz w:val="16"/>
              <w:szCs w:val="16"/>
            </w:rPr>
            <w:t>07</w:t>
          </w:r>
          <w:r>
            <w:rPr>
              <w:sz w:val="16"/>
              <w:szCs w:val="16"/>
            </w:rPr>
            <w:t>/</w:t>
          </w:r>
          <w:r w:rsidR="005F57A6">
            <w:rPr>
              <w:sz w:val="16"/>
              <w:szCs w:val="16"/>
            </w:rPr>
            <w:t>11</w:t>
          </w:r>
          <w:r>
            <w:rPr>
              <w:sz w:val="16"/>
              <w:szCs w:val="16"/>
            </w:rPr>
            <w:t>/</w:t>
          </w:r>
          <w:r w:rsidR="005F57A6">
            <w:rPr>
              <w:sz w:val="16"/>
              <w:szCs w:val="16"/>
            </w:rPr>
            <w:t>2025</w:t>
          </w:r>
        </w:p>
      </w:tc>
    </w:tr>
  </w:tbl>
  <w:p w14:paraId="736380B0"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D8B9" w14:textId="77777777" w:rsidR="00BF4144" w:rsidRDefault="00BF4144" w:rsidP="008E17F3">
      <w:pPr>
        <w:spacing w:line="240" w:lineRule="auto"/>
      </w:pPr>
      <w:r>
        <w:separator/>
      </w:r>
    </w:p>
  </w:footnote>
  <w:footnote w:type="continuationSeparator" w:id="0">
    <w:p w14:paraId="4D9CCFBB" w14:textId="77777777" w:rsidR="00BF4144" w:rsidRDefault="00BF4144"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F093" w14:textId="09D2F162" w:rsidR="00331886" w:rsidRDefault="00331886" w:rsidP="00523750">
    <w:pPr>
      <w:pStyle w:val="Header"/>
      <w:pBdr>
        <w:bottom w:val="single" w:sz="6" w:space="1" w:color="auto"/>
      </w:pBdr>
      <w:tabs>
        <w:tab w:val="clear" w:pos="4150"/>
        <w:tab w:val="clear" w:pos="8307"/>
      </w:tabs>
    </w:pPr>
  </w:p>
  <w:p w14:paraId="5BE6F451" w14:textId="77777777" w:rsidR="00331886" w:rsidRDefault="00331886" w:rsidP="00523750">
    <w:pPr>
      <w:pStyle w:val="Header"/>
      <w:pBdr>
        <w:bottom w:val="single" w:sz="6" w:space="1" w:color="auto"/>
      </w:pBdr>
      <w:tabs>
        <w:tab w:val="clear" w:pos="4150"/>
        <w:tab w:val="clear" w:pos="8307"/>
      </w:tabs>
    </w:pPr>
  </w:p>
  <w:p w14:paraId="4637BB1D"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8197" w14:textId="5D9FAD3D" w:rsidR="00331886" w:rsidRPr="007E528B" w:rsidRDefault="00331886" w:rsidP="0086496F">
    <w:pPr>
      <w:rPr>
        <w:sz w:val="26"/>
        <w:szCs w:val="26"/>
      </w:rPr>
    </w:pPr>
  </w:p>
  <w:p w14:paraId="46F1616F" w14:textId="77777777" w:rsidR="00331886" w:rsidRPr="00750516" w:rsidRDefault="00331886" w:rsidP="0086496F">
    <w:pPr>
      <w:rPr>
        <w:b/>
        <w:sz w:val="20"/>
      </w:rPr>
    </w:pPr>
    <w:r w:rsidRPr="00750516">
      <w:rPr>
        <w:b/>
        <w:sz w:val="20"/>
      </w:rPr>
      <w:t>Endnotes</w:t>
    </w:r>
  </w:p>
  <w:p w14:paraId="3533C886" w14:textId="77777777" w:rsidR="00331886" w:rsidRPr="007A1328" w:rsidRDefault="00331886" w:rsidP="0086496F">
    <w:pPr>
      <w:rPr>
        <w:sz w:val="20"/>
      </w:rPr>
    </w:pPr>
  </w:p>
  <w:p w14:paraId="1EA0976C" w14:textId="77777777" w:rsidR="00331886" w:rsidRPr="007A1328" w:rsidRDefault="00331886" w:rsidP="0086496F">
    <w:pPr>
      <w:rPr>
        <w:b/>
        <w:sz w:val="24"/>
      </w:rPr>
    </w:pPr>
  </w:p>
  <w:p w14:paraId="11DDBC71" w14:textId="2101C048"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81C25">
      <w:rPr>
        <w:noProof/>
        <w:szCs w:val="22"/>
      </w:rPr>
      <w:t>Endnote 3—Legislation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6A1" w14:textId="00CEB4A1" w:rsidR="00331886" w:rsidRPr="007E528B" w:rsidRDefault="00331886" w:rsidP="0086496F">
    <w:pPr>
      <w:jc w:val="right"/>
      <w:rPr>
        <w:sz w:val="26"/>
        <w:szCs w:val="26"/>
      </w:rPr>
    </w:pPr>
  </w:p>
  <w:p w14:paraId="18A8CCB6" w14:textId="77777777" w:rsidR="00331886" w:rsidRPr="00750516" w:rsidRDefault="00331886" w:rsidP="0086496F">
    <w:pPr>
      <w:jc w:val="right"/>
      <w:rPr>
        <w:b/>
        <w:sz w:val="20"/>
      </w:rPr>
    </w:pPr>
    <w:r w:rsidRPr="00750516">
      <w:rPr>
        <w:b/>
        <w:sz w:val="20"/>
      </w:rPr>
      <w:t>Endnotes</w:t>
    </w:r>
  </w:p>
  <w:p w14:paraId="1EC23404" w14:textId="77777777" w:rsidR="00331886" w:rsidRPr="007A1328" w:rsidRDefault="00331886" w:rsidP="0086496F">
    <w:pPr>
      <w:jc w:val="right"/>
      <w:rPr>
        <w:sz w:val="20"/>
      </w:rPr>
    </w:pPr>
  </w:p>
  <w:p w14:paraId="1B524563" w14:textId="77777777" w:rsidR="00331886" w:rsidRPr="007A1328" w:rsidRDefault="00331886" w:rsidP="0086496F">
    <w:pPr>
      <w:jc w:val="right"/>
      <w:rPr>
        <w:b/>
        <w:sz w:val="24"/>
      </w:rPr>
    </w:pPr>
  </w:p>
  <w:p w14:paraId="3E3CA8D4" w14:textId="3269D26B"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81C25">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38B" w14:textId="680B7178" w:rsidR="00331886" w:rsidRPr="00ED79B6" w:rsidRDefault="003F345D" w:rsidP="00F85C9A">
    <w:pPr>
      <w:pBdr>
        <w:bottom w:val="single" w:sz="12" w:space="1" w:color="auto"/>
      </w:pBdr>
      <w:spacing w:before="1000" w:line="240" w:lineRule="auto"/>
    </w:pPr>
    <w:r>
      <w:rPr>
        <w:noProof/>
      </w:rPr>
      <mc:AlternateContent>
        <mc:Choice Requires="wps">
          <w:drawing>
            <wp:anchor distT="0" distB="0" distL="0" distR="0" simplePos="0" relativeHeight="251651584" behindDoc="0" locked="0" layoutInCell="1" allowOverlap="1" wp14:anchorId="1A0CE9DB" wp14:editId="433C5D38">
              <wp:simplePos x="635" y="635"/>
              <wp:positionH relativeFrom="page">
                <wp:align>center</wp:align>
              </wp:positionH>
              <wp:positionV relativeFrom="page">
                <wp:align>top</wp:align>
              </wp:positionV>
              <wp:extent cx="551815" cy="376555"/>
              <wp:effectExtent l="0" t="0" r="635" b="4445"/>
              <wp:wrapNone/>
              <wp:docPr id="699309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C5605A" w14:textId="060E2BF9"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CE9DB"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C5605A" w14:textId="060E2BF9"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p w14:paraId="382497E2"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A616" w14:textId="0A65305C"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E045" w14:textId="14808436" w:rsidR="00331886" w:rsidRPr="00ED79B6" w:rsidRDefault="003F345D" w:rsidP="006442D3">
    <w:pPr>
      <w:pBdr>
        <w:bottom w:val="single" w:sz="6" w:space="1" w:color="auto"/>
      </w:pBdr>
      <w:spacing w:before="1000" w:line="240" w:lineRule="auto"/>
    </w:pPr>
    <w:r>
      <w:rPr>
        <w:noProof/>
      </w:rPr>
      <mc:AlternateContent>
        <mc:Choice Requires="wps">
          <w:drawing>
            <wp:anchor distT="0" distB="0" distL="0" distR="0" simplePos="0" relativeHeight="251653632" behindDoc="0" locked="0" layoutInCell="1" allowOverlap="1" wp14:anchorId="215CD37A" wp14:editId="54F6BFCD">
              <wp:simplePos x="635" y="635"/>
              <wp:positionH relativeFrom="page">
                <wp:align>center</wp:align>
              </wp:positionH>
              <wp:positionV relativeFrom="page">
                <wp:align>top</wp:align>
              </wp:positionV>
              <wp:extent cx="551815" cy="376555"/>
              <wp:effectExtent l="0" t="0" r="635" b="4445"/>
              <wp:wrapNone/>
              <wp:docPr id="5639163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24EE3A" w14:textId="67D3D91F"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CD37A"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424EE3A" w14:textId="67D3D91F"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4031" w14:textId="6DC44857"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59B1" w14:textId="5C751717" w:rsidR="00331886" w:rsidRPr="00ED79B6" w:rsidRDefault="003F345D" w:rsidP="00715914">
    <w:pPr>
      <w:pStyle w:val="Header"/>
      <w:tabs>
        <w:tab w:val="clear" w:pos="4150"/>
        <w:tab w:val="clear" w:pos="8307"/>
      </w:tabs>
    </w:pPr>
    <w:r>
      <w:rPr>
        <w:noProof/>
      </w:rPr>
      <mc:AlternateContent>
        <mc:Choice Requires="wps">
          <w:drawing>
            <wp:anchor distT="0" distB="0" distL="0" distR="0" simplePos="0" relativeHeight="251652608" behindDoc="0" locked="0" layoutInCell="1" allowOverlap="1" wp14:anchorId="1303AE8A" wp14:editId="7DD0F93E">
              <wp:simplePos x="635" y="635"/>
              <wp:positionH relativeFrom="page">
                <wp:align>center</wp:align>
              </wp:positionH>
              <wp:positionV relativeFrom="page">
                <wp:align>top</wp:align>
              </wp:positionV>
              <wp:extent cx="551815" cy="376555"/>
              <wp:effectExtent l="0" t="0" r="635" b="4445"/>
              <wp:wrapNone/>
              <wp:docPr id="10211730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4B4372" w14:textId="57675EAE"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3AE8A"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94B4372" w14:textId="57675EAE"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D9A3" w14:textId="5540ACD6"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D02D" w14:textId="63533061"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4DAA" w14:textId="208DDA3F" w:rsidR="00331886" w:rsidRPr="00ED79B6" w:rsidRDefault="003F345D" w:rsidP="00715914">
    <w:pPr>
      <w:pStyle w:val="Header"/>
      <w:tabs>
        <w:tab w:val="clear" w:pos="4150"/>
        <w:tab w:val="clear" w:pos="8307"/>
      </w:tabs>
    </w:pPr>
    <w:r>
      <w:rPr>
        <w:noProof/>
      </w:rPr>
      <mc:AlternateContent>
        <mc:Choice Requires="wps">
          <w:drawing>
            <wp:anchor distT="0" distB="0" distL="0" distR="0" simplePos="0" relativeHeight="251655680" behindDoc="0" locked="0" layoutInCell="1" allowOverlap="1" wp14:anchorId="7CFA55E9" wp14:editId="5329D1CD">
              <wp:simplePos x="635" y="635"/>
              <wp:positionH relativeFrom="page">
                <wp:align>center</wp:align>
              </wp:positionH>
              <wp:positionV relativeFrom="page">
                <wp:align>top</wp:align>
              </wp:positionV>
              <wp:extent cx="551815" cy="376555"/>
              <wp:effectExtent l="0" t="0" r="635" b="4445"/>
              <wp:wrapNone/>
              <wp:docPr id="99232715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66B233" w14:textId="6BCF2F8F"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A55E9"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166B233" w14:textId="6BCF2F8F" w:rsidR="003F345D" w:rsidRPr="003F345D" w:rsidRDefault="003F345D" w:rsidP="003F345D">
                    <w:pPr>
                      <w:rPr>
                        <w:rFonts w:ascii="Calibri" w:eastAsia="Calibri" w:hAnsi="Calibri" w:cs="Calibri"/>
                        <w:noProof/>
                        <w:color w:val="FF0000"/>
                        <w:sz w:val="24"/>
                        <w:szCs w:val="24"/>
                      </w:rPr>
                    </w:pPr>
                    <w:r w:rsidRPr="003F345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E79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3E4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C0B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23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A9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6E8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25D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2C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A01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2A6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191926">
    <w:abstractNumId w:val="9"/>
  </w:num>
  <w:num w:numId="2" w16cid:durableId="1329139197">
    <w:abstractNumId w:val="7"/>
  </w:num>
  <w:num w:numId="3" w16cid:durableId="1934972633">
    <w:abstractNumId w:val="6"/>
  </w:num>
  <w:num w:numId="4" w16cid:durableId="1809935929">
    <w:abstractNumId w:val="5"/>
  </w:num>
  <w:num w:numId="5" w16cid:durableId="273633778">
    <w:abstractNumId w:val="4"/>
  </w:num>
  <w:num w:numId="6" w16cid:durableId="166486233">
    <w:abstractNumId w:val="8"/>
  </w:num>
  <w:num w:numId="7" w16cid:durableId="2117172951">
    <w:abstractNumId w:val="3"/>
  </w:num>
  <w:num w:numId="8" w16cid:durableId="563025190">
    <w:abstractNumId w:val="2"/>
  </w:num>
  <w:num w:numId="9" w16cid:durableId="470830901">
    <w:abstractNumId w:val="1"/>
  </w:num>
  <w:num w:numId="10" w16cid:durableId="1807963136">
    <w:abstractNumId w:val="0"/>
  </w:num>
  <w:num w:numId="11" w16cid:durableId="4718948">
    <w:abstractNumId w:val="11"/>
  </w:num>
  <w:num w:numId="12" w16cid:durableId="1088426716">
    <w:abstractNumId w:val="12"/>
  </w:num>
  <w:num w:numId="13" w16cid:durableId="802188395">
    <w:abstractNumId w:val="10"/>
  </w:num>
  <w:num w:numId="14" w16cid:durableId="33816591">
    <w:abstractNumId w:val="10"/>
  </w:num>
  <w:num w:numId="15" w16cid:durableId="1553810326">
    <w:abstractNumId w:val="10"/>
  </w:num>
  <w:num w:numId="16" w16cid:durableId="96490635">
    <w:abstractNumId w:val="10"/>
  </w:num>
  <w:num w:numId="17" w16cid:durableId="725418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136AF"/>
    <w:rsid w:val="00020F96"/>
    <w:rsid w:val="00022B7E"/>
    <w:rsid w:val="00036B0B"/>
    <w:rsid w:val="00056743"/>
    <w:rsid w:val="000614BF"/>
    <w:rsid w:val="000940CE"/>
    <w:rsid w:val="000A479E"/>
    <w:rsid w:val="000C3E0A"/>
    <w:rsid w:val="000C604C"/>
    <w:rsid w:val="000C6D02"/>
    <w:rsid w:val="000C7A70"/>
    <w:rsid w:val="000D05EF"/>
    <w:rsid w:val="000D129B"/>
    <w:rsid w:val="000D59D0"/>
    <w:rsid w:val="000E34F9"/>
    <w:rsid w:val="000F0932"/>
    <w:rsid w:val="0010745C"/>
    <w:rsid w:val="00121165"/>
    <w:rsid w:val="00122E80"/>
    <w:rsid w:val="00141774"/>
    <w:rsid w:val="00142ABB"/>
    <w:rsid w:val="0015580B"/>
    <w:rsid w:val="0016127C"/>
    <w:rsid w:val="00166C2F"/>
    <w:rsid w:val="00181D59"/>
    <w:rsid w:val="001939E1"/>
    <w:rsid w:val="00195382"/>
    <w:rsid w:val="00196BC4"/>
    <w:rsid w:val="001976DD"/>
    <w:rsid w:val="001C69C4"/>
    <w:rsid w:val="001D0D29"/>
    <w:rsid w:val="001E0138"/>
    <w:rsid w:val="001E3590"/>
    <w:rsid w:val="001E7407"/>
    <w:rsid w:val="0020490F"/>
    <w:rsid w:val="00232209"/>
    <w:rsid w:val="00245A07"/>
    <w:rsid w:val="00253D1B"/>
    <w:rsid w:val="00295FBA"/>
    <w:rsid w:val="002970D7"/>
    <w:rsid w:val="00297ECB"/>
    <w:rsid w:val="002A7FCE"/>
    <w:rsid w:val="002C7668"/>
    <w:rsid w:val="002D043A"/>
    <w:rsid w:val="002D11D8"/>
    <w:rsid w:val="002D22E9"/>
    <w:rsid w:val="002D6A8E"/>
    <w:rsid w:val="00307068"/>
    <w:rsid w:val="003076C9"/>
    <w:rsid w:val="00311448"/>
    <w:rsid w:val="00312BD2"/>
    <w:rsid w:val="0032009B"/>
    <w:rsid w:val="0032779F"/>
    <w:rsid w:val="00331886"/>
    <w:rsid w:val="003375AF"/>
    <w:rsid w:val="00345A8E"/>
    <w:rsid w:val="00352B0F"/>
    <w:rsid w:val="00354928"/>
    <w:rsid w:val="00360F6B"/>
    <w:rsid w:val="00360FB0"/>
    <w:rsid w:val="00397ACA"/>
    <w:rsid w:val="003B5735"/>
    <w:rsid w:val="003B6A72"/>
    <w:rsid w:val="003D0BFE"/>
    <w:rsid w:val="003D5700"/>
    <w:rsid w:val="003D6F8A"/>
    <w:rsid w:val="003E4160"/>
    <w:rsid w:val="003F345D"/>
    <w:rsid w:val="004116CD"/>
    <w:rsid w:val="00420C62"/>
    <w:rsid w:val="00424CA9"/>
    <w:rsid w:val="00436157"/>
    <w:rsid w:val="0044291A"/>
    <w:rsid w:val="004560FB"/>
    <w:rsid w:val="004653F8"/>
    <w:rsid w:val="004859EA"/>
    <w:rsid w:val="00492F2C"/>
    <w:rsid w:val="00496F97"/>
    <w:rsid w:val="004B0C84"/>
    <w:rsid w:val="0050112D"/>
    <w:rsid w:val="0050242F"/>
    <w:rsid w:val="00512120"/>
    <w:rsid w:val="00516B8D"/>
    <w:rsid w:val="005327A0"/>
    <w:rsid w:val="00537FBC"/>
    <w:rsid w:val="00562914"/>
    <w:rsid w:val="00570EE8"/>
    <w:rsid w:val="0057376C"/>
    <w:rsid w:val="00576129"/>
    <w:rsid w:val="005768CB"/>
    <w:rsid w:val="00584811"/>
    <w:rsid w:val="00594161"/>
    <w:rsid w:val="00594749"/>
    <w:rsid w:val="005A0496"/>
    <w:rsid w:val="005C10D9"/>
    <w:rsid w:val="005E44E3"/>
    <w:rsid w:val="005F57A6"/>
    <w:rsid w:val="00600219"/>
    <w:rsid w:val="00610886"/>
    <w:rsid w:val="00612F3B"/>
    <w:rsid w:val="00613A55"/>
    <w:rsid w:val="006207A3"/>
    <w:rsid w:val="006279B8"/>
    <w:rsid w:val="006313C0"/>
    <w:rsid w:val="00646583"/>
    <w:rsid w:val="00656621"/>
    <w:rsid w:val="00672968"/>
    <w:rsid w:val="00677CC2"/>
    <w:rsid w:val="00680F77"/>
    <w:rsid w:val="00683F1B"/>
    <w:rsid w:val="0069207B"/>
    <w:rsid w:val="006A7505"/>
    <w:rsid w:val="006C7F8C"/>
    <w:rsid w:val="006D35AC"/>
    <w:rsid w:val="006D77BA"/>
    <w:rsid w:val="006E2E9F"/>
    <w:rsid w:val="006F5F95"/>
    <w:rsid w:val="00704A73"/>
    <w:rsid w:val="007276BC"/>
    <w:rsid w:val="00731E00"/>
    <w:rsid w:val="00733990"/>
    <w:rsid w:val="00746A7B"/>
    <w:rsid w:val="00766393"/>
    <w:rsid w:val="00770FAA"/>
    <w:rsid w:val="007715C9"/>
    <w:rsid w:val="00774EDD"/>
    <w:rsid w:val="00775577"/>
    <w:rsid w:val="007757EC"/>
    <w:rsid w:val="007A2E63"/>
    <w:rsid w:val="007A4988"/>
    <w:rsid w:val="007B1C2E"/>
    <w:rsid w:val="007D11B7"/>
    <w:rsid w:val="007E7D42"/>
    <w:rsid w:val="008006B2"/>
    <w:rsid w:val="008049AB"/>
    <w:rsid w:val="008275DE"/>
    <w:rsid w:val="008276C8"/>
    <w:rsid w:val="008318FD"/>
    <w:rsid w:val="00846661"/>
    <w:rsid w:val="00856A31"/>
    <w:rsid w:val="008754D0"/>
    <w:rsid w:val="00893A33"/>
    <w:rsid w:val="008A64F9"/>
    <w:rsid w:val="008C6FDD"/>
    <w:rsid w:val="008E17F3"/>
    <w:rsid w:val="008E3B8C"/>
    <w:rsid w:val="008E4F16"/>
    <w:rsid w:val="008E577E"/>
    <w:rsid w:val="008E746E"/>
    <w:rsid w:val="008F6AF4"/>
    <w:rsid w:val="00902CC4"/>
    <w:rsid w:val="009053A1"/>
    <w:rsid w:val="00907043"/>
    <w:rsid w:val="00910501"/>
    <w:rsid w:val="0094622F"/>
    <w:rsid w:val="009608E8"/>
    <w:rsid w:val="00962116"/>
    <w:rsid w:val="00970B92"/>
    <w:rsid w:val="0098638B"/>
    <w:rsid w:val="0099776D"/>
    <w:rsid w:val="00997799"/>
    <w:rsid w:val="009A2896"/>
    <w:rsid w:val="009A71E7"/>
    <w:rsid w:val="009B3FB1"/>
    <w:rsid w:val="009D20AF"/>
    <w:rsid w:val="009D53DE"/>
    <w:rsid w:val="009E24B5"/>
    <w:rsid w:val="009E37A4"/>
    <w:rsid w:val="009F04BF"/>
    <w:rsid w:val="00A20E0F"/>
    <w:rsid w:val="00A231E2"/>
    <w:rsid w:val="00A410DD"/>
    <w:rsid w:val="00A64912"/>
    <w:rsid w:val="00A65954"/>
    <w:rsid w:val="00A70A74"/>
    <w:rsid w:val="00A879E5"/>
    <w:rsid w:val="00A91B5C"/>
    <w:rsid w:val="00AB7302"/>
    <w:rsid w:val="00AC05B0"/>
    <w:rsid w:val="00AC07B0"/>
    <w:rsid w:val="00AD2B46"/>
    <w:rsid w:val="00AD3B9B"/>
    <w:rsid w:val="00AD5641"/>
    <w:rsid w:val="00AE3F54"/>
    <w:rsid w:val="00AF14A0"/>
    <w:rsid w:val="00B24021"/>
    <w:rsid w:val="00B27BB8"/>
    <w:rsid w:val="00B33B3C"/>
    <w:rsid w:val="00B52C6B"/>
    <w:rsid w:val="00B611EE"/>
    <w:rsid w:val="00B83C0D"/>
    <w:rsid w:val="00BD7543"/>
    <w:rsid w:val="00BE139E"/>
    <w:rsid w:val="00BE719A"/>
    <w:rsid w:val="00BE720A"/>
    <w:rsid w:val="00BF14A6"/>
    <w:rsid w:val="00BF4144"/>
    <w:rsid w:val="00C02426"/>
    <w:rsid w:val="00C038BB"/>
    <w:rsid w:val="00C41063"/>
    <w:rsid w:val="00C42BF8"/>
    <w:rsid w:val="00C50043"/>
    <w:rsid w:val="00C544DF"/>
    <w:rsid w:val="00C61CDD"/>
    <w:rsid w:val="00C7573B"/>
    <w:rsid w:val="00C80D6E"/>
    <w:rsid w:val="00C83868"/>
    <w:rsid w:val="00CA2811"/>
    <w:rsid w:val="00CB3D6B"/>
    <w:rsid w:val="00CB48D8"/>
    <w:rsid w:val="00CD0200"/>
    <w:rsid w:val="00CD5A1E"/>
    <w:rsid w:val="00CE20B5"/>
    <w:rsid w:val="00CF0BB2"/>
    <w:rsid w:val="00CF3AE6"/>
    <w:rsid w:val="00D13441"/>
    <w:rsid w:val="00D16B45"/>
    <w:rsid w:val="00D274DE"/>
    <w:rsid w:val="00D4521B"/>
    <w:rsid w:val="00D56161"/>
    <w:rsid w:val="00D62471"/>
    <w:rsid w:val="00D70DFB"/>
    <w:rsid w:val="00D73FCE"/>
    <w:rsid w:val="00D766DF"/>
    <w:rsid w:val="00D8783B"/>
    <w:rsid w:val="00D95400"/>
    <w:rsid w:val="00DB3CFE"/>
    <w:rsid w:val="00DB6E60"/>
    <w:rsid w:val="00DB7221"/>
    <w:rsid w:val="00DC6816"/>
    <w:rsid w:val="00DC75BA"/>
    <w:rsid w:val="00DC7B41"/>
    <w:rsid w:val="00DD6C37"/>
    <w:rsid w:val="00DE7073"/>
    <w:rsid w:val="00DF1CF5"/>
    <w:rsid w:val="00DF6D7F"/>
    <w:rsid w:val="00E4599F"/>
    <w:rsid w:val="00E74DC7"/>
    <w:rsid w:val="00E7562A"/>
    <w:rsid w:val="00E76A98"/>
    <w:rsid w:val="00E81C25"/>
    <w:rsid w:val="00E9390D"/>
    <w:rsid w:val="00EA14FE"/>
    <w:rsid w:val="00EB1DBF"/>
    <w:rsid w:val="00ED012B"/>
    <w:rsid w:val="00ED0C49"/>
    <w:rsid w:val="00EE0816"/>
    <w:rsid w:val="00EF2E3A"/>
    <w:rsid w:val="00EF61AF"/>
    <w:rsid w:val="00F01DFD"/>
    <w:rsid w:val="00F04811"/>
    <w:rsid w:val="00F078DC"/>
    <w:rsid w:val="00F12337"/>
    <w:rsid w:val="00F14C35"/>
    <w:rsid w:val="00F23E5F"/>
    <w:rsid w:val="00F37B0B"/>
    <w:rsid w:val="00F37C76"/>
    <w:rsid w:val="00F4747E"/>
    <w:rsid w:val="00F51269"/>
    <w:rsid w:val="00F52F30"/>
    <w:rsid w:val="00F53895"/>
    <w:rsid w:val="00F54735"/>
    <w:rsid w:val="00F803B5"/>
    <w:rsid w:val="00F824E2"/>
    <w:rsid w:val="00F85C9A"/>
    <w:rsid w:val="00FA25AC"/>
    <w:rsid w:val="00FA3F88"/>
    <w:rsid w:val="00FB13B4"/>
    <w:rsid w:val="00FB4546"/>
    <w:rsid w:val="00FE3674"/>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C9C1"/>
  <w15:docId w15:val="{259DC078-492B-44F7-81A5-1CF1C167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74DE"/>
    <w:pPr>
      <w:spacing w:line="260" w:lineRule="atLeast"/>
    </w:pPr>
    <w:rPr>
      <w:sz w:val="22"/>
    </w:rPr>
  </w:style>
  <w:style w:type="paragraph" w:styleId="Heading1">
    <w:name w:val="heading 1"/>
    <w:basedOn w:val="Normal"/>
    <w:next w:val="Normal"/>
    <w:link w:val="Heading1Char"/>
    <w:uiPriority w:val="9"/>
    <w:qFormat/>
    <w:rsid w:val="00D274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74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74D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74D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74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274DE"/>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274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4D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274D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74DE"/>
  </w:style>
  <w:style w:type="paragraph" w:customStyle="1" w:styleId="OPCParaBase">
    <w:name w:val="OPCParaBase"/>
    <w:qFormat/>
    <w:rsid w:val="00D274DE"/>
    <w:pPr>
      <w:spacing w:line="260" w:lineRule="atLeast"/>
    </w:pPr>
    <w:rPr>
      <w:rFonts w:eastAsia="Times New Roman" w:cs="Times New Roman"/>
      <w:sz w:val="22"/>
      <w:lang w:eastAsia="en-AU"/>
    </w:rPr>
  </w:style>
  <w:style w:type="paragraph" w:customStyle="1" w:styleId="ShortT">
    <w:name w:val="ShortT"/>
    <w:basedOn w:val="OPCParaBase"/>
    <w:next w:val="Normal"/>
    <w:qFormat/>
    <w:rsid w:val="00D274DE"/>
    <w:pPr>
      <w:spacing w:line="240" w:lineRule="auto"/>
    </w:pPr>
    <w:rPr>
      <w:b/>
      <w:sz w:val="40"/>
    </w:rPr>
  </w:style>
  <w:style w:type="paragraph" w:customStyle="1" w:styleId="ActHead1">
    <w:name w:val="ActHead 1"/>
    <w:aliases w:val="c"/>
    <w:basedOn w:val="OPCParaBase"/>
    <w:next w:val="Normal"/>
    <w:qFormat/>
    <w:rsid w:val="00D274DE"/>
    <w:pPr>
      <w:keepNext/>
      <w:keepLines/>
      <w:spacing w:line="240" w:lineRule="auto"/>
      <w:ind w:left="1134" w:hanging="1134"/>
      <w:outlineLvl w:val="0"/>
    </w:pPr>
    <w:rPr>
      <w:b/>
      <w:kern w:val="28"/>
      <w:sz w:val="36"/>
    </w:rPr>
  </w:style>
  <w:style w:type="paragraph" w:customStyle="1" w:styleId="ActHead2">
    <w:name w:val="ActHead 2"/>
    <w:aliases w:val="p"/>
    <w:basedOn w:val="OPCParaBase"/>
    <w:next w:val="Normal"/>
    <w:qFormat/>
    <w:rsid w:val="00D274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Normal"/>
    <w:qFormat/>
    <w:rsid w:val="00D274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Normal"/>
    <w:qFormat/>
    <w:rsid w:val="00D274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Normal"/>
    <w:link w:val="ActHead5Char"/>
    <w:qFormat/>
    <w:rsid w:val="00D274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274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274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274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274D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4DE"/>
  </w:style>
  <w:style w:type="paragraph" w:customStyle="1" w:styleId="Blocks">
    <w:name w:val="Blocks"/>
    <w:aliases w:val="bb"/>
    <w:basedOn w:val="OPCParaBase"/>
    <w:qFormat/>
    <w:rsid w:val="00D274DE"/>
    <w:pPr>
      <w:spacing w:line="240" w:lineRule="auto"/>
    </w:pPr>
    <w:rPr>
      <w:sz w:val="24"/>
    </w:rPr>
  </w:style>
  <w:style w:type="paragraph" w:customStyle="1" w:styleId="BoxText">
    <w:name w:val="BoxText"/>
    <w:aliases w:val="bt"/>
    <w:basedOn w:val="OPCParaBase"/>
    <w:qFormat/>
    <w:rsid w:val="00D274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4DE"/>
    <w:rPr>
      <w:b/>
    </w:rPr>
  </w:style>
  <w:style w:type="paragraph" w:customStyle="1" w:styleId="BoxHeadItalic">
    <w:name w:val="BoxHeadItalic"/>
    <w:aliases w:val="bhi"/>
    <w:basedOn w:val="BoxText"/>
    <w:next w:val="Normal"/>
    <w:qFormat/>
    <w:rsid w:val="00D274DE"/>
    <w:rPr>
      <w:i/>
    </w:rPr>
  </w:style>
  <w:style w:type="paragraph" w:customStyle="1" w:styleId="BoxList">
    <w:name w:val="BoxList"/>
    <w:aliases w:val="bl"/>
    <w:basedOn w:val="BoxText"/>
    <w:qFormat/>
    <w:rsid w:val="00D274DE"/>
    <w:pPr>
      <w:ind w:left="1559" w:hanging="425"/>
    </w:pPr>
  </w:style>
  <w:style w:type="paragraph" w:customStyle="1" w:styleId="BoxNote">
    <w:name w:val="BoxNote"/>
    <w:aliases w:val="bn"/>
    <w:basedOn w:val="BoxText"/>
    <w:qFormat/>
    <w:rsid w:val="00D274DE"/>
    <w:pPr>
      <w:tabs>
        <w:tab w:val="left" w:pos="1985"/>
      </w:tabs>
      <w:spacing w:before="122" w:line="198" w:lineRule="exact"/>
      <w:ind w:left="2948" w:hanging="1814"/>
    </w:pPr>
    <w:rPr>
      <w:sz w:val="18"/>
    </w:rPr>
  </w:style>
  <w:style w:type="paragraph" w:customStyle="1" w:styleId="BoxPara">
    <w:name w:val="BoxPara"/>
    <w:aliases w:val="bp"/>
    <w:basedOn w:val="BoxText"/>
    <w:qFormat/>
    <w:rsid w:val="00D274DE"/>
    <w:pPr>
      <w:tabs>
        <w:tab w:val="right" w:pos="2268"/>
      </w:tabs>
      <w:ind w:left="2552" w:hanging="1418"/>
    </w:pPr>
  </w:style>
  <w:style w:type="paragraph" w:customStyle="1" w:styleId="BoxStep">
    <w:name w:val="BoxStep"/>
    <w:aliases w:val="bs"/>
    <w:basedOn w:val="BoxText"/>
    <w:qFormat/>
    <w:rsid w:val="00D274DE"/>
    <w:pPr>
      <w:ind w:left="1985" w:hanging="851"/>
    </w:pPr>
  </w:style>
  <w:style w:type="character" w:customStyle="1" w:styleId="CharAmPartNo">
    <w:name w:val="CharAmPartNo"/>
    <w:basedOn w:val="OPCCharBase"/>
    <w:uiPriority w:val="1"/>
    <w:qFormat/>
    <w:rsid w:val="00D274DE"/>
  </w:style>
  <w:style w:type="character" w:customStyle="1" w:styleId="CharAmPartText">
    <w:name w:val="CharAmPartText"/>
    <w:basedOn w:val="OPCCharBase"/>
    <w:uiPriority w:val="1"/>
    <w:qFormat/>
    <w:rsid w:val="00D274DE"/>
  </w:style>
  <w:style w:type="character" w:customStyle="1" w:styleId="CharAmSchNo">
    <w:name w:val="CharAmSchNo"/>
    <w:basedOn w:val="OPCCharBase"/>
    <w:uiPriority w:val="1"/>
    <w:qFormat/>
    <w:rsid w:val="00D274DE"/>
  </w:style>
  <w:style w:type="character" w:customStyle="1" w:styleId="CharAmSchText">
    <w:name w:val="CharAmSchText"/>
    <w:basedOn w:val="OPCCharBase"/>
    <w:uiPriority w:val="1"/>
    <w:qFormat/>
    <w:rsid w:val="00D274DE"/>
  </w:style>
  <w:style w:type="character" w:customStyle="1" w:styleId="CharBoldItalic">
    <w:name w:val="CharBoldItalic"/>
    <w:basedOn w:val="OPCCharBase"/>
    <w:uiPriority w:val="1"/>
    <w:qFormat/>
    <w:rsid w:val="00D274DE"/>
    <w:rPr>
      <w:b/>
      <w:i/>
    </w:rPr>
  </w:style>
  <w:style w:type="character" w:customStyle="1" w:styleId="CharChapNo">
    <w:name w:val="CharChapNo"/>
    <w:basedOn w:val="OPCCharBase"/>
    <w:qFormat/>
    <w:rsid w:val="00D274DE"/>
  </w:style>
  <w:style w:type="character" w:customStyle="1" w:styleId="CharChapText">
    <w:name w:val="CharChapText"/>
    <w:basedOn w:val="OPCCharBase"/>
    <w:qFormat/>
    <w:rsid w:val="00D274DE"/>
  </w:style>
  <w:style w:type="character" w:customStyle="1" w:styleId="CharDivNo">
    <w:name w:val="CharDivNo"/>
    <w:basedOn w:val="OPCCharBase"/>
    <w:qFormat/>
    <w:rsid w:val="00D274DE"/>
  </w:style>
  <w:style w:type="character" w:customStyle="1" w:styleId="CharDivText">
    <w:name w:val="CharDivText"/>
    <w:basedOn w:val="OPCCharBase"/>
    <w:qFormat/>
    <w:rsid w:val="00D274DE"/>
  </w:style>
  <w:style w:type="character" w:customStyle="1" w:styleId="CharItalic">
    <w:name w:val="CharItalic"/>
    <w:basedOn w:val="OPCCharBase"/>
    <w:uiPriority w:val="1"/>
    <w:qFormat/>
    <w:rsid w:val="00D274DE"/>
    <w:rPr>
      <w:i/>
    </w:rPr>
  </w:style>
  <w:style w:type="character" w:customStyle="1" w:styleId="CharPartNo">
    <w:name w:val="CharPartNo"/>
    <w:basedOn w:val="OPCCharBase"/>
    <w:qFormat/>
    <w:rsid w:val="00D274DE"/>
  </w:style>
  <w:style w:type="character" w:customStyle="1" w:styleId="CharPartText">
    <w:name w:val="CharPartText"/>
    <w:basedOn w:val="OPCCharBase"/>
    <w:qFormat/>
    <w:rsid w:val="00D274DE"/>
  </w:style>
  <w:style w:type="character" w:customStyle="1" w:styleId="CharSectno">
    <w:name w:val="CharSectno"/>
    <w:basedOn w:val="OPCCharBase"/>
    <w:qFormat/>
    <w:rsid w:val="00D274DE"/>
  </w:style>
  <w:style w:type="character" w:customStyle="1" w:styleId="CharSubdNo">
    <w:name w:val="CharSubdNo"/>
    <w:basedOn w:val="OPCCharBase"/>
    <w:uiPriority w:val="1"/>
    <w:qFormat/>
    <w:rsid w:val="00D274DE"/>
  </w:style>
  <w:style w:type="character" w:customStyle="1" w:styleId="CharSubdText">
    <w:name w:val="CharSubdText"/>
    <w:basedOn w:val="OPCCharBase"/>
    <w:uiPriority w:val="1"/>
    <w:qFormat/>
    <w:rsid w:val="00D274DE"/>
  </w:style>
  <w:style w:type="paragraph" w:customStyle="1" w:styleId="CTA--">
    <w:name w:val="CTA --"/>
    <w:basedOn w:val="OPCParaBase"/>
    <w:next w:val="Normal"/>
    <w:rsid w:val="00D274DE"/>
    <w:pPr>
      <w:spacing w:before="60" w:line="240" w:lineRule="atLeast"/>
      <w:ind w:left="142" w:hanging="142"/>
    </w:pPr>
    <w:rPr>
      <w:sz w:val="20"/>
    </w:rPr>
  </w:style>
  <w:style w:type="paragraph" w:customStyle="1" w:styleId="CTA-">
    <w:name w:val="CTA -"/>
    <w:basedOn w:val="OPCParaBase"/>
    <w:rsid w:val="00D274DE"/>
    <w:pPr>
      <w:spacing w:before="60" w:line="240" w:lineRule="atLeast"/>
      <w:ind w:left="85" w:hanging="85"/>
    </w:pPr>
    <w:rPr>
      <w:sz w:val="20"/>
    </w:rPr>
  </w:style>
  <w:style w:type="paragraph" w:customStyle="1" w:styleId="CTA---">
    <w:name w:val="CTA ---"/>
    <w:basedOn w:val="OPCParaBase"/>
    <w:next w:val="Normal"/>
    <w:rsid w:val="00D274DE"/>
    <w:pPr>
      <w:spacing w:before="60" w:line="240" w:lineRule="atLeast"/>
      <w:ind w:left="198" w:hanging="198"/>
    </w:pPr>
    <w:rPr>
      <w:sz w:val="20"/>
    </w:rPr>
  </w:style>
  <w:style w:type="paragraph" w:customStyle="1" w:styleId="CTA----">
    <w:name w:val="CTA ----"/>
    <w:basedOn w:val="OPCParaBase"/>
    <w:next w:val="Normal"/>
    <w:rsid w:val="00D274DE"/>
    <w:pPr>
      <w:spacing w:before="60" w:line="240" w:lineRule="atLeast"/>
      <w:ind w:left="255" w:hanging="255"/>
    </w:pPr>
    <w:rPr>
      <w:sz w:val="20"/>
    </w:rPr>
  </w:style>
  <w:style w:type="paragraph" w:customStyle="1" w:styleId="CTA1a">
    <w:name w:val="CTA 1(a)"/>
    <w:basedOn w:val="OPCParaBase"/>
    <w:rsid w:val="00D274DE"/>
    <w:pPr>
      <w:tabs>
        <w:tab w:val="right" w:pos="414"/>
      </w:tabs>
      <w:spacing w:before="40" w:line="240" w:lineRule="atLeast"/>
      <w:ind w:left="675" w:hanging="675"/>
    </w:pPr>
    <w:rPr>
      <w:sz w:val="20"/>
    </w:rPr>
  </w:style>
  <w:style w:type="paragraph" w:customStyle="1" w:styleId="CTA1ai">
    <w:name w:val="CTA 1(a)(i)"/>
    <w:basedOn w:val="OPCParaBase"/>
    <w:rsid w:val="00D274DE"/>
    <w:pPr>
      <w:tabs>
        <w:tab w:val="right" w:pos="1004"/>
      </w:tabs>
      <w:spacing w:before="40" w:line="240" w:lineRule="atLeast"/>
      <w:ind w:left="1253" w:hanging="1253"/>
    </w:pPr>
    <w:rPr>
      <w:sz w:val="20"/>
    </w:rPr>
  </w:style>
  <w:style w:type="paragraph" w:customStyle="1" w:styleId="CTA2a">
    <w:name w:val="CTA 2(a)"/>
    <w:basedOn w:val="OPCParaBase"/>
    <w:rsid w:val="00D274DE"/>
    <w:pPr>
      <w:tabs>
        <w:tab w:val="right" w:pos="482"/>
      </w:tabs>
      <w:spacing w:before="40" w:line="240" w:lineRule="atLeast"/>
      <w:ind w:left="748" w:hanging="748"/>
    </w:pPr>
    <w:rPr>
      <w:sz w:val="20"/>
    </w:rPr>
  </w:style>
  <w:style w:type="paragraph" w:customStyle="1" w:styleId="CTA2ai">
    <w:name w:val="CTA 2(a)(i)"/>
    <w:basedOn w:val="OPCParaBase"/>
    <w:rsid w:val="00D274DE"/>
    <w:pPr>
      <w:tabs>
        <w:tab w:val="right" w:pos="1089"/>
      </w:tabs>
      <w:spacing w:before="40" w:line="240" w:lineRule="atLeast"/>
      <w:ind w:left="1327" w:hanging="1327"/>
    </w:pPr>
    <w:rPr>
      <w:sz w:val="20"/>
    </w:rPr>
  </w:style>
  <w:style w:type="paragraph" w:customStyle="1" w:styleId="CTA3a">
    <w:name w:val="CTA 3(a)"/>
    <w:basedOn w:val="OPCParaBase"/>
    <w:rsid w:val="00D274DE"/>
    <w:pPr>
      <w:tabs>
        <w:tab w:val="right" w:pos="556"/>
      </w:tabs>
      <w:spacing w:before="40" w:line="240" w:lineRule="atLeast"/>
      <w:ind w:left="805" w:hanging="805"/>
    </w:pPr>
    <w:rPr>
      <w:sz w:val="20"/>
    </w:rPr>
  </w:style>
  <w:style w:type="paragraph" w:customStyle="1" w:styleId="CTA3ai">
    <w:name w:val="CTA 3(a)(i)"/>
    <w:basedOn w:val="OPCParaBase"/>
    <w:rsid w:val="00D274DE"/>
    <w:pPr>
      <w:tabs>
        <w:tab w:val="right" w:pos="1140"/>
      </w:tabs>
      <w:spacing w:before="40" w:line="240" w:lineRule="atLeast"/>
      <w:ind w:left="1361" w:hanging="1361"/>
    </w:pPr>
    <w:rPr>
      <w:sz w:val="20"/>
    </w:rPr>
  </w:style>
  <w:style w:type="paragraph" w:customStyle="1" w:styleId="CTA4a">
    <w:name w:val="CTA 4(a)"/>
    <w:basedOn w:val="OPCParaBase"/>
    <w:rsid w:val="00D274DE"/>
    <w:pPr>
      <w:tabs>
        <w:tab w:val="right" w:pos="624"/>
      </w:tabs>
      <w:spacing w:before="40" w:line="240" w:lineRule="atLeast"/>
      <w:ind w:left="873" w:hanging="873"/>
    </w:pPr>
    <w:rPr>
      <w:sz w:val="20"/>
    </w:rPr>
  </w:style>
  <w:style w:type="paragraph" w:customStyle="1" w:styleId="CTA4ai">
    <w:name w:val="CTA 4(a)(i)"/>
    <w:basedOn w:val="OPCParaBase"/>
    <w:rsid w:val="00D274DE"/>
    <w:pPr>
      <w:tabs>
        <w:tab w:val="right" w:pos="1213"/>
      </w:tabs>
      <w:spacing w:before="40" w:line="240" w:lineRule="atLeast"/>
      <w:ind w:left="1452" w:hanging="1452"/>
    </w:pPr>
    <w:rPr>
      <w:sz w:val="20"/>
    </w:rPr>
  </w:style>
  <w:style w:type="paragraph" w:customStyle="1" w:styleId="CTACAPS">
    <w:name w:val="CTA CAPS"/>
    <w:basedOn w:val="OPCParaBase"/>
    <w:rsid w:val="00D274DE"/>
    <w:pPr>
      <w:spacing w:before="60" w:line="240" w:lineRule="atLeast"/>
    </w:pPr>
    <w:rPr>
      <w:sz w:val="20"/>
    </w:rPr>
  </w:style>
  <w:style w:type="paragraph" w:customStyle="1" w:styleId="CTAright">
    <w:name w:val="CTA right"/>
    <w:basedOn w:val="OPCParaBase"/>
    <w:rsid w:val="00D274DE"/>
    <w:pPr>
      <w:spacing w:before="60" w:line="240" w:lineRule="auto"/>
      <w:jc w:val="right"/>
    </w:pPr>
    <w:rPr>
      <w:sz w:val="20"/>
    </w:rPr>
  </w:style>
  <w:style w:type="paragraph" w:customStyle="1" w:styleId="subsection">
    <w:name w:val="subsection"/>
    <w:aliases w:val="ss"/>
    <w:basedOn w:val="OPCParaBase"/>
    <w:link w:val="subsectionChar"/>
    <w:rsid w:val="00D274DE"/>
    <w:pPr>
      <w:tabs>
        <w:tab w:val="right" w:pos="1021"/>
      </w:tabs>
      <w:spacing w:before="180" w:line="240" w:lineRule="auto"/>
      <w:ind w:left="1134" w:hanging="1134"/>
    </w:pPr>
  </w:style>
  <w:style w:type="paragraph" w:customStyle="1" w:styleId="Definition">
    <w:name w:val="Definition"/>
    <w:aliases w:val="dd"/>
    <w:basedOn w:val="OPCParaBase"/>
    <w:rsid w:val="00D274DE"/>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D274DE"/>
    <w:pPr>
      <w:spacing w:line="240" w:lineRule="auto"/>
      <w:ind w:left="1134"/>
    </w:pPr>
    <w:rPr>
      <w:sz w:val="20"/>
    </w:rPr>
  </w:style>
  <w:style w:type="paragraph" w:styleId="Header">
    <w:name w:val="header"/>
    <w:basedOn w:val="OPCParaBase"/>
    <w:link w:val="HeaderChar"/>
    <w:unhideWhenUsed/>
    <w:rsid w:val="00D274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74DE"/>
    <w:rPr>
      <w:rFonts w:eastAsia="Times New Roman" w:cs="Times New Roman"/>
      <w:sz w:val="16"/>
      <w:lang w:eastAsia="en-AU"/>
    </w:rPr>
  </w:style>
  <w:style w:type="paragraph" w:customStyle="1" w:styleId="House">
    <w:name w:val="House"/>
    <w:basedOn w:val="OPCParaBase"/>
    <w:rsid w:val="00D274DE"/>
    <w:pPr>
      <w:spacing w:line="240" w:lineRule="auto"/>
    </w:pPr>
    <w:rPr>
      <w:sz w:val="28"/>
    </w:rPr>
  </w:style>
  <w:style w:type="paragraph" w:customStyle="1" w:styleId="Item">
    <w:name w:val="Item"/>
    <w:aliases w:val="i"/>
    <w:basedOn w:val="OPCParaBase"/>
    <w:next w:val="Normal"/>
    <w:rsid w:val="00D274DE"/>
    <w:pPr>
      <w:keepLines/>
      <w:spacing w:before="80" w:line="240" w:lineRule="auto"/>
      <w:ind w:left="709"/>
    </w:pPr>
  </w:style>
  <w:style w:type="paragraph" w:customStyle="1" w:styleId="ItemHead">
    <w:name w:val="ItemHead"/>
    <w:aliases w:val="ih"/>
    <w:basedOn w:val="OPCParaBase"/>
    <w:next w:val="Item"/>
    <w:rsid w:val="00D274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74DE"/>
    <w:pPr>
      <w:spacing w:line="240" w:lineRule="auto"/>
    </w:pPr>
    <w:rPr>
      <w:b/>
      <w:sz w:val="32"/>
    </w:rPr>
  </w:style>
  <w:style w:type="paragraph" w:customStyle="1" w:styleId="notedraft">
    <w:name w:val="note(draft)"/>
    <w:aliases w:val="nd"/>
    <w:basedOn w:val="OPCParaBase"/>
    <w:rsid w:val="00D274DE"/>
    <w:pPr>
      <w:spacing w:before="240" w:line="240" w:lineRule="auto"/>
      <w:ind w:left="284" w:hanging="284"/>
    </w:pPr>
    <w:rPr>
      <w:i/>
      <w:sz w:val="24"/>
    </w:rPr>
  </w:style>
  <w:style w:type="paragraph" w:customStyle="1" w:styleId="notemargin">
    <w:name w:val="note(margin)"/>
    <w:aliases w:val="nm"/>
    <w:basedOn w:val="OPCParaBase"/>
    <w:rsid w:val="00D274DE"/>
    <w:pPr>
      <w:tabs>
        <w:tab w:val="left" w:pos="709"/>
      </w:tabs>
      <w:spacing w:before="122" w:line="198" w:lineRule="exact"/>
      <w:ind w:left="709" w:hanging="709"/>
    </w:pPr>
    <w:rPr>
      <w:sz w:val="18"/>
    </w:rPr>
  </w:style>
  <w:style w:type="paragraph" w:customStyle="1" w:styleId="notepara">
    <w:name w:val="note(para)"/>
    <w:aliases w:val="na"/>
    <w:basedOn w:val="OPCParaBase"/>
    <w:rsid w:val="00D274DE"/>
    <w:pPr>
      <w:spacing w:before="40" w:line="198" w:lineRule="exact"/>
      <w:ind w:left="2354" w:hanging="369"/>
    </w:pPr>
    <w:rPr>
      <w:sz w:val="18"/>
    </w:rPr>
  </w:style>
  <w:style w:type="paragraph" w:customStyle="1" w:styleId="noteParlAmend">
    <w:name w:val="note(ParlAmend)"/>
    <w:aliases w:val="npp"/>
    <w:basedOn w:val="OPCParaBase"/>
    <w:next w:val="Normal"/>
    <w:rsid w:val="00D274DE"/>
    <w:pPr>
      <w:spacing w:line="240" w:lineRule="auto"/>
      <w:jc w:val="right"/>
    </w:pPr>
    <w:rPr>
      <w:rFonts w:ascii="Arial" w:hAnsi="Arial"/>
      <w:b/>
      <w:i/>
    </w:rPr>
  </w:style>
  <w:style w:type="paragraph" w:customStyle="1" w:styleId="Page1">
    <w:name w:val="Page1"/>
    <w:basedOn w:val="OPCParaBase"/>
    <w:rsid w:val="00D274DE"/>
    <w:pPr>
      <w:spacing w:before="5600" w:line="240" w:lineRule="auto"/>
    </w:pPr>
    <w:rPr>
      <w:b/>
      <w:sz w:val="32"/>
    </w:rPr>
  </w:style>
  <w:style w:type="paragraph" w:customStyle="1" w:styleId="PageBreak">
    <w:name w:val="PageBreak"/>
    <w:aliases w:val="pb"/>
    <w:basedOn w:val="OPCParaBase"/>
    <w:rsid w:val="00D274DE"/>
    <w:pPr>
      <w:spacing w:line="240" w:lineRule="auto"/>
    </w:pPr>
    <w:rPr>
      <w:sz w:val="20"/>
    </w:rPr>
  </w:style>
  <w:style w:type="paragraph" w:customStyle="1" w:styleId="paragraphsub">
    <w:name w:val="paragraph(sub)"/>
    <w:aliases w:val="aa"/>
    <w:basedOn w:val="OPCParaBase"/>
    <w:rsid w:val="00D274DE"/>
    <w:pPr>
      <w:tabs>
        <w:tab w:val="right" w:pos="1985"/>
      </w:tabs>
      <w:spacing w:before="40" w:line="240" w:lineRule="auto"/>
      <w:ind w:left="2098" w:hanging="2098"/>
    </w:pPr>
  </w:style>
  <w:style w:type="paragraph" w:customStyle="1" w:styleId="paragraphsub-sub">
    <w:name w:val="paragraph(sub-sub)"/>
    <w:aliases w:val="aaa"/>
    <w:basedOn w:val="OPCParaBase"/>
    <w:rsid w:val="00D274DE"/>
    <w:pPr>
      <w:tabs>
        <w:tab w:val="right" w:pos="2722"/>
      </w:tabs>
      <w:spacing w:before="40" w:line="240" w:lineRule="auto"/>
      <w:ind w:left="2835" w:hanging="2835"/>
    </w:pPr>
  </w:style>
  <w:style w:type="paragraph" w:customStyle="1" w:styleId="paragraph">
    <w:name w:val="paragraph"/>
    <w:aliases w:val="a"/>
    <w:basedOn w:val="OPCParaBase"/>
    <w:link w:val="paragraphChar"/>
    <w:rsid w:val="00D274DE"/>
    <w:pPr>
      <w:tabs>
        <w:tab w:val="right" w:pos="1531"/>
      </w:tabs>
      <w:spacing w:before="40" w:line="240" w:lineRule="auto"/>
      <w:ind w:left="1644" w:hanging="1644"/>
    </w:pPr>
  </w:style>
  <w:style w:type="paragraph" w:customStyle="1" w:styleId="ParlAmend">
    <w:name w:val="ParlAmend"/>
    <w:aliases w:val="pp"/>
    <w:basedOn w:val="OPCParaBase"/>
    <w:rsid w:val="00D274DE"/>
    <w:pPr>
      <w:spacing w:before="240" w:line="240" w:lineRule="atLeast"/>
      <w:ind w:hanging="567"/>
    </w:pPr>
    <w:rPr>
      <w:sz w:val="24"/>
    </w:rPr>
  </w:style>
  <w:style w:type="paragraph" w:customStyle="1" w:styleId="Penalty">
    <w:name w:val="Penalty"/>
    <w:basedOn w:val="OPCParaBase"/>
    <w:rsid w:val="00D274DE"/>
    <w:pPr>
      <w:tabs>
        <w:tab w:val="left" w:pos="2977"/>
      </w:tabs>
      <w:spacing w:before="180" w:line="240" w:lineRule="auto"/>
      <w:ind w:left="1985" w:hanging="851"/>
    </w:pPr>
  </w:style>
  <w:style w:type="paragraph" w:customStyle="1" w:styleId="Portfolio">
    <w:name w:val="Portfolio"/>
    <w:basedOn w:val="OPCParaBase"/>
    <w:rsid w:val="00D274DE"/>
    <w:pPr>
      <w:spacing w:line="240" w:lineRule="auto"/>
    </w:pPr>
    <w:rPr>
      <w:i/>
      <w:sz w:val="20"/>
    </w:rPr>
  </w:style>
  <w:style w:type="paragraph" w:customStyle="1" w:styleId="Preamble">
    <w:name w:val="Preamble"/>
    <w:basedOn w:val="OPCParaBase"/>
    <w:next w:val="Normal"/>
    <w:rsid w:val="00D274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4DE"/>
    <w:pPr>
      <w:spacing w:line="240" w:lineRule="auto"/>
    </w:pPr>
    <w:rPr>
      <w:i/>
      <w:sz w:val="20"/>
    </w:rPr>
  </w:style>
  <w:style w:type="paragraph" w:customStyle="1" w:styleId="Session">
    <w:name w:val="Session"/>
    <w:basedOn w:val="OPCParaBase"/>
    <w:rsid w:val="00D274DE"/>
    <w:pPr>
      <w:spacing w:line="240" w:lineRule="auto"/>
    </w:pPr>
    <w:rPr>
      <w:sz w:val="28"/>
    </w:rPr>
  </w:style>
  <w:style w:type="paragraph" w:customStyle="1" w:styleId="Sponsor">
    <w:name w:val="Sponsor"/>
    <w:basedOn w:val="OPCParaBase"/>
    <w:rsid w:val="00D274DE"/>
    <w:pPr>
      <w:spacing w:line="240" w:lineRule="auto"/>
    </w:pPr>
    <w:rPr>
      <w:i/>
    </w:rPr>
  </w:style>
  <w:style w:type="paragraph" w:customStyle="1" w:styleId="Subitem">
    <w:name w:val="Subitem"/>
    <w:aliases w:val="iss"/>
    <w:basedOn w:val="OPCParaBase"/>
    <w:rsid w:val="00D274DE"/>
    <w:pPr>
      <w:spacing w:before="180" w:line="240" w:lineRule="auto"/>
      <w:ind w:left="709" w:hanging="709"/>
    </w:pPr>
  </w:style>
  <w:style w:type="paragraph" w:customStyle="1" w:styleId="SubitemHead">
    <w:name w:val="SubitemHead"/>
    <w:aliases w:val="issh"/>
    <w:basedOn w:val="OPCParaBase"/>
    <w:rsid w:val="00D274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74DE"/>
    <w:pPr>
      <w:spacing w:before="40" w:line="240" w:lineRule="auto"/>
      <w:ind w:left="1134"/>
    </w:pPr>
  </w:style>
  <w:style w:type="paragraph" w:customStyle="1" w:styleId="SubsectionHead">
    <w:name w:val="SubsectionHead"/>
    <w:aliases w:val="ssh"/>
    <w:basedOn w:val="OPCParaBase"/>
    <w:next w:val="subsection"/>
    <w:rsid w:val="00D274DE"/>
    <w:pPr>
      <w:keepNext/>
      <w:keepLines/>
      <w:spacing w:before="240" w:line="240" w:lineRule="auto"/>
      <w:ind w:left="1134"/>
    </w:pPr>
    <w:rPr>
      <w:i/>
    </w:rPr>
  </w:style>
  <w:style w:type="paragraph" w:customStyle="1" w:styleId="Tablea">
    <w:name w:val="Table(a)"/>
    <w:aliases w:val="ta"/>
    <w:basedOn w:val="OPCParaBase"/>
    <w:rsid w:val="00D274DE"/>
    <w:pPr>
      <w:spacing w:before="60" w:line="240" w:lineRule="auto"/>
      <w:ind w:left="284" w:hanging="284"/>
    </w:pPr>
    <w:rPr>
      <w:sz w:val="20"/>
    </w:rPr>
  </w:style>
  <w:style w:type="paragraph" w:customStyle="1" w:styleId="TableAA">
    <w:name w:val="Table(AA)"/>
    <w:aliases w:val="taaa"/>
    <w:basedOn w:val="OPCParaBase"/>
    <w:rsid w:val="00D274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74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74DE"/>
    <w:pPr>
      <w:spacing w:before="60" w:line="240" w:lineRule="atLeast"/>
    </w:pPr>
    <w:rPr>
      <w:sz w:val="20"/>
    </w:rPr>
  </w:style>
  <w:style w:type="paragraph" w:customStyle="1" w:styleId="TLPBoxTextnote">
    <w:name w:val="TLPBoxText(note"/>
    <w:aliases w:val="right)"/>
    <w:basedOn w:val="OPCParaBase"/>
    <w:rsid w:val="00D274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4DE"/>
    <w:pPr>
      <w:numPr>
        <w:numId w:val="17"/>
      </w:numPr>
      <w:tabs>
        <w:tab w:val="clear" w:pos="2517"/>
        <w:tab w:val="left" w:pos="357"/>
      </w:tabs>
      <w:spacing w:before="60" w:line="198" w:lineRule="exact"/>
    </w:pPr>
    <w:rPr>
      <w:sz w:val="18"/>
    </w:rPr>
  </w:style>
  <w:style w:type="paragraph" w:customStyle="1" w:styleId="TLPnoteright">
    <w:name w:val="TLPnote(right)"/>
    <w:aliases w:val="nr"/>
    <w:basedOn w:val="OPCParaBase"/>
    <w:rsid w:val="00D274DE"/>
    <w:pPr>
      <w:spacing w:before="122" w:line="198" w:lineRule="exact"/>
      <w:ind w:left="1985" w:hanging="851"/>
      <w:jc w:val="right"/>
    </w:pPr>
    <w:rPr>
      <w:sz w:val="18"/>
    </w:rPr>
  </w:style>
  <w:style w:type="paragraph" w:customStyle="1" w:styleId="TLPTableBullet">
    <w:name w:val="TLPTableBullet"/>
    <w:aliases w:val="ttb"/>
    <w:basedOn w:val="OPCParaBase"/>
    <w:rsid w:val="00D274DE"/>
    <w:pPr>
      <w:spacing w:line="240" w:lineRule="exact"/>
      <w:ind w:left="284" w:hanging="284"/>
    </w:pPr>
    <w:rPr>
      <w:sz w:val="20"/>
    </w:rPr>
  </w:style>
  <w:style w:type="paragraph" w:styleId="TOC1">
    <w:name w:val="toc 1"/>
    <w:basedOn w:val="OPCParaBase"/>
    <w:next w:val="Normal"/>
    <w:uiPriority w:val="39"/>
    <w:unhideWhenUsed/>
    <w:rsid w:val="00D274D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74D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274D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274D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274DE"/>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D274D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74D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74D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274D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Normal"/>
    <w:rsid w:val="00D274DE"/>
    <w:pPr>
      <w:keepLines/>
      <w:spacing w:before="240" w:after="120" w:line="240" w:lineRule="auto"/>
      <w:ind w:left="794"/>
    </w:pPr>
    <w:rPr>
      <w:b/>
      <w:kern w:val="28"/>
      <w:sz w:val="20"/>
    </w:rPr>
  </w:style>
  <w:style w:type="paragraph" w:customStyle="1" w:styleId="TofSectsHeading">
    <w:name w:val="TofSects(Heading)"/>
    <w:basedOn w:val="OPCParaBase"/>
    <w:rsid w:val="00D274DE"/>
    <w:pPr>
      <w:spacing w:before="240" w:after="120" w:line="240" w:lineRule="auto"/>
    </w:pPr>
    <w:rPr>
      <w:b/>
      <w:sz w:val="24"/>
    </w:rPr>
  </w:style>
  <w:style w:type="paragraph" w:customStyle="1" w:styleId="TofSectsSection">
    <w:name w:val="TofSects(Section)"/>
    <w:basedOn w:val="OPCParaBase"/>
    <w:rsid w:val="00D274DE"/>
    <w:pPr>
      <w:keepLines/>
      <w:spacing w:before="40" w:line="240" w:lineRule="auto"/>
      <w:ind w:left="1588" w:hanging="794"/>
    </w:pPr>
    <w:rPr>
      <w:kern w:val="28"/>
      <w:sz w:val="18"/>
    </w:rPr>
  </w:style>
  <w:style w:type="paragraph" w:customStyle="1" w:styleId="TofSectsSubdiv">
    <w:name w:val="TofSects(Subdiv)"/>
    <w:basedOn w:val="OPCParaBase"/>
    <w:rsid w:val="00D274DE"/>
    <w:pPr>
      <w:keepLines/>
      <w:spacing w:before="80" w:line="240" w:lineRule="auto"/>
      <w:ind w:left="1588" w:hanging="794"/>
    </w:pPr>
    <w:rPr>
      <w:kern w:val="28"/>
    </w:rPr>
  </w:style>
  <w:style w:type="paragraph" w:customStyle="1" w:styleId="WRStyle">
    <w:name w:val="WR Style"/>
    <w:aliases w:val="WR"/>
    <w:basedOn w:val="OPCParaBase"/>
    <w:rsid w:val="00D274DE"/>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D274DE"/>
    <w:pPr>
      <w:numPr>
        <w:numId w:val="16"/>
      </w:numPr>
      <w:spacing w:before="240" w:line="240" w:lineRule="auto"/>
    </w:pPr>
    <w:rPr>
      <w:sz w:val="24"/>
    </w:rPr>
  </w:style>
  <w:style w:type="paragraph" w:customStyle="1" w:styleId="BodyPara">
    <w:name w:val="BodyPara"/>
    <w:aliases w:val="ba"/>
    <w:basedOn w:val="OPCParaBase"/>
    <w:rsid w:val="00D274DE"/>
    <w:pPr>
      <w:numPr>
        <w:ilvl w:val="1"/>
        <w:numId w:val="16"/>
      </w:numPr>
      <w:spacing w:before="240" w:line="240" w:lineRule="auto"/>
    </w:pPr>
    <w:rPr>
      <w:sz w:val="24"/>
    </w:rPr>
  </w:style>
  <w:style w:type="paragraph" w:customStyle="1" w:styleId="BodyParaBullet">
    <w:name w:val="BodyParaBullet"/>
    <w:aliases w:val="bpb"/>
    <w:basedOn w:val="OPCParaBase"/>
    <w:rsid w:val="00680F77"/>
    <w:pPr>
      <w:tabs>
        <w:tab w:val="left" w:pos="2160"/>
      </w:tabs>
      <w:spacing w:before="240" w:line="240" w:lineRule="auto"/>
    </w:pPr>
    <w:rPr>
      <w:sz w:val="24"/>
    </w:rPr>
  </w:style>
  <w:style w:type="paragraph" w:customStyle="1" w:styleId="BodySubPara">
    <w:name w:val="BodySubPara"/>
    <w:aliases w:val="bi"/>
    <w:basedOn w:val="OPCParaBase"/>
    <w:rsid w:val="00680F77"/>
    <w:pPr>
      <w:spacing w:before="240" w:line="240" w:lineRule="auto"/>
    </w:pPr>
    <w:rPr>
      <w:sz w:val="24"/>
    </w:rPr>
  </w:style>
  <w:style w:type="numbering" w:customStyle="1" w:styleId="OPCBodyList">
    <w:name w:val="OPCBodyList"/>
    <w:uiPriority w:val="99"/>
    <w:rsid w:val="00D274DE"/>
    <w:pPr>
      <w:numPr>
        <w:numId w:val="13"/>
      </w:numPr>
    </w:pPr>
  </w:style>
  <w:style w:type="paragraph" w:customStyle="1" w:styleId="Head1">
    <w:name w:val="Head 1"/>
    <w:aliases w:val="1"/>
    <w:basedOn w:val="OPCParaBase"/>
    <w:next w:val="BodyNum"/>
    <w:rsid w:val="00D274DE"/>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D274DE"/>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D274DE"/>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D274DE"/>
    <w:pPr>
      <w:spacing w:before="122" w:line="198" w:lineRule="exact"/>
      <w:ind w:left="2353" w:hanging="709"/>
    </w:pPr>
    <w:rPr>
      <w:sz w:val="18"/>
    </w:rPr>
  </w:style>
  <w:style w:type="paragraph" w:styleId="Footer">
    <w:name w:val="footer"/>
    <w:link w:val="FooterChar"/>
    <w:rsid w:val="00D274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74DE"/>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D274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DE"/>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D274DE"/>
    <w:pPr>
      <w:spacing w:before="122" w:line="198" w:lineRule="exact"/>
      <w:ind w:left="1985" w:hanging="851"/>
    </w:pPr>
    <w:rPr>
      <w:sz w:val="18"/>
    </w:rPr>
  </w:style>
  <w:style w:type="paragraph" w:customStyle="1" w:styleId="FreeForm">
    <w:name w:val="FreeForm"/>
    <w:rsid w:val="00D274DE"/>
    <w:rPr>
      <w:rFonts w:ascii="Arial" w:hAnsi="Arial"/>
      <w:sz w:val="22"/>
    </w:rPr>
  </w:style>
  <w:style w:type="paragraph" w:customStyle="1" w:styleId="SOTextNote">
    <w:name w:val="SO TextNote"/>
    <w:aliases w:val="sont"/>
    <w:basedOn w:val="SOText"/>
    <w:qFormat/>
    <w:rsid w:val="00D274DE"/>
    <w:pPr>
      <w:spacing w:before="122" w:line="198" w:lineRule="exact"/>
      <w:ind w:left="1843" w:hanging="709"/>
    </w:pPr>
    <w:rPr>
      <w:sz w:val="18"/>
    </w:rPr>
  </w:style>
  <w:style w:type="paragraph" w:customStyle="1" w:styleId="SOPara">
    <w:name w:val="SO Para"/>
    <w:aliases w:val="soa"/>
    <w:basedOn w:val="SOText"/>
    <w:link w:val="SOParaChar"/>
    <w:qFormat/>
    <w:rsid w:val="00D274DE"/>
    <w:pPr>
      <w:tabs>
        <w:tab w:val="right" w:pos="1786"/>
      </w:tabs>
      <w:spacing w:before="40"/>
      <w:ind w:left="2070" w:hanging="936"/>
    </w:pPr>
  </w:style>
  <w:style w:type="character" w:customStyle="1" w:styleId="SOParaChar">
    <w:name w:val="SO Para Char"/>
    <w:aliases w:val="soa Char"/>
    <w:basedOn w:val="DefaultParagraphFont"/>
    <w:link w:val="SOPara"/>
    <w:rsid w:val="00D274DE"/>
    <w:rPr>
      <w:sz w:val="22"/>
    </w:rPr>
  </w:style>
  <w:style w:type="paragraph" w:customStyle="1" w:styleId="SOHeadItalic">
    <w:name w:val="SO HeadItalic"/>
    <w:aliases w:val="sohi"/>
    <w:basedOn w:val="SOText"/>
    <w:next w:val="SOText"/>
    <w:link w:val="SOHeadItalicChar"/>
    <w:qFormat/>
    <w:rsid w:val="00D274DE"/>
    <w:rPr>
      <w:i/>
    </w:rPr>
  </w:style>
  <w:style w:type="character" w:customStyle="1" w:styleId="SOHeadItalicChar">
    <w:name w:val="SO HeadItalic Char"/>
    <w:aliases w:val="sohi Char"/>
    <w:basedOn w:val="DefaultParagraphFont"/>
    <w:link w:val="SOHeadItalic"/>
    <w:rsid w:val="00D274DE"/>
    <w:rPr>
      <w:i/>
      <w:sz w:val="22"/>
    </w:rPr>
  </w:style>
  <w:style w:type="paragraph" w:customStyle="1" w:styleId="SOHeadBold">
    <w:name w:val="SO HeadBold"/>
    <w:aliases w:val="sohb"/>
    <w:basedOn w:val="SOText"/>
    <w:next w:val="SOText"/>
    <w:link w:val="SOHeadBoldChar"/>
    <w:qFormat/>
    <w:rsid w:val="00D274DE"/>
    <w:rPr>
      <w:b/>
    </w:rPr>
  </w:style>
  <w:style w:type="character" w:customStyle="1" w:styleId="SOHeadBoldChar">
    <w:name w:val="SO HeadBold Char"/>
    <w:aliases w:val="sohb Char"/>
    <w:basedOn w:val="DefaultParagraphFont"/>
    <w:link w:val="SOHeadBold"/>
    <w:rsid w:val="00D274DE"/>
    <w:rPr>
      <w:b/>
      <w:sz w:val="22"/>
    </w:rPr>
  </w:style>
  <w:style w:type="paragraph" w:customStyle="1" w:styleId="SOBulletNote">
    <w:name w:val="SO BulletNote"/>
    <w:aliases w:val="sonb"/>
    <w:basedOn w:val="SOTextNote"/>
    <w:link w:val="SOBulletNoteChar"/>
    <w:qFormat/>
    <w:rsid w:val="00D274DE"/>
    <w:pPr>
      <w:tabs>
        <w:tab w:val="left" w:pos="1560"/>
      </w:tabs>
      <w:ind w:left="2268" w:hanging="1134"/>
    </w:pPr>
  </w:style>
  <w:style w:type="character" w:customStyle="1" w:styleId="SOBulletNoteChar">
    <w:name w:val="SO BulletNote Char"/>
    <w:aliases w:val="sonb Char"/>
    <w:basedOn w:val="DefaultParagraphFont"/>
    <w:link w:val="SOBulletNote"/>
    <w:rsid w:val="00D274DE"/>
    <w:rPr>
      <w:sz w:val="18"/>
    </w:rPr>
  </w:style>
  <w:style w:type="paragraph" w:customStyle="1" w:styleId="SOBullet">
    <w:name w:val="SO Bullet"/>
    <w:aliases w:val="sotb"/>
    <w:basedOn w:val="SOText"/>
    <w:link w:val="SOBulletChar"/>
    <w:qFormat/>
    <w:rsid w:val="00D274DE"/>
    <w:pPr>
      <w:ind w:left="1559" w:hanging="425"/>
    </w:pPr>
  </w:style>
  <w:style w:type="character" w:customStyle="1" w:styleId="SOBulletChar">
    <w:name w:val="SO Bullet Char"/>
    <w:aliases w:val="sotb Char"/>
    <w:basedOn w:val="DefaultParagraphFont"/>
    <w:link w:val="SOBullet"/>
    <w:rsid w:val="00D274DE"/>
    <w:rPr>
      <w:sz w:val="22"/>
    </w:rPr>
  </w:style>
  <w:style w:type="paragraph" w:customStyle="1" w:styleId="TableHeading">
    <w:name w:val="TableHeading"/>
    <w:aliases w:val="th"/>
    <w:basedOn w:val="OPCParaBase"/>
    <w:next w:val="Normal"/>
    <w:rsid w:val="00D274DE"/>
    <w:pPr>
      <w:keepNext/>
      <w:spacing w:before="60" w:line="240" w:lineRule="atLeast"/>
    </w:pPr>
    <w:rPr>
      <w:b/>
      <w:sz w:val="20"/>
    </w:rPr>
  </w:style>
  <w:style w:type="table" w:styleId="TableGrid">
    <w:name w:val="Table Grid"/>
    <w:basedOn w:val="TableNormal"/>
    <w:uiPriority w:val="59"/>
    <w:rsid w:val="00D2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D274DE"/>
    <w:rPr>
      <w:i/>
      <w:sz w:val="24"/>
      <w:szCs w:val="24"/>
    </w:rPr>
  </w:style>
  <w:style w:type="paragraph" w:customStyle="1" w:styleId="ENoteTableHeading">
    <w:name w:val="ENoteTableHeading"/>
    <w:aliases w:val="enth"/>
    <w:basedOn w:val="OPCParaBase"/>
    <w:rsid w:val="00D274DE"/>
    <w:pPr>
      <w:keepNext/>
      <w:spacing w:before="60" w:line="240" w:lineRule="atLeast"/>
    </w:pPr>
    <w:rPr>
      <w:rFonts w:ascii="Arial" w:hAnsi="Arial"/>
      <w:b/>
      <w:sz w:val="16"/>
    </w:rPr>
  </w:style>
  <w:style w:type="paragraph" w:customStyle="1" w:styleId="ENoteTableText">
    <w:name w:val="ENoteTableText"/>
    <w:aliases w:val="entt"/>
    <w:basedOn w:val="OPCParaBase"/>
    <w:rsid w:val="00D274DE"/>
    <w:pPr>
      <w:spacing w:before="60" w:line="240" w:lineRule="atLeast"/>
    </w:pPr>
    <w:rPr>
      <w:sz w:val="16"/>
    </w:rPr>
  </w:style>
  <w:style w:type="paragraph" w:customStyle="1" w:styleId="ENotesHeading1">
    <w:name w:val="ENotesHeading 1"/>
    <w:aliases w:val="Enh1"/>
    <w:basedOn w:val="OPCParaBase"/>
    <w:next w:val="Normal"/>
    <w:rsid w:val="00D274DE"/>
    <w:pPr>
      <w:spacing w:before="120"/>
      <w:outlineLvl w:val="1"/>
    </w:pPr>
    <w:rPr>
      <w:b/>
      <w:sz w:val="28"/>
      <w:szCs w:val="28"/>
    </w:rPr>
  </w:style>
  <w:style w:type="paragraph" w:customStyle="1" w:styleId="ENotesHeading2">
    <w:name w:val="ENotesHeading 2"/>
    <w:aliases w:val="Enh2"/>
    <w:basedOn w:val="OPCParaBase"/>
    <w:next w:val="Normal"/>
    <w:rsid w:val="00D274DE"/>
    <w:pPr>
      <w:spacing w:before="120" w:after="120"/>
      <w:outlineLvl w:val="2"/>
    </w:pPr>
    <w:rPr>
      <w:b/>
      <w:sz w:val="24"/>
      <w:szCs w:val="28"/>
    </w:rPr>
  </w:style>
  <w:style w:type="paragraph" w:customStyle="1" w:styleId="MadeunderText">
    <w:name w:val="MadeunderText"/>
    <w:basedOn w:val="OPCParaBase"/>
    <w:next w:val="CompiledMadeUnder"/>
    <w:rsid w:val="00D274DE"/>
    <w:pPr>
      <w:spacing w:before="240"/>
    </w:pPr>
    <w:rPr>
      <w:sz w:val="24"/>
      <w:szCs w:val="24"/>
    </w:rPr>
  </w:style>
  <w:style w:type="character" w:customStyle="1" w:styleId="subsectionChar">
    <w:name w:val="subsection Char"/>
    <w:aliases w:val="ss Char"/>
    <w:basedOn w:val="DefaultParagraphFont"/>
    <w:link w:val="subsection"/>
    <w:locked/>
    <w:rsid w:val="00D274DE"/>
    <w:rPr>
      <w:rFonts w:eastAsia="Times New Roman" w:cs="Times New Roman"/>
      <w:sz w:val="22"/>
      <w:lang w:eastAsia="en-AU"/>
    </w:rPr>
  </w:style>
  <w:style w:type="paragraph" w:customStyle="1" w:styleId="SOText">
    <w:name w:val="SO Text"/>
    <w:aliases w:val="sot"/>
    <w:link w:val="SOTextChar"/>
    <w:rsid w:val="00D274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74DE"/>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D274DE"/>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 w:type="paragraph" w:styleId="Revision">
    <w:name w:val="Revision"/>
    <w:hidden/>
    <w:uiPriority w:val="99"/>
    <w:semiHidden/>
    <w:rsid w:val="00A410DD"/>
    <w:rPr>
      <w:sz w:val="22"/>
    </w:rPr>
  </w:style>
  <w:style w:type="table" w:customStyle="1" w:styleId="CFlag">
    <w:name w:val="CFlag"/>
    <w:basedOn w:val="TableNormal"/>
    <w:uiPriority w:val="99"/>
    <w:rsid w:val="00D274DE"/>
    <w:rPr>
      <w:rFonts w:eastAsia="Times New Roman" w:cs="Times New Roman"/>
      <w:lang w:eastAsia="en-AU"/>
    </w:rPr>
    <w:tblPr/>
  </w:style>
  <w:style w:type="character" w:customStyle="1" w:styleId="CharSubPartNoCASA">
    <w:name w:val="CharSubPartNo(CASA)"/>
    <w:basedOn w:val="OPCCharBase"/>
    <w:uiPriority w:val="1"/>
    <w:rsid w:val="00D274DE"/>
  </w:style>
  <w:style w:type="character" w:customStyle="1" w:styleId="CharSubPartTextCASA">
    <w:name w:val="CharSubPartText(CASA)"/>
    <w:basedOn w:val="OPCCharBase"/>
    <w:uiPriority w:val="1"/>
    <w:rsid w:val="00D274DE"/>
  </w:style>
  <w:style w:type="paragraph" w:customStyle="1" w:styleId="CompiledActNo">
    <w:name w:val="CompiledActNo"/>
    <w:basedOn w:val="OPCParaBase"/>
    <w:next w:val="Normal"/>
    <w:rsid w:val="00D274DE"/>
    <w:rPr>
      <w:b/>
      <w:sz w:val="24"/>
      <w:szCs w:val="24"/>
    </w:rPr>
  </w:style>
  <w:style w:type="paragraph" w:customStyle="1" w:styleId="DivisionMigration">
    <w:name w:val="DivisionMigration"/>
    <w:aliases w:val="dm"/>
    <w:basedOn w:val="OPCParaBase"/>
    <w:next w:val="Normal"/>
    <w:rsid w:val="00D274DE"/>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274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4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274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4DE"/>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274DE"/>
    <w:pPr>
      <w:keepNext/>
      <w:spacing w:before="120" w:line="240" w:lineRule="auto"/>
      <w:outlineLvl w:val="4"/>
    </w:pPr>
    <w:rPr>
      <w:b/>
      <w:szCs w:val="24"/>
    </w:rPr>
  </w:style>
  <w:style w:type="paragraph" w:customStyle="1" w:styleId="ENotesText">
    <w:name w:val="ENotesText"/>
    <w:aliases w:val="Ent"/>
    <w:basedOn w:val="OPCParaBase"/>
    <w:next w:val="Normal"/>
    <w:rsid w:val="00D274DE"/>
    <w:pPr>
      <w:spacing w:before="120"/>
    </w:pPr>
  </w:style>
  <w:style w:type="paragraph" w:customStyle="1" w:styleId="ENoteTTi">
    <w:name w:val="ENoteTTi"/>
    <w:aliases w:val="entti"/>
    <w:basedOn w:val="OPCParaBase"/>
    <w:rsid w:val="00D274DE"/>
    <w:pPr>
      <w:keepNext/>
      <w:spacing w:before="60" w:line="240" w:lineRule="atLeast"/>
      <w:ind w:left="170"/>
    </w:pPr>
    <w:rPr>
      <w:sz w:val="16"/>
    </w:rPr>
  </w:style>
  <w:style w:type="paragraph" w:customStyle="1" w:styleId="ENoteTTIndentHeading">
    <w:name w:val="ENoteTTIndentHeading"/>
    <w:aliases w:val="enTTHi"/>
    <w:basedOn w:val="OPCParaBase"/>
    <w:rsid w:val="00D274DE"/>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274DE"/>
    <w:pPr>
      <w:keepNext/>
      <w:spacing w:before="60" w:line="240" w:lineRule="atLeast"/>
      <w:ind w:left="340"/>
    </w:pPr>
    <w:rPr>
      <w:b/>
      <w:sz w:val="16"/>
    </w:rPr>
  </w:style>
  <w:style w:type="paragraph" w:customStyle="1" w:styleId="ENoteTTiSub">
    <w:name w:val="ENoteTTiSub"/>
    <w:aliases w:val="enttis"/>
    <w:basedOn w:val="OPCParaBase"/>
    <w:rsid w:val="00D274DE"/>
    <w:pPr>
      <w:keepNext/>
      <w:spacing w:before="60" w:line="240" w:lineRule="atLeast"/>
      <w:ind w:left="340"/>
    </w:pPr>
    <w:rPr>
      <w:sz w:val="16"/>
    </w:rPr>
  </w:style>
  <w:style w:type="paragraph" w:customStyle="1" w:styleId="FileName">
    <w:name w:val="FileName"/>
    <w:basedOn w:val="Normal"/>
    <w:rsid w:val="00D274DE"/>
  </w:style>
  <w:style w:type="character" w:customStyle="1" w:styleId="Heading1Char">
    <w:name w:val="Heading 1 Char"/>
    <w:basedOn w:val="DefaultParagraphFont"/>
    <w:link w:val="Heading1"/>
    <w:uiPriority w:val="9"/>
    <w:rsid w:val="00D274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274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274D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274D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274D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D274DE"/>
    <w:rPr>
      <w:rFonts w:ascii="Arial" w:eastAsia="Times New Roman" w:hAnsi="Arial" w:cs="Times New Roman"/>
      <w:b/>
      <w:kern w:val="28"/>
      <w:sz w:val="32"/>
      <w:lang w:eastAsia="en-AU"/>
    </w:rPr>
  </w:style>
  <w:style w:type="character" w:customStyle="1" w:styleId="Heading7Char">
    <w:name w:val="Heading 7 Char"/>
    <w:basedOn w:val="DefaultParagraphFont"/>
    <w:link w:val="Heading7"/>
    <w:uiPriority w:val="9"/>
    <w:semiHidden/>
    <w:rsid w:val="00D274D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274D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274DE"/>
    <w:rPr>
      <w:rFonts w:asciiTheme="majorHAnsi" w:eastAsiaTheme="majorEastAsia" w:hAnsiTheme="majorHAnsi" w:cstheme="majorBidi"/>
      <w:i/>
      <w:iCs/>
      <w:color w:val="404040" w:themeColor="text1" w:themeTint="BF"/>
    </w:rPr>
  </w:style>
  <w:style w:type="paragraph" w:customStyle="1" w:styleId="InstNo">
    <w:name w:val="InstNo"/>
    <w:basedOn w:val="OPCParaBase"/>
    <w:next w:val="Normal"/>
    <w:rsid w:val="00D274DE"/>
    <w:rPr>
      <w:b/>
      <w:sz w:val="28"/>
      <w:szCs w:val="32"/>
    </w:rPr>
  </w:style>
  <w:style w:type="paragraph" w:customStyle="1" w:styleId="LegislationMadeUnder">
    <w:name w:val="LegislationMadeUnder"/>
    <w:basedOn w:val="OPCParaBase"/>
    <w:next w:val="Normal"/>
    <w:rsid w:val="00D274DE"/>
    <w:rPr>
      <w:i/>
      <w:sz w:val="32"/>
      <w:szCs w:val="32"/>
    </w:rPr>
  </w:style>
  <w:style w:type="character" w:styleId="LineNumber">
    <w:name w:val="line number"/>
    <w:basedOn w:val="OPCCharBase"/>
    <w:uiPriority w:val="99"/>
    <w:semiHidden/>
    <w:unhideWhenUsed/>
    <w:rsid w:val="00D274DE"/>
    <w:rPr>
      <w:sz w:val="16"/>
    </w:rPr>
  </w:style>
  <w:style w:type="paragraph" w:customStyle="1" w:styleId="NotesHeading1">
    <w:name w:val="NotesHeading 1"/>
    <w:basedOn w:val="OPCParaBase"/>
    <w:next w:val="Normal"/>
    <w:rsid w:val="00D274DE"/>
    <w:pPr>
      <w:outlineLvl w:val="0"/>
    </w:pPr>
    <w:rPr>
      <w:b/>
      <w:sz w:val="28"/>
      <w:szCs w:val="28"/>
    </w:rPr>
  </w:style>
  <w:style w:type="paragraph" w:customStyle="1" w:styleId="NotesHeading2">
    <w:name w:val="NotesHeading 2"/>
    <w:basedOn w:val="OPCParaBase"/>
    <w:next w:val="Normal"/>
    <w:rsid w:val="00D274DE"/>
    <w:rPr>
      <w:b/>
      <w:sz w:val="28"/>
      <w:szCs w:val="28"/>
    </w:rPr>
  </w:style>
  <w:style w:type="paragraph" w:customStyle="1" w:styleId="NoteToSubpara">
    <w:name w:val="NoteToSubpara"/>
    <w:aliases w:val="nts"/>
    <w:basedOn w:val="OPCParaBase"/>
    <w:rsid w:val="00D274DE"/>
    <w:pPr>
      <w:spacing w:before="40" w:line="198" w:lineRule="exact"/>
      <w:ind w:left="2835" w:hanging="709"/>
    </w:pPr>
    <w:rPr>
      <w:sz w:val="18"/>
    </w:rPr>
  </w:style>
  <w:style w:type="paragraph" w:customStyle="1" w:styleId="Paragraphsub-sub-sub">
    <w:name w:val="Paragraph(sub-sub-sub)"/>
    <w:aliases w:val="aaaa"/>
    <w:basedOn w:val="OPCParaBase"/>
    <w:rsid w:val="00D274DE"/>
    <w:pPr>
      <w:tabs>
        <w:tab w:val="right" w:pos="3402"/>
      </w:tabs>
      <w:spacing w:before="40" w:line="240" w:lineRule="auto"/>
      <w:ind w:left="3402" w:hanging="3402"/>
    </w:pPr>
  </w:style>
  <w:style w:type="paragraph" w:customStyle="1" w:styleId="SignCoverPageEnd">
    <w:name w:val="SignCoverPageEnd"/>
    <w:basedOn w:val="OPCParaBase"/>
    <w:next w:val="Normal"/>
    <w:rsid w:val="00D274D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D274DE"/>
    <w:pPr>
      <w:pBdr>
        <w:top w:val="single" w:sz="4" w:space="1" w:color="auto"/>
      </w:pBdr>
      <w:spacing w:before="360"/>
      <w:ind w:right="397"/>
      <w:jc w:val="both"/>
    </w:pPr>
  </w:style>
  <w:style w:type="paragraph" w:customStyle="1" w:styleId="SubDivisionMigration">
    <w:name w:val="SubDivisionMigration"/>
    <w:aliases w:val="sdm"/>
    <w:basedOn w:val="OPCParaBase"/>
    <w:rsid w:val="00D274DE"/>
    <w:pPr>
      <w:keepNext/>
      <w:keepLines/>
      <w:spacing w:before="220" w:line="240" w:lineRule="auto"/>
      <w:ind w:left="1134" w:hanging="1134"/>
    </w:pPr>
    <w:rPr>
      <w:b/>
      <w:sz w:val="26"/>
    </w:rPr>
  </w:style>
  <w:style w:type="paragraph" w:customStyle="1" w:styleId="SubPartCASA">
    <w:name w:val="SubPart(CASA)"/>
    <w:aliases w:val="csp"/>
    <w:basedOn w:val="OPCParaBase"/>
    <w:next w:val="ActHead3"/>
    <w:rsid w:val="00D274DE"/>
    <w:pPr>
      <w:keepNext/>
      <w:keepLines/>
      <w:spacing w:before="280"/>
      <w:outlineLvl w:val="1"/>
    </w:pPr>
    <w:rPr>
      <w:b/>
      <w:kern w:val="28"/>
      <w:sz w:val="32"/>
    </w:rPr>
  </w:style>
  <w:style w:type="paragraph" w:customStyle="1" w:styleId="TableTextEndNotes">
    <w:name w:val="TableTextEndNotes"/>
    <w:aliases w:val="Tten"/>
    <w:basedOn w:val="Normal"/>
    <w:rsid w:val="00D274DE"/>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88312">
      <w:bodyDiv w:val="1"/>
      <w:marLeft w:val="0"/>
      <w:marRight w:val="0"/>
      <w:marTop w:val="0"/>
      <w:marBottom w:val="0"/>
      <w:divBdr>
        <w:top w:val="none" w:sz="0" w:space="0" w:color="auto"/>
        <w:left w:val="none" w:sz="0" w:space="0" w:color="auto"/>
        <w:bottom w:val="none" w:sz="0" w:space="0" w:color="auto"/>
        <w:right w:val="none" w:sz="0" w:space="0" w:color="auto"/>
      </w:divBdr>
    </w:div>
    <w:div w:id="1645543451">
      <w:bodyDiv w:val="1"/>
      <w:marLeft w:val="0"/>
      <w:marRight w:val="0"/>
      <w:marTop w:val="0"/>
      <w:marBottom w:val="0"/>
      <w:divBdr>
        <w:top w:val="none" w:sz="0" w:space="0" w:color="auto"/>
        <w:left w:val="none" w:sz="0" w:space="0" w:color="auto"/>
        <w:bottom w:val="none" w:sz="0" w:space="0" w:color="auto"/>
        <w:right w:val="none" w:sz="0" w:space="0" w:color="auto"/>
      </w:divBdr>
    </w:div>
    <w:div w:id="1728261231">
      <w:bodyDiv w:val="1"/>
      <w:marLeft w:val="0"/>
      <w:marRight w:val="0"/>
      <w:marTop w:val="0"/>
      <w:marBottom w:val="0"/>
      <w:divBdr>
        <w:top w:val="none" w:sz="0" w:space="0" w:color="auto"/>
        <w:left w:val="none" w:sz="0" w:space="0" w:color="auto"/>
        <w:bottom w:val="none" w:sz="0" w:space="0" w:color="auto"/>
        <w:right w:val="none" w:sz="0" w:space="0" w:color="auto"/>
      </w:divBdr>
    </w:div>
    <w:div w:id="20072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2</TotalTime>
  <Pages>11</Pages>
  <Words>1473</Words>
  <Characters>7982</Characters>
  <Application>Microsoft Office Word</Application>
  <DocSecurity>0</DocSecurity>
  <PresentationFormat/>
  <Lines>307</Lines>
  <Paragraphs>200</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9270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NELSON, Wilbur</cp:lastModifiedBy>
  <cp:revision>6</cp:revision>
  <cp:lastPrinted>2020-03-03T22:17:00Z</cp:lastPrinted>
  <dcterms:created xsi:type="dcterms:W3CDTF">2025-11-26T21:57:00Z</dcterms:created>
  <dcterms:modified xsi:type="dcterms:W3CDTF">2025-12-04T03:51:00Z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lassificationContentMarkingHeaderShapeIds">
    <vt:lpwstr>34817b5b,35be4e21,29ae9d72,3cdddd57,219cae56,4918646c,3b25b5f5,4db392cb,23609821,f3be62b,15e41847</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7a50002e,5b5b9a07,5352d96e,427717bb,6cbbce32,18517765,11a74207,2297ef5,778bee17,8cb70e9,4869839b,48facbc4</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2025-11-24T03:29:01Z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5d4ede44-5b09-4a65-b1c2-6593f2007eaa</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