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449B" w14:textId="52BE69B4" w:rsidR="001B07B5" w:rsidRDefault="000E60B1" w:rsidP="00090253">
      <w:pPr>
        <w:spacing w:before="120" w:after="120" w:line="240" w:lineRule="auto"/>
        <w:jc w:val="center"/>
        <w:rPr>
          <w:rFonts w:ascii="Times New Roman" w:hAnsi="Times New Roman"/>
          <w:b/>
          <w:sz w:val="24"/>
          <w:szCs w:val="24"/>
          <w:u w:val="single"/>
        </w:rPr>
      </w:pPr>
      <w:r>
        <w:rPr>
          <w:rFonts w:ascii="Times New Roman" w:hAnsi="Times New Roman"/>
          <w:b/>
          <w:sz w:val="24"/>
          <w:szCs w:val="24"/>
          <w:u w:val="single"/>
        </w:rPr>
        <w:t>SAFETY,</w:t>
      </w:r>
      <w:r w:rsidRPr="00F36CE5">
        <w:rPr>
          <w:rFonts w:ascii="Times New Roman" w:hAnsi="Times New Roman"/>
          <w:b/>
          <w:sz w:val="24"/>
          <w:szCs w:val="24"/>
          <w:u w:val="single"/>
        </w:rPr>
        <w:t xml:space="preserve"> REHABILITATION AND COMPENSATION</w:t>
      </w:r>
      <w:r w:rsidR="001B07B5">
        <w:rPr>
          <w:rFonts w:ascii="Times New Roman" w:hAnsi="Times New Roman"/>
          <w:b/>
          <w:sz w:val="24"/>
          <w:szCs w:val="24"/>
          <w:u w:val="single"/>
        </w:rPr>
        <w:t xml:space="preserve"> AMENDMENT</w:t>
      </w:r>
      <w:r w:rsidRPr="00F36CE5">
        <w:rPr>
          <w:rFonts w:ascii="Times New Roman" w:hAnsi="Times New Roman"/>
          <w:b/>
          <w:sz w:val="24"/>
          <w:szCs w:val="24"/>
          <w:u w:val="single"/>
        </w:rPr>
        <w:t xml:space="preserve"> (</w:t>
      </w:r>
      <w:r w:rsidR="001B07B5">
        <w:rPr>
          <w:rFonts w:ascii="Times New Roman" w:hAnsi="Times New Roman"/>
          <w:b/>
          <w:sz w:val="24"/>
          <w:szCs w:val="24"/>
          <w:u w:val="single"/>
        </w:rPr>
        <w:t>PRESCRIBED CANCERS)</w:t>
      </w:r>
      <w:r w:rsidRPr="00F36CE5">
        <w:rPr>
          <w:rFonts w:ascii="Times New Roman" w:hAnsi="Times New Roman"/>
          <w:b/>
          <w:sz w:val="24"/>
          <w:szCs w:val="24"/>
          <w:u w:val="single"/>
        </w:rPr>
        <w:t xml:space="preserve"> </w:t>
      </w:r>
      <w:r w:rsidR="001B07B5">
        <w:rPr>
          <w:rFonts w:ascii="Times New Roman" w:hAnsi="Times New Roman"/>
          <w:b/>
          <w:sz w:val="24"/>
          <w:szCs w:val="24"/>
          <w:u w:val="single"/>
        </w:rPr>
        <w:t>REGULATIONS</w:t>
      </w:r>
      <w:r>
        <w:rPr>
          <w:rFonts w:ascii="Times New Roman" w:hAnsi="Times New Roman"/>
          <w:b/>
          <w:sz w:val="24"/>
          <w:szCs w:val="24"/>
          <w:u w:val="single"/>
        </w:rPr>
        <w:t xml:space="preserve"> 202</w:t>
      </w:r>
      <w:r w:rsidR="00DC47EC">
        <w:rPr>
          <w:rFonts w:ascii="Times New Roman" w:hAnsi="Times New Roman"/>
          <w:b/>
          <w:sz w:val="24"/>
          <w:szCs w:val="24"/>
          <w:u w:val="single"/>
        </w:rPr>
        <w:t>2</w:t>
      </w:r>
    </w:p>
    <w:p w14:paraId="29853D2E" w14:textId="33F73096" w:rsidR="001B07B5" w:rsidRPr="00704A20" w:rsidRDefault="001B07B5" w:rsidP="000E60B1">
      <w:pPr>
        <w:spacing w:before="120" w:after="120" w:line="240" w:lineRule="auto"/>
        <w:jc w:val="center"/>
        <w:rPr>
          <w:rFonts w:ascii="Times New Roman" w:hAnsi="Times New Roman"/>
          <w:b/>
          <w:sz w:val="24"/>
          <w:szCs w:val="24"/>
          <w:u w:val="single"/>
        </w:rPr>
      </w:pPr>
    </w:p>
    <w:p w14:paraId="0740ACAB" w14:textId="77777777" w:rsidR="000E60B1" w:rsidRPr="00F36CE5" w:rsidRDefault="000E60B1" w:rsidP="000E60B1">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0740ACAC" w14:textId="77777777" w:rsidR="000E60B1" w:rsidRPr="009D2A47" w:rsidRDefault="000E60B1" w:rsidP="000E60B1">
      <w:pPr>
        <w:spacing w:before="120" w:after="120" w:line="240" w:lineRule="auto"/>
        <w:jc w:val="center"/>
        <w:rPr>
          <w:rFonts w:ascii="Times New Roman" w:hAnsi="Times New Roman"/>
          <w:b/>
          <w:u w:val="single"/>
        </w:rPr>
      </w:pPr>
    </w:p>
    <w:p w14:paraId="0740ACAD" w14:textId="3BFBAB76" w:rsidR="000E60B1" w:rsidRPr="00C04ACC" w:rsidRDefault="000E60B1" w:rsidP="000E60B1">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sidR="00DC47EC">
        <w:rPr>
          <w:rFonts w:ascii="Times New Roman" w:hAnsi="Times New Roman"/>
          <w:lang w:val="en"/>
        </w:rPr>
        <w:t>Employment and Workplace</w:t>
      </w:r>
      <w:r>
        <w:rPr>
          <w:rFonts w:ascii="Times New Roman" w:hAnsi="Times New Roman"/>
          <w:lang w:val="en"/>
        </w:rPr>
        <w:t xml:space="preserve"> Relations </w:t>
      </w:r>
    </w:p>
    <w:p w14:paraId="0740ACAE" w14:textId="34A7B552" w:rsidR="000E60B1" w:rsidRPr="00C04ACC" w:rsidRDefault="000E60B1" w:rsidP="000E60B1">
      <w:pPr>
        <w:spacing w:before="120" w:after="120" w:line="240" w:lineRule="auto"/>
        <w:jc w:val="center"/>
        <w:rPr>
          <w:rFonts w:ascii="Times New Roman" w:hAnsi="Times New Roman"/>
          <w:i/>
        </w:rPr>
      </w:pPr>
      <w:r>
        <w:rPr>
          <w:rFonts w:ascii="Times New Roman" w:hAnsi="Times New Roman"/>
          <w:lang w:val="en"/>
        </w:rPr>
        <w:t xml:space="preserve">under </w:t>
      </w:r>
      <w:r>
        <w:rPr>
          <w:rFonts w:ascii="Times New Roman" w:hAnsi="Times New Roman"/>
        </w:rPr>
        <w:t xml:space="preserve">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0740ACAF" w14:textId="77777777" w:rsidR="000E60B1" w:rsidRDefault="000E60B1" w:rsidP="000E60B1">
      <w:pPr>
        <w:spacing w:before="120" w:after="120" w:line="240" w:lineRule="auto"/>
        <w:rPr>
          <w:rFonts w:ascii="Times New Roman" w:eastAsia="Times New Roman" w:hAnsi="Times New Roman"/>
          <w:b/>
          <w:caps/>
          <w:sz w:val="24"/>
          <w:szCs w:val="24"/>
        </w:rPr>
      </w:pPr>
    </w:p>
    <w:p w14:paraId="0740ACB0" w14:textId="77777777" w:rsidR="000E60B1" w:rsidRDefault="000E60B1" w:rsidP="000E60B1">
      <w:pPr>
        <w:spacing w:before="120" w:after="120" w:line="240" w:lineRule="auto"/>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0740ACB1" w14:textId="77777777" w:rsidR="000E60B1" w:rsidRPr="00AA3085" w:rsidRDefault="000E60B1" w:rsidP="000E60B1">
      <w:pPr>
        <w:spacing w:before="120" w:after="120" w:line="240" w:lineRule="auto"/>
        <w:rPr>
          <w:rFonts w:ascii="Times New Roman" w:hAnsi="Times New Roman"/>
        </w:rPr>
      </w:pPr>
      <w:r w:rsidRPr="00AA3085">
        <w:rPr>
          <w:rFonts w:ascii="Times New Roman" w:hAnsi="Times New Roman"/>
        </w:rPr>
        <w:t xml:space="preserve">The </w:t>
      </w:r>
      <w:r w:rsidRPr="00AA3085">
        <w:rPr>
          <w:rFonts w:ascii="Times New Roman" w:hAnsi="Times New Roman"/>
          <w:i/>
          <w:iCs/>
        </w:rPr>
        <w:t xml:space="preserve">Safety, Rehabilitation and Compensation Act 1988 </w:t>
      </w:r>
      <w:r w:rsidRPr="00AA3085">
        <w:rPr>
          <w:rFonts w:ascii="Times New Roman" w:hAnsi="Times New Roman"/>
        </w:rPr>
        <w:t>(SRC Act) establishes the Commonwealth workers’ compensation and rehabilitation scheme for employees of the Commonwealth, Commonwealth authorities and licensed corporations.</w:t>
      </w:r>
    </w:p>
    <w:p w14:paraId="0353A6A0" w14:textId="12A9CF72" w:rsidR="00C25FAB" w:rsidRDefault="00C25FAB" w:rsidP="000E60B1">
      <w:pPr>
        <w:spacing w:before="120" w:after="120" w:line="240" w:lineRule="auto"/>
        <w:rPr>
          <w:rFonts w:ascii="Times New Roman" w:hAnsi="Times New Roman"/>
          <w:lang w:val="en"/>
        </w:rPr>
      </w:pPr>
      <w:r w:rsidRPr="00AA3085">
        <w:rPr>
          <w:rFonts w:ascii="Times New Roman" w:eastAsia="Times New Roman" w:hAnsi="Times New Roman"/>
          <w:lang w:eastAsia="en-AU"/>
        </w:rPr>
        <w:t xml:space="preserve">Subject to the SRC Act, liability to provide rehabilitation and make certain compensation payments arises in respect of an ‘injury’ suffered by an employee. </w:t>
      </w:r>
      <w:r w:rsidR="00AA3085" w:rsidRPr="00AA3085">
        <w:rPr>
          <w:rFonts w:ascii="Times New Roman" w:hAnsi="Times New Roman"/>
        </w:rPr>
        <w:t xml:space="preserve">For the purposes of the SRC Act, an ‘injury’ </w:t>
      </w:r>
      <w:r w:rsidR="00AA3085" w:rsidRPr="00AA3085">
        <w:rPr>
          <w:rFonts w:ascii="Times New Roman" w:hAnsi="Times New Roman"/>
          <w:iCs/>
        </w:rPr>
        <w:t xml:space="preserve">is defined by section 5A to include a ‘disease’ suffered by an employee. A disease is defined by section 5B of the SRC Act to mean an ailment, or an aggravation of an ailment, </w:t>
      </w:r>
      <w:r w:rsidR="00AA3085" w:rsidRPr="00AA3085">
        <w:rPr>
          <w:rFonts w:ascii="Times New Roman" w:hAnsi="Times New Roman"/>
          <w:lang w:val="en"/>
        </w:rPr>
        <w:t>that was contributed to, to a significant degree, by the employee’s employment</w:t>
      </w:r>
      <w:r w:rsidR="00AA3085">
        <w:rPr>
          <w:rFonts w:ascii="Times New Roman" w:hAnsi="Times New Roman"/>
          <w:lang w:val="en"/>
        </w:rPr>
        <w:t>.</w:t>
      </w:r>
    </w:p>
    <w:p w14:paraId="1787F5F9" w14:textId="51A23C71" w:rsidR="00716280" w:rsidRPr="00AA3085" w:rsidRDefault="00FC20B1" w:rsidP="000E60B1">
      <w:pPr>
        <w:spacing w:before="120" w:after="120" w:line="240" w:lineRule="auto"/>
        <w:rPr>
          <w:rFonts w:ascii="Times New Roman" w:eastAsia="Times New Roman" w:hAnsi="Times New Roman"/>
          <w:lang w:eastAsia="en-AU"/>
        </w:rPr>
      </w:pPr>
      <w:r w:rsidRPr="00FC20B1">
        <w:rPr>
          <w:rFonts w:ascii="Times New Roman" w:eastAsia="Times New Roman" w:hAnsi="Times New Roman"/>
          <w:lang w:eastAsia="en-AU"/>
        </w:rPr>
        <w:t xml:space="preserve">Section 7 of the SRC Act outlines </w:t>
      </w:r>
      <w:proofErr w:type="gramStart"/>
      <w:r w:rsidRPr="00FC20B1">
        <w:rPr>
          <w:rFonts w:ascii="Times New Roman" w:eastAsia="Times New Roman" w:hAnsi="Times New Roman"/>
          <w:lang w:eastAsia="en-AU"/>
        </w:rPr>
        <w:t>a number of</w:t>
      </w:r>
      <w:proofErr w:type="gramEnd"/>
      <w:r w:rsidRPr="00FC20B1">
        <w:rPr>
          <w:rFonts w:ascii="Times New Roman" w:eastAsia="Times New Roman" w:hAnsi="Times New Roman"/>
          <w:lang w:eastAsia="en-AU"/>
        </w:rPr>
        <w:t xml:space="preserve"> provisions relating to diseases, including </w:t>
      </w:r>
      <w:r>
        <w:rPr>
          <w:rFonts w:ascii="Times New Roman" w:eastAsia="Times New Roman" w:hAnsi="Times New Roman"/>
          <w:lang w:eastAsia="en-AU"/>
        </w:rPr>
        <w:t xml:space="preserve">subsection </w:t>
      </w:r>
      <w:r w:rsidRPr="00FC20B1">
        <w:rPr>
          <w:rFonts w:ascii="Times New Roman" w:eastAsia="Times New Roman" w:hAnsi="Times New Roman"/>
          <w:lang w:eastAsia="en-AU"/>
        </w:rPr>
        <w:t xml:space="preserve">7(8) </w:t>
      </w:r>
      <w:r>
        <w:rPr>
          <w:rFonts w:ascii="Times New Roman" w:eastAsia="Times New Roman" w:hAnsi="Times New Roman"/>
          <w:lang w:eastAsia="en-AU"/>
        </w:rPr>
        <w:t>which</w:t>
      </w:r>
      <w:r w:rsidRPr="00FC20B1">
        <w:rPr>
          <w:rFonts w:ascii="Times New Roman" w:eastAsia="Times New Roman" w:hAnsi="Times New Roman"/>
          <w:lang w:eastAsia="en-AU"/>
        </w:rPr>
        <w:t xml:space="preserve"> outlines the circumstances in which employment as a firefighter (for </w:t>
      </w:r>
      <w:r w:rsidR="002C34D9">
        <w:rPr>
          <w:rFonts w:ascii="Times New Roman" w:eastAsia="Times New Roman" w:hAnsi="Times New Roman"/>
          <w:lang w:eastAsia="en-AU"/>
        </w:rPr>
        <w:t>a</w:t>
      </w:r>
      <w:r w:rsidRPr="00FC20B1">
        <w:rPr>
          <w:rFonts w:ascii="Times New Roman" w:eastAsia="Times New Roman" w:hAnsi="Times New Roman"/>
          <w:lang w:eastAsia="en-AU"/>
        </w:rPr>
        <w:t xml:space="preserve"> prescribed qualifying period) is deemed to have contributed, to a significant degree, to the contraction of the particular diseases specified in that provision, unless the contrary is established.</w:t>
      </w:r>
    </w:p>
    <w:p w14:paraId="21F2AE07" w14:textId="3059723A" w:rsidR="00C25FAB" w:rsidRDefault="00F80208" w:rsidP="000E60B1">
      <w:pPr>
        <w:spacing w:before="120" w:after="120" w:line="240" w:lineRule="auto"/>
        <w:rPr>
          <w:rFonts w:ascii="Times New Roman" w:eastAsia="Times New Roman" w:hAnsi="Times New Roman"/>
          <w:lang w:eastAsia="en-AU"/>
        </w:rPr>
      </w:pPr>
      <w:r w:rsidRPr="00F80208">
        <w:rPr>
          <w:rFonts w:ascii="Times New Roman" w:eastAsia="Times New Roman" w:hAnsi="Times New Roman"/>
          <w:lang w:eastAsia="en-AU"/>
        </w:rPr>
        <w:t>Item 13 of the table included at subsection 7(8) of the SRC Act provides that additional cancers and corresponding qualifying periods can be prescribed for the purposes of subsection 7(8) of the Act.</w:t>
      </w:r>
    </w:p>
    <w:p w14:paraId="02FC04E7" w14:textId="01D83331" w:rsidR="002C34D9" w:rsidRDefault="006A1F63" w:rsidP="000E60B1">
      <w:pPr>
        <w:spacing w:before="120" w:after="120" w:line="240" w:lineRule="auto"/>
        <w:rPr>
          <w:rFonts w:ascii="Times New Roman" w:eastAsia="Times New Roman" w:hAnsi="Times New Roman"/>
          <w:lang w:eastAsia="en-AU"/>
        </w:rPr>
      </w:pPr>
      <w:r>
        <w:rPr>
          <w:rFonts w:ascii="Times New Roman" w:eastAsia="Times New Roman" w:hAnsi="Times New Roman"/>
          <w:lang w:eastAsia="en-AU"/>
        </w:rPr>
        <w:t>Section 122</w:t>
      </w:r>
      <w:r w:rsidR="009C7F16" w:rsidRPr="009C7F16">
        <w:rPr>
          <w:rFonts w:ascii="Times New Roman" w:eastAsia="Times New Roman" w:hAnsi="Times New Roman"/>
          <w:lang w:eastAsia="en-AU"/>
        </w:rPr>
        <w:t xml:space="preserve"> of the SRC Act</w:t>
      </w:r>
      <w:r>
        <w:rPr>
          <w:rFonts w:ascii="Times New Roman" w:eastAsia="Times New Roman" w:hAnsi="Times New Roman"/>
          <w:lang w:eastAsia="en-AU"/>
        </w:rPr>
        <w:t xml:space="preserve"> provides</w:t>
      </w:r>
      <w:r w:rsidR="009C7F16" w:rsidRPr="009C7F16">
        <w:rPr>
          <w:rFonts w:ascii="Times New Roman" w:eastAsia="Times New Roman" w:hAnsi="Times New Roman"/>
          <w:lang w:eastAsia="en-AU"/>
        </w:rPr>
        <w:t xml:space="preserve"> the Governor</w:t>
      </w:r>
      <w:r w:rsidR="00E100C8">
        <w:rPr>
          <w:rFonts w:ascii="Times New Roman" w:eastAsia="Times New Roman" w:hAnsi="Times New Roman"/>
          <w:lang w:eastAsia="en-AU"/>
        </w:rPr>
        <w:t>-</w:t>
      </w:r>
      <w:r w:rsidR="009C7F16" w:rsidRPr="009C7F16">
        <w:rPr>
          <w:rFonts w:ascii="Times New Roman" w:eastAsia="Times New Roman" w:hAnsi="Times New Roman"/>
          <w:lang w:eastAsia="en-AU"/>
        </w:rPr>
        <w:t>General may make regulations prescribing matters required or permitted by th</w:t>
      </w:r>
      <w:r>
        <w:rPr>
          <w:rFonts w:ascii="Times New Roman" w:eastAsia="Times New Roman" w:hAnsi="Times New Roman"/>
          <w:lang w:eastAsia="en-AU"/>
        </w:rPr>
        <w:t>e</w:t>
      </w:r>
      <w:r w:rsidR="009C7F16" w:rsidRPr="009C7F16">
        <w:rPr>
          <w:rFonts w:ascii="Times New Roman" w:eastAsia="Times New Roman" w:hAnsi="Times New Roman"/>
          <w:lang w:eastAsia="en-AU"/>
        </w:rPr>
        <w:t xml:space="preserve"> Act to be prescribed, or necessary or convenient to be prescribed for carrying out or giving effect to th</w:t>
      </w:r>
      <w:r w:rsidR="009C7F16">
        <w:rPr>
          <w:rFonts w:ascii="Times New Roman" w:eastAsia="Times New Roman" w:hAnsi="Times New Roman"/>
          <w:lang w:eastAsia="en-AU"/>
        </w:rPr>
        <w:t xml:space="preserve">e </w:t>
      </w:r>
      <w:r w:rsidR="009C7F16" w:rsidRPr="009C7F16">
        <w:rPr>
          <w:rFonts w:ascii="Times New Roman" w:eastAsia="Times New Roman" w:hAnsi="Times New Roman"/>
          <w:lang w:eastAsia="en-AU"/>
        </w:rPr>
        <w:t>Act</w:t>
      </w:r>
      <w:r>
        <w:rPr>
          <w:rFonts w:ascii="Times New Roman" w:eastAsia="Times New Roman" w:hAnsi="Times New Roman"/>
          <w:lang w:eastAsia="en-AU"/>
        </w:rPr>
        <w:t xml:space="preserve">. </w:t>
      </w:r>
    </w:p>
    <w:p w14:paraId="7B703DC7" w14:textId="252DF8B2" w:rsidR="00E942E1" w:rsidRPr="00E942E1" w:rsidRDefault="006A1F63" w:rsidP="00E942E1">
      <w:pPr>
        <w:spacing w:before="120" w:after="120" w:line="240" w:lineRule="auto"/>
        <w:rPr>
          <w:rFonts w:ascii="Times New Roman" w:hAnsi="Times New Roman"/>
          <w:lang w:val="en-US"/>
        </w:rPr>
      </w:pPr>
      <w:r w:rsidRPr="00E942E1">
        <w:rPr>
          <w:rFonts w:ascii="Times New Roman" w:eastAsia="Times New Roman" w:hAnsi="Times New Roman"/>
          <w:lang w:eastAsia="en-AU"/>
        </w:rPr>
        <w:t xml:space="preserve">Pursuant to </w:t>
      </w:r>
      <w:r w:rsidR="0009016B" w:rsidRPr="00E942E1">
        <w:rPr>
          <w:rFonts w:ascii="Times New Roman" w:eastAsia="Times New Roman" w:hAnsi="Times New Roman"/>
          <w:lang w:eastAsia="en-AU"/>
        </w:rPr>
        <w:t xml:space="preserve">subsection 7(8) and section 122 of the SRC Act the </w:t>
      </w:r>
      <w:r w:rsidR="009871C9" w:rsidRPr="00E942E1">
        <w:rPr>
          <w:rFonts w:ascii="Times New Roman" w:eastAsia="Times New Roman" w:hAnsi="Times New Roman"/>
          <w:i/>
          <w:iCs/>
          <w:lang w:eastAsia="en-AU"/>
        </w:rPr>
        <w:t>Safety, Rehabilitation and Compensation Amendment (Prescribed Cancers) Regulations 2022</w:t>
      </w:r>
      <w:r w:rsidR="009871C9" w:rsidRPr="00E942E1">
        <w:rPr>
          <w:rFonts w:ascii="Times New Roman" w:eastAsia="Times New Roman" w:hAnsi="Times New Roman"/>
          <w:lang w:eastAsia="en-AU"/>
        </w:rPr>
        <w:t xml:space="preserve"> (the Amendment Instrument)</w:t>
      </w:r>
      <w:r w:rsidR="006E4617" w:rsidRPr="00E942E1">
        <w:rPr>
          <w:rFonts w:ascii="Times New Roman" w:eastAsia="Times New Roman" w:hAnsi="Times New Roman"/>
          <w:lang w:eastAsia="en-AU"/>
        </w:rPr>
        <w:t xml:space="preserve"> amends the </w:t>
      </w:r>
      <w:r w:rsidR="006E4617" w:rsidRPr="00E942E1">
        <w:rPr>
          <w:rFonts w:ascii="Times New Roman" w:eastAsia="Times New Roman" w:hAnsi="Times New Roman"/>
          <w:i/>
          <w:iCs/>
          <w:lang w:eastAsia="en-AU"/>
        </w:rPr>
        <w:t xml:space="preserve">Safety, Rehabilitation and Compensation Regulations 2019 </w:t>
      </w:r>
      <w:r w:rsidR="006E4617" w:rsidRPr="00E942E1">
        <w:rPr>
          <w:rFonts w:ascii="Times New Roman" w:eastAsia="Times New Roman" w:hAnsi="Times New Roman"/>
          <w:lang w:eastAsia="en-AU"/>
        </w:rPr>
        <w:t xml:space="preserve">to </w:t>
      </w:r>
      <w:r w:rsidR="00E942E1" w:rsidRPr="00E942E1">
        <w:rPr>
          <w:rFonts w:ascii="Times New Roman" w:hAnsi="Times New Roman"/>
          <w:lang w:val="en-US"/>
        </w:rPr>
        <w:t xml:space="preserve">prescribe the following </w:t>
      </w:r>
      <w:r w:rsidR="00A72D91">
        <w:rPr>
          <w:rFonts w:ascii="Times New Roman" w:hAnsi="Times New Roman"/>
          <w:lang w:val="en-US"/>
        </w:rPr>
        <w:t>eight</w:t>
      </w:r>
      <w:r w:rsidR="00A72D91" w:rsidRPr="00E942E1">
        <w:rPr>
          <w:rFonts w:ascii="Times New Roman" w:hAnsi="Times New Roman"/>
          <w:lang w:val="en-US"/>
        </w:rPr>
        <w:t xml:space="preserve"> </w:t>
      </w:r>
      <w:r w:rsidR="00E942E1" w:rsidRPr="00E942E1">
        <w:rPr>
          <w:rFonts w:ascii="Times New Roman" w:hAnsi="Times New Roman"/>
          <w:lang w:val="en-US"/>
        </w:rPr>
        <w:t>additional cancers and corresponding qualify periods for the purposes of subsection 7(8) of the SRC Act:</w:t>
      </w:r>
    </w:p>
    <w:p w14:paraId="6A93A783" w14:textId="26A77752" w:rsidR="00575664" w:rsidRPr="00575664"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lung cancer with a qualifying period of 15 </w:t>
      </w:r>
      <w:proofErr w:type="gramStart"/>
      <w:r w:rsidRPr="00575664">
        <w:rPr>
          <w:rFonts w:ascii="Times New Roman" w:hAnsi="Times New Roman"/>
        </w:rPr>
        <w:t>years;</w:t>
      </w:r>
      <w:proofErr w:type="gramEnd"/>
    </w:p>
    <w:p w14:paraId="3D8E4E4B" w14:textId="23C6144F" w:rsidR="00575664" w:rsidRPr="00575664"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skin cancer with a qualifying period of 15 </w:t>
      </w:r>
      <w:proofErr w:type="gramStart"/>
      <w:r w:rsidRPr="00575664">
        <w:rPr>
          <w:rFonts w:ascii="Times New Roman" w:hAnsi="Times New Roman"/>
        </w:rPr>
        <w:t>years;</w:t>
      </w:r>
      <w:proofErr w:type="gramEnd"/>
    </w:p>
    <w:p w14:paraId="175E56D6" w14:textId="10335143" w:rsidR="00575664" w:rsidRPr="00575664"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cervical cancer with a qualifying period of 10 </w:t>
      </w:r>
      <w:proofErr w:type="gramStart"/>
      <w:r w:rsidRPr="00575664">
        <w:rPr>
          <w:rFonts w:ascii="Times New Roman" w:hAnsi="Times New Roman"/>
        </w:rPr>
        <w:t>years;</w:t>
      </w:r>
      <w:proofErr w:type="gramEnd"/>
    </w:p>
    <w:p w14:paraId="1935FD14" w14:textId="01DBE437" w:rsidR="00575664" w:rsidRPr="00575664"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ovarian cancer with a qualifying period of 10 </w:t>
      </w:r>
      <w:proofErr w:type="gramStart"/>
      <w:r w:rsidRPr="00575664">
        <w:rPr>
          <w:rFonts w:ascii="Times New Roman" w:hAnsi="Times New Roman"/>
        </w:rPr>
        <w:t>years;</w:t>
      </w:r>
      <w:proofErr w:type="gramEnd"/>
    </w:p>
    <w:p w14:paraId="473A979F" w14:textId="7551FD38" w:rsidR="00575664" w:rsidRPr="00575664"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penile cancer with a qualifying period of 15 </w:t>
      </w:r>
      <w:proofErr w:type="gramStart"/>
      <w:r w:rsidRPr="00575664">
        <w:rPr>
          <w:rFonts w:ascii="Times New Roman" w:hAnsi="Times New Roman"/>
        </w:rPr>
        <w:t>years;</w:t>
      </w:r>
      <w:proofErr w:type="gramEnd"/>
    </w:p>
    <w:p w14:paraId="2DD780CF" w14:textId="6FAA80C1" w:rsidR="00575664" w:rsidRPr="00575664"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pancreatic cancer with a qualifying period of 10 </w:t>
      </w:r>
      <w:proofErr w:type="gramStart"/>
      <w:r w:rsidRPr="00575664">
        <w:rPr>
          <w:rFonts w:ascii="Times New Roman" w:hAnsi="Times New Roman"/>
        </w:rPr>
        <w:t>years;</w:t>
      </w:r>
      <w:proofErr w:type="gramEnd"/>
      <w:r w:rsidRPr="00575664">
        <w:rPr>
          <w:rFonts w:ascii="Times New Roman" w:hAnsi="Times New Roman"/>
        </w:rPr>
        <w:t xml:space="preserve"> </w:t>
      </w:r>
    </w:p>
    <w:p w14:paraId="6CE83E1C" w14:textId="77777777" w:rsidR="00A72D91" w:rsidRPr="00A72D91" w:rsidRDefault="00575664" w:rsidP="00575664">
      <w:pPr>
        <w:pStyle w:val="ListParagraph"/>
        <w:numPr>
          <w:ilvl w:val="0"/>
          <w:numId w:val="44"/>
        </w:numPr>
        <w:spacing w:before="120" w:after="120" w:line="240" w:lineRule="auto"/>
        <w:rPr>
          <w:rFonts w:ascii="Times New Roman" w:eastAsia="Times New Roman" w:hAnsi="Times New Roman"/>
          <w:lang w:eastAsia="en-AU"/>
        </w:rPr>
      </w:pPr>
      <w:r w:rsidRPr="00575664">
        <w:rPr>
          <w:rFonts w:ascii="Times New Roman" w:hAnsi="Times New Roman"/>
        </w:rPr>
        <w:t>Primary site thyroid cancer with a qualifying period of 10 years</w:t>
      </w:r>
      <w:r w:rsidR="00A72D91">
        <w:rPr>
          <w:rFonts w:ascii="Times New Roman" w:hAnsi="Times New Roman"/>
        </w:rPr>
        <w:t>; and</w:t>
      </w:r>
    </w:p>
    <w:p w14:paraId="3F755B11" w14:textId="7B1A5FE0" w:rsidR="00575664" w:rsidRPr="00575664" w:rsidRDefault="00A72D91" w:rsidP="00575664">
      <w:pPr>
        <w:pStyle w:val="ListParagraph"/>
        <w:numPr>
          <w:ilvl w:val="0"/>
          <w:numId w:val="44"/>
        </w:numPr>
        <w:spacing w:before="120" w:after="120" w:line="240" w:lineRule="auto"/>
        <w:rPr>
          <w:rFonts w:ascii="Times New Roman" w:eastAsia="Times New Roman" w:hAnsi="Times New Roman"/>
          <w:lang w:eastAsia="en-AU"/>
        </w:rPr>
      </w:pPr>
      <w:r w:rsidRPr="00A72D91">
        <w:rPr>
          <w:rFonts w:ascii="Times New Roman" w:hAnsi="Times New Roman"/>
        </w:rPr>
        <w:t xml:space="preserve">Malignant mesothelioma </w:t>
      </w:r>
      <w:r w:rsidRPr="00575664">
        <w:rPr>
          <w:rFonts w:ascii="Times New Roman" w:hAnsi="Times New Roman"/>
        </w:rPr>
        <w:t>with a qualifying period of</w:t>
      </w:r>
      <w:r>
        <w:rPr>
          <w:rFonts w:ascii="Times New Roman" w:hAnsi="Times New Roman"/>
        </w:rPr>
        <w:t xml:space="preserve"> 15 years.</w:t>
      </w:r>
    </w:p>
    <w:p w14:paraId="5D4F8AD9" w14:textId="5A426F32" w:rsidR="005E71FF" w:rsidRPr="007F249C" w:rsidRDefault="008F4106" w:rsidP="000E60B1">
      <w:pPr>
        <w:spacing w:before="120" w:after="120" w:line="240" w:lineRule="auto"/>
        <w:rPr>
          <w:rFonts w:ascii="Times New Roman" w:eastAsia="Times New Roman" w:hAnsi="Times New Roman"/>
          <w:lang w:eastAsia="en-AU"/>
        </w:rPr>
      </w:pPr>
      <w:r w:rsidRPr="007F249C">
        <w:rPr>
          <w:rFonts w:ascii="Times New Roman" w:eastAsia="Times New Roman" w:hAnsi="Times New Roman"/>
          <w:lang w:eastAsia="en-AU"/>
        </w:rPr>
        <w:t>Consequently,</w:t>
      </w:r>
      <w:r w:rsidR="00573C16">
        <w:rPr>
          <w:rFonts w:ascii="Times New Roman" w:eastAsia="Times New Roman" w:hAnsi="Times New Roman"/>
          <w:lang w:eastAsia="en-AU"/>
        </w:rPr>
        <w:t xml:space="preserve"> </w:t>
      </w:r>
      <w:r w:rsidR="00AA4CAC" w:rsidRPr="007F249C">
        <w:rPr>
          <w:rFonts w:ascii="Times New Roman" w:eastAsia="Times New Roman" w:hAnsi="Times New Roman"/>
          <w:lang w:eastAsia="en-AU"/>
        </w:rPr>
        <w:t xml:space="preserve">if an employee </w:t>
      </w:r>
      <w:r w:rsidR="00933F48" w:rsidRPr="007F249C">
        <w:rPr>
          <w:rFonts w:ascii="Times New Roman" w:eastAsia="Times New Roman" w:hAnsi="Times New Roman"/>
          <w:lang w:eastAsia="en-AU"/>
        </w:rPr>
        <w:t xml:space="preserve">suffers from </w:t>
      </w:r>
      <w:r w:rsidRPr="007F249C">
        <w:rPr>
          <w:rFonts w:ascii="Times New Roman" w:eastAsia="Times New Roman" w:hAnsi="Times New Roman"/>
          <w:lang w:eastAsia="en-AU"/>
        </w:rPr>
        <w:t>one of the abovementioned cancers</w:t>
      </w:r>
      <w:r w:rsidR="00135BE6" w:rsidRPr="007F249C">
        <w:rPr>
          <w:rFonts w:ascii="Times New Roman" w:eastAsia="Times New Roman" w:hAnsi="Times New Roman"/>
          <w:lang w:eastAsia="en-AU"/>
        </w:rPr>
        <w:t>, and:</w:t>
      </w:r>
    </w:p>
    <w:p w14:paraId="68ED5F7B" w14:textId="7C7ACE74" w:rsidR="00135BE6" w:rsidRPr="007F249C" w:rsidRDefault="00135BE6" w:rsidP="000E60B1">
      <w:pPr>
        <w:pStyle w:val="ListParagraph"/>
        <w:numPr>
          <w:ilvl w:val="0"/>
          <w:numId w:val="46"/>
        </w:numPr>
        <w:spacing w:before="120" w:after="120" w:line="240" w:lineRule="auto"/>
        <w:rPr>
          <w:rFonts w:ascii="Times New Roman" w:eastAsia="Times New Roman" w:hAnsi="Times New Roman"/>
          <w:lang w:eastAsia="en-AU"/>
        </w:rPr>
      </w:pPr>
      <w:r w:rsidRPr="007F249C">
        <w:rPr>
          <w:rFonts w:ascii="Times New Roman" w:hAnsi="Times New Roman"/>
        </w:rPr>
        <w:t>before the disease was sustained, the employee was employed as a firefighter for the corresponding qualifying period prescribed for that cancer; and</w:t>
      </w:r>
    </w:p>
    <w:p w14:paraId="5A772952" w14:textId="10A9F53C" w:rsidR="002D7472" w:rsidRPr="007F249C" w:rsidRDefault="002D7472" w:rsidP="002D7472">
      <w:pPr>
        <w:pStyle w:val="ListParagraph"/>
        <w:numPr>
          <w:ilvl w:val="0"/>
          <w:numId w:val="46"/>
        </w:numPr>
        <w:spacing w:before="120" w:after="120" w:line="240" w:lineRule="auto"/>
        <w:rPr>
          <w:rFonts w:ascii="Times New Roman" w:eastAsia="Times New Roman" w:hAnsi="Times New Roman"/>
          <w:lang w:eastAsia="en-AU"/>
        </w:rPr>
      </w:pPr>
      <w:r w:rsidRPr="007F249C">
        <w:rPr>
          <w:rFonts w:ascii="Times New Roman" w:hAnsi="Times New Roman"/>
        </w:rPr>
        <w:t>was exposed to the hazards of a fire scene during that period</w:t>
      </w:r>
      <w:bookmarkStart w:id="0" w:name="subsection2"/>
      <w:bookmarkEnd w:id="0"/>
      <w:r w:rsidR="00C864CE">
        <w:rPr>
          <w:rFonts w:ascii="Times New Roman" w:hAnsi="Times New Roman"/>
        </w:rPr>
        <w:t xml:space="preserve">, </w:t>
      </w:r>
    </w:p>
    <w:p w14:paraId="71B03E7E" w14:textId="15E8ACDE" w:rsidR="002D7472" w:rsidRPr="007F249C" w:rsidRDefault="00AA4CAC" w:rsidP="007F249C">
      <w:pPr>
        <w:spacing w:before="120" w:after="120" w:line="240" w:lineRule="auto"/>
        <w:rPr>
          <w:rFonts w:ascii="Times New Roman" w:eastAsia="Times New Roman" w:hAnsi="Times New Roman"/>
          <w:lang w:eastAsia="en-AU"/>
        </w:rPr>
      </w:pPr>
      <w:r w:rsidRPr="007F249C">
        <w:rPr>
          <w:rFonts w:ascii="Times New Roman" w:hAnsi="Times New Roman"/>
        </w:rPr>
        <w:t>th</w:t>
      </w:r>
      <w:r w:rsidR="002D7472" w:rsidRPr="007F249C">
        <w:rPr>
          <w:rFonts w:ascii="Times New Roman" w:hAnsi="Times New Roman"/>
        </w:rPr>
        <w:t>at</w:t>
      </w:r>
      <w:r w:rsidRPr="007F249C">
        <w:rPr>
          <w:rFonts w:ascii="Times New Roman" w:hAnsi="Times New Roman"/>
        </w:rPr>
        <w:t xml:space="preserve"> employment is </w:t>
      </w:r>
      <w:r w:rsidR="00C864CE">
        <w:rPr>
          <w:rFonts w:ascii="Times New Roman" w:hAnsi="Times New Roman"/>
        </w:rPr>
        <w:t xml:space="preserve">taken </w:t>
      </w:r>
      <w:r w:rsidRPr="007F249C">
        <w:rPr>
          <w:rFonts w:ascii="Times New Roman" w:hAnsi="Times New Roman"/>
        </w:rPr>
        <w:t>to have contributed, to a significant degree, to the contraction of the </w:t>
      </w:r>
      <w:r w:rsidR="002D7472" w:rsidRPr="007F249C">
        <w:rPr>
          <w:rFonts w:ascii="Times New Roman" w:hAnsi="Times New Roman"/>
        </w:rPr>
        <w:t>cancer for the purposes of the SRC Act,</w:t>
      </w:r>
      <w:r w:rsidRPr="007F249C">
        <w:rPr>
          <w:rFonts w:ascii="Times New Roman" w:hAnsi="Times New Roman"/>
        </w:rPr>
        <w:t xml:space="preserve"> unless the contrary is established.</w:t>
      </w:r>
    </w:p>
    <w:p w14:paraId="1DE52752" w14:textId="1516EED2" w:rsidR="00F2140B" w:rsidRPr="00435BD8" w:rsidRDefault="004D605B" w:rsidP="00F2140B">
      <w:pPr>
        <w:spacing w:before="120" w:after="120" w:line="240" w:lineRule="auto"/>
        <w:rPr>
          <w:rFonts w:ascii="Times New Roman" w:eastAsia="Times New Roman" w:hAnsi="Times New Roman"/>
          <w:lang w:eastAsia="en-AU"/>
        </w:rPr>
      </w:pPr>
      <w:r>
        <w:rPr>
          <w:rFonts w:ascii="Times New Roman" w:eastAsia="Times New Roman" w:hAnsi="Times New Roman"/>
          <w:lang w:eastAsia="en-AU"/>
        </w:rPr>
        <w:lastRenderedPageBreak/>
        <w:t>T</w:t>
      </w:r>
      <w:r w:rsidRPr="004D605B">
        <w:rPr>
          <w:rFonts w:ascii="Times New Roman" w:eastAsia="Times New Roman" w:hAnsi="Times New Roman"/>
          <w:lang w:eastAsia="en-AU"/>
        </w:rPr>
        <w:t xml:space="preserve">he Amendment </w:t>
      </w:r>
      <w:r>
        <w:rPr>
          <w:rFonts w:ascii="Times New Roman" w:eastAsia="Times New Roman" w:hAnsi="Times New Roman"/>
          <w:lang w:eastAsia="en-AU"/>
        </w:rPr>
        <w:t>Instrument</w:t>
      </w:r>
      <w:r w:rsidRPr="004D605B">
        <w:rPr>
          <w:rFonts w:ascii="Times New Roman" w:eastAsia="Times New Roman" w:hAnsi="Times New Roman"/>
          <w:lang w:eastAsia="en-AU"/>
        </w:rPr>
        <w:t xml:space="preserve"> </w:t>
      </w:r>
      <w:r w:rsidR="006F792F">
        <w:rPr>
          <w:rFonts w:ascii="Times New Roman" w:eastAsia="Times New Roman" w:hAnsi="Times New Roman"/>
          <w:lang w:eastAsia="en-AU"/>
        </w:rPr>
        <w:t>commences on</w:t>
      </w:r>
      <w:r w:rsidR="005E71FF">
        <w:rPr>
          <w:rFonts w:ascii="Times New Roman" w:eastAsia="Times New Roman" w:hAnsi="Times New Roman"/>
          <w:lang w:eastAsia="en-AU"/>
        </w:rPr>
        <w:t xml:space="preserve"> </w:t>
      </w:r>
      <w:r w:rsidRPr="004D605B">
        <w:rPr>
          <w:rFonts w:ascii="Times New Roman" w:eastAsia="Times New Roman" w:hAnsi="Times New Roman"/>
          <w:lang w:eastAsia="en-AU"/>
        </w:rPr>
        <w:t>the day after the instrument is registered on the Federal Register</w:t>
      </w:r>
      <w:r w:rsidR="00A72D91">
        <w:rPr>
          <w:rFonts w:ascii="Times New Roman" w:eastAsia="Times New Roman" w:hAnsi="Times New Roman"/>
          <w:lang w:eastAsia="en-AU"/>
        </w:rPr>
        <w:t>. From this date</w:t>
      </w:r>
      <w:r w:rsidR="003C2FFB">
        <w:rPr>
          <w:rFonts w:ascii="Times New Roman" w:eastAsia="Times New Roman" w:hAnsi="Times New Roman"/>
          <w:lang w:eastAsia="en-AU"/>
        </w:rPr>
        <w:t>,</w:t>
      </w:r>
      <w:r w:rsidRPr="004D605B">
        <w:rPr>
          <w:rFonts w:ascii="Times New Roman" w:eastAsia="Times New Roman" w:hAnsi="Times New Roman"/>
          <w:lang w:eastAsia="en-AU"/>
        </w:rPr>
        <w:t xml:space="preserve"> subsection 7(8) of the SRC Act will apply </w:t>
      </w:r>
      <w:r w:rsidR="00C35BFE">
        <w:rPr>
          <w:rFonts w:ascii="Times New Roman" w:eastAsia="Times New Roman" w:hAnsi="Times New Roman"/>
          <w:lang w:eastAsia="en-AU"/>
        </w:rPr>
        <w:t xml:space="preserve">to decisions made under the SRC Act </w:t>
      </w:r>
      <w:r w:rsidRPr="004D605B">
        <w:rPr>
          <w:rFonts w:ascii="Times New Roman" w:eastAsia="Times New Roman" w:hAnsi="Times New Roman"/>
          <w:lang w:eastAsia="en-AU"/>
        </w:rPr>
        <w:t>in relation to</w:t>
      </w:r>
      <w:r w:rsidR="00A72D91" w:rsidRPr="00A72D91">
        <w:t xml:space="preserve"> </w:t>
      </w:r>
      <w:r w:rsidRPr="004D605B">
        <w:rPr>
          <w:rFonts w:ascii="Times New Roman" w:eastAsia="Times New Roman" w:hAnsi="Times New Roman"/>
          <w:lang w:eastAsia="en-AU"/>
        </w:rPr>
        <w:t xml:space="preserve">any of the </w:t>
      </w:r>
      <w:r w:rsidR="00A72D91">
        <w:rPr>
          <w:rFonts w:ascii="Times New Roman" w:eastAsia="Times New Roman" w:hAnsi="Times New Roman"/>
          <w:lang w:eastAsia="en-AU"/>
        </w:rPr>
        <w:t>eight</w:t>
      </w:r>
      <w:r w:rsidR="00A72D91" w:rsidRPr="004D605B">
        <w:rPr>
          <w:rFonts w:ascii="Times New Roman" w:eastAsia="Times New Roman" w:hAnsi="Times New Roman"/>
          <w:lang w:eastAsia="en-AU"/>
        </w:rPr>
        <w:t xml:space="preserve"> </w:t>
      </w:r>
      <w:r w:rsidRPr="004D605B">
        <w:rPr>
          <w:rFonts w:ascii="Times New Roman" w:eastAsia="Times New Roman" w:hAnsi="Times New Roman"/>
          <w:lang w:eastAsia="en-AU"/>
        </w:rPr>
        <w:t>prescribed cancers sustained by an employee on or after 4 July 2011.</w:t>
      </w:r>
    </w:p>
    <w:p w14:paraId="7221FE23" w14:textId="77777777" w:rsidR="0008054C" w:rsidRDefault="0008054C" w:rsidP="000A11EE">
      <w:pPr>
        <w:spacing w:before="120" w:after="120" w:line="240" w:lineRule="auto"/>
        <w:rPr>
          <w:rFonts w:ascii="Times New Roman" w:eastAsia="Times New Roman" w:hAnsi="Times New Roman"/>
          <w:b/>
          <w:caps/>
          <w:sz w:val="24"/>
          <w:szCs w:val="24"/>
        </w:rPr>
      </w:pPr>
    </w:p>
    <w:p w14:paraId="1622759D" w14:textId="698017E8" w:rsidR="00444718" w:rsidRDefault="00444718" w:rsidP="000A11EE">
      <w:pPr>
        <w:spacing w:before="120" w:after="120" w:line="240" w:lineRule="auto"/>
        <w:rPr>
          <w:rFonts w:ascii="Times New Roman" w:eastAsia="Times New Roman" w:hAnsi="Times New Roman"/>
          <w:b/>
          <w:caps/>
          <w:sz w:val="24"/>
          <w:szCs w:val="24"/>
        </w:rPr>
      </w:pPr>
      <w:r>
        <w:rPr>
          <w:rFonts w:ascii="Times New Roman" w:eastAsia="Times New Roman" w:hAnsi="Times New Roman"/>
          <w:b/>
          <w:caps/>
          <w:sz w:val="24"/>
          <w:szCs w:val="24"/>
        </w:rPr>
        <w:t xml:space="preserve">CONSULTATION </w:t>
      </w:r>
    </w:p>
    <w:p w14:paraId="65D61C49" w14:textId="268171FD" w:rsidR="002A34A8" w:rsidRDefault="002A34A8" w:rsidP="000E60B1">
      <w:pPr>
        <w:spacing w:before="120" w:after="120" w:line="240" w:lineRule="auto"/>
        <w:rPr>
          <w:rFonts w:ascii="Times New Roman" w:hAnsi="Times New Roman"/>
        </w:rPr>
      </w:pPr>
      <w:r w:rsidRPr="002A34A8">
        <w:rPr>
          <w:rFonts w:ascii="Times New Roman" w:hAnsi="Times New Roman"/>
        </w:rPr>
        <w:t>This instrument was made in consultation relevant employee representatives, as well as the Australian Capital Territory Government.</w:t>
      </w:r>
    </w:p>
    <w:p w14:paraId="4EFEAD02" w14:textId="77777777" w:rsidR="002A34A8" w:rsidRPr="002A34A8" w:rsidRDefault="002A34A8" w:rsidP="000E60B1">
      <w:pPr>
        <w:spacing w:before="120" w:after="120" w:line="240" w:lineRule="auto"/>
        <w:rPr>
          <w:rFonts w:ascii="Times New Roman" w:hAnsi="Times New Roman"/>
        </w:rPr>
      </w:pPr>
    </w:p>
    <w:p w14:paraId="0740ACC5" w14:textId="65501936" w:rsidR="000E60B1" w:rsidRPr="00F5374E" w:rsidRDefault="000E60B1" w:rsidP="000E60B1">
      <w:pPr>
        <w:spacing w:before="120" w:after="120" w:line="240" w:lineRule="auto"/>
        <w:rPr>
          <w:rFonts w:ascii="Times New Roman" w:hAnsi="Times New Roman"/>
          <w:b/>
          <w:sz w:val="24"/>
        </w:rPr>
      </w:pPr>
      <w:r w:rsidRPr="00F5374E">
        <w:rPr>
          <w:rFonts w:ascii="Times New Roman" w:hAnsi="Times New Roman"/>
          <w:b/>
          <w:sz w:val="24"/>
        </w:rPr>
        <w:t>REGULATION IMPACT STATEMENT</w:t>
      </w:r>
    </w:p>
    <w:p w14:paraId="0740ACC6" w14:textId="2B2DE367" w:rsidR="000E60B1" w:rsidRDefault="000E60B1" w:rsidP="000E60B1">
      <w:pPr>
        <w:shd w:val="clear" w:color="auto" w:fill="FFFFFF"/>
        <w:spacing w:before="120" w:after="120" w:line="240" w:lineRule="auto"/>
        <w:rPr>
          <w:rFonts w:ascii="Times New Roman" w:hAnsi="Times New Roman"/>
        </w:rPr>
      </w:pPr>
      <w:r w:rsidRPr="00460E17">
        <w:rPr>
          <w:rFonts w:ascii="Times New Roman" w:hAnsi="Times New Roman"/>
        </w:rPr>
        <w:t xml:space="preserve">The Office of </w:t>
      </w:r>
      <w:r w:rsidR="00F710B8" w:rsidRPr="00460E17">
        <w:rPr>
          <w:rFonts w:ascii="Times New Roman" w:hAnsi="Times New Roman"/>
        </w:rPr>
        <w:t>Impact Analysis</w:t>
      </w:r>
      <w:r w:rsidRPr="00460E17">
        <w:rPr>
          <w:rFonts w:ascii="Times New Roman" w:hAnsi="Times New Roman"/>
        </w:rPr>
        <w:t xml:space="preserve"> was consulted regarding this instrument and indicated that a Regulation Impact Statement is not required (OBPR ID:</w:t>
      </w:r>
      <w:r w:rsidR="00DC3D53" w:rsidRPr="00460E17">
        <w:rPr>
          <w:rFonts w:ascii="Times New Roman" w:hAnsi="Times New Roman"/>
        </w:rPr>
        <w:t xml:space="preserve"> </w:t>
      </w:r>
      <w:r w:rsidR="00366570" w:rsidRPr="00460E17">
        <w:rPr>
          <w:rFonts w:ascii="Times New Roman" w:hAnsi="Times New Roman"/>
        </w:rPr>
        <w:t>22-03743</w:t>
      </w:r>
      <w:r w:rsidRPr="00460E17">
        <w:rPr>
          <w:rFonts w:ascii="Times New Roman" w:hAnsi="Times New Roman"/>
        </w:rPr>
        <w:t>).</w:t>
      </w:r>
    </w:p>
    <w:p w14:paraId="222A5795" w14:textId="77777777" w:rsidR="00B966BD" w:rsidRDefault="00B966BD" w:rsidP="00F60E71">
      <w:pPr>
        <w:spacing w:before="120" w:after="120" w:line="240" w:lineRule="auto"/>
        <w:rPr>
          <w:rFonts w:ascii="Times New Roman" w:hAnsi="Times New Roman"/>
        </w:rPr>
      </w:pPr>
      <w:r w:rsidRPr="00B966BD">
        <w:rPr>
          <w:rFonts w:ascii="Times New Roman" w:hAnsi="Times New Roman"/>
        </w:rPr>
        <w:t xml:space="preserve">This instrument is a legislative instrument for the purposes of the </w:t>
      </w:r>
      <w:r w:rsidRPr="000607B5">
        <w:rPr>
          <w:rFonts w:ascii="Times New Roman" w:hAnsi="Times New Roman"/>
          <w:i/>
          <w:iCs/>
        </w:rPr>
        <w:t>Legislation Act 2003</w:t>
      </w:r>
      <w:r>
        <w:rPr>
          <w:rFonts w:ascii="Times New Roman" w:hAnsi="Times New Roman"/>
        </w:rPr>
        <w:t xml:space="preserve">. </w:t>
      </w:r>
    </w:p>
    <w:p w14:paraId="65404E51" w14:textId="77777777" w:rsidR="00573C16" w:rsidRDefault="00573C16" w:rsidP="000E60B1">
      <w:pPr>
        <w:spacing w:before="120" w:after="120" w:line="240" w:lineRule="auto"/>
        <w:jc w:val="center"/>
        <w:rPr>
          <w:rFonts w:ascii="Times New Roman" w:hAnsi="Times New Roman"/>
          <w:b/>
          <w:caps/>
          <w:sz w:val="24"/>
          <w:szCs w:val="24"/>
        </w:rPr>
      </w:pPr>
    </w:p>
    <w:p w14:paraId="0740ACCD" w14:textId="0FA26D1B" w:rsidR="000E60B1" w:rsidRDefault="000E60B1" w:rsidP="000E60B1">
      <w:pPr>
        <w:spacing w:before="120" w:after="120" w:line="240" w:lineRule="auto"/>
        <w:jc w:val="center"/>
        <w:rPr>
          <w:rFonts w:ascii="Times New Roman" w:hAnsi="Times New Roman"/>
          <w:b/>
          <w:caps/>
          <w:sz w:val="24"/>
          <w:szCs w:val="24"/>
        </w:rPr>
      </w:pPr>
      <w:r w:rsidRPr="009C0091">
        <w:rPr>
          <w:rFonts w:ascii="Times New Roman" w:hAnsi="Times New Roman"/>
          <w:b/>
          <w:caps/>
          <w:sz w:val="24"/>
          <w:szCs w:val="24"/>
        </w:rPr>
        <w:t>Statement of Compatibility with Human Rights</w:t>
      </w:r>
    </w:p>
    <w:p w14:paraId="0740ACCE" w14:textId="77777777" w:rsidR="000E60B1" w:rsidRDefault="000E60B1" w:rsidP="000E60B1">
      <w:pPr>
        <w:shd w:val="clear" w:color="auto" w:fill="FFFFFF"/>
        <w:spacing w:before="120" w:after="120" w:line="240" w:lineRule="auto"/>
        <w:jc w:val="center"/>
        <w:rPr>
          <w:rFonts w:ascii="Times New Roman" w:hAnsi="Times New Roman"/>
          <w:i/>
        </w:rPr>
      </w:pPr>
      <w:r w:rsidRPr="00DC1C79">
        <w:rPr>
          <w:rFonts w:ascii="Times New Roman" w:hAnsi="Times New Roman"/>
          <w:i/>
        </w:rPr>
        <w:t>Prepared in accordance with Part 3 of the Human Rights (Parliamentary Scrutiny) Act 2011</w:t>
      </w:r>
    </w:p>
    <w:p w14:paraId="76089230" w14:textId="41DD338C" w:rsidR="00573C16" w:rsidRPr="00573C16" w:rsidRDefault="00573C16" w:rsidP="005E10D8">
      <w:pPr>
        <w:spacing w:before="120" w:after="120" w:line="240" w:lineRule="auto"/>
        <w:rPr>
          <w:rFonts w:ascii="Times New Roman" w:hAnsi="Times New Roman"/>
          <w:b/>
          <w:bCs/>
        </w:rPr>
      </w:pPr>
      <w:r w:rsidRPr="00573C16">
        <w:rPr>
          <w:rFonts w:ascii="Times New Roman" w:eastAsia="Times New Roman" w:hAnsi="Times New Roman"/>
          <w:b/>
          <w:bCs/>
          <w:lang w:eastAsia="en-AU"/>
        </w:rPr>
        <w:t>Safety, Rehabilitation and Compensation Amendment (Prescribed Cancers) Regulations 2022</w:t>
      </w:r>
    </w:p>
    <w:p w14:paraId="0740ACD0" w14:textId="77777777" w:rsidR="000E60B1" w:rsidRPr="005D1706"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This legislative instrument is compatible with the human rights and freedoms recognised or declared by the international instruments listed in section 3 of the </w:t>
      </w:r>
      <w:r w:rsidRPr="00B23014">
        <w:rPr>
          <w:rFonts w:ascii="Times New Roman" w:hAnsi="Times New Roman"/>
          <w:i/>
        </w:rPr>
        <w:t>Human Rights (Parliamentary Scrutiny) Act 2011</w:t>
      </w:r>
      <w:r w:rsidRPr="00DC1C79">
        <w:rPr>
          <w:rFonts w:ascii="Times New Roman" w:hAnsi="Times New Roman"/>
        </w:rPr>
        <w:t>.</w:t>
      </w:r>
    </w:p>
    <w:p w14:paraId="0740ACD1" w14:textId="77777777" w:rsidR="000E60B1" w:rsidRDefault="000E60B1" w:rsidP="000E60B1">
      <w:pPr>
        <w:shd w:val="clear" w:color="auto" w:fill="FFFFFF"/>
        <w:spacing w:before="120" w:after="120" w:line="240" w:lineRule="auto"/>
        <w:rPr>
          <w:rFonts w:ascii="Times New Roman" w:hAnsi="Times New Roman"/>
          <w:b/>
        </w:rPr>
      </w:pPr>
      <w:r w:rsidRPr="00DC1C79">
        <w:rPr>
          <w:rFonts w:ascii="Times New Roman" w:hAnsi="Times New Roman"/>
          <w:b/>
        </w:rPr>
        <w:t>Overview of the legislative instrument</w:t>
      </w:r>
    </w:p>
    <w:p w14:paraId="2B371E9D" w14:textId="77777777" w:rsidR="00D0461C" w:rsidRPr="00AA3085" w:rsidRDefault="00D0461C" w:rsidP="00D0461C">
      <w:pPr>
        <w:spacing w:before="120" w:after="120" w:line="240" w:lineRule="auto"/>
        <w:rPr>
          <w:rFonts w:ascii="Times New Roman" w:hAnsi="Times New Roman"/>
        </w:rPr>
      </w:pPr>
      <w:r w:rsidRPr="00AA3085">
        <w:rPr>
          <w:rFonts w:ascii="Times New Roman" w:hAnsi="Times New Roman"/>
        </w:rPr>
        <w:t xml:space="preserve">The </w:t>
      </w:r>
      <w:r w:rsidRPr="00AA3085">
        <w:rPr>
          <w:rFonts w:ascii="Times New Roman" w:hAnsi="Times New Roman"/>
          <w:i/>
          <w:iCs/>
        </w:rPr>
        <w:t xml:space="preserve">Safety, Rehabilitation and Compensation Act 1988 </w:t>
      </w:r>
      <w:r w:rsidRPr="00AA3085">
        <w:rPr>
          <w:rFonts w:ascii="Times New Roman" w:hAnsi="Times New Roman"/>
        </w:rPr>
        <w:t>(SRC Act) establishes the Commonwealth workers’ compensation and rehabilitation scheme for employees of the Commonwealth, Commonwealth authorities and licensed corporations.</w:t>
      </w:r>
    </w:p>
    <w:p w14:paraId="7C9E4A2B" w14:textId="77777777" w:rsidR="00D0461C" w:rsidRDefault="00D0461C" w:rsidP="00D0461C">
      <w:pPr>
        <w:spacing w:before="120" w:after="120" w:line="240" w:lineRule="auto"/>
        <w:rPr>
          <w:rFonts w:ascii="Times New Roman" w:hAnsi="Times New Roman"/>
          <w:lang w:val="en"/>
        </w:rPr>
      </w:pPr>
      <w:r w:rsidRPr="00AA3085">
        <w:rPr>
          <w:rFonts w:ascii="Times New Roman" w:eastAsia="Times New Roman" w:hAnsi="Times New Roman"/>
          <w:lang w:eastAsia="en-AU"/>
        </w:rPr>
        <w:t xml:space="preserve">Subject to the SRC Act, liability to provide rehabilitation and make certain compensation payments arises in respect of an ‘injury’ suffered by an employee. </w:t>
      </w:r>
      <w:r w:rsidRPr="00AA3085">
        <w:rPr>
          <w:rFonts w:ascii="Times New Roman" w:hAnsi="Times New Roman"/>
        </w:rPr>
        <w:t xml:space="preserve">For the purposes of the SRC Act, an ‘injury’ </w:t>
      </w:r>
      <w:r w:rsidRPr="00AA3085">
        <w:rPr>
          <w:rFonts w:ascii="Times New Roman" w:hAnsi="Times New Roman"/>
          <w:iCs/>
        </w:rPr>
        <w:t xml:space="preserve">is defined by section 5A to include a ‘disease’ suffered by an employee. A disease is defined by section 5B of the SRC Act to mean an ailment, or an aggravation of an ailment, </w:t>
      </w:r>
      <w:r w:rsidRPr="00AA3085">
        <w:rPr>
          <w:rFonts w:ascii="Times New Roman" w:hAnsi="Times New Roman"/>
          <w:lang w:val="en"/>
        </w:rPr>
        <w:t>that was contributed to, to a significant degree, by the employee’s employment</w:t>
      </w:r>
      <w:r>
        <w:rPr>
          <w:rFonts w:ascii="Times New Roman" w:hAnsi="Times New Roman"/>
          <w:lang w:val="en"/>
        </w:rPr>
        <w:t>.</w:t>
      </w:r>
    </w:p>
    <w:p w14:paraId="5F904B5B" w14:textId="77777777" w:rsidR="00D0461C" w:rsidRPr="00AA3085" w:rsidRDefault="00D0461C" w:rsidP="00D0461C">
      <w:pPr>
        <w:spacing w:before="120" w:after="120" w:line="240" w:lineRule="auto"/>
        <w:rPr>
          <w:rFonts w:ascii="Times New Roman" w:eastAsia="Times New Roman" w:hAnsi="Times New Roman"/>
          <w:lang w:eastAsia="en-AU"/>
        </w:rPr>
      </w:pPr>
      <w:r w:rsidRPr="00FC20B1">
        <w:rPr>
          <w:rFonts w:ascii="Times New Roman" w:eastAsia="Times New Roman" w:hAnsi="Times New Roman"/>
          <w:lang w:eastAsia="en-AU"/>
        </w:rPr>
        <w:t xml:space="preserve">Section 7 of the SRC Act outlines </w:t>
      </w:r>
      <w:proofErr w:type="gramStart"/>
      <w:r w:rsidRPr="00FC20B1">
        <w:rPr>
          <w:rFonts w:ascii="Times New Roman" w:eastAsia="Times New Roman" w:hAnsi="Times New Roman"/>
          <w:lang w:eastAsia="en-AU"/>
        </w:rPr>
        <w:t>a number of</w:t>
      </w:r>
      <w:proofErr w:type="gramEnd"/>
      <w:r w:rsidRPr="00FC20B1">
        <w:rPr>
          <w:rFonts w:ascii="Times New Roman" w:eastAsia="Times New Roman" w:hAnsi="Times New Roman"/>
          <w:lang w:eastAsia="en-AU"/>
        </w:rPr>
        <w:t xml:space="preserve"> provisions relating to diseases, including </w:t>
      </w:r>
      <w:r>
        <w:rPr>
          <w:rFonts w:ascii="Times New Roman" w:eastAsia="Times New Roman" w:hAnsi="Times New Roman"/>
          <w:lang w:eastAsia="en-AU"/>
        </w:rPr>
        <w:t xml:space="preserve">subsection </w:t>
      </w:r>
      <w:r w:rsidRPr="00FC20B1">
        <w:rPr>
          <w:rFonts w:ascii="Times New Roman" w:eastAsia="Times New Roman" w:hAnsi="Times New Roman"/>
          <w:lang w:eastAsia="en-AU"/>
        </w:rPr>
        <w:t xml:space="preserve">7(8) </w:t>
      </w:r>
      <w:r>
        <w:rPr>
          <w:rFonts w:ascii="Times New Roman" w:eastAsia="Times New Roman" w:hAnsi="Times New Roman"/>
          <w:lang w:eastAsia="en-AU"/>
        </w:rPr>
        <w:t>which</w:t>
      </w:r>
      <w:r w:rsidRPr="00FC20B1">
        <w:rPr>
          <w:rFonts w:ascii="Times New Roman" w:eastAsia="Times New Roman" w:hAnsi="Times New Roman"/>
          <w:lang w:eastAsia="en-AU"/>
        </w:rPr>
        <w:t xml:space="preserve"> outlines the circumstances in which employment as a firefighter (for </w:t>
      </w:r>
      <w:r>
        <w:rPr>
          <w:rFonts w:ascii="Times New Roman" w:eastAsia="Times New Roman" w:hAnsi="Times New Roman"/>
          <w:lang w:eastAsia="en-AU"/>
        </w:rPr>
        <w:t>a</w:t>
      </w:r>
      <w:r w:rsidRPr="00FC20B1">
        <w:rPr>
          <w:rFonts w:ascii="Times New Roman" w:eastAsia="Times New Roman" w:hAnsi="Times New Roman"/>
          <w:lang w:eastAsia="en-AU"/>
        </w:rPr>
        <w:t xml:space="preserve"> prescribed qualifying period) is deemed to have contributed, to a significant degree, to the contraction of the particular diseases specified in that provision, unless the contrary is established.</w:t>
      </w:r>
    </w:p>
    <w:p w14:paraId="3DA7C617" w14:textId="77777777" w:rsidR="00D0461C" w:rsidRDefault="00D0461C" w:rsidP="00D0461C">
      <w:pPr>
        <w:spacing w:before="120" w:after="120" w:line="240" w:lineRule="auto"/>
        <w:rPr>
          <w:rFonts w:ascii="Times New Roman" w:eastAsia="Times New Roman" w:hAnsi="Times New Roman"/>
          <w:lang w:eastAsia="en-AU"/>
        </w:rPr>
      </w:pPr>
      <w:r w:rsidRPr="00F80208">
        <w:rPr>
          <w:rFonts w:ascii="Times New Roman" w:eastAsia="Times New Roman" w:hAnsi="Times New Roman"/>
          <w:lang w:eastAsia="en-AU"/>
        </w:rPr>
        <w:t>Item 13 of the table included at subsection 7(8) of the SRC Act provides that additional cancers and corresponding qualifying periods can be prescribed for the purposes of subsection 7(8) of the Act.</w:t>
      </w:r>
    </w:p>
    <w:p w14:paraId="686726A3" w14:textId="2BC21B49" w:rsidR="00D0461C" w:rsidRDefault="00D0461C" w:rsidP="00D0461C">
      <w:pPr>
        <w:spacing w:before="120" w:after="120" w:line="240" w:lineRule="auto"/>
        <w:rPr>
          <w:rFonts w:ascii="Times New Roman" w:eastAsia="Times New Roman" w:hAnsi="Times New Roman"/>
          <w:lang w:eastAsia="en-AU"/>
        </w:rPr>
      </w:pPr>
      <w:r>
        <w:rPr>
          <w:rFonts w:ascii="Times New Roman" w:eastAsia="Times New Roman" w:hAnsi="Times New Roman"/>
          <w:lang w:eastAsia="en-AU"/>
        </w:rPr>
        <w:t>Section 122</w:t>
      </w:r>
      <w:r w:rsidRPr="009C7F16">
        <w:rPr>
          <w:rFonts w:ascii="Times New Roman" w:eastAsia="Times New Roman" w:hAnsi="Times New Roman"/>
          <w:lang w:eastAsia="en-AU"/>
        </w:rPr>
        <w:t xml:space="preserve"> of the SRC Act</w:t>
      </w:r>
      <w:r>
        <w:rPr>
          <w:rFonts w:ascii="Times New Roman" w:eastAsia="Times New Roman" w:hAnsi="Times New Roman"/>
          <w:lang w:eastAsia="en-AU"/>
        </w:rPr>
        <w:t xml:space="preserve"> provides</w:t>
      </w:r>
      <w:r w:rsidRPr="009C7F16">
        <w:rPr>
          <w:rFonts w:ascii="Times New Roman" w:eastAsia="Times New Roman" w:hAnsi="Times New Roman"/>
          <w:lang w:eastAsia="en-AU"/>
        </w:rPr>
        <w:t xml:space="preserve"> the Governor</w:t>
      </w:r>
      <w:r w:rsidR="00490602">
        <w:rPr>
          <w:rFonts w:ascii="Times New Roman" w:eastAsia="Times New Roman" w:hAnsi="Times New Roman"/>
          <w:lang w:eastAsia="en-AU"/>
        </w:rPr>
        <w:t>-</w:t>
      </w:r>
      <w:r w:rsidRPr="009C7F16">
        <w:rPr>
          <w:rFonts w:ascii="Times New Roman" w:eastAsia="Times New Roman" w:hAnsi="Times New Roman"/>
          <w:lang w:eastAsia="en-AU"/>
        </w:rPr>
        <w:t>General may make regulations prescribing matters required or permitted by th</w:t>
      </w:r>
      <w:r>
        <w:rPr>
          <w:rFonts w:ascii="Times New Roman" w:eastAsia="Times New Roman" w:hAnsi="Times New Roman"/>
          <w:lang w:eastAsia="en-AU"/>
        </w:rPr>
        <w:t>e</w:t>
      </w:r>
      <w:r w:rsidRPr="009C7F16">
        <w:rPr>
          <w:rFonts w:ascii="Times New Roman" w:eastAsia="Times New Roman" w:hAnsi="Times New Roman"/>
          <w:lang w:eastAsia="en-AU"/>
        </w:rPr>
        <w:t xml:space="preserve"> Act to be prescribed, or necessary or convenient to be prescribed for carrying out or giving effect to th</w:t>
      </w:r>
      <w:r>
        <w:rPr>
          <w:rFonts w:ascii="Times New Roman" w:eastAsia="Times New Roman" w:hAnsi="Times New Roman"/>
          <w:lang w:eastAsia="en-AU"/>
        </w:rPr>
        <w:t xml:space="preserve">e </w:t>
      </w:r>
      <w:r w:rsidRPr="009C7F16">
        <w:rPr>
          <w:rFonts w:ascii="Times New Roman" w:eastAsia="Times New Roman" w:hAnsi="Times New Roman"/>
          <w:lang w:eastAsia="en-AU"/>
        </w:rPr>
        <w:t>Act</w:t>
      </w:r>
      <w:r>
        <w:rPr>
          <w:rFonts w:ascii="Times New Roman" w:eastAsia="Times New Roman" w:hAnsi="Times New Roman"/>
          <w:lang w:eastAsia="en-AU"/>
        </w:rPr>
        <w:t xml:space="preserve">. </w:t>
      </w:r>
    </w:p>
    <w:p w14:paraId="58422397" w14:textId="63B86467" w:rsidR="00D0461C" w:rsidRPr="00E942E1" w:rsidRDefault="00D0461C" w:rsidP="00D0461C">
      <w:pPr>
        <w:spacing w:before="120" w:after="120" w:line="240" w:lineRule="auto"/>
        <w:rPr>
          <w:rFonts w:ascii="Times New Roman" w:hAnsi="Times New Roman"/>
          <w:lang w:val="en-US"/>
        </w:rPr>
      </w:pPr>
      <w:r w:rsidRPr="00E942E1">
        <w:rPr>
          <w:rFonts w:ascii="Times New Roman" w:eastAsia="Times New Roman" w:hAnsi="Times New Roman"/>
          <w:lang w:eastAsia="en-AU"/>
        </w:rPr>
        <w:t xml:space="preserve">Pursuant to subsection 7(8) and section 122 of the SRC Act the </w:t>
      </w:r>
      <w:r w:rsidRPr="00E942E1">
        <w:rPr>
          <w:rFonts w:ascii="Times New Roman" w:eastAsia="Times New Roman" w:hAnsi="Times New Roman"/>
          <w:i/>
          <w:iCs/>
          <w:lang w:eastAsia="en-AU"/>
        </w:rPr>
        <w:t>Safety, Rehabilitation and Compensation Amendment (Prescribed Cancers) Regulations 2022</w:t>
      </w:r>
      <w:r w:rsidRPr="00E942E1">
        <w:rPr>
          <w:rFonts w:ascii="Times New Roman" w:eastAsia="Times New Roman" w:hAnsi="Times New Roman"/>
          <w:lang w:eastAsia="en-AU"/>
        </w:rPr>
        <w:t xml:space="preserve"> (the Amendment Instrument) amends the </w:t>
      </w:r>
      <w:r w:rsidRPr="00E942E1">
        <w:rPr>
          <w:rFonts w:ascii="Times New Roman" w:eastAsia="Times New Roman" w:hAnsi="Times New Roman"/>
          <w:i/>
          <w:iCs/>
          <w:lang w:eastAsia="en-AU"/>
        </w:rPr>
        <w:t xml:space="preserve">Safety, Rehabilitation and Compensation Regulations 2019 </w:t>
      </w:r>
      <w:r w:rsidRPr="00E942E1">
        <w:rPr>
          <w:rFonts w:ascii="Times New Roman" w:eastAsia="Times New Roman" w:hAnsi="Times New Roman"/>
          <w:lang w:eastAsia="en-AU"/>
        </w:rPr>
        <w:t xml:space="preserve">to </w:t>
      </w:r>
      <w:r w:rsidRPr="00E942E1">
        <w:rPr>
          <w:rFonts w:ascii="Times New Roman" w:hAnsi="Times New Roman"/>
          <w:lang w:val="en-US"/>
        </w:rPr>
        <w:t xml:space="preserve">prescribe the following </w:t>
      </w:r>
      <w:r w:rsidR="00A94EF3">
        <w:rPr>
          <w:rFonts w:ascii="Times New Roman" w:hAnsi="Times New Roman"/>
          <w:lang w:val="en-US"/>
        </w:rPr>
        <w:t>eight</w:t>
      </w:r>
      <w:r w:rsidRPr="00E942E1">
        <w:rPr>
          <w:rFonts w:ascii="Times New Roman" w:hAnsi="Times New Roman"/>
          <w:lang w:val="en-US"/>
        </w:rPr>
        <w:t xml:space="preserve"> additional cancers and corresponding qualify periods for the purposes of subsection 7(8) of the SRC Act:</w:t>
      </w:r>
    </w:p>
    <w:p w14:paraId="7C5C32AA" w14:textId="24B3F500" w:rsidR="00D0461C" w:rsidRPr="00976D9A"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976D9A">
        <w:rPr>
          <w:rFonts w:ascii="Times New Roman" w:hAnsi="Times New Roman"/>
        </w:rPr>
        <w:t xml:space="preserve">Primary site lung cancer with a qualifying period of 15 </w:t>
      </w:r>
      <w:proofErr w:type="gramStart"/>
      <w:r w:rsidRPr="00976D9A">
        <w:rPr>
          <w:rFonts w:ascii="Times New Roman" w:hAnsi="Times New Roman"/>
        </w:rPr>
        <w:t>years;</w:t>
      </w:r>
      <w:proofErr w:type="gramEnd"/>
    </w:p>
    <w:p w14:paraId="7810A9A7" w14:textId="77777777" w:rsidR="00D0461C" w:rsidRPr="00575664"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skin cancer with a qualifying period of 15 </w:t>
      </w:r>
      <w:proofErr w:type="gramStart"/>
      <w:r w:rsidRPr="00575664">
        <w:rPr>
          <w:rFonts w:ascii="Times New Roman" w:hAnsi="Times New Roman"/>
        </w:rPr>
        <w:t>years;</w:t>
      </w:r>
      <w:proofErr w:type="gramEnd"/>
    </w:p>
    <w:p w14:paraId="32495C49" w14:textId="77777777" w:rsidR="00D0461C" w:rsidRPr="00575664"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cervical cancer with a qualifying period of 10 </w:t>
      </w:r>
      <w:proofErr w:type="gramStart"/>
      <w:r w:rsidRPr="00575664">
        <w:rPr>
          <w:rFonts w:ascii="Times New Roman" w:hAnsi="Times New Roman"/>
        </w:rPr>
        <w:t>years;</w:t>
      </w:r>
      <w:proofErr w:type="gramEnd"/>
    </w:p>
    <w:p w14:paraId="436636A9" w14:textId="77777777" w:rsidR="00D0461C" w:rsidRPr="00575664"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575664">
        <w:rPr>
          <w:rFonts w:ascii="Times New Roman" w:hAnsi="Times New Roman"/>
        </w:rPr>
        <w:lastRenderedPageBreak/>
        <w:t xml:space="preserve">Primary site ovarian cancer with a qualifying period of 10 </w:t>
      </w:r>
      <w:proofErr w:type="gramStart"/>
      <w:r w:rsidRPr="00575664">
        <w:rPr>
          <w:rFonts w:ascii="Times New Roman" w:hAnsi="Times New Roman"/>
        </w:rPr>
        <w:t>years;</w:t>
      </w:r>
      <w:proofErr w:type="gramEnd"/>
    </w:p>
    <w:p w14:paraId="434BB894" w14:textId="77777777" w:rsidR="00D0461C" w:rsidRPr="00575664"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penile cancer with a qualifying period of 15 </w:t>
      </w:r>
      <w:proofErr w:type="gramStart"/>
      <w:r w:rsidRPr="00575664">
        <w:rPr>
          <w:rFonts w:ascii="Times New Roman" w:hAnsi="Times New Roman"/>
        </w:rPr>
        <w:t>years;</w:t>
      </w:r>
      <w:proofErr w:type="gramEnd"/>
    </w:p>
    <w:p w14:paraId="4AF4CEAC" w14:textId="5AFC0E7F" w:rsidR="00D0461C" w:rsidRPr="00575664"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575664">
        <w:rPr>
          <w:rFonts w:ascii="Times New Roman" w:hAnsi="Times New Roman"/>
        </w:rPr>
        <w:t xml:space="preserve">Primary site pancreatic cancer with a qualifying period of 10 </w:t>
      </w:r>
      <w:proofErr w:type="gramStart"/>
      <w:r w:rsidRPr="00575664">
        <w:rPr>
          <w:rFonts w:ascii="Times New Roman" w:hAnsi="Times New Roman"/>
        </w:rPr>
        <w:t>years;</w:t>
      </w:r>
      <w:proofErr w:type="gramEnd"/>
      <w:r w:rsidRPr="00575664">
        <w:rPr>
          <w:rFonts w:ascii="Times New Roman" w:hAnsi="Times New Roman"/>
        </w:rPr>
        <w:t xml:space="preserve"> </w:t>
      </w:r>
    </w:p>
    <w:p w14:paraId="2CA96C36" w14:textId="3CC62BFF" w:rsidR="00D0461C" w:rsidRPr="004F0A6E" w:rsidRDefault="00D0461C" w:rsidP="00976D9A">
      <w:pPr>
        <w:pStyle w:val="ListParagraph"/>
        <w:numPr>
          <w:ilvl w:val="0"/>
          <w:numId w:val="47"/>
        </w:numPr>
        <w:spacing w:before="120" w:after="120" w:line="240" w:lineRule="auto"/>
        <w:rPr>
          <w:rFonts w:ascii="Times New Roman" w:eastAsia="Times New Roman" w:hAnsi="Times New Roman"/>
          <w:lang w:eastAsia="en-AU"/>
        </w:rPr>
      </w:pPr>
      <w:r w:rsidRPr="00575664">
        <w:rPr>
          <w:rFonts w:ascii="Times New Roman" w:hAnsi="Times New Roman"/>
        </w:rPr>
        <w:t>Primary site thyroid cancer with a qualifying period of 10 years</w:t>
      </w:r>
      <w:r w:rsidR="004F0A6E">
        <w:rPr>
          <w:rFonts w:ascii="Times New Roman" w:hAnsi="Times New Roman"/>
        </w:rPr>
        <w:t>; and</w:t>
      </w:r>
    </w:p>
    <w:p w14:paraId="19929D0C" w14:textId="29791988" w:rsidR="004F0A6E" w:rsidRPr="004F0A6E" w:rsidRDefault="004F0A6E" w:rsidP="004F0A6E">
      <w:pPr>
        <w:pStyle w:val="ListParagraph"/>
        <w:numPr>
          <w:ilvl w:val="0"/>
          <w:numId w:val="47"/>
        </w:numPr>
        <w:spacing w:before="120" w:after="120" w:line="240" w:lineRule="auto"/>
        <w:rPr>
          <w:rFonts w:ascii="Times New Roman" w:eastAsia="Times New Roman" w:hAnsi="Times New Roman"/>
          <w:lang w:eastAsia="en-AU"/>
        </w:rPr>
      </w:pPr>
      <w:r w:rsidRPr="00A72D91">
        <w:rPr>
          <w:rFonts w:ascii="Times New Roman" w:hAnsi="Times New Roman"/>
        </w:rPr>
        <w:t xml:space="preserve">Malignant mesothelioma </w:t>
      </w:r>
      <w:r w:rsidRPr="00575664">
        <w:rPr>
          <w:rFonts w:ascii="Times New Roman" w:hAnsi="Times New Roman"/>
        </w:rPr>
        <w:t>with a qualifying period of</w:t>
      </w:r>
      <w:r>
        <w:rPr>
          <w:rFonts w:ascii="Times New Roman" w:hAnsi="Times New Roman"/>
        </w:rPr>
        <w:t xml:space="preserve"> 15 years.</w:t>
      </w:r>
    </w:p>
    <w:p w14:paraId="7AA91148" w14:textId="77777777" w:rsidR="00D0461C" w:rsidRPr="007F249C" w:rsidRDefault="00D0461C" w:rsidP="00D0461C">
      <w:pPr>
        <w:spacing w:before="120" w:after="120" w:line="240" w:lineRule="auto"/>
        <w:rPr>
          <w:rFonts w:ascii="Times New Roman" w:eastAsia="Times New Roman" w:hAnsi="Times New Roman"/>
          <w:lang w:eastAsia="en-AU"/>
        </w:rPr>
      </w:pPr>
      <w:r w:rsidRPr="007F249C">
        <w:rPr>
          <w:rFonts w:ascii="Times New Roman" w:eastAsia="Times New Roman" w:hAnsi="Times New Roman"/>
          <w:lang w:eastAsia="en-AU"/>
        </w:rPr>
        <w:t>Consequently,</w:t>
      </w:r>
      <w:r>
        <w:rPr>
          <w:rFonts w:ascii="Times New Roman" w:eastAsia="Times New Roman" w:hAnsi="Times New Roman"/>
          <w:lang w:eastAsia="en-AU"/>
        </w:rPr>
        <w:t xml:space="preserve"> </w:t>
      </w:r>
      <w:r w:rsidRPr="007F249C">
        <w:rPr>
          <w:rFonts w:ascii="Times New Roman" w:eastAsia="Times New Roman" w:hAnsi="Times New Roman"/>
          <w:lang w:eastAsia="en-AU"/>
        </w:rPr>
        <w:t>if an employee suffers from one of the abovementioned cancers, and:</w:t>
      </w:r>
    </w:p>
    <w:p w14:paraId="4308E3CD" w14:textId="77777777" w:rsidR="00D0461C" w:rsidRPr="007F249C" w:rsidRDefault="00D0461C" w:rsidP="00D0461C">
      <w:pPr>
        <w:pStyle w:val="ListParagraph"/>
        <w:numPr>
          <w:ilvl w:val="0"/>
          <w:numId w:val="46"/>
        </w:numPr>
        <w:spacing w:before="120" w:after="120" w:line="240" w:lineRule="auto"/>
        <w:rPr>
          <w:rFonts w:ascii="Times New Roman" w:eastAsia="Times New Roman" w:hAnsi="Times New Roman"/>
          <w:lang w:eastAsia="en-AU"/>
        </w:rPr>
      </w:pPr>
      <w:r w:rsidRPr="007F249C">
        <w:rPr>
          <w:rFonts w:ascii="Times New Roman" w:hAnsi="Times New Roman"/>
        </w:rPr>
        <w:t>before the disease was sustained, the employee was employed as a firefighter for the corresponding qualifying period prescribed for that cancer; and</w:t>
      </w:r>
    </w:p>
    <w:p w14:paraId="471817FF" w14:textId="77777777" w:rsidR="00D0461C" w:rsidRPr="007F249C" w:rsidRDefault="00D0461C" w:rsidP="00D0461C">
      <w:pPr>
        <w:pStyle w:val="ListParagraph"/>
        <w:numPr>
          <w:ilvl w:val="0"/>
          <w:numId w:val="46"/>
        </w:numPr>
        <w:spacing w:before="120" w:after="120" w:line="240" w:lineRule="auto"/>
        <w:rPr>
          <w:rFonts w:ascii="Times New Roman" w:eastAsia="Times New Roman" w:hAnsi="Times New Roman"/>
          <w:lang w:eastAsia="en-AU"/>
        </w:rPr>
      </w:pPr>
      <w:r w:rsidRPr="007F249C">
        <w:rPr>
          <w:rFonts w:ascii="Times New Roman" w:hAnsi="Times New Roman"/>
        </w:rPr>
        <w:t>was exposed to the hazards of a fire scene during that period</w:t>
      </w:r>
      <w:r>
        <w:rPr>
          <w:rFonts w:ascii="Times New Roman" w:hAnsi="Times New Roman"/>
        </w:rPr>
        <w:t xml:space="preserve">, </w:t>
      </w:r>
    </w:p>
    <w:p w14:paraId="025D7A64" w14:textId="77777777" w:rsidR="00D0461C" w:rsidRPr="007F249C" w:rsidRDefault="00D0461C" w:rsidP="00D0461C">
      <w:pPr>
        <w:spacing w:before="120" w:after="120" w:line="240" w:lineRule="auto"/>
        <w:rPr>
          <w:rFonts w:ascii="Times New Roman" w:eastAsia="Times New Roman" w:hAnsi="Times New Roman"/>
          <w:lang w:eastAsia="en-AU"/>
        </w:rPr>
      </w:pPr>
      <w:r w:rsidRPr="007F249C">
        <w:rPr>
          <w:rFonts w:ascii="Times New Roman" w:hAnsi="Times New Roman"/>
        </w:rPr>
        <w:t xml:space="preserve">that employment is </w:t>
      </w:r>
      <w:r>
        <w:rPr>
          <w:rFonts w:ascii="Times New Roman" w:hAnsi="Times New Roman"/>
        </w:rPr>
        <w:t xml:space="preserve">taken </w:t>
      </w:r>
      <w:r w:rsidRPr="007F249C">
        <w:rPr>
          <w:rFonts w:ascii="Times New Roman" w:hAnsi="Times New Roman"/>
        </w:rPr>
        <w:t>to have contributed, to a significant degree, to the contraction of the cancer for the purposes of the SRC Act, unless the contrary is established.</w:t>
      </w:r>
    </w:p>
    <w:p w14:paraId="0740ACD4" w14:textId="77777777" w:rsidR="000E60B1" w:rsidRDefault="000E60B1" w:rsidP="000E60B1">
      <w:pPr>
        <w:shd w:val="clear" w:color="auto" w:fill="FFFFFF"/>
        <w:spacing w:before="120" w:after="120" w:line="240" w:lineRule="auto"/>
        <w:rPr>
          <w:rFonts w:ascii="Times New Roman" w:hAnsi="Times New Roman"/>
          <w:b/>
        </w:rPr>
      </w:pPr>
      <w:r w:rsidRPr="00DC1C79">
        <w:rPr>
          <w:rFonts w:ascii="Times New Roman" w:hAnsi="Times New Roman"/>
          <w:b/>
        </w:rPr>
        <w:t>Human rights implications</w:t>
      </w:r>
    </w:p>
    <w:p w14:paraId="0740ACD5" w14:textId="77777777" w:rsidR="000E60B1"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Article 9 of the </w:t>
      </w:r>
      <w:r w:rsidRPr="00DC1C79">
        <w:rPr>
          <w:rFonts w:ascii="Times New Roman" w:hAnsi="Times New Roman"/>
          <w:i/>
          <w:iCs/>
        </w:rPr>
        <w:t>International Covenant on Economic, Social and Cultural Rights</w:t>
      </w:r>
      <w:r w:rsidRPr="00DC1C79">
        <w:rPr>
          <w:rFonts w:ascii="Times New Roman" w:hAnsi="Times New Roman"/>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Style w:val="FootnoteReference"/>
          <w:rFonts w:ascii="Times New Roman" w:hAnsi="Times New Roman"/>
        </w:rPr>
        <w:footnoteReference w:id="1"/>
      </w:r>
      <w:r w:rsidRPr="00DC1C79">
        <w:rPr>
          <w:rFonts w:ascii="Times New Roman" w:hAnsi="Times New Roman"/>
        </w:rPr>
        <w:t xml:space="preserve"> </w:t>
      </w:r>
    </w:p>
    <w:p w14:paraId="0740ACD6" w14:textId="17D809A6" w:rsidR="000E60B1"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Workers’ compensation is analogous to social insurance in that it provides payment of wages and medical costs to employees for injuries occurring </w:t>
      </w:r>
      <w:proofErr w:type="gramStart"/>
      <w:r>
        <w:rPr>
          <w:rFonts w:ascii="Times New Roman" w:hAnsi="Times New Roman"/>
        </w:rPr>
        <w:t>as a result of</w:t>
      </w:r>
      <w:proofErr w:type="gramEnd"/>
      <w:r>
        <w:rPr>
          <w:rFonts w:ascii="Times New Roman" w:hAnsi="Times New Roman"/>
        </w:rPr>
        <w:t xml:space="preserve"> their employment.</w:t>
      </w:r>
    </w:p>
    <w:p w14:paraId="55F6F614" w14:textId="7919B7A3" w:rsidR="00AC52B1" w:rsidRDefault="00AC52B1" w:rsidP="000E60B1">
      <w:pPr>
        <w:shd w:val="clear" w:color="auto" w:fill="FFFFFF"/>
        <w:spacing w:before="120" w:after="120" w:line="240" w:lineRule="auto"/>
        <w:rPr>
          <w:rFonts w:ascii="Times New Roman" w:hAnsi="Times New Roman"/>
        </w:rPr>
      </w:pPr>
      <w:r w:rsidRPr="00AC52B1">
        <w:rPr>
          <w:rFonts w:ascii="Times New Roman" w:hAnsi="Times New Roman"/>
        </w:rPr>
        <w:t>Th</w:t>
      </w:r>
      <w:r w:rsidR="001201C3">
        <w:rPr>
          <w:rFonts w:ascii="Times New Roman" w:hAnsi="Times New Roman"/>
        </w:rPr>
        <w:t xml:space="preserve">e </w:t>
      </w:r>
      <w:r>
        <w:rPr>
          <w:rFonts w:ascii="Times New Roman" w:hAnsi="Times New Roman"/>
        </w:rPr>
        <w:t>Amendment Instrument</w:t>
      </w:r>
      <w:r w:rsidRPr="00AC52B1">
        <w:rPr>
          <w:rFonts w:ascii="Times New Roman" w:hAnsi="Times New Roman"/>
        </w:rPr>
        <w:t xml:space="preserve"> will assist </w:t>
      </w:r>
      <w:r>
        <w:rPr>
          <w:rFonts w:ascii="Times New Roman" w:hAnsi="Times New Roman"/>
        </w:rPr>
        <w:t>firefighters</w:t>
      </w:r>
      <w:r w:rsidR="002E2E69">
        <w:rPr>
          <w:rFonts w:ascii="Times New Roman" w:hAnsi="Times New Roman"/>
        </w:rPr>
        <w:t xml:space="preserve"> covered by the SRC Act</w:t>
      </w:r>
      <w:r w:rsidRPr="00AC52B1">
        <w:rPr>
          <w:rFonts w:ascii="Times New Roman" w:hAnsi="Times New Roman"/>
        </w:rPr>
        <w:t xml:space="preserve"> in relation to a claim made in respect of a disease of a kind specified in </w:t>
      </w:r>
      <w:r w:rsidR="00F366C9">
        <w:rPr>
          <w:rFonts w:ascii="Times New Roman" w:hAnsi="Times New Roman"/>
        </w:rPr>
        <w:t>the instrument</w:t>
      </w:r>
      <w:r w:rsidR="00797923">
        <w:rPr>
          <w:rFonts w:ascii="Times New Roman" w:hAnsi="Times New Roman"/>
        </w:rPr>
        <w:t xml:space="preserve">. </w:t>
      </w:r>
      <w:r w:rsidRPr="00AC52B1">
        <w:rPr>
          <w:rFonts w:ascii="Times New Roman" w:hAnsi="Times New Roman"/>
        </w:rPr>
        <w:t>It does this by enlivening subsection 7(</w:t>
      </w:r>
      <w:r w:rsidR="00797923">
        <w:rPr>
          <w:rFonts w:ascii="Times New Roman" w:hAnsi="Times New Roman"/>
        </w:rPr>
        <w:t>8</w:t>
      </w:r>
      <w:r w:rsidRPr="00AC52B1">
        <w:rPr>
          <w:rFonts w:ascii="Times New Roman" w:hAnsi="Times New Roman"/>
        </w:rPr>
        <w:t xml:space="preserve">) of the SRC Act, which effectively reverses the onus of proof in relation to the </w:t>
      </w:r>
      <w:r w:rsidR="00797923">
        <w:rPr>
          <w:rFonts w:ascii="Times New Roman" w:hAnsi="Times New Roman"/>
        </w:rPr>
        <w:t xml:space="preserve">specified </w:t>
      </w:r>
      <w:r w:rsidRPr="00AC52B1">
        <w:rPr>
          <w:rFonts w:ascii="Times New Roman" w:hAnsi="Times New Roman"/>
        </w:rPr>
        <w:t>disease. This reduces the evidentiary burden on the claimant for the purposes of establishing an entitlement to workers’ compensation and other benefits under the SRC Act.</w:t>
      </w:r>
    </w:p>
    <w:p w14:paraId="0740ACD8" w14:textId="77777777" w:rsidR="000E60B1" w:rsidRDefault="000E60B1" w:rsidP="000E60B1">
      <w:pPr>
        <w:shd w:val="clear" w:color="auto" w:fill="FFFFFF"/>
        <w:spacing w:before="120" w:after="120" w:line="240" w:lineRule="auto"/>
        <w:rPr>
          <w:rFonts w:ascii="Times New Roman" w:hAnsi="Times New Roman"/>
          <w:b/>
        </w:rPr>
      </w:pPr>
      <w:r w:rsidRPr="00DC1C79">
        <w:rPr>
          <w:rFonts w:ascii="Times New Roman" w:hAnsi="Times New Roman"/>
          <w:b/>
        </w:rPr>
        <w:t>Conclusion</w:t>
      </w:r>
    </w:p>
    <w:p w14:paraId="0740ACD9" w14:textId="77777777" w:rsidR="000E60B1" w:rsidRPr="00157E7E" w:rsidRDefault="000E60B1" w:rsidP="000E60B1">
      <w:pPr>
        <w:spacing w:before="120" w:after="120" w:line="240" w:lineRule="auto"/>
        <w:rPr>
          <w:rFonts w:ascii="Times New Roman" w:hAnsi="Times New Roman"/>
        </w:rPr>
      </w:pPr>
      <w:r w:rsidRPr="00157E7E">
        <w:rPr>
          <w:rFonts w:ascii="Times New Roman" w:hAnsi="Times New Roman"/>
        </w:rPr>
        <w:t xml:space="preserve">The </w:t>
      </w:r>
      <w:r>
        <w:rPr>
          <w:rFonts w:ascii="Times New Roman" w:hAnsi="Times New Roman"/>
        </w:rPr>
        <w:t>l</w:t>
      </w:r>
      <w:r w:rsidRPr="00157E7E">
        <w:rPr>
          <w:rFonts w:ascii="Times New Roman" w:hAnsi="Times New Roman"/>
        </w:rPr>
        <w:t xml:space="preserve">egislative </w:t>
      </w:r>
      <w:r>
        <w:rPr>
          <w:rFonts w:ascii="Times New Roman" w:hAnsi="Times New Roman"/>
        </w:rPr>
        <w:t>i</w:t>
      </w:r>
      <w:r w:rsidRPr="00157E7E">
        <w:rPr>
          <w:rFonts w:ascii="Times New Roman" w:hAnsi="Times New Roman"/>
        </w:rPr>
        <w:t xml:space="preserve">nstrument is compatible with human rights </w:t>
      </w:r>
      <w:r w:rsidR="00EC4DC3">
        <w:rPr>
          <w:rFonts w:ascii="Times New Roman" w:hAnsi="Times New Roman"/>
        </w:rPr>
        <w:t>because it promotes human rights</w:t>
      </w:r>
      <w:r w:rsidR="00472C7B">
        <w:rPr>
          <w:rFonts w:ascii="Times New Roman" w:hAnsi="Times New Roman"/>
        </w:rPr>
        <w:t>.</w:t>
      </w:r>
    </w:p>
    <w:p w14:paraId="0740ACDA" w14:textId="77777777" w:rsidR="000E60B1" w:rsidRDefault="000E60B1" w:rsidP="000E60B1">
      <w:pPr>
        <w:spacing w:before="120" w:after="120" w:line="240" w:lineRule="auto"/>
        <w:jc w:val="center"/>
        <w:rPr>
          <w:rFonts w:ascii="Times New Roman" w:hAnsi="Times New Roman"/>
          <w:b/>
        </w:rPr>
      </w:pPr>
    </w:p>
    <w:p w14:paraId="0740ACDB" w14:textId="1491217A" w:rsidR="000E60B1" w:rsidRPr="00157E7E" w:rsidRDefault="001F148F" w:rsidP="000E60B1">
      <w:pPr>
        <w:spacing w:before="120" w:after="120" w:line="240" w:lineRule="auto"/>
        <w:jc w:val="center"/>
        <w:rPr>
          <w:rFonts w:ascii="Times New Roman" w:hAnsi="Times New Roman"/>
          <w:b/>
        </w:rPr>
      </w:pPr>
      <w:r>
        <w:rPr>
          <w:rFonts w:ascii="Times New Roman" w:hAnsi="Times New Roman"/>
          <w:b/>
        </w:rPr>
        <w:t>The Hon Tony Burke MP</w:t>
      </w:r>
      <w:r w:rsidR="000E60B1">
        <w:rPr>
          <w:rFonts w:ascii="Times New Roman" w:hAnsi="Times New Roman"/>
          <w:b/>
        </w:rPr>
        <w:t xml:space="preserve"> </w:t>
      </w:r>
    </w:p>
    <w:p w14:paraId="0740ACDC" w14:textId="391730C0" w:rsidR="000E60B1" w:rsidRDefault="000E60B1" w:rsidP="000E60B1">
      <w:pPr>
        <w:spacing w:before="120" w:after="120" w:line="240" w:lineRule="auto"/>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sidR="001F148F">
        <w:rPr>
          <w:rFonts w:ascii="Times New Roman" w:hAnsi="Times New Roman"/>
          <w:lang w:val="en"/>
        </w:rPr>
        <w:t>Employment and Workplace</w:t>
      </w:r>
      <w:r>
        <w:rPr>
          <w:rFonts w:ascii="Times New Roman" w:hAnsi="Times New Roman"/>
          <w:lang w:val="en"/>
        </w:rPr>
        <w:t xml:space="preserve"> Relations</w:t>
      </w:r>
    </w:p>
    <w:p w14:paraId="0740ACDD" w14:textId="77777777" w:rsidR="000E60B1" w:rsidRDefault="000E60B1" w:rsidP="000E60B1">
      <w:pPr>
        <w:spacing w:before="120" w:after="120" w:line="240" w:lineRule="auto"/>
        <w:rPr>
          <w:rFonts w:ascii="Times New Roman" w:hAnsi="Times New Roman"/>
          <w:b/>
          <w:sz w:val="24"/>
          <w:szCs w:val="24"/>
        </w:rPr>
        <w:sectPr w:rsidR="000E60B1" w:rsidSect="000E60B1">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cols w:space="708"/>
          <w:docGrid w:linePitch="360"/>
        </w:sectPr>
      </w:pPr>
    </w:p>
    <w:p w14:paraId="0740ACDE" w14:textId="77777777" w:rsidR="000E60B1" w:rsidRPr="00521029" w:rsidRDefault="000E60B1" w:rsidP="000E60B1">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0740ACDF" w14:textId="77777777" w:rsidR="000E60B1" w:rsidRPr="00521029" w:rsidRDefault="000E60B1" w:rsidP="000E60B1">
      <w:pPr>
        <w:spacing w:before="120" w:after="120" w:line="240" w:lineRule="auto"/>
        <w:jc w:val="center"/>
        <w:rPr>
          <w:rFonts w:ascii="Times New Roman" w:hAnsi="Times New Roman"/>
          <w:b/>
          <w:sz w:val="24"/>
          <w:szCs w:val="24"/>
        </w:rPr>
      </w:pPr>
      <w:r>
        <w:rPr>
          <w:rFonts w:ascii="Times New Roman" w:hAnsi="Times New Roman"/>
          <w:b/>
          <w:sz w:val="24"/>
          <w:szCs w:val="24"/>
        </w:rPr>
        <w:t>NOTES ON SECTIONS</w:t>
      </w:r>
    </w:p>
    <w:p w14:paraId="78B53DDD" w14:textId="77777777" w:rsidR="00154449" w:rsidRPr="00E73F20"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67ECF7B6" w14:textId="390BB5E4" w:rsidR="00154449" w:rsidRPr="00154449" w:rsidRDefault="00154449" w:rsidP="00154449">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 xml:space="preserve">Section 1 provides that the title of the instrument is the </w:t>
      </w:r>
      <w:r w:rsidRPr="00E942E1">
        <w:rPr>
          <w:rFonts w:ascii="Times New Roman" w:eastAsia="Times New Roman" w:hAnsi="Times New Roman"/>
          <w:i/>
          <w:iCs/>
          <w:lang w:eastAsia="en-AU"/>
        </w:rPr>
        <w:t>Safety, Rehabilitation and Compensation Amendment (Prescribed Cancers) Regulations 2022</w:t>
      </w:r>
      <w:r>
        <w:rPr>
          <w:rFonts w:ascii="Times New Roman" w:eastAsia="Times New Roman" w:hAnsi="Times New Roman"/>
          <w:lang w:eastAsia="en-AU"/>
        </w:rPr>
        <w:t>.</w:t>
      </w:r>
    </w:p>
    <w:p w14:paraId="08E7E992" w14:textId="77777777" w:rsidR="00154449" w:rsidRPr="00E73F20"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2 – Commencement </w:t>
      </w:r>
    </w:p>
    <w:p w14:paraId="25F400EB" w14:textId="69D8E598" w:rsidR="00154449" w:rsidRPr="00154449" w:rsidRDefault="00154449" w:rsidP="00154449">
      <w:pPr>
        <w:spacing w:before="120" w:after="120" w:line="240" w:lineRule="auto"/>
        <w:rPr>
          <w:rFonts w:ascii="Times New Roman" w:eastAsia="Times New Roman" w:hAnsi="Times New Roman"/>
          <w:bCs/>
          <w:lang w:eastAsia="en-AU"/>
        </w:rPr>
      </w:pPr>
      <w:r w:rsidRPr="0075672D">
        <w:rPr>
          <w:rFonts w:ascii="Times New Roman" w:eastAsia="Times New Roman" w:hAnsi="Times New Roman"/>
          <w:bCs/>
          <w:lang w:eastAsia="en-AU"/>
        </w:rPr>
        <w:t xml:space="preserve">Section 2 provides that the instrument is </w:t>
      </w:r>
      <w:r w:rsidRPr="0075672D">
        <w:rPr>
          <w:rFonts w:ascii="Times New Roman" w:hAnsi="Times New Roman"/>
          <w:color w:val="000000"/>
          <w:shd w:val="clear" w:color="auto" w:fill="FFFFFF"/>
        </w:rPr>
        <w:t>to commence on the day after it is registered on the Federal Register of Legislation.</w:t>
      </w:r>
    </w:p>
    <w:p w14:paraId="1CD401ED" w14:textId="77777777" w:rsidR="00154449"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0E388C95" w14:textId="425AB2D8" w:rsidR="00154449" w:rsidRPr="00BA3332" w:rsidRDefault="00154449" w:rsidP="00154449">
      <w:pPr>
        <w:shd w:val="clear" w:color="auto" w:fill="FFFFFF"/>
        <w:spacing w:before="120" w:after="120" w:line="240" w:lineRule="auto"/>
        <w:rPr>
          <w:rFonts w:ascii="Times New Roman" w:eastAsia="Times New Roman" w:hAnsi="Times New Roman"/>
          <w:lang w:eastAsia="en-AU"/>
        </w:rPr>
      </w:pPr>
      <w:r w:rsidRPr="00E8565D">
        <w:rPr>
          <w:rFonts w:ascii="Times New Roman" w:eastAsia="Times New Roman" w:hAnsi="Times New Roman"/>
          <w:lang w:eastAsia="en-AU"/>
        </w:rPr>
        <w:t xml:space="preserve">Section 3 provides that the </w:t>
      </w:r>
      <w:r w:rsidRPr="00E8565D">
        <w:rPr>
          <w:rFonts w:ascii="Times New Roman" w:hAnsi="Times New Roman"/>
        </w:rPr>
        <w:t xml:space="preserve">instrument is made under the </w:t>
      </w:r>
      <w:r w:rsidRPr="00E8565D">
        <w:rPr>
          <w:rFonts w:ascii="Times New Roman" w:hAnsi="Times New Roman"/>
          <w:i/>
        </w:rPr>
        <w:t>Safety, Rehabilitation and Compensation Act 1988</w:t>
      </w:r>
      <w:r w:rsidRPr="00E8565D">
        <w:rPr>
          <w:rFonts w:ascii="Times New Roman" w:hAnsi="Times New Roman"/>
        </w:rPr>
        <w:t>.</w:t>
      </w:r>
    </w:p>
    <w:p w14:paraId="2A75D84B" w14:textId="77777777" w:rsidR="00154449" w:rsidRDefault="00154449" w:rsidP="00154449">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Schedules</w:t>
      </w:r>
    </w:p>
    <w:p w14:paraId="018A3B16" w14:textId="1CC464CD" w:rsidR="00154449" w:rsidRPr="00154449" w:rsidRDefault="00154449" w:rsidP="00154449">
      <w:pPr>
        <w:shd w:val="clear" w:color="auto" w:fill="FFFFFF"/>
        <w:spacing w:before="120" w:after="120" w:line="240" w:lineRule="auto"/>
        <w:rPr>
          <w:rFonts w:ascii="Times New Roman" w:eastAsia="Times New Roman" w:hAnsi="Times New Roman"/>
          <w:lang w:eastAsia="en-AU"/>
        </w:rPr>
      </w:pPr>
      <w:r w:rsidRPr="00DA798A">
        <w:rPr>
          <w:rFonts w:ascii="Times New Roman" w:eastAsia="Times New Roman" w:hAnsi="Times New Roman"/>
          <w:lang w:eastAsia="en-AU"/>
        </w:rPr>
        <w:t xml:space="preserve">Section 4 provides that each </w:t>
      </w:r>
      <w:r w:rsidRPr="00DA798A">
        <w:rPr>
          <w:rFonts w:ascii="Times New Roman" w:hAnsi="Times New Roman"/>
        </w:rPr>
        <w:t>instrument that is specified in a Schedule to this instrument is amended or repealed as set out in the applicable items in the Schedule concerned, and any other item in a Schedule to this instrument has effect according to its terms</w:t>
      </w:r>
    </w:p>
    <w:p w14:paraId="1576FF2B" w14:textId="77777777" w:rsidR="00154449" w:rsidRDefault="00154449" w:rsidP="00154449">
      <w:pPr>
        <w:spacing w:before="120" w:after="120" w:line="240" w:lineRule="auto"/>
        <w:rPr>
          <w:rFonts w:ascii="Times New Roman" w:hAnsi="Times New Roman"/>
          <w:b/>
        </w:rPr>
      </w:pPr>
    </w:p>
    <w:p w14:paraId="19277487" w14:textId="6E9E5434" w:rsidR="00154449" w:rsidRDefault="00154449" w:rsidP="00154449">
      <w:pPr>
        <w:spacing w:before="120" w:after="120" w:line="240" w:lineRule="auto"/>
        <w:rPr>
          <w:rFonts w:ascii="Times New Roman" w:hAnsi="Times New Roman"/>
          <w:b/>
          <w:bCs/>
        </w:rPr>
      </w:pPr>
      <w:r w:rsidRPr="00B81599">
        <w:rPr>
          <w:rFonts w:ascii="Times New Roman" w:hAnsi="Times New Roman"/>
          <w:b/>
        </w:rPr>
        <w:t xml:space="preserve">Schedule 1 </w:t>
      </w:r>
      <w:r>
        <w:rPr>
          <w:rFonts w:ascii="Times New Roman" w:hAnsi="Times New Roman"/>
          <w:b/>
        </w:rPr>
        <w:t>–</w:t>
      </w:r>
      <w:r w:rsidRPr="00B81599">
        <w:rPr>
          <w:rFonts w:ascii="Times New Roman" w:hAnsi="Times New Roman"/>
          <w:b/>
        </w:rPr>
        <w:t xml:space="preserve"> </w:t>
      </w:r>
      <w:r w:rsidRPr="00B81599">
        <w:rPr>
          <w:rFonts w:ascii="Times New Roman" w:hAnsi="Times New Roman"/>
          <w:b/>
          <w:bCs/>
        </w:rPr>
        <w:t>Amendments</w:t>
      </w:r>
    </w:p>
    <w:p w14:paraId="19AE1422" w14:textId="77777777" w:rsidR="00154449" w:rsidRPr="00B81599" w:rsidRDefault="00154449" w:rsidP="00154449">
      <w:pPr>
        <w:spacing w:before="120" w:after="120" w:line="240" w:lineRule="auto"/>
        <w:rPr>
          <w:rFonts w:ascii="Times New Roman" w:hAnsi="Times New Roman"/>
          <w:b/>
          <w:bCs/>
        </w:rPr>
      </w:pPr>
      <w:r>
        <w:rPr>
          <w:rFonts w:ascii="Times New Roman" w:hAnsi="Times New Roman"/>
          <w:b/>
          <w:bCs/>
        </w:rPr>
        <w:t>Item 1 – Prescribed kinds of cancer</w:t>
      </w:r>
    </w:p>
    <w:p w14:paraId="46471735" w14:textId="77777777" w:rsidR="00154449" w:rsidRPr="00F71639" w:rsidRDefault="00154449" w:rsidP="00154449">
      <w:pPr>
        <w:spacing w:before="120" w:after="120" w:line="240" w:lineRule="auto"/>
        <w:rPr>
          <w:rFonts w:ascii="Times New Roman" w:hAnsi="Times New Roman"/>
        </w:rPr>
      </w:pPr>
      <w:r w:rsidRPr="002E6010">
        <w:rPr>
          <w:rFonts w:ascii="Times New Roman" w:hAnsi="Times New Roman"/>
          <w:bCs/>
        </w:rPr>
        <w:t xml:space="preserve">Item 1 amends Part 2 of the </w:t>
      </w:r>
      <w:r w:rsidRPr="002E6010">
        <w:rPr>
          <w:rFonts w:ascii="Times New Roman" w:eastAsia="Times New Roman" w:hAnsi="Times New Roman"/>
          <w:bCs/>
          <w:i/>
          <w:iCs/>
          <w:lang w:eastAsia="en-AU"/>
        </w:rPr>
        <w:t xml:space="preserve">Safety, Rehabilitation and Compensation Regulations 2019 </w:t>
      </w:r>
      <w:r w:rsidRPr="002E6010">
        <w:rPr>
          <w:rFonts w:ascii="Times New Roman" w:hAnsi="Times New Roman"/>
          <w:bCs/>
        </w:rPr>
        <w:t xml:space="preserve">to insert a new </w:t>
      </w:r>
      <w:r w:rsidRPr="00F71639">
        <w:rPr>
          <w:rFonts w:ascii="Times New Roman" w:hAnsi="Times New Roman"/>
          <w:bCs/>
        </w:rPr>
        <w:t xml:space="preserve">section 8A. Section 8A provides </w:t>
      </w:r>
      <w:r w:rsidRPr="00F71639">
        <w:rPr>
          <w:rFonts w:ascii="Times New Roman" w:hAnsi="Times New Roman"/>
        </w:rPr>
        <w:t xml:space="preserve">that, for the purposes of item 13 in the table in subsection 7(8) of the SRC Act, a kind of cancer specified in </w:t>
      </w:r>
      <w:r>
        <w:rPr>
          <w:rFonts w:ascii="Times New Roman" w:hAnsi="Times New Roman"/>
        </w:rPr>
        <w:t xml:space="preserve">an item of </w:t>
      </w:r>
      <w:r w:rsidRPr="00F71639">
        <w:rPr>
          <w:rFonts w:ascii="Times New Roman" w:hAnsi="Times New Roman"/>
        </w:rPr>
        <w:t>the table</w:t>
      </w:r>
      <w:r>
        <w:rPr>
          <w:rFonts w:ascii="Times New Roman" w:hAnsi="Times New Roman"/>
        </w:rPr>
        <w:t xml:space="preserve"> included in</w:t>
      </w:r>
      <w:r w:rsidRPr="00EA18DA">
        <w:rPr>
          <w:rFonts w:ascii="Times New Roman" w:hAnsi="Times New Roman"/>
          <w:sz w:val="24"/>
          <w:szCs w:val="24"/>
        </w:rPr>
        <w:t xml:space="preserve"> </w:t>
      </w:r>
      <w:r>
        <w:rPr>
          <w:rFonts w:ascii="Times New Roman" w:hAnsi="Times New Roman"/>
          <w:sz w:val="24"/>
          <w:szCs w:val="24"/>
        </w:rPr>
        <w:t>section 8A</w:t>
      </w:r>
      <w:r w:rsidRPr="00F71639">
        <w:rPr>
          <w:rFonts w:ascii="Times New Roman" w:hAnsi="Times New Roman"/>
        </w:rPr>
        <w:t>, and the qualifying period specified in the item for that kind of cancer, are prescribed.</w:t>
      </w:r>
    </w:p>
    <w:p w14:paraId="30522CF3" w14:textId="77777777" w:rsidR="00154449" w:rsidRPr="00F71639" w:rsidRDefault="00154449" w:rsidP="00154449">
      <w:pPr>
        <w:spacing w:before="120" w:after="120" w:line="240" w:lineRule="auto"/>
        <w:rPr>
          <w:rFonts w:ascii="Times New Roman" w:hAnsi="Times New Roman"/>
        </w:rPr>
      </w:pPr>
      <w:r w:rsidRPr="00F71639">
        <w:rPr>
          <w:rFonts w:ascii="Times New Roman" w:hAnsi="Times New Roman"/>
        </w:rPr>
        <w:t>The Table in section 8A specifies the following cancers and qualifying periods for the purposes of subsection 7(8) of the SRC Act:</w:t>
      </w:r>
    </w:p>
    <w:p w14:paraId="5B933C98" w14:textId="32028B51" w:rsidR="00154449" w:rsidRPr="00F7163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 xml:space="preserve">Primary site lung cancer with a qualifying period of 15 </w:t>
      </w:r>
      <w:proofErr w:type="gramStart"/>
      <w:r w:rsidRPr="00F71639">
        <w:rPr>
          <w:rFonts w:ascii="Times New Roman" w:hAnsi="Times New Roman"/>
        </w:rPr>
        <w:t>years;</w:t>
      </w:r>
      <w:proofErr w:type="gramEnd"/>
    </w:p>
    <w:p w14:paraId="3A8876A6" w14:textId="77777777" w:rsidR="00154449" w:rsidRPr="00F7163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 xml:space="preserve">Primary site skin cancer with a qualifying period of 15 </w:t>
      </w:r>
      <w:proofErr w:type="gramStart"/>
      <w:r w:rsidRPr="00F71639">
        <w:rPr>
          <w:rFonts w:ascii="Times New Roman" w:hAnsi="Times New Roman"/>
        </w:rPr>
        <w:t>years;</w:t>
      </w:r>
      <w:proofErr w:type="gramEnd"/>
    </w:p>
    <w:p w14:paraId="203C9992" w14:textId="77777777" w:rsidR="00154449" w:rsidRPr="00F7163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 xml:space="preserve">Primary site cervical cancer with a qualifying period of 10 </w:t>
      </w:r>
      <w:proofErr w:type="gramStart"/>
      <w:r w:rsidRPr="00F71639">
        <w:rPr>
          <w:rFonts w:ascii="Times New Roman" w:hAnsi="Times New Roman"/>
        </w:rPr>
        <w:t>years;</w:t>
      </w:r>
      <w:proofErr w:type="gramEnd"/>
    </w:p>
    <w:p w14:paraId="4FDC32A8" w14:textId="77777777" w:rsidR="00154449" w:rsidRPr="00F7163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 xml:space="preserve">Primary site ovarian cancer with a qualifying period of 10 </w:t>
      </w:r>
      <w:proofErr w:type="gramStart"/>
      <w:r w:rsidRPr="00F71639">
        <w:rPr>
          <w:rFonts w:ascii="Times New Roman" w:hAnsi="Times New Roman"/>
        </w:rPr>
        <w:t>years;</w:t>
      </w:r>
      <w:proofErr w:type="gramEnd"/>
    </w:p>
    <w:p w14:paraId="4D902ED9" w14:textId="77777777" w:rsidR="00154449" w:rsidRPr="00F7163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 xml:space="preserve">Primary site penile cancer with a qualifying period of 15 </w:t>
      </w:r>
      <w:proofErr w:type="gramStart"/>
      <w:r w:rsidRPr="00F71639">
        <w:rPr>
          <w:rFonts w:ascii="Times New Roman" w:hAnsi="Times New Roman"/>
        </w:rPr>
        <w:t>years;</w:t>
      </w:r>
      <w:proofErr w:type="gramEnd"/>
    </w:p>
    <w:p w14:paraId="2F62102D" w14:textId="76C3F828" w:rsidR="00154449" w:rsidRPr="00F7163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 xml:space="preserve">Primary site pancreatic cancer with a qualifying period of 10 </w:t>
      </w:r>
      <w:proofErr w:type="gramStart"/>
      <w:r w:rsidRPr="00F71639">
        <w:rPr>
          <w:rFonts w:ascii="Times New Roman" w:hAnsi="Times New Roman"/>
        </w:rPr>
        <w:t>years;</w:t>
      </w:r>
      <w:proofErr w:type="gramEnd"/>
      <w:r w:rsidRPr="00F71639">
        <w:rPr>
          <w:rFonts w:ascii="Times New Roman" w:hAnsi="Times New Roman"/>
        </w:rPr>
        <w:t xml:space="preserve"> </w:t>
      </w:r>
    </w:p>
    <w:p w14:paraId="62ECF27B" w14:textId="21639D84" w:rsidR="00154449" w:rsidRDefault="00154449" w:rsidP="00154449">
      <w:pPr>
        <w:pStyle w:val="ListParagraph"/>
        <w:numPr>
          <w:ilvl w:val="0"/>
          <w:numId w:val="45"/>
        </w:numPr>
        <w:spacing w:before="120" w:after="120" w:line="240" w:lineRule="auto"/>
        <w:rPr>
          <w:rFonts w:ascii="Times New Roman" w:hAnsi="Times New Roman"/>
        </w:rPr>
      </w:pPr>
      <w:r w:rsidRPr="00F71639">
        <w:rPr>
          <w:rFonts w:ascii="Times New Roman" w:hAnsi="Times New Roman"/>
        </w:rPr>
        <w:t>Primary site thyroid cancer with a qualifying period of 10 years</w:t>
      </w:r>
      <w:r w:rsidR="0017460C">
        <w:rPr>
          <w:rFonts w:ascii="Times New Roman" w:hAnsi="Times New Roman"/>
        </w:rPr>
        <w:t>; and</w:t>
      </w:r>
    </w:p>
    <w:p w14:paraId="059EA3E7" w14:textId="1369D7F4" w:rsidR="0017460C" w:rsidRPr="004F0A6E" w:rsidRDefault="004F0A6E" w:rsidP="004F0A6E">
      <w:pPr>
        <w:pStyle w:val="ListParagraph"/>
        <w:numPr>
          <w:ilvl w:val="0"/>
          <w:numId w:val="45"/>
        </w:numPr>
        <w:spacing w:before="120" w:after="120" w:line="240" w:lineRule="auto"/>
        <w:rPr>
          <w:rFonts w:ascii="Times New Roman" w:eastAsia="Times New Roman" w:hAnsi="Times New Roman"/>
          <w:lang w:eastAsia="en-AU"/>
        </w:rPr>
      </w:pPr>
      <w:r w:rsidRPr="00A72D91">
        <w:rPr>
          <w:rFonts w:ascii="Times New Roman" w:hAnsi="Times New Roman"/>
        </w:rPr>
        <w:t xml:space="preserve">Malignant mesothelioma </w:t>
      </w:r>
      <w:r w:rsidRPr="00575664">
        <w:rPr>
          <w:rFonts w:ascii="Times New Roman" w:hAnsi="Times New Roman"/>
        </w:rPr>
        <w:t>with a qualifying period of</w:t>
      </w:r>
      <w:r>
        <w:rPr>
          <w:rFonts w:ascii="Times New Roman" w:hAnsi="Times New Roman"/>
        </w:rPr>
        <w:t xml:space="preserve"> 15 years.</w:t>
      </w:r>
    </w:p>
    <w:p w14:paraId="371F36CB" w14:textId="77777777" w:rsidR="00154449" w:rsidRDefault="00154449" w:rsidP="00154449">
      <w:pPr>
        <w:spacing w:before="120" w:after="120" w:line="240" w:lineRule="auto"/>
        <w:rPr>
          <w:rFonts w:ascii="Times New Roman" w:hAnsi="Times New Roman"/>
          <w:b/>
          <w:bCs/>
        </w:rPr>
      </w:pPr>
      <w:r w:rsidRPr="00BA3332">
        <w:rPr>
          <w:rFonts w:ascii="Times New Roman" w:hAnsi="Times New Roman"/>
          <w:b/>
          <w:bCs/>
        </w:rPr>
        <w:t>Item 2 – Application of amendments</w:t>
      </w:r>
    </w:p>
    <w:p w14:paraId="4385E8FB" w14:textId="48470A71" w:rsidR="00154449" w:rsidRPr="002E0949" w:rsidRDefault="00154449" w:rsidP="00154449">
      <w:pPr>
        <w:spacing w:before="120" w:after="120" w:line="240" w:lineRule="auto"/>
        <w:rPr>
          <w:rFonts w:ascii="Times New Roman" w:hAnsi="Times New Roman"/>
        </w:rPr>
      </w:pPr>
      <w:r w:rsidRPr="002E0949">
        <w:rPr>
          <w:rFonts w:ascii="Times New Roman" w:hAnsi="Times New Roman"/>
        </w:rPr>
        <w:t xml:space="preserve">Item 2 amends Part 5 of the </w:t>
      </w:r>
      <w:r w:rsidRPr="002E0949">
        <w:rPr>
          <w:rFonts w:ascii="Times New Roman" w:eastAsia="Times New Roman" w:hAnsi="Times New Roman"/>
          <w:i/>
          <w:iCs/>
          <w:lang w:eastAsia="en-AU"/>
        </w:rPr>
        <w:t xml:space="preserve">Safety, Rehabilitation and Compensation Regulations 2019 </w:t>
      </w:r>
      <w:r w:rsidRPr="002E0949">
        <w:rPr>
          <w:rFonts w:ascii="Times New Roman" w:hAnsi="Times New Roman"/>
        </w:rPr>
        <w:t xml:space="preserve">to insert a new section 36, which provides that section 8A, as inserted by the </w:t>
      </w:r>
      <w:r w:rsidRPr="002E0949">
        <w:rPr>
          <w:rFonts w:ascii="Times New Roman" w:hAnsi="Times New Roman"/>
          <w:i/>
        </w:rPr>
        <w:t>Safety, Rehabilitation and Compensation Amendment (Prescribed Cancers) Regulations 2022</w:t>
      </w:r>
      <w:r w:rsidRPr="002E0949">
        <w:rPr>
          <w:rFonts w:ascii="Times New Roman" w:hAnsi="Times New Roman"/>
        </w:rPr>
        <w:t>, applies</w:t>
      </w:r>
      <w:r w:rsidR="00B61F97" w:rsidRPr="00B61F97">
        <w:t xml:space="preserve"> </w:t>
      </w:r>
      <w:r w:rsidR="00B61F97" w:rsidRPr="00B61F97">
        <w:rPr>
          <w:rFonts w:ascii="Times New Roman" w:hAnsi="Times New Roman"/>
        </w:rPr>
        <w:t>in relation to a decision made under the Act (including a decision on reconsideration or review under Part VI of the Act)</w:t>
      </w:r>
      <w:r w:rsidRPr="002E0949">
        <w:rPr>
          <w:rFonts w:ascii="Times New Roman" w:hAnsi="Times New Roman"/>
        </w:rPr>
        <w:t>, after the commencement of that instrument, in relation to a cancer mentioned in that section sustained by an employee on or after 4 July 2011.</w:t>
      </w:r>
    </w:p>
    <w:p w14:paraId="0740ACEA" w14:textId="4C320FA5" w:rsidR="00985074" w:rsidRPr="001831AF" w:rsidRDefault="00985074" w:rsidP="000E60B1">
      <w:pPr>
        <w:spacing w:before="120" w:after="120" w:line="240" w:lineRule="auto"/>
        <w:rPr>
          <w:rFonts w:ascii="Times New Roman" w:hAnsi="Times New Roman"/>
          <w:b/>
        </w:rPr>
      </w:pPr>
    </w:p>
    <w:sectPr w:rsidR="00985074" w:rsidRPr="001831AF" w:rsidSect="000E60B1">
      <w:headerReference w:type="default" r:id="rId16"/>
      <w:footerReference w:type="default" r:id="rId1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0637" w14:textId="77777777" w:rsidR="00B1582B" w:rsidRDefault="00B1582B" w:rsidP="000E60B1">
      <w:pPr>
        <w:spacing w:after="0" w:line="240" w:lineRule="auto"/>
      </w:pPr>
      <w:r>
        <w:separator/>
      </w:r>
    </w:p>
  </w:endnote>
  <w:endnote w:type="continuationSeparator" w:id="0">
    <w:p w14:paraId="0095CAEE" w14:textId="77777777" w:rsidR="00B1582B" w:rsidRDefault="00B1582B" w:rsidP="000E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3E44" w14:textId="77777777" w:rsidR="006E75F8" w:rsidRDefault="006E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ACF0" w14:textId="11008AD4" w:rsidR="000E60B1" w:rsidRPr="006B03DD" w:rsidRDefault="00A51673">
    <w:pPr>
      <w:pStyle w:val="Footer"/>
      <w:jc w:val="center"/>
      <w:rPr>
        <w:rFonts w:ascii="Times New Roman" w:hAnsi="Times New Roman" w:cs="Times New Roman"/>
      </w:rPr>
    </w:pPr>
    <w:sdt>
      <w:sdtPr>
        <w:id w:val="1995751126"/>
        <w:docPartObj>
          <w:docPartGallery w:val="Page Numbers (Bottom of Page)"/>
          <w:docPartUnique/>
        </w:docPartObj>
      </w:sdtPr>
      <w:sdtEndPr>
        <w:rPr>
          <w:rFonts w:ascii="Times New Roman" w:hAnsi="Times New Roman" w:cs="Times New Roman"/>
          <w:noProof/>
        </w:rPr>
      </w:sdtEndPr>
      <w:sdtContent>
        <w:r w:rsidR="000E60B1" w:rsidRPr="006B03DD">
          <w:rPr>
            <w:rFonts w:ascii="Times New Roman" w:hAnsi="Times New Roman" w:cs="Times New Roman"/>
          </w:rPr>
          <w:fldChar w:fldCharType="begin"/>
        </w:r>
        <w:r w:rsidR="000E60B1" w:rsidRPr="006B03DD">
          <w:rPr>
            <w:rFonts w:ascii="Times New Roman" w:hAnsi="Times New Roman" w:cs="Times New Roman"/>
          </w:rPr>
          <w:instrText xml:space="preserve"> PAGE   \* MERGEFORMAT </w:instrText>
        </w:r>
        <w:r w:rsidR="000E60B1" w:rsidRPr="006B03DD">
          <w:rPr>
            <w:rFonts w:ascii="Times New Roman" w:hAnsi="Times New Roman" w:cs="Times New Roman"/>
          </w:rPr>
          <w:fldChar w:fldCharType="separate"/>
        </w:r>
        <w:r w:rsidR="002101A6">
          <w:rPr>
            <w:rFonts w:ascii="Times New Roman" w:hAnsi="Times New Roman" w:cs="Times New Roman"/>
            <w:noProof/>
          </w:rPr>
          <w:t>3</w:t>
        </w:r>
        <w:r w:rsidR="000E60B1" w:rsidRPr="006B03DD">
          <w:rPr>
            <w:rFonts w:ascii="Times New Roman" w:hAnsi="Times New Roman" w:cs="Times New Roman"/>
            <w:noProof/>
          </w:rPr>
          <w:fldChar w:fldCharType="end"/>
        </w:r>
      </w:sdtContent>
    </w:sdt>
  </w:p>
  <w:p w14:paraId="0740ACF1" w14:textId="77777777" w:rsidR="000E60B1" w:rsidRDefault="000E6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8618" w14:textId="77777777" w:rsidR="006E75F8" w:rsidRDefault="006E75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ACF3" w14:textId="7312F35D" w:rsidR="000E60B1" w:rsidRPr="006B03DD" w:rsidRDefault="00A51673">
    <w:pPr>
      <w:pStyle w:val="Footer"/>
      <w:jc w:val="center"/>
      <w:rPr>
        <w:rFonts w:ascii="Times New Roman" w:hAnsi="Times New Roman" w:cs="Times New Roman"/>
      </w:rPr>
    </w:pPr>
    <w:sdt>
      <w:sdtPr>
        <w:id w:val="1612933439"/>
        <w:docPartObj>
          <w:docPartGallery w:val="Page Numbers (Bottom of Page)"/>
          <w:docPartUnique/>
        </w:docPartObj>
      </w:sdtPr>
      <w:sdtEndPr>
        <w:rPr>
          <w:rFonts w:ascii="Times New Roman" w:hAnsi="Times New Roman" w:cs="Times New Roman"/>
          <w:noProof/>
        </w:rPr>
      </w:sdtEndPr>
      <w:sdtContent>
        <w:r w:rsidR="000E60B1" w:rsidRPr="006B03DD">
          <w:rPr>
            <w:rFonts w:ascii="Times New Roman" w:hAnsi="Times New Roman" w:cs="Times New Roman"/>
          </w:rPr>
          <w:fldChar w:fldCharType="begin"/>
        </w:r>
        <w:r w:rsidR="000E60B1" w:rsidRPr="006B03DD">
          <w:rPr>
            <w:rFonts w:ascii="Times New Roman" w:hAnsi="Times New Roman" w:cs="Times New Roman"/>
          </w:rPr>
          <w:instrText xml:space="preserve"> PAGE   \* MERGEFORMAT </w:instrText>
        </w:r>
        <w:r w:rsidR="000E60B1" w:rsidRPr="006B03DD">
          <w:rPr>
            <w:rFonts w:ascii="Times New Roman" w:hAnsi="Times New Roman" w:cs="Times New Roman"/>
          </w:rPr>
          <w:fldChar w:fldCharType="separate"/>
        </w:r>
        <w:r w:rsidR="002101A6">
          <w:rPr>
            <w:rFonts w:ascii="Times New Roman" w:hAnsi="Times New Roman" w:cs="Times New Roman"/>
            <w:noProof/>
          </w:rPr>
          <w:t>4</w:t>
        </w:r>
        <w:r w:rsidR="000E60B1" w:rsidRPr="006B03DD">
          <w:rPr>
            <w:rFonts w:ascii="Times New Roman" w:hAnsi="Times New Roman" w:cs="Times New Roman"/>
            <w:noProof/>
          </w:rPr>
          <w:fldChar w:fldCharType="end"/>
        </w:r>
      </w:sdtContent>
    </w:sdt>
  </w:p>
  <w:p w14:paraId="0740ACF4" w14:textId="77777777" w:rsidR="000E60B1" w:rsidRDefault="000E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34C3" w14:textId="77777777" w:rsidR="00B1582B" w:rsidRDefault="00B1582B" w:rsidP="000E60B1">
      <w:pPr>
        <w:spacing w:after="0" w:line="240" w:lineRule="auto"/>
      </w:pPr>
      <w:r>
        <w:separator/>
      </w:r>
    </w:p>
  </w:footnote>
  <w:footnote w:type="continuationSeparator" w:id="0">
    <w:p w14:paraId="737F3B95" w14:textId="77777777" w:rsidR="00B1582B" w:rsidRDefault="00B1582B" w:rsidP="000E60B1">
      <w:pPr>
        <w:spacing w:after="0" w:line="240" w:lineRule="auto"/>
      </w:pPr>
      <w:r>
        <w:continuationSeparator/>
      </w:r>
    </w:p>
  </w:footnote>
  <w:footnote w:id="1">
    <w:p w14:paraId="0740ACF8" w14:textId="77777777" w:rsidR="000E60B1" w:rsidRPr="0064031A" w:rsidRDefault="000E60B1" w:rsidP="000E60B1">
      <w:pPr>
        <w:pStyle w:val="FootnoteText"/>
        <w:rPr>
          <w:lang w:val="en-US"/>
        </w:rPr>
      </w:pPr>
      <w:r>
        <w:rPr>
          <w:rStyle w:val="FootnoteReference"/>
        </w:rPr>
        <w:footnoteRef/>
      </w:r>
      <w:r>
        <w:t xml:space="preserve"> </w:t>
      </w:r>
      <w:r w:rsidRPr="0064031A">
        <w:rPr>
          <w:rFonts w:ascii="Times New Roman" w:hAnsi="Times New Roman" w:cs="Times New Roman"/>
          <w:sz w:val="18"/>
          <w:szCs w:val="18"/>
        </w:rPr>
        <w:t xml:space="preserve">Committee on Economic, Social and Cultural Rights, </w:t>
      </w:r>
      <w:r w:rsidRPr="0064031A">
        <w:rPr>
          <w:rFonts w:ascii="Times New Roman" w:hAnsi="Times New Roman" w:cs="Times New Roman"/>
          <w:i/>
          <w:iCs/>
          <w:sz w:val="18"/>
          <w:szCs w:val="18"/>
        </w:rPr>
        <w:t>General Comment 19: The Right to Social Security (art. 9)</w:t>
      </w:r>
      <w:r w:rsidRPr="0064031A">
        <w:rPr>
          <w:rFonts w:ascii="Times New Roman" w:hAnsi="Times New Roman" w:cs="Times New Roman"/>
          <w:sz w:val="18"/>
          <w:szCs w:val="18"/>
        </w:rPr>
        <w:t>, U.N. Doc E/C.12/GC/19 (2008),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80DA" w14:textId="77777777" w:rsidR="006E75F8" w:rsidRDefault="006E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F2FB" w14:textId="3614E4ED" w:rsidR="005C4989" w:rsidRDefault="005C4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B920" w14:textId="77777777" w:rsidR="006E75F8" w:rsidRDefault="006E75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ACF2" w14:textId="5A994674" w:rsidR="000E60B1" w:rsidRDefault="000E60B1">
    <w:pPr>
      <w:pStyle w:val="Header"/>
    </w:pPr>
  </w:p>
  <w:sdt>
    <w:sdtPr>
      <w:id w:val="-1876919723"/>
      <w:docPartObj>
        <w:docPartGallery w:val="Watermarks"/>
        <w:docPartUnique/>
      </w:docPartObj>
    </w:sdtPr>
    <w:sdtEndPr/>
    <w:sdtContent>
      <w:p w14:paraId="4B83F32E" w14:textId="77777777" w:rsidR="000E60B1" w:rsidRDefault="000E60B1">
        <w:pPr>
          <w:pStyle w:val="Header"/>
        </w:pPr>
        <w:r>
          <w:rPr>
            <w:noProof/>
            <w:lang w:eastAsia="en-AU"/>
          </w:rPr>
          <mc:AlternateContent>
            <mc:Choice Requires="wps">
              <w:drawing>
                <wp:anchor distT="0" distB="0" distL="114300" distR="114300" simplePos="0" relativeHeight="251657216" behindDoc="1" locked="0" layoutInCell="0" allowOverlap="1" wp14:anchorId="0740ACF6" wp14:editId="0740ACF7">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40ACF6"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BC6"/>
    <w:multiLevelType w:val="hybridMultilevel"/>
    <w:tmpl w:val="49387C76"/>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FD0A41"/>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FA1944"/>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FF0F2A"/>
    <w:multiLevelType w:val="hybridMultilevel"/>
    <w:tmpl w:val="69848C40"/>
    <w:lvl w:ilvl="0" w:tplc="21BA3A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56197"/>
    <w:multiLevelType w:val="hybridMultilevel"/>
    <w:tmpl w:val="40C88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9481D"/>
    <w:multiLevelType w:val="hybridMultilevel"/>
    <w:tmpl w:val="CF7C45E4"/>
    <w:lvl w:ilvl="0" w:tplc="213C49CE">
      <w:start w:val="1"/>
      <w:numFmt w:val="lowerRoman"/>
      <w:lvlText w:val="(%1)"/>
      <w:lvlJc w:val="left"/>
      <w:pPr>
        <w:ind w:left="2214" w:hanging="720"/>
      </w:pPr>
      <w:rPr>
        <w:rFonts w:hint="default"/>
        <w:color w:val="000000" w:themeColor="text1"/>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91D33D8"/>
    <w:multiLevelType w:val="hybridMultilevel"/>
    <w:tmpl w:val="B5A277A8"/>
    <w:lvl w:ilvl="0" w:tplc="DF98784A">
      <w:start w:val="1"/>
      <w:numFmt w:val="lowerRoman"/>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F04A21"/>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C05FA2"/>
    <w:multiLevelType w:val="hybridMultilevel"/>
    <w:tmpl w:val="31B8CF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907A9A"/>
    <w:multiLevelType w:val="hybridMultilevel"/>
    <w:tmpl w:val="00483046"/>
    <w:lvl w:ilvl="0" w:tplc="62D4DFA8">
      <w:start w:val="1"/>
      <w:numFmt w:val="lowerLetter"/>
      <w:lvlText w:val="(%1)"/>
      <w:lvlJc w:val="left"/>
      <w:pPr>
        <w:ind w:left="720" w:hanging="360"/>
      </w:pPr>
      <w:rPr>
        <w:rFonts w:ascii="Helvetica Neue" w:eastAsia="Times New Roman" w:hAnsi="Helvetica Neue"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5F2876"/>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0304D"/>
    <w:multiLevelType w:val="hybridMultilevel"/>
    <w:tmpl w:val="C1FA31F0"/>
    <w:lvl w:ilvl="0" w:tplc="F8A4440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CA4B17"/>
    <w:multiLevelType w:val="hybridMultilevel"/>
    <w:tmpl w:val="C582A908"/>
    <w:lvl w:ilvl="0" w:tplc="A24E0400">
      <w:start w:val="1"/>
      <w:numFmt w:val="lowerRoman"/>
      <w:lvlText w:val="(%1)"/>
      <w:lvlJc w:val="left"/>
      <w:pPr>
        <w:ind w:left="1080" w:hanging="72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7278B6"/>
    <w:multiLevelType w:val="hybridMultilevel"/>
    <w:tmpl w:val="B30A0AE2"/>
    <w:lvl w:ilvl="0" w:tplc="885007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7FB7ED2"/>
    <w:multiLevelType w:val="hybridMultilevel"/>
    <w:tmpl w:val="1F6497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2C296B52"/>
    <w:multiLevelType w:val="hybridMultilevel"/>
    <w:tmpl w:val="A5A404F4"/>
    <w:lvl w:ilvl="0" w:tplc="C792BBD6">
      <w:start w:val="1"/>
      <w:numFmt w:val="lowerLetter"/>
      <w:lvlText w:val="(%1)"/>
      <w:lvlJc w:val="left"/>
      <w:pPr>
        <w:ind w:left="-324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1080" w:hanging="360"/>
      </w:pPr>
    </w:lvl>
    <w:lvl w:ilvl="4" w:tplc="0C090019" w:tentative="1">
      <w:start w:val="1"/>
      <w:numFmt w:val="lowerLetter"/>
      <w:lvlText w:val="%5."/>
      <w:lvlJc w:val="left"/>
      <w:pPr>
        <w:ind w:left="-360" w:hanging="360"/>
      </w:pPr>
    </w:lvl>
    <w:lvl w:ilvl="5" w:tplc="0C09001B" w:tentative="1">
      <w:start w:val="1"/>
      <w:numFmt w:val="lowerRoman"/>
      <w:lvlText w:val="%6."/>
      <w:lvlJc w:val="right"/>
      <w:pPr>
        <w:ind w:left="360" w:hanging="180"/>
      </w:pPr>
    </w:lvl>
    <w:lvl w:ilvl="6" w:tplc="0C09000F" w:tentative="1">
      <w:start w:val="1"/>
      <w:numFmt w:val="decimal"/>
      <w:lvlText w:val="%7."/>
      <w:lvlJc w:val="left"/>
      <w:pPr>
        <w:ind w:left="1080" w:hanging="360"/>
      </w:pPr>
    </w:lvl>
    <w:lvl w:ilvl="7" w:tplc="0C090019" w:tentative="1">
      <w:start w:val="1"/>
      <w:numFmt w:val="lowerLetter"/>
      <w:lvlText w:val="%8."/>
      <w:lvlJc w:val="left"/>
      <w:pPr>
        <w:ind w:left="1800" w:hanging="360"/>
      </w:pPr>
    </w:lvl>
    <w:lvl w:ilvl="8" w:tplc="0C09001B" w:tentative="1">
      <w:start w:val="1"/>
      <w:numFmt w:val="lowerRoman"/>
      <w:lvlText w:val="%9."/>
      <w:lvlJc w:val="right"/>
      <w:pPr>
        <w:ind w:left="2520" w:hanging="180"/>
      </w:pPr>
    </w:lvl>
  </w:abstractNum>
  <w:abstractNum w:abstractNumId="21" w15:restartNumberingAfterBreak="0">
    <w:nsid w:val="2CC957BE"/>
    <w:multiLevelType w:val="hybridMultilevel"/>
    <w:tmpl w:val="9C18B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00446C3"/>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13E5697"/>
    <w:multiLevelType w:val="hybridMultilevel"/>
    <w:tmpl w:val="4260A982"/>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22A37FA"/>
    <w:multiLevelType w:val="hybridMultilevel"/>
    <w:tmpl w:val="DB62E948"/>
    <w:lvl w:ilvl="0" w:tplc="2D72E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CC3F46"/>
    <w:multiLevelType w:val="hybridMultilevel"/>
    <w:tmpl w:val="EAEE4624"/>
    <w:lvl w:ilvl="0" w:tplc="C00AF00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388334B8"/>
    <w:multiLevelType w:val="hybridMultilevel"/>
    <w:tmpl w:val="D1B6AD72"/>
    <w:lvl w:ilvl="0" w:tplc="1A60150C">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060A07"/>
    <w:multiLevelType w:val="hybridMultilevel"/>
    <w:tmpl w:val="27449FB0"/>
    <w:lvl w:ilvl="0" w:tplc="92901F38">
      <w:start w:val="1"/>
      <w:numFmt w:val="lowerRoman"/>
      <w:lvlText w:val="(%1)"/>
      <w:lvlJc w:val="left"/>
      <w:pPr>
        <w:ind w:left="1080" w:hanging="720"/>
      </w:pPr>
      <w:rPr>
        <w:rFonts w:eastAsia="Calibr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FE431D"/>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2B75F2"/>
    <w:multiLevelType w:val="hybridMultilevel"/>
    <w:tmpl w:val="D2386F22"/>
    <w:lvl w:ilvl="0" w:tplc="49D8403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A237D6"/>
    <w:multiLevelType w:val="hybridMultilevel"/>
    <w:tmpl w:val="4B404502"/>
    <w:lvl w:ilvl="0" w:tplc="C29A3054">
      <w:start w:val="1"/>
      <w:numFmt w:val="lowerRoman"/>
      <w:lvlText w:val="(%1)"/>
      <w:lvlJc w:val="left"/>
      <w:pPr>
        <w:ind w:left="901" w:hanging="72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33"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59171694"/>
    <w:multiLevelType w:val="hybridMultilevel"/>
    <w:tmpl w:val="A0B83556"/>
    <w:lvl w:ilvl="0" w:tplc="C9AA2F8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A3454F0"/>
    <w:multiLevelType w:val="hybridMultilevel"/>
    <w:tmpl w:val="9FD07928"/>
    <w:lvl w:ilvl="0" w:tplc="C792BB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C513CF"/>
    <w:multiLevelType w:val="hybridMultilevel"/>
    <w:tmpl w:val="FA260DA4"/>
    <w:lvl w:ilvl="0" w:tplc="4A5AB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5203E72"/>
    <w:multiLevelType w:val="hybridMultilevel"/>
    <w:tmpl w:val="D58E540A"/>
    <w:lvl w:ilvl="0" w:tplc="B8E00CC8">
      <w:start w:val="1"/>
      <w:numFmt w:val="lowerRoman"/>
      <w:lvlText w:val="(%1)"/>
      <w:lvlJc w:val="left"/>
      <w:pPr>
        <w:ind w:left="1287" w:hanging="72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5454A7E"/>
    <w:multiLevelType w:val="hybridMultilevel"/>
    <w:tmpl w:val="9BFCA95A"/>
    <w:lvl w:ilvl="0" w:tplc="5EC2A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B6EFD"/>
    <w:multiLevelType w:val="hybridMultilevel"/>
    <w:tmpl w:val="3BAA7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A60E8"/>
    <w:multiLevelType w:val="hybridMultilevel"/>
    <w:tmpl w:val="7480D23C"/>
    <w:lvl w:ilvl="0" w:tplc="5FE8A1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78E6585"/>
    <w:multiLevelType w:val="hybridMultilevel"/>
    <w:tmpl w:val="EB2A44BC"/>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F47454"/>
    <w:multiLevelType w:val="multilevel"/>
    <w:tmpl w:val="04C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6373D"/>
    <w:multiLevelType w:val="hybridMultilevel"/>
    <w:tmpl w:val="5F8E57AA"/>
    <w:lvl w:ilvl="0" w:tplc="7534E422">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0B3972"/>
    <w:multiLevelType w:val="hybridMultilevel"/>
    <w:tmpl w:val="7F8CBBCA"/>
    <w:lvl w:ilvl="0" w:tplc="A52880F0">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6"/>
  </w:num>
  <w:num w:numId="3">
    <w:abstractNumId w:val="44"/>
  </w:num>
  <w:num w:numId="4">
    <w:abstractNumId w:val="34"/>
  </w:num>
  <w:num w:numId="5">
    <w:abstractNumId w:val="27"/>
  </w:num>
  <w:num w:numId="6">
    <w:abstractNumId w:val="36"/>
  </w:num>
  <w:num w:numId="7">
    <w:abstractNumId w:val="21"/>
  </w:num>
  <w:num w:numId="8">
    <w:abstractNumId w:val="7"/>
  </w:num>
  <w:num w:numId="9">
    <w:abstractNumId w:val="38"/>
  </w:num>
  <w:num w:numId="10">
    <w:abstractNumId w:val="23"/>
  </w:num>
  <w:num w:numId="11">
    <w:abstractNumId w:val="30"/>
  </w:num>
  <w:num w:numId="12">
    <w:abstractNumId w:val="24"/>
  </w:num>
  <w:num w:numId="13">
    <w:abstractNumId w:val="2"/>
  </w:num>
  <w:num w:numId="14">
    <w:abstractNumId w:val="22"/>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3"/>
  </w:num>
  <w:num w:numId="19">
    <w:abstractNumId w:val="9"/>
  </w:num>
  <w:num w:numId="20">
    <w:abstractNumId w:val="16"/>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3"/>
  </w:num>
  <w:num w:numId="25">
    <w:abstractNumId w:val="12"/>
  </w:num>
  <w:num w:numId="26">
    <w:abstractNumId w:val="32"/>
  </w:num>
  <w:num w:numId="27">
    <w:abstractNumId w:val="41"/>
  </w:num>
  <w:num w:numId="28">
    <w:abstractNumId w:val="0"/>
  </w:num>
  <w:num w:numId="29">
    <w:abstractNumId w:val="42"/>
  </w:num>
  <w:num w:numId="30">
    <w:abstractNumId w:val="25"/>
  </w:num>
  <w:num w:numId="31">
    <w:abstractNumId w:val="35"/>
  </w:num>
  <w:num w:numId="32">
    <w:abstractNumId w:val="20"/>
  </w:num>
  <w:num w:numId="33">
    <w:abstractNumId w:val="6"/>
  </w:num>
  <w:num w:numId="34">
    <w:abstractNumId w:val="5"/>
  </w:num>
  <w:num w:numId="35">
    <w:abstractNumId w:val="28"/>
  </w:num>
  <w:num w:numId="36">
    <w:abstractNumId w:val="10"/>
  </w:num>
  <w:num w:numId="37">
    <w:abstractNumId w:val="3"/>
  </w:num>
  <w:num w:numId="38">
    <w:abstractNumId w:val="1"/>
  </w:num>
  <w:num w:numId="39">
    <w:abstractNumId w:val="11"/>
  </w:num>
  <w:num w:numId="40">
    <w:abstractNumId w:val="31"/>
  </w:num>
  <w:num w:numId="41">
    <w:abstractNumId w:val="19"/>
  </w:num>
  <w:num w:numId="42">
    <w:abstractNumId w:val="14"/>
  </w:num>
  <w:num w:numId="43">
    <w:abstractNumId w:val="45"/>
  </w:num>
  <w:num w:numId="44">
    <w:abstractNumId w:val="29"/>
  </w:num>
  <w:num w:numId="45">
    <w:abstractNumId w:val="37"/>
  </w:num>
  <w:num w:numId="46">
    <w:abstractNumId w:val="4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B1"/>
    <w:rsid w:val="000403E2"/>
    <w:rsid w:val="000453C5"/>
    <w:rsid w:val="000607B5"/>
    <w:rsid w:val="00061B86"/>
    <w:rsid w:val="00064262"/>
    <w:rsid w:val="0008054C"/>
    <w:rsid w:val="0009016B"/>
    <w:rsid w:val="00090253"/>
    <w:rsid w:val="000972B8"/>
    <w:rsid w:val="000A11EE"/>
    <w:rsid w:val="000C0784"/>
    <w:rsid w:val="000C3993"/>
    <w:rsid w:val="000D1E76"/>
    <w:rsid w:val="000E60B1"/>
    <w:rsid w:val="001019F2"/>
    <w:rsid w:val="001201C3"/>
    <w:rsid w:val="00132D8A"/>
    <w:rsid w:val="001340E9"/>
    <w:rsid w:val="00135BE6"/>
    <w:rsid w:val="00141501"/>
    <w:rsid w:val="00154449"/>
    <w:rsid w:val="0017209D"/>
    <w:rsid w:val="0017460C"/>
    <w:rsid w:val="001831AF"/>
    <w:rsid w:val="00187023"/>
    <w:rsid w:val="00191DFA"/>
    <w:rsid w:val="00195B00"/>
    <w:rsid w:val="00195F06"/>
    <w:rsid w:val="001B07B5"/>
    <w:rsid w:val="001B49E6"/>
    <w:rsid w:val="001B7D69"/>
    <w:rsid w:val="001C7109"/>
    <w:rsid w:val="001D45C5"/>
    <w:rsid w:val="001F148F"/>
    <w:rsid w:val="002101A6"/>
    <w:rsid w:val="00224EFD"/>
    <w:rsid w:val="002341D1"/>
    <w:rsid w:val="002548BE"/>
    <w:rsid w:val="00255E5B"/>
    <w:rsid w:val="0027198B"/>
    <w:rsid w:val="00297ACB"/>
    <w:rsid w:val="002A34A8"/>
    <w:rsid w:val="002B182E"/>
    <w:rsid w:val="002C34D9"/>
    <w:rsid w:val="002D7472"/>
    <w:rsid w:val="002E1141"/>
    <w:rsid w:val="002E2E69"/>
    <w:rsid w:val="002E65A9"/>
    <w:rsid w:val="003002FD"/>
    <w:rsid w:val="00331BC0"/>
    <w:rsid w:val="00332D89"/>
    <w:rsid w:val="003476EF"/>
    <w:rsid w:val="0036050E"/>
    <w:rsid w:val="00361A09"/>
    <w:rsid w:val="00366570"/>
    <w:rsid w:val="00366CF6"/>
    <w:rsid w:val="00392A6E"/>
    <w:rsid w:val="003C2FFB"/>
    <w:rsid w:val="00415CFE"/>
    <w:rsid w:val="00435BD8"/>
    <w:rsid w:val="00444718"/>
    <w:rsid w:val="00460E17"/>
    <w:rsid w:val="00472C7B"/>
    <w:rsid w:val="00490602"/>
    <w:rsid w:val="004D605B"/>
    <w:rsid w:val="004D73DC"/>
    <w:rsid w:val="004F0A6E"/>
    <w:rsid w:val="004F3056"/>
    <w:rsid w:val="005053C6"/>
    <w:rsid w:val="005707CB"/>
    <w:rsid w:val="00573C16"/>
    <w:rsid w:val="00575664"/>
    <w:rsid w:val="005C4989"/>
    <w:rsid w:val="005D0ED8"/>
    <w:rsid w:val="005E10D8"/>
    <w:rsid w:val="005E71FF"/>
    <w:rsid w:val="005F3444"/>
    <w:rsid w:val="0061165F"/>
    <w:rsid w:val="0064214F"/>
    <w:rsid w:val="006478D4"/>
    <w:rsid w:val="00650780"/>
    <w:rsid w:val="0066098F"/>
    <w:rsid w:val="00671C7A"/>
    <w:rsid w:val="00695738"/>
    <w:rsid w:val="006A1F63"/>
    <w:rsid w:val="006B518B"/>
    <w:rsid w:val="006B6FFD"/>
    <w:rsid w:val="006C0B91"/>
    <w:rsid w:val="006C1CE5"/>
    <w:rsid w:val="006E4617"/>
    <w:rsid w:val="006E75F8"/>
    <w:rsid w:val="006F792F"/>
    <w:rsid w:val="00716280"/>
    <w:rsid w:val="00747E9D"/>
    <w:rsid w:val="0075672D"/>
    <w:rsid w:val="00797923"/>
    <w:rsid w:val="007A2736"/>
    <w:rsid w:val="007A5E50"/>
    <w:rsid w:val="007A6DEF"/>
    <w:rsid w:val="007B28DD"/>
    <w:rsid w:val="007B4F0F"/>
    <w:rsid w:val="007E621A"/>
    <w:rsid w:val="007F249C"/>
    <w:rsid w:val="00831DB6"/>
    <w:rsid w:val="008F4106"/>
    <w:rsid w:val="009261A5"/>
    <w:rsid w:val="00933F48"/>
    <w:rsid w:val="00964988"/>
    <w:rsid w:val="00976D9A"/>
    <w:rsid w:val="0097730F"/>
    <w:rsid w:val="00985074"/>
    <w:rsid w:val="009871C9"/>
    <w:rsid w:val="009B1D82"/>
    <w:rsid w:val="009C7F16"/>
    <w:rsid w:val="009F1FE5"/>
    <w:rsid w:val="009F5B7E"/>
    <w:rsid w:val="00A03DC1"/>
    <w:rsid w:val="00A46C58"/>
    <w:rsid w:val="00A51673"/>
    <w:rsid w:val="00A57032"/>
    <w:rsid w:val="00A72D91"/>
    <w:rsid w:val="00A847C7"/>
    <w:rsid w:val="00A87FD4"/>
    <w:rsid w:val="00A926E7"/>
    <w:rsid w:val="00A94EF3"/>
    <w:rsid w:val="00AA3085"/>
    <w:rsid w:val="00AA4CAC"/>
    <w:rsid w:val="00AC52B1"/>
    <w:rsid w:val="00B1582B"/>
    <w:rsid w:val="00B61F97"/>
    <w:rsid w:val="00B6582C"/>
    <w:rsid w:val="00B65F33"/>
    <w:rsid w:val="00B81599"/>
    <w:rsid w:val="00B92E9E"/>
    <w:rsid w:val="00B966BD"/>
    <w:rsid w:val="00BC7307"/>
    <w:rsid w:val="00BF2186"/>
    <w:rsid w:val="00C25FAB"/>
    <w:rsid w:val="00C35BFE"/>
    <w:rsid w:val="00C72322"/>
    <w:rsid w:val="00C74109"/>
    <w:rsid w:val="00C767D5"/>
    <w:rsid w:val="00C864CE"/>
    <w:rsid w:val="00C935B2"/>
    <w:rsid w:val="00CE29BD"/>
    <w:rsid w:val="00CF6424"/>
    <w:rsid w:val="00D0461C"/>
    <w:rsid w:val="00D430D5"/>
    <w:rsid w:val="00D50E89"/>
    <w:rsid w:val="00D65F8C"/>
    <w:rsid w:val="00DB3CA9"/>
    <w:rsid w:val="00DC3D53"/>
    <w:rsid w:val="00DC47EC"/>
    <w:rsid w:val="00DC5848"/>
    <w:rsid w:val="00DE1A8A"/>
    <w:rsid w:val="00E100C8"/>
    <w:rsid w:val="00E51549"/>
    <w:rsid w:val="00E641C5"/>
    <w:rsid w:val="00E942E1"/>
    <w:rsid w:val="00EA4A72"/>
    <w:rsid w:val="00EB24AA"/>
    <w:rsid w:val="00EC4DC3"/>
    <w:rsid w:val="00ED2E2A"/>
    <w:rsid w:val="00F11759"/>
    <w:rsid w:val="00F2140B"/>
    <w:rsid w:val="00F366C9"/>
    <w:rsid w:val="00F44A61"/>
    <w:rsid w:val="00F5374E"/>
    <w:rsid w:val="00F60E71"/>
    <w:rsid w:val="00F710B8"/>
    <w:rsid w:val="00F80208"/>
    <w:rsid w:val="00FC2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ACA9"/>
  <w15:chartTrackingRefBased/>
  <w15:docId w15:val="{8957C727-3F6B-4A71-97EF-E0912154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0E60B1"/>
    <w:pPr>
      <w:ind w:left="720"/>
      <w:contextualSpacing/>
    </w:pPr>
  </w:style>
  <w:style w:type="paragraph" w:styleId="FootnoteText">
    <w:name w:val="footnote text"/>
    <w:basedOn w:val="Normal"/>
    <w:link w:val="FootnoteTextChar"/>
    <w:semiHidden/>
    <w:unhideWhenUsed/>
    <w:rsid w:val="000E60B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0E60B1"/>
    <w:rPr>
      <w:sz w:val="20"/>
      <w:szCs w:val="20"/>
    </w:rPr>
  </w:style>
  <w:style w:type="character" w:styleId="FootnoteReference">
    <w:name w:val="footnote reference"/>
    <w:basedOn w:val="DefaultParagraphFont"/>
    <w:semiHidden/>
    <w:unhideWhenUsed/>
    <w:rsid w:val="000E60B1"/>
    <w:rPr>
      <w:vertAlign w:val="superscript"/>
    </w:rPr>
  </w:style>
  <w:style w:type="character" w:styleId="CommentReference">
    <w:name w:val="annotation reference"/>
    <w:semiHidden/>
    <w:unhideWhenUsed/>
    <w:rsid w:val="000E60B1"/>
    <w:rPr>
      <w:sz w:val="16"/>
      <w:szCs w:val="16"/>
    </w:rPr>
  </w:style>
  <w:style w:type="paragraph" w:styleId="CommentText">
    <w:name w:val="annotation text"/>
    <w:basedOn w:val="Normal"/>
    <w:link w:val="CommentTextChar"/>
    <w:uiPriority w:val="99"/>
    <w:unhideWhenUsed/>
    <w:rsid w:val="000E60B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E60B1"/>
    <w:rPr>
      <w:sz w:val="20"/>
      <w:szCs w:val="20"/>
    </w:rPr>
  </w:style>
  <w:style w:type="paragraph" w:styleId="Header">
    <w:name w:val="header"/>
    <w:basedOn w:val="Normal"/>
    <w:link w:val="Head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E60B1"/>
  </w:style>
  <w:style w:type="paragraph" w:styleId="Footer">
    <w:name w:val="footer"/>
    <w:basedOn w:val="Normal"/>
    <w:link w:val="Foot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E60B1"/>
  </w:style>
  <w:style w:type="table" w:styleId="TableGrid">
    <w:name w:val="Table Grid"/>
    <w:basedOn w:val="TableNormal"/>
    <w:uiPriority w:val="59"/>
    <w:rsid w:val="000E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0E60B1"/>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0E60B1"/>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0E60B1"/>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0E60B1"/>
  </w:style>
  <w:style w:type="character" w:customStyle="1" w:styleId="charamschtext">
    <w:name w:val="charamschtext"/>
    <w:basedOn w:val="DefaultParagraphFont"/>
    <w:rsid w:val="000E60B1"/>
  </w:style>
  <w:style w:type="paragraph" w:styleId="BalloonText">
    <w:name w:val="Balloon Text"/>
    <w:basedOn w:val="Normal"/>
    <w:link w:val="BalloonTextChar"/>
    <w:uiPriority w:val="99"/>
    <w:semiHidden/>
    <w:unhideWhenUsed/>
    <w:rsid w:val="000E6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B1"/>
    <w:rPr>
      <w:rFonts w:ascii="Segoe UI" w:eastAsia="Calibri" w:hAnsi="Segoe UI" w:cs="Segoe UI"/>
      <w:sz w:val="18"/>
      <w:szCs w:val="18"/>
    </w:rPr>
  </w:style>
  <w:style w:type="paragraph" w:customStyle="1" w:styleId="Definition">
    <w:name w:val="Definition"/>
    <w:aliases w:val="dd"/>
    <w:basedOn w:val="Normal"/>
    <w:rsid w:val="000E60B1"/>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0E60B1"/>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0E60B1"/>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0E60B1"/>
    <w:rPr>
      <w:b/>
      <w:bCs/>
    </w:rPr>
  </w:style>
  <w:style w:type="character" w:customStyle="1" w:styleId="CommentSubjectChar">
    <w:name w:val="Comment Subject Char"/>
    <w:basedOn w:val="CommentTextChar"/>
    <w:link w:val="CommentSubject"/>
    <w:uiPriority w:val="99"/>
    <w:semiHidden/>
    <w:rsid w:val="000E60B1"/>
    <w:rPr>
      <w:b/>
      <w:bCs/>
      <w:sz w:val="20"/>
      <w:szCs w:val="20"/>
    </w:rPr>
  </w:style>
  <w:style w:type="paragraph" w:styleId="Revision">
    <w:name w:val="Revision"/>
    <w:hidden/>
    <w:uiPriority w:val="99"/>
    <w:semiHidden/>
    <w:rsid w:val="000E60B1"/>
    <w:pPr>
      <w:spacing w:after="0" w:line="240" w:lineRule="auto"/>
    </w:pPr>
  </w:style>
  <w:style w:type="character" w:styleId="Hyperlink">
    <w:name w:val="Hyperlink"/>
    <w:basedOn w:val="DefaultParagraphFont"/>
    <w:uiPriority w:val="99"/>
    <w:unhideWhenUsed/>
    <w:rsid w:val="000E60B1"/>
    <w:rPr>
      <w:color w:val="0563C1" w:themeColor="hyperlink"/>
      <w:u w:val="single"/>
    </w:rPr>
  </w:style>
  <w:style w:type="paragraph" w:customStyle="1" w:styleId="Default">
    <w:name w:val="Default"/>
    <w:rsid w:val="000E60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0E60B1"/>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qFormat/>
    <w:locked/>
    <w:rsid w:val="000E60B1"/>
    <w:rPr>
      <w:rFonts w:ascii="Calibri" w:eastAsia="Calibri" w:hAnsi="Calibri" w:cs="Times New Roman"/>
    </w:rPr>
  </w:style>
  <w:style w:type="character" w:styleId="FollowedHyperlink">
    <w:name w:val="FollowedHyperlink"/>
    <w:basedOn w:val="DefaultParagraphFont"/>
    <w:uiPriority w:val="99"/>
    <w:semiHidden/>
    <w:unhideWhenUsed/>
    <w:rsid w:val="000E60B1"/>
    <w:rPr>
      <w:color w:val="954F72" w:themeColor="followedHyperlink"/>
      <w:u w:val="single"/>
    </w:rPr>
  </w:style>
  <w:style w:type="character" w:customStyle="1" w:styleId="apple-converted-space">
    <w:name w:val="apple-converted-space"/>
    <w:basedOn w:val="DefaultParagraphFont"/>
    <w:rsid w:val="000E60B1"/>
  </w:style>
  <w:style w:type="paragraph" w:customStyle="1" w:styleId="paragraphsub">
    <w:name w:val="paragraph(sub)"/>
    <w:aliases w:val="aa"/>
    <w:basedOn w:val="Normal"/>
    <w:rsid w:val="000E60B1"/>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0E60B1"/>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Num">
    <w:name w:val="BodyNum"/>
    <w:aliases w:val="b1"/>
    <w:basedOn w:val="Normal"/>
    <w:rsid w:val="000E60B1"/>
    <w:pPr>
      <w:numPr>
        <w:numId w:val="39"/>
      </w:numPr>
      <w:spacing w:before="240" w:after="0" w:line="240" w:lineRule="auto"/>
    </w:pPr>
    <w:rPr>
      <w:rFonts w:ascii="Times New Roman" w:eastAsia="Times New Roman" w:hAnsi="Times New Roman"/>
      <w:sz w:val="24"/>
      <w:szCs w:val="20"/>
      <w:lang w:eastAsia="en-AU"/>
    </w:rPr>
  </w:style>
  <w:style w:type="paragraph" w:customStyle="1" w:styleId="BodyPara">
    <w:name w:val="BodyPara"/>
    <w:aliases w:val="ba"/>
    <w:basedOn w:val="Normal"/>
    <w:rsid w:val="000E60B1"/>
    <w:pPr>
      <w:numPr>
        <w:ilvl w:val="1"/>
        <w:numId w:val="39"/>
      </w:numPr>
      <w:spacing w:before="240" w:after="0" w:line="240" w:lineRule="auto"/>
    </w:pPr>
    <w:rPr>
      <w:rFonts w:ascii="Times New Roman" w:eastAsia="Times New Roman" w:hAnsi="Times New Roman"/>
      <w:sz w:val="24"/>
      <w:szCs w:val="20"/>
      <w:lang w:eastAsia="en-AU"/>
    </w:rPr>
  </w:style>
  <w:style w:type="numbering" w:customStyle="1" w:styleId="OPCBodyList">
    <w:name w:val="OPCBodyList"/>
    <w:uiPriority w:val="99"/>
    <w:rsid w:val="000E60B1"/>
    <w:pPr>
      <w:numPr>
        <w:numId w:val="39"/>
      </w:numPr>
    </w:pPr>
  </w:style>
  <w:style w:type="character" w:customStyle="1" w:styleId="legsubtitle1">
    <w:name w:val="legsubtitle1"/>
    <w:basedOn w:val="DefaultParagraphFont"/>
    <w:rsid w:val="000E60B1"/>
    <w:rPr>
      <w:b/>
      <w:bCs/>
    </w:rPr>
  </w:style>
  <w:style w:type="paragraph" w:customStyle="1" w:styleId="ActHead9">
    <w:name w:val="ActHead 9"/>
    <w:aliases w:val="aat"/>
    <w:basedOn w:val="Normal"/>
    <w:next w:val="Normal"/>
    <w:qFormat/>
    <w:rsid w:val="000E60B1"/>
    <w:pPr>
      <w:keepNext/>
      <w:keepLines/>
      <w:spacing w:before="280" w:after="0" w:line="240" w:lineRule="auto"/>
      <w:ind w:left="1134" w:hanging="1134"/>
      <w:outlineLvl w:val="8"/>
    </w:pPr>
    <w:rPr>
      <w:rFonts w:ascii="Times New Roman" w:eastAsia="Times New Roman" w:hAnsi="Times New Roman"/>
      <w:b/>
      <w:i/>
      <w:kern w:val="28"/>
      <w:sz w:val="28"/>
      <w:szCs w:val="20"/>
      <w:lang w:eastAsia="en-AU"/>
    </w:rPr>
  </w:style>
  <w:style w:type="paragraph" w:customStyle="1" w:styleId="item">
    <w:name w:val="item"/>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0E60B1"/>
    <w:pPr>
      <w:spacing w:before="100" w:beforeAutospacing="1" w:after="100" w:afterAutospacing="1" w:line="240" w:lineRule="auto"/>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4330">
      <w:bodyDiv w:val="1"/>
      <w:marLeft w:val="0"/>
      <w:marRight w:val="0"/>
      <w:marTop w:val="0"/>
      <w:marBottom w:val="0"/>
      <w:divBdr>
        <w:top w:val="none" w:sz="0" w:space="0" w:color="auto"/>
        <w:left w:val="none" w:sz="0" w:space="0" w:color="auto"/>
        <w:bottom w:val="none" w:sz="0" w:space="0" w:color="auto"/>
        <w:right w:val="none" w:sz="0" w:space="0" w:color="auto"/>
      </w:divBdr>
    </w:div>
    <w:div w:id="350030975">
      <w:bodyDiv w:val="1"/>
      <w:marLeft w:val="0"/>
      <w:marRight w:val="0"/>
      <w:marTop w:val="0"/>
      <w:marBottom w:val="0"/>
      <w:divBdr>
        <w:top w:val="none" w:sz="0" w:space="0" w:color="auto"/>
        <w:left w:val="none" w:sz="0" w:space="0" w:color="auto"/>
        <w:bottom w:val="none" w:sz="0" w:space="0" w:color="auto"/>
        <w:right w:val="none" w:sz="0" w:space="0" w:color="auto"/>
      </w:divBdr>
    </w:div>
    <w:div w:id="1988313644">
      <w:bodyDiv w:val="1"/>
      <w:marLeft w:val="0"/>
      <w:marRight w:val="0"/>
      <w:marTop w:val="0"/>
      <w:marBottom w:val="0"/>
      <w:divBdr>
        <w:top w:val="none" w:sz="0" w:space="0" w:color="auto"/>
        <w:left w:val="none" w:sz="0" w:space="0" w:color="auto"/>
        <w:bottom w:val="none" w:sz="0" w:space="0" w:color="auto"/>
        <w:right w:val="none" w:sz="0" w:space="0" w:color="auto"/>
      </w:divBdr>
    </w:div>
    <w:div w:id="21424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4E64C7E201564191B1CE2427A98389" ma:contentTypeVersion="" ma:contentTypeDescription="PDMS Document Site Content Type" ma:contentTypeScope="" ma:versionID="7da6e57bd73402b33265f2f1171e3aeb">
  <xsd:schema xmlns:xsd="http://www.w3.org/2001/XMLSchema" xmlns:xs="http://www.w3.org/2001/XMLSchema" xmlns:p="http://schemas.microsoft.com/office/2006/metadata/properties" xmlns:ns2="A557C56B-5132-443E-8B95-7A4AF4401FDD" targetNamespace="http://schemas.microsoft.com/office/2006/metadata/properties" ma:root="true" ma:fieldsID="17f272cb8314fbfcd6e4214753f285fe" ns2:_="">
    <xsd:import namespace="A557C56B-5132-443E-8B95-7A4AF4401F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7C56B-5132-443E-8B95-7A4AF4401F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557C56B-5132-443E-8B95-7A4AF4401F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29E41-6EC3-4135-9EE6-686A92B26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7C56B-5132-443E-8B95-7A4AF4401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78037-F8E6-4CE2-8ECD-2EC8A394D72E}">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A557C56B-5132-443E-8B95-7A4AF4401FDD"/>
    <ds:schemaRef ds:uri="http://purl.org/dc/dcmitype/"/>
  </ds:schemaRefs>
</ds:datastoreItem>
</file>

<file path=customXml/itemProps3.xml><?xml version="1.0" encoding="utf-8"?>
<ds:datastoreItem xmlns:ds="http://schemas.openxmlformats.org/officeDocument/2006/customXml" ds:itemID="{2D947F23-9893-493D-98D0-DFC1A057A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9298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Jenny</dc:creator>
  <cp:keywords/>
  <dc:description/>
  <cp:lastModifiedBy>BRAYSHAW,Emily</cp:lastModifiedBy>
  <cp:revision>2</cp:revision>
  <dcterms:created xsi:type="dcterms:W3CDTF">2022-12-15T04:03:00Z</dcterms:created>
  <dcterms:modified xsi:type="dcterms:W3CDTF">2022-12-15T04:03:00Z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0x010100266966F133664895A6EE3632470D45F5005B4E64C7E201564191B1CE2427A98389</vt:lpwstr>
  </property>
  <property fmtid="{D5CDD505-2E9C-101B-9397-08002B2CF9AE}" pid="3" name="MSIP_Label_79d889eb-932f-4752-8739-64d25806ef64_Enabled">
    <vt:lpwstr>true</vt:lpwstr>
  </property>
  <property fmtid="{D5CDD505-2E9C-101B-9397-08002B2CF9AE}" pid="4" name="MSIP_Label_79d889eb-932f-4752-8739-64d25806ef64_SetDate">
    <vt:lpwstr>2022-09-13T23:39:49Z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3738bc5b-cc3c-4b14-9e7b-835c8769a176</vt:lpwstr>
  </property>
  <property fmtid="{D5CDD505-2E9C-101B-9397-08002B2CF9AE}" pid="9" name="MSIP_Label_79d889eb-932f-4752-8739-64d25806ef64_ContentBits">
    <vt:lpwstr>0</vt:lpwstr>
  </property>
</Properties>
</file>