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2BBB" w14:textId="5086DCF8" w:rsidR="00234207" w:rsidRDefault="002436BD" w:rsidP="0086608F">
      <w:pPr>
        <w:pStyle w:val="Heading"/>
        <w:spacing w:after="240"/>
        <w:jc w:val="center"/>
        <w:rPr>
          <w:rFonts w:ascii="Times New Roman" w:hAnsi="Times New Roman"/>
          <w:sz w:val="24"/>
          <w:szCs w:val="24"/>
        </w:rPr>
      </w:pPr>
      <w:r w:rsidRPr="002C6D26">
        <w:rPr>
          <w:rFonts w:ascii="Times New Roman" w:hAnsi="Times New Roman"/>
          <w:sz w:val="24"/>
          <w:szCs w:val="24"/>
        </w:rPr>
        <w:t xml:space="preserve">Banking (prudential standard) determination </w:t>
      </w:r>
      <w:r w:rsidRPr="00317C31">
        <w:rPr>
          <w:rFonts w:ascii="Times New Roman" w:hAnsi="Times New Roman"/>
          <w:sz w:val="24"/>
          <w:szCs w:val="24"/>
        </w:rPr>
        <w:t xml:space="preserve">No. </w:t>
      </w:r>
      <w:r w:rsidR="0086608F">
        <w:rPr>
          <w:rFonts w:ascii="Times New Roman" w:hAnsi="Times New Roman"/>
          <w:sz w:val="24"/>
          <w:szCs w:val="24"/>
        </w:rPr>
        <w:t xml:space="preserve">3 </w:t>
      </w:r>
      <w:r w:rsidR="00940F92" w:rsidRPr="00317C31">
        <w:rPr>
          <w:rFonts w:ascii="Times New Roman" w:hAnsi="Times New Roman"/>
          <w:sz w:val="24"/>
          <w:szCs w:val="24"/>
        </w:rPr>
        <w:t>of 20</w:t>
      </w:r>
      <w:r w:rsidR="003878AB">
        <w:rPr>
          <w:rFonts w:ascii="Times New Roman" w:hAnsi="Times New Roman"/>
          <w:sz w:val="24"/>
          <w:szCs w:val="24"/>
        </w:rPr>
        <w:t>22</w:t>
      </w:r>
    </w:p>
    <w:p w14:paraId="55E52BBC" w14:textId="77777777" w:rsidR="00234207" w:rsidRDefault="002436BD" w:rsidP="0086608F">
      <w:pPr>
        <w:pStyle w:val="Heading"/>
        <w:tabs>
          <w:tab w:val="left" w:pos="360"/>
        </w:tabs>
        <w:spacing w:after="240"/>
        <w:jc w:val="center"/>
        <w:rPr>
          <w:rFonts w:ascii="Times New Roman" w:hAnsi="Times New Roman"/>
          <w:sz w:val="24"/>
          <w:szCs w:val="24"/>
          <w:u w:val="single"/>
        </w:rPr>
      </w:pPr>
      <w:bookmarkStart w:id="0" w:name="bkInstrumentSubTitle"/>
      <w:bookmarkEnd w:id="0"/>
      <w:r w:rsidRPr="002C6D26">
        <w:rPr>
          <w:rFonts w:ascii="Times New Roman" w:hAnsi="Times New Roman"/>
          <w:sz w:val="24"/>
          <w:szCs w:val="24"/>
          <w:u w:val="single"/>
        </w:rPr>
        <w:t>EXPLANATORY STATEMENT</w:t>
      </w:r>
    </w:p>
    <w:p w14:paraId="55E52BBD" w14:textId="77777777" w:rsidR="00234207" w:rsidRPr="003615B4" w:rsidRDefault="002436BD" w:rsidP="0086608F">
      <w:pPr>
        <w:pStyle w:val="Heading"/>
        <w:spacing w:after="240"/>
        <w:jc w:val="center"/>
        <w:rPr>
          <w:rFonts w:ascii="Times New Roman" w:hAnsi="Times New Roman"/>
          <w:sz w:val="24"/>
          <w:szCs w:val="24"/>
        </w:rPr>
      </w:pPr>
      <w:r w:rsidRPr="003615B4">
        <w:rPr>
          <w:rFonts w:ascii="Times New Roman" w:hAnsi="Times New Roman"/>
          <w:sz w:val="24"/>
          <w:szCs w:val="24"/>
        </w:rPr>
        <w:t>Prepared by the Australian Prudential Regulation Authority (APRA)</w:t>
      </w:r>
    </w:p>
    <w:p w14:paraId="55E52BBF" w14:textId="4D2BF755" w:rsidR="002436BD" w:rsidRPr="003615B4" w:rsidRDefault="002436BD" w:rsidP="0086608F">
      <w:pPr>
        <w:pStyle w:val="Heading"/>
        <w:tabs>
          <w:tab w:val="left" w:pos="360"/>
        </w:tabs>
        <w:spacing w:after="240"/>
        <w:jc w:val="center"/>
        <w:rPr>
          <w:rFonts w:ascii="Times New Roman" w:hAnsi="Times New Roman"/>
          <w:b w:val="0"/>
          <w:color w:val="000000"/>
          <w:sz w:val="24"/>
          <w:szCs w:val="24"/>
        </w:rPr>
      </w:pPr>
      <w:r w:rsidRPr="003615B4">
        <w:rPr>
          <w:rFonts w:ascii="Times New Roman" w:hAnsi="Times New Roman"/>
          <w:b w:val="0"/>
          <w:i/>
          <w:sz w:val="24"/>
          <w:szCs w:val="24"/>
        </w:rPr>
        <w:t>Banking Act 1959</w:t>
      </w:r>
      <w:r w:rsidRPr="003615B4">
        <w:rPr>
          <w:rFonts w:ascii="Times New Roman" w:hAnsi="Times New Roman"/>
          <w:b w:val="0"/>
          <w:sz w:val="24"/>
          <w:szCs w:val="24"/>
        </w:rPr>
        <w:t xml:space="preserve">, </w:t>
      </w:r>
      <w:r w:rsidRPr="003615B4">
        <w:rPr>
          <w:rFonts w:ascii="Times New Roman" w:hAnsi="Times New Roman"/>
          <w:b w:val="0"/>
          <w:color w:val="000000"/>
          <w:sz w:val="24"/>
          <w:szCs w:val="24"/>
        </w:rPr>
        <w:t>section 11AF</w:t>
      </w:r>
    </w:p>
    <w:p w14:paraId="55E52BC1" w14:textId="77E434AD" w:rsidR="001A4EFF" w:rsidRPr="003615B4" w:rsidRDefault="00D12D91" w:rsidP="0086608F">
      <w:pPr>
        <w:widowControl w:val="0"/>
        <w:spacing w:before="120" w:after="240"/>
        <w:jc w:val="both"/>
        <w:rPr>
          <w:rFonts w:ascii="Times New Roman" w:hAnsi="Times New Roman"/>
          <w:sz w:val="24"/>
          <w:szCs w:val="24"/>
        </w:rPr>
      </w:pPr>
      <w:bookmarkStart w:id="1" w:name="bkAct"/>
      <w:bookmarkStart w:id="2" w:name="bkExplanatory"/>
      <w:bookmarkEnd w:id="1"/>
      <w:bookmarkEnd w:id="2"/>
      <w:r w:rsidRPr="003615B4">
        <w:rPr>
          <w:rFonts w:ascii="Times New Roman" w:hAnsi="Times New Roman"/>
          <w:sz w:val="24"/>
          <w:szCs w:val="24"/>
        </w:rPr>
        <w:t>Under subsection 11</w:t>
      </w:r>
      <w:proofErr w:type="gramStart"/>
      <w:r w:rsidRPr="003615B4">
        <w:rPr>
          <w:rFonts w:ascii="Times New Roman" w:hAnsi="Times New Roman"/>
          <w:sz w:val="24"/>
          <w:szCs w:val="24"/>
        </w:rPr>
        <w:t>AF(</w:t>
      </w:r>
      <w:proofErr w:type="gramEnd"/>
      <w:r w:rsidRPr="003615B4">
        <w:rPr>
          <w:rFonts w:ascii="Times New Roman" w:hAnsi="Times New Roman"/>
          <w:sz w:val="24"/>
          <w:szCs w:val="24"/>
        </w:rPr>
        <w:t xml:space="preserve">1) of the </w:t>
      </w:r>
      <w:r w:rsidRPr="003615B4">
        <w:rPr>
          <w:rFonts w:ascii="Times New Roman" w:hAnsi="Times New Roman"/>
          <w:i/>
          <w:sz w:val="24"/>
          <w:szCs w:val="24"/>
        </w:rPr>
        <w:t>Banking Act 1959</w:t>
      </w:r>
      <w:r w:rsidRPr="003615B4">
        <w:rPr>
          <w:rFonts w:ascii="Times New Roman" w:hAnsi="Times New Roman"/>
          <w:sz w:val="24"/>
          <w:szCs w:val="24"/>
        </w:rPr>
        <w:t xml:space="preserve"> (the</w:t>
      </w:r>
      <w:r w:rsidRPr="003615B4">
        <w:rPr>
          <w:rFonts w:ascii="Times New Roman" w:hAnsi="Times New Roman"/>
          <w:b/>
          <w:i/>
          <w:sz w:val="24"/>
          <w:szCs w:val="24"/>
        </w:rPr>
        <w:t xml:space="preserve"> </w:t>
      </w:r>
      <w:r w:rsidRPr="0086608F">
        <w:rPr>
          <w:rFonts w:ascii="Times New Roman" w:hAnsi="Times New Roman"/>
          <w:sz w:val="24"/>
          <w:szCs w:val="24"/>
        </w:rPr>
        <w:t>Act</w:t>
      </w:r>
      <w:r w:rsidRPr="003615B4">
        <w:rPr>
          <w:rFonts w:ascii="Times New Roman" w:hAnsi="Times New Roman"/>
          <w:sz w:val="24"/>
          <w:szCs w:val="24"/>
        </w:rPr>
        <w:t>), APRA has the power to determine standards (</w:t>
      </w:r>
      <w:r w:rsidRPr="0086608F">
        <w:rPr>
          <w:rFonts w:ascii="Times New Roman" w:hAnsi="Times New Roman"/>
          <w:sz w:val="24"/>
          <w:szCs w:val="24"/>
        </w:rPr>
        <w:t>prudential standards</w:t>
      </w:r>
      <w:r w:rsidRPr="003615B4">
        <w:rPr>
          <w:rFonts w:ascii="Times New Roman" w:hAnsi="Times New Roman"/>
          <w:sz w:val="24"/>
          <w:szCs w:val="24"/>
        </w:rPr>
        <w:t>), in writing, in relation to prudential matters to be complied with by authorised deposit-taking institutions (</w:t>
      </w:r>
      <w:r w:rsidRPr="0086608F">
        <w:rPr>
          <w:rFonts w:ascii="Times New Roman" w:hAnsi="Times New Roman"/>
          <w:sz w:val="24"/>
          <w:szCs w:val="24"/>
        </w:rPr>
        <w:t>ADIs</w:t>
      </w:r>
      <w:r w:rsidRPr="003615B4">
        <w:rPr>
          <w:rFonts w:ascii="Times New Roman" w:hAnsi="Times New Roman"/>
          <w:sz w:val="24"/>
          <w:szCs w:val="24"/>
        </w:rPr>
        <w:t>) and authorised non-operating holding companies (</w:t>
      </w:r>
      <w:r w:rsidRPr="0086608F">
        <w:rPr>
          <w:rFonts w:ascii="Times New Roman" w:hAnsi="Times New Roman"/>
          <w:sz w:val="24"/>
          <w:szCs w:val="24"/>
        </w:rPr>
        <w:t>authorised NOHCs</w:t>
      </w:r>
      <w:r w:rsidRPr="003615B4">
        <w:rPr>
          <w:rFonts w:ascii="Times New Roman" w:hAnsi="Times New Roman"/>
          <w:sz w:val="24"/>
          <w:szCs w:val="24"/>
        </w:rPr>
        <w:t>). Under subsection 11</w:t>
      </w:r>
      <w:proofErr w:type="gramStart"/>
      <w:r w:rsidRPr="003615B4">
        <w:rPr>
          <w:rFonts w:ascii="Times New Roman" w:hAnsi="Times New Roman"/>
          <w:sz w:val="24"/>
          <w:szCs w:val="24"/>
        </w:rPr>
        <w:t>AF(</w:t>
      </w:r>
      <w:proofErr w:type="gramEnd"/>
      <w:r w:rsidRPr="003615B4">
        <w:rPr>
          <w:rFonts w:ascii="Times New Roman" w:hAnsi="Times New Roman"/>
          <w:sz w:val="24"/>
          <w:szCs w:val="24"/>
        </w:rPr>
        <w:t>3) of the Act, APRA may, in writing, vary or revoke a prudential standard.</w:t>
      </w:r>
    </w:p>
    <w:p w14:paraId="55E52BC3" w14:textId="22556979" w:rsidR="00AC7A56" w:rsidRPr="003615B4" w:rsidRDefault="00246723" w:rsidP="0086608F">
      <w:pPr>
        <w:spacing w:after="240"/>
        <w:jc w:val="both"/>
        <w:rPr>
          <w:rFonts w:ascii="Times New Roman" w:hAnsi="Times New Roman"/>
          <w:sz w:val="24"/>
          <w:szCs w:val="24"/>
        </w:rPr>
      </w:pPr>
      <w:r w:rsidRPr="003615B4">
        <w:rPr>
          <w:rFonts w:ascii="Times New Roman" w:hAnsi="Times New Roman"/>
          <w:sz w:val="24"/>
          <w:szCs w:val="24"/>
        </w:rPr>
        <w:t>On</w:t>
      </w:r>
      <w:r w:rsidR="000949BC">
        <w:rPr>
          <w:rFonts w:ascii="Times New Roman" w:hAnsi="Times New Roman"/>
          <w:sz w:val="24"/>
          <w:szCs w:val="24"/>
        </w:rPr>
        <w:t xml:space="preserve"> </w:t>
      </w:r>
      <w:r w:rsidR="00B577A4">
        <w:rPr>
          <w:rFonts w:ascii="Times New Roman" w:hAnsi="Times New Roman"/>
          <w:sz w:val="24"/>
          <w:szCs w:val="24"/>
        </w:rPr>
        <w:t>5</w:t>
      </w:r>
      <w:r w:rsidR="000949BC">
        <w:rPr>
          <w:rFonts w:ascii="Times New Roman" w:hAnsi="Times New Roman"/>
          <w:sz w:val="24"/>
          <w:szCs w:val="24"/>
        </w:rPr>
        <w:t xml:space="preserve"> </w:t>
      </w:r>
      <w:r w:rsidR="003878AB">
        <w:rPr>
          <w:rFonts w:ascii="Times New Roman" w:hAnsi="Times New Roman"/>
          <w:sz w:val="24"/>
          <w:szCs w:val="24"/>
        </w:rPr>
        <w:t>December 2022</w:t>
      </w:r>
      <w:r w:rsidR="005D1E2B" w:rsidRPr="003615B4">
        <w:rPr>
          <w:rFonts w:ascii="Times New Roman" w:hAnsi="Times New Roman"/>
          <w:sz w:val="24"/>
          <w:szCs w:val="24"/>
        </w:rPr>
        <w:t xml:space="preserve">, </w:t>
      </w:r>
      <w:r w:rsidRPr="003615B4">
        <w:rPr>
          <w:rFonts w:ascii="Times New Roman" w:hAnsi="Times New Roman"/>
          <w:sz w:val="24"/>
          <w:szCs w:val="24"/>
        </w:rPr>
        <w:t xml:space="preserve">APRA made </w:t>
      </w:r>
      <w:r w:rsidR="00D12D91" w:rsidRPr="003615B4">
        <w:rPr>
          <w:rFonts w:ascii="Times New Roman" w:hAnsi="Times New Roman"/>
          <w:sz w:val="24"/>
          <w:szCs w:val="24"/>
        </w:rPr>
        <w:t>Banking (prudenti</w:t>
      </w:r>
      <w:r w:rsidR="00BB1F58" w:rsidRPr="003615B4">
        <w:rPr>
          <w:rFonts w:ascii="Times New Roman" w:hAnsi="Times New Roman"/>
          <w:sz w:val="24"/>
          <w:szCs w:val="24"/>
        </w:rPr>
        <w:t xml:space="preserve">al standard) determination No. </w:t>
      </w:r>
      <w:r w:rsidR="00AF4DCC">
        <w:rPr>
          <w:rFonts w:ascii="Times New Roman" w:hAnsi="Times New Roman"/>
          <w:sz w:val="24"/>
          <w:szCs w:val="24"/>
        </w:rPr>
        <w:t>3</w:t>
      </w:r>
      <w:r w:rsidR="00BB1F58" w:rsidRPr="003615B4">
        <w:rPr>
          <w:rFonts w:ascii="Times New Roman" w:hAnsi="Times New Roman"/>
          <w:sz w:val="24"/>
          <w:szCs w:val="24"/>
        </w:rPr>
        <w:t xml:space="preserve"> of </w:t>
      </w:r>
      <w:r w:rsidR="00C83827" w:rsidRPr="0086608F">
        <w:rPr>
          <w:rFonts w:ascii="Times New Roman" w:hAnsi="Times New Roman"/>
          <w:sz w:val="24"/>
          <w:szCs w:val="24"/>
        </w:rPr>
        <w:t>20</w:t>
      </w:r>
      <w:r w:rsidR="003878AB">
        <w:rPr>
          <w:rFonts w:ascii="Times New Roman" w:hAnsi="Times New Roman"/>
          <w:sz w:val="24"/>
          <w:szCs w:val="24"/>
        </w:rPr>
        <w:t>22</w:t>
      </w:r>
      <w:r w:rsidR="00C83827">
        <w:rPr>
          <w:rFonts w:ascii="Times New Roman" w:hAnsi="Times New Roman"/>
          <w:sz w:val="24"/>
          <w:szCs w:val="24"/>
        </w:rPr>
        <w:t xml:space="preserve"> (the instrument)</w:t>
      </w:r>
      <w:r w:rsidR="00A47E64" w:rsidRPr="00C83827">
        <w:rPr>
          <w:rFonts w:ascii="Times New Roman" w:hAnsi="Times New Roman"/>
          <w:sz w:val="24"/>
          <w:szCs w:val="24"/>
        </w:rPr>
        <w:t>,</w:t>
      </w:r>
      <w:r w:rsidR="00D12D91" w:rsidRPr="003615B4">
        <w:rPr>
          <w:rFonts w:ascii="Times New Roman" w:hAnsi="Times New Roman"/>
          <w:sz w:val="24"/>
          <w:szCs w:val="24"/>
        </w:rPr>
        <w:t xml:space="preserve"> which </w:t>
      </w:r>
      <w:r w:rsidR="008B4518" w:rsidRPr="003615B4">
        <w:rPr>
          <w:rFonts w:ascii="Times New Roman" w:hAnsi="Times New Roman"/>
          <w:sz w:val="24"/>
          <w:szCs w:val="24"/>
        </w:rPr>
        <w:t xml:space="preserve">revokes </w:t>
      </w:r>
      <w:r w:rsidR="008B4518" w:rsidRPr="003615B4">
        <w:rPr>
          <w:rFonts w:ascii="Times New Roman" w:hAnsi="Times New Roman"/>
          <w:i/>
          <w:sz w:val="24"/>
          <w:szCs w:val="24"/>
        </w:rPr>
        <w:t xml:space="preserve">Prudential Standard APS </w:t>
      </w:r>
      <w:r w:rsidR="00011E66" w:rsidRPr="003615B4">
        <w:rPr>
          <w:rFonts w:ascii="Times New Roman" w:hAnsi="Times New Roman"/>
          <w:i/>
          <w:sz w:val="24"/>
          <w:szCs w:val="24"/>
        </w:rPr>
        <w:t>33</w:t>
      </w:r>
      <w:r w:rsidR="008B4518" w:rsidRPr="003615B4">
        <w:rPr>
          <w:rFonts w:ascii="Times New Roman" w:hAnsi="Times New Roman"/>
          <w:i/>
          <w:sz w:val="24"/>
          <w:szCs w:val="24"/>
        </w:rPr>
        <w:t>0</w:t>
      </w:r>
      <w:r w:rsidR="00011E66" w:rsidRPr="003615B4">
        <w:rPr>
          <w:rFonts w:ascii="Times New Roman" w:hAnsi="Times New Roman"/>
          <w:i/>
          <w:sz w:val="24"/>
          <w:szCs w:val="24"/>
        </w:rPr>
        <w:t xml:space="preserve"> Public Disclosure</w:t>
      </w:r>
      <w:r w:rsidR="008B4518" w:rsidRPr="003615B4">
        <w:rPr>
          <w:rFonts w:ascii="Times New Roman" w:hAnsi="Times New Roman"/>
          <w:i/>
          <w:sz w:val="24"/>
          <w:szCs w:val="24"/>
        </w:rPr>
        <w:t xml:space="preserve"> </w:t>
      </w:r>
      <w:r w:rsidR="008B4518" w:rsidRPr="003615B4">
        <w:rPr>
          <w:rFonts w:ascii="Times New Roman" w:hAnsi="Times New Roman"/>
          <w:sz w:val="24"/>
          <w:szCs w:val="24"/>
        </w:rPr>
        <w:t>made under Banking (prudential standard) determination No.</w:t>
      </w:r>
      <w:r w:rsidR="00E96D2F" w:rsidRPr="003615B4">
        <w:rPr>
          <w:rFonts w:ascii="Times New Roman" w:hAnsi="Times New Roman"/>
          <w:sz w:val="24"/>
          <w:szCs w:val="24"/>
        </w:rPr>
        <w:t xml:space="preserve"> 3</w:t>
      </w:r>
      <w:r w:rsidR="008B4518" w:rsidRPr="003615B4">
        <w:rPr>
          <w:rFonts w:ascii="Times New Roman" w:hAnsi="Times New Roman"/>
          <w:sz w:val="24"/>
          <w:szCs w:val="24"/>
        </w:rPr>
        <w:t xml:space="preserve"> of </w:t>
      </w:r>
      <w:r w:rsidR="00E96D2F" w:rsidRPr="003615B4">
        <w:rPr>
          <w:rFonts w:ascii="Times New Roman" w:hAnsi="Times New Roman"/>
          <w:sz w:val="24"/>
          <w:szCs w:val="24"/>
        </w:rPr>
        <w:t>201</w:t>
      </w:r>
      <w:r w:rsidR="003878AB">
        <w:rPr>
          <w:rFonts w:ascii="Times New Roman" w:hAnsi="Times New Roman"/>
          <w:sz w:val="24"/>
          <w:szCs w:val="24"/>
        </w:rPr>
        <w:t>8</w:t>
      </w:r>
      <w:r w:rsidR="005D1E2B" w:rsidRPr="003615B4">
        <w:rPr>
          <w:rFonts w:ascii="Times New Roman" w:hAnsi="Times New Roman"/>
          <w:sz w:val="24"/>
          <w:szCs w:val="24"/>
        </w:rPr>
        <w:t xml:space="preserve"> </w:t>
      </w:r>
      <w:r w:rsidR="000C5F38" w:rsidRPr="003615B4">
        <w:rPr>
          <w:rFonts w:ascii="Times New Roman" w:hAnsi="Times New Roman"/>
          <w:sz w:val="24"/>
          <w:szCs w:val="24"/>
        </w:rPr>
        <w:t xml:space="preserve">and </w:t>
      </w:r>
      <w:r w:rsidR="00D12D91" w:rsidRPr="003615B4">
        <w:rPr>
          <w:rFonts w:ascii="Times New Roman" w:hAnsi="Times New Roman"/>
          <w:sz w:val="24"/>
          <w:szCs w:val="24"/>
        </w:rPr>
        <w:t xml:space="preserve">determines a new </w:t>
      </w:r>
      <w:r w:rsidR="00D12D91" w:rsidRPr="003615B4">
        <w:rPr>
          <w:rFonts w:ascii="Times New Roman" w:hAnsi="Times New Roman"/>
          <w:i/>
          <w:sz w:val="24"/>
          <w:szCs w:val="24"/>
        </w:rPr>
        <w:t xml:space="preserve">Prudential Standard APS </w:t>
      </w:r>
      <w:r w:rsidR="00011E66" w:rsidRPr="003615B4">
        <w:rPr>
          <w:rFonts w:ascii="Times New Roman" w:hAnsi="Times New Roman"/>
          <w:i/>
          <w:sz w:val="24"/>
          <w:szCs w:val="24"/>
        </w:rPr>
        <w:t>330</w:t>
      </w:r>
      <w:r w:rsidR="00BB1F58" w:rsidRPr="003615B4">
        <w:rPr>
          <w:rFonts w:ascii="Times New Roman" w:hAnsi="Times New Roman"/>
          <w:i/>
          <w:sz w:val="24"/>
          <w:szCs w:val="24"/>
        </w:rPr>
        <w:t xml:space="preserve"> </w:t>
      </w:r>
      <w:r w:rsidR="00011E66" w:rsidRPr="003615B4">
        <w:rPr>
          <w:rFonts w:ascii="Times New Roman" w:hAnsi="Times New Roman"/>
          <w:i/>
          <w:sz w:val="24"/>
          <w:szCs w:val="24"/>
        </w:rPr>
        <w:t>Public Disclosure</w:t>
      </w:r>
      <w:r w:rsidR="00335F1F">
        <w:rPr>
          <w:rFonts w:ascii="Times New Roman" w:hAnsi="Times New Roman"/>
          <w:i/>
          <w:sz w:val="24"/>
          <w:szCs w:val="24"/>
        </w:rPr>
        <w:t xml:space="preserve"> </w:t>
      </w:r>
      <w:r w:rsidR="00335F1F">
        <w:rPr>
          <w:rFonts w:ascii="Times New Roman" w:hAnsi="Times New Roman"/>
          <w:sz w:val="24"/>
          <w:szCs w:val="24"/>
        </w:rPr>
        <w:t>(APS 330)</w:t>
      </w:r>
      <w:r w:rsidR="00733297">
        <w:rPr>
          <w:rFonts w:ascii="Times New Roman" w:hAnsi="Times New Roman"/>
          <w:sz w:val="24"/>
          <w:szCs w:val="24"/>
        </w:rPr>
        <w:t>.</w:t>
      </w:r>
    </w:p>
    <w:p w14:paraId="1AA0523A" w14:textId="08BFCFFC" w:rsidR="00F57FAF" w:rsidRPr="003615B4" w:rsidRDefault="00AC7A56" w:rsidP="0086608F">
      <w:pPr>
        <w:widowControl w:val="0"/>
        <w:spacing w:before="120" w:after="240"/>
        <w:jc w:val="both"/>
        <w:rPr>
          <w:rFonts w:ascii="Times New Roman" w:hAnsi="Times New Roman"/>
          <w:sz w:val="24"/>
          <w:szCs w:val="24"/>
        </w:rPr>
      </w:pPr>
      <w:r w:rsidRPr="003615B4">
        <w:rPr>
          <w:rFonts w:ascii="Times New Roman" w:hAnsi="Times New Roman"/>
          <w:sz w:val="24"/>
          <w:szCs w:val="24"/>
        </w:rPr>
        <w:t>The instrument commence</w:t>
      </w:r>
      <w:r w:rsidR="00011E66" w:rsidRPr="003615B4">
        <w:rPr>
          <w:rFonts w:ascii="Times New Roman" w:hAnsi="Times New Roman"/>
          <w:sz w:val="24"/>
          <w:szCs w:val="24"/>
        </w:rPr>
        <w:t>s</w:t>
      </w:r>
      <w:r w:rsidRPr="003615B4">
        <w:rPr>
          <w:rFonts w:ascii="Times New Roman" w:hAnsi="Times New Roman"/>
          <w:sz w:val="24"/>
          <w:szCs w:val="24"/>
        </w:rPr>
        <w:t xml:space="preserve"> on </w:t>
      </w:r>
      <w:r w:rsidR="00011E66" w:rsidRPr="003615B4">
        <w:rPr>
          <w:rFonts w:ascii="Times New Roman" w:hAnsi="Times New Roman"/>
          <w:sz w:val="24"/>
          <w:szCs w:val="24"/>
        </w:rPr>
        <w:t xml:space="preserve">1 </w:t>
      </w:r>
      <w:r w:rsidR="003878AB">
        <w:rPr>
          <w:rFonts w:ascii="Times New Roman" w:hAnsi="Times New Roman"/>
          <w:sz w:val="24"/>
          <w:szCs w:val="24"/>
        </w:rPr>
        <w:t>January 2023</w:t>
      </w:r>
      <w:r w:rsidRPr="003615B4">
        <w:rPr>
          <w:rFonts w:ascii="Times New Roman" w:hAnsi="Times New Roman"/>
          <w:sz w:val="24"/>
          <w:szCs w:val="24"/>
        </w:rPr>
        <w:t>.</w:t>
      </w:r>
    </w:p>
    <w:p w14:paraId="55E52BC7" w14:textId="77777777" w:rsidR="00596539" w:rsidRPr="003615B4" w:rsidRDefault="00596539" w:rsidP="00596539">
      <w:pPr>
        <w:pStyle w:val="Heading"/>
        <w:keepNext/>
        <w:numPr>
          <w:ilvl w:val="0"/>
          <w:numId w:val="2"/>
        </w:numPr>
        <w:spacing w:after="240"/>
        <w:ind w:left="0" w:firstLine="0"/>
        <w:outlineLvl w:val="0"/>
        <w:rPr>
          <w:rFonts w:ascii="Times New Roman" w:hAnsi="Times New Roman"/>
          <w:sz w:val="24"/>
          <w:szCs w:val="24"/>
        </w:rPr>
      </w:pPr>
      <w:r w:rsidRPr="003615B4">
        <w:rPr>
          <w:rFonts w:ascii="Times New Roman" w:hAnsi="Times New Roman"/>
          <w:sz w:val="24"/>
          <w:szCs w:val="24"/>
        </w:rPr>
        <w:t>Background</w:t>
      </w:r>
    </w:p>
    <w:p w14:paraId="55E52BC8" w14:textId="77777777" w:rsidR="00596539" w:rsidRPr="003615B4" w:rsidRDefault="00596539" w:rsidP="00EA64A3">
      <w:pPr>
        <w:widowControl w:val="0"/>
        <w:spacing w:before="240" w:after="240"/>
        <w:jc w:val="both"/>
        <w:rPr>
          <w:rFonts w:ascii="Times New Roman" w:hAnsi="Times New Roman"/>
          <w:sz w:val="24"/>
          <w:szCs w:val="24"/>
        </w:rPr>
      </w:pPr>
      <w:r w:rsidRPr="003615B4">
        <w:rPr>
          <w:rFonts w:ascii="Times New Roman" w:hAnsi="Times New Roman"/>
          <w:sz w:val="24"/>
          <w:szCs w:val="24"/>
        </w:rPr>
        <w:t xml:space="preserve">APRA’s mandate is to ensure the safety and soundness of prudentially regulated financial institutions so that they can meet their financial promises to depositors, </w:t>
      </w:r>
      <w:proofErr w:type="gramStart"/>
      <w:r w:rsidRPr="003615B4">
        <w:rPr>
          <w:rFonts w:ascii="Times New Roman" w:hAnsi="Times New Roman"/>
          <w:sz w:val="24"/>
          <w:szCs w:val="24"/>
        </w:rPr>
        <w:t>policyholders</w:t>
      </w:r>
      <w:proofErr w:type="gramEnd"/>
      <w:r w:rsidRPr="003615B4">
        <w:rPr>
          <w:rFonts w:ascii="Times New Roman" w:hAnsi="Times New Roman"/>
          <w:sz w:val="24"/>
          <w:szCs w:val="24"/>
        </w:rPr>
        <w:t xml:space="preserve"> and fund members within a stable, efficient and competitive financial system. </w:t>
      </w:r>
    </w:p>
    <w:p w14:paraId="55E52BC9" w14:textId="2FD4EB2A" w:rsidR="00596539" w:rsidRPr="003615B4" w:rsidRDefault="00596539" w:rsidP="0086608F">
      <w:pPr>
        <w:spacing w:before="240" w:after="240"/>
        <w:jc w:val="both"/>
        <w:rPr>
          <w:rFonts w:ascii="Times New Roman" w:eastAsiaTheme="minorEastAsia" w:hAnsi="Times New Roman"/>
          <w:sz w:val="24"/>
          <w:szCs w:val="24"/>
          <w:lang w:eastAsia="en-US"/>
        </w:rPr>
      </w:pPr>
      <w:r w:rsidRPr="003615B4">
        <w:rPr>
          <w:rFonts w:ascii="Times New Roman" w:eastAsiaTheme="minorEastAsia" w:hAnsi="Times New Roman"/>
          <w:sz w:val="24"/>
          <w:szCs w:val="24"/>
          <w:lang w:eastAsia="en-US"/>
        </w:rPr>
        <w:t xml:space="preserve">APRA carries out this mandate through a multi-layered prudential framework that encompasses licensing and supervision of institutions. In the case of the banking industry, APRA is empowered under the Act to issue legally binding prudential standards that set out specific prudential requirements with which ADIs </w:t>
      </w:r>
      <w:r w:rsidR="00562F29">
        <w:rPr>
          <w:rFonts w:ascii="Times New Roman" w:eastAsiaTheme="minorEastAsia" w:hAnsi="Times New Roman"/>
          <w:sz w:val="24"/>
          <w:szCs w:val="24"/>
          <w:lang w:eastAsia="en-US"/>
        </w:rPr>
        <w:t>and authori</w:t>
      </w:r>
      <w:r w:rsidR="00AA50D5">
        <w:rPr>
          <w:rFonts w:ascii="Times New Roman" w:eastAsiaTheme="minorEastAsia" w:hAnsi="Times New Roman"/>
          <w:sz w:val="24"/>
          <w:szCs w:val="24"/>
          <w:lang w:eastAsia="en-US"/>
        </w:rPr>
        <w:t>s</w:t>
      </w:r>
      <w:r w:rsidR="00562F29">
        <w:rPr>
          <w:rFonts w:ascii="Times New Roman" w:eastAsiaTheme="minorEastAsia" w:hAnsi="Times New Roman"/>
          <w:sz w:val="24"/>
          <w:szCs w:val="24"/>
          <w:lang w:eastAsia="en-US"/>
        </w:rPr>
        <w:t xml:space="preserve">ed NOHCs </w:t>
      </w:r>
      <w:r w:rsidRPr="003615B4">
        <w:rPr>
          <w:rFonts w:ascii="Times New Roman" w:eastAsiaTheme="minorEastAsia" w:hAnsi="Times New Roman"/>
          <w:sz w:val="24"/>
          <w:szCs w:val="24"/>
          <w:lang w:eastAsia="en-US"/>
        </w:rPr>
        <w:t xml:space="preserve">must comply. </w:t>
      </w:r>
    </w:p>
    <w:p w14:paraId="55E52BCA" w14:textId="77777777" w:rsidR="00596539" w:rsidRPr="003615B4" w:rsidRDefault="00596539" w:rsidP="0086608F">
      <w:pPr>
        <w:spacing w:before="240" w:after="240"/>
        <w:jc w:val="both"/>
        <w:rPr>
          <w:rFonts w:ascii="Times New Roman" w:eastAsiaTheme="minorEastAsia" w:hAnsi="Times New Roman"/>
          <w:sz w:val="24"/>
          <w:szCs w:val="24"/>
          <w:lang w:eastAsia="en-US"/>
        </w:rPr>
      </w:pPr>
      <w:r w:rsidRPr="003615B4">
        <w:rPr>
          <w:rFonts w:ascii="Times New Roman" w:eastAsiaTheme="minorEastAsia" w:hAnsi="Times New Roman"/>
          <w:sz w:val="24"/>
          <w:szCs w:val="24"/>
          <w:lang w:eastAsia="en-US"/>
        </w:rPr>
        <w:t xml:space="preserve">APRA regularly reviews its regulatory regime and amends its prudential requirements </w:t>
      </w:r>
      <w:proofErr w:type="gramStart"/>
      <w:r w:rsidRPr="003615B4">
        <w:rPr>
          <w:rFonts w:ascii="Times New Roman" w:eastAsiaTheme="minorEastAsia" w:hAnsi="Times New Roman"/>
          <w:sz w:val="24"/>
          <w:szCs w:val="24"/>
          <w:lang w:eastAsia="en-US"/>
        </w:rPr>
        <w:t>as a result of</w:t>
      </w:r>
      <w:proofErr w:type="gramEnd"/>
      <w:r w:rsidRPr="003615B4">
        <w:rPr>
          <w:rFonts w:ascii="Times New Roman" w:eastAsiaTheme="minorEastAsia" w:hAnsi="Times New Roman"/>
          <w:sz w:val="24"/>
          <w:szCs w:val="24"/>
          <w:lang w:eastAsia="en-US"/>
        </w:rPr>
        <w:t xml:space="preserve"> a number of factors including:</w:t>
      </w:r>
    </w:p>
    <w:p w14:paraId="580AC262" w14:textId="77777777" w:rsidR="001B1EE6" w:rsidRDefault="00596539" w:rsidP="0086608F">
      <w:pPr>
        <w:numPr>
          <w:ilvl w:val="0"/>
          <w:numId w:val="15"/>
        </w:numPr>
        <w:spacing w:before="120" w:after="60"/>
        <w:ind w:left="567" w:hanging="567"/>
        <w:jc w:val="both"/>
        <w:rPr>
          <w:rFonts w:ascii="Times New Roman" w:eastAsia="Trebuchet MS" w:hAnsi="Times New Roman"/>
          <w:spacing w:val="-5"/>
          <w:sz w:val="24"/>
          <w:szCs w:val="24"/>
          <w:lang w:eastAsia="en-US"/>
        </w:rPr>
      </w:pPr>
      <w:r w:rsidRPr="003615B4">
        <w:rPr>
          <w:rFonts w:ascii="Times New Roman" w:eastAsia="Trebuchet MS" w:hAnsi="Times New Roman"/>
          <w:spacing w:val="-5"/>
          <w:sz w:val="24"/>
          <w:szCs w:val="24"/>
          <w:lang w:eastAsia="en-US"/>
        </w:rPr>
        <w:t xml:space="preserve">international </w:t>
      </w:r>
      <w:proofErr w:type="gramStart"/>
      <w:r w:rsidRPr="003615B4">
        <w:rPr>
          <w:rFonts w:ascii="Times New Roman" w:eastAsia="Trebuchet MS" w:hAnsi="Times New Roman"/>
          <w:spacing w:val="-5"/>
          <w:sz w:val="24"/>
          <w:szCs w:val="24"/>
          <w:lang w:eastAsia="en-US"/>
        </w:rPr>
        <w:t>developments;</w:t>
      </w:r>
      <w:proofErr w:type="gramEnd"/>
    </w:p>
    <w:p w14:paraId="069732F1" w14:textId="77777777" w:rsidR="001B1EE6" w:rsidRDefault="00596539" w:rsidP="0086608F">
      <w:pPr>
        <w:numPr>
          <w:ilvl w:val="0"/>
          <w:numId w:val="15"/>
        </w:numPr>
        <w:spacing w:before="120" w:after="60"/>
        <w:ind w:left="567" w:hanging="567"/>
        <w:jc w:val="both"/>
        <w:rPr>
          <w:rFonts w:ascii="Times New Roman" w:eastAsia="Trebuchet MS" w:hAnsi="Times New Roman"/>
          <w:spacing w:val="-5"/>
          <w:sz w:val="24"/>
          <w:szCs w:val="24"/>
          <w:lang w:eastAsia="en-US"/>
        </w:rPr>
      </w:pPr>
      <w:r w:rsidRPr="001B1EE6">
        <w:rPr>
          <w:rFonts w:ascii="Times New Roman" w:eastAsia="Trebuchet MS" w:hAnsi="Times New Roman"/>
          <w:spacing w:val="-5"/>
          <w:sz w:val="24"/>
          <w:szCs w:val="24"/>
          <w:lang w:eastAsia="en-US"/>
        </w:rPr>
        <w:t>changes in financial market conditions or changes in risk management practices, in response to identified weaknesses in the prudential framework; and</w:t>
      </w:r>
    </w:p>
    <w:p w14:paraId="55E52BCD" w14:textId="718A0C8F" w:rsidR="00596539" w:rsidRPr="001B1EE6" w:rsidRDefault="00596539" w:rsidP="0086608F">
      <w:pPr>
        <w:numPr>
          <w:ilvl w:val="0"/>
          <w:numId w:val="15"/>
        </w:numPr>
        <w:spacing w:before="120" w:after="240"/>
        <w:ind w:left="567" w:hanging="567"/>
        <w:jc w:val="both"/>
        <w:rPr>
          <w:rFonts w:ascii="Times New Roman" w:eastAsia="Trebuchet MS" w:hAnsi="Times New Roman"/>
          <w:spacing w:val="-5"/>
          <w:sz w:val="24"/>
          <w:szCs w:val="24"/>
          <w:lang w:eastAsia="en-US"/>
        </w:rPr>
      </w:pPr>
      <w:r w:rsidRPr="001B1EE6">
        <w:rPr>
          <w:rFonts w:ascii="Times New Roman" w:eastAsia="Trebuchet MS" w:hAnsi="Times New Roman"/>
          <w:spacing w:val="-5"/>
          <w:sz w:val="24"/>
          <w:szCs w:val="24"/>
          <w:lang w:eastAsia="en-US"/>
        </w:rPr>
        <w:t>to reduce potential negative impacts of emerging industry issues.</w:t>
      </w:r>
    </w:p>
    <w:p w14:paraId="55E52BD3" w14:textId="55140AF9" w:rsidR="00596539" w:rsidRPr="003615B4" w:rsidRDefault="00886AC9" w:rsidP="0086608F">
      <w:pPr>
        <w:spacing w:before="240" w:after="240"/>
        <w:jc w:val="both"/>
        <w:rPr>
          <w:rFonts w:ascii="Times New Roman" w:hAnsi="Times New Roman"/>
          <w:sz w:val="24"/>
          <w:szCs w:val="24"/>
        </w:rPr>
      </w:pPr>
      <w:r w:rsidRPr="003615B4">
        <w:rPr>
          <w:rFonts w:ascii="Times New Roman" w:hAnsi="Times New Roman"/>
          <w:sz w:val="24"/>
          <w:szCs w:val="24"/>
        </w:rPr>
        <w:t>APRA’s prudential framework for ADIs is based on the framework agreed by the Basel Committee on Banking Supervision (Basel Committee).</w:t>
      </w:r>
      <w:r w:rsidR="002C2242">
        <w:rPr>
          <w:rStyle w:val="FootnoteReference"/>
          <w:rFonts w:ascii="Times New Roman" w:hAnsi="Times New Roman"/>
          <w:sz w:val="24"/>
          <w:szCs w:val="24"/>
        </w:rPr>
        <w:footnoteReference w:id="2"/>
      </w:r>
    </w:p>
    <w:p w14:paraId="4AECDEAD" w14:textId="3FA49DD1" w:rsidR="00883E2A" w:rsidRDefault="00EC257D" w:rsidP="0086608F">
      <w:pPr>
        <w:spacing w:before="240" w:after="240"/>
        <w:jc w:val="both"/>
        <w:rPr>
          <w:rFonts w:ascii="Times New Roman" w:eastAsiaTheme="minorEastAsia" w:hAnsi="Times New Roman"/>
          <w:sz w:val="24"/>
          <w:szCs w:val="24"/>
        </w:rPr>
      </w:pPr>
      <w:r w:rsidRPr="003615B4">
        <w:rPr>
          <w:rFonts w:ascii="Times New Roman" w:eastAsiaTheme="minorEastAsia" w:hAnsi="Times New Roman"/>
          <w:sz w:val="24"/>
          <w:szCs w:val="24"/>
        </w:rPr>
        <w:lastRenderedPageBreak/>
        <w:t xml:space="preserve">The Basel Committee’s disclosure requirements, known as Pillar 3, were introduced in Australia from January 2008 through APS 330. The Pillar 3 framework facilitates market discipline by providing a set of common disclosure requirements to allow market participants to assess banks’ capital adequacy, remuneration and other indicators of financial health. The Basel Committee </w:t>
      </w:r>
      <w:r w:rsidR="003878AB">
        <w:rPr>
          <w:rFonts w:ascii="Times New Roman" w:eastAsiaTheme="minorEastAsia" w:hAnsi="Times New Roman"/>
          <w:sz w:val="24"/>
          <w:szCs w:val="24"/>
        </w:rPr>
        <w:t>finalised</w:t>
      </w:r>
      <w:r w:rsidRPr="003615B4">
        <w:rPr>
          <w:rFonts w:ascii="Times New Roman" w:eastAsiaTheme="minorEastAsia" w:hAnsi="Times New Roman"/>
          <w:sz w:val="24"/>
          <w:szCs w:val="24"/>
        </w:rPr>
        <w:t xml:space="preserve"> its Pillar 3 framework</w:t>
      </w:r>
      <w:r w:rsidR="003878AB">
        <w:rPr>
          <w:rFonts w:ascii="Times New Roman" w:eastAsiaTheme="minorEastAsia" w:hAnsi="Times New Roman"/>
          <w:sz w:val="24"/>
          <w:szCs w:val="24"/>
        </w:rPr>
        <w:t xml:space="preserve"> in December 2018</w:t>
      </w:r>
      <w:r w:rsidR="004B5C60">
        <w:rPr>
          <w:rFonts w:ascii="Times New Roman" w:eastAsiaTheme="minorEastAsia" w:hAnsi="Times New Roman"/>
          <w:sz w:val="24"/>
          <w:szCs w:val="24"/>
        </w:rPr>
        <w:t>.</w:t>
      </w:r>
      <w:r w:rsidR="007431C2" w:rsidRPr="003615B4">
        <w:rPr>
          <w:rStyle w:val="FootnoteReference"/>
          <w:rFonts w:ascii="Times New Roman" w:eastAsiaTheme="minorEastAsia" w:hAnsi="Times New Roman"/>
          <w:sz w:val="24"/>
          <w:szCs w:val="24"/>
        </w:rPr>
        <w:footnoteReference w:id="3"/>
      </w:r>
      <w:r w:rsidR="006953D0">
        <w:rPr>
          <w:rFonts w:ascii="Times New Roman" w:eastAsiaTheme="minorEastAsia" w:hAnsi="Times New Roman"/>
          <w:sz w:val="24"/>
          <w:szCs w:val="24"/>
        </w:rPr>
        <w:t xml:space="preserve"> </w:t>
      </w:r>
    </w:p>
    <w:p w14:paraId="76615CC1" w14:textId="56C6A1FE" w:rsidR="005F4AB4" w:rsidRDefault="005F4AB4" w:rsidP="0086608F">
      <w:pPr>
        <w:spacing w:before="240" w:after="240"/>
        <w:jc w:val="both"/>
        <w:rPr>
          <w:rFonts w:ascii="Times New Roman" w:eastAsiaTheme="minorEastAsia" w:hAnsi="Times New Roman"/>
          <w:sz w:val="24"/>
          <w:szCs w:val="24"/>
        </w:rPr>
      </w:pPr>
      <w:r>
        <w:rPr>
          <w:rFonts w:ascii="Times New Roman" w:eastAsiaTheme="minorEastAsia" w:hAnsi="Times New Roman"/>
          <w:sz w:val="24"/>
          <w:szCs w:val="24"/>
        </w:rPr>
        <w:t>APRA has recently release</w:t>
      </w:r>
      <w:r w:rsidR="00B5224D">
        <w:rPr>
          <w:rFonts w:ascii="Times New Roman" w:eastAsiaTheme="minorEastAsia" w:hAnsi="Times New Roman"/>
          <w:sz w:val="24"/>
          <w:szCs w:val="24"/>
        </w:rPr>
        <w:t>d</w:t>
      </w:r>
      <w:r>
        <w:rPr>
          <w:rFonts w:ascii="Times New Roman" w:eastAsiaTheme="minorEastAsia" w:hAnsi="Times New Roman"/>
          <w:sz w:val="24"/>
          <w:szCs w:val="24"/>
        </w:rPr>
        <w:t xml:space="preserve"> a new suite of prudential standards that impos</w:t>
      </w:r>
      <w:r w:rsidR="001646CF">
        <w:rPr>
          <w:rFonts w:ascii="Times New Roman" w:eastAsiaTheme="minorEastAsia" w:hAnsi="Times New Roman"/>
          <w:sz w:val="24"/>
          <w:szCs w:val="24"/>
        </w:rPr>
        <w:t>e</w:t>
      </w:r>
      <w:r>
        <w:rPr>
          <w:rFonts w:ascii="Times New Roman" w:eastAsiaTheme="minorEastAsia" w:hAnsi="Times New Roman"/>
          <w:sz w:val="24"/>
          <w:szCs w:val="24"/>
        </w:rPr>
        <w:t xml:space="preserve"> regulatory capital requirements (the </w:t>
      </w:r>
      <w:r w:rsidR="002920B2">
        <w:rPr>
          <w:rFonts w:ascii="Times New Roman" w:eastAsiaTheme="minorEastAsia" w:hAnsi="Times New Roman"/>
          <w:sz w:val="24"/>
          <w:szCs w:val="24"/>
        </w:rPr>
        <w:t xml:space="preserve">new </w:t>
      </w:r>
      <w:r>
        <w:rPr>
          <w:rFonts w:ascii="Times New Roman" w:eastAsiaTheme="minorEastAsia" w:hAnsi="Times New Roman"/>
          <w:sz w:val="24"/>
          <w:szCs w:val="24"/>
        </w:rPr>
        <w:t xml:space="preserve">capital standards) on ADIs for the purposes of ensuring ADIs hold sufficient capital to address risks associated with their operations. The changes follow recommendations from the 2014 Financial System Inquiry to increase capital requirements for ADIs such that they meet ‘unquestionably strong’ capital benchmarks and to meet Australia’s commitment for internationally agreed standards for prudential regulation for ADIs by implementing capital standards based on the framework agreed by the Basel Committee. </w:t>
      </w:r>
    </w:p>
    <w:p w14:paraId="354D005F" w14:textId="59F589DE" w:rsidR="005F4AB4" w:rsidRDefault="005F4AB4" w:rsidP="0086608F">
      <w:pPr>
        <w:spacing w:before="240" w:after="240"/>
        <w:jc w:val="both"/>
        <w:rPr>
          <w:rFonts w:ascii="Times New Roman" w:eastAsiaTheme="minorEastAsia" w:hAnsi="Times New Roman"/>
          <w:sz w:val="24"/>
          <w:szCs w:val="24"/>
        </w:rPr>
      </w:pPr>
      <w:r>
        <w:rPr>
          <w:rFonts w:ascii="Times New Roman" w:eastAsiaTheme="minorEastAsia" w:hAnsi="Times New Roman"/>
          <w:sz w:val="24"/>
          <w:szCs w:val="24"/>
        </w:rPr>
        <w:t xml:space="preserve">The </w:t>
      </w:r>
      <w:r w:rsidR="002920B2">
        <w:rPr>
          <w:rFonts w:ascii="Times New Roman" w:eastAsiaTheme="minorEastAsia" w:hAnsi="Times New Roman"/>
          <w:sz w:val="24"/>
          <w:szCs w:val="24"/>
        </w:rPr>
        <w:t xml:space="preserve">new </w:t>
      </w:r>
      <w:r>
        <w:rPr>
          <w:rFonts w:ascii="Times New Roman" w:eastAsiaTheme="minorEastAsia" w:hAnsi="Times New Roman"/>
          <w:sz w:val="24"/>
          <w:szCs w:val="24"/>
        </w:rPr>
        <w:t xml:space="preserve">capital standards, which come into effect from 1 January 2023, necessitate consequential amendments to APS 330 to ensure ADI public disclosures are consistent with APRA’s broader prudential framework with the </w:t>
      </w:r>
      <w:r w:rsidR="002920B2">
        <w:rPr>
          <w:rFonts w:ascii="Times New Roman" w:eastAsiaTheme="minorEastAsia" w:hAnsi="Times New Roman"/>
          <w:sz w:val="24"/>
          <w:szCs w:val="24"/>
        </w:rPr>
        <w:t xml:space="preserve">new </w:t>
      </w:r>
      <w:r>
        <w:rPr>
          <w:rFonts w:ascii="Times New Roman" w:eastAsiaTheme="minorEastAsia" w:hAnsi="Times New Roman"/>
          <w:sz w:val="24"/>
          <w:szCs w:val="24"/>
        </w:rPr>
        <w:t>capital standards. The key changes include:</w:t>
      </w:r>
    </w:p>
    <w:p w14:paraId="6E44E7EA" w14:textId="3BB702E2" w:rsidR="005F4AB4" w:rsidRDefault="002920B2" w:rsidP="005F4AB4">
      <w:pPr>
        <w:pStyle w:val="ListParagraph"/>
        <w:numPr>
          <w:ilvl w:val="0"/>
          <w:numId w:val="24"/>
        </w:numPr>
        <w:spacing w:before="240" w:after="240"/>
        <w:jc w:val="both"/>
        <w:rPr>
          <w:rFonts w:ascii="Times New Roman" w:eastAsiaTheme="minorEastAsia" w:hAnsi="Times New Roman"/>
          <w:sz w:val="24"/>
          <w:szCs w:val="24"/>
        </w:rPr>
      </w:pPr>
      <w:r>
        <w:rPr>
          <w:rFonts w:ascii="Times New Roman" w:eastAsiaTheme="minorEastAsia" w:hAnsi="Times New Roman"/>
          <w:sz w:val="24"/>
          <w:szCs w:val="24"/>
        </w:rPr>
        <w:t>e</w:t>
      </w:r>
      <w:r w:rsidR="005F4AB4">
        <w:rPr>
          <w:rFonts w:ascii="Times New Roman" w:eastAsiaTheme="minorEastAsia" w:hAnsi="Times New Roman"/>
          <w:sz w:val="24"/>
          <w:szCs w:val="24"/>
        </w:rPr>
        <w:t xml:space="preserve">nsuring APRA’s ADI public disclosure requirements reflect changes </w:t>
      </w:r>
      <w:r w:rsidR="00B5224D">
        <w:rPr>
          <w:rFonts w:ascii="Times New Roman" w:eastAsiaTheme="minorEastAsia" w:hAnsi="Times New Roman"/>
          <w:sz w:val="24"/>
          <w:szCs w:val="24"/>
        </w:rPr>
        <w:t xml:space="preserve">to definitions and terminology </w:t>
      </w:r>
      <w:r w:rsidR="005F4AB4">
        <w:rPr>
          <w:rFonts w:ascii="Times New Roman" w:eastAsiaTheme="minorEastAsia" w:hAnsi="Times New Roman"/>
          <w:sz w:val="24"/>
          <w:szCs w:val="24"/>
        </w:rPr>
        <w:t xml:space="preserve">made in the </w:t>
      </w:r>
      <w:r>
        <w:rPr>
          <w:rFonts w:ascii="Times New Roman" w:eastAsiaTheme="minorEastAsia" w:hAnsi="Times New Roman"/>
          <w:sz w:val="24"/>
          <w:szCs w:val="24"/>
        </w:rPr>
        <w:t xml:space="preserve">new </w:t>
      </w:r>
      <w:r w:rsidR="005F4AB4">
        <w:rPr>
          <w:rFonts w:ascii="Times New Roman" w:eastAsiaTheme="minorEastAsia" w:hAnsi="Times New Roman"/>
          <w:sz w:val="24"/>
          <w:szCs w:val="24"/>
        </w:rPr>
        <w:t xml:space="preserve">capital standards. For example, updating </w:t>
      </w:r>
      <w:r w:rsidR="00B5224D">
        <w:rPr>
          <w:rFonts w:ascii="Times New Roman" w:eastAsiaTheme="minorEastAsia" w:hAnsi="Times New Roman"/>
          <w:sz w:val="24"/>
          <w:szCs w:val="24"/>
        </w:rPr>
        <w:t xml:space="preserve">asset classes to </w:t>
      </w:r>
      <w:r w:rsidR="005F4AB4">
        <w:rPr>
          <w:rFonts w:ascii="Times New Roman" w:eastAsiaTheme="minorEastAsia" w:hAnsi="Times New Roman"/>
          <w:sz w:val="24"/>
          <w:szCs w:val="24"/>
        </w:rPr>
        <w:t>align with the new capital standards</w:t>
      </w:r>
      <w:r w:rsidR="00D03001">
        <w:rPr>
          <w:rFonts w:ascii="Times New Roman" w:eastAsiaTheme="minorEastAsia" w:hAnsi="Times New Roman"/>
          <w:sz w:val="24"/>
          <w:szCs w:val="24"/>
        </w:rPr>
        <w:t>; and</w:t>
      </w:r>
      <w:r w:rsidR="005F4AB4">
        <w:rPr>
          <w:rFonts w:ascii="Times New Roman" w:eastAsiaTheme="minorEastAsia" w:hAnsi="Times New Roman"/>
          <w:sz w:val="24"/>
          <w:szCs w:val="24"/>
        </w:rPr>
        <w:t xml:space="preserve"> </w:t>
      </w:r>
    </w:p>
    <w:p w14:paraId="54FD133A" w14:textId="66E2C334" w:rsidR="00B5224D" w:rsidRDefault="002920B2" w:rsidP="005F4AB4">
      <w:pPr>
        <w:pStyle w:val="ListParagraph"/>
        <w:numPr>
          <w:ilvl w:val="0"/>
          <w:numId w:val="24"/>
        </w:numPr>
        <w:spacing w:before="240" w:after="240"/>
        <w:jc w:val="both"/>
        <w:rPr>
          <w:rFonts w:ascii="Times New Roman" w:eastAsiaTheme="minorEastAsia" w:hAnsi="Times New Roman"/>
          <w:sz w:val="24"/>
          <w:szCs w:val="24"/>
        </w:rPr>
      </w:pPr>
      <w:r>
        <w:rPr>
          <w:rFonts w:ascii="Times New Roman" w:eastAsiaTheme="minorEastAsia" w:hAnsi="Times New Roman"/>
          <w:sz w:val="24"/>
          <w:szCs w:val="24"/>
        </w:rPr>
        <w:t xml:space="preserve">updating </w:t>
      </w:r>
      <w:r w:rsidR="00B5224D">
        <w:rPr>
          <w:rFonts w:ascii="Times New Roman" w:eastAsiaTheme="minorEastAsia" w:hAnsi="Times New Roman"/>
          <w:sz w:val="24"/>
          <w:szCs w:val="24"/>
        </w:rPr>
        <w:t>cross referenc</w:t>
      </w:r>
      <w:r>
        <w:rPr>
          <w:rFonts w:ascii="Times New Roman" w:eastAsiaTheme="minorEastAsia" w:hAnsi="Times New Roman"/>
          <w:sz w:val="24"/>
          <w:szCs w:val="24"/>
        </w:rPr>
        <w:t>es</w:t>
      </w:r>
      <w:r w:rsidR="00B5224D">
        <w:rPr>
          <w:rFonts w:ascii="Times New Roman" w:eastAsiaTheme="minorEastAsia" w:hAnsi="Times New Roman"/>
          <w:sz w:val="24"/>
          <w:szCs w:val="24"/>
        </w:rPr>
        <w:t xml:space="preserve"> to the </w:t>
      </w:r>
      <w:r>
        <w:rPr>
          <w:rFonts w:ascii="Times New Roman" w:eastAsiaTheme="minorEastAsia" w:hAnsi="Times New Roman"/>
          <w:sz w:val="24"/>
          <w:szCs w:val="24"/>
        </w:rPr>
        <w:t xml:space="preserve">new </w:t>
      </w:r>
      <w:r w:rsidR="00B5224D">
        <w:rPr>
          <w:rFonts w:ascii="Times New Roman" w:eastAsiaTheme="minorEastAsia" w:hAnsi="Times New Roman"/>
          <w:sz w:val="24"/>
          <w:szCs w:val="24"/>
        </w:rPr>
        <w:t>capital standards.</w:t>
      </w:r>
    </w:p>
    <w:p w14:paraId="068C29AA" w14:textId="57A1C30F" w:rsidR="00B5224D" w:rsidRPr="00A705F7" w:rsidRDefault="00B5224D" w:rsidP="001D4136">
      <w:pPr>
        <w:spacing w:before="240" w:after="240"/>
        <w:jc w:val="both"/>
        <w:rPr>
          <w:rFonts w:ascii="Times New Roman" w:eastAsiaTheme="minorEastAsia" w:hAnsi="Times New Roman"/>
          <w:sz w:val="24"/>
          <w:szCs w:val="24"/>
        </w:rPr>
      </w:pPr>
      <w:r>
        <w:rPr>
          <w:rFonts w:ascii="Times New Roman" w:eastAsiaTheme="minorEastAsia" w:hAnsi="Times New Roman"/>
          <w:sz w:val="24"/>
          <w:szCs w:val="24"/>
        </w:rPr>
        <w:t xml:space="preserve">In addition, the consequential changes to APS 330 reflect APRA’s recent incorporation of greater proportionality within the prudential framework by reducing regulatory requirements for smaller and less complex entities. APS 330 will apply to ADIs determined to be significant financial institutions (SFIs). As defined in </w:t>
      </w:r>
      <w:r>
        <w:rPr>
          <w:rFonts w:ascii="Times New Roman" w:eastAsiaTheme="minorEastAsia" w:hAnsi="Times New Roman"/>
          <w:i/>
          <w:sz w:val="24"/>
          <w:szCs w:val="24"/>
        </w:rPr>
        <w:t>Prudential Standard APS 001 Definitions</w:t>
      </w:r>
      <w:r>
        <w:rPr>
          <w:rFonts w:ascii="Times New Roman" w:eastAsiaTheme="minorEastAsia" w:hAnsi="Times New Roman"/>
          <w:sz w:val="24"/>
          <w:szCs w:val="24"/>
        </w:rPr>
        <w:t xml:space="preserve">, ADI SFIs are entities with assets above a certain size or entities determined as such by APRA, </w:t>
      </w:r>
      <w:proofErr w:type="gramStart"/>
      <w:r>
        <w:rPr>
          <w:rFonts w:ascii="Times New Roman" w:eastAsiaTheme="minorEastAsia" w:hAnsi="Times New Roman"/>
          <w:sz w:val="24"/>
          <w:szCs w:val="24"/>
        </w:rPr>
        <w:t>taking into account</w:t>
      </w:r>
      <w:proofErr w:type="gramEnd"/>
      <w:r>
        <w:rPr>
          <w:rFonts w:ascii="Times New Roman" w:eastAsiaTheme="minorEastAsia" w:hAnsi="Times New Roman"/>
          <w:sz w:val="24"/>
          <w:szCs w:val="24"/>
        </w:rPr>
        <w:t xml:space="preserve"> matters such as complexity and group membership.</w:t>
      </w:r>
    </w:p>
    <w:p w14:paraId="55E52BD7" w14:textId="1AD92E5B" w:rsidR="00596539" w:rsidRPr="003615B4" w:rsidRDefault="00596539" w:rsidP="0086608F">
      <w:pPr>
        <w:pStyle w:val="Heading"/>
        <w:keepNext/>
        <w:numPr>
          <w:ilvl w:val="0"/>
          <w:numId w:val="2"/>
        </w:numPr>
        <w:spacing w:after="240"/>
        <w:ind w:left="0" w:firstLine="0"/>
        <w:outlineLvl w:val="0"/>
        <w:rPr>
          <w:rFonts w:ascii="Times New Roman" w:hAnsi="Times New Roman"/>
          <w:b w:val="0"/>
          <w:sz w:val="24"/>
          <w:szCs w:val="24"/>
        </w:rPr>
      </w:pPr>
      <w:r w:rsidRPr="003615B4">
        <w:rPr>
          <w:rFonts w:ascii="Times New Roman" w:hAnsi="Times New Roman"/>
          <w:sz w:val="24"/>
          <w:szCs w:val="24"/>
        </w:rPr>
        <w:t>Purpose and operation of the instrument</w:t>
      </w:r>
    </w:p>
    <w:p w14:paraId="4319976B" w14:textId="3BFBF93B" w:rsidR="00583AEE" w:rsidRDefault="00596539" w:rsidP="0086608F">
      <w:pPr>
        <w:pStyle w:val="Heading"/>
        <w:spacing w:after="240"/>
        <w:rPr>
          <w:rFonts w:ascii="Times New Roman" w:hAnsi="Times New Roman"/>
          <w:b w:val="0"/>
          <w:sz w:val="24"/>
          <w:szCs w:val="24"/>
        </w:rPr>
      </w:pPr>
      <w:r w:rsidRPr="003615B4">
        <w:rPr>
          <w:rFonts w:ascii="Times New Roman" w:hAnsi="Times New Roman"/>
          <w:b w:val="0"/>
          <w:sz w:val="24"/>
          <w:szCs w:val="24"/>
        </w:rPr>
        <w:t xml:space="preserve">The purpose of the instrument is to revoke APS </w:t>
      </w:r>
      <w:r w:rsidR="00011E66" w:rsidRPr="003615B4">
        <w:rPr>
          <w:rFonts w:ascii="Times New Roman" w:hAnsi="Times New Roman"/>
          <w:b w:val="0"/>
          <w:sz w:val="24"/>
          <w:szCs w:val="24"/>
        </w:rPr>
        <w:t>330</w:t>
      </w:r>
      <w:r w:rsidRPr="003615B4">
        <w:rPr>
          <w:rFonts w:ascii="Times New Roman" w:hAnsi="Times New Roman"/>
          <w:b w:val="0"/>
          <w:sz w:val="24"/>
          <w:szCs w:val="24"/>
        </w:rPr>
        <w:t xml:space="preserve"> and to replace it with a new version of APS </w:t>
      </w:r>
      <w:r w:rsidR="00011E66" w:rsidRPr="003615B4">
        <w:rPr>
          <w:rFonts w:ascii="Times New Roman" w:hAnsi="Times New Roman"/>
          <w:b w:val="0"/>
          <w:sz w:val="24"/>
          <w:szCs w:val="24"/>
        </w:rPr>
        <w:t>330</w:t>
      </w:r>
      <w:r w:rsidR="00B5224D">
        <w:rPr>
          <w:rFonts w:ascii="Times New Roman" w:hAnsi="Times New Roman"/>
          <w:b w:val="0"/>
          <w:sz w:val="24"/>
          <w:szCs w:val="24"/>
        </w:rPr>
        <w:t xml:space="preserve"> that incorporates consequential amendments </w:t>
      </w:r>
      <w:r w:rsidR="008C32B0">
        <w:rPr>
          <w:rFonts w:ascii="Times New Roman" w:hAnsi="Times New Roman"/>
          <w:b w:val="0"/>
          <w:sz w:val="24"/>
          <w:szCs w:val="24"/>
        </w:rPr>
        <w:t xml:space="preserve">and aligns </w:t>
      </w:r>
      <w:r w:rsidR="00B5224D">
        <w:rPr>
          <w:rFonts w:ascii="Times New Roman" w:hAnsi="Times New Roman"/>
          <w:b w:val="0"/>
          <w:sz w:val="24"/>
          <w:szCs w:val="24"/>
        </w:rPr>
        <w:t xml:space="preserve">to the </w:t>
      </w:r>
      <w:r w:rsidR="002920B2">
        <w:rPr>
          <w:rFonts w:ascii="Times New Roman" w:hAnsi="Times New Roman"/>
          <w:b w:val="0"/>
          <w:sz w:val="24"/>
          <w:szCs w:val="24"/>
        </w:rPr>
        <w:t xml:space="preserve">new </w:t>
      </w:r>
      <w:r w:rsidR="00B5224D">
        <w:rPr>
          <w:rFonts w:ascii="Times New Roman" w:hAnsi="Times New Roman"/>
          <w:b w:val="0"/>
          <w:sz w:val="24"/>
          <w:szCs w:val="24"/>
        </w:rPr>
        <w:t>capital standards</w:t>
      </w:r>
      <w:r w:rsidRPr="003615B4">
        <w:rPr>
          <w:rFonts w:ascii="Times New Roman" w:hAnsi="Times New Roman"/>
          <w:b w:val="0"/>
          <w:sz w:val="24"/>
          <w:szCs w:val="24"/>
        </w:rPr>
        <w:t>.</w:t>
      </w:r>
    </w:p>
    <w:p w14:paraId="629FC382" w14:textId="358BD25C" w:rsidR="005A3D81" w:rsidRDefault="008C32B0" w:rsidP="00A705F7">
      <w:pPr>
        <w:pStyle w:val="Heading"/>
        <w:spacing w:after="240"/>
        <w:rPr>
          <w:rFonts w:ascii="Times New Roman" w:hAnsi="Times New Roman"/>
          <w:sz w:val="24"/>
          <w:szCs w:val="24"/>
        </w:rPr>
      </w:pPr>
      <w:r>
        <w:rPr>
          <w:rFonts w:ascii="Times New Roman" w:eastAsiaTheme="minorEastAsia" w:hAnsi="Times New Roman"/>
          <w:b w:val="0"/>
          <w:sz w:val="24"/>
          <w:szCs w:val="24"/>
        </w:rPr>
        <w:t xml:space="preserve">Where APS 330 refers to an Act, Regulation, prudential </w:t>
      </w:r>
      <w:proofErr w:type="gramStart"/>
      <w:r>
        <w:rPr>
          <w:rFonts w:ascii="Times New Roman" w:eastAsiaTheme="minorEastAsia" w:hAnsi="Times New Roman"/>
          <w:b w:val="0"/>
          <w:sz w:val="24"/>
          <w:szCs w:val="24"/>
        </w:rPr>
        <w:t>standard</w:t>
      </w:r>
      <w:proofErr w:type="gramEnd"/>
      <w:r>
        <w:rPr>
          <w:rFonts w:ascii="Times New Roman" w:eastAsiaTheme="minorEastAsia" w:hAnsi="Times New Roman"/>
          <w:b w:val="0"/>
          <w:sz w:val="24"/>
          <w:szCs w:val="24"/>
        </w:rPr>
        <w:t xml:space="preserve"> or Australian Accounting Standard, this is a reference to the </w:t>
      </w:r>
      <w:r w:rsidR="00AA4795">
        <w:rPr>
          <w:rFonts w:ascii="Times New Roman" w:eastAsiaTheme="minorEastAsia" w:hAnsi="Times New Roman"/>
          <w:b w:val="0"/>
          <w:sz w:val="24"/>
          <w:szCs w:val="24"/>
        </w:rPr>
        <w:t xml:space="preserve">instrument </w:t>
      </w:r>
      <w:r>
        <w:rPr>
          <w:rFonts w:ascii="Times New Roman" w:eastAsiaTheme="minorEastAsia" w:hAnsi="Times New Roman"/>
          <w:b w:val="0"/>
          <w:sz w:val="24"/>
          <w:szCs w:val="24"/>
        </w:rPr>
        <w:t xml:space="preserve">as </w:t>
      </w:r>
      <w:r w:rsidR="00AA4795">
        <w:rPr>
          <w:rFonts w:ascii="Times New Roman" w:eastAsiaTheme="minorEastAsia" w:hAnsi="Times New Roman"/>
          <w:b w:val="0"/>
          <w:sz w:val="24"/>
          <w:szCs w:val="24"/>
        </w:rPr>
        <w:t xml:space="preserve">in force </w:t>
      </w:r>
      <w:r>
        <w:rPr>
          <w:rFonts w:ascii="Times New Roman" w:eastAsiaTheme="minorEastAsia" w:hAnsi="Times New Roman"/>
          <w:b w:val="0"/>
          <w:sz w:val="24"/>
          <w:szCs w:val="24"/>
        </w:rPr>
        <w:t xml:space="preserve">from time to time, and which is available on the Federal Register of Legislation at </w:t>
      </w:r>
      <w:hyperlink r:id="rId13" w:history="1">
        <w:r w:rsidRPr="009E604B">
          <w:rPr>
            <w:rStyle w:val="Hyperlink"/>
            <w:rFonts w:ascii="Times New Roman" w:eastAsiaTheme="minorEastAsia" w:hAnsi="Times New Roman"/>
            <w:b w:val="0"/>
            <w:sz w:val="24"/>
            <w:szCs w:val="24"/>
          </w:rPr>
          <w:t>www.legislation.gov.au</w:t>
        </w:r>
      </w:hyperlink>
      <w:r>
        <w:rPr>
          <w:rFonts w:ascii="Times New Roman" w:eastAsiaTheme="minorEastAsia" w:hAnsi="Times New Roman"/>
          <w:b w:val="0"/>
          <w:sz w:val="24"/>
          <w:szCs w:val="24"/>
        </w:rPr>
        <w:t xml:space="preserve">. </w:t>
      </w:r>
    </w:p>
    <w:p w14:paraId="6F222540" w14:textId="77777777" w:rsidR="0016395A" w:rsidRDefault="005A3D81" w:rsidP="0086608F">
      <w:pPr>
        <w:pStyle w:val="Heading"/>
        <w:rPr>
          <w:rFonts w:ascii="Times New Roman" w:hAnsi="Times New Roman"/>
          <w:b w:val="0"/>
          <w:sz w:val="24"/>
          <w:szCs w:val="24"/>
        </w:rPr>
      </w:pPr>
      <w:r>
        <w:rPr>
          <w:rFonts w:ascii="Times New Roman" w:hAnsi="Times New Roman"/>
          <w:b w:val="0"/>
          <w:sz w:val="24"/>
          <w:szCs w:val="24"/>
        </w:rPr>
        <w:t xml:space="preserve">APS 330 also incorporates by reference the </w:t>
      </w:r>
      <w:r w:rsidR="0016395A">
        <w:rPr>
          <w:rFonts w:ascii="Times New Roman" w:hAnsi="Times New Roman"/>
          <w:b w:val="0"/>
          <w:sz w:val="24"/>
          <w:szCs w:val="24"/>
        </w:rPr>
        <w:t xml:space="preserve">following </w:t>
      </w:r>
      <w:r>
        <w:rPr>
          <w:rFonts w:ascii="Times New Roman" w:hAnsi="Times New Roman"/>
          <w:b w:val="0"/>
          <w:sz w:val="24"/>
          <w:szCs w:val="24"/>
        </w:rPr>
        <w:t>documents</w:t>
      </w:r>
      <w:r w:rsidR="0016395A">
        <w:rPr>
          <w:rFonts w:ascii="Times New Roman" w:hAnsi="Times New Roman"/>
          <w:b w:val="0"/>
          <w:sz w:val="24"/>
          <w:szCs w:val="24"/>
        </w:rPr>
        <w:t>:</w:t>
      </w:r>
    </w:p>
    <w:p w14:paraId="64002840" w14:textId="0946E90F" w:rsidR="0016395A" w:rsidRDefault="0016395A" w:rsidP="0086608F">
      <w:pPr>
        <w:pStyle w:val="Heading"/>
        <w:rPr>
          <w:rFonts w:ascii="Times New Roman" w:hAnsi="Times New Roman"/>
          <w:b w:val="0"/>
          <w:sz w:val="24"/>
          <w:szCs w:val="24"/>
        </w:rPr>
      </w:pPr>
    </w:p>
    <w:p w14:paraId="62508F81" w14:textId="1825D442" w:rsidR="0016395A" w:rsidRPr="00A705F7" w:rsidRDefault="009D151A" w:rsidP="0016395A">
      <w:pPr>
        <w:pStyle w:val="Heading"/>
        <w:numPr>
          <w:ilvl w:val="0"/>
          <w:numId w:val="28"/>
        </w:numPr>
        <w:rPr>
          <w:rFonts w:ascii="Times New Roman" w:hAnsi="Times New Roman"/>
          <w:sz w:val="24"/>
          <w:szCs w:val="24"/>
        </w:rPr>
      </w:pPr>
      <w:r w:rsidRPr="0086608F">
        <w:rPr>
          <w:rFonts w:ascii="Times New Roman" w:hAnsi="Times New Roman"/>
          <w:b w:val="0"/>
          <w:i/>
          <w:sz w:val="24"/>
          <w:szCs w:val="24"/>
        </w:rPr>
        <w:lastRenderedPageBreak/>
        <w:t xml:space="preserve">International Convergence of Capital measurement and Capital Standards: A revised Framework, </w:t>
      </w:r>
      <w:r w:rsidRPr="0086608F">
        <w:rPr>
          <w:rFonts w:ascii="Times New Roman" w:hAnsi="Times New Roman"/>
          <w:b w:val="0"/>
          <w:sz w:val="24"/>
          <w:szCs w:val="24"/>
        </w:rPr>
        <w:t>Comprehensive Version</w:t>
      </w:r>
      <w:r w:rsidR="00655BD4">
        <w:rPr>
          <w:rFonts w:ascii="Times New Roman" w:hAnsi="Times New Roman"/>
          <w:b w:val="0"/>
          <w:sz w:val="24"/>
          <w:szCs w:val="24"/>
        </w:rPr>
        <w:t>,</w:t>
      </w:r>
      <w:r w:rsidR="00197764" w:rsidRPr="0086608F">
        <w:rPr>
          <w:rFonts w:ascii="Times New Roman" w:hAnsi="Times New Roman"/>
          <w:b w:val="0"/>
          <w:sz w:val="24"/>
          <w:szCs w:val="24"/>
        </w:rPr>
        <w:t xml:space="preserve"> as it exists </w:t>
      </w:r>
      <w:proofErr w:type="gramStart"/>
      <w:r w:rsidR="00197764" w:rsidRPr="0086608F">
        <w:rPr>
          <w:rFonts w:ascii="Times New Roman" w:hAnsi="Times New Roman"/>
          <w:b w:val="0"/>
          <w:sz w:val="24"/>
          <w:szCs w:val="24"/>
        </w:rPr>
        <w:t>at</w:t>
      </w:r>
      <w:proofErr w:type="gramEnd"/>
      <w:r w:rsidR="00197764" w:rsidRPr="0086608F">
        <w:rPr>
          <w:rFonts w:ascii="Times New Roman" w:hAnsi="Times New Roman"/>
          <w:b w:val="0"/>
          <w:sz w:val="24"/>
          <w:szCs w:val="24"/>
        </w:rPr>
        <w:t xml:space="preserve"> June 2006</w:t>
      </w:r>
      <w:r w:rsidRPr="0086608F">
        <w:rPr>
          <w:rFonts w:ascii="Times New Roman" w:hAnsi="Times New Roman"/>
          <w:b w:val="0"/>
          <w:sz w:val="24"/>
          <w:szCs w:val="24"/>
        </w:rPr>
        <w:t xml:space="preserve">, </w:t>
      </w:r>
      <w:r w:rsidR="00D5145C">
        <w:rPr>
          <w:rFonts w:ascii="Times New Roman" w:hAnsi="Times New Roman"/>
          <w:b w:val="0"/>
          <w:sz w:val="24"/>
          <w:szCs w:val="24"/>
        </w:rPr>
        <w:t xml:space="preserve">published by the Basel Committee and </w:t>
      </w:r>
      <w:r w:rsidR="00197764" w:rsidRPr="005A3D81">
        <w:rPr>
          <w:rFonts w:ascii="Times New Roman" w:hAnsi="Times New Roman"/>
          <w:b w:val="0"/>
          <w:sz w:val="24"/>
          <w:szCs w:val="24"/>
        </w:rPr>
        <w:t xml:space="preserve">available at </w:t>
      </w:r>
      <w:hyperlink r:id="rId14" w:history="1">
        <w:r w:rsidR="001C3E14" w:rsidRPr="005A3D81">
          <w:rPr>
            <w:rStyle w:val="Hyperlink"/>
            <w:rFonts w:ascii="Times New Roman" w:hAnsi="Times New Roman"/>
            <w:b w:val="0"/>
            <w:sz w:val="24"/>
            <w:szCs w:val="24"/>
          </w:rPr>
          <w:t>https://www.bis.org/publ/bcbs128.htm</w:t>
        </w:r>
      </w:hyperlink>
      <w:r w:rsidR="0016395A">
        <w:rPr>
          <w:rFonts w:ascii="Times New Roman" w:hAnsi="Times New Roman"/>
          <w:b w:val="0"/>
          <w:sz w:val="24"/>
          <w:szCs w:val="24"/>
        </w:rPr>
        <w:t>;</w:t>
      </w:r>
    </w:p>
    <w:p w14:paraId="1DD52AA3" w14:textId="77777777" w:rsidR="0016395A" w:rsidRPr="00A705F7" w:rsidRDefault="0016395A" w:rsidP="00A705F7">
      <w:pPr>
        <w:pStyle w:val="Heading"/>
        <w:ind w:left="360"/>
        <w:rPr>
          <w:rFonts w:ascii="Times New Roman" w:hAnsi="Times New Roman"/>
          <w:sz w:val="24"/>
          <w:szCs w:val="24"/>
        </w:rPr>
      </w:pPr>
    </w:p>
    <w:p w14:paraId="42F0C637" w14:textId="2996BF65" w:rsidR="0016395A" w:rsidRPr="00A705F7" w:rsidRDefault="009D151A" w:rsidP="0016395A">
      <w:pPr>
        <w:pStyle w:val="Heading"/>
        <w:numPr>
          <w:ilvl w:val="0"/>
          <w:numId w:val="28"/>
        </w:numPr>
        <w:rPr>
          <w:rFonts w:ascii="Times New Roman" w:hAnsi="Times New Roman"/>
          <w:sz w:val="24"/>
          <w:szCs w:val="24"/>
        </w:rPr>
      </w:pPr>
      <w:r w:rsidRPr="0086608F">
        <w:rPr>
          <w:rFonts w:ascii="Times New Roman" w:hAnsi="Times New Roman"/>
          <w:b w:val="0"/>
          <w:i/>
          <w:sz w:val="24"/>
          <w:szCs w:val="24"/>
        </w:rPr>
        <w:t>Basel III: A global regulatory framework for more resili</w:t>
      </w:r>
      <w:r w:rsidR="009F4323" w:rsidRPr="005A3D81">
        <w:rPr>
          <w:rFonts w:ascii="Times New Roman" w:hAnsi="Times New Roman"/>
          <w:b w:val="0"/>
          <w:i/>
          <w:sz w:val="24"/>
          <w:szCs w:val="24"/>
        </w:rPr>
        <w:t>ent banks an</w:t>
      </w:r>
      <w:r w:rsidRPr="005A3D81">
        <w:rPr>
          <w:rFonts w:ascii="Times New Roman" w:hAnsi="Times New Roman"/>
          <w:b w:val="0"/>
          <w:i/>
          <w:sz w:val="24"/>
          <w:szCs w:val="24"/>
        </w:rPr>
        <w:t>d banking systems</w:t>
      </w:r>
      <w:r w:rsidR="00197764" w:rsidRPr="005A3D81">
        <w:rPr>
          <w:rFonts w:ascii="Times New Roman" w:hAnsi="Times New Roman"/>
          <w:b w:val="0"/>
          <w:sz w:val="24"/>
          <w:szCs w:val="24"/>
        </w:rPr>
        <w:t xml:space="preserve">, revised version, as it exists </w:t>
      </w:r>
      <w:proofErr w:type="gramStart"/>
      <w:r w:rsidR="00197764" w:rsidRPr="005A3D81">
        <w:rPr>
          <w:rFonts w:ascii="Times New Roman" w:hAnsi="Times New Roman"/>
          <w:b w:val="0"/>
          <w:sz w:val="24"/>
          <w:szCs w:val="24"/>
        </w:rPr>
        <w:t>at</w:t>
      </w:r>
      <w:proofErr w:type="gramEnd"/>
      <w:r w:rsidR="00197764" w:rsidRPr="005A3D81">
        <w:rPr>
          <w:rFonts w:ascii="Times New Roman" w:hAnsi="Times New Roman"/>
          <w:b w:val="0"/>
          <w:sz w:val="24"/>
          <w:szCs w:val="24"/>
        </w:rPr>
        <w:t xml:space="preserve"> June 2011</w:t>
      </w:r>
      <w:r w:rsidR="00197764" w:rsidRPr="0086608F">
        <w:rPr>
          <w:rFonts w:ascii="Times New Roman" w:hAnsi="Times New Roman"/>
          <w:b w:val="0"/>
          <w:sz w:val="24"/>
          <w:szCs w:val="24"/>
        </w:rPr>
        <w:t xml:space="preserve">, </w:t>
      </w:r>
      <w:r w:rsidR="00D5145C">
        <w:rPr>
          <w:rFonts w:ascii="Times New Roman" w:hAnsi="Times New Roman"/>
          <w:b w:val="0"/>
          <w:sz w:val="24"/>
          <w:szCs w:val="24"/>
        </w:rPr>
        <w:t xml:space="preserve">published by the Basel Committee and </w:t>
      </w:r>
      <w:r w:rsidR="00197764" w:rsidRPr="0086608F">
        <w:rPr>
          <w:rFonts w:ascii="Times New Roman" w:hAnsi="Times New Roman"/>
          <w:b w:val="0"/>
          <w:sz w:val="24"/>
          <w:szCs w:val="24"/>
        </w:rPr>
        <w:t xml:space="preserve">available at </w:t>
      </w:r>
      <w:hyperlink r:id="rId15" w:history="1">
        <w:r w:rsidR="001C3E14" w:rsidRPr="005A3D81">
          <w:rPr>
            <w:rStyle w:val="Hyperlink"/>
            <w:rFonts w:ascii="Times New Roman" w:hAnsi="Times New Roman"/>
            <w:b w:val="0"/>
            <w:sz w:val="24"/>
            <w:szCs w:val="24"/>
          </w:rPr>
          <w:t>https://www.bis.org/publ/bcbs189.htm</w:t>
        </w:r>
      </w:hyperlink>
      <w:r w:rsidR="0016395A">
        <w:rPr>
          <w:rFonts w:ascii="Times New Roman" w:hAnsi="Times New Roman"/>
          <w:b w:val="0"/>
          <w:sz w:val="24"/>
          <w:szCs w:val="24"/>
        </w:rPr>
        <w:t>;</w:t>
      </w:r>
    </w:p>
    <w:p w14:paraId="29F108F8" w14:textId="77777777" w:rsidR="0016395A" w:rsidRDefault="0016395A" w:rsidP="00A705F7">
      <w:pPr>
        <w:pStyle w:val="ListParagraph"/>
        <w:rPr>
          <w:rFonts w:ascii="Times New Roman" w:hAnsi="Times New Roman"/>
          <w:sz w:val="24"/>
          <w:szCs w:val="24"/>
        </w:rPr>
      </w:pPr>
    </w:p>
    <w:p w14:paraId="0A7F1959" w14:textId="354D7F53" w:rsidR="005A3D81" w:rsidRDefault="0016395A" w:rsidP="0016395A">
      <w:pPr>
        <w:pStyle w:val="Heading"/>
        <w:numPr>
          <w:ilvl w:val="0"/>
          <w:numId w:val="28"/>
        </w:numPr>
        <w:rPr>
          <w:rFonts w:ascii="Times New Roman" w:hAnsi="Times New Roman"/>
          <w:sz w:val="24"/>
          <w:szCs w:val="24"/>
        </w:rPr>
      </w:pPr>
      <w:r>
        <w:rPr>
          <w:rFonts w:ascii="Times New Roman" w:hAnsi="Times New Roman"/>
          <w:b w:val="0"/>
          <w:i/>
          <w:sz w:val="24"/>
          <w:szCs w:val="24"/>
        </w:rPr>
        <w:t>Supervisory guidance for assessing banks’ financial instrument fair value practice</w:t>
      </w:r>
      <w:r>
        <w:rPr>
          <w:rFonts w:ascii="Times New Roman" w:hAnsi="Times New Roman"/>
          <w:b w:val="0"/>
          <w:sz w:val="24"/>
          <w:szCs w:val="24"/>
        </w:rPr>
        <w:t xml:space="preserve">, as it exists </w:t>
      </w:r>
      <w:proofErr w:type="gramStart"/>
      <w:r>
        <w:rPr>
          <w:rFonts w:ascii="Times New Roman" w:hAnsi="Times New Roman"/>
          <w:b w:val="0"/>
          <w:sz w:val="24"/>
          <w:szCs w:val="24"/>
        </w:rPr>
        <w:t>at</w:t>
      </w:r>
      <w:proofErr w:type="gramEnd"/>
      <w:r>
        <w:rPr>
          <w:rFonts w:ascii="Times New Roman" w:hAnsi="Times New Roman"/>
          <w:b w:val="0"/>
          <w:sz w:val="24"/>
          <w:szCs w:val="24"/>
        </w:rPr>
        <w:t xml:space="preserve"> April 2009, </w:t>
      </w:r>
      <w:r w:rsidR="00C72DCB">
        <w:rPr>
          <w:rFonts w:ascii="Times New Roman" w:hAnsi="Times New Roman"/>
          <w:b w:val="0"/>
          <w:sz w:val="24"/>
          <w:szCs w:val="24"/>
        </w:rPr>
        <w:t xml:space="preserve">published by the Basel Committee and </w:t>
      </w:r>
      <w:r>
        <w:rPr>
          <w:rFonts w:ascii="Times New Roman" w:hAnsi="Times New Roman"/>
          <w:b w:val="0"/>
          <w:sz w:val="24"/>
          <w:szCs w:val="24"/>
        </w:rPr>
        <w:t>available at:</w:t>
      </w:r>
      <w:r w:rsidR="005A3D81" w:rsidRPr="005A3D81">
        <w:rPr>
          <w:rFonts w:ascii="Times New Roman" w:hAnsi="Times New Roman"/>
          <w:sz w:val="24"/>
          <w:szCs w:val="24"/>
        </w:rPr>
        <w:t xml:space="preserve"> </w:t>
      </w:r>
      <w:hyperlink r:id="rId16" w:history="1">
        <w:r w:rsidR="0019579D" w:rsidRPr="00A705F7">
          <w:rPr>
            <w:rStyle w:val="Hyperlink"/>
            <w:rFonts w:ascii="Times New Roman" w:hAnsi="Times New Roman"/>
            <w:b w:val="0"/>
            <w:sz w:val="24"/>
            <w:szCs w:val="24"/>
          </w:rPr>
          <w:t>https://www.bis.org/publ/bcbs153.htm</w:t>
        </w:r>
      </w:hyperlink>
      <w:r w:rsidR="0019579D" w:rsidRPr="00AA50D5">
        <w:rPr>
          <w:rFonts w:ascii="Times New Roman" w:hAnsi="Times New Roman"/>
          <w:b w:val="0"/>
          <w:sz w:val="24"/>
          <w:szCs w:val="24"/>
        </w:rPr>
        <w:t>;</w:t>
      </w:r>
      <w:r w:rsidR="0019579D">
        <w:rPr>
          <w:rFonts w:ascii="Times New Roman" w:hAnsi="Times New Roman"/>
          <w:sz w:val="24"/>
          <w:szCs w:val="24"/>
        </w:rPr>
        <w:t xml:space="preserve"> </w:t>
      </w:r>
    </w:p>
    <w:p w14:paraId="6F763CFA" w14:textId="77777777" w:rsidR="0019579D" w:rsidRDefault="0019579D" w:rsidP="00A705F7">
      <w:pPr>
        <w:pStyle w:val="ListParagraph"/>
        <w:rPr>
          <w:rFonts w:ascii="Times New Roman" w:hAnsi="Times New Roman"/>
          <w:sz w:val="24"/>
          <w:szCs w:val="24"/>
        </w:rPr>
      </w:pPr>
    </w:p>
    <w:p w14:paraId="40D2BBAA" w14:textId="5011DD86" w:rsidR="0019579D" w:rsidRPr="00AA50D5" w:rsidRDefault="00C875B3" w:rsidP="0016395A">
      <w:pPr>
        <w:pStyle w:val="Heading"/>
        <w:numPr>
          <w:ilvl w:val="0"/>
          <w:numId w:val="28"/>
        </w:numPr>
        <w:rPr>
          <w:rFonts w:ascii="Times New Roman" w:hAnsi="Times New Roman"/>
          <w:sz w:val="24"/>
          <w:szCs w:val="24"/>
        </w:rPr>
      </w:pPr>
      <w:r>
        <w:rPr>
          <w:rFonts w:ascii="Times New Roman" w:hAnsi="Times New Roman"/>
          <w:b w:val="0"/>
          <w:i/>
          <w:sz w:val="24"/>
          <w:szCs w:val="24"/>
        </w:rPr>
        <w:t xml:space="preserve">DIS75 Disclosure requirements: Macroprudential supervisory measures, </w:t>
      </w:r>
      <w:r>
        <w:rPr>
          <w:rFonts w:ascii="Times New Roman" w:hAnsi="Times New Roman"/>
          <w:b w:val="0"/>
          <w:sz w:val="24"/>
          <w:szCs w:val="24"/>
        </w:rPr>
        <w:t xml:space="preserve">as it exists on 15 December 2019, </w:t>
      </w:r>
      <w:r w:rsidR="00F359B8">
        <w:rPr>
          <w:rFonts w:ascii="Times New Roman" w:hAnsi="Times New Roman"/>
          <w:b w:val="0"/>
          <w:sz w:val="24"/>
          <w:szCs w:val="24"/>
        </w:rPr>
        <w:t xml:space="preserve">published by the Basel Committee and </w:t>
      </w:r>
      <w:r>
        <w:rPr>
          <w:rFonts w:ascii="Times New Roman" w:hAnsi="Times New Roman"/>
          <w:b w:val="0"/>
          <w:sz w:val="24"/>
          <w:szCs w:val="24"/>
        </w:rPr>
        <w:t xml:space="preserve">available at: </w:t>
      </w:r>
      <w:hyperlink r:id="rId17" w:history="1">
        <w:r w:rsidRPr="009E604B">
          <w:rPr>
            <w:rStyle w:val="Hyperlink"/>
            <w:rFonts w:ascii="Times New Roman" w:hAnsi="Times New Roman"/>
            <w:b w:val="0"/>
            <w:sz w:val="24"/>
            <w:szCs w:val="24"/>
          </w:rPr>
          <w:t>https://www.bis.org/basel_framework/chapter/DIS/75.htm</w:t>
        </w:r>
      </w:hyperlink>
      <w:r>
        <w:rPr>
          <w:rFonts w:ascii="Times New Roman" w:hAnsi="Times New Roman"/>
          <w:b w:val="0"/>
          <w:sz w:val="24"/>
          <w:szCs w:val="24"/>
        </w:rPr>
        <w:t xml:space="preserve">; </w:t>
      </w:r>
    </w:p>
    <w:p w14:paraId="78C6E140" w14:textId="77777777" w:rsidR="00AA50D5" w:rsidRDefault="00AA50D5" w:rsidP="00AA50D5">
      <w:pPr>
        <w:pStyle w:val="ListParagraph"/>
        <w:rPr>
          <w:rFonts w:ascii="Times New Roman" w:hAnsi="Times New Roman"/>
          <w:sz w:val="24"/>
          <w:szCs w:val="24"/>
        </w:rPr>
      </w:pPr>
    </w:p>
    <w:p w14:paraId="61ADDD8E" w14:textId="71D5958E" w:rsidR="00AA50D5" w:rsidRPr="00AA50D5" w:rsidRDefault="00AA50D5" w:rsidP="0016395A">
      <w:pPr>
        <w:pStyle w:val="Heading"/>
        <w:numPr>
          <w:ilvl w:val="0"/>
          <w:numId w:val="28"/>
        </w:numPr>
        <w:rPr>
          <w:rFonts w:ascii="Times New Roman" w:hAnsi="Times New Roman"/>
          <w:b w:val="0"/>
          <w:sz w:val="24"/>
          <w:szCs w:val="24"/>
        </w:rPr>
      </w:pPr>
      <w:r w:rsidRPr="00AA50D5">
        <w:rPr>
          <w:rFonts w:ascii="Times New Roman" w:hAnsi="Times New Roman"/>
          <w:b w:val="0"/>
          <w:i/>
          <w:sz w:val="24"/>
          <w:szCs w:val="24"/>
        </w:rPr>
        <w:t>Instructions for the end-2019 G-SIB assessment exercise</w:t>
      </w:r>
      <w:r w:rsidRPr="00AA50D5">
        <w:rPr>
          <w:rFonts w:ascii="Times New Roman" w:hAnsi="Times New Roman"/>
          <w:b w:val="0"/>
          <w:sz w:val="24"/>
          <w:szCs w:val="24"/>
        </w:rPr>
        <w:t xml:space="preserve">, as it exists on 15 January 2020, published by the Basel Committee and available at: </w:t>
      </w:r>
      <w:hyperlink r:id="rId18" w:history="1">
        <w:r w:rsidR="00FC1D3E" w:rsidRPr="00CC29A9">
          <w:rPr>
            <w:rStyle w:val="Hyperlink"/>
            <w:rFonts w:ascii="Times New Roman" w:hAnsi="Times New Roman"/>
            <w:b w:val="0"/>
            <w:sz w:val="24"/>
            <w:szCs w:val="24"/>
          </w:rPr>
          <w:t>https://www.bis.org/bcbs/gsib/instr_end19_gsib.pdf</w:t>
        </w:r>
      </w:hyperlink>
      <w:r w:rsidRPr="00AA50D5">
        <w:rPr>
          <w:rFonts w:ascii="Times New Roman" w:hAnsi="Times New Roman"/>
          <w:b w:val="0"/>
          <w:sz w:val="24"/>
          <w:szCs w:val="24"/>
        </w:rPr>
        <w:t>;</w:t>
      </w:r>
    </w:p>
    <w:p w14:paraId="6B2B7F8F" w14:textId="77777777" w:rsidR="0016395A" w:rsidRDefault="0016395A" w:rsidP="00A705F7">
      <w:pPr>
        <w:pStyle w:val="ListParagraph"/>
        <w:rPr>
          <w:rFonts w:ascii="Times New Roman" w:hAnsi="Times New Roman"/>
          <w:sz w:val="24"/>
          <w:szCs w:val="24"/>
        </w:rPr>
      </w:pPr>
    </w:p>
    <w:p w14:paraId="1DE36A2E" w14:textId="65826B53" w:rsidR="00CC3188" w:rsidRPr="00AA50D5" w:rsidRDefault="0016395A" w:rsidP="00A705F7">
      <w:pPr>
        <w:pStyle w:val="Heading"/>
        <w:numPr>
          <w:ilvl w:val="0"/>
          <w:numId w:val="28"/>
        </w:numPr>
        <w:rPr>
          <w:rStyle w:val="Hyperlink"/>
          <w:rFonts w:ascii="Times New Roman" w:hAnsi="Times New Roman"/>
          <w:color w:val="auto"/>
          <w:sz w:val="24"/>
          <w:szCs w:val="24"/>
          <w:u w:val="none"/>
        </w:rPr>
      </w:pPr>
      <w:r w:rsidRPr="005A3D81">
        <w:rPr>
          <w:rFonts w:ascii="Times New Roman" w:hAnsi="Times New Roman"/>
          <w:b w:val="0"/>
          <w:i/>
          <w:sz w:val="24"/>
          <w:szCs w:val="24"/>
        </w:rPr>
        <w:t xml:space="preserve">Liquidity Policy – Annex: Liquid Assets – Prudential Supervision Department Document BS13A, </w:t>
      </w:r>
      <w:r w:rsidRPr="005A3D81">
        <w:rPr>
          <w:rFonts w:ascii="Times New Roman" w:hAnsi="Times New Roman"/>
          <w:b w:val="0"/>
          <w:sz w:val="24"/>
          <w:szCs w:val="24"/>
        </w:rPr>
        <w:t xml:space="preserve">as </w:t>
      </w:r>
      <w:r w:rsidR="00626FB0">
        <w:rPr>
          <w:rFonts w:ascii="Times New Roman" w:hAnsi="Times New Roman"/>
          <w:b w:val="0"/>
          <w:sz w:val="24"/>
          <w:szCs w:val="24"/>
        </w:rPr>
        <w:t xml:space="preserve">it exists </w:t>
      </w:r>
      <w:r w:rsidRPr="005A3D81">
        <w:rPr>
          <w:rFonts w:ascii="Times New Roman" w:hAnsi="Times New Roman"/>
          <w:b w:val="0"/>
          <w:sz w:val="24"/>
          <w:szCs w:val="24"/>
        </w:rPr>
        <w:t xml:space="preserve">from time to time, </w:t>
      </w:r>
      <w:r w:rsidR="00F359B8" w:rsidRPr="005A3D81">
        <w:rPr>
          <w:rFonts w:ascii="Times New Roman" w:hAnsi="Times New Roman"/>
          <w:b w:val="0"/>
          <w:sz w:val="24"/>
          <w:szCs w:val="24"/>
        </w:rPr>
        <w:t>published by the Reserve Bank of New Zealand (RBNZ)</w:t>
      </w:r>
      <w:r w:rsidR="00F359B8">
        <w:rPr>
          <w:rFonts w:ascii="Times New Roman" w:hAnsi="Times New Roman"/>
          <w:b w:val="0"/>
          <w:sz w:val="24"/>
          <w:szCs w:val="24"/>
        </w:rPr>
        <w:t xml:space="preserve"> and</w:t>
      </w:r>
      <w:r w:rsidR="00F359B8" w:rsidRPr="005A3D81">
        <w:rPr>
          <w:rFonts w:ascii="Times New Roman" w:hAnsi="Times New Roman"/>
          <w:b w:val="0"/>
          <w:i/>
          <w:sz w:val="24"/>
          <w:szCs w:val="24"/>
        </w:rPr>
        <w:t xml:space="preserve"> </w:t>
      </w:r>
      <w:r w:rsidRPr="005A3D81">
        <w:rPr>
          <w:rFonts w:ascii="Times New Roman" w:hAnsi="Times New Roman"/>
          <w:b w:val="0"/>
          <w:sz w:val="24"/>
          <w:szCs w:val="24"/>
        </w:rPr>
        <w:t>available at</w:t>
      </w:r>
      <w:r w:rsidRPr="005A3D81">
        <w:rPr>
          <w:rFonts w:ascii="Times New Roman" w:hAnsi="Times New Roman"/>
          <w:sz w:val="24"/>
          <w:szCs w:val="24"/>
        </w:rPr>
        <w:t xml:space="preserve"> </w:t>
      </w:r>
      <w:hyperlink r:id="rId19" w:history="1">
        <w:r w:rsidRPr="0086608F">
          <w:rPr>
            <w:rStyle w:val="Hyperlink"/>
            <w:rFonts w:ascii="Times New Roman" w:hAnsi="Times New Roman"/>
            <w:b w:val="0"/>
            <w:sz w:val="24"/>
            <w:szCs w:val="24"/>
          </w:rPr>
          <w:t>https://www.rbnz.govt.nz/regulation-and-supervision/banks/prudential-requirements/liquidity-policy</w:t>
        </w:r>
      </w:hyperlink>
      <w:r w:rsidR="00CC3188">
        <w:rPr>
          <w:rStyle w:val="Hyperlink"/>
          <w:rFonts w:ascii="Times New Roman" w:hAnsi="Times New Roman"/>
          <w:b w:val="0"/>
          <w:sz w:val="24"/>
          <w:szCs w:val="24"/>
        </w:rPr>
        <w:t>; and</w:t>
      </w:r>
    </w:p>
    <w:p w14:paraId="386D1731" w14:textId="77777777" w:rsidR="00CC3188" w:rsidRPr="00CC3188" w:rsidRDefault="00CC3188" w:rsidP="00AA50D5">
      <w:pPr>
        <w:pStyle w:val="ListParagraph"/>
        <w:rPr>
          <w:rFonts w:ascii="Times New Roman" w:hAnsi="Times New Roman"/>
          <w:sz w:val="24"/>
          <w:szCs w:val="24"/>
        </w:rPr>
      </w:pPr>
    </w:p>
    <w:p w14:paraId="76BED6B2" w14:textId="509F5DED" w:rsidR="0016395A" w:rsidRDefault="00CC3188" w:rsidP="00A705F7">
      <w:pPr>
        <w:pStyle w:val="Heading"/>
        <w:numPr>
          <w:ilvl w:val="0"/>
          <w:numId w:val="28"/>
        </w:numPr>
        <w:rPr>
          <w:rFonts w:ascii="Times New Roman" w:hAnsi="Times New Roman"/>
          <w:sz w:val="24"/>
          <w:szCs w:val="24"/>
        </w:rPr>
      </w:pPr>
      <w:r w:rsidRPr="00CC3188">
        <w:rPr>
          <w:rFonts w:ascii="Times New Roman" w:hAnsi="Times New Roman"/>
          <w:b w:val="0"/>
          <w:i/>
          <w:sz w:val="24"/>
          <w:szCs w:val="24"/>
        </w:rPr>
        <w:t>Prudential Practice Guide APG 210 Liquidity</w:t>
      </w:r>
      <w:r>
        <w:rPr>
          <w:rFonts w:ascii="Times New Roman" w:hAnsi="Times New Roman"/>
          <w:b w:val="0"/>
          <w:sz w:val="24"/>
          <w:szCs w:val="24"/>
        </w:rPr>
        <w:t xml:space="preserve">, as it exists from time to time, </w:t>
      </w:r>
      <w:r w:rsidR="00F359B8">
        <w:rPr>
          <w:rFonts w:ascii="Times New Roman" w:hAnsi="Times New Roman"/>
          <w:b w:val="0"/>
          <w:sz w:val="24"/>
          <w:szCs w:val="24"/>
        </w:rPr>
        <w:t xml:space="preserve">published by APRA and </w:t>
      </w:r>
      <w:r>
        <w:rPr>
          <w:rFonts w:ascii="Times New Roman" w:hAnsi="Times New Roman"/>
          <w:b w:val="0"/>
          <w:sz w:val="24"/>
          <w:szCs w:val="24"/>
        </w:rPr>
        <w:t xml:space="preserve">available at </w:t>
      </w:r>
      <w:hyperlink r:id="rId20" w:history="1">
        <w:r w:rsidR="00F406F1" w:rsidRPr="0035582B">
          <w:rPr>
            <w:rStyle w:val="Hyperlink"/>
            <w:rFonts w:ascii="Times New Roman" w:hAnsi="Times New Roman"/>
            <w:b w:val="0"/>
            <w:sz w:val="24"/>
            <w:szCs w:val="24"/>
          </w:rPr>
          <w:t>https://www.apra.gov.au/industries/1/standards</w:t>
        </w:r>
      </w:hyperlink>
      <w:r w:rsidR="0016395A" w:rsidRPr="00CC3188">
        <w:rPr>
          <w:rFonts w:ascii="Times New Roman" w:hAnsi="Times New Roman"/>
          <w:b w:val="0"/>
          <w:sz w:val="24"/>
          <w:szCs w:val="24"/>
        </w:rPr>
        <w:t>.</w:t>
      </w:r>
    </w:p>
    <w:p w14:paraId="79FA0BB3" w14:textId="24504801" w:rsidR="008C32B0" w:rsidRDefault="008C32B0" w:rsidP="0086608F">
      <w:pPr>
        <w:pStyle w:val="Heading"/>
        <w:rPr>
          <w:rFonts w:ascii="Times New Roman" w:hAnsi="Times New Roman"/>
          <w:sz w:val="24"/>
          <w:szCs w:val="24"/>
        </w:rPr>
      </w:pPr>
    </w:p>
    <w:p w14:paraId="61D8867A" w14:textId="0CD8BD54" w:rsidR="008C32B0" w:rsidRDefault="008C32B0" w:rsidP="0086608F">
      <w:pPr>
        <w:pStyle w:val="Heading"/>
        <w:rPr>
          <w:rFonts w:ascii="Times New Roman" w:hAnsi="Times New Roman"/>
          <w:b w:val="0"/>
          <w:sz w:val="24"/>
          <w:szCs w:val="24"/>
        </w:rPr>
      </w:pPr>
      <w:r>
        <w:rPr>
          <w:rFonts w:ascii="Times New Roman" w:hAnsi="Times New Roman"/>
          <w:b w:val="0"/>
          <w:sz w:val="24"/>
          <w:szCs w:val="24"/>
        </w:rPr>
        <w:t>APS 330 provides for APRA to exercise various discretions. Decisions made by APRA exercising those discretions are not subject to merits review. This is because these decisions are preliminary decisions that may facilitate or lead to substantive decisions which are subject to merits review.</w:t>
      </w:r>
    </w:p>
    <w:p w14:paraId="71E3EE31" w14:textId="77777777" w:rsidR="001D4136" w:rsidRDefault="001D4136" w:rsidP="0086608F">
      <w:pPr>
        <w:pStyle w:val="Heading"/>
        <w:rPr>
          <w:rFonts w:ascii="Times New Roman" w:hAnsi="Times New Roman"/>
          <w:b w:val="0"/>
          <w:sz w:val="24"/>
          <w:szCs w:val="24"/>
        </w:rPr>
      </w:pPr>
    </w:p>
    <w:p w14:paraId="359FAF3A" w14:textId="54DD3107" w:rsidR="001D4136" w:rsidRDefault="00AA4795" w:rsidP="001D4136">
      <w:pPr>
        <w:pStyle w:val="Heading"/>
        <w:spacing w:after="240"/>
        <w:rPr>
          <w:rFonts w:ascii="Times New Roman" w:hAnsi="Times New Roman"/>
          <w:b w:val="0"/>
          <w:sz w:val="24"/>
          <w:szCs w:val="24"/>
        </w:rPr>
      </w:pPr>
      <w:r>
        <w:rPr>
          <w:rFonts w:ascii="Times New Roman" w:hAnsi="Times New Roman"/>
          <w:b w:val="0"/>
          <w:sz w:val="24"/>
          <w:szCs w:val="24"/>
        </w:rPr>
        <w:t>A</w:t>
      </w:r>
      <w:r w:rsidR="001D4136" w:rsidRPr="00A67708">
        <w:rPr>
          <w:rFonts w:ascii="Times New Roman" w:hAnsi="Times New Roman"/>
          <w:b w:val="0"/>
          <w:sz w:val="24"/>
          <w:szCs w:val="24"/>
        </w:rPr>
        <w:t xml:space="preserve"> breach of a prudential standard is </w:t>
      </w:r>
      <w:r>
        <w:rPr>
          <w:rFonts w:ascii="Times New Roman" w:hAnsi="Times New Roman"/>
          <w:b w:val="0"/>
          <w:sz w:val="24"/>
          <w:szCs w:val="24"/>
        </w:rPr>
        <w:t xml:space="preserve">also </w:t>
      </w:r>
      <w:r w:rsidR="001D4136" w:rsidRPr="00A67708">
        <w:rPr>
          <w:rFonts w:ascii="Times New Roman" w:hAnsi="Times New Roman"/>
          <w:b w:val="0"/>
          <w:sz w:val="24"/>
          <w:szCs w:val="24"/>
        </w:rPr>
        <w:t xml:space="preserve">a breach of the </w:t>
      </w:r>
      <w:r>
        <w:rPr>
          <w:rFonts w:ascii="Times New Roman" w:hAnsi="Times New Roman"/>
          <w:b w:val="0"/>
          <w:sz w:val="24"/>
          <w:szCs w:val="24"/>
        </w:rPr>
        <w:t>Act</w:t>
      </w:r>
      <w:r w:rsidR="001D4136" w:rsidRPr="00A67708">
        <w:rPr>
          <w:rFonts w:ascii="Times New Roman" w:hAnsi="Times New Roman"/>
          <w:b w:val="0"/>
          <w:sz w:val="24"/>
          <w:szCs w:val="24"/>
        </w:rPr>
        <w:t xml:space="preserve">, as </w:t>
      </w:r>
      <w:r>
        <w:rPr>
          <w:rFonts w:ascii="Times New Roman" w:hAnsi="Times New Roman"/>
          <w:b w:val="0"/>
          <w:sz w:val="24"/>
          <w:szCs w:val="24"/>
        </w:rPr>
        <w:t xml:space="preserve">the </w:t>
      </w:r>
      <w:r w:rsidR="001D4136" w:rsidRPr="00A67708">
        <w:rPr>
          <w:rFonts w:ascii="Times New Roman" w:hAnsi="Times New Roman"/>
          <w:b w:val="0"/>
          <w:sz w:val="24"/>
          <w:szCs w:val="24"/>
        </w:rPr>
        <w:t xml:space="preserve">Act provides that regulated entities must comply with the standard. However, there are no penalties prescribed for </w:t>
      </w:r>
      <w:r>
        <w:rPr>
          <w:rFonts w:ascii="Times New Roman" w:hAnsi="Times New Roman"/>
          <w:b w:val="0"/>
          <w:sz w:val="24"/>
          <w:szCs w:val="24"/>
        </w:rPr>
        <w:t xml:space="preserve">such </w:t>
      </w:r>
      <w:r w:rsidR="001D4136" w:rsidRPr="00A67708">
        <w:rPr>
          <w:rFonts w:ascii="Times New Roman" w:hAnsi="Times New Roman"/>
          <w:b w:val="0"/>
          <w:sz w:val="24"/>
          <w:szCs w:val="24"/>
        </w:rPr>
        <w:t>breach</w:t>
      </w:r>
      <w:r>
        <w:rPr>
          <w:rFonts w:ascii="Times New Roman" w:hAnsi="Times New Roman"/>
          <w:b w:val="0"/>
          <w:sz w:val="24"/>
          <w:szCs w:val="24"/>
        </w:rPr>
        <w:t>es</w:t>
      </w:r>
      <w:r w:rsidR="001D4136" w:rsidRPr="00A67708">
        <w:rPr>
          <w:rFonts w:ascii="Times New Roman" w:hAnsi="Times New Roman"/>
          <w:b w:val="0"/>
          <w:sz w:val="24"/>
          <w:szCs w:val="24"/>
        </w:rPr>
        <w:t>.</w:t>
      </w:r>
      <w:r w:rsidR="001D4136" w:rsidRPr="00D14060">
        <w:rPr>
          <w:rFonts w:ascii="Times New Roman" w:hAnsi="Times New Roman"/>
          <w:sz w:val="24"/>
          <w:szCs w:val="24"/>
        </w:rPr>
        <w:t xml:space="preserve"> </w:t>
      </w:r>
      <w:r w:rsidR="001D4136">
        <w:rPr>
          <w:rFonts w:ascii="Times New Roman" w:hAnsi="Times New Roman"/>
          <w:b w:val="0"/>
          <w:sz w:val="24"/>
          <w:szCs w:val="24"/>
        </w:rPr>
        <w:t xml:space="preserve">Instead, an ADI’s breach of a provision in the Act is grounds for APRA to make further, substantive decisions under the Act in relation to the ADI. Those decisions are: </w:t>
      </w:r>
    </w:p>
    <w:p w14:paraId="4A121B96" w14:textId="77777777" w:rsidR="001D4136" w:rsidRDefault="001D4136" w:rsidP="001D4136">
      <w:pPr>
        <w:pStyle w:val="Heading"/>
        <w:numPr>
          <w:ilvl w:val="0"/>
          <w:numId w:val="25"/>
        </w:numPr>
        <w:spacing w:after="240"/>
        <w:ind w:left="360"/>
        <w:rPr>
          <w:rFonts w:ascii="Times New Roman" w:hAnsi="Times New Roman"/>
          <w:b w:val="0"/>
          <w:sz w:val="24"/>
          <w:szCs w:val="24"/>
        </w:rPr>
      </w:pPr>
      <w:r>
        <w:rPr>
          <w:rFonts w:ascii="Times New Roman" w:hAnsi="Times New Roman"/>
          <w:b w:val="0"/>
          <w:sz w:val="24"/>
          <w:szCs w:val="24"/>
        </w:rPr>
        <w:t>to revoke an authority to carry on banking business (section 9A of the Act); and</w:t>
      </w:r>
    </w:p>
    <w:p w14:paraId="33B92954" w14:textId="77777777" w:rsidR="001D4136" w:rsidRDefault="001D4136" w:rsidP="001D4136">
      <w:pPr>
        <w:pStyle w:val="Heading"/>
        <w:numPr>
          <w:ilvl w:val="0"/>
          <w:numId w:val="25"/>
        </w:numPr>
        <w:spacing w:after="240"/>
        <w:ind w:left="360"/>
        <w:rPr>
          <w:rFonts w:ascii="Times New Roman" w:hAnsi="Times New Roman"/>
          <w:b w:val="0"/>
          <w:sz w:val="24"/>
          <w:szCs w:val="24"/>
        </w:rPr>
      </w:pPr>
      <w:r>
        <w:rPr>
          <w:rFonts w:ascii="Times New Roman" w:hAnsi="Times New Roman"/>
          <w:b w:val="0"/>
          <w:sz w:val="24"/>
          <w:szCs w:val="24"/>
        </w:rPr>
        <w:t>to issue a direction to the ADI, including a direction to comply with the whole or part of a prudential standard (section 11CA of the Act).</w:t>
      </w:r>
    </w:p>
    <w:p w14:paraId="29AAEE34" w14:textId="7CFF29F4" w:rsidR="00AA4795" w:rsidRDefault="001D4136" w:rsidP="00AA4795">
      <w:pPr>
        <w:spacing w:after="240"/>
        <w:jc w:val="both"/>
        <w:rPr>
          <w:rFonts w:ascii="Times New Roman" w:hAnsi="Times New Roman"/>
          <w:sz w:val="24"/>
          <w:szCs w:val="24"/>
        </w:rPr>
      </w:pPr>
      <w:r>
        <w:rPr>
          <w:rFonts w:ascii="Times New Roman" w:hAnsi="Times New Roman"/>
          <w:sz w:val="24"/>
          <w:szCs w:val="24"/>
        </w:rPr>
        <w:t xml:space="preserve">It is only at this stage that an ADI is exposed to a penalty: loss of its authority under section 9A or 50 penalty units if it breaches the direction (section 11CG of the Act). In </w:t>
      </w:r>
      <w:r>
        <w:rPr>
          <w:rFonts w:ascii="Times New Roman" w:hAnsi="Times New Roman"/>
          <w:sz w:val="24"/>
          <w:szCs w:val="24"/>
        </w:rPr>
        <w:lastRenderedPageBreak/>
        <w:t>nearly all cases</w:t>
      </w:r>
      <w:r>
        <w:rPr>
          <w:rStyle w:val="FootnoteReference"/>
          <w:rFonts w:ascii="Times New Roman" w:hAnsi="Times New Roman"/>
          <w:sz w:val="24"/>
          <w:szCs w:val="24"/>
        </w:rPr>
        <w:footnoteReference w:id="4"/>
      </w:r>
      <w:r>
        <w:rPr>
          <w:rFonts w:ascii="Times New Roman" w:hAnsi="Times New Roman"/>
          <w:sz w:val="24"/>
          <w:szCs w:val="24"/>
        </w:rPr>
        <w:t xml:space="preserve"> the decision is preceded by a full consultation with the ADI to raise any concerns it may have in relation to the decision.</w:t>
      </w:r>
      <w:r w:rsidR="00AA4795" w:rsidRPr="00AA4795">
        <w:rPr>
          <w:rFonts w:ascii="Times New Roman" w:hAnsi="Times New Roman"/>
          <w:sz w:val="24"/>
          <w:szCs w:val="24"/>
        </w:rPr>
        <w:t xml:space="preserve"> </w:t>
      </w:r>
    </w:p>
    <w:p w14:paraId="104E938F" w14:textId="5E88301F" w:rsidR="00AA4795" w:rsidRDefault="00AA4795" w:rsidP="00AA4795">
      <w:pPr>
        <w:spacing w:after="240"/>
        <w:jc w:val="both"/>
        <w:rPr>
          <w:rFonts w:ascii="Times New Roman" w:hAnsi="Times New Roman"/>
          <w:sz w:val="24"/>
          <w:szCs w:val="24"/>
        </w:rPr>
      </w:pPr>
      <w:r>
        <w:rPr>
          <w:rFonts w:ascii="Times New Roman" w:hAnsi="Times New Roman"/>
          <w:sz w:val="24"/>
          <w:szCs w:val="24"/>
        </w:rPr>
        <w:t xml:space="preserve">A </w:t>
      </w:r>
      <w:r w:rsidRPr="000E76C9">
        <w:rPr>
          <w:rFonts w:ascii="Times New Roman" w:hAnsi="Times New Roman"/>
          <w:sz w:val="24"/>
          <w:szCs w:val="24"/>
        </w:rPr>
        <w:t xml:space="preserve">decision of APRA to impose a direction </w:t>
      </w:r>
      <w:r>
        <w:rPr>
          <w:rFonts w:ascii="Times New Roman" w:hAnsi="Times New Roman"/>
          <w:sz w:val="24"/>
          <w:szCs w:val="24"/>
        </w:rPr>
        <w:t xml:space="preserve">is </w:t>
      </w:r>
      <w:r w:rsidRPr="000E76C9">
        <w:rPr>
          <w:rFonts w:ascii="Times New Roman" w:hAnsi="Times New Roman"/>
          <w:sz w:val="24"/>
          <w:szCs w:val="24"/>
        </w:rPr>
        <w:t xml:space="preserve">subject to merits review </w:t>
      </w:r>
      <w:r>
        <w:rPr>
          <w:rFonts w:ascii="Times New Roman" w:hAnsi="Times New Roman"/>
          <w:sz w:val="24"/>
          <w:szCs w:val="24"/>
        </w:rPr>
        <w:t xml:space="preserve">under </w:t>
      </w:r>
      <w:r w:rsidRPr="000E76C9">
        <w:rPr>
          <w:rFonts w:ascii="Times New Roman" w:hAnsi="Times New Roman"/>
          <w:sz w:val="24"/>
          <w:szCs w:val="24"/>
        </w:rPr>
        <w:t>s</w:t>
      </w:r>
      <w:r>
        <w:rPr>
          <w:rFonts w:ascii="Times New Roman" w:hAnsi="Times New Roman"/>
          <w:sz w:val="24"/>
          <w:szCs w:val="24"/>
        </w:rPr>
        <w:t xml:space="preserve">ection </w:t>
      </w:r>
      <w:r w:rsidRPr="000E76C9">
        <w:rPr>
          <w:rFonts w:ascii="Times New Roman" w:hAnsi="Times New Roman"/>
          <w:sz w:val="24"/>
          <w:szCs w:val="24"/>
        </w:rPr>
        <w:t xml:space="preserve">11CA </w:t>
      </w:r>
      <w:r>
        <w:rPr>
          <w:rFonts w:ascii="Times New Roman" w:hAnsi="Times New Roman"/>
          <w:sz w:val="24"/>
          <w:szCs w:val="24"/>
        </w:rPr>
        <w:t xml:space="preserve">of the </w:t>
      </w:r>
      <w:r w:rsidRPr="000E76C9">
        <w:rPr>
          <w:rFonts w:ascii="Times New Roman" w:hAnsi="Times New Roman"/>
          <w:sz w:val="24"/>
          <w:szCs w:val="24"/>
        </w:rPr>
        <w:t xml:space="preserve">Act, which is appropriately available at the point where an </w:t>
      </w:r>
      <w:r>
        <w:rPr>
          <w:rFonts w:ascii="Times New Roman" w:hAnsi="Times New Roman"/>
          <w:sz w:val="24"/>
          <w:szCs w:val="24"/>
        </w:rPr>
        <w:t>ADI</w:t>
      </w:r>
      <w:r w:rsidRPr="000E76C9">
        <w:rPr>
          <w:rFonts w:ascii="Times New Roman" w:hAnsi="Times New Roman"/>
          <w:sz w:val="24"/>
          <w:szCs w:val="24"/>
        </w:rPr>
        <w:t xml:space="preserve"> could be exposed to a penalty.</w:t>
      </w:r>
    </w:p>
    <w:p w14:paraId="317F9550" w14:textId="77777777" w:rsidR="00AA4795" w:rsidRDefault="00AA4795" w:rsidP="00AA4795">
      <w:pPr>
        <w:spacing w:after="240"/>
        <w:jc w:val="both"/>
        <w:rPr>
          <w:rFonts w:ascii="Times New Roman" w:hAnsi="Times New Roman"/>
          <w:sz w:val="24"/>
          <w:szCs w:val="24"/>
        </w:rPr>
      </w:pPr>
      <w:r w:rsidRPr="002958BD">
        <w:rPr>
          <w:rFonts w:ascii="Times New Roman" w:hAnsi="Times New Roman"/>
          <w:sz w:val="24"/>
          <w:szCs w:val="24"/>
        </w:rPr>
        <w:t xml:space="preserve">A decision </w:t>
      </w:r>
      <w:r>
        <w:rPr>
          <w:rFonts w:ascii="Times New Roman" w:hAnsi="Times New Roman"/>
          <w:sz w:val="24"/>
          <w:szCs w:val="24"/>
        </w:rPr>
        <w:t xml:space="preserve">of APRA </w:t>
      </w:r>
      <w:r w:rsidRPr="002958BD">
        <w:rPr>
          <w:rFonts w:ascii="Times New Roman" w:hAnsi="Times New Roman"/>
          <w:sz w:val="24"/>
          <w:szCs w:val="24"/>
        </w:rPr>
        <w:t xml:space="preserve">to revoke </w:t>
      </w:r>
      <w:r>
        <w:rPr>
          <w:rFonts w:ascii="Times New Roman" w:hAnsi="Times New Roman"/>
          <w:sz w:val="24"/>
          <w:szCs w:val="24"/>
        </w:rPr>
        <w:t xml:space="preserve">an authority </w:t>
      </w:r>
      <w:r w:rsidRPr="002958BD">
        <w:rPr>
          <w:rFonts w:ascii="Times New Roman" w:hAnsi="Times New Roman"/>
          <w:sz w:val="24"/>
          <w:szCs w:val="24"/>
        </w:rPr>
        <w:t xml:space="preserve">under the Act </w:t>
      </w:r>
      <w:r>
        <w:rPr>
          <w:rFonts w:ascii="Times New Roman" w:hAnsi="Times New Roman"/>
          <w:sz w:val="24"/>
          <w:szCs w:val="24"/>
        </w:rPr>
        <w:t xml:space="preserve">is </w:t>
      </w:r>
      <w:r w:rsidRPr="002958BD">
        <w:rPr>
          <w:rFonts w:ascii="Times New Roman" w:hAnsi="Times New Roman"/>
          <w:sz w:val="24"/>
          <w:szCs w:val="24"/>
        </w:rPr>
        <w:t xml:space="preserve">subject to merits review, unless </w:t>
      </w:r>
      <w:r>
        <w:rPr>
          <w:rFonts w:ascii="Times New Roman" w:hAnsi="Times New Roman"/>
          <w:sz w:val="24"/>
          <w:szCs w:val="24"/>
        </w:rPr>
        <w:t>either:</w:t>
      </w:r>
    </w:p>
    <w:p w14:paraId="068FF907" w14:textId="77777777" w:rsidR="00AA4795" w:rsidRDefault="00AA4795" w:rsidP="00AA4795">
      <w:pPr>
        <w:pStyle w:val="ListParagraph"/>
        <w:numPr>
          <w:ilvl w:val="0"/>
          <w:numId w:val="27"/>
        </w:numPr>
        <w:spacing w:after="200" w:line="276" w:lineRule="auto"/>
        <w:ind w:left="567" w:hanging="567"/>
        <w:jc w:val="both"/>
        <w:rPr>
          <w:rFonts w:ascii="Times New Roman" w:hAnsi="Times New Roman"/>
          <w:sz w:val="24"/>
          <w:szCs w:val="24"/>
        </w:rPr>
      </w:pPr>
      <w:r w:rsidRPr="00641582">
        <w:rPr>
          <w:rFonts w:ascii="Times New Roman" w:hAnsi="Times New Roman"/>
          <w:sz w:val="24"/>
          <w:szCs w:val="24"/>
        </w:rPr>
        <w:t xml:space="preserve">APRA has determined that access to natural justice and merits review is contrary to the national interest or contrary to the interests of depositors with the </w:t>
      </w:r>
      <w:r>
        <w:rPr>
          <w:rFonts w:ascii="Times New Roman" w:hAnsi="Times New Roman"/>
          <w:sz w:val="24"/>
          <w:szCs w:val="24"/>
        </w:rPr>
        <w:t>ADI</w:t>
      </w:r>
      <w:r w:rsidRPr="00641582">
        <w:rPr>
          <w:rFonts w:ascii="Times New Roman" w:hAnsi="Times New Roman"/>
          <w:sz w:val="24"/>
          <w:szCs w:val="24"/>
        </w:rPr>
        <w:t>; or</w:t>
      </w:r>
    </w:p>
    <w:p w14:paraId="5C5148A6" w14:textId="77777777" w:rsidR="00AA4795" w:rsidRPr="00641582" w:rsidRDefault="00AA4795" w:rsidP="00AA4795">
      <w:pPr>
        <w:pStyle w:val="ListParagraph"/>
        <w:numPr>
          <w:ilvl w:val="0"/>
          <w:numId w:val="27"/>
        </w:numPr>
        <w:spacing w:after="200" w:line="276" w:lineRule="auto"/>
        <w:ind w:left="567" w:hanging="567"/>
        <w:jc w:val="both"/>
        <w:rPr>
          <w:rFonts w:ascii="Times New Roman" w:hAnsi="Times New Roman"/>
          <w:sz w:val="24"/>
          <w:szCs w:val="24"/>
        </w:rPr>
      </w:pPr>
      <w:r w:rsidRPr="00641582">
        <w:rPr>
          <w:rFonts w:ascii="Times New Roman" w:hAnsi="Times New Roman"/>
          <w:sz w:val="24"/>
          <w:szCs w:val="24"/>
        </w:rPr>
        <w:t>the authority is an authority that is to cease to have effect on a day specified in the authority (s</w:t>
      </w:r>
      <w:r>
        <w:rPr>
          <w:rFonts w:ascii="Times New Roman" w:hAnsi="Times New Roman"/>
          <w:sz w:val="24"/>
          <w:szCs w:val="24"/>
        </w:rPr>
        <w:t xml:space="preserve">ection </w:t>
      </w:r>
      <w:r w:rsidRPr="00641582">
        <w:rPr>
          <w:rFonts w:ascii="Times New Roman" w:hAnsi="Times New Roman"/>
          <w:sz w:val="24"/>
          <w:szCs w:val="24"/>
        </w:rPr>
        <w:t>9</w:t>
      </w:r>
      <w:proofErr w:type="gramStart"/>
      <w:r w:rsidRPr="00641582">
        <w:rPr>
          <w:rFonts w:ascii="Times New Roman" w:hAnsi="Times New Roman"/>
          <w:sz w:val="24"/>
          <w:szCs w:val="24"/>
        </w:rPr>
        <w:t>A(</w:t>
      </w:r>
      <w:proofErr w:type="gramEnd"/>
      <w:r w:rsidRPr="00641582">
        <w:rPr>
          <w:rFonts w:ascii="Times New Roman" w:hAnsi="Times New Roman"/>
          <w:sz w:val="24"/>
          <w:szCs w:val="24"/>
        </w:rPr>
        <w:t>8)</w:t>
      </w:r>
      <w:r>
        <w:rPr>
          <w:rFonts w:ascii="Times New Roman" w:hAnsi="Times New Roman"/>
          <w:sz w:val="24"/>
          <w:szCs w:val="24"/>
        </w:rPr>
        <w:t xml:space="preserve"> of the Act</w:t>
      </w:r>
      <w:r w:rsidRPr="00641582">
        <w:rPr>
          <w:rFonts w:ascii="Times New Roman" w:hAnsi="Times New Roman"/>
          <w:sz w:val="24"/>
          <w:szCs w:val="24"/>
        </w:rPr>
        <w:t>).</w:t>
      </w:r>
    </w:p>
    <w:p w14:paraId="55E52BEA" w14:textId="308961B9" w:rsidR="00596539" w:rsidRPr="005A3D81" w:rsidRDefault="00596539" w:rsidP="005A3D81">
      <w:pPr>
        <w:pStyle w:val="ListParagraph"/>
        <w:numPr>
          <w:ilvl w:val="0"/>
          <w:numId w:val="2"/>
        </w:numPr>
        <w:rPr>
          <w:rFonts w:ascii="Times New Roman" w:hAnsi="Times New Roman"/>
          <w:b/>
          <w:sz w:val="24"/>
          <w:szCs w:val="24"/>
        </w:rPr>
      </w:pPr>
      <w:r w:rsidRPr="005A3D81">
        <w:rPr>
          <w:rFonts w:ascii="Times New Roman" w:hAnsi="Times New Roman"/>
          <w:b/>
          <w:sz w:val="24"/>
          <w:szCs w:val="24"/>
        </w:rPr>
        <w:t>Consultation</w:t>
      </w:r>
    </w:p>
    <w:p w14:paraId="3CC90428" w14:textId="77777777" w:rsidR="009E4B65" w:rsidRDefault="009E4B65" w:rsidP="009E4B65"/>
    <w:p w14:paraId="1A16EE7F" w14:textId="7AA98399" w:rsidR="0001578B" w:rsidRDefault="00DC72E3" w:rsidP="00DC72E3">
      <w:pPr>
        <w:pStyle w:val="Heading"/>
        <w:spacing w:after="240"/>
        <w:rPr>
          <w:rFonts w:ascii="Times New Roman" w:hAnsi="Times New Roman"/>
          <w:b w:val="0"/>
          <w:sz w:val="24"/>
          <w:szCs w:val="24"/>
        </w:rPr>
      </w:pPr>
      <w:r w:rsidRPr="00DC72E3">
        <w:rPr>
          <w:rFonts w:ascii="Times New Roman" w:hAnsi="Times New Roman"/>
          <w:b w:val="0"/>
          <w:sz w:val="24"/>
          <w:szCs w:val="24"/>
        </w:rPr>
        <w:t xml:space="preserve">APRA undertook a public consultation on the </w:t>
      </w:r>
      <w:r w:rsidR="00DB224F" w:rsidRPr="00F406F1">
        <w:rPr>
          <w:rFonts w:ascii="Times New Roman" w:hAnsi="Times New Roman"/>
          <w:b w:val="0"/>
          <w:sz w:val="24"/>
          <w:szCs w:val="24"/>
        </w:rPr>
        <w:t>changes</w:t>
      </w:r>
      <w:r w:rsidRPr="00F406F1">
        <w:rPr>
          <w:rFonts w:ascii="Times New Roman" w:hAnsi="Times New Roman"/>
          <w:b w:val="0"/>
          <w:sz w:val="24"/>
          <w:szCs w:val="24"/>
        </w:rPr>
        <w:t xml:space="preserve"> to APS 330</w:t>
      </w:r>
      <w:r w:rsidR="0001578B" w:rsidRPr="00F406F1">
        <w:rPr>
          <w:rFonts w:ascii="Times New Roman" w:hAnsi="Times New Roman"/>
          <w:b w:val="0"/>
          <w:sz w:val="24"/>
          <w:szCs w:val="24"/>
        </w:rPr>
        <w:t xml:space="preserve"> from</w:t>
      </w:r>
      <w:r w:rsidR="00AD27F2" w:rsidRPr="00F406F1">
        <w:rPr>
          <w:rFonts w:ascii="Times New Roman" w:hAnsi="Times New Roman"/>
          <w:b w:val="0"/>
          <w:sz w:val="24"/>
          <w:szCs w:val="24"/>
        </w:rPr>
        <w:t xml:space="preserve"> </w:t>
      </w:r>
      <w:r w:rsidR="001D4136" w:rsidRPr="00F406F1">
        <w:rPr>
          <w:rFonts w:ascii="Times New Roman" w:hAnsi="Times New Roman"/>
          <w:b w:val="0"/>
          <w:sz w:val="24"/>
          <w:szCs w:val="24"/>
        </w:rPr>
        <w:t>July 2022 to October 2022</w:t>
      </w:r>
      <w:r w:rsidRPr="00F406F1">
        <w:rPr>
          <w:rFonts w:ascii="Times New Roman" w:hAnsi="Times New Roman"/>
          <w:b w:val="0"/>
          <w:sz w:val="24"/>
          <w:szCs w:val="24"/>
        </w:rPr>
        <w:t>.</w:t>
      </w:r>
      <w:r w:rsidR="006169B7" w:rsidRPr="00F406F1">
        <w:rPr>
          <w:rStyle w:val="FootnoteReference"/>
          <w:rFonts w:ascii="Times New Roman" w:hAnsi="Times New Roman"/>
          <w:b w:val="0"/>
          <w:sz w:val="24"/>
          <w:szCs w:val="24"/>
        </w:rPr>
        <w:footnoteReference w:id="5"/>
      </w:r>
      <w:r w:rsidR="006169B7" w:rsidRPr="00F406F1">
        <w:rPr>
          <w:rFonts w:ascii="Times New Roman" w:hAnsi="Times New Roman"/>
          <w:b w:val="0"/>
          <w:sz w:val="24"/>
          <w:szCs w:val="24"/>
        </w:rPr>
        <w:t xml:space="preserve"> </w:t>
      </w:r>
      <w:r w:rsidR="00733297" w:rsidRPr="00F406F1">
        <w:rPr>
          <w:rFonts w:ascii="Times New Roman" w:hAnsi="Times New Roman"/>
          <w:b w:val="0"/>
          <w:sz w:val="24"/>
          <w:szCs w:val="24"/>
        </w:rPr>
        <w:t xml:space="preserve">APRA released a response to submissions on </w:t>
      </w:r>
      <w:r w:rsidR="001D4136" w:rsidRPr="00F406F1">
        <w:rPr>
          <w:rFonts w:ascii="Times New Roman" w:hAnsi="Times New Roman"/>
          <w:b w:val="0"/>
          <w:sz w:val="24"/>
          <w:szCs w:val="24"/>
        </w:rPr>
        <w:t>9 December 2022</w:t>
      </w:r>
      <w:r w:rsidR="00733297" w:rsidRPr="00F406F1">
        <w:rPr>
          <w:rFonts w:ascii="Times New Roman" w:hAnsi="Times New Roman"/>
          <w:b w:val="0"/>
          <w:sz w:val="24"/>
          <w:szCs w:val="24"/>
        </w:rPr>
        <w:t>.</w:t>
      </w:r>
      <w:r w:rsidR="008D2133" w:rsidRPr="00F406F1">
        <w:rPr>
          <w:rStyle w:val="FootnoteReference"/>
          <w:rFonts w:ascii="Times New Roman" w:hAnsi="Times New Roman"/>
          <w:b w:val="0"/>
          <w:sz w:val="24"/>
          <w:szCs w:val="24"/>
        </w:rPr>
        <w:footnoteReference w:id="6"/>
      </w:r>
    </w:p>
    <w:p w14:paraId="1F18597E" w14:textId="70A139E0" w:rsidR="00E6618D" w:rsidRDefault="0001578B" w:rsidP="001D4136">
      <w:pPr>
        <w:pStyle w:val="Heading"/>
        <w:spacing w:after="240"/>
        <w:rPr>
          <w:rFonts w:ascii="Times New Roman" w:hAnsi="Times New Roman"/>
          <w:b w:val="0"/>
          <w:sz w:val="24"/>
          <w:szCs w:val="24"/>
        </w:rPr>
      </w:pPr>
      <w:r>
        <w:rPr>
          <w:rFonts w:ascii="Times New Roman" w:hAnsi="Times New Roman"/>
          <w:b w:val="0"/>
          <w:sz w:val="24"/>
          <w:szCs w:val="24"/>
        </w:rPr>
        <w:t xml:space="preserve">A total of </w:t>
      </w:r>
      <w:r w:rsidR="001D4136">
        <w:rPr>
          <w:rFonts w:ascii="Times New Roman" w:hAnsi="Times New Roman"/>
          <w:b w:val="0"/>
          <w:sz w:val="24"/>
          <w:szCs w:val="24"/>
        </w:rPr>
        <w:t xml:space="preserve">five </w:t>
      </w:r>
      <w:r>
        <w:rPr>
          <w:rFonts w:ascii="Times New Roman" w:hAnsi="Times New Roman"/>
          <w:b w:val="0"/>
          <w:sz w:val="24"/>
          <w:szCs w:val="24"/>
        </w:rPr>
        <w:t>submissions were received in response to APRA’s public consultation.</w:t>
      </w:r>
      <w:r w:rsidR="001D4136">
        <w:rPr>
          <w:rFonts w:ascii="Times New Roman" w:hAnsi="Times New Roman"/>
          <w:b w:val="0"/>
          <w:sz w:val="24"/>
          <w:szCs w:val="24"/>
        </w:rPr>
        <w:t xml:space="preserve"> Respondents were supportive of the revisions to APS 330, as they provided further clarity for capital disclosures </w:t>
      </w:r>
      <w:r w:rsidR="00496FD6">
        <w:rPr>
          <w:rFonts w:ascii="Times New Roman" w:hAnsi="Times New Roman"/>
          <w:b w:val="0"/>
          <w:sz w:val="24"/>
          <w:szCs w:val="24"/>
        </w:rPr>
        <w:t>under the new capital standards. Some respondents sought further clarity on the requirements to disclose exposures of an overseas banking subsidiary that is prudentially regulat</w:t>
      </w:r>
      <w:r w:rsidR="008941BF">
        <w:rPr>
          <w:rFonts w:ascii="Times New Roman" w:hAnsi="Times New Roman"/>
          <w:b w:val="0"/>
          <w:sz w:val="24"/>
          <w:szCs w:val="24"/>
        </w:rPr>
        <w:t>ed</w:t>
      </w:r>
      <w:r w:rsidR="00496FD6">
        <w:rPr>
          <w:rFonts w:ascii="Times New Roman" w:hAnsi="Times New Roman"/>
          <w:b w:val="0"/>
          <w:sz w:val="24"/>
          <w:szCs w:val="24"/>
        </w:rPr>
        <w:t xml:space="preserve"> by the Reserve Bank of New Zealand. In response, APRA clarified </w:t>
      </w:r>
      <w:r w:rsidR="008941BF">
        <w:rPr>
          <w:rFonts w:ascii="Times New Roman" w:hAnsi="Times New Roman"/>
          <w:b w:val="0"/>
          <w:sz w:val="24"/>
          <w:szCs w:val="24"/>
        </w:rPr>
        <w:t>the</w:t>
      </w:r>
      <w:r w:rsidR="00496FD6">
        <w:rPr>
          <w:rFonts w:ascii="Times New Roman" w:hAnsi="Times New Roman"/>
          <w:b w:val="0"/>
          <w:sz w:val="24"/>
          <w:szCs w:val="24"/>
        </w:rPr>
        <w:t xml:space="preserve"> requirements in APS 330.</w:t>
      </w:r>
    </w:p>
    <w:p w14:paraId="7DD6D5FE" w14:textId="59051BC4" w:rsidR="00496FD6" w:rsidRDefault="00496FD6">
      <w:pPr>
        <w:pStyle w:val="Heading"/>
        <w:spacing w:after="240"/>
        <w:rPr>
          <w:rFonts w:ascii="Times New Roman" w:hAnsi="Times New Roman"/>
          <w:b w:val="0"/>
          <w:sz w:val="24"/>
          <w:szCs w:val="24"/>
        </w:rPr>
      </w:pPr>
      <w:r>
        <w:rPr>
          <w:rFonts w:ascii="Times New Roman" w:hAnsi="Times New Roman"/>
          <w:b w:val="0"/>
          <w:sz w:val="24"/>
          <w:szCs w:val="24"/>
        </w:rPr>
        <w:t xml:space="preserve">Some respondents requested flexibility in meeting the disclosure requirements under the new capital standards, given there may be some inconsistencies when the new capital requirements take effect. APRA acknowledged flexibility would be required and has required ADIs to notify APRA where they amend disclosure templates to reflect </w:t>
      </w:r>
      <w:r w:rsidR="001646CF">
        <w:rPr>
          <w:rFonts w:ascii="Times New Roman" w:hAnsi="Times New Roman"/>
          <w:b w:val="0"/>
          <w:sz w:val="24"/>
          <w:szCs w:val="24"/>
        </w:rPr>
        <w:t xml:space="preserve">such </w:t>
      </w:r>
      <w:r>
        <w:rPr>
          <w:rFonts w:ascii="Times New Roman" w:hAnsi="Times New Roman"/>
          <w:b w:val="0"/>
          <w:sz w:val="24"/>
          <w:szCs w:val="24"/>
        </w:rPr>
        <w:t xml:space="preserve">inconsistencies. </w:t>
      </w:r>
    </w:p>
    <w:p w14:paraId="55E52BF3" w14:textId="77777777" w:rsidR="00596539" w:rsidRPr="003615B4" w:rsidRDefault="00596539" w:rsidP="00596539">
      <w:pPr>
        <w:pStyle w:val="Heading"/>
        <w:tabs>
          <w:tab w:val="left" w:pos="360"/>
        </w:tabs>
        <w:spacing w:after="240"/>
        <w:rPr>
          <w:rFonts w:ascii="Times New Roman" w:hAnsi="Times New Roman"/>
          <w:sz w:val="24"/>
          <w:szCs w:val="24"/>
        </w:rPr>
      </w:pPr>
      <w:r w:rsidRPr="003615B4">
        <w:rPr>
          <w:rFonts w:ascii="Times New Roman" w:hAnsi="Times New Roman"/>
          <w:sz w:val="24"/>
          <w:szCs w:val="24"/>
        </w:rPr>
        <w:t xml:space="preserve">4. </w:t>
      </w:r>
      <w:r w:rsidRPr="003615B4">
        <w:rPr>
          <w:rFonts w:ascii="Times New Roman" w:hAnsi="Times New Roman"/>
          <w:sz w:val="24"/>
          <w:szCs w:val="24"/>
        </w:rPr>
        <w:tab/>
        <w:t>Regulation Impact Statement</w:t>
      </w:r>
    </w:p>
    <w:p w14:paraId="0B6EC713" w14:textId="61BA7B4C" w:rsidR="00D54313" w:rsidRDefault="00E96D2F" w:rsidP="0086608F">
      <w:pPr>
        <w:spacing w:after="240"/>
        <w:jc w:val="both"/>
      </w:pPr>
      <w:r w:rsidRPr="00496FD6">
        <w:rPr>
          <w:rFonts w:ascii="Times New Roman" w:hAnsi="Times New Roman"/>
          <w:sz w:val="24"/>
          <w:szCs w:val="24"/>
        </w:rPr>
        <w:t xml:space="preserve">The Office of </w:t>
      </w:r>
      <w:r w:rsidR="00496FD6" w:rsidRPr="00496FD6">
        <w:rPr>
          <w:rFonts w:ascii="Times New Roman" w:hAnsi="Times New Roman"/>
          <w:sz w:val="24"/>
          <w:szCs w:val="24"/>
        </w:rPr>
        <w:t>Impact Analysis</w:t>
      </w:r>
      <w:r w:rsidRPr="003615B4">
        <w:rPr>
          <w:rFonts w:ascii="Times New Roman" w:hAnsi="Times New Roman"/>
          <w:sz w:val="24"/>
          <w:szCs w:val="24"/>
        </w:rPr>
        <w:t xml:space="preserve"> has confirmed that a Regulation Impact Statement is not required</w:t>
      </w:r>
      <w:r w:rsidR="00496FD6">
        <w:rPr>
          <w:rFonts w:ascii="Times New Roman" w:hAnsi="Times New Roman"/>
          <w:sz w:val="24"/>
          <w:szCs w:val="24"/>
        </w:rPr>
        <w:t xml:space="preserve"> as the changes to APS 330 are unlikely to have more than a minor regulatory impact</w:t>
      </w:r>
      <w:r w:rsidRPr="003615B4">
        <w:rPr>
          <w:rFonts w:ascii="Times New Roman" w:hAnsi="Times New Roman"/>
          <w:sz w:val="24"/>
          <w:szCs w:val="24"/>
        </w:rPr>
        <w:t>.</w:t>
      </w:r>
      <w:r w:rsidR="002622E9" w:rsidRPr="002622E9">
        <w:t xml:space="preserve"> </w:t>
      </w:r>
    </w:p>
    <w:p w14:paraId="55E52BF7" w14:textId="4108B84A" w:rsidR="00596539" w:rsidRPr="003615B4" w:rsidRDefault="00596539" w:rsidP="00596539">
      <w:pPr>
        <w:pStyle w:val="Heading"/>
        <w:tabs>
          <w:tab w:val="left" w:pos="360"/>
        </w:tabs>
        <w:spacing w:after="240"/>
        <w:rPr>
          <w:rFonts w:ascii="Times New Roman" w:hAnsi="Times New Roman"/>
          <w:sz w:val="24"/>
          <w:szCs w:val="24"/>
        </w:rPr>
      </w:pPr>
      <w:r w:rsidRPr="003615B4">
        <w:rPr>
          <w:rFonts w:ascii="Times New Roman" w:hAnsi="Times New Roman"/>
          <w:sz w:val="24"/>
          <w:szCs w:val="24"/>
        </w:rPr>
        <w:t>5.</w:t>
      </w:r>
      <w:r w:rsidRPr="003615B4">
        <w:rPr>
          <w:rFonts w:ascii="Times New Roman" w:hAnsi="Times New Roman"/>
          <w:sz w:val="24"/>
          <w:szCs w:val="24"/>
        </w:rPr>
        <w:tab/>
        <w:t xml:space="preserve">Statement of compatibility prepared in accordance with Part 3 of the </w:t>
      </w:r>
      <w:r w:rsidRPr="006E6139">
        <w:rPr>
          <w:rFonts w:ascii="Times New Roman" w:hAnsi="Times New Roman"/>
          <w:i/>
          <w:sz w:val="24"/>
          <w:szCs w:val="24"/>
        </w:rPr>
        <w:t>Human Rights (Parliamentary Scrutiny) Act 2011</w:t>
      </w:r>
    </w:p>
    <w:p w14:paraId="55E52BF8" w14:textId="77777777" w:rsidR="00E644F0" w:rsidRPr="003615B4" w:rsidRDefault="00596539" w:rsidP="00710352">
      <w:pPr>
        <w:pStyle w:val="Heading"/>
        <w:spacing w:after="240"/>
        <w:rPr>
          <w:rFonts w:ascii="Times New Roman" w:hAnsi="Times New Roman"/>
          <w:b w:val="0"/>
          <w:sz w:val="24"/>
          <w:szCs w:val="24"/>
        </w:rPr>
      </w:pPr>
      <w:r w:rsidRPr="003615B4">
        <w:rPr>
          <w:rFonts w:ascii="Times New Roman" w:hAnsi="Times New Roman"/>
          <w:b w:val="0"/>
          <w:sz w:val="24"/>
          <w:szCs w:val="24"/>
        </w:rPr>
        <w:lastRenderedPageBreak/>
        <w:t xml:space="preserve">A Statement of compatibility prepared in accordance with Part 3 of the </w:t>
      </w:r>
      <w:r w:rsidRPr="003615B4">
        <w:rPr>
          <w:rFonts w:ascii="Times New Roman" w:hAnsi="Times New Roman"/>
          <w:b w:val="0"/>
          <w:i/>
          <w:sz w:val="24"/>
          <w:szCs w:val="24"/>
        </w:rPr>
        <w:t>Human Rights (Parliamentary Scrutiny) Act 2011</w:t>
      </w:r>
      <w:r w:rsidRPr="003615B4">
        <w:rPr>
          <w:rFonts w:ascii="Times New Roman" w:hAnsi="Times New Roman"/>
          <w:b w:val="0"/>
          <w:sz w:val="24"/>
          <w:szCs w:val="24"/>
        </w:rPr>
        <w:t xml:space="preserve"> is provided at Attachment A to this Explanatory Statement.</w:t>
      </w:r>
    </w:p>
    <w:p w14:paraId="55E52BF9" w14:textId="77777777" w:rsidR="002E6E5D" w:rsidRPr="003615B4" w:rsidRDefault="002E6E5D">
      <w:pPr>
        <w:rPr>
          <w:rFonts w:ascii="Times New Roman" w:hAnsi="Times New Roman"/>
          <w:sz w:val="24"/>
          <w:szCs w:val="24"/>
        </w:rPr>
        <w:sectPr w:rsidR="002E6E5D" w:rsidRPr="003615B4" w:rsidSect="003D5032">
          <w:pgSz w:w="11906" w:h="16838" w:code="9"/>
          <w:pgMar w:top="1440" w:right="1800" w:bottom="1440" w:left="1800" w:header="709" w:footer="709" w:gutter="0"/>
          <w:cols w:space="708"/>
          <w:docGrid w:linePitch="360"/>
        </w:sectPr>
      </w:pPr>
      <w:bookmarkStart w:id="3" w:name="bkConsultation"/>
      <w:bookmarkStart w:id="4" w:name="bkRISNO"/>
      <w:bookmarkEnd w:id="3"/>
      <w:bookmarkEnd w:id="4"/>
    </w:p>
    <w:p w14:paraId="55E52BFA" w14:textId="4EB92F72" w:rsidR="002E6E5D" w:rsidRPr="003615B4" w:rsidRDefault="002E6E5D" w:rsidP="002E6E5D">
      <w:pPr>
        <w:pStyle w:val="Heading"/>
        <w:spacing w:after="240"/>
        <w:rPr>
          <w:rFonts w:ascii="Times New Roman" w:hAnsi="Times New Roman"/>
          <w:sz w:val="24"/>
          <w:szCs w:val="24"/>
        </w:rPr>
      </w:pPr>
      <w:r w:rsidRPr="003615B4">
        <w:rPr>
          <w:rFonts w:ascii="Times New Roman" w:hAnsi="Times New Roman"/>
          <w:sz w:val="24"/>
          <w:szCs w:val="24"/>
        </w:rPr>
        <w:lastRenderedPageBreak/>
        <w:t>Attachment</w:t>
      </w:r>
      <w:r w:rsidR="008D509C">
        <w:rPr>
          <w:rFonts w:ascii="Times New Roman" w:hAnsi="Times New Roman"/>
          <w:sz w:val="24"/>
          <w:szCs w:val="24"/>
        </w:rPr>
        <w:t xml:space="preserve"> A</w:t>
      </w:r>
    </w:p>
    <w:p w14:paraId="55E52BFB" w14:textId="77777777" w:rsidR="002E6E5D" w:rsidRPr="003615B4" w:rsidRDefault="002E6E5D" w:rsidP="002E6E5D">
      <w:pPr>
        <w:shd w:val="clear" w:color="auto" w:fill="FFFFFF"/>
        <w:spacing w:before="100" w:beforeAutospacing="1" w:after="240"/>
        <w:jc w:val="center"/>
        <w:rPr>
          <w:rFonts w:ascii="Times New Roman" w:hAnsi="Times New Roman"/>
          <w:b/>
          <w:sz w:val="24"/>
          <w:szCs w:val="24"/>
          <w:lang w:val="en-US"/>
        </w:rPr>
      </w:pPr>
      <w:r w:rsidRPr="003615B4">
        <w:rPr>
          <w:rFonts w:ascii="Times New Roman" w:hAnsi="Times New Roman"/>
          <w:b/>
          <w:sz w:val="24"/>
          <w:szCs w:val="24"/>
        </w:rPr>
        <w:t>Statement of Compatibility with Human Rights</w:t>
      </w:r>
    </w:p>
    <w:p w14:paraId="55E52BFC" w14:textId="77777777" w:rsidR="002E6E5D" w:rsidRPr="003615B4" w:rsidRDefault="002E6E5D" w:rsidP="002E6E5D">
      <w:pPr>
        <w:shd w:val="clear" w:color="auto" w:fill="FFFFFF"/>
        <w:spacing w:after="240"/>
        <w:jc w:val="center"/>
        <w:outlineLvl w:val="0"/>
        <w:rPr>
          <w:rFonts w:ascii="Times New Roman" w:hAnsi="Times New Roman"/>
          <w:bCs/>
          <w:kern w:val="36"/>
          <w:sz w:val="24"/>
          <w:szCs w:val="24"/>
          <w:lang w:val="en-US"/>
        </w:rPr>
      </w:pPr>
      <w:r w:rsidRPr="003615B4">
        <w:rPr>
          <w:rFonts w:ascii="Times New Roman" w:hAnsi="Times New Roman"/>
          <w:kern w:val="36"/>
          <w:sz w:val="24"/>
          <w:szCs w:val="24"/>
        </w:rPr>
        <w:t xml:space="preserve">Prepared in accordance with Part 3 of the </w:t>
      </w:r>
      <w:r w:rsidRPr="003615B4">
        <w:rPr>
          <w:rFonts w:ascii="Times New Roman" w:hAnsi="Times New Roman"/>
          <w:i/>
          <w:iCs/>
          <w:kern w:val="36"/>
          <w:sz w:val="24"/>
          <w:szCs w:val="24"/>
        </w:rPr>
        <w:t>Human Rights (Parliamentary Scrutiny) Act 2011</w:t>
      </w:r>
    </w:p>
    <w:p w14:paraId="55E52BFD" w14:textId="058A4A95" w:rsidR="002E6E5D" w:rsidRPr="003615B4" w:rsidRDefault="002E6E5D" w:rsidP="002E6E5D">
      <w:pPr>
        <w:shd w:val="clear" w:color="auto" w:fill="FFFFFF"/>
        <w:spacing w:before="100" w:beforeAutospacing="1" w:after="240"/>
        <w:jc w:val="both"/>
        <w:rPr>
          <w:rFonts w:ascii="Times New Roman" w:hAnsi="Times New Roman"/>
          <w:b/>
          <w:sz w:val="24"/>
          <w:szCs w:val="24"/>
        </w:rPr>
      </w:pPr>
      <w:r w:rsidRPr="003615B4">
        <w:rPr>
          <w:rFonts w:ascii="Times New Roman" w:hAnsi="Times New Roman"/>
          <w:b/>
          <w:sz w:val="24"/>
          <w:szCs w:val="24"/>
        </w:rPr>
        <w:t xml:space="preserve">Banking (prudential standard) determination No. </w:t>
      </w:r>
      <w:r w:rsidR="00A706D7">
        <w:rPr>
          <w:rFonts w:ascii="Times New Roman" w:hAnsi="Times New Roman"/>
          <w:b/>
          <w:sz w:val="24"/>
          <w:szCs w:val="24"/>
        </w:rPr>
        <w:t>3</w:t>
      </w:r>
      <w:r w:rsidRPr="003615B4">
        <w:rPr>
          <w:rFonts w:ascii="Times New Roman" w:hAnsi="Times New Roman"/>
          <w:b/>
          <w:sz w:val="24"/>
          <w:szCs w:val="24"/>
        </w:rPr>
        <w:t xml:space="preserve"> of 20</w:t>
      </w:r>
      <w:r w:rsidR="008A2589">
        <w:rPr>
          <w:rFonts w:ascii="Times New Roman" w:hAnsi="Times New Roman"/>
          <w:b/>
          <w:sz w:val="24"/>
          <w:szCs w:val="24"/>
        </w:rPr>
        <w:t>22</w:t>
      </w:r>
    </w:p>
    <w:p w14:paraId="55E52BFE" w14:textId="53468D08" w:rsidR="002E6E5D" w:rsidRPr="003615B4" w:rsidRDefault="002E6E5D" w:rsidP="002E6E5D">
      <w:pPr>
        <w:shd w:val="clear" w:color="auto" w:fill="FFFFFF"/>
        <w:spacing w:before="100" w:beforeAutospacing="1" w:after="240"/>
        <w:jc w:val="both"/>
        <w:rPr>
          <w:rFonts w:ascii="Times New Roman" w:hAnsi="Times New Roman"/>
          <w:sz w:val="24"/>
          <w:szCs w:val="24"/>
          <w:lang w:val="en-US"/>
        </w:rPr>
      </w:pPr>
      <w:r w:rsidRPr="003615B4">
        <w:rPr>
          <w:rFonts w:ascii="Times New Roman" w:hAnsi="Times New Roman"/>
          <w:sz w:val="24"/>
          <w:szCs w:val="24"/>
        </w:rPr>
        <w:t xml:space="preserve">This Legislative Instrument </w:t>
      </w:r>
      <w:r w:rsidR="00C477A9">
        <w:rPr>
          <w:rFonts w:ascii="Times New Roman" w:hAnsi="Times New Roman"/>
          <w:sz w:val="24"/>
          <w:szCs w:val="24"/>
        </w:rPr>
        <w:t>is</w:t>
      </w:r>
      <w:r w:rsidRPr="003615B4">
        <w:rPr>
          <w:rFonts w:ascii="Times New Roman" w:hAnsi="Times New Roman"/>
          <w:sz w:val="24"/>
          <w:szCs w:val="24"/>
        </w:rPr>
        <w:t xml:space="preserve"> compatible with the human rights and freedoms recognised or declared in the international instrument listed in section 3 of the </w:t>
      </w:r>
      <w:r w:rsidRPr="003615B4">
        <w:rPr>
          <w:rFonts w:ascii="Times New Roman" w:hAnsi="Times New Roman"/>
          <w:i/>
          <w:iCs/>
          <w:sz w:val="24"/>
          <w:szCs w:val="24"/>
        </w:rPr>
        <w:t>Human Rights (Parliamentary Scrutiny) Act 2011</w:t>
      </w:r>
      <w:r w:rsidRPr="003615B4">
        <w:rPr>
          <w:rFonts w:ascii="Times New Roman" w:hAnsi="Times New Roman"/>
          <w:sz w:val="24"/>
          <w:szCs w:val="24"/>
        </w:rPr>
        <w:t xml:space="preserve"> (HRPS Act)</w:t>
      </w:r>
      <w:r w:rsidR="00072BCA">
        <w:rPr>
          <w:rFonts w:ascii="Times New Roman" w:hAnsi="Times New Roman"/>
          <w:sz w:val="24"/>
          <w:szCs w:val="24"/>
        </w:rPr>
        <w:t>.</w:t>
      </w:r>
    </w:p>
    <w:p w14:paraId="55E52BFF" w14:textId="7FE522FA" w:rsidR="002E6E5D" w:rsidRPr="003615B4" w:rsidRDefault="002E6E5D" w:rsidP="002E6E5D">
      <w:pPr>
        <w:shd w:val="clear" w:color="auto" w:fill="FFFFFF"/>
        <w:spacing w:before="100" w:beforeAutospacing="1" w:after="240"/>
        <w:jc w:val="both"/>
        <w:rPr>
          <w:rFonts w:ascii="Times New Roman" w:hAnsi="Times New Roman"/>
          <w:sz w:val="24"/>
          <w:szCs w:val="24"/>
          <w:lang w:val="en-US"/>
        </w:rPr>
      </w:pPr>
      <w:r w:rsidRPr="003615B4">
        <w:rPr>
          <w:rFonts w:ascii="Times New Roman" w:hAnsi="Times New Roman"/>
          <w:b/>
          <w:bCs/>
          <w:sz w:val="24"/>
          <w:szCs w:val="24"/>
        </w:rPr>
        <w:t>Overview of the Legislative Instrument</w:t>
      </w:r>
    </w:p>
    <w:p w14:paraId="55E52C01" w14:textId="5034BA8B" w:rsidR="005D1E2B" w:rsidRPr="003615B4" w:rsidRDefault="002E6E5D" w:rsidP="0086608F">
      <w:pPr>
        <w:shd w:val="clear" w:color="auto" w:fill="FFFFFF"/>
        <w:spacing w:before="100" w:beforeAutospacing="1" w:after="240"/>
        <w:jc w:val="both"/>
        <w:rPr>
          <w:rFonts w:ascii="Times New Roman" w:hAnsi="Times New Roman"/>
          <w:sz w:val="24"/>
          <w:szCs w:val="24"/>
        </w:rPr>
      </w:pPr>
      <w:r w:rsidRPr="003615B4">
        <w:rPr>
          <w:rFonts w:ascii="Times New Roman" w:hAnsi="Times New Roman"/>
          <w:bCs/>
          <w:sz w:val="24"/>
          <w:szCs w:val="24"/>
        </w:rPr>
        <w:t>The purpose of the instrument is to revoke</w:t>
      </w:r>
      <w:r w:rsidR="009E144B">
        <w:rPr>
          <w:rFonts w:ascii="Times New Roman" w:hAnsi="Times New Roman"/>
          <w:sz w:val="24"/>
          <w:szCs w:val="24"/>
        </w:rPr>
        <w:t xml:space="preserve"> </w:t>
      </w:r>
      <w:r w:rsidR="00E256DF" w:rsidRPr="003615B4">
        <w:rPr>
          <w:rFonts w:ascii="Times New Roman" w:hAnsi="Times New Roman"/>
          <w:i/>
          <w:sz w:val="24"/>
          <w:szCs w:val="24"/>
        </w:rPr>
        <w:t xml:space="preserve">Prudential Standard APS </w:t>
      </w:r>
      <w:r w:rsidR="005D1E2B" w:rsidRPr="003615B4">
        <w:rPr>
          <w:rFonts w:ascii="Times New Roman" w:hAnsi="Times New Roman"/>
          <w:i/>
          <w:sz w:val="24"/>
          <w:szCs w:val="24"/>
        </w:rPr>
        <w:t>330</w:t>
      </w:r>
      <w:r w:rsidR="00E256DF" w:rsidRPr="003615B4">
        <w:rPr>
          <w:rFonts w:ascii="Times New Roman" w:hAnsi="Times New Roman"/>
          <w:i/>
          <w:sz w:val="24"/>
          <w:szCs w:val="24"/>
        </w:rPr>
        <w:t xml:space="preserve"> </w:t>
      </w:r>
      <w:r w:rsidR="005D1E2B" w:rsidRPr="003615B4">
        <w:rPr>
          <w:rFonts w:ascii="Times New Roman" w:hAnsi="Times New Roman"/>
          <w:i/>
          <w:sz w:val="24"/>
          <w:szCs w:val="24"/>
        </w:rPr>
        <w:t>Public Disclosure</w:t>
      </w:r>
      <w:r w:rsidR="00E256DF" w:rsidRPr="003615B4">
        <w:rPr>
          <w:rFonts w:ascii="Times New Roman" w:hAnsi="Times New Roman"/>
          <w:sz w:val="24"/>
          <w:szCs w:val="24"/>
        </w:rPr>
        <w:t xml:space="preserve"> (APS </w:t>
      </w:r>
      <w:r w:rsidR="005D1E2B" w:rsidRPr="003615B4">
        <w:rPr>
          <w:rFonts w:ascii="Times New Roman" w:hAnsi="Times New Roman"/>
          <w:sz w:val="24"/>
          <w:szCs w:val="24"/>
        </w:rPr>
        <w:t>330</w:t>
      </w:r>
      <w:r w:rsidR="00E256DF" w:rsidRPr="003615B4">
        <w:rPr>
          <w:rFonts w:ascii="Times New Roman" w:hAnsi="Times New Roman"/>
          <w:sz w:val="24"/>
          <w:szCs w:val="24"/>
        </w:rPr>
        <w:t xml:space="preserve">) determined by APRA in </w:t>
      </w:r>
      <w:r w:rsidR="00866FF1" w:rsidRPr="003615B4">
        <w:rPr>
          <w:rFonts w:ascii="Times New Roman" w:hAnsi="Times New Roman"/>
          <w:sz w:val="24"/>
          <w:szCs w:val="24"/>
        </w:rPr>
        <w:t>201</w:t>
      </w:r>
      <w:r w:rsidR="008A2589">
        <w:rPr>
          <w:rFonts w:ascii="Times New Roman" w:hAnsi="Times New Roman"/>
          <w:sz w:val="24"/>
          <w:szCs w:val="24"/>
        </w:rPr>
        <w:t>8</w:t>
      </w:r>
      <w:r w:rsidR="00E256DF" w:rsidRPr="003615B4">
        <w:rPr>
          <w:rFonts w:ascii="Times New Roman" w:hAnsi="Times New Roman"/>
          <w:sz w:val="24"/>
          <w:szCs w:val="24"/>
        </w:rPr>
        <w:t xml:space="preserve"> and replace it with a new </w:t>
      </w:r>
      <w:r w:rsidR="00E256DF" w:rsidRPr="003615B4">
        <w:rPr>
          <w:rFonts w:ascii="Times New Roman" w:hAnsi="Times New Roman"/>
          <w:i/>
          <w:sz w:val="24"/>
          <w:szCs w:val="24"/>
        </w:rPr>
        <w:t xml:space="preserve">Prudential Standard APS </w:t>
      </w:r>
      <w:r w:rsidR="005D1E2B" w:rsidRPr="003615B4">
        <w:rPr>
          <w:rFonts w:ascii="Times New Roman" w:hAnsi="Times New Roman"/>
          <w:i/>
          <w:sz w:val="24"/>
          <w:szCs w:val="24"/>
        </w:rPr>
        <w:t>330 Public Disclosure</w:t>
      </w:r>
      <w:r w:rsidR="005D1E2B" w:rsidRPr="003615B4">
        <w:rPr>
          <w:rFonts w:ascii="Times New Roman" w:hAnsi="Times New Roman"/>
          <w:sz w:val="24"/>
          <w:szCs w:val="24"/>
        </w:rPr>
        <w:t xml:space="preserve"> (</w:t>
      </w:r>
      <w:r w:rsidR="00E256DF" w:rsidRPr="003615B4">
        <w:rPr>
          <w:rFonts w:ascii="Times New Roman" w:hAnsi="Times New Roman"/>
          <w:sz w:val="24"/>
          <w:szCs w:val="24"/>
        </w:rPr>
        <w:t xml:space="preserve">new APS </w:t>
      </w:r>
      <w:r w:rsidR="005D1E2B" w:rsidRPr="003615B4">
        <w:rPr>
          <w:rFonts w:ascii="Times New Roman" w:hAnsi="Times New Roman"/>
          <w:sz w:val="24"/>
          <w:szCs w:val="24"/>
        </w:rPr>
        <w:t>330)</w:t>
      </w:r>
      <w:r w:rsidR="00E256DF" w:rsidRPr="003615B4">
        <w:rPr>
          <w:rFonts w:ascii="Times New Roman" w:hAnsi="Times New Roman"/>
          <w:sz w:val="24"/>
          <w:szCs w:val="24"/>
        </w:rPr>
        <w:t xml:space="preserve">. New APS </w:t>
      </w:r>
      <w:r w:rsidR="005D1E2B" w:rsidRPr="003615B4">
        <w:rPr>
          <w:rFonts w:ascii="Times New Roman" w:hAnsi="Times New Roman"/>
          <w:sz w:val="24"/>
          <w:szCs w:val="24"/>
        </w:rPr>
        <w:t>330</w:t>
      </w:r>
      <w:r w:rsidR="00E256DF" w:rsidRPr="003615B4">
        <w:rPr>
          <w:rFonts w:ascii="Times New Roman" w:hAnsi="Times New Roman"/>
          <w:sz w:val="24"/>
          <w:szCs w:val="24"/>
        </w:rPr>
        <w:t xml:space="preserve"> </w:t>
      </w:r>
      <w:r w:rsidR="008A2589">
        <w:rPr>
          <w:rFonts w:ascii="Times New Roman" w:hAnsi="Times New Roman"/>
          <w:sz w:val="24"/>
          <w:szCs w:val="24"/>
        </w:rPr>
        <w:t xml:space="preserve">ensures consistency of APRA’s public disclosure requirements for authorised deposit-taking institutions (ADIs) with APRA’s release of a new set of prudential standards that impose regulatory capital requirements on ADIs for the purpose of ensuring ADIs hold sufficient capital to address the risks associated with their operations. </w:t>
      </w:r>
      <w:r w:rsidR="008A2589" w:rsidRPr="00F361E2">
        <w:rPr>
          <w:rFonts w:ascii="Times New Roman" w:hAnsi="Times New Roman"/>
          <w:sz w:val="24"/>
          <w:szCs w:val="24"/>
        </w:rPr>
        <w:t xml:space="preserve">ADIs are bodies corporate that have been granted the authority, under the </w:t>
      </w:r>
      <w:r w:rsidR="008A2589" w:rsidRPr="00B03601">
        <w:rPr>
          <w:rFonts w:ascii="Times New Roman" w:hAnsi="Times New Roman"/>
          <w:i/>
          <w:sz w:val="24"/>
          <w:szCs w:val="24"/>
        </w:rPr>
        <w:t>Banking Act 1959</w:t>
      </w:r>
      <w:r w:rsidR="008A2589" w:rsidRPr="00F361E2">
        <w:rPr>
          <w:rFonts w:ascii="Times New Roman" w:hAnsi="Times New Roman"/>
          <w:sz w:val="24"/>
          <w:szCs w:val="24"/>
        </w:rPr>
        <w:t>, to carry on banking business in Australia.</w:t>
      </w:r>
      <w:r w:rsidR="008A2589">
        <w:rPr>
          <w:rFonts w:ascii="Times New Roman" w:hAnsi="Times New Roman"/>
          <w:sz w:val="24"/>
          <w:szCs w:val="24"/>
        </w:rPr>
        <w:t xml:space="preserve"> The consequential amendments also update cross referencing to the capital prudential standards and make minor clarifications requested by ADIs.</w:t>
      </w:r>
    </w:p>
    <w:p w14:paraId="55E52C03" w14:textId="77777777" w:rsidR="002E6E5D" w:rsidRPr="003615B4" w:rsidRDefault="002E6E5D" w:rsidP="007968BD">
      <w:pPr>
        <w:keepNext/>
        <w:shd w:val="clear" w:color="auto" w:fill="FFFFFF"/>
        <w:spacing w:before="100" w:beforeAutospacing="1" w:after="240"/>
        <w:jc w:val="both"/>
        <w:rPr>
          <w:rFonts w:ascii="Times New Roman" w:hAnsi="Times New Roman"/>
          <w:sz w:val="24"/>
          <w:szCs w:val="24"/>
          <w:lang w:val="en-US"/>
        </w:rPr>
      </w:pPr>
      <w:r w:rsidRPr="003615B4">
        <w:rPr>
          <w:rFonts w:ascii="Times New Roman" w:hAnsi="Times New Roman"/>
          <w:b/>
          <w:bCs/>
          <w:sz w:val="24"/>
          <w:szCs w:val="24"/>
        </w:rPr>
        <w:t>Human rights implications</w:t>
      </w:r>
    </w:p>
    <w:p w14:paraId="55E52C04" w14:textId="314E7A5B" w:rsidR="002E6E5D" w:rsidRPr="001739F9" w:rsidRDefault="002E6E5D" w:rsidP="0086608F">
      <w:pPr>
        <w:jc w:val="both"/>
        <w:rPr>
          <w:rFonts w:ascii="Times New Roman" w:hAnsi="Times New Roman"/>
          <w:sz w:val="24"/>
          <w:szCs w:val="24"/>
          <w:lang w:val="en-US"/>
        </w:rPr>
      </w:pPr>
      <w:r w:rsidRPr="001739F9">
        <w:rPr>
          <w:rFonts w:ascii="Times New Roman" w:hAnsi="Times New Roman"/>
          <w:sz w:val="24"/>
          <w:szCs w:val="24"/>
        </w:rPr>
        <w:t xml:space="preserve">APRA has assessed the instrument and is of the view that </w:t>
      </w:r>
      <w:r w:rsidR="00C477A9">
        <w:rPr>
          <w:rFonts w:ascii="Times New Roman" w:hAnsi="Times New Roman"/>
          <w:sz w:val="24"/>
          <w:szCs w:val="24"/>
        </w:rPr>
        <w:t xml:space="preserve">it </w:t>
      </w:r>
      <w:r w:rsidRPr="001739F9">
        <w:rPr>
          <w:rFonts w:ascii="Times New Roman" w:hAnsi="Times New Roman"/>
          <w:sz w:val="24"/>
          <w:szCs w:val="24"/>
        </w:rPr>
        <w:t>do</w:t>
      </w:r>
      <w:r w:rsidR="00C477A9">
        <w:rPr>
          <w:rFonts w:ascii="Times New Roman" w:hAnsi="Times New Roman"/>
          <w:sz w:val="24"/>
          <w:szCs w:val="24"/>
        </w:rPr>
        <w:t>es</w:t>
      </w:r>
      <w:r w:rsidRPr="001739F9">
        <w:rPr>
          <w:rFonts w:ascii="Times New Roman" w:hAnsi="Times New Roman"/>
          <w:sz w:val="24"/>
          <w:szCs w:val="24"/>
        </w:rPr>
        <w:t xml:space="preserve"> not engage any of the applicable rights or freedoms recognised or declared in the international instruments listed in section 3 of the HRPS Act. Accordingly, in APRA’s assessment, the instrument </w:t>
      </w:r>
      <w:r w:rsidR="00C477A9">
        <w:rPr>
          <w:rFonts w:ascii="Times New Roman" w:hAnsi="Times New Roman"/>
          <w:sz w:val="24"/>
          <w:szCs w:val="24"/>
        </w:rPr>
        <w:t>is</w:t>
      </w:r>
      <w:r w:rsidRPr="001739F9">
        <w:rPr>
          <w:rFonts w:ascii="Times New Roman" w:hAnsi="Times New Roman"/>
          <w:sz w:val="24"/>
          <w:szCs w:val="24"/>
        </w:rPr>
        <w:t xml:space="preserve"> compatible with human rights.</w:t>
      </w:r>
    </w:p>
    <w:p w14:paraId="55E52C05" w14:textId="77777777" w:rsidR="002E6E5D" w:rsidRPr="003615B4" w:rsidRDefault="002E6E5D" w:rsidP="002E6E5D">
      <w:pPr>
        <w:shd w:val="clear" w:color="auto" w:fill="FFFFFF"/>
        <w:spacing w:before="100" w:beforeAutospacing="1" w:after="240"/>
        <w:jc w:val="both"/>
        <w:rPr>
          <w:rFonts w:ascii="Times New Roman" w:hAnsi="Times New Roman"/>
          <w:sz w:val="24"/>
          <w:szCs w:val="24"/>
          <w:lang w:val="en-US"/>
        </w:rPr>
      </w:pPr>
      <w:r w:rsidRPr="003615B4">
        <w:rPr>
          <w:rFonts w:ascii="Times New Roman" w:hAnsi="Times New Roman"/>
          <w:b/>
          <w:bCs/>
          <w:sz w:val="24"/>
          <w:szCs w:val="24"/>
        </w:rPr>
        <w:t>Conclusion</w:t>
      </w:r>
    </w:p>
    <w:p w14:paraId="55E52C06" w14:textId="20E495AD" w:rsidR="002E6E5D" w:rsidRPr="003615B4" w:rsidRDefault="002E6E5D" w:rsidP="002E6E5D">
      <w:pPr>
        <w:pStyle w:val="Heading"/>
        <w:spacing w:after="240"/>
        <w:rPr>
          <w:rFonts w:ascii="Times New Roman" w:hAnsi="Times New Roman"/>
          <w:b w:val="0"/>
          <w:sz w:val="24"/>
          <w:szCs w:val="24"/>
        </w:rPr>
      </w:pPr>
      <w:r w:rsidRPr="003615B4">
        <w:rPr>
          <w:rFonts w:ascii="Times New Roman" w:hAnsi="Times New Roman"/>
          <w:b w:val="0"/>
          <w:sz w:val="24"/>
          <w:szCs w:val="24"/>
        </w:rPr>
        <w:t>Th</w:t>
      </w:r>
      <w:r w:rsidR="00470D51">
        <w:rPr>
          <w:rFonts w:ascii="Times New Roman" w:hAnsi="Times New Roman"/>
          <w:b w:val="0"/>
          <w:sz w:val="24"/>
          <w:szCs w:val="24"/>
        </w:rPr>
        <w:t>is</w:t>
      </w:r>
      <w:r w:rsidR="00F97528" w:rsidRPr="003615B4">
        <w:rPr>
          <w:rFonts w:ascii="Times New Roman" w:hAnsi="Times New Roman"/>
          <w:b w:val="0"/>
          <w:sz w:val="24"/>
          <w:szCs w:val="24"/>
        </w:rPr>
        <w:t xml:space="preserve"> legislative</w:t>
      </w:r>
      <w:r w:rsidRPr="003615B4">
        <w:rPr>
          <w:rFonts w:ascii="Times New Roman" w:hAnsi="Times New Roman"/>
          <w:b w:val="0"/>
          <w:sz w:val="24"/>
          <w:szCs w:val="24"/>
        </w:rPr>
        <w:t xml:space="preserve"> instrument </w:t>
      </w:r>
      <w:r w:rsidR="00C477A9">
        <w:rPr>
          <w:rFonts w:ascii="Times New Roman" w:hAnsi="Times New Roman"/>
          <w:b w:val="0"/>
          <w:sz w:val="24"/>
          <w:szCs w:val="24"/>
        </w:rPr>
        <w:t>is</w:t>
      </w:r>
      <w:r w:rsidRPr="003615B4">
        <w:rPr>
          <w:rFonts w:ascii="Times New Roman" w:hAnsi="Times New Roman"/>
          <w:b w:val="0"/>
          <w:sz w:val="24"/>
          <w:szCs w:val="24"/>
        </w:rPr>
        <w:t xml:space="preserve"> compatible with human rights as </w:t>
      </w:r>
      <w:r w:rsidR="00C477A9">
        <w:rPr>
          <w:rFonts w:ascii="Times New Roman" w:hAnsi="Times New Roman"/>
          <w:b w:val="0"/>
          <w:sz w:val="24"/>
          <w:szCs w:val="24"/>
        </w:rPr>
        <w:t>it does</w:t>
      </w:r>
      <w:r w:rsidRPr="003615B4">
        <w:rPr>
          <w:rFonts w:ascii="Times New Roman" w:hAnsi="Times New Roman"/>
          <w:b w:val="0"/>
          <w:sz w:val="24"/>
          <w:szCs w:val="24"/>
        </w:rPr>
        <w:t xml:space="preserve"> do not raise any human rights issues.</w:t>
      </w:r>
    </w:p>
    <w:p w14:paraId="55E52C07" w14:textId="77777777" w:rsidR="00E617B2" w:rsidRDefault="00E617B2"/>
    <w:sectPr w:rsidR="00E617B2" w:rsidSect="003D5032">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7C25" w14:textId="77777777" w:rsidR="00E87726" w:rsidRDefault="00E87726" w:rsidP="00E617B2">
      <w:r>
        <w:separator/>
      </w:r>
    </w:p>
  </w:endnote>
  <w:endnote w:type="continuationSeparator" w:id="0">
    <w:p w14:paraId="2F8474EE" w14:textId="77777777" w:rsidR="00E87726" w:rsidRDefault="00E87726" w:rsidP="00E617B2">
      <w:r>
        <w:continuationSeparator/>
      </w:r>
    </w:p>
  </w:endnote>
  <w:endnote w:type="continuationNotice" w:id="1">
    <w:p w14:paraId="51C2DCDD" w14:textId="77777777" w:rsidR="00E87726" w:rsidRDefault="00E877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6700D" w14:textId="77777777" w:rsidR="00E87726" w:rsidRDefault="00E87726" w:rsidP="00E617B2">
      <w:r>
        <w:separator/>
      </w:r>
    </w:p>
  </w:footnote>
  <w:footnote w:type="continuationSeparator" w:id="0">
    <w:p w14:paraId="541BC215" w14:textId="77777777" w:rsidR="00E87726" w:rsidRDefault="00E87726" w:rsidP="00E617B2">
      <w:r>
        <w:continuationSeparator/>
      </w:r>
    </w:p>
  </w:footnote>
  <w:footnote w:type="continuationNotice" w:id="1">
    <w:p w14:paraId="14FBEBB6" w14:textId="77777777" w:rsidR="00E87726" w:rsidRDefault="00E87726"/>
  </w:footnote>
  <w:footnote w:id="2">
    <w:p w14:paraId="7CF5DE20" w14:textId="1C0BAC64" w:rsidR="00E87726" w:rsidRDefault="00E87726">
      <w:pPr>
        <w:pStyle w:val="FootnoteText"/>
      </w:pPr>
      <w:r>
        <w:rPr>
          <w:rStyle w:val="FootnoteReference"/>
        </w:rPr>
        <w:footnoteRef/>
      </w:r>
      <w:r>
        <w:t xml:space="preserve"> The Basel Committee, of which Australia is a member, is the primary global standard-setter for the prudential regulation of banks and provides a forum for cooperation on banking supervisory matters. Its mandate is to strengthen the regulation, </w:t>
      </w:r>
      <w:proofErr w:type="gramStart"/>
      <w:r>
        <w:t>supervision</w:t>
      </w:r>
      <w:proofErr w:type="gramEnd"/>
      <w:r>
        <w:t xml:space="preserve"> and practices of banks worldwide with the purpose of enhancing financial stability.  </w:t>
      </w:r>
    </w:p>
  </w:footnote>
  <w:footnote w:id="3">
    <w:p w14:paraId="21E6190A" w14:textId="18A6736C" w:rsidR="00E87726" w:rsidRDefault="00E87726" w:rsidP="000168CB">
      <w:pPr>
        <w:pStyle w:val="Default"/>
      </w:pPr>
      <w:r w:rsidRPr="000168CB">
        <w:rPr>
          <w:rStyle w:val="FootnoteReference"/>
          <w:rFonts w:ascii="Times New Roman" w:hAnsi="Times New Roman"/>
          <w:sz w:val="20"/>
          <w:szCs w:val="20"/>
        </w:rPr>
        <w:footnoteRef/>
      </w:r>
      <w:r w:rsidRPr="000168CB">
        <w:rPr>
          <w:rFonts w:ascii="Times New Roman" w:hAnsi="Times New Roman" w:cs="Times New Roman"/>
          <w:sz w:val="20"/>
          <w:szCs w:val="20"/>
        </w:rPr>
        <w:t xml:space="preserve"> </w:t>
      </w:r>
      <w:r w:rsidRPr="000168CB">
        <w:rPr>
          <w:rFonts w:ascii="Times New Roman" w:hAnsi="Times New Roman" w:cs="Times New Roman"/>
          <w:i/>
          <w:iCs/>
          <w:sz w:val="20"/>
          <w:szCs w:val="20"/>
        </w:rPr>
        <w:t xml:space="preserve">Basel Committee Standards Pillar 3 disclosure requirements – </w:t>
      </w:r>
      <w:r w:rsidR="00671F35">
        <w:rPr>
          <w:rFonts w:ascii="Times New Roman" w:hAnsi="Times New Roman" w:cs="Times New Roman"/>
          <w:i/>
          <w:iCs/>
          <w:sz w:val="20"/>
          <w:szCs w:val="20"/>
        </w:rPr>
        <w:t xml:space="preserve">updated </w:t>
      </w:r>
      <w:r w:rsidR="00671F35" w:rsidRPr="000168CB">
        <w:rPr>
          <w:rFonts w:ascii="Times New Roman" w:hAnsi="Times New Roman" w:cs="Times New Roman"/>
          <w:i/>
          <w:iCs/>
          <w:sz w:val="20"/>
          <w:szCs w:val="20"/>
        </w:rPr>
        <w:t>framework</w:t>
      </w:r>
      <w:r w:rsidRPr="000168CB">
        <w:rPr>
          <w:rFonts w:ascii="Times New Roman" w:hAnsi="Times New Roman" w:cs="Times New Roman"/>
          <w:i/>
          <w:iCs/>
          <w:sz w:val="20"/>
          <w:szCs w:val="20"/>
        </w:rPr>
        <w:t xml:space="preserve">, </w:t>
      </w:r>
      <w:r w:rsidR="003878AB">
        <w:rPr>
          <w:rFonts w:ascii="Times New Roman" w:hAnsi="Times New Roman" w:cs="Times New Roman"/>
          <w:i/>
          <w:iCs/>
          <w:sz w:val="20"/>
          <w:szCs w:val="20"/>
        </w:rPr>
        <w:t>December 2018</w:t>
      </w:r>
      <w:r w:rsidRPr="000168CB">
        <w:rPr>
          <w:rFonts w:ascii="Times New Roman" w:hAnsi="Times New Roman" w:cs="Times New Roman"/>
          <w:sz w:val="20"/>
          <w:szCs w:val="20"/>
        </w:rPr>
        <w:t xml:space="preserve">, available at: </w:t>
      </w:r>
      <w:hyperlink r:id="rId1" w:history="1">
        <w:r w:rsidR="003878AB" w:rsidRPr="009E604B">
          <w:rPr>
            <w:rStyle w:val="Hyperlink"/>
            <w:rFonts w:ascii="Times New Roman" w:hAnsi="Times New Roman" w:cs="Times New Roman"/>
            <w:sz w:val="20"/>
            <w:szCs w:val="20"/>
          </w:rPr>
          <w:t>https://www.bis.org/bcbs/publ/d455.htm</w:t>
        </w:r>
      </w:hyperlink>
      <w:r w:rsidR="003878AB">
        <w:rPr>
          <w:rStyle w:val="Hyperlink"/>
          <w:rFonts w:ascii="Times New Roman" w:hAnsi="Times New Roman" w:cs="Times New Roman"/>
          <w:sz w:val="20"/>
          <w:szCs w:val="20"/>
        </w:rPr>
        <w:t>.</w:t>
      </w:r>
    </w:p>
  </w:footnote>
  <w:footnote w:id="4">
    <w:p w14:paraId="120BDE1D" w14:textId="77777777" w:rsidR="001D4136" w:rsidRPr="00424934" w:rsidRDefault="001D4136" w:rsidP="001D4136">
      <w:pPr>
        <w:pStyle w:val="FootnoteText"/>
      </w:pPr>
      <w:r w:rsidRPr="001E4AB6">
        <w:rPr>
          <w:rStyle w:val="FootnoteReference"/>
        </w:rPr>
        <w:footnoteRef/>
      </w:r>
      <w:r w:rsidRPr="001E4AB6">
        <w:t xml:space="preserve"> </w:t>
      </w:r>
      <w:r w:rsidRPr="00424934">
        <w:t>Subsection 9</w:t>
      </w:r>
      <w:proofErr w:type="gramStart"/>
      <w:r w:rsidRPr="00424934">
        <w:t>A(</w:t>
      </w:r>
      <w:proofErr w:type="gramEnd"/>
      <w:r w:rsidRPr="00424934">
        <w:t>4) of the Act specifically provides that APRA does not need to consult where APRA is satisfied that doing so could result in a delay in revocation that would be:</w:t>
      </w:r>
    </w:p>
    <w:p w14:paraId="6C54B023" w14:textId="77777777" w:rsidR="001D4136" w:rsidRPr="00424934" w:rsidRDefault="001D4136" w:rsidP="001D4136">
      <w:pPr>
        <w:pStyle w:val="FootnoteText"/>
        <w:numPr>
          <w:ilvl w:val="0"/>
          <w:numId w:val="26"/>
        </w:numPr>
        <w:ind w:left="360"/>
        <w:jc w:val="left"/>
      </w:pPr>
      <w:r w:rsidRPr="00424934">
        <w:t>contrary to the national interest; or</w:t>
      </w:r>
    </w:p>
    <w:p w14:paraId="07F61200" w14:textId="77777777" w:rsidR="001D4136" w:rsidRPr="00424934" w:rsidRDefault="001D4136" w:rsidP="001D4136">
      <w:pPr>
        <w:pStyle w:val="FootnoteText"/>
        <w:numPr>
          <w:ilvl w:val="0"/>
          <w:numId w:val="26"/>
        </w:numPr>
        <w:ind w:left="360"/>
        <w:jc w:val="left"/>
      </w:pPr>
      <w:r w:rsidRPr="00424934">
        <w:t>contrary to the interests of depositors with the ADI.</w:t>
      </w:r>
    </w:p>
  </w:footnote>
  <w:footnote w:id="5">
    <w:p w14:paraId="795237D2" w14:textId="3C6424B9" w:rsidR="00E87726" w:rsidRDefault="00E87726">
      <w:pPr>
        <w:pStyle w:val="FootnoteText"/>
      </w:pPr>
      <w:r>
        <w:rPr>
          <w:rStyle w:val="FootnoteReference"/>
        </w:rPr>
        <w:footnoteRef/>
      </w:r>
      <w:r>
        <w:t xml:space="preserve"> </w:t>
      </w:r>
      <w:hyperlink r:id="rId2" w:history="1">
        <w:r w:rsidR="001D4136" w:rsidRPr="009E604B">
          <w:rPr>
            <w:rStyle w:val="Hyperlink"/>
          </w:rPr>
          <w:t>https://www.apra.gov.au/public-disclosure-requirements-for-authorised-deposit-taking-institutions</w:t>
        </w:r>
      </w:hyperlink>
      <w:r w:rsidR="001D4136">
        <w:t xml:space="preserve">. </w:t>
      </w:r>
    </w:p>
  </w:footnote>
  <w:footnote w:id="6">
    <w:p w14:paraId="1BB9A0B8" w14:textId="74363FE8" w:rsidR="008D2133" w:rsidRDefault="008D2133">
      <w:pPr>
        <w:pStyle w:val="FootnoteText"/>
      </w:pPr>
      <w:r>
        <w:rPr>
          <w:rStyle w:val="FootnoteReference"/>
        </w:rPr>
        <w:footnoteRef/>
      </w:r>
      <w:r w:rsidR="001D4136">
        <w:t xml:space="preserve"> See footnote </w:t>
      </w:r>
      <w:r w:rsidR="00AA50D5">
        <w:t>4</w:t>
      </w:r>
      <w:r w:rsidR="001D413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1BB"/>
    <w:multiLevelType w:val="hybridMultilevel"/>
    <w:tmpl w:val="066CA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70CEC"/>
    <w:multiLevelType w:val="hybridMultilevel"/>
    <w:tmpl w:val="34225274"/>
    <w:lvl w:ilvl="0" w:tplc="87AAF206">
      <w:start w:val="1"/>
      <w:numFmt w:val="lowerLetter"/>
      <w:lvlText w:val="(%1)"/>
      <w:lvlJc w:val="left"/>
      <w:pPr>
        <w:ind w:left="72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B33673F"/>
    <w:multiLevelType w:val="hybridMultilevel"/>
    <w:tmpl w:val="39947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A81249"/>
    <w:multiLevelType w:val="hybridMultilevel"/>
    <w:tmpl w:val="43043D8E"/>
    <w:lvl w:ilvl="0" w:tplc="DD5EE5FE">
      <w:start w:val="1"/>
      <w:numFmt w:val="decimal"/>
      <w:lvlText w:val="%1."/>
      <w:lvlJc w:val="left"/>
      <w:pPr>
        <w:tabs>
          <w:tab w:val="num" w:pos="360"/>
        </w:tabs>
        <w:ind w:left="360" w:hanging="360"/>
      </w:pPr>
      <w:rPr>
        <w:rFonts w:hint="default"/>
        <w:b/>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8B10441"/>
    <w:multiLevelType w:val="hybridMultilevel"/>
    <w:tmpl w:val="C1D49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F12EE3"/>
    <w:multiLevelType w:val="hybridMultilevel"/>
    <w:tmpl w:val="F2A2E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04899"/>
    <w:multiLevelType w:val="hybridMultilevel"/>
    <w:tmpl w:val="691CCA5C"/>
    <w:lvl w:ilvl="0" w:tplc="CBEEE58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4866A4A"/>
    <w:multiLevelType w:val="hybridMultilevel"/>
    <w:tmpl w:val="DA1C03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50153F0"/>
    <w:multiLevelType w:val="hybridMultilevel"/>
    <w:tmpl w:val="DE2E2F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87C5B38"/>
    <w:multiLevelType w:val="hybridMultilevel"/>
    <w:tmpl w:val="901E6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022BC2"/>
    <w:multiLevelType w:val="hybridMultilevel"/>
    <w:tmpl w:val="D228E4B4"/>
    <w:lvl w:ilvl="0" w:tplc="17706FA4">
      <w:start w:val="1"/>
      <w:numFmt w:val="bullet"/>
      <w:lvlText w:val=""/>
      <w:lvlJc w:val="left"/>
      <w:pPr>
        <w:tabs>
          <w:tab w:val="num" w:pos="567"/>
        </w:tabs>
        <w:ind w:left="567" w:hanging="567"/>
      </w:pPr>
      <w:rPr>
        <w:rFonts w:ascii="Symbol" w:hAnsi="Symbol"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6D40B8"/>
    <w:multiLevelType w:val="hybridMultilevel"/>
    <w:tmpl w:val="220ED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EE5DBB"/>
    <w:multiLevelType w:val="hybridMultilevel"/>
    <w:tmpl w:val="1BBC3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EB3063"/>
    <w:multiLevelType w:val="hybridMultilevel"/>
    <w:tmpl w:val="1890C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CF5B70"/>
    <w:multiLevelType w:val="hybridMultilevel"/>
    <w:tmpl w:val="5B320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393E71"/>
    <w:multiLevelType w:val="hybridMultilevel"/>
    <w:tmpl w:val="5E32F7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C92DB8"/>
    <w:multiLevelType w:val="hybridMultilevel"/>
    <w:tmpl w:val="1C62591C"/>
    <w:lvl w:ilvl="0" w:tplc="6E86A16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373875"/>
    <w:multiLevelType w:val="hybridMultilevel"/>
    <w:tmpl w:val="5ED2F1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965649C"/>
    <w:multiLevelType w:val="hybridMultilevel"/>
    <w:tmpl w:val="1528D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A804A8"/>
    <w:multiLevelType w:val="hybridMultilevel"/>
    <w:tmpl w:val="10A61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DA3D61"/>
    <w:multiLevelType w:val="hybridMultilevel"/>
    <w:tmpl w:val="842E7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8169A9"/>
    <w:multiLevelType w:val="hybridMultilevel"/>
    <w:tmpl w:val="709446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55B1B25"/>
    <w:multiLevelType w:val="hybridMultilevel"/>
    <w:tmpl w:val="6AAE1FFE"/>
    <w:lvl w:ilvl="0" w:tplc="0C14B1EE">
      <w:start w:val="1"/>
      <w:numFmt w:val="lowerLetter"/>
      <w:lvlText w:val="(%1)"/>
      <w:lvlJc w:val="left"/>
      <w:pPr>
        <w:ind w:left="363" w:hanging="360"/>
      </w:pPr>
      <w:rPr>
        <w:rFonts w:hint="default"/>
        <w:b w:val="0"/>
        <w:sz w:val="24"/>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4" w15:restartNumberingAfterBreak="0">
    <w:nsid w:val="72642D88"/>
    <w:multiLevelType w:val="hybridMultilevel"/>
    <w:tmpl w:val="F3769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1440EE"/>
    <w:multiLevelType w:val="hybridMultilevel"/>
    <w:tmpl w:val="51AA65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E386B43"/>
    <w:multiLevelType w:val="hybridMultilevel"/>
    <w:tmpl w:val="62F6E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653BC0"/>
    <w:multiLevelType w:val="hybridMultilevel"/>
    <w:tmpl w:val="EDA0B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1"/>
  </w:num>
  <w:num w:numId="4">
    <w:abstractNumId w:val="2"/>
  </w:num>
  <w:num w:numId="5">
    <w:abstractNumId w:val="15"/>
  </w:num>
  <w:num w:numId="6">
    <w:abstractNumId w:val="6"/>
  </w:num>
  <w:num w:numId="7">
    <w:abstractNumId w:val="10"/>
  </w:num>
  <w:num w:numId="8">
    <w:abstractNumId w:val="26"/>
  </w:num>
  <w:num w:numId="9">
    <w:abstractNumId w:val="14"/>
  </w:num>
  <w:num w:numId="10">
    <w:abstractNumId w:val="11"/>
  </w:num>
  <w:num w:numId="11">
    <w:abstractNumId w:val="0"/>
  </w:num>
  <w:num w:numId="12">
    <w:abstractNumId w:val="19"/>
  </w:num>
  <w:num w:numId="13">
    <w:abstractNumId w:val="5"/>
  </w:num>
  <w:num w:numId="14">
    <w:abstractNumId w:val="4"/>
  </w:num>
  <w:num w:numId="15">
    <w:abstractNumId w:val="12"/>
  </w:num>
  <w:num w:numId="16">
    <w:abstractNumId w:val="13"/>
  </w:num>
  <w:num w:numId="17">
    <w:abstractNumId w:val="8"/>
  </w:num>
  <w:num w:numId="18">
    <w:abstractNumId w:val="7"/>
  </w:num>
  <w:num w:numId="19">
    <w:abstractNumId w:val="27"/>
  </w:num>
  <w:num w:numId="20">
    <w:abstractNumId w:val="18"/>
  </w:num>
  <w:num w:numId="21">
    <w:abstractNumId w:val="9"/>
  </w:num>
  <w:num w:numId="22">
    <w:abstractNumId w:val="20"/>
  </w:num>
  <w:num w:numId="23">
    <w:abstractNumId w:val="24"/>
  </w:num>
  <w:num w:numId="24">
    <w:abstractNumId w:val="22"/>
  </w:num>
  <w:num w:numId="25">
    <w:abstractNumId w:val="16"/>
  </w:num>
  <w:num w:numId="26">
    <w:abstractNumId w:val="1"/>
  </w:num>
  <w:num w:numId="27">
    <w:abstractNumId w:val="2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BD"/>
    <w:rsid w:val="00003A03"/>
    <w:rsid w:val="00011E66"/>
    <w:rsid w:val="0001578B"/>
    <w:rsid w:val="000168CB"/>
    <w:rsid w:val="00025A0E"/>
    <w:rsid w:val="00026087"/>
    <w:rsid w:val="0002667E"/>
    <w:rsid w:val="0004088F"/>
    <w:rsid w:val="00072BCA"/>
    <w:rsid w:val="00087994"/>
    <w:rsid w:val="0009158D"/>
    <w:rsid w:val="000949BC"/>
    <w:rsid w:val="00095D10"/>
    <w:rsid w:val="0009763C"/>
    <w:rsid w:val="000A007A"/>
    <w:rsid w:val="000A0565"/>
    <w:rsid w:val="000A0EE4"/>
    <w:rsid w:val="000B2DE5"/>
    <w:rsid w:val="000B5579"/>
    <w:rsid w:val="000C550E"/>
    <w:rsid w:val="000C5F38"/>
    <w:rsid w:val="000E3026"/>
    <w:rsid w:val="000E369C"/>
    <w:rsid w:val="000F4530"/>
    <w:rsid w:val="000F5C4B"/>
    <w:rsid w:val="0011110A"/>
    <w:rsid w:val="001133B2"/>
    <w:rsid w:val="001141C7"/>
    <w:rsid w:val="00127649"/>
    <w:rsid w:val="00127BFB"/>
    <w:rsid w:val="00133431"/>
    <w:rsid w:val="00134D1D"/>
    <w:rsid w:val="001504C8"/>
    <w:rsid w:val="001516C2"/>
    <w:rsid w:val="00152329"/>
    <w:rsid w:val="00153261"/>
    <w:rsid w:val="00160DDD"/>
    <w:rsid w:val="0016395A"/>
    <w:rsid w:val="001646CF"/>
    <w:rsid w:val="001707BD"/>
    <w:rsid w:val="001739F9"/>
    <w:rsid w:val="001740BC"/>
    <w:rsid w:val="00182FA1"/>
    <w:rsid w:val="0019579D"/>
    <w:rsid w:val="00197764"/>
    <w:rsid w:val="001A4EFF"/>
    <w:rsid w:val="001B1867"/>
    <w:rsid w:val="001B1EE6"/>
    <w:rsid w:val="001C1F9C"/>
    <w:rsid w:val="001C3E14"/>
    <w:rsid w:val="001D4136"/>
    <w:rsid w:val="001D46C4"/>
    <w:rsid w:val="001D4AD9"/>
    <w:rsid w:val="001D7368"/>
    <w:rsid w:val="001E750E"/>
    <w:rsid w:val="001F543B"/>
    <w:rsid w:val="001F7FBA"/>
    <w:rsid w:val="0020412E"/>
    <w:rsid w:val="00207E12"/>
    <w:rsid w:val="00210393"/>
    <w:rsid w:val="002132E1"/>
    <w:rsid w:val="002323C1"/>
    <w:rsid w:val="00234207"/>
    <w:rsid w:val="00235DC1"/>
    <w:rsid w:val="00240A98"/>
    <w:rsid w:val="002436BD"/>
    <w:rsid w:val="00244439"/>
    <w:rsid w:val="00244829"/>
    <w:rsid w:val="00246723"/>
    <w:rsid w:val="00247977"/>
    <w:rsid w:val="002545D3"/>
    <w:rsid w:val="002622E9"/>
    <w:rsid w:val="00273E94"/>
    <w:rsid w:val="00280704"/>
    <w:rsid w:val="00291A7F"/>
    <w:rsid w:val="002920B2"/>
    <w:rsid w:val="00294D26"/>
    <w:rsid w:val="002957E8"/>
    <w:rsid w:val="00295B83"/>
    <w:rsid w:val="00296330"/>
    <w:rsid w:val="00296D2B"/>
    <w:rsid w:val="002A73BD"/>
    <w:rsid w:val="002B7080"/>
    <w:rsid w:val="002C1A53"/>
    <w:rsid w:val="002C2242"/>
    <w:rsid w:val="002D193E"/>
    <w:rsid w:val="002E6E5D"/>
    <w:rsid w:val="002F1AC7"/>
    <w:rsid w:val="002F5BD7"/>
    <w:rsid w:val="0030253A"/>
    <w:rsid w:val="0030452F"/>
    <w:rsid w:val="00304C08"/>
    <w:rsid w:val="00317C31"/>
    <w:rsid w:val="00322EBC"/>
    <w:rsid w:val="00326A8F"/>
    <w:rsid w:val="00335F1F"/>
    <w:rsid w:val="003465FD"/>
    <w:rsid w:val="00351C82"/>
    <w:rsid w:val="00352982"/>
    <w:rsid w:val="0035528F"/>
    <w:rsid w:val="003615B4"/>
    <w:rsid w:val="00370575"/>
    <w:rsid w:val="003771F3"/>
    <w:rsid w:val="003838D6"/>
    <w:rsid w:val="003878AB"/>
    <w:rsid w:val="003B7DB5"/>
    <w:rsid w:val="003C6A08"/>
    <w:rsid w:val="003D0914"/>
    <w:rsid w:val="003D5032"/>
    <w:rsid w:val="003F246A"/>
    <w:rsid w:val="00402018"/>
    <w:rsid w:val="00403AAC"/>
    <w:rsid w:val="00405C49"/>
    <w:rsid w:val="00421AE5"/>
    <w:rsid w:val="00435ED5"/>
    <w:rsid w:val="00443A02"/>
    <w:rsid w:val="00445AC2"/>
    <w:rsid w:val="00450850"/>
    <w:rsid w:val="00457B08"/>
    <w:rsid w:val="00470D51"/>
    <w:rsid w:val="00483B10"/>
    <w:rsid w:val="00491DB2"/>
    <w:rsid w:val="00496FD6"/>
    <w:rsid w:val="004A3F02"/>
    <w:rsid w:val="004B5C60"/>
    <w:rsid w:val="004C29B9"/>
    <w:rsid w:val="004C3D07"/>
    <w:rsid w:val="004E6D61"/>
    <w:rsid w:val="004F09DF"/>
    <w:rsid w:val="004F0E1F"/>
    <w:rsid w:val="0050616C"/>
    <w:rsid w:val="00511766"/>
    <w:rsid w:val="005141AA"/>
    <w:rsid w:val="0051565F"/>
    <w:rsid w:val="00535449"/>
    <w:rsid w:val="0054194E"/>
    <w:rsid w:val="00544BCB"/>
    <w:rsid w:val="00547778"/>
    <w:rsid w:val="0056141D"/>
    <w:rsid w:val="00562F29"/>
    <w:rsid w:val="00563E22"/>
    <w:rsid w:val="00567401"/>
    <w:rsid w:val="00570116"/>
    <w:rsid w:val="0057359D"/>
    <w:rsid w:val="00583AEE"/>
    <w:rsid w:val="00593C18"/>
    <w:rsid w:val="0059635F"/>
    <w:rsid w:val="00596539"/>
    <w:rsid w:val="005A05A3"/>
    <w:rsid w:val="005A3D81"/>
    <w:rsid w:val="005A756C"/>
    <w:rsid w:val="005B0A95"/>
    <w:rsid w:val="005C1572"/>
    <w:rsid w:val="005D1E2B"/>
    <w:rsid w:val="005D2AB6"/>
    <w:rsid w:val="005E5910"/>
    <w:rsid w:val="005E5A26"/>
    <w:rsid w:val="005E5F0C"/>
    <w:rsid w:val="005F3DDB"/>
    <w:rsid w:val="005F4AB4"/>
    <w:rsid w:val="006013A2"/>
    <w:rsid w:val="00601C9E"/>
    <w:rsid w:val="006021F2"/>
    <w:rsid w:val="00607C17"/>
    <w:rsid w:val="00610A76"/>
    <w:rsid w:val="006169B7"/>
    <w:rsid w:val="00622480"/>
    <w:rsid w:val="00626FB0"/>
    <w:rsid w:val="00647D58"/>
    <w:rsid w:val="00655BD4"/>
    <w:rsid w:val="006564F7"/>
    <w:rsid w:val="00657678"/>
    <w:rsid w:val="00662A69"/>
    <w:rsid w:val="00665533"/>
    <w:rsid w:val="00671F35"/>
    <w:rsid w:val="00684F73"/>
    <w:rsid w:val="00685B5F"/>
    <w:rsid w:val="0068695E"/>
    <w:rsid w:val="006953D0"/>
    <w:rsid w:val="006A29AF"/>
    <w:rsid w:val="006B3A76"/>
    <w:rsid w:val="006C044E"/>
    <w:rsid w:val="006C13F7"/>
    <w:rsid w:val="006D44A1"/>
    <w:rsid w:val="006D6704"/>
    <w:rsid w:val="006E6139"/>
    <w:rsid w:val="006F6DEB"/>
    <w:rsid w:val="006F6FEF"/>
    <w:rsid w:val="0070223F"/>
    <w:rsid w:val="007031F4"/>
    <w:rsid w:val="00703E44"/>
    <w:rsid w:val="0070528D"/>
    <w:rsid w:val="00710352"/>
    <w:rsid w:val="007137FC"/>
    <w:rsid w:val="00714B71"/>
    <w:rsid w:val="00716212"/>
    <w:rsid w:val="00720FA6"/>
    <w:rsid w:val="00732881"/>
    <w:rsid w:val="00733297"/>
    <w:rsid w:val="007368AD"/>
    <w:rsid w:val="007431C2"/>
    <w:rsid w:val="00747AFF"/>
    <w:rsid w:val="00751EA5"/>
    <w:rsid w:val="00755653"/>
    <w:rsid w:val="00756856"/>
    <w:rsid w:val="00756930"/>
    <w:rsid w:val="00762A78"/>
    <w:rsid w:val="00785CDC"/>
    <w:rsid w:val="00786CBC"/>
    <w:rsid w:val="007968BD"/>
    <w:rsid w:val="007A30FE"/>
    <w:rsid w:val="007A4E35"/>
    <w:rsid w:val="007B2731"/>
    <w:rsid w:val="007B29CA"/>
    <w:rsid w:val="007B5626"/>
    <w:rsid w:val="007D12A0"/>
    <w:rsid w:val="007D39FA"/>
    <w:rsid w:val="007E29DC"/>
    <w:rsid w:val="007E4B2A"/>
    <w:rsid w:val="007F08B8"/>
    <w:rsid w:val="007F4406"/>
    <w:rsid w:val="00816C5B"/>
    <w:rsid w:val="00822AE4"/>
    <w:rsid w:val="00830245"/>
    <w:rsid w:val="0083328A"/>
    <w:rsid w:val="00835444"/>
    <w:rsid w:val="008356C1"/>
    <w:rsid w:val="008431B3"/>
    <w:rsid w:val="00847FF6"/>
    <w:rsid w:val="008503C1"/>
    <w:rsid w:val="008528E0"/>
    <w:rsid w:val="00855A38"/>
    <w:rsid w:val="0086608F"/>
    <w:rsid w:val="00866FF1"/>
    <w:rsid w:val="0087103E"/>
    <w:rsid w:val="00883E2A"/>
    <w:rsid w:val="00886AC9"/>
    <w:rsid w:val="008941BF"/>
    <w:rsid w:val="008A226F"/>
    <w:rsid w:val="008A2589"/>
    <w:rsid w:val="008A5602"/>
    <w:rsid w:val="008B4518"/>
    <w:rsid w:val="008B7F35"/>
    <w:rsid w:val="008C32B0"/>
    <w:rsid w:val="008D2133"/>
    <w:rsid w:val="008D509C"/>
    <w:rsid w:val="008F1303"/>
    <w:rsid w:val="008F41FF"/>
    <w:rsid w:val="008F49B7"/>
    <w:rsid w:val="00902CCE"/>
    <w:rsid w:val="009041F8"/>
    <w:rsid w:val="00905709"/>
    <w:rsid w:val="00924352"/>
    <w:rsid w:val="00925D27"/>
    <w:rsid w:val="00932EFA"/>
    <w:rsid w:val="00940F92"/>
    <w:rsid w:val="00944AAF"/>
    <w:rsid w:val="00945956"/>
    <w:rsid w:val="009509A3"/>
    <w:rsid w:val="009531DE"/>
    <w:rsid w:val="0096030E"/>
    <w:rsid w:val="00961084"/>
    <w:rsid w:val="009725C5"/>
    <w:rsid w:val="00976EFB"/>
    <w:rsid w:val="00984DAA"/>
    <w:rsid w:val="00991937"/>
    <w:rsid w:val="00995A0C"/>
    <w:rsid w:val="009B3B53"/>
    <w:rsid w:val="009B6DFC"/>
    <w:rsid w:val="009C1F5F"/>
    <w:rsid w:val="009C332B"/>
    <w:rsid w:val="009C4A6E"/>
    <w:rsid w:val="009C5368"/>
    <w:rsid w:val="009C7E97"/>
    <w:rsid w:val="009D151A"/>
    <w:rsid w:val="009E144B"/>
    <w:rsid w:val="009E2BD3"/>
    <w:rsid w:val="009E4B65"/>
    <w:rsid w:val="009F4323"/>
    <w:rsid w:val="009F4E29"/>
    <w:rsid w:val="00A01981"/>
    <w:rsid w:val="00A10778"/>
    <w:rsid w:val="00A113D2"/>
    <w:rsid w:val="00A13AA1"/>
    <w:rsid w:val="00A178E5"/>
    <w:rsid w:val="00A218F4"/>
    <w:rsid w:val="00A23AA9"/>
    <w:rsid w:val="00A30170"/>
    <w:rsid w:val="00A4133B"/>
    <w:rsid w:val="00A47E64"/>
    <w:rsid w:val="00A63A2B"/>
    <w:rsid w:val="00A64F43"/>
    <w:rsid w:val="00A705F7"/>
    <w:rsid w:val="00A706D7"/>
    <w:rsid w:val="00A91D2B"/>
    <w:rsid w:val="00A92332"/>
    <w:rsid w:val="00A93DF9"/>
    <w:rsid w:val="00AA0DB4"/>
    <w:rsid w:val="00AA4795"/>
    <w:rsid w:val="00AA50D5"/>
    <w:rsid w:val="00AA6C38"/>
    <w:rsid w:val="00AB3AEC"/>
    <w:rsid w:val="00AC1F0F"/>
    <w:rsid w:val="00AC2517"/>
    <w:rsid w:val="00AC7A56"/>
    <w:rsid w:val="00AD27F2"/>
    <w:rsid w:val="00AD3856"/>
    <w:rsid w:val="00AD3C8D"/>
    <w:rsid w:val="00AE098B"/>
    <w:rsid w:val="00AE2099"/>
    <w:rsid w:val="00AE5732"/>
    <w:rsid w:val="00AE799B"/>
    <w:rsid w:val="00AF15CC"/>
    <w:rsid w:val="00AF3F9A"/>
    <w:rsid w:val="00AF4DCC"/>
    <w:rsid w:val="00B01868"/>
    <w:rsid w:val="00B04B20"/>
    <w:rsid w:val="00B059F3"/>
    <w:rsid w:val="00B167EB"/>
    <w:rsid w:val="00B17453"/>
    <w:rsid w:val="00B246D7"/>
    <w:rsid w:val="00B33182"/>
    <w:rsid w:val="00B34EC3"/>
    <w:rsid w:val="00B5224D"/>
    <w:rsid w:val="00B55DFC"/>
    <w:rsid w:val="00B577A4"/>
    <w:rsid w:val="00B57D0C"/>
    <w:rsid w:val="00B6400E"/>
    <w:rsid w:val="00B64B2E"/>
    <w:rsid w:val="00B73BA0"/>
    <w:rsid w:val="00B73BCF"/>
    <w:rsid w:val="00B74EBE"/>
    <w:rsid w:val="00B935E1"/>
    <w:rsid w:val="00BA0722"/>
    <w:rsid w:val="00BA1922"/>
    <w:rsid w:val="00BA3C4F"/>
    <w:rsid w:val="00BB05A5"/>
    <w:rsid w:val="00BB1678"/>
    <w:rsid w:val="00BB17AE"/>
    <w:rsid w:val="00BB1F58"/>
    <w:rsid w:val="00BB758D"/>
    <w:rsid w:val="00BC0F99"/>
    <w:rsid w:val="00BE4BDB"/>
    <w:rsid w:val="00C23041"/>
    <w:rsid w:val="00C302FA"/>
    <w:rsid w:val="00C3432A"/>
    <w:rsid w:val="00C37326"/>
    <w:rsid w:val="00C41819"/>
    <w:rsid w:val="00C42493"/>
    <w:rsid w:val="00C43141"/>
    <w:rsid w:val="00C460A4"/>
    <w:rsid w:val="00C477A9"/>
    <w:rsid w:val="00C64B64"/>
    <w:rsid w:val="00C67286"/>
    <w:rsid w:val="00C67B4B"/>
    <w:rsid w:val="00C71926"/>
    <w:rsid w:val="00C72DCB"/>
    <w:rsid w:val="00C83827"/>
    <w:rsid w:val="00C83F4B"/>
    <w:rsid w:val="00C86E3E"/>
    <w:rsid w:val="00C875B3"/>
    <w:rsid w:val="00C948AA"/>
    <w:rsid w:val="00C94C2C"/>
    <w:rsid w:val="00CA3FED"/>
    <w:rsid w:val="00CA6CB3"/>
    <w:rsid w:val="00CB08BD"/>
    <w:rsid w:val="00CC3188"/>
    <w:rsid w:val="00CC4809"/>
    <w:rsid w:val="00CC6FD6"/>
    <w:rsid w:val="00CD1947"/>
    <w:rsid w:val="00CD2F94"/>
    <w:rsid w:val="00CD74CC"/>
    <w:rsid w:val="00CE3D87"/>
    <w:rsid w:val="00CE79F0"/>
    <w:rsid w:val="00CF12DF"/>
    <w:rsid w:val="00CF1ACF"/>
    <w:rsid w:val="00CF5B83"/>
    <w:rsid w:val="00D03001"/>
    <w:rsid w:val="00D12D91"/>
    <w:rsid w:val="00D13A66"/>
    <w:rsid w:val="00D17CC7"/>
    <w:rsid w:val="00D23955"/>
    <w:rsid w:val="00D34991"/>
    <w:rsid w:val="00D443F3"/>
    <w:rsid w:val="00D47A27"/>
    <w:rsid w:val="00D5145C"/>
    <w:rsid w:val="00D54313"/>
    <w:rsid w:val="00D61CEB"/>
    <w:rsid w:val="00D626A9"/>
    <w:rsid w:val="00D64906"/>
    <w:rsid w:val="00D64A92"/>
    <w:rsid w:val="00D64B26"/>
    <w:rsid w:val="00D80C61"/>
    <w:rsid w:val="00D82121"/>
    <w:rsid w:val="00D83AE4"/>
    <w:rsid w:val="00D95D71"/>
    <w:rsid w:val="00DA1244"/>
    <w:rsid w:val="00DA205D"/>
    <w:rsid w:val="00DB0849"/>
    <w:rsid w:val="00DB224F"/>
    <w:rsid w:val="00DB47DB"/>
    <w:rsid w:val="00DC305B"/>
    <w:rsid w:val="00DC3164"/>
    <w:rsid w:val="00DC3B8A"/>
    <w:rsid w:val="00DC72E3"/>
    <w:rsid w:val="00DD204D"/>
    <w:rsid w:val="00DE2227"/>
    <w:rsid w:val="00DF524E"/>
    <w:rsid w:val="00DF637F"/>
    <w:rsid w:val="00DF7B4C"/>
    <w:rsid w:val="00E15497"/>
    <w:rsid w:val="00E16789"/>
    <w:rsid w:val="00E201A8"/>
    <w:rsid w:val="00E23E57"/>
    <w:rsid w:val="00E256DF"/>
    <w:rsid w:val="00E3791F"/>
    <w:rsid w:val="00E402B8"/>
    <w:rsid w:val="00E41B9A"/>
    <w:rsid w:val="00E55D70"/>
    <w:rsid w:val="00E617B2"/>
    <w:rsid w:val="00E62122"/>
    <w:rsid w:val="00E644F0"/>
    <w:rsid w:val="00E6618D"/>
    <w:rsid w:val="00E7036E"/>
    <w:rsid w:val="00E72152"/>
    <w:rsid w:val="00E72DB8"/>
    <w:rsid w:val="00E7573F"/>
    <w:rsid w:val="00E833D3"/>
    <w:rsid w:val="00E87726"/>
    <w:rsid w:val="00E90C89"/>
    <w:rsid w:val="00E915D9"/>
    <w:rsid w:val="00E92EDD"/>
    <w:rsid w:val="00E96D2F"/>
    <w:rsid w:val="00E97988"/>
    <w:rsid w:val="00EA64A3"/>
    <w:rsid w:val="00EB03E9"/>
    <w:rsid w:val="00EB6A21"/>
    <w:rsid w:val="00EC0E16"/>
    <w:rsid w:val="00EC15DD"/>
    <w:rsid w:val="00EC1DFB"/>
    <w:rsid w:val="00EC257D"/>
    <w:rsid w:val="00EC27DD"/>
    <w:rsid w:val="00EC4ABA"/>
    <w:rsid w:val="00EC5653"/>
    <w:rsid w:val="00ED65D6"/>
    <w:rsid w:val="00EE1F30"/>
    <w:rsid w:val="00F02B84"/>
    <w:rsid w:val="00F03176"/>
    <w:rsid w:val="00F07222"/>
    <w:rsid w:val="00F15E43"/>
    <w:rsid w:val="00F31BCC"/>
    <w:rsid w:val="00F359B8"/>
    <w:rsid w:val="00F378EB"/>
    <w:rsid w:val="00F406F1"/>
    <w:rsid w:val="00F424C4"/>
    <w:rsid w:val="00F436BC"/>
    <w:rsid w:val="00F47299"/>
    <w:rsid w:val="00F53159"/>
    <w:rsid w:val="00F53CDE"/>
    <w:rsid w:val="00F57FAF"/>
    <w:rsid w:val="00F62EBE"/>
    <w:rsid w:val="00F6631C"/>
    <w:rsid w:val="00F7706D"/>
    <w:rsid w:val="00F774EB"/>
    <w:rsid w:val="00F77830"/>
    <w:rsid w:val="00F94480"/>
    <w:rsid w:val="00F97528"/>
    <w:rsid w:val="00FA5345"/>
    <w:rsid w:val="00FB5EE9"/>
    <w:rsid w:val="00FC1D3E"/>
    <w:rsid w:val="00FC543B"/>
    <w:rsid w:val="00FD400E"/>
    <w:rsid w:val="00FE7593"/>
    <w:rsid w:val="00FF49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5E52BBB"/>
  <w15:docId w15:val="{B4647C28-0710-41AE-9CB3-82FA850B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basedOn w:val="DefaultParagraphFont"/>
    <w:link w:val="Heading2"/>
    <w:uiPriority w:val="6"/>
    <w:rsid w:val="00F7706D"/>
    <w:rPr>
      <w:rFonts w:ascii="Trebuchet MS" w:eastAsia="Times New Roman" w:hAnsi="Trebuchet MS" w:cs="Times New Roman"/>
      <w:b/>
      <w:bCs/>
      <w:color w:val="000000"/>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99"/>
    <w:semiHidden/>
    <w:rsid w:val="00B04B20"/>
    <w:rPr>
      <w:rFonts w:ascii="Tahoma" w:hAnsi="Tahoma" w:cs="Tahoma"/>
      <w:sz w:val="16"/>
      <w:szCs w:val="16"/>
    </w:rPr>
  </w:style>
  <w:style w:type="character" w:customStyle="1" w:styleId="Heading3Char">
    <w:name w:val="Heading 3 Char"/>
    <w:basedOn w:val="DefaultParagraphFont"/>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basedOn w:val="DefaultParagraphFont"/>
    <w:link w:val="Heading4"/>
    <w:uiPriority w:val="3"/>
    <w:rsid w:val="00F7706D"/>
    <w:rPr>
      <w:rFonts w:ascii="Trebuchet MS" w:hAnsi="Trebuchet MS"/>
      <w:color w:val="0C2577"/>
      <w:sz w:val="60"/>
    </w:rPr>
  </w:style>
  <w:style w:type="character" w:customStyle="1" w:styleId="Heading5Char">
    <w:name w:val="Heading 5 Char"/>
    <w:aliases w:val="Chapter Heading Char"/>
    <w:basedOn w:val="DefaultParagraphFont"/>
    <w:link w:val="Heading5"/>
    <w:uiPriority w:val="4"/>
    <w:rsid w:val="00F7706D"/>
    <w:rPr>
      <w:rFonts w:ascii="Trebuchet MS" w:hAnsi="Trebuchet MS"/>
      <w:b/>
      <w:sz w:val="32"/>
    </w:rPr>
  </w:style>
  <w:style w:type="character" w:customStyle="1" w:styleId="Heading6Char">
    <w:name w:val="Heading 6 Char"/>
    <w:aliases w:val="Cover Page Heading Char"/>
    <w:basedOn w:val="DefaultParagraphFont"/>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basedOn w:val="DefaultParagraphFont"/>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basedOn w:val="DefaultParagraphFont"/>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basedOn w:val="DefaultParagraphFont"/>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basedOn w:val="CommentTextChar"/>
    <w:link w:val="CommentSubject"/>
    <w:uiPriority w:val="99"/>
    <w:semiHidden/>
    <w:rsid w:val="00B64B2E"/>
    <w:rPr>
      <w:rFonts w:ascii="Trebuchet MS" w:eastAsia="Times New Roman" w:hAnsi="Trebuchet MS" w:cs="Times New Roman"/>
      <w:b/>
      <w:bCs/>
      <w:sz w:val="20"/>
      <w:szCs w:val="20"/>
      <w:lang w:eastAsia="en-AU"/>
    </w:rPr>
  </w:style>
  <w:style w:type="character" w:styleId="Emphasis">
    <w:name w:val="Emphasis"/>
    <w:uiPriority w:val="20"/>
    <w:qFormat/>
    <w:rsid w:val="00280704"/>
    <w:rPr>
      <w:i/>
      <w:iCs/>
    </w:rPr>
  </w:style>
  <w:style w:type="paragraph" w:styleId="FootnoteText">
    <w:name w:val="footnote text"/>
    <w:aliases w:val=" Char,Char"/>
    <w:basedOn w:val="Normal"/>
    <w:link w:val="FootnoteTextChar"/>
    <w:uiPriority w:val="99"/>
    <w:rsid w:val="00E617B2"/>
    <w:pPr>
      <w:jc w:val="both"/>
    </w:pPr>
    <w:rPr>
      <w:rFonts w:ascii="Times New Roman" w:hAnsi="Times New Roman"/>
      <w:sz w:val="20"/>
    </w:rPr>
  </w:style>
  <w:style w:type="character" w:customStyle="1" w:styleId="FootnoteTextChar">
    <w:name w:val="Footnote Text Char"/>
    <w:aliases w:val=" Char Char,Char Char"/>
    <w:basedOn w:val="DefaultParagraphFont"/>
    <w:link w:val="FootnoteText"/>
    <w:uiPriority w:val="99"/>
    <w:rsid w:val="00E617B2"/>
    <w:rPr>
      <w:rFonts w:ascii="Times New Roman" w:eastAsia="Times New Roman" w:hAnsi="Times New Roman"/>
    </w:rPr>
  </w:style>
  <w:style w:type="character" w:styleId="FootnoteReference">
    <w:name w:val="footnote reference"/>
    <w:uiPriority w:val="99"/>
    <w:qFormat/>
    <w:rsid w:val="00E617B2"/>
    <w:rPr>
      <w:rFonts w:cs="Times New Roman"/>
      <w:vertAlign w:val="superscript"/>
    </w:rPr>
  </w:style>
  <w:style w:type="paragraph" w:styleId="Header">
    <w:name w:val="header"/>
    <w:basedOn w:val="Normal"/>
    <w:link w:val="HeaderChar"/>
    <w:uiPriority w:val="99"/>
    <w:semiHidden/>
    <w:unhideWhenUsed/>
    <w:rsid w:val="00B6400E"/>
    <w:pPr>
      <w:tabs>
        <w:tab w:val="center" w:pos="4513"/>
        <w:tab w:val="right" w:pos="9026"/>
      </w:tabs>
    </w:pPr>
  </w:style>
  <w:style w:type="character" w:customStyle="1" w:styleId="HeaderChar">
    <w:name w:val="Header Char"/>
    <w:basedOn w:val="DefaultParagraphFont"/>
    <w:link w:val="Header"/>
    <w:uiPriority w:val="99"/>
    <w:semiHidden/>
    <w:rsid w:val="00B6400E"/>
    <w:rPr>
      <w:rFonts w:ascii="Trebuchet MS" w:eastAsia="Times New Roman" w:hAnsi="Trebuchet MS"/>
      <w:sz w:val="22"/>
    </w:rPr>
  </w:style>
  <w:style w:type="paragraph" w:styleId="Footer">
    <w:name w:val="footer"/>
    <w:basedOn w:val="Normal"/>
    <w:link w:val="FooterChar"/>
    <w:uiPriority w:val="99"/>
    <w:semiHidden/>
    <w:unhideWhenUsed/>
    <w:rsid w:val="00B6400E"/>
    <w:pPr>
      <w:tabs>
        <w:tab w:val="center" w:pos="4513"/>
        <w:tab w:val="right" w:pos="9026"/>
      </w:tabs>
    </w:pPr>
  </w:style>
  <w:style w:type="character" w:customStyle="1" w:styleId="FooterChar">
    <w:name w:val="Footer Char"/>
    <w:basedOn w:val="DefaultParagraphFont"/>
    <w:link w:val="Footer"/>
    <w:uiPriority w:val="99"/>
    <w:semiHidden/>
    <w:rsid w:val="00B6400E"/>
    <w:rPr>
      <w:rFonts w:ascii="Trebuchet MS" w:eastAsia="Times New Roman" w:hAnsi="Trebuchet MS"/>
      <w:sz w:val="22"/>
    </w:rPr>
  </w:style>
  <w:style w:type="paragraph" w:styleId="Revision">
    <w:name w:val="Revision"/>
    <w:hidden/>
    <w:uiPriority w:val="99"/>
    <w:semiHidden/>
    <w:rsid w:val="00945956"/>
    <w:rPr>
      <w:rFonts w:ascii="Trebuchet MS" w:eastAsia="Times New Roman" w:hAnsi="Trebuchet MS"/>
      <w:sz w:val="22"/>
    </w:rPr>
  </w:style>
  <w:style w:type="paragraph" w:customStyle="1" w:styleId="Default">
    <w:name w:val="Default"/>
    <w:rsid w:val="007431C2"/>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59635F"/>
    <w:rPr>
      <w:color w:val="800080" w:themeColor="followedHyperlink"/>
      <w:u w:val="single"/>
    </w:rPr>
  </w:style>
  <w:style w:type="character" w:styleId="UnresolvedMention">
    <w:name w:val="Unresolved Mention"/>
    <w:basedOn w:val="DefaultParagraphFont"/>
    <w:uiPriority w:val="99"/>
    <w:semiHidden/>
    <w:unhideWhenUsed/>
    <w:rsid w:val="00387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68119">
      <w:bodyDiv w:val="1"/>
      <w:marLeft w:val="0"/>
      <w:marRight w:val="0"/>
      <w:marTop w:val="0"/>
      <w:marBottom w:val="0"/>
      <w:divBdr>
        <w:top w:val="none" w:sz="0" w:space="0" w:color="auto"/>
        <w:left w:val="none" w:sz="0" w:space="0" w:color="auto"/>
        <w:bottom w:val="none" w:sz="0" w:space="0" w:color="auto"/>
        <w:right w:val="none" w:sz="0" w:space="0" w:color="auto"/>
      </w:divBdr>
    </w:div>
    <w:div w:id="1049453979">
      <w:bodyDiv w:val="1"/>
      <w:marLeft w:val="0"/>
      <w:marRight w:val="0"/>
      <w:marTop w:val="0"/>
      <w:marBottom w:val="0"/>
      <w:divBdr>
        <w:top w:val="none" w:sz="0" w:space="0" w:color="auto"/>
        <w:left w:val="none" w:sz="0" w:space="0" w:color="auto"/>
        <w:bottom w:val="none" w:sz="0" w:space="0" w:color="auto"/>
        <w:right w:val="none" w:sz="0" w:space="0" w:color="auto"/>
      </w:divBdr>
    </w:div>
    <w:div w:id="1428884979">
      <w:bodyDiv w:val="1"/>
      <w:marLeft w:val="0"/>
      <w:marRight w:val="0"/>
      <w:marTop w:val="0"/>
      <w:marBottom w:val="0"/>
      <w:divBdr>
        <w:top w:val="none" w:sz="0" w:space="0" w:color="auto"/>
        <w:left w:val="none" w:sz="0" w:space="0" w:color="auto"/>
        <w:bottom w:val="none" w:sz="0" w:space="0" w:color="auto"/>
        <w:right w:val="none" w:sz="0" w:space="0" w:color="auto"/>
      </w:divBdr>
    </w:div>
    <w:div w:id="170193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hyperlink" Target="https://www.bis.org/bcbs/gsib/instr_end19_gsib.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bis.org/basel_framework/chapter/DIS/75.htm" TargetMode="External"/><Relationship Id="rId2" Type="http://schemas.openxmlformats.org/officeDocument/2006/relationships/customXml" Target="../customXml/item2.xml"/><Relationship Id="rId16" Type="http://schemas.openxmlformats.org/officeDocument/2006/relationships/hyperlink" Target="https://www.bis.org/publ/bcbs153.htm" TargetMode="External"/><Relationship Id="rId20" Type="http://schemas.openxmlformats.org/officeDocument/2006/relationships/hyperlink" Target="https://www.apra.gov.au/industries/1/standard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bis.org/publ/bcbs189.htm" TargetMode="External"/><Relationship Id="rId10" Type="http://schemas.openxmlformats.org/officeDocument/2006/relationships/webSettings" Target="webSettings.xml"/><Relationship Id="rId19" Type="http://schemas.openxmlformats.org/officeDocument/2006/relationships/hyperlink" Target="https://www.rbnz.govt.nz/regulation-and-supervision/banks/prudential-requirements/liquidity-polic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is.org/publ/bcbs128.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pra.gov.au/public-disclosure-requirements-for-authorised-deposit-taking-institutions" TargetMode="External"/><Relationship Id="rId1" Type="http://schemas.openxmlformats.org/officeDocument/2006/relationships/hyperlink" Target="https://www.bis.org/bcbs/publ/d45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Banking (prudential standard) determination No. 3 of 2022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5JENXJJSCC7A-445999044-11884</_dlc_DocId>
    <_dlc_DocIdUrl xmlns="814d62cb-2db6-4c25-ab62-b9075facbc11">
      <Url>https://im/teams/LEGAL/_layouts/15/DocIdRedir.aspx?ID=5JENXJJSCC7A-445999044-11884</Url>
      <Description>5JENXJJSCC7A-445999044-11884</Description>
    </_dlc_DocIdUrl>
    <APRAMeetingDate xmlns="814d62cb-2db6-4c25-ab62-b9075facbc11" xsi:nil="true"/>
    <APRAMeetingNumber xmlns="814d62cb-2db6-4c25-ab62-b9075facbc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951F5-B928-489C-8E19-6A8763C6A6A2}">
  <ds:schemaRefs>
    <ds:schemaRef ds:uri="http://schemas.microsoft.com/sharepoint/events"/>
  </ds:schemaRefs>
</ds:datastoreItem>
</file>

<file path=customXml/itemProps2.xml><?xml version="1.0" encoding="utf-8"?>
<ds:datastoreItem xmlns:ds="http://schemas.openxmlformats.org/officeDocument/2006/customXml" ds:itemID="{D7AD7926-1A17-48B1-A0FC-B7204D6E93A2}">
  <ds:schemaRefs>
    <ds:schemaRef ds:uri="Microsoft.SharePoint.Taxonomy.ContentTypeSync"/>
  </ds:schemaRefs>
</ds:datastoreItem>
</file>

<file path=customXml/itemProps3.xml><?xml version="1.0" encoding="utf-8"?>
<ds:datastoreItem xmlns:ds="http://schemas.openxmlformats.org/officeDocument/2006/customXml" ds:itemID="{E95E9BD6-0405-40DB-B8ED-015E713E8369}">
  <ds:schemaRefs>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814d62cb-2db6-4c25-ab62-b9075facbc11"/>
  </ds:schemaRefs>
</ds:datastoreItem>
</file>

<file path=customXml/itemProps4.xml><?xml version="1.0" encoding="utf-8"?>
<ds:datastoreItem xmlns:ds="http://schemas.openxmlformats.org/officeDocument/2006/customXml" ds:itemID="{97AD4CB6-83A4-47E1-9A46-4BA44578860B}">
  <ds:schemaRefs>
    <ds:schemaRef ds:uri="http://schemas.microsoft.com/sharepoint/v3/contenttype/forms"/>
  </ds:schemaRefs>
</ds:datastoreItem>
</file>

<file path=customXml/itemProps5.xml><?xml version="1.0" encoding="utf-8"?>
<ds:datastoreItem xmlns:ds="http://schemas.openxmlformats.org/officeDocument/2006/customXml" ds:itemID="{9F74F128-9902-4257-A477-34FD70EBF601}">
  <ds:schemaRefs>
    <ds:schemaRef ds:uri="http://schemas.openxmlformats.org/officeDocument/2006/bibliography"/>
  </ds:schemaRefs>
</ds:datastoreItem>
</file>

<file path=customXml/itemProps6.xml><?xml version="1.0" encoding="utf-8"?>
<ds:datastoreItem xmlns:ds="http://schemas.openxmlformats.org/officeDocument/2006/customXml" ds:itemID="{B74C72C1-9DBE-4974-99DE-7DE062918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1753</Words>
  <Characters>10049</Characters>
  <Application>Microsoft Office Word</Application>
  <DocSecurity>0</DocSecurity>
  <Lines>189</Lines>
  <Paragraphs>73</Paragraphs>
  <ScaleCrop>false</ScaleCrop>
  <HeadingPairs>
    <vt:vector size="2" baseType="variant">
      <vt:variant>
        <vt:lpstr>Title</vt:lpstr>
      </vt:variant>
      <vt:variant>
        <vt:i4>1</vt:i4>
      </vt:variant>
    </vt:vector>
  </HeadingPairs>
  <TitlesOfParts>
    <vt:vector size="1" baseType="lpstr">
      <vt:lpstr>Explanatory statement - APS 330</vt:lpstr>
    </vt:vector>
  </TitlesOfParts>
  <Company>APRA</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(prudential standard) determination No. 3 of 2022</dc:title>
  <dc:creator>dcsull</dc:creator>
  <cp:keywords>[SEC=OFFICIAL]</cp:keywords>
  <cp:lastModifiedBy>Toni Michalis</cp:lastModifiedBy>
  <cp:revision>2</cp:revision>
  <cp:lastPrinted>2018-04-16T00:01:00Z</cp:lastPrinted>
  <dcterms:created xsi:type="dcterms:W3CDTF">2022-12-05T23:55:00Z</dcterms:created>
  <dcterms:modified xsi:type="dcterms:W3CDTF">2022-12-05T23:55:00Z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SecurityClassification">
    <vt:lpwstr>OFFICIAL</vt:lpwstr>
  </property>
  <property fmtid="{D5CDD505-2E9C-101B-9397-08002B2CF9AE}" pid="3" name="PM_DisplayValueSecClassificationWithQualifier">
    <vt:lpwstr>OFFICIAL</vt:lpwstr>
  </property>
  <property fmtid="{D5CDD505-2E9C-101B-9397-08002B2CF9AE}" pid="4" name="PM_Qualifier">
    <vt:lpwstr/>
  </property>
  <property fmtid="{D5CDD505-2E9C-101B-9397-08002B2CF9AE}" pid="5" name="PM_InsertionValue">
    <vt:lpwstr>OFFICIAL</vt:lpwstr>
  </property>
  <property fmtid="{D5CDD505-2E9C-101B-9397-08002B2CF9AE}" pid="6" name="PM_Hash_Version">
    <vt:lpwstr>2018.0</vt:lpwstr>
  </property>
  <property fmtid="{D5CDD505-2E9C-101B-9397-08002B2CF9AE}" pid="7" name="PM_Caveats_Count">
    <vt:lpwstr>0</vt:lpwstr>
  </property>
  <property fmtid="{D5CDD505-2E9C-101B-9397-08002B2CF9AE}" pid="8" name="PM_SecurityClassification_Prev">
    <vt:lpwstr>OFFICIAL</vt:lpwstr>
  </property>
  <property fmtid="{D5CDD505-2E9C-101B-9397-08002B2CF9AE}" pid="9" name="PM_Qualifier_Prev">
    <vt:lpwstr/>
  </property>
  <property fmtid="{D5CDD505-2E9C-101B-9397-08002B2CF9AE}" pid="10" name="PM_ProtectiveMarkingImage_Header">
    <vt:lpwstr>C:\Program Files\Common Files\janusNET Shared\janusSEAL\Images\DocumentSlashBlue.png</vt:lpwstr>
  </property>
  <property fmtid="{D5CDD505-2E9C-101B-9397-08002B2CF9AE}" pid="11" name="PM_ProtectiveMarkingValue_Header">
    <vt:lpwstr>OFFICIAL</vt:lpwstr>
  </property>
  <property fmtid="{D5CDD505-2E9C-101B-9397-08002B2CF9AE}" pid="12" name="PM_ProtectiveMarkingValue_Foot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Originating_FileId">
    <vt:lpwstr>07B9EC4B2B644AFCA7DB83098DC0095D</vt:lpwstr>
  </property>
  <property fmtid="{D5CDD505-2E9C-101B-9397-08002B2CF9AE}" pid="17" name="PM_MinimumSecurityClassification">
    <vt:lpwstr/>
  </property>
  <property fmtid="{D5CDD505-2E9C-101B-9397-08002B2CF9AE}" pid="18" name="ContentTypeId">
    <vt:lpwstr>0x0101008CA7A4F8331B45C7B0D3158B4994D0CA0200577EC0F5A1FBFC498F9A8436B963F8A6</vt:lpwstr>
  </property>
  <property fmtid="{D5CDD505-2E9C-101B-9397-08002B2CF9AE}" pid="19" name="_dlc_DocIdItemGuid">
    <vt:lpwstr>96fca6af-59dc-4f14-a583-8ed848d2acf3</vt:lpwstr>
  </property>
  <property fmtid="{D5CDD505-2E9C-101B-9397-08002B2CF9AE}" pid="20" name="IsLocked">
    <vt:lpwstr>False</vt:lpwstr>
  </property>
  <property fmtid="{D5CDD505-2E9C-101B-9397-08002B2CF9AE}" pid="21"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2" name="IT system type">
    <vt:lpwstr/>
  </property>
  <property fmtid="{D5CDD505-2E9C-101B-9397-08002B2CF9AE}" pid="23" name="APRACategory">
    <vt:lpwstr/>
  </property>
  <property fmtid="{D5CDD505-2E9C-101B-9397-08002B2CF9AE}" pid="24" name="APRADocumentType">
    <vt:lpwstr>234;#Explanatory statement|b22f2e2f-3f73-411b-9a7c-34264d26fa25</vt:lpwstr>
  </property>
  <property fmtid="{D5CDD505-2E9C-101B-9397-08002B2CF9AE}" pid="25" name="APRAStatus">
    <vt:lpwstr>19;#Final|84d6b2d0-8498-4d62-bf46-bab38babbe9e</vt:lpwstr>
  </property>
  <property fmtid="{D5CDD505-2E9C-101B-9397-08002B2CF9AE}" pid="26" name="APRAPRSG">
    <vt:lpwstr/>
  </property>
  <property fmtid="{D5CDD505-2E9C-101B-9397-08002B2CF9AE}" pid="27" name="APRAActivity">
    <vt:lpwstr>10;#Registration|390476ce-d76d-4e8d-905f-28e32d2df127;#109;#Statutory instrument|fe68928c-5a9c-4caf-bc8c-6c18cedcb17f</vt:lpwstr>
  </property>
  <property fmtid="{D5CDD505-2E9C-101B-9397-08002B2CF9AE}" pid="28" name="APRAEntityAdviceSupport">
    <vt:lpwstr/>
  </property>
  <property fmtid="{D5CDD505-2E9C-101B-9397-08002B2CF9AE}" pid="29" name="APRAIndustry">
    <vt:lpwstr/>
  </property>
  <property fmtid="{D5CDD505-2E9C-101B-9397-08002B2CF9AE}" pid="30" name="APRALegislation">
    <vt:lpwstr/>
  </property>
  <property fmtid="{D5CDD505-2E9C-101B-9397-08002B2CF9AE}" pid="31" name="APRAYear">
    <vt:lpwstr/>
  </property>
  <property fmtid="{D5CDD505-2E9C-101B-9397-08002B2CF9AE}" pid="32" name="APRAExternalOrganisation">
    <vt:lpwstr/>
  </property>
  <property fmtid="{D5CDD505-2E9C-101B-9397-08002B2CF9AE}" pid="33" name="APRAIRTR">
    <vt:lpwstr/>
  </property>
  <property fmtid="{D5CDD505-2E9C-101B-9397-08002B2CF9AE}" pid="34" name="APRAPeriod">
    <vt:lpwstr/>
  </property>
  <property fmtid="{D5CDD505-2E9C-101B-9397-08002B2CF9AE}" pid="35" name="RecordPoint_WorkflowType">
    <vt:lpwstr>ActiveSubmitStub</vt:lpwstr>
  </property>
  <property fmtid="{D5CDD505-2E9C-101B-9397-08002B2CF9AE}" pid="36" name="RecordPoint_ActiveItemWebId">
    <vt:lpwstr>{75a71c27-8d66-4282-ae60-1bfc22a83be1}</vt:lpwstr>
  </property>
  <property fmtid="{D5CDD505-2E9C-101B-9397-08002B2CF9AE}" pid="37" name="RecordPoint_ActiveItemSiteId">
    <vt:lpwstr>{88691c01-5bbb-4215-adc0-66cb7065b0af}</vt:lpwstr>
  </property>
  <property fmtid="{D5CDD505-2E9C-101B-9397-08002B2CF9AE}" pid="38" name="RecordPoint_ActiveItemListId">
    <vt:lpwstr>{0e59e171-09d8-4401-800a-327154450cb3}</vt:lpwstr>
  </property>
  <property fmtid="{D5CDD505-2E9C-101B-9397-08002B2CF9AE}" pid="39" name="RecordPoint_ActiveItemUniqueId">
    <vt:lpwstr>{96fca6af-59dc-4f14-a583-8ed848d2acf3}</vt:lpwstr>
  </property>
  <property fmtid="{D5CDD505-2E9C-101B-9397-08002B2CF9AE}" pid="40" name="RecordPoint_RecordNumberSubmitted">
    <vt:lpwstr/>
  </property>
  <property fmtid="{D5CDD505-2E9C-101B-9397-08002B2CF9AE}" pid="41" name="RecordPoint_SubmissionCompleted">
    <vt:lpwstr/>
  </property>
  <property fmtid="{D5CDD505-2E9C-101B-9397-08002B2CF9AE}" pid="42" name="_docset_NoMedatataSyncRequired">
    <vt:lpwstr>False</vt:lpwstr>
  </property>
  <property fmtid="{D5CDD505-2E9C-101B-9397-08002B2CF9AE}" pid="43" name="RecordPoint_SubmissionDate">
    <vt:lpwstr/>
  </property>
  <property fmtid="{D5CDD505-2E9C-101B-9397-08002B2CF9AE}" pid="44" name="RecordPoint_ActiveItemMoved">
    <vt:lpwstr/>
  </property>
  <property fmtid="{D5CDD505-2E9C-101B-9397-08002B2CF9AE}" pid="45" name="RecordPoint_RecordFormat">
    <vt:lpwstr/>
  </property>
  <property fmtid="{D5CDD505-2E9C-101B-9397-08002B2CF9AE}" pid="46" name="PM_Note">
    <vt:lpwstr/>
  </property>
  <property fmtid="{D5CDD505-2E9C-101B-9397-08002B2CF9AE}" pid="47" name="PM_Markers">
    <vt:lpwstr/>
  </property>
  <property fmtid="{D5CDD505-2E9C-101B-9397-08002B2CF9AE}" pid="48" name="PM_Display">
    <vt:lpwstr>OFFICIAL</vt:lpwstr>
  </property>
  <property fmtid="{D5CDD505-2E9C-101B-9397-08002B2CF9AE}" pid="49" name="PMUuid">
    <vt:lpwstr>ABBFF5E2-9674-55C9-B08D-C9980002FD58</vt:lpwstr>
  </property>
  <property fmtid="{D5CDD505-2E9C-101B-9397-08002B2CF9AE}" pid="50" name="PMUuidVer">
    <vt:lpwstr>2022.1</vt:lpwstr>
  </property>
  <property fmtid="{D5CDD505-2E9C-101B-9397-08002B2CF9AE}" pid="51" name="PM_OriginatorDomainName_SHA256">
    <vt:lpwstr>ECBDE2B44A971754412B3FB70606937A119CC0D4B6C1B658A40FBD41C30BE3EC</vt:lpwstr>
  </property>
  <property fmtid="{D5CDD505-2E9C-101B-9397-08002B2CF9AE}" pid="52" name="MSIP_Label_c0129afb-6481-4f92-bc9f-5a4a6346364d_Name">
    <vt:lpwstr>OFFICIAL</vt:lpwstr>
  </property>
  <property fmtid="{D5CDD505-2E9C-101B-9397-08002B2CF9AE}" pid="53" name="MSIP_Label_c0129afb-6481-4f92-bc9f-5a4a6346364d_SiteId">
    <vt:lpwstr>c05e3ffd-b491-4431-9809-e61d4dc78816</vt:lpwstr>
  </property>
  <property fmtid="{D5CDD505-2E9C-101B-9397-08002B2CF9AE}" pid="54" name="MSIP_Label_c0129afb-6481-4f92-bc9f-5a4a6346364d_Enabled">
    <vt:lpwstr>true</vt:lpwstr>
  </property>
  <property fmtid="{D5CDD505-2E9C-101B-9397-08002B2CF9AE}" pid="55" name="PM_Originator_Hash_SHA1">
    <vt:lpwstr>C3AD57350F36D8E1BD75F8F67CB06D435C9C43CA</vt:lpwstr>
  </property>
  <property fmtid="{D5CDD505-2E9C-101B-9397-08002B2CF9AE}" pid="56" name="PM_Hash_SHA1">
    <vt:lpwstr>58F2D891F9EB15C027F73C812021F8EA3616311B</vt:lpwstr>
  </property>
  <property fmtid="{D5CDD505-2E9C-101B-9397-08002B2CF9AE}" pid="57" name="PM_Hash_Salt">
    <vt:lpwstr>E4978200756F5AE6888071A07B2A3DF3</vt:lpwstr>
  </property>
  <property fmtid="{D5CDD505-2E9C-101B-9397-08002B2CF9AE}" pid="58" name="PM_Hash_Salt_Prev">
    <vt:lpwstr>98BA63F0B06EE353C37254B17B237CCB</vt:lpwstr>
  </property>
  <property fmtid="{D5CDD505-2E9C-101B-9397-08002B2CF9AE}" pid="59" name="PM_OriginationTimeStamp">
    <vt:lpwstr>2022-12-05T23:54:47Z</vt:lpwstr>
  </property>
  <property fmtid="{D5CDD505-2E9C-101B-9397-08002B2CF9AE}" pid="60" name="MSIP_Label_c0129afb-6481-4f92-bc9f-5a4a6346364d_SetDate">
    <vt:lpwstr>2022-12-05T03:05:44Z</vt:lpwstr>
  </property>
  <property fmtid="{D5CDD505-2E9C-101B-9397-08002B2CF9AE}" pid="61" name="PM_OriginatorUserAccountName_SHA256">
    <vt:lpwstr>6E3018F28A186D2E5FF5207C041E7A82E907C3008E071057026A53705873B72E</vt:lpwstr>
  </property>
</Properties>
</file>