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10CC" w14:textId="77777777" w:rsidR="0048364F" w:rsidRPr="00DF5DB9" w:rsidRDefault="00193461" w:rsidP="0088794B">
      <w:pPr>
        <w:rPr>
          <w:sz w:val="28"/>
        </w:rPr>
      </w:pPr>
      <w:r w:rsidRPr="00DF5DB9">
        <w:rPr>
          <w:noProof/>
          <w:lang w:eastAsia="en-AU"/>
        </w:rPr>
        <w:drawing>
          <wp:inline distT="0" distB="0" distL="0" distR="0" wp14:anchorId="0A6BF4FB" wp14:editId="6AA205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62014" w14:textId="77777777" w:rsidR="0048364F" w:rsidRPr="00DF5DB9" w:rsidRDefault="0048364F" w:rsidP="0048364F">
      <w:pPr>
        <w:rPr>
          <w:sz w:val="19"/>
        </w:rPr>
      </w:pPr>
    </w:p>
    <w:p w14:paraId="3D195B0F" w14:textId="77777777" w:rsidR="0048364F" w:rsidRPr="00DF5DB9" w:rsidRDefault="00683537" w:rsidP="00683537">
      <w:pPr>
        <w:pStyle w:val="ShortT"/>
      </w:pPr>
      <w:r w:rsidRPr="00DF5DB9">
        <w:t xml:space="preserve">Income Tax Assessment (1936 Act) Amendment (Period of Review) </w:t>
      </w:r>
      <w:r w:rsidR="003C4DBF" w:rsidRPr="00DF5DB9">
        <w:t>Regulations 2</w:t>
      </w:r>
      <w:r w:rsidRPr="00DF5DB9">
        <w:t>022</w:t>
      </w:r>
    </w:p>
    <w:p w14:paraId="10C731D8" w14:textId="77777777" w:rsidR="00AC5CCC" w:rsidRPr="00DF5DB9" w:rsidRDefault="00AC5CCC" w:rsidP="00AC5CCC">
      <w:pPr>
        <w:pStyle w:val="SignCoverPageStart"/>
        <w:spacing w:before="240"/>
        <w:rPr>
          <w:szCs w:val="22"/>
        </w:rPr>
      </w:pPr>
      <w:r w:rsidRPr="00DF5DB9">
        <w:rPr>
          <w:szCs w:val="22"/>
        </w:rPr>
        <w:t>I, General the Honourable David Hurley AC DSC (Retd), Governor</w:t>
      </w:r>
      <w:r w:rsidR="003C4DBF" w:rsidRPr="00DF5DB9">
        <w:rPr>
          <w:szCs w:val="22"/>
        </w:rPr>
        <w:noBreakHyphen/>
      </w:r>
      <w:r w:rsidRPr="00DF5DB9">
        <w:rPr>
          <w:szCs w:val="22"/>
        </w:rPr>
        <w:t>General of the Commonwealth of Australia, acting with the advice of the Federal Executive Council, make the following regulations.</w:t>
      </w:r>
    </w:p>
    <w:p w14:paraId="44CFD91A" w14:textId="70B07AF0" w:rsidR="00AC5CCC" w:rsidRPr="00DF5DB9" w:rsidRDefault="00AC5CCC" w:rsidP="00AC5CCC">
      <w:pPr>
        <w:keepNext/>
        <w:spacing w:before="720" w:line="240" w:lineRule="atLeast"/>
        <w:ind w:right="397"/>
        <w:jc w:val="both"/>
        <w:rPr>
          <w:szCs w:val="22"/>
        </w:rPr>
      </w:pPr>
      <w:r w:rsidRPr="00DF5DB9">
        <w:rPr>
          <w:szCs w:val="22"/>
        </w:rPr>
        <w:t xml:space="preserve">Dated </w:t>
      </w:r>
      <w:r w:rsidRPr="00DF5DB9">
        <w:rPr>
          <w:szCs w:val="22"/>
        </w:rPr>
        <w:tab/>
      </w:r>
      <w:r w:rsidRPr="00DF5DB9">
        <w:rPr>
          <w:szCs w:val="22"/>
        </w:rPr>
        <w:tab/>
      </w:r>
      <w:r w:rsidR="009E5312" w:rsidRPr="00DF5DB9">
        <w:rPr>
          <w:szCs w:val="22"/>
        </w:rPr>
        <w:t xml:space="preserve">8 December </w:t>
      </w:r>
      <w:r w:rsidRPr="00DF5DB9">
        <w:rPr>
          <w:szCs w:val="22"/>
        </w:rPr>
        <w:fldChar w:fldCharType="begin"/>
      </w:r>
      <w:r w:rsidRPr="00DF5DB9">
        <w:rPr>
          <w:szCs w:val="22"/>
        </w:rPr>
        <w:instrText xml:space="preserve"> DOCPROPERTY  DateMade </w:instrText>
      </w:r>
      <w:r w:rsidRPr="00DF5DB9">
        <w:rPr>
          <w:szCs w:val="22"/>
        </w:rPr>
        <w:fldChar w:fldCharType="separate"/>
      </w:r>
      <w:r w:rsidR="00C81E03" w:rsidRPr="00DF5DB9">
        <w:rPr>
          <w:szCs w:val="22"/>
        </w:rPr>
        <w:t>2022</w:t>
      </w:r>
      <w:r w:rsidRPr="00DF5DB9">
        <w:rPr>
          <w:szCs w:val="22"/>
        </w:rPr>
        <w:fldChar w:fldCharType="end"/>
      </w:r>
    </w:p>
    <w:p w14:paraId="74C885AC" w14:textId="77777777" w:rsidR="00AC5CCC" w:rsidRPr="00DF5DB9" w:rsidRDefault="00AC5CCC" w:rsidP="00AC5CC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5DB9">
        <w:rPr>
          <w:szCs w:val="22"/>
        </w:rPr>
        <w:t>David Hurley</w:t>
      </w:r>
    </w:p>
    <w:p w14:paraId="4BBCFF69" w14:textId="77777777" w:rsidR="00AC5CCC" w:rsidRPr="00DF5DB9" w:rsidRDefault="00AC5CCC" w:rsidP="00AC5CC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5DB9">
        <w:rPr>
          <w:szCs w:val="22"/>
        </w:rPr>
        <w:t>Governor</w:t>
      </w:r>
      <w:r w:rsidR="003C4DBF" w:rsidRPr="00DF5DB9">
        <w:rPr>
          <w:szCs w:val="22"/>
        </w:rPr>
        <w:noBreakHyphen/>
      </w:r>
      <w:r w:rsidRPr="00DF5DB9">
        <w:rPr>
          <w:szCs w:val="22"/>
        </w:rPr>
        <w:t>General</w:t>
      </w:r>
    </w:p>
    <w:p w14:paraId="2C9F3696" w14:textId="77777777" w:rsidR="00AC5CCC" w:rsidRPr="00DF5DB9" w:rsidRDefault="00AC5CCC" w:rsidP="00AC5CC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5DB9">
        <w:rPr>
          <w:szCs w:val="22"/>
        </w:rPr>
        <w:t>By His Excellency’s Command</w:t>
      </w:r>
    </w:p>
    <w:p w14:paraId="72FDF15B" w14:textId="77777777" w:rsidR="00AC5CCC" w:rsidRPr="00DF5DB9" w:rsidRDefault="00AC5CCC" w:rsidP="00AC5CC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5DB9">
        <w:rPr>
          <w:szCs w:val="22"/>
        </w:rPr>
        <w:t>Stephen Jones</w:t>
      </w:r>
    </w:p>
    <w:p w14:paraId="13211A3C" w14:textId="77777777" w:rsidR="00AC5CCC" w:rsidRPr="00DF5DB9" w:rsidRDefault="00AC5CCC" w:rsidP="00AC5CCC">
      <w:pPr>
        <w:pStyle w:val="SignCoverPageEnd"/>
        <w:rPr>
          <w:szCs w:val="22"/>
        </w:rPr>
      </w:pPr>
      <w:r w:rsidRPr="00DF5DB9">
        <w:rPr>
          <w:szCs w:val="22"/>
        </w:rPr>
        <w:t>Assistant Treasurer</w:t>
      </w:r>
      <w:r w:rsidRPr="00DF5DB9">
        <w:rPr>
          <w:szCs w:val="22"/>
        </w:rPr>
        <w:br/>
        <w:t>Minister for Financial Services</w:t>
      </w:r>
    </w:p>
    <w:p w14:paraId="77F8321B" w14:textId="77777777" w:rsidR="00AC5CCC" w:rsidRPr="00DF5DB9" w:rsidRDefault="00AC5CCC" w:rsidP="00AC5CCC"/>
    <w:p w14:paraId="07A72C80" w14:textId="77777777" w:rsidR="00AC5CCC" w:rsidRPr="00DF5DB9" w:rsidRDefault="00AC5CCC" w:rsidP="00AC5CCC"/>
    <w:p w14:paraId="3362D330" w14:textId="77777777" w:rsidR="00AC5CCC" w:rsidRPr="00DF5DB9" w:rsidRDefault="00AC5CCC" w:rsidP="00AC5CCC"/>
    <w:p w14:paraId="714CA41D" w14:textId="77777777" w:rsidR="0048364F" w:rsidRPr="00DF5DB9" w:rsidRDefault="0048364F" w:rsidP="0048364F">
      <w:pPr>
        <w:pStyle w:val="Header"/>
        <w:tabs>
          <w:tab w:val="clear" w:pos="4150"/>
          <w:tab w:val="clear" w:pos="8307"/>
        </w:tabs>
      </w:pPr>
      <w:r w:rsidRPr="00DF5DB9">
        <w:rPr>
          <w:rStyle w:val="CharAmSchNo"/>
        </w:rPr>
        <w:t xml:space="preserve"> </w:t>
      </w:r>
      <w:r w:rsidRPr="00DF5DB9">
        <w:rPr>
          <w:rStyle w:val="CharAmSchText"/>
        </w:rPr>
        <w:t xml:space="preserve"> </w:t>
      </w:r>
    </w:p>
    <w:p w14:paraId="2440D7E9" w14:textId="77777777" w:rsidR="0048364F" w:rsidRPr="00DF5DB9" w:rsidRDefault="0048364F" w:rsidP="0048364F">
      <w:pPr>
        <w:pStyle w:val="Header"/>
        <w:tabs>
          <w:tab w:val="clear" w:pos="4150"/>
          <w:tab w:val="clear" w:pos="8307"/>
        </w:tabs>
      </w:pPr>
      <w:r w:rsidRPr="00DF5DB9">
        <w:rPr>
          <w:rStyle w:val="CharAmPartNo"/>
        </w:rPr>
        <w:t xml:space="preserve"> </w:t>
      </w:r>
      <w:r w:rsidRPr="00DF5DB9">
        <w:rPr>
          <w:rStyle w:val="CharAmPartText"/>
        </w:rPr>
        <w:t xml:space="preserve"> </w:t>
      </w:r>
    </w:p>
    <w:p w14:paraId="66A7C45C" w14:textId="77777777" w:rsidR="0048364F" w:rsidRPr="00DF5DB9" w:rsidRDefault="0048364F" w:rsidP="0048364F">
      <w:pPr>
        <w:sectPr w:rsidR="0048364F" w:rsidRPr="00DF5DB9" w:rsidSect="00A443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D24D889" w14:textId="77777777" w:rsidR="00220A0C" w:rsidRPr="00DF5DB9" w:rsidRDefault="0048364F" w:rsidP="0048364F">
      <w:pPr>
        <w:outlineLvl w:val="0"/>
        <w:rPr>
          <w:sz w:val="36"/>
        </w:rPr>
      </w:pPr>
      <w:r w:rsidRPr="00DF5DB9">
        <w:rPr>
          <w:sz w:val="36"/>
        </w:rPr>
        <w:lastRenderedPageBreak/>
        <w:t>Contents</w:t>
      </w:r>
    </w:p>
    <w:p w14:paraId="1993D4D1" w14:textId="26A49092" w:rsidR="003C4DBF" w:rsidRPr="00DF5DB9" w:rsidRDefault="003C4D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DB9">
        <w:fldChar w:fldCharType="begin"/>
      </w:r>
      <w:r w:rsidRPr="00DF5DB9">
        <w:instrText xml:space="preserve"> TOC \o "1-9" </w:instrText>
      </w:r>
      <w:r w:rsidRPr="00DF5DB9">
        <w:fldChar w:fldCharType="separate"/>
      </w:r>
      <w:r w:rsidRPr="00DF5DB9">
        <w:rPr>
          <w:noProof/>
        </w:rPr>
        <w:t>1</w:t>
      </w:r>
      <w:r w:rsidRPr="00DF5DB9">
        <w:rPr>
          <w:noProof/>
        </w:rPr>
        <w:tab/>
        <w:t>Name</w:t>
      </w:r>
      <w:r w:rsidRPr="00DF5DB9">
        <w:rPr>
          <w:noProof/>
        </w:rPr>
        <w:tab/>
      </w:r>
      <w:r w:rsidRPr="00DF5DB9">
        <w:rPr>
          <w:noProof/>
        </w:rPr>
        <w:fldChar w:fldCharType="begin"/>
      </w:r>
      <w:r w:rsidRPr="00DF5DB9">
        <w:rPr>
          <w:noProof/>
        </w:rPr>
        <w:instrText xml:space="preserve"> PAGEREF _Toc118979973 \h </w:instrText>
      </w:r>
      <w:r w:rsidRPr="00DF5DB9">
        <w:rPr>
          <w:noProof/>
        </w:rPr>
      </w:r>
      <w:r w:rsidRPr="00DF5DB9">
        <w:rPr>
          <w:noProof/>
        </w:rPr>
        <w:fldChar w:fldCharType="separate"/>
      </w:r>
      <w:r w:rsidR="00C81E03" w:rsidRPr="00DF5DB9">
        <w:rPr>
          <w:noProof/>
        </w:rPr>
        <w:t>1</w:t>
      </w:r>
      <w:r w:rsidRPr="00DF5DB9">
        <w:rPr>
          <w:noProof/>
        </w:rPr>
        <w:fldChar w:fldCharType="end"/>
      </w:r>
    </w:p>
    <w:p w14:paraId="57580F9F" w14:textId="5FA31CD0" w:rsidR="003C4DBF" w:rsidRPr="00DF5DB9" w:rsidRDefault="003C4D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DB9">
        <w:rPr>
          <w:noProof/>
        </w:rPr>
        <w:t>2</w:t>
      </w:r>
      <w:r w:rsidRPr="00DF5DB9">
        <w:rPr>
          <w:noProof/>
        </w:rPr>
        <w:tab/>
        <w:t>Commencement</w:t>
      </w:r>
      <w:r w:rsidRPr="00DF5DB9">
        <w:rPr>
          <w:noProof/>
        </w:rPr>
        <w:tab/>
      </w:r>
      <w:r w:rsidRPr="00DF5DB9">
        <w:rPr>
          <w:noProof/>
        </w:rPr>
        <w:fldChar w:fldCharType="begin"/>
      </w:r>
      <w:r w:rsidRPr="00DF5DB9">
        <w:rPr>
          <w:noProof/>
        </w:rPr>
        <w:instrText xml:space="preserve"> PAGEREF _Toc118979974 \h </w:instrText>
      </w:r>
      <w:r w:rsidRPr="00DF5DB9">
        <w:rPr>
          <w:noProof/>
        </w:rPr>
      </w:r>
      <w:r w:rsidRPr="00DF5DB9">
        <w:rPr>
          <w:noProof/>
        </w:rPr>
        <w:fldChar w:fldCharType="separate"/>
      </w:r>
      <w:r w:rsidR="00C81E03" w:rsidRPr="00DF5DB9">
        <w:rPr>
          <w:noProof/>
        </w:rPr>
        <w:t>1</w:t>
      </w:r>
      <w:r w:rsidRPr="00DF5DB9">
        <w:rPr>
          <w:noProof/>
        </w:rPr>
        <w:fldChar w:fldCharType="end"/>
      </w:r>
    </w:p>
    <w:p w14:paraId="685C1B5B" w14:textId="69B78C89" w:rsidR="003C4DBF" w:rsidRPr="00DF5DB9" w:rsidRDefault="003C4D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DB9">
        <w:rPr>
          <w:noProof/>
        </w:rPr>
        <w:t>3</w:t>
      </w:r>
      <w:r w:rsidRPr="00DF5DB9">
        <w:rPr>
          <w:noProof/>
        </w:rPr>
        <w:tab/>
        <w:t>Authority</w:t>
      </w:r>
      <w:r w:rsidRPr="00DF5DB9">
        <w:rPr>
          <w:noProof/>
        </w:rPr>
        <w:tab/>
      </w:r>
      <w:r w:rsidRPr="00DF5DB9">
        <w:rPr>
          <w:noProof/>
        </w:rPr>
        <w:fldChar w:fldCharType="begin"/>
      </w:r>
      <w:r w:rsidRPr="00DF5DB9">
        <w:rPr>
          <w:noProof/>
        </w:rPr>
        <w:instrText xml:space="preserve"> PAGEREF _Toc118979975 \h </w:instrText>
      </w:r>
      <w:r w:rsidRPr="00DF5DB9">
        <w:rPr>
          <w:noProof/>
        </w:rPr>
      </w:r>
      <w:r w:rsidRPr="00DF5DB9">
        <w:rPr>
          <w:noProof/>
        </w:rPr>
        <w:fldChar w:fldCharType="separate"/>
      </w:r>
      <w:r w:rsidR="00C81E03" w:rsidRPr="00DF5DB9">
        <w:rPr>
          <w:noProof/>
        </w:rPr>
        <w:t>1</w:t>
      </w:r>
      <w:r w:rsidRPr="00DF5DB9">
        <w:rPr>
          <w:noProof/>
        </w:rPr>
        <w:fldChar w:fldCharType="end"/>
      </w:r>
    </w:p>
    <w:p w14:paraId="30924EAC" w14:textId="66286D0B" w:rsidR="003C4DBF" w:rsidRPr="00DF5DB9" w:rsidRDefault="003C4D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5DB9">
        <w:rPr>
          <w:noProof/>
        </w:rPr>
        <w:t>4</w:t>
      </w:r>
      <w:r w:rsidRPr="00DF5DB9">
        <w:rPr>
          <w:noProof/>
        </w:rPr>
        <w:tab/>
        <w:t>Schedules</w:t>
      </w:r>
      <w:r w:rsidRPr="00DF5DB9">
        <w:rPr>
          <w:noProof/>
        </w:rPr>
        <w:tab/>
      </w:r>
      <w:r w:rsidRPr="00DF5DB9">
        <w:rPr>
          <w:noProof/>
        </w:rPr>
        <w:fldChar w:fldCharType="begin"/>
      </w:r>
      <w:r w:rsidRPr="00DF5DB9">
        <w:rPr>
          <w:noProof/>
        </w:rPr>
        <w:instrText xml:space="preserve"> PAGEREF _Toc118979976 \h </w:instrText>
      </w:r>
      <w:r w:rsidRPr="00DF5DB9">
        <w:rPr>
          <w:noProof/>
        </w:rPr>
      </w:r>
      <w:r w:rsidRPr="00DF5DB9">
        <w:rPr>
          <w:noProof/>
        </w:rPr>
        <w:fldChar w:fldCharType="separate"/>
      </w:r>
      <w:r w:rsidR="00C81E03" w:rsidRPr="00DF5DB9">
        <w:rPr>
          <w:noProof/>
        </w:rPr>
        <w:t>1</w:t>
      </w:r>
      <w:r w:rsidRPr="00DF5DB9">
        <w:rPr>
          <w:noProof/>
        </w:rPr>
        <w:fldChar w:fldCharType="end"/>
      </w:r>
    </w:p>
    <w:p w14:paraId="77E0E370" w14:textId="7A8F783C" w:rsidR="003C4DBF" w:rsidRPr="00DF5DB9" w:rsidRDefault="003C4D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5DB9">
        <w:rPr>
          <w:noProof/>
        </w:rPr>
        <w:t>Schedule 1—Amendments</w:t>
      </w:r>
      <w:r w:rsidRPr="00DF5DB9">
        <w:rPr>
          <w:b w:val="0"/>
          <w:noProof/>
          <w:sz w:val="18"/>
        </w:rPr>
        <w:tab/>
      </w:r>
      <w:r w:rsidRPr="00DF5DB9">
        <w:rPr>
          <w:b w:val="0"/>
          <w:noProof/>
          <w:sz w:val="18"/>
        </w:rPr>
        <w:fldChar w:fldCharType="begin"/>
      </w:r>
      <w:r w:rsidRPr="00DF5DB9">
        <w:rPr>
          <w:b w:val="0"/>
          <w:noProof/>
          <w:sz w:val="18"/>
        </w:rPr>
        <w:instrText xml:space="preserve"> PAGEREF _Toc118979977 \h </w:instrText>
      </w:r>
      <w:r w:rsidRPr="00DF5DB9">
        <w:rPr>
          <w:b w:val="0"/>
          <w:noProof/>
          <w:sz w:val="18"/>
        </w:rPr>
      </w:r>
      <w:r w:rsidRPr="00DF5DB9">
        <w:rPr>
          <w:b w:val="0"/>
          <w:noProof/>
          <w:sz w:val="18"/>
        </w:rPr>
        <w:fldChar w:fldCharType="separate"/>
      </w:r>
      <w:r w:rsidR="00C81E03" w:rsidRPr="00DF5DB9">
        <w:rPr>
          <w:b w:val="0"/>
          <w:noProof/>
          <w:sz w:val="18"/>
        </w:rPr>
        <w:t>2</w:t>
      </w:r>
      <w:r w:rsidRPr="00DF5DB9">
        <w:rPr>
          <w:b w:val="0"/>
          <w:noProof/>
          <w:sz w:val="18"/>
        </w:rPr>
        <w:fldChar w:fldCharType="end"/>
      </w:r>
    </w:p>
    <w:p w14:paraId="0982406B" w14:textId="62A81F01" w:rsidR="003C4DBF" w:rsidRPr="00DF5DB9" w:rsidRDefault="003C4D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5DB9">
        <w:rPr>
          <w:noProof/>
        </w:rPr>
        <w:t>Income Tax Assessment (1936 Act) Regulation 2015</w:t>
      </w:r>
      <w:r w:rsidRPr="00DF5DB9">
        <w:rPr>
          <w:i w:val="0"/>
          <w:noProof/>
          <w:sz w:val="18"/>
        </w:rPr>
        <w:tab/>
      </w:r>
      <w:r w:rsidRPr="00DF5DB9">
        <w:rPr>
          <w:i w:val="0"/>
          <w:noProof/>
          <w:sz w:val="18"/>
        </w:rPr>
        <w:fldChar w:fldCharType="begin"/>
      </w:r>
      <w:r w:rsidRPr="00DF5DB9">
        <w:rPr>
          <w:i w:val="0"/>
          <w:noProof/>
          <w:sz w:val="18"/>
        </w:rPr>
        <w:instrText xml:space="preserve"> PAGEREF _Toc118979978 \h </w:instrText>
      </w:r>
      <w:r w:rsidRPr="00DF5DB9">
        <w:rPr>
          <w:i w:val="0"/>
          <w:noProof/>
          <w:sz w:val="18"/>
        </w:rPr>
      </w:r>
      <w:r w:rsidRPr="00DF5DB9">
        <w:rPr>
          <w:i w:val="0"/>
          <w:noProof/>
          <w:sz w:val="18"/>
        </w:rPr>
        <w:fldChar w:fldCharType="separate"/>
      </w:r>
      <w:r w:rsidR="00C81E03" w:rsidRPr="00DF5DB9">
        <w:rPr>
          <w:i w:val="0"/>
          <w:noProof/>
          <w:sz w:val="18"/>
        </w:rPr>
        <w:t>2</w:t>
      </w:r>
      <w:r w:rsidRPr="00DF5DB9">
        <w:rPr>
          <w:i w:val="0"/>
          <w:noProof/>
          <w:sz w:val="18"/>
        </w:rPr>
        <w:fldChar w:fldCharType="end"/>
      </w:r>
    </w:p>
    <w:p w14:paraId="64EDFEBE" w14:textId="77777777" w:rsidR="0048364F" w:rsidRPr="00DF5DB9" w:rsidRDefault="003C4DBF" w:rsidP="0048364F">
      <w:r w:rsidRPr="00DF5DB9">
        <w:fldChar w:fldCharType="end"/>
      </w:r>
    </w:p>
    <w:p w14:paraId="1952AFDE" w14:textId="77777777" w:rsidR="0048364F" w:rsidRPr="00DF5DB9" w:rsidRDefault="0048364F" w:rsidP="0048364F">
      <w:pPr>
        <w:sectPr w:rsidR="0048364F" w:rsidRPr="00DF5DB9" w:rsidSect="00A443F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31A042" w14:textId="77777777" w:rsidR="0048364F" w:rsidRPr="00DF5DB9" w:rsidRDefault="0048364F" w:rsidP="0048364F">
      <w:pPr>
        <w:pStyle w:val="ActHead5"/>
      </w:pPr>
      <w:bookmarkStart w:id="0" w:name="_Toc118979973"/>
      <w:r w:rsidRPr="00DF5DB9">
        <w:rPr>
          <w:rStyle w:val="CharSectno"/>
        </w:rPr>
        <w:lastRenderedPageBreak/>
        <w:t>1</w:t>
      </w:r>
      <w:r w:rsidRPr="00DF5DB9">
        <w:t xml:space="preserve">  </w:t>
      </w:r>
      <w:r w:rsidR="004F676E" w:rsidRPr="00DF5DB9">
        <w:t>Name</w:t>
      </w:r>
      <w:bookmarkEnd w:id="0"/>
    </w:p>
    <w:p w14:paraId="4EDDB7D4" w14:textId="77777777" w:rsidR="0048364F" w:rsidRPr="00DF5DB9" w:rsidRDefault="0048364F" w:rsidP="0048364F">
      <w:pPr>
        <w:pStyle w:val="subsection"/>
      </w:pPr>
      <w:r w:rsidRPr="00DF5DB9">
        <w:tab/>
      </w:r>
      <w:r w:rsidRPr="00DF5DB9">
        <w:tab/>
      </w:r>
      <w:r w:rsidR="00683537" w:rsidRPr="00DF5DB9">
        <w:t>This instrument is</w:t>
      </w:r>
      <w:r w:rsidRPr="00DF5DB9">
        <w:t xml:space="preserve"> the </w:t>
      </w:r>
      <w:r w:rsidR="003C4DBF" w:rsidRPr="00DF5DB9">
        <w:rPr>
          <w:i/>
          <w:noProof/>
        </w:rPr>
        <w:t>Income Tax Assessment (1936 Act) Amendment (Period of Review) Regulations 2022</w:t>
      </w:r>
      <w:r w:rsidRPr="00DF5DB9">
        <w:t>.</w:t>
      </w:r>
    </w:p>
    <w:p w14:paraId="2AE20E2B" w14:textId="77777777" w:rsidR="004F676E" w:rsidRPr="00DF5DB9" w:rsidRDefault="0048364F" w:rsidP="005452CC">
      <w:pPr>
        <w:pStyle w:val="ActHead5"/>
      </w:pPr>
      <w:bookmarkStart w:id="1" w:name="_Toc118979974"/>
      <w:r w:rsidRPr="00DF5DB9">
        <w:rPr>
          <w:rStyle w:val="CharSectno"/>
        </w:rPr>
        <w:t>2</w:t>
      </w:r>
      <w:r w:rsidRPr="00DF5DB9">
        <w:t xml:space="preserve">  Commencement</w:t>
      </w:r>
      <w:bookmarkEnd w:id="1"/>
    </w:p>
    <w:p w14:paraId="3D464C68" w14:textId="77777777" w:rsidR="005452CC" w:rsidRPr="00DF5DB9" w:rsidRDefault="005452CC" w:rsidP="00C6649F">
      <w:pPr>
        <w:pStyle w:val="subsection"/>
      </w:pPr>
      <w:r w:rsidRPr="00DF5DB9">
        <w:tab/>
        <w:t>(1)</w:t>
      </w:r>
      <w:r w:rsidRPr="00DF5DB9">
        <w:tab/>
        <w:t xml:space="preserve">Each provision of </w:t>
      </w:r>
      <w:r w:rsidR="00683537" w:rsidRPr="00DF5DB9">
        <w:t>this instrument</w:t>
      </w:r>
      <w:r w:rsidRPr="00DF5DB9">
        <w:t xml:space="preserve"> specified in column 1 of the table commences, or is taken to have commenced, in accordance with column 2 of the table. Any other statement in column 2 has effect according to its terms.</w:t>
      </w:r>
    </w:p>
    <w:p w14:paraId="4CEE01E1" w14:textId="77777777" w:rsidR="005452CC" w:rsidRPr="00DF5DB9" w:rsidRDefault="005452CC" w:rsidP="00C6649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5DB9" w14:paraId="422F49E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CAF53F" w14:textId="77777777" w:rsidR="005452CC" w:rsidRPr="00DF5DB9" w:rsidRDefault="005452CC" w:rsidP="00C6649F">
            <w:pPr>
              <w:pStyle w:val="TableHeading"/>
            </w:pPr>
            <w:r w:rsidRPr="00DF5DB9">
              <w:t>Commencement information</w:t>
            </w:r>
          </w:p>
        </w:tc>
      </w:tr>
      <w:tr w:rsidR="005452CC" w:rsidRPr="00DF5DB9" w14:paraId="5594C6B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33F359" w14:textId="77777777" w:rsidR="005452CC" w:rsidRPr="00DF5DB9" w:rsidRDefault="005452CC" w:rsidP="00C6649F">
            <w:pPr>
              <w:pStyle w:val="TableHeading"/>
            </w:pPr>
            <w:r w:rsidRPr="00DF5DB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0B668B" w14:textId="77777777" w:rsidR="005452CC" w:rsidRPr="00DF5DB9" w:rsidRDefault="005452CC" w:rsidP="00C6649F">
            <w:pPr>
              <w:pStyle w:val="TableHeading"/>
            </w:pPr>
            <w:r w:rsidRPr="00DF5DB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69815D" w14:textId="77777777" w:rsidR="005452CC" w:rsidRPr="00DF5DB9" w:rsidRDefault="005452CC" w:rsidP="00C6649F">
            <w:pPr>
              <w:pStyle w:val="TableHeading"/>
            </w:pPr>
            <w:r w:rsidRPr="00DF5DB9">
              <w:t>Column 3</w:t>
            </w:r>
          </w:p>
        </w:tc>
      </w:tr>
      <w:tr w:rsidR="005452CC" w:rsidRPr="00DF5DB9" w14:paraId="7B26F78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977973" w14:textId="77777777" w:rsidR="005452CC" w:rsidRPr="00DF5DB9" w:rsidRDefault="005452CC" w:rsidP="00C6649F">
            <w:pPr>
              <w:pStyle w:val="TableHeading"/>
            </w:pPr>
            <w:r w:rsidRPr="00DF5DB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1B0201" w14:textId="77777777" w:rsidR="005452CC" w:rsidRPr="00DF5DB9" w:rsidRDefault="005452CC" w:rsidP="00C6649F">
            <w:pPr>
              <w:pStyle w:val="TableHeading"/>
            </w:pPr>
            <w:r w:rsidRPr="00DF5DB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288FF1" w14:textId="77777777" w:rsidR="005452CC" w:rsidRPr="00DF5DB9" w:rsidRDefault="005452CC" w:rsidP="00C6649F">
            <w:pPr>
              <w:pStyle w:val="TableHeading"/>
            </w:pPr>
            <w:r w:rsidRPr="00DF5DB9">
              <w:t>Date/Details</w:t>
            </w:r>
          </w:p>
        </w:tc>
      </w:tr>
      <w:tr w:rsidR="005452CC" w:rsidRPr="00DF5DB9" w14:paraId="282189C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F1D95F" w14:textId="77777777" w:rsidR="005452CC" w:rsidRPr="00DF5DB9" w:rsidRDefault="005452CC" w:rsidP="00AD7252">
            <w:pPr>
              <w:pStyle w:val="Tabletext"/>
            </w:pPr>
            <w:r w:rsidRPr="00DF5DB9">
              <w:t xml:space="preserve">1.  </w:t>
            </w:r>
            <w:r w:rsidR="00AD7252" w:rsidRPr="00DF5DB9">
              <w:t xml:space="preserve">The whole of </w:t>
            </w:r>
            <w:r w:rsidR="00683537" w:rsidRPr="00DF5DB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2CCC54" w14:textId="77777777" w:rsidR="005452CC" w:rsidRPr="00DF5DB9" w:rsidRDefault="005452CC" w:rsidP="005452CC">
            <w:pPr>
              <w:pStyle w:val="Tabletext"/>
            </w:pPr>
            <w:r w:rsidRPr="00DF5DB9">
              <w:t xml:space="preserve">The day after </w:t>
            </w:r>
            <w:r w:rsidR="00683537" w:rsidRPr="00DF5DB9">
              <w:t>this instrument is</w:t>
            </w:r>
            <w:r w:rsidRPr="00DF5DB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A7A2E8" w14:textId="5138A6DC" w:rsidR="00E11206" w:rsidRPr="00DF5DB9" w:rsidRDefault="00E11206">
            <w:pPr>
              <w:pStyle w:val="Tabletext"/>
            </w:pPr>
            <w:r>
              <w:t>9 December 2022</w:t>
            </w:r>
            <w:bookmarkStart w:id="2" w:name="_GoBack"/>
            <w:bookmarkEnd w:id="2"/>
          </w:p>
        </w:tc>
      </w:tr>
    </w:tbl>
    <w:p w14:paraId="29B0706A" w14:textId="77777777" w:rsidR="005452CC" w:rsidRPr="00DF5DB9" w:rsidRDefault="005452CC" w:rsidP="00C6649F">
      <w:pPr>
        <w:pStyle w:val="notetext"/>
      </w:pPr>
      <w:r w:rsidRPr="00DF5DB9">
        <w:rPr>
          <w:snapToGrid w:val="0"/>
          <w:lang w:eastAsia="en-US"/>
        </w:rPr>
        <w:t>Note:</w:t>
      </w:r>
      <w:r w:rsidRPr="00DF5DB9">
        <w:rPr>
          <w:snapToGrid w:val="0"/>
          <w:lang w:eastAsia="en-US"/>
        </w:rPr>
        <w:tab/>
        <w:t xml:space="preserve">This table relates only to the provisions of </w:t>
      </w:r>
      <w:r w:rsidR="00683537" w:rsidRPr="00DF5DB9">
        <w:rPr>
          <w:snapToGrid w:val="0"/>
          <w:lang w:eastAsia="en-US"/>
        </w:rPr>
        <w:t>this instrument</w:t>
      </w:r>
      <w:r w:rsidRPr="00DF5DB9">
        <w:t xml:space="preserve"> </w:t>
      </w:r>
      <w:r w:rsidRPr="00DF5DB9">
        <w:rPr>
          <w:snapToGrid w:val="0"/>
          <w:lang w:eastAsia="en-US"/>
        </w:rPr>
        <w:t xml:space="preserve">as originally made. It will not be amended to deal with any later amendments of </w:t>
      </w:r>
      <w:r w:rsidR="00683537" w:rsidRPr="00DF5DB9">
        <w:rPr>
          <w:snapToGrid w:val="0"/>
          <w:lang w:eastAsia="en-US"/>
        </w:rPr>
        <w:t>this instrument</w:t>
      </w:r>
      <w:r w:rsidRPr="00DF5DB9">
        <w:rPr>
          <w:snapToGrid w:val="0"/>
          <w:lang w:eastAsia="en-US"/>
        </w:rPr>
        <w:t>.</w:t>
      </w:r>
    </w:p>
    <w:p w14:paraId="70D55E68" w14:textId="77777777" w:rsidR="005452CC" w:rsidRPr="00DF5DB9" w:rsidRDefault="005452CC" w:rsidP="004F676E">
      <w:pPr>
        <w:pStyle w:val="subsection"/>
      </w:pPr>
      <w:r w:rsidRPr="00DF5DB9">
        <w:tab/>
        <w:t>(2)</w:t>
      </w:r>
      <w:r w:rsidRPr="00DF5DB9">
        <w:tab/>
        <w:t xml:space="preserve">Any information in column 3 of the table is not part of </w:t>
      </w:r>
      <w:r w:rsidR="00683537" w:rsidRPr="00DF5DB9">
        <w:t>this instrument</w:t>
      </w:r>
      <w:r w:rsidRPr="00DF5DB9">
        <w:t xml:space="preserve">. Information may be inserted in this column, or information in it may be edited, in any published version of </w:t>
      </w:r>
      <w:r w:rsidR="00683537" w:rsidRPr="00DF5DB9">
        <w:t>this instrument</w:t>
      </w:r>
      <w:r w:rsidRPr="00DF5DB9">
        <w:t>.</w:t>
      </w:r>
    </w:p>
    <w:p w14:paraId="4493BC0F" w14:textId="77777777" w:rsidR="00BF6650" w:rsidRPr="00DF5DB9" w:rsidRDefault="00BF6650" w:rsidP="00BF6650">
      <w:pPr>
        <w:pStyle w:val="ActHead5"/>
      </w:pPr>
      <w:bookmarkStart w:id="3" w:name="_Toc118979975"/>
      <w:r w:rsidRPr="00DF5DB9">
        <w:rPr>
          <w:rStyle w:val="CharSectno"/>
        </w:rPr>
        <w:t>3</w:t>
      </w:r>
      <w:r w:rsidRPr="00DF5DB9">
        <w:t xml:space="preserve">  Authority</w:t>
      </w:r>
      <w:bookmarkEnd w:id="3"/>
    </w:p>
    <w:p w14:paraId="72A26416" w14:textId="77777777" w:rsidR="00BF6650" w:rsidRPr="00DF5DB9" w:rsidRDefault="00BF6650" w:rsidP="00BF6650">
      <w:pPr>
        <w:pStyle w:val="subsection"/>
      </w:pPr>
      <w:r w:rsidRPr="00DF5DB9">
        <w:tab/>
      </w:r>
      <w:r w:rsidRPr="00DF5DB9">
        <w:tab/>
      </w:r>
      <w:r w:rsidR="00683537" w:rsidRPr="00DF5DB9">
        <w:t>This instrument is</w:t>
      </w:r>
      <w:r w:rsidRPr="00DF5DB9">
        <w:t xml:space="preserve"> made under the </w:t>
      </w:r>
      <w:r w:rsidR="00A41610" w:rsidRPr="00DF5DB9">
        <w:rPr>
          <w:i/>
        </w:rPr>
        <w:t>Income Tax Assessment Act 1936</w:t>
      </w:r>
      <w:r w:rsidR="00546FA3" w:rsidRPr="00DF5DB9">
        <w:t>.</w:t>
      </w:r>
    </w:p>
    <w:p w14:paraId="5AE69B9F" w14:textId="77777777" w:rsidR="00557C7A" w:rsidRPr="00DF5DB9" w:rsidRDefault="00BF6650" w:rsidP="00557C7A">
      <w:pPr>
        <w:pStyle w:val="ActHead5"/>
      </w:pPr>
      <w:bookmarkStart w:id="4" w:name="_Toc118979976"/>
      <w:r w:rsidRPr="00DF5DB9">
        <w:rPr>
          <w:rStyle w:val="CharSectno"/>
        </w:rPr>
        <w:t>4</w:t>
      </w:r>
      <w:r w:rsidR="00557C7A" w:rsidRPr="00DF5DB9">
        <w:t xml:space="preserve">  </w:t>
      </w:r>
      <w:r w:rsidR="00083F48" w:rsidRPr="00DF5DB9">
        <w:t>Schedules</w:t>
      </w:r>
      <w:bookmarkEnd w:id="4"/>
    </w:p>
    <w:p w14:paraId="5BED17E0" w14:textId="77777777" w:rsidR="00557C7A" w:rsidRPr="00DF5DB9" w:rsidRDefault="00557C7A" w:rsidP="00557C7A">
      <w:pPr>
        <w:pStyle w:val="subsection"/>
      </w:pPr>
      <w:r w:rsidRPr="00DF5DB9">
        <w:tab/>
      </w:r>
      <w:r w:rsidRPr="00DF5DB9">
        <w:tab/>
      </w:r>
      <w:r w:rsidR="00083F48" w:rsidRPr="00DF5DB9">
        <w:t xml:space="preserve">Each </w:t>
      </w:r>
      <w:r w:rsidR="00160BD7" w:rsidRPr="00DF5DB9">
        <w:t>instrument</w:t>
      </w:r>
      <w:r w:rsidR="00083F48" w:rsidRPr="00DF5DB9">
        <w:t xml:space="preserve"> that is specified in a Schedule to </w:t>
      </w:r>
      <w:r w:rsidR="00683537" w:rsidRPr="00DF5DB9">
        <w:t>this instrument</w:t>
      </w:r>
      <w:r w:rsidR="00083F48" w:rsidRPr="00DF5DB9">
        <w:t xml:space="preserve"> is amended or repealed as set out in the applicable items in the Schedule concerned, and any other item in a Schedule to </w:t>
      </w:r>
      <w:r w:rsidR="00683537" w:rsidRPr="00DF5DB9">
        <w:t>this instrument</w:t>
      </w:r>
      <w:r w:rsidR="00083F48" w:rsidRPr="00DF5DB9">
        <w:t xml:space="preserve"> has effect according to its terms.</w:t>
      </w:r>
    </w:p>
    <w:p w14:paraId="31B9C28B" w14:textId="77777777" w:rsidR="0048364F" w:rsidRPr="00DF5DB9" w:rsidRDefault="00213D8B" w:rsidP="009C5989">
      <w:pPr>
        <w:pStyle w:val="ActHead6"/>
        <w:pageBreakBefore/>
      </w:pPr>
      <w:bookmarkStart w:id="5" w:name="_Toc118979977"/>
      <w:r w:rsidRPr="00DF5DB9">
        <w:rPr>
          <w:rStyle w:val="CharAmSchNo"/>
        </w:rPr>
        <w:lastRenderedPageBreak/>
        <w:t>Schedule 1</w:t>
      </w:r>
      <w:r w:rsidR="0048364F" w:rsidRPr="00DF5DB9">
        <w:t>—</w:t>
      </w:r>
      <w:r w:rsidR="00460499" w:rsidRPr="00DF5DB9">
        <w:rPr>
          <w:rStyle w:val="CharAmSchText"/>
        </w:rPr>
        <w:t>Amendments</w:t>
      </w:r>
      <w:bookmarkEnd w:id="5"/>
    </w:p>
    <w:p w14:paraId="3E6923FD" w14:textId="77777777" w:rsidR="0004044E" w:rsidRPr="00DF5DB9" w:rsidRDefault="0004044E" w:rsidP="0004044E">
      <w:pPr>
        <w:pStyle w:val="Header"/>
      </w:pPr>
      <w:r w:rsidRPr="00DF5DB9">
        <w:rPr>
          <w:rStyle w:val="CharAmPartNo"/>
        </w:rPr>
        <w:t xml:space="preserve"> </w:t>
      </w:r>
      <w:r w:rsidRPr="00DF5DB9">
        <w:rPr>
          <w:rStyle w:val="CharAmPartText"/>
        </w:rPr>
        <w:t xml:space="preserve"> </w:t>
      </w:r>
    </w:p>
    <w:p w14:paraId="6296846A" w14:textId="77777777" w:rsidR="0084172C" w:rsidRPr="00DF5DB9" w:rsidRDefault="00A41610" w:rsidP="00EA0D36">
      <w:pPr>
        <w:pStyle w:val="ActHead9"/>
      </w:pPr>
      <w:bookmarkStart w:id="6" w:name="_Toc118979978"/>
      <w:r w:rsidRPr="00DF5DB9">
        <w:t>Income Tax Assessment (1936 Act) Regulation 2015</w:t>
      </w:r>
      <w:bookmarkEnd w:id="6"/>
    </w:p>
    <w:p w14:paraId="4362B8BD" w14:textId="77777777" w:rsidR="00C6649F" w:rsidRPr="00DF5DB9" w:rsidRDefault="00213D8B" w:rsidP="00C6649F">
      <w:pPr>
        <w:pStyle w:val="ItemHead"/>
      </w:pPr>
      <w:r w:rsidRPr="00DF5DB9">
        <w:t>1</w:t>
      </w:r>
      <w:r w:rsidR="00C6649F" w:rsidRPr="00DF5DB9">
        <w:t xml:space="preserve">  </w:t>
      </w:r>
      <w:r w:rsidRPr="00DF5DB9">
        <w:t>Section 1</w:t>
      </w:r>
      <w:r w:rsidR="00C6649F" w:rsidRPr="00DF5DB9">
        <w:t xml:space="preserve">4 (table </w:t>
      </w:r>
      <w:r w:rsidR="00865A3D" w:rsidRPr="00DF5DB9">
        <w:t>item 1</w:t>
      </w:r>
      <w:r w:rsidR="00C6649F" w:rsidRPr="00DF5DB9">
        <w:t xml:space="preserve">, column 2, </w:t>
      </w:r>
      <w:r w:rsidRPr="00DF5DB9">
        <w:t>paragraph (</w:t>
      </w:r>
      <w:r w:rsidR="00C6649F" w:rsidRPr="00DF5DB9">
        <w:t>b))</w:t>
      </w:r>
    </w:p>
    <w:p w14:paraId="3D560985" w14:textId="77777777" w:rsidR="00C6649F" w:rsidRPr="00DF5DB9" w:rsidRDefault="00C6649F" w:rsidP="00C6649F">
      <w:pPr>
        <w:pStyle w:val="Item"/>
      </w:pPr>
      <w:r w:rsidRPr="00DF5DB9">
        <w:t>Repeal the paragraph, substitute:</w:t>
      </w:r>
    </w:p>
    <w:p w14:paraId="28B80B82" w14:textId="77777777" w:rsidR="00C6649F" w:rsidRPr="00DF5DB9" w:rsidRDefault="00C6649F" w:rsidP="00C6649F">
      <w:pPr>
        <w:pStyle w:val="Tablea"/>
      </w:pPr>
      <w:r w:rsidRPr="00DF5DB9">
        <w:t xml:space="preserve">(b) </w:t>
      </w:r>
      <w:r w:rsidR="00BF38EF" w:rsidRPr="00DF5DB9">
        <w:t>any of the following apply</w:t>
      </w:r>
      <w:r w:rsidRPr="00DF5DB9">
        <w:t>:</w:t>
      </w:r>
    </w:p>
    <w:p w14:paraId="379E4C0D" w14:textId="77777777" w:rsidR="00C6649F" w:rsidRPr="00DF5DB9" w:rsidRDefault="00C6649F" w:rsidP="00C6649F">
      <w:pPr>
        <w:pStyle w:val="Tablei"/>
      </w:pPr>
      <w:r w:rsidRPr="00DF5DB9">
        <w:t>(</w:t>
      </w:r>
      <w:proofErr w:type="spellStart"/>
      <w:r w:rsidRPr="00DF5DB9">
        <w:t>i</w:t>
      </w:r>
      <w:proofErr w:type="spellEnd"/>
      <w:r w:rsidRPr="00DF5DB9">
        <w:t>) the parties were not dealing with each other at arm’s length in relation to the transaction;</w:t>
      </w:r>
    </w:p>
    <w:p w14:paraId="4ED84FAF" w14:textId="77777777" w:rsidR="00C6649F" w:rsidRPr="00DF5DB9" w:rsidRDefault="00C6649F" w:rsidP="00C6649F">
      <w:pPr>
        <w:pStyle w:val="Tablei"/>
      </w:pPr>
      <w:r w:rsidRPr="00DF5DB9">
        <w:t xml:space="preserve">(ii) </w:t>
      </w:r>
      <w:r w:rsidR="00EB3347" w:rsidRPr="00DF5DB9">
        <w:t xml:space="preserve">the </w:t>
      </w:r>
      <w:r w:rsidR="006D6726" w:rsidRPr="00DF5DB9">
        <w:t xml:space="preserve">transaction results in </w:t>
      </w:r>
      <w:r w:rsidR="00AC5CCC" w:rsidRPr="00DF5DB9">
        <w:t xml:space="preserve">an amount of $200,000 or more being included in or allowable as a deduction from the </w:t>
      </w:r>
      <w:r w:rsidR="006D6726" w:rsidRPr="00DF5DB9">
        <w:t xml:space="preserve">assessable income </w:t>
      </w:r>
      <w:r w:rsidR="00AC5CCC" w:rsidRPr="00DF5DB9">
        <w:t>of any of the parties in respect of</w:t>
      </w:r>
      <w:r w:rsidR="00865A3D" w:rsidRPr="00DF5DB9">
        <w:t xml:space="preserve"> the assessment year</w:t>
      </w:r>
      <w:r w:rsidR="00EB3347" w:rsidRPr="00DF5DB9">
        <w:t>;</w:t>
      </w:r>
    </w:p>
    <w:p w14:paraId="5B75D8EB" w14:textId="77777777" w:rsidR="006D6726" w:rsidRPr="00DF5DB9" w:rsidRDefault="006D6726" w:rsidP="00C6649F">
      <w:pPr>
        <w:pStyle w:val="Tablei"/>
      </w:pPr>
      <w:r w:rsidRPr="00DF5DB9">
        <w:t xml:space="preserve">(iii) the transaction </w:t>
      </w:r>
      <w:r w:rsidR="00D56AEA" w:rsidRPr="00DF5DB9">
        <w:t>involves</w:t>
      </w:r>
      <w:r w:rsidR="008228EF" w:rsidRPr="00DF5DB9">
        <w:t xml:space="preserve"> one or more</w:t>
      </w:r>
      <w:r w:rsidR="0007225B" w:rsidRPr="00DF5DB9">
        <w:t xml:space="preserve"> CGT event</w:t>
      </w:r>
      <w:r w:rsidR="008228EF" w:rsidRPr="00DF5DB9">
        <w:t>s, and</w:t>
      </w:r>
      <w:r w:rsidR="0007225B" w:rsidRPr="00DF5DB9">
        <w:t xml:space="preserve"> </w:t>
      </w:r>
      <w:r w:rsidR="008228EF" w:rsidRPr="00DF5DB9">
        <w:t xml:space="preserve">the </w:t>
      </w:r>
      <w:r w:rsidR="00BF38EF" w:rsidRPr="00DF5DB9">
        <w:t>sum</w:t>
      </w:r>
      <w:r w:rsidR="008228EF" w:rsidRPr="00DF5DB9">
        <w:t xml:space="preserve"> of the capital proceeds from the events is </w:t>
      </w:r>
      <w:r w:rsidR="0007225B" w:rsidRPr="00DF5DB9">
        <w:t>$200,000 or more;</w:t>
      </w:r>
    </w:p>
    <w:p w14:paraId="530FA23C" w14:textId="77777777" w:rsidR="002235AF" w:rsidRPr="00DF5DB9" w:rsidRDefault="00213D8B" w:rsidP="002235AF">
      <w:pPr>
        <w:pStyle w:val="ItemHead"/>
      </w:pPr>
      <w:r w:rsidRPr="00DF5DB9">
        <w:t>2</w:t>
      </w:r>
      <w:r w:rsidR="002235AF" w:rsidRPr="00DF5DB9">
        <w:t xml:space="preserve">  </w:t>
      </w:r>
      <w:r w:rsidRPr="00DF5DB9">
        <w:t>Section 1</w:t>
      </w:r>
      <w:r w:rsidR="002235AF" w:rsidRPr="00DF5DB9">
        <w:t xml:space="preserve">4 (table </w:t>
      </w:r>
      <w:r w:rsidR="00865A3D" w:rsidRPr="00DF5DB9">
        <w:t>item 1</w:t>
      </w:r>
      <w:r w:rsidR="002235AF" w:rsidRPr="00DF5DB9">
        <w:t xml:space="preserve">, column 2, </w:t>
      </w:r>
      <w:r w:rsidRPr="00DF5DB9">
        <w:t>paragraph (</w:t>
      </w:r>
      <w:r w:rsidR="002235AF" w:rsidRPr="00DF5DB9">
        <w:t>c))</w:t>
      </w:r>
    </w:p>
    <w:p w14:paraId="19CFC319" w14:textId="77777777" w:rsidR="002235AF" w:rsidRPr="00DF5DB9" w:rsidRDefault="002235AF" w:rsidP="002235AF">
      <w:pPr>
        <w:pStyle w:val="Item"/>
      </w:pPr>
      <w:r w:rsidRPr="00DF5DB9">
        <w:t>Repeal the paragraph.</w:t>
      </w:r>
    </w:p>
    <w:p w14:paraId="527C4DC1" w14:textId="77777777" w:rsidR="0053453F" w:rsidRPr="00DF5DB9" w:rsidRDefault="00213D8B" w:rsidP="002973CF">
      <w:pPr>
        <w:pStyle w:val="ItemHead"/>
      </w:pPr>
      <w:r w:rsidRPr="00DF5DB9">
        <w:t>3</w:t>
      </w:r>
      <w:r w:rsidR="0053453F" w:rsidRPr="00DF5DB9">
        <w:t xml:space="preserve">  </w:t>
      </w:r>
      <w:r w:rsidRPr="00DF5DB9">
        <w:t>Section 1</w:t>
      </w:r>
      <w:r w:rsidR="0053453F" w:rsidRPr="00DF5DB9">
        <w:t xml:space="preserve">4 (after table </w:t>
      </w:r>
      <w:r w:rsidRPr="00DF5DB9">
        <w:t>item 5</w:t>
      </w:r>
      <w:r w:rsidR="0053453F" w:rsidRPr="00DF5DB9">
        <w:t>)</w:t>
      </w:r>
    </w:p>
    <w:p w14:paraId="05BFBD62" w14:textId="77777777" w:rsidR="0053453F" w:rsidRPr="00DF5DB9" w:rsidRDefault="0053453F" w:rsidP="0053453F">
      <w:pPr>
        <w:pStyle w:val="Item"/>
      </w:pPr>
      <w:r w:rsidRPr="00DF5DB9">
        <w:t>Insert:</w:t>
      </w:r>
    </w:p>
    <w:p w14:paraId="27D10B08" w14:textId="77777777" w:rsidR="0053453F" w:rsidRPr="00DF5DB9" w:rsidRDefault="0053453F" w:rsidP="0053453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43"/>
        <w:gridCol w:w="2319"/>
        <w:gridCol w:w="5151"/>
      </w:tblGrid>
      <w:tr w:rsidR="0053453F" w:rsidRPr="00DF5DB9" w14:paraId="5033EBC9" w14:textId="77777777" w:rsidTr="00590A75">
        <w:trPr>
          <w:trHeight w:val="251"/>
        </w:trPr>
        <w:tc>
          <w:tcPr>
            <w:tcW w:w="507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9A0EEC0" w14:textId="77777777" w:rsidR="0053453F" w:rsidRPr="00DF5DB9" w:rsidRDefault="0053453F" w:rsidP="00FC26F2">
            <w:pPr>
              <w:pStyle w:val="Tabletext"/>
            </w:pPr>
            <w:r w:rsidRPr="00DF5DB9">
              <w:t>5A</w:t>
            </w:r>
          </w:p>
        </w:tc>
        <w:tc>
          <w:tcPr>
            <w:tcW w:w="1395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DF4021B" w14:textId="77777777" w:rsidR="0053453F" w:rsidRPr="00DF5DB9" w:rsidRDefault="0053453F" w:rsidP="0053453F">
            <w:pPr>
              <w:pStyle w:val="Tablea"/>
            </w:pPr>
            <w:r w:rsidRPr="00DF5DB9">
              <w:t xml:space="preserve">(a) Paragraph (f) of </w:t>
            </w:r>
            <w:r w:rsidR="00865A3D" w:rsidRPr="00DF5DB9">
              <w:t>item 1</w:t>
            </w:r>
            <w:r w:rsidRPr="00DF5DB9">
              <w:t>; or</w:t>
            </w:r>
          </w:p>
          <w:p w14:paraId="2501B527" w14:textId="77777777" w:rsidR="0053453F" w:rsidRPr="00DF5DB9" w:rsidRDefault="0053453F" w:rsidP="0053453F">
            <w:pPr>
              <w:pStyle w:val="Tablea"/>
            </w:pPr>
            <w:r w:rsidRPr="00DF5DB9">
              <w:t xml:space="preserve">(b) </w:t>
            </w:r>
            <w:r w:rsidR="00213D8B" w:rsidRPr="00DF5DB9">
              <w:t>paragraph (</w:t>
            </w:r>
            <w:r w:rsidRPr="00DF5DB9">
              <w:t>e) of item 2; or</w:t>
            </w:r>
          </w:p>
          <w:p w14:paraId="4D8F6FDC" w14:textId="77777777" w:rsidR="0053453F" w:rsidRPr="00DF5DB9" w:rsidRDefault="0053453F" w:rsidP="0053453F">
            <w:pPr>
              <w:pStyle w:val="Tablea"/>
            </w:pPr>
            <w:r w:rsidRPr="00DF5DB9">
              <w:t xml:space="preserve">(c) </w:t>
            </w:r>
            <w:r w:rsidR="00213D8B" w:rsidRPr="00DF5DB9">
              <w:t>paragraph (</w:t>
            </w:r>
            <w:r w:rsidRPr="00DF5DB9">
              <w:t>d) of item 3</w:t>
            </w:r>
          </w:p>
        </w:tc>
        <w:tc>
          <w:tcPr>
            <w:tcW w:w="3098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2C32AD5" w14:textId="77777777" w:rsidR="0053453F" w:rsidRPr="00DF5DB9" w:rsidRDefault="00244149" w:rsidP="0053453F">
            <w:pPr>
              <w:pStyle w:val="Tabletext"/>
            </w:pPr>
            <w:r w:rsidRPr="00DF5DB9">
              <w:t xml:space="preserve">The </w:t>
            </w:r>
            <w:r w:rsidR="00315766" w:rsidRPr="00DF5DB9">
              <w:t>sum of the</w:t>
            </w:r>
            <w:r w:rsidR="007C5360" w:rsidRPr="00DF5DB9">
              <w:t xml:space="preserve"> amounts of</w:t>
            </w:r>
            <w:r w:rsidR="00315766" w:rsidRPr="00DF5DB9">
              <w:t xml:space="preserve"> </w:t>
            </w:r>
            <w:r w:rsidR="00A03DD6" w:rsidRPr="00DF5DB9">
              <w:t xml:space="preserve">assessable income </w:t>
            </w:r>
            <w:r w:rsidR="00B83260" w:rsidRPr="00DF5DB9">
              <w:t xml:space="preserve">from sources other than an Australian source </w:t>
            </w:r>
            <w:r w:rsidR="00C43353" w:rsidRPr="00DF5DB9">
              <w:t xml:space="preserve">(within the meaning of the </w:t>
            </w:r>
            <w:r w:rsidR="00C43353" w:rsidRPr="00DF5DB9">
              <w:rPr>
                <w:i/>
              </w:rPr>
              <w:t>Income Tax Assessment Act 1997</w:t>
            </w:r>
            <w:r w:rsidR="00C43353" w:rsidRPr="00DF5DB9">
              <w:t xml:space="preserve">) </w:t>
            </w:r>
            <w:r w:rsidR="00570AE3" w:rsidRPr="00DF5DB9">
              <w:t xml:space="preserve">of the following </w:t>
            </w:r>
            <w:r w:rsidR="00A03DD6" w:rsidRPr="00DF5DB9">
              <w:t>for the assessment year is</w:t>
            </w:r>
            <w:r w:rsidRPr="00DF5DB9">
              <w:t xml:space="preserve"> $200,000 or more</w:t>
            </w:r>
            <w:r w:rsidR="00A03DD6" w:rsidRPr="00DF5DB9">
              <w:t>:</w:t>
            </w:r>
          </w:p>
          <w:p w14:paraId="644EF409" w14:textId="77777777" w:rsidR="001E3A45" w:rsidRPr="00DF5DB9" w:rsidRDefault="001E3A45" w:rsidP="00AC1624">
            <w:pPr>
              <w:pStyle w:val="Tablea"/>
            </w:pPr>
            <w:r w:rsidRPr="00DF5DB9">
              <w:t xml:space="preserve">(a) </w:t>
            </w:r>
            <w:r w:rsidR="00A03DD6" w:rsidRPr="00DF5DB9">
              <w:t>the assessed entity;</w:t>
            </w:r>
          </w:p>
          <w:p w14:paraId="43F4E220" w14:textId="77777777" w:rsidR="00A03DD6" w:rsidRPr="00DF5DB9" w:rsidRDefault="001E3A45" w:rsidP="00AC1624">
            <w:pPr>
              <w:pStyle w:val="Tablea"/>
            </w:pPr>
            <w:r w:rsidRPr="00DF5DB9">
              <w:t xml:space="preserve">(b) </w:t>
            </w:r>
            <w:r w:rsidR="00A03DD6" w:rsidRPr="00DF5DB9">
              <w:t xml:space="preserve">an affiliate </w:t>
            </w:r>
            <w:r w:rsidR="007C5360" w:rsidRPr="00DF5DB9">
              <w:t xml:space="preserve">(within the meaning of </w:t>
            </w:r>
            <w:r w:rsidR="00F607B9" w:rsidRPr="00DF5DB9">
              <w:t>that Act</w:t>
            </w:r>
            <w:r w:rsidR="007C5360" w:rsidRPr="00DF5DB9">
              <w:t xml:space="preserve">) </w:t>
            </w:r>
            <w:r w:rsidR="00A03DD6" w:rsidRPr="00DF5DB9">
              <w:t>of the assessed entity;</w:t>
            </w:r>
          </w:p>
          <w:p w14:paraId="2493ABD6" w14:textId="77777777" w:rsidR="0053453F" w:rsidRPr="00DF5DB9" w:rsidRDefault="00A03DD6" w:rsidP="00AC1624">
            <w:pPr>
              <w:pStyle w:val="Tablea"/>
            </w:pPr>
            <w:r w:rsidRPr="00DF5DB9">
              <w:t xml:space="preserve">(c) an entity that is connected with </w:t>
            </w:r>
            <w:r w:rsidR="007C5360" w:rsidRPr="00DF5DB9">
              <w:t xml:space="preserve">(within the meaning of </w:t>
            </w:r>
            <w:r w:rsidR="00F607B9" w:rsidRPr="00DF5DB9">
              <w:t>that Act</w:t>
            </w:r>
            <w:r w:rsidR="007C5360" w:rsidRPr="00DF5DB9">
              <w:t xml:space="preserve">) </w:t>
            </w:r>
            <w:r w:rsidRPr="00DF5DB9">
              <w:t>the assessed entity</w:t>
            </w:r>
            <w:r w:rsidR="001E3A45" w:rsidRPr="00DF5DB9">
              <w:t>.</w:t>
            </w:r>
          </w:p>
        </w:tc>
      </w:tr>
      <w:tr w:rsidR="00AC4500" w:rsidRPr="00DF5DB9" w14:paraId="21A5B003" w14:textId="77777777" w:rsidTr="00590A75">
        <w:trPr>
          <w:trHeight w:val="251"/>
        </w:trPr>
        <w:tc>
          <w:tcPr>
            <w:tcW w:w="507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2E95CF3" w14:textId="77777777" w:rsidR="00AC4500" w:rsidRPr="00DF5DB9" w:rsidRDefault="00AC4500" w:rsidP="00FC26F2">
            <w:pPr>
              <w:pStyle w:val="Tabletext"/>
            </w:pPr>
            <w:r w:rsidRPr="00DF5DB9">
              <w:t>5B</w:t>
            </w:r>
          </w:p>
        </w:tc>
        <w:tc>
          <w:tcPr>
            <w:tcW w:w="139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D9FDBCC" w14:textId="77777777" w:rsidR="00AC4500" w:rsidRPr="00DF5DB9" w:rsidRDefault="00AC4500" w:rsidP="00FC26F2">
            <w:pPr>
              <w:pStyle w:val="Tablea"/>
            </w:pPr>
            <w:r w:rsidRPr="00DF5DB9">
              <w:t>(a) Paragraph (e) of item 2; or</w:t>
            </w:r>
          </w:p>
          <w:p w14:paraId="78C01552" w14:textId="77777777" w:rsidR="00AC4500" w:rsidRPr="00DF5DB9" w:rsidRDefault="00AC4500" w:rsidP="00FC26F2">
            <w:pPr>
              <w:pStyle w:val="Tablea"/>
            </w:pPr>
            <w:r w:rsidRPr="00DF5DB9">
              <w:t xml:space="preserve">(b) </w:t>
            </w:r>
            <w:r w:rsidR="00213D8B" w:rsidRPr="00DF5DB9">
              <w:t>paragraph (</w:t>
            </w:r>
            <w:r w:rsidRPr="00DF5DB9">
              <w:t>d) of item 3</w:t>
            </w:r>
          </w:p>
        </w:tc>
        <w:tc>
          <w:tcPr>
            <w:tcW w:w="309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BFEE080" w14:textId="77777777" w:rsidR="00022FAD" w:rsidRPr="00DF5DB9" w:rsidRDefault="00AC4500" w:rsidP="00AC4500">
            <w:pPr>
              <w:pStyle w:val="Tabletext"/>
            </w:pPr>
            <w:r w:rsidRPr="00DF5DB9">
              <w:t xml:space="preserve">The </w:t>
            </w:r>
            <w:r w:rsidR="00926913" w:rsidRPr="00DF5DB9">
              <w:t xml:space="preserve">assessed </w:t>
            </w:r>
            <w:r w:rsidRPr="00DF5DB9">
              <w:t>entity is</w:t>
            </w:r>
            <w:r w:rsidR="00022FAD" w:rsidRPr="00DF5DB9">
              <w:t>, at any time in the assessment year:</w:t>
            </w:r>
          </w:p>
          <w:p w14:paraId="7BF7761F" w14:textId="77777777" w:rsidR="00022FAD" w:rsidRPr="00DF5DB9" w:rsidRDefault="00022FAD" w:rsidP="00022FAD">
            <w:pPr>
              <w:pStyle w:val="Tablea"/>
            </w:pPr>
            <w:r w:rsidRPr="00DF5DB9">
              <w:t xml:space="preserve">(a) </w:t>
            </w:r>
            <w:r w:rsidR="00AC4500" w:rsidRPr="00DF5DB9">
              <w:t>a foreign controlled Australian entity</w:t>
            </w:r>
            <w:r w:rsidR="00AC1624" w:rsidRPr="00DF5DB9">
              <w:t xml:space="preserve"> (within the meaning of the </w:t>
            </w:r>
            <w:r w:rsidR="00AC1624" w:rsidRPr="00DF5DB9">
              <w:rPr>
                <w:i/>
              </w:rPr>
              <w:t>Income Tax Assessment Act 1997</w:t>
            </w:r>
            <w:r w:rsidR="00AC1624" w:rsidRPr="00DF5DB9">
              <w:t>)</w:t>
            </w:r>
            <w:r w:rsidRPr="00DF5DB9">
              <w:t>; or</w:t>
            </w:r>
          </w:p>
          <w:p w14:paraId="5F7B8B8E" w14:textId="77777777" w:rsidR="00AC4500" w:rsidRPr="00DF5DB9" w:rsidRDefault="00022FAD" w:rsidP="00022FAD">
            <w:pPr>
              <w:pStyle w:val="Tablea"/>
            </w:pPr>
            <w:r w:rsidRPr="00DF5DB9">
              <w:t>(b) a non</w:t>
            </w:r>
            <w:r w:rsidR="003C4DBF" w:rsidRPr="00DF5DB9">
              <w:noBreakHyphen/>
            </w:r>
            <w:r w:rsidRPr="00DF5DB9">
              <w:t>resident</w:t>
            </w:r>
            <w:r w:rsidR="00AC4500" w:rsidRPr="00DF5DB9">
              <w:t>.</w:t>
            </w:r>
          </w:p>
        </w:tc>
      </w:tr>
    </w:tbl>
    <w:p w14:paraId="6C5E2C5E" w14:textId="77777777" w:rsidR="00701983" w:rsidRPr="00DF5DB9" w:rsidRDefault="00213D8B" w:rsidP="00701983">
      <w:pPr>
        <w:pStyle w:val="ItemHead"/>
      </w:pPr>
      <w:r w:rsidRPr="00DF5DB9">
        <w:t>4</w:t>
      </w:r>
      <w:r w:rsidR="00701983" w:rsidRPr="00DF5DB9">
        <w:t xml:space="preserve">  </w:t>
      </w:r>
      <w:r w:rsidRPr="00DF5DB9">
        <w:t>Section 1</w:t>
      </w:r>
      <w:r w:rsidR="00701983" w:rsidRPr="00DF5DB9">
        <w:t xml:space="preserve">4 (table </w:t>
      </w:r>
      <w:r w:rsidRPr="00DF5DB9">
        <w:t>item 8</w:t>
      </w:r>
      <w:r w:rsidR="00701983" w:rsidRPr="00DF5DB9">
        <w:t xml:space="preserve">, column 2, after </w:t>
      </w:r>
      <w:r w:rsidRPr="00DF5DB9">
        <w:t>paragraph (</w:t>
      </w:r>
      <w:r w:rsidR="00701983" w:rsidRPr="00DF5DB9">
        <w:t>c))</w:t>
      </w:r>
    </w:p>
    <w:p w14:paraId="73D904B6" w14:textId="77777777" w:rsidR="00701983" w:rsidRPr="00DF5DB9" w:rsidRDefault="00701983" w:rsidP="00701983">
      <w:pPr>
        <w:pStyle w:val="Item"/>
      </w:pPr>
      <w:r w:rsidRPr="00DF5DB9">
        <w:t>Insert:</w:t>
      </w:r>
    </w:p>
    <w:p w14:paraId="6796AFFA" w14:textId="77777777" w:rsidR="00701983" w:rsidRPr="00DF5DB9" w:rsidRDefault="00701983" w:rsidP="00701983">
      <w:pPr>
        <w:pStyle w:val="Tablea"/>
      </w:pPr>
      <w:r w:rsidRPr="00DF5DB9">
        <w:t xml:space="preserve">(ca) </w:t>
      </w:r>
      <w:r w:rsidR="00213D8B" w:rsidRPr="00DF5DB9">
        <w:t>section 1</w:t>
      </w:r>
      <w:r w:rsidRPr="00DF5DB9">
        <w:t>77DA of the Act (schemes that limit a taxable presence in Australia);</w:t>
      </w:r>
    </w:p>
    <w:p w14:paraId="1AE9FF63" w14:textId="77777777" w:rsidR="00701983" w:rsidRPr="00DF5DB9" w:rsidRDefault="00213D8B" w:rsidP="00701983">
      <w:pPr>
        <w:pStyle w:val="ItemHead"/>
      </w:pPr>
      <w:r w:rsidRPr="00DF5DB9">
        <w:t>5</w:t>
      </w:r>
      <w:r w:rsidR="00701983" w:rsidRPr="00DF5DB9">
        <w:t xml:space="preserve">  </w:t>
      </w:r>
      <w:r w:rsidRPr="00DF5DB9">
        <w:t>Section 1</w:t>
      </w:r>
      <w:r w:rsidR="00701983" w:rsidRPr="00DF5DB9">
        <w:t xml:space="preserve">4 (table </w:t>
      </w:r>
      <w:r w:rsidRPr="00DF5DB9">
        <w:t>item 8</w:t>
      </w:r>
      <w:r w:rsidR="00701983" w:rsidRPr="00DF5DB9">
        <w:t xml:space="preserve">, column 2, after </w:t>
      </w:r>
      <w:r w:rsidRPr="00DF5DB9">
        <w:t>paragraph (</w:t>
      </w:r>
      <w:r w:rsidR="00701983" w:rsidRPr="00DF5DB9">
        <w:t>e))</w:t>
      </w:r>
    </w:p>
    <w:p w14:paraId="1DF72C38" w14:textId="77777777" w:rsidR="00701983" w:rsidRPr="00DF5DB9" w:rsidRDefault="00701983" w:rsidP="00701983">
      <w:pPr>
        <w:pStyle w:val="Item"/>
      </w:pPr>
      <w:r w:rsidRPr="00DF5DB9">
        <w:t>Insert:</w:t>
      </w:r>
    </w:p>
    <w:p w14:paraId="2E681D1D" w14:textId="77777777" w:rsidR="00701983" w:rsidRPr="00DF5DB9" w:rsidRDefault="00701983" w:rsidP="00701983">
      <w:pPr>
        <w:pStyle w:val="Tablea"/>
      </w:pPr>
      <w:r w:rsidRPr="00DF5DB9">
        <w:t>(</w:t>
      </w:r>
      <w:proofErr w:type="spellStart"/>
      <w:r w:rsidRPr="00DF5DB9">
        <w:t>ea</w:t>
      </w:r>
      <w:proofErr w:type="spellEnd"/>
      <w:r w:rsidRPr="00DF5DB9">
        <w:t xml:space="preserve">) </w:t>
      </w:r>
      <w:r w:rsidR="00213D8B" w:rsidRPr="00DF5DB9">
        <w:t>subsection 1</w:t>
      </w:r>
      <w:r w:rsidRPr="00DF5DB9">
        <w:t>77J(1) of the Act (diverted profits tax);</w:t>
      </w:r>
    </w:p>
    <w:p w14:paraId="6B31A0EC" w14:textId="77777777" w:rsidR="002973CF" w:rsidRPr="00DF5DB9" w:rsidRDefault="00213D8B" w:rsidP="002973CF">
      <w:pPr>
        <w:pStyle w:val="ItemHead"/>
      </w:pPr>
      <w:r w:rsidRPr="00DF5DB9">
        <w:t>6</w:t>
      </w:r>
      <w:r w:rsidR="002973CF" w:rsidRPr="00DF5DB9">
        <w:t xml:space="preserve">  </w:t>
      </w:r>
      <w:r w:rsidRPr="00DF5DB9">
        <w:t>Section 1</w:t>
      </w:r>
      <w:r w:rsidR="002973CF" w:rsidRPr="00DF5DB9">
        <w:t>4 (at the end of the table)</w:t>
      </w:r>
    </w:p>
    <w:p w14:paraId="69F77132" w14:textId="77777777" w:rsidR="00014803" w:rsidRPr="00DF5DB9" w:rsidRDefault="002973CF" w:rsidP="00362047">
      <w:pPr>
        <w:pStyle w:val="Item"/>
      </w:pPr>
      <w:r w:rsidRPr="00DF5DB9">
        <w:t>Add: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43"/>
        <w:gridCol w:w="2319"/>
        <w:gridCol w:w="5151"/>
      </w:tblGrid>
      <w:tr w:rsidR="002973CF" w:rsidRPr="00DF5DB9" w14:paraId="33D03578" w14:textId="77777777" w:rsidTr="00590A75">
        <w:trPr>
          <w:trHeight w:val="251"/>
        </w:trPr>
        <w:tc>
          <w:tcPr>
            <w:tcW w:w="507" w:type="pct"/>
            <w:tcBorders>
              <w:top w:val="nil"/>
            </w:tcBorders>
            <w:shd w:val="clear" w:color="auto" w:fill="auto"/>
          </w:tcPr>
          <w:p w14:paraId="54BE87EB" w14:textId="77777777" w:rsidR="002973CF" w:rsidRPr="00DF5DB9" w:rsidRDefault="00D600A8" w:rsidP="00FC26F2">
            <w:pPr>
              <w:pStyle w:val="Tabletext"/>
            </w:pPr>
            <w:r w:rsidRPr="00DF5DB9">
              <w:t>10</w:t>
            </w:r>
          </w:p>
        </w:tc>
        <w:tc>
          <w:tcPr>
            <w:tcW w:w="1395" w:type="pct"/>
            <w:tcBorders>
              <w:top w:val="nil"/>
            </w:tcBorders>
            <w:shd w:val="clear" w:color="auto" w:fill="auto"/>
          </w:tcPr>
          <w:p w14:paraId="2C712CC5" w14:textId="77777777" w:rsidR="002973CF" w:rsidRPr="00DF5DB9" w:rsidRDefault="002973CF" w:rsidP="00FC26F2">
            <w:pPr>
              <w:pStyle w:val="Tablea"/>
            </w:pPr>
            <w:r w:rsidRPr="00DF5DB9">
              <w:t>(</w:t>
            </w:r>
            <w:r w:rsidR="00D600A8" w:rsidRPr="00DF5DB9">
              <w:t>a</w:t>
            </w:r>
            <w:r w:rsidRPr="00DF5DB9">
              <w:t xml:space="preserve">) </w:t>
            </w:r>
            <w:r w:rsidR="0053453F" w:rsidRPr="00DF5DB9">
              <w:t>P</w:t>
            </w:r>
            <w:r w:rsidRPr="00DF5DB9">
              <w:t>aragraph (e) of item 2; or</w:t>
            </w:r>
          </w:p>
          <w:p w14:paraId="0CCF58B6" w14:textId="77777777" w:rsidR="002973CF" w:rsidRPr="00DF5DB9" w:rsidRDefault="002973CF" w:rsidP="00FC26F2">
            <w:pPr>
              <w:pStyle w:val="Tablea"/>
            </w:pPr>
            <w:r w:rsidRPr="00DF5DB9">
              <w:t>(</w:t>
            </w:r>
            <w:r w:rsidR="00D600A8" w:rsidRPr="00DF5DB9">
              <w:t>b</w:t>
            </w:r>
            <w:r w:rsidRPr="00DF5DB9">
              <w:t xml:space="preserve">) </w:t>
            </w:r>
            <w:r w:rsidR="00213D8B" w:rsidRPr="00DF5DB9">
              <w:t>paragraph (</w:t>
            </w:r>
            <w:r w:rsidRPr="00DF5DB9">
              <w:t>d) of item 3</w:t>
            </w:r>
          </w:p>
        </w:tc>
        <w:tc>
          <w:tcPr>
            <w:tcW w:w="3098" w:type="pct"/>
            <w:tcBorders>
              <w:top w:val="nil"/>
            </w:tcBorders>
            <w:shd w:val="clear" w:color="auto" w:fill="auto"/>
          </w:tcPr>
          <w:p w14:paraId="098AFB1D" w14:textId="77777777" w:rsidR="00D86E04" w:rsidRPr="00DF5DB9" w:rsidRDefault="00A6447D" w:rsidP="00A6447D">
            <w:pPr>
              <w:pStyle w:val="Tabletext"/>
            </w:pPr>
            <w:r w:rsidRPr="00DF5DB9">
              <w:t>A</w:t>
            </w:r>
            <w:r w:rsidR="00D86E04" w:rsidRPr="00DF5DB9">
              <w:t>t any time during the assessment year</w:t>
            </w:r>
            <w:r w:rsidRPr="00DF5DB9">
              <w:t xml:space="preserve">, the </w:t>
            </w:r>
            <w:r w:rsidR="00B83260" w:rsidRPr="00DF5DB9">
              <w:t xml:space="preserve">total </w:t>
            </w:r>
            <w:r w:rsidRPr="00DF5DB9">
              <w:t>number of entities that are connected with</w:t>
            </w:r>
            <w:r w:rsidR="00B83260" w:rsidRPr="00DF5DB9">
              <w:t xml:space="preserve"> (within the meaning of the </w:t>
            </w:r>
            <w:r w:rsidR="00B83260" w:rsidRPr="00DF5DB9">
              <w:rPr>
                <w:i/>
              </w:rPr>
              <w:t>Income Tax Assessment Act 1997</w:t>
            </w:r>
            <w:r w:rsidR="00B83260" w:rsidRPr="00DF5DB9">
              <w:t>)</w:t>
            </w:r>
            <w:r w:rsidRPr="00DF5DB9">
              <w:t>, or are an affiliate of</w:t>
            </w:r>
            <w:r w:rsidR="00B83260" w:rsidRPr="00DF5DB9">
              <w:t xml:space="preserve"> (within the meaning of </w:t>
            </w:r>
            <w:r w:rsidR="00F607B9" w:rsidRPr="00DF5DB9">
              <w:t>that Act</w:t>
            </w:r>
            <w:r w:rsidR="00B83260" w:rsidRPr="00DF5DB9">
              <w:t>)</w:t>
            </w:r>
            <w:r w:rsidRPr="00DF5DB9">
              <w:t>, the assessed entity is 10 or more.</w:t>
            </w:r>
          </w:p>
        </w:tc>
      </w:tr>
      <w:tr w:rsidR="005477F6" w:rsidRPr="00DF5DB9" w14:paraId="75C97ECA" w14:textId="77777777" w:rsidTr="00590A75">
        <w:trPr>
          <w:cantSplit/>
          <w:trHeight w:val="251"/>
        </w:trPr>
        <w:tc>
          <w:tcPr>
            <w:tcW w:w="507" w:type="pct"/>
            <w:shd w:val="clear" w:color="auto" w:fill="auto"/>
          </w:tcPr>
          <w:p w14:paraId="559FFD55" w14:textId="77777777" w:rsidR="005477F6" w:rsidRPr="00DF5DB9" w:rsidRDefault="005477F6" w:rsidP="00FC26F2">
            <w:pPr>
              <w:pStyle w:val="Tabletext"/>
            </w:pPr>
            <w:r w:rsidRPr="00DF5DB9">
              <w:lastRenderedPageBreak/>
              <w:t>11</w:t>
            </w:r>
          </w:p>
        </w:tc>
        <w:tc>
          <w:tcPr>
            <w:tcW w:w="1395" w:type="pct"/>
            <w:shd w:val="clear" w:color="auto" w:fill="auto"/>
          </w:tcPr>
          <w:p w14:paraId="75C67D51" w14:textId="77777777" w:rsidR="005477F6" w:rsidRPr="00DF5DB9" w:rsidRDefault="005477F6" w:rsidP="00FC26F2">
            <w:pPr>
              <w:pStyle w:val="Tablea"/>
            </w:pPr>
            <w:r w:rsidRPr="00DF5DB9">
              <w:t>(a) Paragraph (e) of item 2; or</w:t>
            </w:r>
          </w:p>
          <w:p w14:paraId="5AC28BA7" w14:textId="77777777" w:rsidR="005477F6" w:rsidRPr="00DF5DB9" w:rsidRDefault="005477F6" w:rsidP="00FC26F2">
            <w:pPr>
              <w:pStyle w:val="Tablea"/>
            </w:pPr>
            <w:r w:rsidRPr="00DF5DB9">
              <w:t xml:space="preserve">(b) </w:t>
            </w:r>
            <w:r w:rsidR="00213D8B" w:rsidRPr="00DF5DB9">
              <w:t>paragraph (</w:t>
            </w:r>
            <w:r w:rsidRPr="00DF5DB9">
              <w:t>d) of item 3</w:t>
            </w:r>
          </w:p>
        </w:tc>
        <w:tc>
          <w:tcPr>
            <w:tcW w:w="3098" w:type="pct"/>
            <w:shd w:val="clear" w:color="auto" w:fill="auto"/>
          </w:tcPr>
          <w:p w14:paraId="74746FFD" w14:textId="77777777" w:rsidR="001A6813" w:rsidRPr="00DF5DB9" w:rsidRDefault="00EA4F50" w:rsidP="00EA4F50">
            <w:pPr>
              <w:pStyle w:val="Tabletext"/>
            </w:pPr>
            <w:r w:rsidRPr="00DF5DB9">
              <w:t xml:space="preserve">The </w:t>
            </w:r>
            <w:r w:rsidR="00FC26F2" w:rsidRPr="00DF5DB9">
              <w:t xml:space="preserve">assessed </w:t>
            </w:r>
            <w:r w:rsidRPr="00DF5DB9">
              <w:t>entity</w:t>
            </w:r>
            <w:r w:rsidR="001A6813" w:rsidRPr="00DF5DB9">
              <w:t>:</w:t>
            </w:r>
          </w:p>
          <w:p w14:paraId="31F93373" w14:textId="77777777" w:rsidR="005477F6" w:rsidRPr="00DF5DB9" w:rsidRDefault="001A6813" w:rsidP="001A6813">
            <w:pPr>
              <w:pStyle w:val="Tablea"/>
            </w:pPr>
            <w:r w:rsidRPr="00DF5DB9">
              <w:t xml:space="preserve">(a) </w:t>
            </w:r>
            <w:r w:rsidR="00225EA9" w:rsidRPr="00DF5DB9">
              <w:t xml:space="preserve">has claimed </w:t>
            </w:r>
            <w:r w:rsidR="00EA4F50" w:rsidRPr="00DF5DB9">
              <w:t xml:space="preserve">a tax offset under </w:t>
            </w:r>
            <w:r w:rsidR="00213D8B" w:rsidRPr="00DF5DB9">
              <w:t>Division 3</w:t>
            </w:r>
            <w:r w:rsidR="00EA4F50" w:rsidRPr="00DF5DB9">
              <w:t xml:space="preserve">55 of the </w:t>
            </w:r>
            <w:r w:rsidR="00380FF8" w:rsidRPr="00DF5DB9">
              <w:rPr>
                <w:i/>
              </w:rPr>
              <w:t>Income Tax Assessment Act 1997</w:t>
            </w:r>
            <w:r w:rsidR="00EA4F50" w:rsidRPr="00DF5DB9">
              <w:t xml:space="preserve"> </w:t>
            </w:r>
            <w:r w:rsidR="00F607B9" w:rsidRPr="00DF5DB9">
              <w:t xml:space="preserve">(research and development) </w:t>
            </w:r>
            <w:r w:rsidR="00EA4F50" w:rsidRPr="00DF5DB9">
              <w:t>for the assessment year</w:t>
            </w:r>
            <w:r w:rsidRPr="00DF5DB9">
              <w:t>; or</w:t>
            </w:r>
          </w:p>
          <w:p w14:paraId="4037840A" w14:textId="77777777" w:rsidR="001A6813" w:rsidRPr="00DF5DB9" w:rsidRDefault="001A6813" w:rsidP="001A6813">
            <w:pPr>
              <w:pStyle w:val="Tablea"/>
            </w:pPr>
            <w:r w:rsidRPr="00DF5DB9">
              <w:t xml:space="preserve">(b) </w:t>
            </w:r>
            <w:r w:rsidR="004840DC" w:rsidRPr="00DF5DB9">
              <w:t xml:space="preserve">might </w:t>
            </w:r>
            <w:r w:rsidRPr="00DF5DB9">
              <w:t xml:space="preserve">be </w:t>
            </w:r>
            <w:r w:rsidR="00FD60A5" w:rsidRPr="00DF5DB9">
              <w:t xml:space="preserve">able </w:t>
            </w:r>
            <w:r w:rsidRPr="00DF5DB9">
              <w:t xml:space="preserve">to deduct an amount under a provision mentioned in </w:t>
            </w:r>
            <w:r w:rsidR="00213D8B" w:rsidRPr="00DF5DB9">
              <w:t>subsection 3</w:t>
            </w:r>
            <w:r w:rsidRPr="00DF5DB9">
              <w:t>55</w:t>
            </w:r>
            <w:r w:rsidR="003C4DBF" w:rsidRPr="00DF5DB9">
              <w:noBreakHyphen/>
            </w:r>
            <w:r w:rsidRPr="00DF5DB9">
              <w:t xml:space="preserve">105(2) of </w:t>
            </w:r>
            <w:r w:rsidR="00F607B9" w:rsidRPr="00DF5DB9">
              <w:t xml:space="preserve">that Act </w:t>
            </w:r>
            <w:r w:rsidRPr="00DF5DB9">
              <w:t>for the assessment year; or</w:t>
            </w:r>
          </w:p>
          <w:p w14:paraId="2CD1557E" w14:textId="77777777" w:rsidR="001A6813" w:rsidRPr="00DF5DB9" w:rsidRDefault="001A6813" w:rsidP="001A6813">
            <w:pPr>
              <w:pStyle w:val="Tablea"/>
            </w:pPr>
            <w:r w:rsidRPr="00DF5DB9">
              <w:t xml:space="preserve">(c) </w:t>
            </w:r>
            <w:r w:rsidR="009861BB" w:rsidRPr="00DF5DB9">
              <w:t xml:space="preserve">has </w:t>
            </w:r>
            <w:r w:rsidR="00FD60A5" w:rsidRPr="00DF5DB9">
              <w:t xml:space="preserve">an amount </w:t>
            </w:r>
            <w:r w:rsidR="009861BB" w:rsidRPr="00DF5DB9">
              <w:t xml:space="preserve">that </w:t>
            </w:r>
            <w:r w:rsidR="004840DC" w:rsidRPr="00DF5DB9">
              <w:t xml:space="preserve">might </w:t>
            </w:r>
            <w:r w:rsidR="00FD60A5" w:rsidRPr="00DF5DB9">
              <w:t>be included</w:t>
            </w:r>
            <w:r w:rsidR="00B83260" w:rsidRPr="00DF5DB9">
              <w:t xml:space="preserve"> </w:t>
            </w:r>
            <w:r w:rsidRPr="00DF5DB9">
              <w:t xml:space="preserve">in the </w:t>
            </w:r>
            <w:r w:rsidR="004840DC" w:rsidRPr="00DF5DB9">
              <w:t xml:space="preserve">assessed </w:t>
            </w:r>
            <w:r w:rsidRPr="00DF5DB9">
              <w:t>entity’s assessable income for the assessment year</w:t>
            </w:r>
            <w:r w:rsidR="00B83260" w:rsidRPr="00DF5DB9">
              <w:t xml:space="preserve"> </w:t>
            </w:r>
            <w:r w:rsidRPr="00DF5DB9">
              <w:t xml:space="preserve">under </w:t>
            </w:r>
            <w:r w:rsidR="00213D8B" w:rsidRPr="00DF5DB9">
              <w:t>section 3</w:t>
            </w:r>
            <w:r w:rsidRPr="00DF5DB9">
              <w:t>55</w:t>
            </w:r>
            <w:r w:rsidR="003C4DBF" w:rsidRPr="00DF5DB9">
              <w:noBreakHyphen/>
            </w:r>
            <w:r w:rsidRPr="00DF5DB9">
              <w:t xml:space="preserve">450 of </w:t>
            </w:r>
            <w:r w:rsidR="00F607B9" w:rsidRPr="00DF5DB9">
              <w:t>that Act</w:t>
            </w:r>
            <w:r w:rsidRPr="00DF5DB9">
              <w:t>.</w:t>
            </w:r>
          </w:p>
        </w:tc>
      </w:tr>
      <w:tr w:rsidR="00FB41FB" w:rsidRPr="00DF5DB9" w14:paraId="52F4F77E" w14:textId="77777777" w:rsidTr="00590A75">
        <w:trPr>
          <w:trHeight w:val="251"/>
        </w:trPr>
        <w:tc>
          <w:tcPr>
            <w:tcW w:w="507" w:type="pct"/>
            <w:tcBorders>
              <w:bottom w:val="single" w:sz="2" w:space="0" w:color="auto"/>
            </w:tcBorders>
            <w:shd w:val="clear" w:color="auto" w:fill="auto"/>
          </w:tcPr>
          <w:p w14:paraId="4E11F82E" w14:textId="77777777" w:rsidR="00FB41FB" w:rsidRPr="00DF5DB9" w:rsidRDefault="00FB41FB" w:rsidP="00773312">
            <w:pPr>
              <w:pStyle w:val="Tabletext"/>
            </w:pPr>
            <w:r w:rsidRPr="00DF5DB9">
              <w:t>12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</w:tcPr>
          <w:p w14:paraId="226ACCA9" w14:textId="77777777" w:rsidR="00FB41FB" w:rsidRPr="00DF5DB9" w:rsidRDefault="00FB41FB" w:rsidP="00773312">
            <w:pPr>
              <w:pStyle w:val="Tablea"/>
            </w:pPr>
            <w:r w:rsidRPr="00DF5DB9">
              <w:t xml:space="preserve">(a) Paragraph (f) of </w:t>
            </w:r>
            <w:r w:rsidR="00865A3D" w:rsidRPr="00DF5DB9">
              <w:t>item 1</w:t>
            </w:r>
            <w:r w:rsidRPr="00DF5DB9">
              <w:t>; or</w:t>
            </w:r>
          </w:p>
          <w:p w14:paraId="763A41F6" w14:textId="77777777" w:rsidR="00FB41FB" w:rsidRPr="00DF5DB9" w:rsidRDefault="00FB41FB" w:rsidP="00773312">
            <w:pPr>
              <w:pStyle w:val="Tablea"/>
            </w:pPr>
            <w:r w:rsidRPr="00DF5DB9">
              <w:t>(b) paragraph (e) of item 2; or</w:t>
            </w:r>
          </w:p>
          <w:p w14:paraId="34018104" w14:textId="77777777" w:rsidR="00FB41FB" w:rsidRPr="00DF5DB9" w:rsidRDefault="00FB41FB" w:rsidP="00773312">
            <w:pPr>
              <w:pStyle w:val="Tablea"/>
            </w:pPr>
            <w:r w:rsidRPr="00DF5DB9">
              <w:t>(c) paragraph (d) of item 3</w:t>
            </w:r>
          </w:p>
        </w:tc>
        <w:tc>
          <w:tcPr>
            <w:tcW w:w="3098" w:type="pct"/>
            <w:tcBorders>
              <w:bottom w:val="single" w:sz="2" w:space="0" w:color="auto"/>
            </w:tcBorders>
            <w:shd w:val="clear" w:color="auto" w:fill="auto"/>
          </w:tcPr>
          <w:p w14:paraId="38BF39AA" w14:textId="77777777" w:rsidR="00FB41FB" w:rsidRPr="00DF5DB9" w:rsidRDefault="000A66A2" w:rsidP="00773312">
            <w:pPr>
              <w:pStyle w:val="Tabletext"/>
            </w:pPr>
            <w:r w:rsidRPr="00DF5DB9">
              <w:t>Any</w:t>
            </w:r>
            <w:r w:rsidR="00B82F51" w:rsidRPr="00DF5DB9">
              <w:t xml:space="preserve"> of the following apply</w:t>
            </w:r>
            <w:r w:rsidRPr="00DF5DB9">
              <w:t xml:space="preserve"> in the assessment year</w:t>
            </w:r>
            <w:r w:rsidR="00FB41FB" w:rsidRPr="00DF5DB9">
              <w:t>:</w:t>
            </w:r>
          </w:p>
          <w:p w14:paraId="1B1405FA" w14:textId="77777777" w:rsidR="00FB41FB" w:rsidRPr="00DF5DB9" w:rsidRDefault="00FB41FB" w:rsidP="00773312">
            <w:pPr>
              <w:pStyle w:val="Tablea"/>
            </w:pPr>
            <w:r w:rsidRPr="00DF5DB9">
              <w:t xml:space="preserve">(a) </w:t>
            </w:r>
            <w:r w:rsidR="00B82F51" w:rsidRPr="00DF5DB9">
              <w:t xml:space="preserve">the assessed entity </w:t>
            </w:r>
            <w:r w:rsidRPr="00DF5DB9">
              <w:t>has chosen to obtain a roll</w:t>
            </w:r>
            <w:r w:rsidR="003C4DBF" w:rsidRPr="00DF5DB9">
              <w:noBreakHyphen/>
            </w:r>
            <w:r w:rsidRPr="00DF5DB9">
              <w:t xml:space="preserve">over under </w:t>
            </w:r>
            <w:r w:rsidR="00920E9B" w:rsidRPr="00DF5DB9">
              <w:t>Division 1</w:t>
            </w:r>
            <w:r w:rsidRPr="00DF5DB9">
              <w:t xml:space="preserve">25 of the </w:t>
            </w:r>
            <w:r w:rsidRPr="00DF5DB9">
              <w:rPr>
                <w:i/>
              </w:rPr>
              <w:t>Income Tax Assessment Act 1997</w:t>
            </w:r>
            <w:r w:rsidRPr="00DF5DB9">
              <w:t xml:space="preserve"> </w:t>
            </w:r>
            <w:r w:rsidR="00F607B9" w:rsidRPr="00DF5DB9">
              <w:t>(demerger relief)</w:t>
            </w:r>
            <w:r w:rsidRPr="00DF5DB9">
              <w:t>;</w:t>
            </w:r>
          </w:p>
          <w:p w14:paraId="6A360BC7" w14:textId="77777777" w:rsidR="00FB41FB" w:rsidRPr="00DF5DB9" w:rsidRDefault="00FB41FB" w:rsidP="00773312">
            <w:pPr>
              <w:pStyle w:val="Tablea"/>
            </w:pPr>
            <w:r w:rsidRPr="00DF5DB9">
              <w:t xml:space="preserve">(b) </w:t>
            </w:r>
            <w:r w:rsidR="000A66A2" w:rsidRPr="00DF5DB9">
              <w:t>there is a roll</w:t>
            </w:r>
            <w:r w:rsidR="003C4DBF" w:rsidRPr="00DF5DB9">
              <w:noBreakHyphen/>
            </w:r>
            <w:r w:rsidR="000A66A2" w:rsidRPr="00DF5DB9">
              <w:t>over under Subdivision 126</w:t>
            </w:r>
            <w:r w:rsidR="003C4DBF" w:rsidRPr="00DF5DB9">
              <w:noBreakHyphen/>
            </w:r>
            <w:r w:rsidR="000A66A2" w:rsidRPr="00DF5DB9">
              <w:t>B of that Act (companies in the same wholly</w:t>
            </w:r>
            <w:r w:rsidR="003C4DBF" w:rsidRPr="00DF5DB9">
              <w:noBreakHyphen/>
            </w:r>
            <w:r w:rsidR="000A66A2" w:rsidRPr="00DF5DB9">
              <w:t xml:space="preserve">owned group) </w:t>
            </w:r>
            <w:r w:rsidR="0013528A" w:rsidRPr="00DF5DB9">
              <w:t>in respect of which</w:t>
            </w:r>
            <w:r w:rsidR="000A66A2" w:rsidRPr="00DF5DB9">
              <w:t xml:space="preserve"> the assessed entity is the originating company or the recipient company mentioned in that Subdivision;</w:t>
            </w:r>
          </w:p>
          <w:p w14:paraId="366EC7D5" w14:textId="77777777" w:rsidR="000A66A2" w:rsidRPr="00DF5DB9" w:rsidRDefault="000A66A2" w:rsidP="00773312">
            <w:pPr>
              <w:pStyle w:val="Tablea"/>
            </w:pPr>
            <w:r w:rsidRPr="00DF5DB9">
              <w:t>(c) the assessed entity has chosen, or is taken to have chosen, to obtain a roll</w:t>
            </w:r>
            <w:r w:rsidR="003C4DBF" w:rsidRPr="00DF5DB9">
              <w:noBreakHyphen/>
            </w:r>
            <w:r w:rsidRPr="00DF5DB9">
              <w:t xml:space="preserve">over under </w:t>
            </w:r>
            <w:r w:rsidR="00865A3D" w:rsidRPr="00DF5DB9">
              <w:t>Division 6</w:t>
            </w:r>
            <w:r w:rsidRPr="00DF5DB9">
              <w:t>15 of that Act (roll</w:t>
            </w:r>
            <w:r w:rsidR="003C4DBF" w:rsidRPr="00DF5DB9">
              <w:noBreakHyphen/>
            </w:r>
            <w:r w:rsidRPr="00DF5DB9">
              <w:t>overs for business restructures).</w:t>
            </w:r>
          </w:p>
        </w:tc>
      </w:tr>
      <w:tr w:rsidR="00701983" w:rsidRPr="00DF5DB9" w14:paraId="23D43E87" w14:textId="77777777" w:rsidTr="00590A75">
        <w:trPr>
          <w:trHeight w:val="251"/>
        </w:trPr>
        <w:tc>
          <w:tcPr>
            <w:tcW w:w="507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1AC770B2" w14:textId="77777777" w:rsidR="00701983" w:rsidRPr="00DF5DB9" w:rsidRDefault="00701983" w:rsidP="0053759D">
            <w:pPr>
              <w:pStyle w:val="Tabletext"/>
            </w:pPr>
            <w:r w:rsidRPr="00DF5DB9">
              <w:t>1</w:t>
            </w:r>
            <w:r w:rsidR="00865A3D" w:rsidRPr="00DF5DB9">
              <w:t>3</w:t>
            </w:r>
          </w:p>
        </w:tc>
        <w:tc>
          <w:tcPr>
            <w:tcW w:w="1395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03B20EC" w14:textId="77777777" w:rsidR="00701983" w:rsidRPr="00DF5DB9" w:rsidRDefault="00701983" w:rsidP="00701983">
            <w:pPr>
              <w:pStyle w:val="Tablea"/>
            </w:pPr>
            <w:r w:rsidRPr="00DF5DB9">
              <w:t xml:space="preserve">(a) Paragraph (f) of </w:t>
            </w:r>
            <w:r w:rsidR="00865A3D" w:rsidRPr="00DF5DB9">
              <w:t>item 1</w:t>
            </w:r>
            <w:r w:rsidRPr="00DF5DB9">
              <w:t>; or</w:t>
            </w:r>
          </w:p>
          <w:p w14:paraId="276AE9C8" w14:textId="77777777" w:rsidR="00701983" w:rsidRPr="00DF5DB9" w:rsidRDefault="00701983" w:rsidP="00701983">
            <w:pPr>
              <w:pStyle w:val="Tablea"/>
            </w:pPr>
            <w:r w:rsidRPr="00DF5DB9">
              <w:t xml:space="preserve">(b) </w:t>
            </w:r>
            <w:r w:rsidR="00213D8B" w:rsidRPr="00DF5DB9">
              <w:t>paragraph (</w:t>
            </w:r>
            <w:r w:rsidRPr="00DF5DB9">
              <w:t>e) of item 2; or</w:t>
            </w:r>
          </w:p>
          <w:p w14:paraId="4B9774CC" w14:textId="77777777" w:rsidR="00701983" w:rsidRPr="00DF5DB9" w:rsidRDefault="00701983" w:rsidP="00701983">
            <w:pPr>
              <w:pStyle w:val="Tablea"/>
            </w:pPr>
            <w:r w:rsidRPr="00DF5DB9">
              <w:t xml:space="preserve">(c) </w:t>
            </w:r>
            <w:r w:rsidR="00213D8B" w:rsidRPr="00DF5DB9">
              <w:t>paragraph (</w:t>
            </w:r>
            <w:r w:rsidRPr="00DF5DB9">
              <w:t>d) of item 3</w:t>
            </w:r>
          </w:p>
        </w:tc>
        <w:tc>
          <w:tcPr>
            <w:tcW w:w="309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C689978" w14:textId="77777777" w:rsidR="00701983" w:rsidRPr="00DF5DB9" w:rsidRDefault="00D9471C" w:rsidP="00701983">
            <w:pPr>
              <w:pStyle w:val="Tabletext"/>
            </w:pPr>
            <w:r w:rsidRPr="00DF5DB9">
              <w:t>The assessed entity disregard</w:t>
            </w:r>
            <w:r w:rsidR="00431536" w:rsidRPr="00DF5DB9">
              <w:t>ed</w:t>
            </w:r>
            <w:r w:rsidRPr="00DF5DB9">
              <w:t xml:space="preserve"> a</w:t>
            </w:r>
            <w:r w:rsidR="007A2B03" w:rsidRPr="00DF5DB9">
              <w:t xml:space="preserve"> capital gain or capital loss </w:t>
            </w:r>
            <w:r w:rsidR="00701983" w:rsidRPr="00DF5DB9">
              <w:t>in relation to the assessment year</w:t>
            </w:r>
            <w:r w:rsidR="007A2B03" w:rsidRPr="00DF5DB9">
              <w:t xml:space="preserve"> under </w:t>
            </w:r>
            <w:r w:rsidR="00213D8B" w:rsidRPr="00DF5DB9">
              <w:t>section 8</w:t>
            </w:r>
            <w:r w:rsidR="007A2B03" w:rsidRPr="00DF5DB9">
              <w:t>55</w:t>
            </w:r>
            <w:r w:rsidR="003C4DBF" w:rsidRPr="00DF5DB9">
              <w:noBreakHyphen/>
            </w:r>
            <w:r w:rsidR="007A2B03" w:rsidRPr="00DF5DB9">
              <w:t xml:space="preserve">10 of the </w:t>
            </w:r>
            <w:r w:rsidR="00701983" w:rsidRPr="00DF5DB9">
              <w:rPr>
                <w:i/>
              </w:rPr>
              <w:t>Income Tax Assessment Act 1997</w:t>
            </w:r>
            <w:r w:rsidR="007A2B03" w:rsidRPr="00DF5DB9">
              <w:t xml:space="preserve"> (capital gains and losses of foreign residents)</w:t>
            </w:r>
            <w:r w:rsidR="007A2B03" w:rsidRPr="00DF5DB9">
              <w:rPr>
                <w:i/>
              </w:rPr>
              <w:t>.</w:t>
            </w:r>
          </w:p>
        </w:tc>
      </w:tr>
    </w:tbl>
    <w:p w14:paraId="206F81C9" w14:textId="77777777" w:rsidR="002B5F63" w:rsidRPr="00DF5DB9" w:rsidRDefault="00213D8B" w:rsidP="002B5F63">
      <w:pPr>
        <w:pStyle w:val="ItemHead"/>
      </w:pPr>
      <w:r w:rsidRPr="00DF5DB9">
        <w:t>7</w:t>
      </w:r>
      <w:r w:rsidR="002B5F63" w:rsidRPr="00DF5DB9">
        <w:t xml:space="preserve">  At the end of </w:t>
      </w:r>
      <w:r w:rsidRPr="00DF5DB9">
        <w:t>Part 9</w:t>
      </w:r>
    </w:p>
    <w:p w14:paraId="70D2AD18" w14:textId="77777777" w:rsidR="002B5F63" w:rsidRPr="00DF5DB9" w:rsidRDefault="002B5F63" w:rsidP="002B5F63">
      <w:pPr>
        <w:pStyle w:val="Item"/>
      </w:pPr>
      <w:r w:rsidRPr="00DF5DB9">
        <w:t>Add:</w:t>
      </w:r>
    </w:p>
    <w:p w14:paraId="5D4770F2" w14:textId="77777777" w:rsidR="002B5F63" w:rsidRPr="00DF5DB9" w:rsidRDefault="002B5F63" w:rsidP="002B5F63">
      <w:pPr>
        <w:pStyle w:val="ActHead5"/>
      </w:pPr>
      <w:bookmarkStart w:id="7" w:name="_Toc118979979"/>
      <w:r w:rsidRPr="00DF5DB9">
        <w:rPr>
          <w:rStyle w:val="CharSectno"/>
        </w:rPr>
        <w:t>27</w:t>
      </w:r>
      <w:r w:rsidRPr="00DF5DB9">
        <w:t xml:space="preserve">  Application of the </w:t>
      </w:r>
      <w:r w:rsidR="007F3120" w:rsidRPr="00DF5DB9">
        <w:rPr>
          <w:i/>
          <w:noProof/>
        </w:rPr>
        <w:t xml:space="preserve">Income Tax Assessment (1936 Act) Amendment (Period of Review) </w:t>
      </w:r>
      <w:r w:rsidR="003C4DBF" w:rsidRPr="00DF5DB9">
        <w:rPr>
          <w:i/>
          <w:noProof/>
        </w:rPr>
        <w:t>Regulations 2</w:t>
      </w:r>
      <w:r w:rsidR="007F3120" w:rsidRPr="00DF5DB9">
        <w:rPr>
          <w:i/>
          <w:noProof/>
        </w:rPr>
        <w:t>022</w:t>
      </w:r>
      <w:bookmarkEnd w:id="7"/>
    </w:p>
    <w:p w14:paraId="18C4DE3D" w14:textId="77777777" w:rsidR="002B5F63" w:rsidRPr="00DF5DB9" w:rsidRDefault="002B5F63" w:rsidP="002B5F63">
      <w:pPr>
        <w:pStyle w:val="subsection"/>
      </w:pPr>
      <w:r w:rsidRPr="00DF5DB9">
        <w:tab/>
      </w:r>
      <w:r w:rsidRPr="00DF5DB9">
        <w:tab/>
        <w:t xml:space="preserve">The amendments made by </w:t>
      </w:r>
      <w:r w:rsidR="00213D8B" w:rsidRPr="00DF5DB9">
        <w:t>Schedule 1</w:t>
      </w:r>
      <w:r w:rsidRPr="00DF5DB9">
        <w:t xml:space="preserve"> to the </w:t>
      </w:r>
      <w:r w:rsidR="007F3120" w:rsidRPr="00DF5DB9">
        <w:rPr>
          <w:i/>
          <w:noProof/>
        </w:rPr>
        <w:t xml:space="preserve">Income Tax Assessment (1936 Act) Amendment (Period of Review) </w:t>
      </w:r>
      <w:r w:rsidR="003C4DBF" w:rsidRPr="00DF5DB9">
        <w:rPr>
          <w:i/>
          <w:noProof/>
        </w:rPr>
        <w:t>Regulations 2</w:t>
      </w:r>
      <w:r w:rsidR="007F3120" w:rsidRPr="00DF5DB9">
        <w:rPr>
          <w:i/>
          <w:noProof/>
        </w:rPr>
        <w:t>022</w:t>
      </w:r>
      <w:r w:rsidRPr="00DF5DB9">
        <w:t xml:space="preserve"> appl</w:t>
      </w:r>
      <w:r w:rsidR="00890012" w:rsidRPr="00DF5DB9">
        <w:t>y</w:t>
      </w:r>
      <w:r w:rsidRPr="00DF5DB9">
        <w:t xml:space="preserve"> in relation to an assessment for an income year if:</w:t>
      </w:r>
    </w:p>
    <w:p w14:paraId="538E9A55" w14:textId="77777777" w:rsidR="002B5F63" w:rsidRPr="00DF5DB9" w:rsidRDefault="002B5F63" w:rsidP="002B5F63">
      <w:pPr>
        <w:pStyle w:val="paragraph"/>
      </w:pPr>
      <w:r w:rsidRPr="00DF5DB9">
        <w:tab/>
        <w:t>(a)</w:t>
      </w:r>
      <w:r w:rsidRPr="00DF5DB9">
        <w:tab/>
        <w:t>the assessment is made after the commencement of that Schedule; and</w:t>
      </w:r>
    </w:p>
    <w:p w14:paraId="20C3965B" w14:textId="77777777" w:rsidR="002B5F63" w:rsidRPr="003C4DBF" w:rsidRDefault="002B5F63" w:rsidP="002B5F63">
      <w:pPr>
        <w:pStyle w:val="paragraph"/>
      </w:pPr>
      <w:r w:rsidRPr="00DF5DB9">
        <w:tab/>
        <w:t>(b)</w:t>
      </w:r>
      <w:r w:rsidRPr="00DF5DB9">
        <w:tab/>
        <w:t xml:space="preserve">the income year begins on or after </w:t>
      </w:r>
      <w:r w:rsidR="00213D8B" w:rsidRPr="00DF5DB9">
        <w:t>1 July</w:t>
      </w:r>
      <w:r w:rsidRPr="00DF5DB9">
        <w:t xml:space="preserve"> 2021.</w:t>
      </w:r>
    </w:p>
    <w:sectPr w:rsidR="002B5F63" w:rsidRPr="003C4DBF" w:rsidSect="00A443F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260B" w14:textId="77777777" w:rsidR="001F2C3E" w:rsidRDefault="001F2C3E" w:rsidP="0048364F">
      <w:pPr>
        <w:spacing w:line="240" w:lineRule="auto"/>
      </w:pPr>
      <w:r>
        <w:separator/>
      </w:r>
    </w:p>
  </w:endnote>
  <w:endnote w:type="continuationSeparator" w:id="0">
    <w:p w14:paraId="2819A24F" w14:textId="77777777" w:rsidR="001F2C3E" w:rsidRDefault="001F2C3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A233" w14:textId="77777777" w:rsidR="007F3120" w:rsidRPr="00A443FA" w:rsidRDefault="00A443FA" w:rsidP="00A443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443FA">
      <w:rPr>
        <w:i/>
        <w:sz w:val="18"/>
      </w:rPr>
      <w:t>OPC65944 -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8DCE" w14:textId="77777777" w:rsidR="007F3120" w:rsidRDefault="007F3120" w:rsidP="00E97334"/>
  <w:p w14:paraId="2F84E89C" w14:textId="77777777" w:rsidR="007F3120" w:rsidRPr="00A443FA" w:rsidRDefault="00A443FA" w:rsidP="00A443FA">
    <w:pPr>
      <w:rPr>
        <w:rFonts w:cs="Times New Roman"/>
        <w:i/>
        <w:sz w:val="18"/>
      </w:rPr>
    </w:pPr>
    <w:r w:rsidRPr="00A443FA">
      <w:rPr>
        <w:rFonts w:cs="Times New Roman"/>
        <w:i/>
        <w:sz w:val="18"/>
      </w:rPr>
      <w:t>OPC65944 -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46C4B" w14:textId="77777777" w:rsidR="007F3120" w:rsidRPr="00A443FA" w:rsidRDefault="00A443FA" w:rsidP="00A443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443FA">
      <w:rPr>
        <w:i/>
        <w:sz w:val="18"/>
      </w:rPr>
      <w:t>OPC65944 -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49020" w14:textId="77777777" w:rsidR="007F3120" w:rsidRPr="00E33C1C" w:rsidRDefault="007F31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3120" w14:paraId="17F325D7" w14:textId="77777777" w:rsidTr="003D60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19F8D7" w14:textId="77777777" w:rsidR="007F3120" w:rsidRDefault="007F3120" w:rsidP="00C664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C0214" w14:textId="0B5D9315" w:rsidR="007F3120" w:rsidRDefault="007F3120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1E03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98BF63" w14:textId="77777777" w:rsidR="007F3120" w:rsidRDefault="007F3120" w:rsidP="00C6649F">
          <w:pPr>
            <w:spacing w:line="0" w:lineRule="atLeast"/>
            <w:jc w:val="right"/>
            <w:rPr>
              <w:sz w:val="18"/>
            </w:rPr>
          </w:pPr>
        </w:p>
      </w:tc>
    </w:tr>
  </w:tbl>
  <w:p w14:paraId="65FF59BB" w14:textId="77777777" w:rsidR="007F3120" w:rsidRPr="00A443FA" w:rsidRDefault="00A443FA" w:rsidP="00A443FA">
    <w:pPr>
      <w:rPr>
        <w:rFonts w:cs="Times New Roman"/>
        <w:i/>
        <w:sz w:val="18"/>
      </w:rPr>
    </w:pPr>
    <w:r w:rsidRPr="00A443FA">
      <w:rPr>
        <w:rFonts w:cs="Times New Roman"/>
        <w:i/>
        <w:sz w:val="18"/>
      </w:rPr>
      <w:t>OPC65944 -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8705" w14:textId="77777777" w:rsidR="007F3120" w:rsidRPr="00E33C1C" w:rsidRDefault="007F312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F3120" w14:paraId="2D509CEE" w14:textId="77777777" w:rsidTr="003D606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F98ACF" w14:textId="77777777" w:rsidR="007F3120" w:rsidRDefault="007F3120" w:rsidP="00C664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4EDF51" w14:textId="79053D9B" w:rsidR="007F3120" w:rsidRDefault="007F3120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1E03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5DA2880" w14:textId="77777777" w:rsidR="007F3120" w:rsidRDefault="007F3120" w:rsidP="00C664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8A1158E" w14:textId="77777777" w:rsidR="007F3120" w:rsidRPr="00A443FA" w:rsidRDefault="00A443FA" w:rsidP="00A443FA">
    <w:pPr>
      <w:rPr>
        <w:rFonts w:cs="Times New Roman"/>
        <w:i/>
        <w:sz w:val="18"/>
      </w:rPr>
    </w:pPr>
    <w:r w:rsidRPr="00A443FA">
      <w:rPr>
        <w:rFonts w:cs="Times New Roman"/>
        <w:i/>
        <w:sz w:val="18"/>
      </w:rPr>
      <w:t>OPC65944 -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A1560" w14:textId="77777777" w:rsidR="007F3120" w:rsidRPr="00E33C1C" w:rsidRDefault="007F31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3120" w14:paraId="03142FC2" w14:textId="77777777" w:rsidTr="003D606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E2F6D0" w14:textId="77777777" w:rsidR="007F3120" w:rsidRDefault="007F3120" w:rsidP="00C664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237BFB" w14:textId="0176119A" w:rsidR="007F3120" w:rsidRDefault="007F3120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1E03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580DBF" w14:textId="77777777" w:rsidR="007F3120" w:rsidRDefault="007F3120" w:rsidP="00C6649F">
          <w:pPr>
            <w:spacing w:line="0" w:lineRule="atLeast"/>
            <w:jc w:val="right"/>
            <w:rPr>
              <w:sz w:val="18"/>
            </w:rPr>
          </w:pPr>
        </w:p>
      </w:tc>
    </w:tr>
  </w:tbl>
  <w:p w14:paraId="3878D103" w14:textId="77777777" w:rsidR="007F3120" w:rsidRPr="00A443FA" w:rsidRDefault="00A443FA" w:rsidP="00A443FA">
    <w:pPr>
      <w:rPr>
        <w:rFonts w:cs="Times New Roman"/>
        <w:i/>
        <w:sz w:val="18"/>
      </w:rPr>
    </w:pPr>
    <w:r w:rsidRPr="00A443FA">
      <w:rPr>
        <w:rFonts w:cs="Times New Roman"/>
        <w:i/>
        <w:sz w:val="18"/>
      </w:rPr>
      <w:t>OPC65944 -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470B" w14:textId="77777777" w:rsidR="007F3120" w:rsidRPr="00E33C1C" w:rsidRDefault="007F312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F3120" w14:paraId="02F52DFD" w14:textId="77777777" w:rsidTr="00C664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FD5B2B" w14:textId="77777777" w:rsidR="007F3120" w:rsidRDefault="007F3120" w:rsidP="00C664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9F6938" w14:textId="4417D9BB" w:rsidR="007F3120" w:rsidRDefault="007F3120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1E03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47910" w14:textId="77777777" w:rsidR="007F3120" w:rsidRDefault="007F3120" w:rsidP="00C664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F1E7DA" w14:textId="77777777" w:rsidR="007F3120" w:rsidRPr="00A443FA" w:rsidRDefault="00A443FA" w:rsidP="00A443FA">
    <w:pPr>
      <w:rPr>
        <w:rFonts w:cs="Times New Roman"/>
        <w:i/>
        <w:sz w:val="18"/>
      </w:rPr>
    </w:pPr>
    <w:r w:rsidRPr="00A443FA">
      <w:rPr>
        <w:rFonts w:cs="Times New Roman"/>
        <w:i/>
        <w:sz w:val="18"/>
      </w:rPr>
      <w:t>OPC65944 -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E115E" w14:textId="77777777" w:rsidR="007F3120" w:rsidRPr="00E33C1C" w:rsidRDefault="007F312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F3120" w14:paraId="3747F53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9D3D0E" w14:textId="77777777" w:rsidR="007F3120" w:rsidRDefault="007F3120" w:rsidP="00C664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3C304F" w14:textId="00A62D2E" w:rsidR="007F3120" w:rsidRDefault="007F3120" w:rsidP="00C664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1E03">
            <w:rPr>
              <w:i/>
              <w:sz w:val="18"/>
            </w:rPr>
            <w:t>Income Tax Assessment (1936 Act) Amendment (Period of Review)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160199" w14:textId="77777777" w:rsidR="007F3120" w:rsidRDefault="007F3120" w:rsidP="00C664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972661" w14:textId="77777777" w:rsidR="007F3120" w:rsidRPr="00A443FA" w:rsidRDefault="00A443FA" w:rsidP="00A443FA">
    <w:pPr>
      <w:rPr>
        <w:rFonts w:cs="Times New Roman"/>
        <w:i/>
        <w:sz w:val="18"/>
      </w:rPr>
    </w:pPr>
    <w:r w:rsidRPr="00A443FA">
      <w:rPr>
        <w:rFonts w:cs="Times New Roman"/>
        <w:i/>
        <w:sz w:val="18"/>
      </w:rPr>
      <w:t>OPC65944 -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BC97F" w14:textId="77777777" w:rsidR="001F2C3E" w:rsidRDefault="001F2C3E" w:rsidP="0048364F">
      <w:pPr>
        <w:spacing w:line="240" w:lineRule="auto"/>
      </w:pPr>
      <w:r>
        <w:separator/>
      </w:r>
    </w:p>
  </w:footnote>
  <w:footnote w:type="continuationSeparator" w:id="0">
    <w:p w14:paraId="11AE00DC" w14:textId="77777777" w:rsidR="001F2C3E" w:rsidRDefault="001F2C3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9A555" w14:textId="77777777" w:rsidR="007F3120" w:rsidRPr="005F1388" w:rsidRDefault="007F312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1861" w14:textId="77777777" w:rsidR="007F3120" w:rsidRPr="005F1388" w:rsidRDefault="007F312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DF9EF" w14:textId="77777777" w:rsidR="007F3120" w:rsidRPr="005F1388" w:rsidRDefault="007F312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D5F74" w14:textId="77777777" w:rsidR="007F3120" w:rsidRPr="00ED79B6" w:rsidRDefault="007F312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1CAF" w14:textId="77777777" w:rsidR="007F3120" w:rsidRPr="00ED79B6" w:rsidRDefault="007F312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DA75D" w14:textId="77777777" w:rsidR="007F3120" w:rsidRPr="00ED79B6" w:rsidRDefault="007F312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61D5" w14:textId="7AF7D2E9" w:rsidR="007F3120" w:rsidRPr="00A961C4" w:rsidRDefault="007F31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1120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11206">
      <w:rPr>
        <w:noProof/>
        <w:sz w:val="20"/>
      </w:rPr>
      <w:t>Amendments</w:t>
    </w:r>
    <w:r>
      <w:rPr>
        <w:sz w:val="20"/>
      </w:rPr>
      <w:fldChar w:fldCharType="end"/>
    </w:r>
  </w:p>
  <w:p w14:paraId="24C8EAB1" w14:textId="0084F530" w:rsidR="007F3120" w:rsidRPr="00A961C4" w:rsidRDefault="007F312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E058A0" w14:textId="77777777" w:rsidR="007F3120" w:rsidRPr="00A961C4" w:rsidRDefault="007F312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A708" w14:textId="7BA19612" w:rsidR="007F3120" w:rsidRPr="00A961C4" w:rsidRDefault="007F312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A0B7C8E" w14:textId="37CA864C" w:rsidR="007F3120" w:rsidRPr="00A961C4" w:rsidRDefault="007F312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5B61239" w14:textId="77777777" w:rsidR="007F3120" w:rsidRPr="00A961C4" w:rsidRDefault="007F312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6EFD2" w14:textId="77777777" w:rsidR="007F3120" w:rsidRPr="00A961C4" w:rsidRDefault="007F312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7"/>
    <w:rsid w:val="00000263"/>
    <w:rsid w:val="00005363"/>
    <w:rsid w:val="000113BC"/>
    <w:rsid w:val="000136AF"/>
    <w:rsid w:val="00014803"/>
    <w:rsid w:val="00022FAD"/>
    <w:rsid w:val="00036E24"/>
    <w:rsid w:val="0004044E"/>
    <w:rsid w:val="00042A33"/>
    <w:rsid w:val="00046B9A"/>
    <w:rsid w:val="00046F47"/>
    <w:rsid w:val="0005120E"/>
    <w:rsid w:val="00054577"/>
    <w:rsid w:val="000614BF"/>
    <w:rsid w:val="00066D24"/>
    <w:rsid w:val="0007169C"/>
    <w:rsid w:val="0007225B"/>
    <w:rsid w:val="00077593"/>
    <w:rsid w:val="00082D68"/>
    <w:rsid w:val="00083F48"/>
    <w:rsid w:val="00096E56"/>
    <w:rsid w:val="000A66A2"/>
    <w:rsid w:val="000A7DF9"/>
    <w:rsid w:val="000D05EF"/>
    <w:rsid w:val="000D39F9"/>
    <w:rsid w:val="000D5485"/>
    <w:rsid w:val="000D6D63"/>
    <w:rsid w:val="000F21C1"/>
    <w:rsid w:val="00105D72"/>
    <w:rsid w:val="0010745C"/>
    <w:rsid w:val="00117277"/>
    <w:rsid w:val="00117DE9"/>
    <w:rsid w:val="0013528A"/>
    <w:rsid w:val="00155873"/>
    <w:rsid w:val="0015619E"/>
    <w:rsid w:val="00160BD7"/>
    <w:rsid w:val="001643C9"/>
    <w:rsid w:val="00165568"/>
    <w:rsid w:val="00166082"/>
    <w:rsid w:val="00166C2F"/>
    <w:rsid w:val="001716C9"/>
    <w:rsid w:val="00174074"/>
    <w:rsid w:val="00184261"/>
    <w:rsid w:val="00187A75"/>
    <w:rsid w:val="00190BA1"/>
    <w:rsid w:val="00190DF5"/>
    <w:rsid w:val="00193461"/>
    <w:rsid w:val="001939E1"/>
    <w:rsid w:val="00195382"/>
    <w:rsid w:val="001A3B9F"/>
    <w:rsid w:val="001A6515"/>
    <w:rsid w:val="001A65C0"/>
    <w:rsid w:val="001A6813"/>
    <w:rsid w:val="001B6456"/>
    <w:rsid w:val="001B7A5D"/>
    <w:rsid w:val="001C2FC7"/>
    <w:rsid w:val="001C4E92"/>
    <w:rsid w:val="001C69C4"/>
    <w:rsid w:val="001D42CF"/>
    <w:rsid w:val="001E0A8D"/>
    <w:rsid w:val="001E3590"/>
    <w:rsid w:val="001E3A45"/>
    <w:rsid w:val="001E6FC1"/>
    <w:rsid w:val="001E7407"/>
    <w:rsid w:val="001F2C3E"/>
    <w:rsid w:val="001F51FF"/>
    <w:rsid w:val="0020021D"/>
    <w:rsid w:val="00201D27"/>
    <w:rsid w:val="0020300C"/>
    <w:rsid w:val="00213D8B"/>
    <w:rsid w:val="00220A0C"/>
    <w:rsid w:val="002235AF"/>
    <w:rsid w:val="00223E4A"/>
    <w:rsid w:val="00225EA9"/>
    <w:rsid w:val="002302EA"/>
    <w:rsid w:val="002321EE"/>
    <w:rsid w:val="00240749"/>
    <w:rsid w:val="00244149"/>
    <w:rsid w:val="002468D7"/>
    <w:rsid w:val="00262B8D"/>
    <w:rsid w:val="00285CDD"/>
    <w:rsid w:val="00291167"/>
    <w:rsid w:val="002973CF"/>
    <w:rsid w:val="00297ECB"/>
    <w:rsid w:val="002B5F63"/>
    <w:rsid w:val="002C152A"/>
    <w:rsid w:val="002D043A"/>
    <w:rsid w:val="00306167"/>
    <w:rsid w:val="0031576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0DB5"/>
    <w:rsid w:val="003614C3"/>
    <w:rsid w:val="00362047"/>
    <w:rsid w:val="00367960"/>
    <w:rsid w:val="00374A85"/>
    <w:rsid w:val="00380FF8"/>
    <w:rsid w:val="00383AD6"/>
    <w:rsid w:val="003A158D"/>
    <w:rsid w:val="003A15AC"/>
    <w:rsid w:val="003A2865"/>
    <w:rsid w:val="003A56EB"/>
    <w:rsid w:val="003B0627"/>
    <w:rsid w:val="003C4DBF"/>
    <w:rsid w:val="003C5F2B"/>
    <w:rsid w:val="003D0BFE"/>
    <w:rsid w:val="003D1213"/>
    <w:rsid w:val="003D5700"/>
    <w:rsid w:val="003D6069"/>
    <w:rsid w:val="003F0F5A"/>
    <w:rsid w:val="00400A30"/>
    <w:rsid w:val="004022CA"/>
    <w:rsid w:val="004116CD"/>
    <w:rsid w:val="00414ADE"/>
    <w:rsid w:val="00424CA9"/>
    <w:rsid w:val="004257BB"/>
    <w:rsid w:val="004261D9"/>
    <w:rsid w:val="00431536"/>
    <w:rsid w:val="0044291A"/>
    <w:rsid w:val="00460499"/>
    <w:rsid w:val="0047113F"/>
    <w:rsid w:val="00474835"/>
    <w:rsid w:val="004819C7"/>
    <w:rsid w:val="0048364F"/>
    <w:rsid w:val="004840DC"/>
    <w:rsid w:val="00490F2E"/>
    <w:rsid w:val="00492370"/>
    <w:rsid w:val="004945A5"/>
    <w:rsid w:val="00494986"/>
    <w:rsid w:val="00496DB3"/>
    <w:rsid w:val="00496F97"/>
    <w:rsid w:val="004A3B54"/>
    <w:rsid w:val="004A53EA"/>
    <w:rsid w:val="004F1FAC"/>
    <w:rsid w:val="004F676E"/>
    <w:rsid w:val="0050394E"/>
    <w:rsid w:val="00516B8D"/>
    <w:rsid w:val="00521E7D"/>
    <w:rsid w:val="0052686F"/>
    <w:rsid w:val="0052756C"/>
    <w:rsid w:val="00530230"/>
    <w:rsid w:val="00530CC9"/>
    <w:rsid w:val="0053453F"/>
    <w:rsid w:val="0053759D"/>
    <w:rsid w:val="00537FBC"/>
    <w:rsid w:val="00540542"/>
    <w:rsid w:val="00541D73"/>
    <w:rsid w:val="00543469"/>
    <w:rsid w:val="005452CC"/>
    <w:rsid w:val="00546FA3"/>
    <w:rsid w:val="005477F6"/>
    <w:rsid w:val="00554243"/>
    <w:rsid w:val="00557C7A"/>
    <w:rsid w:val="00560C9C"/>
    <w:rsid w:val="00562A58"/>
    <w:rsid w:val="00570AE3"/>
    <w:rsid w:val="005765D3"/>
    <w:rsid w:val="00581211"/>
    <w:rsid w:val="00584811"/>
    <w:rsid w:val="00585550"/>
    <w:rsid w:val="00590870"/>
    <w:rsid w:val="00590A75"/>
    <w:rsid w:val="00591910"/>
    <w:rsid w:val="00593AA6"/>
    <w:rsid w:val="00594161"/>
    <w:rsid w:val="00594512"/>
    <w:rsid w:val="00594749"/>
    <w:rsid w:val="005A482B"/>
    <w:rsid w:val="005B4067"/>
    <w:rsid w:val="005C36E0"/>
    <w:rsid w:val="005C3F41"/>
    <w:rsid w:val="005C6E73"/>
    <w:rsid w:val="005D168D"/>
    <w:rsid w:val="005D2385"/>
    <w:rsid w:val="005D5EA1"/>
    <w:rsid w:val="005D6BEA"/>
    <w:rsid w:val="005E61D3"/>
    <w:rsid w:val="005E7437"/>
    <w:rsid w:val="005F4840"/>
    <w:rsid w:val="005F5D63"/>
    <w:rsid w:val="005F7738"/>
    <w:rsid w:val="00600219"/>
    <w:rsid w:val="00600631"/>
    <w:rsid w:val="00607D43"/>
    <w:rsid w:val="00613EAD"/>
    <w:rsid w:val="006158AC"/>
    <w:rsid w:val="00634DEF"/>
    <w:rsid w:val="00634FBC"/>
    <w:rsid w:val="00635E34"/>
    <w:rsid w:val="00640402"/>
    <w:rsid w:val="00640533"/>
    <w:rsid w:val="00640F78"/>
    <w:rsid w:val="00646E7B"/>
    <w:rsid w:val="00655D6A"/>
    <w:rsid w:val="00656DE9"/>
    <w:rsid w:val="00677CC2"/>
    <w:rsid w:val="0068002F"/>
    <w:rsid w:val="00683537"/>
    <w:rsid w:val="00685F42"/>
    <w:rsid w:val="006866A1"/>
    <w:rsid w:val="006905E6"/>
    <w:rsid w:val="0069207B"/>
    <w:rsid w:val="006A4309"/>
    <w:rsid w:val="006A482A"/>
    <w:rsid w:val="006B0E55"/>
    <w:rsid w:val="006B7006"/>
    <w:rsid w:val="006C7F8C"/>
    <w:rsid w:val="006D6726"/>
    <w:rsid w:val="006D7AB9"/>
    <w:rsid w:val="00700B2C"/>
    <w:rsid w:val="00701983"/>
    <w:rsid w:val="00710C21"/>
    <w:rsid w:val="00713084"/>
    <w:rsid w:val="00720FC2"/>
    <w:rsid w:val="00727F19"/>
    <w:rsid w:val="00731E00"/>
    <w:rsid w:val="0073225D"/>
    <w:rsid w:val="00732E9D"/>
    <w:rsid w:val="0073491A"/>
    <w:rsid w:val="007440B7"/>
    <w:rsid w:val="00747993"/>
    <w:rsid w:val="007634AD"/>
    <w:rsid w:val="00766288"/>
    <w:rsid w:val="007715C9"/>
    <w:rsid w:val="00773312"/>
    <w:rsid w:val="00774EDD"/>
    <w:rsid w:val="007757EC"/>
    <w:rsid w:val="007825FD"/>
    <w:rsid w:val="0079149A"/>
    <w:rsid w:val="00793662"/>
    <w:rsid w:val="007A115D"/>
    <w:rsid w:val="007A2B03"/>
    <w:rsid w:val="007A35E6"/>
    <w:rsid w:val="007A6863"/>
    <w:rsid w:val="007C5360"/>
    <w:rsid w:val="007D45C1"/>
    <w:rsid w:val="007E5709"/>
    <w:rsid w:val="007E7D4A"/>
    <w:rsid w:val="007F3120"/>
    <w:rsid w:val="007F48ED"/>
    <w:rsid w:val="007F7947"/>
    <w:rsid w:val="0080586E"/>
    <w:rsid w:val="00805CDC"/>
    <w:rsid w:val="00812529"/>
    <w:rsid w:val="00812F45"/>
    <w:rsid w:val="008228EF"/>
    <w:rsid w:val="00823B55"/>
    <w:rsid w:val="0084172C"/>
    <w:rsid w:val="00856A31"/>
    <w:rsid w:val="00865A3D"/>
    <w:rsid w:val="00871C2B"/>
    <w:rsid w:val="008754D0"/>
    <w:rsid w:val="00877D48"/>
    <w:rsid w:val="008816F0"/>
    <w:rsid w:val="0088345B"/>
    <w:rsid w:val="0088794B"/>
    <w:rsid w:val="00890012"/>
    <w:rsid w:val="008937A0"/>
    <w:rsid w:val="008A16A5"/>
    <w:rsid w:val="008B5D42"/>
    <w:rsid w:val="008C2B5D"/>
    <w:rsid w:val="008C67BA"/>
    <w:rsid w:val="008D0EE0"/>
    <w:rsid w:val="008D5B99"/>
    <w:rsid w:val="008D7A27"/>
    <w:rsid w:val="008E4702"/>
    <w:rsid w:val="008E69AA"/>
    <w:rsid w:val="008F4F1C"/>
    <w:rsid w:val="00920E9B"/>
    <w:rsid w:val="0092105D"/>
    <w:rsid w:val="00922764"/>
    <w:rsid w:val="009251EB"/>
    <w:rsid w:val="00926913"/>
    <w:rsid w:val="00932377"/>
    <w:rsid w:val="009408EA"/>
    <w:rsid w:val="00943102"/>
    <w:rsid w:val="0094523D"/>
    <w:rsid w:val="0094599F"/>
    <w:rsid w:val="009559E6"/>
    <w:rsid w:val="00956839"/>
    <w:rsid w:val="00976A63"/>
    <w:rsid w:val="00983419"/>
    <w:rsid w:val="00984D64"/>
    <w:rsid w:val="009861BB"/>
    <w:rsid w:val="009946AA"/>
    <w:rsid w:val="00994821"/>
    <w:rsid w:val="009C12E0"/>
    <w:rsid w:val="009C3431"/>
    <w:rsid w:val="009C5989"/>
    <w:rsid w:val="009D08DA"/>
    <w:rsid w:val="009E5312"/>
    <w:rsid w:val="00A0348E"/>
    <w:rsid w:val="00A03DD6"/>
    <w:rsid w:val="00A058DE"/>
    <w:rsid w:val="00A06860"/>
    <w:rsid w:val="00A136F5"/>
    <w:rsid w:val="00A231E2"/>
    <w:rsid w:val="00A2550D"/>
    <w:rsid w:val="00A27A17"/>
    <w:rsid w:val="00A402E8"/>
    <w:rsid w:val="00A41610"/>
    <w:rsid w:val="00A4169B"/>
    <w:rsid w:val="00A439B5"/>
    <w:rsid w:val="00A443FA"/>
    <w:rsid w:val="00A445F2"/>
    <w:rsid w:val="00A47B65"/>
    <w:rsid w:val="00A5065B"/>
    <w:rsid w:val="00A50D55"/>
    <w:rsid w:val="00A5165B"/>
    <w:rsid w:val="00A52FDA"/>
    <w:rsid w:val="00A6447D"/>
    <w:rsid w:val="00A64912"/>
    <w:rsid w:val="00A70A74"/>
    <w:rsid w:val="00A90EA8"/>
    <w:rsid w:val="00AA0343"/>
    <w:rsid w:val="00AA2A5C"/>
    <w:rsid w:val="00AB06CD"/>
    <w:rsid w:val="00AB5DF8"/>
    <w:rsid w:val="00AB78E9"/>
    <w:rsid w:val="00AC1624"/>
    <w:rsid w:val="00AC4500"/>
    <w:rsid w:val="00AC5CCC"/>
    <w:rsid w:val="00AC6C21"/>
    <w:rsid w:val="00AD3467"/>
    <w:rsid w:val="00AD5641"/>
    <w:rsid w:val="00AD5D45"/>
    <w:rsid w:val="00AD7252"/>
    <w:rsid w:val="00AE0F9B"/>
    <w:rsid w:val="00AF2C48"/>
    <w:rsid w:val="00AF55FF"/>
    <w:rsid w:val="00AF607F"/>
    <w:rsid w:val="00B01169"/>
    <w:rsid w:val="00B032D8"/>
    <w:rsid w:val="00B33B3C"/>
    <w:rsid w:val="00B40D74"/>
    <w:rsid w:val="00B52663"/>
    <w:rsid w:val="00B55B8D"/>
    <w:rsid w:val="00B56DCB"/>
    <w:rsid w:val="00B73885"/>
    <w:rsid w:val="00B768A7"/>
    <w:rsid w:val="00B770D2"/>
    <w:rsid w:val="00B82F51"/>
    <w:rsid w:val="00B83260"/>
    <w:rsid w:val="00B94F68"/>
    <w:rsid w:val="00B97FD6"/>
    <w:rsid w:val="00BA47A3"/>
    <w:rsid w:val="00BA5026"/>
    <w:rsid w:val="00BB21C7"/>
    <w:rsid w:val="00BB280A"/>
    <w:rsid w:val="00BB6E79"/>
    <w:rsid w:val="00BE3B31"/>
    <w:rsid w:val="00BE719A"/>
    <w:rsid w:val="00BE720A"/>
    <w:rsid w:val="00BF38EF"/>
    <w:rsid w:val="00BF6650"/>
    <w:rsid w:val="00C067E5"/>
    <w:rsid w:val="00C164CA"/>
    <w:rsid w:val="00C17EEE"/>
    <w:rsid w:val="00C26E7C"/>
    <w:rsid w:val="00C42BF8"/>
    <w:rsid w:val="00C43353"/>
    <w:rsid w:val="00C460AE"/>
    <w:rsid w:val="00C50043"/>
    <w:rsid w:val="00C50A0F"/>
    <w:rsid w:val="00C6649F"/>
    <w:rsid w:val="00C7573B"/>
    <w:rsid w:val="00C76CF3"/>
    <w:rsid w:val="00C81E03"/>
    <w:rsid w:val="00CA7844"/>
    <w:rsid w:val="00CB58EF"/>
    <w:rsid w:val="00CE3DA2"/>
    <w:rsid w:val="00CE5FDE"/>
    <w:rsid w:val="00CE7D64"/>
    <w:rsid w:val="00CF0BB2"/>
    <w:rsid w:val="00D13441"/>
    <w:rsid w:val="00D20665"/>
    <w:rsid w:val="00D2329D"/>
    <w:rsid w:val="00D243A3"/>
    <w:rsid w:val="00D3200B"/>
    <w:rsid w:val="00D32268"/>
    <w:rsid w:val="00D33440"/>
    <w:rsid w:val="00D52EFE"/>
    <w:rsid w:val="00D56A0D"/>
    <w:rsid w:val="00D56AEA"/>
    <w:rsid w:val="00D5767F"/>
    <w:rsid w:val="00D600A8"/>
    <w:rsid w:val="00D628D7"/>
    <w:rsid w:val="00D63EF6"/>
    <w:rsid w:val="00D66518"/>
    <w:rsid w:val="00D70DFB"/>
    <w:rsid w:val="00D71EEA"/>
    <w:rsid w:val="00D735CD"/>
    <w:rsid w:val="00D766DF"/>
    <w:rsid w:val="00D86E04"/>
    <w:rsid w:val="00D9471C"/>
    <w:rsid w:val="00D95891"/>
    <w:rsid w:val="00DA0E88"/>
    <w:rsid w:val="00DA40B0"/>
    <w:rsid w:val="00DB0B59"/>
    <w:rsid w:val="00DB5CB4"/>
    <w:rsid w:val="00DB79F2"/>
    <w:rsid w:val="00DD3F01"/>
    <w:rsid w:val="00DE149E"/>
    <w:rsid w:val="00DE76FF"/>
    <w:rsid w:val="00DF5DB9"/>
    <w:rsid w:val="00E02F1D"/>
    <w:rsid w:val="00E05704"/>
    <w:rsid w:val="00E06E7C"/>
    <w:rsid w:val="00E10376"/>
    <w:rsid w:val="00E11206"/>
    <w:rsid w:val="00E12F1A"/>
    <w:rsid w:val="00E15561"/>
    <w:rsid w:val="00E17E52"/>
    <w:rsid w:val="00E202E1"/>
    <w:rsid w:val="00E21CFB"/>
    <w:rsid w:val="00E22935"/>
    <w:rsid w:val="00E54292"/>
    <w:rsid w:val="00E60191"/>
    <w:rsid w:val="00E6601E"/>
    <w:rsid w:val="00E74DC7"/>
    <w:rsid w:val="00E87699"/>
    <w:rsid w:val="00E92304"/>
    <w:rsid w:val="00E92E27"/>
    <w:rsid w:val="00E9586B"/>
    <w:rsid w:val="00E97334"/>
    <w:rsid w:val="00EA0D36"/>
    <w:rsid w:val="00EA4F50"/>
    <w:rsid w:val="00EB3347"/>
    <w:rsid w:val="00EC0FEA"/>
    <w:rsid w:val="00EC4EB8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2C"/>
    <w:rsid w:val="00F13E86"/>
    <w:rsid w:val="00F32FCB"/>
    <w:rsid w:val="00F53265"/>
    <w:rsid w:val="00F559C0"/>
    <w:rsid w:val="00F57458"/>
    <w:rsid w:val="00F607B9"/>
    <w:rsid w:val="00F6709F"/>
    <w:rsid w:val="00F677A9"/>
    <w:rsid w:val="00F723BD"/>
    <w:rsid w:val="00F732EA"/>
    <w:rsid w:val="00F84CF5"/>
    <w:rsid w:val="00F8612E"/>
    <w:rsid w:val="00FA420B"/>
    <w:rsid w:val="00FB41FB"/>
    <w:rsid w:val="00FB71E8"/>
    <w:rsid w:val="00FC1A01"/>
    <w:rsid w:val="00FC26F2"/>
    <w:rsid w:val="00FC663A"/>
    <w:rsid w:val="00FD1E3B"/>
    <w:rsid w:val="00FD60A5"/>
    <w:rsid w:val="00FE0781"/>
    <w:rsid w:val="00FE49E6"/>
    <w:rsid w:val="00FF39DE"/>
    <w:rsid w:val="00FF498F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71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C4DB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DB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DB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DB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DB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4DB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4DB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4DB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4DB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4DB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C4DBF"/>
  </w:style>
  <w:style w:type="paragraph" w:customStyle="1" w:styleId="OPCParaBase">
    <w:name w:val="OPCParaBase"/>
    <w:qFormat/>
    <w:rsid w:val="003C4D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C4D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C4D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C4D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C4D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C4D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C4D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C4D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C4D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C4D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C4D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C4DBF"/>
  </w:style>
  <w:style w:type="paragraph" w:customStyle="1" w:styleId="Blocks">
    <w:name w:val="Blocks"/>
    <w:aliases w:val="bb"/>
    <w:basedOn w:val="OPCParaBase"/>
    <w:qFormat/>
    <w:rsid w:val="003C4D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C4D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C4D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C4DBF"/>
    <w:rPr>
      <w:i/>
    </w:rPr>
  </w:style>
  <w:style w:type="paragraph" w:customStyle="1" w:styleId="BoxList">
    <w:name w:val="BoxList"/>
    <w:aliases w:val="bl"/>
    <w:basedOn w:val="BoxText"/>
    <w:qFormat/>
    <w:rsid w:val="003C4D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C4D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C4D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C4DBF"/>
    <w:pPr>
      <w:ind w:left="1985" w:hanging="851"/>
    </w:pPr>
  </w:style>
  <w:style w:type="character" w:customStyle="1" w:styleId="CharAmPartNo">
    <w:name w:val="CharAmPartNo"/>
    <w:basedOn w:val="OPCCharBase"/>
    <w:qFormat/>
    <w:rsid w:val="003C4DBF"/>
  </w:style>
  <w:style w:type="character" w:customStyle="1" w:styleId="CharAmPartText">
    <w:name w:val="CharAmPartText"/>
    <w:basedOn w:val="OPCCharBase"/>
    <w:qFormat/>
    <w:rsid w:val="003C4DBF"/>
  </w:style>
  <w:style w:type="character" w:customStyle="1" w:styleId="CharAmSchNo">
    <w:name w:val="CharAmSchNo"/>
    <w:basedOn w:val="OPCCharBase"/>
    <w:qFormat/>
    <w:rsid w:val="003C4DBF"/>
  </w:style>
  <w:style w:type="character" w:customStyle="1" w:styleId="CharAmSchText">
    <w:name w:val="CharAmSchText"/>
    <w:basedOn w:val="OPCCharBase"/>
    <w:qFormat/>
    <w:rsid w:val="003C4DBF"/>
  </w:style>
  <w:style w:type="character" w:customStyle="1" w:styleId="CharBoldItalic">
    <w:name w:val="CharBoldItalic"/>
    <w:basedOn w:val="OPCCharBase"/>
    <w:uiPriority w:val="1"/>
    <w:qFormat/>
    <w:rsid w:val="003C4D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C4DBF"/>
  </w:style>
  <w:style w:type="character" w:customStyle="1" w:styleId="CharChapText">
    <w:name w:val="CharChapText"/>
    <w:basedOn w:val="OPCCharBase"/>
    <w:uiPriority w:val="1"/>
    <w:qFormat/>
    <w:rsid w:val="003C4DBF"/>
  </w:style>
  <w:style w:type="character" w:customStyle="1" w:styleId="CharDivNo">
    <w:name w:val="CharDivNo"/>
    <w:basedOn w:val="OPCCharBase"/>
    <w:uiPriority w:val="1"/>
    <w:qFormat/>
    <w:rsid w:val="003C4DBF"/>
  </w:style>
  <w:style w:type="character" w:customStyle="1" w:styleId="CharDivText">
    <w:name w:val="CharDivText"/>
    <w:basedOn w:val="OPCCharBase"/>
    <w:uiPriority w:val="1"/>
    <w:qFormat/>
    <w:rsid w:val="003C4DBF"/>
  </w:style>
  <w:style w:type="character" w:customStyle="1" w:styleId="CharItalic">
    <w:name w:val="CharItalic"/>
    <w:basedOn w:val="OPCCharBase"/>
    <w:uiPriority w:val="1"/>
    <w:qFormat/>
    <w:rsid w:val="003C4DBF"/>
    <w:rPr>
      <w:i/>
    </w:rPr>
  </w:style>
  <w:style w:type="character" w:customStyle="1" w:styleId="CharPartNo">
    <w:name w:val="CharPartNo"/>
    <w:basedOn w:val="OPCCharBase"/>
    <w:uiPriority w:val="1"/>
    <w:qFormat/>
    <w:rsid w:val="003C4DBF"/>
  </w:style>
  <w:style w:type="character" w:customStyle="1" w:styleId="CharPartText">
    <w:name w:val="CharPartText"/>
    <w:basedOn w:val="OPCCharBase"/>
    <w:uiPriority w:val="1"/>
    <w:qFormat/>
    <w:rsid w:val="003C4DBF"/>
  </w:style>
  <w:style w:type="character" w:customStyle="1" w:styleId="CharSectno">
    <w:name w:val="CharSectno"/>
    <w:basedOn w:val="OPCCharBase"/>
    <w:qFormat/>
    <w:rsid w:val="003C4DBF"/>
  </w:style>
  <w:style w:type="character" w:customStyle="1" w:styleId="CharSubdNo">
    <w:name w:val="CharSubdNo"/>
    <w:basedOn w:val="OPCCharBase"/>
    <w:uiPriority w:val="1"/>
    <w:qFormat/>
    <w:rsid w:val="003C4DBF"/>
  </w:style>
  <w:style w:type="character" w:customStyle="1" w:styleId="CharSubdText">
    <w:name w:val="CharSubdText"/>
    <w:basedOn w:val="OPCCharBase"/>
    <w:uiPriority w:val="1"/>
    <w:qFormat/>
    <w:rsid w:val="003C4DBF"/>
  </w:style>
  <w:style w:type="paragraph" w:customStyle="1" w:styleId="CTA--">
    <w:name w:val="CTA --"/>
    <w:basedOn w:val="OPCParaBase"/>
    <w:next w:val="Normal"/>
    <w:rsid w:val="003C4D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C4D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C4D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C4D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C4D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C4D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C4D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C4D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C4D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C4D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C4D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C4D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C4D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C4D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C4D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C4D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C4D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C4D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C4D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C4D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C4D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C4D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4D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C4D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C4D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C4D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C4D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C4D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C4D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C4D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C4D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C4D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C4D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C4D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C4D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C4D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C4D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C4D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C4D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C4D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C4D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C4D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C4D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C4D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C4D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C4D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C4D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C4D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C4D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C4D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C4D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C4D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C4D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C4D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C4D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C4DB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C4DB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C4DB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C4DB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C4DB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C4DB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C4DB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C4DB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C4DB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C4D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C4D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C4D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C4D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C4D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C4D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C4D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C4D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C4DBF"/>
    <w:rPr>
      <w:sz w:val="16"/>
    </w:rPr>
  </w:style>
  <w:style w:type="table" w:customStyle="1" w:styleId="CFlag">
    <w:name w:val="CFlag"/>
    <w:basedOn w:val="TableNormal"/>
    <w:uiPriority w:val="99"/>
    <w:rsid w:val="003C4DB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C4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D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C4DB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C4DB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C4DB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C4D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C4D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C4DB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C4DBF"/>
    <w:pPr>
      <w:spacing w:before="120"/>
    </w:pPr>
  </w:style>
  <w:style w:type="paragraph" w:customStyle="1" w:styleId="CompiledActNo">
    <w:name w:val="CompiledActNo"/>
    <w:basedOn w:val="OPCParaBase"/>
    <w:next w:val="Normal"/>
    <w:rsid w:val="003C4D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C4DB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C4D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C4D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C4D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C4D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C4D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C4DB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C4DB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C4D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C4D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C4D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C4D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C4D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C4D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C4D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C4D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C4DBF"/>
  </w:style>
  <w:style w:type="character" w:customStyle="1" w:styleId="CharSubPartNoCASA">
    <w:name w:val="CharSubPartNo(CASA)"/>
    <w:basedOn w:val="OPCCharBase"/>
    <w:uiPriority w:val="1"/>
    <w:rsid w:val="003C4DBF"/>
  </w:style>
  <w:style w:type="paragraph" w:customStyle="1" w:styleId="ENoteTTIndentHeadingSub">
    <w:name w:val="ENoteTTIndentHeadingSub"/>
    <w:aliases w:val="enTTHis"/>
    <w:basedOn w:val="OPCParaBase"/>
    <w:rsid w:val="003C4D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C4D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C4D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C4D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C4D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C4DB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C4D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C4DBF"/>
    <w:rPr>
      <w:sz w:val="22"/>
    </w:rPr>
  </w:style>
  <w:style w:type="paragraph" w:customStyle="1" w:styleId="SOTextNote">
    <w:name w:val="SO TextNote"/>
    <w:aliases w:val="sont"/>
    <w:basedOn w:val="SOText"/>
    <w:qFormat/>
    <w:rsid w:val="003C4D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C4D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C4DBF"/>
    <w:rPr>
      <w:sz w:val="22"/>
    </w:rPr>
  </w:style>
  <w:style w:type="paragraph" w:customStyle="1" w:styleId="FileName">
    <w:name w:val="FileName"/>
    <w:basedOn w:val="Normal"/>
    <w:rsid w:val="003C4DBF"/>
  </w:style>
  <w:style w:type="paragraph" w:customStyle="1" w:styleId="TableHeading">
    <w:name w:val="TableHeading"/>
    <w:aliases w:val="th"/>
    <w:basedOn w:val="OPCParaBase"/>
    <w:next w:val="Tabletext"/>
    <w:rsid w:val="003C4D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C4D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C4D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C4D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C4D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C4D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C4D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C4D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C4D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C4D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C4D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C4D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C4DB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C4DB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C4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4DB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C4DB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C4DB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C4DB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C4D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C4D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C4D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C4DBF"/>
  </w:style>
  <w:style w:type="character" w:customStyle="1" w:styleId="charlegsubtitle1">
    <w:name w:val="charlegsubtitle1"/>
    <w:basedOn w:val="DefaultParagraphFont"/>
    <w:rsid w:val="003C4DB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C4DBF"/>
    <w:pPr>
      <w:ind w:left="240" w:hanging="240"/>
    </w:pPr>
  </w:style>
  <w:style w:type="paragraph" w:styleId="Index2">
    <w:name w:val="index 2"/>
    <w:basedOn w:val="Normal"/>
    <w:next w:val="Normal"/>
    <w:autoRedefine/>
    <w:rsid w:val="003C4DBF"/>
    <w:pPr>
      <w:ind w:left="480" w:hanging="240"/>
    </w:pPr>
  </w:style>
  <w:style w:type="paragraph" w:styleId="Index3">
    <w:name w:val="index 3"/>
    <w:basedOn w:val="Normal"/>
    <w:next w:val="Normal"/>
    <w:autoRedefine/>
    <w:rsid w:val="003C4DBF"/>
    <w:pPr>
      <w:ind w:left="720" w:hanging="240"/>
    </w:pPr>
  </w:style>
  <w:style w:type="paragraph" w:styleId="Index4">
    <w:name w:val="index 4"/>
    <w:basedOn w:val="Normal"/>
    <w:next w:val="Normal"/>
    <w:autoRedefine/>
    <w:rsid w:val="003C4DBF"/>
    <w:pPr>
      <w:ind w:left="960" w:hanging="240"/>
    </w:pPr>
  </w:style>
  <w:style w:type="paragraph" w:styleId="Index5">
    <w:name w:val="index 5"/>
    <w:basedOn w:val="Normal"/>
    <w:next w:val="Normal"/>
    <w:autoRedefine/>
    <w:rsid w:val="003C4DBF"/>
    <w:pPr>
      <w:ind w:left="1200" w:hanging="240"/>
    </w:pPr>
  </w:style>
  <w:style w:type="paragraph" w:styleId="Index6">
    <w:name w:val="index 6"/>
    <w:basedOn w:val="Normal"/>
    <w:next w:val="Normal"/>
    <w:autoRedefine/>
    <w:rsid w:val="003C4DBF"/>
    <w:pPr>
      <w:ind w:left="1440" w:hanging="240"/>
    </w:pPr>
  </w:style>
  <w:style w:type="paragraph" w:styleId="Index7">
    <w:name w:val="index 7"/>
    <w:basedOn w:val="Normal"/>
    <w:next w:val="Normal"/>
    <w:autoRedefine/>
    <w:rsid w:val="003C4DBF"/>
    <w:pPr>
      <w:ind w:left="1680" w:hanging="240"/>
    </w:pPr>
  </w:style>
  <w:style w:type="paragraph" w:styleId="Index8">
    <w:name w:val="index 8"/>
    <w:basedOn w:val="Normal"/>
    <w:next w:val="Normal"/>
    <w:autoRedefine/>
    <w:rsid w:val="003C4DBF"/>
    <w:pPr>
      <w:ind w:left="1920" w:hanging="240"/>
    </w:pPr>
  </w:style>
  <w:style w:type="paragraph" w:styleId="Index9">
    <w:name w:val="index 9"/>
    <w:basedOn w:val="Normal"/>
    <w:next w:val="Normal"/>
    <w:autoRedefine/>
    <w:rsid w:val="003C4DBF"/>
    <w:pPr>
      <w:ind w:left="2160" w:hanging="240"/>
    </w:pPr>
  </w:style>
  <w:style w:type="paragraph" w:styleId="NormalIndent">
    <w:name w:val="Normal Indent"/>
    <w:basedOn w:val="Normal"/>
    <w:rsid w:val="003C4DBF"/>
    <w:pPr>
      <w:ind w:left="720"/>
    </w:pPr>
  </w:style>
  <w:style w:type="paragraph" w:styleId="FootnoteText">
    <w:name w:val="footnote text"/>
    <w:basedOn w:val="Normal"/>
    <w:link w:val="FootnoteTextChar"/>
    <w:rsid w:val="003C4D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C4DBF"/>
  </w:style>
  <w:style w:type="paragraph" w:styleId="CommentText">
    <w:name w:val="annotation text"/>
    <w:basedOn w:val="Normal"/>
    <w:link w:val="CommentTextChar"/>
    <w:rsid w:val="003C4D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4DBF"/>
  </w:style>
  <w:style w:type="paragraph" w:styleId="IndexHeading">
    <w:name w:val="index heading"/>
    <w:basedOn w:val="Normal"/>
    <w:next w:val="Index1"/>
    <w:rsid w:val="003C4DB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C4DB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C4DBF"/>
    <w:pPr>
      <w:ind w:left="480" w:hanging="480"/>
    </w:pPr>
  </w:style>
  <w:style w:type="paragraph" w:styleId="EnvelopeAddress">
    <w:name w:val="envelope address"/>
    <w:basedOn w:val="Normal"/>
    <w:rsid w:val="003C4DB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C4DB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C4DB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C4DBF"/>
    <w:rPr>
      <w:sz w:val="16"/>
      <w:szCs w:val="16"/>
    </w:rPr>
  </w:style>
  <w:style w:type="character" w:styleId="PageNumber">
    <w:name w:val="page number"/>
    <w:basedOn w:val="DefaultParagraphFont"/>
    <w:rsid w:val="003C4DBF"/>
  </w:style>
  <w:style w:type="character" w:styleId="EndnoteReference">
    <w:name w:val="endnote reference"/>
    <w:basedOn w:val="DefaultParagraphFont"/>
    <w:rsid w:val="003C4DBF"/>
    <w:rPr>
      <w:vertAlign w:val="superscript"/>
    </w:rPr>
  </w:style>
  <w:style w:type="paragraph" w:styleId="EndnoteText">
    <w:name w:val="endnote text"/>
    <w:basedOn w:val="Normal"/>
    <w:link w:val="EndnoteTextChar"/>
    <w:rsid w:val="003C4DB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C4DBF"/>
  </w:style>
  <w:style w:type="paragraph" w:styleId="TableofAuthorities">
    <w:name w:val="table of authorities"/>
    <w:basedOn w:val="Normal"/>
    <w:next w:val="Normal"/>
    <w:rsid w:val="003C4DBF"/>
    <w:pPr>
      <w:ind w:left="240" w:hanging="240"/>
    </w:pPr>
  </w:style>
  <w:style w:type="paragraph" w:styleId="MacroText">
    <w:name w:val="macro"/>
    <w:link w:val="MacroTextChar"/>
    <w:rsid w:val="003C4D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C4DB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C4DB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C4DBF"/>
    <w:pPr>
      <w:ind w:left="283" w:hanging="283"/>
    </w:pPr>
  </w:style>
  <w:style w:type="paragraph" w:styleId="ListBullet">
    <w:name w:val="List Bullet"/>
    <w:basedOn w:val="Normal"/>
    <w:autoRedefine/>
    <w:rsid w:val="003C4DB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C4DB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C4DBF"/>
    <w:pPr>
      <w:ind w:left="566" w:hanging="283"/>
    </w:pPr>
  </w:style>
  <w:style w:type="paragraph" w:styleId="List3">
    <w:name w:val="List 3"/>
    <w:basedOn w:val="Normal"/>
    <w:rsid w:val="003C4DBF"/>
    <w:pPr>
      <w:ind w:left="849" w:hanging="283"/>
    </w:pPr>
  </w:style>
  <w:style w:type="paragraph" w:styleId="List4">
    <w:name w:val="List 4"/>
    <w:basedOn w:val="Normal"/>
    <w:rsid w:val="003C4DBF"/>
    <w:pPr>
      <w:ind w:left="1132" w:hanging="283"/>
    </w:pPr>
  </w:style>
  <w:style w:type="paragraph" w:styleId="List5">
    <w:name w:val="List 5"/>
    <w:basedOn w:val="Normal"/>
    <w:rsid w:val="003C4DBF"/>
    <w:pPr>
      <w:ind w:left="1415" w:hanging="283"/>
    </w:pPr>
  </w:style>
  <w:style w:type="paragraph" w:styleId="ListBullet2">
    <w:name w:val="List Bullet 2"/>
    <w:basedOn w:val="Normal"/>
    <w:autoRedefine/>
    <w:rsid w:val="003C4DB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C4DB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C4DB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C4DB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C4DB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C4DB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C4DB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C4DB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C4DB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C4DB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C4DBF"/>
    <w:pPr>
      <w:ind w:left="4252"/>
    </w:pPr>
  </w:style>
  <w:style w:type="character" w:customStyle="1" w:styleId="ClosingChar">
    <w:name w:val="Closing Char"/>
    <w:basedOn w:val="DefaultParagraphFont"/>
    <w:link w:val="Closing"/>
    <w:rsid w:val="003C4DBF"/>
    <w:rPr>
      <w:sz w:val="22"/>
    </w:rPr>
  </w:style>
  <w:style w:type="paragraph" w:styleId="Signature">
    <w:name w:val="Signature"/>
    <w:basedOn w:val="Normal"/>
    <w:link w:val="SignatureChar"/>
    <w:rsid w:val="003C4DB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C4DBF"/>
    <w:rPr>
      <w:sz w:val="22"/>
    </w:rPr>
  </w:style>
  <w:style w:type="paragraph" w:styleId="BodyText">
    <w:name w:val="Body Text"/>
    <w:basedOn w:val="Normal"/>
    <w:link w:val="BodyTextChar"/>
    <w:rsid w:val="003C4D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C4DBF"/>
    <w:rPr>
      <w:sz w:val="22"/>
    </w:rPr>
  </w:style>
  <w:style w:type="paragraph" w:styleId="BodyTextIndent">
    <w:name w:val="Body Text Indent"/>
    <w:basedOn w:val="Normal"/>
    <w:link w:val="BodyTextIndentChar"/>
    <w:rsid w:val="003C4D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C4DBF"/>
    <w:rPr>
      <w:sz w:val="22"/>
    </w:rPr>
  </w:style>
  <w:style w:type="paragraph" w:styleId="ListContinue">
    <w:name w:val="List Continue"/>
    <w:basedOn w:val="Normal"/>
    <w:rsid w:val="003C4DBF"/>
    <w:pPr>
      <w:spacing w:after="120"/>
      <w:ind w:left="283"/>
    </w:pPr>
  </w:style>
  <w:style w:type="paragraph" w:styleId="ListContinue2">
    <w:name w:val="List Continue 2"/>
    <w:basedOn w:val="Normal"/>
    <w:rsid w:val="003C4DBF"/>
    <w:pPr>
      <w:spacing w:after="120"/>
      <w:ind w:left="566"/>
    </w:pPr>
  </w:style>
  <w:style w:type="paragraph" w:styleId="ListContinue3">
    <w:name w:val="List Continue 3"/>
    <w:basedOn w:val="Normal"/>
    <w:rsid w:val="003C4DBF"/>
    <w:pPr>
      <w:spacing w:after="120"/>
      <w:ind w:left="849"/>
    </w:pPr>
  </w:style>
  <w:style w:type="paragraph" w:styleId="ListContinue4">
    <w:name w:val="List Continue 4"/>
    <w:basedOn w:val="Normal"/>
    <w:rsid w:val="003C4DBF"/>
    <w:pPr>
      <w:spacing w:after="120"/>
      <w:ind w:left="1132"/>
    </w:pPr>
  </w:style>
  <w:style w:type="paragraph" w:styleId="ListContinue5">
    <w:name w:val="List Continue 5"/>
    <w:basedOn w:val="Normal"/>
    <w:rsid w:val="003C4DB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C4D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C4DB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C4D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C4DB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C4DBF"/>
  </w:style>
  <w:style w:type="character" w:customStyle="1" w:styleId="SalutationChar">
    <w:name w:val="Salutation Char"/>
    <w:basedOn w:val="DefaultParagraphFont"/>
    <w:link w:val="Salutation"/>
    <w:rsid w:val="003C4DBF"/>
    <w:rPr>
      <w:sz w:val="22"/>
    </w:rPr>
  </w:style>
  <w:style w:type="paragraph" w:styleId="Date">
    <w:name w:val="Date"/>
    <w:basedOn w:val="Normal"/>
    <w:next w:val="Normal"/>
    <w:link w:val="DateChar"/>
    <w:rsid w:val="003C4DBF"/>
  </w:style>
  <w:style w:type="character" w:customStyle="1" w:styleId="DateChar">
    <w:name w:val="Date Char"/>
    <w:basedOn w:val="DefaultParagraphFont"/>
    <w:link w:val="Date"/>
    <w:rsid w:val="003C4DBF"/>
    <w:rPr>
      <w:sz w:val="22"/>
    </w:rPr>
  </w:style>
  <w:style w:type="paragraph" w:styleId="BodyTextFirstIndent">
    <w:name w:val="Body Text First Indent"/>
    <w:basedOn w:val="BodyText"/>
    <w:link w:val="BodyTextFirstIndentChar"/>
    <w:rsid w:val="003C4DB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C4DB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C4DB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C4DBF"/>
    <w:rPr>
      <w:sz w:val="22"/>
    </w:rPr>
  </w:style>
  <w:style w:type="paragraph" w:styleId="BodyText2">
    <w:name w:val="Body Text 2"/>
    <w:basedOn w:val="Normal"/>
    <w:link w:val="BodyText2Char"/>
    <w:rsid w:val="003C4D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C4DBF"/>
    <w:rPr>
      <w:sz w:val="22"/>
    </w:rPr>
  </w:style>
  <w:style w:type="paragraph" w:styleId="BodyText3">
    <w:name w:val="Body Text 3"/>
    <w:basedOn w:val="Normal"/>
    <w:link w:val="BodyText3Char"/>
    <w:rsid w:val="003C4D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C4DB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C4D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C4DBF"/>
    <w:rPr>
      <w:sz w:val="22"/>
    </w:rPr>
  </w:style>
  <w:style w:type="paragraph" w:styleId="BodyTextIndent3">
    <w:name w:val="Body Text Indent 3"/>
    <w:basedOn w:val="Normal"/>
    <w:link w:val="BodyTextIndent3Char"/>
    <w:rsid w:val="003C4D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C4DBF"/>
    <w:rPr>
      <w:sz w:val="16"/>
      <w:szCs w:val="16"/>
    </w:rPr>
  </w:style>
  <w:style w:type="paragraph" w:styleId="BlockText">
    <w:name w:val="Block Text"/>
    <w:basedOn w:val="Normal"/>
    <w:rsid w:val="003C4DBF"/>
    <w:pPr>
      <w:spacing w:after="120"/>
      <w:ind w:left="1440" w:right="1440"/>
    </w:pPr>
  </w:style>
  <w:style w:type="character" w:styleId="Hyperlink">
    <w:name w:val="Hyperlink"/>
    <w:basedOn w:val="DefaultParagraphFont"/>
    <w:rsid w:val="003C4DBF"/>
    <w:rPr>
      <w:color w:val="0000FF"/>
      <w:u w:val="single"/>
    </w:rPr>
  </w:style>
  <w:style w:type="character" w:styleId="FollowedHyperlink">
    <w:name w:val="FollowedHyperlink"/>
    <w:basedOn w:val="DefaultParagraphFont"/>
    <w:rsid w:val="003C4DBF"/>
    <w:rPr>
      <w:color w:val="800080"/>
      <w:u w:val="single"/>
    </w:rPr>
  </w:style>
  <w:style w:type="character" w:styleId="Strong">
    <w:name w:val="Strong"/>
    <w:basedOn w:val="DefaultParagraphFont"/>
    <w:qFormat/>
    <w:rsid w:val="003C4DBF"/>
    <w:rPr>
      <w:b/>
      <w:bCs/>
    </w:rPr>
  </w:style>
  <w:style w:type="character" w:styleId="Emphasis">
    <w:name w:val="Emphasis"/>
    <w:basedOn w:val="DefaultParagraphFont"/>
    <w:qFormat/>
    <w:rsid w:val="003C4DBF"/>
    <w:rPr>
      <w:i/>
      <w:iCs/>
    </w:rPr>
  </w:style>
  <w:style w:type="paragraph" w:styleId="DocumentMap">
    <w:name w:val="Document Map"/>
    <w:basedOn w:val="Normal"/>
    <w:link w:val="DocumentMapChar"/>
    <w:rsid w:val="003C4DB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C4DB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C4DB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C4DB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C4DBF"/>
  </w:style>
  <w:style w:type="character" w:customStyle="1" w:styleId="E-mailSignatureChar">
    <w:name w:val="E-mail Signature Char"/>
    <w:basedOn w:val="DefaultParagraphFont"/>
    <w:link w:val="E-mailSignature"/>
    <w:rsid w:val="003C4DBF"/>
    <w:rPr>
      <w:sz w:val="22"/>
    </w:rPr>
  </w:style>
  <w:style w:type="paragraph" w:styleId="NormalWeb">
    <w:name w:val="Normal (Web)"/>
    <w:basedOn w:val="Normal"/>
    <w:rsid w:val="003C4DBF"/>
  </w:style>
  <w:style w:type="character" w:styleId="HTMLAcronym">
    <w:name w:val="HTML Acronym"/>
    <w:basedOn w:val="DefaultParagraphFont"/>
    <w:rsid w:val="003C4DBF"/>
  </w:style>
  <w:style w:type="paragraph" w:styleId="HTMLAddress">
    <w:name w:val="HTML Address"/>
    <w:basedOn w:val="Normal"/>
    <w:link w:val="HTMLAddressChar"/>
    <w:rsid w:val="003C4DB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C4DBF"/>
    <w:rPr>
      <w:i/>
      <w:iCs/>
      <w:sz w:val="22"/>
    </w:rPr>
  </w:style>
  <w:style w:type="character" w:styleId="HTMLCite">
    <w:name w:val="HTML Cite"/>
    <w:basedOn w:val="DefaultParagraphFont"/>
    <w:rsid w:val="003C4DBF"/>
    <w:rPr>
      <w:i/>
      <w:iCs/>
    </w:rPr>
  </w:style>
  <w:style w:type="character" w:styleId="HTMLCode">
    <w:name w:val="HTML Code"/>
    <w:basedOn w:val="DefaultParagraphFont"/>
    <w:rsid w:val="003C4DB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C4DBF"/>
    <w:rPr>
      <w:i/>
      <w:iCs/>
    </w:rPr>
  </w:style>
  <w:style w:type="character" w:styleId="HTMLKeyboard">
    <w:name w:val="HTML Keyboard"/>
    <w:basedOn w:val="DefaultParagraphFont"/>
    <w:rsid w:val="003C4DB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C4DB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C4DBF"/>
    <w:rPr>
      <w:rFonts w:ascii="Courier New" w:hAnsi="Courier New" w:cs="Courier New"/>
    </w:rPr>
  </w:style>
  <w:style w:type="character" w:styleId="HTMLSample">
    <w:name w:val="HTML Sample"/>
    <w:basedOn w:val="DefaultParagraphFont"/>
    <w:rsid w:val="003C4DB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C4DB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C4DB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C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4DBF"/>
    <w:rPr>
      <w:b/>
      <w:bCs/>
    </w:rPr>
  </w:style>
  <w:style w:type="numbering" w:styleId="1ai">
    <w:name w:val="Outline List 1"/>
    <w:basedOn w:val="NoList"/>
    <w:rsid w:val="003C4DBF"/>
    <w:pPr>
      <w:numPr>
        <w:numId w:val="14"/>
      </w:numPr>
    </w:pPr>
  </w:style>
  <w:style w:type="numbering" w:styleId="111111">
    <w:name w:val="Outline List 2"/>
    <w:basedOn w:val="NoList"/>
    <w:rsid w:val="003C4DBF"/>
    <w:pPr>
      <w:numPr>
        <w:numId w:val="15"/>
      </w:numPr>
    </w:pPr>
  </w:style>
  <w:style w:type="numbering" w:styleId="ArticleSection">
    <w:name w:val="Outline List 3"/>
    <w:basedOn w:val="NoList"/>
    <w:rsid w:val="003C4DBF"/>
    <w:pPr>
      <w:numPr>
        <w:numId w:val="17"/>
      </w:numPr>
    </w:pPr>
  </w:style>
  <w:style w:type="table" w:styleId="TableSimple1">
    <w:name w:val="Table Simple 1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C4DB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C4DB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C4DB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C4DB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C4DB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C4DB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C4DB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C4DB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C4DB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C4DB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C4DB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C4DB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C4DB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C4DB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C4DB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C4DB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C4DB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C4DB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C4D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C4DB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C4DB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C4DB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C4DB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C4DB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C4DB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C4DB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C4DB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C4DB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C4DB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C4DB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C4DB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C4DB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C4DB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C4DB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C4DB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C4DB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2022RG-111-25999</_dlc_DocId>
    <_dlc_DocIdUrl xmlns="0f563589-9cf9-4143-b1eb-fb0534803d38">
      <Url>http://tweb/sites/rg/ldp/lmu/_layouts/15/DocIdRedir.aspx?ID=2022RG-111-25999</Url>
      <Description>2022RG-111-25999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51662" ma:contentTypeDescription=" " ma:contentTypeScope="" ma:versionID="db8c0972d54202574c1d691a1bf4670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71b873ae7161d85362530359ca4d61b4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8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010BC-D1B2-4005-80B6-6236DDB7D83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61FC78E-4BEC-4B4B-8F6E-F3663A60FE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CDFA79-EA18-4F37-93A4-69FA141A137D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customXml/itemProps4.xml><?xml version="1.0" encoding="utf-8"?>
<ds:datastoreItem xmlns:ds="http://schemas.openxmlformats.org/officeDocument/2006/customXml" ds:itemID="{E2FB611C-9E8C-42F2-A894-FEFFA0A6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540076-7AF3-4024-B1F3-7A4EF935D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903</Words>
  <Characters>5151</Characters>
  <Application>Microsoft Office Word</Application>
  <DocSecurity>0</DocSecurity>
  <PresentationFormat/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Tax Assessment (1936 Act) Amendment (Period of Review) Regulations 2022</vt:lpstr>
    </vt:vector>
  </TitlesOfParts>
  <Manager/>
  <Company/>
  <LinksUpToDate>false</LinksUpToDate>
  <CharactersWithSpaces>6042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I22RS135</dc:title>
  <dc:subject/>
  <dc:creator/>
  <cp:keywords/>
  <dc:description/>
  <cp:lastModifiedBy/>
  <cp:revision>1</cp:revision>
  <cp:lastPrinted>2022-11-08T21:45:00Z</cp:lastPrinted>
  <dcterms:created xsi:type="dcterms:W3CDTF">2022-12-07T23:07:00Z</dcterms:created>
  <dcterms:modified xsi:type="dcterms:W3CDTF">2022-12-08T04:34:00Z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Income Tax Assessment (1936 Act) Amendment (Period of Review)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OPC65944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0x01010036BB8DE7EC542E42A8B2E98CC20CB69700D5C18F41BA18FB44827A222ACD6776F5</vt:lpwstr>
  </property>
  <property fmtid="{D5CDD505-2E9C-101B-9397-08002B2CF9AE}" pid="18" name="_dlc_DocIdItemGuid">
    <vt:lpwstr>2fd0f2e6-fdbf-4e90-b4bc-d3366d98cbf5</vt:lpwstr>
  </property>
  <property fmtid="{D5CDD505-2E9C-101B-9397-08002B2CF9AE}" pid="19" name="TSYTopic">
    <vt:lpwstr/>
  </property>
  <property fmtid="{D5CDD505-2E9C-101B-9397-08002B2CF9AE}" pid="20" name="TSYRecordClass">
    <vt:lpwstr>11;#TSY RA-9237 - Destroy 5 years after action completed|9f1a030e-81bf-44c5-98eb-4d5d869a40d5</vt:lpwstr>
  </property>
  <property fmtid="{D5CDD505-2E9C-101B-9397-08002B2CF9AE}" pid="21" name="Order">
    <vt:r8>2599900</vt:r8>
  </property>
  <property fmtid="{D5CDD505-2E9C-101B-9397-08002B2CF9AE}" pid="22" name="oae75e2df9d943898d59cb03ca0993c5">
    <vt:lpwstr/>
  </property>
  <property fmtid="{D5CDD505-2E9C-101B-9397-08002B2CF9AE}" pid="23" name="Topics">
    <vt:lpwstr/>
  </property>
</Properties>
</file>