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1439" w14:textId="1BDDA1A4" w:rsidR="00A0017D" w:rsidRDefault="00A0017D" w:rsidP="00A0017D">
      <w:pPr>
        <w:pStyle w:val="AttachmentHeading"/>
        <w:numPr>
          <w:ilvl w:val="0"/>
          <w:numId w:val="0"/>
        </w:numPr>
      </w:pPr>
      <w:bookmarkStart w:id="0" w:name="_Toc88575777"/>
      <w:r>
        <w:t>Regulatory Impact Analysis</w:t>
      </w:r>
      <w:bookmarkEnd w:id="0"/>
    </w:p>
    <w:p w14:paraId="073A40EA" w14:textId="55782FCE" w:rsidR="005A79CB" w:rsidRDefault="00A0017D" w:rsidP="005A79CB">
      <w:pPr>
        <w:pStyle w:val="FRL"/>
        <w:pBdr>
          <w:top w:val="single" w:sz="4" w:space="1" w:color="auto"/>
          <w:left w:val="single" w:sz="4" w:space="4" w:color="auto"/>
          <w:bottom w:val="single" w:sz="4" w:space="1" w:color="auto"/>
          <w:right w:val="single" w:sz="4" w:space="4" w:color="auto"/>
        </w:pBdr>
      </w:pPr>
      <w:r>
        <w:t xml:space="preserve">This </w:t>
      </w:r>
      <w:r w:rsidR="00081BE1">
        <w:t xml:space="preserve">document </w:t>
      </w:r>
      <w:r w:rsidR="00940E64">
        <w:t xml:space="preserve">is an extract of Annex D of </w:t>
      </w:r>
      <w:r w:rsidR="00940E64">
        <w:rPr>
          <w:i/>
        </w:rPr>
        <w:t>Response to Submissions – Finalising the Bank Capital Reforms</w:t>
      </w:r>
      <w:r w:rsidR="00940E64">
        <w:t>, which</w:t>
      </w:r>
      <w:r w:rsidR="00940E64">
        <w:rPr>
          <w:i/>
        </w:rPr>
        <w:t xml:space="preserve"> </w:t>
      </w:r>
      <w:r>
        <w:t>sets out APRA’s regulatory impact analysis</w:t>
      </w:r>
      <w:r w:rsidR="005A79CB">
        <w:t xml:space="preserve"> for </w:t>
      </w:r>
      <w:r w:rsidR="005A79CB">
        <w:rPr>
          <w:i/>
        </w:rPr>
        <w:t xml:space="preserve">Prudential Standard APS 110 Capital Adequacy </w:t>
      </w:r>
      <w:r w:rsidR="005A79CB">
        <w:t>(</w:t>
      </w:r>
      <w:r w:rsidR="005A79CB" w:rsidRPr="00045D9D">
        <w:t>APS</w:t>
      </w:r>
      <w:r w:rsidR="005A79CB">
        <w:t> </w:t>
      </w:r>
      <w:r w:rsidR="005A79CB" w:rsidRPr="00045D9D">
        <w:t>110</w:t>
      </w:r>
      <w:r w:rsidR="005A79CB">
        <w:t>)</w:t>
      </w:r>
      <w:r w:rsidR="005A79CB" w:rsidRPr="00045D9D">
        <w:t xml:space="preserve">, </w:t>
      </w:r>
      <w:r w:rsidR="005A79CB">
        <w:rPr>
          <w:i/>
        </w:rPr>
        <w:t xml:space="preserve">Prudential Standard APS 112 Capital Adequacy: Standardised Approach to Credit Risk </w:t>
      </w:r>
      <w:r w:rsidR="005A79CB">
        <w:t>(</w:t>
      </w:r>
      <w:r w:rsidR="005A79CB" w:rsidRPr="00045D9D">
        <w:t>APS 112</w:t>
      </w:r>
      <w:r w:rsidR="005A79CB">
        <w:t>)</w:t>
      </w:r>
      <w:r w:rsidR="005A79CB" w:rsidRPr="00045D9D">
        <w:t xml:space="preserve"> and </w:t>
      </w:r>
      <w:r w:rsidR="005A79CB">
        <w:rPr>
          <w:i/>
        </w:rPr>
        <w:t xml:space="preserve">Prudential Standard APS 113 Capital Adequacy: Internal Ratings-based Approach to Credit Risk </w:t>
      </w:r>
      <w:r w:rsidR="005A79CB">
        <w:t>(</w:t>
      </w:r>
      <w:r w:rsidR="005A79CB" w:rsidRPr="00045D9D">
        <w:t>APS 113</w:t>
      </w:r>
      <w:r w:rsidR="005A79CB">
        <w:t>).</w:t>
      </w:r>
      <w:r w:rsidR="005A79CB">
        <w:rPr>
          <w:rStyle w:val="FootnoteReference"/>
        </w:rPr>
        <w:footnoteReference w:id="1"/>
      </w:r>
      <w:r w:rsidR="005A79CB" w:rsidRPr="005A79CB">
        <w:rPr>
          <w:i/>
        </w:rPr>
        <w:t xml:space="preserve"> </w:t>
      </w:r>
      <w:r w:rsidR="005A79CB" w:rsidRPr="00045D9D">
        <w:t xml:space="preserve"> </w:t>
      </w:r>
      <w:r>
        <w:t xml:space="preserve"> </w:t>
      </w:r>
    </w:p>
    <w:p w14:paraId="2C09C1CC" w14:textId="222B31DE" w:rsidR="00A0017D" w:rsidRPr="00045D9D" w:rsidRDefault="001D6BBD" w:rsidP="005A79CB">
      <w:pPr>
        <w:pStyle w:val="FRL"/>
      </w:pPr>
      <w:r w:rsidRPr="001D6BBD">
        <w:t>This section sets out APRA’s regulatory impact analysis</w:t>
      </w:r>
      <w:r>
        <w:t xml:space="preserve">. </w:t>
      </w:r>
      <w:r w:rsidR="005A79CB">
        <w:t xml:space="preserve">Consistent with the Australian Government Guide to Regulation, APRA has followed a similar process to that required for a Regulation Impact Statement (RIS). APRA’s evaluation of the impact of policy changes to APS 110, APS 112 and APS 113 is provided below. </w:t>
      </w:r>
    </w:p>
    <w:p w14:paraId="0D5C88F4" w14:textId="77777777" w:rsidR="00A0017D" w:rsidRDefault="00A0017D" w:rsidP="00A0017D">
      <w:pPr>
        <w:pStyle w:val="Heading2Numbers"/>
        <w:numPr>
          <w:ilvl w:val="0"/>
          <w:numId w:val="0"/>
        </w:numPr>
        <w:ind w:left="851" w:hanging="851"/>
      </w:pPr>
      <w:r>
        <w:t>Background and objectives</w:t>
      </w:r>
    </w:p>
    <w:p w14:paraId="31FEA3F3" w14:textId="17A200E9" w:rsidR="00A0017D" w:rsidRPr="00701BD2" w:rsidRDefault="00A0017D" w:rsidP="00A0017D">
      <w:pPr>
        <w:pStyle w:val="FRL"/>
      </w:pPr>
      <w:r w:rsidRPr="009662AF">
        <w:t xml:space="preserve">Since 2018, APRA has undertaken </w:t>
      </w:r>
      <w:r>
        <w:t>four</w:t>
      </w:r>
      <w:r w:rsidRPr="009662AF">
        <w:t xml:space="preserve"> rounds of public consultation in revising the issues within APS 110, APS 112 and APS 113 and has engaged with a variety of stakeholders, including APRA-regulated entities, industry bodies, and other regulators.</w:t>
      </w:r>
      <w:r w:rsidRPr="009662AF">
        <w:rPr>
          <w:rStyle w:val="FootnoteReference"/>
        </w:rPr>
        <w:footnoteReference w:id="2"/>
      </w:r>
      <w:r w:rsidRPr="009662AF">
        <w:t xml:space="preserve"> This consultation commenced with the release of APRA’s </w:t>
      </w:r>
      <w:r>
        <w:t xml:space="preserve">February 2018 </w:t>
      </w:r>
      <w:r>
        <w:rPr>
          <w:rStyle w:val="document-linklabel"/>
        </w:rPr>
        <w:t xml:space="preserve">discussion paper </w:t>
      </w:r>
      <w:r w:rsidRPr="00911F9A">
        <w:rPr>
          <w:rStyle w:val="document-linklabel"/>
          <w:i/>
        </w:rPr>
        <w:t>Revisions to the capital framework for ADIs</w:t>
      </w:r>
      <w:r>
        <w:t xml:space="preserve">, supplemented by an additional discussion paper in August 2018 </w:t>
      </w:r>
      <w:r w:rsidRPr="009662AF">
        <w:rPr>
          <w:i/>
        </w:rPr>
        <w:t>Improving the transparency comparability and flexibility of the ADI capital framework</w:t>
      </w:r>
      <w:r>
        <w:t xml:space="preserve">. </w:t>
      </w:r>
      <w:bookmarkStart w:id="2" w:name="_Hlk86667383"/>
      <w:r w:rsidRPr="00701BD2">
        <w:t xml:space="preserve">As detailed </w:t>
      </w:r>
      <w:r>
        <w:t xml:space="preserve">in </w:t>
      </w:r>
      <w:r w:rsidRPr="00701BD2">
        <w:t>APRA’s response paper</w:t>
      </w:r>
      <w:r>
        <w:t>s in June 2019 and December 2020,</w:t>
      </w:r>
      <w:r w:rsidRPr="00701BD2">
        <w:t xml:space="preserve"> and th</w:t>
      </w:r>
      <w:r w:rsidR="00940E64">
        <w:t>e</w:t>
      </w:r>
      <w:r w:rsidRPr="00701BD2">
        <w:t xml:space="preserve"> November 2021 responses to submissions</w:t>
      </w:r>
      <w:bookmarkEnd w:id="2"/>
      <w:r w:rsidRPr="00701BD2">
        <w:t xml:space="preserve">, APRA has clarified or amended its proposals in </w:t>
      </w:r>
      <w:proofErr w:type="gramStart"/>
      <w:r>
        <w:t>a number of</w:t>
      </w:r>
      <w:proofErr w:type="gramEnd"/>
      <w:r>
        <w:t xml:space="preserve"> areas</w:t>
      </w:r>
      <w:r w:rsidRPr="00701BD2">
        <w:t xml:space="preserve">, following </w:t>
      </w:r>
      <w:r>
        <w:t xml:space="preserve">the </w:t>
      </w:r>
      <w:r w:rsidRPr="00701BD2">
        <w:t xml:space="preserve">consideration of issues raised by stakeholders. </w:t>
      </w:r>
    </w:p>
    <w:p w14:paraId="10E47AAC" w14:textId="77777777" w:rsidR="00A0017D" w:rsidRDefault="00A0017D" w:rsidP="00A0017D">
      <w:pPr>
        <w:pStyle w:val="Heading5"/>
      </w:pPr>
      <w:r>
        <w:t>Origins and objectives of the reforms</w:t>
      </w:r>
    </w:p>
    <w:p w14:paraId="2842C059" w14:textId="77777777" w:rsidR="00A0017D" w:rsidRDefault="00A0017D" w:rsidP="00A0017D">
      <w:pPr>
        <w:pStyle w:val="FRL"/>
      </w:pPr>
      <w:r w:rsidRPr="00CA2BEB">
        <w:t xml:space="preserve">In its February 2018 discussion paper, APRA set out the problem and why regulatory action was needed. While Australian ADIs have traditionally been well capitalised to withstand the risks they have faced in the past, the </w:t>
      </w:r>
      <w:r>
        <w:t xml:space="preserve">Australian Government’s </w:t>
      </w:r>
      <w:r w:rsidRPr="00CA2BEB">
        <w:t xml:space="preserve">2014 Financial System Inquiry recommended, and the Government </w:t>
      </w:r>
      <w:r>
        <w:t xml:space="preserve">subsequently </w:t>
      </w:r>
      <w:r w:rsidRPr="00CA2BEB">
        <w:t xml:space="preserve">endorsed, that APRA increase capital requirements for ADIs such that they meet ‘unquestionably strong’ capital benchmarks. </w:t>
      </w:r>
      <w:r>
        <w:t xml:space="preserve">APRA also identified </w:t>
      </w:r>
      <w:proofErr w:type="gramStart"/>
      <w:r>
        <w:t>a number of</w:t>
      </w:r>
      <w:proofErr w:type="gramEnd"/>
      <w:r>
        <w:t xml:space="preserve"> concerns that needed to be addressed, including:</w:t>
      </w:r>
    </w:p>
    <w:p w14:paraId="23D9E216" w14:textId="77777777" w:rsidR="00A0017D" w:rsidRDefault="00A0017D" w:rsidP="00A0017D">
      <w:pPr>
        <w:pStyle w:val="FRLdotpoint"/>
        <w:numPr>
          <w:ilvl w:val="0"/>
          <w:numId w:val="8"/>
        </w:numPr>
      </w:pPr>
      <w:r>
        <w:t xml:space="preserve">concentration risks in the residential housing market in Australia;  </w:t>
      </w:r>
    </w:p>
    <w:p w14:paraId="78C331F7" w14:textId="77777777" w:rsidR="00A0017D" w:rsidRDefault="00A0017D" w:rsidP="00A0017D">
      <w:pPr>
        <w:pStyle w:val="FRLdotpoint"/>
        <w:numPr>
          <w:ilvl w:val="0"/>
          <w:numId w:val="8"/>
        </w:numPr>
      </w:pPr>
      <w:r>
        <w:t xml:space="preserve">the alignment of capital and risk under the existing framework;  </w:t>
      </w:r>
    </w:p>
    <w:p w14:paraId="7360D7F9" w14:textId="77777777" w:rsidR="00A0017D" w:rsidRDefault="00A0017D" w:rsidP="00A0017D">
      <w:pPr>
        <w:pStyle w:val="FRLdotpoint"/>
        <w:numPr>
          <w:ilvl w:val="0"/>
          <w:numId w:val="8"/>
        </w:numPr>
      </w:pPr>
      <w:r>
        <w:t>ADIs’ ability to compete in, and access to, international markets; and</w:t>
      </w:r>
    </w:p>
    <w:p w14:paraId="654A666A" w14:textId="77777777" w:rsidR="00A0017D" w:rsidRPr="00CA2BEB" w:rsidRDefault="00A0017D" w:rsidP="00A0017D">
      <w:pPr>
        <w:pStyle w:val="FRLdotpoint"/>
        <w:numPr>
          <w:ilvl w:val="0"/>
          <w:numId w:val="8"/>
        </w:numPr>
      </w:pPr>
      <w:r>
        <w:t>unnecessary regulatory burden faced by smaller, less complex ADIs.</w:t>
      </w:r>
    </w:p>
    <w:p w14:paraId="7247CD31" w14:textId="77777777" w:rsidR="00A0017D" w:rsidRDefault="00A0017D" w:rsidP="00A0017D">
      <w:pPr>
        <w:pStyle w:val="FRL"/>
      </w:pPr>
      <w:r>
        <w:lastRenderedPageBreak/>
        <w:t>In addition, a</w:t>
      </w:r>
      <w:r w:rsidRPr="00CA2BEB">
        <w:t>s Australia is a member of the Basel Committee on Banking Supervision (Basel Committee), Australia is committed to meeting internationally</w:t>
      </w:r>
      <w:r>
        <w:t xml:space="preserve"> </w:t>
      </w:r>
      <w:r w:rsidRPr="00CA2BEB">
        <w:t>agreed standards for prudential regulation for</w:t>
      </w:r>
      <w:r>
        <w:t xml:space="preserve"> ADIs. </w:t>
      </w:r>
      <w:r w:rsidRPr="000B197C">
        <w:t xml:space="preserve">The reforms of the Basel framework following the 2008 global financial crisis were strongly endorsed by the G20 (of which Australia is a member), which strongly </w:t>
      </w:r>
      <w:r>
        <w:t>endorsed the</w:t>
      </w:r>
      <w:r w:rsidRPr="000B197C">
        <w:t xml:space="preserve"> full, timely and consistent implementation of the standards.</w:t>
      </w:r>
    </w:p>
    <w:p w14:paraId="4797C517" w14:textId="77777777" w:rsidR="00A0017D" w:rsidRDefault="00A0017D" w:rsidP="00A0017D">
      <w:pPr>
        <w:pStyle w:val="FRL"/>
      </w:pPr>
      <w:r>
        <w:t>The two key objectives of action were therefore: (</w:t>
      </w:r>
      <w:proofErr w:type="spellStart"/>
      <w:r>
        <w:t>i</w:t>
      </w:r>
      <w:proofErr w:type="spellEnd"/>
      <w:r>
        <w:t>) implementing the Basel Committee’s revised capital framework as appropriate to Australia and (ii)</w:t>
      </w:r>
      <w:r w:rsidRPr="00611A48">
        <w:t xml:space="preserve"> </w:t>
      </w:r>
      <w:r>
        <w:t>increasing the resilience of the Australian financial sector by building ‘unquestionably strong’ capital benchmarks for ADIs into the new capital framework. The latter was identified as a 150 basis points and 50 basis points increase in capital requirements for ADIs on the internal risk-based approach (IRB) to capital and standardised ADIs, respectively.</w:t>
      </w:r>
    </w:p>
    <w:p w14:paraId="2470D99A" w14:textId="77777777" w:rsidR="00A0017D" w:rsidRDefault="00A0017D" w:rsidP="00A0017D">
      <w:pPr>
        <w:pStyle w:val="FRL"/>
      </w:pPr>
      <w:r>
        <w:t xml:space="preserve">In addition to these broader objectives, APRA’s review also set out to make </w:t>
      </w:r>
      <w:proofErr w:type="gramStart"/>
      <w:r>
        <w:t>a number of</w:t>
      </w:r>
      <w:proofErr w:type="gramEnd"/>
      <w:r>
        <w:t xml:space="preserve"> key enhancements to the capital framework. These intended enhancements included:</w:t>
      </w:r>
    </w:p>
    <w:p w14:paraId="18589F0C" w14:textId="77777777" w:rsidR="00A0017D" w:rsidRPr="00933203" w:rsidRDefault="00A0017D" w:rsidP="00A0017D">
      <w:pPr>
        <w:pStyle w:val="FRLdotpoint"/>
        <w:numPr>
          <w:ilvl w:val="0"/>
          <w:numId w:val="8"/>
        </w:numPr>
        <w:rPr>
          <w:rFonts w:cs="Calibri"/>
        </w:rPr>
      </w:pPr>
      <w:r w:rsidRPr="00933203">
        <w:rPr>
          <w:rStyle w:val="BoldCharacterDINOTMedium"/>
          <w:rFonts w:ascii="Calibri" w:hAnsi="Calibri" w:cs="Calibri"/>
        </w:rPr>
        <w:t>flexibility:</w:t>
      </w:r>
      <w:r w:rsidRPr="00933203">
        <w:rPr>
          <w:rFonts w:cs="Calibri"/>
        </w:rPr>
        <w:t xml:space="preserve"> increasing the risk sensitivity of the capital framework such that capital is appropriately allocated to risk (e.g. concentration and other risks in the residential housing market);</w:t>
      </w:r>
    </w:p>
    <w:p w14:paraId="1ADA4862" w14:textId="77777777" w:rsidR="00A0017D" w:rsidRPr="00933203" w:rsidRDefault="00A0017D" w:rsidP="00A0017D">
      <w:pPr>
        <w:pStyle w:val="FRLdotpoint"/>
        <w:numPr>
          <w:ilvl w:val="0"/>
          <w:numId w:val="8"/>
        </w:numPr>
        <w:rPr>
          <w:rFonts w:cs="Calibri"/>
        </w:rPr>
      </w:pPr>
      <w:r w:rsidRPr="00933203">
        <w:rPr>
          <w:rStyle w:val="BoldCharacterDINOTMedium"/>
          <w:rFonts w:ascii="Calibri" w:hAnsi="Calibri" w:cs="Calibri"/>
        </w:rPr>
        <w:t>risk sensitivity:</w:t>
      </w:r>
      <w:r w:rsidRPr="00933203">
        <w:rPr>
          <w:rFonts w:cs="Calibri"/>
        </w:rPr>
        <w:t xml:space="preserve"> improving the flexibility of the capital framework to make it more responsive to the economic environment (e.g. to support the ability of ADIs to absorb losses and continue lending in stress); </w:t>
      </w:r>
    </w:p>
    <w:p w14:paraId="431793D8" w14:textId="77777777" w:rsidR="00A0017D" w:rsidRPr="00933203" w:rsidRDefault="00A0017D" w:rsidP="00A0017D">
      <w:pPr>
        <w:pStyle w:val="FRLdotpoint"/>
        <w:numPr>
          <w:ilvl w:val="0"/>
          <w:numId w:val="8"/>
        </w:numPr>
        <w:rPr>
          <w:rFonts w:cs="Calibri"/>
        </w:rPr>
      </w:pPr>
      <w:r w:rsidRPr="00933203">
        <w:rPr>
          <w:rStyle w:val="BoldCharacterDINOTMedium"/>
          <w:rFonts w:ascii="Calibri" w:hAnsi="Calibri" w:cs="Calibri"/>
        </w:rPr>
        <w:t>transparency</w:t>
      </w:r>
      <w:r w:rsidRPr="00933203">
        <w:rPr>
          <w:rFonts w:cs="Calibri"/>
        </w:rPr>
        <w:t xml:space="preserve"> and </w:t>
      </w:r>
      <w:r w:rsidRPr="00933203">
        <w:rPr>
          <w:rStyle w:val="BoldCharacterDINOTMedium"/>
          <w:rFonts w:ascii="Calibri" w:hAnsi="Calibri" w:cs="Calibri"/>
        </w:rPr>
        <w:t>comparability:</w:t>
      </w:r>
      <w:r w:rsidRPr="00933203">
        <w:rPr>
          <w:rFonts w:cs="Calibri"/>
        </w:rPr>
        <w:t xml:space="preserve"> improving the transparency of the ADI capital framework to enable comparisons of capital adequacy across ADIs and international peers such that they are better enabled to compete in and access funding in international markets; </w:t>
      </w:r>
    </w:p>
    <w:p w14:paraId="7A8FA0CE" w14:textId="77777777" w:rsidR="00A0017D" w:rsidRPr="00933203" w:rsidRDefault="00A0017D" w:rsidP="00A0017D">
      <w:pPr>
        <w:pStyle w:val="FRLdotpoint"/>
        <w:numPr>
          <w:ilvl w:val="0"/>
          <w:numId w:val="8"/>
        </w:numPr>
        <w:rPr>
          <w:rFonts w:cs="Calibri"/>
        </w:rPr>
      </w:pPr>
      <w:r w:rsidRPr="00933203">
        <w:rPr>
          <w:rStyle w:val="BoldCharacterDINOTMedium"/>
          <w:rFonts w:ascii="Calibri" w:hAnsi="Calibri" w:cs="Calibri"/>
        </w:rPr>
        <w:t>competition:</w:t>
      </w:r>
      <w:r w:rsidRPr="00933203">
        <w:rPr>
          <w:rFonts w:cs="Calibri"/>
        </w:rPr>
        <w:t xml:space="preserve"> supporting competition by limiting the differences in capital outcomes between ADIs using advanced modelling approaches relative to ADIs utilising the standardised approach; and</w:t>
      </w:r>
    </w:p>
    <w:p w14:paraId="7318E8C8" w14:textId="77777777" w:rsidR="00A0017D" w:rsidRPr="00E37450" w:rsidRDefault="00A0017D" w:rsidP="00A0017D">
      <w:pPr>
        <w:pStyle w:val="FRLdotpoint"/>
        <w:numPr>
          <w:ilvl w:val="0"/>
          <w:numId w:val="8"/>
        </w:numPr>
      </w:pPr>
      <w:r w:rsidRPr="00933203">
        <w:rPr>
          <w:rStyle w:val="BoldCharacterDINOTMedium"/>
          <w:rFonts w:ascii="Calibri" w:hAnsi="Calibri" w:cs="Calibri"/>
        </w:rPr>
        <w:t>proportionality:</w:t>
      </w:r>
      <w:r w:rsidRPr="00933203">
        <w:rPr>
          <w:rFonts w:cs="Calibri"/>
        </w:rPr>
        <w:t xml:space="preserve"> minimising regulatory burden for smaller ADIs without compromising prudential safety</w:t>
      </w:r>
      <w:r w:rsidRPr="00E37450">
        <w:t xml:space="preserve">. </w:t>
      </w:r>
    </w:p>
    <w:p w14:paraId="1DA73ADE" w14:textId="77777777" w:rsidR="00A0017D" w:rsidRDefault="00A0017D" w:rsidP="00A0017D">
      <w:pPr>
        <w:pStyle w:val="Heading5"/>
      </w:pPr>
      <w:r>
        <w:t>Summary of policy options</w:t>
      </w:r>
    </w:p>
    <w:p w14:paraId="532EAE3A" w14:textId="6AFF65A3" w:rsidR="00A0017D" w:rsidRPr="001D6BBD" w:rsidRDefault="00A0017D" w:rsidP="001D6BBD">
      <w:pPr>
        <w:pStyle w:val="FRL"/>
      </w:pPr>
      <w:r w:rsidRPr="00CA2BEB">
        <w:t xml:space="preserve">The February 2018 discussion paper outlined </w:t>
      </w:r>
      <w:r>
        <w:t xml:space="preserve">the options available to APRA in reviewing the ADI capital framework, including preliminary analysis on potential industry impacts. </w:t>
      </w:r>
      <w:r w:rsidRPr="00CA2BEB">
        <w:t xml:space="preserve">The sections below expand on APRA’s initial analysis, </w:t>
      </w:r>
      <w:proofErr w:type="gramStart"/>
      <w:r w:rsidRPr="00CA2BEB">
        <w:t>taking into account</w:t>
      </w:r>
      <w:proofErr w:type="gramEnd"/>
      <w:r w:rsidRPr="00CA2BEB">
        <w:t xml:space="preserve"> feedback received during the consultation period and the impact of the final standards, APS 110, APS 112 and APS 113.</w:t>
      </w:r>
      <w:r>
        <w:t xml:space="preserve"> As APRA is committed to meeting internationally agreed Basel standards for ADIs, the second option is considered the status-quo option.</w:t>
      </w:r>
    </w:p>
    <w:tbl>
      <w:tblPr>
        <w:tblStyle w:val="TableGrid2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57"/>
        <w:gridCol w:w="5759"/>
      </w:tblGrid>
      <w:tr w:rsidR="00A0017D" w:rsidRPr="00436339" w14:paraId="7D087F87" w14:textId="77777777" w:rsidTr="004B4E35">
        <w:tc>
          <w:tcPr>
            <w:tcW w:w="3257" w:type="dxa"/>
            <w:shd w:val="clear" w:color="auto" w:fill="002060"/>
            <w:vAlign w:val="center"/>
          </w:tcPr>
          <w:p w14:paraId="40DEB991" w14:textId="77777777" w:rsidR="00A0017D" w:rsidRPr="00150D3C" w:rsidRDefault="00A0017D" w:rsidP="004B4E35">
            <w:pPr>
              <w:pStyle w:val="FRL"/>
            </w:pPr>
            <w:r w:rsidRPr="00150D3C">
              <w:t xml:space="preserve">Option 1: Increase minimum CET1 capital ratios  </w:t>
            </w:r>
          </w:p>
        </w:tc>
        <w:tc>
          <w:tcPr>
            <w:tcW w:w="5759" w:type="dxa"/>
            <w:shd w:val="clear" w:color="auto" w:fill="F2F2F2"/>
            <w:vAlign w:val="center"/>
          </w:tcPr>
          <w:p w14:paraId="3B81C8FE" w14:textId="77777777" w:rsidR="00A0017D" w:rsidRPr="00436339" w:rsidRDefault="00A0017D" w:rsidP="004B4E35">
            <w:pPr>
              <w:pStyle w:val="FRL"/>
              <w:rPr>
                <w:szCs w:val="20"/>
              </w:rPr>
            </w:pPr>
            <w:r w:rsidRPr="00436339">
              <w:rPr>
                <w:szCs w:val="20"/>
              </w:rPr>
              <w:t>Increase the minimum CET1 capital ratio for each ADI under APRA’s current capital adequacy framework.</w:t>
            </w:r>
          </w:p>
        </w:tc>
      </w:tr>
      <w:tr w:rsidR="00A0017D" w:rsidRPr="00436339" w14:paraId="117DCBA0" w14:textId="77777777" w:rsidTr="004B4E35">
        <w:tc>
          <w:tcPr>
            <w:tcW w:w="3257" w:type="dxa"/>
            <w:shd w:val="clear" w:color="auto" w:fill="002060"/>
            <w:vAlign w:val="center"/>
          </w:tcPr>
          <w:p w14:paraId="4A115448" w14:textId="77777777" w:rsidR="00A0017D" w:rsidRPr="00150D3C" w:rsidRDefault="00A0017D" w:rsidP="004B4E35">
            <w:pPr>
              <w:pStyle w:val="FRL"/>
            </w:pPr>
            <w:r w:rsidRPr="00150D3C">
              <w:t>Option 2: Implement Basel III reforms</w:t>
            </w:r>
          </w:p>
        </w:tc>
        <w:tc>
          <w:tcPr>
            <w:tcW w:w="5759" w:type="dxa"/>
            <w:shd w:val="clear" w:color="auto" w:fill="F2F2F2"/>
            <w:vAlign w:val="center"/>
          </w:tcPr>
          <w:p w14:paraId="15DB19E9" w14:textId="77777777" w:rsidR="00A0017D" w:rsidRPr="00436339" w:rsidRDefault="00A0017D" w:rsidP="004B4E35">
            <w:pPr>
              <w:pStyle w:val="FRL"/>
              <w:rPr>
                <w:szCs w:val="20"/>
              </w:rPr>
            </w:pPr>
            <w:r w:rsidRPr="00436339">
              <w:rPr>
                <w:szCs w:val="20"/>
              </w:rPr>
              <w:t>Modify the current capital adequacy framework through implementing the Basel III reforms relating to credit risk, operational risk, market risk, credit valuation risk and interest rate risk in the banking book.</w:t>
            </w:r>
          </w:p>
        </w:tc>
      </w:tr>
      <w:tr w:rsidR="00A0017D" w:rsidRPr="00436339" w14:paraId="2E996583" w14:textId="77777777" w:rsidTr="004B4E35">
        <w:tc>
          <w:tcPr>
            <w:tcW w:w="3257" w:type="dxa"/>
            <w:shd w:val="clear" w:color="auto" w:fill="002060"/>
            <w:vAlign w:val="center"/>
          </w:tcPr>
          <w:p w14:paraId="21F973A5" w14:textId="77777777" w:rsidR="00A0017D" w:rsidRPr="00150D3C" w:rsidRDefault="00A0017D" w:rsidP="004B4E35">
            <w:pPr>
              <w:pStyle w:val="FRL"/>
            </w:pPr>
            <w:r w:rsidRPr="00150D3C">
              <w:lastRenderedPageBreak/>
              <w:t>Option 3: Implement Basel III reforms, adjusted for Australian conditions</w:t>
            </w:r>
          </w:p>
        </w:tc>
        <w:tc>
          <w:tcPr>
            <w:tcW w:w="5759" w:type="dxa"/>
            <w:shd w:val="clear" w:color="auto" w:fill="F2F2F2"/>
            <w:vAlign w:val="center"/>
          </w:tcPr>
          <w:p w14:paraId="79D65575" w14:textId="77777777" w:rsidR="00A0017D" w:rsidRPr="00436339" w:rsidRDefault="00A0017D" w:rsidP="004B4E35">
            <w:pPr>
              <w:pStyle w:val="FRL"/>
              <w:rPr>
                <w:szCs w:val="20"/>
              </w:rPr>
            </w:pPr>
            <w:r w:rsidRPr="00436339">
              <w:rPr>
                <w:szCs w:val="20"/>
              </w:rPr>
              <w:t>Modify the current capital adequacy framework through implementing the Basel III reforms, adjusted to accommodate Australia-specific factors.</w:t>
            </w:r>
          </w:p>
        </w:tc>
      </w:tr>
    </w:tbl>
    <w:p w14:paraId="4DD81DBE" w14:textId="77777777" w:rsidR="00A0017D" w:rsidRDefault="00A0017D" w:rsidP="00A0017D">
      <w:pPr>
        <w:pStyle w:val="Heading2Numbers"/>
        <w:numPr>
          <w:ilvl w:val="0"/>
          <w:numId w:val="0"/>
        </w:numPr>
        <w:ind w:left="851" w:hanging="851"/>
      </w:pPr>
      <w:r>
        <w:t>Assessment of regulatory costs</w:t>
      </w:r>
    </w:p>
    <w:p w14:paraId="76F9E2FA" w14:textId="77777777" w:rsidR="00A0017D" w:rsidRDefault="00A0017D" w:rsidP="00A0017D">
      <w:pPr>
        <w:pStyle w:val="FRL"/>
      </w:pPr>
      <w:r w:rsidRPr="001F59E9">
        <w:t xml:space="preserve">As part of the consultation process, APRA invited submissions on additional regulatory costs </w:t>
      </w:r>
      <w:r>
        <w:t xml:space="preserve">that could be </w:t>
      </w:r>
      <w:r w:rsidRPr="001F59E9">
        <w:t xml:space="preserve">incurred </w:t>
      </w:r>
      <w:proofErr w:type="gramStart"/>
      <w:r w:rsidRPr="001F59E9">
        <w:t>as a result of</w:t>
      </w:r>
      <w:proofErr w:type="gramEnd"/>
      <w:r w:rsidRPr="001F59E9">
        <w:t xml:space="preserve"> the three policy options under consideration. Respondents were invited to use the Australian Government’s Burden Measurement Tool to assess regulatory costs. APRA has considered all relevant compliance and administration costs, including both upfront and ongoing costs, in estimating the regulatory costs of each option.</w:t>
      </w:r>
      <w:r>
        <w:t xml:space="preserve"> </w:t>
      </w:r>
    </w:p>
    <w:p w14:paraId="6B8592AB" w14:textId="77777777" w:rsidR="00A0017D" w:rsidRDefault="00A0017D" w:rsidP="00A0017D">
      <w:pPr>
        <w:pStyle w:val="SubHeadingNoTOC"/>
      </w:pPr>
      <w:r>
        <w:t>Option 1: Increase minimum CET1 capital ratios</w:t>
      </w:r>
    </w:p>
    <w:p w14:paraId="7E58A214" w14:textId="77777777" w:rsidR="00A0017D" w:rsidRDefault="00A0017D" w:rsidP="00A0017D">
      <w:pPr>
        <w:pStyle w:val="FRL"/>
      </w:pPr>
      <w:r w:rsidRPr="00A37849">
        <w:t>Under option 1, APRA would raise the minimum CET1 capital ratio requirement applying to ADI</w:t>
      </w:r>
      <w:r>
        <w:t>s</w:t>
      </w:r>
      <w:r w:rsidRPr="00A37849">
        <w:t xml:space="preserve"> under the current capital adequacy framework to meet the unquestionably strong objective. This </w:t>
      </w:r>
      <w:r>
        <w:t>w</w:t>
      </w:r>
      <w:r w:rsidRPr="00A37849">
        <w:t>ould be done through amendments to the minimum ratios set out in</w:t>
      </w:r>
      <w:r>
        <w:t xml:space="preserve"> APS 110</w:t>
      </w:r>
      <w:r w:rsidRPr="00A37849">
        <w:t xml:space="preserve"> or by increasing an ADI’s prudential capital requirements (PCRs) using the existing power under APS 110. No other changes would be made to the framework. </w:t>
      </w:r>
    </w:p>
    <w:p w14:paraId="294ED220" w14:textId="77777777" w:rsidR="00A0017D" w:rsidRDefault="00A0017D" w:rsidP="00A0017D">
      <w:pPr>
        <w:pStyle w:val="FRL"/>
      </w:pPr>
      <w:r>
        <w:t xml:space="preserve">Under this option, ADIs would revise internal processes and individual management buffers to reflect the new minimum requirements. This </w:t>
      </w:r>
      <w:r w:rsidRPr="00A37849">
        <w:t>would</w:t>
      </w:r>
      <w:r>
        <w:t xml:space="preserve"> only</w:t>
      </w:r>
      <w:r w:rsidRPr="00A37849">
        <w:t xml:space="preserve"> involve </w:t>
      </w:r>
      <w:r>
        <w:t>minor</w:t>
      </w:r>
      <w:r w:rsidRPr="00A37849">
        <w:t xml:space="preserve"> implementation costs as</w:t>
      </w:r>
      <w:r>
        <w:t xml:space="preserve"> the internal processes around capital buffers, policies and reporting have long been established, and only minor changes would be required. This is shown in the following table. </w:t>
      </w:r>
    </w:p>
    <w:tbl>
      <w:tblPr>
        <w:tblStyle w:val="TableOption2"/>
        <w:tblW w:w="0" w:type="auto"/>
        <w:tblLook w:val="04A0" w:firstRow="1" w:lastRow="0" w:firstColumn="1" w:lastColumn="0" w:noHBand="0" w:noVBand="1"/>
      </w:tblPr>
      <w:tblGrid>
        <w:gridCol w:w="1418"/>
        <w:gridCol w:w="1902"/>
        <w:gridCol w:w="1902"/>
        <w:gridCol w:w="1902"/>
        <w:gridCol w:w="1902"/>
      </w:tblGrid>
      <w:tr w:rsidR="00A0017D" w14:paraId="5CE13AAD" w14:textId="77777777" w:rsidTr="004B4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4FDFEF04" w14:textId="77777777" w:rsidR="00A0017D" w:rsidRPr="005A79CB" w:rsidRDefault="00A0017D" w:rsidP="004B4E35">
            <w:pPr>
              <w:pStyle w:val="FRL"/>
              <w:rPr>
                <w:rFonts w:cs="Calibri"/>
              </w:rPr>
            </w:pPr>
            <w:r w:rsidRPr="005A79CB">
              <w:rPr>
                <w:rFonts w:cs="Calibri"/>
              </w:rPr>
              <w:t xml:space="preserve">Annual regulatory costs, averaged over 10 years </w:t>
            </w:r>
          </w:p>
        </w:tc>
      </w:tr>
      <w:tr w:rsidR="00A0017D" w14:paraId="0A567DA2"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bottom"/>
          </w:tcPr>
          <w:p w14:paraId="4794F0F7"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Change in costs ($m)</w:t>
            </w:r>
          </w:p>
        </w:tc>
        <w:tc>
          <w:tcPr>
            <w:tcW w:w="1902" w:type="dxa"/>
            <w:vAlign w:val="bottom"/>
          </w:tcPr>
          <w:p w14:paraId="37ECFFB5"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Business</w:t>
            </w:r>
          </w:p>
        </w:tc>
        <w:tc>
          <w:tcPr>
            <w:tcW w:w="1902" w:type="dxa"/>
            <w:vAlign w:val="bottom"/>
          </w:tcPr>
          <w:p w14:paraId="1A1AA3A4"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Community organisations</w:t>
            </w:r>
          </w:p>
        </w:tc>
        <w:tc>
          <w:tcPr>
            <w:tcW w:w="1902" w:type="dxa"/>
            <w:vAlign w:val="bottom"/>
          </w:tcPr>
          <w:p w14:paraId="0B0478BD"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Individuals</w:t>
            </w:r>
          </w:p>
        </w:tc>
        <w:tc>
          <w:tcPr>
            <w:tcW w:w="1902" w:type="dxa"/>
            <w:vAlign w:val="bottom"/>
          </w:tcPr>
          <w:p w14:paraId="459899F1"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Total change in costs</w:t>
            </w:r>
          </w:p>
        </w:tc>
      </w:tr>
      <w:tr w:rsidR="00A0017D" w14:paraId="69541F95"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31E637A"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Total by sector</w:t>
            </w:r>
          </w:p>
        </w:tc>
        <w:tc>
          <w:tcPr>
            <w:tcW w:w="1902" w:type="dxa"/>
            <w:vAlign w:val="center"/>
          </w:tcPr>
          <w:p w14:paraId="2FDB1EEE"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0.01</w:t>
            </w:r>
          </w:p>
        </w:tc>
        <w:tc>
          <w:tcPr>
            <w:tcW w:w="1902" w:type="dxa"/>
            <w:vAlign w:val="center"/>
          </w:tcPr>
          <w:p w14:paraId="043E619D"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0</w:t>
            </w:r>
          </w:p>
        </w:tc>
        <w:tc>
          <w:tcPr>
            <w:tcW w:w="1902" w:type="dxa"/>
            <w:vAlign w:val="center"/>
          </w:tcPr>
          <w:p w14:paraId="68336CA5"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0</w:t>
            </w:r>
          </w:p>
        </w:tc>
        <w:tc>
          <w:tcPr>
            <w:tcW w:w="1902" w:type="dxa"/>
            <w:vAlign w:val="center"/>
          </w:tcPr>
          <w:p w14:paraId="17DBE104"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0.01</w:t>
            </w:r>
          </w:p>
        </w:tc>
      </w:tr>
    </w:tbl>
    <w:p w14:paraId="5B4C7BC2" w14:textId="77777777" w:rsidR="00A0017D" w:rsidRDefault="00A0017D" w:rsidP="00A0017D">
      <w:pPr>
        <w:spacing w:after="0"/>
      </w:pPr>
    </w:p>
    <w:p w14:paraId="20349925" w14:textId="77777777" w:rsidR="00A0017D" w:rsidRPr="003C2930" w:rsidRDefault="00A0017D" w:rsidP="00A0017D">
      <w:pPr>
        <w:pStyle w:val="FRL"/>
      </w:pPr>
      <w:r w:rsidRPr="003C2930">
        <w:t xml:space="preserve">While option 1 would only involve minor implementation costs, most of APRA’s key objectives and enhancements would not be met. </w:t>
      </w:r>
      <w:r w:rsidRPr="00121550">
        <w:t>It would not incorporate the Basel III reforms or more appropriately align capital with ris</w:t>
      </w:r>
      <w:r w:rsidRPr="003C2930">
        <w:t>k</w:t>
      </w:r>
      <w:r>
        <w:t>.</w:t>
      </w:r>
      <w:r w:rsidRPr="003C2930">
        <w:rPr>
          <w:rFonts w:cs="Arial"/>
        </w:rPr>
        <w:t xml:space="preserve"> For example, capital requirements for higher-risk residentia</w:t>
      </w:r>
      <w:r w:rsidRPr="00121550">
        <w:rPr>
          <w:rFonts w:cs="Arial"/>
        </w:rPr>
        <w:t xml:space="preserve">l mortgage lending would </w:t>
      </w:r>
      <w:r w:rsidRPr="003C2930">
        <w:rPr>
          <w:rFonts w:cs="Arial"/>
        </w:rPr>
        <w:t>not be appropriately calibrated to address concentration and other risks in the Australian housing market.</w:t>
      </w:r>
      <w:r w:rsidRPr="003C2930">
        <w:t xml:space="preserve"> This option would also not improve transparency</w:t>
      </w:r>
      <w:r>
        <w:t>, and it would reduce</w:t>
      </w:r>
      <w:r w:rsidRPr="003C2930">
        <w:t xml:space="preserve"> international comparability, as capital increases made by adjusting ADIs’ PCRs would remain confidential and would not be publicly disclosed. In addition, the smaller ADIs could continue to be subject unwarranted regulatory burden under the current framework. Option 1 </w:t>
      </w:r>
      <w:r>
        <w:t xml:space="preserve">is </w:t>
      </w:r>
      <w:r w:rsidRPr="003C2930">
        <w:t xml:space="preserve">therefore </w:t>
      </w:r>
      <w:r>
        <w:t>likely to</w:t>
      </w:r>
      <w:r w:rsidRPr="003C2930">
        <w:t xml:space="preserve"> produce a net cost.</w:t>
      </w:r>
    </w:p>
    <w:p w14:paraId="1CE3E7DA" w14:textId="77777777" w:rsidR="00A0017D" w:rsidRDefault="00A0017D" w:rsidP="00A0017D">
      <w:pPr>
        <w:pStyle w:val="SubHeadingNoTOC"/>
      </w:pPr>
      <w:r>
        <w:t>Option 2: Implement Basel III reforms</w:t>
      </w:r>
    </w:p>
    <w:p w14:paraId="6E424DA4" w14:textId="77777777" w:rsidR="00A0017D" w:rsidRDefault="00A0017D" w:rsidP="00A0017D">
      <w:pPr>
        <w:pStyle w:val="FRL"/>
      </w:pPr>
      <w:r w:rsidRPr="00A37849">
        <w:t>Under option 2, APRA would amend the current capital framework to implement the Basel Committee’s Basel III reforms</w:t>
      </w:r>
      <w:r>
        <w:t xml:space="preserve">. As APRA has already implemented the operational risk capital </w:t>
      </w:r>
      <w:proofErr w:type="gramStart"/>
      <w:r>
        <w:t>reforms, and</w:t>
      </w:r>
      <w:proofErr w:type="gramEnd"/>
      <w:r>
        <w:t xml:space="preserve"> is reviewing the market risk reforms at a later time, this option relates to APRA’s reforms to capital adequacy and credit risk capital</w:t>
      </w:r>
      <w:r w:rsidRPr="00A37849">
        <w:t xml:space="preserve">, applying these revisions to all ADIs as relevant. This option would achieve </w:t>
      </w:r>
      <w:r w:rsidRPr="005A79CB">
        <w:rPr>
          <w:color w:val="FFFFFF" w:themeColor="background1"/>
        </w:rPr>
        <w:t>the</w:t>
      </w:r>
      <w:r w:rsidRPr="00A37849">
        <w:t xml:space="preserve"> objective of implementing the revised international framework, which would meet Australia’s G20 commitments, </w:t>
      </w:r>
      <w:r>
        <w:t>preserve</w:t>
      </w:r>
      <w:r w:rsidRPr="00A37849">
        <w:t xml:space="preserve"> ADIs’ continued ability to participate in international markets and improve international comparability. </w:t>
      </w:r>
    </w:p>
    <w:p w14:paraId="00A9764E" w14:textId="77777777" w:rsidR="00A0017D" w:rsidRPr="00AF0E84" w:rsidRDefault="00A0017D" w:rsidP="00A0017D">
      <w:pPr>
        <w:pStyle w:val="FRL"/>
      </w:pPr>
      <w:r w:rsidRPr="00AF0E84">
        <w:lastRenderedPageBreak/>
        <w:t>The Basel III framework introduces new approaches to classifying exposures and sets different risk weights or capital requirements (e.g. replacing internal modelling with supervisory estimates under the IRB approach to credit risk). Implementing such changes would necessitate significant changes to systems and processes. It is expected that the bulk of the regulatory costs would be associated with implementing and maintaining capital models and reporting systems, particularly for larger ADIs who, for the first time, would be required to calculate capital requirements under the standardised approach to credit risk in APS 112. APRA estimates the cost to industry, at an annual average of around $6.0 million over the next 10 years, as shown in the following table.</w:t>
      </w:r>
    </w:p>
    <w:tbl>
      <w:tblPr>
        <w:tblStyle w:val="TableOption2"/>
        <w:tblW w:w="0" w:type="auto"/>
        <w:tblLook w:val="04A0" w:firstRow="1" w:lastRow="0" w:firstColumn="1" w:lastColumn="0" w:noHBand="0" w:noVBand="1"/>
      </w:tblPr>
      <w:tblGrid>
        <w:gridCol w:w="1418"/>
        <w:gridCol w:w="1902"/>
        <w:gridCol w:w="1902"/>
        <w:gridCol w:w="1902"/>
        <w:gridCol w:w="1902"/>
      </w:tblGrid>
      <w:tr w:rsidR="00A0017D" w14:paraId="3E9A8694" w14:textId="77777777" w:rsidTr="004B4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002C4D34" w14:textId="77777777" w:rsidR="00A0017D" w:rsidRPr="005A79CB" w:rsidRDefault="00A0017D" w:rsidP="004B4E35">
            <w:pPr>
              <w:pStyle w:val="FRL"/>
              <w:rPr>
                <w:rFonts w:cs="Calibri"/>
              </w:rPr>
            </w:pPr>
            <w:r w:rsidRPr="005A79CB">
              <w:rPr>
                <w:rFonts w:cs="Calibri"/>
              </w:rPr>
              <w:t xml:space="preserve">Annual regulatory costs, averaged over 10 years </w:t>
            </w:r>
          </w:p>
        </w:tc>
      </w:tr>
      <w:tr w:rsidR="00A0017D" w14:paraId="44CEAB58"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bottom"/>
          </w:tcPr>
          <w:p w14:paraId="4929B411"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Change in costs ($m)</w:t>
            </w:r>
          </w:p>
        </w:tc>
        <w:tc>
          <w:tcPr>
            <w:tcW w:w="1902" w:type="dxa"/>
            <w:vAlign w:val="bottom"/>
          </w:tcPr>
          <w:p w14:paraId="5FEDCB83"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Business</w:t>
            </w:r>
          </w:p>
        </w:tc>
        <w:tc>
          <w:tcPr>
            <w:tcW w:w="1902" w:type="dxa"/>
            <w:vAlign w:val="bottom"/>
          </w:tcPr>
          <w:p w14:paraId="40A54A8A"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Community organisations</w:t>
            </w:r>
          </w:p>
        </w:tc>
        <w:tc>
          <w:tcPr>
            <w:tcW w:w="1902" w:type="dxa"/>
            <w:vAlign w:val="bottom"/>
          </w:tcPr>
          <w:p w14:paraId="202963D4"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Individuals</w:t>
            </w:r>
          </w:p>
        </w:tc>
        <w:tc>
          <w:tcPr>
            <w:tcW w:w="1902" w:type="dxa"/>
            <w:vAlign w:val="bottom"/>
          </w:tcPr>
          <w:p w14:paraId="6EE791BB"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Total change in costs</w:t>
            </w:r>
          </w:p>
        </w:tc>
      </w:tr>
      <w:tr w:rsidR="00A0017D" w14:paraId="00FC9367"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79024E9"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Total by sector</w:t>
            </w:r>
          </w:p>
        </w:tc>
        <w:tc>
          <w:tcPr>
            <w:tcW w:w="1902" w:type="dxa"/>
            <w:vAlign w:val="center"/>
          </w:tcPr>
          <w:p w14:paraId="7FE4E598"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6.0</w:t>
            </w:r>
          </w:p>
        </w:tc>
        <w:tc>
          <w:tcPr>
            <w:tcW w:w="1902" w:type="dxa"/>
            <w:vAlign w:val="center"/>
          </w:tcPr>
          <w:p w14:paraId="0B48E817"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Nil</w:t>
            </w:r>
          </w:p>
        </w:tc>
        <w:tc>
          <w:tcPr>
            <w:tcW w:w="1902" w:type="dxa"/>
            <w:vAlign w:val="center"/>
          </w:tcPr>
          <w:p w14:paraId="06FC752E"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Nil</w:t>
            </w:r>
          </w:p>
        </w:tc>
        <w:tc>
          <w:tcPr>
            <w:tcW w:w="1902" w:type="dxa"/>
            <w:vAlign w:val="center"/>
          </w:tcPr>
          <w:p w14:paraId="1E280961"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highlight w:val="yellow"/>
              </w:rPr>
            </w:pPr>
            <w:r w:rsidRPr="005A79CB">
              <w:rPr>
                <w:rFonts w:cs="Calibri"/>
              </w:rPr>
              <w:t>6.0</w:t>
            </w:r>
          </w:p>
        </w:tc>
      </w:tr>
    </w:tbl>
    <w:p w14:paraId="74AF7CA1" w14:textId="77777777" w:rsidR="00A0017D" w:rsidRDefault="00A0017D" w:rsidP="00A0017D">
      <w:pPr>
        <w:pStyle w:val="Spacingaftertable"/>
      </w:pPr>
    </w:p>
    <w:p w14:paraId="0B4D1EC2" w14:textId="77777777" w:rsidR="00A0017D" w:rsidRPr="00CA2BEB" w:rsidRDefault="00A0017D" w:rsidP="00A0017D">
      <w:pPr>
        <w:pStyle w:val="FRL"/>
      </w:pPr>
      <w:r w:rsidRPr="00CA2BEB">
        <w:t xml:space="preserve">Whilst option 2 is likely to increase Australian ADI </w:t>
      </w:r>
      <w:r>
        <w:t xml:space="preserve">reported </w:t>
      </w:r>
      <w:r w:rsidRPr="00CA2BEB">
        <w:t>capital ratios, it would not have delivered the goal of unquestionably strong capital. For example, implementing the Basel III framework for residential mortgages would result in a material reduction in risk weights compared to the current framework, using a segmentation that is not considered suitable for the Australian market. This would not enable the capital framework to be sufficiently risk sensitive to mitigate risks arising from structural concentration. In addition, the Basel III framework is targeted towards large internationally active banks and</w:t>
      </w:r>
      <w:r>
        <w:t>, in places, is</w:t>
      </w:r>
      <w:r w:rsidRPr="00CA2BEB">
        <w:t xml:space="preserve"> not</w:t>
      </w:r>
      <w:r>
        <w:t xml:space="preserve"> </w:t>
      </w:r>
      <w:r w:rsidRPr="00CA2BEB">
        <w:t xml:space="preserve">proportional for small, less complex ADIs who may be impacted by material regulatory burden without clear prudential safety benefits. </w:t>
      </w:r>
      <w:r>
        <w:t xml:space="preserve">Option 2 may therefore produce a moderate net benefit. </w:t>
      </w:r>
    </w:p>
    <w:p w14:paraId="28A1B7A5" w14:textId="77777777" w:rsidR="00A0017D" w:rsidRDefault="00A0017D" w:rsidP="00A0017D">
      <w:pPr>
        <w:pStyle w:val="SubHeadingNoTOC"/>
      </w:pPr>
      <w:r>
        <w:t>Option 3: Implement Basel III reforms, adjusted for Australian conditions</w:t>
      </w:r>
    </w:p>
    <w:p w14:paraId="5F0EED23" w14:textId="77777777" w:rsidR="00A0017D" w:rsidRDefault="00A0017D" w:rsidP="00A0017D">
      <w:pPr>
        <w:pStyle w:val="FRL"/>
      </w:pPr>
      <w:r w:rsidRPr="00A37849">
        <w:t xml:space="preserve">Under option 3, APRA would </w:t>
      </w:r>
      <w:r>
        <w:t xml:space="preserve">use the Basel III reforms as the starting </w:t>
      </w:r>
      <w:proofErr w:type="gramStart"/>
      <w:r>
        <w:t>point, and</w:t>
      </w:r>
      <w:proofErr w:type="gramEnd"/>
      <w:r>
        <w:t xml:space="preserve"> implement adjustments appropriate for the Australian market. </w:t>
      </w:r>
      <w:r w:rsidRPr="00A37849">
        <w:t xml:space="preserve">APRA’s </w:t>
      </w:r>
      <w:r>
        <w:t xml:space="preserve">objective would still be to deliver ‘unquestionably strong’ capital ratios for ADIs, while balancing several other objectives such as risk sensitivity, competition, transparency and comparability and proportionality. </w:t>
      </w:r>
    </w:p>
    <w:p w14:paraId="5AAC3A65" w14:textId="77777777" w:rsidR="00A0017D" w:rsidRDefault="00A0017D" w:rsidP="00A0017D">
      <w:pPr>
        <w:pStyle w:val="FRL"/>
      </w:pPr>
      <w:r w:rsidRPr="00CA2BEB">
        <w:t xml:space="preserve">In general, APRA has calibrated the new capital framework to be moderately more conservative than the Basel III </w:t>
      </w:r>
      <w:proofErr w:type="gramStart"/>
      <w:r w:rsidRPr="00CA2BEB">
        <w:t>framework, but</w:t>
      </w:r>
      <w:proofErr w:type="gramEnd"/>
      <w:r w:rsidRPr="00CA2BEB">
        <w:t xml:space="preserve"> has also applied adjustments to simplify implementation where possible</w:t>
      </w:r>
      <w:r>
        <w:t>, using feedback provided by ADIs in submissions</w:t>
      </w:r>
      <w:r w:rsidRPr="00CA2BEB">
        <w:t>. For example, APRA has introduced larger capital buffers, modified asset class segmentations to suit the Australian market (</w:t>
      </w:r>
      <w:proofErr w:type="gramStart"/>
      <w:r w:rsidRPr="00CA2BEB">
        <w:t>in particular for</w:t>
      </w:r>
      <w:proofErr w:type="gramEnd"/>
      <w:r w:rsidRPr="00CA2BEB">
        <w:t xml:space="preserve"> residential mortgages, the largest asset class), and will implement a capital floor for IRB ADIs from 1 January 2023 instead of allowing a phased </w:t>
      </w:r>
      <w:r>
        <w:t xml:space="preserve">(and more complex) </w:t>
      </w:r>
      <w:r w:rsidRPr="00CA2BEB">
        <w:t xml:space="preserve">implementation. For larger ADIs, APRA has introduced changes to achieve better alignment in certain asset classes between the IRB and standardised approach to ease the burden for </w:t>
      </w:r>
      <w:r>
        <w:t>ADIs</w:t>
      </w:r>
      <w:r w:rsidRPr="00CA2BEB">
        <w:t xml:space="preserve"> implementing both </w:t>
      </w:r>
      <w:proofErr w:type="gramStart"/>
      <w:r w:rsidRPr="00CA2BEB">
        <w:t>approaches, and</w:t>
      </w:r>
      <w:proofErr w:type="gramEnd"/>
      <w:r w:rsidRPr="00CA2BEB">
        <w:t xml:space="preserve"> is removing duplication in capital requirements and reporting for New Zealand banking subsidiaries of ADIs. APRA has also developed a simplified capital framework for small, less complex ADIs which is expected to materially reduce burden and enhance efficiency for these ADIs.</w:t>
      </w:r>
      <w:r>
        <w:t xml:space="preserve"> </w:t>
      </w:r>
    </w:p>
    <w:p w14:paraId="1C491700" w14:textId="77777777" w:rsidR="00A0017D" w:rsidRDefault="00A0017D" w:rsidP="00A0017D">
      <w:pPr>
        <w:pStyle w:val="FRL"/>
      </w:pPr>
      <w:r>
        <w:t>A</w:t>
      </w:r>
      <w:r w:rsidRPr="00FB10CE">
        <w:t>s Australia is a member of the G20, it has committed to implementing and applying the Basel III standards at a minimum</w:t>
      </w:r>
      <w:r>
        <w:t xml:space="preserve">. Therefore, the regulatory costs arising under option 3 are calculated as those costs which are above the regulatory costs of option 2, which are considered ‘business as usual </w:t>
      </w:r>
      <w:proofErr w:type="gramStart"/>
      <w:r>
        <w:t>costs’</w:t>
      </w:r>
      <w:proofErr w:type="gramEnd"/>
      <w:r>
        <w:t xml:space="preserve">. </w:t>
      </w:r>
      <w:r w:rsidRPr="00CE58A7">
        <w:t>APRA’s</w:t>
      </w:r>
      <w:r>
        <w:t xml:space="preserve"> </w:t>
      </w:r>
      <w:r w:rsidRPr="00CE58A7">
        <w:t>estimated regulatory costs above option</w:t>
      </w:r>
      <w:r>
        <w:t xml:space="preserve"> </w:t>
      </w:r>
      <w:r w:rsidRPr="00CE58A7">
        <w:t>2 are below</w:t>
      </w:r>
      <w:r>
        <w:t xml:space="preserve">. </w:t>
      </w:r>
    </w:p>
    <w:tbl>
      <w:tblPr>
        <w:tblStyle w:val="TableOption2"/>
        <w:tblW w:w="0" w:type="auto"/>
        <w:tblLook w:val="04A0" w:firstRow="1" w:lastRow="0" w:firstColumn="1" w:lastColumn="0" w:noHBand="0" w:noVBand="1"/>
      </w:tblPr>
      <w:tblGrid>
        <w:gridCol w:w="1418"/>
        <w:gridCol w:w="1902"/>
        <w:gridCol w:w="1902"/>
        <w:gridCol w:w="1902"/>
        <w:gridCol w:w="1902"/>
      </w:tblGrid>
      <w:tr w:rsidR="00A0017D" w14:paraId="27781B4D" w14:textId="77777777" w:rsidTr="004B4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3B041A77" w14:textId="77777777" w:rsidR="00A0017D" w:rsidRPr="005A79CB" w:rsidRDefault="00A0017D" w:rsidP="004B4E35">
            <w:pPr>
              <w:pStyle w:val="FRL"/>
              <w:rPr>
                <w:rFonts w:cs="Calibri"/>
              </w:rPr>
            </w:pPr>
            <w:r w:rsidRPr="005A79CB">
              <w:rPr>
                <w:rFonts w:cs="Calibri"/>
              </w:rPr>
              <w:lastRenderedPageBreak/>
              <w:t xml:space="preserve">Annual regulatory costs, averaged over 10 years </w:t>
            </w:r>
          </w:p>
        </w:tc>
      </w:tr>
      <w:tr w:rsidR="00A0017D" w14:paraId="2289171D"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5BC2B2B"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Change in costs ($m)</w:t>
            </w:r>
          </w:p>
        </w:tc>
        <w:tc>
          <w:tcPr>
            <w:tcW w:w="1902" w:type="dxa"/>
            <w:vAlign w:val="bottom"/>
          </w:tcPr>
          <w:p w14:paraId="5ED0F46D"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Business</w:t>
            </w:r>
          </w:p>
        </w:tc>
        <w:tc>
          <w:tcPr>
            <w:tcW w:w="1902" w:type="dxa"/>
            <w:vAlign w:val="bottom"/>
          </w:tcPr>
          <w:p w14:paraId="113DD158"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Community organisations</w:t>
            </w:r>
          </w:p>
        </w:tc>
        <w:tc>
          <w:tcPr>
            <w:tcW w:w="1902" w:type="dxa"/>
            <w:vAlign w:val="bottom"/>
          </w:tcPr>
          <w:p w14:paraId="0B94C4FC"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Individuals</w:t>
            </w:r>
          </w:p>
        </w:tc>
        <w:tc>
          <w:tcPr>
            <w:tcW w:w="1902" w:type="dxa"/>
            <w:vAlign w:val="bottom"/>
          </w:tcPr>
          <w:p w14:paraId="6555AADF"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Style w:val="BoldCharacterDINOTMedium"/>
                <w:rFonts w:ascii="Calibri" w:hAnsi="Calibri" w:cs="Calibri"/>
              </w:rPr>
            </w:pPr>
            <w:r w:rsidRPr="005A79CB">
              <w:rPr>
                <w:rStyle w:val="BoldCharacterDINOTMedium"/>
                <w:rFonts w:ascii="Calibri" w:hAnsi="Calibri" w:cs="Calibri"/>
              </w:rPr>
              <w:t>Total change in costs</w:t>
            </w:r>
          </w:p>
        </w:tc>
      </w:tr>
      <w:tr w:rsidR="00A0017D" w14:paraId="1FB489F4"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0486ECF"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Total by sector</w:t>
            </w:r>
          </w:p>
        </w:tc>
        <w:tc>
          <w:tcPr>
            <w:tcW w:w="1902" w:type="dxa"/>
            <w:vAlign w:val="center"/>
          </w:tcPr>
          <w:p w14:paraId="75CFA24F"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1.5</w:t>
            </w:r>
          </w:p>
        </w:tc>
        <w:tc>
          <w:tcPr>
            <w:tcW w:w="1902" w:type="dxa"/>
            <w:vAlign w:val="center"/>
          </w:tcPr>
          <w:p w14:paraId="3992A9DC"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Nil</w:t>
            </w:r>
          </w:p>
        </w:tc>
        <w:tc>
          <w:tcPr>
            <w:tcW w:w="1902" w:type="dxa"/>
            <w:vAlign w:val="center"/>
          </w:tcPr>
          <w:p w14:paraId="4A8B3A35"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Nil</w:t>
            </w:r>
          </w:p>
        </w:tc>
        <w:tc>
          <w:tcPr>
            <w:tcW w:w="1902" w:type="dxa"/>
            <w:vAlign w:val="center"/>
          </w:tcPr>
          <w:p w14:paraId="5A44E290"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1.5</w:t>
            </w:r>
          </w:p>
        </w:tc>
      </w:tr>
    </w:tbl>
    <w:p w14:paraId="6C1D0EBC" w14:textId="77777777" w:rsidR="00A0017D" w:rsidRDefault="00A0017D" w:rsidP="00A0017D">
      <w:pPr>
        <w:pStyle w:val="Heading2"/>
      </w:pPr>
      <w:r>
        <w:t>Assessment of net benefits</w:t>
      </w:r>
    </w:p>
    <w:p w14:paraId="31CB2BDF" w14:textId="77777777" w:rsidR="00A0017D" w:rsidRDefault="00A0017D" w:rsidP="00A0017D">
      <w:pPr>
        <w:pStyle w:val="FRL"/>
      </w:pPr>
      <w:r>
        <w:t>APRA’s view is that there are strong net benefits of APRA’s approach to choosing option 3 in revising APS 110, APS 112 and APS 113:</w:t>
      </w:r>
    </w:p>
    <w:p w14:paraId="5A5EE14D" w14:textId="77777777" w:rsidR="00A0017D" w:rsidRDefault="00A0017D" w:rsidP="00A0017D">
      <w:pPr>
        <w:pStyle w:val="FRLdotpoint"/>
        <w:numPr>
          <w:ilvl w:val="0"/>
          <w:numId w:val="8"/>
        </w:numPr>
      </w:pPr>
      <w:r>
        <w:t xml:space="preserve">Adjustments are required to the Basel III framework to align capital to risks in the Australian market. Option 3 will allow APRA to mitigate risks arising from the structural concentration of Australian ADIs in residential mortgages, while increasing relative incentives for ADIs to lend to small- and medium-sized enterprises. </w:t>
      </w:r>
    </w:p>
    <w:p w14:paraId="04F63845" w14:textId="77777777" w:rsidR="00A0017D" w:rsidRDefault="00A0017D" w:rsidP="00A0017D">
      <w:pPr>
        <w:pStyle w:val="FRLdotpoint"/>
        <w:numPr>
          <w:ilvl w:val="0"/>
          <w:numId w:val="8"/>
        </w:numPr>
      </w:pPr>
      <w:r w:rsidRPr="00E16B95">
        <w:t xml:space="preserve">Implementing the Basel III reforms with some transparent adjustments will </w:t>
      </w:r>
      <w:r>
        <w:t>enable</w:t>
      </w:r>
      <w:r w:rsidRPr="00E16B95">
        <w:t xml:space="preserve"> Australian ADI capital ratios to be more easily understood by external stakeholders. </w:t>
      </w:r>
      <w:r>
        <w:t>Option 3 will reduce the time and effort required by ADIs to produce information to stakeholders to explain the comparability of their capital ratios. In turn, this will support ADIs in competing for funding in international markets.</w:t>
      </w:r>
    </w:p>
    <w:p w14:paraId="74D954C1" w14:textId="77777777" w:rsidR="00A0017D" w:rsidRDefault="00A0017D" w:rsidP="00A0017D">
      <w:pPr>
        <w:pStyle w:val="FRLdotpoint"/>
        <w:numPr>
          <w:ilvl w:val="0"/>
          <w:numId w:val="8"/>
        </w:numPr>
      </w:pPr>
      <w:r>
        <w:t>The Basel III reforms are targeted at internationally active banks. As option 3 introduces a simplified capital framework for small, less complex ADIs, this will materially lessen regulatory burden for these entities, where appropriate, without compromising prudential safety. As this option introduce measures to limit differences across the capital framework, it will also help drive competition outcomes across ADIs.</w:t>
      </w:r>
    </w:p>
    <w:p w14:paraId="509557F7" w14:textId="77777777" w:rsidR="00A0017D" w:rsidRPr="00345AE2" w:rsidRDefault="00A0017D" w:rsidP="00A0017D">
      <w:pPr>
        <w:pStyle w:val="FRLdotpoint"/>
        <w:numPr>
          <w:ilvl w:val="0"/>
          <w:numId w:val="8"/>
        </w:numPr>
      </w:pPr>
      <w:r w:rsidRPr="00345AE2">
        <w:t xml:space="preserve">Finally, implementing Basel III reforms with adjustments will allow the capital framework to meet the ‘unquestionably strong’ capital benchmarks. This will increase the financial strength of ADIs and </w:t>
      </w:r>
      <w:r>
        <w:t>support the resilience of the Australian financial system.</w:t>
      </w:r>
      <w:r w:rsidRPr="00345AE2">
        <w:t xml:space="preserve"> </w:t>
      </w:r>
      <w:r>
        <w:t xml:space="preserve"> This in turn helps to </w:t>
      </w:r>
      <w:r w:rsidRPr="00345AE2">
        <w:t>protect depositors, maintain market confidence and promot</w:t>
      </w:r>
      <w:r>
        <w:t>e</w:t>
      </w:r>
      <w:r w:rsidRPr="00345AE2">
        <w:t xml:space="preserve"> financial stability</w:t>
      </w:r>
      <w:r>
        <w:t>,</w:t>
      </w:r>
      <w:r w:rsidRPr="00345AE2">
        <w:t xml:space="preserve"> especially during </w:t>
      </w:r>
      <w:r>
        <w:t>potential scenarios</w:t>
      </w:r>
      <w:r w:rsidRPr="00345AE2">
        <w:t xml:space="preserve"> of financial stress.</w:t>
      </w:r>
    </w:p>
    <w:p w14:paraId="0C5C6F48" w14:textId="77777777" w:rsidR="00A0017D" w:rsidRDefault="00A0017D" w:rsidP="00A0017D">
      <w:pPr>
        <w:pStyle w:val="Heading2"/>
      </w:pPr>
      <w:r>
        <w:t>Conclusion: comparison of policy options</w:t>
      </w:r>
    </w:p>
    <w:p w14:paraId="5125DABF" w14:textId="77777777" w:rsidR="00A0017D" w:rsidRDefault="00A0017D" w:rsidP="00A0017D">
      <w:pPr>
        <w:pStyle w:val="FRL"/>
      </w:pPr>
      <w:r w:rsidRPr="0092177E">
        <w:t>When developing policy, APRA is required to balance the objectives of financial safety and efficiency, competition, contestability and competitive neutrality, while promoting financial system stability in Australia.</w:t>
      </w:r>
      <w:r>
        <w:t xml:space="preserve"> </w:t>
      </w:r>
      <w:r w:rsidRPr="0092177E">
        <w:t xml:space="preserve">APRA considers that, on balance, </w:t>
      </w:r>
      <w:r>
        <w:t>o</w:t>
      </w:r>
      <w:r w:rsidRPr="0092177E">
        <w:t xml:space="preserve">ption 3 will </w:t>
      </w:r>
      <w:r>
        <w:t xml:space="preserve">significantly </w:t>
      </w:r>
      <w:r w:rsidRPr="0092177E">
        <w:t xml:space="preserve">enhance prudential outcomes and improve financial system safety and stability in Australia. </w:t>
      </w:r>
      <w:r>
        <w:t>As set out below, option 3 is expected to result in a net benefit.</w:t>
      </w:r>
    </w:p>
    <w:tbl>
      <w:tblPr>
        <w:tblStyle w:val="TableOption2"/>
        <w:tblW w:w="0" w:type="auto"/>
        <w:tblLook w:val="04A0" w:firstRow="1" w:lastRow="0" w:firstColumn="1" w:lastColumn="0" w:noHBand="0" w:noVBand="1"/>
      </w:tblPr>
      <w:tblGrid>
        <w:gridCol w:w="2256"/>
        <w:gridCol w:w="2256"/>
        <w:gridCol w:w="2257"/>
        <w:gridCol w:w="2257"/>
      </w:tblGrid>
      <w:tr w:rsidR="00A0017D" w:rsidRPr="00253AB1" w14:paraId="60A13B38" w14:textId="77777777" w:rsidTr="004B4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3445B711" w14:textId="77777777" w:rsidR="00A0017D" w:rsidRPr="005A79CB" w:rsidRDefault="00A0017D" w:rsidP="004B4E35">
            <w:pPr>
              <w:pStyle w:val="FRL"/>
              <w:rPr>
                <w:rFonts w:cs="Calibri"/>
              </w:rPr>
            </w:pPr>
          </w:p>
        </w:tc>
        <w:tc>
          <w:tcPr>
            <w:tcW w:w="2256" w:type="dxa"/>
          </w:tcPr>
          <w:p w14:paraId="718CCD4E" w14:textId="77777777" w:rsidR="00A0017D" w:rsidRPr="005A79CB" w:rsidRDefault="00A0017D" w:rsidP="004B4E35">
            <w:pPr>
              <w:pStyle w:val="FRL"/>
              <w:cnfStyle w:val="100000000000" w:firstRow="1" w:lastRow="0" w:firstColumn="0" w:lastColumn="0" w:oddVBand="0" w:evenVBand="0" w:oddHBand="0" w:evenHBand="0" w:firstRowFirstColumn="0" w:firstRowLastColumn="0" w:lastRowFirstColumn="0" w:lastRowLastColumn="0"/>
              <w:rPr>
                <w:rFonts w:cs="Calibri"/>
              </w:rPr>
            </w:pPr>
            <w:r w:rsidRPr="005A79CB">
              <w:rPr>
                <w:rFonts w:cs="Calibri"/>
              </w:rPr>
              <w:t>Option 1</w:t>
            </w:r>
          </w:p>
        </w:tc>
        <w:tc>
          <w:tcPr>
            <w:tcW w:w="2257" w:type="dxa"/>
          </w:tcPr>
          <w:p w14:paraId="41AD2A23" w14:textId="77777777" w:rsidR="00A0017D" w:rsidRPr="005A79CB" w:rsidRDefault="00A0017D" w:rsidP="004B4E35">
            <w:pPr>
              <w:pStyle w:val="FRL"/>
              <w:cnfStyle w:val="100000000000" w:firstRow="1" w:lastRow="0" w:firstColumn="0" w:lastColumn="0" w:oddVBand="0" w:evenVBand="0" w:oddHBand="0" w:evenHBand="0" w:firstRowFirstColumn="0" w:firstRowLastColumn="0" w:lastRowFirstColumn="0" w:lastRowLastColumn="0"/>
              <w:rPr>
                <w:rFonts w:cs="Calibri"/>
              </w:rPr>
            </w:pPr>
            <w:r w:rsidRPr="005A79CB">
              <w:rPr>
                <w:rFonts w:cs="Calibri"/>
              </w:rPr>
              <w:t>Option 2</w:t>
            </w:r>
          </w:p>
        </w:tc>
        <w:tc>
          <w:tcPr>
            <w:tcW w:w="2257" w:type="dxa"/>
          </w:tcPr>
          <w:p w14:paraId="2B3663D9" w14:textId="77777777" w:rsidR="00A0017D" w:rsidRPr="005A79CB" w:rsidRDefault="00A0017D" w:rsidP="004B4E35">
            <w:pPr>
              <w:pStyle w:val="FRL"/>
              <w:cnfStyle w:val="100000000000" w:firstRow="1" w:lastRow="0" w:firstColumn="0" w:lastColumn="0" w:oddVBand="0" w:evenVBand="0" w:oddHBand="0" w:evenHBand="0" w:firstRowFirstColumn="0" w:firstRowLastColumn="0" w:lastRowFirstColumn="0" w:lastRowLastColumn="0"/>
              <w:rPr>
                <w:rFonts w:cs="Calibri"/>
              </w:rPr>
            </w:pPr>
            <w:r w:rsidRPr="005A79CB">
              <w:rPr>
                <w:rFonts w:cs="Calibri"/>
              </w:rPr>
              <w:t>Option 3</w:t>
            </w:r>
          </w:p>
        </w:tc>
      </w:tr>
      <w:tr w:rsidR="00A0017D" w14:paraId="5F885344"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2469C6CF"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Regulatory Costs</w:t>
            </w:r>
          </w:p>
        </w:tc>
        <w:tc>
          <w:tcPr>
            <w:tcW w:w="2256" w:type="dxa"/>
            <w:vAlign w:val="center"/>
          </w:tcPr>
          <w:p w14:paraId="08FCC985"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Low</w:t>
            </w:r>
          </w:p>
        </w:tc>
        <w:tc>
          <w:tcPr>
            <w:tcW w:w="2257" w:type="dxa"/>
            <w:vAlign w:val="center"/>
          </w:tcPr>
          <w:p w14:paraId="64CBB062"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Moderate</w:t>
            </w:r>
          </w:p>
        </w:tc>
        <w:tc>
          <w:tcPr>
            <w:tcW w:w="2257" w:type="dxa"/>
            <w:vAlign w:val="center"/>
          </w:tcPr>
          <w:p w14:paraId="753A7ADC"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Moderate</w:t>
            </w:r>
          </w:p>
        </w:tc>
      </w:tr>
      <w:tr w:rsidR="00A0017D" w14:paraId="6E17AE74"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0BEF2F99"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 xml:space="preserve">Unquestionably strong capital </w:t>
            </w:r>
          </w:p>
        </w:tc>
        <w:tc>
          <w:tcPr>
            <w:tcW w:w="2256" w:type="dxa"/>
            <w:vAlign w:val="center"/>
          </w:tcPr>
          <w:p w14:paraId="7201B687"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c>
          <w:tcPr>
            <w:tcW w:w="2257" w:type="dxa"/>
            <w:vAlign w:val="center"/>
          </w:tcPr>
          <w:p w14:paraId="46C450DA"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Does not meet this criterion</w:t>
            </w:r>
          </w:p>
        </w:tc>
        <w:tc>
          <w:tcPr>
            <w:tcW w:w="2257" w:type="dxa"/>
            <w:vAlign w:val="center"/>
          </w:tcPr>
          <w:p w14:paraId="745EA61D"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r>
      <w:tr w:rsidR="00A0017D" w14:paraId="2ADD085C"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1D8C852A"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lastRenderedPageBreak/>
              <w:t xml:space="preserve">Basel compliance </w:t>
            </w:r>
          </w:p>
        </w:tc>
        <w:tc>
          <w:tcPr>
            <w:tcW w:w="2256" w:type="dxa"/>
            <w:vAlign w:val="center"/>
          </w:tcPr>
          <w:p w14:paraId="32DD5AD3"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Does not meet this criterion</w:t>
            </w:r>
          </w:p>
        </w:tc>
        <w:tc>
          <w:tcPr>
            <w:tcW w:w="2257" w:type="dxa"/>
            <w:vAlign w:val="center"/>
          </w:tcPr>
          <w:p w14:paraId="70F21DD3"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Meets this criterion</w:t>
            </w:r>
          </w:p>
        </w:tc>
        <w:tc>
          <w:tcPr>
            <w:tcW w:w="2257" w:type="dxa"/>
            <w:vAlign w:val="center"/>
          </w:tcPr>
          <w:p w14:paraId="136F2B4E"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Meets this criterion</w:t>
            </w:r>
          </w:p>
        </w:tc>
      </w:tr>
      <w:tr w:rsidR="00A0017D" w14:paraId="6F3E1088"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7C966DA9"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Flexibility</w:t>
            </w:r>
          </w:p>
        </w:tc>
        <w:tc>
          <w:tcPr>
            <w:tcW w:w="2256" w:type="dxa"/>
            <w:vAlign w:val="center"/>
          </w:tcPr>
          <w:p w14:paraId="31F9EE19"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Partly meets criterion</w:t>
            </w:r>
          </w:p>
        </w:tc>
        <w:tc>
          <w:tcPr>
            <w:tcW w:w="2257" w:type="dxa"/>
            <w:vAlign w:val="center"/>
          </w:tcPr>
          <w:p w14:paraId="5C2FF8BE"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c>
          <w:tcPr>
            <w:tcW w:w="2257" w:type="dxa"/>
            <w:vAlign w:val="center"/>
          </w:tcPr>
          <w:p w14:paraId="37666BB0"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r>
      <w:tr w:rsidR="00A0017D" w14:paraId="365C6088"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3B0D2A31"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Risk sensitivity</w:t>
            </w:r>
          </w:p>
        </w:tc>
        <w:tc>
          <w:tcPr>
            <w:tcW w:w="2256" w:type="dxa"/>
            <w:vAlign w:val="center"/>
          </w:tcPr>
          <w:p w14:paraId="03186C27"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Does not meet this criterion</w:t>
            </w:r>
          </w:p>
        </w:tc>
        <w:tc>
          <w:tcPr>
            <w:tcW w:w="2257" w:type="dxa"/>
            <w:vAlign w:val="center"/>
          </w:tcPr>
          <w:p w14:paraId="5AF9B92E"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Partly meets criterion</w:t>
            </w:r>
          </w:p>
        </w:tc>
        <w:tc>
          <w:tcPr>
            <w:tcW w:w="2257" w:type="dxa"/>
            <w:vAlign w:val="center"/>
          </w:tcPr>
          <w:p w14:paraId="39420F94"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Meets this criterion</w:t>
            </w:r>
          </w:p>
        </w:tc>
      </w:tr>
      <w:tr w:rsidR="00A0017D" w14:paraId="605A5722"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10F00AFD"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 xml:space="preserve">Competition </w:t>
            </w:r>
          </w:p>
        </w:tc>
        <w:tc>
          <w:tcPr>
            <w:tcW w:w="2256" w:type="dxa"/>
            <w:vAlign w:val="center"/>
          </w:tcPr>
          <w:p w14:paraId="63E24D9F"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Does not meet this criterion</w:t>
            </w:r>
          </w:p>
        </w:tc>
        <w:tc>
          <w:tcPr>
            <w:tcW w:w="2257" w:type="dxa"/>
            <w:vAlign w:val="center"/>
          </w:tcPr>
          <w:p w14:paraId="7BC8B210"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Partly meets criterion</w:t>
            </w:r>
          </w:p>
        </w:tc>
        <w:tc>
          <w:tcPr>
            <w:tcW w:w="2257" w:type="dxa"/>
            <w:vAlign w:val="center"/>
          </w:tcPr>
          <w:p w14:paraId="5D63FFD4"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r>
      <w:tr w:rsidR="00A0017D" w14:paraId="0893FA42" w14:textId="77777777" w:rsidTr="004B4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04CD9B81"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Transparency and comparability</w:t>
            </w:r>
          </w:p>
        </w:tc>
        <w:tc>
          <w:tcPr>
            <w:tcW w:w="2256" w:type="dxa"/>
            <w:vAlign w:val="center"/>
          </w:tcPr>
          <w:p w14:paraId="5ED369C5"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Does not meet this criterion</w:t>
            </w:r>
          </w:p>
        </w:tc>
        <w:tc>
          <w:tcPr>
            <w:tcW w:w="2257" w:type="dxa"/>
            <w:vAlign w:val="center"/>
          </w:tcPr>
          <w:p w14:paraId="6F8D9676"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Meets this criterion</w:t>
            </w:r>
          </w:p>
        </w:tc>
        <w:tc>
          <w:tcPr>
            <w:tcW w:w="2257" w:type="dxa"/>
            <w:vAlign w:val="center"/>
          </w:tcPr>
          <w:p w14:paraId="25D21C4A"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rPr>
            </w:pPr>
            <w:r w:rsidRPr="005A79CB">
              <w:rPr>
                <w:rFonts w:cs="Calibri"/>
              </w:rPr>
              <w:t>Meets this criterion</w:t>
            </w:r>
          </w:p>
        </w:tc>
      </w:tr>
      <w:tr w:rsidR="00A0017D" w14:paraId="7A902F4F" w14:textId="77777777" w:rsidTr="004B4E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2FF4725F"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rPr>
              <w:t xml:space="preserve">Proportionality </w:t>
            </w:r>
          </w:p>
        </w:tc>
        <w:tc>
          <w:tcPr>
            <w:tcW w:w="2256" w:type="dxa"/>
            <w:vAlign w:val="center"/>
          </w:tcPr>
          <w:p w14:paraId="4FD4696C"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Does not meet this criterion</w:t>
            </w:r>
          </w:p>
        </w:tc>
        <w:tc>
          <w:tcPr>
            <w:tcW w:w="2257" w:type="dxa"/>
            <w:vAlign w:val="center"/>
          </w:tcPr>
          <w:p w14:paraId="22DD35F1"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Does not meet this criterion</w:t>
            </w:r>
          </w:p>
        </w:tc>
        <w:tc>
          <w:tcPr>
            <w:tcW w:w="2257" w:type="dxa"/>
            <w:vAlign w:val="center"/>
          </w:tcPr>
          <w:p w14:paraId="1B6B32FF" w14:textId="77777777" w:rsidR="00A0017D" w:rsidRPr="005A79CB" w:rsidRDefault="00A0017D" w:rsidP="004B4E35">
            <w:pPr>
              <w:pStyle w:val="FRL"/>
              <w:cnfStyle w:val="000000010000" w:firstRow="0" w:lastRow="0" w:firstColumn="0" w:lastColumn="0" w:oddVBand="0" w:evenVBand="0" w:oddHBand="0" w:evenHBand="1" w:firstRowFirstColumn="0" w:firstRowLastColumn="0" w:lastRowFirstColumn="0" w:lastRowLastColumn="0"/>
              <w:rPr>
                <w:rFonts w:cs="Calibri"/>
              </w:rPr>
            </w:pPr>
            <w:r w:rsidRPr="005A79CB">
              <w:rPr>
                <w:rFonts w:cs="Calibri"/>
              </w:rPr>
              <w:t>Meets this criterion</w:t>
            </w:r>
          </w:p>
        </w:tc>
      </w:tr>
      <w:tr w:rsidR="00A0017D" w14:paraId="58870F18" w14:textId="77777777" w:rsidTr="004B4E3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256" w:type="dxa"/>
            <w:shd w:val="clear" w:color="auto" w:fill="0072CE" w:themeFill="accent3"/>
            <w:vAlign w:val="center"/>
          </w:tcPr>
          <w:p w14:paraId="0873DF44" w14:textId="77777777" w:rsidR="00A0017D" w:rsidRPr="005A79CB" w:rsidRDefault="00A0017D" w:rsidP="004B4E35">
            <w:pPr>
              <w:pStyle w:val="FRL"/>
              <w:rPr>
                <w:rStyle w:val="BoldCharacterDINOTMedium"/>
                <w:rFonts w:ascii="Calibri" w:hAnsi="Calibri" w:cs="Calibri"/>
              </w:rPr>
            </w:pPr>
            <w:r w:rsidRPr="005A79CB">
              <w:rPr>
                <w:rStyle w:val="BoldCharacterDINOTMedium"/>
                <w:rFonts w:ascii="Calibri" w:hAnsi="Calibri" w:cs="Calibri"/>
                <w:color w:val="FFFFFF" w:themeColor="background1"/>
              </w:rPr>
              <w:t>Overall</w:t>
            </w:r>
          </w:p>
        </w:tc>
        <w:tc>
          <w:tcPr>
            <w:tcW w:w="2256" w:type="dxa"/>
            <w:shd w:val="clear" w:color="auto" w:fill="0072CE" w:themeFill="accent3"/>
            <w:vAlign w:val="center"/>
          </w:tcPr>
          <w:p w14:paraId="6048E707"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b/>
              </w:rPr>
            </w:pPr>
            <w:r w:rsidRPr="005A79CB">
              <w:rPr>
                <w:rFonts w:cs="Calibri"/>
                <w:b/>
              </w:rPr>
              <w:t>Net cost</w:t>
            </w:r>
          </w:p>
        </w:tc>
        <w:tc>
          <w:tcPr>
            <w:tcW w:w="2257" w:type="dxa"/>
            <w:shd w:val="clear" w:color="auto" w:fill="0072CE" w:themeFill="accent3"/>
            <w:vAlign w:val="center"/>
          </w:tcPr>
          <w:p w14:paraId="67D3E1A4"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b/>
              </w:rPr>
            </w:pPr>
            <w:r w:rsidRPr="005A79CB">
              <w:rPr>
                <w:rFonts w:cs="Calibri"/>
                <w:b/>
              </w:rPr>
              <w:t>Moderate net benefit</w:t>
            </w:r>
          </w:p>
        </w:tc>
        <w:tc>
          <w:tcPr>
            <w:tcW w:w="2257" w:type="dxa"/>
            <w:shd w:val="clear" w:color="auto" w:fill="0072CE" w:themeFill="accent3"/>
            <w:vAlign w:val="center"/>
          </w:tcPr>
          <w:p w14:paraId="46843236" w14:textId="77777777" w:rsidR="00A0017D" w:rsidRPr="005A79CB" w:rsidRDefault="00A0017D" w:rsidP="004B4E35">
            <w:pPr>
              <w:pStyle w:val="FRL"/>
              <w:cnfStyle w:val="000000100000" w:firstRow="0" w:lastRow="0" w:firstColumn="0" w:lastColumn="0" w:oddVBand="0" w:evenVBand="0" w:oddHBand="1" w:evenHBand="0" w:firstRowFirstColumn="0" w:firstRowLastColumn="0" w:lastRowFirstColumn="0" w:lastRowLastColumn="0"/>
              <w:rPr>
                <w:rFonts w:cs="Calibri"/>
                <w:b/>
              </w:rPr>
            </w:pPr>
            <w:r w:rsidRPr="005A79CB">
              <w:rPr>
                <w:rFonts w:cs="Calibri"/>
                <w:b/>
              </w:rPr>
              <w:t>Net benefit</w:t>
            </w:r>
          </w:p>
        </w:tc>
      </w:tr>
    </w:tbl>
    <w:p w14:paraId="505ADE84" w14:textId="77777777" w:rsidR="00A0017D" w:rsidRPr="004906B0" w:rsidRDefault="00A0017D" w:rsidP="00A0017D">
      <w:pPr>
        <w:pStyle w:val="Heading3"/>
      </w:pPr>
      <w:r w:rsidRPr="004906B0">
        <w:t>Implementation and review</w:t>
      </w:r>
    </w:p>
    <w:p w14:paraId="49173CC7" w14:textId="77777777" w:rsidR="00A0017D" w:rsidRPr="004906B0" w:rsidRDefault="00A0017D" w:rsidP="00A0017D">
      <w:pPr>
        <w:pStyle w:val="FRL"/>
      </w:pPr>
      <w:r w:rsidRPr="004906B0">
        <w:t>As delegated legislation, prudential standards impose enforceable obligations on APRA-regulated institutions. APRA monitors ongoing compliance with its prudential framework as part of its supervisory activities. APRA has a range of remedial powers available for non-compliance with a prudential standard, including issuing a direction requiring compliance, the breach of which is a criminal offence. Other actions include imposing a condition on an APRA-regulated institution’s authority to carry on its business or increasing regulatory capital requirements.</w:t>
      </w:r>
    </w:p>
    <w:p w14:paraId="1B837B6E" w14:textId="77777777" w:rsidR="00A0017D" w:rsidRPr="004906B0" w:rsidRDefault="00A0017D" w:rsidP="00A0017D">
      <w:pPr>
        <w:pStyle w:val="FRL"/>
      </w:pPr>
      <w:r w:rsidRPr="004906B0">
        <w:t xml:space="preserve">Under APRA’s policy development process, reviews of new measures are typically scheduled following implementation. Such a review would consider whether the requirements continue to reflect good practice, remain consistent with international standards, and remain relevant and effective in facilitating sound risk management practices. APRA will also </w:t>
      </w:r>
      <w:proofErr w:type="gramStart"/>
      <w:r w:rsidRPr="004906B0">
        <w:t>take action</w:t>
      </w:r>
      <w:proofErr w:type="gramEnd"/>
      <w:r w:rsidRPr="004906B0">
        <w:t xml:space="preserve"> within a shorter timeframe where there is a demonstrable need to amend a prudential requirement.</w:t>
      </w:r>
    </w:p>
    <w:p w14:paraId="57C9D395" w14:textId="77777777" w:rsidR="00A533A9" w:rsidRPr="00A34ADD" w:rsidRDefault="00A533A9" w:rsidP="00A34ADD"/>
    <w:sectPr w:rsidR="00A533A9" w:rsidRPr="00A34ADD" w:rsidSect="00A34ADD">
      <w:footerReference w:type="default" r:id="rId13"/>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332E" w14:textId="77777777" w:rsidR="00A0017D" w:rsidRPr="000D4EDE" w:rsidRDefault="00A0017D" w:rsidP="000D4EDE">
      <w:r>
        <w:separator/>
      </w:r>
    </w:p>
  </w:endnote>
  <w:endnote w:type="continuationSeparator" w:id="0">
    <w:p w14:paraId="67B10C1D" w14:textId="77777777" w:rsidR="00A0017D" w:rsidRPr="000D4EDE" w:rsidRDefault="00A0017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IN OT Medium">
    <w:panose1 w:val="020B0604020201010104"/>
    <w:charset w:val="00"/>
    <w:family w:val="swiss"/>
    <w:pitch w:val="variable"/>
    <w:sig w:usb0="800000EF" w:usb1="4000A47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IN OT Light">
    <w:panose1 w:val="020B0504020201010104"/>
    <w:charset w:val="00"/>
    <w:family w:val="swiss"/>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379603"/>
      <w:docPartObj>
        <w:docPartGallery w:val="Page Numbers (Bottom of Page)"/>
        <w:docPartUnique/>
      </w:docPartObj>
    </w:sdtPr>
    <w:sdtEndPr>
      <w:rPr>
        <w:noProof/>
      </w:rPr>
    </w:sdtEndPr>
    <w:sdtContent>
      <w:p w14:paraId="7E1D172C" w14:textId="02A83DC6" w:rsidR="002F54D6" w:rsidRDefault="002F54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73E65D" w14:textId="77777777" w:rsidR="002F54D6" w:rsidRDefault="002F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E4A0" w14:textId="77777777" w:rsidR="00A0017D" w:rsidRPr="000D4EDE" w:rsidRDefault="00A0017D" w:rsidP="000D4EDE">
      <w:r>
        <w:separator/>
      </w:r>
    </w:p>
  </w:footnote>
  <w:footnote w:type="continuationSeparator" w:id="0">
    <w:p w14:paraId="15B14ED2" w14:textId="77777777" w:rsidR="00A0017D" w:rsidRPr="000D4EDE" w:rsidRDefault="00A0017D" w:rsidP="000D4EDE">
      <w:r>
        <w:continuationSeparator/>
      </w:r>
    </w:p>
  </w:footnote>
  <w:footnote w:id="1">
    <w:p w14:paraId="3E3C007E" w14:textId="77777777" w:rsidR="005A79CB" w:rsidRPr="00940E64" w:rsidRDefault="005A79CB" w:rsidP="005A79CB">
      <w:pPr>
        <w:pStyle w:val="FootnoteText"/>
        <w:rPr>
          <w:rFonts w:ascii="Calibri" w:hAnsi="Calibri" w:cs="Calibri"/>
          <w:sz w:val="22"/>
        </w:rPr>
      </w:pPr>
      <w:r w:rsidRPr="00940E64">
        <w:rPr>
          <w:rStyle w:val="FootnoteReference"/>
          <w:rFonts w:ascii="Calibri" w:hAnsi="Calibri" w:cs="Calibri"/>
          <w:sz w:val="22"/>
        </w:rPr>
        <w:footnoteRef/>
      </w:r>
      <w:r w:rsidRPr="00940E64">
        <w:rPr>
          <w:rFonts w:ascii="Calibri" w:hAnsi="Calibri" w:cs="Calibri"/>
          <w:sz w:val="22"/>
        </w:rPr>
        <w:t xml:space="preserve"> Refer to: </w:t>
      </w:r>
      <w:hyperlink r:id="rId1" w:history="1">
        <w:r w:rsidRPr="00940E64">
          <w:rPr>
            <w:rStyle w:val="Hyperlink"/>
            <w:rFonts w:ascii="Calibri" w:hAnsi="Calibri" w:cs="Calibri"/>
            <w:sz w:val="22"/>
          </w:rPr>
          <w:t>Response to submissions - Finalising bank capital reforms (apra.gov.au)</w:t>
        </w:r>
      </w:hyperlink>
      <w:r w:rsidRPr="00940E64">
        <w:rPr>
          <w:rFonts w:ascii="Calibri" w:hAnsi="Calibri" w:cs="Calibri"/>
          <w:sz w:val="22"/>
        </w:rPr>
        <w:t>.</w:t>
      </w:r>
    </w:p>
  </w:footnote>
  <w:footnote w:id="2">
    <w:p w14:paraId="1E22FC56" w14:textId="3C5BEDFB" w:rsidR="00A0017D" w:rsidRPr="00940E64" w:rsidRDefault="00A0017D" w:rsidP="00A0017D">
      <w:pPr>
        <w:pStyle w:val="FRL"/>
        <w:rPr>
          <w:rFonts w:cs="Calibri"/>
        </w:rPr>
      </w:pPr>
      <w:r w:rsidRPr="00940E64">
        <w:rPr>
          <w:rStyle w:val="FootnoteReference"/>
          <w:rFonts w:cs="Calibri"/>
          <w:sz w:val="22"/>
        </w:rPr>
        <w:footnoteRef/>
      </w:r>
      <w:r w:rsidRPr="00940E64">
        <w:rPr>
          <w:rFonts w:cs="Calibri"/>
        </w:rPr>
        <w:t xml:space="preserve">  </w:t>
      </w:r>
      <w:bookmarkStart w:id="1" w:name="_Hlk86661623"/>
      <w:r w:rsidRPr="00940E64">
        <w:rPr>
          <w:rFonts w:cs="Calibri"/>
        </w:rPr>
        <w:t xml:space="preserve">APRA’s consultation on revisions to the ADI capital framework, along with non-confidential industry submissions, can be found here: </w:t>
      </w:r>
      <w:hyperlink r:id="rId2" w:history="1">
        <w:r w:rsidRPr="00940E64">
          <w:rPr>
            <w:rStyle w:val="Hyperlink"/>
            <w:rFonts w:cs="Calibri"/>
          </w:rPr>
          <w:t>https://www.apra.gov.au/revisions-to-capital-framework-for-authorised-deposit-taking-institutions</w:t>
        </w:r>
      </w:hyperlink>
      <w:bookmarkEnd w:id="1"/>
      <w:r w:rsidR="00940E64">
        <w:rPr>
          <w:rStyle w:val="Hyperlink"/>
          <w:rFonts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40FE1B54"/>
    <w:multiLevelType w:val="multilevel"/>
    <w:tmpl w:val="03EA69FC"/>
    <w:styleLink w:val="HeadingList"/>
    <w:lvl w:ilvl="0">
      <w:start w:val="1"/>
      <w:numFmt w:val="decimal"/>
      <w:pStyle w:val="FRLdotpoint"/>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526774"/>
    <w:multiLevelType w:val="multilevel"/>
    <w:tmpl w:val="7CC65220"/>
    <w:lvl w:ilvl="0">
      <w:start w:val="1"/>
      <w:numFmt w:val="upperLetter"/>
      <w:pStyle w:val="AttachmentHeading"/>
      <w:suff w:val="space"/>
      <w:lvlText w:val="Attachmen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C0E6E8A"/>
    <w:multiLevelType w:val="hybridMultilevel"/>
    <w:tmpl w:val="B4D04064"/>
    <w:lvl w:ilvl="0" w:tplc="899ED676">
      <w:start w:val="1"/>
      <w:numFmt w:val="decimal"/>
      <w:pStyle w:val="Numberedtableheading"/>
      <w:lvlText w:val="Table %1."/>
      <w:lvlJc w:val="left"/>
      <w:pPr>
        <w:ind w:left="30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8"/>
  </w:num>
  <w:num w:numId="5">
    <w:abstractNumId w:val="1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5"/>
  </w:num>
  <w:num w:numId="11">
    <w:abstractNumId w:val="3"/>
  </w:num>
  <w:num w:numId="12">
    <w:abstractNumId w:val="9"/>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7D"/>
    <w:rsid w:val="00004ED1"/>
    <w:rsid w:val="00005D98"/>
    <w:rsid w:val="00005F96"/>
    <w:rsid w:val="00007262"/>
    <w:rsid w:val="00011C96"/>
    <w:rsid w:val="000141B9"/>
    <w:rsid w:val="00034A19"/>
    <w:rsid w:val="00036F9E"/>
    <w:rsid w:val="000413B3"/>
    <w:rsid w:val="000453D9"/>
    <w:rsid w:val="000573E5"/>
    <w:rsid w:val="00057B71"/>
    <w:rsid w:val="0007202C"/>
    <w:rsid w:val="00072B30"/>
    <w:rsid w:val="0007319C"/>
    <w:rsid w:val="000732AA"/>
    <w:rsid w:val="000767DD"/>
    <w:rsid w:val="0008011A"/>
    <w:rsid w:val="00081BE1"/>
    <w:rsid w:val="00084F8B"/>
    <w:rsid w:val="000851D0"/>
    <w:rsid w:val="00086D07"/>
    <w:rsid w:val="00086F71"/>
    <w:rsid w:val="00093915"/>
    <w:rsid w:val="000949AD"/>
    <w:rsid w:val="00095109"/>
    <w:rsid w:val="00096B0F"/>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55789"/>
    <w:rsid w:val="00157C98"/>
    <w:rsid w:val="001653B6"/>
    <w:rsid w:val="00165BF6"/>
    <w:rsid w:val="00174B0F"/>
    <w:rsid w:val="0018235E"/>
    <w:rsid w:val="00184187"/>
    <w:rsid w:val="001A4EA4"/>
    <w:rsid w:val="001A664F"/>
    <w:rsid w:val="001B2DB7"/>
    <w:rsid w:val="001B3A9F"/>
    <w:rsid w:val="001D0C02"/>
    <w:rsid w:val="001D3D43"/>
    <w:rsid w:val="001D6BBD"/>
    <w:rsid w:val="001E0F51"/>
    <w:rsid w:val="001E55BF"/>
    <w:rsid w:val="001F6E1A"/>
    <w:rsid w:val="001F780A"/>
    <w:rsid w:val="001F7917"/>
    <w:rsid w:val="00200613"/>
    <w:rsid w:val="00214883"/>
    <w:rsid w:val="002156F6"/>
    <w:rsid w:val="00220550"/>
    <w:rsid w:val="002301A2"/>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7504"/>
    <w:rsid w:val="002C0D97"/>
    <w:rsid w:val="002C66D1"/>
    <w:rsid w:val="002C7065"/>
    <w:rsid w:val="002C7F4A"/>
    <w:rsid w:val="002D2804"/>
    <w:rsid w:val="002D4B6C"/>
    <w:rsid w:val="002D5274"/>
    <w:rsid w:val="002E1EE3"/>
    <w:rsid w:val="002F0135"/>
    <w:rsid w:val="002F0C2C"/>
    <w:rsid w:val="002F54D6"/>
    <w:rsid w:val="00300655"/>
    <w:rsid w:val="00303D18"/>
    <w:rsid w:val="00307ADD"/>
    <w:rsid w:val="00307E55"/>
    <w:rsid w:val="00312A66"/>
    <w:rsid w:val="003130CA"/>
    <w:rsid w:val="0032180D"/>
    <w:rsid w:val="003306A5"/>
    <w:rsid w:val="00355D40"/>
    <w:rsid w:val="00371AAC"/>
    <w:rsid w:val="00371F54"/>
    <w:rsid w:val="0037770C"/>
    <w:rsid w:val="00377C8B"/>
    <w:rsid w:val="00383A95"/>
    <w:rsid w:val="00385CA0"/>
    <w:rsid w:val="003A2733"/>
    <w:rsid w:val="003A3021"/>
    <w:rsid w:val="003A627E"/>
    <w:rsid w:val="003A79EE"/>
    <w:rsid w:val="003B6E16"/>
    <w:rsid w:val="003C180A"/>
    <w:rsid w:val="003C1E25"/>
    <w:rsid w:val="003D27CB"/>
    <w:rsid w:val="003D329D"/>
    <w:rsid w:val="003E6BF6"/>
    <w:rsid w:val="003F0F0D"/>
    <w:rsid w:val="0040173E"/>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6774"/>
    <w:rsid w:val="00512309"/>
    <w:rsid w:val="00541D54"/>
    <w:rsid w:val="00542522"/>
    <w:rsid w:val="0054526E"/>
    <w:rsid w:val="00545CE1"/>
    <w:rsid w:val="005476B5"/>
    <w:rsid w:val="005549D7"/>
    <w:rsid w:val="005602DA"/>
    <w:rsid w:val="00562087"/>
    <w:rsid w:val="005678FC"/>
    <w:rsid w:val="0057138A"/>
    <w:rsid w:val="00573327"/>
    <w:rsid w:val="00592F64"/>
    <w:rsid w:val="005A3F63"/>
    <w:rsid w:val="005A59D0"/>
    <w:rsid w:val="005A79CB"/>
    <w:rsid w:val="005B073E"/>
    <w:rsid w:val="005B227F"/>
    <w:rsid w:val="005B7801"/>
    <w:rsid w:val="005C5891"/>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674D"/>
    <w:rsid w:val="00666A78"/>
    <w:rsid w:val="00676C12"/>
    <w:rsid w:val="0069375D"/>
    <w:rsid w:val="0069407C"/>
    <w:rsid w:val="0069574E"/>
    <w:rsid w:val="006969C0"/>
    <w:rsid w:val="006A1921"/>
    <w:rsid w:val="006A2303"/>
    <w:rsid w:val="006A2C82"/>
    <w:rsid w:val="006D2A45"/>
    <w:rsid w:val="006D315C"/>
    <w:rsid w:val="006D71B8"/>
    <w:rsid w:val="006E4272"/>
    <w:rsid w:val="006F145A"/>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208A8"/>
    <w:rsid w:val="00826012"/>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02CE"/>
    <w:rsid w:val="008E3EF5"/>
    <w:rsid w:val="008F33B5"/>
    <w:rsid w:val="00901414"/>
    <w:rsid w:val="00906799"/>
    <w:rsid w:val="00922193"/>
    <w:rsid w:val="00924152"/>
    <w:rsid w:val="0093194D"/>
    <w:rsid w:val="00933203"/>
    <w:rsid w:val="00934C3F"/>
    <w:rsid w:val="00940E64"/>
    <w:rsid w:val="009417AE"/>
    <w:rsid w:val="00945B3F"/>
    <w:rsid w:val="00950DCB"/>
    <w:rsid w:val="00952D47"/>
    <w:rsid w:val="00952D4C"/>
    <w:rsid w:val="00960246"/>
    <w:rsid w:val="009720E1"/>
    <w:rsid w:val="00973E50"/>
    <w:rsid w:val="00974F0E"/>
    <w:rsid w:val="00975CD7"/>
    <w:rsid w:val="00980CA1"/>
    <w:rsid w:val="00985E70"/>
    <w:rsid w:val="0098783B"/>
    <w:rsid w:val="00993C2B"/>
    <w:rsid w:val="009979F4"/>
    <w:rsid w:val="009A246D"/>
    <w:rsid w:val="009A45B2"/>
    <w:rsid w:val="009A5585"/>
    <w:rsid w:val="009A59D5"/>
    <w:rsid w:val="009B2CB7"/>
    <w:rsid w:val="009C2198"/>
    <w:rsid w:val="009D2DDD"/>
    <w:rsid w:val="009E0C10"/>
    <w:rsid w:val="009E4116"/>
    <w:rsid w:val="009E529F"/>
    <w:rsid w:val="00A0017D"/>
    <w:rsid w:val="00A10DA6"/>
    <w:rsid w:val="00A151E9"/>
    <w:rsid w:val="00A15DBB"/>
    <w:rsid w:val="00A259F2"/>
    <w:rsid w:val="00A2758A"/>
    <w:rsid w:val="00A33802"/>
    <w:rsid w:val="00A34ADD"/>
    <w:rsid w:val="00A37162"/>
    <w:rsid w:val="00A37E51"/>
    <w:rsid w:val="00A51E2D"/>
    <w:rsid w:val="00A5319F"/>
    <w:rsid w:val="00A533A9"/>
    <w:rsid w:val="00A53690"/>
    <w:rsid w:val="00A62D31"/>
    <w:rsid w:val="00A63380"/>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D12A1"/>
    <w:rsid w:val="00BD1D09"/>
    <w:rsid w:val="00BD7B83"/>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7DA0"/>
    <w:rsid w:val="00CA4E4D"/>
    <w:rsid w:val="00CA6FF9"/>
    <w:rsid w:val="00CB4238"/>
    <w:rsid w:val="00CB5938"/>
    <w:rsid w:val="00CB5B27"/>
    <w:rsid w:val="00CC13F5"/>
    <w:rsid w:val="00CC1A64"/>
    <w:rsid w:val="00CC34EB"/>
    <w:rsid w:val="00CC66EA"/>
    <w:rsid w:val="00CD3C17"/>
    <w:rsid w:val="00CE1F9C"/>
    <w:rsid w:val="00CE2E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D170F"/>
    <w:rsid w:val="00DE0A8A"/>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48AE"/>
    <w:rsid w:val="00EB09E2"/>
    <w:rsid w:val="00EB74A5"/>
    <w:rsid w:val="00ED30EF"/>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09CA3"/>
  <w15:chartTrackingRefBased/>
  <w15:docId w15:val="{38D6960B-4387-4BAC-8B0B-4E7CACA6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AttachmentHeading">
    <w:name w:val="Attachment Heading"/>
    <w:basedOn w:val="Heading1"/>
    <w:next w:val="Normal"/>
    <w:uiPriority w:val="10"/>
    <w:qFormat/>
    <w:rsid w:val="00A0017D"/>
    <w:pPr>
      <w:pageBreakBefore/>
      <w:numPr>
        <w:numId w:val="12"/>
      </w:numPr>
      <w:pBdr>
        <w:bottom w:val="single" w:sz="4" w:space="3" w:color="BFBFBF" w:themeColor="background1" w:themeShade="BF"/>
      </w:pBdr>
      <w:spacing w:before="0" w:after="480"/>
      <w:jc w:val="left"/>
    </w:pPr>
    <w:rPr>
      <w:rFonts w:ascii="DIN OT Medium" w:hAnsi="DIN OT Medium"/>
      <w:b w:val="0"/>
      <w:color w:val="012169" w:themeColor="text2"/>
      <w:sz w:val="48"/>
    </w:rPr>
  </w:style>
  <w:style w:type="character" w:customStyle="1" w:styleId="BoldCharacterDINOTMedium">
    <w:name w:val="Bold Character (DIN OT Medium)"/>
    <w:basedOn w:val="DefaultParagraphFont"/>
    <w:uiPriority w:val="10"/>
    <w:qFormat/>
    <w:rsid w:val="00A0017D"/>
    <w:rPr>
      <w:rFonts w:ascii="DIN OT Medium" w:hAnsi="DIN OT Medium"/>
    </w:rPr>
  </w:style>
  <w:style w:type="paragraph" w:customStyle="1" w:styleId="Numberedtableheading">
    <w:name w:val="Numbered table heading"/>
    <w:basedOn w:val="Heading4"/>
    <w:qFormat/>
    <w:rsid w:val="00A0017D"/>
    <w:pPr>
      <w:numPr>
        <w:numId w:val="13"/>
      </w:numPr>
      <w:spacing w:before="120"/>
      <w:ind w:left="357" w:hanging="357"/>
      <w:jc w:val="left"/>
    </w:pPr>
    <w:rPr>
      <w:rFonts w:ascii="DIN OT Medium" w:hAnsi="DIN OT Medium"/>
      <w:b w:val="0"/>
      <w:color w:val="012169" w:themeColor="text2"/>
      <w:sz w:val="26"/>
    </w:rPr>
  </w:style>
  <w:style w:type="table" w:customStyle="1" w:styleId="TableGrid20">
    <w:name w:val="Table Grid2"/>
    <w:basedOn w:val="TableNormal"/>
    <w:next w:val="TableGrid"/>
    <w:uiPriority w:val="59"/>
    <w:rsid w:val="00A0017D"/>
    <w:pPr>
      <w:spacing w:after="120"/>
      <w:jc w:val="left"/>
    </w:pPr>
    <w:rPr>
      <w:rFonts w:ascii="Trebuchet MS" w:eastAsia="Times New Roman" w:hAnsi="Trebuchet M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linklabel">
    <w:name w:val="document-link__label"/>
    <w:basedOn w:val="DefaultParagraphFont"/>
    <w:rsid w:val="00A0017D"/>
  </w:style>
  <w:style w:type="paragraph" w:customStyle="1" w:styleId="Spacingaftertable">
    <w:name w:val="Spacing_after_table"/>
    <w:qFormat/>
    <w:rsid w:val="00A0017D"/>
    <w:pPr>
      <w:spacing w:after="0"/>
      <w:jc w:val="left"/>
    </w:pPr>
    <w:rPr>
      <w:rFonts w:ascii="DIN OT Light" w:hAnsi="DIN OT Light"/>
    </w:rPr>
  </w:style>
  <w:style w:type="paragraph" w:customStyle="1" w:styleId="FRL">
    <w:name w:val="FRL"/>
    <w:basedOn w:val="Normal"/>
    <w:link w:val="FRLChar"/>
    <w:qFormat/>
    <w:rsid w:val="00A0017D"/>
    <w:pPr>
      <w:numPr>
        <w:numId w:val="0"/>
      </w:numPr>
      <w:jc w:val="left"/>
    </w:pPr>
    <w:rPr>
      <w:rFonts w:ascii="Calibri" w:hAnsi="Calibri"/>
    </w:rPr>
  </w:style>
  <w:style w:type="paragraph" w:customStyle="1" w:styleId="FRLdotpoint">
    <w:name w:val="FRL dot point"/>
    <w:basedOn w:val="ListBullet"/>
    <w:link w:val="FRLdotpointChar"/>
    <w:qFormat/>
    <w:rsid w:val="00A0017D"/>
    <w:pPr>
      <w:numPr>
        <w:numId w:val="6"/>
      </w:numPr>
      <w:jc w:val="left"/>
    </w:pPr>
    <w:rPr>
      <w:rFonts w:ascii="Calibri" w:hAnsi="Calibri"/>
    </w:rPr>
  </w:style>
  <w:style w:type="character" w:customStyle="1" w:styleId="FRLChar">
    <w:name w:val="FRL Char"/>
    <w:basedOn w:val="DefaultParagraphFont"/>
    <w:link w:val="FRL"/>
    <w:rsid w:val="00A0017D"/>
    <w:rPr>
      <w:rFonts w:ascii="Calibri" w:hAnsi="Calibri"/>
    </w:rPr>
  </w:style>
  <w:style w:type="character" w:customStyle="1" w:styleId="FRLdotpointChar">
    <w:name w:val="FRL dot point Char"/>
    <w:basedOn w:val="DefaultParagraphFont"/>
    <w:link w:val="FRLdotpoint"/>
    <w:rsid w:val="00A0017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revisions-to-capital-framework-for-authorised-deposit-taking-institutions" TargetMode="External"/><Relationship Id="rId1" Type="http://schemas.openxmlformats.org/officeDocument/2006/relationships/hyperlink" Target="https://www.apra.gov.au/sites/default/files/2021-11/Response%20to%20submissions%20-%20Finalising%20bank%20capital%20reforms.pdf"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10</Value>
      <Value>134</Value>
      <Value>435</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Regulation Impact Statement (RIS) for Banking (prudential standard) determination No. 4 and 6 and 7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5JENXJJSCC7A-445999044-11882</_dlc_DocId>
    <_dlc_DocIdUrl xmlns="814d62cb-2db6-4c25-ab62-b9075facbc11">
      <Url>https://im/teams/LEGAL/_layouts/15/DocIdRedir.aspx?ID=5JENXJJSCC7A-445999044-11882</Url>
      <Description>5JENXJJSCC7A-445999044-11882</Description>
    </_dlc_DocIdUrl>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2.xml><?xml version="1.0" encoding="utf-8"?>
<ds:datastoreItem xmlns:ds="http://schemas.openxmlformats.org/officeDocument/2006/customXml" ds:itemID="{D4FCB4C9-DD60-49A6-AA9A-BD13869F5990}">
  <ds:schemaRefs>
    <ds:schemaRef ds:uri="Microsoft.SharePoint.Taxonomy.ContentTypeSync"/>
  </ds:schemaRefs>
</ds:datastoreItem>
</file>

<file path=customXml/itemProps3.xml><?xml version="1.0" encoding="utf-8"?>
<ds:datastoreItem xmlns:ds="http://schemas.openxmlformats.org/officeDocument/2006/customXml" ds:itemID="{8E8EC8B7-879B-427A-AB37-459E1F47AF6A}">
  <ds:schemaRefs>
    <ds:schemaRef ds:uri="http://schemas.microsoft.com/sharepoint/events"/>
  </ds:schemaRefs>
</ds:datastoreItem>
</file>

<file path=customXml/itemProps4.xml><?xml version="1.0" encoding="utf-8"?>
<ds:datastoreItem xmlns:ds="http://schemas.openxmlformats.org/officeDocument/2006/customXml" ds:itemID="{32E99759-200D-42E4-BAD4-B5F6AC38F1A2}">
  <ds:schemaRefs>
    <ds:schemaRef ds:uri="http://schemas.microsoft.com/sharepoint/v3/contenttype/forms"/>
  </ds:schemaRefs>
</ds:datastoreItem>
</file>

<file path=customXml/itemProps5.xml><?xml version="1.0" encoding="utf-8"?>
<ds:datastoreItem xmlns:ds="http://schemas.openxmlformats.org/officeDocument/2006/customXml" ds:itemID="{46D12AC8-191A-4D3B-B7EA-8098D26B7C22}">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814d62cb-2db6-4c25-ab62-b9075facbc11"/>
    <ds:schemaRef ds:uri="http://schemas.microsoft.com/office/2006/metadata/properties"/>
  </ds:schemaRefs>
</ds:datastoreItem>
</file>

<file path=customXml/itemProps6.xml><?xml version="1.0" encoding="utf-8"?>
<ds:datastoreItem xmlns:ds="http://schemas.openxmlformats.org/officeDocument/2006/customXml" ds:itemID="{D6A09192-62FC-4619-AAEF-4A0ED313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14004</Characters>
  <Application>Microsoft Office Word</Application>
  <DocSecurity>0</DocSecurity>
  <Lines>291</Lines>
  <Paragraphs>145</Paragraphs>
  <ScaleCrop>false</ScaleCrop>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 Banking (prudential standard) determination No. 4 and 6 and 7 of 2022</dc:title>
  <dc:subject/>
  <dc:creator>Joe Madden</dc:creator>
  <cp:keywords>[SEC=OFFICIAL]</cp:keywords>
  <dc:description/>
  <cp:lastModifiedBy>Toni Michalis</cp:lastModifiedBy>
  <cp:revision>2</cp:revision>
  <cp:lastPrinted>2014-02-02T12:10:00Z</cp:lastPrinted>
  <dcterms:created xsi:type="dcterms:W3CDTF">2022-12-08T00:21:00Z</dcterms:created>
  <dcterms:modified xsi:type="dcterms:W3CDTF">2022-12-08T00:21:00Z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F8C748ACCAB24A17A50C8026EFB50851</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2022-12-08T00:20:41Z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MSIP_Label_c0129afb-6481-4f92-bc9f-5a4a6346364d_SetDate">
    <vt:lpwstr>2022-12-07T06:07:49Z</vt:lpwstr>
  </property>
  <property fmtid="{D5CDD505-2E9C-101B-9397-08002B2CF9AE}" pid="23" name="PM_Hash_Salt_Prev">
    <vt:lpwstr>C512F0C47E459A3C4EDD6DBCF598DD5E</vt:lpwstr>
  </property>
  <property fmtid="{D5CDD505-2E9C-101B-9397-08002B2CF9AE}" pid="24" name="PM_Hash_Salt">
    <vt:lpwstr>B6EAEFF6B062A54BE670579B4F973AD1</vt:lpwstr>
  </property>
  <property fmtid="{D5CDD505-2E9C-101B-9397-08002B2CF9AE}" pid="25" name="PM_Hash_SHA1">
    <vt:lpwstr>C46962B722AB271F43513E2B05F88938076C7698</vt:lpwstr>
  </property>
  <property fmtid="{D5CDD505-2E9C-101B-9397-08002B2CF9AE}" pid="26" name="PM_OriginatorUserAccountName_SHA256">
    <vt:lpwstr>6E3018F28A186D2E5FF5207C041E7A82E907C3008E071057026A53705873B72E</vt:lpwstr>
  </property>
  <property fmtid="{D5CDD505-2E9C-101B-9397-08002B2CF9AE}" pid="27" name="PM_OriginatorDomainName_SHA256">
    <vt:lpwstr>ECBDE2B44A971754412B3FB70606937A119CC0D4B6C1B658A40FBD41C30BE3EC</vt:lpwstr>
  </property>
  <property fmtid="{D5CDD505-2E9C-101B-9397-08002B2CF9AE}" pid="28" name="MSIP_Label_c0129afb-6481-4f92-bc9f-5a4a6346364d_Name">
    <vt:lpwstr>OFFICIAL</vt:lpwstr>
  </property>
  <property fmtid="{D5CDD505-2E9C-101B-9397-08002B2CF9AE}" pid="29" name="MSIP_Label_c0129afb-6481-4f92-bc9f-5a4a6346364d_SiteId">
    <vt:lpwstr>c05e3ffd-b491-4431-9809-e61d4dc78816</vt:lpwstr>
  </property>
  <property fmtid="{D5CDD505-2E9C-101B-9397-08002B2CF9AE}" pid="30" name="MSIP_Label_c0129afb-6481-4f92-bc9f-5a4a6346364d_Enabled">
    <vt:lpwstr>true</vt:lpwstr>
  </property>
  <property fmtid="{D5CDD505-2E9C-101B-9397-08002B2CF9AE}" pid="31" name="PM_MinimumSecurityClassification">
    <vt:lpwstr/>
  </property>
  <property fmtid="{D5CDD505-2E9C-101B-9397-08002B2CF9AE}" pid="32" name="ContentTypeId">
    <vt:lpwstr>0x0101008CA7A4F8331B45C7B0D3158B4994D0CA0200577EC0F5A1FBFC498F9A8436B963F8A6</vt:lpwstr>
  </property>
  <property fmtid="{D5CDD505-2E9C-101B-9397-08002B2CF9AE}" pid="33" name="IsLocked">
    <vt:lpwstr>False</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5" name="RecordPoint_WorkflowType">
    <vt:lpwstr>ActiveSubmitStub</vt:lpwstr>
  </property>
  <property fmtid="{D5CDD505-2E9C-101B-9397-08002B2CF9AE}" pid="36" name="IT system type">
    <vt:lpwstr/>
  </property>
  <property fmtid="{D5CDD505-2E9C-101B-9397-08002B2CF9AE}" pid="37" name="APRACategory">
    <vt:lpwstr/>
  </property>
  <property fmtid="{D5CDD505-2E9C-101B-9397-08002B2CF9AE}" pid="38" name="APRAPRSG">
    <vt:lpwstr/>
  </property>
  <property fmtid="{D5CDD505-2E9C-101B-9397-08002B2CF9AE}" pid="39" name="APRADocumentType">
    <vt:lpwstr>435;#Regulation impact statement|a6de7b22-aec6-40f3-a54e-dbfeb004713c</vt:lpwstr>
  </property>
  <property fmtid="{D5CDD505-2E9C-101B-9397-08002B2CF9AE}" pid="40" name="APRAStatus">
    <vt:lpwstr>19;#Final|84d6b2d0-8498-4d62-bf46-bab38babbe9e</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RecordPoint_ActiveItemUniqueId">
    <vt:lpwstr>{b0deb1e8-d632-4bdc-8d8e-b46745ac6b77}</vt:lpwstr>
  </property>
  <property fmtid="{D5CDD505-2E9C-101B-9397-08002B2CF9AE}" pid="47" name="APRAExternalOrganisation">
    <vt:lpwstr/>
  </property>
  <property fmtid="{D5CDD505-2E9C-101B-9397-08002B2CF9AE}" pid="48" name="APRAIRTR">
    <vt:lpwstr/>
  </property>
  <property fmtid="{D5CDD505-2E9C-101B-9397-08002B2CF9AE}" pid="49" name="APRAPeriod">
    <vt:lpwstr/>
  </property>
  <property fmtid="{D5CDD505-2E9C-101B-9397-08002B2CF9AE}" pid="50" name="_dlc_DocIdItemGuid">
    <vt:lpwstr>b0deb1e8-d632-4bdc-8d8e-b46745ac6b77</vt:lpwstr>
  </property>
  <property fmtid="{D5CDD505-2E9C-101B-9397-08002B2CF9AE}" pid="51" name="RecordPoint_ActiveItemSiteId">
    <vt:lpwstr>{88691c01-5bbb-4215-adc0-66cb7065b0af}</vt:lpwstr>
  </property>
  <property fmtid="{D5CDD505-2E9C-101B-9397-08002B2CF9AE}" pid="52" name="RecordPoint_ActiveItemListId">
    <vt:lpwstr>{0e59e171-09d8-4401-800a-327154450cb3}</vt:lpwstr>
  </property>
  <property fmtid="{D5CDD505-2E9C-101B-9397-08002B2CF9AE}" pid="53" name="RecordPoint_ActiveItemWebId">
    <vt:lpwstr>{75a71c27-8d66-4282-ae60-1bfc22a83be1}</vt:lpwstr>
  </property>
  <property fmtid="{D5CDD505-2E9C-101B-9397-08002B2CF9AE}" pid="54" name="PM_SecurityClassification_Prev">
    <vt:lpwstr>OFFICIAL</vt:lpwstr>
  </property>
  <property fmtid="{D5CDD505-2E9C-101B-9397-08002B2CF9AE}" pid="55" name="PM_Qualifier_Prev">
    <vt:lpwstr/>
  </property>
  <property fmtid="{D5CDD505-2E9C-101B-9397-08002B2CF9AE}" pid="56" name="RecordPoint_SubmissionCompleted">
    <vt:lpwstr/>
  </property>
  <property fmtid="{D5CDD505-2E9C-101B-9397-08002B2CF9AE}" pid="57" name="RecordPoint_RecordNumberSubmitted">
    <vt:lpwstr/>
  </property>
  <property fmtid="{D5CDD505-2E9C-101B-9397-08002B2CF9AE}" pid="58" name="RecordPoint_SubmissionDate">
    <vt:lpwstr/>
  </property>
  <property fmtid="{D5CDD505-2E9C-101B-9397-08002B2CF9AE}" pid="59" name="RecordPoint_ActiveItemMoved">
    <vt:lpwstr/>
  </property>
  <property fmtid="{D5CDD505-2E9C-101B-9397-08002B2CF9AE}" pid="60" name="RecordPoint_RecordFormat">
    <vt:lpwstr/>
  </property>
</Properties>
</file>