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D5571" w14:textId="77777777" w:rsidR="00906F92" w:rsidRPr="002C1C9D" w:rsidRDefault="00906F92" w:rsidP="00906F92">
      <w:pPr>
        <w:pStyle w:val="FSCh5SchItem"/>
        <w:ind w:left="0" w:firstLine="0"/>
      </w:pPr>
      <w:bookmarkStart w:id="0" w:name="_GoBack"/>
      <w:bookmarkEnd w:id="0"/>
      <w:r>
        <w:t>Food Standards (Proposal P1053 – Food Safety Management Tools – Consequential Amendments) Variation</w:t>
      </w:r>
    </w:p>
    <w:p w14:paraId="5613CE74" w14:textId="77777777" w:rsidR="00906F92" w:rsidRDefault="00906F92" w:rsidP="00906F92">
      <w:pPr>
        <w:spacing w:before="360" w:after="60"/>
        <w:rPr>
          <w:b/>
          <w:bCs/>
          <w:lang w:val="en-AU" w:eastAsia="en-GB" w:bidi="ar-SA"/>
        </w:rPr>
      </w:pPr>
      <w:r w:rsidRPr="6A61D147">
        <w:rPr>
          <w:b/>
          <w:bCs/>
          <w:lang w:val="en-AU" w:eastAsia="en-GB" w:bidi="ar-SA"/>
        </w:rPr>
        <w:t>1.</w:t>
      </w:r>
      <w:r>
        <w:tab/>
      </w:r>
      <w:r w:rsidRPr="6A61D147">
        <w:rPr>
          <w:b/>
          <w:bCs/>
          <w:lang w:val="en-AU" w:eastAsia="en-GB" w:bidi="ar-SA"/>
        </w:rPr>
        <w:t>Authority</w:t>
      </w:r>
    </w:p>
    <w:p w14:paraId="50E42277" w14:textId="77777777" w:rsidR="00906F92" w:rsidRDefault="00906F92" w:rsidP="00906F92">
      <w:pPr>
        <w:spacing w:before="360" w:after="60"/>
      </w:pPr>
      <w:r>
        <w:t xml:space="preserve">Section 13 of the </w:t>
      </w:r>
      <w:r w:rsidRPr="6A61D147">
        <w:rPr>
          <w:i/>
          <w:iCs/>
        </w:rPr>
        <w:t>Food Standards Australia New Zealand Act 1991</w:t>
      </w:r>
      <w:r>
        <w:t xml:space="preserve"> (the FSANZ Act) provides that the functions of Food Standards Australia New Zealand (the Authority) include the development of standards and variations of standards for inclusion in the </w:t>
      </w:r>
      <w:r w:rsidRPr="6A61D147">
        <w:rPr>
          <w:i/>
          <w:iCs/>
        </w:rPr>
        <w:t>Australia New Zealand Food Standards Code</w:t>
      </w:r>
      <w:r>
        <w:t xml:space="preserve"> (the Code).</w:t>
      </w:r>
    </w:p>
    <w:p w14:paraId="5B0AFF67" w14:textId="77777777" w:rsidR="00906F92" w:rsidRDefault="00906F92" w:rsidP="00906F92">
      <w:pPr>
        <w:spacing w:before="360" w:after="60"/>
      </w:pPr>
      <w:r>
        <w:t>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w:t>
      </w:r>
    </w:p>
    <w:p w14:paraId="4FF4F9E5" w14:textId="77777777" w:rsidR="00906F92" w:rsidRPr="00370FB8" w:rsidRDefault="00906F92" w:rsidP="00906F92">
      <w:pPr>
        <w:widowControl/>
        <w:autoSpaceDE w:val="0"/>
        <w:autoSpaceDN w:val="0"/>
        <w:adjustRightInd w:val="0"/>
        <w:spacing w:before="360" w:after="60"/>
        <w:rPr>
          <w:rFonts w:eastAsia="Calibri" w:cs="Arial"/>
          <w:lang w:val="en-AU" w:bidi="ar-SA"/>
        </w:rPr>
      </w:pPr>
      <w:r w:rsidRPr="6A61D147">
        <w:rPr>
          <w:rFonts w:eastAsia="Calibri" w:cs="Arial"/>
          <w:lang w:val="en-AU" w:bidi="ar-SA"/>
        </w:rPr>
        <w:t xml:space="preserve">The Authority prepared Proposal P1053 to consider mandating </w:t>
      </w:r>
      <w:r>
        <w:t>three food safety management tools</w:t>
      </w:r>
      <w:r w:rsidRPr="6A61D147">
        <w:rPr>
          <w:rFonts w:eastAsia="Calibri" w:cs="Arial"/>
          <w:lang w:val="en-AU" w:bidi="ar-SA"/>
        </w:rPr>
        <w:t xml:space="preserve">. The Authority considered the Proposal in accordance with Division 2 of Part 3 and has approved a draft Standard </w:t>
      </w:r>
      <w:r>
        <w:t>and this related draft consequential variation</w:t>
      </w:r>
      <w:r w:rsidRPr="6A61D147">
        <w:rPr>
          <w:lang w:val="en-AU" w:eastAsia="en-GB" w:bidi="ar-SA"/>
        </w:rPr>
        <w:t>.</w:t>
      </w:r>
    </w:p>
    <w:p w14:paraId="04239A1D" w14:textId="77777777" w:rsidR="00906F92" w:rsidRDefault="00906F92" w:rsidP="00906F92">
      <w:pPr>
        <w:spacing w:before="360" w:after="60"/>
        <w:rPr>
          <w:b/>
          <w:bCs/>
          <w:lang w:val="en-AU" w:eastAsia="en-GB" w:bidi="ar-SA"/>
        </w:rPr>
      </w:pPr>
      <w:r w:rsidRPr="6A61D147">
        <w:rPr>
          <w:b/>
          <w:bCs/>
          <w:lang w:val="en-AU" w:eastAsia="en-GB" w:bidi="ar-SA"/>
        </w:rPr>
        <w:t>2.</w:t>
      </w:r>
      <w:r>
        <w:tab/>
      </w:r>
      <w:r w:rsidRPr="6A61D147">
        <w:rPr>
          <w:b/>
          <w:bCs/>
          <w:lang w:val="en-AU" w:eastAsia="en-GB" w:bidi="ar-SA"/>
        </w:rPr>
        <w:t>Variation is a legislative instrument</w:t>
      </w:r>
    </w:p>
    <w:p w14:paraId="64DC0ECB" w14:textId="77777777" w:rsidR="00906F92" w:rsidRPr="00D00473" w:rsidRDefault="00906F92" w:rsidP="00906F92">
      <w:pPr>
        <w:spacing w:before="360" w:after="60"/>
        <w:rPr>
          <w:rFonts w:cs="Arial"/>
          <w:lang w:bidi="ar-SA"/>
        </w:rPr>
      </w:pPr>
      <w:r w:rsidRPr="6A61D147">
        <w:rPr>
          <w:rFonts w:cs="Arial"/>
        </w:rPr>
        <w:t xml:space="preserve">The approved </w:t>
      </w:r>
      <w:r>
        <w:t xml:space="preserve">draft consequential variation </w:t>
      </w:r>
      <w:r w:rsidRPr="6A61D147">
        <w:rPr>
          <w:rFonts w:cs="Arial"/>
        </w:rPr>
        <w:t xml:space="preserve">is a legislative instrument for the purposes of the </w:t>
      </w:r>
      <w:r w:rsidRPr="6A61D147">
        <w:rPr>
          <w:rFonts w:cs="Arial"/>
          <w:i/>
          <w:iCs/>
        </w:rPr>
        <w:t>Legislation Act 2003</w:t>
      </w:r>
      <w:r w:rsidRPr="6A61D147">
        <w:rPr>
          <w:rFonts w:cs="Arial"/>
        </w:rPr>
        <w:t xml:space="preserve"> (see section 94 of the FSANZ Act) and is publicly available on the Federal Register of Legislation (</w:t>
      </w:r>
      <w:hyperlink r:id="rId10">
        <w:r w:rsidRPr="6A61D147">
          <w:rPr>
            <w:rFonts w:cs="Arial"/>
            <w:color w:val="3333FF"/>
            <w:u w:val="single"/>
          </w:rPr>
          <w:t>www.legislation.gov.au</w:t>
        </w:r>
      </w:hyperlink>
      <w:r w:rsidRPr="6A61D147">
        <w:rPr>
          <w:rFonts w:cs="Arial"/>
        </w:rPr>
        <w:t>).</w:t>
      </w:r>
    </w:p>
    <w:p w14:paraId="69306DCA" w14:textId="77777777" w:rsidR="00906F92" w:rsidRPr="00FB45C7" w:rsidRDefault="00906F92" w:rsidP="00906F92">
      <w:pPr>
        <w:spacing w:before="360" w:after="60"/>
        <w:rPr>
          <w:rFonts w:cs="Arial"/>
        </w:rPr>
      </w:pPr>
      <w:r w:rsidRPr="00D00473">
        <w:rPr>
          <w:rFonts w:cs="Arial"/>
        </w:rPr>
        <w:t xml:space="preserve">This instrument is not subject to the disallowance or sunsetting provisions of the </w:t>
      </w:r>
      <w:r w:rsidRPr="6A61D147">
        <w:rPr>
          <w:rFonts w:cs="Arial"/>
          <w:i/>
          <w:iCs/>
        </w:rPr>
        <w:t xml:space="preserve">Legislation Act 2003. </w:t>
      </w:r>
      <w:r w:rsidRPr="00D00473">
        <w:rPr>
          <w:rFonts w:cs="Arial"/>
        </w:rPr>
        <w:t>Subsections</w:t>
      </w:r>
      <w:r w:rsidRPr="6A61D147">
        <w:rPr>
          <w:rFonts w:cs="Arial"/>
          <w:i/>
          <w:iCs/>
        </w:rPr>
        <w:t xml:space="preserve"> </w:t>
      </w:r>
      <w:r w:rsidRPr="00FB45C7">
        <w:rPr>
          <w:rFonts w:cs="Arial"/>
        </w:rPr>
        <w:t>44(1) and 54(1) of that Act</w:t>
      </w:r>
      <w:r w:rsidRPr="6A61D147">
        <w:rPr>
          <w:rFonts w:cs="Arial"/>
          <w:i/>
          <w:iCs/>
        </w:rPr>
        <w:t xml:space="preserve"> </w:t>
      </w:r>
      <w:r w:rsidRPr="00FB45C7">
        <w:rPr>
          <w:rFonts w:cs="Arial"/>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6A61D147">
        <w:rPr>
          <w:rFonts w:cs="Arial"/>
          <w:i/>
          <w:iCs/>
        </w:rPr>
        <w:t>Legislation (Exemptions and other Matters) Regulation 2015</w:t>
      </w:r>
      <w:r w:rsidRPr="00FB45C7">
        <w:rPr>
          <w:rFonts w:cs="Arial"/>
        </w:rPr>
        <w:t xml:space="preserve"> </w:t>
      </w:r>
      <w:r w:rsidRPr="00FB45C7">
        <w:rPr>
          <w:rFonts w:cs="Arial"/>
          <w:lang w:val="en"/>
        </w:rPr>
        <w:t xml:space="preserve">also exempts from sunsetting legislative instruments </w:t>
      </w:r>
      <w:r w:rsidRPr="00FB45C7">
        <w:rPr>
          <w:rFonts w:cs="Arial"/>
          <w:shd w:val="clear" w:color="auto" w:fill="FFFFFF"/>
        </w:rPr>
        <w:t xml:space="preserve">a primary purpose of which is to </w:t>
      </w:r>
      <w:r w:rsidRPr="00FB45C7">
        <w:rPr>
          <w:rFonts w:cs="Arial"/>
        </w:rPr>
        <w:t>give effect to an international obligation of Australia.</w:t>
      </w:r>
    </w:p>
    <w:p w14:paraId="01F0DBBE" w14:textId="77777777" w:rsidR="00906F92" w:rsidRDefault="00906F92" w:rsidP="00906F92">
      <w:pPr>
        <w:spacing w:before="240" w:after="240"/>
        <w:rPr>
          <w:rFonts w:cs="Arial"/>
          <w:lang w:val="en-AU"/>
        </w:rPr>
      </w:pPr>
      <w:r w:rsidRPr="6A61D147">
        <w:rPr>
          <w:rFonts w:cs="Arial"/>
        </w:rPr>
        <w:t xml:space="preserve">The </w:t>
      </w:r>
      <w:r w:rsidRPr="6A61D147">
        <w:rPr>
          <w:rFonts w:cs="Arial"/>
          <w:lang w:val="en-AU"/>
        </w:rPr>
        <w:t>FSANZ Act</w:t>
      </w:r>
      <w:r w:rsidRPr="6A61D147">
        <w:rPr>
          <w:rFonts w:cs="Arial"/>
          <w:i/>
          <w:iCs/>
          <w:lang w:val="en-AU"/>
        </w:rPr>
        <w:t xml:space="preserve"> </w:t>
      </w:r>
      <w:r w:rsidRPr="6A61D147">
        <w:rPr>
          <w:rFonts w:cs="Arial"/>
          <w:lang w:val="en-AU"/>
        </w:rPr>
        <w:t xml:space="preserve">gives effect to </w:t>
      </w:r>
      <w:r w:rsidRPr="6A61D147">
        <w:rPr>
          <w:rFonts w:cs="Arial"/>
        </w:rPr>
        <w:t xml:space="preserve">an intergovernmental agreement (the Food Regulation Agreement) and facilitates the establishment or operation of an intergovernmental scheme (national uniform food regulation). </w:t>
      </w:r>
      <w:r w:rsidRPr="6A61D147">
        <w:rPr>
          <w:rFonts w:cs="Arial"/>
          <w:lang w:val="en-AU"/>
        </w:rPr>
        <w:t>That Act also</w:t>
      </w:r>
      <w:r w:rsidRPr="6A61D147">
        <w:rPr>
          <w:rFonts w:cs="Arial"/>
          <w:i/>
          <w:iCs/>
          <w:lang w:val="en-AU"/>
        </w:rPr>
        <w:t xml:space="preserve"> </w:t>
      </w:r>
      <w:r w:rsidRPr="6A61D147">
        <w:rPr>
          <w:rFonts w:cs="Arial"/>
          <w:lang w:val="en-AU"/>
        </w:rPr>
        <w:t xml:space="preserve">gives effect to Australia’s obligations under an international agreement between Australia and New Zealand. For these purposes, the Act </w:t>
      </w:r>
      <w:r w:rsidRPr="6A61D147">
        <w:rPr>
          <w:rFonts w:cs="Arial"/>
        </w:rPr>
        <w:t xml:space="preserve">establishes the Authority to </w:t>
      </w:r>
      <w:r w:rsidRPr="6A61D147">
        <w:rPr>
          <w:rFonts w:cs="Arial"/>
          <w:lang w:val="en-AU"/>
        </w:rPr>
        <w:t xml:space="preserve">develop food standards </w:t>
      </w:r>
      <w:r w:rsidRPr="6A61D147">
        <w:rPr>
          <w:rFonts w:cs="Arial"/>
        </w:rPr>
        <w:t xml:space="preserve">for consideration and endorsement by the Food Ministers Meeting (FMM). The FMM is established under the Food Regulation Agreement and the </w:t>
      </w:r>
      <w:r w:rsidRPr="6A61D147">
        <w:rPr>
          <w:rFonts w:cs="Arial"/>
          <w:lang w:val="en-AU"/>
        </w:rPr>
        <w:t>international agreement between Australia and New Zealand</w:t>
      </w:r>
      <w:r w:rsidRPr="6A61D147">
        <w:rPr>
          <w:rFonts w:cs="Arial"/>
        </w:rPr>
        <w:t xml:space="preserve">, and consists of New Zealand, Commonwealth and State/Territory members. If endorsed by the FMM, </w:t>
      </w:r>
      <w:r w:rsidRPr="6A61D147">
        <w:rPr>
          <w:rFonts w:cs="Arial"/>
          <w:lang w:val="en-AU"/>
        </w:rPr>
        <w:t>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102AB715" w14:textId="77777777" w:rsidR="00906F92" w:rsidRDefault="00906F92" w:rsidP="00906F92">
      <w:pPr>
        <w:spacing w:before="240" w:after="240"/>
      </w:pPr>
      <w:r w:rsidRPr="6A61D147">
        <w:rPr>
          <w:b/>
          <w:bCs/>
        </w:rPr>
        <w:t>3.</w:t>
      </w:r>
      <w:r>
        <w:tab/>
      </w:r>
      <w:r w:rsidRPr="6A61D147">
        <w:rPr>
          <w:b/>
          <w:bCs/>
        </w:rPr>
        <w:t>Purpose</w:t>
      </w:r>
    </w:p>
    <w:p w14:paraId="51BE56CE" w14:textId="77777777" w:rsidR="00906F92" w:rsidRDefault="00906F92" w:rsidP="00906F92">
      <w:pPr>
        <w:spacing w:before="360" w:after="60"/>
      </w:pPr>
      <w:r w:rsidRPr="6A61D147">
        <w:rPr>
          <w:lang w:val="en-AU" w:eastAsia="en-GB" w:bidi="ar-SA"/>
        </w:rPr>
        <w:lastRenderedPageBreak/>
        <w:t xml:space="preserve">The Authority has approved a draft variation called </w:t>
      </w:r>
      <w:r w:rsidRPr="6A61D147">
        <w:rPr>
          <w:i/>
          <w:iCs/>
        </w:rPr>
        <w:t>Food Standards (</w:t>
      </w:r>
      <w:r w:rsidRPr="6A61D147">
        <w:rPr>
          <w:i/>
          <w:iCs/>
          <w:lang w:eastAsia="en-GB" w:bidi="ar-SA"/>
        </w:rPr>
        <w:t>Proposal P1053 – Food Safety Management Tools – Consequential Amendments</w:t>
      </w:r>
      <w:r w:rsidRPr="6A61D147">
        <w:rPr>
          <w:i/>
          <w:iCs/>
          <w:lang w:val="en-AU" w:eastAsia="en-GB" w:bidi="ar-SA"/>
        </w:rPr>
        <w:t>) Variation</w:t>
      </w:r>
      <w:r>
        <w:t xml:space="preserve"> </w:t>
      </w:r>
      <w:r w:rsidRPr="6A61D147">
        <w:rPr>
          <w:lang w:val="en-AU" w:eastAsia="en-GB" w:bidi="ar-SA"/>
        </w:rPr>
        <w:t>to make a consequential amendment to Standard 1.1.1 to account for the commencement of approved draft Standard 3.2.2A.</w:t>
      </w:r>
    </w:p>
    <w:p w14:paraId="0E14F3D5" w14:textId="77777777" w:rsidR="00906F92" w:rsidRDefault="00906F92" w:rsidP="00906F92">
      <w:pPr>
        <w:spacing w:before="360" w:after="60"/>
        <w:rPr>
          <w:b/>
          <w:bCs/>
          <w:lang w:val="en-AU" w:eastAsia="en-GB" w:bidi="ar-SA"/>
        </w:rPr>
      </w:pPr>
      <w:r w:rsidRPr="6A61D147">
        <w:rPr>
          <w:b/>
          <w:bCs/>
          <w:lang w:val="en-AU" w:eastAsia="en-GB" w:bidi="ar-SA"/>
        </w:rPr>
        <w:t>4.</w:t>
      </w:r>
      <w:r>
        <w:tab/>
      </w:r>
      <w:r w:rsidRPr="6A61D147">
        <w:rPr>
          <w:b/>
          <w:bCs/>
          <w:lang w:val="en-AU" w:eastAsia="en-GB" w:bidi="ar-SA"/>
        </w:rPr>
        <w:t>Documents incorporated by reference</w:t>
      </w:r>
    </w:p>
    <w:p w14:paraId="54DAE16F" w14:textId="77777777" w:rsidR="00906F92" w:rsidRDefault="00906F92" w:rsidP="00906F92">
      <w:pPr>
        <w:widowControl/>
        <w:autoSpaceDE w:val="0"/>
        <w:autoSpaceDN w:val="0"/>
        <w:adjustRightInd w:val="0"/>
        <w:spacing w:before="360" w:after="60"/>
        <w:rPr>
          <w:rFonts w:eastAsia="Calibri" w:cs="Arial"/>
          <w:color w:val="FF0000"/>
          <w:lang w:val="en-AU" w:bidi="ar-SA"/>
        </w:rPr>
      </w:pPr>
      <w:r w:rsidRPr="6A61D147">
        <w:rPr>
          <w:rFonts w:eastAsia="Calibri" w:cs="Arial"/>
          <w:lang w:val="en-AU" w:bidi="ar-SA"/>
        </w:rPr>
        <w:t>The approved draft consequential variation does not incorporate any documents by reference.</w:t>
      </w:r>
    </w:p>
    <w:p w14:paraId="6C073BDC" w14:textId="77777777" w:rsidR="00906F92" w:rsidRDefault="00906F92" w:rsidP="00906F92">
      <w:pPr>
        <w:spacing w:before="360" w:after="60"/>
        <w:rPr>
          <w:b/>
          <w:bCs/>
          <w:lang w:val="en-AU" w:eastAsia="en-GB" w:bidi="ar-SA"/>
        </w:rPr>
      </w:pPr>
      <w:r w:rsidRPr="6A61D147">
        <w:rPr>
          <w:b/>
          <w:bCs/>
          <w:lang w:val="en-AU" w:eastAsia="en-GB" w:bidi="ar-SA"/>
        </w:rPr>
        <w:t>5.</w:t>
      </w:r>
      <w:r>
        <w:tab/>
      </w:r>
      <w:r w:rsidRPr="6A61D147">
        <w:rPr>
          <w:b/>
          <w:bCs/>
          <w:lang w:val="en-AU" w:eastAsia="en-GB" w:bidi="ar-SA"/>
        </w:rPr>
        <w:t>Consultation</w:t>
      </w:r>
    </w:p>
    <w:p w14:paraId="6C904D46" w14:textId="77777777" w:rsidR="00906F92" w:rsidRPr="00A94813" w:rsidRDefault="00906F92" w:rsidP="00906F92">
      <w:pPr>
        <w:spacing w:before="360" w:after="60"/>
        <w:rPr>
          <w:lang w:val="en-AU"/>
        </w:rPr>
      </w:pPr>
      <w:r>
        <w:t xml:space="preserve">In accordance with the procedure in Division 2 of Part 3 of the FSANZ Act, </w:t>
      </w:r>
      <w:r w:rsidRPr="6A61D147">
        <w:rPr>
          <w:rFonts w:eastAsia="Calibri" w:cs="Arial"/>
          <w:lang w:val="en-AU" w:bidi="ar-SA"/>
        </w:rPr>
        <w:t>the Authority</w:t>
      </w:r>
      <w:r>
        <w:t xml:space="preserve">’s consideration of Proposal P1053 included one round of public consultation following an assessment and the preparation of a draft standard, consequential variation and associated report. Submissions were called for on 14 February 2022 for an eight-week consultation period. </w:t>
      </w:r>
    </w:p>
    <w:p w14:paraId="76F15510" w14:textId="77777777" w:rsidR="00906F92" w:rsidRDefault="00906F92" w:rsidP="00906F92">
      <w:pPr>
        <w:spacing w:before="360" w:after="60"/>
      </w:pPr>
      <w:r>
        <w:rPr>
          <w:rFonts w:eastAsia="Calibri"/>
          <w:color w:val="000000" w:themeColor="text1"/>
        </w:rPr>
        <w:t>A Decision Regulation Impact</w:t>
      </w:r>
      <w:r w:rsidRPr="00131F7A">
        <w:rPr>
          <w:rFonts w:eastAsia="Calibri"/>
          <w:color w:val="000000" w:themeColor="text1"/>
        </w:rPr>
        <w:t xml:space="preserve"> Statement </w:t>
      </w:r>
      <w:r>
        <w:rPr>
          <w:rFonts w:eastAsia="Calibri"/>
          <w:color w:val="000000" w:themeColor="text1"/>
        </w:rPr>
        <w:t>(D</w:t>
      </w:r>
      <w:r w:rsidRPr="00117A21">
        <w:rPr>
          <w:rFonts w:eastAsia="Calibri"/>
          <w:color w:val="000000" w:themeColor="text1"/>
        </w:rPr>
        <w:t>RIS</w:t>
      </w:r>
      <w:r>
        <w:rPr>
          <w:rFonts w:eastAsia="Calibri"/>
          <w:color w:val="000000" w:themeColor="text1"/>
        </w:rPr>
        <w:t>)</w:t>
      </w:r>
      <w:r w:rsidRPr="00117A21">
        <w:rPr>
          <w:rFonts w:eastAsia="Calibri"/>
          <w:color w:val="000000" w:themeColor="text1"/>
        </w:rPr>
        <w:t xml:space="preserve"> </w:t>
      </w:r>
      <w:r>
        <w:rPr>
          <w:rFonts w:eastAsia="Calibri"/>
          <w:color w:val="000000" w:themeColor="text1"/>
        </w:rPr>
        <w:t>was prepared by the Authority and has been approved by t</w:t>
      </w:r>
      <w:r w:rsidRPr="00117A21">
        <w:rPr>
          <w:rFonts w:eastAsia="Calibri"/>
          <w:color w:val="000000" w:themeColor="text1"/>
        </w:rPr>
        <w:t>he Of</w:t>
      </w:r>
      <w:r>
        <w:rPr>
          <w:rFonts w:eastAsia="Calibri"/>
          <w:color w:val="000000" w:themeColor="text1"/>
        </w:rPr>
        <w:t xml:space="preserve">fice of Best Practice Regulation (Reference - </w:t>
      </w:r>
      <w:r w:rsidRPr="007C4F6B">
        <w:rPr>
          <w:color w:val="000000"/>
          <w:sz w:val="21"/>
          <w:szCs w:val="21"/>
          <w:shd w:val="clear" w:color="auto" w:fill="FFFFFF"/>
        </w:rPr>
        <w:t>OBPR21-01217</w:t>
      </w:r>
      <w:r>
        <w:rPr>
          <w:color w:val="000000"/>
          <w:sz w:val="21"/>
          <w:szCs w:val="21"/>
          <w:shd w:val="clear" w:color="auto" w:fill="FFFFFF"/>
        </w:rPr>
        <w:t>)</w:t>
      </w:r>
      <w:r>
        <w:rPr>
          <w:rFonts w:eastAsia="Calibri"/>
          <w:color w:val="000000" w:themeColor="text1"/>
        </w:rPr>
        <w:t xml:space="preserve">. </w:t>
      </w:r>
      <w:r>
        <w:t xml:space="preserve">A copy of the DRIS is available on the FSANZ website. </w:t>
      </w:r>
    </w:p>
    <w:p w14:paraId="2359308A" w14:textId="77777777" w:rsidR="00906F92" w:rsidRDefault="00906F92" w:rsidP="00906F92">
      <w:pPr>
        <w:widowControl/>
        <w:spacing w:before="360" w:after="60"/>
        <w:rPr>
          <w:rFonts w:eastAsiaTheme="minorEastAsia" w:cs="Arial"/>
          <w:b/>
          <w:bCs/>
          <w:lang w:val="en-AU" w:bidi="ar-SA"/>
        </w:rPr>
      </w:pPr>
      <w:r w:rsidRPr="6A61D147">
        <w:rPr>
          <w:rFonts w:eastAsiaTheme="minorEastAsia" w:cs="Arial"/>
          <w:b/>
          <w:bCs/>
          <w:lang w:val="en-AU" w:bidi="ar-SA"/>
        </w:rPr>
        <w:t>6.</w:t>
      </w:r>
      <w:r>
        <w:tab/>
      </w:r>
      <w:r w:rsidRPr="6A61D147">
        <w:rPr>
          <w:rFonts w:eastAsiaTheme="minorEastAsia" w:cs="Arial"/>
          <w:b/>
          <w:bCs/>
          <w:lang w:val="en-AU" w:bidi="ar-SA"/>
        </w:rPr>
        <w:t>Statement of compatibility with human rights</w:t>
      </w:r>
    </w:p>
    <w:p w14:paraId="2FA7DD00" w14:textId="77777777" w:rsidR="00906F92" w:rsidRDefault="00906F92" w:rsidP="00906F92">
      <w:pPr>
        <w:spacing w:before="360" w:after="60"/>
        <w:rPr>
          <w:b/>
          <w:bCs/>
        </w:rPr>
      </w:pPr>
      <w:r w:rsidRPr="6A61D147">
        <w:rPr>
          <w:rFonts w:eastAsiaTheme="minorEastAsia"/>
          <w:lang w:val="en-AU" w:bidi="ar-SA"/>
        </w:rPr>
        <w:t xml:space="preserve">This instrument is exempt from the requirements for a statement of compatibility with human rights as it is a non-disallowable instrument under section 44 of the </w:t>
      </w:r>
      <w:r w:rsidRPr="6A61D147">
        <w:rPr>
          <w:rFonts w:eastAsiaTheme="minorEastAsia"/>
          <w:i/>
          <w:iCs/>
          <w:lang w:val="en-AU" w:bidi="ar-SA"/>
        </w:rPr>
        <w:t>Legislation Act 2003</w:t>
      </w:r>
      <w:r w:rsidRPr="6A61D147">
        <w:rPr>
          <w:rFonts w:eastAsiaTheme="minorEastAsia"/>
          <w:lang w:val="en-AU" w:bidi="ar-SA"/>
        </w:rPr>
        <w:t>.</w:t>
      </w:r>
      <w:r w:rsidRPr="6A61D147">
        <w:rPr>
          <w:b/>
          <w:bCs/>
        </w:rPr>
        <w:t xml:space="preserve"> </w:t>
      </w:r>
    </w:p>
    <w:p w14:paraId="55D60BAF" w14:textId="77777777" w:rsidR="00906F92" w:rsidRDefault="00906F92" w:rsidP="00906F92">
      <w:pPr>
        <w:spacing w:before="240" w:after="240"/>
      </w:pPr>
      <w:r w:rsidRPr="6A61D147">
        <w:rPr>
          <w:b/>
          <w:bCs/>
        </w:rPr>
        <w:t>7.</w:t>
      </w:r>
      <w:r>
        <w:tab/>
      </w:r>
      <w:r w:rsidRPr="6A61D147">
        <w:rPr>
          <w:b/>
          <w:bCs/>
          <w:lang w:val="en-AU" w:eastAsia="en-GB" w:bidi="ar-SA"/>
        </w:rPr>
        <w:t>Variation</w:t>
      </w:r>
    </w:p>
    <w:p w14:paraId="0F8B2BBE" w14:textId="77777777" w:rsidR="00906F92" w:rsidRDefault="00906F92" w:rsidP="00906F92">
      <w:pPr>
        <w:spacing w:before="240" w:after="240"/>
      </w:pPr>
      <w:r>
        <w:t xml:space="preserve">Clause 1 of the approved draft consequential variation provides that the name of that variation is </w:t>
      </w:r>
      <w:r w:rsidRPr="6A61D147">
        <w:rPr>
          <w:i/>
          <w:iCs/>
        </w:rPr>
        <w:t>Food Standards (</w:t>
      </w:r>
      <w:r w:rsidRPr="6A61D147">
        <w:rPr>
          <w:i/>
          <w:iCs/>
          <w:lang w:eastAsia="en-GB" w:bidi="ar-SA"/>
        </w:rPr>
        <w:t>Proposal P1053 – Food Safety Management Tools – Consequential Amendments</w:t>
      </w:r>
      <w:r w:rsidRPr="6A61D147">
        <w:rPr>
          <w:i/>
          <w:iCs/>
          <w:lang w:val="en-AU" w:eastAsia="en-GB" w:bidi="ar-SA"/>
        </w:rPr>
        <w:t>) Variation</w:t>
      </w:r>
      <w:r>
        <w:t>.</w:t>
      </w:r>
    </w:p>
    <w:p w14:paraId="6919D277" w14:textId="77777777" w:rsidR="00906F92" w:rsidRDefault="00906F92" w:rsidP="00906F92">
      <w:pPr>
        <w:spacing w:before="360" w:after="60"/>
      </w:pPr>
      <w:r>
        <w:t>Clause 2 of the approved draft consequential variation provides that the Code is amended by the Schedule to that variation.</w:t>
      </w:r>
    </w:p>
    <w:p w14:paraId="1EAC1326" w14:textId="77777777" w:rsidR="00906F92" w:rsidRDefault="00906F92" w:rsidP="00906F92">
      <w:pPr>
        <w:spacing w:before="360" w:after="60"/>
      </w:pPr>
      <w:r>
        <w:t>Clause 3 provides that the approved draft consequential variation will commence immediately after draft Standard 3.2.2A takes effect.</w:t>
      </w:r>
    </w:p>
    <w:p w14:paraId="4A674C35" w14:textId="77777777" w:rsidR="00906F92" w:rsidRDefault="00906F92" w:rsidP="00906F92">
      <w:pPr>
        <w:spacing w:before="360" w:after="60"/>
      </w:pPr>
      <w:r>
        <w:t xml:space="preserve">Item 1 of the Schedule to the approved draft consequential variation </w:t>
      </w:r>
      <w:r>
        <w:rPr>
          <w:lang w:val="en-AU" w:eastAsia="en-GB" w:bidi="ar-SA"/>
        </w:rPr>
        <w:t xml:space="preserve">amends </w:t>
      </w:r>
      <w:r>
        <w:t xml:space="preserve">subsection 1.1.1—2(2) of </w:t>
      </w:r>
      <w:r>
        <w:rPr>
          <w:lang w:val="en-AU" w:eastAsia="en-GB" w:bidi="ar-SA"/>
        </w:rPr>
        <w:t xml:space="preserve">Standard 1.1.1 of the Code to include in that subsection a reference to </w:t>
      </w:r>
      <w:r>
        <w:t xml:space="preserve">Standard 3.2.2A. The subsection </w:t>
      </w:r>
      <w:r>
        <w:rPr>
          <w:lang w:val="en-AU" w:eastAsia="en-GB" w:bidi="ar-SA"/>
        </w:rPr>
        <w:t xml:space="preserve">lists all the </w:t>
      </w:r>
      <w:r w:rsidRPr="000C7DDF">
        <w:rPr>
          <w:lang w:val="en-AU" w:eastAsia="en-GB" w:bidi="ar-SA"/>
        </w:rPr>
        <w:t>standards of the Code arranged into Chapters, Parts and a set of Schedules</w:t>
      </w:r>
      <w:r>
        <w:rPr>
          <w:lang w:val="en-AU" w:eastAsia="en-GB" w:bidi="ar-SA"/>
        </w:rPr>
        <w:t xml:space="preserve">. The list does not currently contain a reference to </w:t>
      </w:r>
      <w:r>
        <w:t xml:space="preserve">Standard 3.2.2A. </w:t>
      </w:r>
    </w:p>
    <w:p w14:paraId="77E357F4" w14:textId="77777777" w:rsidR="00906F92" w:rsidRPr="003A01FB" w:rsidRDefault="00906F92" w:rsidP="00906F92">
      <w:r>
        <w:t>The effect of the amendment, when the Standard 3.2.2A and the variation both commence, will be that Standard 3.2.2A will be listed in subsection 1.1.1—2(2) of the Code immediately after the reference in that subsection to Standard 3.2.2.</w:t>
      </w:r>
    </w:p>
    <w:p w14:paraId="6C0CEBAC" w14:textId="77777777" w:rsidR="00D5526B" w:rsidRPr="003A01FB" w:rsidRDefault="00D5526B" w:rsidP="003A01FB"/>
    <w:sectPr w:rsidR="00D5526B" w:rsidRPr="003A01FB" w:rsidSect="008E233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charset w:val="59"/>
    <w:family w:val="auto"/>
    <w:pitch w:val="variable"/>
    <w:sig w:usb0="00000000"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1002052031">
    <w:abstractNumId w:val="0"/>
  </w:num>
  <w:num w:numId="2" w16cid:durableId="87778637">
    <w:abstractNumId w:val="0"/>
  </w:num>
  <w:num w:numId="3" w16cid:durableId="979115025">
    <w:abstractNumId w:val="0"/>
  </w:num>
  <w:num w:numId="4" w16cid:durableId="1100371517">
    <w:abstractNumId w:val="0"/>
  </w:num>
  <w:num w:numId="5" w16cid:durableId="1771046380">
    <w:abstractNumId w:val="0"/>
  </w:num>
  <w:num w:numId="6" w16cid:durableId="28528502">
    <w:abstractNumId w:val="0"/>
  </w:num>
  <w:num w:numId="7" w16cid:durableId="1811439541">
    <w:abstractNumId w:val="0"/>
  </w:num>
  <w:num w:numId="8" w16cid:durableId="1486506058">
    <w:abstractNumId w:val="3"/>
  </w:num>
  <w:num w:numId="9" w16cid:durableId="840435125">
    <w:abstractNumId w:val="1"/>
  </w:num>
  <w:num w:numId="10" w16cid:durableId="361594189">
    <w:abstractNumId w:val="2"/>
  </w:num>
  <w:num w:numId="11" w16cid:durableId="2133209828">
    <w:abstractNumId w:val="3"/>
  </w:num>
  <w:num w:numId="12" w16cid:durableId="1652250843">
    <w:abstractNumId w:val="1"/>
  </w:num>
  <w:num w:numId="13" w16cid:durableId="401374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92"/>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06F92"/>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7934"/>
  <w15:chartTrackingRefBased/>
  <w15:docId w15:val="{DCA98487-D298-4102-82FA-E5F33C9F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906F92"/>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paragraph" w:customStyle="1" w:styleId="FSCh5SchItem">
    <w:name w:val="FSC_h5_Sch_Item"/>
    <w:basedOn w:val="Normal"/>
    <w:next w:val="Normal"/>
    <w:qFormat/>
    <w:rsid w:val="00906F92"/>
    <w:pPr>
      <w:keepNext/>
      <w:keepLines/>
      <w:widowControl/>
      <w:spacing w:before="360" w:after="60"/>
      <w:ind w:left="964" w:hanging="964"/>
    </w:pPr>
    <w:rPr>
      <w:rFonts w:cs="Arial"/>
      <w:b/>
      <w:bCs/>
      <w:kern w:val="32"/>
      <w:sz w:val="24"/>
      <w:szCs w:val="32"/>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www.legislation.gov.au"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FSANZ Record" ma:contentTypeID="0x010100F5F252698E4843DFA3EBBF7EC57E522A00D1FD65540778064E8071EC7105C190BC" ma:contentTypeVersion="4" ma:contentTypeDescription="Files created by FSANZ including letters, draft documents and ideas for FSANZ business." ma:contentTypeScope="" ma:versionID="b982cb91b41b2213203c64ad5e0c0bb1">
  <xsd:schema xmlns:xsd="http://www.w3.org/2001/XMLSchema" xmlns:xs="http://www.w3.org/2001/XMLSchema" xmlns:p="http://schemas.microsoft.com/office/2006/metadata/properties" xmlns:ns2="0e0bee33-077a-46d4-80d5-abd1b3a3b85b" targetNamespace="http://schemas.microsoft.com/office/2006/metadata/properties" ma:root="true" ma:fieldsID="199b3d2e548d4ca1d04624b3ed9463d3"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4fc2563-04ab-4d7c-a6a2-9c96f2eb2ff6}" ma:internalName="TaxCatchAll" ma:showField="CatchAllData" ma:web="7381dfea-c3d9-4bb9-9bda-67ec2929bed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4fc2563-04ab-4d7c-a6a2-9c96f2eb2ff6}" ma:internalName="TaxCatchAllLabel" ma:readOnly="true" ma:showField="CatchAllDataLabel" ma:web="7381dfea-c3d9-4bb9-9bda-67ec2929bedb">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3;#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e0bee33-077a-46d4-80d5-abd1b3a3b85b">
      <Value>3</Value>
      <Value>6</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43cb9915-dbd2-4e45-b39d-7bc5c58c72da</TermId>
        </TermInfo>
      </Terms>
    </pb940a55b18746cdbb1d76ca362c0586>
    <jf6c16bbf41b473ebe1e583d28d77907 xmlns="0e0bee33-077a-46d4-80d5-abd1b3a3b85b">
      <Terms xmlns="http://schemas.microsoft.com/office/infopath/2007/PartnerControls"/>
    </jf6c16bbf41b473ebe1e583d28d77907>
    <Related_x0020_project xmlns="0e0bee33-077a-46d4-80d5-abd1b3a3b85b" xsi:nil="true"/>
  </documentManagement>
</p:properties>
</file>

<file path=customXml/itemProps1.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customXml/itemProps2.xml><?xml version="1.0" encoding="utf-8"?>
<ds:datastoreItem xmlns:ds="http://schemas.openxmlformats.org/officeDocument/2006/customXml" ds:itemID="{AB13209C-676A-43CD-9A1D-730DA30B7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F81EC-9765-4A2A-9BE7-B7EE1142880A}">
  <ds:schemaRefs>
    <ds:schemaRef ds:uri="Microsoft.SharePoint.Taxonomy.ContentTypeSync"/>
  </ds:schemaRefs>
</ds:datastoreItem>
</file>

<file path=customXml/itemProps4.xml><?xml version="1.0" encoding="utf-8"?>
<ds:datastoreItem xmlns:ds="http://schemas.openxmlformats.org/officeDocument/2006/customXml" ds:itemID="{466D4514-514E-43F0-B8B4-1EDF82776CAD}">
  <ds:schemaRefs>
    <ds:schemaRef ds:uri="http://schemas.microsoft.com/sharepoint/v3/contenttype/forms"/>
  </ds:schemaRefs>
</ds:datastoreItem>
</file>

<file path=customXml/itemProps5.xml><?xml version="1.0" encoding="utf-8"?>
<ds:datastoreItem xmlns:ds="http://schemas.openxmlformats.org/officeDocument/2006/customXml" ds:itemID="{0C099C9B-3D7A-4C9E-AEB2-6B2DBCD79E38}">
  <ds:schemaRefs>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0e0bee33-077a-46d4-80d5-abd1b3a3b85b"/>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4559</Characters>
  <Application>Microsoft Office Word</Application>
  <DocSecurity>0</DocSecurity>
  <Lines>37</Lines>
  <Paragraphs>10</Paragraphs>
  <ScaleCrop>false</ScaleCrop>
  <Company>Food Standards Australia New Zealand</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Richards</dc:creator>
  <cp:keywords/>
  <dc:description/>
  <cp:lastModifiedBy>Joanna Richards</cp:lastModifiedBy>
  <cp:revision>1</cp:revision>
  <dcterms:created xsi:type="dcterms:W3CDTF">2022-11-30T02:27:00Z</dcterms:created>
  <dcterms:modified xsi:type="dcterms:W3CDTF">2022-11-30T02:28:00Z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0x010100F5F252698E4843DFA3EBBF7EC57E522A00D1FD65540778064E8071EC7105C190BC</vt:lpwstr>
  </property>
  <property fmtid="{D5CDD505-2E9C-101B-9397-08002B2CF9AE}" pid="3" name="BCS">
    <vt:lpwstr>6;#Evaluation|43cb9915-dbd2-4e45-b39d-7bc5c58c72da</vt:lpwstr>
  </property>
  <property fmtid="{D5CDD505-2E9C-101B-9397-08002B2CF9AE}" pid="4" name="Access">
    <vt:lpwstr/>
  </property>
  <property fmtid="{D5CDD505-2E9C-101B-9397-08002B2CF9AE}" pid="5" name="Classification">
    <vt:lpwstr>3;#OFFICIAL|3776503d-ed4e-4d70-8dfd-8e17b238523b</vt:lpwstr>
  </property>
  <property fmtid="{D5CDD505-2E9C-101B-9397-08002B2CF9AE}" pid="6" name="pd3a3559ef84480a8025c4c7bb6e6dee">
    <vt:lpwstr/>
  </property>
  <property fmtid="{D5CDD505-2E9C-101B-9397-08002B2CF9AE}" pid="7" name="h46016694f704d158a57d0b5238c000e">
    <vt:lpwstr/>
  </property>
  <property fmtid="{D5CDD505-2E9C-101B-9397-08002B2CF9AE}" pid="8" name="MediaServiceImageTags">
    <vt:lpwstr/>
  </property>
  <property fmtid="{D5CDD505-2E9C-101B-9397-08002B2CF9AE}" pid="9" name="Data_x0020_Privacy">
    <vt:lpwstr/>
  </property>
  <property fmtid="{D5CDD505-2E9C-101B-9397-08002B2CF9AE}" pid="10" name="lcf76f155ced4ddcb4097134ff3c332f">
    <vt:lpwstr/>
  </property>
  <property fmtid="{D5CDD505-2E9C-101B-9397-08002B2CF9AE}" pid="11" name="Data_x0020_Category">
    <vt:lpwstr/>
  </property>
  <property fmtid="{D5CDD505-2E9C-101B-9397-08002B2CF9AE}" pid="12" name="Data_x0020_Accessibility">
    <vt:lpwstr/>
  </property>
  <property fmtid="{D5CDD505-2E9C-101B-9397-08002B2CF9AE}" pid="13" name="o2e94e0b7bb742308b3aec7384781dc0">
    <vt:lpwstr/>
  </property>
  <property fmtid="{D5CDD505-2E9C-101B-9397-08002B2CF9AE}" pid="14" name="Data Privacy">
    <vt:lpwstr/>
  </property>
  <property fmtid="{D5CDD505-2E9C-101B-9397-08002B2CF9AE}" pid="15" name="Data Category">
    <vt:lpwstr/>
  </property>
  <property fmtid="{D5CDD505-2E9C-101B-9397-08002B2CF9AE}" pid="16" name="Data Accessibility">
    <vt:lpwstr/>
  </property>
</Properties>
</file>