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7AB4" w14:textId="3A8CC04D" w:rsidR="004D51FA" w:rsidRPr="002C6D26" w:rsidRDefault="004D51FA" w:rsidP="00DF7DA0">
      <w:pPr>
        <w:pStyle w:val="Heading"/>
        <w:spacing w:after="240"/>
        <w:jc w:val="center"/>
        <w:rPr>
          <w:rFonts w:ascii="Times New Roman" w:hAnsi="Times New Roman"/>
          <w:sz w:val="24"/>
          <w:szCs w:val="24"/>
        </w:rPr>
      </w:pPr>
      <w:r w:rsidRPr="004D51FA">
        <w:rPr>
          <w:rFonts w:ascii="Times New Roman" w:hAnsi="Times New Roman"/>
          <w:sz w:val="24"/>
          <w:szCs w:val="24"/>
        </w:rPr>
        <w:t xml:space="preserve">Banking, Insurance, Life Insurance and </w:t>
      </w:r>
      <w:r>
        <w:rPr>
          <w:rFonts w:ascii="Times New Roman" w:hAnsi="Times New Roman"/>
          <w:sz w:val="24"/>
          <w:szCs w:val="24"/>
        </w:rPr>
        <w:t>Superannuation</w:t>
      </w:r>
      <w:r w:rsidRPr="004D51FA">
        <w:rPr>
          <w:rFonts w:ascii="Times New Roman" w:hAnsi="Times New Roman"/>
          <w:sz w:val="24"/>
          <w:szCs w:val="24"/>
        </w:rPr>
        <w:t xml:space="preserve"> (prudential standard) determination </w:t>
      </w:r>
      <w:r w:rsidRPr="00163FA0">
        <w:rPr>
          <w:rFonts w:ascii="Times New Roman" w:hAnsi="Times New Roman"/>
          <w:sz w:val="24"/>
          <w:szCs w:val="24"/>
        </w:rPr>
        <w:t xml:space="preserve">No. </w:t>
      </w:r>
      <w:r w:rsidR="00956C89">
        <w:rPr>
          <w:rFonts w:ascii="Times New Roman" w:hAnsi="Times New Roman"/>
          <w:sz w:val="24"/>
          <w:szCs w:val="24"/>
        </w:rPr>
        <w:t>2</w:t>
      </w:r>
      <w:r w:rsidRPr="00163FA0">
        <w:rPr>
          <w:rFonts w:ascii="Times New Roman" w:hAnsi="Times New Roman"/>
          <w:sz w:val="24"/>
          <w:szCs w:val="24"/>
        </w:rPr>
        <w:t xml:space="preserve"> of 202</w:t>
      </w:r>
      <w:r w:rsidR="00103911">
        <w:rPr>
          <w:rFonts w:ascii="Times New Roman" w:hAnsi="Times New Roman"/>
          <w:sz w:val="24"/>
          <w:szCs w:val="24"/>
        </w:rPr>
        <w:t>2</w:t>
      </w:r>
    </w:p>
    <w:p w14:paraId="070AD857" w14:textId="77777777" w:rsidR="002436BD" w:rsidRPr="002C6D26" w:rsidRDefault="002436BD" w:rsidP="00DF7DA0">
      <w:pPr>
        <w:pStyle w:val="Heading"/>
        <w:tabs>
          <w:tab w:val="left" w:pos="360"/>
        </w:tabs>
        <w:spacing w:after="240"/>
        <w:jc w:val="center"/>
        <w:rPr>
          <w:rFonts w:ascii="Times New Roman" w:hAnsi="Times New Roman"/>
          <w:sz w:val="24"/>
          <w:szCs w:val="24"/>
          <w:u w:val="single"/>
        </w:rPr>
      </w:pPr>
      <w:bookmarkStart w:id="0" w:name="bkInstrumentSubTitle"/>
      <w:bookmarkEnd w:id="0"/>
      <w:r w:rsidRPr="002C6D26">
        <w:rPr>
          <w:rFonts w:ascii="Times New Roman" w:hAnsi="Times New Roman"/>
          <w:sz w:val="24"/>
          <w:szCs w:val="24"/>
          <w:u w:val="single"/>
        </w:rPr>
        <w:t>EXPLANATORY STATEMENT</w:t>
      </w:r>
    </w:p>
    <w:p w14:paraId="461A28DE" w14:textId="77777777"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749EAD61" w14:textId="77777777" w:rsidR="002436BD" w:rsidRDefault="002436BD" w:rsidP="00DF7DA0">
      <w:pPr>
        <w:pStyle w:val="Heading"/>
        <w:tabs>
          <w:tab w:val="left" w:pos="360"/>
        </w:tabs>
        <w:spacing w:after="240"/>
        <w:jc w:val="center"/>
        <w:rPr>
          <w:rFonts w:ascii="Times New Roman" w:hAnsi="Times New Roman"/>
          <w:b w:val="0"/>
          <w:color w:val="00000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11AF</w:t>
      </w:r>
    </w:p>
    <w:p w14:paraId="37C1635F" w14:textId="62C14BC3" w:rsidR="003B385B" w:rsidRDefault="003B385B" w:rsidP="00DF7DA0">
      <w:pPr>
        <w:pStyle w:val="Heading"/>
        <w:tabs>
          <w:tab w:val="left" w:pos="360"/>
        </w:tabs>
        <w:spacing w:after="240"/>
        <w:jc w:val="center"/>
        <w:rPr>
          <w:rFonts w:ascii="Times New Roman" w:hAnsi="Times New Roman"/>
          <w:b w:val="0"/>
          <w:color w:val="000000"/>
          <w:sz w:val="24"/>
          <w:szCs w:val="24"/>
        </w:rPr>
      </w:pPr>
      <w:r w:rsidRPr="003B385B">
        <w:rPr>
          <w:rFonts w:ascii="Times New Roman" w:hAnsi="Times New Roman"/>
          <w:b w:val="0"/>
          <w:i/>
          <w:color w:val="000000"/>
          <w:sz w:val="24"/>
          <w:szCs w:val="24"/>
        </w:rPr>
        <w:t>Insurance Act 1973</w:t>
      </w:r>
      <w:r>
        <w:rPr>
          <w:rFonts w:ascii="Times New Roman" w:hAnsi="Times New Roman"/>
          <w:b w:val="0"/>
          <w:color w:val="000000"/>
          <w:sz w:val="24"/>
          <w:szCs w:val="24"/>
        </w:rPr>
        <w:t>, section 32</w:t>
      </w:r>
    </w:p>
    <w:p w14:paraId="110E0ACE" w14:textId="6EED2776" w:rsidR="003B385B" w:rsidRDefault="003B385B" w:rsidP="00DF7DA0">
      <w:pPr>
        <w:pStyle w:val="Heading"/>
        <w:tabs>
          <w:tab w:val="left" w:pos="360"/>
        </w:tabs>
        <w:spacing w:after="240"/>
        <w:jc w:val="center"/>
        <w:rPr>
          <w:rFonts w:ascii="Times New Roman" w:hAnsi="Times New Roman"/>
          <w:b w:val="0"/>
          <w:color w:val="000000"/>
          <w:sz w:val="24"/>
          <w:szCs w:val="24"/>
        </w:rPr>
      </w:pPr>
      <w:r w:rsidRPr="003B385B">
        <w:rPr>
          <w:rFonts w:ascii="Times New Roman" w:hAnsi="Times New Roman"/>
          <w:b w:val="0"/>
          <w:i/>
          <w:color w:val="000000"/>
          <w:sz w:val="24"/>
          <w:szCs w:val="24"/>
        </w:rPr>
        <w:t>Life Insurance Act 1995</w:t>
      </w:r>
      <w:r>
        <w:rPr>
          <w:rFonts w:ascii="Times New Roman" w:hAnsi="Times New Roman"/>
          <w:b w:val="0"/>
          <w:color w:val="000000"/>
          <w:sz w:val="24"/>
          <w:szCs w:val="24"/>
        </w:rPr>
        <w:t>, section 230A</w:t>
      </w:r>
    </w:p>
    <w:p w14:paraId="2C846A42" w14:textId="1B0FD0A2" w:rsidR="003B385B" w:rsidRPr="002C6D26" w:rsidRDefault="003B385B" w:rsidP="00DF7DA0">
      <w:pPr>
        <w:pStyle w:val="Heading"/>
        <w:tabs>
          <w:tab w:val="left" w:pos="360"/>
        </w:tabs>
        <w:spacing w:after="240"/>
        <w:jc w:val="center"/>
        <w:rPr>
          <w:rFonts w:ascii="Times New Roman" w:hAnsi="Times New Roman"/>
          <w:b w:val="0"/>
          <w:sz w:val="24"/>
          <w:szCs w:val="24"/>
        </w:rPr>
      </w:pPr>
      <w:r w:rsidRPr="003B385B">
        <w:rPr>
          <w:rFonts w:ascii="Times New Roman" w:hAnsi="Times New Roman"/>
          <w:b w:val="0"/>
          <w:i/>
          <w:color w:val="000000"/>
          <w:sz w:val="24"/>
          <w:szCs w:val="24"/>
        </w:rPr>
        <w:t>Superannuation Industry (Supervision) Act 1993</w:t>
      </w:r>
      <w:r>
        <w:rPr>
          <w:rFonts w:ascii="Times New Roman" w:hAnsi="Times New Roman"/>
          <w:b w:val="0"/>
          <w:color w:val="000000"/>
          <w:sz w:val="24"/>
          <w:szCs w:val="24"/>
        </w:rPr>
        <w:t>, section 34C</w:t>
      </w:r>
    </w:p>
    <w:p w14:paraId="48C38695" w14:textId="23677E4C" w:rsidR="003B385B" w:rsidRDefault="003B385B" w:rsidP="00DF7DA0">
      <w:pPr>
        <w:widowControl w:val="0"/>
        <w:spacing w:after="240"/>
        <w:jc w:val="both"/>
        <w:rPr>
          <w:rFonts w:ascii="Times New Roman" w:hAnsi="Times New Roman"/>
          <w:sz w:val="24"/>
          <w:szCs w:val="24"/>
        </w:rPr>
      </w:pPr>
      <w:bookmarkStart w:id="1" w:name="bkAct"/>
      <w:bookmarkStart w:id="2" w:name="bkExplanatory"/>
      <w:bookmarkEnd w:id="1"/>
      <w:bookmarkEnd w:id="2"/>
      <w:r>
        <w:rPr>
          <w:rFonts w:ascii="Times New Roman" w:hAnsi="Times New Roman"/>
          <w:sz w:val="24"/>
          <w:szCs w:val="24"/>
        </w:rPr>
        <w:t>APRA may, in writing, determine a prudential standard that applies to an APRA-regulated institution under:</w:t>
      </w:r>
    </w:p>
    <w:p w14:paraId="066E4F30" w14:textId="13AF37A3" w:rsidR="002436BD" w:rsidRDefault="002436BD" w:rsidP="00DF7DA0">
      <w:pPr>
        <w:pStyle w:val="ListParagraph"/>
        <w:widowControl w:val="0"/>
        <w:numPr>
          <w:ilvl w:val="0"/>
          <w:numId w:val="13"/>
        </w:numPr>
        <w:spacing w:after="240"/>
        <w:jc w:val="both"/>
        <w:rPr>
          <w:rFonts w:ascii="Times New Roman" w:hAnsi="Times New Roman"/>
          <w:sz w:val="24"/>
          <w:szCs w:val="24"/>
        </w:rPr>
      </w:pPr>
      <w:r w:rsidRPr="003B385B">
        <w:rPr>
          <w:rFonts w:ascii="Times New Roman" w:hAnsi="Times New Roman"/>
          <w:sz w:val="24"/>
          <w:szCs w:val="24"/>
        </w:rPr>
        <w:t xml:space="preserve">subsection 11AF(1) of the </w:t>
      </w:r>
      <w:r w:rsidRPr="00FE5813">
        <w:rPr>
          <w:rFonts w:ascii="Times New Roman" w:hAnsi="Times New Roman"/>
          <w:i/>
          <w:sz w:val="24"/>
          <w:szCs w:val="24"/>
        </w:rPr>
        <w:t>Banking</w:t>
      </w:r>
      <w:r w:rsidRPr="003B385B">
        <w:rPr>
          <w:rFonts w:ascii="Times New Roman" w:hAnsi="Times New Roman"/>
          <w:i/>
          <w:sz w:val="24"/>
          <w:szCs w:val="24"/>
        </w:rPr>
        <w:t xml:space="preserve"> Act 1959</w:t>
      </w:r>
      <w:r w:rsidRPr="003B385B">
        <w:rPr>
          <w:rFonts w:ascii="Times New Roman" w:hAnsi="Times New Roman"/>
          <w:sz w:val="24"/>
          <w:szCs w:val="24"/>
        </w:rPr>
        <w:t xml:space="preserve"> (</w:t>
      </w:r>
      <w:r w:rsidR="003B385B">
        <w:rPr>
          <w:rFonts w:ascii="Times New Roman" w:hAnsi="Times New Roman"/>
          <w:sz w:val="24"/>
          <w:szCs w:val="24"/>
        </w:rPr>
        <w:t>Banking</w:t>
      </w:r>
      <w:r w:rsidRPr="003B385B">
        <w:rPr>
          <w:rFonts w:ascii="Times New Roman" w:hAnsi="Times New Roman"/>
          <w:sz w:val="24"/>
          <w:szCs w:val="24"/>
        </w:rPr>
        <w:t xml:space="preserve"> Act), </w:t>
      </w:r>
      <w:r w:rsidR="009C455A">
        <w:rPr>
          <w:rFonts w:ascii="Times New Roman" w:hAnsi="Times New Roman"/>
          <w:sz w:val="24"/>
          <w:szCs w:val="24"/>
        </w:rPr>
        <w:t>which applies to all</w:t>
      </w:r>
      <w:r w:rsidR="00564B46">
        <w:rPr>
          <w:rFonts w:ascii="Times New Roman" w:hAnsi="Times New Roman"/>
          <w:sz w:val="24"/>
          <w:szCs w:val="24"/>
        </w:rPr>
        <w:t xml:space="preserve"> </w:t>
      </w:r>
      <w:r w:rsidRPr="003B385B">
        <w:rPr>
          <w:rFonts w:ascii="Times New Roman" w:hAnsi="Times New Roman"/>
          <w:sz w:val="24"/>
          <w:szCs w:val="24"/>
        </w:rPr>
        <w:t xml:space="preserve">authorised deposit-taking institutions (ADIs) and authorised non-operating holding companies </w:t>
      </w:r>
      <w:r w:rsidR="00564B46">
        <w:rPr>
          <w:rFonts w:ascii="Times New Roman" w:hAnsi="Times New Roman"/>
          <w:sz w:val="24"/>
          <w:szCs w:val="24"/>
        </w:rPr>
        <w:t>(authorised NOHCs);</w:t>
      </w:r>
    </w:p>
    <w:p w14:paraId="7249DF9D" w14:textId="43F6365D" w:rsidR="00564B46" w:rsidRDefault="00564B46" w:rsidP="00DF7DA0">
      <w:pPr>
        <w:pStyle w:val="ListParagraph"/>
        <w:widowControl w:val="0"/>
        <w:numPr>
          <w:ilvl w:val="0"/>
          <w:numId w:val="13"/>
        </w:numPr>
        <w:spacing w:after="240"/>
        <w:jc w:val="both"/>
        <w:rPr>
          <w:rFonts w:ascii="Times New Roman" w:hAnsi="Times New Roman"/>
          <w:sz w:val="24"/>
          <w:szCs w:val="24"/>
        </w:rPr>
      </w:pPr>
      <w:r>
        <w:rPr>
          <w:rFonts w:ascii="Times New Roman" w:hAnsi="Times New Roman"/>
          <w:sz w:val="24"/>
          <w:szCs w:val="24"/>
        </w:rPr>
        <w:t xml:space="preserve">subsection 32(1) of the </w:t>
      </w:r>
      <w:r w:rsidRPr="00564B46">
        <w:rPr>
          <w:rFonts w:ascii="Times New Roman" w:hAnsi="Times New Roman"/>
          <w:i/>
          <w:sz w:val="24"/>
          <w:szCs w:val="24"/>
        </w:rPr>
        <w:t>Insurance Act 1973</w:t>
      </w:r>
      <w:r>
        <w:rPr>
          <w:rFonts w:ascii="Times New Roman" w:hAnsi="Times New Roman"/>
          <w:sz w:val="24"/>
          <w:szCs w:val="24"/>
        </w:rPr>
        <w:t xml:space="preserve"> (Insurance Act), </w:t>
      </w:r>
      <w:r w:rsidR="009C455A">
        <w:rPr>
          <w:rFonts w:ascii="Times New Roman" w:hAnsi="Times New Roman"/>
          <w:sz w:val="24"/>
          <w:szCs w:val="24"/>
        </w:rPr>
        <w:t>which applies to all</w:t>
      </w:r>
      <w:r>
        <w:rPr>
          <w:rFonts w:ascii="Times New Roman" w:hAnsi="Times New Roman"/>
          <w:sz w:val="24"/>
          <w:szCs w:val="24"/>
        </w:rPr>
        <w:t xml:space="preserve"> general insurers and authorised non-operating holding companies (authorised insurance NOHCs);</w:t>
      </w:r>
    </w:p>
    <w:p w14:paraId="44A066E2" w14:textId="579078EE" w:rsidR="00564B46" w:rsidRDefault="00564B46" w:rsidP="00DF7DA0">
      <w:pPr>
        <w:pStyle w:val="ListParagraph"/>
        <w:widowControl w:val="0"/>
        <w:numPr>
          <w:ilvl w:val="0"/>
          <w:numId w:val="13"/>
        </w:numPr>
        <w:spacing w:after="240"/>
        <w:jc w:val="both"/>
        <w:rPr>
          <w:rFonts w:ascii="Times New Roman" w:hAnsi="Times New Roman"/>
          <w:sz w:val="24"/>
          <w:szCs w:val="24"/>
        </w:rPr>
      </w:pPr>
      <w:r>
        <w:rPr>
          <w:rFonts w:ascii="Times New Roman" w:hAnsi="Times New Roman"/>
          <w:sz w:val="24"/>
          <w:szCs w:val="24"/>
        </w:rPr>
        <w:t xml:space="preserve">subsection 230A(1) of the </w:t>
      </w:r>
      <w:r w:rsidRPr="00564B46">
        <w:rPr>
          <w:rFonts w:ascii="Times New Roman" w:hAnsi="Times New Roman"/>
          <w:i/>
          <w:sz w:val="24"/>
          <w:szCs w:val="24"/>
        </w:rPr>
        <w:t>Life Insurance Act 1995</w:t>
      </w:r>
      <w:r>
        <w:rPr>
          <w:rFonts w:ascii="Times New Roman" w:hAnsi="Times New Roman"/>
          <w:sz w:val="24"/>
          <w:szCs w:val="24"/>
        </w:rPr>
        <w:t xml:space="preserve"> (Life Insurance Act), </w:t>
      </w:r>
      <w:r w:rsidR="00932A8E">
        <w:rPr>
          <w:rFonts w:ascii="Times New Roman" w:hAnsi="Times New Roman"/>
          <w:sz w:val="24"/>
          <w:szCs w:val="24"/>
        </w:rPr>
        <w:t>which applies to all</w:t>
      </w:r>
      <w:r>
        <w:rPr>
          <w:rFonts w:ascii="Times New Roman" w:hAnsi="Times New Roman"/>
          <w:sz w:val="24"/>
          <w:szCs w:val="24"/>
        </w:rPr>
        <w:t xml:space="preserve"> life companies (including friendly societies) and registered non-operating holding companies (registered life NOHCs); and</w:t>
      </w:r>
    </w:p>
    <w:p w14:paraId="42314CD1" w14:textId="5C7C38EC" w:rsidR="00564B46" w:rsidRPr="003B385B" w:rsidRDefault="007624D6" w:rsidP="00DF7DA0">
      <w:pPr>
        <w:pStyle w:val="ListParagraph"/>
        <w:widowControl w:val="0"/>
        <w:numPr>
          <w:ilvl w:val="0"/>
          <w:numId w:val="13"/>
        </w:numPr>
        <w:spacing w:after="240"/>
        <w:jc w:val="both"/>
        <w:rPr>
          <w:rFonts w:ascii="Times New Roman" w:hAnsi="Times New Roman"/>
          <w:sz w:val="24"/>
          <w:szCs w:val="24"/>
        </w:rPr>
      </w:pPr>
      <w:r>
        <w:rPr>
          <w:rFonts w:ascii="Times New Roman" w:hAnsi="Times New Roman"/>
          <w:sz w:val="24"/>
          <w:szCs w:val="24"/>
        </w:rPr>
        <w:t>subsection 34C(1)</w:t>
      </w:r>
      <w:r w:rsidR="00564B46">
        <w:rPr>
          <w:rFonts w:ascii="Times New Roman" w:hAnsi="Times New Roman"/>
          <w:sz w:val="24"/>
          <w:szCs w:val="24"/>
        </w:rPr>
        <w:t xml:space="preserve"> of the </w:t>
      </w:r>
      <w:r w:rsidR="00564B46" w:rsidRPr="00564B46">
        <w:rPr>
          <w:rFonts w:ascii="Times New Roman" w:hAnsi="Times New Roman"/>
          <w:i/>
          <w:sz w:val="24"/>
          <w:szCs w:val="24"/>
        </w:rPr>
        <w:t>Superannuation Industry (Supervision) Act 1993</w:t>
      </w:r>
      <w:r w:rsidR="00564B46">
        <w:rPr>
          <w:rFonts w:ascii="Times New Roman" w:hAnsi="Times New Roman"/>
          <w:sz w:val="24"/>
          <w:szCs w:val="24"/>
        </w:rPr>
        <w:t xml:space="preserve"> (SIS Act), </w:t>
      </w:r>
      <w:r w:rsidR="00932A8E">
        <w:rPr>
          <w:rFonts w:ascii="Times New Roman" w:hAnsi="Times New Roman"/>
          <w:sz w:val="24"/>
          <w:szCs w:val="24"/>
        </w:rPr>
        <w:t>which applies to all</w:t>
      </w:r>
      <w:r w:rsidR="00564B46">
        <w:rPr>
          <w:rFonts w:ascii="Times New Roman" w:hAnsi="Times New Roman"/>
          <w:sz w:val="24"/>
          <w:szCs w:val="24"/>
        </w:rPr>
        <w:t xml:space="preserve"> Registered Superannuation Entity Licensees (RSELs).</w:t>
      </w:r>
    </w:p>
    <w:p w14:paraId="7E60D848" w14:textId="1234E809" w:rsidR="00C30E88" w:rsidRDefault="00C30E88" w:rsidP="00DF7DA0">
      <w:pPr>
        <w:widowControl w:val="0"/>
        <w:spacing w:after="240"/>
        <w:jc w:val="both"/>
        <w:rPr>
          <w:rFonts w:ascii="Times New Roman" w:hAnsi="Times New Roman"/>
          <w:sz w:val="24"/>
          <w:szCs w:val="24"/>
        </w:rPr>
      </w:pPr>
      <w:r>
        <w:rPr>
          <w:rFonts w:ascii="Times New Roman" w:hAnsi="Times New Roman"/>
          <w:sz w:val="24"/>
          <w:szCs w:val="24"/>
        </w:rPr>
        <w:t>APRA may, in writing, vary or revoke a prudential standard that applies to an APRA-regulated institution under:</w:t>
      </w:r>
    </w:p>
    <w:p w14:paraId="3138B267" w14:textId="24A0963E" w:rsidR="00C30E88" w:rsidRDefault="00C30E88" w:rsidP="007624D6">
      <w:pPr>
        <w:pStyle w:val="ListParagraph"/>
        <w:widowControl w:val="0"/>
        <w:numPr>
          <w:ilvl w:val="0"/>
          <w:numId w:val="14"/>
        </w:numPr>
        <w:spacing w:after="240"/>
        <w:jc w:val="both"/>
        <w:rPr>
          <w:rFonts w:ascii="Times New Roman" w:hAnsi="Times New Roman"/>
          <w:sz w:val="24"/>
          <w:szCs w:val="24"/>
        </w:rPr>
      </w:pPr>
      <w:r w:rsidRPr="003B385B">
        <w:rPr>
          <w:rFonts w:ascii="Times New Roman" w:hAnsi="Times New Roman"/>
          <w:sz w:val="24"/>
          <w:szCs w:val="24"/>
        </w:rPr>
        <w:t>subsection 11AF(</w:t>
      </w:r>
      <w:r w:rsidR="007624D6">
        <w:rPr>
          <w:rFonts w:ascii="Times New Roman" w:hAnsi="Times New Roman"/>
          <w:sz w:val="24"/>
          <w:szCs w:val="24"/>
        </w:rPr>
        <w:t>3</w:t>
      </w:r>
      <w:r w:rsidRPr="003B385B">
        <w:rPr>
          <w:rFonts w:ascii="Times New Roman" w:hAnsi="Times New Roman"/>
          <w:sz w:val="24"/>
          <w:szCs w:val="24"/>
        </w:rPr>
        <w:t xml:space="preserve">) </w:t>
      </w:r>
      <w:r w:rsidR="003B3CF0">
        <w:rPr>
          <w:rFonts w:ascii="Times New Roman" w:hAnsi="Times New Roman"/>
          <w:sz w:val="24"/>
          <w:szCs w:val="24"/>
        </w:rPr>
        <w:t xml:space="preserve">of the </w:t>
      </w:r>
      <w:r>
        <w:rPr>
          <w:rFonts w:ascii="Times New Roman" w:hAnsi="Times New Roman"/>
          <w:sz w:val="24"/>
          <w:szCs w:val="24"/>
        </w:rPr>
        <w:t>Banking</w:t>
      </w:r>
      <w:r w:rsidRPr="003B385B">
        <w:rPr>
          <w:rFonts w:ascii="Times New Roman" w:hAnsi="Times New Roman"/>
          <w:sz w:val="24"/>
          <w:szCs w:val="24"/>
        </w:rPr>
        <w:t xml:space="preserve"> Act, </w:t>
      </w:r>
      <w:r w:rsidR="00932A8E">
        <w:rPr>
          <w:rFonts w:ascii="Times New Roman" w:hAnsi="Times New Roman"/>
          <w:sz w:val="24"/>
          <w:szCs w:val="24"/>
        </w:rPr>
        <w:t>which applies to all</w:t>
      </w:r>
      <w:r>
        <w:rPr>
          <w:rFonts w:ascii="Times New Roman" w:hAnsi="Times New Roman"/>
          <w:sz w:val="24"/>
          <w:szCs w:val="24"/>
        </w:rPr>
        <w:t xml:space="preserve"> </w:t>
      </w:r>
      <w:r w:rsidR="007624D6">
        <w:rPr>
          <w:rFonts w:ascii="Times New Roman" w:hAnsi="Times New Roman"/>
          <w:sz w:val="24"/>
          <w:szCs w:val="24"/>
        </w:rPr>
        <w:t>ADIs</w:t>
      </w:r>
      <w:r w:rsidRPr="003B385B">
        <w:rPr>
          <w:rFonts w:ascii="Times New Roman" w:hAnsi="Times New Roman"/>
          <w:sz w:val="24"/>
          <w:szCs w:val="24"/>
        </w:rPr>
        <w:t xml:space="preserve"> and </w:t>
      </w:r>
      <w:r w:rsidR="007624D6">
        <w:rPr>
          <w:rFonts w:ascii="Times New Roman" w:hAnsi="Times New Roman"/>
          <w:sz w:val="24"/>
          <w:szCs w:val="24"/>
        </w:rPr>
        <w:t>authorised NOHCs</w:t>
      </w:r>
      <w:r>
        <w:rPr>
          <w:rFonts w:ascii="Times New Roman" w:hAnsi="Times New Roman"/>
          <w:sz w:val="24"/>
          <w:szCs w:val="24"/>
        </w:rPr>
        <w:t>;</w:t>
      </w:r>
    </w:p>
    <w:p w14:paraId="6720DD87" w14:textId="3FB0A091" w:rsidR="00C30E88" w:rsidRDefault="007624D6" w:rsidP="007624D6">
      <w:pPr>
        <w:pStyle w:val="ListParagraph"/>
        <w:widowControl w:val="0"/>
        <w:numPr>
          <w:ilvl w:val="0"/>
          <w:numId w:val="14"/>
        </w:numPr>
        <w:spacing w:after="240"/>
        <w:jc w:val="both"/>
        <w:rPr>
          <w:rFonts w:ascii="Times New Roman" w:hAnsi="Times New Roman"/>
          <w:sz w:val="24"/>
          <w:szCs w:val="24"/>
        </w:rPr>
      </w:pPr>
      <w:r>
        <w:rPr>
          <w:rFonts w:ascii="Times New Roman" w:hAnsi="Times New Roman"/>
          <w:sz w:val="24"/>
          <w:szCs w:val="24"/>
        </w:rPr>
        <w:t>subsection 32(4</w:t>
      </w:r>
      <w:r w:rsidR="00C30E88">
        <w:rPr>
          <w:rFonts w:ascii="Times New Roman" w:hAnsi="Times New Roman"/>
          <w:sz w:val="24"/>
          <w:szCs w:val="24"/>
        </w:rPr>
        <w:t xml:space="preserve">) of the </w:t>
      </w:r>
      <w:r>
        <w:rPr>
          <w:rFonts w:ascii="Times New Roman" w:hAnsi="Times New Roman"/>
          <w:sz w:val="24"/>
          <w:szCs w:val="24"/>
        </w:rPr>
        <w:t>Insurance Act</w:t>
      </w:r>
      <w:r w:rsidR="00C30E88">
        <w:rPr>
          <w:rFonts w:ascii="Times New Roman" w:hAnsi="Times New Roman"/>
          <w:sz w:val="24"/>
          <w:szCs w:val="24"/>
        </w:rPr>
        <w:t xml:space="preserve">, </w:t>
      </w:r>
      <w:r w:rsidR="00932A8E">
        <w:rPr>
          <w:rFonts w:ascii="Times New Roman" w:hAnsi="Times New Roman"/>
          <w:sz w:val="24"/>
          <w:szCs w:val="24"/>
        </w:rPr>
        <w:t>which applies to all</w:t>
      </w:r>
      <w:r w:rsidR="00C30E88">
        <w:rPr>
          <w:rFonts w:ascii="Times New Roman" w:hAnsi="Times New Roman"/>
          <w:sz w:val="24"/>
          <w:szCs w:val="24"/>
        </w:rPr>
        <w:t xml:space="preserve"> general insurers and </w:t>
      </w:r>
      <w:r>
        <w:rPr>
          <w:rFonts w:ascii="Times New Roman" w:hAnsi="Times New Roman"/>
          <w:sz w:val="24"/>
          <w:szCs w:val="24"/>
        </w:rPr>
        <w:t>authorised insurance NOHCs</w:t>
      </w:r>
      <w:r w:rsidR="00C30E88">
        <w:rPr>
          <w:rFonts w:ascii="Times New Roman" w:hAnsi="Times New Roman"/>
          <w:sz w:val="24"/>
          <w:szCs w:val="24"/>
        </w:rPr>
        <w:t>;</w:t>
      </w:r>
    </w:p>
    <w:p w14:paraId="72DF6226" w14:textId="4BC51E7F" w:rsidR="00C30E88" w:rsidRDefault="007624D6" w:rsidP="007624D6">
      <w:pPr>
        <w:pStyle w:val="ListParagraph"/>
        <w:widowControl w:val="0"/>
        <w:numPr>
          <w:ilvl w:val="0"/>
          <w:numId w:val="14"/>
        </w:numPr>
        <w:spacing w:after="240"/>
        <w:jc w:val="both"/>
        <w:rPr>
          <w:rFonts w:ascii="Times New Roman" w:hAnsi="Times New Roman"/>
          <w:sz w:val="24"/>
          <w:szCs w:val="24"/>
        </w:rPr>
      </w:pPr>
      <w:r>
        <w:rPr>
          <w:rFonts w:ascii="Times New Roman" w:hAnsi="Times New Roman"/>
          <w:sz w:val="24"/>
          <w:szCs w:val="24"/>
        </w:rPr>
        <w:t>subsection 230</w:t>
      </w:r>
      <w:proofErr w:type="gramStart"/>
      <w:r>
        <w:rPr>
          <w:rFonts w:ascii="Times New Roman" w:hAnsi="Times New Roman"/>
          <w:sz w:val="24"/>
          <w:szCs w:val="24"/>
        </w:rPr>
        <w:t>A(</w:t>
      </w:r>
      <w:proofErr w:type="gramEnd"/>
      <w:r>
        <w:rPr>
          <w:rFonts w:ascii="Times New Roman" w:hAnsi="Times New Roman"/>
          <w:sz w:val="24"/>
          <w:szCs w:val="24"/>
        </w:rPr>
        <w:t>5</w:t>
      </w:r>
      <w:r w:rsidR="00C30E88">
        <w:rPr>
          <w:rFonts w:ascii="Times New Roman" w:hAnsi="Times New Roman"/>
          <w:sz w:val="24"/>
          <w:szCs w:val="24"/>
        </w:rPr>
        <w:t xml:space="preserve">) of the </w:t>
      </w:r>
      <w:r>
        <w:rPr>
          <w:rFonts w:ascii="Times New Roman" w:hAnsi="Times New Roman"/>
          <w:sz w:val="24"/>
          <w:szCs w:val="24"/>
        </w:rPr>
        <w:t>Life Insurance Act</w:t>
      </w:r>
      <w:r w:rsidR="00C30E88">
        <w:rPr>
          <w:rFonts w:ascii="Times New Roman" w:hAnsi="Times New Roman"/>
          <w:sz w:val="24"/>
          <w:szCs w:val="24"/>
        </w:rPr>
        <w:t xml:space="preserve">, </w:t>
      </w:r>
      <w:r w:rsidR="00932A8E">
        <w:rPr>
          <w:rFonts w:ascii="Times New Roman" w:hAnsi="Times New Roman"/>
          <w:sz w:val="24"/>
          <w:szCs w:val="24"/>
        </w:rPr>
        <w:t xml:space="preserve">which applies to all </w:t>
      </w:r>
      <w:r w:rsidR="00956119">
        <w:rPr>
          <w:rFonts w:ascii="Times New Roman" w:hAnsi="Times New Roman"/>
          <w:sz w:val="24"/>
          <w:szCs w:val="24"/>
        </w:rPr>
        <w:t xml:space="preserve">life </w:t>
      </w:r>
      <w:r w:rsidR="00C30E88">
        <w:rPr>
          <w:rFonts w:ascii="Times New Roman" w:hAnsi="Times New Roman"/>
          <w:sz w:val="24"/>
          <w:szCs w:val="24"/>
        </w:rPr>
        <w:t xml:space="preserve">companies (including friendly societies) and </w:t>
      </w:r>
      <w:r>
        <w:rPr>
          <w:rFonts w:ascii="Times New Roman" w:hAnsi="Times New Roman"/>
          <w:sz w:val="24"/>
          <w:szCs w:val="24"/>
        </w:rPr>
        <w:t>registered life NOHCs</w:t>
      </w:r>
      <w:r w:rsidR="00C30E88">
        <w:rPr>
          <w:rFonts w:ascii="Times New Roman" w:hAnsi="Times New Roman"/>
          <w:sz w:val="24"/>
          <w:szCs w:val="24"/>
        </w:rPr>
        <w:t>; and</w:t>
      </w:r>
    </w:p>
    <w:p w14:paraId="7EC55166" w14:textId="5D2BC384" w:rsidR="00C30E88" w:rsidRPr="003B385B" w:rsidRDefault="007624D6" w:rsidP="007624D6">
      <w:pPr>
        <w:pStyle w:val="ListParagraph"/>
        <w:widowControl w:val="0"/>
        <w:numPr>
          <w:ilvl w:val="0"/>
          <w:numId w:val="14"/>
        </w:numPr>
        <w:spacing w:after="240"/>
        <w:jc w:val="both"/>
        <w:rPr>
          <w:rFonts w:ascii="Times New Roman" w:hAnsi="Times New Roman"/>
          <w:sz w:val="24"/>
          <w:szCs w:val="24"/>
        </w:rPr>
      </w:pPr>
      <w:r>
        <w:rPr>
          <w:rFonts w:ascii="Times New Roman" w:hAnsi="Times New Roman"/>
          <w:sz w:val="24"/>
          <w:szCs w:val="24"/>
        </w:rPr>
        <w:t>subsection 34C(6</w:t>
      </w:r>
      <w:r w:rsidR="00C30E88">
        <w:rPr>
          <w:rFonts w:ascii="Times New Roman" w:hAnsi="Times New Roman"/>
          <w:sz w:val="24"/>
          <w:szCs w:val="24"/>
        </w:rPr>
        <w:t xml:space="preserve">) of the </w:t>
      </w:r>
      <w:r>
        <w:rPr>
          <w:rFonts w:ascii="Times New Roman" w:hAnsi="Times New Roman"/>
          <w:sz w:val="24"/>
          <w:szCs w:val="24"/>
        </w:rPr>
        <w:t>SIS Act</w:t>
      </w:r>
      <w:r w:rsidR="00C30E88">
        <w:rPr>
          <w:rFonts w:ascii="Times New Roman" w:hAnsi="Times New Roman"/>
          <w:sz w:val="24"/>
          <w:szCs w:val="24"/>
        </w:rPr>
        <w:t xml:space="preserve">, </w:t>
      </w:r>
      <w:r w:rsidR="00932A8E">
        <w:rPr>
          <w:rFonts w:ascii="Times New Roman" w:hAnsi="Times New Roman"/>
          <w:sz w:val="24"/>
          <w:szCs w:val="24"/>
        </w:rPr>
        <w:t>which applies to all</w:t>
      </w:r>
      <w:r w:rsidR="00C30E88">
        <w:rPr>
          <w:rFonts w:ascii="Times New Roman" w:hAnsi="Times New Roman"/>
          <w:sz w:val="24"/>
          <w:szCs w:val="24"/>
        </w:rPr>
        <w:t xml:space="preserve"> </w:t>
      </w:r>
      <w:r>
        <w:rPr>
          <w:rFonts w:ascii="Times New Roman" w:hAnsi="Times New Roman"/>
          <w:sz w:val="24"/>
          <w:szCs w:val="24"/>
        </w:rPr>
        <w:t>RSELs</w:t>
      </w:r>
      <w:r w:rsidR="00C30E88">
        <w:rPr>
          <w:rFonts w:ascii="Times New Roman" w:hAnsi="Times New Roman"/>
          <w:sz w:val="24"/>
          <w:szCs w:val="24"/>
        </w:rPr>
        <w:t>.</w:t>
      </w:r>
    </w:p>
    <w:p w14:paraId="15A5119B" w14:textId="1FDC7D03" w:rsidR="00155C7D" w:rsidRPr="00EE2C47" w:rsidRDefault="002436BD" w:rsidP="006D0EF5">
      <w:pPr>
        <w:spacing w:after="240"/>
        <w:jc w:val="both"/>
        <w:rPr>
          <w:rFonts w:ascii="Times New Roman" w:hAnsi="Times New Roman"/>
          <w:i/>
          <w:sz w:val="24"/>
          <w:szCs w:val="24"/>
        </w:rPr>
      </w:pPr>
      <w:r w:rsidRPr="00B4167D">
        <w:rPr>
          <w:rFonts w:ascii="Times New Roman" w:hAnsi="Times New Roman"/>
          <w:sz w:val="24"/>
          <w:szCs w:val="24"/>
        </w:rPr>
        <w:t xml:space="preserve">On </w:t>
      </w:r>
      <w:r w:rsidR="00B4167D" w:rsidRPr="00B4167D">
        <w:rPr>
          <w:rFonts w:ascii="Times New Roman" w:hAnsi="Times New Roman"/>
          <w:sz w:val="24"/>
          <w:szCs w:val="24"/>
        </w:rPr>
        <w:t>1 December</w:t>
      </w:r>
      <w:r w:rsidR="00556C43" w:rsidRPr="00B4167D">
        <w:rPr>
          <w:rFonts w:ascii="Times New Roman" w:hAnsi="Times New Roman"/>
          <w:sz w:val="24"/>
          <w:szCs w:val="24"/>
        </w:rPr>
        <w:t xml:space="preserve"> 2022</w:t>
      </w:r>
      <w:r w:rsidRPr="00B4167D">
        <w:rPr>
          <w:rFonts w:ascii="Times New Roman" w:hAnsi="Times New Roman"/>
          <w:sz w:val="24"/>
          <w:szCs w:val="24"/>
        </w:rPr>
        <w:t>, APRA made</w:t>
      </w:r>
      <w:r w:rsidR="00155C7D" w:rsidRPr="00B4167D">
        <w:rPr>
          <w:rFonts w:ascii="Times New Roman" w:hAnsi="Times New Roman"/>
          <w:sz w:val="24"/>
          <w:szCs w:val="24"/>
        </w:rPr>
        <w:t xml:space="preserve"> </w:t>
      </w:r>
      <w:bookmarkStart w:id="3" w:name="_Hlk98842474"/>
      <w:r w:rsidR="00155C7D" w:rsidRPr="00B4167D">
        <w:rPr>
          <w:rFonts w:ascii="Times New Roman" w:hAnsi="Times New Roman"/>
          <w:sz w:val="24"/>
          <w:szCs w:val="24"/>
        </w:rPr>
        <w:t>Banking, Insurance, Life Insurance and</w:t>
      </w:r>
      <w:r w:rsidR="00155C7D" w:rsidRPr="00EE2C47">
        <w:rPr>
          <w:rFonts w:ascii="Times New Roman" w:hAnsi="Times New Roman"/>
          <w:sz w:val="24"/>
          <w:szCs w:val="24"/>
        </w:rPr>
        <w:t xml:space="preserve"> Superannuation (prudential standard) determination No</w:t>
      </w:r>
      <w:r w:rsidR="00556C43" w:rsidRPr="00EE2C47">
        <w:rPr>
          <w:rFonts w:ascii="Times New Roman" w:hAnsi="Times New Roman"/>
          <w:sz w:val="24"/>
          <w:szCs w:val="24"/>
        </w:rPr>
        <w:t>.</w:t>
      </w:r>
      <w:r w:rsidR="00155C7D" w:rsidRPr="00EE2C47">
        <w:rPr>
          <w:rFonts w:ascii="Times New Roman" w:hAnsi="Times New Roman"/>
          <w:sz w:val="24"/>
          <w:szCs w:val="24"/>
        </w:rPr>
        <w:t xml:space="preserve"> </w:t>
      </w:r>
      <w:r w:rsidR="00956C89">
        <w:rPr>
          <w:rFonts w:ascii="Times New Roman" w:hAnsi="Times New Roman"/>
          <w:sz w:val="24"/>
          <w:szCs w:val="24"/>
        </w:rPr>
        <w:t>2</w:t>
      </w:r>
      <w:r w:rsidR="00155C7D" w:rsidRPr="00EE2C47">
        <w:rPr>
          <w:rFonts w:ascii="Times New Roman" w:hAnsi="Times New Roman"/>
          <w:sz w:val="24"/>
          <w:szCs w:val="24"/>
        </w:rPr>
        <w:t xml:space="preserve"> of 202</w:t>
      </w:r>
      <w:r w:rsidR="00556C43" w:rsidRPr="00EE2C47">
        <w:rPr>
          <w:rFonts w:ascii="Times New Roman" w:hAnsi="Times New Roman"/>
          <w:sz w:val="24"/>
          <w:szCs w:val="24"/>
        </w:rPr>
        <w:t>2</w:t>
      </w:r>
      <w:r w:rsidR="00340D2E" w:rsidRPr="00EE2C47">
        <w:rPr>
          <w:rFonts w:ascii="Times New Roman" w:hAnsi="Times New Roman"/>
          <w:sz w:val="24"/>
          <w:szCs w:val="24"/>
        </w:rPr>
        <w:t xml:space="preserve"> </w:t>
      </w:r>
      <w:bookmarkEnd w:id="3"/>
      <w:r w:rsidR="00340D2E" w:rsidRPr="00EE2C47">
        <w:rPr>
          <w:rFonts w:ascii="Times New Roman" w:hAnsi="Times New Roman"/>
          <w:sz w:val="24"/>
          <w:szCs w:val="24"/>
        </w:rPr>
        <w:t>(the instrument)</w:t>
      </w:r>
      <w:r w:rsidR="00155C7D" w:rsidRPr="00EE2C47">
        <w:rPr>
          <w:rFonts w:ascii="Times New Roman" w:hAnsi="Times New Roman"/>
          <w:sz w:val="24"/>
          <w:szCs w:val="24"/>
        </w:rPr>
        <w:t>, which revokes</w:t>
      </w:r>
      <w:r w:rsidR="00340D2E" w:rsidRPr="00EE2C47">
        <w:rPr>
          <w:rFonts w:ascii="Times New Roman" w:hAnsi="Times New Roman"/>
          <w:sz w:val="24"/>
          <w:szCs w:val="24"/>
        </w:rPr>
        <w:t xml:space="preserve"> </w:t>
      </w:r>
      <w:r w:rsidR="00155C7D" w:rsidRPr="00EE2C47">
        <w:rPr>
          <w:rFonts w:ascii="Times New Roman" w:hAnsi="Times New Roman"/>
          <w:i/>
          <w:sz w:val="24"/>
          <w:szCs w:val="24"/>
        </w:rPr>
        <w:t xml:space="preserve">Prudential Standard CPS 226 Margining and Risk Mitigation for Non-Centrally Cleared Derivatives </w:t>
      </w:r>
      <w:r w:rsidR="00155C7D" w:rsidRPr="00EE2C47">
        <w:rPr>
          <w:rFonts w:ascii="Times New Roman" w:hAnsi="Times New Roman"/>
          <w:sz w:val="24"/>
          <w:szCs w:val="24"/>
        </w:rPr>
        <w:t>made under Banking, Insurance, Life Insurance and Superannuation (prudential standard) determination No</w:t>
      </w:r>
      <w:r w:rsidR="00556C43" w:rsidRPr="00EE2C47">
        <w:rPr>
          <w:rFonts w:ascii="Times New Roman" w:hAnsi="Times New Roman"/>
          <w:sz w:val="24"/>
          <w:szCs w:val="24"/>
        </w:rPr>
        <w:t>.</w:t>
      </w:r>
      <w:r w:rsidR="00155C7D" w:rsidRPr="00EE2C47">
        <w:rPr>
          <w:rFonts w:ascii="Times New Roman" w:hAnsi="Times New Roman"/>
          <w:sz w:val="24"/>
          <w:szCs w:val="24"/>
        </w:rPr>
        <w:t xml:space="preserve"> 1 of 20</w:t>
      </w:r>
      <w:r w:rsidR="00556C43" w:rsidRPr="00EE2C47">
        <w:rPr>
          <w:rFonts w:ascii="Times New Roman" w:hAnsi="Times New Roman"/>
          <w:sz w:val="24"/>
          <w:szCs w:val="24"/>
        </w:rPr>
        <w:t>2</w:t>
      </w:r>
      <w:r w:rsidR="00956C89">
        <w:rPr>
          <w:rFonts w:ascii="Times New Roman" w:hAnsi="Times New Roman"/>
          <w:sz w:val="24"/>
          <w:szCs w:val="24"/>
        </w:rPr>
        <w:t>2</w:t>
      </w:r>
      <w:r w:rsidR="00D10961" w:rsidRPr="00EE2C47">
        <w:rPr>
          <w:rFonts w:ascii="Times New Roman" w:hAnsi="Times New Roman"/>
          <w:sz w:val="24"/>
          <w:szCs w:val="24"/>
        </w:rPr>
        <w:t>,</w:t>
      </w:r>
      <w:r w:rsidR="00155C7D" w:rsidRPr="00EE2C47">
        <w:rPr>
          <w:rFonts w:ascii="Times New Roman" w:hAnsi="Times New Roman"/>
          <w:sz w:val="24"/>
          <w:szCs w:val="24"/>
        </w:rPr>
        <w:t xml:space="preserve"> and determines a </w:t>
      </w:r>
      <w:r w:rsidR="00155C7D" w:rsidRPr="00EE2C47">
        <w:rPr>
          <w:rFonts w:ascii="Times New Roman" w:hAnsi="Times New Roman"/>
          <w:sz w:val="24"/>
          <w:szCs w:val="24"/>
        </w:rPr>
        <w:lastRenderedPageBreak/>
        <w:t xml:space="preserve">new </w:t>
      </w:r>
      <w:r w:rsidR="00155C7D" w:rsidRPr="00EE2C47">
        <w:rPr>
          <w:rFonts w:ascii="Times New Roman" w:hAnsi="Times New Roman"/>
          <w:i/>
          <w:sz w:val="24"/>
          <w:szCs w:val="24"/>
        </w:rPr>
        <w:t>Prudential Standard CPS 226 Margining and Risk Mitigation for Non-Centrally Cleared Derivatives</w:t>
      </w:r>
      <w:r w:rsidR="00340D2E" w:rsidRPr="00EE2C47">
        <w:rPr>
          <w:rFonts w:ascii="Times New Roman" w:hAnsi="Times New Roman"/>
          <w:i/>
          <w:sz w:val="24"/>
          <w:szCs w:val="24"/>
        </w:rPr>
        <w:t xml:space="preserve"> </w:t>
      </w:r>
      <w:r w:rsidR="00340D2E" w:rsidRPr="00EE2C47">
        <w:rPr>
          <w:rFonts w:ascii="Times New Roman" w:hAnsi="Times New Roman"/>
          <w:sz w:val="24"/>
          <w:szCs w:val="24"/>
        </w:rPr>
        <w:t>(CPS 226)</w:t>
      </w:r>
      <w:r w:rsidR="00155C7D" w:rsidRPr="00EE2C47">
        <w:rPr>
          <w:rFonts w:ascii="Times New Roman" w:hAnsi="Times New Roman"/>
          <w:i/>
          <w:sz w:val="24"/>
          <w:szCs w:val="24"/>
        </w:rPr>
        <w:t>.</w:t>
      </w:r>
    </w:p>
    <w:p w14:paraId="11344BD8" w14:textId="4447CA91" w:rsidR="00340D2E" w:rsidRPr="005D57D5" w:rsidRDefault="00340D2E" w:rsidP="00155C7D">
      <w:pPr>
        <w:widowControl w:val="0"/>
        <w:spacing w:after="240"/>
        <w:jc w:val="both"/>
        <w:rPr>
          <w:rFonts w:ascii="Times New Roman" w:hAnsi="Times New Roman"/>
          <w:sz w:val="24"/>
          <w:szCs w:val="24"/>
        </w:rPr>
      </w:pPr>
      <w:r w:rsidRPr="00EE2C47">
        <w:rPr>
          <w:rFonts w:ascii="Times New Roman" w:hAnsi="Times New Roman"/>
          <w:sz w:val="24"/>
          <w:szCs w:val="24"/>
        </w:rPr>
        <w:t xml:space="preserve">The instrument commences on </w:t>
      </w:r>
      <w:r w:rsidRPr="007177EC">
        <w:rPr>
          <w:rFonts w:ascii="Times New Roman" w:hAnsi="Times New Roman"/>
          <w:sz w:val="24"/>
          <w:szCs w:val="24"/>
        </w:rPr>
        <w:t xml:space="preserve">1 </w:t>
      </w:r>
      <w:r w:rsidR="00956C89">
        <w:rPr>
          <w:rFonts w:ascii="Times New Roman" w:hAnsi="Times New Roman"/>
          <w:sz w:val="24"/>
          <w:szCs w:val="24"/>
        </w:rPr>
        <w:t>January 2023</w:t>
      </w:r>
      <w:r w:rsidRPr="007177EC">
        <w:rPr>
          <w:rFonts w:ascii="Times New Roman" w:hAnsi="Times New Roman"/>
          <w:sz w:val="24"/>
          <w:szCs w:val="24"/>
        </w:rPr>
        <w:t>.</w:t>
      </w:r>
      <w:r>
        <w:rPr>
          <w:rFonts w:ascii="Times New Roman" w:hAnsi="Times New Roman"/>
          <w:sz w:val="24"/>
          <w:szCs w:val="24"/>
        </w:rPr>
        <w:t xml:space="preserve"> </w:t>
      </w:r>
    </w:p>
    <w:p w14:paraId="25ABAD4C" w14:textId="3CF857FB"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r w:rsidR="00956C89">
        <w:rPr>
          <w:rFonts w:ascii="Times New Roman" w:hAnsi="Times New Roman"/>
          <w:sz w:val="24"/>
          <w:szCs w:val="24"/>
        </w:rPr>
        <w:t xml:space="preserve"> </w:t>
      </w:r>
    </w:p>
    <w:p w14:paraId="7C9BA389" w14:textId="06E6E499" w:rsidR="00D46E0A" w:rsidRDefault="00D46E0A" w:rsidP="00D46E0A">
      <w:pPr>
        <w:pStyle w:val="Heading"/>
        <w:keepNext/>
        <w:spacing w:after="240"/>
        <w:outlineLvl w:val="0"/>
        <w:rPr>
          <w:rFonts w:ascii="Times New Roman" w:hAnsi="Times New Roman"/>
          <w:b w:val="0"/>
          <w:sz w:val="24"/>
          <w:szCs w:val="24"/>
        </w:rPr>
      </w:pPr>
      <w:r>
        <w:rPr>
          <w:rFonts w:ascii="Times New Roman" w:hAnsi="Times New Roman"/>
          <w:b w:val="0"/>
          <w:sz w:val="24"/>
          <w:szCs w:val="24"/>
        </w:rPr>
        <w:t xml:space="preserve">APRA recently released a new </w:t>
      </w:r>
      <w:r w:rsidRPr="00E12DC1">
        <w:rPr>
          <w:rFonts w:ascii="Times New Roman" w:hAnsi="Times New Roman"/>
          <w:b w:val="0"/>
          <w:sz w:val="24"/>
          <w:szCs w:val="24"/>
        </w:rPr>
        <w:t xml:space="preserve">suite of prudential standards that impose regulatory capital </w:t>
      </w:r>
      <w:r w:rsidRPr="00AC1C4C">
        <w:rPr>
          <w:rFonts w:ascii="Times New Roman" w:hAnsi="Times New Roman"/>
          <w:b w:val="0"/>
          <w:sz w:val="24"/>
          <w:szCs w:val="24"/>
        </w:rPr>
        <w:t xml:space="preserve">requirements (the </w:t>
      </w:r>
      <w:r w:rsidR="00746DE3">
        <w:rPr>
          <w:rFonts w:ascii="Times New Roman" w:hAnsi="Times New Roman"/>
          <w:b w:val="0"/>
          <w:sz w:val="24"/>
          <w:szCs w:val="24"/>
        </w:rPr>
        <w:t xml:space="preserve">new </w:t>
      </w:r>
      <w:r w:rsidR="00DB046F">
        <w:rPr>
          <w:rFonts w:ascii="Times New Roman" w:hAnsi="Times New Roman"/>
          <w:b w:val="0"/>
          <w:sz w:val="24"/>
          <w:szCs w:val="24"/>
        </w:rPr>
        <w:t>ca</w:t>
      </w:r>
      <w:r w:rsidRPr="00AC1C4C">
        <w:rPr>
          <w:rFonts w:ascii="Times New Roman" w:hAnsi="Times New Roman"/>
          <w:b w:val="0"/>
          <w:sz w:val="24"/>
          <w:szCs w:val="24"/>
        </w:rPr>
        <w:t>pital standards)</w:t>
      </w:r>
      <w:r w:rsidRPr="00E12DC1">
        <w:rPr>
          <w:rFonts w:ascii="Times New Roman" w:hAnsi="Times New Roman"/>
          <w:b w:val="0"/>
          <w:sz w:val="24"/>
          <w:szCs w:val="24"/>
        </w:rPr>
        <w:t xml:space="preserve"> on ADIs for the purpose of ensuring ADIs hold sufficient capital to address the risks associated with their operations.</w:t>
      </w:r>
      <w:r>
        <w:rPr>
          <w:rFonts w:ascii="Times New Roman" w:hAnsi="Times New Roman"/>
          <w:b w:val="0"/>
          <w:sz w:val="24"/>
          <w:szCs w:val="24"/>
        </w:rPr>
        <w:t xml:space="preserve"> The changes follow recommendations from the 2014 Financial System Inquiry to increase capital requirements for ADIs such that they meet ‘unquestionably strong’ capital benchmarks and to meet Australia’s commitment for internationally agreed standards for prudential regulation for ADIs by implementing capital standards based on the framework agreed by the Basel Committee</w:t>
      </w:r>
      <w:r w:rsidR="00746DE3">
        <w:rPr>
          <w:rFonts w:ascii="Times New Roman" w:hAnsi="Times New Roman"/>
          <w:b w:val="0"/>
          <w:sz w:val="24"/>
          <w:szCs w:val="24"/>
        </w:rPr>
        <w:t xml:space="preserve"> on Banking Supervision (BCBS)</w:t>
      </w:r>
      <w:r>
        <w:rPr>
          <w:rFonts w:ascii="Times New Roman" w:hAnsi="Times New Roman"/>
          <w:b w:val="0"/>
          <w:sz w:val="24"/>
          <w:szCs w:val="24"/>
        </w:rPr>
        <w:t xml:space="preserve">. </w:t>
      </w:r>
    </w:p>
    <w:p w14:paraId="26C453E1" w14:textId="6F266B0A" w:rsidR="00D46E0A" w:rsidRDefault="00D46E0A" w:rsidP="007039D4">
      <w:pPr>
        <w:pStyle w:val="Heading"/>
        <w:keepNext/>
        <w:spacing w:after="240"/>
        <w:outlineLvl w:val="0"/>
        <w:rPr>
          <w:rFonts w:ascii="Times New Roman" w:hAnsi="Times New Roman"/>
          <w:b w:val="0"/>
          <w:sz w:val="24"/>
          <w:szCs w:val="24"/>
        </w:rPr>
      </w:pPr>
      <w:r>
        <w:rPr>
          <w:rFonts w:ascii="Times New Roman" w:hAnsi="Times New Roman"/>
          <w:b w:val="0"/>
          <w:sz w:val="24"/>
          <w:szCs w:val="24"/>
        </w:rPr>
        <w:t>The</w:t>
      </w:r>
      <w:r w:rsidR="00746DE3">
        <w:rPr>
          <w:rFonts w:ascii="Times New Roman" w:hAnsi="Times New Roman"/>
          <w:b w:val="0"/>
          <w:sz w:val="24"/>
          <w:szCs w:val="24"/>
        </w:rPr>
        <w:t xml:space="preserve"> new</w:t>
      </w:r>
      <w:r>
        <w:rPr>
          <w:rFonts w:ascii="Times New Roman" w:hAnsi="Times New Roman"/>
          <w:b w:val="0"/>
          <w:sz w:val="24"/>
          <w:szCs w:val="24"/>
        </w:rPr>
        <w:t xml:space="preserve"> capital standards, which come into effect from 1 January 2023, necessitate a series of consequential amendments to </w:t>
      </w:r>
      <w:r w:rsidR="00746DE3">
        <w:rPr>
          <w:rFonts w:ascii="Times New Roman" w:hAnsi="Times New Roman"/>
          <w:b w:val="0"/>
          <w:sz w:val="24"/>
          <w:szCs w:val="24"/>
        </w:rPr>
        <w:t xml:space="preserve">other </w:t>
      </w:r>
      <w:r>
        <w:rPr>
          <w:rFonts w:ascii="Times New Roman" w:hAnsi="Times New Roman"/>
          <w:b w:val="0"/>
          <w:sz w:val="24"/>
          <w:szCs w:val="24"/>
        </w:rPr>
        <w:t xml:space="preserve">existing prudential standards to ensure consistency of APRA’s broader prudential framework with the </w:t>
      </w:r>
      <w:r w:rsidR="00746DE3">
        <w:rPr>
          <w:rFonts w:ascii="Times New Roman" w:hAnsi="Times New Roman"/>
          <w:b w:val="0"/>
          <w:sz w:val="24"/>
          <w:szCs w:val="24"/>
        </w:rPr>
        <w:t xml:space="preserve">new </w:t>
      </w:r>
      <w:r>
        <w:rPr>
          <w:rFonts w:ascii="Times New Roman" w:hAnsi="Times New Roman"/>
          <w:b w:val="0"/>
          <w:sz w:val="24"/>
          <w:szCs w:val="24"/>
        </w:rPr>
        <w:t>capital standards.</w:t>
      </w:r>
      <w:r w:rsidR="00471D75">
        <w:t xml:space="preserve"> </w:t>
      </w:r>
      <w:r w:rsidR="00471D75">
        <w:rPr>
          <w:rFonts w:ascii="Times New Roman" w:hAnsi="Times New Roman"/>
          <w:b w:val="0"/>
          <w:sz w:val="24"/>
          <w:szCs w:val="24"/>
        </w:rPr>
        <w:t xml:space="preserve">The key changes include ensuring APRA’s broader prudential framework reflects changes made in the </w:t>
      </w:r>
      <w:r w:rsidR="00746DE3">
        <w:rPr>
          <w:rFonts w:ascii="Times New Roman" w:hAnsi="Times New Roman"/>
          <w:b w:val="0"/>
          <w:sz w:val="24"/>
          <w:szCs w:val="24"/>
        </w:rPr>
        <w:t xml:space="preserve">new </w:t>
      </w:r>
      <w:r w:rsidR="00471D75">
        <w:rPr>
          <w:rFonts w:ascii="Times New Roman" w:hAnsi="Times New Roman"/>
          <w:b w:val="0"/>
          <w:sz w:val="24"/>
          <w:szCs w:val="24"/>
        </w:rPr>
        <w:t xml:space="preserve">capital standards and </w:t>
      </w:r>
      <w:r w:rsidR="00746DE3">
        <w:rPr>
          <w:rFonts w:ascii="Times New Roman" w:hAnsi="Times New Roman"/>
          <w:b w:val="0"/>
          <w:sz w:val="24"/>
          <w:szCs w:val="24"/>
        </w:rPr>
        <w:t>updating</w:t>
      </w:r>
      <w:r w:rsidR="00471D75" w:rsidRPr="00471D75">
        <w:rPr>
          <w:rFonts w:ascii="Times New Roman" w:hAnsi="Times New Roman"/>
          <w:b w:val="0"/>
          <w:sz w:val="24"/>
          <w:szCs w:val="24"/>
        </w:rPr>
        <w:t xml:space="preserve"> cross referenc</w:t>
      </w:r>
      <w:r w:rsidR="00746DE3">
        <w:rPr>
          <w:rFonts w:ascii="Times New Roman" w:hAnsi="Times New Roman"/>
          <w:b w:val="0"/>
          <w:sz w:val="24"/>
          <w:szCs w:val="24"/>
        </w:rPr>
        <w:t>es</w:t>
      </w:r>
      <w:r w:rsidR="00471D75" w:rsidRPr="00471D75">
        <w:rPr>
          <w:rFonts w:ascii="Times New Roman" w:hAnsi="Times New Roman"/>
          <w:b w:val="0"/>
          <w:sz w:val="24"/>
          <w:szCs w:val="24"/>
        </w:rPr>
        <w:t xml:space="preserve"> to the </w:t>
      </w:r>
      <w:r w:rsidR="00746DE3">
        <w:rPr>
          <w:rFonts w:ascii="Times New Roman" w:hAnsi="Times New Roman"/>
          <w:b w:val="0"/>
          <w:sz w:val="24"/>
          <w:szCs w:val="24"/>
        </w:rPr>
        <w:t xml:space="preserve">new </w:t>
      </w:r>
      <w:r w:rsidR="00471D75" w:rsidRPr="00471D75">
        <w:rPr>
          <w:rFonts w:ascii="Times New Roman" w:hAnsi="Times New Roman"/>
          <w:b w:val="0"/>
          <w:sz w:val="24"/>
          <w:szCs w:val="24"/>
        </w:rPr>
        <w:t>capital standards.</w:t>
      </w:r>
      <w:r w:rsidR="00471D75">
        <w:rPr>
          <w:rFonts w:ascii="Times New Roman" w:hAnsi="Times New Roman"/>
          <w:b w:val="0"/>
          <w:sz w:val="24"/>
          <w:szCs w:val="24"/>
        </w:rPr>
        <w:t xml:space="preserve"> The minor and machinery change made in CPS 226 relates to referencing only. </w:t>
      </w:r>
    </w:p>
    <w:p w14:paraId="6E9E2C8E" w14:textId="271BF1F5"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bookmarkStart w:id="4" w:name="bkBackground"/>
      <w:bookmarkEnd w:id="4"/>
      <w:r w:rsidRPr="002C6D26">
        <w:rPr>
          <w:rFonts w:ascii="Times New Roman" w:hAnsi="Times New Roman"/>
          <w:sz w:val="24"/>
          <w:szCs w:val="24"/>
        </w:rPr>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2A296157" w14:textId="3B041810" w:rsidR="006A2052" w:rsidRDefault="00A71EDF" w:rsidP="00A71EDF">
      <w:pPr>
        <w:spacing w:after="240"/>
        <w:jc w:val="both"/>
        <w:rPr>
          <w:rFonts w:ascii="Times New Roman" w:hAnsi="Times New Roman"/>
          <w:sz w:val="24"/>
          <w:szCs w:val="24"/>
        </w:rPr>
      </w:pPr>
      <w:r>
        <w:rPr>
          <w:rFonts w:ascii="Times New Roman" w:hAnsi="Times New Roman"/>
          <w:sz w:val="24"/>
          <w:szCs w:val="24"/>
        </w:rPr>
        <w:t xml:space="preserve">The purpose of </w:t>
      </w:r>
      <w:r w:rsidR="00B55311">
        <w:rPr>
          <w:rFonts w:ascii="Times New Roman" w:hAnsi="Times New Roman"/>
          <w:sz w:val="24"/>
          <w:szCs w:val="24"/>
        </w:rPr>
        <w:t xml:space="preserve">the instrument </w:t>
      </w:r>
      <w:r>
        <w:rPr>
          <w:rFonts w:ascii="Times New Roman" w:hAnsi="Times New Roman"/>
          <w:sz w:val="24"/>
          <w:szCs w:val="24"/>
        </w:rPr>
        <w:t xml:space="preserve">is to revoke CPS 226 and replace it with a new version of CPS 226. </w:t>
      </w:r>
    </w:p>
    <w:p w14:paraId="2B9D067E" w14:textId="47709EF1" w:rsidR="000215DC" w:rsidRDefault="000215DC" w:rsidP="000B4113">
      <w:pPr>
        <w:pStyle w:val="Heading"/>
        <w:spacing w:after="240"/>
        <w:rPr>
          <w:rFonts w:ascii="Times New Roman" w:hAnsi="Times New Roman"/>
          <w:b w:val="0"/>
          <w:sz w:val="24"/>
          <w:szCs w:val="24"/>
        </w:rPr>
      </w:pPr>
      <w:r w:rsidRPr="000215DC">
        <w:rPr>
          <w:rFonts w:ascii="Times New Roman" w:hAnsi="Times New Roman"/>
          <w:b w:val="0"/>
          <w:sz w:val="24"/>
          <w:szCs w:val="24"/>
        </w:rPr>
        <w:t xml:space="preserve">The new version of CPS 226 </w:t>
      </w:r>
      <w:r w:rsidR="006357CC">
        <w:rPr>
          <w:rFonts w:ascii="Times New Roman" w:hAnsi="Times New Roman"/>
          <w:b w:val="0"/>
          <w:sz w:val="24"/>
          <w:szCs w:val="24"/>
        </w:rPr>
        <w:t xml:space="preserve">includes a minor reference change that is necessary </w:t>
      </w:r>
      <w:proofErr w:type="gramStart"/>
      <w:r w:rsidR="006357CC">
        <w:rPr>
          <w:rFonts w:ascii="Times New Roman" w:hAnsi="Times New Roman"/>
          <w:b w:val="0"/>
          <w:sz w:val="24"/>
          <w:szCs w:val="24"/>
        </w:rPr>
        <w:t>as a consequence of</w:t>
      </w:r>
      <w:proofErr w:type="gramEnd"/>
      <w:r w:rsidR="006357CC">
        <w:rPr>
          <w:rFonts w:ascii="Times New Roman" w:hAnsi="Times New Roman"/>
          <w:b w:val="0"/>
          <w:sz w:val="24"/>
          <w:szCs w:val="24"/>
        </w:rPr>
        <w:t xml:space="preserve"> the </w:t>
      </w:r>
      <w:r w:rsidR="00B55311">
        <w:rPr>
          <w:rFonts w:ascii="Times New Roman" w:hAnsi="Times New Roman"/>
          <w:b w:val="0"/>
          <w:sz w:val="24"/>
          <w:szCs w:val="24"/>
        </w:rPr>
        <w:t>new</w:t>
      </w:r>
      <w:r w:rsidR="006357CC">
        <w:rPr>
          <w:rFonts w:ascii="Times New Roman" w:hAnsi="Times New Roman"/>
          <w:b w:val="0"/>
          <w:sz w:val="24"/>
          <w:szCs w:val="24"/>
        </w:rPr>
        <w:t xml:space="preserve"> capital standards which come into effect on 1 January 2023.</w:t>
      </w:r>
    </w:p>
    <w:p w14:paraId="5CAA7D20" w14:textId="151B57B2" w:rsidR="000B4113" w:rsidRDefault="000B4113" w:rsidP="000B4113">
      <w:pPr>
        <w:pStyle w:val="Heading"/>
        <w:spacing w:after="240"/>
        <w:rPr>
          <w:rFonts w:ascii="Times New Roman" w:hAnsi="Times New Roman"/>
          <w:b w:val="0"/>
          <w:sz w:val="24"/>
          <w:szCs w:val="24"/>
        </w:rPr>
      </w:pPr>
      <w:r>
        <w:rPr>
          <w:rFonts w:ascii="Times New Roman" w:hAnsi="Times New Roman"/>
          <w:b w:val="0"/>
          <w:sz w:val="24"/>
          <w:szCs w:val="24"/>
        </w:rPr>
        <w:t xml:space="preserve">Where </w:t>
      </w:r>
      <w:r w:rsidR="0016033A">
        <w:rPr>
          <w:rFonts w:ascii="Times New Roman" w:hAnsi="Times New Roman"/>
          <w:b w:val="0"/>
          <w:sz w:val="24"/>
          <w:szCs w:val="24"/>
        </w:rPr>
        <w:t xml:space="preserve">CPS 226 </w:t>
      </w:r>
      <w:r>
        <w:rPr>
          <w:rFonts w:ascii="Times New Roman" w:hAnsi="Times New Roman"/>
          <w:b w:val="0"/>
          <w:sz w:val="24"/>
          <w:szCs w:val="24"/>
        </w:rPr>
        <w:t>refer</w:t>
      </w:r>
      <w:r w:rsidR="00B14899">
        <w:rPr>
          <w:rFonts w:ascii="Times New Roman" w:hAnsi="Times New Roman"/>
          <w:b w:val="0"/>
          <w:sz w:val="24"/>
          <w:szCs w:val="24"/>
        </w:rPr>
        <w:t>s</w:t>
      </w:r>
      <w:r w:rsidR="00692825">
        <w:rPr>
          <w:rFonts w:ascii="Times New Roman" w:hAnsi="Times New Roman"/>
          <w:b w:val="0"/>
          <w:sz w:val="24"/>
          <w:szCs w:val="24"/>
        </w:rPr>
        <w:t xml:space="preserve"> to an Act, Regulation, </w:t>
      </w:r>
      <w:r w:rsidRPr="00195547">
        <w:rPr>
          <w:rFonts w:ascii="Times New Roman" w:hAnsi="Times New Roman"/>
          <w:b w:val="0"/>
          <w:sz w:val="24"/>
          <w:szCs w:val="24"/>
        </w:rPr>
        <w:t>prudential standard</w:t>
      </w:r>
      <w:r w:rsidR="00692825">
        <w:rPr>
          <w:rFonts w:ascii="Times New Roman" w:hAnsi="Times New Roman"/>
          <w:b w:val="0"/>
          <w:sz w:val="24"/>
          <w:szCs w:val="24"/>
        </w:rPr>
        <w:t xml:space="preserve"> or Australian Accounting Standard</w:t>
      </w:r>
      <w:r w:rsidRPr="00195547">
        <w:rPr>
          <w:rFonts w:ascii="Times New Roman" w:hAnsi="Times New Roman"/>
          <w:b w:val="0"/>
          <w:sz w:val="24"/>
          <w:szCs w:val="24"/>
        </w:rPr>
        <w:t>,</w:t>
      </w:r>
      <w:r w:rsidR="00A824C6">
        <w:rPr>
          <w:rStyle w:val="FootnoteReference"/>
          <w:rFonts w:ascii="Times New Roman" w:hAnsi="Times New Roman"/>
          <w:b w:val="0"/>
          <w:sz w:val="24"/>
          <w:szCs w:val="24"/>
        </w:rPr>
        <w:footnoteReference w:id="1"/>
      </w:r>
      <w:r w:rsidRPr="00195547">
        <w:rPr>
          <w:rFonts w:ascii="Times New Roman" w:hAnsi="Times New Roman"/>
          <w:b w:val="0"/>
          <w:sz w:val="24"/>
          <w:szCs w:val="24"/>
        </w:rPr>
        <w:t xml:space="preserve"> this is a reference to the document as it exists from time to time</w:t>
      </w:r>
      <w:r>
        <w:rPr>
          <w:rFonts w:ascii="Times New Roman" w:hAnsi="Times New Roman"/>
          <w:b w:val="0"/>
          <w:sz w:val="24"/>
          <w:szCs w:val="24"/>
        </w:rPr>
        <w:t>,</w:t>
      </w:r>
      <w:r w:rsidRPr="00C97AB3">
        <w:rPr>
          <w:b w:val="0"/>
          <w:sz w:val="22"/>
          <w:szCs w:val="20"/>
        </w:rPr>
        <w:t xml:space="preserve"> </w:t>
      </w:r>
      <w:r w:rsidRPr="00C97AB3">
        <w:rPr>
          <w:rFonts w:ascii="Times New Roman" w:hAnsi="Times New Roman"/>
          <w:b w:val="0"/>
          <w:sz w:val="24"/>
          <w:szCs w:val="24"/>
        </w:rPr>
        <w:t xml:space="preserve">and </w:t>
      </w:r>
      <w:r>
        <w:rPr>
          <w:rFonts w:ascii="Times New Roman" w:hAnsi="Times New Roman"/>
          <w:b w:val="0"/>
          <w:sz w:val="24"/>
          <w:szCs w:val="24"/>
        </w:rPr>
        <w:t>which is</w:t>
      </w:r>
      <w:r w:rsidRPr="00C97AB3">
        <w:rPr>
          <w:rFonts w:ascii="Times New Roman" w:hAnsi="Times New Roman"/>
          <w:b w:val="0"/>
          <w:sz w:val="24"/>
          <w:szCs w:val="24"/>
        </w:rPr>
        <w:t xml:space="preserve"> available on the Federal Register of Legislation at </w:t>
      </w:r>
      <w:hyperlink r:id="rId13" w:history="1">
        <w:r w:rsidRPr="00C97AB3">
          <w:rPr>
            <w:rStyle w:val="Hyperlink"/>
            <w:rFonts w:ascii="Times New Roman" w:hAnsi="Times New Roman"/>
            <w:b w:val="0"/>
            <w:sz w:val="24"/>
            <w:szCs w:val="24"/>
          </w:rPr>
          <w:t>www.legislation.gov.au</w:t>
        </w:r>
      </w:hyperlink>
      <w:r>
        <w:rPr>
          <w:rFonts w:ascii="Times New Roman" w:hAnsi="Times New Roman"/>
          <w:b w:val="0"/>
          <w:sz w:val="24"/>
          <w:szCs w:val="24"/>
        </w:rPr>
        <w:t xml:space="preserve">. </w:t>
      </w:r>
    </w:p>
    <w:p w14:paraId="4A8F8EB5" w14:textId="6A0358F8" w:rsidR="00D66255" w:rsidRDefault="00D66255" w:rsidP="000B4113">
      <w:pPr>
        <w:pStyle w:val="Heading"/>
        <w:spacing w:after="240"/>
        <w:rPr>
          <w:rFonts w:ascii="Times New Roman" w:hAnsi="Times New Roman"/>
          <w:b w:val="0"/>
          <w:sz w:val="24"/>
          <w:szCs w:val="24"/>
        </w:rPr>
      </w:pPr>
      <w:r w:rsidRPr="00D66255">
        <w:rPr>
          <w:rFonts w:ascii="Times New Roman" w:hAnsi="Times New Roman"/>
          <w:b w:val="0"/>
          <w:sz w:val="24"/>
          <w:szCs w:val="24"/>
        </w:rPr>
        <w:t>CPS</w:t>
      </w:r>
      <w:r w:rsidR="003F5A8B">
        <w:rPr>
          <w:rFonts w:ascii="Times New Roman" w:hAnsi="Times New Roman"/>
          <w:b w:val="0"/>
          <w:sz w:val="24"/>
          <w:szCs w:val="24"/>
        </w:rPr>
        <w:t> </w:t>
      </w:r>
      <w:r w:rsidRPr="00D66255">
        <w:rPr>
          <w:rFonts w:ascii="Times New Roman" w:hAnsi="Times New Roman"/>
          <w:b w:val="0"/>
          <w:sz w:val="24"/>
          <w:szCs w:val="24"/>
        </w:rPr>
        <w:t xml:space="preserve">226 also incorporates by reference the </w:t>
      </w:r>
      <w:r w:rsidR="006235C5">
        <w:rPr>
          <w:rFonts w:ascii="Times New Roman" w:hAnsi="Times New Roman"/>
          <w:b w:val="0"/>
          <w:sz w:val="24"/>
          <w:szCs w:val="24"/>
        </w:rPr>
        <w:t xml:space="preserve">BCBS and the Board of the International Organization of Securities Commission (IOSCO)’s </w:t>
      </w:r>
      <w:r w:rsidR="006235C5" w:rsidRPr="006235C5">
        <w:rPr>
          <w:rFonts w:ascii="Times New Roman" w:hAnsi="Times New Roman"/>
          <w:b w:val="0"/>
          <w:i/>
          <w:sz w:val="24"/>
          <w:szCs w:val="24"/>
        </w:rPr>
        <w:t>Margin requirements for non-centrally cleared derivatives</w:t>
      </w:r>
      <w:r w:rsidR="006235C5">
        <w:rPr>
          <w:rFonts w:ascii="Times New Roman" w:hAnsi="Times New Roman"/>
          <w:b w:val="0"/>
          <w:sz w:val="24"/>
          <w:szCs w:val="24"/>
        </w:rPr>
        <w:t xml:space="preserve"> </w:t>
      </w:r>
      <w:r w:rsidRPr="00D66255">
        <w:rPr>
          <w:rFonts w:ascii="Times New Roman" w:hAnsi="Times New Roman"/>
          <w:b w:val="0"/>
          <w:sz w:val="24"/>
          <w:szCs w:val="24"/>
        </w:rPr>
        <w:t xml:space="preserve">as it exists </w:t>
      </w:r>
      <w:proofErr w:type="gramStart"/>
      <w:r w:rsidRPr="00D66255">
        <w:rPr>
          <w:rFonts w:ascii="Times New Roman" w:hAnsi="Times New Roman"/>
          <w:b w:val="0"/>
          <w:sz w:val="24"/>
          <w:szCs w:val="24"/>
        </w:rPr>
        <w:t>at</w:t>
      </w:r>
      <w:proofErr w:type="gramEnd"/>
      <w:r w:rsidRPr="00D66255">
        <w:rPr>
          <w:rFonts w:ascii="Times New Roman" w:hAnsi="Times New Roman"/>
          <w:b w:val="0"/>
          <w:sz w:val="24"/>
          <w:szCs w:val="24"/>
        </w:rPr>
        <w:t xml:space="preserve"> 23</w:t>
      </w:r>
      <w:r w:rsidR="00B14899">
        <w:rPr>
          <w:rFonts w:ascii="Times New Roman" w:hAnsi="Times New Roman"/>
          <w:b w:val="0"/>
          <w:sz w:val="24"/>
          <w:szCs w:val="24"/>
        </w:rPr>
        <w:t> </w:t>
      </w:r>
      <w:r w:rsidRPr="00D66255">
        <w:rPr>
          <w:rFonts w:ascii="Times New Roman" w:hAnsi="Times New Roman"/>
          <w:b w:val="0"/>
          <w:sz w:val="24"/>
          <w:szCs w:val="24"/>
        </w:rPr>
        <w:t xml:space="preserve">July 2019 </w:t>
      </w:r>
      <w:r w:rsidR="00F8016D">
        <w:rPr>
          <w:rFonts w:ascii="Times New Roman" w:hAnsi="Times New Roman"/>
          <w:b w:val="0"/>
          <w:sz w:val="24"/>
          <w:szCs w:val="24"/>
        </w:rPr>
        <w:t xml:space="preserve">(BCBS-IOSCO framework) </w:t>
      </w:r>
      <w:r w:rsidRPr="00D66255">
        <w:rPr>
          <w:rFonts w:ascii="Times New Roman" w:hAnsi="Times New Roman"/>
          <w:b w:val="0"/>
          <w:sz w:val="24"/>
          <w:szCs w:val="24"/>
        </w:rPr>
        <w:t xml:space="preserve">and the </w:t>
      </w:r>
      <w:r w:rsidR="00F8016D">
        <w:rPr>
          <w:rFonts w:ascii="Times New Roman" w:hAnsi="Times New Roman"/>
          <w:b w:val="0"/>
          <w:sz w:val="24"/>
          <w:szCs w:val="24"/>
        </w:rPr>
        <w:t xml:space="preserve">IOSCO’s </w:t>
      </w:r>
      <w:r w:rsidR="00F8016D" w:rsidRPr="00F8016D">
        <w:rPr>
          <w:rFonts w:ascii="Times New Roman" w:hAnsi="Times New Roman"/>
          <w:b w:val="0"/>
          <w:i/>
          <w:sz w:val="24"/>
          <w:szCs w:val="24"/>
        </w:rPr>
        <w:t>Risk Mitigation Standards for Non-centrally Cleared OTC Derivatives</w:t>
      </w:r>
      <w:r w:rsidR="00F8016D">
        <w:rPr>
          <w:rFonts w:ascii="Times New Roman" w:hAnsi="Times New Roman"/>
          <w:b w:val="0"/>
          <w:sz w:val="24"/>
          <w:szCs w:val="24"/>
        </w:rPr>
        <w:t xml:space="preserve"> </w:t>
      </w:r>
      <w:r w:rsidRPr="00D66255">
        <w:rPr>
          <w:rFonts w:ascii="Times New Roman" w:hAnsi="Times New Roman"/>
          <w:b w:val="0"/>
          <w:sz w:val="24"/>
          <w:szCs w:val="24"/>
        </w:rPr>
        <w:t xml:space="preserve">as </w:t>
      </w:r>
      <w:r w:rsidR="00F8016D">
        <w:rPr>
          <w:rFonts w:ascii="Times New Roman" w:hAnsi="Times New Roman"/>
          <w:b w:val="0"/>
          <w:sz w:val="24"/>
          <w:szCs w:val="24"/>
        </w:rPr>
        <w:t xml:space="preserve">they exist </w:t>
      </w:r>
      <w:r w:rsidRPr="00D66255">
        <w:rPr>
          <w:rFonts w:ascii="Times New Roman" w:hAnsi="Times New Roman"/>
          <w:b w:val="0"/>
          <w:sz w:val="24"/>
          <w:szCs w:val="24"/>
        </w:rPr>
        <w:t>at 28 January 2015</w:t>
      </w:r>
      <w:r w:rsidR="00F8016D">
        <w:rPr>
          <w:rFonts w:ascii="Times New Roman" w:hAnsi="Times New Roman"/>
          <w:b w:val="0"/>
          <w:sz w:val="24"/>
          <w:szCs w:val="24"/>
        </w:rPr>
        <w:t xml:space="preserve"> (</w:t>
      </w:r>
      <w:r w:rsidR="00F8016D" w:rsidRPr="00D66255">
        <w:rPr>
          <w:rFonts w:ascii="Times New Roman" w:hAnsi="Times New Roman"/>
          <w:b w:val="0"/>
          <w:sz w:val="24"/>
          <w:szCs w:val="24"/>
        </w:rPr>
        <w:t>IOSCO Risk Mitigation Standards</w:t>
      </w:r>
      <w:r w:rsidR="00F8016D">
        <w:rPr>
          <w:rFonts w:ascii="Times New Roman" w:hAnsi="Times New Roman"/>
          <w:b w:val="0"/>
          <w:sz w:val="24"/>
          <w:szCs w:val="24"/>
        </w:rPr>
        <w:t>)</w:t>
      </w:r>
      <w:r w:rsidRPr="00D66255">
        <w:rPr>
          <w:rFonts w:ascii="Times New Roman" w:hAnsi="Times New Roman"/>
          <w:b w:val="0"/>
          <w:sz w:val="24"/>
          <w:szCs w:val="24"/>
        </w:rPr>
        <w:t xml:space="preserve">. These documents are available at: BCBS-IOSCO framework: </w:t>
      </w:r>
      <w:hyperlink r:id="rId14" w:history="1">
        <w:r w:rsidRPr="003257BE">
          <w:rPr>
            <w:rStyle w:val="Hyperlink"/>
            <w:rFonts w:ascii="Times New Roman" w:hAnsi="Times New Roman"/>
            <w:b w:val="0"/>
            <w:sz w:val="24"/>
            <w:szCs w:val="24"/>
          </w:rPr>
          <w:t>https://www.bis.org/bcbs/publ/d475.pdf</w:t>
        </w:r>
      </w:hyperlink>
      <w:r>
        <w:rPr>
          <w:rFonts w:ascii="Times New Roman" w:hAnsi="Times New Roman"/>
          <w:b w:val="0"/>
          <w:sz w:val="24"/>
          <w:szCs w:val="24"/>
        </w:rPr>
        <w:t>;</w:t>
      </w:r>
      <w:r w:rsidRPr="00D66255">
        <w:rPr>
          <w:rFonts w:ascii="Times New Roman" w:hAnsi="Times New Roman"/>
          <w:b w:val="0"/>
          <w:sz w:val="24"/>
          <w:szCs w:val="24"/>
        </w:rPr>
        <w:t xml:space="preserve"> and IOSCO Risk Mitigation Standards: </w:t>
      </w:r>
      <w:hyperlink r:id="rId15" w:history="1">
        <w:r w:rsidR="003F5A8B" w:rsidRPr="003257BE">
          <w:rPr>
            <w:rStyle w:val="Hyperlink"/>
            <w:rFonts w:ascii="Times New Roman" w:hAnsi="Times New Roman"/>
            <w:b w:val="0"/>
            <w:sz w:val="24"/>
            <w:szCs w:val="24"/>
          </w:rPr>
          <w:t>https://www.iosco.org/library/pubdocs/pdf/IOSCOPD469.pdf</w:t>
        </w:r>
      </w:hyperlink>
      <w:r w:rsidR="003F5A8B">
        <w:rPr>
          <w:rFonts w:ascii="Times New Roman" w:hAnsi="Times New Roman"/>
          <w:b w:val="0"/>
          <w:sz w:val="24"/>
          <w:szCs w:val="24"/>
        </w:rPr>
        <w:t xml:space="preserve">. </w:t>
      </w:r>
    </w:p>
    <w:p w14:paraId="752CFDF8" w14:textId="4879E79E" w:rsidR="00A71EDF" w:rsidRDefault="0016033A" w:rsidP="00A71EDF">
      <w:pPr>
        <w:spacing w:after="240"/>
        <w:jc w:val="both"/>
        <w:rPr>
          <w:rFonts w:ascii="Times New Roman" w:hAnsi="Times New Roman"/>
          <w:sz w:val="24"/>
          <w:szCs w:val="24"/>
        </w:rPr>
      </w:pPr>
      <w:r>
        <w:rPr>
          <w:rFonts w:ascii="Times New Roman" w:hAnsi="Times New Roman"/>
          <w:sz w:val="24"/>
          <w:szCs w:val="24"/>
        </w:rPr>
        <w:t xml:space="preserve">CPS 226 </w:t>
      </w:r>
      <w:r w:rsidR="004A0949">
        <w:rPr>
          <w:rFonts w:ascii="Times New Roman" w:hAnsi="Times New Roman"/>
          <w:sz w:val="24"/>
          <w:szCs w:val="24"/>
        </w:rPr>
        <w:t>provide</w:t>
      </w:r>
      <w:r w:rsidR="00B14899">
        <w:rPr>
          <w:rFonts w:ascii="Times New Roman" w:hAnsi="Times New Roman"/>
          <w:sz w:val="24"/>
          <w:szCs w:val="24"/>
        </w:rPr>
        <w:t>s</w:t>
      </w:r>
      <w:r w:rsidR="004A0949">
        <w:rPr>
          <w:rFonts w:ascii="Times New Roman" w:hAnsi="Times New Roman"/>
          <w:sz w:val="24"/>
          <w:szCs w:val="24"/>
        </w:rPr>
        <w:t xml:space="preserve"> for APRA to exercise various discretions. </w:t>
      </w:r>
      <w:r w:rsidR="004A0949" w:rsidRPr="004A0949">
        <w:rPr>
          <w:rFonts w:ascii="Times New Roman" w:hAnsi="Times New Roman"/>
          <w:sz w:val="24"/>
          <w:szCs w:val="24"/>
        </w:rPr>
        <w:t xml:space="preserve">Decisions made by APRA exercising those discretions are not subject to merits review. This is because these </w:t>
      </w:r>
      <w:r w:rsidR="004A0949" w:rsidRPr="004A0949">
        <w:rPr>
          <w:rFonts w:ascii="Times New Roman" w:hAnsi="Times New Roman"/>
          <w:sz w:val="24"/>
          <w:szCs w:val="24"/>
        </w:rPr>
        <w:lastRenderedPageBreak/>
        <w:t>decisions are preliminary decisions that may facilitate or lead to substantive decisions which are subject to merits review.</w:t>
      </w:r>
    </w:p>
    <w:p w14:paraId="008D8EC3" w14:textId="7C3AE31F" w:rsidR="00D14060" w:rsidRDefault="00D14060" w:rsidP="00D14060">
      <w:pPr>
        <w:spacing w:after="240"/>
        <w:jc w:val="both"/>
        <w:rPr>
          <w:rFonts w:ascii="Times New Roman" w:hAnsi="Times New Roman"/>
          <w:sz w:val="24"/>
          <w:szCs w:val="24"/>
        </w:rPr>
      </w:pPr>
      <w:r w:rsidRPr="00D14060">
        <w:rPr>
          <w:rFonts w:ascii="Times New Roman" w:hAnsi="Times New Roman"/>
          <w:sz w:val="24"/>
          <w:szCs w:val="24"/>
        </w:rPr>
        <w:t xml:space="preserve">Under the Banking Act, Insurance Act and Life Insurance Act, a breach of a prudential standard is a breach of the enabling legislation, as each enabling Act provides that regulated entities must comply with the standard. Under the SIS Act, it is a condition on all RSE licences that the RSE licensee must comply with the RSE licensee law, which includes prudential standards. However there are no penalties prescribed for breach of the prudential standards under any of these Acts. Instead an entity’s breach of the enabling legislation or RSE licence condition is grounds for APRA to make further, substantive decisions under the relevant enabling legislation in relation to the entity. Those decisions </w:t>
      </w:r>
      <w:r w:rsidR="00C04468" w:rsidRPr="00C04468">
        <w:rPr>
          <w:rFonts w:ascii="Times New Roman" w:hAnsi="Times New Roman"/>
          <w:sz w:val="24"/>
          <w:szCs w:val="24"/>
        </w:rPr>
        <w:t>may include the decision</w:t>
      </w:r>
      <w:r w:rsidRPr="00D14060">
        <w:rPr>
          <w:rFonts w:ascii="Times New Roman" w:hAnsi="Times New Roman"/>
          <w:sz w:val="24"/>
          <w:szCs w:val="24"/>
        </w:rPr>
        <w:t>:</w:t>
      </w:r>
    </w:p>
    <w:p w14:paraId="028AB76D" w14:textId="44021C87" w:rsidR="00D14060" w:rsidRDefault="00D14060" w:rsidP="00D14060">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t>to revoke an authority to carry on banking business (section 9A of the Banking Act)</w:t>
      </w:r>
      <w:r w:rsidR="00450F39">
        <w:rPr>
          <w:rFonts w:ascii="Times New Roman" w:hAnsi="Times New Roman"/>
          <w:b w:val="0"/>
          <w:sz w:val="24"/>
          <w:szCs w:val="24"/>
        </w:rPr>
        <w:t xml:space="preserve">; </w:t>
      </w:r>
      <w:r w:rsidR="00450F39" w:rsidRPr="00450F39">
        <w:rPr>
          <w:rFonts w:ascii="Times New Roman" w:hAnsi="Times New Roman"/>
          <w:b w:val="0"/>
          <w:sz w:val="24"/>
          <w:szCs w:val="24"/>
        </w:rPr>
        <w:t>a banking NOHC authorisation (section 11AB of the Banking Act); an authority to carry on</w:t>
      </w:r>
      <w:r>
        <w:rPr>
          <w:rFonts w:ascii="Times New Roman" w:hAnsi="Times New Roman"/>
          <w:b w:val="0"/>
          <w:sz w:val="24"/>
          <w:szCs w:val="24"/>
        </w:rPr>
        <w:t xml:space="preserve"> insurance business (section 15 of the Insurance Act)</w:t>
      </w:r>
      <w:r w:rsidR="00450F39" w:rsidRPr="00450F39">
        <w:rPr>
          <w:rFonts w:ascii="Times New Roman" w:hAnsi="Times New Roman"/>
          <w:b w:val="0"/>
          <w:sz w:val="24"/>
          <w:szCs w:val="24"/>
        </w:rPr>
        <w:t>; an insurance NOHC authorisation (section 21 of the Insurance Act); registration of</w:t>
      </w:r>
      <w:r>
        <w:rPr>
          <w:rFonts w:ascii="Times New Roman" w:hAnsi="Times New Roman"/>
          <w:b w:val="0"/>
          <w:sz w:val="24"/>
          <w:szCs w:val="24"/>
        </w:rPr>
        <w:t xml:space="preserve"> life insurance business (section 26 of the Life Insurance Act)</w:t>
      </w:r>
      <w:r w:rsidR="00450F39" w:rsidRPr="00561AA4">
        <w:rPr>
          <w:rFonts w:ascii="Times New Roman" w:hAnsi="Times New Roman"/>
          <w:b w:val="0"/>
          <w:sz w:val="24"/>
        </w:rPr>
        <w:t>;</w:t>
      </w:r>
      <w:r w:rsidR="008A3C0F">
        <w:rPr>
          <w:rFonts w:ascii="Times New Roman" w:hAnsi="Times New Roman"/>
          <w:b w:val="0"/>
          <w:sz w:val="24"/>
        </w:rPr>
        <w:t xml:space="preserve"> </w:t>
      </w:r>
      <w:r w:rsidR="00450F39" w:rsidRPr="00450F39">
        <w:rPr>
          <w:rFonts w:ascii="Times New Roman" w:hAnsi="Times New Roman"/>
          <w:b w:val="0"/>
          <w:sz w:val="24"/>
          <w:szCs w:val="24"/>
        </w:rPr>
        <w:t xml:space="preserve">a life NOHC authorisation (section 28C of the Life Insurance Act); </w:t>
      </w:r>
      <w:r>
        <w:rPr>
          <w:rFonts w:ascii="Times New Roman" w:hAnsi="Times New Roman"/>
          <w:b w:val="0"/>
          <w:sz w:val="24"/>
          <w:szCs w:val="24"/>
        </w:rPr>
        <w:t xml:space="preserve"> or an authority to operate an APRA-regulated superannuation fund (section 29G of the SIS Act); and</w:t>
      </w:r>
    </w:p>
    <w:p w14:paraId="1EAB7E62" w14:textId="200D4634" w:rsidR="00D14060" w:rsidRDefault="00D14060" w:rsidP="00D14060">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t>to issue a direction to the</w:t>
      </w:r>
      <w:r w:rsidR="00550E24">
        <w:rPr>
          <w:rFonts w:ascii="Times New Roman" w:hAnsi="Times New Roman"/>
          <w:b w:val="0"/>
          <w:sz w:val="24"/>
          <w:szCs w:val="24"/>
        </w:rPr>
        <w:t xml:space="preserve"> regulated entity</w:t>
      </w:r>
      <w:r>
        <w:rPr>
          <w:rFonts w:ascii="Times New Roman" w:hAnsi="Times New Roman"/>
          <w:b w:val="0"/>
          <w:sz w:val="24"/>
          <w:szCs w:val="24"/>
        </w:rPr>
        <w:t xml:space="preserve">, including a direction to comply with the whole or part of a prudential standard (section 11CA of the </w:t>
      </w:r>
      <w:r w:rsidR="00550E24">
        <w:rPr>
          <w:rFonts w:ascii="Times New Roman" w:hAnsi="Times New Roman"/>
          <w:b w:val="0"/>
          <w:sz w:val="24"/>
          <w:szCs w:val="24"/>
        </w:rPr>
        <w:t xml:space="preserve">Banking </w:t>
      </w:r>
      <w:r>
        <w:rPr>
          <w:rFonts w:ascii="Times New Roman" w:hAnsi="Times New Roman"/>
          <w:b w:val="0"/>
          <w:sz w:val="24"/>
          <w:szCs w:val="24"/>
        </w:rPr>
        <w:t>Act</w:t>
      </w:r>
      <w:r w:rsidR="00550E24">
        <w:rPr>
          <w:rFonts w:ascii="Times New Roman" w:hAnsi="Times New Roman"/>
          <w:b w:val="0"/>
          <w:sz w:val="24"/>
          <w:szCs w:val="24"/>
        </w:rPr>
        <w:t>, section 104 of the Insurance Act, section 230B of the Life Insurance Act or section 131D of the SIS Act</w:t>
      </w:r>
      <w:r>
        <w:rPr>
          <w:rFonts w:ascii="Times New Roman" w:hAnsi="Times New Roman"/>
          <w:b w:val="0"/>
          <w:sz w:val="24"/>
          <w:szCs w:val="24"/>
        </w:rPr>
        <w:t>).</w:t>
      </w:r>
    </w:p>
    <w:p w14:paraId="5E2C4E5D" w14:textId="384B0698" w:rsidR="00D14060" w:rsidRDefault="00D14060" w:rsidP="00D14060">
      <w:pPr>
        <w:spacing w:after="240"/>
        <w:jc w:val="both"/>
        <w:rPr>
          <w:rFonts w:ascii="Times New Roman" w:hAnsi="Times New Roman"/>
          <w:sz w:val="24"/>
          <w:szCs w:val="24"/>
        </w:rPr>
      </w:pPr>
      <w:r w:rsidRPr="00D14060">
        <w:rPr>
          <w:rFonts w:ascii="Times New Roman" w:hAnsi="Times New Roman"/>
          <w:sz w:val="24"/>
          <w:szCs w:val="24"/>
        </w:rPr>
        <w:t>It is only at this stage that an entity is exposed to a penalty: loss of licence or imposition of a penalty if it breaches the direction (50</w:t>
      </w:r>
      <w:r w:rsidR="00550E24">
        <w:rPr>
          <w:rFonts w:ascii="Times New Roman" w:hAnsi="Times New Roman"/>
          <w:sz w:val="24"/>
          <w:szCs w:val="24"/>
        </w:rPr>
        <w:t xml:space="preserve"> penalty units each day under section </w:t>
      </w:r>
      <w:r w:rsidRPr="00D14060">
        <w:rPr>
          <w:rFonts w:ascii="Times New Roman" w:hAnsi="Times New Roman"/>
          <w:sz w:val="24"/>
          <w:szCs w:val="24"/>
        </w:rPr>
        <w:t>11CG</w:t>
      </w:r>
      <w:r w:rsidR="00550E24">
        <w:rPr>
          <w:rFonts w:ascii="Times New Roman" w:hAnsi="Times New Roman"/>
          <w:sz w:val="24"/>
          <w:szCs w:val="24"/>
        </w:rPr>
        <w:t xml:space="preserve"> of the Banking Act, section </w:t>
      </w:r>
      <w:r w:rsidRPr="00D14060">
        <w:rPr>
          <w:rFonts w:ascii="Times New Roman" w:hAnsi="Times New Roman"/>
          <w:sz w:val="24"/>
          <w:szCs w:val="24"/>
        </w:rPr>
        <w:t>108</w:t>
      </w:r>
      <w:r w:rsidR="00550E24">
        <w:rPr>
          <w:rFonts w:ascii="Times New Roman" w:hAnsi="Times New Roman"/>
          <w:sz w:val="24"/>
          <w:szCs w:val="24"/>
        </w:rPr>
        <w:t xml:space="preserve"> of the Insurance Act and section </w:t>
      </w:r>
      <w:r w:rsidRPr="00D14060">
        <w:rPr>
          <w:rFonts w:ascii="Times New Roman" w:hAnsi="Times New Roman"/>
          <w:sz w:val="24"/>
          <w:szCs w:val="24"/>
        </w:rPr>
        <w:t>230F</w:t>
      </w:r>
      <w:r w:rsidR="00550E24">
        <w:rPr>
          <w:rFonts w:ascii="Times New Roman" w:hAnsi="Times New Roman"/>
          <w:sz w:val="24"/>
          <w:szCs w:val="24"/>
        </w:rPr>
        <w:t xml:space="preserve"> of the</w:t>
      </w:r>
      <w:r w:rsidRPr="00D14060">
        <w:rPr>
          <w:rFonts w:ascii="Times New Roman" w:hAnsi="Times New Roman"/>
          <w:sz w:val="24"/>
          <w:szCs w:val="24"/>
        </w:rPr>
        <w:t xml:space="preserve"> Life Insurance Act, 100</w:t>
      </w:r>
      <w:r w:rsidR="00550E24">
        <w:rPr>
          <w:rFonts w:ascii="Times New Roman" w:hAnsi="Times New Roman"/>
          <w:sz w:val="24"/>
          <w:szCs w:val="24"/>
        </w:rPr>
        <w:t xml:space="preserve"> penalty units each day under section </w:t>
      </w:r>
      <w:r w:rsidRPr="00D14060">
        <w:rPr>
          <w:rFonts w:ascii="Times New Roman" w:hAnsi="Times New Roman"/>
          <w:sz w:val="24"/>
          <w:szCs w:val="24"/>
        </w:rPr>
        <w:t>131DD</w:t>
      </w:r>
      <w:r w:rsidR="00550E24">
        <w:rPr>
          <w:rFonts w:ascii="Times New Roman" w:hAnsi="Times New Roman"/>
          <w:sz w:val="24"/>
          <w:szCs w:val="24"/>
        </w:rPr>
        <w:t xml:space="preserve"> of the SIS Act)</w:t>
      </w:r>
      <w:r w:rsidRPr="00D14060">
        <w:rPr>
          <w:rFonts w:ascii="Times New Roman" w:hAnsi="Times New Roman"/>
          <w:sz w:val="24"/>
          <w:szCs w:val="24"/>
        </w:rPr>
        <w:t>.</w:t>
      </w:r>
      <w:r w:rsidR="00550E24">
        <w:rPr>
          <w:rStyle w:val="FootnoteReference"/>
          <w:rFonts w:ascii="Times New Roman" w:hAnsi="Times New Roman"/>
          <w:sz w:val="24"/>
          <w:szCs w:val="24"/>
        </w:rPr>
        <w:footnoteReference w:id="2"/>
      </w:r>
      <w:r w:rsidRPr="00D14060">
        <w:rPr>
          <w:rFonts w:ascii="Times New Roman" w:hAnsi="Times New Roman"/>
          <w:sz w:val="24"/>
          <w:szCs w:val="24"/>
        </w:rPr>
        <w:t xml:space="preserve"> In nearly all cases</w:t>
      </w:r>
      <w:r w:rsidR="00550E24">
        <w:rPr>
          <w:rFonts w:ascii="Times New Roman" w:hAnsi="Times New Roman"/>
          <w:sz w:val="24"/>
          <w:szCs w:val="24"/>
        </w:rPr>
        <w:t>,</w:t>
      </w:r>
      <w:r w:rsidR="00550E24">
        <w:rPr>
          <w:rStyle w:val="FootnoteReference"/>
          <w:rFonts w:ascii="Times New Roman" w:hAnsi="Times New Roman"/>
          <w:sz w:val="24"/>
          <w:szCs w:val="24"/>
        </w:rPr>
        <w:footnoteReference w:id="3"/>
      </w:r>
      <w:r w:rsidRPr="00D14060">
        <w:rPr>
          <w:rFonts w:ascii="Times New Roman" w:hAnsi="Times New Roman"/>
          <w:sz w:val="24"/>
          <w:szCs w:val="24"/>
        </w:rPr>
        <w:t xml:space="preserve"> the decisions are preceded by a full consultation with the regulated entity to raise any concerns they may have in relation to the decision.</w:t>
      </w:r>
    </w:p>
    <w:p w14:paraId="077ACC56" w14:textId="669E0DAD" w:rsidR="00A1470D" w:rsidRDefault="00A1470D" w:rsidP="00561AA4">
      <w:pPr>
        <w:spacing w:after="240"/>
        <w:jc w:val="both"/>
        <w:rPr>
          <w:rFonts w:ascii="Times New Roman" w:hAnsi="Times New Roman"/>
          <w:sz w:val="24"/>
          <w:szCs w:val="24"/>
        </w:rPr>
      </w:pPr>
      <w:r w:rsidRPr="000E76C9">
        <w:rPr>
          <w:rFonts w:ascii="Times New Roman" w:hAnsi="Times New Roman"/>
          <w:sz w:val="24"/>
          <w:szCs w:val="24"/>
        </w:rPr>
        <w:t>The decisions of APRA to impose a direction are subject to merits review (s</w:t>
      </w:r>
      <w:r>
        <w:rPr>
          <w:rFonts w:ascii="Times New Roman" w:hAnsi="Times New Roman"/>
          <w:sz w:val="24"/>
          <w:szCs w:val="24"/>
        </w:rPr>
        <w:t xml:space="preserve">ection </w:t>
      </w:r>
      <w:r w:rsidRPr="000E76C9">
        <w:rPr>
          <w:rFonts w:ascii="Times New Roman" w:hAnsi="Times New Roman"/>
          <w:sz w:val="24"/>
          <w:szCs w:val="24"/>
        </w:rPr>
        <w:t xml:space="preserve">11CA </w:t>
      </w:r>
      <w:r>
        <w:rPr>
          <w:rFonts w:ascii="Times New Roman" w:hAnsi="Times New Roman"/>
          <w:sz w:val="24"/>
          <w:szCs w:val="24"/>
        </w:rPr>
        <w:t xml:space="preserve">of the </w:t>
      </w:r>
      <w:r w:rsidRPr="000E76C9">
        <w:rPr>
          <w:rFonts w:ascii="Times New Roman" w:hAnsi="Times New Roman"/>
          <w:sz w:val="24"/>
          <w:szCs w:val="24"/>
        </w:rPr>
        <w:t>Banking Act, s</w:t>
      </w:r>
      <w:r>
        <w:rPr>
          <w:rFonts w:ascii="Times New Roman" w:hAnsi="Times New Roman"/>
          <w:sz w:val="24"/>
          <w:szCs w:val="24"/>
        </w:rPr>
        <w:t xml:space="preserve">ection 104 of the </w:t>
      </w:r>
      <w:r w:rsidRPr="000E76C9">
        <w:rPr>
          <w:rFonts w:ascii="Times New Roman" w:hAnsi="Times New Roman"/>
          <w:sz w:val="24"/>
          <w:szCs w:val="24"/>
        </w:rPr>
        <w:t>Insurance Act, s</w:t>
      </w:r>
      <w:r>
        <w:rPr>
          <w:rFonts w:ascii="Times New Roman" w:hAnsi="Times New Roman"/>
          <w:sz w:val="24"/>
          <w:szCs w:val="24"/>
        </w:rPr>
        <w:t xml:space="preserve">ection </w:t>
      </w:r>
      <w:r w:rsidRPr="000E76C9">
        <w:rPr>
          <w:rFonts w:ascii="Times New Roman" w:hAnsi="Times New Roman"/>
          <w:sz w:val="24"/>
          <w:szCs w:val="24"/>
        </w:rPr>
        <w:t xml:space="preserve">236 </w:t>
      </w:r>
      <w:r>
        <w:rPr>
          <w:rFonts w:ascii="Times New Roman" w:hAnsi="Times New Roman"/>
          <w:sz w:val="24"/>
          <w:szCs w:val="24"/>
        </w:rPr>
        <w:t xml:space="preserve">of the </w:t>
      </w:r>
      <w:r w:rsidRPr="000E76C9">
        <w:rPr>
          <w:rFonts w:ascii="Times New Roman" w:hAnsi="Times New Roman"/>
          <w:sz w:val="24"/>
          <w:szCs w:val="24"/>
        </w:rPr>
        <w:t>Life Insurance Act), which is appropriately available at the point where an entity could be exposed to a penalty.</w:t>
      </w:r>
    </w:p>
    <w:p w14:paraId="0CFDB964" w14:textId="77777777" w:rsidR="00A1470D" w:rsidRDefault="00A1470D" w:rsidP="00561AA4">
      <w:pPr>
        <w:spacing w:after="240"/>
        <w:jc w:val="both"/>
        <w:rPr>
          <w:rFonts w:ascii="Times New Roman" w:hAnsi="Times New Roman"/>
          <w:sz w:val="24"/>
          <w:szCs w:val="24"/>
        </w:rPr>
      </w:pPr>
      <w:r w:rsidRPr="002958BD">
        <w:rPr>
          <w:rFonts w:ascii="Times New Roman" w:hAnsi="Times New Roman"/>
          <w:sz w:val="24"/>
          <w:szCs w:val="24"/>
        </w:rPr>
        <w:lastRenderedPageBreak/>
        <w:t>All decisions to revoke authorisations/registrations under the Banking Act, Insurance Act and Life Insurance Act are subject to merits review, unless specifically excluded by the enabling legislation.</w:t>
      </w:r>
    </w:p>
    <w:p w14:paraId="7CBDE301" w14:textId="77777777" w:rsidR="00A1470D" w:rsidRPr="008E0906" w:rsidRDefault="00A1470D" w:rsidP="00A1470D">
      <w:pPr>
        <w:jc w:val="both"/>
        <w:rPr>
          <w:rFonts w:ascii="Times New Roman" w:hAnsi="Times New Roman"/>
          <w:sz w:val="24"/>
          <w:szCs w:val="24"/>
        </w:rPr>
      </w:pPr>
      <w:r w:rsidRPr="008E0906">
        <w:rPr>
          <w:rFonts w:ascii="Times New Roman" w:hAnsi="Times New Roman"/>
          <w:sz w:val="24"/>
          <w:szCs w:val="24"/>
        </w:rPr>
        <w:t xml:space="preserve">Revocation of an authorisation to carry on banking business or a </w:t>
      </w:r>
      <w:r>
        <w:rPr>
          <w:rFonts w:ascii="Times New Roman" w:hAnsi="Times New Roman"/>
          <w:sz w:val="24"/>
          <w:szCs w:val="24"/>
        </w:rPr>
        <w:t xml:space="preserve">banking </w:t>
      </w:r>
      <w:r w:rsidRPr="008E0906">
        <w:rPr>
          <w:rFonts w:ascii="Times New Roman" w:hAnsi="Times New Roman"/>
          <w:sz w:val="24"/>
          <w:szCs w:val="24"/>
        </w:rPr>
        <w:t xml:space="preserve">NOHC </w:t>
      </w:r>
      <w:r>
        <w:rPr>
          <w:rFonts w:ascii="Times New Roman" w:hAnsi="Times New Roman"/>
          <w:sz w:val="24"/>
          <w:szCs w:val="24"/>
        </w:rPr>
        <w:t xml:space="preserve">authorisation </w:t>
      </w:r>
      <w:r w:rsidRPr="008E0906">
        <w:rPr>
          <w:rFonts w:ascii="Times New Roman" w:hAnsi="Times New Roman"/>
          <w:sz w:val="24"/>
          <w:szCs w:val="24"/>
        </w:rPr>
        <w:t>is subject to merits review unless either:</w:t>
      </w:r>
    </w:p>
    <w:p w14:paraId="1BBA879D" w14:textId="77777777" w:rsidR="00A1470D" w:rsidRDefault="00A1470D" w:rsidP="00A1470D">
      <w:pPr>
        <w:pStyle w:val="ListParagraph"/>
        <w:numPr>
          <w:ilvl w:val="0"/>
          <w:numId w:val="20"/>
        </w:numPr>
        <w:spacing w:after="200" w:line="276" w:lineRule="auto"/>
        <w:ind w:left="714" w:hanging="357"/>
        <w:jc w:val="both"/>
        <w:rPr>
          <w:rFonts w:ascii="Times New Roman" w:hAnsi="Times New Roman"/>
          <w:sz w:val="24"/>
          <w:szCs w:val="24"/>
        </w:rPr>
      </w:pPr>
      <w:r w:rsidRPr="00641582">
        <w:rPr>
          <w:rFonts w:ascii="Times New Roman" w:hAnsi="Times New Roman"/>
          <w:sz w:val="24"/>
          <w:szCs w:val="24"/>
        </w:rPr>
        <w:t>APRA has determined that access to natural justice and merits review is contrary to the national interest or contrary to the interests of depositors with the body corporate; or</w:t>
      </w:r>
    </w:p>
    <w:p w14:paraId="5DF15B63" w14:textId="77777777" w:rsidR="00A1470D" w:rsidRPr="00641582" w:rsidRDefault="00A1470D" w:rsidP="00812DCA">
      <w:pPr>
        <w:pStyle w:val="ListParagraph"/>
        <w:numPr>
          <w:ilvl w:val="0"/>
          <w:numId w:val="20"/>
        </w:numPr>
        <w:spacing w:after="200" w:line="276" w:lineRule="auto"/>
        <w:ind w:left="714" w:hanging="357"/>
        <w:jc w:val="both"/>
        <w:rPr>
          <w:rFonts w:ascii="Times New Roman" w:hAnsi="Times New Roman"/>
          <w:sz w:val="24"/>
          <w:szCs w:val="24"/>
        </w:rPr>
      </w:pPr>
      <w:r w:rsidRPr="00641582">
        <w:rPr>
          <w:rFonts w:ascii="Times New Roman" w:hAnsi="Times New Roman"/>
          <w:sz w:val="24"/>
          <w:szCs w:val="24"/>
        </w:rPr>
        <w:t>(in the case of ADIs only) the authority is an authority that is to cease to have effect on a day specified in the authority (s</w:t>
      </w:r>
      <w:r>
        <w:rPr>
          <w:rFonts w:ascii="Times New Roman" w:hAnsi="Times New Roman"/>
          <w:sz w:val="24"/>
          <w:szCs w:val="24"/>
        </w:rPr>
        <w:t xml:space="preserve">ection </w:t>
      </w:r>
      <w:r w:rsidRPr="00641582">
        <w:rPr>
          <w:rFonts w:ascii="Times New Roman" w:hAnsi="Times New Roman"/>
          <w:sz w:val="24"/>
          <w:szCs w:val="24"/>
        </w:rPr>
        <w:t>9A(8)</w:t>
      </w:r>
      <w:r>
        <w:rPr>
          <w:rFonts w:ascii="Times New Roman" w:hAnsi="Times New Roman"/>
          <w:sz w:val="24"/>
          <w:szCs w:val="24"/>
        </w:rPr>
        <w:t xml:space="preserve"> of the Banking Act</w:t>
      </w:r>
      <w:r w:rsidRPr="00641582">
        <w:rPr>
          <w:rFonts w:ascii="Times New Roman" w:hAnsi="Times New Roman"/>
          <w:sz w:val="24"/>
          <w:szCs w:val="24"/>
        </w:rPr>
        <w:t>).</w:t>
      </w:r>
    </w:p>
    <w:p w14:paraId="0F4BDE80" w14:textId="77777777" w:rsidR="00A1470D" w:rsidRPr="008E0906" w:rsidRDefault="00A1470D" w:rsidP="00561AA4">
      <w:pPr>
        <w:spacing w:after="240"/>
        <w:jc w:val="both"/>
        <w:rPr>
          <w:rFonts w:ascii="Times New Roman" w:hAnsi="Times New Roman"/>
          <w:sz w:val="24"/>
          <w:szCs w:val="24"/>
        </w:rPr>
      </w:pPr>
      <w:r w:rsidRPr="008E0906">
        <w:rPr>
          <w:rFonts w:ascii="Times New Roman" w:hAnsi="Times New Roman"/>
          <w:sz w:val="24"/>
          <w:szCs w:val="24"/>
        </w:rPr>
        <w:t xml:space="preserve">Revocation of an authorisation to carry on insurance business or an </w:t>
      </w:r>
      <w:r>
        <w:rPr>
          <w:rFonts w:ascii="Times New Roman" w:hAnsi="Times New Roman"/>
          <w:sz w:val="24"/>
          <w:szCs w:val="24"/>
        </w:rPr>
        <w:t xml:space="preserve">insurance </w:t>
      </w:r>
      <w:r w:rsidRPr="008E0906">
        <w:rPr>
          <w:rFonts w:ascii="Times New Roman" w:hAnsi="Times New Roman"/>
          <w:sz w:val="24"/>
          <w:szCs w:val="24"/>
        </w:rPr>
        <w:t xml:space="preserve">NOHC </w:t>
      </w:r>
      <w:r>
        <w:rPr>
          <w:rFonts w:ascii="Times New Roman" w:hAnsi="Times New Roman"/>
          <w:sz w:val="24"/>
          <w:szCs w:val="24"/>
        </w:rPr>
        <w:t xml:space="preserve">authorisation </w:t>
      </w:r>
      <w:r w:rsidRPr="008E0906">
        <w:rPr>
          <w:rFonts w:ascii="Times New Roman" w:hAnsi="Times New Roman"/>
          <w:sz w:val="24"/>
          <w:szCs w:val="24"/>
        </w:rPr>
        <w:t>is subject to merits review (ss 15 and 21</w:t>
      </w:r>
      <w:r>
        <w:rPr>
          <w:rFonts w:ascii="Times New Roman" w:hAnsi="Times New Roman"/>
          <w:sz w:val="24"/>
          <w:szCs w:val="24"/>
        </w:rPr>
        <w:t xml:space="preserve"> of the</w:t>
      </w:r>
      <w:r w:rsidRPr="008E0906">
        <w:rPr>
          <w:rFonts w:ascii="Times New Roman" w:hAnsi="Times New Roman"/>
          <w:sz w:val="24"/>
          <w:szCs w:val="24"/>
        </w:rPr>
        <w:t xml:space="preserve"> Insurance Act).</w:t>
      </w:r>
    </w:p>
    <w:p w14:paraId="7AF56340" w14:textId="55B3A8D3" w:rsidR="00A1470D" w:rsidRDefault="00A1470D" w:rsidP="00B70F11">
      <w:pPr>
        <w:spacing w:after="240"/>
        <w:jc w:val="both"/>
        <w:rPr>
          <w:rFonts w:ascii="Times New Roman" w:hAnsi="Times New Roman"/>
          <w:sz w:val="24"/>
          <w:szCs w:val="24"/>
        </w:rPr>
      </w:pPr>
      <w:r w:rsidRPr="008E0906">
        <w:rPr>
          <w:rFonts w:ascii="Times New Roman" w:hAnsi="Times New Roman"/>
          <w:sz w:val="24"/>
          <w:szCs w:val="24"/>
        </w:rPr>
        <w:t xml:space="preserve">Revocation of registration as a life insurance company or a life NOHC </w:t>
      </w:r>
      <w:r>
        <w:rPr>
          <w:rFonts w:ascii="Times New Roman" w:hAnsi="Times New Roman"/>
          <w:sz w:val="24"/>
          <w:szCs w:val="24"/>
        </w:rPr>
        <w:t xml:space="preserve">authorisation </w:t>
      </w:r>
      <w:r w:rsidRPr="008E0906">
        <w:rPr>
          <w:rFonts w:ascii="Times New Roman" w:hAnsi="Times New Roman"/>
          <w:sz w:val="24"/>
          <w:szCs w:val="24"/>
        </w:rPr>
        <w:t>is subject to merits review (s</w:t>
      </w:r>
      <w:r>
        <w:rPr>
          <w:rFonts w:ascii="Times New Roman" w:hAnsi="Times New Roman"/>
          <w:sz w:val="24"/>
          <w:szCs w:val="24"/>
        </w:rPr>
        <w:t>ection</w:t>
      </w:r>
      <w:r w:rsidRPr="008E0906">
        <w:rPr>
          <w:rFonts w:ascii="Times New Roman" w:hAnsi="Times New Roman"/>
          <w:sz w:val="24"/>
          <w:szCs w:val="24"/>
        </w:rPr>
        <w:t xml:space="preserve"> 236 </w:t>
      </w:r>
      <w:r>
        <w:rPr>
          <w:rFonts w:ascii="Times New Roman" w:hAnsi="Times New Roman"/>
          <w:sz w:val="24"/>
          <w:szCs w:val="24"/>
        </w:rPr>
        <w:t xml:space="preserve">of the </w:t>
      </w:r>
      <w:r w:rsidRPr="008E0906">
        <w:rPr>
          <w:rFonts w:ascii="Times New Roman" w:hAnsi="Times New Roman"/>
          <w:sz w:val="24"/>
          <w:szCs w:val="24"/>
        </w:rPr>
        <w:t>Life Insurance Act).</w:t>
      </w:r>
      <w:r w:rsidRPr="000868B7">
        <w:rPr>
          <w:rFonts w:ascii="Times New Roman" w:hAnsi="Times New Roman"/>
          <w:sz w:val="24"/>
          <w:szCs w:val="24"/>
        </w:rPr>
        <w:t xml:space="preserve"> </w:t>
      </w:r>
    </w:p>
    <w:p w14:paraId="03BE545C" w14:textId="77777777" w:rsidR="002436BD" w:rsidRDefault="002436BD" w:rsidP="00DF7DA0">
      <w:pPr>
        <w:pStyle w:val="Heading"/>
        <w:numPr>
          <w:ilvl w:val="0"/>
          <w:numId w:val="2"/>
        </w:numPr>
        <w:spacing w:after="240"/>
        <w:rPr>
          <w:rFonts w:ascii="Times New Roman" w:hAnsi="Times New Roman"/>
          <w:sz w:val="24"/>
          <w:szCs w:val="24"/>
        </w:rPr>
      </w:pPr>
      <w:bookmarkStart w:id="5" w:name="bkPurpose"/>
      <w:bookmarkStart w:id="6" w:name="bkoperation"/>
      <w:bookmarkStart w:id="7" w:name="bkConsultationNo"/>
      <w:bookmarkEnd w:id="5"/>
      <w:bookmarkEnd w:id="6"/>
      <w:bookmarkEnd w:id="7"/>
      <w:r w:rsidRPr="002C6D26">
        <w:rPr>
          <w:rFonts w:ascii="Times New Roman" w:hAnsi="Times New Roman"/>
          <w:sz w:val="24"/>
          <w:szCs w:val="24"/>
        </w:rPr>
        <w:t>Consultation</w:t>
      </w:r>
    </w:p>
    <w:p w14:paraId="013CFFD9" w14:textId="293AFF82" w:rsidR="00A4704C" w:rsidRDefault="00347347" w:rsidP="003E22BA">
      <w:pPr>
        <w:pStyle w:val="Heading"/>
        <w:tabs>
          <w:tab w:val="left" w:pos="360"/>
        </w:tabs>
        <w:spacing w:after="240"/>
        <w:rPr>
          <w:rFonts w:ascii="Times New Roman" w:hAnsi="Times New Roman"/>
          <w:b w:val="0"/>
          <w:sz w:val="24"/>
          <w:szCs w:val="24"/>
        </w:rPr>
      </w:pPr>
      <w:r>
        <w:rPr>
          <w:rFonts w:ascii="Times New Roman" w:hAnsi="Times New Roman"/>
          <w:b w:val="0"/>
          <w:sz w:val="24"/>
          <w:szCs w:val="24"/>
        </w:rPr>
        <w:t>APRA undertook public consultation on its proposed consequential amendments to the ADI capital reforms in July to August 2022. In October 2022 APRA released a letter to industry that outlines feedback from the July 2022 consultation and summarises the amendments.</w:t>
      </w:r>
      <w:r>
        <w:rPr>
          <w:rStyle w:val="FootnoteReference"/>
          <w:rFonts w:ascii="Times New Roman" w:hAnsi="Times New Roman"/>
          <w:b w:val="0"/>
          <w:sz w:val="24"/>
          <w:szCs w:val="24"/>
        </w:rPr>
        <w:footnoteReference w:id="4"/>
      </w:r>
    </w:p>
    <w:p w14:paraId="7214CE46" w14:textId="77777777" w:rsidR="002436BD" w:rsidRDefault="00DF524E" w:rsidP="00DF7DA0">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0"/>
    <w:p w14:paraId="233A3A3C" w14:textId="5768F451" w:rsidR="002436BD" w:rsidRDefault="00334DD1" w:rsidP="00DF7DA0">
      <w:pPr>
        <w:pStyle w:val="Heading"/>
        <w:spacing w:after="240"/>
        <w:rPr>
          <w:rFonts w:ascii="Times New Roman" w:hAnsi="Times New Roman"/>
          <w:b w:val="0"/>
          <w:sz w:val="24"/>
          <w:szCs w:val="24"/>
        </w:rPr>
      </w:pPr>
      <w:r w:rsidRPr="0026634D">
        <w:rPr>
          <w:rFonts w:ascii="Times New Roman" w:hAnsi="Times New Roman"/>
          <w:b w:val="0"/>
          <w:sz w:val="24"/>
          <w:szCs w:val="24"/>
        </w:rPr>
        <w:t xml:space="preserve">The Office of </w:t>
      </w:r>
      <w:r w:rsidR="006D211B">
        <w:rPr>
          <w:rFonts w:ascii="Times New Roman" w:hAnsi="Times New Roman"/>
          <w:b w:val="0"/>
          <w:sz w:val="24"/>
          <w:szCs w:val="24"/>
        </w:rPr>
        <w:t>Impact Analysis</w:t>
      </w:r>
      <w:r w:rsidRPr="0026634D">
        <w:rPr>
          <w:rFonts w:ascii="Times New Roman" w:hAnsi="Times New Roman"/>
          <w:b w:val="0"/>
          <w:sz w:val="24"/>
          <w:szCs w:val="24"/>
        </w:rPr>
        <w:t xml:space="preserve"> has advised that no Regulat</w:t>
      </w:r>
      <w:r w:rsidR="009918FF">
        <w:rPr>
          <w:rFonts w:ascii="Times New Roman" w:hAnsi="Times New Roman"/>
          <w:b w:val="0"/>
          <w:sz w:val="24"/>
          <w:szCs w:val="24"/>
        </w:rPr>
        <w:t>ion</w:t>
      </w:r>
      <w:r w:rsidRPr="0026634D">
        <w:rPr>
          <w:rFonts w:ascii="Times New Roman" w:hAnsi="Times New Roman"/>
          <w:b w:val="0"/>
          <w:sz w:val="24"/>
          <w:szCs w:val="24"/>
        </w:rPr>
        <w:t xml:space="preserve"> Impact </w:t>
      </w:r>
      <w:r w:rsidR="00700FA0">
        <w:rPr>
          <w:rFonts w:ascii="Times New Roman" w:hAnsi="Times New Roman"/>
          <w:b w:val="0"/>
          <w:sz w:val="24"/>
          <w:szCs w:val="24"/>
        </w:rPr>
        <w:t>S</w:t>
      </w:r>
      <w:r w:rsidRPr="0026634D">
        <w:rPr>
          <w:rFonts w:ascii="Times New Roman" w:hAnsi="Times New Roman"/>
          <w:b w:val="0"/>
          <w:sz w:val="24"/>
          <w:szCs w:val="24"/>
        </w:rPr>
        <w:t>tatement is required as the changes</w:t>
      </w:r>
      <w:r w:rsidR="00340D2E">
        <w:rPr>
          <w:rFonts w:ascii="Times New Roman" w:hAnsi="Times New Roman"/>
          <w:b w:val="0"/>
          <w:sz w:val="24"/>
          <w:szCs w:val="24"/>
        </w:rPr>
        <w:t xml:space="preserve"> to CPS</w:t>
      </w:r>
      <w:r w:rsidR="005646CC">
        <w:rPr>
          <w:rFonts w:ascii="Times New Roman" w:hAnsi="Times New Roman"/>
          <w:b w:val="0"/>
          <w:sz w:val="24"/>
          <w:szCs w:val="24"/>
        </w:rPr>
        <w:t xml:space="preserve"> </w:t>
      </w:r>
      <w:r w:rsidR="00340D2E">
        <w:rPr>
          <w:rFonts w:ascii="Times New Roman" w:hAnsi="Times New Roman"/>
          <w:b w:val="0"/>
          <w:sz w:val="24"/>
          <w:szCs w:val="24"/>
        </w:rPr>
        <w:t>226</w:t>
      </w:r>
      <w:r w:rsidRPr="0026634D">
        <w:rPr>
          <w:rFonts w:ascii="Times New Roman" w:hAnsi="Times New Roman"/>
          <w:b w:val="0"/>
          <w:sz w:val="24"/>
          <w:szCs w:val="24"/>
        </w:rPr>
        <w:t xml:space="preserve"> are minor and machinery.</w:t>
      </w:r>
    </w:p>
    <w:p w14:paraId="401F3907" w14:textId="77777777" w:rsidR="002436BD" w:rsidRPr="00B3165F" w:rsidRDefault="00DF524E" w:rsidP="00163FA0">
      <w:pPr>
        <w:pStyle w:val="Heading"/>
        <w:keepNext/>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BE75C9">
        <w:rPr>
          <w:rFonts w:ascii="Times New Roman" w:hAnsi="Times New Roman"/>
          <w:i/>
          <w:sz w:val="24"/>
          <w:szCs w:val="24"/>
        </w:rPr>
        <w:t>Human Rights (Parliamentary Scrutiny) Act 2011</w:t>
      </w:r>
    </w:p>
    <w:p w14:paraId="08DB91DF" w14:textId="0387E923" w:rsidR="001D2931" w:rsidRDefault="0030506B" w:rsidP="00DF7DA0">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100791F3" w14:textId="77777777" w:rsidR="001D2931" w:rsidRDefault="001D2931">
      <w:pPr>
        <w:rPr>
          <w:rFonts w:ascii="Times New Roman" w:hAnsi="Times New Roman"/>
          <w:sz w:val="24"/>
          <w:szCs w:val="24"/>
        </w:rPr>
      </w:pPr>
      <w:r>
        <w:rPr>
          <w:rFonts w:ascii="Times New Roman" w:hAnsi="Times New Roman"/>
          <w:b/>
          <w:sz w:val="24"/>
          <w:szCs w:val="24"/>
        </w:rPr>
        <w:br w:type="page"/>
      </w:r>
    </w:p>
    <w:p w14:paraId="0CB42133" w14:textId="77777777" w:rsidR="00C96F89" w:rsidRDefault="00C96F89" w:rsidP="00C96F89">
      <w:pPr>
        <w:spacing w:after="360"/>
        <w:outlineLvl w:val="0"/>
        <w:rPr>
          <w:rFonts w:ascii="Times New Roman" w:hAnsi="Times New Roman"/>
          <w:sz w:val="24"/>
          <w:szCs w:val="24"/>
          <w:u w:val="single"/>
        </w:rPr>
      </w:pPr>
      <w:r>
        <w:rPr>
          <w:rFonts w:ascii="Times New Roman" w:hAnsi="Times New Roman"/>
          <w:sz w:val="24"/>
          <w:szCs w:val="24"/>
          <w:u w:val="single"/>
        </w:rPr>
        <w:lastRenderedPageBreak/>
        <w:t>ATTACHMENT A</w:t>
      </w:r>
    </w:p>
    <w:p w14:paraId="756A5753" w14:textId="77777777"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b/>
          <w:bCs/>
          <w:sz w:val="24"/>
          <w:szCs w:val="24"/>
        </w:rPr>
        <w:t>Statement of Compatibility with Human Rights</w:t>
      </w:r>
    </w:p>
    <w:p w14:paraId="0BA4F508" w14:textId="4ECC930D"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sz w:val="24"/>
          <w:szCs w:val="24"/>
        </w:rPr>
        <w:t xml:space="preserve">Prepared in accordance with Part 3 of the </w:t>
      </w:r>
      <w:r>
        <w:rPr>
          <w:rFonts w:ascii="Times New Roman" w:hAnsi="Times New Roman"/>
          <w:i/>
          <w:iCs/>
          <w:sz w:val="24"/>
          <w:szCs w:val="24"/>
        </w:rPr>
        <w:t>Human Rights (Parliamentary Scrutiny) Act 2011</w:t>
      </w:r>
    </w:p>
    <w:p w14:paraId="5258DA58" w14:textId="565230B0" w:rsidR="00C96F89" w:rsidRDefault="00A71EDF" w:rsidP="00FD566F">
      <w:pPr>
        <w:shd w:val="clear" w:color="auto" w:fill="FFFFFF"/>
        <w:spacing w:before="100" w:beforeAutospacing="1" w:after="240"/>
        <w:jc w:val="center"/>
        <w:rPr>
          <w:rFonts w:ascii="Times New Roman" w:hAnsi="Times New Roman"/>
          <w:b/>
          <w:bCs/>
          <w:sz w:val="24"/>
          <w:szCs w:val="24"/>
        </w:rPr>
      </w:pPr>
      <w:r>
        <w:rPr>
          <w:rFonts w:ascii="Times New Roman" w:hAnsi="Times New Roman"/>
          <w:b/>
          <w:bCs/>
          <w:sz w:val="24"/>
          <w:szCs w:val="24"/>
        </w:rPr>
        <w:t xml:space="preserve">Banking, Insurance, Life Insurance and Superannuation (prudential standard) </w:t>
      </w:r>
      <w:r w:rsidRPr="00163FA0">
        <w:rPr>
          <w:rFonts w:ascii="Times New Roman" w:hAnsi="Times New Roman"/>
          <w:b/>
          <w:bCs/>
          <w:sz w:val="24"/>
          <w:szCs w:val="24"/>
        </w:rPr>
        <w:t xml:space="preserve">determination No. </w:t>
      </w:r>
      <w:r w:rsidR="006E7ADA">
        <w:rPr>
          <w:rFonts w:ascii="Times New Roman" w:hAnsi="Times New Roman"/>
          <w:b/>
          <w:bCs/>
          <w:sz w:val="24"/>
          <w:szCs w:val="24"/>
        </w:rPr>
        <w:t>2</w:t>
      </w:r>
      <w:r w:rsidR="006E7ADA" w:rsidRPr="00163FA0">
        <w:rPr>
          <w:rFonts w:ascii="Times New Roman" w:hAnsi="Times New Roman"/>
          <w:b/>
          <w:bCs/>
          <w:sz w:val="24"/>
          <w:szCs w:val="24"/>
        </w:rPr>
        <w:t xml:space="preserve"> </w:t>
      </w:r>
      <w:r w:rsidRPr="00163FA0">
        <w:rPr>
          <w:rFonts w:ascii="Times New Roman" w:hAnsi="Times New Roman"/>
          <w:b/>
          <w:bCs/>
          <w:sz w:val="24"/>
          <w:szCs w:val="24"/>
        </w:rPr>
        <w:t>of 202</w:t>
      </w:r>
      <w:r w:rsidR="009D55CC">
        <w:rPr>
          <w:rFonts w:ascii="Times New Roman" w:hAnsi="Times New Roman"/>
          <w:b/>
          <w:bCs/>
          <w:sz w:val="24"/>
          <w:szCs w:val="24"/>
        </w:rPr>
        <w:t>2</w:t>
      </w:r>
    </w:p>
    <w:p w14:paraId="35BD42C7" w14:textId="1A72A0B4"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sz w:val="24"/>
          <w:szCs w:val="24"/>
        </w:rPr>
        <w:t xml:space="preserve">The legislative instrument </w:t>
      </w:r>
      <w:r w:rsidR="00340D2E">
        <w:rPr>
          <w:rFonts w:ascii="Times New Roman" w:hAnsi="Times New Roman"/>
          <w:sz w:val="24"/>
          <w:szCs w:val="24"/>
        </w:rPr>
        <w:t>is</w:t>
      </w:r>
      <w:r>
        <w:rPr>
          <w:rFonts w:ascii="Times New Roman" w:hAnsi="Times New Roman"/>
          <w:sz w:val="24"/>
          <w:szCs w:val="24"/>
        </w:rPr>
        <w:t xml:space="preserve"> compatible with the human rights and freedoms recognised or declared in the international instruments listed in section 3 of the </w:t>
      </w:r>
      <w:r>
        <w:rPr>
          <w:rFonts w:ascii="Times New Roman" w:hAnsi="Times New Roman"/>
          <w:i/>
          <w:iCs/>
          <w:sz w:val="24"/>
          <w:szCs w:val="24"/>
        </w:rPr>
        <w:t>Human Rights (Parliamentary Scrutiny) Act 2011</w:t>
      </w:r>
      <w:r>
        <w:rPr>
          <w:rFonts w:ascii="Times New Roman" w:hAnsi="Times New Roman"/>
          <w:sz w:val="24"/>
          <w:szCs w:val="24"/>
        </w:rPr>
        <w:t xml:space="preserve"> (HRPS Act).</w:t>
      </w:r>
    </w:p>
    <w:p w14:paraId="38B799D8" w14:textId="72D1E2FE"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Overview of the Legislative Instrument</w:t>
      </w:r>
    </w:p>
    <w:p w14:paraId="285F844E" w14:textId="68C602F1" w:rsidR="005646CC" w:rsidRDefault="003F5A8B" w:rsidP="003F5A8B">
      <w:pPr>
        <w:spacing w:after="240"/>
        <w:jc w:val="both"/>
        <w:rPr>
          <w:rFonts w:ascii="Times New Roman" w:hAnsi="Times New Roman"/>
          <w:sz w:val="24"/>
          <w:szCs w:val="24"/>
        </w:rPr>
      </w:pPr>
      <w:r>
        <w:rPr>
          <w:rFonts w:ascii="Times New Roman" w:hAnsi="Times New Roman"/>
          <w:sz w:val="24"/>
          <w:szCs w:val="24"/>
        </w:rPr>
        <w:t xml:space="preserve">The purpose of Banking, Insurance, Life Insurance and Superannuation (prudential standard) determination </w:t>
      </w:r>
      <w:r w:rsidRPr="00163FA0">
        <w:rPr>
          <w:rFonts w:ascii="Times New Roman" w:hAnsi="Times New Roman"/>
          <w:sz w:val="24"/>
          <w:szCs w:val="24"/>
        </w:rPr>
        <w:t>No</w:t>
      </w:r>
      <w:r w:rsidR="00163FA0" w:rsidRPr="00163FA0">
        <w:rPr>
          <w:rFonts w:ascii="Times New Roman" w:hAnsi="Times New Roman"/>
          <w:sz w:val="24"/>
          <w:szCs w:val="24"/>
        </w:rPr>
        <w:t>.</w:t>
      </w:r>
      <w:r w:rsidRPr="00163FA0">
        <w:rPr>
          <w:rFonts w:ascii="Times New Roman" w:hAnsi="Times New Roman"/>
          <w:sz w:val="24"/>
          <w:szCs w:val="24"/>
        </w:rPr>
        <w:t xml:space="preserve"> </w:t>
      </w:r>
      <w:r w:rsidR="0050272B">
        <w:rPr>
          <w:rFonts w:ascii="Times New Roman" w:hAnsi="Times New Roman"/>
          <w:sz w:val="24"/>
          <w:szCs w:val="24"/>
        </w:rPr>
        <w:t>2</w:t>
      </w:r>
      <w:r w:rsidR="0050272B" w:rsidRPr="00163FA0">
        <w:rPr>
          <w:rFonts w:ascii="Times New Roman" w:hAnsi="Times New Roman"/>
          <w:sz w:val="24"/>
          <w:szCs w:val="24"/>
        </w:rPr>
        <w:t xml:space="preserve"> </w:t>
      </w:r>
      <w:r w:rsidRPr="00163FA0">
        <w:rPr>
          <w:rFonts w:ascii="Times New Roman" w:hAnsi="Times New Roman"/>
          <w:sz w:val="24"/>
          <w:szCs w:val="24"/>
        </w:rPr>
        <w:t>of 202</w:t>
      </w:r>
      <w:r w:rsidR="005646CC">
        <w:rPr>
          <w:rFonts w:ascii="Times New Roman" w:hAnsi="Times New Roman"/>
          <w:sz w:val="24"/>
          <w:szCs w:val="24"/>
        </w:rPr>
        <w:t>2 (the instrument)</w:t>
      </w:r>
      <w:r>
        <w:rPr>
          <w:rFonts w:ascii="Times New Roman" w:hAnsi="Times New Roman"/>
          <w:sz w:val="24"/>
          <w:szCs w:val="24"/>
        </w:rPr>
        <w:t xml:space="preserve"> is to revoke </w:t>
      </w:r>
      <w:r w:rsidR="005646CC" w:rsidRPr="00A84101">
        <w:rPr>
          <w:rFonts w:ascii="Times New Roman" w:hAnsi="Times New Roman"/>
          <w:i/>
          <w:sz w:val="24"/>
          <w:szCs w:val="24"/>
        </w:rPr>
        <w:t>Prudential Standard CPS 226 Margining and Risk Mitigation for Non-Centrally Cleared Derivatives</w:t>
      </w:r>
      <w:r w:rsidR="005646CC" w:rsidRPr="005646CC">
        <w:rPr>
          <w:rFonts w:ascii="Times New Roman" w:hAnsi="Times New Roman"/>
          <w:sz w:val="24"/>
          <w:szCs w:val="24"/>
        </w:rPr>
        <w:t xml:space="preserve"> </w:t>
      </w:r>
      <w:r w:rsidR="005646CC">
        <w:rPr>
          <w:rFonts w:ascii="Times New Roman" w:hAnsi="Times New Roman"/>
          <w:sz w:val="24"/>
          <w:szCs w:val="24"/>
        </w:rPr>
        <w:t>(</w:t>
      </w:r>
      <w:r>
        <w:rPr>
          <w:rFonts w:ascii="Times New Roman" w:hAnsi="Times New Roman"/>
          <w:sz w:val="24"/>
          <w:szCs w:val="24"/>
        </w:rPr>
        <w:t>CPS</w:t>
      </w:r>
      <w:r w:rsidR="005646CC">
        <w:rPr>
          <w:rFonts w:ascii="Times New Roman" w:hAnsi="Times New Roman"/>
          <w:sz w:val="24"/>
          <w:szCs w:val="24"/>
        </w:rPr>
        <w:t xml:space="preserve"> </w:t>
      </w:r>
      <w:r>
        <w:rPr>
          <w:rFonts w:ascii="Times New Roman" w:hAnsi="Times New Roman"/>
          <w:sz w:val="24"/>
          <w:szCs w:val="24"/>
        </w:rPr>
        <w:t>226</w:t>
      </w:r>
      <w:r w:rsidR="005646CC">
        <w:rPr>
          <w:rFonts w:ascii="Times New Roman" w:hAnsi="Times New Roman"/>
          <w:sz w:val="24"/>
          <w:szCs w:val="24"/>
        </w:rPr>
        <w:t>)</w:t>
      </w:r>
      <w:r>
        <w:rPr>
          <w:rFonts w:ascii="Times New Roman" w:hAnsi="Times New Roman"/>
          <w:sz w:val="24"/>
          <w:szCs w:val="24"/>
        </w:rPr>
        <w:t xml:space="preserve"> and replace it with a new version of CPS</w:t>
      </w:r>
      <w:r w:rsidR="005646CC">
        <w:rPr>
          <w:rFonts w:ascii="Times New Roman" w:hAnsi="Times New Roman"/>
          <w:sz w:val="24"/>
          <w:szCs w:val="24"/>
        </w:rPr>
        <w:t xml:space="preserve"> </w:t>
      </w:r>
      <w:r>
        <w:rPr>
          <w:rFonts w:ascii="Times New Roman" w:hAnsi="Times New Roman"/>
          <w:sz w:val="24"/>
          <w:szCs w:val="24"/>
        </w:rPr>
        <w:t xml:space="preserve">226. </w:t>
      </w:r>
    </w:p>
    <w:p w14:paraId="26AE7E43" w14:textId="3CA75028" w:rsidR="003F5A8B" w:rsidRDefault="007F1549" w:rsidP="003F5A8B">
      <w:pPr>
        <w:spacing w:after="240"/>
        <w:jc w:val="both"/>
        <w:rPr>
          <w:rFonts w:ascii="Times New Roman" w:hAnsi="Times New Roman"/>
          <w:sz w:val="24"/>
          <w:szCs w:val="24"/>
        </w:rPr>
      </w:pPr>
      <w:r>
        <w:rPr>
          <w:rFonts w:ascii="Times New Roman" w:hAnsi="Times New Roman"/>
          <w:sz w:val="24"/>
          <w:szCs w:val="24"/>
        </w:rPr>
        <w:t>CPS 226 applies to institutions in the banking, general insurance, li</w:t>
      </w:r>
      <w:r w:rsidR="00E3026E">
        <w:rPr>
          <w:rFonts w:ascii="Times New Roman" w:hAnsi="Times New Roman"/>
          <w:sz w:val="24"/>
          <w:szCs w:val="24"/>
        </w:rPr>
        <w:t>f</w:t>
      </w:r>
      <w:r>
        <w:rPr>
          <w:rFonts w:ascii="Times New Roman" w:hAnsi="Times New Roman"/>
          <w:sz w:val="24"/>
          <w:szCs w:val="24"/>
        </w:rPr>
        <w:t>e insurance and superannuation industries. Under CPS 226, an entity that actively transacts in non</w:t>
      </w:r>
      <w:r w:rsidR="00BA067F">
        <w:rPr>
          <w:rFonts w:ascii="Times New Roman" w:hAnsi="Times New Roman"/>
          <w:sz w:val="24"/>
          <w:szCs w:val="24"/>
        </w:rPr>
        <w:t>-centrally cleared derivatives is required to exchange collateral as appropriate to those transactions to manage the risk of counterparty default, and to have policies and procedures to manage its risks in undertaking the derivatives activity.</w:t>
      </w:r>
      <w:r w:rsidR="00BE75C9">
        <w:rPr>
          <w:rFonts w:ascii="Times New Roman" w:hAnsi="Times New Roman"/>
          <w:sz w:val="24"/>
          <w:szCs w:val="24"/>
        </w:rPr>
        <w:t xml:space="preserve"> </w:t>
      </w:r>
      <w:r w:rsidR="00BE75C9" w:rsidRPr="00974404">
        <w:rPr>
          <w:rFonts w:ascii="Times New Roman" w:hAnsi="Times New Roman"/>
          <w:sz w:val="24"/>
          <w:szCs w:val="24"/>
        </w:rPr>
        <w:t xml:space="preserve">The instrument provides for a minor reference change that is necessary </w:t>
      </w:r>
      <w:proofErr w:type="gramStart"/>
      <w:r w:rsidR="00BE75C9" w:rsidRPr="00974404">
        <w:rPr>
          <w:rFonts w:ascii="Times New Roman" w:hAnsi="Times New Roman"/>
          <w:sz w:val="24"/>
          <w:szCs w:val="24"/>
        </w:rPr>
        <w:t>as a consequence of</w:t>
      </w:r>
      <w:proofErr w:type="gramEnd"/>
      <w:r w:rsidR="00BE75C9" w:rsidRPr="00974404">
        <w:rPr>
          <w:rFonts w:ascii="Times New Roman" w:hAnsi="Times New Roman"/>
          <w:sz w:val="24"/>
          <w:szCs w:val="24"/>
        </w:rPr>
        <w:t xml:space="preserve"> the </w:t>
      </w:r>
      <w:r w:rsidR="00BE75C9">
        <w:rPr>
          <w:rFonts w:ascii="Times New Roman" w:hAnsi="Times New Roman"/>
          <w:sz w:val="24"/>
          <w:szCs w:val="24"/>
        </w:rPr>
        <w:t xml:space="preserve">changes to the </w:t>
      </w:r>
      <w:r w:rsidR="00BE75C9" w:rsidRPr="00974404">
        <w:rPr>
          <w:rFonts w:ascii="Times New Roman" w:hAnsi="Times New Roman"/>
          <w:sz w:val="24"/>
          <w:szCs w:val="24"/>
        </w:rPr>
        <w:t xml:space="preserve">capital requirements for authorised deposit-taking institutions </w:t>
      </w:r>
      <w:r w:rsidR="003D2A79">
        <w:rPr>
          <w:rFonts w:ascii="Times New Roman" w:hAnsi="Times New Roman"/>
          <w:sz w:val="24"/>
          <w:szCs w:val="24"/>
        </w:rPr>
        <w:t xml:space="preserve">in prudential standards (made under the </w:t>
      </w:r>
      <w:r w:rsidR="003D2A79" w:rsidRPr="003D2A79">
        <w:rPr>
          <w:rFonts w:ascii="Times New Roman" w:hAnsi="Times New Roman"/>
          <w:i/>
          <w:sz w:val="24"/>
          <w:szCs w:val="24"/>
        </w:rPr>
        <w:t>Banking Act 1959</w:t>
      </w:r>
      <w:r w:rsidR="003D2A79">
        <w:rPr>
          <w:rFonts w:ascii="Times New Roman" w:hAnsi="Times New Roman"/>
          <w:sz w:val="24"/>
          <w:szCs w:val="24"/>
        </w:rPr>
        <w:t xml:space="preserve">) </w:t>
      </w:r>
      <w:r w:rsidR="00BE75C9" w:rsidRPr="00974404">
        <w:rPr>
          <w:rFonts w:ascii="Times New Roman" w:hAnsi="Times New Roman"/>
          <w:sz w:val="24"/>
          <w:szCs w:val="24"/>
        </w:rPr>
        <w:t>which come into effect on 1 January 2023.</w:t>
      </w:r>
    </w:p>
    <w:p w14:paraId="185385E4" w14:textId="5329C08F" w:rsidR="00C96F89" w:rsidRDefault="00C96F89" w:rsidP="004262B9">
      <w:pPr>
        <w:keepNext/>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Human rights implications</w:t>
      </w:r>
    </w:p>
    <w:p w14:paraId="15EF2C39" w14:textId="3F1D6D93" w:rsidR="00EA739F" w:rsidRDefault="00C96F89" w:rsidP="00EA739F">
      <w:pPr>
        <w:shd w:val="clear" w:color="auto" w:fill="FFFFFF"/>
        <w:spacing w:before="100" w:beforeAutospacing="1" w:after="240"/>
        <w:jc w:val="both"/>
        <w:rPr>
          <w:rFonts w:ascii="Times New Roman" w:hAnsi="Times New Roman"/>
          <w:sz w:val="24"/>
          <w:szCs w:val="24"/>
        </w:rPr>
      </w:pPr>
      <w:r>
        <w:rPr>
          <w:rFonts w:ascii="Times New Roman" w:hAnsi="Times New Roman"/>
          <w:sz w:val="24"/>
          <w:szCs w:val="24"/>
        </w:rPr>
        <w:t xml:space="preserve">APRA has assessed the instrument and is of the view that </w:t>
      </w:r>
      <w:r w:rsidR="005646CC">
        <w:rPr>
          <w:rFonts w:ascii="Times New Roman" w:hAnsi="Times New Roman"/>
          <w:sz w:val="24"/>
          <w:szCs w:val="24"/>
        </w:rPr>
        <w:t xml:space="preserve">it </w:t>
      </w:r>
      <w:r>
        <w:rPr>
          <w:rFonts w:ascii="Times New Roman" w:hAnsi="Times New Roman"/>
          <w:sz w:val="24"/>
          <w:szCs w:val="24"/>
        </w:rPr>
        <w:t>do</w:t>
      </w:r>
      <w:r w:rsidR="00AA6ED5">
        <w:rPr>
          <w:rFonts w:ascii="Times New Roman" w:hAnsi="Times New Roman"/>
          <w:sz w:val="24"/>
          <w:szCs w:val="24"/>
        </w:rPr>
        <w:t>es</w:t>
      </w:r>
      <w:r>
        <w:rPr>
          <w:rFonts w:ascii="Times New Roman" w:hAnsi="Times New Roman"/>
          <w:sz w:val="24"/>
          <w:szCs w:val="24"/>
        </w:rPr>
        <w:t xml:space="preserve"> not engage any of the applicable rights or freedoms recognised or declared in the international instruments listed in section 3 of the HRPS Act. Accordingly, in APRA’s assessment, the instrument </w:t>
      </w:r>
      <w:r w:rsidR="003D2A79">
        <w:rPr>
          <w:rFonts w:ascii="Times New Roman" w:hAnsi="Times New Roman"/>
          <w:sz w:val="24"/>
          <w:szCs w:val="24"/>
        </w:rPr>
        <w:t xml:space="preserve">is </w:t>
      </w:r>
      <w:r>
        <w:rPr>
          <w:rFonts w:ascii="Times New Roman" w:hAnsi="Times New Roman"/>
          <w:sz w:val="24"/>
          <w:szCs w:val="24"/>
        </w:rPr>
        <w:t>compatible with human rights.</w:t>
      </w:r>
    </w:p>
    <w:p w14:paraId="6CAF8253" w14:textId="4938750C" w:rsidR="00C96F89" w:rsidRPr="00EA739F" w:rsidRDefault="00EA739F" w:rsidP="00EA739F">
      <w:pPr>
        <w:keepNext/>
        <w:shd w:val="clear" w:color="auto" w:fill="FFFFFF"/>
        <w:spacing w:before="100" w:beforeAutospacing="1" w:after="240"/>
        <w:jc w:val="both"/>
        <w:rPr>
          <w:rFonts w:ascii="Times New Roman" w:hAnsi="Times New Roman"/>
          <w:sz w:val="24"/>
          <w:szCs w:val="24"/>
        </w:rPr>
      </w:pPr>
      <w:r>
        <w:rPr>
          <w:rFonts w:ascii="Times New Roman" w:hAnsi="Times New Roman"/>
          <w:b/>
          <w:bCs/>
          <w:sz w:val="24"/>
          <w:szCs w:val="24"/>
        </w:rPr>
        <w:t>C</w:t>
      </w:r>
      <w:r w:rsidR="00C96F89">
        <w:rPr>
          <w:rFonts w:ascii="Times New Roman" w:hAnsi="Times New Roman"/>
          <w:b/>
          <w:bCs/>
          <w:sz w:val="24"/>
          <w:szCs w:val="24"/>
        </w:rPr>
        <w:t>onclusion</w:t>
      </w:r>
    </w:p>
    <w:p w14:paraId="2427AC61" w14:textId="7B9F1B13" w:rsidR="00C96F89" w:rsidRDefault="00C96F89" w:rsidP="00C96F89">
      <w:pPr>
        <w:spacing w:after="240"/>
        <w:jc w:val="both"/>
        <w:rPr>
          <w:rFonts w:ascii="Times New Roman" w:hAnsi="Times New Roman"/>
          <w:sz w:val="24"/>
          <w:szCs w:val="24"/>
        </w:rPr>
      </w:pPr>
      <w:r>
        <w:rPr>
          <w:rFonts w:ascii="Times New Roman" w:hAnsi="Times New Roman"/>
          <w:sz w:val="24"/>
          <w:szCs w:val="24"/>
        </w:rPr>
        <w:t xml:space="preserve">The instrument </w:t>
      </w:r>
      <w:r w:rsidR="00EA739F">
        <w:rPr>
          <w:rFonts w:ascii="Times New Roman" w:hAnsi="Times New Roman"/>
          <w:sz w:val="24"/>
          <w:szCs w:val="24"/>
        </w:rPr>
        <w:t>is</w:t>
      </w:r>
      <w:r>
        <w:rPr>
          <w:rFonts w:ascii="Times New Roman" w:hAnsi="Times New Roman"/>
          <w:sz w:val="24"/>
          <w:szCs w:val="24"/>
        </w:rPr>
        <w:t xml:space="preserve"> compatible with human rights as </w:t>
      </w:r>
      <w:r w:rsidR="00EA739F">
        <w:rPr>
          <w:rFonts w:ascii="Times New Roman" w:hAnsi="Times New Roman"/>
          <w:sz w:val="24"/>
          <w:szCs w:val="24"/>
        </w:rPr>
        <w:t>it does</w:t>
      </w:r>
      <w:r>
        <w:rPr>
          <w:rFonts w:ascii="Times New Roman" w:hAnsi="Times New Roman"/>
          <w:sz w:val="24"/>
          <w:szCs w:val="24"/>
        </w:rPr>
        <w:t xml:space="preserve"> not raise any human rights issues.</w:t>
      </w:r>
    </w:p>
    <w:sectPr w:rsidR="00C96F89" w:rsidSect="003D5032">
      <w:footerReference w:type="default" r:id="rId16"/>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9C698" w14:textId="77777777" w:rsidR="00F5607A" w:rsidRDefault="00F5607A" w:rsidP="00DF7DA0">
      <w:r>
        <w:separator/>
      </w:r>
    </w:p>
  </w:endnote>
  <w:endnote w:type="continuationSeparator" w:id="0">
    <w:p w14:paraId="4C7EACEE" w14:textId="77777777" w:rsidR="00F5607A" w:rsidRDefault="00F5607A" w:rsidP="00DF7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rFonts w:ascii="Times New Roman" w:hAnsi="Times New Roman"/>
        <w:sz w:val="24"/>
        <w:szCs w:val="24"/>
      </w:rPr>
    </w:sdtEndPr>
    <w:sdtContent>
      <w:p w14:paraId="1A705CBD" w14:textId="77777777" w:rsidR="00DF7DA0" w:rsidRPr="00DF7DA0" w:rsidRDefault="00DF7DA0" w:rsidP="00DF7DA0">
        <w:pPr>
          <w:pStyle w:val="Footer"/>
          <w:jc w:val="center"/>
          <w:rPr>
            <w:rFonts w:ascii="Times New Roman" w:hAnsi="Times New Roman"/>
            <w:sz w:val="24"/>
            <w:szCs w:val="24"/>
          </w:rPr>
        </w:pPr>
        <w:r w:rsidRPr="00DF7DA0">
          <w:rPr>
            <w:rFonts w:ascii="Times New Roman" w:hAnsi="Times New Roman"/>
            <w:bCs/>
            <w:sz w:val="24"/>
            <w:szCs w:val="24"/>
          </w:rPr>
          <w:fldChar w:fldCharType="begin"/>
        </w:r>
        <w:r w:rsidRPr="00DF7DA0">
          <w:rPr>
            <w:rFonts w:ascii="Times New Roman" w:hAnsi="Times New Roman"/>
            <w:bCs/>
            <w:sz w:val="24"/>
            <w:szCs w:val="24"/>
          </w:rPr>
          <w:instrText xml:space="preserve"> PAGE </w:instrText>
        </w:r>
        <w:r w:rsidRPr="00DF7DA0">
          <w:rPr>
            <w:rFonts w:ascii="Times New Roman" w:hAnsi="Times New Roman"/>
            <w:bCs/>
            <w:sz w:val="24"/>
            <w:szCs w:val="24"/>
          </w:rPr>
          <w:fldChar w:fldCharType="separate"/>
        </w:r>
        <w:r w:rsidR="00E93631">
          <w:rPr>
            <w:rFonts w:ascii="Times New Roman" w:hAnsi="Times New Roman"/>
            <w:bCs/>
            <w:noProof/>
            <w:sz w:val="24"/>
            <w:szCs w:val="24"/>
          </w:rPr>
          <w:t>5</w:t>
        </w:r>
        <w:r w:rsidRPr="00DF7DA0">
          <w:rPr>
            <w:rFonts w:ascii="Times New Roman" w:hAnsi="Times New Roman"/>
            <w:bCs/>
            <w:sz w:val="24"/>
            <w:szCs w:val="24"/>
          </w:rPr>
          <w:fldChar w:fldCharType="end"/>
        </w:r>
      </w:p>
    </w:sdtContent>
  </w:sdt>
  <w:p w14:paraId="63A27E33" w14:textId="77777777" w:rsidR="00DF7DA0" w:rsidRDefault="00DF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103F4" w14:textId="77777777" w:rsidR="00F5607A" w:rsidRDefault="00F5607A" w:rsidP="00DF7DA0">
      <w:r>
        <w:separator/>
      </w:r>
    </w:p>
  </w:footnote>
  <w:footnote w:type="continuationSeparator" w:id="0">
    <w:p w14:paraId="66747387" w14:textId="77777777" w:rsidR="00F5607A" w:rsidRDefault="00F5607A" w:rsidP="00DF7DA0">
      <w:r>
        <w:continuationSeparator/>
      </w:r>
    </w:p>
  </w:footnote>
  <w:footnote w:id="1">
    <w:p w14:paraId="4F4B7E3D" w14:textId="76A75CC2" w:rsidR="00A824C6" w:rsidRPr="00A824C6" w:rsidRDefault="00A824C6" w:rsidP="00561AA4">
      <w:pPr>
        <w:pStyle w:val="FootnoteText"/>
        <w:jc w:val="both"/>
        <w:rPr>
          <w:rFonts w:ascii="Times New Roman" w:hAnsi="Times New Roman"/>
        </w:rPr>
      </w:pPr>
      <w:r w:rsidRPr="00A824C6">
        <w:rPr>
          <w:rStyle w:val="FootnoteReference"/>
          <w:rFonts w:ascii="Times New Roman" w:hAnsi="Times New Roman"/>
        </w:rPr>
        <w:footnoteRef/>
      </w:r>
      <w:r w:rsidRPr="00A824C6">
        <w:rPr>
          <w:rFonts w:ascii="Times New Roman" w:hAnsi="Times New Roman"/>
        </w:rPr>
        <w:t xml:space="preserve"> Australian </w:t>
      </w:r>
      <w:r>
        <w:rPr>
          <w:rFonts w:ascii="Times New Roman" w:hAnsi="Times New Roman"/>
        </w:rPr>
        <w:t xml:space="preserve">Accounting Standards is defined in </w:t>
      </w:r>
      <w:r w:rsidRPr="00A824C6">
        <w:rPr>
          <w:rFonts w:ascii="Times New Roman" w:hAnsi="Times New Roman"/>
          <w:i/>
        </w:rPr>
        <w:t>Prudential Standard APS</w:t>
      </w:r>
      <w:r w:rsidR="00EA739F">
        <w:rPr>
          <w:rFonts w:ascii="Times New Roman" w:hAnsi="Times New Roman"/>
          <w:i/>
        </w:rPr>
        <w:t> </w:t>
      </w:r>
      <w:r w:rsidRPr="00A824C6">
        <w:rPr>
          <w:rFonts w:ascii="Times New Roman" w:hAnsi="Times New Roman"/>
          <w:i/>
        </w:rPr>
        <w:t>001 Definitions</w:t>
      </w:r>
      <w:r>
        <w:rPr>
          <w:rFonts w:ascii="Times New Roman" w:hAnsi="Times New Roman"/>
        </w:rPr>
        <w:t xml:space="preserve"> as the Australian Accounting Standards issued by the Australian Accounting Standards Board as may be amended from time to time. </w:t>
      </w:r>
    </w:p>
  </w:footnote>
  <w:footnote w:id="2">
    <w:p w14:paraId="2D5F3DD9" w14:textId="2663C047" w:rsidR="00550E24" w:rsidRPr="00550E24" w:rsidRDefault="00550E24" w:rsidP="00550E24">
      <w:pPr>
        <w:pStyle w:val="FootnoteText"/>
        <w:spacing w:after="120"/>
        <w:jc w:val="both"/>
        <w:rPr>
          <w:rFonts w:ascii="Times New Roman" w:hAnsi="Times New Roman"/>
        </w:rPr>
      </w:pPr>
      <w:r w:rsidRPr="00550E24">
        <w:rPr>
          <w:rStyle w:val="FootnoteReference"/>
          <w:rFonts w:ascii="Times New Roman" w:hAnsi="Times New Roman"/>
        </w:rPr>
        <w:footnoteRef/>
      </w:r>
      <w:r w:rsidRPr="00550E24">
        <w:rPr>
          <w:rFonts w:ascii="Times New Roman" w:hAnsi="Times New Roman"/>
        </w:rPr>
        <w:t xml:space="preserve"> The exception is section 54B of the SIS Act, which provides that breach of a covenant under sections 52 or 52A is a civil penalty provision. The covenants include a requirement to comply with prudential standards in relation to specified topics (conflicts, capital requirements for operational risk, My</w:t>
      </w:r>
      <w:r w:rsidR="00B14899">
        <w:rPr>
          <w:rFonts w:ascii="Times New Roman" w:hAnsi="Times New Roman"/>
        </w:rPr>
        <w:t>S</w:t>
      </w:r>
      <w:r w:rsidRPr="00550E24">
        <w:rPr>
          <w:rFonts w:ascii="Times New Roman" w:hAnsi="Times New Roman"/>
        </w:rPr>
        <w:t>uper and choice products). CPS 226 is not a standard in relation to any of these topics.</w:t>
      </w:r>
    </w:p>
  </w:footnote>
  <w:footnote w:id="3">
    <w:p w14:paraId="5E6F47BE" w14:textId="29CAB5E8" w:rsidR="00550E24" w:rsidRDefault="00550E24" w:rsidP="00550E24">
      <w:pPr>
        <w:pStyle w:val="FootnoteText"/>
        <w:jc w:val="both"/>
      </w:pPr>
      <w:r w:rsidRPr="00550E24">
        <w:rPr>
          <w:rStyle w:val="FootnoteReference"/>
          <w:rFonts w:ascii="Times New Roman" w:hAnsi="Times New Roman"/>
        </w:rPr>
        <w:footnoteRef/>
      </w:r>
      <w:r w:rsidRPr="00550E24">
        <w:rPr>
          <w:rFonts w:ascii="Times New Roman" w:hAnsi="Times New Roman"/>
        </w:rPr>
        <w:t xml:space="preserve"> The Banking Act, Insurance Act and Life Insurance Act specifically provide that APRA does not need to consult where APRA is satisfied that doing so could result in a delay in revocation that would be contrary to the national interest or the interests of depositors with the body corporate (</w:t>
      </w:r>
      <w:r w:rsidR="00DF6815">
        <w:rPr>
          <w:rFonts w:ascii="Times New Roman" w:hAnsi="Times New Roman"/>
        </w:rPr>
        <w:t xml:space="preserve">subsection </w:t>
      </w:r>
      <w:r w:rsidRPr="00550E24">
        <w:rPr>
          <w:rFonts w:ascii="Times New Roman" w:hAnsi="Times New Roman"/>
        </w:rPr>
        <w:t xml:space="preserve">9A(4) </w:t>
      </w:r>
      <w:r w:rsidR="00DF6815">
        <w:rPr>
          <w:rFonts w:ascii="Times New Roman" w:hAnsi="Times New Roman"/>
        </w:rPr>
        <w:t xml:space="preserve">of the </w:t>
      </w:r>
      <w:r w:rsidRPr="00550E24">
        <w:rPr>
          <w:rFonts w:ascii="Times New Roman" w:hAnsi="Times New Roman"/>
        </w:rPr>
        <w:t>Banking Act), contr</w:t>
      </w:r>
      <w:r w:rsidR="00DF6815">
        <w:rPr>
          <w:rFonts w:ascii="Times New Roman" w:hAnsi="Times New Roman"/>
        </w:rPr>
        <w:t xml:space="preserve">ary to the national interest (subsection </w:t>
      </w:r>
      <w:r w:rsidRPr="00550E24">
        <w:rPr>
          <w:rFonts w:ascii="Times New Roman" w:hAnsi="Times New Roman"/>
        </w:rPr>
        <w:t>15(4)</w:t>
      </w:r>
      <w:r w:rsidR="00DF6815">
        <w:rPr>
          <w:rFonts w:ascii="Times New Roman" w:hAnsi="Times New Roman"/>
        </w:rPr>
        <w:t xml:space="preserve"> of the</w:t>
      </w:r>
      <w:r w:rsidRPr="00550E24">
        <w:rPr>
          <w:rFonts w:ascii="Times New Roman" w:hAnsi="Times New Roman"/>
        </w:rPr>
        <w:t xml:space="preserve"> Insurance Act), or contrary to the public interest (s</w:t>
      </w:r>
      <w:r w:rsidR="00DF6815">
        <w:rPr>
          <w:rFonts w:ascii="Times New Roman" w:hAnsi="Times New Roman"/>
        </w:rPr>
        <w:t xml:space="preserve">ubsection </w:t>
      </w:r>
      <w:r w:rsidRPr="00550E24">
        <w:rPr>
          <w:rFonts w:ascii="Times New Roman" w:hAnsi="Times New Roman"/>
        </w:rPr>
        <w:t>26(5)</w:t>
      </w:r>
      <w:r w:rsidR="00DF6815">
        <w:rPr>
          <w:rFonts w:ascii="Times New Roman" w:hAnsi="Times New Roman"/>
        </w:rPr>
        <w:t xml:space="preserve"> of the</w:t>
      </w:r>
      <w:r w:rsidRPr="00550E24">
        <w:rPr>
          <w:rFonts w:ascii="Times New Roman" w:hAnsi="Times New Roman"/>
        </w:rPr>
        <w:t xml:space="preserve"> Life Insurance Act), respectively. Consultation is not specifically required under the SIS Act.</w:t>
      </w:r>
    </w:p>
  </w:footnote>
  <w:footnote w:id="4">
    <w:p w14:paraId="7BD23299" w14:textId="77777777" w:rsidR="00347347" w:rsidRPr="0079493E" w:rsidRDefault="00347347" w:rsidP="00347347">
      <w:pPr>
        <w:pStyle w:val="FootnoteText"/>
        <w:rPr>
          <w:rFonts w:ascii="Times New Roman" w:hAnsi="Times New Roman"/>
        </w:rPr>
      </w:pPr>
      <w:r w:rsidRPr="0079493E">
        <w:rPr>
          <w:rStyle w:val="FootnoteReference"/>
          <w:rFonts w:ascii="Times New Roman" w:hAnsi="Times New Roman"/>
        </w:rPr>
        <w:footnoteRef/>
      </w:r>
      <w:r w:rsidRPr="0079493E">
        <w:rPr>
          <w:rFonts w:ascii="Times New Roman" w:hAnsi="Times New Roman"/>
        </w:rPr>
        <w:t xml:space="preserve"> </w:t>
      </w:r>
      <w:hyperlink r:id="rId1" w:history="1">
        <w:r w:rsidRPr="0079493E">
          <w:rPr>
            <w:rStyle w:val="Hyperlink"/>
            <w:rFonts w:ascii="Times New Roman" w:hAnsi="Times New Roman"/>
          </w:rPr>
          <w:t>Revisions to the capital framework for authorised deposit-taking institutions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6A0"/>
    <w:multiLevelType w:val="hybridMultilevel"/>
    <w:tmpl w:val="5C583790"/>
    <w:lvl w:ilvl="0" w:tplc="6FFEE8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70CEC"/>
    <w:multiLevelType w:val="hybridMultilevel"/>
    <w:tmpl w:val="34225274"/>
    <w:lvl w:ilvl="0" w:tplc="87AAF206">
      <w:start w:val="1"/>
      <w:numFmt w:val="lowerLetter"/>
      <w:lvlText w:val="(%1)"/>
      <w:lvlJc w:val="left"/>
      <w:pPr>
        <w:ind w:left="72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176AE5"/>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AB0C95"/>
    <w:multiLevelType w:val="hybridMultilevel"/>
    <w:tmpl w:val="A97A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C2609B"/>
    <w:multiLevelType w:val="hybridMultilevel"/>
    <w:tmpl w:val="45845CE0"/>
    <w:lvl w:ilvl="0" w:tplc="340E6F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A655C01"/>
    <w:multiLevelType w:val="hybridMultilevel"/>
    <w:tmpl w:val="6D782998"/>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4AB6A33"/>
    <w:multiLevelType w:val="hybridMultilevel"/>
    <w:tmpl w:val="58B80BDA"/>
    <w:lvl w:ilvl="0" w:tplc="7A30FE9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C8D46C0"/>
    <w:multiLevelType w:val="hybridMultilevel"/>
    <w:tmpl w:val="E996CF6E"/>
    <w:lvl w:ilvl="0" w:tplc="AAC61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3AEC3F2B"/>
    <w:multiLevelType w:val="hybridMultilevel"/>
    <w:tmpl w:val="3E663EDE"/>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7C6E49"/>
    <w:multiLevelType w:val="hybridMultilevel"/>
    <w:tmpl w:val="F70A06DA"/>
    <w:lvl w:ilvl="0" w:tplc="771E19C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321138C"/>
    <w:multiLevelType w:val="hybridMultilevel"/>
    <w:tmpl w:val="1BB0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6DC3A91"/>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5C1853C0"/>
    <w:multiLevelType w:val="hybridMultilevel"/>
    <w:tmpl w:val="0A6C49D2"/>
    <w:lvl w:ilvl="0" w:tplc="65A8491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61DA3D61"/>
    <w:multiLevelType w:val="hybridMultilevel"/>
    <w:tmpl w:val="EE8C0C78"/>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55B1B25"/>
    <w:multiLevelType w:val="hybridMultilevel"/>
    <w:tmpl w:val="6AAE1FFE"/>
    <w:lvl w:ilvl="0" w:tplc="0C14B1EE">
      <w:start w:val="1"/>
      <w:numFmt w:val="lowerLetter"/>
      <w:lvlText w:val="(%1)"/>
      <w:lvlJc w:val="left"/>
      <w:pPr>
        <w:ind w:left="720" w:hanging="360"/>
      </w:pPr>
      <w:rPr>
        <w:rFonts w:hint="default"/>
        <w:b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DBA4E99"/>
    <w:multiLevelType w:val="hybridMultilevel"/>
    <w:tmpl w:val="67B4EBF0"/>
    <w:lvl w:ilvl="0" w:tplc="446420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E926C1B"/>
    <w:multiLevelType w:val="hybridMultilevel"/>
    <w:tmpl w:val="1486B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3"/>
  </w:num>
  <w:num w:numId="2">
    <w:abstractNumId w:val="5"/>
  </w:num>
  <w:num w:numId="3">
    <w:abstractNumId w:val="17"/>
  </w:num>
  <w:num w:numId="4">
    <w:abstractNumId w:val="9"/>
  </w:num>
  <w:num w:numId="5">
    <w:abstractNumId w:val="12"/>
  </w:num>
  <w:num w:numId="6">
    <w:abstractNumId w:val="7"/>
  </w:num>
  <w:num w:numId="7">
    <w:abstractNumId w:val="3"/>
  </w:num>
  <w:num w:numId="8">
    <w:abstractNumId w:val="1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 w:numId="12">
    <w:abstractNumId w:val="14"/>
  </w:num>
  <w:num w:numId="13">
    <w:abstractNumId w:val="2"/>
  </w:num>
  <w:num w:numId="14">
    <w:abstractNumId w:val="15"/>
  </w:num>
  <w:num w:numId="15">
    <w:abstractNumId w:val="8"/>
  </w:num>
  <w:num w:numId="16">
    <w:abstractNumId w:val="0"/>
  </w:num>
  <w:num w:numId="17">
    <w:abstractNumId w:val="11"/>
  </w:num>
  <w:num w:numId="18">
    <w:abstractNumId w:val="6"/>
  </w:num>
  <w:num w:numId="19">
    <w:abstractNumId w:val="19"/>
  </w:num>
  <w:num w:numId="20">
    <w:abstractNumId w:val="18"/>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61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0D68"/>
    <w:rsid w:val="00003D3A"/>
    <w:rsid w:val="000163DA"/>
    <w:rsid w:val="00021289"/>
    <w:rsid w:val="000215DC"/>
    <w:rsid w:val="00024376"/>
    <w:rsid w:val="000253FE"/>
    <w:rsid w:val="000401FC"/>
    <w:rsid w:val="00041D79"/>
    <w:rsid w:val="00046A6F"/>
    <w:rsid w:val="00052CB8"/>
    <w:rsid w:val="000603CD"/>
    <w:rsid w:val="000718BA"/>
    <w:rsid w:val="00082F34"/>
    <w:rsid w:val="00087331"/>
    <w:rsid w:val="000A1056"/>
    <w:rsid w:val="000B13AD"/>
    <w:rsid w:val="000B1530"/>
    <w:rsid w:val="000B4113"/>
    <w:rsid w:val="000B6A84"/>
    <w:rsid w:val="000B7C60"/>
    <w:rsid w:val="000C463A"/>
    <w:rsid w:val="000C6F1E"/>
    <w:rsid w:val="000D537A"/>
    <w:rsid w:val="000D5651"/>
    <w:rsid w:val="000D5862"/>
    <w:rsid w:val="000D67F2"/>
    <w:rsid w:val="000D6E3B"/>
    <w:rsid w:val="000E0D8E"/>
    <w:rsid w:val="000E1C26"/>
    <w:rsid w:val="000E20E2"/>
    <w:rsid w:val="000E2DBA"/>
    <w:rsid w:val="000E369C"/>
    <w:rsid w:val="000E3FB9"/>
    <w:rsid w:val="000E6CBC"/>
    <w:rsid w:val="00100E9E"/>
    <w:rsid w:val="001012A1"/>
    <w:rsid w:val="00103911"/>
    <w:rsid w:val="001125C1"/>
    <w:rsid w:val="001204F5"/>
    <w:rsid w:val="001214C9"/>
    <w:rsid w:val="00123B5A"/>
    <w:rsid w:val="00124EEC"/>
    <w:rsid w:val="001316D4"/>
    <w:rsid w:val="00151FF1"/>
    <w:rsid w:val="0015432B"/>
    <w:rsid w:val="00155C61"/>
    <w:rsid w:val="00155C7D"/>
    <w:rsid w:val="0016033A"/>
    <w:rsid w:val="0016121B"/>
    <w:rsid w:val="0016350D"/>
    <w:rsid w:val="00163FA0"/>
    <w:rsid w:val="00167353"/>
    <w:rsid w:val="0017150D"/>
    <w:rsid w:val="00173010"/>
    <w:rsid w:val="00176C66"/>
    <w:rsid w:val="00176CAA"/>
    <w:rsid w:val="00181B0B"/>
    <w:rsid w:val="00182FA1"/>
    <w:rsid w:val="00184824"/>
    <w:rsid w:val="0019411E"/>
    <w:rsid w:val="00194368"/>
    <w:rsid w:val="00195547"/>
    <w:rsid w:val="001A34FC"/>
    <w:rsid w:val="001A3669"/>
    <w:rsid w:val="001A5C6E"/>
    <w:rsid w:val="001A65F3"/>
    <w:rsid w:val="001C1476"/>
    <w:rsid w:val="001C4686"/>
    <w:rsid w:val="001C652F"/>
    <w:rsid w:val="001C768E"/>
    <w:rsid w:val="001D2931"/>
    <w:rsid w:val="001D450C"/>
    <w:rsid w:val="001E0E90"/>
    <w:rsid w:val="001E2027"/>
    <w:rsid w:val="001F1893"/>
    <w:rsid w:val="001F28D6"/>
    <w:rsid w:val="001F5C68"/>
    <w:rsid w:val="00200775"/>
    <w:rsid w:val="00203971"/>
    <w:rsid w:val="002065D8"/>
    <w:rsid w:val="002074F6"/>
    <w:rsid w:val="00210223"/>
    <w:rsid w:val="00223ADB"/>
    <w:rsid w:val="0022492A"/>
    <w:rsid w:val="00225B2B"/>
    <w:rsid w:val="00225DA1"/>
    <w:rsid w:val="00230508"/>
    <w:rsid w:val="00230E0F"/>
    <w:rsid w:val="00236383"/>
    <w:rsid w:val="0023677A"/>
    <w:rsid w:val="00241B6F"/>
    <w:rsid w:val="00242DB4"/>
    <w:rsid w:val="002436BD"/>
    <w:rsid w:val="00246723"/>
    <w:rsid w:val="00246D8E"/>
    <w:rsid w:val="002472E4"/>
    <w:rsid w:val="002510AD"/>
    <w:rsid w:val="00251253"/>
    <w:rsid w:val="0025217D"/>
    <w:rsid w:val="00260347"/>
    <w:rsid w:val="00264496"/>
    <w:rsid w:val="0026634D"/>
    <w:rsid w:val="002717A9"/>
    <w:rsid w:val="002718E3"/>
    <w:rsid w:val="00293739"/>
    <w:rsid w:val="00297A92"/>
    <w:rsid w:val="002A3603"/>
    <w:rsid w:val="002A66B3"/>
    <w:rsid w:val="002A73BD"/>
    <w:rsid w:val="002B19D6"/>
    <w:rsid w:val="002B22B2"/>
    <w:rsid w:val="002B4366"/>
    <w:rsid w:val="002B4F91"/>
    <w:rsid w:val="002C322D"/>
    <w:rsid w:val="002D2F9E"/>
    <w:rsid w:val="002E0198"/>
    <w:rsid w:val="002F5A49"/>
    <w:rsid w:val="00302E64"/>
    <w:rsid w:val="0030341C"/>
    <w:rsid w:val="0030506B"/>
    <w:rsid w:val="00306C0F"/>
    <w:rsid w:val="0031077C"/>
    <w:rsid w:val="00317EFB"/>
    <w:rsid w:val="00331B77"/>
    <w:rsid w:val="00334842"/>
    <w:rsid w:val="00334DD1"/>
    <w:rsid w:val="00340D2E"/>
    <w:rsid w:val="00341986"/>
    <w:rsid w:val="003449C6"/>
    <w:rsid w:val="00347347"/>
    <w:rsid w:val="00354CB8"/>
    <w:rsid w:val="00360F60"/>
    <w:rsid w:val="0037326B"/>
    <w:rsid w:val="003811BB"/>
    <w:rsid w:val="00381AC2"/>
    <w:rsid w:val="0038380C"/>
    <w:rsid w:val="003863A2"/>
    <w:rsid w:val="003866AD"/>
    <w:rsid w:val="003B00B4"/>
    <w:rsid w:val="003B12B6"/>
    <w:rsid w:val="003B385B"/>
    <w:rsid w:val="003B3CF0"/>
    <w:rsid w:val="003C600C"/>
    <w:rsid w:val="003D2A79"/>
    <w:rsid w:val="003D5032"/>
    <w:rsid w:val="003D77F1"/>
    <w:rsid w:val="003E22BA"/>
    <w:rsid w:val="003F0930"/>
    <w:rsid w:val="003F5A8B"/>
    <w:rsid w:val="003F6F5E"/>
    <w:rsid w:val="0040175E"/>
    <w:rsid w:val="00406A52"/>
    <w:rsid w:val="00406E3D"/>
    <w:rsid w:val="004110B6"/>
    <w:rsid w:val="00415E6F"/>
    <w:rsid w:val="00422164"/>
    <w:rsid w:val="004262B9"/>
    <w:rsid w:val="00430342"/>
    <w:rsid w:val="00432F20"/>
    <w:rsid w:val="00443A02"/>
    <w:rsid w:val="004474D7"/>
    <w:rsid w:val="00450F39"/>
    <w:rsid w:val="0045565C"/>
    <w:rsid w:val="00457C57"/>
    <w:rsid w:val="00462C7E"/>
    <w:rsid w:val="00464220"/>
    <w:rsid w:val="004670AB"/>
    <w:rsid w:val="00470375"/>
    <w:rsid w:val="00471D75"/>
    <w:rsid w:val="00475042"/>
    <w:rsid w:val="00481543"/>
    <w:rsid w:val="00492A3F"/>
    <w:rsid w:val="004A0256"/>
    <w:rsid w:val="004A0949"/>
    <w:rsid w:val="004A27A2"/>
    <w:rsid w:val="004B762D"/>
    <w:rsid w:val="004C0635"/>
    <w:rsid w:val="004C0AA9"/>
    <w:rsid w:val="004C3512"/>
    <w:rsid w:val="004C3D07"/>
    <w:rsid w:val="004C48D5"/>
    <w:rsid w:val="004C6CCA"/>
    <w:rsid w:val="004D4579"/>
    <w:rsid w:val="004D51FA"/>
    <w:rsid w:val="004D55F9"/>
    <w:rsid w:val="004E0023"/>
    <w:rsid w:val="004E2008"/>
    <w:rsid w:val="004F461B"/>
    <w:rsid w:val="0050272B"/>
    <w:rsid w:val="00506F04"/>
    <w:rsid w:val="00527BF9"/>
    <w:rsid w:val="00530C96"/>
    <w:rsid w:val="00550E24"/>
    <w:rsid w:val="00556C43"/>
    <w:rsid w:val="0056141D"/>
    <w:rsid w:val="00561AA4"/>
    <w:rsid w:val="00563DEC"/>
    <w:rsid w:val="005646CC"/>
    <w:rsid w:val="00564B46"/>
    <w:rsid w:val="0056779E"/>
    <w:rsid w:val="00571FE0"/>
    <w:rsid w:val="005739A3"/>
    <w:rsid w:val="00574875"/>
    <w:rsid w:val="005774C2"/>
    <w:rsid w:val="00577BE2"/>
    <w:rsid w:val="0058163B"/>
    <w:rsid w:val="0058338D"/>
    <w:rsid w:val="005837F8"/>
    <w:rsid w:val="00585AAA"/>
    <w:rsid w:val="005865C9"/>
    <w:rsid w:val="005B2AA2"/>
    <w:rsid w:val="005B616F"/>
    <w:rsid w:val="005B6265"/>
    <w:rsid w:val="005D077E"/>
    <w:rsid w:val="005D57D5"/>
    <w:rsid w:val="005D6A67"/>
    <w:rsid w:val="005E1A05"/>
    <w:rsid w:val="005E3EC1"/>
    <w:rsid w:val="005E4984"/>
    <w:rsid w:val="005E5910"/>
    <w:rsid w:val="005E5C3B"/>
    <w:rsid w:val="005F13AB"/>
    <w:rsid w:val="005F1EA0"/>
    <w:rsid w:val="005F1FCB"/>
    <w:rsid w:val="005F5F48"/>
    <w:rsid w:val="00607931"/>
    <w:rsid w:val="00611BE6"/>
    <w:rsid w:val="00613CBF"/>
    <w:rsid w:val="00616A26"/>
    <w:rsid w:val="00622480"/>
    <w:rsid w:val="006235C5"/>
    <w:rsid w:val="006315F1"/>
    <w:rsid w:val="00631A18"/>
    <w:rsid w:val="006357CC"/>
    <w:rsid w:val="00642E13"/>
    <w:rsid w:val="00647D58"/>
    <w:rsid w:val="00653754"/>
    <w:rsid w:val="006540A3"/>
    <w:rsid w:val="00657678"/>
    <w:rsid w:val="00657991"/>
    <w:rsid w:val="00660970"/>
    <w:rsid w:val="00663606"/>
    <w:rsid w:val="00665036"/>
    <w:rsid w:val="00666C87"/>
    <w:rsid w:val="00682504"/>
    <w:rsid w:val="00682865"/>
    <w:rsid w:val="0068499E"/>
    <w:rsid w:val="00684F73"/>
    <w:rsid w:val="00692825"/>
    <w:rsid w:val="00694691"/>
    <w:rsid w:val="0069643C"/>
    <w:rsid w:val="00697007"/>
    <w:rsid w:val="006A2052"/>
    <w:rsid w:val="006A307C"/>
    <w:rsid w:val="006A3972"/>
    <w:rsid w:val="006B093F"/>
    <w:rsid w:val="006B1C10"/>
    <w:rsid w:val="006B7141"/>
    <w:rsid w:val="006C051B"/>
    <w:rsid w:val="006D0EF5"/>
    <w:rsid w:val="006D211B"/>
    <w:rsid w:val="006D3918"/>
    <w:rsid w:val="006E1027"/>
    <w:rsid w:val="006E7ADA"/>
    <w:rsid w:val="006F74E9"/>
    <w:rsid w:val="00700FA0"/>
    <w:rsid w:val="007031F4"/>
    <w:rsid w:val="007039D4"/>
    <w:rsid w:val="007049CF"/>
    <w:rsid w:val="00707E47"/>
    <w:rsid w:val="0071363C"/>
    <w:rsid w:val="007177EC"/>
    <w:rsid w:val="00725FBD"/>
    <w:rsid w:val="007368AD"/>
    <w:rsid w:val="00736FE2"/>
    <w:rsid w:val="00741999"/>
    <w:rsid w:val="007428D4"/>
    <w:rsid w:val="00746DE3"/>
    <w:rsid w:val="007470AC"/>
    <w:rsid w:val="00747A74"/>
    <w:rsid w:val="00747AFF"/>
    <w:rsid w:val="00750069"/>
    <w:rsid w:val="007518EF"/>
    <w:rsid w:val="0075455C"/>
    <w:rsid w:val="007548D7"/>
    <w:rsid w:val="00756692"/>
    <w:rsid w:val="007624D6"/>
    <w:rsid w:val="00774922"/>
    <w:rsid w:val="007854D5"/>
    <w:rsid w:val="00785CDC"/>
    <w:rsid w:val="00795B00"/>
    <w:rsid w:val="00796561"/>
    <w:rsid w:val="00797A43"/>
    <w:rsid w:val="007A16FA"/>
    <w:rsid w:val="007C0929"/>
    <w:rsid w:val="007C1467"/>
    <w:rsid w:val="007D0D50"/>
    <w:rsid w:val="007D0DC1"/>
    <w:rsid w:val="007D436D"/>
    <w:rsid w:val="007D54D3"/>
    <w:rsid w:val="007E260A"/>
    <w:rsid w:val="007E3847"/>
    <w:rsid w:val="007E4B2A"/>
    <w:rsid w:val="007F1549"/>
    <w:rsid w:val="007F3864"/>
    <w:rsid w:val="00810661"/>
    <w:rsid w:val="00812DCA"/>
    <w:rsid w:val="00814176"/>
    <w:rsid w:val="00815A3A"/>
    <w:rsid w:val="00824626"/>
    <w:rsid w:val="00827579"/>
    <w:rsid w:val="00830F66"/>
    <w:rsid w:val="008346CE"/>
    <w:rsid w:val="00836187"/>
    <w:rsid w:val="00841A6F"/>
    <w:rsid w:val="0084396C"/>
    <w:rsid w:val="00843A5A"/>
    <w:rsid w:val="00867F26"/>
    <w:rsid w:val="008744AE"/>
    <w:rsid w:val="00876BA0"/>
    <w:rsid w:val="00880D8B"/>
    <w:rsid w:val="00881873"/>
    <w:rsid w:val="00885F41"/>
    <w:rsid w:val="00892F2E"/>
    <w:rsid w:val="008958DE"/>
    <w:rsid w:val="00896F90"/>
    <w:rsid w:val="008A16E2"/>
    <w:rsid w:val="008A3C0F"/>
    <w:rsid w:val="008A3FAD"/>
    <w:rsid w:val="008B5649"/>
    <w:rsid w:val="008C02E3"/>
    <w:rsid w:val="008C0C2E"/>
    <w:rsid w:val="008C7C30"/>
    <w:rsid w:val="008C7C92"/>
    <w:rsid w:val="008D367D"/>
    <w:rsid w:val="008D41FF"/>
    <w:rsid w:val="008E033E"/>
    <w:rsid w:val="008E4186"/>
    <w:rsid w:val="008E767D"/>
    <w:rsid w:val="008F738B"/>
    <w:rsid w:val="008F78A6"/>
    <w:rsid w:val="00905954"/>
    <w:rsid w:val="00914714"/>
    <w:rsid w:val="00922E88"/>
    <w:rsid w:val="00923B91"/>
    <w:rsid w:val="009265F8"/>
    <w:rsid w:val="00927091"/>
    <w:rsid w:val="00927539"/>
    <w:rsid w:val="00930D02"/>
    <w:rsid w:val="00932A8E"/>
    <w:rsid w:val="00932EFA"/>
    <w:rsid w:val="00935C58"/>
    <w:rsid w:val="00946D2A"/>
    <w:rsid w:val="00956119"/>
    <w:rsid w:val="009566F2"/>
    <w:rsid w:val="00956C89"/>
    <w:rsid w:val="00957291"/>
    <w:rsid w:val="009669EA"/>
    <w:rsid w:val="00967D16"/>
    <w:rsid w:val="00970F2F"/>
    <w:rsid w:val="00974404"/>
    <w:rsid w:val="00985082"/>
    <w:rsid w:val="009918FF"/>
    <w:rsid w:val="009927BF"/>
    <w:rsid w:val="00995B88"/>
    <w:rsid w:val="0099752A"/>
    <w:rsid w:val="009A1F01"/>
    <w:rsid w:val="009A2C39"/>
    <w:rsid w:val="009B35A0"/>
    <w:rsid w:val="009C0CF5"/>
    <w:rsid w:val="009C1DC7"/>
    <w:rsid w:val="009C455A"/>
    <w:rsid w:val="009C5368"/>
    <w:rsid w:val="009C5A29"/>
    <w:rsid w:val="009C60CE"/>
    <w:rsid w:val="009D55CC"/>
    <w:rsid w:val="009D7882"/>
    <w:rsid w:val="009E0B92"/>
    <w:rsid w:val="009E5FC9"/>
    <w:rsid w:val="00A00614"/>
    <w:rsid w:val="00A1470D"/>
    <w:rsid w:val="00A14B46"/>
    <w:rsid w:val="00A16420"/>
    <w:rsid w:val="00A21711"/>
    <w:rsid w:val="00A23CAE"/>
    <w:rsid w:val="00A25ED5"/>
    <w:rsid w:val="00A2653D"/>
    <w:rsid w:val="00A279AF"/>
    <w:rsid w:val="00A32010"/>
    <w:rsid w:val="00A334AA"/>
    <w:rsid w:val="00A338DC"/>
    <w:rsid w:val="00A341AD"/>
    <w:rsid w:val="00A40DBF"/>
    <w:rsid w:val="00A4133B"/>
    <w:rsid w:val="00A44733"/>
    <w:rsid w:val="00A46ADB"/>
    <w:rsid w:val="00A4704C"/>
    <w:rsid w:val="00A573C7"/>
    <w:rsid w:val="00A6325C"/>
    <w:rsid w:val="00A63A2B"/>
    <w:rsid w:val="00A707FD"/>
    <w:rsid w:val="00A71EDF"/>
    <w:rsid w:val="00A824C6"/>
    <w:rsid w:val="00A84101"/>
    <w:rsid w:val="00A84C3C"/>
    <w:rsid w:val="00A871FD"/>
    <w:rsid w:val="00A9040D"/>
    <w:rsid w:val="00A91DB5"/>
    <w:rsid w:val="00A94110"/>
    <w:rsid w:val="00A97698"/>
    <w:rsid w:val="00AA0B3F"/>
    <w:rsid w:val="00AA1C32"/>
    <w:rsid w:val="00AA27D4"/>
    <w:rsid w:val="00AA530F"/>
    <w:rsid w:val="00AA5824"/>
    <w:rsid w:val="00AA6ED5"/>
    <w:rsid w:val="00AC2517"/>
    <w:rsid w:val="00AC4DF1"/>
    <w:rsid w:val="00AC61D6"/>
    <w:rsid w:val="00AC7A56"/>
    <w:rsid w:val="00AE1840"/>
    <w:rsid w:val="00AE4B9E"/>
    <w:rsid w:val="00AF5FB2"/>
    <w:rsid w:val="00B04B20"/>
    <w:rsid w:val="00B14899"/>
    <w:rsid w:val="00B16685"/>
    <w:rsid w:val="00B16B16"/>
    <w:rsid w:val="00B16D78"/>
    <w:rsid w:val="00B16DB2"/>
    <w:rsid w:val="00B20206"/>
    <w:rsid w:val="00B2458C"/>
    <w:rsid w:val="00B27A83"/>
    <w:rsid w:val="00B3289E"/>
    <w:rsid w:val="00B40821"/>
    <w:rsid w:val="00B40AD8"/>
    <w:rsid w:val="00B4167D"/>
    <w:rsid w:val="00B50C2A"/>
    <w:rsid w:val="00B50C35"/>
    <w:rsid w:val="00B50DEF"/>
    <w:rsid w:val="00B52ACD"/>
    <w:rsid w:val="00B53143"/>
    <w:rsid w:val="00B53BF2"/>
    <w:rsid w:val="00B55311"/>
    <w:rsid w:val="00B64B2E"/>
    <w:rsid w:val="00B66C55"/>
    <w:rsid w:val="00B7057F"/>
    <w:rsid w:val="00B70F11"/>
    <w:rsid w:val="00B76505"/>
    <w:rsid w:val="00B841F1"/>
    <w:rsid w:val="00B85B6E"/>
    <w:rsid w:val="00B93FA3"/>
    <w:rsid w:val="00B942D7"/>
    <w:rsid w:val="00B96DCD"/>
    <w:rsid w:val="00BA067F"/>
    <w:rsid w:val="00BB1678"/>
    <w:rsid w:val="00BB37AD"/>
    <w:rsid w:val="00BC0CE7"/>
    <w:rsid w:val="00BC2F49"/>
    <w:rsid w:val="00BD2728"/>
    <w:rsid w:val="00BE0C47"/>
    <w:rsid w:val="00BE75C9"/>
    <w:rsid w:val="00BF1B43"/>
    <w:rsid w:val="00BF2953"/>
    <w:rsid w:val="00BF2F59"/>
    <w:rsid w:val="00C04468"/>
    <w:rsid w:val="00C1226A"/>
    <w:rsid w:val="00C148E1"/>
    <w:rsid w:val="00C16C41"/>
    <w:rsid w:val="00C20BCA"/>
    <w:rsid w:val="00C302FA"/>
    <w:rsid w:val="00C30E88"/>
    <w:rsid w:val="00C40731"/>
    <w:rsid w:val="00C61AFD"/>
    <w:rsid w:val="00C63563"/>
    <w:rsid w:val="00C70E5C"/>
    <w:rsid w:val="00C8253A"/>
    <w:rsid w:val="00C91041"/>
    <w:rsid w:val="00C91252"/>
    <w:rsid w:val="00C94088"/>
    <w:rsid w:val="00C948AA"/>
    <w:rsid w:val="00C96F89"/>
    <w:rsid w:val="00C97AB3"/>
    <w:rsid w:val="00CA59B5"/>
    <w:rsid w:val="00CA6CB3"/>
    <w:rsid w:val="00CB384A"/>
    <w:rsid w:val="00CB7B07"/>
    <w:rsid w:val="00CC45B3"/>
    <w:rsid w:val="00CC4A3B"/>
    <w:rsid w:val="00CD1947"/>
    <w:rsid w:val="00CD432A"/>
    <w:rsid w:val="00CE1BB4"/>
    <w:rsid w:val="00CF1D43"/>
    <w:rsid w:val="00CF7D89"/>
    <w:rsid w:val="00D03A8A"/>
    <w:rsid w:val="00D03AE0"/>
    <w:rsid w:val="00D05FA9"/>
    <w:rsid w:val="00D1077E"/>
    <w:rsid w:val="00D10961"/>
    <w:rsid w:val="00D14060"/>
    <w:rsid w:val="00D17ABC"/>
    <w:rsid w:val="00D23709"/>
    <w:rsid w:val="00D249EB"/>
    <w:rsid w:val="00D2697A"/>
    <w:rsid w:val="00D40662"/>
    <w:rsid w:val="00D4126D"/>
    <w:rsid w:val="00D413ED"/>
    <w:rsid w:val="00D4263D"/>
    <w:rsid w:val="00D464A6"/>
    <w:rsid w:val="00D46E0A"/>
    <w:rsid w:val="00D53471"/>
    <w:rsid w:val="00D5666F"/>
    <w:rsid w:val="00D57590"/>
    <w:rsid w:val="00D64906"/>
    <w:rsid w:val="00D66255"/>
    <w:rsid w:val="00D670CB"/>
    <w:rsid w:val="00D81CC2"/>
    <w:rsid w:val="00D82FB2"/>
    <w:rsid w:val="00D87E36"/>
    <w:rsid w:val="00D918F4"/>
    <w:rsid w:val="00D93654"/>
    <w:rsid w:val="00D95276"/>
    <w:rsid w:val="00D968EE"/>
    <w:rsid w:val="00D96B96"/>
    <w:rsid w:val="00D9707F"/>
    <w:rsid w:val="00DA1BA1"/>
    <w:rsid w:val="00DA3888"/>
    <w:rsid w:val="00DA54B4"/>
    <w:rsid w:val="00DB046F"/>
    <w:rsid w:val="00DE1130"/>
    <w:rsid w:val="00DE6ED3"/>
    <w:rsid w:val="00DF075E"/>
    <w:rsid w:val="00DF524E"/>
    <w:rsid w:val="00DF6815"/>
    <w:rsid w:val="00DF7DA0"/>
    <w:rsid w:val="00E014C5"/>
    <w:rsid w:val="00E051C6"/>
    <w:rsid w:val="00E0553E"/>
    <w:rsid w:val="00E1150C"/>
    <w:rsid w:val="00E15497"/>
    <w:rsid w:val="00E16789"/>
    <w:rsid w:val="00E179FF"/>
    <w:rsid w:val="00E201A8"/>
    <w:rsid w:val="00E22458"/>
    <w:rsid w:val="00E3026E"/>
    <w:rsid w:val="00E333F0"/>
    <w:rsid w:val="00E36930"/>
    <w:rsid w:val="00E378A0"/>
    <w:rsid w:val="00E50299"/>
    <w:rsid w:val="00E5191A"/>
    <w:rsid w:val="00E52DFE"/>
    <w:rsid w:val="00E532CF"/>
    <w:rsid w:val="00E54D30"/>
    <w:rsid w:val="00E55E04"/>
    <w:rsid w:val="00E56405"/>
    <w:rsid w:val="00E74E53"/>
    <w:rsid w:val="00E754E3"/>
    <w:rsid w:val="00E758B5"/>
    <w:rsid w:val="00E81CB3"/>
    <w:rsid w:val="00E83E80"/>
    <w:rsid w:val="00E90C89"/>
    <w:rsid w:val="00E91CB2"/>
    <w:rsid w:val="00E93631"/>
    <w:rsid w:val="00E978ED"/>
    <w:rsid w:val="00EA7309"/>
    <w:rsid w:val="00EA739F"/>
    <w:rsid w:val="00EA770D"/>
    <w:rsid w:val="00EB4963"/>
    <w:rsid w:val="00EB4AD8"/>
    <w:rsid w:val="00EC5653"/>
    <w:rsid w:val="00EC5C25"/>
    <w:rsid w:val="00ED59AE"/>
    <w:rsid w:val="00ED5DAD"/>
    <w:rsid w:val="00EE2C47"/>
    <w:rsid w:val="00EF1CBC"/>
    <w:rsid w:val="00EF5E30"/>
    <w:rsid w:val="00F04E07"/>
    <w:rsid w:val="00F05681"/>
    <w:rsid w:val="00F20595"/>
    <w:rsid w:val="00F30C81"/>
    <w:rsid w:val="00F3728F"/>
    <w:rsid w:val="00F4346E"/>
    <w:rsid w:val="00F436BC"/>
    <w:rsid w:val="00F5607A"/>
    <w:rsid w:val="00F570B3"/>
    <w:rsid w:val="00F57F8B"/>
    <w:rsid w:val="00F73CEF"/>
    <w:rsid w:val="00F763C8"/>
    <w:rsid w:val="00F7706D"/>
    <w:rsid w:val="00F8016D"/>
    <w:rsid w:val="00F87C4C"/>
    <w:rsid w:val="00FA0B81"/>
    <w:rsid w:val="00FA37B6"/>
    <w:rsid w:val="00FA5345"/>
    <w:rsid w:val="00FA73DD"/>
    <w:rsid w:val="00FB0521"/>
    <w:rsid w:val="00FC76F2"/>
    <w:rsid w:val="00FD5004"/>
    <w:rsid w:val="00FD566F"/>
    <w:rsid w:val="00FD728F"/>
    <w:rsid w:val="00FE0AD2"/>
    <w:rsid w:val="00FE4001"/>
    <w:rsid w:val="00FE4235"/>
    <w:rsid w:val="00FE5813"/>
    <w:rsid w:val="00FE6E9D"/>
    <w:rsid w:val="00FF26EF"/>
    <w:rsid w:val="00FF321F"/>
    <w:rsid w:val="00FF49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72A69A6A"/>
  <w15:docId w15:val="{639DA553-8A30-4A57-B94F-F536F2A9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4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4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aliases w:val="Char"/>
    <w:basedOn w:val="Normal"/>
    <w:link w:val="FootnoteTextChar"/>
    <w:uiPriority w:val="99"/>
    <w:semiHidden/>
    <w:unhideWhenUsed/>
    <w:rsid w:val="000B6A84"/>
    <w:rPr>
      <w:sz w:val="20"/>
    </w:rPr>
  </w:style>
  <w:style w:type="character" w:customStyle="1" w:styleId="FootnoteTextChar">
    <w:name w:val="Footnote Text Char"/>
    <w:aliases w:val="Char Char"/>
    <w:basedOn w:val="DefaultParagraphFont"/>
    <w:link w:val="FootnoteText"/>
    <w:uiPriority w:val="99"/>
    <w:semiHidden/>
    <w:rsid w:val="000B6A84"/>
    <w:rPr>
      <w:rFonts w:ascii="Trebuchet MS" w:eastAsia="Times New Roman" w:hAnsi="Trebuchet MS"/>
    </w:rPr>
  </w:style>
  <w:style w:type="character" w:styleId="FootnoteReference">
    <w:name w:val="footnote reference"/>
    <w:basedOn w:val="DefaultParagraphFont"/>
    <w:uiPriority w:val="99"/>
    <w:semiHidden/>
    <w:unhideWhenUsed/>
    <w:qFormat/>
    <w:rsid w:val="000B6A84"/>
    <w:rPr>
      <w:vertAlign w:val="superscript"/>
    </w:rPr>
  </w:style>
  <w:style w:type="character" w:styleId="FollowedHyperlink">
    <w:name w:val="FollowedHyperlink"/>
    <w:basedOn w:val="DefaultParagraphFont"/>
    <w:uiPriority w:val="99"/>
    <w:semiHidden/>
    <w:unhideWhenUsed/>
    <w:rsid w:val="008C02E3"/>
    <w:rPr>
      <w:color w:val="800080" w:themeColor="followedHyperlink"/>
      <w:u w:val="single"/>
    </w:rPr>
  </w:style>
  <w:style w:type="character" w:styleId="UnresolvedMention">
    <w:name w:val="Unresolved Mention"/>
    <w:basedOn w:val="DefaultParagraphFont"/>
    <w:uiPriority w:val="99"/>
    <w:semiHidden/>
    <w:unhideWhenUsed/>
    <w:rsid w:val="006540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22957">
      <w:bodyDiv w:val="1"/>
      <w:marLeft w:val="0"/>
      <w:marRight w:val="0"/>
      <w:marTop w:val="0"/>
      <w:marBottom w:val="0"/>
      <w:divBdr>
        <w:top w:val="none" w:sz="0" w:space="0" w:color="auto"/>
        <w:left w:val="none" w:sz="0" w:space="0" w:color="auto"/>
        <w:bottom w:val="none" w:sz="0" w:space="0" w:color="auto"/>
        <w:right w:val="none" w:sz="0" w:space="0" w:color="auto"/>
      </w:divBdr>
    </w:div>
    <w:div w:id="780609569">
      <w:bodyDiv w:val="1"/>
      <w:marLeft w:val="0"/>
      <w:marRight w:val="0"/>
      <w:marTop w:val="0"/>
      <w:marBottom w:val="0"/>
      <w:divBdr>
        <w:top w:val="none" w:sz="0" w:space="0" w:color="auto"/>
        <w:left w:val="none" w:sz="0" w:space="0" w:color="auto"/>
        <w:bottom w:val="none" w:sz="0" w:space="0" w:color="auto"/>
        <w:right w:val="none" w:sz="0" w:space="0" w:color="auto"/>
      </w:divBdr>
    </w:div>
    <w:div w:id="1404178510">
      <w:bodyDiv w:val="1"/>
      <w:marLeft w:val="0"/>
      <w:marRight w:val="0"/>
      <w:marTop w:val="0"/>
      <w:marBottom w:val="0"/>
      <w:divBdr>
        <w:top w:val="none" w:sz="0" w:space="0" w:color="auto"/>
        <w:left w:val="none" w:sz="0" w:space="0" w:color="auto"/>
        <w:bottom w:val="none" w:sz="0" w:space="0" w:color="auto"/>
        <w:right w:val="none" w:sz="0" w:space="0" w:color="auto"/>
      </w:divBdr>
    </w:div>
    <w:div w:id="1519077713">
      <w:bodyDiv w:val="1"/>
      <w:marLeft w:val="0"/>
      <w:marRight w:val="0"/>
      <w:marTop w:val="0"/>
      <w:marBottom w:val="0"/>
      <w:divBdr>
        <w:top w:val="none" w:sz="0" w:space="0" w:color="auto"/>
        <w:left w:val="none" w:sz="0" w:space="0" w:color="auto"/>
        <w:bottom w:val="none" w:sz="0" w:space="0" w:color="auto"/>
        <w:right w:val="none" w:sz="0" w:space="0" w:color="auto"/>
      </w:divBdr>
    </w:div>
    <w:div w:id="1908418891">
      <w:bodyDiv w:val="1"/>
      <w:marLeft w:val="0"/>
      <w:marRight w:val="0"/>
      <w:marTop w:val="0"/>
      <w:marBottom w:val="0"/>
      <w:divBdr>
        <w:top w:val="none" w:sz="0" w:space="0" w:color="auto"/>
        <w:left w:val="none" w:sz="0" w:space="0" w:color="auto"/>
        <w:bottom w:val="none" w:sz="0" w:space="0" w:color="auto"/>
        <w:right w:val="none" w:sz="0" w:space="0" w:color="auto"/>
      </w:divBdr>
    </w:div>
    <w:div w:id="19765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iosco.org/library/pubdocs/pdf/IOSCOPD469.pdf"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bis.org/bcbs/publ/d475.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revisions-to-capital-framework-for-authorised-deposit-taking-instit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aef97a4-ded2-4e4a-9fbc-e666dae3ecd2" ContentTypeId="0x0101008CA7A4F8331B45C7B0D3158B4994D0CA02"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prudential standard; precedent; example</APRAKeywords>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Banking, Insurance, Life Insurance and Superannuation (prudential standard) determination No. 2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5JENXJJSCC7A-445999044-11880</_dlc_DocId>
    <_dlc_DocIdUrl xmlns="814d62cb-2db6-4c25-ab62-b9075facbc11">
      <Url>https://im/teams/LEGAL/_layouts/15/DocIdRedir.aspx?ID=5JENXJJSCC7A-445999044-11880</Url>
      <Description>5JENXJJSCC7A-445999044-11880</Description>
    </_dlc_DocIdUrl>
    <APRAMeetingDate xmlns="814d62cb-2db6-4c25-ab62-b9075facbc11" xsi:nil="true"/>
    <APRAMeetingNumber xmlns="814d62cb-2db6-4c25-ab62-b9075facbc11" xsi:nil="true"/>
  </documentManagement>
</p:properties>
</file>

<file path=customXml/itemProps1.xml><?xml version="1.0" encoding="utf-8"?>
<ds:datastoreItem xmlns:ds="http://schemas.openxmlformats.org/officeDocument/2006/customXml" ds:itemID="{AB542FB3-745E-4AE1-8F1C-9D29C17E2A97}">
  <ds:schemaRefs>
    <ds:schemaRef ds:uri="Microsoft.SharePoint.Taxonomy.ContentTypeSync"/>
  </ds:schemaRefs>
</ds:datastoreItem>
</file>

<file path=customXml/itemProps2.xml><?xml version="1.0" encoding="utf-8"?>
<ds:datastoreItem xmlns:ds="http://schemas.openxmlformats.org/officeDocument/2006/customXml" ds:itemID="{B76EAF7C-C054-456D-BB6F-9A71CE16A5D9}">
  <ds:schemaRefs>
    <ds:schemaRef ds:uri="http://schemas.microsoft.com/sharepoint/events"/>
  </ds:schemaRefs>
</ds:datastoreItem>
</file>

<file path=customXml/itemProps3.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4.xml><?xml version="1.0" encoding="utf-8"?>
<ds:datastoreItem xmlns:ds="http://schemas.openxmlformats.org/officeDocument/2006/customXml" ds:itemID="{FCA38D35-FDE5-4C6A-B768-262C3C604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CBFC52-4DCB-4203-9DF5-0DE86165DBD0}">
  <ds:schemaRefs>
    <ds:schemaRef ds:uri="http://schemas.openxmlformats.org/officeDocument/2006/bibliography"/>
  </ds:schemaRefs>
</ds:datastoreItem>
</file>

<file path=customXml/itemProps6.xml><?xml version="1.0" encoding="utf-8"?>
<ds:datastoreItem xmlns:ds="http://schemas.openxmlformats.org/officeDocument/2006/customXml" ds:itemID="{6AD1B70D-A6A8-4556-B7C1-F94206C4A61B}">
  <ds:schemaRef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814d62cb-2db6-4c25-ab62-b9075facbc11"/>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Template - ES for revoke and remake prudential standard (April 2016).dotx</Template>
  <TotalTime>1</TotalTime>
  <Pages>5</Pages>
  <Words>1679</Words>
  <Characters>9353</Characters>
  <Application>Microsoft Office Word</Application>
  <DocSecurity>0</DocSecurity>
  <Lines>167</Lines>
  <Paragraphs>67</Paragraphs>
  <ScaleCrop>false</ScaleCrop>
  <HeadingPairs>
    <vt:vector size="2" baseType="variant">
      <vt:variant>
        <vt:lpstr>Title</vt:lpstr>
      </vt:variant>
      <vt:variant>
        <vt:i4>1</vt:i4>
      </vt:variant>
    </vt:vector>
  </HeadingPairs>
  <TitlesOfParts>
    <vt:vector size="1" baseType="lpstr">
      <vt:lpstr>Explanatory Statement for CPS 226</vt:lpstr>
    </vt:vector>
  </TitlesOfParts>
  <Company>APRA</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Insurance, Life Insurance and Superannuation (prudential standard) determination No. 2 of 2022</dc:title>
  <dc:creator>Sullivan, David</dc:creator>
  <cp:keywords>[SEC=OFFICIAL]</cp:keywords>
  <cp:lastModifiedBy>Toni Michalis</cp:lastModifiedBy>
  <cp:revision>2</cp:revision>
  <cp:lastPrinted>2020-01-09T02:14:00Z</cp:lastPrinted>
  <dcterms:created xsi:type="dcterms:W3CDTF">2022-12-02T01:17:00Z</dcterms:created>
  <dcterms:modified xsi:type="dcterms:W3CDTF">2022-12-02T01:17:00Z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Originator_Hash_SHA1">
    <vt:lpwstr>C3AD57350F36D8E1BD75F8F67CB06D435C9C43CA</vt:lpwstr>
  </property>
  <property fmtid="{D5CDD505-2E9C-101B-9397-08002B2CF9AE}" pid="5" name="PM_SecurityClassification">
    <vt:lpwstr>OFFICIAL</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Hash_SHA1">
    <vt:lpwstr>2EF43A12C26BF53AC752974CDB8A2F93289E21DC</vt:lpwstr>
  </property>
  <property fmtid="{D5CDD505-2E9C-101B-9397-08002B2CF9AE}" pid="9" name="PM_ProtectiveMarkingImage_Header">
    <vt:lpwstr>C:\Program Files\Common Files\janusNET Shared\janusSEAL\Images\DocumentSlashBlue.png</vt:lpwstr>
  </property>
  <property fmtid="{D5CDD505-2E9C-101B-9397-08002B2CF9AE}" pid="10" name="PM_InsertionValue">
    <vt:lpwstr>OFFICIAL</vt:lpwstr>
  </property>
  <property fmtid="{D5CDD505-2E9C-101B-9397-08002B2CF9AE}" pid="11" name="PM_ProtectiveMarkingValue_Header">
    <vt:lpwstr>OFFICIAL</vt:lpwstr>
  </property>
  <property fmtid="{D5CDD505-2E9C-101B-9397-08002B2CF9AE}" pid="12" name="PM_ProtectiveMarkingImage_Footer">
    <vt:lpwstr>C:\Program Files\Common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Originating_FileId">
    <vt:lpwstr>21ED1FDBCD7D4344A20D6AFD8053454A</vt:lpwstr>
  </property>
  <property fmtid="{D5CDD505-2E9C-101B-9397-08002B2CF9AE}" pid="16" name="PM_OriginationTimeStamp">
    <vt:lpwstr>2022-12-02T01:16:43Z</vt:lpwstr>
  </property>
  <property fmtid="{D5CDD505-2E9C-101B-9397-08002B2CF9AE}" pid="17" name="PM_Hash_Version">
    <vt:lpwstr>2018.0</vt:lpwstr>
  </property>
  <property fmtid="{D5CDD505-2E9C-101B-9397-08002B2CF9AE}" pid="18" name="PM_Hash_Salt_Prev">
    <vt:lpwstr>2F83A23580670B8015270F5DB39BF2E2</vt:lpwstr>
  </property>
  <property fmtid="{D5CDD505-2E9C-101B-9397-08002B2CF9AE}" pid="19" name="PM_Hash_Salt">
    <vt:lpwstr>7C7AB5A044D3DEC58F6A691C03BF6664</vt:lpwstr>
  </property>
  <property fmtid="{D5CDD505-2E9C-101B-9397-08002B2CF9AE}" pid="20" name="PM_MinimumSecurityClassification">
    <vt:lpwstr/>
  </property>
  <property fmtid="{D5CDD505-2E9C-101B-9397-08002B2CF9AE}" pid="21" name="ContentTypeId">
    <vt:lpwstr>0x0101008CA7A4F8331B45C7B0D3158B4994D0CA0200577EC0F5A1FBFC498F9A8436B963F8A6</vt:lpwstr>
  </property>
  <property fmtid="{D5CDD505-2E9C-101B-9397-08002B2CF9AE}" pid="22" name="APRAPeriod">
    <vt:lpwstr/>
  </property>
  <property fmtid="{D5CDD505-2E9C-101B-9397-08002B2CF9AE}" pid="23"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4" name="APRAYear">
    <vt:lpwstr/>
  </property>
  <property fmtid="{D5CDD505-2E9C-101B-9397-08002B2CF9AE}" pid="25" name="APRAIndustry">
    <vt:lpwstr/>
  </property>
  <property fmtid="{D5CDD505-2E9C-101B-9397-08002B2CF9AE}" pid="26" name="APRAPRSG">
    <vt:lpwstr/>
  </property>
  <property fmtid="{D5CDD505-2E9C-101B-9397-08002B2CF9AE}" pid="27" name="_dlc_DocIdItemGuid">
    <vt:lpwstr>49fc577b-433a-4f9a-b8c3-a26b48d0c6f8</vt:lpwstr>
  </property>
  <property fmtid="{D5CDD505-2E9C-101B-9397-08002B2CF9AE}" pid="28" name="IsLocked">
    <vt:lpwstr>False</vt:lpwstr>
  </property>
  <property fmtid="{D5CDD505-2E9C-101B-9397-08002B2CF9AE}" pid="29" name="IT system type">
    <vt:lpwstr/>
  </property>
  <property fmtid="{D5CDD505-2E9C-101B-9397-08002B2CF9AE}" pid="30" name="APRACategory">
    <vt:lpwstr/>
  </property>
  <property fmtid="{D5CDD505-2E9C-101B-9397-08002B2CF9AE}" pid="31" name="APRADocumentType">
    <vt:lpwstr>234;#Explanatory statement|b22f2e2f-3f73-411b-9a7c-34264d26fa25</vt:lpwstr>
  </property>
  <property fmtid="{D5CDD505-2E9C-101B-9397-08002B2CF9AE}" pid="32" name="APRAStatus">
    <vt:lpwstr>19;#Final|84d6b2d0-8498-4d62-bf46-bab38babbe9e</vt:lpwstr>
  </property>
  <property fmtid="{D5CDD505-2E9C-101B-9397-08002B2CF9AE}" pid="33" name="APRAActivity">
    <vt:lpwstr>10;#Registration|390476ce-d76d-4e8d-905f-28e32d2df127;#109;#Statutory instrument|fe68928c-5a9c-4caf-bc8c-6c18cedcb17f</vt:lpwstr>
  </property>
  <property fmtid="{D5CDD505-2E9C-101B-9397-08002B2CF9AE}" pid="34" name="APRAEntityAdviceSupport">
    <vt:lpwstr/>
  </property>
  <property fmtid="{D5CDD505-2E9C-101B-9397-08002B2CF9AE}" pid="35" name="APRALegislation">
    <vt:lpwstr/>
  </property>
  <property fmtid="{D5CDD505-2E9C-101B-9397-08002B2CF9AE}" pid="36" name="APRAExternalOrganisation">
    <vt:lpwstr/>
  </property>
  <property fmtid="{D5CDD505-2E9C-101B-9397-08002B2CF9AE}" pid="37" name="APRAIRTR">
    <vt:lpwstr/>
  </property>
  <property fmtid="{D5CDD505-2E9C-101B-9397-08002B2CF9AE}" pid="38" name="RecordPoint_WorkflowType">
    <vt:lpwstr>ActiveSubmitStub</vt:lpwstr>
  </property>
  <property fmtid="{D5CDD505-2E9C-101B-9397-08002B2CF9AE}" pid="39" name="RecordPoint_ActiveItemWebId">
    <vt:lpwstr>{75a71c27-8d66-4282-ae60-1bfc22a83be1}</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{49fc577b-433a-4f9a-b8c3-a26b48d0c6f8}</vt:lpwstr>
  </property>
  <property fmtid="{D5CDD505-2E9C-101B-9397-08002B2CF9AE}" pid="43" name="RecordPoint_RecordNumberSubmitted">
    <vt:lpwstr/>
  </property>
  <property fmtid="{D5CDD505-2E9C-101B-9397-08002B2CF9AE}" pid="44" name="RecordPoint_SubmissionCompleted">
    <vt:lpwstr/>
  </property>
  <property fmtid="{D5CDD505-2E9C-101B-9397-08002B2CF9AE}" pid="45" name="RecordPoint_SubmissionDate">
    <vt:lpwstr/>
  </property>
  <property fmtid="{D5CDD505-2E9C-101B-9397-08002B2CF9AE}" pid="46" name="RecordPoint_ActiveItemMoved">
    <vt:lpwstr/>
  </property>
  <property fmtid="{D5CDD505-2E9C-101B-9397-08002B2CF9AE}" pid="47" name="RecordPoint_RecordFormat">
    <vt:lpwstr/>
  </property>
  <property fmtid="{D5CDD505-2E9C-101B-9397-08002B2CF9AE}" pid="48" name="PM_SecurityClassification_Prev">
    <vt:lpwstr>OFFICIAL</vt:lpwstr>
  </property>
  <property fmtid="{D5CDD505-2E9C-101B-9397-08002B2CF9AE}" pid="49" name="PM_Qualifier_Prev">
    <vt:lpwstr/>
  </property>
  <property fmtid="{D5CDD505-2E9C-101B-9397-08002B2CF9AE}" pid="50" name="PM_Note">
    <vt:lpwstr/>
  </property>
  <property fmtid="{D5CDD505-2E9C-101B-9397-08002B2CF9AE}" pid="51" name="PM_Markers">
    <vt:lpwstr/>
  </property>
  <property fmtid="{D5CDD505-2E9C-101B-9397-08002B2CF9AE}" pid="52" name="PM_Display">
    <vt:lpwstr>OFFICIAL</vt:lpwstr>
  </property>
  <property fmtid="{D5CDD505-2E9C-101B-9397-08002B2CF9AE}" pid="53" name="PMUuid">
    <vt:lpwstr>ABBFF5E2-9674-55C9-B08D-C9980002FD58</vt:lpwstr>
  </property>
  <property fmtid="{D5CDD505-2E9C-101B-9397-08002B2CF9AE}" pid="54" name="PMUuidVer">
    <vt:lpwstr>2022.1</vt:lpwstr>
  </property>
  <property fmtid="{D5CDD505-2E9C-101B-9397-08002B2CF9AE}" pid="55" name="PM_OriginatorUserAccountName_SHA256">
    <vt:lpwstr>6E3018F28A186D2E5FF5207C041E7A82E907C3008E071057026A53705873B72E</vt:lpwstr>
  </property>
  <property fmtid="{D5CDD505-2E9C-101B-9397-08002B2CF9AE}" pid="56" name="PM_OriginatorDomainName_SHA256">
    <vt:lpwstr>ECBDE2B44A971754412B3FB70606937A119CC0D4B6C1B658A40FBD41C30BE3EC</vt:lpwstr>
  </property>
  <property fmtid="{D5CDD505-2E9C-101B-9397-08002B2CF9AE}" pid="57" name="MSIP_Label_c0129afb-6481-4f92-bc9f-5a4a6346364d_SetDate">
    <vt:lpwstr>2022-12-01T07:03:36Z</vt:lpwstr>
  </property>
  <property fmtid="{D5CDD505-2E9C-101B-9397-08002B2CF9AE}" pid="58" name="MSIP_Label_c0129afb-6481-4f92-bc9f-5a4a6346364d_Name">
    <vt:lpwstr>OFFICIAL</vt:lpwstr>
  </property>
  <property fmtid="{D5CDD505-2E9C-101B-9397-08002B2CF9AE}" pid="59" name="MSIP_Label_c0129afb-6481-4f92-bc9f-5a4a6346364d_SiteId">
    <vt:lpwstr>c05e3ffd-b491-4431-9809-e61d4dc78816</vt:lpwstr>
  </property>
  <property fmtid="{D5CDD505-2E9C-101B-9397-08002B2CF9AE}" pid="60" name="MSIP_Label_c0129afb-6481-4f92-bc9f-5a4a6346364d_Enabled">
    <vt:lpwstr>true</vt:lpwstr>
  </property>
</Properties>
</file>