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B4" w14:textId="50A215D7" w:rsidR="004D51FA" w:rsidRPr="00637C41" w:rsidRDefault="004D51FA" w:rsidP="00DF7DA0">
      <w:pPr>
        <w:pStyle w:val="Heading"/>
        <w:spacing w:after="240"/>
        <w:jc w:val="center"/>
        <w:rPr>
          <w:rFonts w:ascii="Times New Roman" w:hAnsi="Times New Roman"/>
          <w:sz w:val="24"/>
          <w:szCs w:val="24"/>
        </w:rPr>
      </w:pPr>
      <w:r w:rsidRPr="001A0522">
        <w:rPr>
          <w:rFonts w:ascii="Times New Roman" w:hAnsi="Times New Roman"/>
          <w:sz w:val="24"/>
          <w:szCs w:val="24"/>
        </w:rPr>
        <w:t>Banking (prudential standard) determination</w:t>
      </w:r>
      <w:r w:rsidR="007714AB">
        <w:rPr>
          <w:rFonts w:ascii="Times New Roman" w:hAnsi="Times New Roman"/>
          <w:sz w:val="24"/>
          <w:szCs w:val="24"/>
        </w:rPr>
        <w:t>s</w:t>
      </w:r>
      <w:r w:rsidRPr="001A0522">
        <w:rPr>
          <w:rFonts w:ascii="Times New Roman" w:hAnsi="Times New Roman"/>
          <w:sz w:val="24"/>
          <w:szCs w:val="24"/>
        </w:rPr>
        <w:t xml:space="preserve"> No</w:t>
      </w:r>
      <w:r w:rsidR="007714AB">
        <w:rPr>
          <w:rFonts w:ascii="Times New Roman" w:hAnsi="Times New Roman"/>
          <w:sz w:val="24"/>
          <w:szCs w:val="24"/>
        </w:rPr>
        <w:t>s</w:t>
      </w:r>
      <w:r w:rsidRPr="001A0522">
        <w:rPr>
          <w:rFonts w:ascii="Times New Roman" w:hAnsi="Times New Roman"/>
          <w:sz w:val="24"/>
          <w:szCs w:val="24"/>
        </w:rPr>
        <w:t xml:space="preserve">. </w:t>
      </w:r>
      <w:r w:rsidR="00FD5575">
        <w:rPr>
          <w:rFonts w:ascii="Times New Roman" w:hAnsi="Times New Roman"/>
          <w:sz w:val="24"/>
          <w:szCs w:val="24"/>
        </w:rPr>
        <w:t>5</w:t>
      </w:r>
      <w:r w:rsidR="00782239">
        <w:rPr>
          <w:rFonts w:ascii="Times New Roman" w:hAnsi="Times New Roman"/>
          <w:sz w:val="24"/>
          <w:szCs w:val="24"/>
        </w:rPr>
        <w:t xml:space="preserve"> </w:t>
      </w:r>
      <w:r w:rsidR="00FD5575">
        <w:rPr>
          <w:rFonts w:ascii="Times New Roman" w:hAnsi="Times New Roman"/>
          <w:sz w:val="24"/>
          <w:szCs w:val="24"/>
        </w:rPr>
        <w:t xml:space="preserve">and 8 to 16 </w:t>
      </w:r>
      <w:r w:rsidRPr="001A0522">
        <w:rPr>
          <w:rFonts w:ascii="Times New Roman" w:hAnsi="Times New Roman"/>
          <w:sz w:val="24"/>
          <w:szCs w:val="24"/>
        </w:rPr>
        <w:t>of 202</w:t>
      </w:r>
      <w:r w:rsidR="00103911" w:rsidRPr="001A0522">
        <w:rPr>
          <w:rFonts w:ascii="Times New Roman" w:hAnsi="Times New Roman"/>
          <w:sz w:val="24"/>
          <w:szCs w:val="24"/>
        </w:rPr>
        <w:t>2</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57ADB686"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5DDF95B8" w14:textId="661127D8" w:rsidR="00FD5575" w:rsidRDefault="00FD5575" w:rsidP="003159B0">
      <w:pPr>
        <w:pStyle w:val="Heading"/>
        <w:tabs>
          <w:tab w:val="left" w:pos="360"/>
        </w:tabs>
        <w:jc w:val="center"/>
        <w:rPr>
          <w:rFonts w:ascii="Times New Roman" w:hAnsi="Times New Roman"/>
          <w:b w:val="0"/>
          <w:color w:val="000000"/>
          <w:sz w:val="24"/>
          <w:szCs w:val="24"/>
        </w:rPr>
      </w:pPr>
    </w:p>
    <w:p w14:paraId="6F26076F" w14:textId="4FF5CD74" w:rsidR="000158EF" w:rsidRPr="009418C9" w:rsidRDefault="000158EF" w:rsidP="00637C41">
      <w:pPr>
        <w:widowControl w:val="0"/>
        <w:spacing w:after="240"/>
        <w:jc w:val="both"/>
        <w:rPr>
          <w:rFonts w:ascii="Times New Roman" w:hAnsi="Times New Roman"/>
          <w:sz w:val="24"/>
          <w:szCs w:val="24"/>
        </w:rPr>
      </w:pPr>
      <w:bookmarkStart w:id="1" w:name="bkAct"/>
      <w:bookmarkStart w:id="2" w:name="bkExplanatory"/>
      <w:bookmarkEnd w:id="1"/>
      <w:bookmarkEnd w:id="2"/>
      <w:r w:rsidRPr="009418C9">
        <w:rPr>
          <w:rFonts w:ascii="Times New Roman" w:hAnsi="Times New Roman"/>
          <w:sz w:val="24"/>
          <w:szCs w:val="24"/>
        </w:rPr>
        <w:t>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 xml:space="preserve">1) of the </w:t>
      </w:r>
      <w:r w:rsidRPr="009418C9">
        <w:rPr>
          <w:rFonts w:ascii="Times New Roman" w:hAnsi="Times New Roman"/>
          <w:i/>
          <w:sz w:val="24"/>
          <w:szCs w:val="24"/>
        </w:rPr>
        <w:t>Banking Act 1959</w:t>
      </w:r>
      <w:r w:rsidRPr="009418C9">
        <w:rPr>
          <w:rFonts w:ascii="Times New Roman" w:hAnsi="Times New Roman"/>
          <w:sz w:val="24"/>
          <w:szCs w:val="24"/>
        </w:rPr>
        <w:t xml:space="preserve"> (the Act), APRA has the power to determine standards (prudential standards), in writing, in relation to prudential matters to be complied with by authorised deposit-taking institutions (ADIs) and authorised non-operating holding companies (authorised NOHCs). 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3) of the Act, APRA may, in writing, vary or revoke a prudential standard.</w:t>
      </w:r>
    </w:p>
    <w:p w14:paraId="4A6DA61B" w14:textId="40BC4881" w:rsidR="00A6296B" w:rsidRDefault="002436BD" w:rsidP="006D0EF5">
      <w:pPr>
        <w:spacing w:after="240"/>
        <w:jc w:val="both"/>
        <w:rPr>
          <w:rFonts w:ascii="Times New Roman" w:hAnsi="Times New Roman"/>
          <w:sz w:val="24"/>
          <w:szCs w:val="24"/>
        </w:rPr>
      </w:pPr>
      <w:r w:rsidRPr="00EE2C47">
        <w:rPr>
          <w:rFonts w:ascii="Times New Roman" w:hAnsi="Times New Roman"/>
          <w:sz w:val="24"/>
          <w:szCs w:val="24"/>
        </w:rPr>
        <w:t xml:space="preserve">On </w:t>
      </w:r>
      <w:r w:rsidR="00275838">
        <w:rPr>
          <w:rFonts w:ascii="Times New Roman" w:hAnsi="Times New Roman"/>
          <w:sz w:val="24"/>
          <w:szCs w:val="24"/>
        </w:rPr>
        <w:t>1 December</w:t>
      </w:r>
      <w:r w:rsidR="00D1513F" w:rsidRPr="00EE2C47">
        <w:rPr>
          <w:rFonts w:ascii="Times New Roman" w:hAnsi="Times New Roman"/>
          <w:sz w:val="24"/>
          <w:szCs w:val="24"/>
        </w:rPr>
        <w:t xml:space="preserve"> </w:t>
      </w:r>
      <w:r w:rsidR="00556C43" w:rsidRPr="00EE2C47">
        <w:rPr>
          <w:rFonts w:ascii="Times New Roman" w:hAnsi="Times New Roman"/>
          <w:sz w:val="24"/>
          <w:szCs w:val="24"/>
        </w:rPr>
        <w:t>2022</w:t>
      </w:r>
      <w:r w:rsidRPr="00EE2C47">
        <w:rPr>
          <w:rFonts w:ascii="Times New Roman" w:hAnsi="Times New Roman"/>
          <w:sz w:val="24"/>
          <w:szCs w:val="24"/>
        </w:rPr>
        <w:t>, APRA made</w:t>
      </w:r>
      <w:r w:rsidR="00F0754C">
        <w:rPr>
          <w:rFonts w:ascii="Times New Roman" w:hAnsi="Times New Roman"/>
          <w:sz w:val="24"/>
          <w:szCs w:val="24"/>
        </w:rPr>
        <w:t xml:space="preserve"> the following determination instruments (</w:t>
      </w:r>
      <w:r w:rsidR="00D47FF7">
        <w:rPr>
          <w:rFonts w:ascii="Times New Roman" w:hAnsi="Times New Roman"/>
          <w:sz w:val="24"/>
          <w:szCs w:val="24"/>
        </w:rPr>
        <w:t xml:space="preserve">collectively, </w:t>
      </w:r>
      <w:r w:rsidR="00F0754C">
        <w:rPr>
          <w:rFonts w:ascii="Times New Roman" w:hAnsi="Times New Roman"/>
          <w:sz w:val="24"/>
          <w:szCs w:val="24"/>
        </w:rPr>
        <w:t xml:space="preserve">the </w:t>
      </w:r>
      <w:r w:rsidR="00404963">
        <w:rPr>
          <w:rFonts w:ascii="Times New Roman" w:hAnsi="Times New Roman"/>
          <w:sz w:val="24"/>
          <w:szCs w:val="24"/>
        </w:rPr>
        <w:t>i</w:t>
      </w:r>
      <w:r w:rsidR="00F0754C">
        <w:rPr>
          <w:rFonts w:ascii="Times New Roman" w:hAnsi="Times New Roman"/>
          <w:sz w:val="24"/>
          <w:szCs w:val="24"/>
        </w:rPr>
        <w:t>nstruments)</w:t>
      </w:r>
      <w:r w:rsidR="00A6296B">
        <w:rPr>
          <w:rFonts w:ascii="Times New Roman" w:hAnsi="Times New Roman"/>
          <w:sz w:val="24"/>
          <w:szCs w:val="24"/>
        </w:rPr>
        <w:t>:</w:t>
      </w:r>
      <w:r w:rsidR="00030D8E">
        <w:rPr>
          <w:rFonts w:ascii="Times New Roman" w:hAnsi="Times New Roman"/>
          <w:sz w:val="24"/>
          <w:szCs w:val="24"/>
        </w:rPr>
        <w:t xml:space="preserve"> </w:t>
      </w:r>
    </w:p>
    <w:p w14:paraId="42437696" w14:textId="33E41A8A"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3C2A63">
        <w:rPr>
          <w:rFonts w:ascii="Times New Roman" w:hAnsi="Times New Roman"/>
          <w:sz w:val="24"/>
          <w:szCs w:val="24"/>
        </w:rPr>
        <w:t xml:space="preserve"> 5</w:t>
      </w:r>
      <w:r w:rsidRPr="001A0522">
        <w:rPr>
          <w:rFonts w:ascii="Times New Roman" w:hAnsi="Times New Roman"/>
          <w:sz w:val="24"/>
          <w:szCs w:val="24"/>
        </w:rPr>
        <w:t xml:space="preserve"> of 2022, which revokes </w:t>
      </w:r>
      <w:r w:rsidRPr="00746477">
        <w:rPr>
          <w:rFonts w:ascii="Times New Roman" w:hAnsi="Times New Roman"/>
          <w:i/>
          <w:sz w:val="24"/>
          <w:szCs w:val="24"/>
        </w:rPr>
        <w:t xml:space="preserve">Prudential Standard APS 111 </w:t>
      </w:r>
      <w:r w:rsidR="00FC7220" w:rsidRPr="00746477">
        <w:rPr>
          <w:rFonts w:ascii="Times New Roman" w:hAnsi="Times New Roman"/>
          <w:i/>
          <w:sz w:val="24"/>
          <w:szCs w:val="24"/>
        </w:rPr>
        <w:t xml:space="preserve">Capital Adequacy: Measurement of Capital </w:t>
      </w:r>
      <w:r w:rsidRPr="00746477">
        <w:rPr>
          <w:rFonts w:ascii="Times New Roman" w:hAnsi="Times New Roman"/>
          <w:sz w:val="24"/>
          <w:szCs w:val="24"/>
        </w:rPr>
        <w:t xml:space="preserve">made under Banking (prudential standard) determination No. </w:t>
      </w:r>
      <w:r w:rsidR="00FC7220" w:rsidRPr="00746477">
        <w:rPr>
          <w:rFonts w:ascii="Times New Roman" w:hAnsi="Times New Roman"/>
          <w:sz w:val="24"/>
          <w:szCs w:val="24"/>
        </w:rPr>
        <w:t>3</w:t>
      </w:r>
      <w:r w:rsidRPr="00746477">
        <w:rPr>
          <w:rFonts w:ascii="Times New Roman" w:hAnsi="Times New Roman"/>
          <w:sz w:val="24"/>
          <w:szCs w:val="24"/>
        </w:rPr>
        <w:t xml:space="preserve"> of </w:t>
      </w:r>
      <w:r w:rsidR="00FC7220" w:rsidRPr="00746477">
        <w:rPr>
          <w:rFonts w:ascii="Times New Roman" w:hAnsi="Times New Roman"/>
          <w:sz w:val="24"/>
          <w:szCs w:val="24"/>
        </w:rPr>
        <w:t>2021</w:t>
      </w:r>
      <w:r w:rsidRPr="00746477">
        <w:rPr>
          <w:rFonts w:ascii="Times New Roman" w:hAnsi="Times New Roman"/>
          <w:sz w:val="24"/>
          <w:szCs w:val="24"/>
        </w:rPr>
        <w:t xml:space="preserve"> and determines a new </w:t>
      </w:r>
      <w:r w:rsidRPr="00746477">
        <w:rPr>
          <w:rFonts w:ascii="Times New Roman" w:hAnsi="Times New Roman"/>
          <w:i/>
          <w:sz w:val="24"/>
          <w:szCs w:val="24"/>
        </w:rPr>
        <w:t>Prudential Standard APS 111</w:t>
      </w:r>
      <w:r w:rsidRPr="001A0522">
        <w:rPr>
          <w:rFonts w:ascii="Times New Roman" w:hAnsi="Times New Roman"/>
          <w:i/>
          <w:sz w:val="24"/>
          <w:szCs w:val="24"/>
        </w:rPr>
        <w:t xml:space="preserve"> </w:t>
      </w:r>
      <w:r w:rsidR="00FC7220">
        <w:rPr>
          <w:rFonts w:ascii="Times New Roman" w:hAnsi="Times New Roman"/>
          <w:i/>
          <w:sz w:val="24"/>
          <w:szCs w:val="24"/>
        </w:rPr>
        <w:t xml:space="preserve">Capital Adequacy: Measurement of Capital </w:t>
      </w:r>
      <w:r w:rsidRPr="001A0522">
        <w:rPr>
          <w:rFonts w:ascii="Times New Roman" w:hAnsi="Times New Roman"/>
          <w:sz w:val="24"/>
          <w:szCs w:val="24"/>
        </w:rPr>
        <w:t xml:space="preserve">(APS </w:t>
      </w:r>
      <w:r>
        <w:rPr>
          <w:rFonts w:ascii="Times New Roman" w:hAnsi="Times New Roman"/>
          <w:sz w:val="24"/>
          <w:szCs w:val="24"/>
        </w:rPr>
        <w:t>111</w:t>
      </w:r>
      <w:proofErr w:type="gramStart"/>
      <w:r w:rsidRPr="001A0522">
        <w:rPr>
          <w:rFonts w:ascii="Times New Roman" w:hAnsi="Times New Roman"/>
          <w:sz w:val="24"/>
          <w:szCs w:val="24"/>
        </w:rPr>
        <w:t>);</w:t>
      </w:r>
      <w:proofErr w:type="gramEnd"/>
    </w:p>
    <w:p w14:paraId="7E405763" w14:textId="29382717" w:rsidR="00A24A7A" w:rsidRPr="00E65A98" w:rsidRDefault="00A24A7A" w:rsidP="00A24A7A">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Pr>
          <w:rFonts w:ascii="Times New Roman" w:hAnsi="Times New Roman"/>
          <w:sz w:val="24"/>
          <w:szCs w:val="24"/>
        </w:rPr>
        <w:t>8</w:t>
      </w:r>
      <w:r w:rsidRPr="001A0522">
        <w:rPr>
          <w:rFonts w:ascii="Times New Roman" w:hAnsi="Times New Roman"/>
          <w:sz w:val="24"/>
          <w:szCs w:val="24"/>
        </w:rPr>
        <w:t xml:space="preserve"> of 2022, which revokes </w:t>
      </w:r>
      <w:r w:rsidR="008B2BEF" w:rsidRPr="008B2BEF">
        <w:rPr>
          <w:rFonts w:ascii="Times New Roman" w:hAnsi="Times New Roman"/>
          <w:i/>
          <w:sz w:val="24"/>
          <w:szCs w:val="24"/>
        </w:rPr>
        <w:t>Prudential Standard APS 114 Capital Adequacy: Standardised Approach to Operational Risk</w:t>
      </w:r>
      <w:r w:rsidR="008B2BEF">
        <w:rPr>
          <w:rFonts w:ascii="Times New Roman" w:hAnsi="Times New Roman"/>
          <w:sz w:val="24"/>
          <w:szCs w:val="24"/>
        </w:rPr>
        <w:t xml:space="preserve"> made under Banking (prudential standard) determination No. 7 of 2012, </w:t>
      </w:r>
      <w:r w:rsidR="008B2BEF" w:rsidRPr="008B2BEF">
        <w:rPr>
          <w:rFonts w:ascii="Times New Roman" w:hAnsi="Times New Roman"/>
          <w:i/>
          <w:sz w:val="24"/>
          <w:szCs w:val="24"/>
        </w:rPr>
        <w:t>Prudential Standard APS 115 Capital Adequacy: Advanced Measurement Approaches to Operational Risk</w:t>
      </w:r>
      <w:r w:rsidR="008B2BEF">
        <w:rPr>
          <w:rFonts w:ascii="Times New Roman" w:hAnsi="Times New Roman"/>
          <w:sz w:val="24"/>
          <w:szCs w:val="24"/>
        </w:rPr>
        <w:t xml:space="preserve"> made under Banking (prudential standard) determination No. 8 of 2012 and </w:t>
      </w:r>
      <w:r w:rsidRPr="001A0522">
        <w:rPr>
          <w:rFonts w:ascii="Times New Roman" w:hAnsi="Times New Roman"/>
          <w:i/>
          <w:sz w:val="24"/>
          <w:szCs w:val="24"/>
        </w:rPr>
        <w:t xml:space="preserve">Prudential Standard </w:t>
      </w:r>
      <w:r w:rsidRPr="00033719">
        <w:rPr>
          <w:rFonts w:ascii="Times New Roman" w:hAnsi="Times New Roman"/>
          <w:i/>
          <w:sz w:val="24"/>
          <w:szCs w:val="24"/>
        </w:rPr>
        <w:t xml:space="preserve">APS 115 Capital Adequacy: Standardised Measurement Approach to Operational Risk </w:t>
      </w:r>
      <w:r w:rsidRPr="001A0522">
        <w:rPr>
          <w:rFonts w:ascii="Times New Roman" w:hAnsi="Times New Roman"/>
          <w:sz w:val="24"/>
          <w:szCs w:val="24"/>
        </w:rPr>
        <w:t xml:space="preserve">made under Banking (prudential standard) determination </w:t>
      </w:r>
      <w:r w:rsidRPr="005D05B1">
        <w:rPr>
          <w:rFonts w:ascii="Times New Roman" w:hAnsi="Times New Roman"/>
          <w:sz w:val="24"/>
          <w:szCs w:val="24"/>
        </w:rPr>
        <w:t>No. 6 of 2020</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w:t>
      </w:r>
      <w:r w:rsidRPr="00033719">
        <w:rPr>
          <w:rFonts w:ascii="Times New Roman" w:hAnsi="Times New Roman"/>
          <w:i/>
          <w:sz w:val="24"/>
          <w:szCs w:val="24"/>
        </w:rPr>
        <w:t>APS 115 Capital Adequacy: Standardised Measurement Approach to Operational Risk</w:t>
      </w:r>
      <w:r>
        <w:rPr>
          <w:rFonts w:ascii="Times New Roman" w:hAnsi="Times New Roman"/>
          <w:i/>
          <w:sz w:val="24"/>
          <w:szCs w:val="24"/>
        </w:rPr>
        <w:t xml:space="preserve"> </w:t>
      </w:r>
      <w:r w:rsidRPr="001A0522">
        <w:rPr>
          <w:rFonts w:ascii="Times New Roman" w:hAnsi="Times New Roman"/>
          <w:sz w:val="24"/>
          <w:szCs w:val="24"/>
        </w:rPr>
        <w:t xml:space="preserve">(APS </w:t>
      </w:r>
      <w:r>
        <w:rPr>
          <w:rFonts w:ascii="Times New Roman" w:hAnsi="Times New Roman"/>
          <w:sz w:val="24"/>
          <w:szCs w:val="24"/>
        </w:rPr>
        <w:t>115</w:t>
      </w:r>
      <w:r w:rsidRPr="001A0522">
        <w:rPr>
          <w:rFonts w:ascii="Times New Roman" w:hAnsi="Times New Roman"/>
          <w:sz w:val="24"/>
          <w:szCs w:val="24"/>
        </w:rPr>
        <w:t>)</w:t>
      </w:r>
      <w:r>
        <w:rPr>
          <w:rFonts w:ascii="Times New Roman" w:hAnsi="Times New Roman"/>
          <w:sz w:val="24"/>
          <w:szCs w:val="24"/>
        </w:rPr>
        <w:t>;</w:t>
      </w:r>
    </w:p>
    <w:p w14:paraId="15A5119B" w14:textId="037CB901" w:rsidR="00155C7D" w:rsidRPr="00E65A98" w:rsidRDefault="00A6296B" w:rsidP="00B46CAC">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7714AB">
        <w:rPr>
          <w:rFonts w:ascii="Times New Roman" w:hAnsi="Times New Roman"/>
          <w:sz w:val="24"/>
          <w:szCs w:val="24"/>
        </w:rPr>
        <w:t xml:space="preserve"> 9 </w:t>
      </w:r>
      <w:r w:rsidRPr="001A0522">
        <w:rPr>
          <w:rFonts w:ascii="Times New Roman" w:hAnsi="Times New Roman"/>
          <w:sz w:val="24"/>
          <w:szCs w:val="24"/>
        </w:rPr>
        <w:t xml:space="preserve">of 2022, which revokes </w:t>
      </w:r>
      <w:bookmarkStart w:id="3" w:name="_Hlk110339394"/>
      <w:r w:rsidR="00155C7D" w:rsidRPr="001A0522">
        <w:rPr>
          <w:rFonts w:ascii="Times New Roman" w:hAnsi="Times New Roman"/>
          <w:i/>
          <w:sz w:val="24"/>
          <w:szCs w:val="24"/>
        </w:rPr>
        <w:t xml:space="preserve">Prudential </w:t>
      </w:r>
      <w:r w:rsidR="00155C7D" w:rsidRPr="00817E9C">
        <w:rPr>
          <w:rFonts w:ascii="Times New Roman" w:hAnsi="Times New Roman"/>
          <w:i/>
          <w:sz w:val="24"/>
          <w:szCs w:val="24"/>
        </w:rPr>
        <w:t xml:space="preserve">Standard </w:t>
      </w:r>
      <w:r w:rsidR="00030D8E" w:rsidRPr="00817E9C">
        <w:rPr>
          <w:rFonts w:ascii="Times New Roman" w:hAnsi="Times New Roman"/>
          <w:i/>
          <w:sz w:val="24"/>
          <w:szCs w:val="24"/>
        </w:rPr>
        <w:t xml:space="preserve">APS </w:t>
      </w:r>
      <w:r w:rsidR="00A548E3" w:rsidRPr="00817E9C">
        <w:rPr>
          <w:rFonts w:ascii="Times New Roman" w:hAnsi="Times New Roman"/>
          <w:i/>
          <w:sz w:val="24"/>
          <w:szCs w:val="24"/>
        </w:rPr>
        <w:t>116</w:t>
      </w:r>
      <w:r w:rsidR="00155C7D" w:rsidRPr="00817E9C">
        <w:rPr>
          <w:rFonts w:ascii="Times New Roman" w:hAnsi="Times New Roman"/>
          <w:i/>
          <w:sz w:val="24"/>
          <w:szCs w:val="24"/>
        </w:rPr>
        <w:t xml:space="preserve"> </w:t>
      </w:r>
      <w:r w:rsidR="00817E9C">
        <w:rPr>
          <w:rFonts w:ascii="Times New Roman" w:hAnsi="Times New Roman"/>
          <w:i/>
          <w:sz w:val="24"/>
          <w:szCs w:val="24"/>
        </w:rPr>
        <w:t>Capital Adequacy: Market Risk</w:t>
      </w:r>
      <w:r w:rsidR="00155C7D" w:rsidRPr="001A0522">
        <w:rPr>
          <w:rFonts w:ascii="Times New Roman" w:hAnsi="Times New Roman"/>
          <w:i/>
          <w:sz w:val="24"/>
          <w:szCs w:val="24"/>
        </w:rPr>
        <w:t xml:space="preserve"> </w:t>
      </w:r>
      <w:bookmarkEnd w:id="3"/>
      <w:r w:rsidR="00155C7D" w:rsidRPr="001A0522">
        <w:rPr>
          <w:rFonts w:ascii="Times New Roman" w:hAnsi="Times New Roman"/>
          <w:sz w:val="24"/>
          <w:szCs w:val="24"/>
        </w:rPr>
        <w:t>made under Banking (prudential standard) determination No</w:t>
      </w:r>
      <w:r w:rsidR="00556C43" w:rsidRPr="001A0522">
        <w:rPr>
          <w:rFonts w:ascii="Times New Roman" w:hAnsi="Times New Roman"/>
          <w:sz w:val="24"/>
          <w:szCs w:val="24"/>
        </w:rPr>
        <w:t>.</w:t>
      </w:r>
      <w:r w:rsidR="00155C7D" w:rsidRPr="001A0522">
        <w:rPr>
          <w:rFonts w:ascii="Times New Roman" w:hAnsi="Times New Roman"/>
          <w:sz w:val="24"/>
          <w:szCs w:val="24"/>
        </w:rPr>
        <w:t xml:space="preserve"> </w:t>
      </w:r>
      <w:r w:rsidR="00817E9C">
        <w:rPr>
          <w:rFonts w:ascii="Times New Roman" w:hAnsi="Times New Roman"/>
          <w:sz w:val="24"/>
          <w:szCs w:val="24"/>
        </w:rPr>
        <w:t>4</w:t>
      </w:r>
      <w:r w:rsidR="00155C7D" w:rsidRPr="001A0522">
        <w:rPr>
          <w:rFonts w:ascii="Times New Roman" w:hAnsi="Times New Roman"/>
          <w:sz w:val="24"/>
          <w:szCs w:val="24"/>
        </w:rPr>
        <w:t xml:space="preserve"> of </w:t>
      </w:r>
      <w:r w:rsidR="00817E9C">
        <w:rPr>
          <w:rFonts w:ascii="Times New Roman" w:hAnsi="Times New Roman"/>
          <w:sz w:val="24"/>
          <w:szCs w:val="24"/>
        </w:rPr>
        <w:t>2014</w:t>
      </w:r>
      <w:r w:rsidR="00155C7D" w:rsidRPr="001A0522">
        <w:rPr>
          <w:rFonts w:ascii="Times New Roman" w:hAnsi="Times New Roman"/>
          <w:sz w:val="24"/>
          <w:szCs w:val="24"/>
        </w:rPr>
        <w:t xml:space="preserve"> and determines a new </w:t>
      </w:r>
      <w:r w:rsidR="00155C7D" w:rsidRPr="001A0522">
        <w:rPr>
          <w:rFonts w:ascii="Times New Roman" w:hAnsi="Times New Roman"/>
          <w:i/>
          <w:sz w:val="24"/>
          <w:szCs w:val="24"/>
        </w:rPr>
        <w:t xml:space="preserve">Prudential Standard </w:t>
      </w:r>
      <w:r w:rsidR="00030D8E" w:rsidRPr="001A0522">
        <w:rPr>
          <w:rFonts w:ascii="Times New Roman" w:hAnsi="Times New Roman"/>
          <w:i/>
          <w:sz w:val="24"/>
          <w:szCs w:val="24"/>
        </w:rPr>
        <w:t xml:space="preserve">APS </w:t>
      </w:r>
      <w:r w:rsidR="00A548E3">
        <w:rPr>
          <w:rFonts w:ascii="Times New Roman" w:hAnsi="Times New Roman"/>
          <w:i/>
          <w:sz w:val="24"/>
          <w:szCs w:val="24"/>
        </w:rPr>
        <w:t>116</w:t>
      </w:r>
      <w:r w:rsidR="00817E9C" w:rsidRPr="00817E9C">
        <w:rPr>
          <w:rFonts w:ascii="Times New Roman" w:hAnsi="Times New Roman"/>
          <w:i/>
          <w:sz w:val="24"/>
          <w:szCs w:val="24"/>
        </w:rPr>
        <w:t xml:space="preserve"> </w:t>
      </w:r>
      <w:r w:rsidR="00817E9C">
        <w:rPr>
          <w:rFonts w:ascii="Times New Roman" w:hAnsi="Times New Roman"/>
          <w:i/>
          <w:sz w:val="24"/>
          <w:szCs w:val="24"/>
        </w:rPr>
        <w:t>Capital Adequacy: Market Risk</w:t>
      </w:r>
      <w:r w:rsidR="00340D2E" w:rsidRPr="001A0522">
        <w:rPr>
          <w:rFonts w:ascii="Times New Roman" w:hAnsi="Times New Roman"/>
          <w:i/>
          <w:sz w:val="24"/>
          <w:szCs w:val="24"/>
        </w:rPr>
        <w:t xml:space="preserve"> </w:t>
      </w:r>
      <w:r w:rsidR="00340D2E" w:rsidRPr="001A0522">
        <w:rPr>
          <w:rFonts w:ascii="Times New Roman" w:hAnsi="Times New Roman"/>
          <w:sz w:val="24"/>
          <w:szCs w:val="24"/>
        </w:rPr>
        <w:t>(</w:t>
      </w:r>
      <w:r w:rsidR="00030D8E" w:rsidRPr="001A0522">
        <w:rPr>
          <w:rFonts w:ascii="Times New Roman" w:hAnsi="Times New Roman"/>
          <w:sz w:val="24"/>
          <w:szCs w:val="24"/>
        </w:rPr>
        <w:t xml:space="preserve">APS </w:t>
      </w:r>
      <w:r w:rsidR="00A548E3">
        <w:rPr>
          <w:rFonts w:ascii="Times New Roman" w:hAnsi="Times New Roman"/>
          <w:sz w:val="24"/>
          <w:szCs w:val="24"/>
        </w:rPr>
        <w:t>116</w:t>
      </w:r>
      <w:proofErr w:type="gramStart"/>
      <w:r w:rsidR="00340D2E" w:rsidRPr="001A0522">
        <w:rPr>
          <w:rFonts w:ascii="Times New Roman" w:hAnsi="Times New Roman"/>
          <w:sz w:val="24"/>
          <w:szCs w:val="24"/>
        </w:rPr>
        <w:t>)</w:t>
      </w:r>
      <w:r w:rsidR="00030D8E" w:rsidRPr="001A0522">
        <w:rPr>
          <w:rFonts w:ascii="Times New Roman" w:hAnsi="Times New Roman"/>
          <w:sz w:val="24"/>
          <w:szCs w:val="24"/>
        </w:rPr>
        <w:t>;</w:t>
      </w:r>
      <w:proofErr w:type="gramEnd"/>
    </w:p>
    <w:p w14:paraId="53E5A006" w14:textId="78E5752D"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D76DF7">
        <w:rPr>
          <w:rFonts w:ascii="Times New Roman" w:hAnsi="Times New Roman"/>
          <w:sz w:val="24"/>
          <w:szCs w:val="24"/>
        </w:rPr>
        <w:t xml:space="preserve"> 10</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Standard </w:t>
      </w:r>
      <w:r w:rsidRPr="00A762CF">
        <w:rPr>
          <w:rFonts w:ascii="Times New Roman" w:hAnsi="Times New Roman"/>
          <w:i/>
          <w:sz w:val="24"/>
          <w:szCs w:val="24"/>
        </w:rPr>
        <w:t>APS 1</w:t>
      </w:r>
      <w:r w:rsidR="00A548E3" w:rsidRPr="00A762CF">
        <w:rPr>
          <w:rFonts w:ascii="Times New Roman" w:hAnsi="Times New Roman"/>
          <w:i/>
          <w:sz w:val="24"/>
          <w:szCs w:val="24"/>
        </w:rPr>
        <w:t>20</w:t>
      </w:r>
      <w:r w:rsidR="00A762CF" w:rsidRPr="00A762CF">
        <w:rPr>
          <w:rFonts w:ascii="Times New Roman" w:hAnsi="Times New Roman"/>
          <w:i/>
          <w:sz w:val="24"/>
          <w:szCs w:val="24"/>
        </w:rPr>
        <w:t xml:space="preserve"> Securitisation</w:t>
      </w:r>
      <w:r w:rsidRPr="00A762CF">
        <w:rPr>
          <w:rFonts w:ascii="Times New Roman" w:hAnsi="Times New Roman"/>
          <w:i/>
          <w:sz w:val="24"/>
          <w:szCs w:val="24"/>
        </w:rPr>
        <w:t xml:space="preserve"> </w:t>
      </w:r>
      <w:r w:rsidRPr="00A762CF">
        <w:rPr>
          <w:rFonts w:ascii="Times New Roman" w:hAnsi="Times New Roman"/>
          <w:sz w:val="24"/>
          <w:szCs w:val="24"/>
        </w:rPr>
        <w:t xml:space="preserve">made under Banking (prudential standard) determination No. </w:t>
      </w:r>
      <w:r w:rsidR="00A762CF" w:rsidRPr="00A762CF">
        <w:rPr>
          <w:rFonts w:ascii="Times New Roman" w:hAnsi="Times New Roman"/>
          <w:sz w:val="24"/>
          <w:szCs w:val="24"/>
        </w:rPr>
        <w:t>3</w:t>
      </w:r>
      <w:r w:rsidRPr="00A762CF">
        <w:rPr>
          <w:rFonts w:ascii="Times New Roman" w:hAnsi="Times New Roman"/>
          <w:sz w:val="24"/>
          <w:szCs w:val="24"/>
        </w:rPr>
        <w:t xml:space="preserve"> of 2017</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APS </w:t>
      </w:r>
      <w:r>
        <w:rPr>
          <w:rFonts w:ascii="Times New Roman" w:hAnsi="Times New Roman"/>
          <w:i/>
          <w:sz w:val="24"/>
          <w:szCs w:val="24"/>
        </w:rPr>
        <w:t>1</w:t>
      </w:r>
      <w:r w:rsidR="00A762CF">
        <w:rPr>
          <w:rFonts w:ascii="Times New Roman" w:hAnsi="Times New Roman"/>
          <w:i/>
          <w:sz w:val="24"/>
          <w:szCs w:val="24"/>
        </w:rPr>
        <w:t>20</w:t>
      </w:r>
      <w:r w:rsidRPr="001A0522">
        <w:rPr>
          <w:rFonts w:ascii="Times New Roman" w:hAnsi="Times New Roman"/>
          <w:i/>
          <w:sz w:val="24"/>
          <w:szCs w:val="24"/>
        </w:rPr>
        <w:t xml:space="preserve"> </w:t>
      </w:r>
      <w:r w:rsidR="00A762CF">
        <w:rPr>
          <w:rFonts w:ascii="Times New Roman" w:hAnsi="Times New Roman"/>
          <w:i/>
          <w:sz w:val="24"/>
          <w:szCs w:val="24"/>
        </w:rPr>
        <w:t xml:space="preserve">Securitisation </w:t>
      </w:r>
      <w:r w:rsidRPr="001A0522">
        <w:rPr>
          <w:rFonts w:ascii="Times New Roman" w:hAnsi="Times New Roman"/>
          <w:sz w:val="24"/>
          <w:szCs w:val="24"/>
        </w:rPr>
        <w:t xml:space="preserve">(APS </w:t>
      </w:r>
      <w:r>
        <w:rPr>
          <w:rFonts w:ascii="Times New Roman" w:hAnsi="Times New Roman"/>
          <w:sz w:val="24"/>
          <w:szCs w:val="24"/>
        </w:rPr>
        <w:t>1</w:t>
      </w:r>
      <w:r w:rsidR="00A762CF">
        <w:rPr>
          <w:rFonts w:ascii="Times New Roman" w:hAnsi="Times New Roman"/>
          <w:sz w:val="24"/>
          <w:szCs w:val="24"/>
        </w:rPr>
        <w:t>20</w:t>
      </w:r>
      <w:proofErr w:type="gramStart"/>
      <w:r w:rsidRPr="001A0522">
        <w:rPr>
          <w:rFonts w:ascii="Times New Roman" w:hAnsi="Times New Roman"/>
          <w:sz w:val="24"/>
          <w:szCs w:val="24"/>
        </w:rPr>
        <w:t>);</w:t>
      </w:r>
      <w:proofErr w:type="gramEnd"/>
    </w:p>
    <w:p w14:paraId="79F5A856" w14:textId="7EC3CDB0"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A82FA1">
        <w:rPr>
          <w:rFonts w:ascii="Times New Roman" w:hAnsi="Times New Roman"/>
          <w:sz w:val="24"/>
          <w:szCs w:val="24"/>
        </w:rPr>
        <w:t xml:space="preserve"> 11</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Standard </w:t>
      </w:r>
      <w:r w:rsidRPr="001B0824">
        <w:rPr>
          <w:rFonts w:ascii="Times New Roman" w:hAnsi="Times New Roman"/>
          <w:i/>
          <w:sz w:val="24"/>
          <w:szCs w:val="24"/>
        </w:rPr>
        <w:t>APS 1</w:t>
      </w:r>
      <w:r w:rsidR="00A548E3" w:rsidRPr="001B0824">
        <w:rPr>
          <w:rFonts w:ascii="Times New Roman" w:hAnsi="Times New Roman"/>
          <w:i/>
          <w:sz w:val="24"/>
          <w:szCs w:val="24"/>
        </w:rPr>
        <w:t>21</w:t>
      </w:r>
      <w:r w:rsidR="001B0824" w:rsidRPr="001B0824">
        <w:rPr>
          <w:rFonts w:ascii="Times New Roman" w:hAnsi="Times New Roman"/>
          <w:i/>
          <w:sz w:val="24"/>
          <w:szCs w:val="24"/>
        </w:rPr>
        <w:t xml:space="preserve"> Covered bonds</w:t>
      </w:r>
      <w:r w:rsidRPr="001B0824">
        <w:rPr>
          <w:rFonts w:ascii="Times New Roman" w:hAnsi="Times New Roman"/>
          <w:i/>
          <w:sz w:val="24"/>
          <w:szCs w:val="24"/>
        </w:rPr>
        <w:t xml:space="preserve"> </w:t>
      </w:r>
      <w:r w:rsidRPr="001B0824">
        <w:rPr>
          <w:rFonts w:ascii="Times New Roman" w:hAnsi="Times New Roman"/>
          <w:sz w:val="24"/>
          <w:szCs w:val="24"/>
        </w:rPr>
        <w:t xml:space="preserve">made under Banking (prudential standard) determination No. </w:t>
      </w:r>
      <w:r w:rsidR="001B0824" w:rsidRPr="001B0824">
        <w:rPr>
          <w:rFonts w:ascii="Times New Roman" w:hAnsi="Times New Roman"/>
          <w:sz w:val="24"/>
          <w:szCs w:val="24"/>
        </w:rPr>
        <w:t>1</w:t>
      </w:r>
      <w:r w:rsidRPr="001B0824">
        <w:rPr>
          <w:rFonts w:ascii="Times New Roman" w:hAnsi="Times New Roman"/>
          <w:sz w:val="24"/>
          <w:szCs w:val="24"/>
        </w:rPr>
        <w:t xml:space="preserve"> of 201</w:t>
      </w:r>
      <w:r w:rsidR="001B0824" w:rsidRPr="001B0824">
        <w:rPr>
          <w:rFonts w:ascii="Times New Roman" w:hAnsi="Times New Roman"/>
          <w:sz w:val="24"/>
          <w:szCs w:val="24"/>
        </w:rPr>
        <w:t>9</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APS </w:t>
      </w:r>
      <w:r>
        <w:rPr>
          <w:rFonts w:ascii="Times New Roman" w:hAnsi="Times New Roman"/>
          <w:i/>
          <w:sz w:val="24"/>
          <w:szCs w:val="24"/>
        </w:rPr>
        <w:t>1</w:t>
      </w:r>
      <w:r w:rsidR="001B0824">
        <w:rPr>
          <w:rFonts w:ascii="Times New Roman" w:hAnsi="Times New Roman"/>
          <w:i/>
          <w:sz w:val="24"/>
          <w:szCs w:val="24"/>
        </w:rPr>
        <w:t>2</w:t>
      </w:r>
      <w:r>
        <w:rPr>
          <w:rFonts w:ascii="Times New Roman" w:hAnsi="Times New Roman"/>
          <w:i/>
          <w:sz w:val="24"/>
          <w:szCs w:val="24"/>
        </w:rPr>
        <w:t>1</w:t>
      </w:r>
      <w:r w:rsidR="001B0824">
        <w:rPr>
          <w:rFonts w:ascii="Times New Roman" w:hAnsi="Times New Roman"/>
          <w:i/>
          <w:sz w:val="24"/>
          <w:szCs w:val="24"/>
        </w:rPr>
        <w:t xml:space="preserve"> Covered bonds</w:t>
      </w:r>
      <w:r w:rsidRPr="001A0522">
        <w:rPr>
          <w:rFonts w:ascii="Times New Roman" w:hAnsi="Times New Roman"/>
          <w:i/>
          <w:sz w:val="24"/>
          <w:szCs w:val="24"/>
        </w:rPr>
        <w:t xml:space="preserve"> </w:t>
      </w:r>
      <w:r w:rsidRPr="001A0522">
        <w:rPr>
          <w:rFonts w:ascii="Times New Roman" w:hAnsi="Times New Roman"/>
          <w:sz w:val="24"/>
          <w:szCs w:val="24"/>
        </w:rPr>
        <w:t xml:space="preserve">(APS </w:t>
      </w:r>
      <w:r>
        <w:rPr>
          <w:rFonts w:ascii="Times New Roman" w:hAnsi="Times New Roman"/>
          <w:sz w:val="24"/>
          <w:szCs w:val="24"/>
        </w:rPr>
        <w:t>1</w:t>
      </w:r>
      <w:r w:rsidR="001B0824">
        <w:rPr>
          <w:rFonts w:ascii="Times New Roman" w:hAnsi="Times New Roman"/>
          <w:sz w:val="24"/>
          <w:szCs w:val="24"/>
        </w:rPr>
        <w:t>2</w:t>
      </w:r>
      <w:r>
        <w:rPr>
          <w:rFonts w:ascii="Times New Roman" w:hAnsi="Times New Roman"/>
          <w:sz w:val="24"/>
          <w:szCs w:val="24"/>
        </w:rPr>
        <w:t>1</w:t>
      </w:r>
      <w:proofErr w:type="gramStart"/>
      <w:r w:rsidRPr="001A0522">
        <w:rPr>
          <w:rFonts w:ascii="Times New Roman" w:hAnsi="Times New Roman"/>
          <w:sz w:val="24"/>
          <w:szCs w:val="24"/>
        </w:rPr>
        <w:t>);</w:t>
      </w:r>
      <w:proofErr w:type="gramEnd"/>
    </w:p>
    <w:p w14:paraId="7F25FD0D" w14:textId="15AA9721" w:rsidR="00F757CD" w:rsidRPr="004A058E"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lastRenderedPageBreak/>
        <w:t>Banking (prudential standard) determination No.</w:t>
      </w:r>
      <w:r w:rsidR="00304DD4">
        <w:rPr>
          <w:rFonts w:ascii="Times New Roman" w:hAnsi="Times New Roman"/>
          <w:sz w:val="24"/>
          <w:szCs w:val="24"/>
        </w:rPr>
        <w:t xml:space="preserve"> 12</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w:t>
      </w:r>
      <w:r w:rsidRPr="004A058E">
        <w:rPr>
          <w:rFonts w:ascii="Times New Roman" w:hAnsi="Times New Roman"/>
          <w:i/>
          <w:sz w:val="24"/>
          <w:szCs w:val="24"/>
        </w:rPr>
        <w:t>Standard APS 1</w:t>
      </w:r>
      <w:r w:rsidR="00A548E3" w:rsidRPr="004A058E">
        <w:rPr>
          <w:rFonts w:ascii="Times New Roman" w:hAnsi="Times New Roman"/>
          <w:i/>
          <w:sz w:val="24"/>
          <w:szCs w:val="24"/>
        </w:rPr>
        <w:t>80</w:t>
      </w:r>
      <w:r w:rsidR="004A058E" w:rsidRPr="004A058E">
        <w:rPr>
          <w:rFonts w:ascii="Times New Roman" w:hAnsi="Times New Roman"/>
          <w:i/>
          <w:sz w:val="24"/>
          <w:szCs w:val="24"/>
        </w:rPr>
        <w:t xml:space="preserve"> Capital Adequacy: Counterparty Credit Risk</w:t>
      </w:r>
      <w:r w:rsidRPr="004A058E">
        <w:rPr>
          <w:rFonts w:ascii="Times New Roman" w:hAnsi="Times New Roman"/>
          <w:i/>
          <w:sz w:val="24"/>
          <w:szCs w:val="24"/>
        </w:rPr>
        <w:t xml:space="preserve"> </w:t>
      </w:r>
      <w:r w:rsidRPr="004A058E">
        <w:rPr>
          <w:rFonts w:ascii="Times New Roman" w:hAnsi="Times New Roman"/>
          <w:sz w:val="24"/>
          <w:szCs w:val="24"/>
        </w:rPr>
        <w:t xml:space="preserve">made under Banking (prudential standard) determination No. </w:t>
      </w:r>
      <w:r w:rsidR="004A058E" w:rsidRPr="004A058E">
        <w:rPr>
          <w:rFonts w:ascii="Times New Roman" w:hAnsi="Times New Roman"/>
          <w:sz w:val="24"/>
          <w:szCs w:val="24"/>
        </w:rPr>
        <w:t>1</w:t>
      </w:r>
      <w:r w:rsidRPr="004A058E">
        <w:rPr>
          <w:rFonts w:ascii="Times New Roman" w:hAnsi="Times New Roman"/>
          <w:sz w:val="24"/>
          <w:szCs w:val="24"/>
        </w:rPr>
        <w:t xml:space="preserve"> of 201</w:t>
      </w:r>
      <w:r w:rsidR="004A058E" w:rsidRPr="004A058E">
        <w:rPr>
          <w:rFonts w:ascii="Times New Roman" w:hAnsi="Times New Roman"/>
          <w:sz w:val="24"/>
          <w:szCs w:val="24"/>
        </w:rPr>
        <w:t>8</w:t>
      </w:r>
      <w:r w:rsidRPr="004A058E">
        <w:rPr>
          <w:rFonts w:ascii="Times New Roman" w:hAnsi="Times New Roman"/>
          <w:sz w:val="24"/>
          <w:szCs w:val="24"/>
        </w:rPr>
        <w:t xml:space="preserve"> and determines a new </w:t>
      </w:r>
      <w:r w:rsidRPr="004A058E">
        <w:rPr>
          <w:rFonts w:ascii="Times New Roman" w:hAnsi="Times New Roman"/>
          <w:i/>
          <w:sz w:val="24"/>
          <w:szCs w:val="24"/>
        </w:rPr>
        <w:t xml:space="preserve">Prudential Standard </w:t>
      </w:r>
      <w:r w:rsidR="004A058E" w:rsidRPr="004A058E">
        <w:rPr>
          <w:rFonts w:ascii="Times New Roman" w:hAnsi="Times New Roman"/>
          <w:i/>
          <w:sz w:val="24"/>
          <w:szCs w:val="24"/>
        </w:rPr>
        <w:t>APS 180 Capital Adequacy: Counterparty Credit Risk</w:t>
      </w:r>
      <w:r w:rsidR="004A058E" w:rsidRPr="004A058E">
        <w:rPr>
          <w:rFonts w:ascii="Times New Roman" w:hAnsi="Times New Roman"/>
          <w:sz w:val="24"/>
          <w:szCs w:val="24"/>
        </w:rPr>
        <w:t xml:space="preserve"> </w:t>
      </w:r>
      <w:r w:rsidRPr="004A058E">
        <w:rPr>
          <w:rFonts w:ascii="Times New Roman" w:hAnsi="Times New Roman"/>
          <w:sz w:val="24"/>
          <w:szCs w:val="24"/>
        </w:rPr>
        <w:t>(APS 1</w:t>
      </w:r>
      <w:r w:rsidR="004A058E" w:rsidRPr="004A058E">
        <w:rPr>
          <w:rFonts w:ascii="Times New Roman" w:hAnsi="Times New Roman"/>
          <w:sz w:val="24"/>
          <w:szCs w:val="24"/>
        </w:rPr>
        <w:t>80</w:t>
      </w:r>
      <w:proofErr w:type="gramStart"/>
      <w:r w:rsidRPr="004A058E">
        <w:rPr>
          <w:rFonts w:ascii="Times New Roman" w:hAnsi="Times New Roman"/>
          <w:sz w:val="24"/>
          <w:szCs w:val="24"/>
        </w:rPr>
        <w:t>);</w:t>
      </w:r>
      <w:proofErr w:type="gramEnd"/>
    </w:p>
    <w:p w14:paraId="6B60F571" w14:textId="2DA4B911"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13</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w:t>
      </w:r>
      <w:r w:rsidRPr="005A1AED">
        <w:rPr>
          <w:rFonts w:ascii="Times New Roman" w:hAnsi="Times New Roman"/>
          <w:i/>
          <w:sz w:val="24"/>
          <w:szCs w:val="24"/>
        </w:rPr>
        <w:t xml:space="preserve">Standard APS </w:t>
      </w:r>
      <w:r w:rsidR="00A548E3" w:rsidRPr="005A1AED">
        <w:rPr>
          <w:rFonts w:ascii="Times New Roman" w:hAnsi="Times New Roman"/>
          <w:i/>
          <w:sz w:val="24"/>
          <w:szCs w:val="24"/>
        </w:rPr>
        <w:t>210</w:t>
      </w:r>
      <w:r w:rsidRPr="005A1AED">
        <w:rPr>
          <w:rFonts w:ascii="Times New Roman" w:hAnsi="Times New Roman"/>
          <w:i/>
          <w:sz w:val="24"/>
          <w:szCs w:val="24"/>
        </w:rPr>
        <w:t xml:space="preserve"> </w:t>
      </w:r>
      <w:r w:rsidR="005A1AED" w:rsidRPr="005A1AED">
        <w:rPr>
          <w:rFonts w:ascii="Times New Roman" w:hAnsi="Times New Roman"/>
          <w:i/>
          <w:sz w:val="24"/>
          <w:szCs w:val="24"/>
        </w:rPr>
        <w:t xml:space="preserve">Liquidity </w:t>
      </w:r>
      <w:r w:rsidRPr="005A1AED">
        <w:rPr>
          <w:rFonts w:ascii="Times New Roman" w:hAnsi="Times New Roman"/>
          <w:sz w:val="24"/>
          <w:szCs w:val="24"/>
        </w:rPr>
        <w:t xml:space="preserve">made under Banking (prudential standard) determination No. </w:t>
      </w:r>
      <w:r w:rsidR="005A1AED" w:rsidRPr="005A1AED">
        <w:rPr>
          <w:rFonts w:ascii="Times New Roman" w:hAnsi="Times New Roman"/>
          <w:sz w:val="24"/>
          <w:szCs w:val="24"/>
        </w:rPr>
        <w:t>1</w:t>
      </w:r>
      <w:r w:rsidRPr="005A1AED">
        <w:rPr>
          <w:rFonts w:ascii="Times New Roman" w:hAnsi="Times New Roman"/>
          <w:sz w:val="24"/>
          <w:szCs w:val="24"/>
        </w:rPr>
        <w:t xml:space="preserve"> of 2017 and determines a new </w:t>
      </w:r>
      <w:r w:rsidRPr="005A1AED">
        <w:rPr>
          <w:rFonts w:ascii="Times New Roman" w:hAnsi="Times New Roman"/>
          <w:i/>
          <w:sz w:val="24"/>
          <w:szCs w:val="24"/>
        </w:rPr>
        <w:t xml:space="preserve">Prudential Standard </w:t>
      </w:r>
      <w:r w:rsidR="005A1AED" w:rsidRPr="005A1AED">
        <w:rPr>
          <w:rFonts w:ascii="Times New Roman" w:hAnsi="Times New Roman"/>
          <w:i/>
          <w:sz w:val="24"/>
          <w:szCs w:val="24"/>
        </w:rPr>
        <w:t>APS 210 Liquidity</w:t>
      </w:r>
      <w:r w:rsidRPr="005A1AED">
        <w:rPr>
          <w:rFonts w:ascii="Times New Roman" w:hAnsi="Times New Roman"/>
          <w:i/>
          <w:sz w:val="24"/>
          <w:szCs w:val="24"/>
        </w:rPr>
        <w:t xml:space="preserve"> </w:t>
      </w:r>
      <w:r w:rsidRPr="005A1AED">
        <w:rPr>
          <w:rFonts w:ascii="Times New Roman" w:hAnsi="Times New Roman"/>
          <w:sz w:val="24"/>
          <w:szCs w:val="24"/>
        </w:rPr>
        <w:t xml:space="preserve">(APS </w:t>
      </w:r>
      <w:r w:rsidR="005A1AED" w:rsidRPr="005A1AED">
        <w:rPr>
          <w:rFonts w:ascii="Times New Roman" w:hAnsi="Times New Roman"/>
          <w:sz w:val="24"/>
          <w:szCs w:val="24"/>
        </w:rPr>
        <w:t>210</w:t>
      </w:r>
      <w:proofErr w:type="gramStart"/>
      <w:r w:rsidRPr="005A1AED">
        <w:rPr>
          <w:rFonts w:ascii="Times New Roman" w:hAnsi="Times New Roman"/>
          <w:sz w:val="24"/>
          <w:szCs w:val="24"/>
        </w:rPr>
        <w:t>);</w:t>
      </w:r>
      <w:proofErr w:type="gramEnd"/>
    </w:p>
    <w:p w14:paraId="015E7D07" w14:textId="2FCB3B9F"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14</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EE5A25">
        <w:rPr>
          <w:rFonts w:ascii="Times New Roman" w:hAnsi="Times New Roman"/>
          <w:i/>
          <w:sz w:val="24"/>
          <w:szCs w:val="24"/>
        </w:rPr>
        <w:t xml:space="preserve">APS </w:t>
      </w:r>
      <w:r w:rsidR="00A548E3" w:rsidRPr="00EE5A25">
        <w:rPr>
          <w:rFonts w:ascii="Times New Roman" w:hAnsi="Times New Roman"/>
          <w:i/>
          <w:sz w:val="24"/>
          <w:szCs w:val="24"/>
        </w:rPr>
        <w:t>220</w:t>
      </w:r>
      <w:r w:rsidRPr="00EE5A25">
        <w:rPr>
          <w:rFonts w:ascii="Times New Roman" w:hAnsi="Times New Roman"/>
          <w:i/>
          <w:sz w:val="24"/>
          <w:szCs w:val="24"/>
        </w:rPr>
        <w:t xml:space="preserve"> </w:t>
      </w:r>
      <w:r w:rsidR="00EE5A25" w:rsidRPr="00EE5A25">
        <w:rPr>
          <w:rFonts w:ascii="Times New Roman" w:hAnsi="Times New Roman"/>
          <w:i/>
          <w:sz w:val="24"/>
          <w:szCs w:val="24"/>
        </w:rPr>
        <w:t>Credit Risk Management</w:t>
      </w:r>
      <w:r w:rsidR="00EE5A25">
        <w:rPr>
          <w:rFonts w:ascii="Times New Roman" w:hAnsi="Times New Roman"/>
          <w:i/>
          <w:sz w:val="24"/>
          <w:szCs w:val="24"/>
        </w:rPr>
        <w:t xml:space="preserve"> </w:t>
      </w:r>
      <w:r w:rsidRPr="001A0522">
        <w:rPr>
          <w:rFonts w:ascii="Times New Roman" w:hAnsi="Times New Roman"/>
          <w:sz w:val="24"/>
          <w:szCs w:val="24"/>
        </w:rPr>
        <w:t xml:space="preserve">made under Banking (prudential standard) determination No. </w:t>
      </w:r>
      <w:r w:rsidR="00EE5A25">
        <w:rPr>
          <w:rFonts w:ascii="Times New Roman" w:hAnsi="Times New Roman"/>
          <w:sz w:val="24"/>
          <w:szCs w:val="24"/>
        </w:rPr>
        <w:t>1</w:t>
      </w:r>
      <w:r w:rsidRPr="001A0522">
        <w:rPr>
          <w:rFonts w:ascii="Times New Roman" w:hAnsi="Times New Roman"/>
          <w:sz w:val="24"/>
          <w:szCs w:val="24"/>
        </w:rPr>
        <w:t xml:space="preserve"> of </w:t>
      </w:r>
      <w:r w:rsidR="00EE5A25">
        <w:rPr>
          <w:rFonts w:ascii="Times New Roman" w:hAnsi="Times New Roman"/>
          <w:sz w:val="24"/>
          <w:szCs w:val="24"/>
        </w:rPr>
        <w:t>2022</w:t>
      </w:r>
      <w:r w:rsidRPr="001A0522">
        <w:rPr>
          <w:rFonts w:ascii="Times New Roman" w:hAnsi="Times New Roman"/>
          <w:sz w:val="24"/>
          <w:szCs w:val="24"/>
        </w:rPr>
        <w:t xml:space="preserve"> and determines a new </w:t>
      </w:r>
      <w:r w:rsidR="00EE5A25" w:rsidRPr="001A0522">
        <w:rPr>
          <w:rFonts w:ascii="Times New Roman" w:hAnsi="Times New Roman"/>
          <w:i/>
          <w:sz w:val="24"/>
          <w:szCs w:val="24"/>
        </w:rPr>
        <w:t xml:space="preserve">Prudential Standard </w:t>
      </w:r>
      <w:r w:rsidR="00EE5A25" w:rsidRPr="00EE5A25">
        <w:rPr>
          <w:rFonts w:ascii="Times New Roman" w:hAnsi="Times New Roman"/>
          <w:i/>
          <w:sz w:val="24"/>
          <w:szCs w:val="24"/>
        </w:rPr>
        <w:t>APS 220 Credit Risk Management</w:t>
      </w:r>
      <w:r w:rsidRPr="001A0522">
        <w:rPr>
          <w:rFonts w:ascii="Times New Roman" w:hAnsi="Times New Roman"/>
          <w:i/>
          <w:sz w:val="24"/>
          <w:szCs w:val="24"/>
        </w:rPr>
        <w:t xml:space="preserve"> </w:t>
      </w:r>
      <w:r w:rsidRPr="001A0522">
        <w:rPr>
          <w:rFonts w:ascii="Times New Roman" w:hAnsi="Times New Roman"/>
          <w:sz w:val="24"/>
          <w:szCs w:val="24"/>
        </w:rPr>
        <w:t xml:space="preserve">(APS </w:t>
      </w:r>
      <w:r w:rsidR="00EE5A25">
        <w:rPr>
          <w:rFonts w:ascii="Times New Roman" w:hAnsi="Times New Roman"/>
          <w:sz w:val="24"/>
          <w:szCs w:val="24"/>
        </w:rPr>
        <w:t>220</w:t>
      </w:r>
      <w:proofErr w:type="gramStart"/>
      <w:r w:rsidRPr="001A0522">
        <w:rPr>
          <w:rFonts w:ascii="Times New Roman" w:hAnsi="Times New Roman"/>
          <w:sz w:val="24"/>
          <w:szCs w:val="24"/>
        </w:rPr>
        <w:t>);</w:t>
      </w:r>
      <w:proofErr w:type="gramEnd"/>
    </w:p>
    <w:p w14:paraId="60F56D95" w14:textId="7E2E3E29"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15</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076746">
        <w:rPr>
          <w:rFonts w:ascii="Times New Roman" w:hAnsi="Times New Roman"/>
          <w:i/>
          <w:sz w:val="24"/>
          <w:szCs w:val="24"/>
        </w:rPr>
        <w:t xml:space="preserve">APS </w:t>
      </w:r>
      <w:r w:rsidR="00AE491C" w:rsidRPr="00076746">
        <w:rPr>
          <w:rFonts w:ascii="Times New Roman" w:hAnsi="Times New Roman"/>
          <w:i/>
          <w:sz w:val="24"/>
          <w:szCs w:val="24"/>
        </w:rPr>
        <w:t>221</w:t>
      </w:r>
      <w:r w:rsidRPr="00076746">
        <w:rPr>
          <w:rFonts w:ascii="Times New Roman" w:hAnsi="Times New Roman"/>
          <w:i/>
          <w:sz w:val="24"/>
          <w:szCs w:val="24"/>
        </w:rPr>
        <w:t xml:space="preserve"> </w:t>
      </w:r>
      <w:r w:rsidR="00076746">
        <w:rPr>
          <w:rFonts w:ascii="Times New Roman" w:hAnsi="Times New Roman"/>
          <w:i/>
          <w:sz w:val="24"/>
          <w:szCs w:val="24"/>
        </w:rPr>
        <w:t xml:space="preserve">Large Exposures </w:t>
      </w:r>
      <w:r w:rsidRPr="001A0522">
        <w:rPr>
          <w:rFonts w:ascii="Times New Roman" w:hAnsi="Times New Roman"/>
          <w:sz w:val="24"/>
          <w:szCs w:val="24"/>
        </w:rPr>
        <w:t xml:space="preserve">made under Banking (prudential standard) determination No. </w:t>
      </w:r>
      <w:r w:rsidR="00076746">
        <w:rPr>
          <w:rFonts w:ascii="Times New Roman" w:hAnsi="Times New Roman"/>
          <w:sz w:val="24"/>
          <w:szCs w:val="24"/>
        </w:rPr>
        <w:t>4</w:t>
      </w:r>
      <w:r w:rsidRPr="001A0522">
        <w:rPr>
          <w:rFonts w:ascii="Times New Roman" w:hAnsi="Times New Roman"/>
          <w:sz w:val="24"/>
          <w:szCs w:val="24"/>
        </w:rPr>
        <w:t xml:space="preserve"> of </w:t>
      </w:r>
      <w:r w:rsidR="00076746">
        <w:rPr>
          <w:rFonts w:ascii="Times New Roman" w:hAnsi="Times New Roman"/>
          <w:sz w:val="24"/>
          <w:szCs w:val="24"/>
        </w:rPr>
        <w:t>2019</w:t>
      </w:r>
      <w:r w:rsidRPr="001A0522">
        <w:rPr>
          <w:rFonts w:ascii="Times New Roman" w:hAnsi="Times New Roman"/>
          <w:sz w:val="24"/>
          <w:szCs w:val="24"/>
        </w:rPr>
        <w:t xml:space="preserve"> and determines a new </w:t>
      </w:r>
      <w:r w:rsidR="00076746" w:rsidRPr="001A0522">
        <w:rPr>
          <w:rFonts w:ascii="Times New Roman" w:hAnsi="Times New Roman"/>
          <w:i/>
          <w:sz w:val="24"/>
          <w:szCs w:val="24"/>
        </w:rPr>
        <w:t xml:space="preserve">Prudential Standard </w:t>
      </w:r>
      <w:r w:rsidR="00076746" w:rsidRPr="00076746">
        <w:rPr>
          <w:rFonts w:ascii="Times New Roman" w:hAnsi="Times New Roman"/>
          <w:i/>
          <w:sz w:val="24"/>
          <w:szCs w:val="24"/>
        </w:rPr>
        <w:t xml:space="preserve">APS 221 </w:t>
      </w:r>
      <w:r w:rsidR="00076746">
        <w:rPr>
          <w:rFonts w:ascii="Times New Roman" w:hAnsi="Times New Roman"/>
          <w:i/>
          <w:sz w:val="24"/>
          <w:szCs w:val="24"/>
        </w:rPr>
        <w:t xml:space="preserve">Large Exposures </w:t>
      </w:r>
      <w:r w:rsidRPr="001A0522">
        <w:rPr>
          <w:rFonts w:ascii="Times New Roman" w:hAnsi="Times New Roman"/>
          <w:sz w:val="24"/>
          <w:szCs w:val="24"/>
        </w:rPr>
        <w:t xml:space="preserve">(APS </w:t>
      </w:r>
      <w:r w:rsidR="00076746">
        <w:rPr>
          <w:rFonts w:ascii="Times New Roman" w:hAnsi="Times New Roman"/>
          <w:sz w:val="24"/>
          <w:szCs w:val="24"/>
        </w:rPr>
        <w:t>221</w:t>
      </w:r>
      <w:r w:rsidRPr="001A0522">
        <w:rPr>
          <w:rFonts w:ascii="Times New Roman" w:hAnsi="Times New Roman"/>
          <w:sz w:val="24"/>
          <w:szCs w:val="24"/>
        </w:rPr>
        <w:t>);</w:t>
      </w:r>
      <w:r w:rsidR="00A24A7A">
        <w:rPr>
          <w:rFonts w:ascii="Times New Roman" w:hAnsi="Times New Roman"/>
          <w:sz w:val="24"/>
          <w:szCs w:val="24"/>
        </w:rPr>
        <w:t xml:space="preserve"> and</w:t>
      </w:r>
    </w:p>
    <w:p w14:paraId="72FA7BB7" w14:textId="09832DA7"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16</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EE1546">
        <w:rPr>
          <w:rFonts w:ascii="Times New Roman" w:hAnsi="Times New Roman"/>
          <w:i/>
          <w:sz w:val="24"/>
          <w:szCs w:val="24"/>
        </w:rPr>
        <w:t xml:space="preserve">APS </w:t>
      </w:r>
      <w:r w:rsidR="00AE491C" w:rsidRPr="00EE1546">
        <w:rPr>
          <w:rFonts w:ascii="Times New Roman" w:hAnsi="Times New Roman"/>
          <w:i/>
          <w:sz w:val="24"/>
          <w:szCs w:val="24"/>
        </w:rPr>
        <w:t>310</w:t>
      </w:r>
      <w:r w:rsidRPr="00EE1546">
        <w:rPr>
          <w:rFonts w:ascii="Times New Roman" w:hAnsi="Times New Roman"/>
          <w:i/>
          <w:sz w:val="24"/>
          <w:szCs w:val="24"/>
        </w:rPr>
        <w:t xml:space="preserve"> </w:t>
      </w:r>
      <w:r w:rsidR="00EE1546" w:rsidRPr="00EE1546">
        <w:rPr>
          <w:rFonts w:ascii="Times New Roman" w:hAnsi="Times New Roman"/>
          <w:i/>
          <w:sz w:val="24"/>
          <w:szCs w:val="24"/>
        </w:rPr>
        <w:t xml:space="preserve">Audit and Related Matters </w:t>
      </w:r>
      <w:r w:rsidRPr="00EE1546">
        <w:rPr>
          <w:rFonts w:ascii="Times New Roman" w:hAnsi="Times New Roman"/>
          <w:sz w:val="24"/>
          <w:szCs w:val="24"/>
        </w:rPr>
        <w:t>made under Banking (prudential standard) determination No. 2 of</w:t>
      </w:r>
      <w:r w:rsidRPr="001A0522">
        <w:rPr>
          <w:rFonts w:ascii="Times New Roman" w:hAnsi="Times New Roman"/>
          <w:sz w:val="24"/>
          <w:szCs w:val="24"/>
        </w:rPr>
        <w:t xml:space="preserve"> </w:t>
      </w:r>
      <w:r w:rsidR="00EE1546">
        <w:rPr>
          <w:rFonts w:ascii="Times New Roman" w:hAnsi="Times New Roman"/>
          <w:sz w:val="24"/>
          <w:szCs w:val="24"/>
        </w:rPr>
        <w:t xml:space="preserve">2019 </w:t>
      </w:r>
      <w:r w:rsidRPr="001A0522">
        <w:rPr>
          <w:rFonts w:ascii="Times New Roman" w:hAnsi="Times New Roman"/>
          <w:sz w:val="24"/>
          <w:szCs w:val="24"/>
        </w:rPr>
        <w:t xml:space="preserve">and determines a new </w:t>
      </w:r>
      <w:r w:rsidR="00EE1546" w:rsidRPr="001A0522">
        <w:rPr>
          <w:rFonts w:ascii="Times New Roman" w:hAnsi="Times New Roman"/>
          <w:i/>
          <w:sz w:val="24"/>
          <w:szCs w:val="24"/>
        </w:rPr>
        <w:t xml:space="preserve">Prudential Standard </w:t>
      </w:r>
      <w:r w:rsidR="00EE1546" w:rsidRPr="00EE1546">
        <w:rPr>
          <w:rFonts w:ascii="Times New Roman" w:hAnsi="Times New Roman"/>
          <w:i/>
          <w:sz w:val="24"/>
          <w:szCs w:val="24"/>
        </w:rPr>
        <w:t xml:space="preserve">APS 310 Audit and Related Matters </w:t>
      </w:r>
      <w:r w:rsidRPr="001A0522">
        <w:rPr>
          <w:rFonts w:ascii="Times New Roman" w:hAnsi="Times New Roman"/>
          <w:sz w:val="24"/>
          <w:szCs w:val="24"/>
        </w:rPr>
        <w:t xml:space="preserve">(APS </w:t>
      </w:r>
      <w:r w:rsidR="00EE1546">
        <w:rPr>
          <w:rFonts w:ascii="Times New Roman" w:hAnsi="Times New Roman"/>
          <w:sz w:val="24"/>
          <w:szCs w:val="24"/>
        </w:rPr>
        <w:t>310</w:t>
      </w:r>
      <w:r w:rsidRPr="001A0522">
        <w:rPr>
          <w:rFonts w:ascii="Times New Roman" w:hAnsi="Times New Roman"/>
          <w:sz w:val="24"/>
          <w:szCs w:val="24"/>
        </w:rPr>
        <w:t>)</w:t>
      </w:r>
      <w:r w:rsidR="00A24A7A">
        <w:rPr>
          <w:rFonts w:ascii="Times New Roman" w:hAnsi="Times New Roman"/>
          <w:sz w:val="24"/>
          <w:szCs w:val="24"/>
        </w:rPr>
        <w:t>.</w:t>
      </w:r>
    </w:p>
    <w:p w14:paraId="11344BD8" w14:textId="69A1EF05" w:rsidR="00340D2E" w:rsidRPr="005D57D5" w:rsidRDefault="00340D2E" w:rsidP="00155C7D">
      <w:pPr>
        <w:widowControl w:val="0"/>
        <w:spacing w:after="240"/>
        <w:jc w:val="both"/>
        <w:rPr>
          <w:rFonts w:ascii="Times New Roman" w:hAnsi="Times New Roman"/>
          <w:sz w:val="24"/>
          <w:szCs w:val="24"/>
        </w:rPr>
      </w:pPr>
      <w:r w:rsidRPr="00EE2C47">
        <w:rPr>
          <w:rFonts w:ascii="Times New Roman" w:hAnsi="Times New Roman"/>
          <w:sz w:val="24"/>
          <w:szCs w:val="24"/>
        </w:rPr>
        <w:t>The instrument</w:t>
      </w:r>
      <w:r w:rsidR="00B46CAC">
        <w:rPr>
          <w:rFonts w:ascii="Times New Roman" w:hAnsi="Times New Roman"/>
          <w:sz w:val="24"/>
          <w:szCs w:val="24"/>
        </w:rPr>
        <w:t>s</w:t>
      </w:r>
      <w:r w:rsidRPr="00EE2C47">
        <w:rPr>
          <w:rFonts w:ascii="Times New Roman" w:hAnsi="Times New Roman"/>
          <w:sz w:val="24"/>
          <w:szCs w:val="24"/>
        </w:rPr>
        <w:t xml:space="preserve"> commence </w:t>
      </w:r>
      <w:r w:rsidR="00686360">
        <w:rPr>
          <w:rFonts w:ascii="Times New Roman" w:hAnsi="Times New Roman"/>
          <w:sz w:val="24"/>
          <w:szCs w:val="24"/>
        </w:rPr>
        <w:t xml:space="preserve">on </w:t>
      </w:r>
      <w:r w:rsidR="00E65A98">
        <w:rPr>
          <w:rFonts w:ascii="Times New Roman" w:hAnsi="Times New Roman"/>
          <w:sz w:val="24"/>
          <w:szCs w:val="24"/>
        </w:rPr>
        <w:t>1</w:t>
      </w:r>
      <w:r w:rsidR="001B2B36">
        <w:rPr>
          <w:rFonts w:ascii="Times New Roman" w:hAnsi="Times New Roman"/>
          <w:sz w:val="24"/>
          <w:szCs w:val="24"/>
        </w:rPr>
        <w:t xml:space="preserve"> </w:t>
      </w:r>
      <w:r w:rsidR="00E65A98">
        <w:rPr>
          <w:rFonts w:ascii="Times New Roman" w:hAnsi="Times New Roman"/>
          <w:sz w:val="24"/>
          <w:szCs w:val="24"/>
        </w:rPr>
        <w:t>January</w:t>
      </w:r>
      <w:r w:rsidR="005E5000">
        <w:rPr>
          <w:rFonts w:ascii="Times New Roman" w:hAnsi="Times New Roman"/>
          <w:sz w:val="24"/>
          <w:szCs w:val="24"/>
        </w:rPr>
        <w:t xml:space="preserve"> </w:t>
      </w:r>
      <w:r w:rsidR="00686360">
        <w:rPr>
          <w:rFonts w:ascii="Times New Roman" w:hAnsi="Times New Roman"/>
          <w:sz w:val="24"/>
          <w:szCs w:val="24"/>
        </w:rPr>
        <w:t>202</w:t>
      </w:r>
      <w:r w:rsidR="00E65A98">
        <w:rPr>
          <w:rFonts w:ascii="Times New Roman" w:hAnsi="Times New Roman"/>
          <w:sz w:val="24"/>
          <w:szCs w:val="24"/>
        </w:rPr>
        <w:t>3</w:t>
      </w:r>
      <w:r w:rsidRPr="007177EC">
        <w:rPr>
          <w:rFonts w:ascii="Times New Roman" w:hAnsi="Times New Roman"/>
          <w:sz w:val="24"/>
          <w:szCs w:val="24"/>
        </w:rPr>
        <w:t>.</w:t>
      </w:r>
      <w:r>
        <w:rPr>
          <w:rFonts w:ascii="Times New Roman" w:hAnsi="Times New Roman"/>
          <w:sz w:val="24"/>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9CBE09C" w14:textId="2DDCA0E4" w:rsidR="00DF1B84" w:rsidRDefault="000553BA" w:rsidP="00E874F0">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APRA </w:t>
      </w:r>
      <w:r w:rsidR="008A46E0">
        <w:rPr>
          <w:rFonts w:ascii="Times New Roman" w:hAnsi="Times New Roman"/>
          <w:b w:val="0"/>
          <w:sz w:val="24"/>
          <w:szCs w:val="24"/>
        </w:rPr>
        <w:t xml:space="preserve">recently </w:t>
      </w:r>
      <w:r>
        <w:rPr>
          <w:rFonts w:ascii="Times New Roman" w:hAnsi="Times New Roman"/>
          <w:b w:val="0"/>
          <w:sz w:val="24"/>
          <w:szCs w:val="24"/>
        </w:rPr>
        <w:t xml:space="preserve">released a </w:t>
      </w:r>
      <w:r w:rsidR="00D50759">
        <w:rPr>
          <w:rFonts w:ascii="Times New Roman" w:hAnsi="Times New Roman"/>
          <w:b w:val="0"/>
          <w:sz w:val="24"/>
          <w:szCs w:val="24"/>
        </w:rPr>
        <w:t xml:space="preserve">new </w:t>
      </w:r>
      <w:r w:rsidRPr="00E12DC1">
        <w:rPr>
          <w:rFonts w:ascii="Times New Roman" w:hAnsi="Times New Roman"/>
          <w:b w:val="0"/>
          <w:sz w:val="24"/>
          <w:szCs w:val="24"/>
        </w:rPr>
        <w:t xml:space="preserve">suite of prudential standards that impose regulatory capital </w:t>
      </w:r>
      <w:r w:rsidRPr="00AC1C4C">
        <w:rPr>
          <w:rFonts w:ascii="Times New Roman" w:hAnsi="Times New Roman"/>
          <w:b w:val="0"/>
          <w:sz w:val="24"/>
          <w:szCs w:val="24"/>
        </w:rPr>
        <w:t xml:space="preserve">requirements (the </w:t>
      </w:r>
      <w:r w:rsidR="009418C9">
        <w:rPr>
          <w:rFonts w:ascii="Times New Roman" w:hAnsi="Times New Roman"/>
          <w:b w:val="0"/>
          <w:sz w:val="24"/>
          <w:szCs w:val="24"/>
        </w:rPr>
        <w:t xml:space="preserve">new </w:t>
      </w:r>
      <w:r w:rsidRPr="00AC1C4C">
        <w:rPr>
          <w:rFonts w:ascii="Times New Roman" w:hAnsi="Times New Roman"/>
          <w:b w:val="0"/>
          <w:sz w:val="24"/>
          <w:szCs w:val="24"/>
        </w:rPr>
        <w:t>capital standards)</w:t>
      </w:r>
      <w:r w:rsidRPr="00E12DC1">
        <w:rPr>
          <w:rFonts w:ascii="Times New Roman" w:hAnsi="Times New Roman"/>
          <w:b w:val="0"/>
          <w:sz w:val="24"/>
          <w:szCs w:val="24"/>
        </w:rPr>
        <w:t xml:space="preserve"> on ADIs for the purpose of ensuring ADIs hold sufficient capital to address the risks associated with their operations.</w:t>
      </w:r>
      <w:r>
        <w:rPr>
          <w:rFonts w:ascii="Times New Roman" w:hAnsi="Times New Roman"/>
          <w:b w:val="0"/>
          <w:sz w:val="24"/>
          <w:szCs w:val="24"/>
        </w:rPr>
        <w:t xml:space="preserve"> The changes follow recommendations from the 2014 Financial System Inquiry to increase capital requirements for ADIs such that they meet ‘unquestionably strong’ capital benchmarks</w:t>
      </w:r>
      <w:r w:rsidR="002648B3">
        <w:rPr>
          <w:rFonts w:ascii="Times New Roman" w:hAnsi="Times New Roman"/>
          <w:b w:val="0"/>
          <w:sz w:val="24"/>
          <w:szCs w:val="24"/>
        </w:rPr>
        <w:t xml:space="preserve"> and to meet Australia’s commitment for internationally agreed standards for prudential regulation for ADIs by implementing capital standards based on the framework agreed by the Basel Committee</w:t>
      </w:r>
      <w:r w:rsidR="003A0216">
        <w:rPr>
          <w:rFonts w:ascii="Times New Roman" w:hAnsi="Times New Roman"/>
          <w:b w:val="0"/>
          <w:sz w:val="24"/>
          <w:szCs w:val="24"/>
        </w:rPr>
        <w:t xml:space="preserve"> on Banking Supervision</w:t>
      </w:r>
      <w:r>
        <w:rPr>
          <w:rFonts w:ascii="Times New Roman" w:hAnsi="Times New Roman"/>
          <w:b w:val="0"/>
          <w:sz w:val="24"/>
          <w:szCs w:val="24"/>
        </w:rPr>
        <w:t xml:space="preserve">. </w:t>
      </w:r>
    </w:p>
    <w:p w14:paraId="4ED0FBD3" w14:textId="25EBB774" w:rsidR="00E874F0" w:rsidRDefault="00DF1B84" w:rsidP="00E874F0">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The </w:t>
      </w:r>
      <w:r w:rsidR="009418C9">
        <w:rPr>
          <w:rFonts w:ascii="Times New Roman" w:hAnsi="Times New Roman"/>
          <w:b w:val="0"/>
          <w:sz w:val="24"/>
          <w:szCs w:val="24"/>
        </w:rPr>
        <w:t xml:space="preserve">new </w:t>
      </w:r>
      <w:r>
        <w:rPr>
          <w:rFonts w:ascii="Times New Roman" w:hAnsi="Times New Roman"/>
          <w:b w:val="0"/>
          <w:sz w:val="24"/>
          <w:szCs w:val="24"/>
        </w:rPr>
        <w:t xml:space="preserve">capital standards, which come into effect from 1 January 2023, necessitate a series of </w:t>
      </w:r>
      <w:r w:rsidR="000553BA">
        <w:rPr>
          <w:rFonts w:ascii="Times New Roman" w:hAnsi="Times New Roman"/>
          <w:b w:val="0"/>
          <w:sz w:val="24"/>
          <w:szCs w:val="24"/>
        </w:rPr>
        <w:t xml:space="preserve">consequential amendments </w:t>
      </w:r>
      <w:r>
        <w:rPr>
          <w:rFonts w:ascii="Times New Roman" w:hAnsi="Times New Roman"/>
          <w:b w:val="0"/>
          <w:sz w:val="24"/>
          <w:szCs w:val="24"/>
        </w:rPr>
        <w:t xml:space="preserve">to </w:t>
      </w:r>
      <w:r w:rsidR="009418C9">
        <w:rPr>
          <w:rFonts w:ascii="Times New Roman" w:hAnsi="Times New Roman"/>
          <w:b w:val="0"/>
          <w:sz w:val="24"/>
          <w:szCs w:val="24"/>
        </w:rPr>
        <w:t xml:space="preserve">other </w:t>
      </w:r>
      <w:r>
        <w:rPr>
          <w:rFonts w:ascii="Times New Roman" w:hAnsi="Times New Roman"/>
          <w:b w:val="0"/>
          <w:sz w:val="24"/>
          <w:szCs w:val="24"/>
        </w:rPr>
        <w:t xml:space="preserve">existing prudential standards </w:t>
      </w:r>
      <w:r w:rsidR="000553BA">
        <w:rPr>
          <w:rFonts w:ascii="Times New Roman" w:hAnsi="Times New Roman"/>
          <w:b w:val="0"/>
          <w:sz w:val="24"/>
          <w:szCs w:val="24"/>
        </w:rPr>
        <w:t xml:space="preserve">to ensure consistency of APRA’s broader prudential framework with the </w:t>
      </w:r>
      <w:r w:rsidR="009418C9">
        <w:rPr>
          <w:rFonts w:ascii="Times New Roman" w:hAnsi="Times New Roman"/>
          <w:b w:val="0"/>
          <w:sz w:val="24"/>
          <w:szCs w:val="24"/>
        </w:rPr>
        <w:t xml:space="preserve">new </w:t>
      </w:r>
      <w:r w:rsidR="000553BA">
        <w:rPr>
          <w:rFonts w:ascii="Times New Roman" w:hAnsi="Times New Roman"/>
          <w:b w:val="0"/>
          <w:sz w:val="24"/>
          <w:szCs w:val="24"/>
        </w:rPr>
        <w:t>capital standards.</w:t>
      </w:r>
      <w:bookmarkStart w:id="4" w:name="bkBackground"/>
      <w:bookmarkEnd w:id="4"/>
      <w:r w:rsidR="00E874F0">
        <w:t xml:space="preserve"> </w:t>
      </w:r>
      <w:r w:rsidR="00E874F0">
        <w:rPr>
          <w:rFonts w:ascii="Times New Roman" w:hAnsi="Times New Roman"/>
          <w:b w:val="0"/>
          <w:sz w:val="24"/>
          <w:szCs w:val="24"/>
        </w:rPr>
        <w:t>The key changes include:</w:t>
      </w:r>
    </w:p>
    <w:p w14:paraId="4259AA0A" w14:textId="4426AEFF" w:rsidR="00E874F0" w:rsidRDefault="009418C9" w:rsidP="00E874F0">
      <w:pPr>
        <w:pStyle w:val="Heading"/>
        <w:numPr>
          <w:ilvl w:val="0"/>
          <w:numId w:val="26"/>
        </w:numPr>
        <w:spacing w:after="240"/>
        <w:rPr>
          <w:rFonts w:ascii="Times New Roman" w:hAnsi="Times New Roman"/>
          <w:b w:val="0"/>
          <w:sz w:val="24"/>
          <w:szCs w:val="24"/>
        </w:rPr>
      </w:pPr>
      <w:r>
        <w:rPr>
          <w:rFonts w:ascii="Times New Roman" w:hAnsi="Times New Roman"/>
          <w:b w:val="0"/>
          <w:sz w:val="24"/>
          <w:szCs w:val="24"/>
        </w:rPr>
        <w:t>e</w:t>
      </w:r>
      <w:r w:rsidR="00E874F0">
        <w:rPr>
          <w:rFonts w:ascii="Times New Roman" w:hAnsi="Times New Roman"/>
          <w:b w:val="0"/>
          <w:sz w:val="24"/>
          <w:szCs w:val="24"/>
        </w:rPr>
        <w:t xml:space="preserve">nsuring APRA’s broader prudential framework reflects changes made in the </w:t>
      </w:r>
      <w:r>
        <w:rPr>
          <w:rFonts w:ascii="Times New Roman" w:hAnsi="Times New Roman"/>
          <w:b w:val="0"/>
          <w:sz w:val="24"/>
          <w:szCs w:val="24"/>
        </w:rPr>
        <w:t xml:space="preserve">new </w:t>
      </w:r>
      <w:r w:rsidR="00E874F0">
        <w:rPr>
          <w:rFonts w:ascii="Times New Roman" w:hAnsi="Times New Roman"/>
          <w:b w:val="0"/>
          <w:sz w:val="24"/>
          <w:szCs w:val="24"/>
        </w:rPr>
        <w:t xml:space="preserve">capital standards. For example, in the treatment of exposures to New Zealand and in terms of liquidity requirements which need to be amended </w:t>
      </w:r>
      <w:proofErr w:type="gramStart"/>
      <w:r w:rsidR="00E874F0">
        <w:rPr>
          <w:rFonts w:ascii="Times New Roman" w:hAnsi="Times New Roman"/>
          <w:b w:val="0"/>
          <w:sz w:val="24"/>
          <w:szCs w:val="24"/>
        </w:rPr>
        <w:t>as a result of</w:t>
      </w:r>
      <w:proofErr w:type="gramEnd"/>
      <w:r w:rsidR="00E874F0">
        <w:rPr>
          <w:rFonts w:ascii="Times New Roman" w:hAnsi="Times New Roman"/>
          <w:b w:val="0"/>
          <w:sz w:val="24"/>
          <w:szCs w:val="24"/>
        </w:rPr>
        <w:t xml:space="preserve"> the changes to residential mortgage risk weights in the </w:t>
      </w:r>
      <w:r>
        <w:rPr>
          <w:rFonts w:ascii="Times New Roman" w:hAnsi="Times New Roman"/>
          <w:b w:val="0"/>
          <w:sz w:val="24"/>
          <w:szCs w:val="24"/>
        </w:rPr>
        <w:t xml:space="preserve">new </w:t>
      </w:r>
      <w:r w:rsidR="00E874F0">
        <w:rPr>
          <w:rFonts w:ascii="Times New Roman" w:hAnsi="Times New Roman"/>
          <w:b w:val="0"/>
          <w:sz w:val="24"/>
          <w:szCs w:val="24"/>
        </w:rPr>
        <w:t>capital</w:t>
      </w:r>
      <w:r w:rsidR="009405E2">
        <w:rPr>
          <w:rFonts w:ascii="Times New Roman" w:hAnsi="Times New Roman"/>
          <w:b w:val="0"/>
          <w:sz w:val="24"/>
          <w:szCs w:val="24"/>
        </w:rPr>
        <w:t xml:space="preserve"> standards</w:t>
      </w:r>
      <w:r>
        <w:rPr>
          <w:rFonts w:ascii="Times New Roman" w:hAnsi="Times New Roman"/>
          <w:b w:val="0"/>
          <w:sz w:val="24"/>
          <w:szCs w:val="24"/>
        </w:rPr>
        <w:t>;</w:t>
      </w:r>
      <w:r w:rsidR="009405E2">
        <w:rPr>
          <w:rFonts w:ascii="Times New Roman" w:hAnsi="Times New Roman"/>
          <w:b w:val="0"/>
          <w:sz w:val="24"/>
          <w:szCs w:val="24"/>
        </w:rPr>
        <w:t xml:space="preserve"> </w:t>
      </w:r>
      <w:r>
        <w:rPr>
          <w:rFonts w:ascii="Times New Roman" w:hAnsi="Times New Roman"/>
          <w:b w:val="0"/>
          <w:sz w:val="24"/>
          <w:szCs w:val="24"/>
        </w:rPr>
        <w:t>and</w:t>
      </w:r>
      <w:r w:rsidR="00E874F0">
        <w:rPr>
          <w:rFonts w:ascii="Times New Roman" w:hAnsi="Times New Roman"/>
          <w:b w:val="0"/>
          <w:sz w:val="24"/>
          <w:szCs w:val="24"/>
        </w:rPr>
        <w:t xml:space="preserve"> </w:t>
      </w:r>
    </w:p>
    <w:p w14:paraId="04DD1A0D" w14:textId="75E030F8" w:rsidR="00E874F0" w:rsidRDefault="009418C9" w:rsidP="00E874F0">
      <w:pPr>
        <w:pStyle w:val="Heading"/>
        <w:numPr>
          <w:ilvl w:val="0"/>
          <w:numId w:val="26"/>
        </w:numPr>
        <w:spacing w:after="240"/>
        <w:rPr>
          <w:rFonts w:ascii="Times New Roman" w:hAnsi="Times New Roman"/>
          <w:b w:val="0"/>
          <w:sz w:val="24"/>
          <w:szCs w:val="24"/>
        </w:rPr>
      </w:pPr>
      <w:r>
        <w:rPr>
          <w:rFonts w:ascii="Times New Roman" w:hAnsi="Times New Roman"/>
          <w:b w:val="0"/>
          <w:sz w:val="24"/>
          <w:szCs w:val="24"/>
        </w:rPr>
        <w:t xml:space="preserve">updating </w:t>
      </w:r>
      <w:r w:rsidR="00E874F0">
        <w:rPr>
          <w:rFonts w:ascii="Times New Roman" w:hAnsi="Times New Roman"/>
          <w:b w:val="0"/>
          <w:sz w:val="24"/>
          <w:szCs w:val="24"/>
        </w:rPr>
        <w:t>cross referenc</w:t>
      </w:r>
      <w:r>
        <w:rPr>
          <w:rFonts w:ascii="Times New Roman" w:hAnsi="Times New Roman"/>
          <w:b w:val="0"/>
          <w:sz w:val="24"/>
          <w:szCs w:val="24"/>
        </w:rPr>
        <w:t>es</w:t>
      </w:r>
      <w:r w:rsidR="00E874F0">
        <w:rPr>
          <w:rFonts w:ascii="Times New Roman" w:hAnsi="Times New Roman"/>
          <w:b w:val="0"/>
          <w:sz w:val="24"/>
          <w:szCs w:val="24"/>
        </w:rPr>
        <w:t xml:space="preserve"> to the </w:t>
      </w:r>
      <w:r>
        <w:rPr>
          <w:rFonts w:ascii="Times New Roman" w:hAnsi="Times New Roman"/>
          <w:b w:val="0"/>
          <w:sz w:val="24"/>
          <w:szCs w:val="24"/>
        </w:rPr>
        <w:t xml:space="preserve">new </w:t>
      </w:r>
      <w:r w:rsidR="00E874F0">
        <w:rPr>
          <w:rFonts w:ascii="Times New Roman" w:hAnsi="Times New Roman"/>
          <w:b w:val="0"/>
          <w:sz w:val="24"/>
          <w:szCs w:val="24"/>
        </w:rPr>
        <w:t>capital standards</w:t>
      </w:r>
      <w:r w:rsidR="00FF596A">
        <w:rPr>
          <w:rFonts w:ascii="Times New Roman" w:hAnsi="Times New Roman"/>
          <w:b w:val="0"/>
          <w:sz w:val="24"/>
          <w:szCs w:val="24"/>
        </w:rPr>
        <w:t>.</w:t>
      </w:r>
      <w:r w:rsidR="00E874F0">
        <w:rPr>
          <w:rFonts w:ascii="Times New Roman" w:hAnsi="Times New Roman"/>
          <w:b w:val="0"/>
          <w:sz w:val="24"/>
          <w:szCs w:val="24"/>
        </w:rPr>
        <w:t xml:space="preserve">  </w:t>
      </w:r>
    </w:p>
    <w:p w14:paraId="313D2516" w14:textId="59374AE0" w:rsidR="00E874F0" w:rsidRPr="003F6B96" w:rsidRDefault="00E874F0" w:rsidP="00E874F0">
      <w:pPr>
        <w:pStyle w:val="Heading"/>
        <w:spacing w:after="240"/>
        <w:outlineLvl w:val="0"/>
        <w:rPr>
          <w:rFonts w:ascii="Times New Roman" w:hAnsi="Times New Roman"/>
          <w:b w:val="0"/>
          <w:sz w:val="24"/>
          <w:szCs w:val="24"/>
        </w:rPr>
      </w:pPr>
      <w:r w:rsidRPr="003F6B96">
        <w:rPr>
          <w:rFonts w:ascii="Times New Roman" w:hAnsi="Times New Roman"/>
          <w:b w:val="0"/>
          <w:sz w:val="24"/>
          <w:szCs w:val="24"/>
        </w:rPr>
        <w:lastRenderedPageBreak/>
        <w:t xml:space="preserve">In addition, the consequential changes to APS 115 reflect APRA’s recent incorporation of greater proportionality within the prudential framework by subjecting smaller and less complex entities to simpler requirements. APS 115 will apply to </w:t>
      </w:r>
      <w:r w:rsidR="00D146F9">
        <w:rPr>
          <w:rFonts w:ascii="Times New Roman" w:hAnsi="Times New Roman"/>
          <w:b w:val="0"/>
          <w:sz w:val="24"/>
          <w:szCs w:val="24"/>
        </w:rPr>
        <w:t>ADIs</w:t>
      </w:r>
      <w:r w:rsidR="00D146F9" w:rsidRPr="003F6B96">
        <w:rPr>
          <w:rFonts w:ascii="Times New Roman" w:hAnsi="Times New Roman"/>
          <w:b w:val="0"/>
          <w:sz w:val="24"/>
          <w:szCs w:val="24"/>
        </w:rPr>
        <w:t xml:space="preserve"> </w:t>
      </w:r>
      <w:r w:rsidRPr="003F6B96">
        <w:rPr>
          <w:rFonts w:ascii="Times New Roman" w:hAnsi="Times New Roman"/>
          <w:b w:val="0"/>
          <w:sz w:val="24"/>
          <w:szCs w:val="24"/>
        </w:rPr>
        <w:t xml:space="preserve">determined to be significant financial institutions (SFIs). </w:t>
      </w:r>
      <w:bookmarkStart w:id="5" w:name="_Hlk119424191"/>
      <w:r w:rsidR="00E920C3">
        <w:rPr>
          <w:rFonts w:ascii="Times New Roman" w:hAnsi="Times New Roman"/>
          <w:b w:val="0"/>
          <w:sz w:val="24"/>
          <w:szCs w:val="24"/>
        </w:rPr>
        <w:t xml:space="preserve">As defined in </w:t>
      </w:r>
      <w:r w:rsidR="00E920C3">
        <w:rPr>
          <w:rFonts w:ascii="Times New Roman" w:hAnsi="Times New Roman"/>
          <w:b w:val="0"/>
          <w:i/>
          <w:sz w:val="24"/>
          <w:szCs w:val="24"/>
        </w:rPr>
        <w:t>Prudential Standard APS 001 Definitions</w:t>
      </w:r>
      <w:r w:rsidR="00E920C3" w:rsidRPr="00FC237B">
        <w:rPr>
          <w:rFonts w:ascii="Times New Roman" w:hAnsi="Times New Roman"/>
          <w:b w:val="0"/>
          <w:sz w:val="24"/>
          <w:szCs w:val="24"/>
        </w:rPr>
        <w:t xml:space="preserve">, </w:t>
      </w:r>
      <w:r w:rsidR="00D146F9">
        <w:rPr>
          <w:rFonts w:ascii="Times New Roman" w:hAnsi="Times New Roman"/>
          <w:b w:val="0"/>
          <w:sz w:val="24"/>
          <w:szCs w:val="24"/>
        </w:rPr>
        <w:t xml:space="preserve">ADI </w:t>
      </w:r>
      <w:r w:rsidRPr="003F6B96">
        <w:rPr>
          <w:rFonts w:ascii="Times New Roman" w:hAnsi="Times New Roman"/>
          <w:b w:val="0"/>
          <w:sz w:val="24"/>
          <w:szCs w:val="24"/>
        </w:rPr>
        <w:t xml:space="preserve">SFIs are entities with assets above a certain size or entities determined as such by APRA, </w:t>
      </w:r>
      <w:proofErr w:type="gramStart"/>
      <w:r w:rsidRPr="003F6B96">
        <w:rPr>
          <w:rFonts w:ascii="Times New Roman" w:hAnsi="Times New Roman"/>
          <w:b w:val="0"/>
          <w:sz w:val="24"/>
          <w:szCs w:val="24"/>
        </w:rPr>
        <w:t>taking into account</w:t>
      </w:r>
      <w:proofErr w:type="gramEnd"/>
      <w:r w:rsidRPr="003F6B96">
        <w:rPr>
          <w:rFonts w:ascii="Times New Roman" w:hAnsi="Times New Roman"/>
          <w:b w:val="0"/>
          <w:sz w:val="24"/>
          <w:szCs w:val="24"/>
        </w:rPr>
        <w:t xml:space="preserve"> matters such as complexity and group membership.</w:t>
      </w:r>
      <w:bookmarkEnd w:id="5"/>
    </w:p>
    <w:p w14:paraId="6E9E2C8E" w14:textId="4B33E2B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A71EDF">
        <w:rPr>
          <w:rFonts w:ascii="Times New Roman" w:hAnsi="Times New Roman"/>
          <w:sz w:val="24"/>
          <w:szCs w:val="24"/>
        </w:rPr>
        <w:t>s</w:t>
      </w:r>
    </w:p>
    <w:p w14:paraId="451612A6" w14:textId="77777777" w:rsidR="00901714" w:rsidRDefault="003F6B96" w:rsidP="00E874F0">
      <w:pPr>
        <w:pStyle w:val="Heading"/>
        <w:keepNext/>
        <w:spacing w:after="240"/>
        <w:outlineLvl w:val="0"/>
        <w:rPr>
          <w:rFonts w:ascii="Times New Roman" w:hAnsi="Times New Roman"/>
          <w:b w:val="0"/>
          <w:sz w:val="24"/>
          <w:szCs w:val="24"/>
        </w:rPr>
      </w:pPr>
      <w:bookmarkStart w:id="6" w:name="_Hlk112080807"/>
      <w:r>
        <w:rPr>
          <w:rFonts w:ascii="Times New Roman" w:hAnsi="Times New Roman"/>
          <w:b w:val="0"/>
          <w:sz w:val="24"/>
          <w:szCs w:val="24"/>
        </w:rPr>
        <w:t>The purpose of the instruments is to revoke</w:t>
      </w:r>
      <w:r w:rsidR="00901714">
        <w:rPr>
          <w:rFonts w:ascii="Times New Roman" w:hAnsi="Times New Roman"/>
          <w:b w:val="0"/>
          <w:sz w:val="24"/>
          <w:szCs w:val="24"/>
        </w:rPr>
        <w:t>:</w:t>
      </w:r>
      <w:r>
        <w:rPr>
          <w:rFonts w:ascii="Times New Roman" w:hAnsi="Times New Roman"/>
          <w:b w:val="0"/>
          <w:sz w:val="24"/>
          <w:szCs w:val="24"/>
        </w:rPr>
        <w:t xml:space="preserve"> </w:t>
      </w:r>
    </w:p>
    <w:p w14:paraId="4EDE2058" w14:textId="4E3FB026" w:rsidR="00901714" w:rsidRDefault="003F6B96" w:rsidP="00901714">
      <w:pPr>
        <w:pStyle w:val="Heading"/>
        <w:keepNext/>
        <w:numPr>
          <w:ilvl w:val="0"/>
          <w:numId w:val="28"/>
        </w:numPr>
        <w:spacing w:after="240"/>
        <w:outlineLvl w:val="0"/>
        <w:rPr>
          <w:rFonts w:ascii="Times New Roman" w:hAnsi="Times New Roman"/>
          <w:b w:val="0"/>
          <w:sz w:val="24"/>
          <w:szCs w:val="24"/>
        </w:rPr>
      </w:pPr>
      <w:r>
        <w:rPr>
          <w:rFonts w:ascii="Times New Roman" w:hAnsi="Times New Roman"/>
          <w:b w:val="0"/>
          <w:sz w:val="24"/>
          <w:szCs w:val="24"/>
        </w:rPr>
        <w:t xml:space="preserve">APS 111, APS 116, </w:t>
      </w:r>
      <w:r w:rsidR="00901714">
        <w:rPr>
          <w:rFonts w:ascii="Times New Roman" w:hAnsi="Times New Roman"/>
          <w:b w:val="0"/>
          <w:sz w:val="24"/>
          <w:szCs w:val="24"/>
        </w:rPr>
        <w:t>APS 115 (</w:t>
      </w:r>
      <w:r w:rsidR="00901714" w:rsidRPr="00901714">
        <w:rPr>
          <w:rFonts w:ascii="Times New Roman" w:hAnsi="Times New Roman"/>
          <w:b w:val="0"/>
          <w:sz w:val="24"/>
          <w:szCs w:val="24"/>
        </w:rPr>
        <w:t>made under Banking (prudential standard) determination No. 6 of 2020</w:t>
      </w:r>
      <w:r w:rsidR="00901714">
        <w:rPr>
          <w:rFonts w:ascii="Times New Roman" w:hAnsi="Times New Roman"/>
          <w:b w:val="0"/>
          <w:sz w:val="24"/>
          <w:szCs w:val="24"/>
        </w:rPr>
        <w:t xml:space="preserve">), </w:t>
      </w:r>
      <w:r>
        <w:rPr>
          <w:rFonts w:ascii="Times New Roman" w:hAnsi="Times New Roman"/>
          <w:b w:val="0"/>
          <w:sz w:val="24"/>
          <w:szCs w:val="24"/>
        </w:rPr>
        <w:t>APS 120, APS 121, APS 180, APS 210, APS 220, APS 221</w:t>
      </w:r>
      <w:r w:rsidR="00901714">
        <w:rPr>
          <w:rFonts w:ascii="Times New Roman" w:hAnsi="Times New Roman"/>
          <w:b w:val="0"/>
          <w:sz w:val="24"/>
          <w:szCs w:val="24"/>
        </w:rPr>
        <w:t xml:space="preserve"> and</w:t>
      </w:r>
      <w:r>
        <w:rPr>
          <w:rFonts w:ascii="Times New Roman" w:hAnsi="Times New Roman"/>
          <w:b w:val="0"/>
          <w:sz w:val="24"/>
          <w:szCs w:val="24"/>
        </w:rPr>
        <w:t xml:space="preserve"> APS 310 and replace them with the </w:t>
      </w:r>
      <w:r w:rsidR="002E54B4">
        <w:rPr>
          <w:rFonts w:ascii="Times New Roman" w:hAnsi="Times New Roman"/>
          <w:b w:val="0"/>
          <w:sz w:val="24"/>
          <w:szCs w:val="24"/>
        </w:rPr>
        <w:t xml:space="preserve">corresponding </w:t>
      </w:r>
      <w:r>
        <w:rPr>
          <w:rFonts w:ascii="Times New Roman" w:hAnsi="Times New Roman"/>
          <w:b w:val="0"/>
          <w:sz w:val="24"/>
          <w:szCs w:val="24"/>
        </w:rPr>
        <w:t xml:space="preserve">new versions of </w:t>
      </w:r>
      <w:r w:rsidR="002E54B4">
        <w:rPr>
          <w:rFonts w:ascii="Times New Roman" w:hAnsi="Times New Roman"/>
          <w:b w:val="0"/>
          <w:sz w:val="24"/>
          <w:szCs w:val="24"/>
        </w:rPr>
        <w:t>the prudential standards incorporating the amendments</w:t>
      </w:r>
      <w:r w:rsidR="00901714">
        <w:rPr>
          <w:rFonts w:ascii="Times New Roman" w:hAnsi="Times New Roman"/>
          <w:b w:val="0"/>
          <w:sz w:val="24"/>
          <w:szCs w:val="24"/>
        </w:rPr>
        <w:t>; and</w:t>
      </w:r>
    </w:p>
    <w:p w14:paraId="7C90DB11" w14:textId="0C605A7D" w:rsidR="003F6B96" w:rsidRPr="003F6B96" w:rsidRDefault="00901714" w:rsidP="00444533">
      <w:pPr>
        <w:pStyle w:val="Heading"/>
        <w:keepNext/>
        <w:numPr>
          <w:ilvl w:val="0"/>
          <w:numId w:val="28"/>
        </w:numPr>
        <w:spacing w:after="240"/>
        <w:outlineLvl w:val="0"/>
        <w:rPr>
          <w:rFonts w:ascii="Times New Roman" w:hAnsi="Times New Roman"/>
          <w:b w:val="0"/>
          <w:sz w:val="24"/>
          <w:szCs w:val="24"/>
        </w:rPr>
      </w:pPr>
      <w:r>
        <w:rPr>
          <w:rFonts w:ascii="Times New Roman" w:hAnsi="Times New Roman"/>
          <w:b w:val="0"/>
          <w:sz w:val="24"/>
          <w:szCs w:val="24"/>
        </w:rPr>
        <w:t xml:space="preserve">APS 114 and APS 115 </w:t>
      </w:r>
      <w:r w:rsidR="00335AD4">
        <w:rPr>
          <w:rFonts w:ascii="Times New Roman" w:hAnsi="Times New Roman"/>
          <w:b w:val="0"/>
          <w:sz w:val="24"/>
          <w:szCs w:val="24"/>
        </w:rPr>
        <w:t>(</w:t>
      </w:r>
      <w:r w:rsidR="00335AD4" w:rsidRPr="00335AD4">
        <w:rPr>
          <w:rFonts w:ascii="Times New Roman" w:hAnsi="Times New Roman"/>
          <w:b w:val="0"/>
          <w:sz w:val="24"/>
          <w:szCs w:val="24"/>
        </w:rPr>
        <w:t>made under Banking (prudential standard) determination No. 8 of 2012</w:t>
      </w:r>
      <w:r w:rsidR="00335AD4">
        <w:rPr>
          <w:rFonts w:ascii="Times New Roman" w:hAnsi="Times New Roman"/>
          <w:b w:val="0"/>
          <w:sz w:val="24"/>
          <w:szCs w:val="24"/>
        </w:rPr>
        <w:t>) which are no longer relevant</w:t>
      </w:r>
      <w:r w:rsidR="003F6B96">
        <w:rPr>
          <w:rFonts w:ascii="Times New Roman" w:hAnsi="Times New Roman"/>
          <w:b w:val="0"/>
          <w:sz w:val="24"/>
          <w:szCs w:val="24"/>
        </w:rPr>
        <w:t>.</w:t>
      </w:r>
      <w:r w:rsidR="00254901">
        <w:rPr>
          <w:rFonts w:ascii="Times New Roman" w:hAnsi="Times New Roman"/>
          <w:b w:val="0"/>
          <w:sz w:val="24"/>
          <w:szCs w:val="24"/>
        </w:rPr>
        <w:t xml:space="preserve"> </w:t>
      </w:r>
    </w:p>
    <w:p w14:paraId="0D4C33E4" w14:textId="77777777" w:rsidR="00D2097F" w:rsidRDefault="000B4113" w:rsidP="00A83F47">
      <w:pPr>
        <w:pStyle w:val="Heading"/>
        <w:spacing w:after="240"/>
        <w:rPr>
          <w:rFonts w:ascii="Times New Roman" w:hAnsi="Times New Roman"/>
          <w:b w:val="0"/>
          <w:sz w:val="24"/>
          <w:szCs w:val="24"/>
        </w:rPr>
      </w:pPr>
      <w:r>
        <w:rPr>
          <w:rFonts w:ascii="Times New Roman" w:hAnsi="Times New Roman"/>
          <w:b w:val="0"/>
          <w:sz w:val="24"/>
          <w:szCs w:val="24"/>
        </w:rPr>
        <w:t xml:space="preserve">Where </w:t>
      </w:r>
      <w:r w:rsidR="00697DCA">
        <w:rPr>
          <w:rFonts w:ascii="Times New Roman" w:hAnsi="Times New Roman"/>
          <w:b w:val="0"/>
          <w:sz w:val="24"/>
          <w:szCs w:val="24"/>
        </w:rPr>
        <w:t xml:space="preserve">the </w:t>
      </w:r>
      <w:bookmarkEnd w:id="6"/>
      <w:r w:rsidR="00697DCA">
        <w:rPr>
          <w:rFonts w:ascii="Times New Roman" w:hAnsi="Times New Roman"/>
          <w:b w:val="0"/>
          <w:sz w:val="24"/>
          <w:szCs w:val="24"/>
        </w:rPr>
        <w:t>standards</w:t>
      </w:r>
      <w:r w:rsidR="0016033A">
        <w:rPr>
          <w:rFonts w:ascii="Times New Roman" w:hAnsi="Times New Roman"/>
          <w:b w:val="0"/>
          <w:sz w:val="24"/>
          <w:szCs w:val="24"/>
        </w:rPr>
        <w:t xml:space="preserve"> </w:t>
      </w:r>
      <w:r>
        <w:rPr>
          <w:rFonts w:ascii="Times New Roman" w:hAnsi="Times New Roman"/>
          <w:b w:val="0"/>
          <w:sz w:val="24"/>
          <w:szCs w:val="24"/>
        </w:rPr>
        <w:t>refer</w:t>
      </w:r>
      <w:r w:rsidR="00692825">
        <w:rPr>
          <w:rFonts w:ascii="Times New Roman" w:hAnsi="Times New Roman"/>
          <w:b w:val="0"/>
          <w:sz w:val="24"/>
          <w:szCs w:val="24"/>
        </w:rPr>
        <w:t xml:space="preserve"> to an Act, Regulation, </w:t>
      </w:r>
      <w:r w:rsidRPr="00195547">
        <w:rPr>
          <w:rFonts w:ascii="Times New Roman" w:hAnsi="Times New Roman"/>
          <w:b w:val="0"/>
          <w:sz w:val="24"/>
          <w:szCs w:val="24"/>
        </w:rPr>
        <w:t xml:space="preserve">prudential </w:t>
      </w:r>
      <w:proofErr w:type="gramStart"/>
      <w:r w:rsidRPr="00195547">
        <w:rPr>
          <w:rFonts w:ascii="Times New Roman" w:hAnsi="Times New Roman"/>
          <w:b w:val="0"/>
          <w:sz w:val="24"/>
          <w:szCs w:val="24"/>
        </w:rPr>
        <w:t>standard</w:t>
      </w:r>
      <w:proofErr w:type="gramEnd"/>
      <w:r w:rsidR="00692825">
        <w:rPr>
          <w:rFonts w:ascii="Times New Roman" w:hAnsi="Times New Roman"/>
          <w:b w:val="0"/>
          <w:sz w:val="24"/>
          <w:szCs w:val="24"/>
        </w:rPr>
        <w:t xml:space="preserve"> or Australian Accounting Standard</w:t>
      </w:r>
      <w:r w:rsidRPr="00195547">
        <w:rPr>
          <w:rFonts w:ascii="Times New Roman" w:hAnsi="Times New Roman"/>
          <w:b w:val="0"/>
          <w:sz w:val="24"/>
          <w:szCs w:val="24"/>
        </w:rPr>
        <w:t>, this is a reference to the document as it exists 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Pr>
          <w:rFonts w:ascii="Times New Roman" w:hAnsi="Times New Roman"/>
          <w:b w:val="0"/>
          <w:sz w:val="24"/>
          <w:szCs w:val="24"/>
        </w:rPr>
        <w:t xml:space="preserve">. </w:t>
      </w:r>
    </w:p>
    <w:p w14:paraId="315A354F" w14:textId="1F7419C6" w:rsidR="00D2097F" w:rsidRDefault="00D2097F" w:rsidP="00A83F47">
      <w:pPr>
        <w:pStyle w:val="Heading"/>
        <w:spacing w:after="240"/>
        <w:rPr>
          <w:rFonts w:ascii="Times New Roman" w:hAnsi="Times New Roman"/>
          <w:b w:val="0"/>
          <w:sz w:val="24"/>
          <w:szCs w:val="24"/>
        </w:rPr>
      </w:pPr>
      <w:r>
        <w:rPr>
          <w:rFonts w:ascii="Times New Roman" w:hAnsi="Times New Roman"/>
          <w:b w:val="0"/>
          <w:sz w:val="24"/>
          <w:szCs w:val="24"/>
        </w:rPr>
        <w:t xml:space="preserve">APS 111 </w:t>
      </w:r>
      <w:r w:rsidR="00EA1A7D">
        <w:rPr>
          <w:rFonts w:ascii="Times New Roman" w:hAnsi="Times New Roman"/>
          <w:b w:val="0"/>
          <w:sz w:val="24"/>
          <w:szCs w:val="24"/>
        </w:rPr>
        <w:t xml:space="preserve">incorporates by reference </w:t>
      </w:r>
      <w:r>
        <w:rPr>
          <w:rFonts w:ascii="Times New Roman" w:hAnsi="Times New Roman"/>
          <w:b w:val="0"/>
          <w:sz w:val="24"/>
          <w:szCs w:val="24"/>
        </w:rPr>
        <w:t xml:space="preserve">the </w:t>
      </w:r>
      <w:r w:rsidRPr="009418C9">
        <w:rPr>
          <w:rFonts w:ascii="Times New Roman" w:hAnsi="Times New Roman"/>
          <w:b w:val="0"/>
          <w:i/>
          <w:sz w:val="24"/>
          <w:szCs w:val="24"/>
        </w:rPr>
        <w:t>Principles on Loss-absorbing and Recapitalisation Capacity of G-SIBs in Resolution</w:t>
      </w:r>
      <w:r>
        <w:rPr>
          <w:rFonts w:ascii="Times New Roman" w:hAnsi="Times New Roman"/>
          <w:b w:val="0"/>
          <w:sz w:val="24"/>
          <w:szCs w:val="24"/>
        </w:rPr>
        <w:t xml:space="preserve"> issued by the Financial Stability Board on 9 November 2015.</w:t>
      </w:r>
      <w:r w:rsidR="00EA1A7D">
        <w:rPr>
          <w:rFonts w:ascii="Times New Roman" w:hAnsi="Times New Roman"/>
          <w:b w:val="0"/>
          <w:sz w:val="24"/>
          <w:szCs w:val="24"/>
        </w:rPr>
        <w:t xml:space="preserve"> This document is available at:</w:t>
      </w:r>
      <w:r w:rsidR="00EA1A7D" w:rsidRPr="00EA1A7D">
        <w:rPr>
          <w:rFonts w:ascii="Times New Roman" w:hAnsi="Times New Roman"/>
          <w:b w:val="0"/>
          <w:sz w:val="24"/>
          <w:szCs w:val="24"/>
        </w:rPr>
        <w:t xml:space="preserve"> </w:t>
      </w:r>
      <w:hyperlink r:id="rId14" w:history="1">
        <w:r w:rsidR="00EA1A7D" w:rsidRPr="00EA1A7D">
          <w:rPr>
            <w:rStyle w:val="Hyperlink"/>
            <w:rFonts w:ascii="Times New Roman" w:hAnsi="Times New Roman"/>
            <w:b w:val="0"/>
            <w:sz w:val="24"/>
            <w:szCs w:val="24"/>
          </w:rPr>
          <w:t>Total Loss-Absorbing Capacity (TLAC) Principles and Term Sheet - Financial Stability Board (fsb.org)</w:t>
        </w:r>
      </w:hyperlink>
    </w:p>
    <w:p w14:paraId="15176B91" w14:textId="230BEA10" w:rsidR="009120F1" w:rsidRDefault="009120F1" w:rsidP="00A83F47">
      <w:pPr>
        <w:pStyle w:val="Heading"/>
        <w:spacing w:after="240"/>
        <w:rPr>
          <w:rFonts w:ascii="Times New Roman" w:hAnsi="Times New Roman"/>
          <w:b w:val="0"/>
          <w:sz w:val="24"/>
          <w:szCs w:val="24"/>
        </w:rPr>
      </w:pPr>
      <w:r>
        <w:rPr>
          <w:rFonts w:ascii="Times New Roman" w:hAnsi="Times New Roman"/>
          <w:b w:val="0"/>
          <w:sz w:val="24"/>
          <w:szCs w:val="24"/>
        </w:rPr>
        <w:t xml:space="preserve">APS 180 </w:t>
      </w:r>
      <w:r w:rsidR="00AF08A3">
        <w:rPr>
          <w:rFonts w:ascii="Times New Roman" w:hAnsi="Times New Roman"/>
          <w:b w:val="0"/>
          <w:sz w:val="24"/>
          <w:szCs w:val="24"/>
        </w:rPr>
        <w:t xml:space="preserve">incorporates by reference </w:t>
      </w:r>
      <w:r>
        <w:rPr>
          <w:rFonts w:ascii="Times New Roman" w:hAnsi="Times New Roman"/>
          <w:b w:val="0"/>
          <w:sz w:val="24"/>
          <w:szCs w:val="24"/>
        </w:rPr>
        <w:t xml:space="preserve">the </w:t>
      </w:r>
      <w:r w:rsidR="00304DD4">
        <w:rPr>
          <w:rFonts w:ascii="Times New Roman" w:hAnsi="Times New Roman"/>
          <w:b w:val="0"/>
          <w:sz w:val="24"/>
          <w:szCs w:val="24"/>
        </w:rPr>
        <w:t xml:space="preserve">Committee on Payments and Market Infrastructures and International Organization of Securities Commission’s </w:t>
      </w:r>
      <w:r w:rsidRPr="009120F1">
        <w:rPr>
          <w:rFonts w:ascii="Times New Roman" w:hAnsi="Times New Roman"/>
          <w:b w:val="0"/>
          <w:i/>
          <w:sz w:val="24"/>
          <w:szCs w:val="24"/>
        </w:rPr>
        <w:t xml:space="preserve">Principles for Financial </w:t>
      </w:r>
      <w:r w:rsidRPr="00802C53">
        <w:rPr>
          <w:rFonts w:ascii="Times New Roman" w:hAnsi="Times New Roman"/>
          <w:b w:val="0"/>
          <w:i/>
          <w:sz w:val="24"/>
          <w:szCs w:val="24"/>
        </w:rPr>
        <w:t>Market Infrastructures</w:t>
      </w:r>
      <w:r w:rsidR="007D0C1B">
        <w:rPr>
          <w:rFonts w:ascii="Times New Roman" w:hAnsi="Times New Roman"/>
          <w:b w:val="0"/>
          <w:sz w:val="24"/>
          <w:szCs w:val="24"/>
        </w:rPr>
        <w:t xml:space="preserve"> </w:t>
      </w:r>
      <w:r w:rsidR="007D0C1B" w:rsidRPr="00DA2FD4">
        <w:rPr>
          <w:rFonts w:ascii="Times New Roman" w:hAnsi="Times New Roman"/>
          <w:b w:val="0"/>
          <w:sz w:val="24"/>
          <w:szCs w:val="24"/>
        </w:rPr>
        <w:t>(</w:t>
      </w:r>
      <w:r w:rsidR="007D0C1B" w:rsidRPr="00444533">
        <w:rPr>
          <w:rFonts w:ascii="Times New Roman" w:hAnsi="Times New Roman"/>
          <w:b w:val="0"/>
          <w:sz w:val="24"/>
          <w:szCs w:val="24"/>
        </w:rPr>
        <w:t>CPMI-IOSCO Principles</w:t>
      </w:r>
      <w:r w:rsidR="007D0C1B" w:rsidRPr="00DA2FD4">
        <w:rPr>
          <w:rFonts w:ascii="Times New Roman" w:hAnsi="Times New Roman"/>
          <w:b w:val="0"/>
          <w:sz w:val="24"/>
          <w:szCs w:val="24"/>
        </w:rPr>
        <w:t>)</w:t>
      </w:r>
      <w:r w:rsidRPr="00802C53">
        <w:rPr>
          <w:rFonts w:ascii="Times New Roman" w:hAnsi="Times New Roman"/>
          <w:b w:val="0"/>
          <w:sz w:val="24"/>
          <w:szCs w:val="24"/>
        </w:rPr>
        <w:t xml:space="preserve"> as </w:t>
      </w:r>
      <w:r w:rsidR="004E7007">
        <w:rPr>
          <w:rFonts w:ascii="Times New Roman" w:hAnsi="Times New Roman"/>
          <w:b w:val="0"/>
          <w:sz w:val="24"/>
          <w:szCs w:val="24"/>
        </w:rPr>
        <w:t>it</w:t>
      </w:r>
      <w:r w:rsidRPr="00802C53">
        <w:rPr>
          <w:rFonts w:ascii="Times New Roman" w:hAnsi="Times New Roman"/>
          <w:b w:val="0"/>
          <w:sz w:val="24"/>
          <w:szCs w:val="24"/>
        </w:rPr>
        <w:t xml:space="preserve"> exist</w:t>
      </w:r>
      <w:r w:rsidR="004E7007">
        <w:rPr>
          <w:rFonts w:ascii="Times New Roman" w:hAnsi="Times New Roman"/>
          <w:b w:val="0"/>
          <w:sz w:val="24"/>
          <w:szCs w:val="24"/>
        </w:rPr>
        <w:t>s</w:t>
      </w:r>
      <w:r w:rsidRPr="00802C53">
        <w:rPr>
          <w:rFonts w:ascii="Times New Roman" w:hAnsi="Times New Roman"/>
          <w:b w:val="0"/>
          <w:sz w:val="24"/>
          <w:szCs w:val="24"/>
        </w:rPr>
        <w:t xml:space="preserve"> from time to time</w:t>
      </w:r>
      <w:r w:rsidR="007D0C1B">
        <w:rPr>
          <w:rFonts w:ascii="Times New Roman" w:hAnsi="Times New Roman"/>
          <w:b w:val="0"/>
          <w:sz w:val="24"/>
          <w:szCs w:val="24"/>
        </w:rPr>
        <w:t xml:space="preserve">. Under APS 180, the calculation of the capital charge to be applied to exposures to a central counterparty (CCP) is dependent on whether the CCP is treated as a qualifying CCP or a non-qualifying CCP. Whether </w:t>
      </w:r>
      <w:r w:rsidR="00DA2FD4">
        <w:rPr>
          <w:rFonts w:ascii="Times New Roman" w:hAnsi="Times New Roman"/>
          <w:b w:val="0"/>
          <w:sz w:val="24"/>
          <w:szCs w:val="24"/>
        </w:rPr>
        <w:t xml:space="preserve">a CCP is a qualifying CCP involves a question of fact, which is dependent on whether the CCP is subject to rules and regulations that are consistent with the CPMI-IOSCO Principles, rather than an application of the CPMI-IOSCO Principles. The </w:t>
      </w:r>
      <w:r w:rsidR="00DA2FD4" w:rsidRPr="00B132CB">
        <w:rPr>
          <w:rFonts w:ascii="Times New Roman" w:hAnsi="Times New Roman"/>
          <w:b w:val="0"/>
          <w:sz w:val="24"/>
          <w:szCs w:val="24"/>
        </w:rPr>
        <w:t>CPMI-IOSCO Principles</w:t>
      </w:r>
      <w:r w:rsidR="00DA2FD4">
        <w:rPr>
          <w:rFonts w:ascii="Times New Roman" w:hAnsi="Times New Roman"/>
          <w:b w:val="0"/>
          <w:sz w:val="24"/>
          <w:szCs w:val="24"/>
        </w:rPr>
        <w:t xml:space="preserve"> are not intended to be incorporated into APS </w:t>
      </w:r>
      <w:proofErr w:type="gramStart"/>
      <w:r w:rsidR="00DA2FD4">
        <w:rPr>
          <w:rFonts w:ascii="Times New Roman" w:hAnsi="Times New Roman"/>
          <w:b w:val="0"/>
          <w:sz w:val="24"/>
          <w:szCs w:val="24"/>
        </w:rPr>
        <w:t>180, and</w:t>
      </w:r>
      <w:proofErr w:type="gramEnd"/>
      <w:r w:rsidR="00DA2FD4">
        <w:rPr>
          <w:rFonts w:ascii="Times New Roman" w:hAnsi="Times New Roman"/>
          <w:b w:val="0"/>
          <w:sz w:val="24"/>
          <w:szCs w:val="24"/>
        </w:rPr>
        <w:t xml:space="preserve"> are </w:t>
      </w:r>
      <w:r w:rsidRPr="00802C53">
        <w:rPr>
          <w:rFonts w:ascii="Times New Roman" w:hAnsi="Times New Roman"/>
          <w:b w:val="0"/>
          <w:sz w:val="24"/>
          <w:szCs w:val="24"/>
        </w:rPr>
        <w:t xml:space="preserve">freely available </w:t>
      </w:r>
      <w:r w:rsidR="00802C53" w:rsidRPr="00802C53">
        <w:rPr>
          <w:rFonts w:ascii="Times New Roman" w:hAnsi="Times New Roman"/>
          <w:b w:val="0"/>
          <w:sz w:val="24"/>
          <w:szCs w:val="24"/>
        </w:rPr>
        <w:t xml:space="preserve">at </w:t>
      </w:r>
      <w:hyperlink r:id="rId15" w:history="1">
        <w:r w:rsidR="00802C53" w:rsidRPr="00802C53">
          <w:rPr>
            <w:rStyle w:val="Hyperlink"/>
            <w:rFonts w:ascii="Times New Roman" w:hAnsi="Times New Roman"/>
            <w:b w:val="0"/>
            <w:sz w:val="24"/>
            <w:szCs w:val="24"/>
          </w:rPr>
          <w:t>https://www.bis.org/cpmi/info_pfmi.htm</w:t>
        </w:r>
      </w:hyperlink>
      <w:r w:rsidR="00FB60CD">
        <w:rPr>
          <w:rFonts w:ascii="Times New Roman" w:hAnsi="Times New Roman"/>
          <w:b w:val="0"/>
          <w:sz w:val="24"/>
          <w:szCs w:val="24"/>
        </w:rPr>
        <w:t>.</w:t>
      </w:r>
    </w:p>
    <w:p w14:paraId="5E83945C" w14:textId="04A102FD" w:rsidR="00551316" w:rsidRDefault="00551316" w:rsidP="00A71EDF">
      <w:pPr>
        <w:spacing w:after="240"/>
        <w:jc w:val="both"/>
        <w:rPr>
          <w:rFonts w:ascii="Times New Roman" w:hAnsi="Times New Roman"/>
          <w:sz w:val="24"/>
          <w:szCs w:val="24"/>
        </w:rPr>
      </w:pPr>
      <w:r>
        <w:rPr>
          <w:rFonts w:ascii="Times New Roman" w:hAnsi="Times New Roman"/>
          <w:sz w:val="24"/>
          <w:szCs w:val="24"/>
        </w:rPr>
        <w:t xml:space="preserve">APS 210 incorporates by reference the Basel III leverage ratio framework and disclosure requirements as set out by the Basel Committee on Banking Supervision in </w:t>
      </w:r>
      <w:r w:rsidRPr="00551316">
        <w:rPr>
          <w:rFonts w:ascii="Times New Roman" w:hAnsi="Times New Roman"/>
          <w:i/>
          <w:sz w:val="24"/>
          <w:szCs w:val="24"/>
        </w:rPr>
        <w:t>Basel III leverage ratio framework and disclosure requirements</w:t>
      </w:r>
      <w:r>
        <w:rPr>
          <w:rFonts w:ascii="Times New Roman" w:hAnsi="Times New Roman"/>
          <w:sz w:val="24"/>
          <w:szCs w:val="24"/>
        </w:rPr>
        <w:t xml:space="preserve"> as it exists </w:t>
      </w:r>
      <w:proofErr w:type="gramStart"/>
      <w:r>
        <w:rPr>
          <w:rFonts w:ascii="Times New Roman" w:hAnsi="Times New Roman"/>
          <w:sz w:val="24"/>
          <w:szCs w:val="24"/>
        </w:rPr>
        <w:t>at</w:t>
      </w:r>
      <w:proofErr w:type="gramEnd"/>
      <w:r>
        <w:rPr>
          <w:rFonts w:ascii="Times New Roman" w:hAnsi="Times New Roman"/>
          <w:sz w:val="24"/>
          <w:szCs w:val="24"/>
        </w:rPr>
        <w:t xml:space="preserve"> 12 January 2014. This document is available at </w:t>
      </w:r>
      <w:hyperlink r:id="rId16" w:history="1">
        <w:r w:rsidRPr="007969DD">
          <w:rPr>
            <w:rStyle w:val="Hyperlink"/>
            <w:rFonts w:ascii="Times New Roman" w:hAnsi="Times New Roman"/>
            <w:sz w:val="24"/>
            <w:szCs w:val="24"/>
          </w:rPr>
          <w:t>http://www.bis.org/publ/bcbs270.htm</w:t>
        </w:r>
      </w:hyperlink>
      <w:r>
        <w:rPr>
          <w:rFonts w:ascii="Times New Roman" w:hAnsi="Times New Roman"/>
          <w:sz w:val="24"/>
          <w:szCs w:val="24"/>
        </w:rPr>
        <w:t xml:space="preserve">. </w:t>
      </w:r>
    </w:p>
    <w:p w14:paraId="2FFC4568" w14:textId="1917FF0D" w:rsidR="00AF08A3" w:rsidRDefault="00AF08A3" w:rsidP="00A71EDF">
      <w:pPr>
        <w:spacing w:after="240"/>
        <w:jc w:val="both"/>
        <w:rPr>
          <w:rFonts w:ascii="Times New Roman" w:hAnsi="Times New Roman"/>
          <w:sz w:val="24"/>
          <w:szCs w:val="24"/>
        </w:rPr>
      </w:pPr>
      <w:r>
        <w:rPr>
          <w:rFonts w:ascii="Times New Roman" w:hAnsi="Times New Roman"/>
          <w:sz w:val="24"/>
          <w:szCs w:val="24"/>
        </w:rPr>
        <w:t xml:space="preserve">APS 221 incorporates by reference APRA’s Information Paper: Domestic systemically </w:t>
      </w:r>
      <w:r w:rsidRPr="00AF08A3">
        <w:rPr>
          <w:rFonts w:ascii="Times New Roman" w:hAnsi="Times New Roman"/>
          <w:sz w:val="24"/>
          <w:szCs w:val="24"/>
        </w:rPr>
        <w:t xml:space="preserve">important banks in Australia as </w:t>
      </w:r>
      <w:proofErr w:type="gramStart"/>
      <w:r w:rsidRPr="00AF08A3">
        <w:rPr>
          <w:rFonts w:ascii="Times New Roman" w:hAnsi="Times New Roman"/>
          <w:sz w:val="24"/>
          <w:szCs w:val="24"/>
        </w:rPr>
        <w:t>at</w:t>
      </w:r>
      <w:proofErr w:type="gramEnd"/>
      <w:r w:rsidRPr="00AF08A3">
        <w:rPr>
          <w:rFonts w:ascii="Times New Roman" w:hAnsi="Times New Roman"/>
          <w:sz w:val="24"/>
          <w:szCs w:val="24"/>
        </w:rPr>
        <w:t xml:space="preserve"> 23 December 2013. The paper is available at </w:t>
      </w:r>
      <w:hyperlink r:id="rId17" w:history="1">
        <w:r w:rsidRPr="00AF08A3">
          <w:rPr>
            <w:rStyle w:val="Hyperlink"/>
            <w:rFonts w:ascii="Times New Roman" w:hAnsi="Times New Roman"/>
            <w:sz w:val="24"/>
            <w:szCs w:val="24"/>
          </w:rPr>
          <w:t>APRA releases framework for domestic systemically important banks in Australia | APRA</w:t>
        </w:r>
      </w:hyperlink>
      <w:r>
        <w:t xml:space="preserve">. </w:t>
      </w:r>
    </w:p>
    <w:p w14:paraId="752CFDF8" w14:textId="74AE51C3" w:rsidR="00A71EDF" w:rsidRDefault="00697DCA" w:rsidP="00A71EDF">
      <w:pPr>
        <w:spacing w:after="240"/>
        <w:jc w:val="both"/>
        <w:rPr>
          <w:rFonts w:ascii="Times New Roman" w:hAnsi="Times New Roman"/>
          <w:sz w:val="24"/>
          <w:szCs w:val="24"/>
        </w:rPr>
      </w:pPr>
      <w:r>
        <w:rPr>
          <w:rFonts w:ascii="Times New Roman" w:hAnsi="Times New Roman"/>
          <w:sz w:val="24"/>
          <w:szCs w:val="24"/>
        </w:rPr>
        <w:lastRenderedPageBreak/>
        <w:t xml:space="preserve">The </w:t>
      </w:r>
      <w:r w:rsidR="00941494">
        <w:rPr>
          <w:rFonts w:ascii="Times New Roman" w:hAnsi="Times New Roman"/>
          <w:sz w:val="24"/>
          <w:szCs w:val="24"/>
        </w:rPr>
        <w:t xml:space="preserve">prudential </w:t>
      </w:r>
      <w:r>
        <w:rPr>
          <w:rFonts w:ascii="Times New Roman" w:hAnsi="Times New Roman"/>
          <w:sz w:val="24"/>
          <w:szCs w:val="24"/>
        </w:rPr>
        <w:t>standards</w:t>
      </w:r>
      <w:r w:rsidR="0016033A">
        <w:rPr>
          <w:rFonts w:ascii="Times New Roman" w:hAnsi="Times New Roman"/>
          <w:sz w:val="24"/>
          <w:szCs w:val="24"/>
        </w:rPr>
        <w:t xml:space="preserve"> </w:t>
      </w:r>
      <w:r w:rsidR="004A0949">
        <w:rPr>
          <w:rFonts w:ascii="Times New Roman" w:hAnsi="Times New Roman"/>
          <w:sz w:val="24"/>
          <w:szCs w:val="24"/>
        </w:rPr>
        <w:t xml:space="preserve">provide for APRA to exercise various discretions. </w:t>
      </w:r>
      <w:r w:rsidR="004A0949" w:rsidRPr="004A0949">
        <w:rPr>
          <w:rFonts w:ascii="Times New Roman" w:hAnsi="Times New Roman"/>
          <w:sz w:val="24"/>
          <w:szCs w:val="24"/>
        </w:rPr>
        <w:t>Decisions made by APRA exercising those discretions are not subject to merits review. This is because these decisions are preliminary decisions that may facilitate or lead to substantive decisions which are subject to merits review.</w:t>
      </w:r>
    </w:p>
    <w:p w14:paraId="7A5F8F5C" w14:textId="4F9F8DA0" w:rsidR="00A67708" w:rsidRDefault="003159B0" w:rsidP="00A67708">
      <w:pPr>
        <w:pStyle w:val="Heading"/>
        <w:spacing w:after="240"/>
        <w:rPr>
          <w:rFonts w:ascii="Times New Roman" w:hAnsi="Times New Roman"/>
          <w:b w:val="0"/>
          <w:sz w:val="24"/>
          <w:szCs w:val="24"/>
        </w:rPr>
      </w:pPr>
      <w:r>
        <w:rPr>
          <w:rFonts w:ascii="Times New Roman" w:hAnsi="Times New Roman"/>
          <w:b w:val="0"/>
          <w:sz w:val="24"/>
          <w:szCs w:val="24"/>
        </w:rPr>
        <w:t>A</w:t>
      </w:r>
      <w:r w:rsidR="00D14060" w:rsidRPr="00A67708">
        <w:rPr>
          <w:rFonts w:ascii="Times New Roman" w:hAnsi="Times New Roman"/>
          <w:b w:val="0"/>
          <w:sz w:val="24"/>
          <w:szCs w:val="24"/>
        </w:rPr>
        <w:t xml:space="preserve"> breach of a prudential standard is </w:t>
      </w:r>
      <w:r>
        <w:rPr>
          <w:rFonts w:ascii="Times New Roman" w:hAnsi="Times New Roman"/>
          <w:b w:val="0"/>
          <w:sz w:val="24"/>
          <w:szCs w:val="24"/>
        </w:rPr>
        <w:t xml:space="preserve">also </w:t>
      </w:r>
      <w:r w:rsidR="00D14060" w:rsidRPr="00A67708">
        <w:rPr>
          <w:rFonts w:ascii="Times New Roman" w:hAnsi="Times New Roman"/>
          <w:b w:val="0"/>
          <w:sz w:val="24"/>
          <w:szCs w:val="24"/>
        </w:rPr>
        <w:t xml:space="preserve">a breach of the </w:t>
      </w:r>
      <w:r>
        <w:rPr>
          <w:rFonts w:ascii="Times New Roman" w:hAnsi="Times New Roman"/>
          <w:b w:val="0"/>
          <w:sz w:val="24"/>
          <w:szCs w:val="24"/>
        </w:rPr>
        <w:t>Act</w:t>
      </w:r>
      <w:r w:rsidR="00D14060" w:rsidRPr="00A67708">
        <w:rPr>
          <w:rFonts w:ascii="Times New Roman" w:hAnsi="Times New Roman"/>
          <w:b w:val="0"/>
          <w:sz w:val="24"/>
          <w:szCs w:val="24"/>
        </w:rPr>
        <w:t xml:space="preserve">, as </w:t>
      </w:r>
      <w:r>
        <w:rPr>
          <w:rFonts w:ascii="Times New Roman" w:hAnsi="Times New Roman"/>
          <w:b w:val="0"/>
          <w:sz w:val="24"/>
          <w:szCs w:val="24"/>
        </w:rPr>
        <w:t xml:space="preserve">the </w:t>
      </w:r>
      <w:r w:rsidR="00D14060" w:rsidRPr="00A67708">
        <w:rPr>
          <w:rFonts w:ascii="Times New Roman" w:hAnsi="Times New Roman"/>
          <w:b w:val="0"/>
          <w:sz w:val="24"/>
          <w:szCs w:val="24"/>
        </w:rPr>
        <w:t>Act provides that regulated entities must comply with the standard. However</w:t>
      </w:r>
      <w:r w:rsidR="001B6449" w:rsidRPr="00A67708">
        <w:rPr>
          <w:rFonts w:ascii="Times New Roman" w:hAnsi="Times New Roman"/>
          <w:b w:val="0"/>
          <w:sz w:val="24"/>
          <w:szCs w:val="24"/>
        </w:rPr>
        <w:t>,</w:t>
      </w:r>
      <w:r w:rsidR="00D14060" w:rsidRPr="00A67708">
        <w:rPr>
          <w:rFonts w:ascii="Times New Roman" w:hAnsi="Times New Roman"/>
          <w:b w:val="0"/>
          <w:sz w:val="24"/>
          <w:szCs w:val="24"/>
        </w:rPr>
        <w:t xml:space="preserve"> there are no penalties prescribed for </w:t>
      </w:r>
      <w:r>
        <w:rPr>
          <w:rFonts w:ascii="Times New Roman" w:hAnsi="Times New Roman"/>
          <w:b w:val="0"/>
          <w:sz w:val="24"/>
          <w:szCs w:val="24"/>
        </w:rPr>
        <w:t xml:space="preserve">such </w:t>
      </w:r>
      <w:r w:rsidR="00D14060" w:rsidRPr="00A67708">
        <w:rPr>
          <w:rFonts w:ascii="Times New Roman" w:hAnsi="Times New Roman"/>
          <w:b w:val="0"/>
          <w:sz w:val="24"/>
          <w:szCs w:val="24"/>
        </w:rPr>
        <w:t>breach</w:t>
      </w:r>
      <w:r>
        <w:rPr>
          <w:rFonts w:ascii="Times New Roman" w:hAnsi="Times New Roman"/>
          <w:b w:val="0"/>
          <w:sz w:val="24"/>
          <w:szCs w:val="24"/>
        </w:rPr>
        <w:t>es</w:t>
      </w:r>
      <w:r w:rsidR="00A67708" w:rsidRPr="00A67708">
        <w:rPr>
          <w:rFonts w:ascii="Times New Roman" w:hAnsi="Times New Roman"/>
          <w:b w:val="0"/>
          <w:sz w:val="24"/>
          <w:szCs w:val="24"/>
        </w:rPr>
        <w:t>.</w:t>
      </w:r>
      <w:r w:rsidR="00D14060" w:rsidRPr="00D14060">
        <w:rPr>
          <w:rFonts w:ascii="Times New Roman" w:hAnsi="Times New Roman"/>
          <w:sz w:val="24"/>
          <w:szCs w:val="24"/>
        </w:rPr>
        <w:t xml:space="preserve"> </w:t>
      </w:r>
      <w:r w:rsidR="00A67708">
        <w:rPr>
          <w:rFonts w:ascii="Times New Roman" w:hAnsi="Times New Roman"/>
          <w:b w:val="0"/>
          <w:sz w:val="24"/>
          <w:szCs w:val="24"/>
        </w:rPr>
        <w:t xml:space="preserve">Instead, </w:t>
      </w:r>
      <w:r>
        <w:rPr>
          <w:rFonts w:ascii="Times New Roman" w:hAnsi="Times New Roman"/>
          <w:b w:val="0"/>
          <w:sz w:val="24"/>
          <w:szCs w:val="24"/>
        </w:rPr>
        <w:t xml:space="preserve">an ADI’s </w:t>
      </w:r>
      <w:r w:rsidR="00A67708">
        <w:rPr>
          <w:rFonts w:ascii="Times New Roman" w:hAnsi="Times New Roman"/>
          <w:b w:val="0"/>
          <w:sz w:val="24"/>
          <w:szCs w:val="24"/>
        </w:rPr>
        <w:t xml:space="preserve">breach of a provision in the Act is grounds for APRA to make further, substantive decisions under the Act in relation to the ADI. Those decisions are: </w:t>
      </w:r>
    </w:p>
    <w:p w14:paraId="3F0BBD86"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Act); and</w:t>
      </w:r>
    </w:p>
    <w:p w14:paraId="40729652"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 (section 11CA of the Act).</w:t>
      </w:r>
    </w:p>
    <w:p w14:paraId="5B2E2B2F" w14:textId="212DE8BF" w:rsidR="00A67708" w:rsidRDefault="00A67708" w:rsidP="00A67708">
      <w:pPr>
        <w:spacing w:after="240"/>
        <w:jc w:val="both"/>
        <w:rPr>
          <w:rFonts w:ascii="Times New Roman" w:hAnsi="Times New Roman"/>
          <w:sz w:val="24"/>
          <w:szCs w:val="24"/>
        </w:rPr>
      </w:pPr>
      <w:r>
        <w:rPr>
          <w:rFonts w:ascii="Times New Roman" w:hAnsi="Times New Roman"/>
          <w:sz w:val="24"/>
          <w:szCs w:val="24"/>
        </w:rPr>
        <w:t>It is only at this stage that an ADI is exposed to a penalty: loss of its authority under section 9A or 50 penalty units if it breaches the direction (section 11CG of the Act). In nearly all cases</w:t>
      </w:r>
      <w:r>
        <w:rPr>
          <w:rStyle w:val="FootnoteReference"/>
          <w:rFonts w:ascii="Times New Roman" w:hAnsi="Times New Roman"/>
          <w:sz w:val="24"/>
          <w:szCs w:val="24"/>
        </w:rPr>
        <w:footnoteReference w:id="2"/>
      </w:r>
      <w:r>
        <w:rPr>
          <w:rFonts w:ascii="Times New Roman" w:hAnsi="Times New Roman"/>
          <w:sz w:val="24"/>
          <w:szCs w:val="24"/>
        </w:rPr>
        <w:t xml:space="preserve"> the decision is preceded by a full consultation with the ADI to raise any concerns it may have in relation to the decision.</w:t>
      </w:r>
    </w:p>
    <w:p w14:paraId="5B011D00" w14:textId="77777777" w:rsidR="00ED3FAE" w:rsidRDefault="00ED3FAE" w:rsidP="00ED3FAE">
      <w:pPr>
        <w:spacing w:after="240"/>
        <w:jc w:val="both"/>
        <w:rPr>
          <w:rFonts w:ascii="Times New Roman" w:hAnsi="Times New Roman"/>
          <w:sz w:val="24"/>
          <w:szCs w:val="24"/>
        </w:rPr>
      </w:pPr>
      <w:r>
        <w:rPr>
          <w:rFonts w:ascii="Times New Roman" w:hAnsi="Times New Roman"/>
          <w:sz w:val="24"/>
          <w:szCs w:val="24"/>
        </w:rPr>
        <w:t xml:space="preserve">A </w:t>
      </w:r>
      <w:r w:rsidRPr="000E76C9">
        <w:rPr>
          <w:rFonts w:ascii="Times New Roman" w:hAnsi="Times New Roman"/>
          <w:sz w:val="24"/>
          <w:szCs w:val="24"/>
        </w:rPr>
        <w:t xml:space="preserve">decision of APRA to impose a direction </w:t>
      </w:r>
      <w:r>
        <w:rPr>
          <w:rFonts w:ascii="Times New Roman" w:hAnsi="Times New Roman"/>
          <w:sz w:val="24"/>
          <w:szCs w:val="24"/>
        </w:rPr>
        <w:t xml:space="preserve">is </w:t>
      </w:r>
      <w:r w:rsidRPr="000E76C9">
        <w:rPr>
          <w:rFonts w:ascii="Times New Roman" w:hAnsi="Times New Roman"/>
          <w:sz w:val="24"/>
          <w:szCs w:val="24"/>
        </w:rPr>
        <w:t xml:space="preserve">subject to merits review </w:t>
      </w:r>
      <w:r>
        <w:rPr>
          <w:rFonts w:ascii="Times New Roman" w:hAnsi="Times New Roman"/>
          <w:sz w:val="24"/>
          <w:szCs w:val="24"/>
        </w:rPr>
        <w:t xml:space="preserve">under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 xml:space="preserve">Act, which is appropriately available at the point where an </w:t>
      </w:r>
      <w:r>
        <w:rPr>
          <w:rFonts w:ascii="Times New Roman" w:hAnsi="Times New Roman"/>
          <w:sz w:val="24"/>
          <w:szCs w:val="24"/>
        </w:rPr>
        <w:t>ADI</w:t>
      </w:r>
      <w:r w:rsidRPr="000E76C9">
        <w:rPr>
          <w:rFonts w:ascii="Times New Roman" w:hAnsi="Times New Roman"/>
          <w:sz w:val="24"/>
          <w:szCs w:val="24"/>
        </w:rPr>
        <w:t xml:space="preserve"> could be exposed to a penalty.</w:t>
      </w:r>
    </w:p>
    <w:p w14:paraId="54C26DED" w14:textId="7234C796" w:rsidR="00ED3FAE" w:rsidRDefault="00ED3FAE" w:rsidP="00ED3FAE">
      <w:pPr>
        <w:spacing w:after="240"/>
        <w:jc w:val="both"/>
        <w:rPr>
          <w:rFonts w:ascii="Times New Roman" w:hAnsi="Times New Roman"/>
          <w:sz w:val="24"/>
          <w:szCs w:val="24"/>
        </w:rPr>
      </w:pPr>
      <w:r w:rsidRPr="002958BD">
        <w:rPr>
          <w:rFonts w:ascii="Times New Roman" w:hAnsi="Times New Roman"/>
          <w:sz w:val="24"/>
          <w:szCs w:val="24"/>
        </w:rPr>
        <w:t xml:space="preserve">A decision </w:t>
      </w:r>
      <w:r w:rsidR="00F23B23">
        <w:rPr>
          <w:rFonts w:ascii="Times New Roman" w:hAnsi="Times New Roman"/>
          <w:sz w:val="24"/>
          <w:szCs w:val="24"/>
        </w:rPr>
        <w:t xml:space="preserve">of APRA </w:t>
      </w:r>
      <w:r w:rsidRPr="002958BD">
        <w:rPr>
          <w:rFonts w:ascii="Times New Roman" w:hAnsi="Times New Roman"/>
          <w:sz w:val="24"/>
          <w:szCs w:val="24"/>
        </w:rPr>
        <w:t xml:space="preserve">to revoke </w:t>
      </w:r>
      <w:r>
        <w:rPr>
          <w:rFonts w:ascii="Times New Roman" w:hAnsi="Times New Roman"/>
          <w:sz w:val="24"/>
          <w:szCs w:val="24"/>
        </w:rPr>
        <w:t xml:space="preserve">an authority </w:t>
      </w:r>
      <w:r w:rsidRPr="002958BD">
        <w:rPr>
          <w:rFonts w:ascii="Times New Roman" w:hAnsi="Times New Roman"/>
          <w:sz w:val="24"/>
          <w:szCs w:val="24"/>
        </w:rPr>
        <w:t xml:space="preserve">under the Act </w:t>
      </w:r>
      <w:r>
        <w:rPr>
          <w:rFonts w:ascii="Times New Roman" w:hAnsi="Times New Roman"/>
          <w:sz w:val="24"/>
          <w:szCs w:val="24"/>
        </w:rPr>
        <w:t xml:space="preserve">is </w:t>
      </w:r>
      <w:r w:rsidRPr="002958BD">
        <w:rPr>
          <w:rFonts w:ascii="Times New Roman" w:hAnsi="Times New Roman"/>
          <w:sz w:val="24"/>
          <w:szCs w:val="24"/>
        </w:rPr>
        <w:t xml:space="preserve">subject to merits review, unless </w:t>
      </w:r>
      <w:r>
        <w:rPr>
          <w:rFonts w:ascii="Times New Roman" w:hAnsi="Times New Roman"/>
          <w:sz w:val="24"/>
          <w:szCs w:val="24"/>
        </w:rPr>
        <w:t>either:</w:t>
      </w:r>
    </w:p>
    <w:p w14:paraId="420010A3" w14:textId="77777777" w:rsidR="00ED3FAE"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 xml:space="preserve">APRA has determined that access to natural justice and merits review is contrary to the national interest or contrary to the interests of depositors with the </w:t>
      </w:r>
      <w:r>
        <w:rPr>
          <w:rFonts w:ascii="Times New Roman" w:hAnsi="Times New Roman"/>
          <w:sz w:val="24"/>
          <w:szCs w:val="24"/>
        </w:rPr>
        <w:t>ADI</w:t>
      </w:r>
      <w:r w:rsidRPr="00641582">
        <w:rPr>
          <w:rFonts w:ascii="Times New Roman" w:hAnsi="Times New Roman"/>
          <w:sz w:val="24"/>
          <w:szCs w:val="24"/>
        </w:rPr>
        <w:t>; or</w:t>
      </w:r>
    </w:p>
    <w:p w14:paraId="178B1A81" w14:textId="77777777" w:rsidR="00ED3FAE" w:rsidRPr="00641582"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Act</w:t>
      </w:r>
      <w:r w:rsidRPr="00641582">
        <w:rPr>
          <w:rFonts w:ascii="Times New Roman" w:hAnsi="Times New Roman"/>
          <w:sz w:val="24"/>
          <w:szCs w:val="24"/>
        </w:rPr>
        <w:t>).</w:t>
      </w:r>
    </w:p>
    <w:p w14:paraId="4C817BED" w14:textId="77777777" w:rsidR="00ED3FAE" w:rsidRDefault="00ED3FAE" w:rsidP="00A67708">
      <w:pPr>
        <w:spacing w:after="240"/>
        <w:jc w:val="both"/>
        <w:rPr>
          <w:rFonts w:ascii="Times New Roman" w:hAnsi="Times New Roman"/>
          <w:sz w:val="24"/>
          <w:szCs w:val="24"/>
        </w:rPr>
      </w:pP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7" w:name="bkPurpose"/>
      <w:bookmarkStart w:id="8" w:name="bkoperation"/>
      <w:bookmarkStart w:id="9" w:name="bkConsultationNo"/>
      <w:bookmarkEnd w:id="7"/>
      <w:bookmarkEnd w:id="8"/>
      <w:bookmarkEnd w:id="9"/>
      <w:r w:rsidRPr="002C6D26">
        <w:rPr>
          <w:rFonts w:ascii="Times New Roman" w:hAnsi="Times New Roman"/>
          <w:sz w:val="24"/>
          <w:szCs w:val="24"/>
        </w:rPr>
        <w:t>Consultation</w:t>
      </w:r>
    </w:p>
    <w:p w14:paraId="397B3473" w14:textId="3889F0BB" w:rsidR="00A67708" w:rsidRDefault="008A46E0" w:rsidP="003E22B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undertook </w:t>
      </w:r>
      <w:r w:rsidR="0079493E">
        <w:rPr>
          <w:rFonts w:ascii="Times New Roman" w:hAnsi="Times New Roman"/>
          <w:b w:val="0"/>
          <w:sz w:val="24"/>
          <w:szCs w:val="24"/>
        </w:rPr>
        <w:t xml:space="preserve">public </w:t>
      </w:r>
      <w:r>
        <w:rPr>
          <w:rFonts w:ascii="Times New Roman" w:hAnsi="Times New Roman"/>
          <w:b w:val="0"/>
          <w:sz w:val="24"/>
          <w:szCs w:val="24"/>
        </w:rPr>
        <w:t xml:space="preserve">consultation on its proposed consequential amendments to the ADI capital reforms in July to August 2022. </w:t>
      </w:r>
      <w:r w:rsidR="00AD596C">
        <w:rPr>
          <w:rFonts w:ascii="Times New Roman" w:hAnsi="Times New Roman"/>
          <w:b w:val="0"/>
          <w:sz w:val="24"/>
          <w:szCs w:val="24"/>
        </w:rPr>
        <w:t>In October 2022 APRA released a letter to industry that outlines feedback from the July 2022 consultation and summarise</w:t>
      </w:r>
      <w:r w:rsidR="00E7252E">
        <w:rPr>
          <w:rFonts w:ascii="Times New Roman" w:hAnsi="Times New Roman"/>
          <w:b w:val="0"/>
          <w:sz w:val="24"/>
          <w:szCs w:val="24"/>
        </w:rPr>
        <w:t>s</w:t>
      </w:r>
      <w:r w:rsidR="00AD596C">
        <w:rPr>
          <w:rFonts w:ascii="Times New Roman" w:hAnsi="Times New Roman"/>
          <w:b w:val="0"/>
          <w:sz w:val="24"/>
          <w:szCs w:val="24"/>
        </w:rPr>
        <w:t xml:space="preserve"> the amendments.</w:t>
      </w:r>
      <w:r w:rsidR="00DF46C1">
        <w:rPr>
          <w:rStyle w:val="FootnoteReference"/>
          <w:rFonts w:ascii="Times New Roman" w:hAnsi="Times New Roman"/>
          <w:b w:val="0"/>
          <w:sz w:val="24"/>
          <w:szCs w:val="24"/>
        </w:rPr>
        <w:footnoteReference w:id="3"/>
      </w:r>
      <w:r w:rsidR="00AD596C">
        <w:rPr>
          <w:rFonts w:ascii="Times New Roman" w:hAnsi="Times New Roman"/>
          <w:b w:val="0"/>
          <w:sz w:val="24"/>
          <w:szCs w:val="24"/>
        </w:rPr>
        <w:t xml:space="preserve"> </w:t>
      </w:r>
    </w:p>
    <w:p w14:paraId="1EE50F2D" w14:textId="137AB4E0" w:rsidR="00262D5D" w:rsidRDefault="00262D5D" w:rsidP="003E22BA">
      <w:pPr>
        <w:pStyle w:val="Heading"/>
        <w:tabs>
          <w:tab w:val="left" w:pos="360"/>
        </w:tabs>
        <w:spacing w:after="240"/>
        <w:rPr>
          <w:rFonts w:ascii="Times New Roman" w:hAnsi="Times New Roman"/>
          <w:b w:val="0"/>
          <w:sz w:val="24"/>
          <w:szCs w:val="24"/>
        </w:rPr>
      </w:pPr>
      <w:r w:rsidRPr="00262D5D">
        <w:rPr>
          <w:rFonts w:ascii="Times New Roman" w:hAnsi="Times New Roman"/>
          <w:b w:val="0"/>
          <w:sz w:val="24"/>
          <w:szCs w:val="24"/>
        </w:rPr>
        <w:lastRenderedPageBreak/>
        <w:t>The amendments to APS 115 were part of a separate consultation on aligning and centralising the definition of an SFI. This consultation took place in April 2022, with APRA releasing a response to submissions in July 2022.</w:t>
      </w:r>
      <w:r>
        <w:rPr>
          <w:rStyle w:val="FootnoteReference"/>
          <w:rFonts w:ascii="Times New Roman" w:hAnsi="Times New Roman"/>
          <w:b w:val="0"/>
          <w:sz w:val="24"/>
          <w:szCs w:val="24"/>
        </w:rPr>
        <w:footnoteReference w:id="4"/>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10" w:name="bkConsultation"/>
      <w:bookmarkStart w:id="11" w:name="bkRISNO"/>
      <w:bookmarkStart w:id="12" w:name="bkRIS"/>
      <w:bookmarkEnd w:id="10"/>
      <w:bookmarkEnd w:id="11"/>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2"/>
    <w:p w14:paraId="233A3A3C" w14:textId="2B875037"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 xml:space="preserve">The Office of </w:t>
      </w:r>
      <w:r w:rsidR="00AD5AEB">
        <w:rPr>
          <w:rFonts w:ascii="Times New Roman" w:hAnsi="Times New Roman"/>
          <w:b w:val="0"/>
          <w:sz w:val="24"/>
          <w:szCs w:val="24"/>
        </w:rPr>
        <w:t>Impact Analysis</w:t>
      </w:r>
      <w:r w:rsidRPr="0026634D">
        <w:rPr>
          <w:rFonts w:ascii="Times New Roman" w:hAnsi="Times New Roman"/>
          <w:b w:val="0"/>
          <w:sz w:val="24"/>
          <w:szCs w:val="24"/>
        </w:rPr>
        <w:t xml:space="preserve"> advised that no Regulat</w:t>
      </w:r>
      <w:r w:rsidR="009918FF">
        <w:rPr>
          <w:rFonts w:ascii="Times New Roman" w:hAnsi="Times New Roman"/>
          <w:b w:val="0"/>
          <w:sz w:val="24"/>
          <w:szCs w:val="24"/>
        </w:rPr>
        <w:t>ion</w:t>
      </w:r>
      <w:r w:rsidRPr="0026634D">
        <w:rPr>
          <w:rFonts w:ascii="Times New Roman" w:hAnsi="Times New Roman"/>
          <w:b w:val="0"/>
          <w:sz w:val="24"/>
          <w:szCs w:val="24"/>
        </w:rPr>
        <w:t xml:space="preserve"> Impact </w:t>
      </w:r>
      <w:r w:rsidR="00700FA0">
        <w:rPr>
          <w:rFonts w:ascii="Times New Roman" w:hAnsi="Times New Roman"/>
          <w:b w:val="0"/>
          <w:sz w:val="24"/>
          <w:szCs w:val="24"/>
        </w:rPr>
        <w:t>S</w:t>
      </w:r>
      <w:r w:rsidRPr="0026634D">
        <w:rPr>
          <w:rFonts w:ascii="Times New Roman" w:hAnsi="Times New Roman"/>
          <w:b w:val="0"/>
          <w:sz w:val="24"/>
          <w:szCs w:val="24"/>
        </w:rPr>
        <w:t xml:space="preserve">tatement </w:t>
      </w:r>
      <w:r w:rsidR="0062665C">
        <w:rPr>
          <w:rFonts w:ascii="Times New Roman" w:hAnsi="Times New Roman"/>
          <w:b w:val="0"/>
          <w:sz w:val="24"/>
          <w:szCs w:val="24"/>
        </w:rPr>
        <w:t>was</w:t>
      </w:r>
      <w:r w:rsidRPr="0026634D">
        <w:rPr>
          <w:rFonts w:ascii="Times New Roman" w:hAnsi="Times New Roman"/>
          <w:b w:val="0"/>
          <w:sz w:val="24"/>
          <w:szCs w:val="24"/>
        </w:rPr>
        <w:t xml:space="preserve"> required </w:t>
      </w:r>
      <w:r w:rsidR="003407EF">
        <w:rPr>
          <w:rFonts w:ascii="Times New Roman" w:hAnsi="Times New Roman"/>
          <w:b w:val="0"/>
          <w:sz w:val="24"/>
          <w:szCs w:val="24"/>
        </w:rPr>
        <w:t xml:space="preserve">for the consequential amendments </w:t>
      </w:r>
      <w:r w:rsidRPr="0026634D">
        <w:rPr>
          <w:rFonts w:ascii="Times New Roman" w:hAnsi="Times New Roman"/>
          <w:b w:val="0"/>
          <w:sz w:val="24"/>
          <w:szCs w:val="24"/>
        </w:rPr>
        <w:t>as the changes</w:t>
      </w:r>
      <w:r w:rsidR="00340D2E">
        <w:rPr>
          <w:rFonts w:ascii="Times New Roman" w:hAnsi="Times New Roman"/>
          <w:b w:val="0"/>
          <w:sz w:val="24"/>
          <w:szCs w:val="24"/>
        </w:rPr>
        <w:t xml:space="preserve"> to </w:t>
      </w:r>
      <w:r w:rsidR="0062665C">
        <w:rPr>
          <w:rFonts w:ascii="Times New Roman" w:hAnsi="Times New Roman"/>
          <w:b w:val="0"/>
          <w:sz w:val="24"/>
          <w:szCs w:val="24"/>
        </w:rPr>
        <w:t xml:space="preserve">the </w:t>
      </w:r>
      <w:r w:rsidR="003407EF">
        <w:rPr>
          <w:rFonts w:ascii="Times New Roman" w:hAnsi="Times New Roman"/>
          <w:b w:val="0"/>
          <w:sz w:val="24"/>
          <w:szCs w:val="24"/>
        </w:rPr>
        <w:t xml:space="preserve">prudential </w:t>
      </w:r>
      <w:r w:rsidR="0062665C">
        <w:rPr>
          <w:rFonts w:ascii="Times New Roman" w:hAnsi="Times New Roman"/>
          <w:b w:val="0"/>
          <w:sz w:val="24"/>
          <w:szCs w:val="24"/>
        </w:rPr>
        <w:t xml:space="preserve">standards </w:t>
      </w:r>
      <w:r w:rsidRPr="0026634D">
        <w:rPr>
          <w:rFonts w:ascii="Times New Roman" w:hAnsi="Times New Roman"/>
          <w:b w:val="0"/>
          <w:sz w:val="24"/>
          <w:szCs w:val="24"/>
        </w:rPr>
        <w:t>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8427A8">
        <w:rPr>
          <w:rFonts w:ascii="Times New Roman" w:hAnsi="Times New Roman"/>
          <w:i/>
          <w:sz w:val="24"/>
          <w:szCs w:val="24"/>
        </w:rPr>
        <w:t>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34B4D0E1" w14:textId="77777777" w:rsidR="006F1530" w:rsidRPr="00637C41" w:rsidRDefault="006F1530" w:rsidP="006F1530">
      <w:pPr>
        <w:pStyle w:val="Heading"/>
        <w:spacing w:after="240"/>
        <w:jc w:val="center"/>
        <w:rPr>
          <w:rFonts w:ascii="Times New Roman" w:hAnsi="Times New Roman"/>
          <w:sz w:val="24"/>
          <w:szCs w:val="24"/>
        </w:rPr>
      </w:pPr>
      <w:r w:rsidRPr="001A0522">
        <w:rPr>
          <w:rFonts w:ascii="Times New Roman" w:hAnsi="Times New Roman"/>
          <w:sz w:val="24"/>
          <w:szCs w:val="24"/>
        </w:rPr>
        <w:t>Banking (prudential standard) determination</w:t>
      </w:r>
      <w:r>
        <w:rPr>
          <w:rFonts w:ascii="Times New Roman" w:hAnsi="Times New Roman"/>
          <w:sz w:val="24"/>
          <w:szCs w:val="24"/>
        </w:rPr>
        <w:t>s</w:t>
      </w:r>
      <w:r w:rsidRPr="001A0522">
        <w:rPr>
          <w:rFonts w:ascii="Times New Roman" w:hAnsi="Times New Roman"/>
          <w:sz w:val="24"/>
          <w:szCs w:val="24"/>
        </w:rPr>
        <w:t xml:space="preserve"> No</w:t>
      </w:r>
      <w:r>
        <w:rPr>
          <w:rFonts w:ascii="Times New Roman" w:hAnsi="Times New Roman"/>
          <w:sz w:val="24"/>
          <w:szCs w:val="24"/>
        </w:rPr>
        <w:t>s</w:t>
      </w:r>
      <w:r w:rsidRPr="001A0522">
        <w:rPr>
          <w:rFonts w:ascii="Times New Roman" w:hAnsi="Times New Roman"/>
          <w:sz w:val="24"/>
          <w:szCs w:val="24"/>
        </w:rPr>
        <w:t xml:space="preserve">. </w:t>
      </w:r>
      <w:r>
        <w:rPr>
          <w:rFonts w:ascii="Times New Roman" w:hAnsi="Times New Roman"/>
          <w:sz w:val="24"/>
          <w:szCs w:val="24"/>
        </w:rPr>
        <w:t xml:space="preserve">5 and 8 to 16 </w:t>
      </w:r>
      <w:r w:rsidRPr="001A0522">
        <w:rPr>
          <w:rFonts w:ascii="Times New Roman" w:hAnsi="Times New Roman"/>
          <w:sz w:val="24"/>
          <w:szCs w:val="24"/>
        </w:rPr>
        <w:t>of 2022</w:t>
      </w:r>
    </w:p>
    <w:p w14:paraId="35BD42C7" w14:textId="6A07C6C3"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The</w:t>
      </w:r>
      <w:r w:rsidR="0062665C">
        <w:rPr>
          <w:rFonts w:ascii="Times New Roman" w:hAnsi="Times New Roman"/>
          <w:sz w:val="24"/>
          <w:szCs w:val="24"/>
        </w:rPr>
        <w:t>se</w:t>
      </w:r>
      <w:r>
        <w:rPr>
          <w:rFonts w:ascii="Times New Roman" w:hAnsi="Times New Roman"/>
          <w:sz w:val="24"/>
          <w:szCs w:val="24"/>
        </w:rPr>
        <w:t xml:space="preserve"> </w:t>
      </w:r>
      <w:r w:rsidR="0062665C">
        <w:rPr>
          <w:rFonts w:ascii="Times New Roman" w:hAnsi="Times New Roman"/>
          <w:sz w:val="24"/>
          <w:szCs w:val="24"/>
        </w:rPr>
        <w:t>L</w:t>
      </w:r>
      <w:r>
        <w:rPr>
          <w:rFonts w:ascii="Times New Roman" w:hAnsi="Times New Roman"/>
          <w:sz w:val="24"/>
          <w:szCs w:val="24"/>
        </w:rPr>
        <w:t xml:space="preserve">egislative </w:t>
      </w:r>
      <w:r w:rsidR="0062665C">
        <w:rPr>
          <w:rFonts w:ascii="Times New Roman" w:hAnsi="Times New Roman"/>
          <w:sz w:val="24"/>
          <w:szCs w:val="24"/>
        </w:rPr>
        <w:t>I</w:t>
      </w:r>
      <w:r>
        <w:rPr>
          <w:rFonts w:ascii="Times New Roman" w:hAnsi="Times New Roman"/>
          <w:sz w:val="24"/>
          <w:szCs w:val="24"/>
        </w:rPr>
        <w:t>nstrument</w:t>
      </w:r>
      <w:r w:rsidR="00334602">
        <w:rPr>
          <w:rFonts w:ascii="Times New Roman" w:hAnsi="Times New Roman"/>
          <w:sz w:val="24"/>
          <w:szCs w:val="24"/>
        </w:rPr>
        <w:t>s</w:t>
      </w:r>
      <w:r>
        <w:rPr>
          <w:rFonts w:ascii="Times New Roman" w:hAnsi="Times New Roman"/>
          <w:sz w:val="24"/>
          <w:szCs w:val="24"/>
        </w:rPr>
        <w:t xml:space="preserve"> </w:t>
      </w:r>
      <w:r w:rsidR="0062665C">
        <w:rPr>
          <w:rFonts w:ascii="Times New Roman" w:hAnsi="Times New Roman"/>
          <w:sz w:val="24"/>
          <w:szCs w:val="24"/>
        </w:rPr>
        <w:t>(</w:t>
      </w:r>
      <w:r w:rsidR="00CC40A3">
        <w:rPr>
          <w:rFonts w:ascii="Times New Roman" w:hAnsi="Times New Roman"/>
          <w:sz w:val="24"/>
          <w:szCs w:val="24"/>
        </w:rPr>
        <w:t xml:space="preserve">the </w:t>
      </w:r>
      <w:r w:rsidR="0062665C">
        <w:rPr>
          <w:rFonts w:ascii="Times New Roman" w:hAnsi="Times New Roman"/>
          <w:sz w:val="24"/>
          <w:szCs w:val="24"/>
        </w:rPr>
        <w:t>instruments) are</w:t>
      </w:r>
      <w:r>
        <w:rPr>
          <w:rFonts w:ascii="Times New Roman" w:hAnsi="Times New Roman"/>
          <w:sz w:val="24"/>
          <w:szCs w:val="24"/>
        </w:rPr>
        <w:t xml:space="preserve"> 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09711416"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r w:rsidR="001F43C9">
        <w:rPr>
          <w:rFonts w:ascii="Times New Roman" w:hAnsi="Times New Roman"/>
          <w:b/>
          <w:bCs/>
          <w:sz w:val="24"/>
          <w:szCs w:val="24"/>
        </w:rPr>
        <w:t>s</w:t>
      </w:r>
    </w:p>
    <w:p w14:paraId="762C2172" w14:textId="120BFF00" w:rsidR="001F43C9" w:rsidRDefault="003F5A8B" w:rsidP="00FC73BF">
      <w:pPr>
        <w:spacing w:after="240"/>
        <w:jc w:val="both"/>
        <w:rPr>
          <w:rFonts w:ascii="Times New Roman" w:hAnsi="Times New Roman"/>
          <w:sz w:val="24"/>
          <w:szCs w:val="24"/>
        </w:rPr>
      </w:pPr>
      <w:r>
        <w:rPr>
          <w:rFonts w:ascii="Times New Roman" w:hAnsi="Times New Roman"/>
          <w:sz w:val="24"/>
          <w:szCs w:val="24"/>
        </w:rPr>
        <w:t xml:space="preserve">The purpose of </w:t>
      </w:r>
      <w:r w:rsidR="0062665C">
        <w:rPr>
          <w:rFonts w:ascii="Times New Roman" w:hAnsi="Times New Roman"/>
          <w:sz w:val="24"/>
          <w:szCs w:val="24"/>
        </w:rPr>
        <w:t xml:space="preserve">these instruments is </w:t>
      </w:r>
      <w:r w:rsidR="001F43C9">
        <w:rPr>
          <w:rFonts w:ascii="Times New Roman" w:hAnsi="Times New Roman"/>
          <w:sz w:val="24"/>
          <w:szCs w:val="24"/>
        </w:rPr>
        <w:t xml:space="preserve">to revoke </w:t>
      </w:r>
      <w:r w:rsidR="001F43C9" w:rsidRPr="00746477">
        <w:rPr>
          <w:rFonts w:ascii="Times New Roman" w:hAnsi="Times New Roman"/>
          <w:i/>
          <w:sz w:val="24"/>
          <w:szCs w:val="24"/>
        </w:rPr>
        <w:t>Prudential Standard APS 111 Capital Adequacy: Measurement of Capital</w:t>
      </w:r>
      <w:r w:rsidR="001F43C9">
        <w:rPr>
          <w:rFonts w:ascii="Times New Roman" w:hAnsi="Times New Roman"/>
          <w:i/>
          <w:sz w:val="24"/>
          <w:szCs w:val="24"/>
        </w:rPr>
        <w:t xml:space="preserve">, </w:t>
      </w:r>
      <w:r w:rsidR="00074405" w:rsidRPr="001A0522">
        <w:rPr>
          <w:rFonts w:ascii="Times New Roman" w:hAnsi="Times New Roman"/>
          <w:i/>
          <w:sz w:val="24"/>
          <w:szCs w:val="24"/>
        </w:rPr>
        <w:t xml:space="preserve">Prudential Standard </w:t>
      </w:r>
      <w:r w:rsidR="00074405" w:rsidRPr="00033719">
        <w:rPr>
          <w:rFonts w:ascii="Times New Roman" w:hAnsi="Times New Roman"/>
          <w:i/>
          <w:sz w:val="24"/>
          <w:szCs w:val="24"/>
        </w:rPr>
        <w:t>APS 115 Capital Adequacy: Standardised Measurement Approach to Operational Risk</w:t>
      </w:r>
      <w:r w:rsidR="00074405">
        <w:rPr>
          <w:rFonts w:ascii="Times New Roman" w:hAnsi="Times New Roman"/>
          <w:i/>
          <w:sz w:val="24"/>
          <w:szCs w:val="24"/>
        </w:rPr>
        <w:t>,</w:t>
      </w:r>
      <w:r w:rsidR="00074405">
        <w:rPr>
          <w:rFonts w:ascii="Times New Roman" w:hAnsi="Times New Roman"/>
          <w:sz w:val="24"/>
          <w:szCs w:val="24"/>
        </w:rPr>
        <w:t xml:space="preserve"> </w:t>
      </w:r>
      <w:r w:rsidR="001F43C9" w:rsidRPr="001A0522">
        <w:rPr>
          <w:rFonts w:ascii="Times New Roman" w:hAnsi="Times New Roman"/>
          <w:i/>
          <w:sz w:val="24"/>
          <w:szCs w:val="24"/>
        </w:rPr>
        <w:t xml:space="preserve">Prudential </w:t>
      </w:r>
      <w:r w:rsidR="001F43C9" w:rsidRPr="00817E9C">
        <w:rPr>
          <w:rFonts w:ascii="Times New Roman" w:hAnsi="Times New Roman"/>
          <w:i/>
          <w:sz w:val="24"/>
          <w:szCs w:val="24"/>
        </w:rPr>
        <w:t xml:space="preserve">Standard APS 116 </w:t>
      </w:r>
      <w:r w:rsidR="001F43C9">
        <w:rPr>
          <w:rFonts w:ascii="Times New Roman" w:hAnsi="Times New Roman"/>
          <w:i/>
          <w:sz w:val="24"/>
          <w:szCs w:val="24"/>
        </w:rPr>
        <w:t xml:space="preserve">Capital Adequacy: Market Risk, </w:t>
      </w:r>
      <w:r w:rsidR="001F43C9" w:rsidRPr="001A0522">
        <w:rPr>
          <w:rFonts w:ascii="Times New Roman" w:hAnsi="Times New Roman"/>
          <w:i/>
          <w:sz w:val="24"/>
          <w:szCs w:val="24"/>
        </w:rPr>
        <w:t xml:space="preserve">Prudential Standard </w:t>
      </w:r>
      <w:r w:rsidR="001F43C9" w:rsidRPr="00A762CF">
        <w:rPr>
          <w:rFonts w:ascii="Times New Roman" w:hAnsi="Times New Roman"/>
          <w:i/>
          <w:sz w:val="24"/>
          <w:szCs w:val="24"/>
        </w:rPr>
        <w:t>APS 120 Securitisation</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1B0824">
        <w:rPr>
          <w:rFonts w:ascii="Times New Roman" w:hAnsi="Times New Roman"/>
          <w:i/>
          <w:sz w:val="24"/>
          <w:szCs w:val="24"/>
        </w:rPr>
        <w:t xml:space="preserve">APS 121 Covered </w:t>
      </w:r>
      <w:r w:rsidR="00074405">
        <w:rPr>
          <w:rFonts w:ascii="Times New Roman" w:hAnsi="Times New Roman"/>
          <w:i/>
          <w:sz w:val="24"/>
          <w:szCs w:val="24"/>
        </w:rPr>
        <w:t>B</w:t>
      </w:r>
      <w:r w:rsidR="001F43C9" w:rsidRPr="001B0824">
        <w:rPr>
          <w:rFonts w:ascii="Times New Roman" w:hAnsi="Times New Roman"/>
          <w:i/>
          <w:sz w:val="24"/>
          <w:szCs w:val="24"/>
        </w:rPr>
        <w:t>onds</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w:t>
      </w:r>
      <w:r w:rsidR="001F43C9" w:rsidRPr="004A058E">
        <w:rPr>
          <w:rFonts w:ascii="Times New Roman" w:hAnsi="Times New Roman"/>
          <w:i/>
          <w:sz w:val="24"/>
          <w:szCs w:val="24"/>
        </w:rPr>
        <w:t>Standard APS 180 Capital Adequacy: Counterparty Credit Risk</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w:t>
      </w:r>
      <w:r w:rsidR="001F43C9" w:rsidRPr="005A1AED">
        <w:rPr>
          <w:rFonts w:ascii="Times New Roman" w:hAnsi="Times New Roman"/>
          <w:i/>
          <w:sz w:val="24"/>
          <w:szCs w:val="24"/>
        </w:rPr>
        <w:t>Standard APS 210 Liquidity</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EE5A25">
        <w:rPr>
          <w:rFonts w:ascii="Times New Roman" w:hAnsi="Times New Roman"/>
          <w:i/>
          <w:sz w:val="24"/>
          <w:szCs w:val="24"/>
        </w:rPr>
        <w:t>APS 220 Credit Risk Management</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076746">
        <w:rPr>
          <w:rFonts w:ascii="Times New Roman" w:hAnsi="Times New Roman"/>
          <w:i/>
          <w:sz w:val="24"/>
          <w:szCs w:val="24"/>
        </w:rPr>
        <w:t xml:space="preserve">APS 221 </w:t>
      </w:r>
      <w:r w:rsidR="001F43C9">
        <w:rPr>
          <w:rFonts w:ascii="Times New Roman" w:hAnsi="Times New Roman"/>
          <w:i/>
          <w:sz w:val="24"/>
          <w:szCs w:val="24"/>
        </w:rPr>
        <w:t>Large Exposures</w:t>
      </w:r>
      <w:r w:rsidR="00074405">
        <w:rPr>
          <w:rFonts w:ascii="Times New Roman" w:hAnsi="Times New Roman"/>
          <w:i/>
          <w:sz w:val="24"/>
          <w:szCs w:val="24"/>
        </w:rPr>
        <w:t xml:space="preserve"> and</w:t>
      </w:r>
      <w:r w:rsidR="001F43C9" w:rsidRP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EE1546">
        <w:rPr>
          <w:rFonts w:ascii="Times New Roman" w:hAnsi="Times New Roman"/>
          <w:i/>
          <w:sz w:val="24"/>
          <w:szCs w:val="24"/>
        </w:rPr>
        <w:t>APS 310 Audit and Related Matters</w:t>
      </w:r>
      <w:r w:rsidR="001F43C9">
        <w:rPr>
          <w:rFonts w:ascii="Times New Roman" w:hAnsi="Times New Roman"/>
          <w:i/>
          <w:sz w:val="24"/>
          <w:szCs w:val="24"/>
        </w:rPr>
        <w:t xml:space="preserve">, </w:t>
      </w:r>
      <w:r w:rsidR="00F96F4A">
        <w:rPr>
          <w:rFonts w:ascii="Times New Roman" w:hAnsi="Times New Roman"/>
          <w:sz w:val="24"/>
          <w:szCs w:val="24"/>
        </w:rPr>
        <w:t xml:space="preserve">and replace them with </w:t>
      </w:r>
      <w:r w:rsidR="00736948">
        <w:rPr>
          <w:rFonts w:ascii="Times New Roman" w:hAnsi="Times New Roman"/>
          <w:sz w:val="24"/>
          <w:szCs w:val="24"/>
        </w:rPr>
        <w:t>new versions of the corresponding prudential standards with the appropriate amendments</w:t>
      </w:r>
      <w:r w:rsidR="00074405">
        <w:rPr>
          <w:rFonts w:ascii="Times New Roman" w:hAnsi="Times New Roman"/>
          <w:sz w:val="24"/>
          <w:szCs w:val="24"/>
        </w:rPr>
        <w:t xml:space="preserve">, and to revoke </w:t>
      </w:r>
      <w:r w:rsidR="00074405" w:rsidRPr="00074405">
        <w:rPr>
          <w:rFonts w:ascii="Times New Roman" w:hAnsi="Times New Roman"/>
          <w:i/>
          <w:sz w:val="24"/>
          <w:szCs w:val="24"/>
        </w:rPr>
        <w:t>Prudential Standard APS 114 Capital Adequacy: Standardised Approach to Operational Risk</w:t>
      </w:r>
      <w:r w:rsidR="00074405">
        <w:rPr>
          <w:rFonts w:ascii="Times New Roman" w:hAnsi="Times New Roman"/>
          <w:sz w:val="24"/>
          <w:szCs w:val="24"/>
        </w:rPr>
        <w:t xml:space="preserve"> and </w:t>
      </w:r>
      <w:r w:rsidR="00074405" w:rsidRPr="00074405">
        <w:rPr>
          <w:rFonts w:ascii="Times New Roman" w:hAnsi="Times New Roman"/>
          <w:i/>
          <w:sz w:val="24"/>
          <w:szCs w:val="24"/>
        </w:rPr>
        <w:t>Prudential Standard APS 115 Capital Adequacy: Advanced Measurement Approaches to</w:t>
      </w:r>
      <w:r w:rsidR="00074405">
        <w:rPr>
          <w:rFonts w:ascii="Times New Roman" w:hAnsi="Times New Roman"/>
          <w:sz w:val="24"/>
          <w:szCs w:val="24"/>
        </w:rPr>
        <w:t xml:space="preserve"> </w:t>
      </w:r>
      <w:r w:rsidR="00074405" w:rsidRPr="00033719">
        <w:rPr>
          <w:rFonts w:ascii="Times New Roman" w:hAnsi="Times New Roman"/>
          <w:i/>
          <w:sz w:val="24"/>
          <w:szCs w:val="24"/>
        </w:rPr>
        <w:t>Operational Risk</w:t>
      </w:r>
      <w:r w:rsidR="00074405">
        <w:rPr>
          <w:rFonts w:ascii="Times New Roman" w:hAnsi="Times New Roman"/>
          <w:i/>
          <w:sz w:val="24"/>
          <w:szCs w:val="24"/>
        </w:rPr>
        <w:t xml:space="preserve"> </w:t>
      </w:r>
      <w:r w:rsidR="0050761F">
        <w:rPr>
          <w:rFonts w:ascii="Times New Roman" w:hAnsi="Times New Roman"/>
          <w:sz w:val="24"/>
          <w:szCs w:val="24"/>
        </w:rPr>
        <w:t xml:space="preserve">as they </w:t>
      </w:r>
      <w:r w:rsidR="00074405" w:rsidRPr="00074405">
        <w:rPr>
          <w:rFonts w:ascii="Times New Roman" w:hAnsi="Times New Roman"/>
          <w:sz w:val="24"/>
          <w:szCs w:val="24"/>
        </w:rPr>
        <w:t>are no longer relevant</w:t>
      </w:r>
      <w:r w:rsidR="00736948">
        <w:rPr>
          <w:rFonts w:ascii="Times New Roman" w:hAnsi="Times New Roman"/>
          <w:sz w:val="24"/>
          <w:szCs w:val="24"/>
        </w:rPr>
        <w:t xml:space="preserve">. </w:t>
      </w:r>
    </w:p>
    <w:p w14:paraId="72032EAB" w14:textId="71425367" w:rsidR="00736948" w:rsidRDefault="00736948" w:rsidP="00FC73BF">
      <w:pPr>
        <w:jc w:val="both"/>
        <w:rPr>
          <w:rFonts w:ascii="Times New Roman" w:hAnsi="Times New Roman"/>
          <w:sz w:val="24"/>
          <w:szCs w:val="24"/>
        </w:rPr>
      </w:pPr>
      <w:r>
        <w:rPr>
          <w:rFonts w:ascii="Times New Roman" w:hAnsi="Times New Roman"/>
          <w:sz w:val="24"/>
          <w:szCs w:val="24"/>
        </w:rPr>
        <w:t xml:space="preserve">The instruments ensure consistency of APRA’s broader prudential framework with APRA’s release of a new </w:t>
      </w:r>
      <w:r w:rsidR="00FC73BF">
        <w:rPr>
          <w:rFonts w:ascii="Times New Roman" w:hAnsi="Times New Roman"/>
          <w:sz w:val="24"/>
          <w:szCs w:val="24"/>
        </w:rPr>
        <w:t xml:space="preserve">set </w:t>
      </w:r>
      <w:r>
        <w:rPr>
          <w:rFonts w:ascii="Times New Roman" w:hAnsi="Times New Roman"/>
          <w:sz w:val="24"/>
          <w:szCs w:val="24"/>
        </w:rPr>
        <w:t>of prudential standards that impose regulatory capital requirements on authorised</w:t>
      </w:r>
      <w:r w:rsidR="00FC73BF">
        <w:rPr>
          <w:rFonts w:ascii="Times New Roman" w:hAnsi="Times New Roman"/>
          <w:sz w:val="24"/>
          <w:szCs w:val="24"/>
        </w:rPr>
        <w:t xml:space="preserve"> deposit-taking institutions (ADIs) for the purpose of ensuring ADIs hold sufficient capital to address the risks associated with their operations. </w:t>
      </w:r>
      <w:r w:rsidR="00FC73BF" w:rsidRPr="00F361E2">
        <w:rPr>
          <w:rFonts w:ascii="Times New Roman" w:hAnsi="Times New Roman"/>
          <w:sz w:val="24"/>
          <w:szCs w:val="24"/>
        </w:rPr>
        <w:t xml:space="preserve">ADIs are bodies corporate that have been granted the authority, under the </w:t>
      </w:r>
      <w:r w:rsidR="00FC73BF" w:rsidRPr="00B03601">
        <w:rPr>
          <w:rFonts w:ascii="Times New Roman" w:hAnsi="Times New Roman"/>
          <w:i/>
          <w:sz w:val="24"/>
          <w:szCs w:val="24"/>
        </w:rPr>
        <w:t>Banking Act 1959</w:t>
      </w:r>
      <w:r w:rsidR="00FC73BF" w:rsidRPr="00F361E2">
        <w:rPr>
          <w:rFonts w:ascii="Times New Roman" w:hAnsi="Times New Roman"/>
          <w:sz w:val="24"/>
          <w:szCs w:val="24"/>
        </w:rPr>
        <w:t>, to carry on banking business in Australia.</w:t>
      </w:r>
      <w:r w:rsidR="00FC73BF">
        <w:rPr>
          <w:rFonts w:ascii="Times New Roman" w:hAnsi="Times New Roman"/>
          <w:sz w:val="24"/>
          <w:szCs w:val="24"/>
        </w:rPr>
        <w:t xml:space="preserve"> The consequential amendments </w:t>
      </w:r>
      <w:r w:rsidR="00326286">
        <w:rPr>
          <w:rFonts w:ascii="Times New Roman" w:hAnsi="Times New Roman"/>
          <w:sz w:val="24"/>
          <w:szCs w:val="24"/>
        </w:rPr>
        <w:t xml:space="preserve">also </w:t>
      </w:r>
      <w:r w:rsidR="0057164B">
        <w:rPr>
          <w:rFonts w:ascii="Times New Roman" w:hAnsi="Times New Roman"/>
          <w:sz w:val="24"/>
          <w:szCs w:val="24"/>
        </w:rPr>
        <w:t>update</w:t>
      </w:r>
      <w:r w:rsidR="00FC73BF">
        <w:rPr>
          <w:rFonts w:ascii="Times New Roman" w:hAnsi="Times New Roman"/>
          <w:sz w:val="24"/>
          <w:szCs w:val="24"/>
        </w:rPr>
        <w:t xml:space="preserve"> cross referenc</w:t>
      </w:r>
      <w:r w:rsidR="00E45D33">
        <w:rPr>
          <w:rFonts w:ascii="Times New Roman" w:hAnsi="Times New Roman"/>
          <w:sz w:val="24"/>
          <w:szCs w:val="24"/>
        </w:rPr>
        <w:t>es</w:t>
      </w:r>
      <w:r w:rsidR="00FC73BF">
        <w:rPr>
          <w:rFonts w:ascii="Times New Roman" w:hAnsi="Times New Roman"/>
          <w:sz w:val="24"/>
          <w:szCs w:val="24"/>
        </w:rPr>
        <w:t xml:space="preserve"> to the capital prudential standards and make minor clarifications requested by ADIs.</w:t>
      </w:r>
    </w:p>
    <w:p w14:paraId="185385E4" w14:textId="5329C08F" w:rsidR="00C96F89" w:rsidRDefault="00C96F89" w:rsidP="004262B9">
      <w:pPr>
        <w:keepNext/>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Human rights implications</w:t>
      </w:r>
    </w:p>
    <w:p w14:paraId="15EF2C39" w14:textId="134965FD"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APRA has assessed the instrument</w:t>
      </w:r>
      <w:r w:rsidR="00101685">
        <w:rPr>
          <w:rFonts w:ascii="Times New Roman" w:hAnsi="Times New Roman"/>
          <w:sz w:val="24"/>
          <w:szCs w:val="24"/>
        </w:rPr>
        <w:t>s</w:t>
      </w:r>
      <w:r>
        <w:rPr>
          <w:rFonts w:ascii="Times New Roman" w:hAnsi="Times New Roman"/>
          <w:sz w:val="24"/>
          <w:szCs w:val="24"/>
        </w:rPr>
        <w:t xml:space="preserve"> and is of the view that </w:t>
      </w:r>
      <w:r w:rsidR="005C087B">
        <w:rPr>
          <w:rFonts w:ascii="Times New Roman" w:hAnsi="Times New Roman"/>
          <w:sz w:val="24"/>
          <w:szCs w:val="24"/>
        </w:rPr>
        <w:t xml:space="preserve">they do </w:t>
      </w:r>
      <w:r>
        <w:rPr>
          <w:rFonts w:ascii="Times New Roman" w:hAnsi="Times New Roman"/>
          <w:sz w:val="24"/>
          <w:szCs w:val="24"/>
        </w:rPr>
        <w:t>not engage any of the applicable rights or freedoms recognised or declared in the international instruments listed in section 3 of the HRPS Act. Accordingly, in APRA’s assessment, the instrument</w:t>
      </w:r>
      <w:r w:rsidR="00D93654">
        <w:rPr>
          <w:rFonts w:ascii="Times New Roman" w:hAnsi="Times New Roman"/>
          <w:sz w:val="24"/>
          <w:szCs w:val="24"/>
        </w:rPr>
        <w:t>s</w:t>
      </w:r>
      <w:r>
        <w:rPr>
          <w:rFonts w:ascii="Times New Roman" w:hAnsi="Times New Roman"/>
          <w:sz w:val="24"/>
          <w:szCs w:val="24"/>
        </w:rPr>
        <w:t xml:space="preserve"> </w:t>
      </w:r>
      <w:r w:rsidR="00D93654">
        <w:rPr>
          <w:rFonts w:ascii="Times New Roman" w:hAnsi="Times New Roman"/>
          <w:sz w:val="24"/>
          <w:szCs w:val="24"/>
        </w:rPr>
        <w:t>are</w:t>
      </w:r>
      <w:r>
        <w:rPr>
          <w:rFonts w:ascii="Times New Roman" w:hAnsi="Times New Roman"/>
          <w:sz w:val="24"/>
          <w:szCs w:val="24"/>
        </w:rPr>
        <w:t xml:space="preserve"> 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1531011F" w:rsidR="00C96F89" w:rsidRDefault="005C087B" w:rsidP="00C96F89">
      <w:pPr>
        <w:spacing w:after="240"/>
        <w:jc w:val="both"/>
        <w:rPr>
          <w:rFonts w:ascii="Times New Roman" w:hAnsi="Times New Roman"/>
          <w:sz w:val="24"/>
          <w:szCs w:val="24"/>
        </w:rPr>
      </w:pPr>
      <w:r>
        <w:rPr>
          <w:rFonts w:ascii="Times New Roman" w:hAnsi="Times New Roman"/>
          <w:sz w:val="24"/>
          <w:szCs w:val="24"/>
        </w:rPr>
        <w:t>The</w:t>
      </w:r>
      <w:r w:rsidR="00C96F89">
        <w:rPr>
          <w:rFonts w:ascii="Times New Roman" w:hAnsi="Times New Roman"/>
          <w:sz w:val="24"/>
          <w:szCs w:val="24"/>
        </w:rPr>
        <w:t xml:space="preserve"> instrument</w:t>
      </w:r>
      <w:r w:rsidR="00101685">
        <w:rPr>
          <w:rFonts w:ascii="Times New Roman" w:hAnsi="Times New Roman"/>
          <w:sz w:val="24"/>
          <w:szCs w:val="24"/>
        </w:rPr>
        <w:t>s</w:t>
      </w:r>
      <w:r w:rsidR="00C96F89">
        <w:rPr>
          <w:rFonts w:ascii="Times New Roman" w:hAnsi="Times New Roman"/>
          <w:sz w:val="24"/>
          <w:szCs w:val="24"/>
        </w:rPr>
        <w:t xml:space="preserve"> </w:t>
      </w:r>
      <w:r w:rsidR="002260E9">
        <w:rPr>
          <w:rFonts w:ascii="Times New Roman" w:hAnsi="Times New Roman"/>
          <w:sz w:val="24"/>
          <w:szCs w:val="24"/>
        </w:rPr>
        <w:t>are</w:t>
      </w:r>
      <w:r w:rsidR="00C96F89">
        <w:rPr>
          <w:rFonts w:ascii="Times New Roman" w:hAnsi="Times New Roman"/>
          <w:sz w:val="24"/>
          <w:szCs w:val="24"/>
        </w:rPr>
        <w:t xml:space="preserve"> compatible with human rights as </w:t>
      </w:r>
      <w:r w:rsidR="00B3708F">
        <w:rPr>
          <w:rFonts w:ascii="Times New Roman" w:hAnsi="Times New Roman"/>
          <w:sz w:val="24"/>
          <w:szCs w:val="24"/>
        </w:rPr>
        <w:t xml:space="preserve">they do </w:t>
      </w:r>
      <w:r w:rsidR="00C96F89">
        <w:rPr>
          <w:rFonts w:ascii="Times New Roman" w:hAnsi="Times New Roman"/>
          <w:sz w:val="24"/>
          <w:szCs w:val="24"/>
        </w:rPr>
        <w:t>not raise any human rights issues.</w:t>
      </w:r>
    </w:p>
    <w:sectPr w:rsidR="00C96F89" w:rsidSect="003D5032">
      <w:footerReference w:type="default" r:id="rId18"/>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8510" w14:textId="77777777" w:rsidR="00F5607A" w:rsidRDefault="00F5607A" w:rsidP="00DF7DA0">
      <w:r>
        <w:separator/>
      </w:r>
    </w:p>
  </w:endnote>
  <w:endnote w:type="continuationSeparator" w:id="0">
    <w:p w14:paraId="74FCDCB3" w14:textId="77777777" w:rsidR="00F5607A" w:rsidRDefault="00F5607A" w:rsidP="00DF7DA0">
      <w:r>
        <w:continuationSeparator/>
      </w:r>
    </w:p>
  </w:endnote>
  <w:endnote w:type="continuationNotice" w:id="1">
    <w:p w14:paraId="0AEBB930" w14:textId="77777777" w:rsidR="002A7346" w:rsidRDefault="002A7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678C" w14:textId="77777777" w:rsidR="00F5607A" w:rsidRDefault="00F5607A" w:rsidP="00DF7DA0">
      <w:r>
        <w:separator/>
      </w:r>
    </w:p>
  </w:footnote>
  <w:footnote w:type="continuationSeparator" w:id="0">
    <w:p w14:paraId="183B1CE9" w14:textId="77777777" w:rsidR="00F5607A" w:rsidRDefault="00F5607A" w:rsidP="00DF7DA0">
      <w:r>
        <w:continuationSeparator/>
      </w:r>
    </w:p>
  </w:footnote>
  <w:footnote w:type="continuationNotice" w:id="1">
    <w:p w14:paraId="1E61F0D8" w14:textId="77777777" w:rsidR="002A7346" w:rsidRDefault="002A7346"/>
  </w:footnote>
  <w:footnote w:id="2">
    <w:p w14:paraId="3CDF24D9" w14:textId="77777777" w:rsidR="00A67708" w:rsidRPr="00424934" w:rsidRDefault="00A67708" w:rsidP="00A67708">
      <w:pPr>
        <w:pStyle w:val="FootnoteText"/>
        <w:rPr>
          <w:rFonts w:ascii="Times New Roman" w:hAnsi="Times New Roman"/>
        </w:rPr>
      </w:pPr>
      <w:r w:rsidRPr="001E4AB6">
        <w:rPr>
          <w:rStyle w:val="FootnoteReference"/>
          <w:rFonts w:ascii="Times New Roman" w:hAnsi="Times New Roman"/>
        </w:rPr>
        <w:footnoteRef/>
      </w:r>
      <w:r w:rsidRPr="001E4AB6">
        <w:rPr>
          <w:rFonts w:ascii="Times New Roman" w:hAnsi="Times New Roman"/>
        </w:rPr>
        <w:t xml:space="preserve"> </w:t>
      </w:r>
      <w:r w:rsidRPr="00424934">
        <w:rPr>
          <w:rFonts w:ascii="Times New Roman" w:hAnsi="Times New Roman"/>
        </w:rPr>
        <w:t>Subsection 9</w:t>
      </w:r>
      <w:proofErr w:type="gramStart"/>
      <w:r w:rsidRPr="00424934">
        <w:rPr>
          <w:rFonts w:ascii="Times New Roman" w:hAnsi="Times New Roman"/>
        </w:rPr>
        <w:t>A(</w:t>
      </w:r>
      <w:proofErr w:type="gramEnd"/>
      <w:r w:rsidRPr="00424934">
        <w:rPr>
          <w:rFonts w:ascii="Times New Roman" w:hAnsi="Times New Roman"/>
        </w:rPr>
        <w:t>4) of the Act specifically provides that APRA does not need to consult where APRA is satisfied that doing so could result in a delay in revocation that would be:</w:t>
      </w:r>
    </w:p>
    <w:p w14:paraId="57957BD0"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national interest; or</w:t>
      </w:r>
    </w:p>
    <w:p w14:paraId="1CBBB262"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interests of depositors with the ADI.</w:t>
      </w:r>
    </w:p>
  </w:footnote>
  <w:footnote w:id="3">
    <w:p w14:paraId="64F067EC" w14:textId="77777777" w:rsidR="00DF46C1" w:rsidRPr="0079493E" w:rsidRDefault="00DF46C1" w:rsidP="00DF46C1">
      <w:pPr>
        <w:pStyle w:val="FootnoteText"/>
        <w:rPr>
          <w:rFonts w:ascii="Times New Roman" w:hAnsi="Times New Roman"/>
        </w:rPr>
      </w:pPr>
      <w:r w:rsidRPr="0079493E">
        <w:rPr>
          <w:rStyle w:val="FootnoteReference"/>
          <w:rFonts w:ascii="Times New Roman" w:hAnsi="Times New Roman"/>
        </w:rPr>
        <w:footnoteRef/>
      </w:r>
      <w:r w:rsidRPr="0079493E">
        <w:rPr>
          <w:rFonts w:ascii="Times New Roman" w:hAnsi="Times New Roman"/>
        </w:rPr>
        <w:t xml:space="preserve"> </w:t>
      </w:r>
      <w:hyperlink r:id="rId1" w:history="1">
        <w:r w:rsidRPr="0079493E">
          <w:rPr>
            <w:rStyle w:val="Hyperlink"/>
            <w:rFonts w:ascii="Times New Roman" w:hAnsi="Times New Roman"/>
          </w:rPr>
          <w:t>Revisions to the capital framework for authorised deposit-taking institutions | APRA</w:t>
        </w:r>
      </w:hyperlink>
    </w:p>
  </w:footnote>
  <w:footnote w:id="4">
    <w:p w14:paraId="67C2F10E" w14:textId="77777777" w:rsidR="00262D5D" w:rsidRPr="00262D5D" w:rsidRDefault="00262D5D" w:rsidP="00262D5D">
      <w:pPr>
        <w:pStyle w:val="CommentText"/>
        <w:rPr>
          <w:rFonts w:ascii="Times New Roman" w:hAnsi="Times New Roman"/>
        </w:rPr>
      </w:pPr>
      <w:r w:rsidRPr="00262D5D">
        <w:rPr>
          <w:rStyle w:val="FootnoteReference"/>
          <w:rFonts w:ascii="Times New Roman" w:hAnsi="Times New Roman"/>
        </w:rPr>
        <w:footnoteRef/>
      </w:r>
      <w:r w:rsidRPr="00262D5D">
        <w:rPr>
          <w:rFonts w:ascii="Times New Roman" w:hAnsi="Times New Roman"/>
        </w:rPr>
        <w:t xml:space="preserve"> Consultation: </w:t>
      </w:r>
      <w:hyperlink r:id="rId2" w:history="1">
        <w:r w:rsidRPr="00262D5D">
          <w:rPr>
            <w:rStyle w:val="Hyperlink"/>
            <w:rFonts w:ascii="Times New Roman" w:hAnsi="Times New Roman"/>
          </w:rPr>
          <w:t>Consultation on minor amendments to centralise the definition of a significant financial institution | APRA</w:t>
        </w:r>
      </w:hyperlink>
    </w:p>
    <w:p w14:paraId="6579C3E6" w14:textId="3CA692E2" w:rsidR="00262D5D" w:rsidRDefault="00262D5D" w:rsidP="00262D5D">
      <w:pPr>
        <w:pStyle w:val="FootnoteText"/>
      </w:pPr>
      <w:r w:rsidRPr="00262D5D">
        <w:rPr>
          <w:rFonts w:ascii="Times New Roman" w:hAnsi="Times New Roman"/>
        </w:rPr>
        <w:t xml:space="preserve">Response: </w:t>
      </w:r>
      <w:hyperlink r:id="rId3" w:history="1">
        <w:r w:rsidRPr="00262D5D">
          <w:rPr>
            <w:rStyle w:val="Hyperlink"/>
            <w:rFonts w:ascii="Times New Roman" w:hAnsi="Times New Roman"/>
          </w:rPr>
          <w:t>Minor amendments to centralise the definition of a signification financial institution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A47E1"/>
    <w:multiLevelType w:val="multilevel"/>
    <w:tmpl w:val="8E2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0C3100"/>
    <w:multiLevelType w:val="hybridMultilevel"/>
    <w:tmpl w:val="9CF020F0"/>
    <w:lvl w:ilvl="0" w:tplc="A7760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D380D"/>
    <w:multiLevelType w:val="hybridMultilevel"/>
    <w:tmpl w:val="27D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0A5C6E"/>
    <w:multiLevelType w:val="hybridMultilevel"/>
    <w:tmpl w:val="5E38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3"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926C1B"/>
    <w:multiLevelType w:val="hybridMultilevel"/>
    <w:tmpl w:val="1486B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21"/>
  </w:num>
  <w:num w:numId="4">
    <w:abstractNumId w:val="12"/>
  </w:num>
  <w:num w:numId="5">
    <w:abstractNumId w:val="15"/>
  </w:num>
  <w:num w:numId="6">
    <w:abstractNumId w:val="10"/>
  </w:num>
  <w:num w:numId="7">
    <w:abstractNumId w:val="4"/>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7"/>
  </w:num>
  <w:num w:numId="13">
    <w:abstractNumId w:val="2"/>
  </w:num>
  <w:num w:numId="14">
    <w:abstractNumId w:val="18"/>
  </w:num>
  <w:num w:numId="15">
    <w:abstractNumId w:val="11"/>
  </w:num>
  <w:num w:numId="16">
    <w:abstractNumId w:val="0"/>
  </w:num>
  <w:num w:numId="17">
    <w:abstractNumId w:val="14"/>
  </w:num>
  <w:num w:numId="18">
    <w:abstractNumId w:val="7"/>
  </w:num>
  <w:num w:numId="19">
    <w:abstractNumId w:val="23"/>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60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0781C"/>
    <w:rsid w:val="000158EF"/>
    <w:rsid w:val="000163DA"/>
    <w:rsid w:val="00021289"/>
    <w:rsid w:val="000215DC"/>
    <w:rsid w:val="00024376"/>
    <w:rsid w:val="000253FE"/>
    <w:rsid w:val="00026FE6"/>
    <w:rsid w:val="00030D8E"/>
    <w:rsid w:val="00032954"/>
    <w:rsid w:val="00032D2F"/>
    <w:rsid w:val="00033472"/>
    <w:rsid w:val="00033719"/>
    <w:rsid w:val="000401FC"/>
    <w:rsid w:val="00041D79"/>
    <w:rsid w:val="00046A6F"/>
    <w:rsid w:val="00052CB8"/>
    <w:rsid w:val="000553BA"/>
    <w:rsid w:val="00055F46"/>
    <w:rsid w:val="000603CD"/>
    <w:rsid w:val="00074405"/>
    <w:rsid w:val="00076746"/>
    <w:rsid w:val="00081F20"/>
    <w:rsid w:val="00082F34"/>
    <w:rsid w:val="00087331"/>
    <w:rsid w:val="00093092"/>
    <w:rsid w:val="000948D5"/>
    <w:rsid w:val="000A1056"/>
    <w:rsid w:val="000B1530"/>
    <w:rsid w:val="000B4113"/>
    <w:rsid w:val="000B6A84"/>
    <w:rsid w:val="000B7C60"/>
    <w:rsid w:val="000C463A"/>
    <w:rsid w:val="000C5577"/>
    <w:rsid w:val="000C6F1E"/>
    <w:rsid w:val="000D2BE7"/>
    <w:rsid w:val="000D5651"/>
    <w:rsid w:val="000D5862"/>
    <w:rsid w:val="000D67F2"/>
    <w:rsid w:val="000D6E3B"/>
    <w:rsid w:val="000E0D8E"/>
    <w:rsid w:val="000E20E2"/>
    <w:rsid w:val="000E369C"/>
    <w:rsid w:val="000E3FB9"/>
    <w:rsid w:val="000E6CBC"/>
    <w:rsid w:val="00100E9E"/>
    <w:rsid w:val="001012A1"/>
    <w:rsid w:val="00101685"/>
    <w:rsid w:val="00103911"/>
    <w:rsid w:val="00106BEA"/>
    <w:rsid w:val="001125C1"/>
    <w:rsid w:val="00113103"/>
    <w:rsid w:val="001204F5"/>
    <w:rsid w:val="001214C9"/>
    <w:rsid w:val="00123B5A"/>
    <w:rsid w:val="00124EEC"/>
    <w:rsid w:val="00131682"/>
    <w:rsid w:val="001316D4"/>
    <w:rsid w:val="0013417B"/>
    <w:rsid w:val="001405A6"/>
    <w:rsid w:val="00140EC3"/>
    <w:rsid w:val="001439B6"/>
    <w:rsid w:val="001474AE"/>
    <w:rsid w:val="00151572"/>
    <w:rsid w:val="00151FF1"/>
    <w:rsid w:val="00153D98"/>
    <w:rsid w:val="0015432B"/>
    <w:rsid w:val="00155C61"/>
    <w:rsid w:val="00155C7D"/>
    <w:rsid w:val="0016033A"/>
    <w:rsid w:val="001605CF"/>
    <w:rsid w:val="0016121B"/>
    <w:rsid w:val="00161F97"/>
    <w:rsid w:val="0016350D"/>
    <w:rsid w:val="00163FA0"/>
    <w:rsid w:val="00167353"/>
    <w:rsid w:val="00173010"/>
    <w:rsid w:val="00175006"/>
    <w:rsid w:val="00176C66"/>
    <w:rsid w:val="00176CAA"/>
    <w:rsid w:val="00181947"/>
    <w:rsid w:val="00181B0B"/>
    <w:rsid w:val="00182FA1"/>
    <w:rsid w:val="00184824"/>
    <w:rsid w:val="00184C5D"/>
    <w:rsid w:val="0018700E"/>
    <w:rsid w:val="0019411E"/>
    <w:rsid w:val="00194368"/>
    <w:rsid w:val="00195547"/>
    <w:rsid w:val="001A0522"/>
    <w:rsid w:val="001A211A"/>
    <w:rsid w:val="001A34FC"/>
    <w:rsid w:val="001A3669"/>
    <w:rsid w:val="001A3909"/>
    <w:rsid w:val="001A4AE0"/>
    <w:rsid w:val="001A5C6E"/>
    <w:rsid w:val="001A65F3"/>
    <w:rsid w:val="001B0824"/>
    <w:rsid w:val="001B1FC6"/>
    <w:rsid w:val="001B2B36"/>
    <w:rsid w:val="001B6449"/>
    <w:rsid w:val="001C1476"/>
    <w:rsid w:val="001C4686"/>
    <w:rsid w:val="001C652F"/>
    <w:rsid w:val="001C768E"/>
    <w:rsid w:val="001C7ED5"/>
    <w:rsid w:val="001D2931"/>
    <w:rsid w:val="001D450C"/>
    <w:rsid w:val="001D7721"/>
    <w:rsid w:val="001E0E90"/>
    <w:rsid w:val="001E1EB7"/>
    <w:rsid w:val="001E2027"/>
    <w:rsid w:val="001F1893"/>
    <w:rsid w:val="001F28D6"/>
    <w:rsid w:val="001F43C9"/>
    <w:rsid w:val="001F5C68"/>
    <w:rsid w:val="00200775"/>
    <w:rsid w:val="00203971"/>
    <w:rsid w:val="002065D8"/>
    <w:rsid w:val="002074F6"/>
    <w:rsid w:val="00210223"/>
    <w:rsid w:val="00214AC2"/>
    <w:rsid w:val="00223ADB"/>
    <w:rsid w:val="0022492A"/>
    <w:rsid w:val="002258F0"/>
    <w:rsid w:val="00225B2B"/>
    <w:rsid w:val="00225DA1"/>
    <w:rsid w:val="002260E9"/>
    <w:rsid w:val="00230508"/>
    <w:rsid w:val="00230E0F"/>
    <w:rsid w:val="00236383"/>
    <w:rsid w:val="002363B3"/>
    <w:rsid w:val="0023677A"/>
    <w:rsid w:val="0024170E"/>
    <w:rsid w:val="00242DB4"/>
    <w:rsid w:val="002436BD"/>
    <w:rsid w:val="00244101"/>
    <w:rsid w:val="00246234"/>
    <w:rsid w:val="00246723"/>
    <w:rsid w:val="00246D8E"/>
    <w:rsid w:val="002472E4"/>
    <w:rsid w:val="002510AD"/>
    <w:rsid w:val="00251253"/>
    <w:rsid w:val="0025217D"/>
    <w:rsid w:val="00254901"/>
    <w:rsid w:val="0025526F"/>
    <w:rsid w:val="00255A16"/>
    <w:rsid w:val="00256186"/>
    <w:rsid w:val="00260347"/>
    <w:rsid w:val="00261685"/>
    <w:rsid w:val="00262D5D"/>
    <w:rsid w:val="00264496"/>
    <w:rsid w:val="002648B3"/>
    <w:rsid w:val="00264A79"/>
    <w:rsid w:val="0026634D"/>
    <w:rsid w:val="002717A9"/>
    <w:rsid w:val="002718E3"/>
    <w:rsid w:val="00275838"/>
    <w:rsid w:val="00277866"/>
    <w:rsid w:val="00281CAE"/>
    <w:rsid w:val="00287FDE"/>
    <w:rsid w:val="00293739"/>
    <w:rsid w:val="002968BC"/>
    <w:rsid w:val="00297A92"/>
    <w:rsid w:val="002A1389"/>
    <w:rsid w:val="002A3603"/>
    <w:rsid w:val="002A66B3"/>
    <w:rsid w:val="002A7346"/>
    <w:rsid w:val="002A73BD"/>
    <w:rsid w:val="002B14C3"/>
    <w:rsid w:val="002B19D6"/>
    <w:rsid w:val="002B22B2"/>
    <w:rsid w:val="002B4366"/>
    <w:rsid w:val="002B4F91"/>
    <w:rsid w:val="002B6263"/>
    <w:rsid w:val="002B7363"/>
    <w:rsid w:val="002C00AA"/>
    <w:rsid w:val="002C2503"/>
    <w:rsid w:val="002C322D"/>
    <w:rsid w:val="002D0CDC"/>
    <w:rsid w:val="002D2F9E"/>
    <w:rsid w:val="002D5FDB"/>
    <w:rsid w:val="002E0198"/>
    <w:rsid w:val="002E54B4"/>
    <w:rsid w:val="00302E64"/>
    <w:rsid w:val="0030324A"/>
    <w:rsid w:val="0030341C"/>
    <w:rsid w:val="0030482B"/>
    <w:rsid w:val="00304DD4"/>
    <w:rsid w:val="0030506B"/>
    <w:rsid w:val="00306B75"/>
    <w:rsid w:val="00306C0F"/>
    <w:rsid w:val="00307376"/>
    <w:rsid w:val="0031077C"/>
    <w:rsid w:val="003116CA"/>
    <w:rsid w:val="003136B2"/>
    <w:rsid w:val="003159B0"/>
    <w:rsid w:val="00317EFB"/>
    <w:rsid w:val="0032304B"/>
    <w:rsid w:val="00326286"/>
    <w:rsid w:val="00331020"/>
    <w:rsid w:val="00331B77"/>
    <w:rsid w:val="00334602"/>
    <w:rsid w:val="00334842"/>
    <w:rsid w:val="00334DD1"/>
    <w:rsid w:val="00335AD4"/>
    <w:rsid w:val="003370CF"/>
    <w:rsid w:val="003407EF"/>
    <w:rsid w:val="00340D2E"/>
    <w:rsid w:val="00341986"/>
    <w:rsid w:val="003449C6"/>
    <w:rsid w:val="00345413"/>
    <w:rsid w:val="003505B6"/>
    <w:rsid w:val="00354CB8"/>
    <w:rsid w:val="00360F60"/>
    <w:rsid w:val="0037326B"/>
    <w:rsid w:val="00374FCE"/>
    <w:rsid w:val="003811BB"/>
    <w:rsid w:val="00381AC2"/>
    <w:rsid w:val="0038380C"/>
    <w:rsid w:val="003863A2"/>
    <w:rsid w:val="003866AD"/>
    <w:rsid w:val="003A0216"/>
    <w:rsid w:val="003B12B6"/>
    <w:rsid w:val="003B385B"/>
    <w:rsid w:val="003B3CF0"/>
    <w:rsid w:val="003C2A63"/>
    <w:rsid w:val="003C600C"/>
    <w:rsid w:val="003D37CC"/>
    <w:rsid w:val="003D5032"/>
    <w:rsid w:val="003D77F1"/>
    <w:rsid w:val="003E22BA"/>
    <w:rsid w:val="003E4D3A"/>
    <w:rsid w:val="003F02C4"/>
    <w:rsid w:val="003F0930"/>
    <w:rsid w:val="003F5A8B"/>
    <w:rsid w:val="003F6B96"/>
    <w:rsid w:val="003F6F5E"/>
    <w:rsid w:val="0040175E"/>
    <w:rsid w:val="00404963"/>
    <w:rsid w:val="00406A52"/>
    <w:rsid w:val="00406E3D"/>
    <w:rsid w:val="004110B6"/>
    <w:rsid w:val="00415E6F"/>
    <w:rsid w:val="00422164"/>
    <w:rsid w:val="004262B9"/>
    <w:rsid w:val="00430342"/>
    <w:rsid w:val="00432F20"/>
    <w:rsid w:val="00443A02"/>
    <w:rsid w:val="00444533"/>
    <w:rsid w:val="004474D7"/>
    <w:rsid w:val="00450F39"/>
    <w:rsid w:val="00452784"/>
    <w:rsid w:val="00454AB4"/>
    <w:rsid w:val="0045565C"/>
    <w:rsid w:val="00457C57"/>
    <w:rsid w:val="004612EE"/>
    <w:rsid w:val="00462C7E"/>
    <w:rsid w:val="004630F3"/>
    <w:rsid w:val="00464220"/>
    <w:rsid w:val="004670AB"/>
    <w:rsid w:val="004700CD"/>
    <w:rsid w:val="00470375"/>
    <w:rsid w:val="00475042"/>
    <w:rsid w:val="00481543"/>
    <w:rsid w:val="00487A61"/>
    <w:rsid w:val="00492A3F"/>
    <w:rsid w:val="004A0256"/>
    <w:rsid w:val="004A058E"/>
    <w:rsid w:val="004A0949"/>
    <w:rsid w:val="004A27A2"/>
    <w:rsid w:val="004B28D4"/>
    <w:rsid w:val="004B6E09"/>
    <w:rsid w:val="004B762D"/>
    <w:rsid w:val="004C0AA9"/>
    <w:rsid w:val="004C22D4"/>
    <w:rsid w:val="004C2DF7"/>
    <w:rsid w:val="004C3512"/>
    <w:rsid w:val="004C3D07"/>
    <w:rsid w:val="004C446A"/>
    <w:rsid w:val="004C486D"/>
    <w:rsid w:val="004C48D5"/>
    <w:rsid w:val="004C6CCA"/>
    <w:rsid w:val="004D2FEC"/>
    <w:rsid w:val="004D4579"/>
    <w:rsid w:val="004D51FA"/>
    <w:rsid w:val="004D55F9"/>
    <w:rsid w:val="004E0023"/>
    <w:rsid w:val="004E2008"/>
    <w:rsid w:val="004E7007"/>
    <w:rsid w:val="004E7E37"/>
    <w:rsid w:val="004F461B"/>
    <w:rsid w:val="00506F04"/>
    <w:rsid w:val="0050761F"/>
    <w:rsid w:val="005231EC"/>
    <w:rsid w:val="00524867"/>
    <w:rsid w:val="00527BF9"/>
    <w:rsid w:val="00530C96"/>
    <w:rsid w:val="0054247B"/>
    <w:rsid w:val="00550E24"/>
    <w:rsid w:val="00551316"/>
    <w:rsid w:val="00556C43"/>
    <w:rsid w:val="0056141D"/>
    <w:rsid w:val="00561AA4"/>
    <w:rsid w:val="00563DEC"/>
    <w:rsid w:val="005646CC"/>
    <w:rsid w:val="00564B46"/>
    <w:rsid w:val="0056779E"/>
    <w:rsid w:val="0057164B"/>
    <w:rsid w:val="00571FE0"/>
    <w:rsid w:val="005739A3"/>
    <w:rsid w:val="0057432D"/>
    <w:rsid w:val="005753C3"/>
    <w:rsid w:val="005774C2"/>
    <w:rsid w:val="00577BE2"/>
    <w:rsid w:val="0058163B"/>
    <w:rsid w:val="0058338D"/>
    <w:rsid w:val="005837F8"/>
    <w:rsid w:val="00585AAA"/>
    <w:rsid w:val="005865C9"/>
    <w:rsid w:val="00590D84"/>
    <w:rsid w:val="00593611"/>
    <w:rsid w:val="00596D2F"/>
    <w:rsid w:val="005A1AED"/>
    <w:rsid w:val="005A64AF"/>
    <w:rsid w:val="005B2AA2"/>
    <w:rsid w:val="005B616F"/>
    <w:rsid w:val="005B6265"/>
    <w:rsid w:val="005C087B"/>
    <w:rsid w:val="005D05B1"/>
    <w:rsid w:val="005D57D5"/>
    <w:rsid w:val="005D6A67"/>
    <w:rsid w:val="005E0E92"/>
    <w:rsid w:val="005E1A05"/>
    <w:rsid w:val="005E3EC1"/>
    <w:rsid w:val="005E4984"/>
    <w:rsid w:val="005E5000"/>
    <w:rsid w:val="005E5910"/>
    <w:rsid w:val="005E5C3B"/>
    <w:rsid w:val="005F13AB"/>
    <w:rsid w:val="005F1EA0"/>
    <w:rsid w:val="005F1FCB"/>
    <w:rsid w:val="005F5F48"/>
    <w:rsid w:val="00607931"/>
    <w:rsid w:val="00611BE6"/>
    <w:rsid w:val="00613272"/>
    <w:rsid w:val="00613CBF"/>
    <w:rsid w:val="00616A26"/>
    <w:rsid w:val="00622480"/>
    <w:rsid w:val="00623DEC"/>
    <w:rsid w:val="0062665C"/>
    <w:rsid w:val="006315F1"/>
    <w:rsid w:val="00631A18"/>
    <w:rsid w:val="0063727D"/>
    <w:rsid w:val="00637C41"/>
    <w:rsid w:val="00637E3B"/>
    <w:rsid w:val="00642E13"/>
    <w:rsid w:val="006456EC"/>
    <w:rsid w:val="00647D58"/>
    <w:rsid w:val="006510B4"/>
    <w:rsid w:val="006519F1"/>
    <w:rsid w:val="00653754"/>
    <w:rsid w:val="006540A3"/>
    <w:rsid w:val="00657678"/>
    <w:rsid w:val="00657991"/>
    <w:rsid w:val="00660970"/>
    <w:rsid w:val="00663606"/>
    <w:rsid w:val="00665036"/>
    <w:rsid w:val="00666C87"/>
    <w:rsid w:val="0066754C"/>
    <w:rsid w:val="00677F9B"/>
    <w:rsid w:val="00682504"/>
    <w:rsid w:val="00682865"/>
    <w:rsid w:val="0068499E"/>
    <w:rsid w:val="00684F73"/>
    <w:rsid w:val="00686360"/>
    <w:rsid w:val="00691752"/>
    <w:rsid w:val="00692825"/>
    <w:rsid w:val="00694691"/>
    <w:rsid w:val="0069643C"/>
    <w:rsid w:val="00697007"/>
    <w:rsid w:val="00697DCA"/>
    <w:rsid w:val="006A2052"/>
    <w:rsid w:val="006A2D46"/>
    <w:rsid w:val="006A307C"/>
    <w:rsid w:val="006A31B7"/>
    <w:rsid w:val="006A3972"/>
    <w:rsid w:val="006B093F"/>
    <w:rsid w:val="006B0AA3"/>
    <w:rsid w:val="006B0C64"/>
    <w:rsid w:val="006B1B0F"/>
    <w:rsid w:val="006B1C10"/>
    <w:rsid w:val="006B3864"/>
    <w:rsid w:val="006B7141"/>
    <w:rsid w:val="006C051B"/>
    <w:rsid w:val="006C14B6"/>
    <w:rsid w:val="006D0EF5"/>
    <w:rsid w:val="006D3918"/>
    <w:rsid w:val="006D412F"/>
    <w:rsid w:val="006E1027"/>
    <w:rsid w:val="006E1841"/>
    <w:rsid w:val="006F1530"/>
    <w:rsid w:val="006F74E9"/>
    <w:rsid w:val="00700EE7"/>
    <w:rsid w:val="00700FA0"/>
    <w:rsid w:val="007019AA"/>
    <w:rsid w:val="00701BB7"/>
    <w:rsid w:val="007031F4"/>
    <w:rsid w:val="007049CF"/>
    <w:rsid w:val="00707E47"/>
    <w:rsid w:val="00711543"/>
    <w:rsid w:val="00712117"/>
    <w:rsid w:val="007177EC"/>
    <w:rsid w:val="00720FEF"/>
    <w:rsid w:val="00725FBD"/>
    <w:rsid w:val="00727749"/>
    <w:rsid w:val="00734AD9"/>
    <w:rsid w:val="0073684B"/>
    <w:rsid w:val="007368AD"/>
    <w:rsid w:val="00736948"/>
    <w:rsid w:val="00736FE2"/>
    <w:rsid w:val="00740770"/>
    <w:rsid w:val="00741999"/>
    <w:rsid w:val="007428D4"/>
    <w:rsid w:val="00746477"/>
    <w:rsid w:val="007470AC"/>
    <w:rsid w:val="00747A74"/>
    <w:rsid w:val="00747AFF"/>
    <w:rsid w:val="00750069"/>
    <w:rsid w:val="007518EF"/>
    <w:rsid w:val="007522BC"/>
    <w:rsid w:val="00753C27"/>
    <w:rsid w:val="0075455C"/>
    <w:rsid w:val="007548D7"/>
    <w:rsid w:val="00756692"/>
    <w:rsid w:val="007624D6"/>
    <w:rsid w:val="007642B0"/>
    <w:rsid w:val="007714AB"/>
    <w:rsid w:val="00774569"/>
    <w:rsid w:val="00774922"/>
    <w:rsid w:val="00775D67"/>
    <w:rsid w:val="00781001"/>
    <w:rsid w:val="00782239"/>
    <w:rsid w:val="007854D5"/>
    <w:rsid w:val="00785CDC"/>
    <w:rsid w:val="0079493E"/>
    <w:rsid w:val="00795B00"/>
    <w:rsid w:val="00796561"/>
    <w:rsid w:val="00797A43"/>
    <w:rsid w:val="007A12E3"/>
    <w:rsid w:val="007A16FA"/>
    <w:rsid w:val="007C0929"/>
    <w:rsid w:val="007C1467"/>
    <w:rsid w:val="007C65E9"/>
    <w:rsid w:val="007D0C1B"/>
    <w:rsid w:val="007D0D50"/>
    <w:rsid w:val="007D0DC1"/>
    <w:rsid w:val="007D193D"/>
    <w:rsid w:val="007D436D"/>
    <w:rsid w:val="007D4979"/>
    <w:rsid w:val="007D54D3"/>
    <w:rsid w:val="007E260A"/>
    <w:rsid w:val="007E3847"/>
    <w:rsid w:val="007E4B2A"/>
    <w:rsid w:val="007F1549"/>
    <w:rsid w:val="007F352B"/>
    <w:rsid w:val="007F3864"/>
    <w:rsid w:val="007F4C8C"/>
    <w:rsid w:val="008013BB"/>
    <w:rsid w:val="00802C53"/>
    <w:rsid w:val="00810661"/>
    <w:rsid w:val="00812229"/>
    <w:rsid w:val="00814176"/>
    <w:rsid w:val="00815A3A"/>
    <w:rsid w:val="00817E9C"/>
    <w:rsid w:val="00824626"/>
    <w:rsid w:val="00827579"/>
    <w:rsid w:val="00830F66"/>
    <w:rsid w:val="00830F68"/>
    <w:rsid w:val="008317DC"/>
    <w:rsid w:val="008346CE"/>
    <w:rsid w:val="00836187"/>
    <w:rsid w:val="0083775D"/>
    <w:rsid w:val="00841A6F"/>
    <w:rsid w:val="008427A8"/>
    <w:rsid w:val="00843A5A"/>
    <w:rsid w:val="00853BA6"/>
    <w:rsid w:val="00867F26"/>
    <w:rsid w:val="008744AE"/>
    <w:rsid w:val="00876BA0"/>
    <w:rsid w:val="00877DB9"/>
    <w:rsid w:val="00881873"/>
    <w:rsid w:val="00885F41"/>
    <w:rsid w:val="00892F2E"/>
    <w:rsid w:val="008958DE"/>
    <w:rsid w:val="00896F90"/>
    <w:rsid w:val="008A16E2"/>
    <w:rsid w:val="008A3C0F"/>
    <w:rsid w:val="008A3FAD"/>
    <w:rsid w:val="008A46E0"/>
    <w:rsid w:val="008A492B"/>
    <w:rsid w:val="008A6BD9"/>
    <w:rsid w:val="008B2BEF"/>
    <w:rsid w:val="008B5649"/>
    <w:rsid w:val="008C02E3"/>
    <w:rsid w:val="008C0C2E"/>
    <w:rsid w:val="008C7C30"/>
    <w:rsid w:val="008C7C92"/>
    <w:rsid w:val="008D367D"/>
    <w:rsid w:val="008D41FF"/>
    <w:rsid w:val="008D553D"/>
    <w:rsid w:val="008D6619"/>
    <w:rsid w:val="008E033E"/>
    <w:rsid w:val="008E59A6"/>
    <w:rsid w:val="008E767D"/>
    <w:rsid w:val="008F738B"/>
    <w:rsid w:val="008F78A6"/>
    <w:rsid w:val="00901714"/>
    <w:rsid w:val="00905954"/>
    <w:rsid w:val="00910332"/>
    <w:rsid w:val="009120F1"/>
    <w:rsid w:val="00914225"/>
    <w:rsid w:val="009143BA"/>
    <w:rsid w:val="00914714"/>
    <w:rsid w:val="00922E88"/>
    <w:rsid w:val="00923B91"/>
    <w:rsid w:val="009265F8"/>
    <w:rsid w:val="00927091"/>
    <w:rsid w:val="00927539"/>
    <w:rsid w:val="009278BD"/>
    <w:rsid w:val="00930D02"/>
    <w:rsid w:val="00932A8E"/>
    <w:rsid w:val="00932EFA"/>
    <w:rsid w:val="00935C58"/>
    <w:rsid w:val="0093707D"/>
    <w:rsid w:val="009405E2"/>
    <w:rsid w:val="00941494"/>
    <w:rsid w:val="009418C9"/>
    <w:rsid w:val="00946D2A"/>
    <w:rsid w:val="00947AF1"/>
    <w:rsid w:val="009566F2"/>
    <w:rsid w:val="00957291"/>
    <w:rsid w:val="009669EA"/>
    <w:rsid w:val="00967D16"/>
    <w:rsid w:val="00970F2F"/>
    <w:rsid w:val="0097352F"/>
    <w:rsid w:val="00985082"/>
    <w:rsid w:val="009918FF"/>
    <w:rsid w:val="009927BF"/>
    <w:rsid w:val="00995B88"/>
    <w:rsid w:val="0099686A"/>
    <w:rsid w:val="0099752A"/>
    <w:rsid w:val="009A1B0F"/>
    <w:rsid w:val="009A1F01"/>
    <w:rsid w:val="009A2803"/>
    <w:rsid w:val="009A2C39"/>
    <w:rsid w:val="009B35A0"/>
    <w:rsid w:val="009C0CF5"/>
    <w:rsid w:val="009C1DC7"/>
    <w:rsid w:val="009C455A"/>
    <w:rsid w:val="009C5368"/>
    <w:rsid w:val="009C5A29"/>
    <w:rsid w:val="009C60CE"/>
    <w:rsid w:val="009D0B02"/>
    <w:rsid w:val="009D0B2C"/>
    <w:rsid w:val="009D1A85"/>
    <w:rsid w:val="009D2E63"/>
    <w:rsid w:val="009D4116"/>
    <w:rsid w:val="009D55CC"/>
    <w:rsid w:val="009D7882"/>
    <w:rsid w:val="009E0B92"/>
    <w:rsid w:val="009E5FC9"/>
    <w:rsid w:val="00A00614"/>
    <w:rsid w:val="00A127CF"/>
    <w:rsid w:val="00A146D9"/>
    <w:rsid w:val="00A1470D"/>
    <w:rsid w:val="00A14B46"/>
    <w:rsid w:val="00A16420"/>
    <w:rsid w:val="00A21711"/>
    <w:rsid w:val="00A23CAE"/>
    <w:rsid w:val="00A24A7A"/>
    <w:rsid w:val="00A25ED5"/>
    <w:rsid w:val="00A2653D"/>
    <w:rsid w:val="00A279AF"/>
    <w:rsid w:val="00A32010"/>
    <w:rsid w:val="00A334AA"/>
    <w:rsid w:val="00A338DC"/>
    <w:rsid w:val="00A341AD"/>
    <w:rsid w:val="00A40BF6"/>
    <w:rsid w:val="00A40DBF"/>
    <w:rsid w:val="00A4133B"/>
    <w:rsid w:val="00A4426E"/>
    <w:rsid w:val="00A44733"/>
    <w:rsid w:val="00A46ADB"/>
    <w:rsid w:val="00A4704C"/>
    <w:rsid w:val="00A52337"/>
    <w:rsid w:val="00A548E3"/>
    <w:rsid w:val="00A573C7"/>
    <w:rsid w:val="00A6296B"/>
    <w:rsid w:val="00A6325C"/>
    <w:rsid w:val="00A63A2B"/>
    <w:rsid w:val="00A67708"/>
    <w:rsid w:val="00A707FD"/>
    <w:rsid w:val="00A70EA7"/>
    <w:rsid w:val="00A71EDF"/>
    <w:rsid w:val="00A762CF"/>
    <w:rsid w:val="00A816E2"/>
    <w:rsid w:val="00A824C6"/>
    <w:rsid w:val="00A82FA1"/>
    <w:rsid w:val="00A83F47"/>
    <w:rsid w:val="00A84101"/>
    <w:rsid w:val="00A84AB9"/>
    <w:rsid w:val="00A84C3C"/>
    <w:rsid w:val="00A85E0A"/>
    <w:rsid w:val="00A871FD"/>
    <w:rsid w:val="00A90313"/>
    <w:rsid w:val="00A9040D"/>
    <w:rsid w:val="00A91DB5"/>
    <w:rsid w:val="00A94110"/>
    <w:rsid w:val="00A9679A"/>
    <w:rsid w:val="00A97698"/>
    <w:rsid w:val="00AA0B3F"/>
    <w:rsid w:val="00AA1C32"/>
    <w:rsid w:val="00AA27D4"/>
    <w:rsid w:val="00AA530F"/>
    <w:rsid w:val="00AA5824"/>
    <w:rsid w:val="00AA6ED5"/>
    <w:rsid w:val="00AB3496"/>
    <w:rsid w:val="00AC07DF"/>
    <w:rsid w:val="00AC1C4C"/>
    <w:rsid w:val="00AC2517"/>
    <w:rsid w:val="00AC4DF1"/>
    <w:rsid w:val="00AC61D6"/>
    <w:rsid w:val="00AC7A56"/>
    <w:rsid w:val="00AD28EC"/>
    <w:rsid w:val="00AD4286"/>
    <w:rsid w:val="00AD455A"/>
    <w:rsid w:val="00AD596C"/>
    <w:rsid w:val="00AD5AEB"/>
    <w:rsid w:val="00AD6339"/>
    <w:rsid w:val="00AE13E9"/>
    <w:rsid w:val="00AE1840"/>
    <w:rsid w:val="00AE491C"/>
    <w:rsid w:val="00AE4B9E"/>
    <w:rsid w:val="00AE7400"/>
    <w:rsid w:val="00AE7A2C"/>
    <w:rsid w:val="00AF08A3"/>
    <w:rsid w:val="00AF5FB2"/>
    <w:rsid w:val="00AF7398"/>
    <w:rsid w:val="00B0249D"/>
    <w:rsid w:val="00B0328C"/>
    <w:rsid w:val="00B04B20"/>
    <w:rsid w:val="00B132E1"/>
    <w:rsid w:val="00B14899"/>
    <w:rsid w:val="00B16685"/>
    <w:rsid w:val="00B16B16"/>
    <w:rsid w:val="00B16DB2"/>
    <w:rsid w:val="00B20206"/>
    <w:rsid w:val="00B20E0D"/>
    <w:rsid w:val="00B219DF"/>
    <w:rsid w:val="00B23BC0"/>
    <w:rsid w:val="00B2458C"/>
    <w:rsid w:val="00B26D60"/>
    <w:rsid w:val="00B3289E"/>
    <w:rsid w:val="00B3708F"/>
    <w:rsid w:val="00B40821"/>
    <w:rsid w:val="00B40AD8"/>
    <w:rsid w:val="00B46CAC"/>
    <w:rsid w:val="00B50C2A"/>
    <w:rsid w:val="00B50C35"/>
    <w:rsid w:val="00B50DEF"/>
    <w:rsid w:val="00B52ACD"/>
    <w:rsid w:val="00B53143"/>
    <w:rsid w:val="00B53BF2"/>
    <w:rsid w:val="00B62417"/>
    <w:rsid w:val="00B64B2E"/>
    <w:rsid w:val="00B66C55"/>
    <w:rsid w:val="00B7057F"/>
    <w:rsid w:val="00B70F11"/>
    <w:rsid w:val="00B72D6A"/>
    <w:rsid w:val="00B76505"/>
    <w:rsid w:val="00B841F1"/>
    <w:rsid w:val="00B85B6E"/>
    <w:rsid w:val="00B902CA"/>
    <w:rsid w:val="00B93FA3"/>
    <w:rsid w:val="00B942D7"/>
    <w:rsid w:val="00BA067F"/>
    <w:rsid w:val="00BB0754"/>
    <w:rsid w:val="00BB1678"/>
    <w:rsid w:val="00BB37AD"/>
    <w:rsid w:val="00BB50E7"/>
    <w:rsid w:val="00BC0CE7"/>
    <w:rsid w:val="00BC2F49"/>
    <w:rsid w:val="00BD0DC8"/>
    <w:rsid w:val="00BD2728"/>
    <w:rsid w:val="00BE0C47"/>
    <w:rsid w:val="00BE25E6"/>
    <w:rsid w:val="00BF1B43"/>
    <w:rsid w:val="00BF2953"/>
    <w:rsid w:val="00BF2F59"/>
    <w:rsid w:val="00C021D8"/>
    <w:rsid w:val="00C04468"/>
    <w:rsid w:val="00C109AD"/>
    <w:rsid w:val="00C1226A"/>
    <w:rsid w:val="00C148E1"/>
    <w:rsid w:val="00C167E9"/>
    <w:rsid w:val="00C16C41"/>
    <w:rsid w:val="00C20BCA"/>
    <w:rsid w:val="00C302FA"/>
    <w:rsid w:val="00C30E88"/>
    <w:rsid w:val="00C40731"/>
    <w:rsid w:val="00C47238"/>
    <w:rsid w:val="00C47E0C"/>
    <w:rsid w:val="00C5357F"/>
    <w:rsid w:val="00C617BE"/>
    <w:rsid w:val="00C61AFD"/>
    <w:rsid w:val="00C63563"/>
    <w:rsid w:val="00C64FC6"/>
    <w:rsid w:val="00C70E5C"/>
    <w:rsid w:val="00C8253A"/>
    <w:rsid w:val="00C91041"/>
    <w:rsid w:val="00C91252"/>
    <w:rsid w:val="00C94088"/>
    <w:rsid w:val="00C948AA"/>
    <w:rsid w:val="00C96F89"/>
    <w:rsid w:val="00C97AB3"/>
    <w:rsid w:val="00CA59B5"/>
    <w:rsid w:val="00CA6CB3"/>
    <w:rsid w:val="00CA7EF1"/>
    <w:rsid w:val="00CB03B5"/>
    <w:rsid w:val="00CB384A"/>
    <w:rsid w:val="00CB5538"/>
    <w:rsid w:val="00CB7B07"/>
    <w:rsid w:val="00CC40A3"/>
    <w:rsid w:val="00CC45B3"/>
    <w:rsid w:val="00CC4A3B"/>
    <w:rsid w:val="00CD1947"/>
    <w:rsid w:val="00CD432A"/>
    <w:rsid w:val="00CE1BB4"/>
    <w:rsid w:val="00CF1D43"/>
    <w:rsid w:val="00CF2AB3"/>
    <w:rsid w:val="00CF6667"/>
    <w:rsid w:val="00CF7D89"/>
    <w:rsid w:val="00D0032F"/>
    <w:rsid w:val="00D03A8A"/>
    <w:rsid w:val="00D03AE0"/>
    <w:rsid w:val="00D05F48"/>
    <w:rsid w:val="00D05FA9"/>
    <w:rsid w:val="00D1077E"/>
    <w:rsid w:val="00D10961"/>
    <w:rsid w:val="00D11182"/>
    <w:rsid w:val="00D14060"/>
    <w:rsid w:val="00D146F9"/>
    <w:rsid w:val="00D1513F"/>
    <w:rsid w:val="00D17ABC"/>
    <w:rsid w:val="00D2097F"/>
    <w:rsid w:val="00D249EB"/>
    <w:rsid w:val="00D2697A"/>
    <w:rsid w:val="00D34AB4"/>
    <w:rsid w:val="00D36E88"/>
    <w:rsid w:val="00D40662"/>
    <w:rsid w:val="00D4126D"/>
    <w:rsid w:val="00D413ED"/>
    <w:rsid w:val="00D4263D"/>
    <w:rsid w:val="00D4527E"/>
    <w:rsid w:val="00D463AB"/>
    <w:rsid w:val="00D464A6"/>
    <w:rsid w:val="00D473DB"/>
    <w:rsid w:val="00D47FF7"/>
    <w:rsid w:val="00D50759"/>
    <w:rsid w:val="00D53471"/>
    <w:rsid w:val="00D5624A"/>
    <w:rsid w:val="00D5666F"/>
    <w:rsid w:val="00D57590"/>
    <w:rsid w:val="00D64906"/>
    <w:rsid w:val="00D66255"/>
    <w:rsid w:val="00D670CB"/>
    <w:rsid w:val="00D7037D"/>
    <w:rsid w:val="00D70DA2"/>
    <w:rsid w:val="00D76DF7"/>
    <w:rsid w:val="00D81430"/>
    <w:rsid w:val="00D81CC2"/>
    <w:rsid w:val="00D82FB2"/>
    <w:rsid w:val="00D839A6"/>
    <w:rsid w:val="00D84077"/>
    <w:rsid w:val="00D84C81"/>
    <w:rsid w:val="00D87E36"/>
    <w:rsid w:val="00D918F4"/>
    <w:rsid w:val="00D93654"/>
    <w:rsid w:val="00D93FF3"/>
    <w:rsid w:val="00D95276"/>
    <w:rsid w:val="00D968EE"/>
    <w:rsid w:val="00D9707F"/>
    <w:rsid w:val="00DA2FD4"/>
    <w:rsid w:val="00DA3888"/>
    <w:rsid w:val="00DA5474"/>
    <w:rsid w:val="00DA54B4"/>
    <w:rsid w:val="00DB3D3B"/>
    <w:rsid w:val="00DB6A1F"/>
    <w:rsid w:val="00DE1130"/>
    <w:rsid w:val="00DE6ED3"/>
    <w:rsid w:val="00DF1B84"/>
    <w:rsid w:val="00DF3453"/>
    <w:rsid w:val="00DF46C1"/>
    <w:rsid w:val="00DF524E"/>
    <w:rsid w:val="00DF6815"/>
    <w:rsid w:val="00DF7DA0"/>
    <w:rsid w:val="00E00489"/>
    <w:rsid w:val="00E00517"/>
    <w:rsid w:val="00E014C5"/>
    <w:rsid w:val="00E0245E"/>
    <w:rsid w:val="00E04428"/>
    <w:rsid w:val="00E051C6"/>
    <w:rsid w:val="00E0553E"/>
    <w:rsid w:val="00E1150C"/>
    <w:rsid w:val="00E15497"/>
    <w:rsid w:val="00E16789"/>
    <w:rsid w:val="00E172E9"/>
    <w:rsid w:val="00E179FF"/>
    <w:rsid w:val="00E201A8"/>
    <w:rsid w:val="00E20FAF"/>
    <w:rsid w:val="00E22458"/>
    <w:rsid w:val="00E25080"/>
    <w:rsid w:val="00E26280"/>
    <w:rsid w:val="00E3026E"/>
    <w:rsid w:val="00E333F0"/>
    <w:rsid w:val="00E36930"/>
    <w:rsid w:val="00E378A0"/>
    <w:rsid w:val="00E45D33"/>
    <w:rsid w:val="00E50299"/>
    <w:rsid w:val="00E5191A"/>
    <w:rsid w:val="00E52DFE"/>
    <w:rsid w:val="00E532CF"/>
    <w:rsid w:val="00E54D30"/>
    <w:rsid w:val="00E55E04"/>
    <w:rsid w:val="00E56405"/>
    <w:rsid w:val="00E63AEE"/>
    <w:rsid w:val="00E65A98"/>
    <w:rsid w:val="00E7252E"/>
    <w:rsid w:val="00E74E53"/>
    <w:rsid w:val="00E754E3"/>
    <w:rsid w:val="00E758B5"/>
    <w:rsid w:val="00E81CB3"/>
    <w:rsid w:val="00E83E80"/>
    <w:rsid w:val="00E874F0"/>
    <w:rsid w:val="00E90C89"/>
    <w:rsid w:val="00E91CB2"/>
    <w:rsid w:val="00E920C3"/>
    <w:rsid w:val="00E93631"/>
    <w:rsid w:val="00E978ED"/>
    <w:rsid w:val="00EA07EF"/>
    <w:rsid w:val="00EA1A7D"/>
    <w:rsid w:val="00EA7309"/>
    <w:rsid w:val="00EA739F"/>
    <w:rsid w:val="00EA770D"/>
    <w:rsid w:val="00EB22D4"/>
    <w:rsid w:val="00EB4963"/>
    <w:rsid w:val="00EB4AD8"/>
    <w:rsid w:val="00EC5653"/>
    <w:rsid w:val="00EC5C25"/>
    <w:rsid w:val="00ED3FAE"/>
    <w:rsid w:val="00ED59AE"/>
    <w:rsid w:val="00ED5DAD"/>
    <w:rsid w:val="00ED6121"/>
    <w:rsid w:val="00EE1546"/>
    <w:rsid w:val="00EE2730"/>
    <w:rsid w:val="00EE2C47"/>
    <w:rsid w:val="00EE5A25"/>
    <w:rsid w:val="00EF1CBC"/>
    <w:rsid w:val="00EF5E30"/>
    <w:rsid w:val="00EF64CA"/>
    <w:rsid w:val="00F04E07"/>
    <w:rsid w:val="00F05681"/>
    <w:rsid w:val="00F06826"/>
    <w:rsid w:val="00F0754C"/>
    <w:rsid w:val="00F1133B"/>
    <w:rsid w:val="00F20595"/>
    <w:rsid w:val="00F23B23"/>
    <w:rsid w:val="00F26726"/>
    <w:rsid w:val="00F30C81"/>
    <w:rsid w:val="00F3728F"/>
    <w:rsid w:val="00F40C57"/>
    <w:rsid w:val="00F436BC"/>
    <w:rsid w:val="00F44A09"/>
    <w:rsid w:val="00F5607A"/>
    <w:rsid w:val="00F56D25"/>
    <w:rsid w:val="00F570B3"/>
    <w:rsid w:val="00F57F8B"/>
    <w:rsid w:val="00F635D3"/>
    <w:rsid w:val="00F71E2F"/>
    <w:rsid w:val="00F72B2F"/>
    <w:rsid w:val="00F73CEF"/>
    <w:rsid w:val="00F757CD"/>
    <w:rsid w:val="00F763C8"/>
    <w:rsid w:val="00F7706D"/>
    <w:rsid w:val="00F7760A"/>
    <w:rsid w:val="00F87C4C"/>
    <w:rsid w:val="00F927BA"/>
    <w:rsid w:val="00F96F4A"/>
    <w:rsid w:val="00FA0B81"/>
    <w:rsid w:val="00FA37B6"/>
    <w:rsid w:val="00FA5345"/>
    <w:rsid w:val="00FA73DD"/>
    <w:rsid w:val="00FB0521"/>
    <w:rsid w:val="00FB2F10"/>
    <w:rsid w:val="00FB3F96"/>
    <w:rsid w:val="00FB60CD"/>
    <w:rsid w:val="00FC237B"/>
    <w:rsid w:val="00FC7220"/>
    <w:rsid w:val="00FC73BF"/>
    <w:rsid w:val="00FC76F2"/>
    <w:rsid w:val="00FD1C5B"/>
    <w:rsid w:val="00FD5004"/>
    <w:rsid w:val="00FD5575"/>
    <w:rsid w:val="00FD566F"/>
    <w:rsid w:val="00FD728F"/>
    <w:rsid w:val="00FE0AD2"/>
    <w:rsid w:val="00FE4001"/>
    <w:rsid w:val="00FE4235"/>
    <w:rsid w:val="00FE6E9D"/>
    <w:rsid w:val="00FF26EF"/>
    <w:rsid w:val="00FF321F"/>
    <w:rsid w:val="00FF4990"/>
    <w:rsid w:val="00FF5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 w:type="paragraph" w:styleId="NormalWeb">
    <w:name w:val="Normal (Web)"/>
    <w:basedOn w:val="Normal"/>
    <w:uiPriority w:val="99"/>
    <w:unhideWhenUsed/>
    <w:rsid w:val="00106BE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683744429">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44394748">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76903576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pra.gov.au/news-and-publications/apra-releases-framework-for-domestic-systemically-important-banks-australia" TargetMode="External"/><Relationship Id="rId2" Type="http://schemas.openxmlformats.org/officeDocument/2006/relationships/customXml" Target="../customXml/item2.xml"/><Relationship Id="rId16" Type="http://schemas.openxmlformats.org/officeDocument/2006/relationships/hyperlink" Target="http://www.bis.org/publ/bcbs27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is.org/cpmi/info_pfmi.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sb.org/2015/11/total-loss-absorbing-capacity-tlac-principles-and-term-she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minor-amendments-to-centralise-definition-of-a-signification-financial-institution" TargetMode="External"/><Relationship Id="rId2" Type="http://schemas.openxmlformats.org/officeDocument/2006/relationships/hyperlink" Target="https://www.apra.gov.au/consultation-on-minor-amendments-to-centralise-definition-of-a-significant-financial-institution" TargetMode="External"/><Relationship Id="rId1" Type="http://schemas.openxmlformats.org/officeDocument/2006/relationships/hyperlink" Target="https://www.apra.gov.au/revisions-to-capital-framework-for-authorised-deposit-taking-instit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5 and 8-16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5JENXJJSCC7A-445999044-11873</_dlc_DocId>
    <_dlc_DocIdUrl xmlns="814d62cb-2db6-4c25-ab62-b9075facbc11">
      <Url>https://im/teams/LEGAL/_layouts/15/DocIdRedir.aspx?ID=5JENXJJSCC7A-445999044-11873</Url>
      <Description>5JENXJJSCC7A-445999044-11873</Description>
    </_dlc_DocIdUrl>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2.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3.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4.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5.xml><?xml version="1.0" encoding="utf-8"?>
<ds:datastoreItem xmlns:ds="http://schemas.openxmlformats.org/officeDocument/2006/customXml" ds:itemID="{6AD1B70D-A6A8-4556-B7C1-F94206C4A61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814d62cb-2db6-4c25-ab62-b9075facbc11"/>
    <ds:schemaRef ds:uri="http://purl.org/dc/terms/"/>
    <ds:schemaRef ds:uri="http://schemas.openxmlformats.org/package/2006/metadata/core-properties"/>
    <ds:schemaRef ds:uri="http://purl.org/dc/dcmitype/"/>
    <ds:schemaRef ds:uri="http://www.w3.org/XML/1998/namespace"/>
  </ds:schemaRefs>
</ds:datastoreItem>
</file>

<file path=customXml/itemProps6.xml><?xml version="1.0" encoding="utf-8"?>
<ds:datastoreItem xmlns:ds="http://schemas.openxmlformats.org/officeDocument/2006/customXml" ds:itemID="{3A8E277B-4A2F-4A74-977A-03B693A91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6</Pages>
  <Words>2098</Words>
  <Characters>11919</Characters>
  <Application>Microsoft Office Word</Application>
  <DocSecurity>0</DocSecurity>
  <Lines>209</Lines>
  <Paragraphs>72</Paragraphs>
  <ScaleCrop>false</ScaleCrop>
  <HeadingPairs>
    <vt:vector size="2" baseType="variant">
      <vt:variant>
        <vt:lpstr>Title</vt:lpstr>
      </vt:variant>
      <vt:variant>
        <vt:i4>1</vt:i4>
      </vt:variant>
    </vt:vector>
  </HeadingPairs>
  <TitlesOfParts>
    <vt:vector size="1" baseType="lpstr">
      <vt:lpstr>ES - Banking and Insurance Definitions - 200922</vt:lpstr>
    </vt:vector>
  </TitlesOfParts>
  <Company>APRA</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5 and 8-16 of 2022</dc:title>
  <dc:creator>Sullivan, David</dc:creator>
  <cp:keywords>[SEC=OFFICIAL]</cp:keywords>
  <cp:lastModifiedBy>Toni Michalis</cp:lastModifiedBy>
  <cp:revision>2</cp:revision>
  <cp:lastPrinted>2020-01-09T02:14:00Z</cp:lastPrinted>
  <dcterms:created xsi:type="dcterms:W3CDTF">2022-12-01T06:37:00Z</dcterms:created>
  <dcterms:modified xsi:type="dcterms:W3CDTF">2022-12-01T06:37:00Z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2018.0</vt:lpwstr>
  </property>
  <property fmtid="{D5CDD505-2E9C-101B-9397-08002B2CF9AE}" pid="15" name="PM_MinimumSecurityClassification">
    <vt:lpwstr/>
  </property>
  <property fmtid="{D5CDD505-2E9C-101B-9397-08002B2CF9AE}" pid="16" name="ContentTypeId">
    <vt:lpwstr>0x0101008CA7A4F8331B45C7B0D3158B4994D0CA0200577EC0F5A1FBFC498F9A8436B963F8A6</vt:lpwstr>
  </property>
  <property fmtid="{D5CDD505-2E9C-101B-9397-08002B2CF9AE}" pid="17" name="APRAPeriod">
    <vt:lpwstr/>
  </property>
  <property fmtid="{D5CDD505-2E9C-101B-9397-08002B2CF9AE}" pid="18"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9" name="APRAYear">
    <vt:lpwstr/>
  </property>
  <property fmtid="{D5CDD505-2E9C-101B-9397-08002B2CF9AE}" pid="20" name="APRAIndustry">
    <vt:lpwstr/>
  </property>
  <property fmtid="{D5CDD505-2E9C-101B-9397-08002B2CF9AE}" pid="21" name="APRAPRSG">
    <vt:lpwstr/>
  </property>
  <property fmtid="{D5CDD505-2E9C-101B-9397-08002B2CF9AE}" pid="22" name="_dlc_DocIdItemGuid">
    <vt:lpwstr>1446de59-1f9b-486e-a07d-cf6ee837c729</vt:lpwstr>
  </property>
  <property fmtid="{D5CDD505-2E9C-101B-9397-08002B2CF9AE}" pid="23" name="IsLocked">
    <vt:lpwstr>False</vt:lpwstr>
  </property>
  <property fmtid="{D5CDD505-2E9C-101B-9397-08002B2CF9AE}" pid="24" name="IT system type">
    <vt:lpwstr/>
  </property>
  <property fmtid="{D5CDD505-2E9C-101B-9397-08002B2CF9AE}" pid="25" name="APRACategory">
    <vt:lpwstr/>
  </property>
  <property fmtid="{D5CDD505-2E9C-101B-9397-08002B2CF9AE}" pid="26" name="APRADocumentType">
    <vt:lpwstr>234;#Explanatory statement|b22f2e2f-3f73-411b-9a7c-34264d26fa25</vt:lpwstr>
  </property>
  <property fmtid="{D5CDD505-2E9C-101B-9397-08002B2CF9AE}" pid="27" name="APRAStatus">
    <vt:lpwstr>19;#Final|84d6b2d0-8498-4d62-bf46-bab38babbe9e</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WorkflowType">
    <vt:lpwstr>ActiveSubmitStub</vt:lpwstr>
  </property>
  <property fmtid="{D5CDD505-2E9C-101B-9397-08002B2CF9AE}" pid="34" name="RecordPoint_ActiveItemWebId">
    <vt:lpwstr>{75a71c27-8d66-4282-ae60-1bfc22a83be1}</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{1446de59-1f9b-486e-a07d-cf6ee837c729}</vt:lpwstr>
  </property>
  <property fmtid="{D5CDD505-2E9C-101B-9397-08002B2CF9AE}" pid="38" name="RecordPoint_RecordNumberSubmitted">
    <vt:lpwstr/>
  </property>
  <property fmtid="{D5CDD505-2E9C-101B-9397-08002B2CF9AE}" pid="39" name="RecordPoint_SubmissionCompleted">
    <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y fmtid="{D5CDD505-2E9C-101B-9397-08002B2CF9AE}" pid="43" name="PM_SecurityClassification_Prev">
    <vt:lpwstr>OFFICIAL</vt:lpwstr>
  </property>
  <property fmtid="{D5CDD505-2E9C-101B-9397-08002B2CF9AE}" pid="44" name="PM_Qualifier_Prev">
    <vt:lpwstr/>
  </property>
  <property fmtid="{D5CDD505-2E9C-101B-9397-08002B2CF9AE}" pid="45" name="PM_Note">
    <vt:lpwstr/>
  </property>
  <property fmtid="{D5CDD505-2E9C-101B-9397-08002B2CF9AE}" pid="46" name="PM_Markers">
    <vt:lpwstr/>
  </property>
  <property fmtid="{D5CDD505-2E9C-101B-9397-08002B2CF9AE}" pid="47" name="PM_Display">
    <vt:lpwstr>OFFICIAL</vt:lpwstr>
  </property>
  <property fmtid="{D5CDD505-2E9C-101B-9397-08002B2CF9AE}" pid="48" name="PMUuid">
    <vt:lpwstr>ABBFF5E2-9674-55C9-B08D-C9980002FD58</vt:lpwstr>
  </property>
  <property fmtid="{D5CDD505-2E9C-101B-9397-08002B2CF9AE}" pid="49" name="PMUuidVer">
    <vt:lpwstr>2022.1</vt:lpwstr>
  </property>
  <property fmtid="{D5CDD505-2E9C-101B-9397-08002B2CF9AE}" pid="50" name="PM_OriginatorDomainName_SHA256">
    <vt:lpwstr>ECBDE2B44A971754412B3FB70606937A119CC0D4B6C1B658A40FBD41C30BE3EC</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PM_Hash_SHA1">
    <vt:lpwstr>B83977878EF5755307B5FD82748050C563C4DD67</vt:lpwstr>
  </property>
  <property fmtid="{D5CDD505-2E9C-101B-9397-08002B2CF9AE}" pid="55" name="PM_OriginationTimeStamp">
    <vt:lpwstr>2022-12-01T06:37:30Z</vt:lpwstr>
  </property>
  <property fmtid="{D5CDD505-2E9C-101B-9397-08002B2CF9AE}" pid="56" name="PM_Hash_Salt_Prev">
    <vt:lpwstr>13C1CEF083D724EAD6EC900E6764AAE5</vt:lpwstr>
  </property>
  <property fmtid="{D5CDD505-2E9C-101B-9397-08002B2CF9AE}" pid="57" name="PM_Hash_Salt">
    <vt:lpwstr>D561091B6E7767FA051A8CC1E6116747</vt:lpwstr>
  </property>
  <property fmtid="{D5CDD505-2E9C-101B-9397-08002B2CF9AE}" pid="58" name="MSIP_Label_c0129afb-6481-4f92-bc9f-5a4a6346364d_SetDate">
    <vt:lpwstr>2022-12-01T04:12:57Z</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ies>
</file>