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F2ED" w14:textId="51E2A722" w:rsidR="00A40A9D" w:rsidRPr="0040342B" w:rsidRDefault="001F2A16" w:rsidP="0040342B">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40342B">
        <w:rPr>
          <w:rFonts w:ascii="Arial" w:hAnsi="Arial" w:cs="Arial"/>
          <w:sz w:val="34"/>
          <w:szCs w:val="34"/>
        </w:rPr>
        <w:t>Explanatory Statement</w:t>
      </w:r>
    </w:p>
    <w:p w14:paraId="7E6CE87F" w14:textId="07A45B8A" w:rsidR="00E352B9" w:rsidRPr="0040342B" w:rsidRDefault="00CA2173" w:rsidP="0040342B">
      <w:pPr>
        <w:pStyle w:val="Header"/>
        <w:pBdr>
          <w:top w:val="single" w:sz="4" w:space="1" w:color="auto"/>
          <w:bottom w:val="single" w:sz="4" w:space="1" w:color="auto"/>
        </w:pBdr>
        <w:tabs>
          <w:tab w:val="clear" w:pos="4153"/>
          <w:tab w:val="clear" w:pos="8306"/>
        </w:tabs>
        <w:spacing w:after="120"/>
        <w:rPr>
          <w:rFonts w:ascii="Arial" w:hAnsi="Arial" w:cs="Arial"/>
          <w:sz w:val="34"/>
          <w:szCs w:val="34"/>
        </w:rPr>
      </w:pPr>
      <w:r w:rsidRPr="0040342B">
        <w:rPr>
          <w:rFonts w:ascii="Arial" w:hAnsi="Arial" w:cs="Arial"/>
          <w:sz w:val="34"/>
          <w:szCs w:val="34"/>
        </w:rPr>
        <w:t xml:space="preserve">Taxation Administration: </w:t>
      </w:r>
      <w:r w:rsidR="009939FB" w:rsidRPr="0040342B">
        <w:rPr>
          <w:rFonts w:ascii="Arial" w:hAnsi="Arial" w:cs="Arial"/>
          <w:sz w:val="34"/>
          <w:szCs w:val="34"/>
        </w:rPr>
        <w:t xml:space="preserve">Classes of Electronic Payment System Transactions Exempt from Being Reported </w:t>
      </w:r>
      <w:r w:rsidR="00A21C58" w:rsidRPr="0040342B">
        <w:rPr>
          <w:rFonts w:ascii="Arial" w:hAnsi="Arial" w:cs="Arial"/>
          <w:sz w:val="34"/>
          <w:szCs w:val="34"/>
        </w:rPr>
        <w:t>in</w:t>
      </w:r>
      <w:r w:rsidR="009939FB" w:rsidRPr="0040342B">
        <w:rPr>
          <w:rFonts w:ascii="Arial" w:hAnsi="Arial" w:cs="Arial"/>
          <w:sz w:val="34"/>
          <w:szCs w:val="34"/>
        </w:rPr>
        <w:t xml:space="preserve"> Third Party </w:t>
      </w:r>
      <w:r w:rsidR="008F7E75" w:rsidRPr="0040342B">
        <w:rPr>
          <w:rFonts w:ascii="Arial" w:hAnsi="Arial" w:cs="Arial"/>
          <w:sz w:val="34"/>
          <w:szCs w:val="34"/>
        </w:rPr>
        <w:t>Reports</w:t>
      </w:r>
      <w:r w:rsidR="009939FB" w:rsidRPr="0040342B">
        <w:rPr>
          <w:rFonts w:ascii="Arial" w:hAnsi="Arial" w:cs="Arial"/>
          <w:sz w:val="34"/>
          <w:szCs w:val="34"/>
        </w:rPr>
        <w:t xml:space="preserve"> Determination 20</w:t>
      </w:r>
      <w:r w:rsidR="00D30BB4" w:rsidRPr="0040342B">
        <w:rPr>
          <w:rFonts w:ascii="Arial" w:hAnsi="Arial" w:cs="Arial"/>
          <w:sz w:val="34"/>
          <w:szCs w:val="34"/>
        </w:rPr>
        <w:t>2</w:t>
      </w:r>
      <w:r w:rsidR="00491DE6" w:rsidRPr="0040342B">
        <w:rPr>
          <w:rFonts w:ascii="Arial" w:hAnsi="Arial" w:cs="Arial"/>
          <w:sz w:val="34"/>
          <w:szCs w:val="34"/>
        </w:rPr>
        <w:t>2</w:t>
      </w:r>
    </w:p>
    <w:p w14:paraId="6914C408" w14:textId="77777777" w:rsidR="001F2A16" w:rsidRPr="0040342B" w:rsidRDefault="001F2A16" w:rsidP="0040342B">
      <w:pPr>
        <w:pStyle w:val="Header"/>
        <w:tabs>
          <w:tab w:val="clear" w:pos="4153"/>
          <w:tab w:val="clear" w:pos="8306"/>
        </w:tabs>
        <w:spacing w:after="120"/>
        <w:jc w:val="center"/>
        <w:rPr>
          <w:rFonts w:ascii="Arial" w:hAnsi="Arial" w:cs="Arial"/>
          <w:sz w:val="22"/>
          <w:szCs w:val="22"/>
        </w:rPr>
      </w:pPr>
    </w:p>
    <w:p w14:paraId="1772638A" w14:textId="09881D84" w:rsidR="00486653" w:rsidRPr="0040342B" w:rsidRDefault="00486653" w:rsidP="0040342B">
      <w:pPr>
        <w:pStyle w:val="Heading2"/>
        <w:rPr>
          <w:rFonts w:cs="Arial"/>
          <w:szCs w:val="22"/>
        </w:rPr>
      </w:pPr>
      <w:r w:rsidRPr="0040342B">
        <w:rPr>
          <w:rFonts w:cs="Arial"/>
          <w:szCs w:val="22"/>
        </w:rPr>
        <w:t xml:space="preserve">General </w:t>
      </w:r>
      <w:r w:rsidR="00BD61FD" w:rsidRPr="0040342B">
        <w:rPr>
          <w:rFonts w:cs="Arial"/>
          <w:szCs w:val="22"/>
        </w:rPr>
        <w:t>o</w:t>
      </w:r>
      <w:r w:rsidRPr="0040342B">
        <w:rPr>
          <w:rFonts w:cs="Arial"/>
          <w:szCs w:val="22"/>
        </w:rPr>
        <w:t xml:space="preserve">utline of </w:t>
      </w:r>
      <w:r w:rsidR="00BD61FD" w:rsidRPr="0040342B">
        <w:rPr>
          <w:rFonts w:cs="Arial"/>
          <w:szCs w:val="22"/>
        </w:rPr>
        <w:t>i</w:t>
      </w:r>
      <w:r w:rsidRPr="0040342B">
        <w:rPr>
          <w:rFonts w:cs="Arial"/>
          <w:szCs w:val="22"/>
        </w:rPr>
        <w:t>nstrument</w:t>
      </w:r>
    </w:p>
    <w:p w14:paraId="76201CA9" w14:textId="77777777" w:rsidR="00A40A9D" w:rsidRPr="0040342B" w:rsidRDefault="00486653" w:rsidP="0040342B">
      <w:pPr>
        <w:numPr>
          <w:ilvl w:val="0"/>
          <w:numId w:val="1"/>
        </w:numPr>
        <w:spacing w:after="120"/>
        <w:ind w:left="709" w:hanging="709"/>
        <w:rPr>
          <w:rFonts w:ascii="Arial" w:hAnsi="Arial" w:cs="Arial"/>
          <w:sz w:val="22"/>
          <w:szCs w:val="22"/>
        </w:rPr>
      </w:pPr>
      <w:bookmarkStart w:id="0" w:name="_Hlk108098611"/>
      <w:r w:rsidRPr="0040342B">
        <w:rPr>
          <w:rFonts w:ascii="Arial" w:hAnsi="Arial" w:cs="Arial"/>
          <w:sz w:val="22"/>
          <w:szCs w:val="22"/>
        </w:rPr>
        <w:t>This instrument is made under</w:t>
      </w:r>
      <w:r w:rsidR="00740498" w:rsidRPr="0040342B">
        <w:rPr>
          <w:rFonts w:ascii="Arial" w:hAnsi="Arial" w:cs="Arial"/>
          <w:sz w:val="22"/>
          <w:szCs w:val="22"/>
        </w:rPr>
        <w:t xml:space="preserve"> </w:t>
      </w:r>
      <w:r w:rsidR="00EE1016" w:rsidRPr="0040342B">
        <w:rPr>
          <w:rFonts w:ascii="Arial" w:hAnsi="Arial" w:cs="Arial"/>
          <w:sz w:val="22"/>
          <w:szCs w:val="22"/>
        </w:rPr>
        <w:t>subsection 396-70(4)</w:t>
      </w:r>
      <w:r w:rsidR="00740498" w:rsidRPr="0040342B">
        <w:rPr>
          <w:rFonts w:ascii="Arial" w:hAnsi="Arial" w:cs="Arial"/>
          <w:sz w:val="22"/>
          <w:szCs w:val="22"/>
        </w:rPr>
        <w:t xml:space="preserve"> of </w:t>
      </w:r>
      <w:r w:rsidR="00ED00F2" w:rsidRPr="0040342B">
        <w:rPr>
          <w:rFonts w:ascii="Arial" w:hAnsi="Arial" w:cs="Arial"/>
          <w:sz w:val="22"/>
          <w:szCs w:val="22"/>
        </w:rPr>
        <w:t>Schedule</w:t>
      </w:r>
      <w:r w:rsidR="009A448C" w:rsidRPr="0040342B">
        <w:rPr>
          <w:rFonts w:ascii="Arial" w:hAnsi="Arial" w:cs="Arial"/>
          <w:sz w:val="22"/>
          <w:szCs w:val="22"/>
        </w:rPr>
        <w:t xml:space="preserve"> </w:t>
      </w:r>
      <w:r w:rsidR="00584461" w:rsidRPr="0040342B">
        <w:rPr>
          <w:rFonts w:ascii="Arial" w:hAnsi="Arial" w:cs="Arial"/>
          <w:sz w:val="22"/>
          <w:szCs w:val="22"/>
        </w:rPr>
        <w:t xml:space="preserve">1 </w:t>
      </w:r>
      <w:r w:rsidR="00740498" w:rsidRPr="0040342B">
        <w:rPr>
          <w:rFonts w:ascii="Arial" w:hAnsi="Arial" w:cs="Arial"/>
          <w:sz w:val="22"/>
          <w:szCs w:val="22"/>
        </w:rPr>
        <w:t xml:space="preserve">to the </w:t>
      </w:r>
      <w:r w:rsidR="00740498" w:rsidRPr="0040342B">
        <w:rPr>
          <w:rFonts w:ascii="Arial" w:hAnsi="Arial" w:cs="Arial"/>
          <w:i/>
          <w:sz w:val="22"/>
          <w:szCs w:val="22"/>
        </w:rPr>
        <w:t>Taxation Administration Act 1953</w:t>
      </w:r>
      <w:r w:rsidR="00EA4734" w:rsidRPr="0040342B">
        <w:rPr>
          <w:rFonts w:ascii="Arial" w:hAnsi="Arial" w:cs="Arial"/>
          <w:i/>
          <w:sz w:val="22"/>
          <w:szCs w:val="22"/>
        </w:rPr>
        <w:t xml:space="preserve"> </w:t>
      </w:r>
      <w:r w:rsidR="00EA4734" w:rsidRPr="0040342B">
        <w:rPr>
          <w:rFonts w:ascii="Arial" w:hAnsi="Arial" w:cs="Arial"/>
          <w:sz w:val="22"/>
          <w:szCs w:val="22"/>
        </w:rPr>
        <w:t>(TAA)</w:t>
      </w:r>
      <w:r w:rsidR="00740498" w:rsidRPr="0040342B">
        <w:rPr>
          <w:rFonts w:ascii="Arial" w:hAnsi="Arial" w:cs="Arial"/>
          <w:sz w:val="22"/>
          <w:szCs w:val="22"/>
        </w:rPr>
        <w:t>.</w:t>
      </w:r>
    </w:p>
    <w:p w14:paraId="61E71A81" w14:textId="77777777" w:rsidR="0040342B" w:rsidRDefault="0065563D"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 xml:space="preserve">This </w:t>
      </w:r>
      <w:r w:rsidR="00B766F7" w:rsidRPr="0040342B">
        <w:rPr>
          <w:rFonts w:ascii="Arial" w:hAnsi="Arial" w:cs="Arial"/>
          <w:sz w:val="22"/>
          <w:szCs w:val="22"/>
        </w:rPr>
        <w:t xml:space="preserve">instrument </w:t>
      </w:r>
      <w:r w:rsidR="00EE1016" w:rsidRPr="0040342B">
        <w:rPr>
          <w:rFonts w:ascii="Arial" w:hAnsi="Arial" w:cs="Arial"/>
          <w:sz w:val="22"/>
          <w:szCs w:val="22"/>
        </w:rPr>
        <w:t xml:space="preserve">exempts </w:t>
      </w:r>
      <w:r w:rsidR="000243DE" w:rsidRPr="0040342B">
        <w:rPr>
          <w:rFonts w:ascii="Arial" w:hAnsi="Arial" w:cs="Arial"/>
          <w:sz w:val="22"/>
          <w:szCs w:val="22"/>
        </w:rPr>
        <w:t>administrators</w:t>
      </w:r>
      <w:r w:rsidR="00BD7184" w:rsidRPr="0040342B">
        <w:rPr>
          <w:rFonts w:ascii="Arial" w:hAnsi="Arial" w:cs="Arial"/>
          <w:sz w:val="22"/>
          <w:szCs w:val="22"/>
        </w:rPr>
        <w:t xml:space="preserve"> </w:t>
      </w:r>
      <w:r w:rsidR="000243DE" w:rsidRPr="0040342B">
        <w:rPr>
          <w:rFonts w:ascii="Arial" w:hAnsi="Arial" w:cs="Arial"/>
          <w:sz w:val="22"/>
          <w:szCs w:val="22"/>
        </w:rPr>
        <w:t xml:space="preserve">of </w:t>
      </w:r>
      <w:r w:rsidR="0095310D" w:rsidRPr="0040342B">
        <w:rPr>
          <w:rFonts w:ascii="Arial" w:hAnsi="Arial" w:cs="Arial"/>
          <w:sz w:val="22"/>
          <w:szCs w:val="22"/>
        </w:rPr>
        <w:t xml:space="preserve">a </w:t>
      </w:r>
      <w:r w:rsidR="000243DE" w:rsidRPr="0040342B">
        <w:rPr>
          <w:rFonts w:ascii="Arial" w:hAnsi="Arial" w:cs="Arial"/>
          <w:sz w:val="22"/>
          <w:szCs w:val="22"/>
        </w:rPr>
        <w:t>payment system</w:t>
      </w:r>
      <w:r w:rsidR="00903AE7" w:rsidRPr="0040342B">
        <w:rPr>
          <w:rFonts w:ascii="Arial" w:hAnsi="Arial" w:cs="Arial"/>
          <w:sz w:val="22"/>
          <w:szCs w:val="22"/>
        </w:rPr>
        <w:t xml:space="preserve"> (within the meaning of the </w:t>
      </w:r>
      <w:r w:rsidR="00903AE7" w:rsidRPr="0040342B">
        <w:rPr>
          <w:rFonts w:ascii="Arial" w:hAnsi="Arial" w:cs="Arial"/>
          <w:i/>
          <w:sz w:val="22"/>
          <w:szCs w:val="22"/>
        </w:rPr>
        <w:t>Payment Systems (Regulation) Act 1998</w:t>
      </w:r>
      <w:r w:rsidR="00903AE7" w:rsidRPr="0040342B">
        <w:rPr>
          <w:rFonts w:ascii="Arial" w:hAnsi="Arial" w:cs="Arial"/>
          <w:sz w:val="22"/>
          <w:szCs w:val="22"/>
        </w:rPr>
        <w:t>)</w:t>
      </w:r>
      <w:r w:rsidR="00EE1016" w:rsidRPr="0040342B">
        <w:rPr>
          <w:rFonts w:ascii="Arial" w:hAnsi="Arial" w:cs="Arial"/>
          <w:sz w:val="22"/>
          <w:szCs w:val="22"/>
        </w:rPr>
        <w:t xml:space="preserve"> from having to include specified classes of transactions in reports prepared and lodged in relation to </w:t>
      </w:r>
      <w:r w:rsidR="00A03AA3" w:rsidRPr="0040342B">
        <w:rPr>
          <w:rFonts w:ascii="Arial" w:hAnsi="Arial" w:cs="Arial"/>
          <w:sz w:val="22"/>
          <w:szCs w:val="22"/>
        </w:rPr>
        <w:t xml:space="preserve">table </w:t>
      </w:r>
      <w:r w:rsidR="00EE1016" w:rsidRPr="0040342B">
        <w:rPr>
          <w:rFonts w:ascii="Arial" w:hAnsi="Arial" w:cs="Arial"/>
          <w:sz w:val="22"/>
          <w:szCs w:val="22"/>
        </w:rPr>
        <w:t>item 9 in section 396-55 of Schedule 1 to the TAA</w:t>
      </w:r>
      <w:r w:rsidRPr="0040342B">
        <w:rPr>
          <w:rFonts w:ascii="Arial" w:hAnsi="Arial" w:cs="Arial"/>
          <w:sz w:val="22"/>
          <w:szCs w:val="22"/>
        </w:rPr>
        <w:t>.</w:t>
      </w:r>
    </w:p>
    <w:p w14:paraId="65A936C7" w14:textId="77777777" w:rsidR="0040342B" w:rsidRDefault="00791A38" w:rsidP="0040342B">
      <w:pPr>
        <w:numPr>
          <w:ilvl w:val="0"/>
          <w:numId w:val="1"/>
        </w:numPr>
        <w:spacing w:after="120"/>
        <w:ind w:left="709" w:hanging="709"/>
        <w:rPr>
          <w:rFonts w:ascii="Arial" w:hAnsi="Arial" w:cs="Arial"/>
          <w:sz w:val="22"/>
          <w:szCs w:val="22"/>
        </w:rPr>
      </w:pPr>
      <w:bookmarkStart w:id="1" w:name="_Hlk108099116"/>
      <w:r w:rsidRPr="0040342B">
        <w:rPr>
          <w:rFonts w:ascii="Arial" w:hAnsi="Arial" w:cs="Arial"/>
          <w:sz w:val="22"/>
          <w:szCs w:val="22"/>
        </w:rPr>
        <w:t xml:space="preserve">It </w:t>
      </w:r>
      <w:r w:rsidR="001D0BEC" w:rsidRPr="0040342B">
        <w:rPr>
          <w:rFonts w:ascii="Arial" w:hAnsi="Arial" w:cs="Arial"/>
          <w:sz w:val="22"/>
          <w:szCs w:val="22"/>
        </w:rPr>
        <w:t>maintains</w:t>
      </w:r>
      <w:r w:rsidR="00393299" w:rsidRPr="0040342B">
        <w:rPr>
          <w:rFonts w:ascii="Arial" w:hAnsi="Arial" w:cs="Arial"/>
          <w:sz w:val="22"/>
          <w:szCs w:val="22"/>
        </w:rPr>
        <w:t xml:space="preserve"> exemptions for certain specified classes of transactions where the administrator of a payment system moves from a </w:t>
      </w:r>
      <w:r w:rsidR="009D2F88" w:rsidRPr="0040342B">
        <w:rPr>
          <w:rFonts w:ascii="Arial" w:hAnsi="Arial" w:cs="Arial"/>
          <w:sz w:val="22"/>
          <w:szCs w:val="22"/>
        </w:rPr>
        <w:t xml:space="preserve">payment </w:t>
      </w:r>
      <w:r w:rsidR="006D61E1" w:rsidRPr="0040342B">
        <w:rPr>
          <w:rFonts w:ascii="Arial" w:hAnsi="Arial" w:cs="Arial"/>
          <w:sz w:val="22"/>
          <w:szCs w:val="22"/>
        </w:rPr>
        <w:t>platform</w:t>
      </w:r>
      <w:r w:rsidR="009D2F88" w:rsidRPr="0040342B">
        <w:rPr>
          <w:rFonts w:ascii="Arial" w:hAnsi="Arial" w:cs="Arial"/>
          <w:sz w:val="22"/>
          <w:szCs w:val="22"/>
        </w:rPr>
        <w:t xml:space="preserve"> </w:t>
      </w:r>
      <w:r w:rsidR="00393299" w:rsidRPr="0040342B">
        <w:rPr>
          <w:rFonts w:ascii="Arial" w:hAnsi="Arial" w:cs="Arial"/>
          <w:sz w:val="22"/>
          <w:szCs w:val="22"/>
        </w:rPr>
        <w:t xml:space="preserve">previously exempted </w:t>
      </w:r>
      <w:r w:rsidR="009D2F88" w:rsidRPr="0040342B">
        <w:rPr>
          <w:rFonts w:ascii="Arial" w:hAnsi="Arial" w:cs="Arial"/>
          <w:sz w:val="22"/>
          <w:szCs w:val="22"/>
        </w:rPr>
        <w:t xml:space="preserve">to a new payment </w:t>
      </w:r>
      <w:r w:rsidR="006D61E1" w:rsidRPr="0040342B">
        <w:rPr>
          <w:rFonts w:ascii="Arial" w:hAnsi="Arial" w:cs="Arial"/>
          <w:sz w:val="22"/>
          <w:szCs w:val="22"/>
        </w:rPr>
        <w:t>platform</w:t>
      </w:r>
      <w:r w:rsidR="009D2F88" w:rsidRPr="0040342B">
        <w:rPr>
          <w:rFonts w:ascii="Arial" w:hAnsi="Arial" w:cs="Arial"/>
          <w:sz w:val="22"/>
          <w:szCs w:val="22"/>
        </w:rPr>
        <w:t>.</w:t>
      </w:r>
    </w:p>
    <w:bookmarkEnd w:id="1"/>
    <w:p w14:paraId="56635DC5" w14:textId="5D83BF99" w:rsidR="009D2F88" w:rsidRPr="0040342B" w:rsidDel="00B5355A" w:rsidRDefault="009D2F88" w:rsidP="0040342B">
      <w:pPr>
        <w:numPr>
          <w:ilvl w:val="0"/>
          <w:numId w:val="1"/>
        </w:numPr>
        <w:spacing w:after="120"/>
        <w:ind w:left="709" w:hanging="709"/>
        <w:rPr>
          <w:rFonts w:ascii="Arial" w:hAnsi="Arial" w:cs="Arial"/>
          <w:sz w:val="22"/>
          <w:szCs w:val="22"/>
        </w:rPr>
      </w:pPr>
      <w:r w:rsidRPr="0040342B" w:rsidDel="00B5355A">
        <w:rPr>
          <w:rFonts w:ascii="Arial" w:hAnsi="Arial" w:cs="Arial"/>
          <w:sz w:val="22"/>
          <w:szCs w:val="22"/>
        </w:rPr>
        <w:t xml:space="preserve">This instrument is a legislative instrument for the purposes of the </w:t>
      </w:r>
      <w:r w:rsidRPr="0040342B" w:rsidDel="00B5355A">
        <w:rPr>
          <w:rFonts w:ascii="Arial" w:hAnsi="Arial" w:cs="Arial"/>
          <w:i/>
          <w:sz w:val="22"/>
          <w:szCs w:val="22"/>
        </w:rPr>
        <w:t>Legislation Act</w:t>
      </w:r>
      <w:r w:rsidR="0040342B">
        <w:rPr>
          <w:rFonts w:ascii="Arial" w:hAnsi="Arial" w:cs="Arial"/>
          <w:i/>
          <w:sz w:val="22"/>
          <w:szCs w:val="22"/>
        </w:rPr>
        <w:t xml:space="preserve"> </w:t>
      </w:r>
      <w:r w:rsidRPr="0040342B" w:rsidDel="00B5355A">
        <w:rPr>
          <w:rFonts w:ascii="Arial" w:hAnsi="Arial" w:cs="Arial"/>
          <w:i/>
          <w:sz w:val="22"/>
          <w:szCs w:val="22"/>
        </w:rPr>
        <w:t>2003</w:t>
      </w:r>
      <w:r w:rsidRPr="0040342B" w:rsidDel="00B5355A">
        <w:rPr>
          <w:rFonts w:ascii="Arial" w:hAnsi="Arial" w:cs="Arial"/>
          <w:sz w:val="22"/>
          <w:szCs w:val="22"/>
        </w:rPr>
        <w:t>.</w:t>
      </w:r>
    </w:p>
    <w:p w14:paraId="59F8A3CB" w14:textId="51CD7E63" w:rsidR="008F7E75" w:rsidRPr="0040342B" w:rsidRDefault="008F7E75"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 xml:space="preserve">Under subsection 33(3) of the </w:t>
      </w:r>
      <w:r w:rsidRPr="0040342B">
        <w:rPr>
          <w:rFonts w:ascii="Arial" w:hAnsi="Arial" w:cs="Arial"/>
          <w:i/>
          <w:sz w:val="22"/>
          <w:szCs w:val="22"/>
        </w:rPr>
        <w:t>Acts Interpretation Act 1901</w:t>
      </w:r>
      <w:r w:rsidRPr="0040342B">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0"/>
    <w:p w14:paraId="3B710C95" w14:textId="77777777" w:rsidR="00486653" w:rsidRPr="0040342B" w:rsidRDefault="00486653" w:rsidP="0040342B">
      <w:pPr>
        <w:spacing w:after="120"/>
        <w:rPr>
          <w:rFonts w:ascii="Arial" w:hAnsi="Arial" w:cs="Arial"/>
          <w:sz w:val="22"/>
          <w:szCs w:val="22"/>
        </w:rPr>
      </w:pPr>
    </w:p>
    <w:p w14:paraId="08E8C217" w14:textId="3BF762DE" w:rsidR="00F04B96" w:rsidRPr="0040342B" w:rsidRDefault="00486653" w:rsidP="0040342B">
      <w:pPr>
        <w:pStyle w:val="Heading2"/>
        <w:rPr>
          <w:rFonts w:cs="Arial"/>
          <w:szCs w:val="22"/>
        </w:rPr>
      </w:pPr>
      <w:r w:rsidRPr="0040342B">
        <w:rPr>
          <w:rFonts w:cs="Arial"/>
          <w:szCs w:val="22"/>
        </w:rPr>
        <w:t>Date of effect</w:t>
      </w:r>
    </w:p>
    <w:p w14:paraId="435773C8" w14:textId="77777777" w:rsidR="000D7ECB" w:rsidRDefault="0095310D"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Th</w:t>
      </w:r>
      <w:r w:rsidR="00502B1A" w:rsidRPr="0040342B">
        <w:rPr>
          <w:rFonts w:ascii="Arial" w:hAnsi="Arial" w:cs="Arial"/>
          <w:sz w:val="22"/>
          <w:szCs w:val="22"/>
        </w:rPr>
        <w:t>is</w:t>
      </w:r>
      <w:r w:rsidRPr="0040342B">
        <w:rPr>
          <w:rFonts w:ascii="Arial" w:hAnsi="Arial" w:cs="Arial"/>
          <w:sz w:val="22"/>
          <w:szCs w:val="22"/>
        </w:rPr>
        <w:t xml:space="preserve"> instrument </w:t>
      </w:r>
      <w:r w:rsidR="002B3A84" w:rsidRPr="0040342B">
        <w:rPr>
          <w:rFonts w:ascii="Arial" w:hAnsi="Arial" w:cs="Arial"/>
          <w:sz w:val="22"/>
          <w:szCs w:val="22"/>
        </w:rPr>
        <w:t xml:space="preserve">applies with retrospective effect from </w:t>
      </w:r>
      <w:r w:rsidRPr="0040342B">
        <w:rPr>
          <w:rFonts w:ascii="Arial" w:hAnsi="Arial" w:cs="Arial"/>
          <w:sz w:val="22"/>
          <w:szCs w:val="22"/>
        </w:rPr>
        <w:t xml:space="preserve">1 </w:t>
      </w:r>
      <w:r w:rsidR="001E6D8C" w:rsidRPr="0040342B">
        <w:rPr>
          <w:rFonts w:ascii="Arial" w:hAnsi="Arial" w:cs="Arial"/>
          <w:sz w:val="22"/>
          <w:szCs w:val="22"/>
        </w:rPr>
        <w:t>July 2022</w:t>
      </w:r>
      <w:r w:rsidR="00D12AFE" w:rsidRPr="0040342B">
        <w:rPr>
          <w:rFonts w:ascii="Arial" w:hAnsi="Arial" w:cs="Arial"/>
          <w:sz w:val="22"/>
          <w:szCs w:val="22"/>
        </w:rPr>
        <w:t>.</w:t>
      </w:r>
    </w:p>
    <w:p w14:paraId="11AC8BD6" w14:textId="77777777" w:rsidR="000D7ECB" w:rsidRDefault="003A4DFA" w:rsidP="0011165C">
      <w:pPr>
        <w:numPr>
          <w:ilvl w:val="0"/>
          <w:numId w:val="1"/>
        </w:numPr>
        <w:spacing w:after="120"/>
        <w:ind w:left="709" w:hanging="709"/>
        <w:rPr>
          <w:rFonts w:ascii="Arial" w:hAnsi="Arial" w:cs="Arial"/>
          <w:sz w:val="22"/>
          <w:szCs w:val="22"/>
        </w:rPr>
      </w:pPr>
      <w:r w:rsidRPr="00DB0071">
        <w:rPr>
          <w:rFonts w:ascii="Arial" w:hAnsi="Arial" w:cs="Arial"/>
          <w:sz w:val="22"/>
          <w:szCs w:val="22"/>
        </w:rPr>
        <w:t xml:space="preserve">The retrospective </w:t>
      </w:r>
      <w:r w:rsidR="00791A38" w:rsidRPr="00DB0071">
        <w:rPr>
          <w:rFonts w:ascii="Arial" w:hAnsi="Arial" w:cs="Arial"/>
          <w:sz w:val="22"/>
          <w:szCs w:val="22"/>
        </w:rPr>
        <w:t xml:space="preserve">application </w:t>
      </w:r>
      <w:r w:rsidRPr="0011165C">
        <w:rPr>
          <w:rFonts w:ascii="Arial" w:hAnsi="Arial" w:cs="Arial"/>
          <w:sz w:val="22"/>
          <w:szCs w:val="22"/>
        </w:rPr>
        <w:t xml:space="preserve">of this instrument does not adversely affect the rights or liabilities of any person other than the Commonwealth for the purposes of subsection 12(2) of the </w:t>
      </w:r>
      <w:r w:rsidRPr="00DB0071">
        <w:rPr>
          <w:rFonts w:ascii="Arial" w:hAnsi="Arial" w:cs="Arial"/>
          <w:i/>
          <w:iCs/>
          <w:sz w:val="22"/>
          <w:szCs w:val="22"/>
        </w:rPr>
        <w:t>Legislation Act 2003</w:t>
      </w:r>
      <w:r w:rsidR="00791A38" w:rsidRPr="00DB0071">
        <w:rPr>
          <w:rFonts w:ascii="Arial" w:hAnsi="Arial" w:cs="Arial"/>
          <w:sz w:val="22"/>
          <w:szCs w:val="22"/>
        </w:rPr>
        <w:t>. This is because</w:t>
      </w:r>
      <w:r w:rsidRPr="00DB0071">
        <w:rPr>
          <w:rFonts w:ascii="Arial" w:hAnsi="Arial" w:cs="Arial"/>
          <w:sz w:val="22"/>
          <w:szCs w:val="22"/>
        </w:rPr>
        <w:t xml:space="preserve"> </w:t>
      </w:r>
      <w:r w:rsidR="00791A38" w:rsidRPr="00DB0071">
        <w:rPr>
          <w:rFonts w:ascii="Arial" w:hAnsi="Arial" w:cs="Arial"/>
          <w:sz w:val="22"/>
          <w:szCs w:val="22"/>
        </w:rPr>
        <w:t xml:space="preserve">the </w:t>
      </w:r>
      <w:r w:rsidR="004676ED" w:rsidRPr="00DB0071">
        <w:rPr>
          <w:rFonts w:ascii="Arial" w:hAnsi="Arial" w:cs="Arial"/>
          <w:sz w:val="22"/>
          <w:szCs w:val="22"/>
        </w:rPr>
        <w:t>instrument</w:t>
      </w:r>
      <w:r w:rsidR="00F14A7B" w:rsidRPr="00DB0071">
        <w:rPr>
          <w:rFonts w:ascii="Arial" w:hAnsi="Arial" w:cs="Arial"/>
          <w:sz w:val="22"/>
          <w:szCs w:val="22"/>
        </w:rPr>
        <w:t xml:space="preserve"> </w:t>
      </w:r>
      <w:r w:rsidR="00A562BE" w:rsidRPr="00DB0071">
        <w:rPr>
          <w:rFonts w:ascii="Arial" w:hAnsi="Arial" w:cs="Arial"/>
          <w:sz w:val="22"/>
          <w:szCs w:val="22"/>
        </w:rPr>
        <w:t xml:space="preserve">does not </w:t>
      </w:r>
      <w:r w:rsidR="00DB0071">
        <w:rPr>
          <w:rFonts w:ascii="Arial" w:hAnsi="Arial" w:cs="Arial"/>
          <w:sz w:val="22"/>
          <w:szCs w:val="22"/>
        </w:rPr>
        <w:t>increase</w:t>
      </w:r>
      <w:r w:rsidR="00A562BE" w:rsidRPr="00DB0071">
        <w:rPr>
          <w:rFonts w:ascii="Arial" w:hAnsi="Arial" w:cs="Arial"/>
          <w:sz w:val="22"/>
          <w:szCs w:val="22"/>
        </w:rPr>
        <w:t xml:space="preserve"> </w:t>
      </w:r>
      <w:r w:rsidR="00791A38" w:rsidRPr="00DB0071">
        <w:rPr>
          <w:rFonts w:ascii="Arial" w:hAnsi="Arial" w:cs="Arial"/>
          <w:sz w:val="22"/>
          <w:szCs w:val="22"/>
        </w:rPr>
        <w:t>the administrative</w:t>
      </w:r>
      <w:r w:rsidR="0011165C">
        <w:rPr>
          <w:rFonts w:ascii="Arial" w:hAnsi="Arial" w:cs="Arial"/>
          <w:sz w:val="22"/>
          <w:szCs w:val="22"/>
        </w:rPr>
        <w:t xml:space="preserve"> or reporting</w:t>
      </w:r>
      <w:r w:rsidR="00791A38" w:rsidRPr="0011165C">
        <w:rPr>
          <w:rFonts w:ascii="Arial" w:hAnsi="Arial" w:cs="Arial"/>
          <w:sz w:val="22"/>
          <w:szCs w:val="22"/>
        </w:rPr>
        <w:t xml:space="preserve"> burden on </w:t>
      </w:r>
      <w:r w:rsidR="00F14A7B" w:rsidRPr="0011165C">
        <w:rPr>
          <w:rFonts w:ascii="Arial" w:hAnsi="Arial" w:cs="Arial"/>
          <w:sz w:val="22"/>
          <w:szCs w:val="22"/>
        </w:rPr>
        <w:t>administrators of payment systems</w:t>
      </w:r>
      <w:r w:rsidR="0011165C">
        <w:rPr>
          <w:rFonts w:ascii="Arial" w:hAnsi="Arial" w:cs="Arial"/>
          <w:sz w:val="22"/>
          <w:szCs w:val="22"/>
        </w:rPr>
        <w:t xml:space="preserve"> and continues to </w:t>
      </w:r>
      <w:r w:rsidR="00791A38" w:rsidRPr="0011165C">
        <w:rPr>
          <w:rFonts w:ascii="Arial" w:hAnsi="Arial" w:cs="Arial"/>
          <w:sz w:val="22"/>
          <w:szCs w:val="22"/>
        </w:rPr>
        <w:t>exempt them</w:t>
      </w:r>
      <w:r w:rsidR="00F14A7B" w:rsidRPr="0011165C">
        <w:rPr>
          <w:rFonts w:ascii="Arial" w:hAnsi="Arial" w:cs="Arial"/>
          <w:sz w:val="22"/>
          <w:szCs w:val="22"/>
        </w:rPr>
        <w:t xml:space="preserve"> from having to </w:t>
      </w:r>
      <w:r w:rsidRPr="0011165C">
        <w:rPr>
          <w:rFonts w:ascii="Arial" w:hAnsi="Arial" w:cs="Arial"/>
          <w:sz w:val="22"/>
          <w:szCs w:val="22"/>
        </w:rPr>
        <w:t xml:space="preserve">report certain </w:t>
      </w:r>
      <w:r w:rsidR="00EE1CE8" w:rsidRPr="0011165C">
        <w:rPr>
          <w:rFonts w:ascii="Arial" w:hAnsi="Arial" w:cs="Arial"/>
          <w:sz w:val="22"/>
          <w:szCs w:val="22"/>
        </w:rPr>
        <w:t>transaction</w:t>
      </w:r>
      <w:r w:rsidRPr="0011165C">
        <w:rPr>
          <w:rFonts w:ascii="Arial" w:hAnsi="Arial" w:cs="Arial"/>
          <w:sz w:val="22"/>
          <w:szCs w:val="22"/>
        </w:rPr>
        <w:t>s to the Commissioner.</w:t>
      </w:r>
      <w:r w:rsidR="006D02EB" w:rsidRPr="0011165C">
        <w:rPr>
          <w:rFonts w:ascii="Arial" w:hAnsi="Arial" w:cs="Arial"/>
          <w:sz w:val="22"/>
          <w:szCs w:val="22"/>
        </w:rPr>
        <w:t xml:space="preserve"> This instrument </w:t>
      </w:r>
      <w:r w:rsidR="0011165C">
        <w:rPr>
          <w:rFonts w:ascii="Arial" w:hAnsi="Arial" w:cs="Arial"/>
          <w:sz w:val="22"/>
          <w:szCs w:val="22"/>
        </w:rPr>
        <w:t xml:space="preserve">also </w:t>
      </w:r>
      <w:r w:rsidR="006D02EB" w:rsidRPr="0011165C">
        <w:rPr>
          <w:rFonts w:ascii="Arial" w:hAnsi="Arial" w:cs="Arial"/>
          <w:sz w:val="22"/>
          <w:szCs w:val="22"/>
        </w:rPr>
        <w:t xml:space="preserve">confirms that administrators of </w:t>
      </w:r>
      <w:r w:rsidR="006D02EB" w:rsidRPr="00DB0071">
        <w:rPr>
          <w:rFonts w:ascii="Arial" w:hAnsi="Arial" w:cs="Arial"/>
          <w:sz w:val="22"/>
          <w:szCs w:val="22"/>
        </w:rPr>
        <w:t xml:space="preserve">payment systems </w:t>
      </w:r>
      <w:r w:rsidR="003A56E6" w:rsidRPr="00DB0071">
        <w:rPr>
          <w:rFonts w:ascii="Arial" w:hAnsi="Arial" w:cs="Arial"/>
          <w:sz w:val="22"/>
          <w:szCs w:val="22"/>
        </w:rPr>
        <w:t xml:space="preserve">must </w:t>
      </w:r>
      <w:r w:rsidR="00DB0071">
        <w:rPr>
          <w:rFonts w:ascii="Arial" w:hAnsi="Arial" w:cs="Arial"/>
          <w:sz w:val="22"/>
          <w:szCs w:val="22"/>
        </w:rPr>
        <w:t xml:space="preserve">continue to </w:t>
      </w:r>
      <w:r w:rsidR="003A56E6" w:rsidRPr="00DB0071">
        <w:rPr>
          <w:rFonts w:ascii="Arial" w:hAnsi="Arial" w:cs="Arial"/>
          <w:sz w:val="22"/>
          <w:szCs w:val="22"/>
        </w:rPr>
        <w:t>report</w:t>
      </w:r>
      <w:r w:rsidR="006D02EB" w:rsidRPr="00DB0071">
        <w:rPr>
          <w:rFonts w:ascii="Arial" w:hAnsi="Arial" w:cs="Arial"/>
          <w:sz w:val="22"/>
          <w:szCs w:val="22"/>
        </w:rPr>
        <w:t xml:space="preserve"> </w:t>
      </w:r>
      <w:r w:rsidR="00A562BE" w:rsidRPr="00DB0071">
        <w:rPr>
          <w:rFonts w:ascii="Arial" w:hAnsi="Arial" w:cs="Arial"/>
          <w:sz w:val="22"/>
          <w:szCs w:val="22"/>
        </w:rPr>
        <w:t xml:space="preserve">certain </w:t>
      </w:r>
      <w:r w:rsidR="006D02EB" w:rsidRPr="00DB0071">
        <w:rPr>
          <w:rFonts w:ascii="Arial" w:hAnsi="Arial" w:cs="Arial"/>
          <w:sz w:val="22"/>
          <w:szCs w:val="22"/>
        </w:rPr>
        <w:t xml:space="preserve">transactions </w:t>
      </w:r>
      <w:r w:rsidR="003A56E6" w:rsidRPr="00DB0071">
        <w:rPr>
          <w:rFonts w:ascii="Arial" w:hAnsi="Arial" w:cs="Arial"/>
          <w:sz w:val="22"/>
          <w:szCs w:val="22"/>
        </w:rPr>
        <w:t>from</w:t>
      </w:r>
      <w:r w:rsidR="006D02EB" w:rsidRPr="00DB0071">
        <w:rPr>
          <w:rFonts w:ascii="Arial" w:hAnsi="Arial" w:cs="Arial"/>
          <w:sz w:val="22"/>
          <w:szCs w:val="22"/>
        </w:rPr>
        <w:t xml:space="preserve"> 1 July 2022 </w:t>
      </w:r>
      <w:r w:rsidR="003A56E6" w:rsidRPr="00DB0071">
        <w:rPr>
          <w:rFonts w:ascii="Arial" w:hAnsi="Arial" w:cs="Arial"/>
          <w:sz w:val="22"/>
          <w:szCs w:val="22"/>
        </w:rPr>
        <w:t>to</w:t>
      </w:r>
      <w:r w:rsidR="006D02EB" w:rsidRPr="00DB0071">
        <w:rPr>
          <w:rFonts w:ascii="Arial" w:hAnsi="Arial" w:cs="Arial"/>
          <w:sz w:val="22"/>
          <w:szCs w:val="22"/>
        </w:rPr>
        <w:t xml:space="preserve"> be compliant with their taxation obligations.</w:t>
      </w:r>
    </w:p>
    <w:p w14:paraId="5EFE1700" w14:textId="0D019B39" w:rsidR="000D7ECB" w:rsidRPr="000D7ECB" w:rsidRDefault="000D7ECB" w:rsidP="000D7ECB">
      <w:pPr>
        <w:spacing w:after="120"/>
        <w:rPr>
          <w:rFonts w:ascii="Arial" w:hAnsi="Arial" w:cs="Arial"/>
          <w:sz w:val="22"/>
          <w:szCs w:val="22"/>
        </w:rPr>
      </w:pPr>
    </w:p>
    <w:p w14:paraId="3ACE70D6" w14:textId="0FB99E64" w:rsidR="0095310D" w:rsidRPr="0040342B" w:rsidRDefault="0095310D" w:rsidP="0040342B">
      <w:pPr>
        <w:pStyle w:val="Heading2"/>
        <w:rPr>
          <w:rFonts w:cs="Arial"/>
          <w:szCs w:val="22"/>
        </w:rPr>
      </w:pPr>
      <w:r w:rsidRPr="0040342B">
        <w:rPr>
          <w:rFonts w:cs="Arial"/>
          <w:szCs w:val="22"/>
        </w:rPr>
        <w:t>Repeal of previous instrument</w:t>
      </w:r>
      <w:r w:rsidR="0093276F" w:rsidRPr="0040342B">
        <w:rPr>
          <w:rFonts w:cs="Arial"/>
          <w:szCs w:val="22"/>
        </w:rPr>
        <w:t>s</w:t>
      </w:r>
    </w:p>
    <w:p w14:paraId="1CCBA314" w14:textId="240A8F5C" w:rsidR="00D938AB" w:rsidRPr="0040342B" w:rsidRDefault="00D938AB"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 xml:space="preserve">This instrument repeals and replaces Instrument </w:t>
      </w:r>
      <w:r w:rsidR="00A40A9D" w:rsidRPr="0040342B">
        <w:rPr>
          <w:rFonts w:ascii="Arial" w:hAnsi="Arial" w:cs="Arial"/>
          <w:sz w:val="22"/>
          <w:szCs w:val="22"/>
        </w:rPr>
        <w:t xml:space="preserve">F2021L00278 </w:t>
      </w:r>
      <w:r w:rsidR="00F04B96" w:rsidRPr="0040342B">
        <w:rPr>
          <w:rFonts w:ascii="Arial" w:hAnsi="Arial" w:cs="Arial"/>
          <w:i/>
          <w:sz w:val="22"/>
          <w:szCs w:val="22"/>
        </w:rPr>
        <w:t xml:space="preserve">Classes of Electronic Payment System Transactions Exempt </w:t>
      </w:r>
      <w:r w:rsidR="00A40A9D" w:rsidRPr="0040342B">
        <w:rPr>
          <w:rFonts w:ascii="Arial" w:hAnsi="Arial" w:cs="Arial"/>
          <w:i/>
          <w:sz w:val="22"/>
          <w:szCs w:val="22"/>
        </w:rPr>
        <w:t>f</w:t>
      </w:r>
      <w:r w:rsidR="00F04B96" w:rsidRPr="0040342B">
        <w:rPr>
          <w:rFonts w:ascii="Arial" w:hAnsi="Arial" w:cs="Arial"/>
          <w:i/>
          <w:sz w:val="22"/>
          <w:szCs w:val="22"/>
        </w:rPr>
        <w:t>rom Being Reported in Third Party Reports Determination 20</w:t>
      </w:r>
      <w:r w:rsidR="006639C7" w:rsidRPr="0040342B">
        <w:rPr>
          <w:rFonts w:ascii="Arial" w:hAnsi="Arial" w:cs="Arial"/>
          <w:i/>
          <w:sz w:val="22"/>
          <w:szCs w:val="22"/>
        </w:rPr>
        <w:t>21</w:t>
      </w:r>
      <w:r w:rsidRPr="0040342B">
        <w:rPr>
          <w:rFonts w:ascii="Arial" w:hAnsi="Arial" w:cs="Arial"/>
          <w:b/>
          <w:sz w:val="22"/>
          <w:szCs w:val="22"/>
        </w:rPr>
        <w:t xml:space="preserve"> </w:t>
      </w:r>
      <w:r w:rsidRPr="0040342B">
        <w:rPr>
          <w:rFonts w:ascii="Arial" w:hAnsi="Arial" w:cs="Arial"/>
          <w:sz w:val="22"/>
          <w:szCs w:val="22"/>
        </w:rPr>
        <w:t xml:space="preserve">registered </w:t>
      </w:r>
      <w:r w:rsidR="00502B1A" w:rsidRPr="0040342B">
        <w:rPr>
          <w:rFonts w:ascii="Arial" w:hAnsi="Arial" w:cs="Arial"/>
          <w:sz w:val="22"/>
          <w:szCs w:val="22"/>
        </w:rPr>
        <w:t xml:space="preserve">on </w:t>
      </w:r>
      <w:r w:rsidR="006639C7" w:rsidRPr="0040342B">
        <w:rPr>
          <w:rFonts w:ascii="Arial" w:hAnsi="Arial" w:cs="Arial"/>
          <w:sz w:val="22"/>
          <w:szCs w:val="22"/>
        </w:rPr>
        <w:t>2</w:t>
      </w:r>
      <w:r w:rsidR="004A5A92" w:rsidRPr="0040342B">
        <w:rPr>
          <w:rFonts w:ascii="Arial" w:hAnsi="Arial" w:cs="Arial"/>
          <w:sz w:val="22"/>
          <w:szCs w:val="22"/>
        </w:rPr>
        <w:t>2</w:t>
      </w:r>
      <w:r w:rsidR="006639C7" w:rsidRPr="0040342B">
        <w:rPr>
          <w:rFonts w:ascii="Arial" w:hAnsi="Arial" w:cs="Arial"/>
          <w:sz w:val="22"/>
          <w:szCs w:val="22"/>
        </w:rPr>
        <w:t xml:space="preserve"> March 2021</w:t>
      </w:r>
      <w:r w:rsidRPr="0040342B">
        <w:rPr>
          <w:rFonts w:ascii="Arial" w:hAnsi="Arial" w:cs="Arial"/>
          <w:i/>
          <w:sz w:val="22"/>
          <w:szCs w:val="22"/>
        </w:rPr>
        <w:t>.</w:t>
      </w:r>
    </w:p>
    <w:p w14:paraId="5DCD6B29" w14:textId="77777777" w:rsidR="0079174B" w:rsidRPr="0040342B" w:rsidRDefault="0079174B" w:rsidP="0040342B">
      <w:pPr>
        <w:spacing w:after="120"/>
        <w:rPr>
          <w:rFonts w:ascii="Arial" w:hAnsi="Arial" w:cs="Arial"/>
          <w:sz w:val="22"/>
          <w:szCs w:val="22"/>
        </w:rPr>
      </w:pPr>
    </w:p>
    <w:p w14:paraId="543B12ED" w14:textId="601671C0" w:rsidR="00964B85" w:rsidRPr="0040342B" w:rsidRDefault="00486653" w:rsidP="0040342B">
      <w:pPr>
        <w:pStyle w:val="Heading2"/>
        <w:rPr>
          <w:rFonts w:cs="Arial"/>
          <w:szCs w:val="22"/>
        </w:rPr>
      </w:pPr>
      <w:r w:rsidRPr="0040342B">
        <w:rPr>
          <w:rFonts w:cs="Arial"/>
          <w:szCs w:val="22"/>
        </w:rPr>
        <w:lastRenderedPageBreak/>
        <w:t>What is this instrument about</w:t>
      </w:r>
      <w:r w:rsidR="00A03AA3" w:rsidRPr="0040342B">
        <w:rPr>
          <w:rFonts w:cs="Arial"/>
          <w:szCs w:val="22"/>
        </w:rPr>
        <w:t>?</w:t>
      </w:r>
    </w:p>
    <w:p w14:paraId="018F0569" w14:textId="1728AF2D" w:rsidR="00652CB5" w:rsidRPr="0040342B" w:rsidRDefault="00964B85"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 xml:space="preserve">Item 9 </w:t>
      </w:r>
      <w:r w:rsidR="00791A38" w:rsidRPr="0040342B">
        <w:rPr>
          <w:rFonts w:ascii="Arial" w:hAnsi="Arial" w:cs="Arial"/>
          <w:sz w:val="22"/>
          <w:szCs w:val="22"/>
        </w:rPr>
        <w:t xml:space="preserve">of </w:t>
      </w:r>
      <w:r w:rsidRPr="0040342B">
        <w:rPr>
          <w:rFonts w:ascii="Arial" w:hAnsi="Arial" w:cs="Arial"/>
          <w:sz w:val="22"/>
          <w:szCs w:val="22"/>
        </w:rPr>
        <w:t xml:space="preserve">the table </w:t>
      </w:r>
      <w:r w:rsidR="00502B1A" w:rsidRPr="0040342B">
        <w:rPr>
          <w:rFonts w:ascii="Arial" w:hAnsi="Arial" w:cs="Arial"/>
          <w:sz w:val="22"/>
          <w:szCs w:val="22"/>
        </w:rPr>
        <w:t>in</w:t>
      </w:r>
      <w:r w:rsidRPr="0040342B">
        <w:rPr>
          <w:rFonts w:ascii="Arial" w:hAnsi="Arial" w:cs="Arial"/>
          <w:sz w:val="22"/>
          <w:szCs w:val="22"/>
        </w:rPr>
        <w:t xml:space="preserve"> section 396-55 of Schedule 1 to the TAA requires an administrator</w:t>
      </w:r>
      <w:r w:rsidR="00355FCD" w:rsidRPr="0040342B">
        <w:rPr>
          <w:rFonts w:ascii="Arial" w:hAnsi="Arial" w:cs="Arial"/>
          <w:sz w:val="22"/>
          <w:szCs w:val="22"/>
        </w:rPr>
        <w:t xml:space="preserve"> </w:t>
      </w:r>
      <w:r w:rsidRPr="0040342B">
        <w:rPr>
          <w:rFonts w:ascii="Arial" w:hAnsi="Arial" w:cs="Arial"/>
          <w:sz w:val="22"/>
          <w:szCs w:val="22"/>
        </w:rPr>
        <w:t xml:space="preserve">of </w:t>
      </w:r>
      <w:r w:rsidR="003F13D6" w:rsidRPr="0040342B">
        <w:rPr>
          <w:rFonts w:ascii="Arial" w:hAnsi="Arial" w:cs="Arial"/>
          <w:sz w:val="22"/>
          <w:szCs w:val="22"/>
        </w:rPr>
        <w:t>a</w:t>
      </w:r>
      <w:r w:rsidRPr="0040342B">
        <w:rPr>
          <w:rFonts w:ascii="Arial" w:hAnsi="Arial" w:cs="Arial"/>
          <w:sz w:val="22"/>
          <w:szCs w:val="22"/>
        </w:rPr>
        <w:t xml:space="preserve"> payment system (within the meaning of the </w:t>
      </w:r>
      <w:r w:rsidRPr="0040342B">
        <w:rPr>
          <w:rFonts w:ascii="Arial" w:hAnsi="Arial" w:cs="Arial"/>
          <w:i/>
          <w:sz w:val="22"/>
          <w:szCs w:val="22"/>
        </w:rPr>
        <w:t>Payment System</w:t>
      </w:r>
      <w:r w:rsidR="00E03CD6" w:rsidRPr="0040342B">
        <w:rPr>
          <w:rFonts w:ascii="Arial" w:hAnsi="Arial" w:cs="Arial"/>
          <w:i/>
          <w:sz w:val="22"/>
          <w:szCs w:val="22"/>
        </w:rPr>
        <w:t>s</w:t>
      </w:r>
      <w:r w:rsidRPr="0040342B">
        <w:rPr>
          <w:rFonts w:ascii="Arial" w:hAnsi="Arial" w:cs="Arial"/>
          <w:i/>
          <w:sz w:val="22"/>
          <w:szCs w:val="22"/>
        </w:rPr>
        <w:t xml:space="preserve"> (Regulation) Act 1998</w:t>
      </w:r>
      <w:r w:rsidRPr="00832233">
        <w:rPr>
          <w:rFonts w:ascii="Arial" w:hAnsi="Arial" w:cs="Arial"/>
          <w:iCs/>
          <w:sz w:val="22"/>
          <w:szCs w:val="22"/>
        </w:rPr>
        <w:t xml:space="preserve">) </w:t>
      </w:r>
      <w:r w:rsidRPr="0040342B">
        <w:rPr>
          <w:rFonts w:ascii="Arial" w:hAnsi="Arial" w:cs="Arial"/>
          <w:sz w:val="22"/>
          <w:szCs w:val="22"/>
        </w:rPr>
        <w:t>to report</w:t>
      </w:r>
      <w:r w:rsidR="00C319F9" w:rsidRPr="0040342B">
        <w:rPr>
          <w:rFonts w:ascii="Arial" w:hAnsi="Arial" w:cs="Arial"/>
          <w:sz w:val="22"/>
          <w:szCs w:val="22"/>
        </w:rPr>
        <w:t xml:space="preserve"> a</w:t>
      </w:r>
      <w:r w:rsidRPr="0040342B">
        <w:rPr>
          <w:rFonts w:ascii="Arial" w:hAnsi="Arial" w:cs="Arial"/>
          <w:sz w:val="22"/>
          <w:szCs w:val="22"/>
        </w:rPr>
        <w:t xml:space="preserve"> transaction involving an electronic payment if</w:t>
      </w:r>
      <w:r w:rsidR="00652CB5" w:rsidRPr="0040342B">
        <w:rPr>
          <w:rFonts w:ascii="Arial" w:hAnsi="Arial" w:cs="Arial"/>
          <w:sz w:val="22"/>
          <w:szCs w:val="22"/>
        </w:rPr>
        <w:t>:</w:t>
      </w:r>
    </w:p>
    <w:p w14:paraId="307F007D" w14:textId="77777777" w:rsidR="00A40A9D" w:rsidRPr="0040342B" w:rsidRDefault="00964B85" w:rsidP="00832233">
      <w:pPr>
        <w:numPr>
          <w:ilvl w:val="1"/>
          <w:numId w:val="9"/>
        </w:numPr>
        <w:spacing w:after="120"/>
        <w:ind w:left="1418" w:hanging="709"/>
        <w:rPr>
          <w:rFonts w:ascii="Arial" w:hAnsi="Arial" w:cs="Arial"/>
          <w:sz w:val="22"/>
          <w:szCs w:val="22"/>
        </w:rPr>
      </w:pPr>
      <w:r w:rsidRPr="0040342B">
        <w:rPr>
          <w:rFonts w:ascii="Arial" w:hAnsi="Arial" w:cs="Arial"/>
          <w:sz w:val="22"/>
          <w:szCs w:val="22"/>
        </w:rPr>
        <w:t>the transaction is facilitated on behalf of an entity, and</w:t>
      </w:r>
    </w:p>
    <w:p w14:paraId="21FCEF85" w14:textId="62303567" w:rsidR="00652CB5" w:rsidRPr="0040342B" w:rsidRDefault="00964B85" w:rsidP="00832233">
      <w:pPr>
        <w:numPr>
          <w:ilvl w:val="1"/>
          <w:numId w:val="9"/>
        </w:numPr>
        <w:spacing w:after="120"/>
        <w:ind w:left="1418" w:hanging="709"/>
        <w:rPr>
          <w:rFonts w:ascii="Arial" w:hAnsi="Arial" w:cs="Arial"/>
          <w:sz w:val="22"/>
          <w:szCs w:val="22"/>
        </w:rPr>
      </w:pPr>
      <w:r w:rsidRPr="0040342B">
        <w:rPr>
          <w:rFonts w:ascii="Arial" w:hAnsi="Arial" w:cs="Arial"/>
          <w:sz w:val="22"/>
          <w:szCs w:val="22"/>
        </w:rPr>
        <w:t>the administrator reasonably believes that the transaction</w:t>
      </w:r>
      <w:r w:rsidR="004C289F" w:rsidRPr="0040342B">
        <w:rPr>
          <w:rFonts w:ascii="Arial" w:hAnsi="Arial" w:cs="Arial"/>
          <w:sz w:val="22"/>
          <w:szCs w:val="22"/>
        </w:rPr>
        <w:t>:</w:t>
      </w:r>
    </w:p>
    <w:p w14:paraId="79792B8B" w14:textId="77777777" w:rsidR="00A40A9D" w:rsidRPr="0040342B" w:rsidRDefault="00652CB5" w:rsidP="00832233">
      <w:pPr>
        <w:numPr>
          <w:ilvl w:val="2"/>
          <w:numId w:val="1"/>
        </w:numPr>
        <w:spacing w:after="120"/>
        <w:ind w:left="2127" w:hanging="709"/>
        <w:rPr>
          <w:rFonts w:ascii="Arial" w:hAnsi="Arial" w:cs="Arial"/>
          <w:sz w:val="22"/>
          <w:szCs w:val="22"/>
        </w:rPr>
      </w:pPr>
      <w:r w:rsidRPr="0040342B">
        <w:rPr>
          <w:rFonts w:ascii="Arial" w:hAnsi="Arial" w:cs="Arial"/>
          <w:sz w:val="22"/>
          <w:szCs w:val="22"/>
        </w:rPr>
        <w:t>provides</w:t>
      </w:r>
      <w:r w:rsidR="00964B85" w:rsidRPr="0040342B">
        <w:rPr>
          <w:rFonts w:ascii="Arial" w:hAnsi="Arial" w:cs="Arial"/>
          <w:sz w:val="22"/>
          <w:szCs w:val="22"/>
        </w:rPr>
        <w:t xml:space="preserve"> a payment to the entity, </w:t>
      </w:r>
      <w:r w:rsidRPr="0040342B">
        <w:rPr>
          <w:rFonts w:ascii="Arial" w:hAnsi="Arial" w:cs="Arial"/>
          <w:sz w:val="22"/>
          <w:szCs w:val="22"/>
        </w:rPr>
        <w:t xml:space="preserve">or </w:t>
      </w:r>
      <w:r w:rsidR="00964B85" w:rsidRPr="0040342B">
        <w:rPr>
          <w:rFonts w:ascii="Arial" w:hAnsi="Arial" w:cs="Arial"/>
          <w:sz w:val="22"/>
          <w:szCs w:val="22"/>
        </w:rPr>
        <w:t xml:space="preserve">a refund or cash </w:t>
      </w:r>
      <w:r w:rsidRPr="0040342B">
        <w:rPr>
          <w:rFonts w:ascii="Arial" w:hAnsi="Arial" w:cs="Arial"/>
          <w:sz w:val="22"/>
          <w:szCs w:val="22"/>
        </w:rPr>
        <w:t>to</w:t>
      </w:r>
      <w:r w:rsidR="00964B85" w:rsidRPr="0040342B">
        <w:rPr>
          <w:rFonts w:ascii="Arial" w:hAnsi="Arial" w:cs="Arial"/>
          <w:sz w:val="22"/>
          <w:szCs w:val="22"/>
        </w:rPr>
        <w:t xml:space="preserve"> a customer of the entity, and</w:t>
      </w:r>
    </w:p>
    <w:p w14:paraId="5A1B673E" w14:textId="134281C5" w:rsidR="00B863DB" w:rsidRPr="0040342B" w:rsidRDefault="00964B85" w:rsidP="00832233">
      <w:pPr>
        <w:numPr>
          <w:ilvl w:val="2"/>
          <w:numId w:val="1"/>
        </w:numPr>
        <w:spacing w:after="120"/>
        <w:ind w:left="2127" w:hanging="709"/>
        <w:rPr>
          <w:rFonts w:ascii="Arial" w:hAnsi="Arial" w:cs="Arial"/>
          <w:sz w:val="22"/>
          <w:szCs w:val="22"/>
        </w:rPr>
      </w:pPr>
      <w:r w:rsidRPr="0040342B">
        <w:rPr>
          <w:rFonts w:ascii="Arial" w:hAnsi="Arial" w:cs="Arial"/>
          <w:sz w:val="22"/>
          <w:szCs w:val="22"/>
        </w:rPr>
        <w:t>is for the purpose of a business carried on by the entity</w:t>
      </w:r>
      <w:r w:rsidR="00C85A74" w:rsidRPr="0040342B">
        <w:rPr>
          <w:rFonts w:ascii="Arial" w:hAnsi="Arial" w:cs="Arial"/>
          <w:sz w:val="22"/>
          <w:szCs w:val="22"/>
        </w:rPr>
        <w:t>.</w:t>
      </w:r>
    </w:p>
    <w:p w14:paraId="6552B134" w14:textId="2196513E" w:rsidR="00A40A9D" w:rsidRPr="0040342B" w:rsidRDefault="00502B1A"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Paragraph</w:t>
      </w:r>
      <w:r w:rsidR="001F76F2" w:rsidRPr="0040342B">
        <w:rPr>
          <w:rFonts w:ascii="Arial" w:hAnsi="Arial" w:cs="Arial"/>
          <w:sz w:val="22"/>
          <w:szCs w:val="22"/>
        </w:rPr>
        <w:t xml:space="preserve"> 396-70(4)</w:t>
      </w:r>
      <w:r w:rsidRPr="0040342B">
        <w:rPr>
          <w:rFonts w:ascii="Arial" w:hAnsi="Arial" w:cs="Arial"/>
          <w:sz w:val="22"/>
          <w:szCs w:val="22"/>
        </w:rPr>
        <w:t>(b)</w:t>
      </w:r>
      <w:r w:rsidR="001F76F2" w:rsidRPr="0040342B">
        <w:rPr>
          <w:rFonts w:ascii="Arial" w:hAnsi="Arial" w:cs="Arial"/>
          <w:sz w:val="22"/>
          <w:szCs w:val="22"/>
        </w:rPr>
        <w:t xml:space="preserve"> of Schedule 1 to the TAA allows the Commissioner, by legislative instrument, to exempt </w:t>
      </w:r>
      <w:r w:rsidRPr="0040342B">
        <w:rPr>
          <w:rFonts w:ascii="Arial" w:hAnsi="Arial" w:cs="Arial"/>
          <w:sz w:val="22"/>
          <w:szCs w:val="22"/>
        </w:rPr>
        <w:t xml:space="preserve">specified </w:t>
      </w:r>
      <w:r w:rsidR="001F76F2" w:rsidRPr="0040342B">
        <w:rPr>
          <w:rFonts w:ascii="Arial" w:hAnsi="Arial" w:cs="Arial"/>
          <w:sz w:val="22"/>
          <w:szCs w:val="22"/>
        </w:rPr>
        <w:t>classes of</w:t>
      </w:r>
      <w:r w:rsidR="004C289F" w:rsidRPr="0040342B">
        <w:rPr>
          <w:rFonts w:ascii="Arial" w:hAnsi="Arial" w:cs="Arial"/>
          <w:sz w:val="22"/>
          <w:szCs w:val="22"/>
        </w:rPr>
        <w:t xml:space="preserve"> entities from being required to prepare and give reports under section 396-55 (including in relation to specified classes of</w:t>
      </w:r>
      <w:r w:rsidR="001F76F2" w:rsidRPr="0040342B">
        <w:rPr>
          <w:rFonts w:ascii="Arial" w:hAnsi="Arial" w:cs="Arial"/>
          <w:sz w:val="22"/>
          <w:szCs w:val="22"/>
        </w:rPr>
        <w:t xml:space="preserve"> transactions</w:t>
      </w:r>
      <w:r w:rsidR="004C289F" w:rsidRPr="0040342B">
        <w:rPr>
          <w:rFonts w:ascii="Arial" w:hAnsi="Arial" w:cs="Arial"/>
          <w:sz w:val="22"/>
          <w:szCs w:val="22"/>
        </w:rPr>
        <w:t>)</w:t>
      </w:r>
      <w:r w:rsidR="001F76F2" w:rsidRPr="0040342B">
        <w:rPr>
          <w:rFonts w:ascii="Arial" w:hAnsi="Arial" w:cs="Arial"/>
          <w:sz w:val="22"/>
          <w:szCs w:val="22"/>
        </w:rPr>
        <w:t>.</w:t>
      </w:r>
    </w:p>
    <w:p w14:paraId="61DC525B" w14:textId="74F22AE8" w:rsidR="00F04B96" w:rsidRPr="0040342B" w:rsidRDefault="004C289F"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Section 3 of this instrument contains reporting exemptions for administrators of a payment system in relation to specified classes of transactions</w:t>
      </w:r>
      <w:r w:rsidR="00DF70E3" w:rsidRPr="0040342B">
        <w:rPr>
          <w:rFonts w:ascii="Arial" w:hAnsi="Arial" w:cs="Arial"/>
          <w:sz w:val="22"/>
          <w:szCs w:val="22"/>
        </w:rPr>
        <w:t>.</w:t>
      </w:r>
    </w:p>
    <w:p w14:paraId="2E7A81D1" w14:textId="77777777" w:rsidR="00E2255A" w:rsidRPr="0040342B" w:rsidRDefault="00E2255A" w:rsidP="0040342B">
      <w:pPr>
        <w:spacing w:after="120"/>
        <w:rPr>
          <w:rFonts w:ascii="Arial" w:hAnsi="Arial" w:cs="Arial"/>
          <w:sz w:val="22"/>
          <w:szCs w:val="22"/>
        </w:rPr>
      </w:pPr>
    </w:p>
    <w:p w14:paraId="368D7B57" w14:textId="494B2A15" w:rsidR="005D472F" w:rsidRPr="0040342B" w:rsidRDefault="00973518" w:rsidP="0040342B">
      <w:pPr>
        <w:pStyle w:val="Heading3"/>
        <w:spacing w:before="0" w:after="120"/>
        <w:rPr>
          <w:i/>
          <w:iCs/>
          <w:sz w:val="22"/>
          <w:szCs w:val="22"/>
        </w:rPr>
      </w:pPr>
      <w:r w:rsidRPr="0040342B">
        <w:rPr>
          <w:i/>
          <w:iCs/>
          <w:sz w:val="22"/>
          <w:szCs w:val="22"/>
        </w:rPr>
        <w:t xml:space="preserve">The reporting exemption provided by paragraph </w:t>
      </w:r>
      <w:r w:rsidR="004C289F" w:rsidRPr="0040342B">
        <w:rPr>
          <w:i/>
          <w:iCs/>
          <w:sz w:val="22"/>
          <w:szCs w:val="22"/>
        </w:rPr>
        <w:t>3(1)</w:t>
      </w:r>
      <w:r w:rsidRPr="0040342B">
        <w:rPr>
          <w:i/>
          <w:iCs/>
          <w:sz w:val="22"/>
          <w:szCs w:val="22"/>
        </w:rPr>
        <w:t>(a</w:t>
      </w:r>
      <w:r w:rsidR="00996AD8" w:rsidRPr="0040342B">
        <w:rPr>
          <w:i/>
          <w:iCs/>
          <w:sz w:val="22"/>
          <w:szCs w:val="22"/>
        </w:rPr>
        <w:t>)</w:t>
      </w:r>
    </w:p>
    <w:p w14:paraId="546F1BF5" w14:textId="28C53FDE" w:rsidR="00E352B9" w:rsidRPr="0040342B" w:rsidRDefault="001039DF"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 xml:space="preserve">Paragraph </w:t>
      </w:r>
      <w:r w:rsidR="004C289F" w:rsidRPr="0040342B">
        <w:rPr>
          <w:rFonts w:ascii="Arial" w:hAnsi="Arial" w:cs="Arial"/>
          <w:sz w:val="22"/>
          <w:szCs w:val="22"/>
        </w:rPr>
        <w:t>3(1)</w:t>
      </w:r>
      <w:r w:rsidRPr="0040342B">
        <w:rPr>
          <w:rFonts w:ascii="Arial" w:hAnsi="Arial" w:cs="Arial"/>
          <w:sz w:val="22"/>
          <w:szCs w:val="22"/>
        </w:rPr>
        <w:t>(a) of this instrument exempts</w:t>
      </w:r>
      <w:r w:rsidR="005D472F" w:rsidRPr="0040342B">
        <w:rPr>
          <w:rFonts w:ascii="Arial" w:hAnsi="Arial" w:cs="Arial"/>
          <w:sz w:val="22"/>
          <w:szCs w:val="22"/>
        </w:rPr>
        <w:t xml:space="preserve"> </w:t>
      </w:r>
      <w:r w:rsidR="00996AD8" w:rsidRPr="0040342B">
        <w:rPr>
          <w:rFonts w:ascii="Arial" w:hAnsi="Arial" w:cs="Arial"/>
          <w:sz w:val="22"/>
          <w:szCs w:val="22"/>
        </w:rPr>
        <w:t xml:space="preserve">administrators of a payment system </w:t>
      </w:r>
      <w:r w:rsidRPr="0040342B">
        <w:rPr>
          <w:rFonts w:ascii="Arial" w:hAnsi="Arial" w:cs="Arial"/>
          <w:sz w:val="22"/>
          <w:szCs w:val="22"/>
        </w:rPr>
        <w:t>from reporting</w:t>
      </w:r>
      <w:r w:rsidR="005D472F" w:rsidRPr="0040342B">
        <w:rPr>
          <w:rFonts w:ascii="Arial" w:hAnsi="Arial" w:cs="Arial"/>
          <w:sz w:val="22"/>
          <w:szCs w:val="22"/>
        </w:rPr>
        <w:t xml:space="preserve"> transactions </w:t>
      </w:r>
      <w:r w:rsidRPr="0040342B">
        <w:rPr>
          <w:rFonts w:ascii="Arial" w:hAnsi="Arial" w:cs="Arial"/>
          <w:sz w:val="22"/>
          <w:szCs w:val="22"/>
        </w:rPr>
        <w:t xml:space="preserve">which </w:t>
      </w:r>
      <w:r w:rsidR="005D472F" w:rsidRPr="0040342B">
        <w:rPr>
          <w:rFonts w:ascii="Arial" w:hAnsi="Arial" w:cs="Arial"/>
          <w:sz w:val="22"/>
          <w:szCs w:val="22"/>
        </w:rPr>
        <w:t>have been initiated by another entity</w:t>
      </w:r>
      <w:r w:rsidR="004676ED" w:rsidRPr="0040342B">
        <w:rPr>
          <w:rFonts w:ascii="Arial" w:hAnsi="Arial" w:cs="Arial"/>
          <w:sz w:val="22"/>
          <w:szCs w:val="22"/>
        </w:rPr>
        <w:t>,</w:t>
      </w:r>
      <w:r w:rsidR="005D472F" w:rsidRPr="0040342B">
        <w:rPr>
          <w:rFonts w:ascii="Arial" w:hAnsi="Arial" w:cs="Arial"/>
          <w:sz w:val="22"/>
          <w:szCs w:val="22"/>
        </w:rPr>
        <w:t xml:space="preserve"> </w:t>
      </w:r>
      <w:r w:rsidR="00F40EFF" w:rsidRPr="0040342B">
        <w:rPr>
          <w:rFonts w:ascii="Arial" w:hAnsi="Arial" w:cs="Arial"/>
          <w:sz w:val="22"/>
          <w:szCs w:val="22"/>
        </w:rPr>
        <w:t xml:space="preserve">where that other entity is required by </w:t>
      </w:r>
      <w:r w:rsidR="00A03AA3" w:rsidRPr="0040342B">
        <w:rPr>
          <w:rFonts w:ascii="Arial" w:hAnsi="Arial" w:cs="Arial"/>
          <w:sz w:val="22"/>
          <w:szCs w:val="22"/>
        </w:rPr>
        <w:t xml:space="preserve">table </w:t>
      </w:r>
      <w:r w:rsidR="00F40EFF" w:rsidRPr="0040342B">
        <w:rPr>
          <w:rFonts w:ascii="Arial" w:hAnsi="Arial" w:cs="Arial"/>
          <w:sz w:val="22"/>
          <w:szCs w:val="22"/>
        </w:rPr>
        <w:t xml:space="preserve">item 9 in section 396-55 of Schedule 1 </w:t>
      </w:r>
      <w:r w:rsidR="00A03AA3" w:rsidRPr="0040342B">
        <w:rPr>
          <w:rFonts w:ascii="Arial" w:hAnsi="Arial" w:cs="Arial"/>
          <w:sz w:val="22"/>
          <w:szCs w:val="22"/>
        </w:rPr>
        <w:t xml:space="preserve">to </w:t>
      </w:r>
      <w:r w:rsidR="00F40EFF" w:rsidRPr="0040342B">
        <w:rPr>
          <w:rFonts w:ascii="Arial" w:hAnsi="Arial" w:cs="Arial"/>
          <w:sz w:val="22"/>
          <w:szCs w:val="22"/>
        </w:rPr>
        <w:t>the TAA</w:t>
      </w:r>
      <w:r w:rsidR="002414A6" w:rsidRPr="0040342B">
        <w:rPr>
          <w:rFonts w:ascii="Arial" w:hAnsi="Arial" w:cs="Arial"/>
          <w:sz w:val="22"/>
          <w:szCs w:val="22"/>
        </w:rPr>
        <w:t xml:space="preserve"> to report </w:t>
      </w:r>
      <w:r w:rsidR="00FE63C4" w:rsidRPr="0040342B">
        <w:rPr>
          <w:rFonts w:ascii="Arial" w:hAnsi="Arial" w:cs="Arial"/>
          <w:sz w:val="22"/>
          <w:szCs w:val="22"/>
        </w:rPr>
        <w:t>th</w:t>
      </w:r>
      <w:r w:rsidR="00BD61FD" w:rsidRPr="0040342B">
        <w:rPr>
          <w:rFonts w:ascii="Arial" w:hAnsi="Arial" w:cs="Arial"/>
          <w:sz w:val="22"/>
          <w:szCs w:val="22"/>
        </w:rPr>
        <w:t>ose</w:t>
      </w:r>
      <w:r w:rsidR="00FE63C4" w:rsidRPr="0040342B">
        <w:rPr>
          <w:rFonts w:ascii="Arial" w:hAnsi="Arial" w:cs="Arial"/>
          <w:sz w:val="22"/>
          <w:szCs w:val="22"/>
        </w:rPr>
        <w:t xml:space="preserve"> transactions </w:t>
      </w:r>
      <w:r w:rsidR="002414A6" w:rsidRPr="0040342B">
        <w:rPr>
          <w:rFonts w:ascii="Arial" w:hAnsi="Arial" w:cs="Arial"/>
          <w:sz w:val="22"/>
          <w:szCs w:val="22"/>
        </w:rPr>
        <w:t xml:space="preserve">to the </w:t>
      </w:r>
      <w:r w:rsidR="00BA11F7" w:rsidRPr="0040342B">
        <w:rPr>
          <w:rFonts w:ascii="Arial" w:hAnsi="Arial" w:cs="Arial"/>
          <w:sz w:val="22"/>
          <w:szCs w:val="22"/>
        </w:rPr>
        <w:t>Commiss</w:t>
      </w:r>
      <w:r w:rsidR="00A421DA" w:rsidRPr="0040342B">
        <w:rPr>
          <w:rFonts w:ascii="Arial" w:hAnsi="Arial" w:cs="Arial"/>
          <w:sz w:val="22"/>
          <w:szCs w:val="22"/>
        </w:rPr>
        <w:t>ioner</w:t>
      </w:r>
      <w:r w:rsidR="00F40EFF" w:rsidRPr="0040342B">
        <w:rPr>
          <w:rFonts w:ascii="Arial" w:hAnsi="Arial" w:cs="Arial"/>
          <w:sz w:val="22"/>
          <w:szCs w:val="22"/>
        </w:rPr>
        <w:t>.</w:t>
      </w:r>
    </w:p>
    <w:p w14:paraId="38D3EE23" w14:textId="3FAFF42E" w:rsidR="008777B3" w:rsidRPr="0040342B" w:rsidRDefault="008777B3" w:rsidP="0040342B">
      <w:pPr>
        <w:numPr>
          <w:ilvl w:val="0"/>
          <w:numId w:val="1"/>
        </w:numPr>
        <w:spacing w:after="120"/>
        <w:ind w:left="709" w:hanging="709"/>
        <w:rPr>
          <w:rFonts w:ascii="Arial" w:hAnsi="Arial" w:cs="Arial"/>
          <w:sz w:val="22"/>
          <w:szCs w:val="22"/>
        </w:rPr>
      </w:pPr>
      <w:bookmarkStart w:id="2" w:name="_Hlk108078982"/>
      <w:r w:rsidRPr="0040342B">
        <w:rPr>
          <w:rFonts w:ascii="Arial" w:hAnsi="Arial" w:cs="Arial"/>
          <w:sz w:val="22"/>
          <w:szCs w:val="22"/>
        </w:rPr>
        <w:t xml:space="preserve">This exemption was previously only available to authorised deposit-taking institutions within the meaning of the </w:t>
      </w:r>
      <w:r w:rsidRPr="0040342B">
        <w:rPr>
          <w:rFonts w:ascii="Arial" w:hAnsi="Arial" w:cs="Arial"/>
          <w:i/>
          <w:sz w:val="22"/>
          <w:szCs w:val="22"/>
        </w:rPr>
        <w:t xml:space="preserve">Banking Act 1959. </w:t>
      </w:r>
      <w:r w:rsidR="004C289F" w:rsidRPr="0040342B">
        <w:rPr>
          <w:rFonts w:ascii="Arial" w:hAnsi="Arial" w:cs="Arial"/>
          <w:iCs/>
          <w:sz w:val="22"/>
          <w:szCs w:val="22"/>
        </w:rPr>
        <w:t xml:space="preserve">The exemption is now available </w:t>
      </w:r>
      <w:r w:rsidRPr="0040342B">
        <w:rPr>
          <w:rFonts w:ascii="Arial" w:hAnsi="Arial" w:cs="Arial"/>
          <w:sz w:val="22"/>
          <w:szCs w:val="22"/>
        </w:rPr>
        <w:t xml:space="preserve">to all </w:t>
      </w:r>
      <w:bookmarkStart w:id="3" w:name="_Hlk115956071"/>
      <w:r w:rsidRPr="0040342B">
        <w:rPr>
          <w:rFonts w:ascii="Arial" w:hAnsi="Arial" w:cs="Arial"/>
          <w:sz w:val="22"/>
          <w:szCs w:val="22"/>
        </w:rPr>
        <w:t>administrators of a payment system</w:t>
      </w:r>
      <w:bookmarkEnd w:id="3"/>
      <w:r w:rsidRPr="0040342B">
        <w:rPr>
          <w:rFonts w:ascii="Arial" w:hAnsi="Arial" w:cs="Arial"/>
          <w:sz w:val="22"/>
          <w:szCs w:val="22"/>
        </w:rPr>
        <w:t>.</w:t>
      </w:r>
    </w:p>
    <w:bookmarkEnd w:id="2"/>
    <w:p w14:paraId="4FF5D110" w14:textId="30650BE2" w:rsidR="00F04B96" w:rsidRPr="0040342B" w:rsidRDefault="00F04B96" w:rsidP="0040342B">
      <w:pPr>
        <w:spacing w:after="120"/>
        <w:rPr>
          <w:rFonts w:ascii="Arial" w:hAnsi="Arial" w:cs="Arial"/>
          <w:sz w:val="22"/>
          <w:szCs w:val="22"/>
        </w:rPr>
      </w:pPr>
    </w:p>
    <w:p w14:paraId="3E0A7798" w14:textId="0D51CAFD" w:rsidR="001F76F2" w:rsidRPr="0040342B" w:rsidRDefault="001039DF" w:rsidP="0040342B">
      <w:pPr>
        <w:pStyle w:val="Heading3"/>
        <w:spacing w:before="0" w:after="120"/>
        <w:rPr>
          <w:i/>
          <w:iCs/>
          <w:sz w:val="22"/>
          <w:szCs w:val="22"/>
        </w:rPr>
      </w:pPr>
      <w:r w:rsidRPr="0040342B">
        <w:rPr>
          <w:i/>
          <w:iCs/>
          <w:sz w:val="22"/>
          <w:szCs w:val="22"/>
        </w:rPr>
        <w:t>The reporting exemption</w:t>
      </w:r>
      <w:r w:rsidR="00A03AA3" w:rsidRPr="0040342B">
        <w:rPr>
          <w:i/>
          <w:iCs/>
          <w:sz w:val="22"/>
          <w:szCs w:val="22"/>
        </w:rPr>
        <w:t>s</w:t>
      </w:r>
      <w:r w:rsidRPr="0040342B">
        <w:rPr>
          <w:i/>
          <w:iCs/>
          <w:sz w:val="22"/>
          <w:szCs w:val="22"/>
        </w:rPr>
        <w:t xml:space="preserve"> provided by paragraph</w:t>
      </w:r>
      <w:r w:rsidR="00A03AA3" w:rsidRPr="0040342B">
        <w:rPr>
          <w:i/>
          <w:iCs/>
          <w:sz w:val="22"/>
          <w:szCs w:val="22"/>
        </w:rPr>
        <w:t>s</w:t>
      </w:r>
      <w:r w:rsidRPr="0040342B">
        <w:rPr>
          <w:i/>
          <w:iCs/>
          <w:sz w:val="22"/>
          <w:szCs w:val="22"/>
        </w:rPr>
        <w:t xml:space="preserve"> </w:t>
      </w:r>
      <w:r w:rsidR="00EF3912" w:rsidRPr="0040342B">
        <w:rPr>
          <w:i/>
          <w:iCs/>
          <w:sz w:val="22"/>
          <w:szCs w:val="22"/>
        </w:rPr>
        <w:t>3(1)</w:t>
      </w:r>
      <w:r w:rsidRPr="0040342B">
        <w:rPr>
          <w:i/>
          <w:iCs/>
          <w:sz w:val="22"/>
          <w:szCs w:val="22"/>
        </w:rPr>
        <w:t>(</w:t>
      </w:r>
      <w:r w:rsidR="00EF3912" w:rsidRPr="0040342B">
        <w:rPr>
          <w:i/>
          <w:iCs/>
          <w:sz w:val="22"/>
          <w:szCs w:val="22"/>
        </w:rPr>
        <w:t>b</w:t>
      </w:r>
      <w:r w:rsidRPr="0040342B">
        <w:rPr>
          <w:i/>
          <w:iCs/>
          <w:sz w:val="22"/>
          <w:szCs w:val="22"/>
        </w:rPr>
        <w:t>)</w:t>
      </w:r>
      <w:r w:rsidR="00A03AA3" w:rsidRPr="0040342B">
        <w:rPr>
          <w:i/>
          <w:iCs/>
          <w:sz w:val="22"/>
          <w:szCs w:val="22"/>
        </w:rPr>
        <w:t xml:space="preserve"> to (j)</w:t>
      </w:r>
    </w:p>
    <w:p w14:paraId="252A6305" w14:textId="715AC7C5" w:rsidR="00A40A9D" w:rsidRPr="0040342B" w:rsidRDefault="00AB32C5"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Subp</w:t>
      </w:r>
      <w:r w:rsidR="00EF3912" w:rsidRPr="0040342B">
        <w:rPr>
          <w:rFonts w:ascii="Arial" w:hAnsi="Arial" w:cs="Arial"/>
          <w:sz w:val="22"/>
          <w:szCs w:val="22"/>
        </w:rPr>
        <w:t>aragraphs 3</w:t>
      </w:r>
      <w:r w:rsidR="001039DF" w:rsidRPr="0040342B">
        <w:rPr>
          <w:rFonts w:ascii="Arial" w:hAnsi="Arial" w:cs="Arial"/>
          <w:sz w:val="22"/>
          <w:szCs w:val="22"/>
        </w:rPr>
        <w:t>(</w:t>
      </w:r>
      <w:r w:rsidR="00EF3912" w:rsidRPr="0040342B">
        <w:rPr>
          <w:rFonts w:ascii="Arial" w:hAnsi="Arial" w:cs="Arial"/>
          <w:sz w:val="22"/>
          <w:szCs w:val="22"/>
        </w:rPr>
        <w:t>1</w:t>
      </w:r>
      <w:r w:rsidR="001039DF" w:rsidRPr="0040342B">
        <w:rPr>
          <w:rFonts w:ascii="Arial" w:hAnsi="Arial" w:cs="Arial"/>
          <w:sz w:val="22"/>
          <w:szCs w:val="22"/>
        </w:rPr>
        <w:t>)</w:t>
      </w:r>
      <w:r w:rsidR="00ED0C17" w:rsidRPr="0040342B">
        <w:rPr>
          <w:rFonts w:ascii="Arial" w:hAnsi="Arial" w:cs="Arial"/>
          <w:sz w:val="22"/>
          <w:szCs w:val="22"/>
        </w:rPr>
        <w:t>(</w:t>
      </w:r>
      <w:r w:rsidR="00EF3912" w:rsidRPr="0040342B">
        <w:rPr>
          <w:rFonts w:ascii="Arial" w:hAnsi="Arial" w:cs="Arial"/>
          <w:sz w:val="22"/>
          <w:szCs w:val="22"/>
        </w:rPr>
        <w:t>b</w:t>
      </w:r>
      <w:r w:rsidR="00ED0C17" w:rsidRPr="0040342B">
        <w:rPr>
          <w:rFonts w:ascii="Arial" w:hAnsi="Arial" w:cs="Arial"/>
          <w:sz w:val="22"/>
          <w:szCs w:val="22"/>
        </w:rPr>
        <w:t>) to (</w:t>
      </w:r>
      <w:r w:rsidR="00A03AA3" w:rsidRPr="0040342B">
        <w:rPr>
          <w:rFonts w:ascii="Arial" w:hAnsi="Arial" w:cs="Arial"/>
          <w:sz w:val="22"/>
          <w:szCs w:val="22"/>
        </w:rPr>
        <w:t>j</w:t>
      </w:r>
      <w:r w:rsidR="00ED0C17" w:rsidRPr="0040342B">
        <w:rPr>
          <w:rFonts w:ascii="Arial" w:hAnsi="Arial" w:cs="Arial"/>
          <w:sz w:val="22"/>
          <w:szCs w:val="22"/>
        </w:rPr>
        <w:t>)</w:t>
      </w:r>
      <w:r w:rsidR="001039DF" w:rsidRPr="0040342B">
        <w:rPr>
          <w:rFonts w:ascii="Arial" w:hAnsi="Arial" w:cs="Arial"/>
          <w:sz w:val="22"/>
          <w:szCs w:val="22"/>
        </w:rPr>
        <w:t xml:space="preserve"> of </w:t>
      </w:r>
      <w:r w:rsidR="00EF0BCE" w:rsidRPr="0040342B">
        <w:rPr>
          <w:rFonts w:ascii="Arial" w:hAnsi="Arial" w:cs="Arial"/>
          <w:sz w:val="22"/>
          <w:szCs w:val="22"/>
        </w:rPr>
        <w:t>th</w:t>
      </w:r>
      <w:r w:rsidR="00A04DBB" w:rsidRPr="0040342B">
        <w:rPr>
          <w:rFonts w:ascii="Arial" w:hAnsi="Arial" w:cs="Arial"/>
          <w:sz w:val="22"/>
          <w:szCs w:val="22"/>
        </w:rPr>
        <w:t xml:space="preserve">is instrument </w:t>
      </w:r>
      <w:r w:rsidR="00630606" w:rsidRPr="0040342B">
        <w:rPr>
          <w:rFonts w:ascii="Arial" w:hAnsi="Arial" w:cs="Arial"/>
          <w:sz w:val="22"/>
          <w:szCs w:val="22"/>
        </w:rPr>
        <w:t xml:space="preserve">continue </w:t>
      </w:r>
      <w:r w:rsidR="00EF3912" w:rsidRPr="0040342B">
        <w:rPr>
          <w:rFonts w:ascii="Arial" w:hAnsi="Arial" w:cs="Arial"/>
          <w:sz w:val="22"/>
          <w:szCs w:val="22"/>
        </w:rPr>
        <w:t xml:space="preserve">the following </w:t>
      </w:r>
      <w:r w:rsidR="00630606" w:rsidRPr="0040342B">
        <w:rPr>
          <w:rFonts w:ascii="Arial" w:hAnsi="Arial" w:cs="Arial"/>
          <w:sz w:val="22"/>
          <w:szCs w:val="22"/>
        </w:rPr>
        <w:t xml:space="preserve">exemptions </w:t>
      </w:r>
      <w:r w:rsidR="00EF3912" w:rsidRPr="0040342B">
        <w:rPr>
          <w:rFonts w:ascii="Arial" w:hAnsi="Arial" w:cs="Arial"/>
          <w:sz w:val="22"/>
          <w:szCs w:val="22"/>
        </w:rPr>
        <w:t xml:space="preserve">previously </w:t>
      </w:r>
      <w:r w:rsidR="00630606" w:rsidRPr="0040342B">
        <w:rPr>
          <w:rFonts w:ascii="Arial" w:hAnsi="Arial" w:cs="Arial"/>
          <w:sz w:val="22"/>
          <w:szCs w:val="22"/>
        </w:rPr>
        <w:t xml:space="preserve">provided by </w:t>
      </w:r>
      <w:r w:rsidR="00EC5D62" w:rsidRPr="0040342B">
        <w:rPr>
          <w:rFonts w:ascii="Arial" w:hAnsi="Arial" w:cs="Arial"/>
          <w:sz w:val="22"/>
          <w:szCs w:val="22"/>
        </w:rPr>
        <w:t xml:space="preserve">F2021L00278 </w:t>
      </w:r>
      <w:r w:rsidR="00EC5D62" w:rsidRPr="0040342B">
        <w:rPr>
          <w:rFonts w:ascii="Arial" w:hAnsi="Arial" w:cs="Arial"/>
          <w:i/>
          <w:sz w:val="22"/>
          <w:szCs w:val="22"/>
        </w:rPr>
        <w:t>Classes of Electronic Payment System Transactions Exempt from Being Reported in Third Party Reports Determination 2021</w:t>
      </w:r>
      <w:r w:rsidR="00630606" w:rsidRPr="0040342B">
        <w:rPr>
          <w:rFonts w:ascii="Arial" w:hAnsi="Arial" w:cs="Arial"/>
          <w:b/>
          <w:sz w:val="22"/>
          <w:szCs w:val="22"/>
        </w:rPr>
        <w:t xml:space="preserve"> </w:t>
      </w:r>
      <w:r w:rsidR="00EF3912" w:rsidRPr="0040342B">
        <w:rPr>
          <w:rFonts w:ascii="Arial" w:hAnsi="Arial" w:cs="Arial"/>
          <w:bCs/>
          <w:sz w:val="22"/>
          <w:szCs w:val="22"/>
        </w:rPr>
        <w:t xml:space="preserve">(which is being repealed by this instrument) </w:t>
      </w:r>
      <w:r w:rsidR="00630606" w:rsidRPr="0040342B">
        <w:rPr>
          <w:rFonts w:ascii="Arial" w:hAnsi="Arial" w:cs="Arial"/>
          <w:bCs/>
          <w:sz w:val="22"/>
          <w:szCs w:val="22"/>
        </w:rPr>
        <w:t xml:space="preserve">to </w:t>
      </w:r>
      <w:r w:rsidR="00A60BB0" w:rsidRPr="0040342B">
        <w:rPr>
          <w:rFonts w:ascii="Arial" w:hAnsi="Arial" w:cs="Arial"/>
          <w:sz w:val="22"/>
          <w:szCs w:val="22"/>
        </w:rPr>
        <w:t xml:space="preserve">exempt </w:t>
      </w:r>
      <w:r w:rsidR="003F13D6" w:rsidRPr="0040342B">
        <w:rPr>
          <w:rFonts w:ascii="Arial" w:hAnsi="Arial" w:cs="Arial"/>
          <w:sz w:val="22"/>
          <w:szCs w:val="22"/>
        </w:rPr>
        <w:t xml:space="preserve">administrators of </w:t>
      </w:r>
      <w:r w:rsidR="00A60BB0" w:rsidRPr="0040342B">
        <w:rPr>
          <w:rFonts w:ascii="Arial" w:hAnsi="Arial" w:cs="Arial"/>
          <w:sz w:val="22"/>
          <w:szCs w:val="22"/>
        </w:rPr>
        <w:t xml:space="preserve">a </w:t>
      </w:r>
      <w:r w:rsidR="003F13D6" w:rsidRPr="0040342B">
        <w:rPr>
          <w:rFonts w:ascii="Arial" w:hAnsi="Arial" w:cs="Arial"/>
          <w:sz w:val="22"/>
          <w:szCs w:val="22"/>
        </w:rPr>
        <w:t>payment system</w:t>
      </w:r>
      <w:r w:rsidR="00A60BB0" w:rsidRPr="0040342B">
        <w:rPr>
          <w:rFonts w:ascii="Arial" w:hAnsi="Arial" w:cs="Arial"/>
          <w:sz w:val="22"/>
          <w:szCs w:val="22"/>
        </w:rPr>
        <w:t xml:space="preserve"> from reporting</w:t>
      </w:r>
      <w:r w:rsidR="003F13D6" w:rsidRPr="0040342B">
        <w:rPr>
          <w:rFonts w:ascii="Arial" w:hAnsi="Arial" w:cs="Arial"/>
          <w:sz w:val="22"/>
          <w:szCs w:val="22"/>
        </w:rPr>
        <w:t xml:space="preserve"> the following classes of transactions:</w:t>
      </w:r>
    </w:p>
    <w:p w14:paraId="7835B16C" w14:textId="3310C38A" w:rsidR="003F13D6" w:rsidRPr="0040342B" w:rsidRDefault="008564F5" w:rsidP="00832233">
      <w:pPr>
        <w:numPr>
          <w:ilvl w:val="1"/>
          <w:numId w:val="10"/>
        </w:numPr>
        <w:spacing w:after="120"/>
        <w:ind w:left="1418" w:hanging="709"/>
        <w:rPr>
          <w:rFonts w:ascii="Arial" w:hAnsi="Arial" w:cs="Arial"/>
          <w:sz w:val="22"/>
          <w:szCs w:val="22"/>
        </w:rPr>
      </w:pPr>
      <w:r w:rsidRPr="0040342B">
        <w:rPr>
          <w:rFonts w:ascii="Arial" w:hAnsi="Arial" w:cs="Arial"/>
          <w:sz w:val="22"/>
          <w:szCs w:val="22"/>
        </w:rPr>
        <w:t>Payments made to</w:t>
      </w:r>
      <w:r w:rsidRPr="0040342B" w:rsidDel="008564F5">
        <w:rPr>
          <w:rFonts w:ascii="Arial" w:hAnsi="Arial" w:cs="Arial"/>
          <w:sz w:val="22"/>
          <w:szCs w:val="22"/>
        </w:rPr>
        <w:t xml:space="preserve"> </w:t>
      </w:r>
      <w:r w:rsidR="003F13D6" w:rsidRPr="0040342B">
        <w:rPr>
          <w:rFonts w:ascii="Arial" w:hAnsi="Arial" w:cs="Arial"/>
          <w:sz w:val="22"/>
          <w:szCs w:val="22"/>
        </w:rPr>
        <w:t xml:space="preserve">a carriage service </w:t>
      </w:r>
      <w:r w:rsidR="00624CAC" w:rsidRPr="0040342B">
        <w:rPr>
          <w:rFonts w:ascii="Arial" w:hAnsi="Arial" w:cs="Arial"/>
          <w:sz w:val="22"/>
          <w:szCs w:val="22"/>
        </w:rPr>
        <w:t xml:space="preserve">provider </w:t>
      </w:r>
      <w:r w:rsidR="003F13D6" w:rsidRPr="0040342B">
        <w:rPr>
          <w:rFonts w:ascii="Arial" w:hAnsi="Arial" w:cs="Arial"/>
          <w:sz w:val="22"/>
          <w:szCs w:val="22"/>
        </w:rPr>
        <w:t xml:space="preserve">(within the meaning of the </w:t>
      </w:r>
      <w:r w:rsidR="003F13D6" w:rsidRPr="0040342B">
        <w:rPr>
          <w:rFonts w:ascii="Arial" w:hAnsi="Arial" w:cs="Arial"/>
          <w:i/>
          <w:sz w:val="22"/>
          <w:szCs w:val="22"/>
        </w:rPr>
        <w:t>Telecommunications Act 1997</w:t>
      </w:r>
      <w:r w:rsidR="003F13D6" w:rsidRPr="0040342B">
        <w:rPr>
          <w:rFonts w:ascii="Arial" w:hAnsi="Arial" w:cs="Arial"/>
          <w:sz w:val="22"/>
          <w:szCs w:val="22"/>
        </w:rPr>
        <w:t>).</w:t>
      </w:r>
    </w:p>
    <w:p w14:paraId="3EE476D1" w14:textId="539F8B3C" w:rsidR="003F13D6" w:rsidRPr="0040342B" w:rsidRDefault="008564F5" w:rsidP="00832233">
      <w:pPr>
        <w:numPr>
          <w:ilvl w:val="1"/>
          <w:numId w:val="10"/>
        </w:numPr>
        <w:spacing w:after="120"/>
        <w:ind w:left="1418" w:hanging="709"/>
        <w:rPr>
          <w:rFonts w:ascii="Arial" w:hAnsi="Arial" w:cs="Arial"/>
          <w:sz w:val="22"/>
          <w:szCs w:val="22"/>
        </w:rPr>
      </w:pPr>
      <w:r w:rsidRPr="0040342B">
        <w:rPr>
          <w:rFonts w:ascii="Arial" w:hAnsi="Arial" w:cs="Arial"/>
          <w:sz w:val="22"/>
          <w:szCs w:val="22"/>
        </w:rPr>
        <w:t xml:space="preserve">Payments made to </w:t>
      </w:r>
      <w:r w:rsidR="003F13D6" w:rsidRPr="0040342B">
        <w:rPr>
          <w:rFonts w:ascii="Arial" w:hAnsi="Arial" w:cs="Arial"/>
          <w:sz w:val="22"/>
          <w:szCs w:val="22"/>
        </w:rPr>
        <w:t>a utility</w:t>
      </w:r>
      <w:r w:rsidR="003A4AEE" w:rsidRPr="0040342B">
        <w:rPr>
          <w:rFonts w:ascii="Arial" w:hAnsi="Arial" w:cs="Arial"/>
          <w:sz w:val="22"/>
          <w:szCs w:val="22"/>
        </w:rPr>
        <w:t xml:space="preserve"> </w:t>
      </w:r>
      <w:r w:rsidR="00450D90" w:rsidRPr="0040342B">
        <w:rPr>
          <w:rFonts w:ascii="Arial" w:hAnsi="Arial" w:cs="Arial"/>
          <w:sz w:val="22"/>
          <w:szCs w:val="22"/>
        </w:rPr>
        <w:t xml:space="preserve">for the provision </w:t>
      </w:r>
      <w:r w:rsidR="003A4AEE" w:rsidRPr="0040342B">
        <w:rPr>
          <w:rFonts w:ascii="Arial" w:hAnsi="Arial" w:cs="Arial"/>
          <w:sz w:val="22"/>
          <w:szCs w:val="22"/>
        </w:rPr>
        <w:t xml:space="preserve">of </w:t>
      </w:r>
      <w:r w:rsidR="003F13D6" w:rsidRPr="0040342B">
        <w:rPr>
          <w:rFonts w:ascii="Arial" w:hAnsi="Arial" w:cs="Arial"/>
          <w:sz w:val="22"/>
          <w:szCs w:val="22"/>
        </w:rPr>
        <w:t>electricity, water</w:t>
      </w:r>
      <w:r w:rsidR="003A4AEE" w:rsidRPr="0040342B">
        <w:rPr>
          <w:rFonts w:ascii="Arial" w:hAnsi="Arial" w:cs="Arial"/>
          <w:sz w:val="22"/>
          <w:szCs w:val="22"/>
        </w:rPr>
        <w:t>,</w:t>
      </w:r>
      <w:r w:rsidR="003F13D6" w:rsidRPr="0040342B">
        <w:rPr>
          <w:rFonts w:ascii="Arial" w:hAnsi="Arial" w:cs="Arial"/>
          <w:sz w:val="22"/>
          <w:szCs w:val="22"/>
        </w:rPr>
        <w:t xml:space="preserve"> </w:t>
      </w:r>
      <w:r w:rsidR="00CA6815" w:rsidRPr="0040342B">
        <w:rPr>
          <w:rFonts w:ascii="Arial" w:hAnsi="Arial" w:cs="Arial"/>
          <w:sz w:val="22"/>
          <w:szCs w:val="22"/>
        </w:rPr>
        <w:t>sewerage,</w:t>
      </w:r>
      <w:r w:rsidR="003A4AEE" w:rsidRPr="0040342B">
        <w:rPr>
          <w:rFonts w:ascii="Arial" w:hAnsi="Arial" w:cs="Arial"/>
          <w:sz w:val="22"/>
          <w:szCs w:val="22"/>
        </w:rPr>
        <w:t xml:space="preserve"> or </w:t>
      </w:r>
      <w:r w:rsidR="003F13D6" w:rsidRPr="0040342B">
        <w:rPr>
          <w:rFonts w:ascii="Arial" w:hAnsi="Arial" w:cs="Arial"/>
          <w:sz w:val="22"/>
          <w:szCs w:val="22"/>
        </w:rPr>
        <w:t>gas.</w:t>
      </w:r>
    </w:p>
    <w:p w14:paraId="5DAF100F" w14:textId="77777777" w:rsidR="00DF2DB8" w:rsidRPr="0040342B" w:rsidRDefault="008564F5" w:rsidP="00832233">
      <w:pPr>
        <w:numPr>
          <w:ilvl w:val="1"/>
          <w:numId w:val="10"/>
        </w:numPr>
        <w:spacing w:after="120"/>
        <w:ind w:left="1418" w:hanging="709"/>
        <w:rPr>
          <w:rFonts w:ascii="Arial" w:hAnsi="Arial" w:cs="Arial"/>
          <w:sz w:val="22"/>
          <w:szCs w:val="22"/>
        </w:rPr>
      </w:pPr>
      <w:r w:rsidRPr="0040342B">
        <w:rPr>
          <w:rFonts w:ascii="Arial" w:hAnsi="Arial" w:cs="Arial"/>
          <w:sz w:val="22"/>
          <w:szCs w:val="22"/>
        </w:rPr>
        <w:t xml:space="preserve">Payments made </w:t>
      </w:r>
      <w:r w:rsidR="003F13D6" w:rsidRPr="0040342B">
        <w:rPr>
          <w:rFonts w:ascii="Arial" w:hAnsi="Arial" w:cs="Arial"/>
          <w:sz w:val="22"/>
          <w:szCs w:val="22"/>
        </w:rPr>
        <w:t xml:space="preserve">to a government related entity (within the meaning of </w:t>
      </w:r>
      <w:r w:rsidR="00096C1F" w:rsidRPr="0040342B">
        <w:rPr>
          <w:rFonts w:ascii="Arial" w:hAnsi="Arial" w:cs="Arial"/>
          <w:sz w:val="22"/>
          <w:szCs w:val="22"/>
        </w:rPr>
        <w:t xml:space="preserve">section 195-1 of </w:t>
      </w:r>
      <w:r w:rsidR="003F13D6" w:rsidRPr="0040342B">
        <w:rPr>
          <w:rFonts w:ascii="Arial" w:hAnsi="Arial" w:cs="Arial"/>
          <w:sz w:val="22"/>
          <w:szCs w:val="22"/>
        </w:rPr>
        <w:t xml:space="preserve">the </w:t>
      </w:r>
      <w:r w:rsidR="003F13D6" w:rsidRPr="0040342B">
        <w:rPr>
          <w:rFonts w:ascii="Arial" w:hAnsi="Arial" w:cs="Arial"/>
          <w:i/>
          <w:sz w:val="22"/>
          <w:szCs w:val="22"/>
        </w:rPr>
        <w:t>A New Tax System (Goods and Services Tax) Act 1999</w:t>
      </w:r>
      <w:r w:rsidR="003F13D6" w:rsidRPr="0040342B">
        <w:rPr>
          <w:rFonts w:ascii="Arial" w:hAnsi="Arial" w:cs="Arial"/>
          <w:sz w:val="22"/>
          <w:szCs w:val="22"/>
        </w:rPr>
        <w:t>).</w:t>
      </w:r>
    </w:p>
    <w:p w14:paraId="2007EB04" w14:textId="77777777" w:rsidR="00DF2DB8" w:rsidRPr="0040342B" w:rsidRDefault="00DF2DB8" w:rsidP="00832233">
      <w:pPr>
        <w:numPr>
          <w:ilvl w:val="1"/>
          <w:numId w:val="10"/>
        </w:numPr>
        <w:spacing w:after="120"/>
        <w:ind w:left="1418" w:hanging="709"/>
        <w:rPr>
          <w:rFonts w:ascii="Arial" w:hAnsi="Arial" w:cs="Arial"/>
          <w:sz w:val="22"/>
          <w:szCs w:val="22"/>
        </w:rPr>
      </w:pPr>
      <w:r w:rsidRPr="0040342B">
        <w:rPr>
          <w:rFonts w:ascii="Arial" w:hAnsi="Arial" w:cs="Arial"/>
          <w:sz w:val="22"/>
          <w:szCs w:val="22"/>
        </w:rPr>
        <w:t xml:space="preserve">Payments made to a general insurer </w:t>
      </w:r>
      <w:r w:rsidR="00624CAC" w:rsidRPr="0040342B">
        <w:rPr>
          <w:rFonts w:ascii="Arial" w:hAnsi="Arial" w:cs="Arial"/>
          <w:sz w:val="22"/>
          <w:szCs w:val="22"/>
        </w:rPr>
        <w:t>which are received</w:t>
      </w:r>
      <w:r w:rsidRPr="0040342B">
        <w:rPr>
          <w:rFonts w:ascii="Arial" w:hAnsi="Arial" w:cs="Arial"/>
          <w:sz w:val="22"/>
          <w:szCs w:val="22"/>
        </w:rPr>
        <w:t xml:space="preserve"> in the course of the insurer’s insurance business (within the meaning of the </w:t>
      </w:r>
      <w:r w:rsidRPr="0040342B">
        <w:rPr>
          <w:rFonts w:ascii="Arial" w:hAnsi="Arial" w:cs="Arial"/>
          <w:i/>
          <w:iCs/>
          <w:sz w:val="22"/>
          <w:szCs w:val="22"/>
        </w:rPr>
        <w:t>Insurance Act 1973</w:t>
      </w:r>
      <w:r w:rsidRPr="0040342B">
        <w:rPr>
          <w:rFonts w:ascii="Arial" w:hAnsi="Arial" w:cs="Arial"/>
          <w:sz w:val="22"/>
          <w:szCs w:val="22"/>
        </w:rPr>
        <w:t>).</w:t>
      </w:r>
    </w:p>
    <w:p w14:paraId="6ACFAA94" w14:textId="77777777" w:rsidR="00DF2DB8" w:rsidRPr="0040342B" w:rsidRDefault="00DF2DB8" w:rsidP="00832233">
      <w:pPr>
        <w:numPr>
          <w:ilvl w:val="1"/>
          <w:numId w:val="10"/>
        </w:numPr>
        <w:spacing w:after="120"/>
        <w:ind w:left="1418" w:hanging="709"/>
        <w:rPr>
          <w:rFonts w:ascii="Arial" w:hAnsi="Arial" w:cs="Arial"/>
          <w:sz w:val="22"/>
          <w:szCs w:val="22"/>
        </w:rPr>
      </w:pPr>
      <w:r w:rsidRPr="0040342B">
        <w:rPr>
          <w:rFonts w:ascii="Arial" w:hAnsi="Arial" w:cs="Arial"/>
          <w:sz w:val="22"/>
          <w:szCs w:val="22"/>
        </w:rPr>
        <w:t xml:space="preserve">Payments made to a life insurer </w:t>
      </w:r>
      <w:r w:rsidR="00624CAC" w:rsidRPr="0040342B">
        <w:rPr>
          <w:rFonts w:ascii="Arial" w:hAnsi="Arial" w:cs="Arial"/>
          <w:sz w:val="22"/>
          <w:szCs w:val="22"/>
        </w:rPr>
        <w:t>which are received</w:t>
      </w:r>
      <w:r w:rsidRPr="0040342B">
        <w:rPr>
          <w:rFonts w:ascii="Arial" w:hAnsi="Arial" w:cs="Arial"/>
          <w:sz w:val="22"/>
          <w:szCs w:val="22"/>
        </w:rPr>
        <w:t xml:space="preserve"> in the course of the insurer’s </w:t>
      </w:r>
      <w:r w:rsidR="00A60BB0" w:rsidRPr="0040342B">
        <w:rPr>
          <w:rFonts w:ascii="Arial" w:hAnsi="Arial" w:cs="Arial"/>
          <w:sz w:val="22"/>
          <w:szCs w:val="22"/>
        </w:rPr>
        <w:t xml:space="preserve">life </w:t>
      </w:r>
      <w:r w:rsidRPr="0040342B">
        <w:rPr>
          <w:rFonts w:ascii="Arial" w:hAnsi="Arial" w:cs="Arial"/>
          <w:sz w:val="22"/>
          <w:szCs w:val="22"/>
        </w:rPr>
        <w:t xml:space="preserve">insurance business (within the meaning of the </w:t>
      </w:r>
      <w:r w:rsidRPr="0040342B">
        <w:rPr>
          <w:rFonts w:ascii="Arial" w:hAnsi="Arial" w:cs="Arial"/>
          <w:i/>
          <w:iCs/>
          <w:sz w:val="22"/>
          <w:szCs w:val="22"/>
        </w:rPr>
        <w:t>Life</w:t>
      </w:r>
      <w:r w:rsidRPr="0040342B">
        <w:rPr>
          <w:rFonts w:ascii="Arial" w:hAnsi="Arial" w:cs="Arial"/>
          <w:sz w:val="22"/>
          <w:szCs w:val="22"/>
        </w:rPr>
        <w:t xml:space="preserve"> </w:t>
      </w:r>
      <w:r w:rsidRPr="0040342B">
        <w:rPr>
          <w:rFonts w:ascii="Arial" w:hAnsi="Arial" w:cs="Arial"/>
          <w:i/>
          <w:iCs/>
          <w:sz w:val="22"/>
          <w:szCs w:val="22"/>
        </w:rPr>
        <w:t>Insurance Act 1995</w:t>
      </w:r>
      <w:r w:rsidRPr="0040342B">
        <w:rPr>
          <w:rFonts w:ascii="Arial" w:hAnsi="Arial" w:cs="Arial"/>
          <w:sz w:val="22"/>
          <w:szCs w:val="22"/>
        </w:rPr>
        <w:t>).</w:t>
      </w:r>
    </w:p>
    <w:p w14:paraId="3BCFDD76" w14:textId="77777777" w:rsidR="00DF2DB8" w:rsidRPr="0040342B" w:rsidRDefault="00DF2DB8" w:rsidP="00832233">
      <w:pPr>
        <w:numPr>
          <w:ilvl w:val="1"/>
          <w:numId w:val="10"/>
        </w:numPr>
        <w:spacing w:after="120"/>
        <w:ind w:left="1418" w:hanging="709"/>
        <w:rPr>
          <w:rFonts w:ascii="Arial" w:hAnsi="Arial" w:cs="Arial"/>
          <w:sz w:val="22"/>
          <w:szCs w:val="22"/>
        </w:rPr>
      </w:pPr>
      <w:r w:rsidRPr="0040342B">
        <w:rPr>
          <w:rFonts w:ascii="Arial" w:hAnsi="Arial" w:cs="Arial"/>
          <w:sz w:val="22"/>
          <w:szCs w:val="22"/>
        </w:rPr>
        <w:lastRenderedPageBreak/>
        <w:t>Payments made to a private health insurer</w:t>
      </w:r>
      <w:r w:rsidR="00624CAC" w:rsidRPr="0040342B">
        <w:rPr>
          <w:rFonts w:ascii="Arial" w:hAnsi="Arial" w:cs="Arial"/>
          <w:sz w:val="22"/>
          <w:szCs w:val="22"/>
        </w:rPr>
        <w:t xml:space="preserve"> which are received</w:t>
      </w:r>
      <w:r w:rsidRPr="0040342B">
        <w:rPr>
          <w:rFonts w:ascii="Arial" w:hAnsi="Arial" w:cs="Arial"/>
          <w:sz w:val="22"/>
          <w:szCs w:val="22"/>
        </w:rPr>
        <w:t xml:space="preserve"> in the course of the insurer’s </w:t>
      </w:r>
      <w:r w:rsidR="00A60BB0" w:rsidRPr="0040342B">
        <w:rPr>
          <w:rFonts w:ascii="Arial" w:hAnsi="Arial" w:cs="Arial"/>
          <w:sz w:val="22"/>
          <w:szCs w:val="22"/>
        </w:rPr>
        <w:t xml:space="preserve">health </w:t>
      </w:r>
      <w:r w:rsidRPr="0040342B">
        <w:rPr>
          <w:rFonts w:ascii="Arial" w:hAnsi="Arial" w:cs="Arial"/>
          <w:sz w:val="22"/>
          <w:szCs w:val="22"/>
        </w:rPr>
        <w:t xml:space="preserve">insurance business (within the meaning of the </w:t>
      </w:r>
      <w:r w:rsidRPr="0040342B">
        <w:rPr>
          <w:rFonts w:ascii="Arial" w:hAnsi="Arial" w:cs="Arial"/>
          <w:i/>
          <w:iCs/>
          <w:sz w:val="22"/>
          <w:szCs w:val="22"/>
        </w:rPr>
        <w:t>Private Health Insurance (Prudential Supervision) Act 2015</w:t>
      </w:r>
      <w:r w:rsidRPr="0040342B">
        <w:rPr>
          <w:rFonts w:ascii="Arial" w:hAnsi="Arial" w:cs="Arial"/>
          <w:sz w:val="22"/>
          <w:szCs w:val="22"/>
        </w:rPr>
        <w:t>).</w:t>
      </w:r>
    </w:p>
    <w:p w14:paraId="6000596D" w14:textId="42AEB32C" w:rsidR="00815BC8" w:rsidRPr="0040342B" w:rsidRDefault="001439A3" w:rsidP="00832233">
      <w:pPr>
        <w:numPr>
          <w:ilvl w:val="1"/>
          <w:numId w:val="10"/>
        </w:numPr>
        <w:spacing w:after="120"/>
        <w:ind w:left="1418" w:hanging="709"/>
        <w:rPr>
          <w:rFonts w:ascii="Arial" w:hAnsi="Arial" w:cs="Arial"/>
          <w:sz w:val="22"/>
          <w:szCs w:val="22"/>
        </w:rPr>
      </w:pPr>
      <w:r w:rsidRPr="0040342B">
        <w:rPr>
          <w:rFonts w:ascii="Arial" w:hAnsi="Arial" w:cs="Arial"/>
          <w:sz w:val="22"/>
          <w:szCs w:val="22"/>
        </w:rPr>
        <w:t xml:space="preserve">Payments made to a </w:t>
      </w:r>
      <w:r w:rsidRPr="0040342B">
        <w:rPr>
          <w:rFonts w:ascii="Arial" w:hAnsi="Arial" w:cs="Arial"/>
          <w:bCs/>
          <w:iCs/>
          <w:sz w:val="22"/>
          <w:szCs w:val="22"/>
        </w:rPr>
        <w:t xml:space="preserve">superannuation fund, approved deposit fund, or pooled superannuation trust (within the meaning of the </w:t>
      </w:r>
      <w:r w:rsidRPr="0040342B">
        <w:rPr>
          <w:rFonts w:ascii="Arial" w:hAnsi="Arial" w:cs="Arial"/>
          <w:bCs/>
          <w:i/>
          <w:iCs/>
          <w:sz w:val="22"/>
          <w:szCs w:val="22"/>
        </w:rPr>
        <w:t>Superannuation Industry (Supervision) Act 1993</w:t>
      </w:r>
      <w:r w:rsidRPr="0040342B">
        <w:rPr>
          <w:rFonts w:ascii="Arial" w:hAnsi="Arial" w:cs="Arial"/>
          <w:bCs/>
          <w:iCs/>
          <w:sz w:val="22"/>
          <w:szCs w:val="22"/>
        </w:rPr>
        <w:t>) or</w:t>
      </w:r>
      <w:r w:rsidRPr="0040342B">
        <w:rPr>
          <w:rFonts w:ascii="Arial" w:hAnsi="Arial" w:cs="Arial"/>
          <w:sz w:val="22"/>
          <w:szCs w:val="22"/>
        </w:rPr>
        <w:t xml:space="preserve"> </w:t>
      </w:r>
      <w:r w:rsidR="00A60BB0" w:rsidRPr="0040342B">
        <w:rPr>
          <w:rFonts w:ascii="Arial" w:hAnsi="Arial" w:cs="Arial"/>
          <w:sz w:val="22"/>
          <w:szCs w:val="22"/>
        </w:rPr>
        <w:t>RSA</w:t>
      </w:r>
      <w:r w:rsidRPr="0040342B">
        <w:rPr>
          <w:rFonts w:ascii="Arial" w:hAnsi="Arial" w:cs="Arial"/>
          <w:bCs/>
          <w:iCs/>
          <w:sz w:val="22"/>
          <w:szCs w:val="22"/>
        </w:rPr>
        <w:t xml:space="preserve"> provider (within the meaning of the </w:t>
      </w:r>
      <w:r w:rsidRPr="0040342B">
        <w:rPr>
          <w:rFonts w:ascii="Arial" w:hAnsi="Arial" w:cs="Arial"/>
          <w:bCs/>
          <w:i/>
          <w:iCs/>
          <w:sz w:val="22"/>
          <w:szCs w:val="22"/>
        </w:rPr>
        <w:t>Retirement Savings Accounts Act 1997</w:t>
      </w:r>
      <w:r w:rsidRPr="0040342B">
        <w:rPr>
          <w:rFonts w:ascii="Arial" w:hAnsi="Arial" w:cs="Arial"/>
          <w:bCs/>
          <w:iCs/>
          <w:sz w:val="22"/>
          <w:szCs w:val="22"/>
        </w:rPr>
        <w:t>)</w:t>
      </w:r>
      <w:r w:rsidR="00DF2DB8" w:rsidRPr="0040342B">
        <w:rPr>
          <w:rFonts w:ascii="Arial" w:hAnsi="Arial" w:cs="Arial"/>
          <w:bCs/>
          <w:iCs/>
          <w:sz w:val="22"/>
          <w:szCs w:val="22"/>
        </w:rPr>
        <w:t>.</w:t>
      </w:r>
    </w:p>
    <w:p w14:paraId="28FCAFB6" w14:textId="412AB3E8" w:rsidR="001B2DFE" w:rsidRPr="0040342B" w:rsidRDefault="00EF3912" w:rsidP="00832233">
      <w:pPr>
        <w:numPr>
          <w:ilvl w:val="1"/>
          <w:numId w:val="10"/>
        </w:numPr>
        <w:spacing w:after="120"/>
        <w:ind w:left="1418" w:hanging="709"/>
        <w:rPr>
          <w:rFonts w:ascii="Arial" w:hAnsi="Arial" w:cs="Arial"/>
          <w:sz w:val="22"/>
          <w:szCs w:val="22"/>
        </w:rPr>
      </w:pPr>
      <w:r w:rsidRPr="0040342B">
        <w:rPr>
          <w:rFonts w:ascii="Arial" w:hAnsi="Arial" w:cs="Arial"/>
          <w:bCs/>
          <w:iCs/>
          <w:sz w:val="22"/>
          <w:szCs w:val="22"/>
        </w:rPr>
        <w:t xml:space="preserve">Payments </w:t>
      </w:r>
      <w:r w:rsidR="001B2DFE" w:rsidRPr="0040342B">
        <w:rPr>
          <w:rFonts w:ascii="Arial" w:hAnsi="Arial" w:cs="Arial"/>
          <w:bCs/>
          <w:iCs/>
          <w:sz w:val="22"/>
          <w:szCs w:val="22"/>
        </w:rPr>
        <w:t xml:space="preserve">made as a </w:t>
      </w:r>
      <w:r w:rsidR="001B2DFE" w:rsidRPr="0040342B">
        <w:rPr>
          <w:rFonts w:ascii="Arial" w:hAnsi="Arial" w:cs="Arial"/>
          <w:sz w:val="22"/>
          <w:szCs w:val="22"/>
        </w:rPr>
        <w:t xml:space="preserve">Direct Entry Direct Credit processed through the Bulk Electronic Clearing System governed by Australian Payments </w:t>
      </w:r>
      <w:r w:rsidR="004A77B8" w:rsidRPr="0040342B">
        <w:rPr>
          <w:rFonts w:ascii="Arial" w:hAnsi="Arial" w:cs="Arial"/>
          <w:sz w:val="22"/>
          <w:szCs w:val="22"/>
        </w:rPr>
        <w:t>Network</w:t>
      </w:r>
      <w:r w:rsidR="001B2DFE" w:rsidRPr="0040342B">
        <w:rPr>
          <w:rFonts w:ascii="Arial" w:hAnsi="Arial" w:cs="Arial"/>
          <w:sz w:val="22"/>
          <w:szCs w:val="22"/>
        </w:rPr>
        <w:t xml:space="preserve"> </w:t>
      </w:r>
      <w:r w:rsidR="00C65D77" w:rsidRPr="0040342B">
        <w:rPr>
          <w:rFonts w:ascii="Arial" w:hAnsi="Arial" w:cs="Arial"/>
          <w:sz w:val="22"/>
          <w:szCs w:val="22"/>
        </w:rPr>
        <w:t>Limited.</w:t>
      </w:r>
    </w:p>
    <w:p w14:paraId="69773266" w14:textId="77777777" w:rsidR="0040342B" w:rsidRDefault="00EF3912" w:rsidP="00832233">
      <w:pPr>
        <w:numPr>
          <w:ilvl w:val="1"/>
          <w:numId w:val="10"/>
        </w:numPr>
        <w:spacing w:after="120"/>
        <w:ind w:left="1418" w:hanging="709"/>
        <w:rPr>
          <w:rFonts w:ascii="Arial" w:hAnsi="Arial" w:cs="Arial"/>
          <w:sz w:val="22"/>
          <w:szCs w:val="22"/>
        </w:rPr>
      </w:pPr>
      <w:r w:rsidRPr="0040342B">
        <w:rPr>
          <w:rFonts w:ascii="Arial" w:hAnsi="Arial" w:cs="Arial"/>
          <w:sz w:val="22"/>
          <w:szCs w:val="22"/>
        </w:rPr>
        <w:t>Payments processed by Framework Participants under the High Value Clearing System governed by Australian Payments Network Limited.</w:t>
      </w:r>
    </w:p>
    <w:p w14:paraId="1753DA2F" w14:textId="36AB6CBC" w:rsidR="00366298" w:rsidRPr="0040342B" w:rsidRDefault="00366298" w:rsidP="0040342B">
      <w:pPr>
        <w:spacing w:after="120"/>
        <w:rPr>
          <w:rFonts w:ascii="Arial" w:hAnsi="Arial" w:cs="Arial"/>
        </w:rPr>
      </w:pPr>
    </w:p>
    <w:p w14:paraId="1816CAE3" w14:textId="431C7A52" w:rsidR="00366298" w:rsidRPr="0040342B" w:rsidRDefault="00366298" w:rsidP="0040342B">
      <w:pPr>
        <w:pStyle w:val="Heading3"/>
        <w:spacing w:before="0" w:after="120"/>
        <w:rPr>
          <w:i/>
          <w:iCs/>
          <w:sz w:val="22"/>
          <w:szCs w:val="22"/>
        </w:rPr>
      </w:pPr>
      <w:r w:rsidRPr="0040342B">
        <w:rPr>
          <w:i/>
          <w:iCs/>
          <w:sz w:val="22"/>
          <w:szCs w:val="22"/>
        </w:rPr>
        <w:t xml:space="preserve">The reporting exemption provided by paragraph </w:t>
      </w:r>
      <w:r w:rsidR="00EF3912" w:rsidRPr="0040342B">
        <w:rPr>
          <w:i/>
          <w:iCs/>
          <w:sz w:val="22"/>
          <w:szCs w:val="22"/>
        </w:rPr>
        <w:t>3</w:t>
      </w:r>
      <w:r w:rsidRPr="0040342B">
        <w:rPr>
          <w:i/>
          <w:iCs/>
          <w:sz w:val="22"/>
          <w:szCs w:val="22"/>
        </w:rPr>
        <w:t>(</w:t>
      </w:r>
      <w:r w:rsidR="00EF3912" w:rsidRPr="0040342B">
        <w:rPr>
          <w:i/>
          <w:iCs/>
          <w:sz w:val="22"/>
          <w:szCs w:val="22"/>
        </w:rPr>
        <w:t>1</w:t>
      </w:r>
      <w:r w:rsidRPr="0040342B">
        <w:rPr>
          <w:i/>
          <w:iCs/>
          <w:sz w:val="22"/>
          <w:szCs w:val="22"/>
        </w:rPr>
        <w:t>)</w:t>
      </w:r>
      <w:r w:rsidR="00EF3912" w:rsidRPr="0040342B">
        <w:rPr>
          <w:i/>
          <w:iCs/>
          <w:sz w:val="22"/>
          <w:szCs w:val="22"/>
        </w:rPr>
        <w:t>(</w:t>
      </w:r>
      <w:r w:rsidR="00A03AA3" w:rsidRPr="0040342B">
        <w:rPr>
          <w:i/>
          <w:iCs/>
          <w:sz w:val="22"/>
          <w:szCs w:val="22"/>
        </w:rPr>
        <w:t>k</w:t>
      </w:r>
      <w:r w:rsidR="00EF3912" w:rsidRPr="0040342B">
        <w:rPr>
          <w:i/>
          <w:iCs/>
          <w:sz w:val="22"/>
          <w:szCs w:val="22"/>
        </w:rPr>
        <w:t>)</w:t>
      </w:r>
    </w:p>
    <w:p w14:paraId="41A57451" w14:textId="7FE68EA3" w:rsidR="0040342B" w:rsidRDefault="00A562BE" w:rsidP="0040342B">
      <w:pPr>
        <w:numPr>
          <w:ilvl w:val="0"/>
          <w:numId w:val="1"/>
        </w:numPr>
        <w:spacing w:after="120"/>
        <w:ind w:left="709" w:hanging="709"/>
        <w:rPr>
          <w:rFonts w:ascii="Arial" w:hAnsi="Arial" w:cs="Arial"/>
          <w:sz w:val="22"/>
          <w:szCs w:val="22"/>
        </w:rPr>
      </w:pPr>
      <w:bookmarkStart w:id="4" w:name="_Hlk108082498"/>
      <w:r>
        <w:rPr>
          <w:rFonts w:ascii="Arial" w:hAnsi="Arial" w:cs="Arial"/>
          <w:sz w:val="22"/>
          <w:szCs w:val="22"/>
        </w:rPr>
        <w:t>The only</w:t>
      </w:r>
      <w:r w:rsidR="00C37C8F">
        <w:rPr>
          <w:rFonts w:ascii="Arial" w:hAnsi="Arial" w:cs="Arial"/>
          <w:sz w:val="22"/>
          <w:szCs w:val="22"/>
        </w:rPr>
        <w:t xml:space="preserve"> substantial</w:t>
      </w:r>
      <w:r>
        <w:rPr>
          <w:rFonts w:ascii="Arial" w:hAnsi="Arial" w:cs="Arial"/>
          <w:sz w:val="22"/>
          <w:szCs w:val="22"/>
        </w:rPr>
        <w:t xml:space="preserve"> change to this instrument </w:t>
      </w:r>
      <w:r w:rsidR="00D60717">
        <w:rPr>
          <w:rFonts w:ascii="Arial" w:hAnsi="Arial" w:cs="Arial"/>
          <w:sz w:val="22"/>
          <w:szCs w:val="22"/>
        </w:rPr>
        <w:t xml:space="preserve">(when compared to the instrument it is replacing) </w:t>
      </w:r>
      <w:r>
        <w:rPr>
          <w:rFonts w:ascii="Arial" w:hAnsi="Arial" w:cs="Arial"/>
          <w:sz w:val="22"/>
          <w:szCs w:val="22"/>
        </w:rPr>
        <w:t>is</w:t>
      </w:r>
      <w:r w:rsidR="00C37C8F">
        <w:rPr>
          <w:rFonts w:ascii="Arial" w:hAnsi="Arial" w:cs="Arial"/>
          <w:sz w:val="22"/>
          <w:szCs w:val="22"/>
        </w:rPr>
        <w:t xml:space="preserve"> to </w:t>
      </w:r>
      <w:r w:rsidR="00B54AA7">
        <w:rPr>
          <w:rFonts w:ascii="Arial" w:hAnsi="Arial" w:cs="Arial"/>
          <w:sz w:val="22"/>
          <w:szCs w:val="22"/>
        </w:rPr>
        <w:t>ensure</w:t>
      </w:r>
      <w:r w:rsidR="00C37C8F">
        <w:rPr>
          <w:rFonts w:ascii="Arial" w:hAnsi="Arial" w:cs="Arial"/>
          <w:sz w:val="22"/>
          <w:szCs w:val="22"/>
        </w:rPr>
        <w:t xml:space="preserve"> the reporting of payments under a </w:t>
      </w:r>
      <w:r w:rsidR="00C37C8F" w:rsidRPr="0040342B">
        <w:rPr>
          <w:rFonts w:ascii="Arial" w:hAnsi="Arial" w:cs="Arial"/>
          <w:sz w:val="22"/>
          <w:szCs w:val="22"/>
        </w:rPr>
        <w:t>PayTo Agreement</w:t>
      </w:r>
      <w:r w:rsidR="00C2612E">
        <w:rPr>
          <w:rFonts w:ascii="Arial" w:hAnsi="Arial" w:cs="Arial"/>
          <w:sz w:val="22"/>
          <w:szCs w:val="22"/>
        </w:rPr>
        <w:t>.</w:t>
      </w:r>
      <w:r>
        <w:rPr>
          <w:rFonts w:ascii="Arial" w:hAnsi="Arial" w:cs="Arial"/>
          <w:sz w:val="22"/>
          <w:szCs w:val="22"/>
        </w:rPr>
        <w:t xml:space="preserve"> </w:t>
      </w:r>
      <w:r w:rsidR="00EF3912" w:rsidRPr="0040342B">
        <w:rPr>
          <w:rFonts w:ascii="Arial" w:hAnsi="Arial" w:cs="Arial"/>
          <w:sz w:val="22"/>
          <w:szCs w:val="22"/>
        </w:rPr>
        <w:t>Paragraph 3</w:t>
      </w:r>
      <w:r w:rsidR="009A11ED" w:rsidRPr="0040342B">
        <w:rPr>
          <w:rFonts w:ascii="Arial" w:hAnsi="Arial" w:cs="Arial"/>
          <w:sz w:val="22"/>
          <w:szCs w:val="22"/>
        </w:rPr>
        <w:t>(</w:t>
      </w:r>
      <w:r w:rsidR="00EF3912" w:rsidRPr="0040342B">
        <w:rPr>
          <w:rFonts w:ascii="Arial" w:hAnsi="Arial" w:cs="Arial"/>
          <w:sz w:val="22"/>
          <w:szCs w:val="22"/>
        </w:rPr>
        <w:t>1</w:t>
      </w:r>
      <w:r w:rsidR="009A11ED" w:rsidRPr="0040342B">
        <w:rPr>
          <w:rFonts w:ascii="Arial" w:hAnsi="Arial" w:cs="Arial"/>
          <w:sz w:val="22"/>
          <w:szCs w:val="22"/>
        </w:rPr>
        <w:t>)</w:t>
      </w:r>
      <w:r w:rsidR="00EF3912" w:rsidRPr="0040342B">
        <w:rPr>
          <w:rFonts w:ascii="Arial" w:hAnsi="Arial" w:cs="Arial"/>
          <w:sz w:val="22"/>
          <w:szCs w:val="22"/>
        </w:rPr>
        <w:t>(</w:t>
      </w:r>
      <w:r w:rsidR="00A03AA3" w:rsidRPr="0040342B">
        <w:rPr>
          <w:rFonts w:ascii="Arial" w:hAnsi="Arial" w:cs="Arial"/>
          <w:sz w:val="22"/>
          <w:szCs w:val="22"/>
        </w:rPr>
        <w:t>k</w:t>
      </w:r>
      <w:r w:rsidR="00EF3912" w:rsidRPr="0040342B">
        <w:rPr>
          <w:rFonts w:ascii="Arial" w:hAnsi="Arial" w:cs="Arial"/>
          <w:sz w:val="22"/>
          <w:szCs w:val="22"/>
        </w:rPr>
        <w:t>)</w:t>
      </w:r>
      <w:r w:rsidR="009A11ED" w:rsidRPr="0040342B">
        <w:rPr>
          <w:rFonts w:ascii="Arial" w:hAnsi="Arial" w:cs="Arial"/>
          <w:sz w:val="22"/>
          <w:szCs w:val="22"/>
        </w:rPr>
        <w:t xml:space="preserve"> exempts the reporting of payments processed by New Payments Platform Participants using the New Payments Platform governed by New Payments Platform Australia Limited</w:t>
      </w:r>
      <w:r w:rsidR="005D3D26" w:rsidRPr="0040342B">
        <w:rPr>
          <w:rFonts w:ascii="Arial" w:hAnsi="Arial" w:cs="Arial"/>
          <w:sz w:val="22"/>
          <w:szCs w:val="22"/>
        </w:rPr>
        <w:t>,</w:t>
      </w:r>
      <w:r w:rsidR="009A11ED" w:rsidRPr="0040342B">
        <w:rPr>
          <w:rFonts w:ascii="Arial" w:hAnsi="Arial" w:cs="Arial"/>
          <w:sz w:val="22"/>
          <w:szCs w:val="22"/>
        </w:rPr>
        <w:t xml:space="preserve"> except where that transaction is a successfully initiated payment received under a PayTo Agreement, and that transaction was processed after 1 July 2022.</w:t>
      </w:r>
    </w:p>
    <w:p w14:paraId="643CB6C8" w14:textId="1CAFBD1F" w:rsidR="0040342B" w:rsidRDefault="009A11ED"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 xml:space="preserve">The reporting of </w:t>
      </w:r>
      <w:r w:rsidR="001F2FC1" w:rsidRPr="0040342B">
        <w:rPr>
          <w:rFonts w:ascii="Arial" w:hAnsi="Arial" w:cs="Arial"/>
          <w:sz w:val="22"/>
          <w:szCs w:val="22"/>
        </w:rPr>
        <w:t xml:space="preserve">electronic </w:t>
      </w:r>
      <w:r w:rsidRPr="0040342B">
        <w:rPr>
          <w:rFonts w:ascii="Arial" w:hAnsi="Arial" w:cs="Arial"/>
          <w:sz w:val="22"/>
          <w:szCs w:val="22"/>
        </w:rPr>
        <w:t xml:space="preserve">transactions that are received under a </w:t>
      </w:r>
      <w:r w:rsidR="001E6D8C" w:rsidRPr="0040342B">
        <w:rPr>
          <w:rFonts w:ascii="Arial" w:hAnsi="Arial" w:cs="Arial"/>
          <w:sz w:val="22"/>
          <w:szCs w:val="22"/>
        </w:rPr>
        <w:t xml:space="preserve">PayTo </w:t>
      </w:r>
      <w:r w:rsidR="00C05777">
        <w:rPr>
          <w:rFonts w:ascii="Arial" w:hAnsi="Arial" w:cs="Arial"/>
          <w:sz w:val="22"/>
          <w:szCs w:val="22"/>
        </w:rPr>
        <w:t>A</w:t>
      </w:r>
      <w:r w:rsidRPr="0040342B">
        <w:rPr>
          <w:rFonts w:ascii="Arial" w:hAnsi="Arial" w:cs="Arial"/>
          <w:sz w:val="22"/>
          <w:szCs w:val="22"/>
        </w:rPr>
        <w:t xml:space="preserve">greement </w:t>
      </w:r>
      <w:r w:rsidR="00384119" w:rsidRPr="0040342B">
        <w:rPr>
          <w:rFonts w:ascii="Arial" w:hAnsi="Arial" w:cs="Arial"/>
          <w:sz w:val="22"/>
          <w:szCs w:val="22"/>
        </w:rPr>
        <w:t xml:space="preserve">will </w:t>
      </w:r>
      <w:r w:rsidR="00D60717">
        <w:rPr>
          <w:rFonts w:ascii="Arial" w:hAnsi="Arial" w:cs="Arial"/>
          <w:sz w:val="22"/>
          <w:szCs w:val="22"/>
        </w:rPr>
        <w:t>ensure that these</w:t>
      </w:r>
      <w:r w:rsidR="00384119" w:rsidRPr="0040342B">
        <w:rPr>
          <w:rFonts w:ascii="Arial" w:hAnsi="Arial" w:cs="Arial"/>
          <w:sz w:val="22"/>
          <w:szCs w:val="22"/>
        </w:rPr>
        <w:t xml:space="preserve"> </w:t>
      </w:r>
      <w:r w:rsidR="001F2FC1" w:rsidRPr="0040342B">
        <w:rPr>
          <w:rFonts w:ascii="Arial" w:hAnsi="Arial" w:cs="Arial"/>
          <w:sz w:val="22"/>
          <w:szCs w:val="22"/>
        </w:rPr>
        <w:t>transactions</w:t>
      </w:r>
      <w:r w:rsidR="00D60717">
        <w:rPr>
          <w:rFonts w:ascii="Arial" w:hAnsi="Arial" w:cs="Arial"/>
          <w:sz w:val="22"/>
          <w:szCs w:val="22"/>
        </w:rPr>
        <w:t xml:space="preserve"> continue to be reported</w:t>
      </w:r>
      <w:r w:rsidR="001F2FC1" w:rsidRPr="0040342B">
        <w:rPr>
          <w:rFonts w:ascii="Arial" w:hAnsi="Arial" w:cs="Arial"/>
          <w:sz w:val="22"/>
          <w:szCs w:val="22"/>
        </w:rPr>
        <w:t xml:space="preserve"> </w:t>
      </w:r>
      <w:r w:rsidRPr="0040342B">
        <w:rPr>
          <w:rFonts w:ascii="Arial" w:hAnsi="Arial" w:cs="Arial"/>
          <w:sz w:val="22"/>
          <w:szCs w:val="22"/>
        </w:rPr>
        <w:t>irrespective of the platform on which they are processed</w:t>
      </w:r>
      <w:r w:rsidR="00384119" w:rsidRPr="0040342B">
        <w:rPr>
          <w:rFonts w:ascii="Arial" w:hAnsi="Arial" w:cs="Arial"/>
          <w:sz w:val="22"/>
          <w:szCs w:val="22"/>
        </w:rPr>
        <w:t>.</w:t>
      </w:r>
      <w:r w:rsidR="00A562BE">
        <w:rPr>
          <w:rFonts w:ascii="Arial" w:hAnsi="Arial" w:cs="Arial"/>
          <w:sz w:val="22"/>
          <w:szCs w:val="22"/>
        </w:rPr>
        <w:t xml:space="preserve"> </w:t>
      </w:r>
      <w:r w:rsidR="00D60717">
        <w:rPr>
          <w:rFonts w:ascii="Arial" w:hAnsi="Arial" w:cs="Arial"/>
          <w:sz w:val="22"/>
          <w:szCs w:val="22"/>
        </w:rPr>
        <w:t xml:space="preserve">Such transactions </w:t>
      </w:r>
      <w:r w:rsidR="00C37C8F">
        <w:rPr>
          <w:rFonts w:ascii="Arial" w:hAnsi="Arial" w:cs="Arial"/>
          <w:sz w:val="22"/>
          <w:szCs w:val="22"/>
        </w:rPr>
        <w:t xml:space="preserve">could </w:t>
      </w:r>
      <w:r w:rsidR="00D60717">
        <w:rPr>
          <w:rFonts w:ascii="Arial" w:hAnsi="Arial" w:cs="Arial"/>
          <w:sz w:val="22"/>
          <w:szCs w:val="22"/>
        </w:rPr>
        <w:t xml:space="preserve">previously only </w:t>
      </w:r>
      <w:r w:rsidR="00B54AA7">
        <w:rPr>
          <w:rFonts w:ascii="Arial" w:hAnsi="Arial" w:cs="Arial"/>
          <w:sz w:val="22"/>
          <w:szCs w:val="22"/>
        </w:rPr>
        <w:t xml:space="preserve">be </w:t>
      </w:r>
      <w:r w:rsidR="00C37C8F">
        <w:rPr>
          <w:rFonts w:ascii="Arial" w:hAnsi="Arial" w:cs="Arial"/>
          <w:sz w:val="22"/>
          <w:szCs w:val="22"/>
        </w:rPr>
        <w:t xml:space="preserve">processed </w:t>
      </w:r>
      <w:r w:rsidR="00D60717">
        <w:rPr>
          <w:rFonts w:ascii="Arial" w:hAnsi="Arial" w:cs="Arial"/>
          <w:sz w:val="22"/>
          <w:szCs w:val="22"/>
        </w:rPr>
        <w:t>using another platform</w:t>
      </w:r>
      <w:r w:rsidR="00C37C8F">
        <w:rPr>
          <w:rFonts w:ascii="Arial" w:hAnsi="Arial" w:cs="Arial"/>
          <w:sz w:val="22"/>
          <w:szCs w:val="22"/>
        </w:rPr>
        <w:t xml:space="preserve"> and had to be reported to the ATO</w:t>
      </w:r>
      <w:r w:rsidR="00B54AA7">
        <w:rPr>
          <w:rFonts w:ascii="Arial" w:hAnsi="Arial" w:cs="Arial"/>
          <w:sz w:val="22"/>
          <w:szCs w:val="22"/>
        </w:rPr>
        <w:t xml:space="preserve">. However, they can now be processed on the </w:t>
      </w:r>
      <w:r w:rsidR="00B54AA7" w:rsidRPr="0040342B">
        <w:rPr>
          <w:rFonts w:ascii="Arial" w:hAnsi="Arial" w:cs="Arial"/>
          <w:sz w:val="22"/>
          <w:szCs w:val="22"/>
        </w:rPr>
        <w:t>New Payments Platform</w:t>
      </w:r>
      <w:r w:rsidR="00B54AA7">
        <w:rPr>
          <w:rFonts w:ascii="Arial" w:hAnsi="Arial" w:cs="Arial"/>
          <w:sz w:val="22"/>
          <w:szCs w:val="22"/>
        </w:rPr>
        <w:t xml:space="preserve"> and will still need to be reported.</w:t>
      </w:r>
    </w:p>
    <w:bookmarkEnd w:id="4"/>
    <w:p w14:paraId="7BC31734" w14:textId="036C13B5" w:rsidR="00366298" w:rsidRPr="0040342B" w:rsidRDefault="00366298" w:rsidP="0040342B">
      <w:pPr>
        <w:spacing w:after="120"/>
        <w:rPr>
          <w:rFonts w:ascii="Arial" w:hAnsi="Arial" w:cs="Arial"/>
        </w:rPr>
      </w:pPr>
    </w:p>
    <w:p w14:paraId="77D68541" w14:textId="2FA0AB57" w:rsidR="00366298" w:rsidRPr="0040342B" w:rsidRDefault="00366298" w:rsidP="0040342B">
      <w:pPr>
        <w:pStyle w:val="Heading3"/>
        <w:spacing w:before="0" w:after="120"/>
        <w:rPr>
          <w:i/>
          <w:iCs/>
          <w:sz w:val="22"/>
          <w:szCs w:val="22"/>
        </w:rPr>
      </w:pPr>
      <w:r w:rsidRPr="0040342B">
        <w:rPr>
          <w:i/>
          <w:iCs/>
          <w:sz w:val="22"/>
          <w:szCs w:val="22"/>
        </w:rPr>
        <w:t xml:space="preserve">The reporting exemption provided by paragraph </w:t>
      </w:r>
      <w:r w:rsidR="00EF3912" w:rsidRPr="0040342B">
        <w:rPr>
          <w:i/>
          <w:iCs/>
          <w:sz w:val="22"/>
          <w:szCs w:val="22"/>
        </w:rPr>
        <w:t>3</w:t>
      </w:r>
      <w:r w:rsidRPr="0040342B">
        <w:rPr>
          <w:i/>
          <w:iCs/>
          <w:sz w:val="22"/>
          <w:szCs w:val="22"/>
        </w:rPr>
        <w:t>(</w:t>
      </w:r>
      <w:r w:rsidR="00EF3912" w:rsidRPr="0040342B">
        <w:rPr>
          <w:i/>
          <w:iCs/>
          <w:sz w:val="22"/>
          <w:szCs w:val="22"/>
        </w:rPr>
        <w:t>1</w:t>
      </w:r>
      <w:r w:rsidRPr="0040342B">
        <w:rPr>
          <w:i/>
          <w:iCs/>
          <w:sz w:val="22"/>
          <w:szCs w:val="22"/>
        </w:rPr>
        <w:t>)</w:t>
      </w:r>
      <w:r w:rsidR="00EF3912" w:rsidRPr="0040342B">
        <w:rPr>
          <w:i/>
          <w:iCs/>
          <w:sz w:val="22"/>
          <w:szCs w:val="22"/>
        </w:rPr>
        <w:t>(</w:t>
      </w:r>
      <w:r w:rsidR="00A03AA3" w:rsidRPr="0040342B">
        <w:rPr>
          <w:i/>
          <w:iCs/>
          <w:sz w:val="22"/>
          <w:szCs w:val="22"/>
        </w:rPr>
        <w:t>l</w:t>
      </w:r>
      <w:r w:rsidR="00EF3912" w:rsidRPr="0040342B">
        <w:rPr>
          <w:i/>
          <w:iCs/>
          <w:sz w:val="22"/>
          <w:szCs w:val="22"/>
        </w:rPr>
        <w:t>)</w:t>
      </w:r>
    </w:p>
    <w:p w14:paraId="20CF62E5" w14:textId="36A5BB36" w:rsidR="0040342B" w:rsidRDefault="00EF3912"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Paragraph 3(1)</w:t>
      </w:r>
      <w:r w:rsidR="00384119" w:rsidRPr="0040342B">
        <w:rPr>
          <w:rFonts w:ascii="Arial" w:hAnsi="Arial" w:cs="Arial"/>
          <w:sz w:val="22"/>
          <w:szCs w:val="22"/>
        </w:rPr>
        <w:t>(</w:t>
      </w:r>
      <w:r w:rsidR="00A03AA3" w:rsidRPr="0040342B">
        <w:rPr>
          <w:rFonts w:ascii="Arial" w:hAnsi="Arial" w:cs="Arial"/>
          <w:sz w:val="22"/>
          <w:szCs w:val="22"/>
        </w:rPr>
        <w:t>l</w:t>
      </w:r>
      <w:r w:rsidR="00384119" w:rsidRPr="0040342B">
        <w:rPr>
          <w:rFonts w:ascii="Arial" w:hAnsi="Arial" w:cs="Arial"/>
          <w:sz w:val="22"/>
          <w:szCs w:val="22"/>
        </w:rPr>
        <w:t>) of this instrument exempts the reporting of payments processed</w:t>
      </w:r>
      <w:r w:rsidR="0040342B">
        <w:rPr>
          <w:rFonts w:ascii="Arial" w:hAnsi="Arial" w:cs="Arial"/>
          <w:sz w:val="22"/>
          <w:szCs w:val="22"/>
        </w:rPr>
        <w:t xml:space="preserve"> </w:t>
      </w:r>
      <w:r w:rsidR="00384119" w:rsidRPr="0040342B">
        <w:rPr>
          <w:rFonts w:ascii="Arial" w:hAnsi="Arial" w:cs="Arial"/>
          <w:sz w:val="22"/>
          <w:szCs w:val="22"/>
        </w:rPr>
        <w:t xml:space="preserve">by New Payments Platform Participants using the New Payments Platform governed by </w:t>
      </w:r>
      <w:r w:rsidR="005D3D26" w:rsidRPr="0040342B">
        <w:rPr>
          <w:rFonts w:ascii="Arial" w:hAnsi="Arial" w:cs="Arial"/>
          <w:sz w:val="22"/>
          <w:szCs w:val="22"/>
        </w:rPr>
        <w:t>New Payments Platform Australia Limited</w:t>
      </w:r>
      <w:r w:rsidRPr="0040342B">
        <w:rPr>
          <w:rFonts w:ascii="Arial" w:hAnsi="Arial" w:cs="Arial"/>
          <w:sz w:val="22"/>
          <w:szCs w:val="22"/>
        </w:rPr>
        <w:t>,</w:t>
      </w:r>
      <w:r w:rsidR="004707E1" w:rsidRPr="0040342B">
        <w:rPr>
          <w:rFonts w:ascii="Arial" w:hAnsi="Arial" w:cs="Arial"/>
          <w:sz w:val="22"/>
          <w:szCs w:val="22"/>
        </w:rPr>
        <w:t xml:space="preserve"> where </w:t>
      </w:r>
      <w:r w:rsidR="005D3D26" w:rsidRPr="0040342B">
        <w:rPr>
          <w:rFonts w:ascii="Arial" w:hAnsi="Arial" w:cs="Arial"/>
          <w:sz w:val="22"/>
          <w:szCs w:val="22"/>
        </w:rPr>
        <w:t xml:space="preserve">the reporter reasonably believes that </w:t>
      </w:r>
      <w:r w:rsidR="004707E1" w:rsidRPr="0040342B">
        <w:rPr>
          <w:rFonts w:ascii="Arial" w:hAnsi="Arial" w:cs="Arial"/>
          <w:sz w:val="22"/>
          <w:szCs w:val="22"/>
        </w:rPr>
        <w:t>the same transaction has been reported to the ATO by another entity under Schedule 1 to the TAA</w:t>
      </w:r>
      <w:r w:rsidR="0010669A" w:rsidRPr="0040342B">
        <w:rPr>
          <w:rFonts w:ascii="Arial" w:hAnsi="Arial" w:cs="Arial"/>
          <w:sz w:val="22"/>
          <w:szCs w:val="22"/>
        </w:rPr>
        <w:t>.</w:t>
      </w:r>
    </w:p>
    <w:p w14:paraId="73FDA0E6" w14:textId="7D13344C" w:rsidR="0040342B" w:rsidRDefault="00B97663"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 xml:space="preserve">Exempting transactions which the reporter reasonably believes have already been reported by another entity </w:t>
      </w:r>
      <w:r w:rsidR="001F2FC1" w:rsidRPr="0040342B">
        <w:rPr>
          <w:rFonts w:ascii="Arial" w:hAnsi="Arial" w:cs="Arial"/>
          <w:sz w:val="22"/>
          <w:szCs w:val="22"/>
        </w:rPr>
        <w:t xml:space="preserve">will reduce the compliance burden associated with the reporting </w:t>
      </w:r>
      <w:r w:rsidRPr="0040342B">
        <w:rPr>
          <w:rFonts w:ascii="Arial" w:hAnsi="Arial" w:cs="Arial"/>
          <w:sz w:val="22"/>
          <w:szCs w:val="22"/>
        </w:rPr>
        <w:t>regime</w:t>
      </w:r>
      <w:r w:rsidR="00EF3912" w:rsidRPr="0040342B">
        <w:rPr>
          <w:rFonts w:ascii="Arial" w:hAnsi="Arial" w:cs="Arial"/>
          <w:sz w:val="22"/>
          <w:szCs w:val="22"/>
        </w:rPr>
        <w:t>,</w:t>
      </w:r>
      <w:r w:rsidRPr="0040342B">
        <w:rPr>
          <w:rFonts w:ascii="Arial" w:hAnsi="Arial" w:cs="Arial"/>
          <w:sz w:val="22"/>
          <w:szCs w:val="22"/>
        </w:rPr>
        <w:t xml:space="preserve"> while minimising the likelihood of duplicate reporting. For example, payments </w:t>
      </w:r>
      <w:r w:rsidR="00B838B4" w:rsidRPr="0040342B">
        <w:rPr>
          <w:rFonts w:ascii="Arial" w:hAnsi="Arial" w:cs="Arial"/>
          <w:sz w:val="22"/>
          <w:szCs w:val="22"/>
        </w:rPr>
        <w:t xml:space="preserve">made via </w:t>
      </w:r>
      <w:r w:rsidR="00181239" w:rsidRPr="0040342B">
        <w:rPr>
          <w:rFonts w:ascii="Arial" w:hAnsi="Arial" w:cs="Arial"/>
          <w:sz w:val="22"/>
          <w:szCs w:val="22"/>
        </w:rPr>
        <w:t xml:space="preserve">Single Touch Payroll </w:t>
      </w:r>
      <w:r w:rsidR="00C01FCC">
        <w:rPr>
          <w:rFonts w:ascii="Arial" w:hAnsi="Arial" w:cs="Arial"/>
          <w:sz w:val="22"/>
          <w:szCs w:val="22"/>
        </w:rPr>
        <w:t xml:space="preserve">that </w:t>
      </w:r>
      <w:r w:rsidR="00EF3912" w:rsidRPr="0040342B">
        <w:rPr>
          <w:rFonts w:ascii="Arial" w:hAnsi="Arial" w:cs="Arial"/>
          <w:sz w:val="22"/>
          <w:szCs w:val="22"/>
        </w:rPr>
        <w:t>are already reported on</w:t>
      </w:r>
      <w:r w:rsidR="00AB32C5" w:rsidRPr="0040342B">
        <w:rPr>
          <w:rFonts w:ascii="Arial" w:hAnsi="Arial" w:cs="Arial"/>
          <w:sz w:val="22"/>
          <w:szCs w:val="22"/>
        </w:rPr>
        <w:t xml:space="preserve"> </w:t>
      </w:r>
      <w:r w:rsidR="00C01FCC">
        <w:rPr>
          <w:rFonts w:ascii="Arial" w:hAnsi="Arial" w:cs="Arial"/>
          <w:sz w:val="22"/>
          <w:szCs w:val="22"/>
        </w:rPr>
        <w:t xml:space="preserve">under subsection 389-5 of Schedule 1 to the TAA </w:t>
      </w:r>
      <w:r w:rsidR="00AB32C5" w:rsidRPr="0040342B">
        <w:rPr>
          <w:rFonts w:ascii="Arial" w:hAnsi="Arial" w:cs="Arial"/>
          <w:sz w:val="22"/>
          <w:szCs w:val="22"/>
        </w:rPr>
        <w:t>do not need to be reported again</w:t>
      </w:r>
      <w:r w:rsidR="00181239" w:rsidRPr="0040342B">
        <w:rPr>
          <w:rFonts w:ascii="Arial" w:hAnsi="Arial" w:cs="Arial"/>
          <w:sz w:val="22"/>
          <w:szCs w:val="22"/>
        </w:rPr>
        <w:t>.</w:t>
      </w:r>
      <w:r w:rsidR="00A03AA3" w:rsidRPr="0040342B">
        <w:rPr>
          <w:rFonts w:ascii="Arial" w:hAnsi="Arial" w:cs="Arial"/>
          <w:sz w:val="22"/>
          <w:szCs w:val="22"/>
        </w:rPr>
        <w:t xml:space="preserve"> An administrator may rely on this exemption</w:t>
      </w:r>
      <w:r w:rsidR="00862285" w:rsidRPr="0040342B">
        <w:rPr>
          <w:rFonts w:ascii="Arial" w:hAnsi="Arial" w:cs="Arial"/>
          <w:sz w:val="22"/>
          <w:szCs w:val="22"/>
        </w:rPr>
        <w:t xml:space="preserve"> not to report </w:t>
      </w:r>
      <w:r w:rsidR="00C01FCC">
        <w:rPr>
          <w:rFonts w:ascii="Arial" w:hAnsi="Arial" w:cs="Arial"/>
          <w:sz w:val="22"/>
          <w:szCs w:val="22"/>
        </w:rPr>
        <w:t xml:space="preserve">a transaction </w:t>
      </w:r>
      <w:r w:rsidR="00A03AA3" w:rsidRPr="0040342B">
        <w:rPr>
          <w:rFonts w:ascii="Arial" w:hAnsi="Arial" w:cs="Arial"/>
          <w:sz w:val="22"/>
          <w:szCs w:val="22"/>
        </w:rPr>
        <w:t xml:space="preserve">even if </w:t>
      </w:r>
      <w:r w:rsidR="00862285" w:rsidRPr="0040342B">
        <w:rPr>
          <w:rFonts w:ascii="Arial" w:hAnsi="Arial" w:cs="Arial"/>
          <w:sz w:val="22"/>
          <w:szCs w:val="22"/>
        </w:rPr>
        <w:t xml:space="preserve">they would otherwise be required to report </w:t>
      </w:r>
      <w:r w:rsidR="00C01FCC">
        <w:rPr>
          <w:rFonts w:ascii="Arial" w:hAnsi="Arial" w:cs="Arial"/>
          <w:sz w:val="22"/>
          <w:szCs w:val="22"/>
        </w:rPr>
        <w:t xml:space="preserve">it </w:t>
      </w:r>
      <w:r w:rsidR="00862285" w:rsidRPr="0040342B">
        <w:rPr>
          <w:rFonts w:ascii="Arial" w:hAnsi="Arial" w:cs="Arial"/>
          <w:sz w:val="22"/>
          <w:szCs w:val="22"/>
        </w:rPr>
        <w:t>under paragraph 3(1)(k).</w:t>
      </w:r>
    </w:p>
    <w:p w14:paraId="41877909" w14:textId="4F11ABEE" w:rsidR="00E2255A" w:rsidRPr="0040342B" w:rsidRDefault="00E2255A" w:rsidP="0040342B">
      <w:pPr>
        <w:spacing w:after="120"/>
        <w:rPr>
          <w:rFonts w:ascii="Arial" w:hAnsi="Arial" w:cs="Arial"/>
          <w:sz w:val="22"/>
          <w:szCs w:val="22"/>
        </w:rPr>
      </w:pPr>
    </w:p>
    <w:p w14:paraId="382F60FB" w14:textId="77777777" w:rsidR="0040342B" w:rsidRDefault="00A06DD1" w:rsidP="0040342B">
      <w:pPr>
        <w:pStyle w:val="Heading3"/>
        <w:spacing w:before="0" w:after="120"/>
        <w:rPr>
          <w:i/>
          <w:iCs/>
          <w:sz w:val="22"/>
          <w:szCs w:val="22"/>
        </w:rPr>
      </w:pPr>
      <w:r w:rsidRPr="0040342B">
        <w:rPr>
          <w:i/>
          <w:iCs/>
          <w:sz w:val="22"/>
          <w:szCs w:val="22"/>
        </w:rPr>
        <w:t>The reporting exemption</w:t>
      </w:r>
      <w:r w:rsidR="00023154" w:rsidRPr="0040342B">
        <w:rPr>
          <w:i/>
          <w:iCs/>
          <w:sz w:val="22"/>
          <w:szCs w:val="22"/>
        </w:rPr>
        <w:t>s</w:t>
      </w:r>
      <w:r w:rsidRPr="0040342B">
        <w:rPr>
          <w:i/>
          <w:iCs/>
          <w:sz w:val="22"/>
          <w:szCs w:val="22"/>
        </w:rPr>
        <w:t xml:space="preserve"> provided by paragraph</w:t>
      </w:r>
      <w:r w:rsidR="00023154" w:rsidRPr="0040342B">
        <w:rPr>
          <w:i/>
          <w:iCs/>
          <w:sz w:val="22"/>
          <w:szCs w:val="22"/>
        </w:rPr>
        <w:t>s</w:t>
      </w:r>
      <w:r w:rsidRPr="0040342B">
        <w:rPr>
          <w:i/>
          <w:iCs/>
          <w:sz w:val="22"/>
          <w:szCs w:val="22"/>
        </w:rPr>
        <w:t xml:space="preserve"> </w:t>
      </w:r>
      <w:r w:rsidR="00EF3912" w:rsidRPr="0040342B">
        <w:rPr>
          <w:i/>
          <w:iCs/>
          <w:sz w:val="22"/>
          <w:szCs w:val="22"/>
        </w:rPr>
        <w:t>3</w:t>
      </w:r>
      <w:r w:rsidRPr="0040342B">
        <w:rPr>
          <w:i/>
          <w:iCs/>
          <w:sz w:val="22"/>
          <w:szCs w:val="22"/>
        </w:rPr>
        <w:t>(</w:t>
      </w:r>
      <w:r w:rsidR="00EF3912" w:rsidRPr="0040342B">
        <w:rPr>
          <w:i/>
          <w:iCs/>
          <w:sz w:val="22"/>
          <w:szCs w:val="22"/>
        </w:rPr>
        <w:t>1</w:t>
      </w:r>
      <w:r w:rsidRPr="0040342B">
        <w:rPr>
          <w:i/>
          <w:iCs/>
          <w:sz w:val="22"/>
          <w:szCs w:val="22"/>
        </w:rPr>
        <w:t>)</w:t>
      </w:r>
      <w:r w:rsidR="00EF3912" w:rsidRPr="0040342B">
        <w:rPr>
          <w:i/>
          <w:iCs/>
          <w:sz w:val="22"/>
          <w:szCs w:val="22"/>
        </w:rPr>
        <w:t>(</w:t>
      </w:r>
      <w:r w:rsidR="00862285" w:rsidRPr="0040342B">
        <w:rPr>
          <w:i/>
          <w:iCs/>
          <w:sz w:val="22"/>
          <w:szCs w:val="22"/>
        </w:rPr>
        <w:t>m</w:t>
      </w:r>
      <w:r w:rsidR="00EF3912" w:rsidRPr="0040342B">
        <w:rPr>
          <w:i/>
          <w:iCs/>
          <w:sz w:val="22"/>
          <w:szCs w:val="22"/>
        </w:rPr>
        <w:t>)</w:t>
      </w:r>
      <w:r w:rsidR="00315A48" w:rsidRPr="0040342B">
        <w:rPr>
          <w:i/>
          <w:iCs/>
          <w:sz w:val="22"/>
          <w:szCs w:val="22"/>
        </w:rPr>
        <w:t xml:space="preserve"> and (n)</w:t>
      </w:r>
    </w:p>
    <w:p w14:paraId="2FAC8389" w14:textId="77777777" w:rsidR="0040342B" w:rsidRDefault="00EF3912"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Paragraph</w:t>
      </w:r>
      <w:r w:rsidR="00CA6815" w:rsidRPr="0040342B">
        <w:rPr>
          <w:rFonts w:ascii="Arial" w:hAnsi="Arial" w:cs="Arial"/>
          <w:sz w:val="22"/>
          <w:szCs w:val="22"/>
        </w:rPr>
        <w:t>s</w:t>
      </w:r>
      <w:r w:rsidRPr="0040342B">
        <w:rPr>
          <w:rFonts w:ascii="Arial" w:hAnsi="Arial" w:cs="Arial"/>
          <w:sz w:val="22"/>
          <w:szCs w:val="22"/>
        </w:rPr>
        <w:t xml:space="preserve"> 3(1)(</w:t>
      </w:r>
      <w:r w:rsidR="00862285" w:rsidRPr="0040342B">
        <w:rPr>
          <w:rFonts w:ascii="Arial" w:hAnsi="Arial" w:cs="Arial"/>
          <w:sz w:val="22"/>
          <w:szCs w:val="22"/>
        </w:rPr>
        <w:t>m</w:t>
      </w:r>
      <w:r w:rsidRPr="0040342B">
        <w:rPr>
          <w:rFonts w:ascii="Arial" w:hAnsi="Arial" w:cs="Arial"/>
          <w:sz w:val="22"/>
          <w:szCs w:val="22"/>
        </w:rPr>
        <w:t xml:space="preserve">) </w:t>
      </w:r>
      <w:r w:rsidR="00315A48" w:rsidRPr="0040342B">
        <w:rPr>
          <w:rFonts w:ascii="Arial" w:hAnsi="Arial" w:cs="Arial"/>
          <w:sz w:val="22"/>
          <w:szCs w:val="22"/>
        </w:rPr>
        <w:t xml:space="preserve">and </w:t>
      </w:r>
      <w:r w:rsidR="00023154" w:rsidRPr="0040342B">
        <w:rPr>
          <w:rFonts w:ascii="Arial" w:hAnsi="Arial" w:cs="Arial"/>
          <w:sz w:val="22"/>
          <w:szCs w:val="22"/>
        </w:rPr>
        <w:t>3(1)</w:t>
      </w:r>
      <w:r w:rsidR="00315A48" w:rsidRPr="0040342B">
        <w:rPr>
          <w:rFonts w:ascii="Arial" w:hAnsi="Arial" w:cs="Arial"/>
          <w:sz w:val="22"/>
          <w:szCs w:val="22"/>
        </w:rPr>
        <w:t xml:space="preserve">(n) </w:t>
      </w:r>
      <w:r w:rsidR="00A06CAD" w:rsidRPr="0040342B">
        <w:rPr>
          <w:rFonts w:ascii="Arial" w:hAnsi="Arial" w:cs="Arial"/>
          <w:sz w:val="22"/>
          <w:szCs w:val="22"/>
        </w:rPr>
        <w:t>of this instrument continue exemption</w:t>
      </w:r>
      <w:r w:rsidR="00315A48" w:rsidRPr="0040342B">
        <w:rPr>
          <w:rFonts w:ascii="Arial" w:hAnsi="Arial" w:cs="Arial"/>
          <w:sz w:val="22"/>
          <w:szCs w:val="22"/>
        </w:rPr>
        <w:t>s</w:t>
      </w:r>
      <w:r w:rsidR="00A06CAD" w:rsidRPr="0040342B">
        <w:rPr>
          <w:rFonts w:ascii="Arial" w:hAnsi="Arial" w:cs="Arial"/>
          <w:sz w:val="22"/>
          <w:szCs w:val="22"/>
        </w:rPr>
        <w:t xml:space="preserve"> provided by F2021L00278 </w:t>
      </w:r>
      <w:r w:rsidR="00A06CAD" w:rsidRPr="0040342B">
        <w:rPr>
          <w:rFonts w:ascii="Arial" w:hAnsi="Arial" w:cs="Arial"/>
          <w:i/>
          <w:iCs/>
          <w:sz w:val="22"/>
          <w:szCs w:val="22"/>
        </w:rPr>
        <w:t>Classes of Electronic Payment System Transactions Exempt from Being Reported in Third Party Reports Determination 2021</w:t>
      </w:r>
      <w:r w:rsidRPr="0040342B">
        <w:rPr>
          <w:rFonts w:ascii="Arial" w:hAnsi="Arial" w:cs="Arial"/>
          <w:i/>
          <w:iCs/>
          <w:sz w:val="22"/>
          <w:szCs w:val="22"/>
        </w:rPr>
        <w:t xml:space="preserve"> </w:t>
      </w:r>
      <w:r w:rsidRPr="0040342B">
        <w:rPr>
          <w:rFonts w:ascii="Arial" w:hAnsi="Arial" w:cs="Arial"/>
          <w:sz w:val="22"/>
          <w:szCs w:val="22"/>
        </w:rPr>
        <w:t>(which is being repealed by this instrument)</w:t>
      </w:r>
      <w:r w:rsidR="00A06CAD" w:rsidRPr="0040342B">
        <w:rPr>
          <w:rFonts w:ascii="Arial" w:hAnsi="Arial" w:cs="Arial"/>
          <w:sz w:val="22"/>
          <w:szCs w:val="22"/>
        </w:rPr>
        <w:t>.</w:t>
      </w:r>
    </w:p>
    <w:p w14:paraId="3EC45285" w14:textId="0CA84D5C" w:rsidR="00A06DD1" w:rsidRPr="0040342B" w:rsidRDefault="00315A48" w:rsidP="0040342B">
      <w:pPr>
        <w:numPr>
          <w:ilvl w:val="0"/>
          <w:numId w:val="1"/>
        </w:numPr>
        <w:spacing w:after="120"/>
        <w:ind w:left="709" w:hanging="709"/>
        <w:rPr>
          <w:rFonts w:ascii="Arial" w:hAnsi="Arial" w:cs="Arial"/>
          <w:sz w:val="22"/>
          <w:szCs w:val="22"/>
        </w:rPr>
      </w:pPr>
      <w:r w:rsidRPr="0040342B">
        <w:rPr>
          <w:rFonts w:ascii="Arial" w:hAnsi="Arial" w:cs="Arial"/>
          <w:bCs/>
          <w:iCs/>
          <w:sz w:val="22"/>
          <w:szCs w:val="22"/>
        </w:rPr>
        <w:lastRenderedPageBreak/>
        <w:t xml:space="preserve">Paragraph 3(1)(m) </w:t>
      </w:r>
      <w:r w:rsidR="00A06DD1" w:rsidRPr="0040342B">
        <w:rPr>
          <w:rFonts w:ascii="Arial" w:hAnsi="Arial" w:cs="Arial"/>
          <w:bCs/>
          <w:iCs/>
          <w:sz w:val="22"/>
          <w:szCs w:val="22"/>
        </w:rPr>
        <w:t xml:space="preserve">exempts the reporting of payments processed by an administrator, where the payer, the payee and the administrator (which may be the payer, the payee or neither) are all members of the same consolidated group (within the meaning of section 703-5 of the </w:t>
      </w:r>
      <w:r w:rsidR="00A06DD1" w:rsidRPr="0040342B">
        <w:rPr>
          <w:rFonts w:ascii="Arial" w:hAnsi="Arial" w:cs="Arial"/>
          <w:bCs/>
          <w:i/>
          <w:iCs/>
          <w:sz w:val="22"/>
          <w:szCs w:val="22"/>
        </w:rPr>
        <w:t>Income Tax Assessment Act 1997</w:t>
      </w:r>
      <w:r w:rsidR="00A06DD1" w:rsidRPr="0040342B">
        <w:rPr>
          <w:rFonts w:ascii="Arial" w:hAnsi="Arial" w:cs="Arial"/>
          <w:bCs/>
          <w:iCs/>
          <w:sz w:val="22"/>
          <w:szCs w:val="22"/>
        </w:rPr>
        <w:t xml:space="preserve">) and the same GST group (within the meaning of section 195-1 of the </w:t>
      </w:r>
      <w:r w:rsidR="00A06DD1" w:rsidRPr="0040342B">
        <w:rPr>
          <w:rFonts w:ascii="Arial" w:hAnsi="Arial" w:cs="Arial"/>
          <w:bCs/>
          <w:i/>
          <w:iCs/>
          <w:sz w:val="22"/>
          <w:szCs w:val="22"/>
        </w:rPr>
        <w:t>A New Tax System (Goods and Services Tax) Act 1999</w:t>
      </w:r>
      <w:r w:rsidR="00862285" w:rsidRPr="0040342B">
        <w:rPr>
          <w:rFonts w:ascii="Arial" w:hAnsi="Arial" w:cs="Arial"/>
          <w:bCs/>
          <w:sz w:val="22"/>
          <w:szCs w:val="22"/>
        </w:rPr>
        <w:t>)</w:t>
      </w:r>
      <w:r w:rsidR="00F31AED" w:rsidRPr="0040342B">
        <w:rPr>
          <w:rFonts w:ascii="Arial" w:hAnsi="Arial" w:cs="Arial"/>
          <w:bCs/>
          <w:i/>
          <w:iCs/>
          <w:sz w:val="22"/>
          <w:szCs w:val="22"/>
        </w:rPr>
        <w:t>.</w:t>
      </w:r>
      <w:r w:rsidR="00A06DD1" w:rsidRPr="0040342B">
        <w:rPr>
          <w:rFonts w:ascii="Arial" w:hAnsi="Arial" w:cs="Arial"/>
          <w:bCs/>
          <w:iCs/>
          <w:sz w:val="22"/>
          <w:szCs w:val="22"/>
        </w:rPr>
        <w:t xml:space="preserve"> The reporting of these payments is exempted because such payments have no income tax or GST consequences.</w:t>
      </w:r>
    </w:p>
    <w:p w14:paraId="1DAF74E9" w14:textId="07200812" w:rsidR="00A40A9D" w:rsidRPr="0040342B" w:rsidRDefault="00CB7DD9" w:rsidP="0040342B">
      <w:pPr>
        <w:numPr>
          <w:ilvl w:val="0"/>
          <w:numId w:val="1"/>
        </w:numPr>
        <w:spacing w:after="120"/>
        <w:ind w:left="709" w:hanging="709"/>
        <w:rPr>
          <w:rFonts w:ascii="Arial" w:hAnsi="Arial" w:cs="Arial"/>
          <w:bCs/>
          <w:iCs/>
          <w:sz w:val="22"/>
          <w:szCs w:val="22"/>
        </w:rPr>
      </w:pPr>
      <w:r w:rsidRPr="0040342B">
        <w:rPr>
          <w:rFonts w:ascii="Arial" w:hAnsi="Arial" w:cs="Arial"/>
          <w:sz w:val="22"/>
          <w:szCs w:val="22"/>
        </w:rPr>
        <w:t xml:space="preserve">Paragraph 3(1)(n) </w:t>
      </w:r>
      <w:r w:rsidR="00A06DD1" w:rsidRPr="0040342B">
        <w:rPr>
          <w:rFonts w:ascii="Arial" w:hAnsi="Arial" w:cs="Arial"/>
          <w:sz w:val="22"/>
          <w:szCs w:val="22"/>
        </w:rPr>
        <w:t xml:space="preserve">exempts the reporting of </w:t>
      </w:r>
      <w:r w:rsidR="00A06DD1" w:rsidRPr="0040342B">
        <w:rPr>
          <w:rFonts w:ascii="Arial" w:hAnsi="Arial" w:cs="Arial"/>
          <w:bCs/>
          <w:iCs/>
          <w:sz w:val="22"/>
          <w:szCs w:val="22"/>
        </w:rPr>
        <w:t>loan repayments, chattel mortgage repayments, hire purchase payments and finance lease payments.</w:t>
      </w:r>
      <w:r w:rsidR="006865CC" w:rsidRPr="0040342B">
        <w:rPr>
          <w:rFonts w:ascii="Arial" w:hAnsi="Arial" w:cs="Arial"/>
        </w:rPr>
        <w:t xml:space="preserve"> </w:t>
      </w:r>
      <w:r w:rsidR="00A06DD1" w:rsidRPr="0040342B">
        <w:rPr>
          <w:rFonts w:ascii="Arial" w:hAnsi="Arial" w:cs="Arial"/>
          <w:bCs/>
          <w:iCs/>
          <w:sz w:val="22"/>
          <w:szCs w:val="22"/>
        </w:rPr>
        <w:t>The reporting of these payments is exempted because such payments generally include a non-assessable repayment of principal.</w:t>
      </w:r>
    </w:p>
    <w:p w14:paraId="5B85D3FE" w14:textId="4F87896A" w:rsidR="00A06DD1" w:rsidRPr="0040342B" w:rsidRDefault="00A06DD1" w:rsidP="0040342B">
      <w:pPr>
        <w:spacing w:after="120"/>
        <w:rPr>
          <w:rFonts w:ascii="Arial" w:hAnsi="Arial" w:cs="Arial"/>
          <w:sz w:val="22"/>
          <w:szCs w:val="22"/>
        </w:rPr>
      </w:pPr>
    </w:p>
    <w:p w14:paraId="21CF6F94" w14:textId="2C2A108A" w:rsidR="00145249" w:rsidRPr="0040342B" w:rsidRDefault="00C46491" w:rsidP="0040342B">
      <w:pPr>
        <w:pStyle w:val="Heading3"/>
        <w:spacing w:before="0" w:after="120"/>
        <w:rPr>
          <w:i/>
          <w:iCs/>
          <w:sz w:val="22"/>
          <w:szCs w:val="22"/>
        </w:rPr>
      </w:pPr>
      <w:r w:rsidRPr="0040342B">
        <w:rPr>
          <w:i/>
          <w:iCs/>
          <w:sz w:val="22"/>
          <w:szCs w:val="22"/>
        </w:rPr>
        <w:t>Additional information may be provided</w:t>
      </w:r>
    </w:p>
    <w:p w14:paraId="3D7D03BD" w14:textId="65E55B23" w:rsidR="00A804FF" w:rsidRPr="0040342B" w:rsidRDefault="00C46491"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 xml:space="preserve">The instrument is not intended to increase the administrative burden on any person. </w:t>
      </w:r>
      <w:r w:rsidR="001F76F2" w:rsidRPr="0040342B">
        <w:rPr>
          <w:rFonts w:ascii="Arial" w:hAnsi="Arial" w:cs="Arial"/>
          <w:sz w:val="22"/>
          <w:szCs w:val="22"/>
        </w:rPr>
        <w:t xml:space="preserve">If </w:t>
      </w:r>
      <w:r w:rsidR="00A60BB0" w:rsidRPr="0040342B">
        <w:rPr>
          <w:rFonts w:ascii="Arial" w:hAnsi="Arial" w:cs="Arial"/>
          <w:sz w:val="22"/>
          <w:szCs w:val="22"/>
        </w:rPr>
        <w:t>not reporting</w:t>
      </w:r>
      <w:r w:rsidR="001F76F2" w:rsidRPr="0040342B">
        <w:rPr>
          <w:rFonts w:ascii="Arial" w:hAnsi="Arial" w:cs="Arial"/>
          <w:sz w:val="22"/>
          <w:szCs w:val="22"/>
        </w:rPr>
        <w:t xml:space="preserve"> transactions </w:t>
      </w:r>
      <w:r w:rsidRPr="0040342B">
        <w:rPr>
          <w:rFonts w:ascii="Arial" w:hAnsi="Arial" w:cs="Arial"/>
          <w:sz w:val="22"/>
          <w:szCs w:val="22"/>
        </w:rPr>
        <w:t xml:space="preserve">in accordance with the exemptions in the </w:t>
      </w:r>
      <w:r w:rsidR="00A60BB0" w:rsidRPr="0040342B">
        <w:rPr>
          <w:rFonts w:ascii="Arial" w:hAnsi="Arial" w:cs="Arial"/>
          <w:sz w:val="22"/>
          <w:szCs w:val="22"/>
        </w:rPr>
        <w:t>i</w:t>
      </w:r>
      <w:r w:rsidR="001F76F2" w:rsidRPr="0040342B">
        <w:rPr>
          <w:rFonts w:ascii="Arial" w:hAnsi="Arial" w:cs="Arial"/>
          <w:sz w:val="22"/>
          <w:szCs w:val="22"/>
        </w:rPr>
        <w:t xml:space="preserve">nstrument </w:t>
      </w:r>
      <w:r w:rsidR="00A60BB0" w:rsidRPr="0040342B">
        <w:rPr>
          <w:rFonts w:ascii="Arial" w:hAnsi="Arial" w:cs="Arial"/>
          <w:sz w:val="22"/>
          <w:szCs w:val="22"/>
        </w:rPr>
        <w:t xml:space="preserve">would </w:t>
      </w:r>
      <w:r w:rsidR="001F76F2" w:rsidRPr="0040342B">
        <w:rPr>
          <w:rFonts w:ascii="Arial" w:hAnsi="Arial" w:cs="Arial"/>
          <w:sz w:val="22"/>
          <w:szCs w:val="22"/>
        </w:rPr>
        <w:t xml:space="preserve">increase the administrative burden on an administrator of a payment system, the administrator </w:t>
      </w:r>
      <w:r w:rsidR="00A60BB0" w:rsidRPr="0040342B">
        <w:rPr>
          <w:rFonts w:ascii="Arial" w:hAnsi="Arial" w:cs="Arial"/>
          <w:sz w:val="22"/>
          <w:szCs w:val="22"/>
        </w:rPr>
        <w:t>may</w:t>
      </w:r>
      <w:r w:rsidRPr="0040342B">
        <w:rPr>
          <w:rFonts w:ascii="Arial" w:hAnsi="Arial" w:cs="Arial"/>
          <w:sz w:val="22"/>
          <w:szCs w:val="22"/>
        </w:rPr>
        <w:t xml:space="preserve"> </w:t>
      </w:r>
      <w:r w:rsidR="00AB32C5" w:rsidRPr="0040342B">
        <w:rPr>
          <w:rFonts w:ascii="Arial" w:hAnsi="Arial" w:cs="Arial"/>
          <w:sz w:val="22"/>
          <w:szCs w:val="22"/>
        </w:rPr>
        <w:t xml:space="preserve">choose to </w:t>
      </w:r>
      <w:r w:rsidR="001F76F2" w:rsidRPr="0040342B">
        <w:rPr>
          <w:rFonts w:ascii="Arial" w:hAnsi="Arial" w:cs="Arial"/>
          <w:sz w:val="22"/>
          <w:szCs w:val="22"/>
        </w:rPr>
        <w:t xml:space="preserve">report </w:t>
      </w:r>
      <w:r w:rsidR="00A60BB0" w:rsidRPr="0040342B">
        <w:rPr>
          <w:rFonts w:ascii="Arial" w:hAnsi="Arial" w:cs="Arial"/>
          <w:sz w:val="22"/>
          <w:szCs w:val="22"/>
        </w:rPr>
        <w:t>those</w:t>
      </w:r>
      <w:r w:rsidR="001F76F2" w:rsidRPr="0040342B">
        <w:rPr>
          <w:rFonts w:ascii="Arial" w:hAnsi="Arial" w:cs="Arial"/>
          <w:sz w:val="22"/>
          <w:szCs w:val="22"/>
        </w:rPr>
        <w:t xml:space="preserve"> transactions</w:t>
      </w:r>
      <w:r w:rsidR="0095310D" w:rsidRPr="0040342B">
        <w:rPr>
          <w:rFonts w:ascii="Arial" w:hAnsi="Arial" w:cs="Arial"/>
          <w:sz w:val="22"/>
          <w:szCs w:val="22"/>
        </w:rPr>
        <w:t>.</w:t>
      </w:r>
    </w:p>
    <w:p w14:paraId="4DCF9E91" w14:textId="5A34ACEB" w:rsidR="00CF106F" w:rsidRPr="0040342B" w:rsidRDefault="00CF106F" w:rsidP="0040342B">
      <w:pPr>
        <w:spacing w:after="120"/>
        <w:rPr>
          <w:rFonts w:ascii="Arial" w:hAnsi="Arial" w:cs="Arial"/>
          <w:sz w:val="22"/>
          <w:szCs w:val="22"/>
        </w:rPr>
      </w:pPr>
    </w:p>
    <w:p w14:paraId="66350455" w14:textId="278C022A" w:rsidR="001F76F2" w:rsidRPr="0040342B" w:rsidRDefault="00C46491" w:rsidP="0040342B">
      <w:pPr>
        <w:pStyle w:val="Heading2"/>
        <w:rPr>
          <w:rFonts w:cs="Arial"/>
          <w:szCs w:val="22"/>
        </w:rPr>
      </w:pPr>
      <w:r w:rsidRPr="0040342B">
        <w:rPr>
          <w:rFonts w:cs="Arial"/>
          <w:szCs w:val="22"/>
        </w:rPr>
        <w:t>C</w:t>
      </w:r>
      <w:r w:rsidR="00777F2B" w:rsidRPr="0040342B">
        <w:rPr>
          <w:rFonts w:cs="Arial"/>
          <w:szCs w:val="22"/>
        </w:rPr>
        <w:t xml:space="preserve">ompliance </w:t>
      </w:r>
      <w:r w:rsidR="001F76F2" w:rsidRPr="0040342B">
        <w:rPr>
          <w:rFonts w:cs="Arial"/>
          <w:szCs w:val="22"/>
        </w:rPr>
        <w:t>effect of this instrument</w:t>
      </w:r>
    </w:p>
    <w:p w14:paraId="366FB750" w14:textId="6DB84E0E" w:rsidR="00CB7DD9" w:rsidRPr="0040342B" w:rsidRDefault="00CB7DD9" w:rsidP="0040342B">
      <w:pPr>
        <w:numPr>
          <w:ilvl w:val="0"/>
          <w:numId w:val="1"/>
        </w:numPr>
        <w:spacing w:after="120"/>
        <w:ind w:left="709" w:hanging="709"/>
        <w:rPr>
          <w:rFonts w:ascii="Arial" w:hAnsi="Arial" w:cs="Arial"/>
          <w:sz w:val="22"/>
          <w:szCs w:val="22"/>
        </w:rPr>
      </w:pPr>
      <w:r w:rsidRPr="0040342B">
        <w:rPr>
          <w:rFonts w:ascii="Arial" w:hAnsi="Arial" w:cs="Arial"/>
          <w:sz w:val="22"/>
          <w:szCs w:val="22"/>
        </w:rPr>
        <w:t>Low – There will be minor regulatory impacts OBPR22 01727. Taxation Administration: Classes of Electronic Payment System Transactions Exempt from Being Reported in Third Party Reports Determination 2022.</w:t>
      </w:r>
    </w:p>
    <w:p w14:paraId="4B24C92D" w14:textId="26EF22FD" w:rsidR="00A804FF" w:rsidRPr="0040342B" w:rsidRDefault="00A804FF" w:rsidP="0040342B">
      <w:pPr>
        <w:spacing w:after="120"/>
        <w:ind w:left="705" w:hanging="705"/>
        <w:rPr>
          <w:rFonts w:ascii="Arial" w:hAnsi="Arial" w:cs="Arial"/>
          <w:sz w:val="22"/>
          <w:szCs w:val="22"/>
        </w:rPr>
      </w:pPr>
    </w:p>
    <w:p w14:paraId="13E8C334" w14:textId="77777777" w:rsidR="00250F34" w:rsidRPr="0040342B" w:rsidRDefault="00250F34" w:rsidP="0040342B">
      <w:pPr>
        <w:pStyle w:val="Heading2"/>
        <w:rPr>
          <w:rFonts w:cs="Arial"/>
          <w:szCs w:val="22"/>
        </w:rPr>
      </w:pPr>
      <w:r w:rsidRPr="0040342B">
        <w:rPr>
          <w:rFonts w:cs="Arial"/>
          <w:szCs w:val="22"/>
        </w:rPr>
        <w:t>Consultation</w:t>
      </w:r>
    </w:p>
    <w:p w14:paraId="53A39747" w14:textId="71059241" w:rsidR="00EF0FAE" w:rsidRPr="0040342B" w:rsidRDefault="00015BA6" w:rsidP="0040342B">
      <w:pPr>
        <w:numPr>
          <w:ilvl w:val="0"/>
          <w:numId w:val="1"/>
        </w:numPr>
        <w:spacing w:after="120"/>
        <w:ind w:left="709" w:hanging="709"/>
        <w:rPr>
          <w:rFonts w:ascii="Arial" w:hAnsi="Arial" w:cs="Arial"/>
          <w:sz w:val="22"/>
          <w:szCs w:val="22"/>
        </w:rPr>
      </w:pPr>
      <w:bookmarkStart w:id="5" w:name="_Hlk115952884"/>
      <w:r w:rsidRPr="0040342B">
        <w:rPr>
          <w:rFonts w:ascii="Arial" w:hAnsi="Arial" w:cs="Arial"/>
          <w:sz w:val="22"/>
          <w:szCs w:val="22"/>
        </w:rPr>
        <w:t xml:space="preserve">Subsection 17(1) of the </w:t>
      </w:r>
      <w:r w:rsidRPr="0040342B">
        <w:rPr>
          <w:rFonts w:ascii="Arial" w:hAnsi="Arial" w:cs="Arial"/>
          <w:i/>
          <w:iCs/>
          <w:sz w:val="22"/>
          <w:szCs w:val="22"/>
        </w:rPr>
        <w:t>Legislation Act 2003</w:t>
      </w:r>
      <w:r w:rsidRPr="0040342B">
        <w:rPr>
          <w:rFonts w:ascii="Arial" w:hAnsi="Arial" w:cs="Arial"/>
          <w:sz w:val="22"/>
          <w:szCs w:val="22"/>
        </w:rPr>
        <w:t xml:space="preserve"> requires the Commissioner </w:t>
      </w:r>
      <w:r w:rsidR="00C46491" w:rsidRPr="0040342B">
        <w:rPr>
          <w:rFonts w:ascii="Arial" w:hAnsi="Arial" w:cs="Arial"/>
          <w:sz w:val="22"/>
          <w:szCs w:val="22"/>
        </w:rPr>
        <w:t xml:space="preserve">to be </w:t>
      </w:r>
      <w:r w:rsidRPr="0040342B">
        <w:rPr>
          <w:rFonts w:ascii="Arial" w:hAnsi="Arial" w:cs="Arial"/>
          <w:sz w:val="22"/>
          <w:szCs w:val="22"/>
        </w:rPr>
        <w:t>satisfied that appropriate and reasonably practicable consultation has been undertaken</w:t>
      </w:r>
      <w:r w:rsidR="00C46491" w:rsidRPr="0040342B">
        <w:rPr>
          <w:rFonts w:ascii="Arial" w:hAnsi="Arial" w:cs="Arial"/>
          <w:sz w:val="22"/>
          <w:szCs w:val="22"/>
        </w:rPr>
        <w:t xml:space="preserve"> before he makes a determination</w:t>
      </w:r>
      <w:r w:rsidRPr="0040342B">
        <w:rPr>
          <w:rFonts w:ascii="Arial" w:hAnsi="Arial" w:cs="Arial"/>
          <w:sz w:val="22"/>
          <w:szCs w:val="22"/>
        </w:rPr>
        <w:t>.</w:t>
      </w:r>
    </w:p>
    <w:bookmarkEnd w:id="5"/>
    <w:p w14:paraId="393ABA21" w14:textId="7251F271" w:rsidR="00F6547E" w:rsidRPr="00EF0FAE" w:rsidRDefault="00B57D33" w:rsidP="00EF0FAE">
      <w:pPr>
        <w:numPr>
          <w:ilvl w:val="0"/>
          <w:numId w:val="1"/>
        </w:numPr>
        <w:spacing w:after="120"/>
        <w:ind w:left="709" w:hanging="709"/>
        <w:rPr>
          <w:rFonts w:ascii="Arial" w:hAnsi="Arial" w:cs="Arial"/>
          <w:sz w:val="22"/>
          <w:szCs w:val="22"/>
        </w:rPr>
      </w:pPr>
      <w:r w:rsidRPr="00EF0FAE">
        <w:rPr>
          <w:rFonts w:ascii="Arial" w:hAnsi="Arial" w:cs="Arial"/>
          <w:sz w:val="22"/>
          <w:szCs w:val="22"/>
        </w:rPr>
        <w:t xml:space="preserve">In February 2022 the draft instrument and draft explanatory statement was published to the ATO Legal </w:t>
      </w:r>
      <w:r w:rsidR="00CA27C9">
        <w:rPr>
          <w:rFonts w:ascii="Arial" w:hAnsi="Arial" w:cs="Arial"/>
          <w:sz w:val="22"/>
          <w:szCs w:val="22"/>
        </w:rPr>
        <w:t>D</w:t>
      </w:r>
      <w:r w:rsidR="00CA27C9" w:rsidRPr="00EF0FAE">
        <w:rPr>
          <w:rFonts w:ascii="Arial" w:hAnsi="Arial" w:cs="Arial"/>
          <w:sz w:val="22"/>
          <w:szCs w:val="22"/>
        </w:rPr>
        <w:t>atabase</w:t>
      </w:r>
      <w:r w:rsidRPr="00EF0FAE">
        <w:rPr>
          <w:rFonts w:ascii="Arial" w:hAnsi="Arial" w:cs="Arial"/>
          <w:sz w:val="22"/>
          <w:szCs w:val="22"/>
        </w:rPr>
        <w:t xml:space="preserve">. Publication was advertised via the ‘What’s new’ page on that website, and via the ‘Open Consultation’ page on ato.gov.au. Major tax and superannuation publishers and associations monitor these pages and include the details in the daily and weekly alerts and newsletters to their subscribers and members. This ensures advice of the draft is disseminated widely across the tax professional community, and that </w:t>
      </w:r>
      <w:r w:rsidR="00F6547E">
        <w:rPr>
          <w:rFonts w:ascii="Arial" w:hAnsi="Arial" w:cs="Arial"/>
          <w:sz w:val="22"/>
          <w:szCs w:val="22"/>
        </w:rPr>
        <w:t xml:space="preserve">the community is </w:t>
      </w:r>
      <w:r w:rsidRPr="00EF0FAE">
        <w:rPr>
          <w:rFonts w:ascii="Arial" w:hAnsi="Arial" w:cs="Arial"/>
          <w:sz w:val="22"/>
          <w:szCs w:val="22"/>
        </w:rPr>
        <w:t>in an informed position to provide comments and feedback.</w:t>
      </w:r>
    </w:p>
    <w:p w14:paraId="1AA8A7BF" w14:textId="56594B51" w:rsidR="000D7ECB" w:rsidRDefault="00B57D33">
      <w:pPr>
        <w:numPr>
          <w:ilvl w:val="0"/>
          <w:numId w:val="1"/>
        </w:numPr>
        <w:spacing w:after="120"/>
        <w:ind w:left="709" w:hanging="709"/>
        <w:rPr>
          <w:rFonts w:ascii="Arial" w:hAnsi="Arial" w:cs="Arial"/>
          <w:sz w:val="22"/>
          <w:szCs w:val="22"/>
        </w:rPr>
      </w:pPr>
      <w:r w:rsidRPr="00F6547E">
        <w:rPr>
          <w:rFonts w:ascii="Arial" w:hAnsi="Arial" w:cs="Arial"/>
          <w:sz w:val="22"/>
          <w:szCs w:val="22"/>
        </w:rPr>
        <w:t>Th</w:t>
      </w:r>
      <w:r w:rsidR="00F6547E">
        <w:rPr>
          <w:rFonts w:ascii="Arial" w:hAnsi="Arial" w:cs="Arial"/>
          <w:sz w:val="22"/>
          <w:szCs w:val="22"/>
        </w:rPr>
        <w:t>e draft</w:t>
      </w:r>
      <w:r w:rsidRPr="00F6547E">
        <w:rPr>
          <w:rFonts w:ascii="Arial" w:hAnsi="Arial" w:cs="Arial"/>
          <w:sz w:val="22"/>
          <w:szCs w:val="22"/>
        </w:rPr>
        <w:t xml:space="preserve"> instrument was discussed at the Financial Institution Data Exchange Consultative Forum in May 2022. This is an ATO led forum with attendance by all the major banks. The draft instrument was</w:t>
      </w:r>
      <w:r w:rsidR="00974C4A" w:rsidRPr="00F6547E">
        <w:rPr>
          <w:rFonts w:ascii="Arial" w:hAnsi="Arial" w:cs="Arial"/>
          <w:sz w:val="22"/>
          <w:szCs w:val="22"/>
        </w:rPr>
        <w:t xml:space="preserve"> republished in September 2022. </w:t>
      </w:r>
      <w:r w:rsidR="00F6547E">
        <w:rPr>
          <w:rFonts w:ascii="Arial" w:hAnsi="Arial" w:cs="Arial"/>
          <w:sz w:val="22"/>
          <w:szCs w:val="22"/>
        </w:rPr>
        <w:t>The ATO held i</w:t>
      </w:r>
      <w:r w:rsidR="00974C4A" w:rsidRPr="00F6547E">
        <w:rPr>
          <w:rFonts w:ascii="Arial" w:hAnsi="Arial" w:cs="Arial"/>
          <w:sz w:val="22"/>
          <w:szCs w:val="22"/>
        </w:rPr>
        <w:t xml:space="preserve">ndividual meetings with </w:t>
      </w:r>
      <w:r w:rsidRPr="00F6547E">
        <w:rPr>
          <w:rFonts w:ascii="Arial" w:hAnsi="Arial" w:cs="Arial"/>
          <w:sz w:val="22"/>
          <w:szCs w:val="22"/>
        </w:rPr>
        <w:t>three</w:t>
      </w:r>
      <w:r w:rsidR="00974C4A" w:rsidRPr="00F6547E">
        <w:rPr>
          <w:rFonts w:ascii="Arial" w:hAnsi="Arial" w:cs="Arial"/>
          <w:sz w:val="22"/>
          <w:szCs w:val="22"/>
        </w:rPr>
        <w:t xml:space="preserve"> of the major banks in September</w:t>
      </w:r>
      <w:r w:rsidRPr="00F6547E">
        <w:rPr>
          <w:rFonts w:ascii="Arial" w:hAnsi="Arial" w:cs="Arial"/>
          <w:sz w:val="22"/>
          <w:szCs w:val="22"/>
        </w:rPr>
        <w:t xml:space="preserve">. </w:t>
      </w:r>
      <w:r w:rsidR="002571CE">
        <w:rPr>
          <w:rFonts w:ascii="Arial" w:hAnsi="Arial" w:cs="Arial"/>
          <w:sz w:val="22"/>
          <w:szCs w:val="22"/>
        </w:rPr>
        <w:t xml:space="preserve">It then </w:t>
      </w:r>
      <w:r w:rsidR="00F6547E">
        <w:rPr>
          <w:rFonts w:ascii="Arial" w:hAnsi="Arial" w:cs="Arial"/>
          <w:sz w:val="22"/>
          <w:szCs w:val="22"/>
        </w:rPr>
        <w:t>made minor updates to the draft instrument to reflect f</w:t>
      </w:r>
      <w:r w:rsidRPr="00F6547E">
        <w:rPr>
          <w:rFonts w:ascii="Arial" w:hAnsi="Arial" w:cs="Arial"/>
          <w:sz w:val="22"/>
          <w:szCs w:val="22"/>
        </w:rPr>
        <w:t>eedback from the banks and public consultation</w:t>
      </w:r>
      <w:r w:rsidR="00B61067" w:rsidRPr="00F6547E">
        <w:rPr>
          <w:rFonts w:ascii="Arial" w:hAnsi="Arial" w:cs="Arial"/>
          <w:sz w:val="22"/>
          <w:szCs w:val="22"/>
        </w:rPr>
        <w:t>.</w:t>
      </w:r>
    </w:p>
    <w:p w14:paraId="55A6BDAC" w14:textId="77777777" w:rsidR="0076153E" w:rsidRDefault="0076153E">
      <w:pPr>
        <w:rPr>
          <w:rFonts w:ascii="Arial" w:hAnsi="Arial" w:cs="Arial"/>
          <w:b/>
          <w:sz w:val="20"/>
        </w:rPr>
      </w:pPr>
      <w:r>
        <w:rPr>
          <w:rFonts w:ascii="Arial" w:hAnsi="Arial" w:cs="Arial"/>
          <w:b/>
          <w:sz w:val="20"/>
        </w:rPr>
        <w:br w:type="page"/>
      </w:r>
    </w:p>
    <w:p w14:paraId="7BCC9E5E" w14:textId="430944F2" w:rsidR="00486653" w:rsidRPr="0040342B" w:rsidRDefault="00486653" w:rsidP="0040342B">
      <w:pPr>
        <w:spacing w:after="60"/>
        <w:rPr>
          <w:rFonts w:ascii="Arial" w:hAnsi="Arial" w:cs="Arial"/>
          <w:b/>
          <w:sz w:val="20"/>
        </w:rPr>
      </w:pPr>
      <w:r w:rsidRPr="0040342B">
        <w:rPr>
          <w:rFonts w:ascii="Arial" w:hAnsi="Arial" w:cs="Arial"/>
          <w:b/>
          <w:sz w:val="20"/>
        </w:rPr>
        <w:lastRenderedPageBreak/>
        <w:t>Legislative references:</w:t>
      </w:r>
    </w:p>
    <w:p w14:paraId="52E6FCDD" w14:textId="77777777" w:rsidR="00071D50" w:rsidRPr="0040342B" w:rsidRDefault="00071D50" w:rsidP="0040342B">
      <w:pPr>
        <w:rPr>
          <w:rFonts w:ascii="Arial" w:hAnsi="Arial" w:cs="Arial"/>
          <w:bCs/>
          <w:i/>
          <w:sz w:val="20"/>
        </w:rPr>
      </w:pPr>
      <w:r w:rsidRPr="0040342B">
        <w:rPr>
          <w:rFonts w:ascii="Arial" w:hAnsi="Arial" w:cs="Arial"/>
          <w:bCs/>
          <w:i/>
          <w:sz w:val="20"/>
        </w:rPr>
        <w:t>A New Tax System (Goods and Service Tax) Act 1999</w:t>
      </w:r>
    </w:p>
    <w:p w14:paraId="7884E49A" w14:textId="77777777" w:rsidR="001C003F" w:rsidRPr="0040342B" w:rsidRDefault="001C003F" w:rsidP="0040342B">
      <w:pPr>
        <w:rPr>
          <w:rFonts w:ascii="Arial" w:hAnsi="Arial" w:cs="Arial"/>
          <w:i/>
          <w:sz w:val="20"/>
        </w:rPr>
      </w:pPr>
      <w:r w:rsidRPr="0040342B">
        <w:rPr>
          <w:rFonts w:ascii="Arial" w:hAnsi="Arial" w:cs="Arial"/>
          <w:i/>
          <w:sz w:val="20"/>
        </w:rPr>
        <w:t>Acts Interpretation Act 1901</w:t>
      </w:r>
    </w:p>
    <w:p w14:paraId="1D42D38B" w14:textId="77777777" w:rsidR="001C003F" w:rsidRPr="0040342B" w:rsidRDefault="001C003F" w:rsidP="0040342B">
      <w:pPr>
        <w:rPr>
          <w:rFonts w:ascii="Arial" w:hAnsi="Arial" w:cs="Arial"/>
          <w:i/>
          <w:sz w:val="20"/>
        </w:rPr>
      </w:pPr>
      <w:r w:rsidRPr="0040342B">
        <w:rPr>
          <w:rFonts w:ascii="Arial" w:hAnsi="Arial" w:cs="Arial"/>
          <w:i/>
          <w:sz w:val="20"/>
        </w:rPr>
        <w:t>Human Rights (Parliamentary Scrutiny) Act 2011</w:t>
      </w:r>
    </w:p>
    <w:p w14:paraId="2E5E1E33" w14:textId="77777777" w:rsidR="00071D50" w:rsidRPr="0040342B" w:rsidRDefault="00071D50" w:rsidP="0040342B">
      <w:pPr>
        <w:rPr>
          <w:rFonts w:ascii="Arial" w:hAnsi="Arial" w:cs="Arial"/>
          <w:bCs/>
          <w:i/>
          <w:sz w:val="20"/>
        </w:rPr>
      </w:pPr>
      <w:r w:rsidRPr="0040342B">
        <w:rPr>
          <w:rFonts w:ascii="Arial" w:hAnsi="Arial" w:cs="Arial"/>
          <w:bCs/>
          <w:i/>
          <w:sz w:val="20"/>
        </w:rPr>
        <w:t>Insurance Act 1973</w:t>
      </w:r>
    </w:p>
    <w:p w14:paraId="27BA4F0B" w14:textId="77777777" w:rsidR="001C003F" w:rsidRPr="0040342B" w:rsidRDefault="001C003F" w:rsidP="0040342B">
      <w:pPr>
        <w:rPr>
          <w:rFonts w:ascii="Arial" w:hAnsi="Arial" w:cs="Arial"/>
          <w:i/>
          <w:sz w:val="20"/>
        </w:rPr>
      </w:pPr>
      <w:r w:rsidRPr="0040342B">
        <w:rPr>
          <w:rFonts w:ascii="Arial" w:hAnsi="Arial" w:cs="Arial"/>
          <w:i/>
          <w:sz w:val="20"/>
        </w:rPr>
        <w:t>Legislation Act 2003</w:t>
      </w:r>
    </w:p>
    <w:p w14:paraId="60F2246D" w14:textId="77777777" w:rsidR="00071D50" w:rsidRPr="0040342B" w:rsidRDefault="00071D50" w:rsidP="0040342B">
      <w:pPr>
        <w:rPr>
          <w:rFonts w:ascii="Arial" w:hAnsi="Arial" w:cs="Arial"/>
          <w:bCs/>
          <w:i/>
          <w:sz w:val="20"/>
        </w:rPr>
      </w:pPr>
      <w:r w:rsidRPr="0040342B">
        <w:rPr>
          <w:rFonts w:ascii="Arial" w:hAnsi="Arial" w:cs="Arial"/>
          <w:bCs/>
          <w:i/>
          <w:sz w:val="20"/>
        </w:rPr>
        <w:t>Life Insurance Act 1995</w:t>
      </w:r>
    </w:p>
    <w:p w14:paraId="317720C7" w14:textId="723F9535" w:rsidR="001C003F" w:rsidRPr="0040342B" w:rsidRDefault="001C003F" w:rsidP="0040342B">
      <w:pPr>
        <w:rPr>
          <w:rFonts w:ascii="Arial" w:hAnsi="Arial" w:cs="Arial"/>
          <w:i/>
          <w:sz w:val="20"/>
        </w:rPr>
      </w:pPr>
      <w:r w:rsidRPr="0040342B">
        <w:rPr>
          <w:rFonts w:ascii="Arial" w:hAnsi="Arial" w:cs="Arial"/>
          <w:i/>
          <w:sz w:val="20"/>
        </w:rPr>
        <w:t>Payment Systems (Regulation) Act 1998</w:t>
      </w:r>
    </w:p>
    <w:p w14:paraId="544A2D28" w14:textId="77777777" w:rsidR="00A40A9D" w:rsidRPr="0040342B" w:rsidRDefault="001C003F" w:rsidP="0040342B">
      <w:pPr>
        <w:rPr>
          <w:rFonts w:ascii="Arial" w:hAnsi="Arial" w:cs="Arial"/>
          <w:bCs/>
          <w:i/>
          <w:sz w:val="20"/>
        </w:rPr>
      </w:pPr>
      <w:r w:rsidRPr="0040342B">
        <w:rPr>
          <w:rFonts w:ascii="Arial" w:hAnsi="Arial" w:cs="Arial"/>
          <w:bCs/>
          <w:i/>
          <w:sz w:val="20"/>
        </w:rPr>
        <w:t>Private Health Insurance (Prudential Supervision) Act 2015</w:t>
      </w:r>
    </w:p>
    <w:p w14:paraId="157815B8" w14:textId="77777777" w:rsidR="00071D50" w:rsidRPr="0040342B" w:rsidRDefault="00071D50" w:rsidP="0040342B">
      <w:pPr>
        <w:rPr>
          <w:rFonts w:ascii="Arial" w:hAnsi="Arial" w:cs="Arial"/>
          <w:bCs/>
          <w:i/>
          <w:sz w:val="20"/>
        </w:rPr>
      </w:pPr>
      <w:r w:rsidRPr="0040342B">
        <w:rPr>
          <w:rFonts w:ascii="Arial" w:hAnsi="Arial" w:cs="Arial"/>
          <w:bCs/>
          <w:i/>
          <w:sz w:val="20"/>
        </w:rPr>
        <w:t>Retirement Savings Accounts Act 1997</w:t>
      </w:r>
    </w:p>
    <w:p w14:paraId="17FD61F6" w14:textId="77777777" w:rsidR="00A40A9D" w:rsidRPr="0040342B" w:rsidRDefault="001C003F" w:rsidP="0040342B">
      <w:pPr>
        <w:rPr>
          <w:rFonts w:ascii="Arial" w:hAnsi="Arial" w:cs="Arial"/>
          <w:bCs/>
          <w:i/>
          <w:sz w:val="20"/>
        </w:rPr>
      </w:pPr>
      <w:r w:rsidRPr="0040342B">
        <w:rPr>
          <w:rFonts w:ascii="Arial" w:hAnsi="Arial" w:cs="Arial"/>
          <w:bCs/>
          <w:i/>
          <w:sz w:val="20"/>
        </w:rPr>
        <w:t>Superannuation Industry (Supervision) Act 1993</w:t>
      </w:r>
    </w:p>
    <w:p w14:paraId="2FC42B04" w14:textId="77777777" w:rsidR="00071D50" w:rsidRPr="0040342B" w:rsidRDefault="00071D50" w:rsidP="0040342B">
      <w:pPr>
        <w:rPr>
          <w:rFonts w:ascii="Arial" w:hAnsi="Arial" w:cs="Arial"/>
          <w:i/>
          <w:sz w:val="20"/>
        </w:rPr>
      </w:pPr>
      <w:r w:rsidRPr="0040342B">
        <w:rPr>
          <w:rFonts w:ascii="Arial" w:hAnsi="Arial" w:cs="Arial"/>
          <w:i/>
          <w:sz w:val="20"/>
        </w:rPr>
        <w:t>Taxation Administration Act 1953</w:t>
      </w:r>
    </w:p>
    <w:p w14:paraId="09CCBA8F" w14:textId="77777777" w:rsidR="00071D50" w:rsidRPr="0040342B" w:rsidRDefault="00071D50" w:rsidP="0040342B">
      <w:pPr>
        <w:rPr>
          <w:rFonts w:ascii="Arial" w:hAnsi="Arial" w:cs="Arial"/>
          <w:bCs/>
          <w:i/>
          <w:sz w:val="20"/>
        </w:rPr>
      </w:pPr>
      <w:r w:rsidRPr="0040342B">
        <w:rPr>
          <w:rFonts w:ascii="Arial" w:hAnsi="Arial" w:cs="Arial"/>
          <w:bCs/>
          <w:i/>
          <w:sz w:val="20"/>
        </w:rPr>
        <w:t>Telecommunications Act 1997</w:t>
      </w:r>
    </w:p>
    <w:p w14:paraId="70494D3B" w14:textId="57D3FB6F" w:rsidR="00A40A9D" w:rsidRPr="0040342B" w:rsidRDefault="003679C3" w:rsidP="0076153E">
      <w:pPr>
        <w:pStyle w:val="Heading3"/>
        <w:pageBreakBefore/>
        <w:spacing w:before="0" w:after="120"/>
        <w:jc w:val="center"/>
        <w:rPr>
          <w:sz w:val="22"/>
          <w:szCs w:val="22"/>
        </w:rPr>
      </w:pPr>
      <w:r w:rsidRPr="0040342B">
        <w:rPr>
          <w:sz w:val="22"/>
          <w:szCs w:val="22"/>
        </w:rPr>
        <w:lastRenderedPageBreak/>
        <w:t>Statement of Compatibility with Human Rights</w:t>
      </w:r>
    </w:p>
    <w:p w14:paraId="3B536385" w14:textId="3D83470B" w:rsidR="003679C3" w:rsidRPr="0040342B" w:rsidRDefault="003679C3" w:rsidP="00832233">
      <w:pPr>
        <w:spacing w:after="120"/>
        <w:rPr>
          <w:rFonts w:ascii="Arial" w:hAnsi="Arial" w:cs="Arial"/>
          <w:b/>
          <w:i/>
          <w:sz w:val="22"/>
          <w:szCs w:val="22"/>
        </w:rPr>
      </w:pPr>
      <w:r w:rsidRPr="0040342B">
        <w:rPr>
          <w:rFonts w:ascii="Arial" w:hAnsi="Arial" w:cs="Arial"/>
          <w:sz w:val="22"/>
          <w:szCs w:val="22"/>
        </w:rPr>
        <w:t xml:space="preserve">This Statement is prepared in accordance with Part 3 of the </w:t>
      </w:r>
      <w:r w:rsidRPr="0040342B">
        <w:rPr>
          <w:rFonts w:ascii="Arial" w:hAnsi="Arial" w:cs="Arial"/>
          <w:i/>
          <w:sz w:val="22"/>
          <w:szCs w:val="22"/>
        </w:rPr>
        <w:t>Human Rights (Parliamentary Scrutiny) Act 2011.</w:t>
      </w:r>
    </w:p>
    <w:p w14:paraId="091DA6CF" w14:textId="77777777" w:rsidR="003679C3" w:rsidRPr="0040342B" w:rsidRDefault="003679C3" w:rsidP="0040342B">
      <w:pPr>
        <w:spacing w:after="120"/>
        <w:rPr>
          <w:rFonts w:ascii="Arial" w:hAnsi="Arial" w:cs="Arial"/>
          <w:sz w:val="22"/>
          <w:szCs w:val="22"/>
        </w:rPr>
      </w:pPr>
    </w:p>
    <w:p w14:paraId="5194FD3C" w14:textId="2F70514F" w:rsidR="00025A97" w:rsidRPr="0040342B" w:rsidRDefault="00097420" w:rsidP="0040342B">
      <w:pPr>
        <w:pStyle w:val="Heading2"/>
        <w:jc w:val="center"/>
        <w:rPr>
          <w:rFonts w:cs="Arial"/>
          <w:i/>
          <w:iCs/>
          <w:szCs w:val="22"/>
        </w:rPr>
      </w:pPr>
      <w:r w:rsidRPr="0040342B">
        <w:rPr>
          <w:rFonts w:cs="Arial"/>
          <w:i/>
          <w:iCs/>
          <w:szCs w:val="22"/>
        </w:rPr>
        <w:t xml:space="preserve">Taxation Administration: </w:t>
      </w:r>
      <w:r w:rsidR="008F7E75" w:rsidRPr="0040342B">
        <w:rPr>
          <w:rFonts w:cs="Arial"/>
          <w:i/>
          <w:iCs/>
          <w:szCs w:val="22"/>
        </w:rPr>
        <w:t xml:space="preserve">Classes of Electronic Payment System Transactions Exempt </w:t>
      </w:r>
      <w:r w:rsidR="00A21C58" w:rsidRPr="0040342B">
        <w:rPr>
          <w:rFonts w:cs="Arial"/>
          <w:i/>
          <w:iCs/>
          <w:szCs w:val="22"/>
        </w:rPr>
        <w:t>from</w:t>
      </w:r>
      <w:r w:rsidR="008F7E75" w:rsidRPr="0040342B">
        <w:rPr>
          <w:rFonts w:cs="Arial"/>
          <w:i/>
          <w:iCs/>
          <w:szCs w:val="22"/>
        </w:rPr>
        <w:t xml:space="preserve"> Being Reported </w:t>
      </w:r>
      <w:r w:rsidR="00A21C58" w:rsidRPr="0040342B">
        <w:rPr>
          <w:rFonts w:cs="Arial"/>
          <w:i/>
          <w:iCs/>
          <w:szCs w:val="22"/>
        </w:rPr>
        <w:t>i</w:t>
      </w:r>
      <w:r w:rsidR="008F7E75" w:rsidRPr="0040342B">
        <w:rPr>
          <w:rFonts w:cs="Arial"/>
          <w:i/>
          <w:iCs/>
          <w:szCs w:val="22"/>
        </w:rPr>
        <w:t xml:space="preserve">n Third Party Reports Determination </w:t>
      </w:r>
      <w:r w:rsidR="00D20499" w:rsidRPr="0040342B">
        <w:rPr>
          <w:rFonts w:cs="Arial"/>
          <w:i/>
          <w:iCs/>
          <w:szCs w:val="22"/>
        </w:rPr>
        <w:t>202</w:t>
      </w:r>
      <w:r w:rsidR="00AE0587" w:rsidRPr="0040342B">
        <w:rPr>
          <w:rFonts w:cs="Arial"/>
          <w:i/>
          <w:iCs/>
          <w:szCs w:val="22"/>
        </w:rPr>
        <w:t>2</w:t>
      </w:r>
    </w:p>
    <w:p w14:paraId="6817898C" w14:textId="49BE4220" w:rsidR="00A40A9D" w:rsidRPr="0040342B" w:rsidRDefault="003679C3" w:rsidP="0040342B">
      <w:pPr>
        <w:spacing w:after="120"/>
        <w:rPr>
          <w:rFonts w:ascii="Arial" w:hAnsi="Arial" w:cs="Arial"/>
          <w:sz w:val="22"/>
          <w:szCs w:val="22"/>
        </w:rPr>
      </w:pPr>
      <w:r w:rsidRPr="0040342B">
        <w:rPr>
          <w:rFonts w:ascii="Arial" w:hAnsi="Arial" w:cs="Arial"/>
          <w:sz w:val="22"/>
          <w:szCs w:val="22"/>
        </w:rPr>
        <w:t xml:space="preserve">This </w:t>
      </w:r>
      <w:r w:rsidR="00C46491" w:rsidRPr="0040342B">
        <w:rPr>
          <w:rFonts w:ascii="Arial" w:hAnsi="Arial" w:cs="Arial"/>
          <w:sz w:val="22"/>
          <w:szCs w:val="22"/>
        </w:rPr>
        <w:t>l</w:t>
      </w:r>
      <w:r w:rsidRPr="0040342B">
        <w:rPr>
          <w:rFonts w:ascii="Arial" w:hAnsi="Arial" w:cs="Arial"/>
          <w:sz w:val="22"/>
          <w:szCs w:val="22"/>
        </w:rPr>
        <w:t xml:space="preserve">egislative </w:t>
      </w:r>
      <w:r w:rsidR="00C46491" w:rsidRPr="0040342B">
        <w:rPr>
          <w:rFonts w:ascii="Arial" w:hAnsi="Arial" w:cs="Arial"/>
          <w:sz w:val="22"/>
          <w:szCs w:val="22"/>
        </w:rPr>
        <w:t>i</w:t>
      </w:r>
      <w:r w:rsidRPr="0040342B">
        <w:rPr>
          <w:rFonts w:ascii="Arial" w:hAnsi="Arial" w:cs="Arial"/>
          <w:sz w:val="22"/>
          <w:szCs w:val="22"/>
        </w:rPr>
        <w:t xml:space="preserve">nstrument is compatible with the human rights and freedoms recognised or declared in the international instruments listed in section 3 of the </w:t>
      </w:r>
      <w:r w:rsidRPr="0040342B">
        <w:rPr>
          <w:rFonts w:ascii="Arial" w:hAnsi="Arial" w:cs="Arial"/>
          <w:i/>
          <w:sz w:val="22"/>
          <w:szCs w:val="22"/>
        </w:rPr>
        <w:t>Human Rights (Parliamentary Scrutiny) Act 2011</w:t>
      </w:r>
      <w:r w:rsidRPr="0040342B">
        <w:rPr>
          <w:rFonts w:ascii="Arial" w:hAnsi="Arial" w:cs="Arial"/>
          <w:sz w:val="22"/>
          <w:szCs w:val="22"/>
        </w:rPr>
        <w:t>.</w:t>
      </w:r>
    </w:p>
    <w:p w14:paraId="51A45C97" w14:textId="4724C147" w:rsidR="003679C3" w:rsidRPr="0040342B" w:rsidRDefault="003679C3" w:rsidP="0040342B">
      <w:pPr>
        <w:spacing w:after="120"/>
        <w:rPr>
          <w:rFonts w:ascii="Arial" w:hAnsi="Arial" w:cs="Arial"/>
          <w:sz w:val="22"/>
          <w:szCs w:val="22"/>
        </w:rPr>
      </w:pPr>
    </w:p>
    <w:p w14:paraId="298100B2" w14:textId="2D602487" w:rsidR="003679C3" w:rsidRPr="0040342B" w:rsidRDefault="003679C3" w:rsidP="0040342B">
      <w:pPr>
        <w:pStyle w:val="Heading2"/>
        <w:rPr>
          <w:rFonts w:cs="Arial"/>
          <w:szCs w:val="22"/>
        </w:rPr>
      </w:pPr>
      <w:r w:rsidRPr="0040342B">
        <w:rPr>
          <w:rFonts w:cs="Arial"/>
          <w:szCs w:val="22"/>
        </w:rPr>
        <w:t xml:space="preserve">Overview of the </w:t>
      </w:r>
      <w:r w:rsidR="00C46491" w:rsidRPr="0040342B">
        <w:rPr>
          <w:rFonts w:cs="Arial"/>
          <w:szCs w:val="22"/>
        </w:rPr>
        <w:t>l</w:t>
      </w:r>
      <w:r w:rsidRPr="0040342B">
        <w:rPr>
          <w:rFonts w:cs="Arial"/>
          <w:szCs w:val="22"/>
        </w:rPr>
        <w:t xml:space="preserve">egislative </w:t>
      </w:r>
      <w:r w:rsidR="00C46491" w:rsidRPr="0040342B">
        <w:rPr>
          <w:rFonts w:cs="Arial"/>
          <w:szCs w:val="22"/>
        </w:rPr>
        <w:t>i</w:t>
      </w:r>
      <w:r w:rsidRPr="0040342B">
        <w:rPr>
          <w:rFonts w:cs="Arial"/>
          <w:szCs w:val="22"/>
        </w:rPr>
        <w:t>nstrument</w:t>
      </w:r>
    </w:p>
    <w:p w14:paraId="4F171CA3" w14:textId="0C4C1681" w:rsidR="001E3D33" w:rsidRPr="0040342B" w:rsidRDefault="001E3D33" w:rsidP="0040342B">
      <w:pPr>
        <w:spacing w:after="120"/>
        <w:rPr>
          <w:rFonts w:ascii="Arial" w:hAnsi="Arial" w:cs="Arial"/>
          <w:sz w:val="22"/>
          <w:szCs w:val="22"/>
        </w:rPr>
      </w:pPr>
      <w:r w:rsidRPr="0040342B">
        <w:rPr>
          <w:rFonts w:ascii="Arial" w:hAnsi="Arial" w:cs="Arial"/>
          <w:sz w:val="22"/>
          <w:szCs w:val="22"/>
        </w:rPr>
        <w:t xml:space="preserve">This </w:t>
      </w:r>
      <w:r w:rsidR="00C46491" w:rsidRPr="0040342B">
        <w:rPr>
          <w:rFonts w:ascii="Arial" w:hAnsi="Arial" w:cs="Arial"/>
          <w:sz w:val="22"/>
          <w:szCs w:val="22"/>
        </w:rPr>
        <w:t>l</w:t>
      </w:r>
      <w:r w:rsidRPr="0040342B">
        <w:rPr>
          <w:rFonts w:ascii="Arial" w:hAnsi="Arial" w:cs="Arial"/>
          <w:sz w:val="22"/>
          <w:szCs w:val="22"/>
        </w:rPr>
        <w:t xml:space="preserve">egislative </w:t>
      </w:r>
      <w:r w:rsidR="00C46491" w:rsidRPr="0040342B">
        <w:rPr>
          <w:rFonts w:ascii="Arial" w:hAnsi="Arial" w:cs="Arial"/>
          <w:sz w:val="22"/>
          <w:szCs w:val="22"/>
        </w:rPr>
        <w:t>i</w:t>
      </w:r>
      <w:r w:rsidRPr="0040342B">
        <w:rPr>
          <w:rFonts w:ascii="Arial" w:hAnsi="Arial" w:cs="Arial"/>
          <w:sz w:val="22"/>
          <w:szCs w:val="22"/>
        </w:rPr>
        <w:t xml:space="preserve">nstrument exempts administrators of payment systems (within the meaning of the </w:t>
      </w:r>
      <w:r w:rsidRPr="0040342B">
        <w:rPr>
          <w:rFonts w:ascii="Arial" w:hAnsi="Arial" w:cs="Arial"/>
          <w:i/>
          <w:iCs/>
          <w:sz w:val="22"/>
          <w:szCs w:val="22"/>
        </w:rPr>
        <w:t>Payment Systems (Regulation) Act 1998</w:t>
      </w:r>
      <w:r w:rsidRPr="0040342B">
        <w:rPr>
          <w:rFonts w:ascii="Arial" w:hAnsi="Arial" w:cs="Arial"/>
          <w:sz w:val="22"/>
          <w:szCs w:val="22"/>
        </w:rPr>
        <w:t xml:space="preserve">) from having to include specified classes of transactions in reports prepared and given to the Commissioner of Taxation in relation to </w:t>
      </w:r>
      <w:r w:rsidR="00862285" w:rsidRPr="0040342B">
        <w:rPr>
          <w:rFonts w:ascii="Arial" w:hAnsi="Arial" w:cs="Arial"/>
          <w:sz w:val="22"/>
          <w:szCs w:val="22"/>
        </w:rPr>
        <w:t xml:space="preserve">table </w:t>
      </w:r>
      <w:r w:rsidRPr="0040342B">
        <w:rPr>
          <w:rFonts w:ascii="Arial" w:hAnsi="Arial" w:cs="Arial"/>
          <w:sz w:val="22"/>
          <w:szCs w:val="22"/>
        </w:rPr>
        <w:t xml:space="preserve">item 9 in section 396-55 of Schedule 1 to the </w:t>
      </w:r>
      <w:r w:rsidRPr="0040342B">
        <w:rPr>
          <w:rFonts w:ascii="Arial" w:hAnsi="Arial" w:cs="Arial"/>
          <w:i/>
          <w:iCs/>
          <w:sz w:val="22"/>
          <w:szCs w:val="22"/>
        </w:rPr>
        <w:t>Taxation Administration Act 1953</w:t>
      </w:r>
      <w:r w:rsidRPr="0040342B">
        <w:rPr>
          <w:rFonts w:ascii="Arial" w:hAnsi="Arial" w:cs="Arial"/>
          <w:sz w:val="22"/>
          <w:szCs w:val="22"/>
        </w:rPr>
        <w:t>.</w:t>
      </w:r>
    </w:p>
    <w:p w14:paraId="233E0805" w14:textId="77777777" w:rsidR="0040342B" w:rsidRDefault="001E3D33" w:rsidP="0040342B">
      <w:pPr>
        <w:spacing w:after="120"/>
        <w:rPr>
          <w:rFonts w:ascii="Arial" w:hAnsi="Arial" w:cs="Arial"/>
          <w:sz w:val="22"/>
          <w:szCs w:val="22"/>
        </w:rPr>
      </w:pPr>
      <w:r w:rsidRPr="0040342B">
        <w:rPr>
          <w:rFonts w:ascii="Arial" w:hAnsi="Arial" w:cs="Arial"/>
          <w:sz w:val="22"/>
          <w:szCs w:val="22"/>
        </w:rPr>
        <w:t>Transactions are exempted from the regime to minimise the compliance cost for reporters where those transactions are either already reported</w:t>
      </w:r>
      <w:r w:rsidR="00C46491" w:rsidRPr="0040342B">
        <w:rPr>
          <w:rFonts w:ascii="Arial" w:hAnsi="Arial" w:cs="Arial"/>
          <w:sz w:val="22"/>
          <w:szCs w:val="22"/>
        </w:rPr>
        <w:t xml:space="preserve"> (</w:t>
      </w:r>
      <w:r w:rsidRPr="0040342B">
        <w:rPr>
          <w:rFonts w:ascii="Arial" w:hAnsi="Arial" w:cs="Arial"/>
          <w:sz w:val="22"/>
          <w:szCs w:val="22"/>
        </w:rPr>
        <w:t>or likely to be reported</w:t>
      </w:r>
      <w:r w:rsidR="00C46491" w:rsidRPr="0040342B">
        <w:rPr>
          <w:rFonts w:ascii="Arial" w:hAnsi="Arial" w:cs="Arial"/>
          <w:sz w:val="22"/>
          <w:szCs w:val="22"/>
        </w:rPr>
        <w:t>)</w:t>
      </w:r>
      <w:r w:rsidRPr="0040342B">
        <w:rPr>
          <w:rFonts w:ascii="Arial" w:hAnsi="Arial" w:cs="Arial"/>
          <w:sz w:val="22"/>
          <w:szCs w:val="22"/>
        </w:rPr>
        <w:t xml:space="preserve"> to the Commissioner through other existing reporting regimes, or where their exemption is deemed to be a low risk to the broader taxation revenue base.</w:t>
      </w:r>
    </w:p>
    <w:p w14:paraId="747E4FEF" w14:textId="283563AF" w:rsidR="001E3D33" w:rsidRPr="0040342B" w:rsidRDefault="001E3D33" w:rsidP="0040342B">
      <w:pPr>
        <w:spacing w:after="120"/>
        <w:rPr>
          <w:rFonts w:ascii="Arial" w:hAnsi="Arial" w:cs="Arial"/>
          <w:sz w:val="22"/>
          <w:szCs w:val="22"/>
        </w:rPr>
      </w:pPr>
    </w:p>
    <w:p w14:paraId="3AA6310F" w14:textId="77777777" w:rsidR="003679C3" w:rsidRPr="0040342B" w:rsidRDefault="003679C3" w:rsidP="0040342B">
      <w:pPr>
        <w:pStyle w:val="Heading2"/>
        <w:rPr>
          <w:rFonts w:cs="Arial"/>
          <w:szCs w:val="22"/>
        </w:rPr>
      </w:pPr>
      <w:r w:rsidRPr="0040342B">
        <w:rPr>
          <w:rFonts w:cs="Arial"/>
          <w:szCs w:val="22"/>
        </w:rPr>
        <w:t>Human rights implications</w:t>
      </w:r>
    </w:p>
    <w:p w14:paraId="21F36C54" w14:textId="65FC31F1" w:rsidR="003679C3" w:rsidRPr="0040342B" w:rsidRDefault="001E3D33" w:rsidP="0040342B">
      <w:pPr>
        <w:spacing w:after="120"/>
        <w:rPr>
          <w:rFonts w:ascii="Arial" w:hAnsi="Arial" w:cs="Arial"/>
          <w:sz w:val="22"/>
          <w:szCs w:val="22"/>
        </w:rPr>
      </w:pPr>
      <w:r w:rsidRPr="0040342B">
        <w:rPr>
          <w:rFonts w:ascii="Arial" w:hAnsi="Arial" w:cs="Arial"/>
          <w:sz w:val="22"/>
          <w:szCs w:val="22"/>
        </w:rPr>
        <w:t xml:space="preserve">This </w:t>
      </w:r>
      <w:r w:rsidR="00C46491" w:rsidRPr="0040342B">
        <w:rPr>
          <w:rFonts w:ascii="Arial" w:hAnsi="Arial" w:cs="Arial"/>
          <w:sz w:val="22"/>
          <w:szCs w:val="22"/>
        </w:rPr>
        <w:t>l</w:t>
      </w:r>
      <w:r w:rsidRPr="0040342B">
        <w:rPr>
          <w:rFonts w:ascii="Arial" w:hAnsi="Arial" w:cs="Arial"/>
          <w:sz w:val="22"/>
          <w:szCs w:val="22"/>
        </w:rPr>
        <w:t xml:space="preserve">egislative </w:t>
      </w:r>
      <w:r w:rsidR="00C46491" w:rsidRPr="0040342B">
        <w:rPr>
          <w:rFonts w:ascii="Arial" w:hAnsi="Arial" w:cs="Arial"/>
          <w:sz w:val="22"/>
          <w:szCs w:val="22"/>
        </w:rPr>
        <w:t>i</w:t>
      </w:r>
      <w:r w:rsidRPr="0040342B">
        <w:rPr>
          <w:rFonts w:ascii="Arial" w:hAnsi="Arial" w:cs="Arial"/>
          <w:sz w:val="22"/>
          <w:szCs w:val="22"/>
        </w:rPr>
        <w:t>nstrument does not engage any of the applicable rights or freedoms and is limited to providing relief from reporting requirements for specified transactions.</w:t>
      </w:r>
    </w:p>
    <w:p w14:paraId="63743088" w14:textId="77777777" w:rsidR="001E3D33" w:rsidRPr="0040342B" w:rsidRDefault="001E3D33" w:rsidP="0040342B">
      <w:pPr>
        <w:spacing w:after="120"/>
        <w:rPr>
          <w:rFonts w:ascii="Arial" w:hAnsi="Arial" w:cs="Arial"/>
          <w:sz w:val="22"/>
          <w:szCs w:val="22"/>
        </w:rPr>
      </w:pPr>
    </w:p>
    <w:p w14:paraId="128F864B" w14:textId="77777777" w:rsidR="003679C3" w:rsidRPr="0040342B" w:rsidRDefault="003679C3" w:rsidP="0040342B">
      <w:pPr>
        <w:pStyle w:val="Heading2"/>
        <w:rPr>
          <w:rFonts w:cs="Arial"/>
          <w:szCs w:val="22"/>
        </w:rPr>
      </w:pPr>
      <w:r w:rsidRPr="0040342B">
        <w:rPr>
          <w:rFonts w:cs="Arial"/>
          <w:szCs w:val="22"/>
        </w:rPr>
        <w:t>Conclusion</w:t>
      </w:r>
    </w:p>
    <w:p w14:paraId="39348A5F" w14:textId="1714E1D7" w:rsidR="003679C3" w:rsidRPr="0040342B" w:rsidRDefault="003679C3" w:rsidP="0040342B">
      <w:pPr>
        <w:spacing w:after="120"/>
        <w:rPr>
          <w:rFonts w:ascii="Arial" w:hAnsi="Arial" w:cs="Arial"/>
          <w:sz w:val="22"/>
          <w:szCs w:val="22"/>
        </w:rPr>
      </w:pPr>
      <w:r w:rsidRPr="0040342B">
        <w:rPr>
          <w:rFonts w:ascii="Arial" w:hAnsi="Arial" w:cs="Arial"/>
          <w:sz w:val="22"/>
          <w:szCs w:val="22"/>
        </w:rPr>
        <w:t xml:space="preserve">This legislative </w:t>
      </w:r>
      <w:r w:rsidR="00C46491" w:rsidRPr="0040342B">
        <w:rPr>
          <w:rFonts w:ascii="Arial" w:hAnsi="Arial" w:cs="Arial"/>
          <w:sz w:val="22"/>
          <w:szCs w:val="22"/>
        </w:rPr>
        <w:t>i</w:t>
      </w:r>
      <w:r w:rsidRPr="0040342B">
        <w:rPr>
          <w:rFonts w:ascii="Arial" w:hAnsi="Arial" w:cs="Arial"/>
          <w:sz w:val="22"/>
          <w:szCs w:val="22"/>
        </w:rPr>
        <w:t>nstrument does not raise any human rights issues.</w:t>
      </w:r>
    </w:p>
    <w:sectPr w:rsidR="003679C3" w:rsidRPr="0040342B" w:rsidSect="00146ED8">
      <w:headerReference w:type="even" r:id="rId8"/>
      <w:headerReference w:type="default" r:id="rId9"/>
      <w:footerReference w:type="even" r:id="rId10"/>
      <w:footerReference w:type="default" r:id="rId11"/>
      <w:headerReference w:type="first" r:id="rId12"/>
      <w:footerReference w:type="first" r:id="rId13"/>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6AD6" w14:textId="77777777" w:rsidR="00F56091" w:rsidRDefault="00F56091">
      <w:r>
        <w:separator/>
      </w:r>
    </w:p>
  </w:endnote>
  <w:endnote w:type="continuationSeparator" w:id="0">
    <w:p w14:paraId="25DF2393" w14:textId="77777777" w:rsidR="00F56091" w:rsidRDefault="00F5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1EB2" w14:textId="77777777" w:rsidR="00092221" w:rsidRDefault="00092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5D4E" w14:textId="77777777" w:rsidR="00092221" w:rsidRDefault="00092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2805" w14:textId="77777777" w:rsidR="00092221" w:rsidRDefault="00092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BB7D" w14:textId="77777777" w:rsidR="00F56091" w:rsidRDefault="00F56091">
      <w:r>
        <w:separator/>
      </w:r>
    </w:p>
  </w:footnote>
  <w:footnote w:type="continuationSeparator" w:id="0">
    <w:p w14:paraId="664F77EF" w14:textId="77777777" w:rsidR="00F56091" w:rsidRDefault="00F5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C83E" w14:textId="77777777" w:rsidR="00092221" w:rsidRDefault="00092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D7B5" w14:textId="23CA60F5" w:rsidR="00006C63" w:rsidRDefault="00006C63"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4A46" w14:textId="77777777" w:rsidR="00006C63" w:rsidRDefault="00006C63" w:rsidP="001828A4">
    <w:pPr>
      <w:pStyle w:val="Header"/>
      <w:tabs>
        <w:tab w:val="clear" w:pos="4153"/>
        <w:tab w:val="clear" w:pos="8306"/>
      </w:tabs>
      <w:rPr>
        <w:rFonts w:ascii="Arial" w:hAnsi="Arial" w:cs="Arial"/>
        <w:sz w:val="20"/>
      </w:rPr>
    </w:pPr>
    <w:r>
      <w:rPr>
        <w:noProof/>
      </w:rPr>
      <w:drawing>
        <wp:inline distT="0" distB="0" distL="0" distR="0" wp14:anchorId="4D24D304" wp14:editId="6A3E1324">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2F553EF7" w14:textId="0D565C57" w:rsidR="00006C63" w:rsidRPr="001A6644" w:rsidRDefault="00006C6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382"/>
    <w:multiLevelType w:val="hybridMultilevel"/>
    <w:tmpl w:val="D8ACE486"/>
    <w:lvl w:ilvl="0" w:tplc="3344258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7077F73"/>
    <w:multiLevelType w:val="hybridMultilevel"/>
    <w:tmpl w:val="4F2843B6"/>
    <w:lvl w:ilvl="0" w:tplc="0CA80E92">
      <w:start w:val="1"/>
      <w:numFmt w:val="decimal"/>
      <w:lvlText w:val="%1."/>
      <w:lvlJc w:val="left"/>
      <w:pPr>
        <w:ind w:left="360" w:hanging="360"/>
      </w:pPr>
      <w:rPr>
        <w:b w:val="0"/>
        <w:bCs/>
      </w:rPr>
    </w:lvl>
    <w:lvl w:ilvl="1" w:tplc="4A38B6A0">
      <w:start w:val="1"/>
      <w:numFmt w:val="lowerLetter"/>
      <w:lvlText w:val="(%2)"/>
      <w:lvlJc w:val="left"/>
      <w:pPr>
        <w:ind w:left="1080" w:hanging="360"/>
      </w:pPr>
      <w:rPr>
        <w:rFonts w:hint="default"/>
      </w:rPr>
    </w:lvl>
    <w:lvl w:ilvl="2" w:tplc="4588ECA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C320E5B"/>
    <w:multiLevelType w:val="hybridMultilevel"/>
    <w:tmpl w:val="C2D63E9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FCC3903"/>
    <w:multiLevelType w:val="hybridMultilevel"/>
    <w:tmpl w:val="65B697FE"/>
    <w:lvl w:ilvl="0" w:tplc="5D364D7A">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0997863"/>
    <w:multiLevelType w:val="hybridMultilevel"/>
    <w:tmpl w:val="87FA07D8"/>
    <w:lvl w:ilvl="0" w:tplc="0CA80E92">
      <w:start w:val="1"/>
      <w:numFmt w:val="decimal"/>
      <w:lvlText w:val="%1."/>
      <w:lvlJc w:val="left"/>
      <w:pPr>
        <w:ind w:left="360" w:hanging="360"/>
      </w:pPr>
      <w:rPr>
        <w:b w:val="0"/>
        <w:bCs/>
      </w:rPr>
    </w:lvl>
    <w:lvl w:ilvl="1" w:tplc="C322AB48">
      <w:start w:val="1"/>
      <w:numFmt w:val="decimal"/>
      <w:lvlText w:val="(%2)"/>
      <w:lvlJc w:val="left"/>
      <w:pPr>
        <w:ind w:left="1080" w:hanging="360"/>
      </w:pPr>
      <w:rPr>
        <w:rFonts w:hint="default"/>
      </w:rPr>
    </w:lvl>
    <w:lvl w:ilvl="2" w:tplc="4588ECA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C040AAC"/>
    <w:multiLevelType w:val="hybridMultilevel"/>
    <w:tmpl w:val="B4F0C82E"/>
    <w:lvl w:ilvl="0" w:tplc="0CA80E92">
      <w:start w:val="1"/>
      <w:numFmt w:val="decimal"/>
      <w:lvlText w:val="%1."/>
      <w:lvlJc w:val="left"/>
      <w:pPr>
        <w:ind w:left="927" w:hanging="360"/>
      </w:pPr>
      <w:rPr>
        <w:b w:val="0"/>
        <w:bCs/>
      </w:rPr>
    </w:lvl>
    <w:lvl w:ilvl="1" w:tplc="0C09001B">
      <w:start w:val="1"/>
      <w:numFmt w:val="lowerRoman"/>
      <w:lvlText w:val="%2."/>
      <w:lvlJc w:val="right"/>
      <w:pPr>
        <w:ind w:left="-54" w:hanging="360"/>
      </w:pPr>
      <w:rPr>
        <w:rFonts w:hint="default"/>
      </w:rPr>
    </w:lvl>
    <w:lvl w:ilvl="2" w:tplc="4588ECA2">
      <w:start w:val="1"/>
      <w:numFmt w:val="lowerRoman"/>
      <w:lvlText w:val="(%3)"/>
      <w:lvlJc w:val="left"/>
      <w:pPr>
        <w:ind w:left="666" w:hanging="180"/>
      </w:pPr>
      <w:rPr>
        <w:rFonts w:hint="default"/>
      </w:rPr>
    </w:lvl>
    <w:lvl w:ilvl="3" w:tplc="0C09000F" w:tentative="1">
      <w:start w:val="1"/>
      <w:numFmt w:val="decimal"/>
      <w:lvlText w:val="%4."/>
      <w:lvlJc w:val="left"/>
      <w:pPr>
        <w:ind w:left="1386" w:hanging="360"/>
      </w:pPr>
    </w:lvl>
    <w:lvl w:ilvl="4" w:tplc="0C090019" w:tentative="1">
      <w:start w:val="1"/>
      <w:numFmt w:val="lowerLetter"/>
      <w:lvlText w:val="%5."/>
      <w:lvlJc w:val="left"/>
      <w:pPr>
        <w:ind w:left="2106" w:hanging="360"/>
      </w:pPr>
    </w:lvl>
    <w:lvl w:ilvl="5" w:tplc="0C09001B" w:tentative="1">
      <w:start w:val="1"/>
      <w:numFmt w:val="lowerRoman"/>
      <w:lvlText w:val="%6."/>
      <w:lvlJc w:val="right"/>
      <w:pPr>
        <w:ind w:left="2826" w:hanging="180"/>
      </w:pPr>
    </w:lvl>
    <w:lvl w:ilvl="6" w:tplc="0C09000F" w:tentative="1">
      <w:start w:val="1"/>
      <w:numFmt w:val="decimal"/>
      <w:lvlText w:val="%7."/>
      <w:lvlJc w:val="left"/>
      <w:pPr>
        <w:ind w:left="3546" w:hanging="360"/>
      </w:pPr>
    </w:lvl>
    <w:lvl w:ilvl="7" w:tplc="0C090019" w:tentative="1">
      <w:start w:val="1"/>
      <w:numFmt w:val="lowerLetter"/>
      <w:lvlText w:val="%8."/>
      <w:lvlJc w:val="left"/>
      <w:pPr>
        <w:ind w:left="4266" w:hanging="360"/>
      </w:pPr>
    </w:lvl>
    <w:lvl w:ilvl="8" w:tplc="0C09001B" w:tentative="1">
      <w:start w:val="1"/>
      <w:numFmt w:val="lowerRoman"/>
      <w:lvlText w:val="%9."/>
      <w:lvlJc w:val="right"/>
      <w:pPr>
        <w:ind w:left="4986" w:hanging="180"/>
      </w:pPr>
    </w:lvl>
  </w:abstractNum>
  <w:abstractNum w:abstractNumId="6" w15:restartNumberingAfterBreak="0">
    <w:nsid w:val="4E5A1C67"/>
    <w:multiLevelType w:val="hybridMultilevel"/>
    <w:tmpl w:val="9CDA0022"/>
    <w:lvl w:ilvl="0" w:tplc="0CA80E92">
      <w:start w:val="1"/>
      <w:numFmt w:val="decimal"/>
      <w:lvlText w:val="%1."/>
      <w:lvlJc w:val="left"/>
      <w:pPr>
        <w:ind w:left="360" w:hanging="360"/>
      </w:pPr>
      <w:rPr>
        <w:b w:val="0"/>
        <w:bCs/>
      </w:rPr>
    </w:lvl>
    <w:lvl w:ilvl="1" w:tplc="4A38B6A0">
      <w:start w:val="1"/>
      <w:numFmt w:val="lowerLetter"/>
      <w:lvlText w:val="(%2)"/>
      <w:lvlJc w:val="left"/>
      <w:pPr>
        <w:ind w:left="1080" w:hanging="360"/>
      </w:pPr>
      <w:rPr>
        <w:rFonts w:hint="default"/>
      </w:rPr>
    </w:lvl>
    <w:lvl w:ilvl="2" w:tplc="4588ECA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48B2794"/>
    <w:multiLevelType w:val="hybridMultilevel"/>
    <w:tmpl w:val="F49803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F07932"/>
    <w:multiLevelType w:val="hybridMultilevel"/>
    <w:tmpl w:val="9D66E1FA"/>
    <w:lvl w:ilvl="0" w:tplc="0CA80E92">
      <w:start w:val="1"/>
      <w:numFmt w:val="decimal"/>
      <w:lvlText w:val="%1."/>
      <w:lvlJc w:val="left"/>
      <w:pPr>
        <w:ind w:left="360" w:hanging="360"/>
      </w:pPr>
      <w:rPr>
        <w:b w:val="0"/>
        <w:bCs/>
      </w:rPr>
    </w:lvl>
    <w:lvl w:ilvl="1" w:tplc="0C090001">
      <w:start w:val="1"/>
      <w:numFmt w:val="bullet"/>
      <w:lvlText w:val=""/>
      <w:lvlJc w:val="left"/>
      <w:pPr>
        <w:ind w:left="1080" w:hanging="360"/>
      </w:pPr>
      <w:rPr>
        <w:rFonts w:ascii="Symbol" w:hAnsi="Symbol" w:hint="default"/>
      </w:rPr>
    </w:lvl>
    <w:lvl w:ilvl="2" w:tplc="4588ECA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0"/>
  </w:num>
  <w:num w:numId="5">
    <w:abstractNumId w:val="3"/>
  </w:num>
  <w:num w:numId="6">
    <w:abstractNumId w:val="7"/>
  </w:num>
  <w:num w:numId="7">
    <w:abstractNumId w:val="8"/>
  </w:num>
  <w:num w:numId="8">
    <w:abstractNumId w:val="4"/>
  </w:num>
  <w:num w:numId="9">
    <w:abstractNumId w:val="6"/>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4691"/>
    <w:rsid w:val="00006C63"/>
    <w:rsid w:val="0000724B"/>
    <w:rsid w:val="000117B2"/>
    <w:rsid w:val="0001339A"/>
    <w:rsid w:val="00015BA6"/>
    <w:rsid w:val="000170F2"/>
    <w:rsid w:val="0001796D"/>
    <w:rsid w:val="00017BF0"/>
    <w:rsid w:val="00023154"/>
    <w:rsid w:val="000243DE"/>
    <w:rsid w:val="0002568B"/>
    <w:rsid w:val="00025A97"/>
    <w:rsid w:val="00027AFA"/>
    <w:rsid w:val="000302A0"/>
    <w:rsid w:val="00036195"/>
    <w:rsid w:val="00043788"/>
    <w:rsid w:val="00043FA7"/>
    <w:rsid w:val="000552E8"/>
    <w:rsid w:val="000564D0"/>
    <w:rsid w:val="00056585"/>
    <w:rsid w:val="0005674F"/>
    <w:rsid w:val="00065C6E"/>
    <w:rsid w:val="00071D50"/>
    <w:rsid w:val="00073F1B"/>
    <w:rsid w:val="00075B58"/>
    <w:rsid w:val="00081403"/>
    <w:rsid w:val="000828DF"/>
    <w:rsid w:val="00087310"/>
    <w:rsid w:val="00092221"/>
    <w:rsid w:val="00093352"/>
    <w:rsid w:val="00096C1F"/>
    <w:rsid w:val="00097420"/>
    <w:rsid w:val="000A1E58"/>
    <w:rsid w:val="000B11DD"/>
    <w:rsid w:val="000B2A11"/>
    <w:rsid w:val="000B54E8"/>
    <w:rsid w:val="000C29CE"/>
    <w:rsid w:val="000C390A"/>
    <w:rsid w:val="000C40BE"/>
    <w:rsid w:val="000C77DD"/>
    <w:rsid w:val="000D7ECB"/>
    <w:rsid w:val="000E295B"/>
    <w:rsid w:val="000E3731"/>
    <w:rsid w:val="000E45A0"/>
    <w:rsid w:val="000F5FAA"/>
    <w:rsid w:val="00100C9D"/>
    <w:rsid w:val="001039DF"/>
    <w:rsid w:val="001048EA"/>
    <w:rsid w:val="0010669A"/>
    <w:rsid w:val="00107460"/>
    <w:rsid w:val="00110774"/>
    <w:rsid w:val="0011165C"/>
    <w:rsid w:val="00112415"/>
    <w:rsid w:val="00122FF1"/>
    <w:rsid w:val="00123785"/>
    <w:rsid w:val="0012762D"/>
    <w:rsid w:val="0013678D"/>
    <w:rsid w:val="001409BD"/>
    <w:rsid w:val="00140A34"/>
    <w:rsid w:val="001439A3"/>
    <w:rsid w:val="00144ECA"/>
    <w:rsid w:val="00145249"/>
    <w:rsid w:val="00146ED8"/>
    <w:rsid w:val="00156913"/>
    <w:rsid w:val="0016213E"/>
    <w:rsid w:val="00167202"/>
    <w:rsid w:val="001703B1"/>
    <w:rsid w:val="0017091A"/>
    <w:rsid w:val="00171D47"/>
    <w:rsid w:val="00180B8A"/>
    <w:rsid w:val="00181239"/>
    <w:rsid w:val="001828A4"/>
    <w:rsid w:val="00183C1C"/>
    <w:rsid w:val="00183CF7"/>
    <w:rsid w:val="0018468E"/>
    <w:rsid w:val="00191CD0"/>
    <w:rsid w:val="00196793"/>
    <w:rsid w:val="001A2558"/>
    <w:rsid w:val="001A3BE2"/>
    <w:rsid w:val="001B1AD3"/>
    <w:rsid w:val="001B2DFE"/>
    <w:rsid w:val="001C003F"/>
    <w:rsid w:val="001C0232"/>
    <w:rsid w:val="001C35E7"/>
    <w:rsid w:val="001C4578"/>
    <w:rsid w:val="001C5C35"/>
    <w:rsid w:val="001D0BEC"/>
    <w:rsid w:val="001D2954"/>
    <w:rsid w:val="001D63FA"/>
    <w:rsid w:val="001E0B0D"/>
    <w:rsid w:val="001E3D33"/>
    <w:rsid w:val="001E6D8C"/>
    <w:rsid w:val="001F28A6"/>
    <w:rsid w:val="001F2A16"/>
    <w:rsid w:val="001F2FC1"/>
    <w:rsid w:val="001F3B26"/>
    <w:rsid w:val="001F6921"/>
    <w:rsid w:val="001F76F2"/>
    <w:rsid w:val="001F7C3E"/>
    <w:rsid w:val="00201476"/>
    <w:rsid w:val="00201969"/>
    <w:rsid w:val="00202FB2"/>
    <w:rsid w:val="00204B9F"/>
    <w:rsid w:val="00210419"/>
    <w:rsid w:val="00212EE5"/>
    <w:rsid w:val="00213FA5"/>
    <w:rsid w:val="002206AC"/>
    <w:rsid w:val="00226ABC"/>
    <w:rsid w:val="00230638"/>
    <w:rsid w:val="002314A0"/>
    <w:rsid w:val="00232AA1"/>
    <w:rsid w:val="002363E4"/>
    <w:rsid w:val="0023733A"/>
    <w:rsid w:val="0024044F"/>
    <w:rsid w:val="002414A6"/>
    <w:rsid w:val="00245D00"/>
    <w:rsid w:val="0024765A"/>
    <w:rsid w:val="00250F34"/>
    <w:rsid w:val="00252CA3"/>
    <w:rsid w:val="002571CE"/>
    <w:rsid w:val="00257F2D"/>
    <w:rsid w:val="0026116B"/>
    <w:rsid w:val="002624C1"/>
    <w:rsid w:val="00262F9F"/>
    <w:rsid w:val="00266517"/>
    <w:rsid w:val="00266D2D"/>
    <w:rsid w:val="00270CB3"/>
    <w:rsid w:val="0027331F"/>
    <w:rsid w:val="002734B3"/>
    <w:rsid w:val="002748BA"/>
    <w:rsid w:val="002751DD"/>
    <w:rsid w:val="00285AD9"/>
    <w:rsid w:val="00285E76"/>
    <w:rsid w:val="00287A4C"/>
    <w:rsid w:val="002949C3"/>
    <w:rsid w:val="002A030F"/>
    <w:rsid w:val="002A10A4"/>
    <w:rsid w:val="002A26FE"/>
    <w:rsid w:val="002B1423"/>
    <w:rsid w:val="002B3A84"/>
    <w:rsid w:val="002C39D2"/>
    <w:rsid w:val="002D20F1"/>
    <w:rsid w:val="002D5E4B"/>
    <w:rsid w:val="002E1A3A"/>
    <w:rsid w:val="002E4C2A"/>
    <w:rsid w:val="002E62A2"/>
    <w:rsid w:val="002E77B8"/>
    <w:rsid w:val="002F1257"/>
    <w:rsid w:val="002F4A18"/>
    <w:rsid w:val="00310C61"/>
    <w:rsid w:val="00314685"/>
    <w:rsid w:val="00315A48"/>
    <w:rsid w:val="003171B3"/>
    <w:rsid w:val="0032559D"/>
    <w:rsid w:val="0033691E"/>
    <w:rsid w:val="003372CD"/>
    <w:rsid w:val="00344575"/>
    <w:rsid w:val="0035113C"/>
    <w:rsid w:val="00354525"/>
    <w:rsid w:val="00355FCD"/>
    <w:rsid w:val="00366298"/>
    <w:rsid w:val="00366564"/>
    <w:rsid w:val="003679C3"/>
    <w:rsid w:val="0037748F"/>
    <w:rsid w:val="00380CC4"/>
    <w:rsid w:val="0038257E"/>
    <w:rsid w:val="00384119"/>
    <w:rsid w:val="00393299"/>
    <w:rsid w:val="00394D4D"/>
    <w:rsid w:val="00395026"/>
    <w:rsid w:val="003954C2"/>
    <w:rsid w:val="00397933"/>
    <w:rsid w:val="003A4AEE"/>
    <w:rsid w:val="003A4DFA"/>
    <w:rsid w:val="003A56E6"/>
    <w:rsid w:val="003B1617"/>
    <w:rsid w:val="003C0686"/>
    <w:rsid w:val="003C5AAF"/>
    <w:rsid w:val="003D08CF"/>
    <w:rsid w:val="003D0CBA"/>
    <w:rsid w:val="003D0F6A"/>
    <w:rsid w:val="003D4BA8"/>
    <w:rsid w:val="003D55BB"/>
    <w:rsid w:val="003D5A3F"/>
    <w:rsid w:val="003E5269"/>
    <w:rsid w:val="003F13D6"/>
    <w:rsid w:val="003F2F62"/>
    <w:rsid w:val="0040342B"/>
    <w:rsid w:val="00405394"/>
    <w:rsid w:val="004066E4"/>
    <w:rsid w:val="0040680B"/>
    <w:rsid w:val="00407361"/>
    <w:rsid w:val="004073B8"/>
    <w:rsid w:val="00417C55"/>
    <w:rsid w:val="00423DFE"/>
    <w:rsid w:val="00424A7B"/>
    <w:rsid w:val="00436961"/>
    <w:rsid w:val="00444496"/>
    <w:rsid w:val="004447C1"/>
    <w:rsid w:val="00450D90"/>
    <w:rsid w:val="00460B1A"/>
    <w:rsid w:val="0046211F"/>
    <w:rsid w:val="00463591"/>
    <w:rsid w:val="004676ED"/>
    <w:rsid w:val="0046787B"/>
    <w:rsid w:val="004707E1"/>
    <w:rsid w:val="004850C5"/>
    <w:rsid w:val="0048631C"/>
    <w:rsid w:val="00486653"/>
    <w:rsid w:val="00491DE6"/>
    <w:rsid w:val="00491FF7"/>
    <w:rsid w:val="004935C5"/>
    <w:rsid w:val="004A2DAF"/>
    <w:rsid w:val="004A56EA"/>
    <w:rsid w:val="004A5A92"/>
    <w:rsid w:val="004A5FDA"/>
    <w:rsid w:val="004A77B8"/>
    <w:rsid w:val="004B18BF"/>
    <w:rsid w:val="004B4D6F"/>
    <w:rsid w:val="004B5E30"/>
    <w:rsid w:val="004B7BF1"/>
    <w:rsid w:val="004C289F"/>
    <w:rsid w:val="004C4153"/>
    <w:rsid w:val="004C75B0"/>
    <w:rsid w:val="004D098C"/>
    <w:rsid w:val="004D194B"/>
    <w:rsid w:val="004D24A9"/>
    <w:rsid w:val="004E4DCF"/>
    <w:rsid w:val="004E5357"/>
    <w:rsid w:val="004F16DA"/>
    <w:rsid w:val="004F3613"/>
    <w:rsid w:val="004F41F1"/>
    <w:rsid w:val="004F4A07"/>
    <w:rsid w:val="004F4F41"/>
    <w:rsid w:val="004F5EB1"/>
    <w:rsid w:val="004F6887"/>
    <w:rsid w:val="00501E70"/>
    <w:rsid w:val="00502B1A"/>
    <w:rsid w:val="00502C0F"/>
    <w:rsid w:val="005030AD"/>
    <w:rsid w:val="00503DC3"/>
    <w:rsid w:val="0051249C"/>
    <w:rsid w:val="0051355D"/>
    <w:rsid w:val="00514ABC"/>
    <w:rsid w:val="00514D6A"/>
    <w:rsid w:val="00516F75"/>
    <w:rsid w:val="005176E7"/>
    <w:rsid w:val="00520330"/>
    <w:rsid w:val="00521900"/>
    <w:rsid w:val="00524B6B"/>
    <w:rsid w:val="005413EE"/>
    <w:rsid w:val="00547580"/>
    <w:rsid w:val="00551F5E"/>
    <w:rsid w:val="005546CC"/>
    <w:rsid w:val="00555BD8"/>
    <w:rsid w:val="0057150D"/>
    <w:rsid w:val="005723B2"/>
    <w:rsid w:val="00573297"/>
    <w:rsid w:val="00574B19"/>
    <w:rsid w:val="00577C23"/>
    <w:rsid w:val="00577FA0"/>
    <w:rsid w:val="00580AB7"/>
    <w:rsid w:val="00581901"/>
    <w:rsid w:val="00581AD1"/>
    <w:rsid w:val="00584461"/>
    <w:rsid w:val="00585EF7"/>
    <w:rsid w:val="00587443"/>
    <w:rsid w:val="00587C50"/>
    <w:rsid w:val="005917F3"/>
    <w:rsid w:val="005A0960"/>
    <w:rsid w:val="005B0ACD"/>
    <w:rsid w:val="005B24C2"/>
    <w:rsid w:val="005B29CC"/>
    <w:rsid w:val="005B50A2"/>
    <w:rsid w:val="005B5E47"/>
    <w:rsid w:val="005B7555"/>
    <w:rsid w:val="005C2A9D"/>
    <w:rsid w:val="005C3408"/>
    <w:rsid w:val="005D31E3"/>
    <w:rsid w:val="005D3D26"/>
    <w:rsid w:val="005D472F"/>
    <w:rsid w:val="005D611B"/>
    <w:rsid w:val="005E3595"/>
    <w:rsid w:val="005E59C0"/>
    <w:rsid w:val="005F1ACE"/>
    <w:rsid w:val="005F256D"/>
    <w:rsid w:val="005F4B2C"/>
    <w:rsid w:val="005F51F2"/>
    <w:rsid w:val="005F6D3B"/>
    <w:rsid w:val="0060183A"/>
    <w:rsid w:val="00603110"/>
    <w:rsid w:val="0060459F"/>
    <w:rsid w:val="00611C8E"/>
    <w:rsid w:val="006227D9"/>
    <w:rsid w:val="00624CAC"/>
    <w:rsid w:val="00625B6C"/>
    <w:rsid w:val="00630606"/>
    <w:rsid w:val="00631442"/>
    <w:rsid w:val="00631F30"/>
    <w:rsid w:val="00631F92"/>
    <w:rsid w:val="00635A7B"/>
    <w:rsid w:val="0064154B"/>
    <w:rsid w:val="00641A0F"/>
    <w:rsid w:val="00642420"/>
    <w:rsid w:val="00646158"/>
    <w:rsid w:val="00652CB5"/>
    <w:rsid w:val="00652CF7"/>
    <w:rsid w:val="0065563D"/>
    <w:rsid w:val="006639C7"/>
    <w:rsid w:val="0066622C"/>
    <w:rsid w:val="00666487"/>
    <w:rsid w:val="006738D0"/>
    <w:rsid w:val="00673B37"/>
    <w:rsid w:val="00673CFF"/>
    <w:rsid w:val="00676432"/>
    <w:rsid w:val="00676F8F"/>
    <w:rsid w:val="006826FB"/>
    <w:rsid w:val="006846BE"/>
    <w:rsid w:val="006865CC"/>
    <w:rsid w:val="00693B19"/>
    <w:rsid w:val="006945EA"/>
    <w:rsid w:val="006B1076"/>
    <w:rsid w:val="006B5470"/>
    <w:rsid w:val="006C0548"/>
    <w:rsid w:val="006C6945"/>
    <w:rsid w:val="006D0138"/>
    <w:rsid w:val="006D02EB"/>
    <w:rsid w:val="006D5787"/>
    <w:rsid w:val="006D61E1"/>
    <w:rsid w:val="006D6F52"/>
    <w:rsid w:val="006E4A3E"/>
    <w:rsid w:val="006F0CC1"/>
    <w:rsid w:val="00701718"/>
    <w:rsid w:val="00702E90"/>
    <w:rsid w:val="00710359"/>
    <w:rsid w:val="00712FFF"/>
    <w:rsid w:val="007170DC"/>
    <w:rsid w:val="00722DBF"/>
    <w:rsid w:val="00731CCA"/>
    <w:rsid w:val="00735157"/>
    <w:rsid w:val="007367C1"/>
    <w:rsid w:val="00737C4E"/>
    <w:rsid w:val="00740498"/>
    <w:rsid w:val="00741A23"/>
    <w:rsid w:val="00751F86"/>
    <w:rsid w:val="007530BD"/>
    <w:rsid w:val="0075674B"/>
    <w:rsid w:val="007579F0"/>
    <w:rsid w:val="0076153E"/>
    <w:rsid w:val="007667F8"/>
    <w:rsid w:val="00775490"/>
    <w:rsid w:val="00777F2B"/>
    <w:rsid w:val="007843B5"/>
    <w:rsid w:val="0078637C"/>
    <w:rsid w:val="0079174B"/>
    <w:rsid w:val="00791A38"/>
    <w:rsid w:val="007939B7"/>
    <w:rsid w:val="00795D0C"/>
    <w:rsid w:val="00797C35"/>
    <w:rsid w:val="007A3733"/>
    <w:rsid w:val="007A55BA"/>
    <w:rsid w:val="007B3453"/>
    <w:rsid w:val="007C0BF7"/>
    <w:rsid w:val="007C185D"/>
    <w:rsid w:val="007C1994"/>
    <w:rsid w:val="007C1FBD"/>
    <w:rsid w:val="007C3DFE"/>
    <w:rsid w:val="007D275D"/>
    <w:rsid w:val="007E009E"/>
    <w:rsid w:val="007E01F8"/>
    <w:rsid w:val="007E22F5"/>
    <w:rsid w:val="007F25F3"/>
    <w:rsid w:val="007F4901"/>
    <w:rsid w:val="00800B3F"/>
    <w:rsid w:val="00803143"/>
    <w:rsid w:val="00804325"/>
    <w:rsid w:val="00806DD1"/>
    <w:rsid w:val="00814B12"/>
    <w:rsid w:val="00815BC8"/>
    <w:rsid w:val="00827654"/>
    <w:rsid w:val="00832233"/>
    <w:rsid w:val="00836B02"/>
    <w:rsid w:val="008463FC"/>
    <w:rsid w:val="008467D4"/>
    <w:rsid w:val="00850FB0"/>
    <w:rsid w:val="0085230C"/>
    <w:rsid w:val="0085238E"/>
    <w:rsid w:val="008540EA"/>
    <w:rsid w:val="008564F5"/>
    <w:rsid w:val="00861DBC"/>
    <w:rsid w:val="00862285"/>
    <w:rsid w:val="00866A00"/>
    <w:rsid w:val="00866FEF"/>
    <w:rsid w:val="008702A6"/>
    <w:rsid w:val="0087102D"/>
    <w:rsid w:val="0087143E"/>
    <w:rsid w:val="008757CE"/>
    <w:rsid w:val="00876631"/>
    <w:rsid w:val="008777B3"/>
    <w:rsid w:val="0088392C"/>
    <w:rsid w:val="00892D5B"/>
    <w:rsid w:val="00897C0E"/>
    <w:rsid w:val="00897E31"/>
    <w:rsid w:val="008A046F"/>
    <w:rsid w:val="008A1236"/>
    <w:rsid w:val="008A405A"/>
    <w:rsid w:val="008A6A6A"/>
    <w:rsid w:val="008B169A"/>
    <w:rsid w:val="008B26D9"/>
    <w:rsid w:val="008B650A"/>
    <w:rsid w:val="008B787C"/>
    <w:rsid w:val="008B7AAE"/>
    <w:rsid w:val="008C3898"/>
    <w:rsid w:val="008C66CC"/>
    <w:rsid w:val="008D1CA8"/>
    <w:rsid w:val="008D7F27"/>
    <w:rsid w:val="008E0151"/>
    <w:rsid w:val="008E48B0"/>
    <w:rsid w:val="008E5F21"/>
    <w:rsid w:val="008E703D"/>
    <w:rsid w:val="008F292E"/>
    <w:rsid w:val="008F483C"/>
    <w:rsid w:val="008F7570"/>
    <w:rsid w:val="008F7E75"/>
    <w:rsid w:val="00903AE7"/>
    <w:rsid w:val="00904810"/>
    <w:rsid w:val="00911686"/>
    <w:rsid w:val="00912D61"/>
    <w:rsid w:val="0092299B"/>
    <w:rsid w:val="00923A59"/>
    <w:rsid w:val="00927206"/>
    <w:rsid w:val="009274F5"/>
    <w:rsid w:val="00927B02"/>
    <w:rsid w:val="00930042"/>
    <w:rsid w:val="009322D7"/>
    <w:rsid w:val="0093276F"/>
    <w:rsid w:val="00932BDE"/>
    <w:rsid w:val="00936B6C"/>
    <w:rsid w:val="00943B9A"/>
    <w:rsid w:val="009468D4"/>
    <w:rsid w:val="0095310D"/>
    <w:rsid w:val="00954281"/>
    <w:rsid w:val="00961C33"/>
    <w:rsid w:val="0096204C"/>
    <w:rsid w:val="00963F97"/>
    <w:rsid w:val="00964B85"/>
    <w:rsid w:val="00966AC3"/>
    <w:rsid w:val="0096704C"/>
    <w:rsid w:val="00967725"/>
    <w:rsid w:val="00967823"/>
    <w:rsid w:val="00973518"/>
    <w:rsid w:val="00974C4A"/>
    <w:rsid w:val="009777A3"/>
    <w:rsid w:val="009813A7"/>
    <w:rsid w:val="00981672"/>
    <w:rsid w:val="00982084"/>
    <w:rsid w:val="00987736"/>
    <w:rsid w:val="009902F8"/>
    <w:rsid w:val="00992CB3"/>
    <w:rsid w:val="009939FB"/>
    <w:rsid w:val="00993BB8"/>
    <w:rsid w:val="0099555F"/>
    <w:rsid w:val="00996AD8"/>
    <w:rsid w:val="009A08E9"/>
    <w:rsid w:val="009A11ED"/>
    <w:rsid w:val="009A22A1"/>
    <w:rsid w:val="009A448C"/>
    <w:rsid w:val="009B3A1B"/>
    <w:rsid w:val="009B6332"/>
    <w:rsid w:val="009C0912"/>
    <w:rsid w:val="009C29B6"/>
    <w:rsid w:val="009C5930"/>
    <w:rsid w:val="009C69AC"/>
    <w:rsid w:val="009C7B0D"/>
    <w:rsid w:val="009D0CC9"/>
    <w:rsid w:val="009D2F88"/>
    <w:rsid w:val="009D6694"/>
    <w:rsid w:val="009D69B7"/>
    <w:rsid w:val="009E2798"/>
    <w:rsid w:val="009E5B89"/>
    <w:rsid w:val="009F0300"/>
    <w:rsid w:val="009F4F92"/>
    <w:rsid w:val="00A03AA3"/>
    <w:rsid w:val="00A03BA5"/>
    <w:rsid w:val="00A03FD0"/>
    <w:rsid w:val="00A04DBB"/>
    <w:rsid w:val="00A06CAD"/>
    <w:rsid w:val="00A06DD1"/>
    <w:rsid w:val="00A167A8"/>
    <w:rsid w:val="00A21C58"/>
    <w:rsid w:val="00A21F0A"/>
    <w:rsid w:val="00A251B2"/>
    <w:rsid w:val="00A26011"/>
    <w:rsid w:val="00A36C86"/>
    <w:rsid w:val="00A37161"/>
    <w:rsid w:val="00A40A9D"/>
    <w:rsid w:val="00A41EDF"/>
    <w:rsid w:val="00A421DA"/>
    <w:rsid w:val="00A44B22"/>
    <w:rsid w:val="00A506C2"/>
    <w:rsid w:val="00A552B8"/>
    <w:rsid w:val="00A562BE"/>
    <w:rsid w:val="00A60BB0"/>
    <w:rsid w:val="00A62886"/>
    <w:rsid w:val="00A72668"/>
    <w:rsid w:val="00A74C38"/>
    <w:rsid w:val="00A77769"/>
    <w:rsid w:val="00A77D24"/>
    <w:rsid w:val="00A804FF"/>
    <w:rsid w:val="00A805CB"/>
    <w:rsid w:val="00A8083E"/>
    <w:rsid w:val="00A83614"/>
    <w:rsid w:val="00A83C00"/>
    <w:rsid w:val="00A8572F"/>
    <w:rsid w:val="00A93E07"/>
    <w:rsid w:val="00A967CC"/>
    <w:rsid w:val="00A979CF"/>
    <w:rsid w:val="00AA4DF8"/>
    <w:rsid w:val="00AB0ACF"/>
    <w:rsid w:val="00AB32C5"/>
    <w:rsid w:val="00AB62E2"/>
    <w:rsid w:val="00AB780C"/>
    <w:rsid w:val="00AC1FD2"/>
    <w:rsid w:val="00AC4B80"/>
    <w:rsid w:val="00AC5EB0"/>
    <w:rsid w:val="00AC6FF7"/>
    <w:rsid w:val="00AD2012"/>
    <w:rsid w:val="00AD35F1"/>
    <w:rsid w:val="00AD5ADE"/>
    <w:rsid w:val="00AE0587"/>
    <w:rsid w:val="00AE1C59"/>
    <w:rsid w:val="00AE4127"/>
    <w:rsid w:val="00AE7138"/>
    <w:rsid w:val="00AF1619"/>
    <w:rsid w:val="00AF4CAF"/>
    <w:rsid w:val="00AF7AD5"/>
    <w:rsid w:val="00B040B3"/>
    <w:rsid w:val="00B05053"/>
    <w:rsid w:val="00B07D0A"/>
    <w:rsid w:val="00B117BA"/>
    <w:rsid w:val="00B13E7A"/>
    <w:rsid w:val="00B20D87"/>
    <w:rsid w:val="00B4262D"/>
    <w:rsid w:val="00B436B5"/>
    <w:rsid w:val="00B4603F"/>
    <w:rsid w:val="00B5355A"/>
    <w:rsid w:val="00B539DA"/>
    <w:rsid w:val="00B54AA7"/>
    <w:rsid w:val="00B578AC"/>
    <w:rsid w:val="00B57D33"/>
    <w:rsid w:val="00B61067"/>
    <w:rsid w:val="00B62ADC"/>
    <w:rsid w:val="00B6433F"/>
    <w:rsid w:val="00B64CF5"/>
    <w:rsid w:val="00B72874"/>
    <w:rsid w:val="00B766F7"/>
    <w:rsid w:val="00B76C9B"/>
    <w:rsid w:val="00B823A1"/>
    <w:rsid w:val="00B82506"/>
    <w:rsid w:val="00B838B4"/>
    <w:rsid w:val="00B8428B"/>
    <w:rsid w:val="00B863DB"/>
    <w:rsid w:val="00B86474"/>
    <w:rsid w:val="00B97663"/>
    <w:rsid w:val="00BA11F7"/>
    <w:rsid w:val="00BA1D43"/>
    <w:rsid w:val="00BA41F5"/>
    <w:rsid w:val="00BB3C9C"/>
    <w:rsid w:val="00BC22A9"/>
    <w:rsid w:val="00BC23CC"/>
    <w:rsid w:val="00BD32FE"/>
    <w:rsid w:val="00BD3A92"/>
    <w:rsid w:val="00BD5AA3"/>
    <w:rsid w:val="00BD61FD"/>
    <w:rsid w:val="00BD7184"/>
    <w:rsid w:val="00BF4822"/>
    <w:rsid w:val="00C01D22"/>
    <w:rsid w:val="00C01FCC"/>
    <w:rsid w:val="00C05200"/>
    <w:rsid w:val="00C05777"/>
    <w:rsid w:val="00C058AF"/>
    <w:rsid w:val="00C104B6"/>
    <w:rsid w:val="00C10F02"/>
    <w:rsid w:val="00C114F4"/>
    <w:rsid w:val="00C11D03"/>
    <w:rsid w:val="00C24F60"/>
    <w:rsid w:val="00C258DD"/>
    <w:rsid w:val="00C2612E"/>
    <w:rsid w:val="00C27CDD"/>
    <w:rsid w:val="00C31967"/>
    <w:rsid w:val="00C319F9"/>
    <w:rsid w:val="00C371DE"/>
    <w:rsid w:val="00C37C8F"/>
    <w:rsid w:val="00C4070A"/>
    <w:rsid w:val="00C409AE"/>
    <w:rsid w:val="00C42D50"/>
    <w:rsid w:val="00C42ECC"/>
    <w:rsid w:val="00C44D0C"/>
    <w:rsid w:val="00C46491"/>
    <w:rsid w:val="00C53665"/>
    <w:rsid w:val="00C54DF8"/>
    <w:rsid w:val="00C54F94"/>
    <w:rsid w:val="00C60B49"/>
    <w:rsid w:val="00C614E2"/>
    <w:rsid w:val="00C65D77"/>
    <w:rsid w:val="00C65E70"/>
    <w:rsid w:val="00C67613"/>
    <w:rsid w:val="00C718BE"/>
    <w:rsid w:val="00C7440A"/>
    <w:rsid w:val="00C74584"/>
    <w:rsid w:val="00C75E31"/>
    <w:rsid w:val="00C84A85"/>
    <w:rsid w:val="00C85A74"/>
    <w:rsid w:val="00C865ED"/>
    <w:rsid w:val="00C8775A"/>
    <w:rsid w:val="00C90AD2"/>
    <w:rsid w:val="00C920F6"/>
    <w:rsid w:val="00CA0877"/>
    <w:rsid w:val="00CA2173"/>
    <w:rsid w:val="00CA2199"/>
    <w:rsid w:val="00CA27C9"/>
    <w:rsid w:val="00CA5FB8"/>
    <w:rsid w:val="00CA6815"/>
    <w:rsid w:val="00CA6B59"/>
    <w:rsid w:val="00CB3B6C"/>
    <w:rsid w:val="00CB554F"/>
    <w:rsid w:val="00CB7DD9"/>
    <w:rsid w:val="00CC1833"/>
    <w:rsid w:val="00CC189F"/>
    <w:rsid w:val="00CC3368"/>
    <w:rsid w:val="00CC5347"/>
    <w:rsid w:val="00CC6096"/>
    <w:rsid w:val="00CD0102"/>
    <w:rsid w:val="00CD0E9F"/>
    <w:rsid w:val="00CD62FE"/>
    <w:rsid w:val="00CE1E4F"/>
    <w:rsid w:val="00CF0ED1"/>
    <w:rsid w:val="00CF106F"/>
    <w:rsid w:val="00CF19C4"/>
    <w:rsid w:val="00CF5F99"/>
    <w:rsid w:val="00CF750B"/>
    <w:rsid w:val="00D01FE8"/>
    <w:rsid w:val="00D06176"/>
    <w:rsid w:val="00D066E8"/>
    <w:rsid w:val="00D12AFE"/>
    <w:rsid w:val="00D13C04"/>
    <w:rsid w:val="00D20499"/>
    <w:rsid w:val="00D20A78"/>
    <w:rsid w:val="00D23084"/>
    <w:rsid w:val="00D24A93"/>
    <w:rsid w:val="00D25680"/>
    <w:rsid w:val="00D278BA"/>
    <w:rsid w:val="00D27E95"/>
    <w:rsid w:val="00D27F37"/>
    <w:rsid w:val="00D30BB4"/>
    <w:rsid w:val="00D40454"/>
    <w:rsid w:val="00D4059C"/>
    <w:rsid w:val="00D53D8F"/>
    <w:rsid w:val="00D555E5"/>
    <w:rsid w:val="00D60717"/>
    <w:rsid w:val="00D61C76"/>
    <w:rsid w:val="00D66AE4"/>
    <w:rsid w:val="00D74C91"/>
    <w:rsid w:val="00D77015"/>
    <w:rsid w:val="00D81D1B"/>
    <w:rsid w:val="00D91201"/>
    <w:rsid w:val="00D92B48"/>
    <w:rsid w:val="00D938AB"/>
    <w:rsid w:val="00DB0071"/>
    <w:rsid w:val="00DB1693"/>
    <w:rsid w:val="00DB1B79"/>
    <w:rsid w:val="00DB4173"/>
    <w:rsid w:val="00DC7729"/>
    <w:rsid w:val="00DD1AEB"/>
    <w:rsid w:val="00DD21E8"/>
    <w:rsid w:val="00DD3CB6"/>
    <w:rsid w:val="00DD4DB9"/>
    <w:rsid w:val="00DD5B07"/>
    <w:rsid w:val="00DE1117"/>
    <w:rsid w:val="00DE6821"/>
    <w:rsid w:val="00DF2022"/>
    <w:rsid w:val="00DF2DB8"/>
    <w:rsid w:val="00DF34B8"/>
    <w:rsid w:val="00DF34BE"/>
    <w:rsid w:val="00DF5D59"/>
    <w:rsid w:val="00DF70E3"/>
    <w:rsid w:val="00DF7EFB"/>
    <w:rsid w:val="00E03692"/>
    <w:rsid w:val="00E03CD6"/>
    <w:rsid w:val="00E14115"/>
    <w:rsid w:val="00E20313"/>
    <w:rsid w:val="00E21EBF"/>
    <w:rsid w:val="00E2255A"/>
    <w:rsid w:val="00E239E4"/>
    <w:rsid w:val="00E23B2C"/>
    <w:rsid w:val="00E26DE5"/>
    <w:rsid w:val="00E352B9"/>
    <w:rsid w:val="00E36A38"/>
    <w:rsid w:val="00E3798B"/>
    <w:rsid w:val="00E42D6B"/>
    <w:rsid w:val="00E4625D"/>
    <w:rsid w:val="00E52B38"/>
    <w:rsid w:val="00E53399"/>
    <w:rsid w:val="00E54144"/>
    <w:rsid w:val="00E6537F"/>
    <w:rsid w:val="00E774BB"/>
    <w:rsid w:val="00E77995"/>
    <w:rsid w:val="00E87099"/>
    <w:rsid w:val="00E9605A"/>
    <w:rsid w:val="00E97939"/>
    <w:rsid w:val="00EA28E6"/>
    <w:rsid w:val="00EA2E41"/>
    <w:rsid w:val="00EA4734"/>
    <w:rsid w:val="00EA7941"/>
    <w:rsid w:val="00EB0D52"/>
    <w:rsid w:val="00EB20CA"/>
    <w:rsid w:val="00EB4975"/>
    <w:rsid w:val="00EB77B2"/>
    <w:rsid w:val="00EB78AE"/>
    <w:rsid w:val="00EC5D62"/>
    <w:rsid w:val="00EC6B6E"/>
    <w:rsid w:val="00ED00F2"/>
    <w:rsid w:val="00ED0C17"/>
    <w:rsid w:val="00ED1AF6"/>
    <w:rsid w:val="00ED425A"/>
    <w:rsid w:val="00EE1016"/>
    <w:rsid w:val="00EE134B"/>
    <w:rsid w:val="00EE1CE8"/>
    <w:rsid w:val="00EF0BCE"/>
    <w:rsid w:val="00EF0FAE"/>
    <w:rsid w:val="00EF1EC0"/>
    <w:rsid w:val="00EF3912"/>
    <w:rsid w:val="00EF4C26"/>
    <w:rsid w:val="00EF78C4"/>
    <w:rsid w:val="00F03F0A"/>
    <w:rsid w:val="00F04B96"/>
    <w:rsid w:val="00F04CD7"/>
    <w:rsid w:val="00F058D9"/>
    <w:rsid w:val="00F12898"/>
    <w:rsid w:val="00F14A7B"/>
    <w:rsid w:val="00F14EB5"/>
    <w:rsid w:val="00F17F96"/>
    <w:rsid w:val="00F23E15"/>
    <w:rsid w:val="00F244A2"/>
    <w:rsid w:val="00F24FC3"/>
    <w:rsid w:val="00F31AED"/>
    <w:rsid w:val="00F328AC"/>
    <w:rsid w:val="00F35064"/>
    <w:rsid w:val="00F374D8"/>
    <w:rsid w:val="00F40346"/>
    <w:rsid w:val="00F40EFF"/>
    <w:rsid w:val="00F53593"/>
    <w:rsid w:val="00F56091"/>
    <w:rsid w:val="00F5684D"/>
    <w:rsid w:val="00F57AB6"/>
    <w:rsid w:val="00F628B5"/>
    <w:rsid w:val="00F640E2"/>
    <w:rsid w:val="00F6480F"/>
    <w:rsid w:val="00F6547E"/>
    <w:rsid w:val="00F6561F"/>
    <w:rsid w:val="00F664CB"/>
    <w:rsid w:val="00F84A3A"/>
    <w:rsid w:val="00F86713"/>
    <w:rsid w:val="00F90F41"/>
    <w:rsid w:val="00F932E0"/>
    <w:rsid w:val="00F941EA"/>
    <w:rsid w:val="00F968C6"/>
    <w:rsid w:val="00FA16D1"/>
    <w:rsid w:val="00FA45E7"/>
    <w:rsid w:val="00FA67C5"/>
    <w:rsid w:val="00FB2EB0"/>
    <w:rsid w:val="00FB652D"/>
    <w:rsid w:val="00FB7701"/>
    <w:rsid w:val="00FC1703"/>
    <w:rsid w:val="00FC25CA"/>
    <w:rsid w:val="00FC36C9"/>
    <w:rsid w:val="00FC40F0"/>
    <w:rsid w:val="00FC6838"/>
    <w:rsid w:val="00FC6D3B"/>
    <w:rsid w:val="00FD0129"/>
    <w:rsid w:val="00FD0173"/>
    <w:rsid w:val="00FD5CF7"/>
    <w:rsid w:val="00FD5E5D"/>
    <w:rsid w:val="00FE17ED"/>
    <w:rsid w:val="00FE63C4"/>
    <w:rsid w:val="00FE7E3F"/>
    <w:rsid w:val="00FF2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5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1">
    <w:name w:val="heading 1"/>
    <w:basedOn w:val="Normal"/>
    <w:next w:val="Normal"/>
    <w:link w:val="Heading1Char"/>
    <w:qFormat/>
    <w:rsid w:val="00C85A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964B85"/>
  </w:style>
  <w:style w:type="character" w:customStyle="1" w:styleId="Heading2Char">
    <w:name w:val="Heading 2 Char"/>
    <w:basedOn w:val="DefaultParagraphFont"/>
    <w:link w:val="Heading2"/>
    <w:rsid w:val="00BC23CC"/>
    <w:rPr>
      <w:rFonts w:ascii="Arial" w:hAnsi="Arial"/>
      <w:b/>
      <w:sz w:val="22"/>
    </w:rPr>
  </w:style>
  <w:style w:type="paragraph" w:customStyle="1" w:styleId="Tablea">
    <w:name w:val="Table(a)"/>
    <w:aliases w:val="ta"/>
    <w:basedOn w:val="Normal"/>
    <w:rsid w:val="00580AB7"/>
    <w:pPr>
      <w:spacing w:before="60"/>
      <w:ind w:left="284" w:hanging="284"/>
    </w:pPr>
    <w:rPr>
      <w:sz w:val="20"/>
    </w:rPr>
  </w:style>
  <w:style w:type="paragraph" w:customStyle="1" w:styleId="Tablei">
    <w:name w:val="Table(i)"/>
    <w:aliases w:val="taa"/>
    <w:basedOn w:val="Normal"/>
    <w:rsid w:val="00580AB7"/>
    <w:pPr>
      <w:tabs>
        <w:tab w:val="left" w:pos="-6543"/>
        <w:tab w:val="left" w:pos="-6260"/>
        <w:tab w:val="right" w:pos="970"/>
      </w:tabs>
      <w:spacing w:line="240" w:lineRule="exact"/>
      <w:ind w:left="828" w:hanging="284"/>
    </w:pPr>
    <w:rPr>
      <w:sz w:val="20"/>
    </w:rPr>
  </w:style>
  <w:style w:type="character" w:customStyle="1" w:styleId="Heading1Char">
    <w:name w:val="Heading 1 Char"/>
    <w:basedOn w:val="DefaultParagraphFont"/>
    <w:link w:val="Heading1"/>
    <w:rsid w:val="00C85A7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C85A74"/>
    <w:rPr>
      <w:sz w:val="24"/>
    </w:rPr>
  </w:style>
  <w:style w:type="character" w:customStyle="1" w:styleId="HeaderChar">
    <w:name w:val="Header Char"/>
    <w:basedOn w:val="DefaultParagraphFont"/>
    <w:link w:val="Header"/>
    <w:rsid w:val="00025A97"/>
    <w:rPr>
      <w:sz w:val="24"/>
    </w:rPr>
  </w:style>
  <w:style w:type="character" w:styleId="UnresolvedMention">
    <w:name w:val="Unresolved Mention"/>
    <w:basedOn w:val="DefaultParagraphFont"/>
    <w:uiPriority w:val="99"/>
    <w:semiHidden/>
    <w:unhideWhenUsed/>
    <w:rsid w:val="00EC5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97342">
      <w:bodyDiv w:val="1"/>
      <w:marLeft w:val="0"/>
      <w:marRight w:val="0"/>
      <w:marTop w:val="0"/>
      <w:marBottom w:val="0"/>
      <w:divBdr>
        <w:top w:val="none" w:sz="0" w:space="0" w:color="auto"/>
        <w:left w:val="none" w:sz="0" w:space="0" w:color="auto"/>
        <w:bottom w:val="none" w:sz="0" w:space="0" w:color="auto"/>
        <w:right w:val="none" w:sz="0" w:space="0" w:color="auto"/>
      </w:divBdr>
      <w:divsChild>
        <w:div w:id="804392547">
          <w:marLeft w:val="0"/>
          <w:marRight w:val="0"/>
          <w:marTop w:val="0"/>
          <w:marBottom w:val="0"/>
          <w:divBdr>
            <w:top w:val="none" w:sz="0" w:space="0" w:color="auto"/>
            <w:left w:val="none" w:sz="0" w:space="0" w:color="auto"/>
            <w:bottom w:val="none" w:sz="0" w:space="0" w:color="auto"/>
            <w:right w:val="none" w:sz="0" w:space="0" w:color="auto"/>
          </w:divBdr>
        </w:div>
        <w:div w:id="507138308">
          <w:marLeft w:val="0"/>
          <w:marRight w:val="0"/>
          <w:marTop w:val="0"/>
          <w:marBottom w:val="0"/>
          <w:divBdr>
            <w:top w:val="none" w:sz="0" w:space="0" w:color="auto"/>
            <w:left w:val="none" w:sz="0" w:space="0" w:color="auto"/>
            <w:bottom w:val="none" w:sz="0" w:space="0" w:color="auto"/>
            <w:right w:val="none" w:sz="0" w:space="0" w:color="auto"/>
          </w:divBdr>
          <w:divsChild>
            <w:div w:id="790517376">
              <w:marLeft w:val="0"/>
              <w:marRight w:val="0"/>
              <w:marTop w:val="0"/>
              <w:marBottom w:val="0"/>
              <w:divBdr>
                <w:top w:val="none" w:sz="0" w:space="0" w:color="auto"/>
                <w:left w:val="none" w:sz="0" w:space="0" w:color="auto"/>
                <w:bottom w:val="none" w:sz="0" w:space="0" w:color="auto"/>
                <w:right w:val="none" w:sz="0" w:space="0" w:color="auto"/>
              </w:divBdr>
            </w:div>
          </w:divsChild>
        </w:div>
        <w:div w:id="1427384624">
          <w:marLeft w:val="0"/>
          <w:marRight w:val="0"/>
          <w:marTop w:val="0"/>
          <w:marBottom w:val="0"/>
          <w:divBdr>
            <w:top w:val="none" w:sz="0" w:space="0" w:color="auto"/>
            <w:left w:val="none" w:sz="0" w:space="0" w:color="auto"/>
            <w:bottom w:val="none" w:sz="0" w:space="0" w:color="auto"/>
            <w:right w:val="none" w:sz="0" w:space="0" w:color="auto"/>
          </w:divBdr>
          <w:divsChild>
            <w:div w:id="833451921">
              <w:marLeft w:val="0"/>
              <w:marRight w:val="0"/>
              <w:marTop w:val="0"/>
              <w:marBottom w:val="0"/>
              <w:divBdr>
                <w:top w:val="none" w:sz="0" w:space="0" w:color="auto"/>
                <w:left w:val="none" w:sz="0" w:space="0" w:color="auto"/>
                <w:bottom w:val="none" w:sz="0" w:space="0" w:color="auto"/>
                <w:right w:val="none" w:sz="0" w:space="0" w:color="auto"/>
              </w:divBdr>
              <w:divsChild>
                <w:div w:id="102697455">
                  <w:marLeft w:val="0"/>
                  <w:marRight w:val="0"/>
                  <w:marTop w:val="0"/>
                  <w:marBottom w:val="0"/>
                  <w:divBdr>
                    <w:top w:val="none" w:sz="0" w:space="0" w:color="auto"/>
                    <w:left w:val="none" w:sz="0" w:space="0" w:color="auto"/>
                    <w:bottom w:val="none" w:sz="0" w:space="0" w:color="auto"/>
                    <w:right w:val="none" w:sz="0" w:space="0" w:color="auto"/>
                  </w:divBdr>
                  <w:divsChild>
                    <w:div w:id="1062212409">
                      <w:marLeft w:val="0"/>
                      <w:marRight w:val="0"/>
                      <w:marTop w:val="0"/>
                      <w:marBottom w:val="0"/>
                      <w:divBdr>
                        <w:top w:val="none" w:sz="0" w:space="0" w:color="auto"/>
                        <w:left w:val="none" w:sz="0" w:space="0" w:color="auto"/>
                        <w:bottom w:val="none" w:sz="0" w:space="0" w:color="auto"/>
                        <w:right w:val="none" w:sz="0" w:space="0" w:color="auto"/>
                      </w:divBdr>
                      <w:divsChild>
                        <w:div w:id="25371285">
                          <w:marLeft w:val="0"/>
                          <w:marRight w:val="0"/>
                          <w:marTop w:val="0"/>
                          <w:marBottom w:val="0"/>
                          <w:divBdr>
                            <w:top w:val="none" w:sz="0" w:space="0" w:color="auto"/>
                            <w:left w:val="none" w:sz="0" w:space="0" w:color="auto"/>
                            <w:bottom w:val="none" w:sz="0" w:space="0" w:color="auto"/>
                            <w:right w:val="none" w:sz="0" w:space="0" w:color="auto"/>
                          </w:divBdr>
                          <w:divsChild>
                            <w:div w:id="445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1293">
                      <w:marLeft w:val="0"/>
                      <w:marRight w:val="0"/>
                      <w:marTop w:val="0"/>
                      <w:marBottom w:val="0"/>
                      <w:divBdr>
                        <w:top w:val="none" w:sz="0" w:space="0" w:color="auto"/>
                        <w:left w:val="none" w:sz="0" w:space="0" w:color="auto"/>
                        <w:bottom w:val="none" w:sz="0" w:space="0" w:color="auto"/>
                        <w:right w:val="none" w:sz="0" w:space="0" w:color="auto"/>
                      </w:divBdr>
                      <w:divsChild>
                        <w:div w:id="6759069">
                          <w:marLeft w:val="0"/>
                          <w:marRight w:val="0"/>
                          <w:marTop w:val="0"/>
                          <w:marBottom w:val="0"/>
                          <w:divBdr>
                            <w:top w:val="none" w:sz="0" w:space="0" w:color="auto"/>
                            <w:left w:val="none" w:sz="0" w:space="0" w:color="auto"/>
                            <w:bottom w:val="none" w:sz="0" w:space="0" w:color="auto"/>
                            <w:right w:val="none" w:sz="0" w:space="0" w:color="auto"/>
                          </w:divBdr>
                          <w:divsChild>
                            <w:div w:id="1736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315">
                      <w:marLeft w:val="0"/>
                      <w:marRight w:val="0"/>
                      <w:marTop w:val="0"/>
                      <w:marBottom w:val="0"/>
                      <w:divBdr>
                        <w:top w:val="none" w:sz="0" w:space="0" w:color="auto"/>
                        <w:left w:val="none" w:sz="0" w:space="0" w:color="auto"/>
                        <w:bottom w:val="none" w:sz="0" w:space="0" w:color="auto"/>
                        <w:right w:val="none" w:sz="0" w:space="0" w:color="auto"/>
                      </w:divBdr>
                      <w:divsChild>
                        <w:div w:id="911623472">
                          <w:marLeft w:val="0"/>
                          <w:marRight w:val="0"/>
                          <w:marTop w:val="0"/>
                          <w:marBottom w:val="0"/>
                          <w:divBdr>
                            <w:top w:val="none" w:sz="0" w:space="0" w:color="auto"/>
                            <w:left w:val="none" w:sz="0" w:space="0" w:color="auto"/>
                            <w:bottom w:val="none" w:sz="0" w:space="0" w:color="auto"/>
                            <w:right w:val="none" w:sz="0" w:space="0" w:color="auto"/>
                          </w:divBdr>
                          <w:divsChild>
                            <w:div w:id="9049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11105">
              <w:marLeft w:val="0"/>
              <w:marRight w:val="0"/>
              <w:marTop w:val="0"/>
              <w:marBottom w:val="0"/>
              <w:divBdr>
                <w:top w:val="none" w:sz="0" w:space="0" w:color="auto"/>
                <w:left w:val="none" w:sz="0" w:space="0" w:color="auto"/>
                <w:bottom w:val="none" w:sz="0" w:space="0" w:color="auto"/>
                <w:right w:val="none" w:sz="0" w:space="0" w:color="auto"/>
              </w:divBdr>
              <w:divsChild>
                <w:div w:id="622005360">
                  <w:marLeft w:val="0"/>
                  <w:marRight w:val="0"/>
                  <w:marTop w:val="0"/>
                  <w:marBottom w:val="0"/>
                  <w:divBdr>
                    <w:top w:val="none" w:sz="0" w:space="0" w:color="auto"/>
                    <w:left w:val="none" w:sz="0" w:space="0" w:color="auto"/>
                    <w:bottom w:val="none" w:sz="0" w:space="0" w:color="auto"/>
                    <w:right w:val="none" w:sz="0" w:space="0" w:color="auto"/>
                  </w:divBdr>
                  <w:divsChild>
                    <w:div w:id="309211440">
                      <w:marLeft w:val="0"/>
                      <w:marRight w:val="0"/>
                      <w:marTop w:val="0"/>
                      <w:marBottom w:val="0"/>
                      <w:divBdr>
                        <w:top w:val="none" w:sz="0" w:space="0" w:color="auto"/>
                        <w:left w:val="none" w:sz="0" w:space="0" w:color="auto"/>
                        <w:bottom w:val="none" w:sz="0" w:space="0" w:color="auto"/>
                        <w:right w:val="none" w:sz="0" w:space="0" w:color="auto"/>
                      </w:divBdr>
                    </w:div>
                    <w:div w:id="50229248">
                      <w:marLeft w:val="0"/>
                      <w:marRight w:val="0"/>
                      <w:marTop w:val="0"/>
                      <w:marBottom w:val="0"/>
                      <w:divBdr>
                        <w:top w:val="none" w:sz="0" w:space="0" w:color="auto"/>
                        <w:left w:val="none" w:sz="0" w:space="0" w:color="auto"/>
                        <w:bottom w:val="none" w:sz="0" w:space="0" w:color="auto"/>
                        <w:right w:val="none" w:sz="0" w:space="0" w:color="auto"/>
                      </w:divBdr>
                    </w:div>
                    <w:div w:id="1751148642">
                      <w:marLeft w:val="0"/>
                      <w:marRight w:val="0"/>
                      <w:marTop w:val="0"/>
                      <w:marBottom w:val="0"/>
                      <w:divBdr>
                        <w:top w:val="none" w:sz="0" w:space="0" w:color="auto"/>
                        <w:left w:val="none" w:sz="0" w:space="0" w:color="auto"/>
                        <w:bottom w:val="none" w:sz="0" w:space="0" w:color="auto"/>
                        <w:right w:val="none" w:sz="0" w:space="0" w:color="auto"/>
                      </w:divBdr>
                    </w:div>
                  </w:divsChild>
                </w:div>
                <w:div w:id="1802650734">
                  <w:marLeft w:val="0"/>
                  <w:marRight w:val="0"/>
                  <w:marTop w:val="0"/>
                  <w:marBottom w:val="0"/>
                  <w:divBdr>
                    <w:top w:val="none" w:sz="0" w:space="0" w:color="auto"/>
                    <w:left w:val="none" w:sz="0" w:space="0" w:color="auto"/>
                    <w:bottom w:val="none" w:sz="0" w:space="0" w:color="auto"/>
                    <w:right w:val="none" w:sz="0" w:space="0" w:color="auto"/>
                  </w:divBdr>
                  <w:divsChild>
                    <w:div w:id="360517542">
                      <w:marLeft w:val="0"/>
                      <w:marRight w:val="0"/>
                      <w:marTop w:val="0"/>
                      <w:marBottom w:val="0"/>
                      <w:divBdr>
                        <w:top w:val="none" w:sz="0" w:space="0" w:color="auto"/>
                        <w:left w:val="none" w:sz="0" w:space="0" w:color="auto"/>
                        <w:bottom w:val="none" w:sz="0" w:space="0" w:color="auto"/>
                        <w:right w:val="none" w:sz="0" w:space="0" w:color="auto"/>
                      </w:divBdr>
                      <w:divsChild>
                        <w:div w:id="1330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128224">
      <w:bodyDiv w:val="1"/>
      <w:marLeft w:val="0"/>
      <w:marRight w:val="0"/>
      <w:marTop w:val="0"/>
      <w:marBottom w:val="0"/>
      <w:divBdr>
        <w:top w:val="none" w:sz="0" w:space="0" w:color="auto"/>
        <w:left w:val="none" w:sz="0" w:space="0" w:color="auto"/>
        <w:bottom w:val="none" w:sz="0" w:space="0" w:color="auto"/>
        <w:right w:val="none" w:sz="0" w:space="0" w:color="auto"/>
      </w:divBdr>
    </w:div>
    <w:div w:id="881748787">
      <w:bodyDiv w:val="1"/>
      <w:marLeft w:val="0"/>
      <w:marRight w:val="0"/>
      <w:marTop w:val="0"/>
      <w:marBottom w:val="0"/>
      <w:divBdr>
        <w:top w:val="none" w:sz="0" w:space="0" w:color="auto"/>
        <w:left w:val="none" w:sz="0" w:space="0" w:color="auto"/>
        <w:bottom w:val="none" w:sz="0" w:space="0" w:color="auto"/>
        <w:right w:val="none" w:sz="0" w:space="0" w:color="auto"/>
      </w:divBdr>
    </w:div>
    <w:div w:id="978000376">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76921648">
      <w:bodyDiv w:val="1"/>
      <w:marLeft w:val="0"/>
      <w:marRight w:val="0"/>
      <w:marTop w:val="0"/>
      <w:marBottom w:val="0"/>
      <w:divBdr>
        <w:top w:val="none" w:sz="0" w:space="0" w:color="auto"/>
        <w:left w:val="none" w:sz="0" w:space="0" w:color="auto"/>
        <w:bottom w:val="none" w:sz="0" w:space="0" w:color="auto"/>
        <w:right w:val="none" w:sz="0" w:space="0" w:color="auto"/>
      </w:divBdr>
    </w:div>
    <w:div w:id="1525946809">
      <w:bodyDiv w:val="1"/>
      <w:marLeft w:val="0"/>
      <w:marRight w:val="0"/>
      <w:marTop w:val="0"/>
      <w:marBottom w:val="0"/>
      <w:divBdr>
        <w:top w:val="none" w:sz="0" w:space="0" w:color="auto"/>
        <w:left w:val="none" w:sz="0" w:space="0" w:color="auto"/>
        <w:bottom w:val="none" w:sz="0" w:space="0" w:color="auto"/>
        <w:right w:val="none" w:sz="0" w:space="0" w:color="auto"/>
      </w:divBdr>
    </w:div>
    <w:div w:id="1948460921">
      <w:bodyDiv w:val="1"/>
      <w:marLeft w:val="0"/>
      <w:marRight w:val="0"/>
      <w:marTop w:val="0"/>
      <w:marBottom w:val="0"/>
      <w:divBdr>
        <w:top w:val="none" w:sz="0" w:space="0" w:color="auto"/>
        <w:left w:val="none" w:sz="0" w:space="0" w:color="auto"/>
        <w:bottom w:val="none" w:sz="0" w:space="0" w:color="auto"/>
        <w:right w:val="none" w:sz="0" w:space="0" w:color="auto"/>
      </w:divBdr>
      <w:divsChild>
        <w:div w:id="2002849139">
          <w:marLeft w:val="0"/>
          <w:marRight w:val="0"/>
          <w:marTop w:val="0"/>
          <w:marBottom w:val="0"/>
          <w:divBdr>
            <w:top w:val="none" w:sz="0" w:space="0" w:color="auto"/>
            <w:left w:val="none" w:sz="0" w:space="0" w:color="auto"/>
            <w:bottom w:val="none" w:sz="0" w:space="0" w:color="auto"/>
            <w:right w:val="none" w:sz="0" w:space="0" w:color="auto"/>
          </w:divBdr>
        </w:div>
        <w:div w:id="279999119">
          <w:marLeft w:val="0"/>
          <w:marRight w:val="0"/>
          <w:marTop w:val="0"/>
          <w:marBottom w:val="0"/>
          <w:divBdr>
            <w:top w:val="none" w:sz="0" w:space="0" w:color="auto"/>
            <w:left w:val="none" w:sz="0" w:space="0" w:color="auto"/>
            <w:bottom w:val="none" w:sz="0" w:space="0" w:color="auto"/>
            <w:right w:val="none" w:sz="0" w:space="0" w:color="auto"/>
          </w:divBdr>
          <w:divsChild>
            <w:div w:id="524904042">
              <w:marLeft w:val="0"/>
              <w:marRight w:val="0"/>
              <w:marTop w:val="0"/>
              <w:marBottom w:val="0"/>
              <w:divBdr>
                <w:top w:val="none" w:sz="0" w:space="0" w:color="auto"/>
                <w:left w:val="none" w:sz="0" w:space="0" w:color="auto"/>
                <w:bottom w:val="none" w:sz="0" w:space="0" w:color="auto"/>
                <w:right w:val="none" w:sz="0" w:space="0" w:color="auto"/>
              </w:divBdr>
            </w:div>
          </w:divsChild>
        </w:div>
        <w:div w:id="138696573">
          <w:marLeft w:val="0"/>
          <w:marRight w:val="0"/>
          <w:marTop w:val="0"/>
          <w:marBottom w:val="0"/>
          <w:divBdr>
            <w:top w:val="none" w:sz="0" w:space="0" w:color="auto"/>
            <w:left w:val="none" w:sz="0" w:space="0" w:color="auto"/>
            <w:bottom w:val="none" w:sz="0" w:space="0" w:color="auto"/>
            <w:right w:val="none" w:sz="0" w:space="0" w:color="auto"/>
          </w:divBdr>
          <w:divsChild>
            <w:div w:id="50078475">
              <w:marLeft w:val="0"/>
              <w:marRight w:val="0"/>
              <w:marTop w:val="0"/>
              <w:marBottom w:val="0"/>
              <w:divBdr>
                <w:top w:val="none" w:sz="0" w:space="0" w:color="auto"/>
                <w:left w:val="none" w:sz="0" w:space="0" w:color="auto"/>
                <w:bottom w:val="none" w:sz="0" w:space="0" w:color="auto"/>
                <w:right w:val="none" w:sz="0" w:space="0" w:color="auto"/>
              </w:divBdr>
              <w:divsChild>
                <w:div w:id="1526216581">
                  <w:marLeft w:val="0"/>
                  <w:marRight w:val="0"/>
                  <w:marTop w:val="0"/>
                  <w:marBottom w:val="0"/>
                  <w:divBdr>
                    <w:top w:val="none" w:sz="0" w:space="0" w:color="auto"/>
                    <w:left w:val="none" w:sz="0" w:space="0" w:color="auto"/>
                    <w:bottom w:val="none" w:sz="0" w:space="0" w:color="auto"/>
                    <w:right w:val="none" w:sz="0" w:space="0" w:color="auto"/>
                  </w:divBdr>
                  <w:divsChild>
                    <w:div w:id="2095660104">
                      <w:marLeft w:val="0"/>
                      <w:marRight w:val="0"/>
                      <w:marTop w:val="0"/>
                      <w:marBottom w:val="0"/>
                      <w:divBdr>
                        <w:top w:val="none" w:sz="0" w:space="0" w:color="auto"/>
                        <w:left w:val="none" w:sz="0" w:space="0" w:color="auto"/>
                        <w:bottom w:val="none" w:sz="0" w:space="0" w:color="auto"/>
                        <w:right w:val="none" w:sz="0" w:space="0" w:color="auto"/>
                      </w:divBdr>
                      <w:divsChild>
                        <w:div w:id="1012758333">
                          <w:marLeft w:val="0"/>
                          <w:marRight w:val="0"/>
                          <w:marTop w:val="0"/>
                          <w:marBottom w:val="0"/>
                          <w:divBdr>
                            <w:top w:val="none" w:sz="0" w:space="0" w:color="auto"/>
                            <w:left w:val="none" w:sz="0" w:space="0" w:color="auto"/>
                            <w:bottom w:val="none" w:sz="0" w:space="0" w:color="auto"/>
                            <w:right w:val="none" w:sz="0" w:space="0" w:color="auto"/>
                          </w:divBdr>
                          <w:divsChild>
                            <w:div w:id="6765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783">
                      <w:marLeft w:val="0"/>
                      <w:marRight w:val="0"/>
                      <w:marTop w:val="0"/>
                      <w:marBottom w:val="0"/>
                      <w:divBdr>
                        <w:top w:val="none" w:sz="0" w:space="0" w:color="auto"/>
                        <w:left w:val="none" w:sz="0" w:space="0" w:color="auto"/>
                        <w:bottom w:val="none" w:sz="0" w:space="0" w:color="auto"/>
                        <w:right w:val="none" w:sz="0" w:space="0" w:color="auto"/>
                      </w:divBdr>
                      <w:divsChild>
                        <w:div w:id="384446809">
                          <w:marLeft w:val="0"/>
                          <w:marRight w:val="0"/>
                          <w:marTop w:val="0"/>
                          <w:marBottom w:val="0"/>
                          <w:divBdr>
                            <w:top w:val="none" w:sz="0" w:space="0" w:color="auto"/>
                            <w:left w:val="none" w:sz="0" w:space="0" w:color="auto"/>
                            <w:bottom w:val="none" w:sz="0" w:space="0" w:color="auto"/>
                            <w:right w:val="none" w:sz="0" w:space="0" w:color="auto"/>
                          </w:divBdr>
                          <w:divsChild>
                            <w:div w:id="10888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30760">
                      <w:marLeft w:val="0"/>
                      <w:marRight w:val="0"/>
                      <w:marTop w:val="0"/>
                      <w:marBottom w:val="0"/>
                      <w:divBdr>
                        <w:top w:val="none" w:sz="0" w:space="0" w:color="auto"/>
                        <w:left w:val="none" w:sz="0" w:space="0" w:color="auto"/>
                        <w:bottom w:val="none" w:sz="0" w:space="0" w:color="auto"/>
                        <w:right w:val="none" w:sz="0" w:space="0" w:color="auto"/>
                      </w:divBdr>
                      <w:divsChild>
                        <w:div w:id="1740783019">
                          <w:marLeft w:val="0"/>
                          <w:marRight w:val="0"/>
                          <w:marTop w:val="0"/>
                          <w:marBottom w:val="0"/>
                          <w:divBdr>
                            <w:top w:val="none" w:sz="0" w:space="0" w:color="auto"/>
                            <w:left w:val="none" w:sz="0" w:space="0" w:color="auto"/>
                            <w:bottom w:val="none" w:sz="0" w:space="0" w:color="auto"/>
                            <w:right w:val="none" w:sz="0" w:space="0" w:color="auto"/>
                          </w:divBdr>
                          <w:divsChild>
                            <w:div w:id="15159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7733">
              <w:marLeft w:val="0"/>
              <w:marRight w:val="0"/>
              <w:marTop w:val="0"/>
              <w:marBottom w:val="0"/>
              <w:divBdr>
                <w:top w:val="none" w:sz="0" w:space="0" w:color="auto"/>
                <w:left w:val="none" w:sz="0" w:space="0" w:color="auto"/>
                <w:bottom w:val="none" w:sz="0" w:space="0" w:color="auto"/>
                <w:right w:val="none" w:sz="0" w:space="0" w:color="auto"/>
              </w:divBdr>
              <w:divsChild>
                <w:div w:id="425156672">
                  <w:marLeft w:val="0"/>
                  <w:marRight w:val="0"/>
                  <w:marTop w:val="0"/>
                  <w:marBottom w:val="0"/>
                  <w:divBdr>
                    <w:top w:val="none" w:sz="0" w:space="0" w:color="auto"/>
                    <w:left w:val="none" w:sz="0" w:space="0" w:color="auto"/>
                    <w:bottom w:val="none" w:sz="0" w:space="0" w:color="auto"/>
                    <w:right w:val="none" w:sz="0" w:space="0" w:color="auto"/>
                  </w:divBdr>
                  <w:divsChild>
                    <w:div w:id="1866169607">
                      <w:marLeft w:val="0"/>
                      <w:marRight w:val="0"/>
                      <w:marTop w:val="0"/>
                      <w:marBottom w:val="0"/>
                      <w:divBdr>
                        <w:top w:val="none" w:sz="0" w:space="0" w:color="auto"/>
                        <w:left w:val="none" w:sz="0" w:space="0" w:color="auto"/>
                        <w:bottom w:val="none" w:sz="0" w:space="0" w:color="auto"/>
                        <w:right w:val="none" w:sz="0" w:space="0" w:color="auto"/>
                      </w:divBdr>
                    </w:div>
                    <w:div w:id="375083329">
                      <w:marLeft w:val="0"/>
                      <w:marRight w:val="0"/>
                      <w:marTop w:val="0"/>
                      <w:marBottom w:val="0"/>
                      <w:divBdr>
                        <w:top w:val="none" w:sz="0" w:space="0" w:color="auto"/>
                        <w:left w:val="none" w:sz="0" w:space="0" w:color="auto"/>
                        <w:bottom w:val="none" w:sz="0" w:space="0" w:color="auto"/>
                        <w:right w:val="none" w:sz="0" w:space="0" w:color="auto"/>
                      </w:divBdr>
                    </w:div>
                    <w:div w:id="1212964244">
                      <w:marLeft w:val="0"/>
                      <w:marRight w:val="0"/>
                      <w:marTop w:val="0"/>
                      <w:marBottom w:val="0"/>
                      <w:divBdr>
                        <w:top w:val="none" w:sz="0" w:space="0" w:color="auto"/>
                        <w:left w:val="none" w:sz="0" w:space="0" w:color="auto"/>
                        <w:bottom w:val="none" w:sz="0" w:space="0" w:color="auto"/>
                        <w:right w:val="none" w:sz="0" w:space="0" w:color="auto"/>
                      </w:divBdr>
                    </w:div>
                  </w:divsChild>
                </w:div>
                <w:div w:id="323167432">
                  <w:marLeft w:val="0"/>
                  <w:marRight w:val="0"/>
                  <w:marTop w:val="0"/>
                  <w:marBottom w:val="0"/>
                  <w:divBdr>
                    <w:top w:val="none" w:sz="0" w:space="0" w:color="auto"/>
                    <w:left w:val="none" w:sz="0" w:space="0" w:color="auto"/>
                    <w:bottom w:val="none" w:sz="0" w:space="0" w:color="auto"/>
                    <w:right w:val="none" w:sz="0" w:space="0" w:color="auto"/>
                  </w:divBdr>
                  <w:divsChild>
                    <w:div w:id="1472946607">
                      <w:marLeft w:val="0"/>
                      <w:marRight w:val="0"/>
                      <w:marTop w:val="0"/>
                      <w:marBottom w:val="0"/>
                      <w:divBdr>
                        <w:top w:val="none" w:sz="0" w:space="0" w:color="auto"/>
                        <w:left w:val="none" w:sz="0" w:space="0" w:color="auto"/>
                        <w:bottom w:val="none" w:sz="0" w:space="0" w:color="auto"/>
                        <w:right w:val="none" w:sz="0" w:space="0" w:color="auto"/>
                      </w:divBdr>
                      <w:divsChild>
                        <w:div w:id="17674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115241">
      <w:bodyDiv w:val="1"/>
      <w:marLeft w:val="0"/>
      <w:marRight w:val="0"/>
      <w:marTop w:val="0"/>
      <w:marBottom w:val="0"/>
      <w:divBdr>
        <w:top w:val="none" w:sz="0" w:space="0" w:color="auto"/>
        <w:left w:val="none" w:sz="0" w:space="0" w:color="auto"/>
        <w:bottom w:val="none" w:sz="0" w:space="0" w:color="auto"/>
        <w:right w:val="none" w:sz="0" w:space="0" w:color="auto"/>
      </w:divBdr>
    </w:div>
    <w:div w:id="210036558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0B5B7-6E3A-457B-8C82-86DDE49B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1843</Words>
  <Characters>10508</Characters>
  <Application>Microsoft Office Word</Application>
  <DocSecurity>0</DocSecurity>
  <Lines>87</Lines>
  <Paragraphs>24</Paragraphs>
  <ScaleCrop>false</ScaleCrop>
  <Company/>
  <LinksUpToDate>false</LinksUpToDate>
  <CharactersWithSpaces>12327</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2022-11-29T01:46:00Z</dcterms:created>
  <dcterms:modified xsi:type="dcterms:W3CDTF">2022-11-29T02:23:00Z</dcterms:modified>
</cp:coreProperties>
</file>