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7E50C" w14:textId="77777777" w:rsidR="00381F7B" w:rsidRPr="003A005A" w:rsidRDefault="00381F7B" w:rsidP="00006355">
      <w:pPr>
        <w:rPr>
          <w:sz w:val="28"/>
        </w:rPr>
      </w:pPr>
      <w:r w:rsidRPr="003A005A">
        <w:rPr>
          <w:noProof/>
          <w:lang w:eastAsia="en-AU"/>
        </w:rPr>
        <w:drawing>
          <wp:inline distT="0" distB="0" distL="0" distR="0" wp14:anchorId="1719ADE6" wp14:editId="4F3119E9">
            <wp:extent cx="1503328" cy="1105200"/>
            <wp:effectExtent l="0" t="0" r="1905" b="0"/>
            <wp:docPr id="102" name="Picture 10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DCAB9FA" w14:textId="77777777" w:rsidR="00381F7B" w:rsidRPr="003A005A" w:rsidRDefault="00381F7B" w:rsidP="00006355">
      <w:pPr>
        <w:rPr>
          <w:sz w:val="19"/>
        </w:rPr>
      </w:pPr>
    </w:p>
    <w:p w14:paraId="754D83A2" w14:textId="77777777" w:rsidR="00381F7B" w:rsidRPr="003A005A" w:rsidRDefault="00381F7B" w:rsidP="00006355">
      <w:pPr>
        <w:pStyle w:val="ShortT"/>
      </w:pPr>
      <w:r w:rsidRPr="003A005A">
        <w:t xml:space="preserve">Federal Circuit and Family Court of Australia (Family Law) Amendment (2022 Measures No. 1) </w:t>
      </w:r>
      <w:r w:rsidR="009325B1">
        <w:t>Rules 2</w:t>
      </w:r>
      <w:r w:rsidRPr="003A005A">
        <w:t>022</w:t>
      </w:r>
    </w:p>
    <w:p w14:paraId="39BFD98F" w14:textId="77777777" w:rsidR="00381F7B" w:rsidRPr="003A005A" w:rsidRDefault="00381F7B" w:rsidP="00006355">
      <w:pPr>
        <w:pBdr>
          <w:top w:val="single" w:sz="4" w:space="1" w:color="auto"/>
        </w:pBdr>
        <w:spacing w:before="360"/>
        <w:ind w:right="397"/>
        <w:jc w:val="both"/>
      </w:pPr>
      <w:r w:rsidRPr="003A005A">
        <w:t xml:space="preserve">I, The Honourable William </w:t>
      </w:r>
      <w:proofErr w:type="spellStart"/>
      <w:r w:rsidRPr="003A005A">
        <w:t>Alstergren</w:t>
      </w:r>
      <w:proofErr w:type="spellEnd"/>
      <w:r w:rsidRPr="003A005A">
        <w:t>, Chief Justice of the Federal Circuit and Family Court of Australia (Division 1), make the following Rules of Court.</w:t>
      </w:r>
    </w:p>
    <w:p w14:paraId="100A1898" w14:textId="5E1CEF9C" w:rsidR="00381F7B" w:rsidRPr="003A005A" w:rsidRDefault="00381F7B" w:rsidP="00006355">
      <w:pPr>
        <w:keepNext/>
        <w:spacing w:before="300" w:line="240" w:lineRule="atLeast"/>
        <w:ind w:right="397"/>
        <w:jc w:val="both"/>
        <w:rPr>
          <w:rFonts w:eastAsia="Calibri"/>
        </w:rPr>
      </w:pPr>
      <w:r w:rsidRPr="003A005A">
        <w:rPr>
          <w:rFonts w:eastAsia="Calibri"/>
        </w:rPr>
        <w:t>Dated</w:t>
      </w:r>
      <w:r w:rsidRPr="003A005A">
        <w:rPr>
          <w:rFonts w:eastAsia="Calibri"/>
        </w:rPr>
        <w:tab/>
      </w:r>
      <w:r w:rsidRPr="003A005A">
        <w:rPr>
          <w:rFonts w:eastAsia="Calibri"/>
        </w:rPr>
        <w:tab/>
      </w:r>
      <w:r w:rsidR="00C67D06">
        <w:rPr>
          <w:rFonts w:eastAsia="Calibri"/>
        </w:rPr>
        <w:t>24 November</w:t>
      </w:r>
      <w:r w:rsidRPr="003A005A">
        <w:rPr>
          <w:rFonts w:eastAsia="Calibri"/>
        </w:rPr>
        <w:tab/>
      </w:r>
      <w:r w:rsidRPr="003A005A">
        <w:rPr>
          <w:rFonts w:eastAsia="Calibri"/>
        </w:rPr>
        <w:tab/>
      </w:r>
      <w:r w:rsidRPr="003A005A">
        <w:rPr>
          <w:rFonts w:eastAsia="Calibri"/>
        </w:rPr>
        <w:fldChar w:fldCharType="begin"/>
      </w:r>
      <w:r w:rsidRPr="003A005A">
        <w:rPr>
          <w:rFonts w:eastAsia="Calibri"/>
        </w:rPr>
        <w:instrText xml:space="preserve"> DOCPROPERTY  DateMade </w:instrText>
      </w:r>
      <w:r w:rsidRPr="003A005A">
        <w:rPr>
          <w:rFonts w:eastAsia="Calibri"/>
        </w:rPr>
        <w:fldChar w:fldCharType="separate"/>
      </w:r>
      <w:r w:rsidR="0064654A">
        <w:rPr>
          <w:rFonts w:eastAsia="Calibri"/>
        </w:rPr>
        <w:t>2022</w:t>
      </w:r>
      <w:r w:rsidRPr="003A005A">
        <w:rPr>
          <w:rFonts w:eastAsia="Calibri"/>
        </w:rPr>
        <w:fldChar w:fldCharType="end"/>
      </w:r>
    </w:p>
    <w:p w14:paraId="6E5E4A4B" w14:textId="77777777" w:rsidR="00381F7B" w:rsidRPr="003A005A" w:rsidRDefault="00381F7B" w:rsidP="00006355">
      <w:pPr>
        <w:keepNext/>
        <w:tabs>
          <w:tab w:val="left" w:pos="3402"/>
        </w:tabs>
        <w:spacing w:before="1440" w:line="300" w:lineRule="atLeast"/>
        <w:ind w:right="397"/>
        <w:rPr>
          <w:rFonts w:eastAsia="Calibri"/>
        </w:rPr>
      </w:pPr>
      <w:r w:rsidRPr="003A005A">
        <w:rPr>
          <w:rFonts w:eastAsia="Calibri"/>
        </w:rPr>
        <w:t xml:space="preserve">The Honourable William </w:t>
      </w:r>
      <w:proofErr w:type="spellStart"/>
      <w:r w:rsidRPr="003A005A">
        <w:rPr>
          <w:rFonts w:eastAsia="Calibri"/>
        </w:rPr>
        <w:t>Alstergren</w:t>
      </w:r>
      <w:proofErr w:type="spellEnd"/>
    </w:p>
    <w:p w14:paraId="32551F99" w14:textId="77777777" w:rsidR="00381F7B" w:rsidRPr="003A005A" w:rsidRDefault="00381F7B" w:rsidP="00006355">
      <w:pPr>
        <w:keepNext/>
        <w:pBdr>
          <w:bottom w:val="single" w:sz="4" w:space="12" w:color="auto"/>
        </w:pBdr>
        <w:tabs>
          <w:tab w:val="left" w:pos="3402"/>
        </w:tabs>
        <w:spacing w:after="240" w:line="300" w:lineRule="atLeast"/>
        <w:ind w:right="397"/>
      </w:pPr>
      <w:r w:rsidRPr="003A005A">
        <w:t>Chief Justice of the Federal Circuit and Family Court of Australia (Division 1)</w:t>
      </w:r>
    </w:p>
    <w:p w14:paraId="06AA1045" w14:textId="77777777" w:rsidR="00381F7B" w:rsidRPr="002464C9" w:rsidRDefault="00381F7B" w:rsidP="00006355">
      <w:pPr>
        <w:pStyle w:val="Header"/>
        <w:tabs>
          <w:tab w:val="clear" w:pos="4150"/>
          <w:tab w:val="clear" w:pos="8307"/>
        </w:tabs>
      </w:pPr>
      <w:r w:rsidRPr="002464C9">
        <w:rPr>
          <w:rStyle w:val="CharAmSchNo"/>
        </w:rPr>
        <w:t xml:space="preserve"> </w:t>
      </w:r>
      <w:r w:rsidRPr="002464C9">
        <w:rPr>
          <w:rStyle w:val="CharAmSchText"/>
        </w:rPr>
        <w:t xml:space="preserve"> </w:t>
      </w:r>
    </w:p>
    <w:p w14:paraId="453ED8D2" w14:textId="77777777" w:rsidR="00381F7B" w:rsidRPr="002464C9" w:rsidRDefault="00381F7B" w:rsidP="00006355">
      <w:pPr>
        <w:pStyle w:val="Header"/>
        <w:tabs>
          <w:tab w:val="clear" w:pos="4150"/>
          <w:tab w:val="clear" w:pos="8307"/>
        </w:tabs>
      </w:pPr>
      <w:r w:rsidRPr="002464C9">
        <w:rPr>
          <w:rStyle w:val="CharAmPartNo"/>
        </w:rPr>
        <w:t xml:space="preserve"> </w:t>
      </w:r>
      <w:r w:rsidRPr="002464C9">
        <w:rPr>
          <w:rStyle w:val="CharAmPartText"/>
        </w:rPr>
        <w:t xml:space="preserve"> </w:t>
      </w:r>
    </w:p>
    <w:p w14:paraId="1710BB25" w14:textId="77777777" w:rsidR="00381F7B" w:rsidRPr="003A005A" w:rsidRDefault="00381F7B" w:rsidP="00006355">
      <w:pPr>
        <w:sectPr w:rsidR="00381F7B" w:rsidRPr="003A005A" w:rsidSect="006D3123">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7E83F86" w14:textId="77777777" w:rsidR="00220A0C" w:rsidRPr="003A005A" w:rsidRDefault="0048364F" w:rsidP="0048364F">
      <w:pPr>
        <w:outlineLvl w:val="0"/>
        <w:rPr>
          <w:sz w:val="36"/>
        </w:rPr>
      </w:pPr>
      <w:r w:rsidRPr="003A005A">
        <w:rPr>
          <w:sz w:val="36"/>
        </w:rPr>
        <w:lastRenderedPageBreak/>
        <w:t>Contents</w:t>
      </w:r>
    </w:p>
    <w:p w14:paraId="23D9E3A7" w14:textId="31FFA662" w:rsidR="003A005A" w:rsidRDefault="003A005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3A005A">
        <w:rPr>
          <w:noProof/>
        </w:rPr>
        <w:tab/>
      </w:r>
      <w:r w:rsidRPr="003A005A">
        <w:rPr>
          <w:noProof/>
        </w:rPr>
        <w:fldChar w:fldCharType="begin"/>
      </w:r>
      <w:r w:rsidRPr="003A005A">
        <w:rPr>
          <w:noProof/>
        </w:rPr>
        <w:instrText xml:space="preserve"> PAGEREF _Toc119661632 \h </w:instrText>
      </w:r>
      <w:r w:rsidRPr="003A005A">
        <w:rPr>
          <w:noProof/>
        </w:rPr>
      </w:r>
      <w:r w:rsidRPr="003A005A">
        <w:rPr>
          <w:noProof/>
        </w:rPr>
        <w:fldChar w:fldCharType="separate"/>
      </w:r>
      <w:r w:rsidR="0064654A">
        <w:rPr>
          <w:noProof/>
        </w:rPr>
        <w:t>1</w:t>
      </w:r>
      <w:r w:rsidRPr="003A005A">
        <w:rPr>
          <w:noProof/>
        </w:rPr>
        <w:fldChar w:fldCharType="end"/>
      </w:r>
    </w:p>
    <w:p w14:paraId="78FF4DC3" w14:textId="60A27F6A" w:rsidR="003A005A" w:rsidRDefault="003A005A">
      <w:pPr>
        <w:pStyle w:val="TOC5"/>
        <w:rPr>
          <w:rFonts w:asciiTheme="minorHAnsi" w:eastAsiaTheme="minorEastAsia" w:hAnsiTheme="minorHAnsi" w:cstheme="minorBidi"/>
          <w:noProof/>
          <w:kern w:val="0"/>
          <w:sz w:val="22"/>
          <w:szCs w:val="22"/>
        </w:rPr>
      </w:pPr>
      <w:r>
        <w:rPr>
          <w:noProof/>
        </w:rPr>
        <w:t>2</w:t>
      </w:r>
      <w:r>
        <w:rPr>
          <w:noProof/>
        </w:rPr>
        <w:tab/>
        <w:t>Commencement</w:t>
      </w:r>
      <w:r w:rsidRPr="003A005A">
        <w:rPr>
          <w:noProof/>
        </w:rPr>
        <w:tab/>
      </w:r>
      <w:r w:rsidRPr="003A005A">
        <w:rPr>
          <w:noProof/>
        </w:rPr>
        <w:fldChar w:fldCharType="begin"/>
      </w:r>
      <w:r w:rsidRPr="003A005A">
        <w:rPr>
          <w:noProof/>
        </w:rPr>
        <w:instrText xml:space="preserve"> PAGEREF _Toc119661633 \h </w:instrText>
      </w:r>
      <w:r w:rsidRPr="003A005A">
        <w:rPr>
          <w:noProof/>
        </w:rPr>
      </w:r>
      <w:r w:rsidRPr="003A005A">
        <w:rPr>
          <w:noProof/>
        </w:rPr>
        <w:fldChar w:fldCharType="separate"/>
      </w:r>
      <w:r w:rsidR="0064654A">
        <w:rPr>
          <w:noProof/>
        </w:rPr>
        <w:t>1</w:t>
      </w:r>
      <w:r w:rsidRPr="003A005A">
        <w:rPr>
          <w:noProof/>
        </w:rPr>
        <w:fldChar w:fldCharType="end"/>
      </w:r>
    </w:p>
    <w:p w14:paraId="755738B5" w14:textId="547440D8" w:rsidR="003A005A" w:rsidRDefault="003A005A">
      <w:pPr>
        <w:pStyle w:val="TOC5"/>
        <w:rPr>
          <w:rFonts w:asciiTheme="minorHAnsi" w:eastAsiaTheme="minorEastAsia" w:hAnsiTheme="minorHAnsi" w:cstheme="minorBidi"/>
          <w:noProof/>
          <w:kern w:val="0"/>
          <w:sz w:val="22"/>
          <w:szCs w:val="22"/>
        </w:rPr>
      </w:pPr>
      <w:r>
        <w:rPr>
          <w:noProof/>
        </w:rPr>
        <w:t>3</w:t>
      </w:r>
      <w:r>
        <w:rPr>
          <w:noProof/>
        </w:rPr>
        <w:tab/>
        <w:t>Authority</w:t>
      </w:r>
      <w:r w:rsidRPr="003A005A">
        <w:rPr>
          <w:noProof/>
        </w:rPr>
        <w:tab/>
      </w:r>
      <w:r w:rsidRPr="003A005A">
        <w:rPr>
          <w:noProof/>
        </w:rPr>
        <w:fldChar w:fldCharType="begin"/>
      </w:r>
      <w:r w:rsidRPr="003A005A">
        <w:rPr>
          <w:noProof/>
        </w:rPr>
        <w:instrText xml:space="preserve"> PAGEREF _Toc119661634 \h </w:instrText>
      </w:r>
      <w:r w:rsidRPr="003A005A">
        <w:rPr>
          <w:noProof/>
        </w:rPr>
      </w:r>
      <w:r w:rsidRPr="003A005A">
        <w:rPr>
          <w:noProof/>
        </w:rPr>
        <w:fldChar w:fldCharType="separate"/>
      </w:r>
      <w:r w:rsidR="0064654A">
        <w:rPr>
          <w:noProof/>
        </w:rPr>
        <w:t>1</w:t>
      </w:r>
      <w:r w:rsidRPr="003A005A">
        <w:rPr>
          <w:noProof/>
        </w:rPr>
        <w:fldChar w:fldCharType="end"/>
      </w:r>
    </w:p>
    <w:p w14:paraId="2E277629" w14:textId="132E4271" w:rsidR="003A005A" w:rsidRDefault="003A005A">
      <w:pPr>
        <w:pStyle w:val="TOC5"/>
        <w:rPr>
          <w:rFonts w:asciiTheme="minorHAnsi" w:eastAsiaTheme="minorEastAsia" w:hAnsiTheme="minorHAnsi" w:cstheme="minorBidi"/>
          <w:noProof/>
          <w:kern w:val="0"/>
          <w:sz w:val="22"/>
          <w:szCs w:val="22"/>
        </w:rPr>
      </w:pPr>
      <w:r>
        <w:rPr>
          <w:noProof/>
        </w:rPr>
        <w:t>4</w:t>
      </w:r>
      <w:r>
        <w:rPr>
          <w:noProof/>
        </w:rPr>
        <w:tab/>
        <w:t>Schedules</w:t>
      </w:r>
      <w:r w:rsidRPr="003A005A">
        <w:rPr>
          <w:noProof/>
        </w:rPr>
        <w:tab/>
      </w:r>
      <w:r w:rsidRPr="003A005A">
        <w:rPr>
          <w:noProof/>
        </w:rPr>
        <w:fldChar w:fldCharType="begin"/>
      </w:r>
      <w:r w:rsidRPr="003A005A">
        <w:rPr>
          <w:noProof/>
        </w:rPr>
        <w:instrText xml:space="preserve"> PAGEREF _Toc119661635 \h </w:instrText>
      </w:r>
      <w:r w:rsidRPr="003A005A">
        <w:rPr>
          <w:noProof/>
        </w:rPr>
      </w:r>
      <w:r w:rsidRPr="003A005A">
        <w:rPr>
          <w:noProof/>
        </w:rPr>
        <w:fldChar w:fldCharType="separate"/>
      </w:r>
      <w:r w:rsidR="0064654A">
        <w:rPr>
          <w:noProof/>
        </w:rPr>
        <w:t>1</w:t>
      </w:r>
      <w:r w:rsidRPr="003A005A">
        <w:rPr>
          <w:noProof/>
        </w:rPr>
        <w:fldChar w:fldCharType="end"/>
      </w:r>
    </w:p>
    <w:p w14:paraId="3AECC6DB" w14:textId="530D49E6" w:rsidR="003A005A" w:rsidRDefault="003A005A">
      <w:pPr>
        <w:pStyle w:val="TOC6"/>
        <w:rPr>
          <w:rFonts w:asciiTheme="minorHAnsi" w:eastAsiaTheme="minorEastAsia" w:hAnsiTheme="minorHAnsi" w:cstheme="minorBidi"/>
          <w:b w:val="0"/>
          <w:noProof/>
          <w:kern w:val="0"/>
          <w:sz w:val="22"/>
          <w:szCs w:val="22"/>
        </w:rPr>
      </w:pPr>
      <w:r>
        <w:rPr>
          <w:noProof/>
        </w:rPr>
        <w:t>Schedule 1—General amendments</w:t>
      </w:r>
      <w:r w:rsidRPr="003A005A">
        <w:rPr>
          <w:b w:val="0"/>
          <w:noProof/>
          <w:sz w:val="18"/>
        </w:rPr>
        <w:tab/>
      </w:r>
      <w:r w:rsidRPr="003A005A">
        <w:rPr>
          <w:b w:val="0"/>
          <w:noProof/>
          <w:sz w:val="18"/>
        </w:rPr>
        <w:fldChar w:fldCharType="begin"/>
      </w:r>
      <w:r w:rsidRPr="003A005A">
        <w:rPr>
          <w:b w:val="0"/>
          <w:noProof/>
          <w:sz w:val="18"/>
        </w:rPr>
        <w:instrText xml:space="preserve"> PAGEREF _Toc119661636 \h </w:instrText>
      </w:r>
      <w:r w:rsidRPr="003A005A">
        <w:rPr>
          <w:b w:val="0"/>
          <w:noProof/>
          <w:sz w:val="18"/>
        </w:rPr>
      </w:r>
      <w:r w:rsidRPr="003A005A">
        <w:rPr>
          <w:b w:val="0"/>
          <w:noProof/>
          <w:sz w:val="18"/>
        </w:rPr>
        <w:fldChar w:fldCharType="separate"/>
      </w:r>
      <w:r w:rsidR="0064654A">
        <w:rPr>
          <w:b w:val="0"/>
          <w:noProof/>
          <w:sz w:val="18"/>
        </w:rPr>
        <w:t>2</w:t>
      </w:r>
      <w:r w:rsidRPr="003A005A">
        <w:rPr>
          <w:b w:val="0"/>
          <w:noProof/>
          <w:sz w:val="18"/>
        </w:rPr>
        <w:fldChar w:fldCharType="end"/>
      </w:r>
    </w:p>
    <w:p w14:paraId="28958FBC" w14:textId="7D3B2BA3" w:rsidR="003A005A" w:rsidRDefault="003A005A">
      <w:pPr>
        <w:pStyle w:val="TOC9"/>
        <w:rPr>
          <w:rFonts w:asciiTheme="minorHAnsi" w:eastAsiaTheme="minorEastAsia" w:hAnsiTheme="minorHAnsi" w:cstheme="minorBidi"/>
          <w:i w:val="0"/>
          <w:noProof/>
          <w:kern w:val="0"/>
          <w:sz w:val="22"/>
          <w:szCs w:val="22"/>
        </w:rPr>
      </w:pPr>
      <w:r>
        <w:rPr>
          <w:noProof/>
        </w:rPr>
        <w:t xml:space="preserve">Federal Circuit and Family Court of Australia (Family Law) </w:t>
      </w:r>
      <w:r w:rsidR="009325B1">
        <w:rPr>
          <w:noProof/>
        </w:rPr>
        <w:t>Rules 2</w:t>
      </w:r>
      <w:r>
        <w:rPr>
          <w:noProof/>
        </w:rPr>
        <w:t>021</w:t>
      </w:r>
      <w:r w:rsidRPr="003A005A">
        <w:rPr>
          <w:i w:val="0"/>
          <w:noProof/>
          <w:sz w:val="18"/>
        </w:rPr>
        <w:tab/>
      </w:r>
      <w:r w:rsidRPr="003A005A">
        <w:rPr>
          <w:i w:val="0"/>
          <w:noProof/>
          <w:sz w:val="18"/>
        </w:rPr>
        <w:fldChar w:fldCharType="begin"/>
      </w:r>
      <w:r w:rsidRPr="003A005A">
        <w:rPr>
          <w:i w:val="0"/>
          <w:noProof/>
          <w:sz w:val="18"/>
        </w:rPr>
        <w:instrText xml:space="preserve"> PAGEREF _Toc119661637 \h </w:instrText>
      </w:r>
      <w:r w:rsidRPr="003A005A">
        <w:rPr>
          <w:i w:val="0"/>
          <w:noProof/>
          <w:sz w:val="18"/>
        </w:rPr>
      </w:r>
      <w:r w:rsidRPr="003A005A">
        <w:rPr>
          <w:i w:val="0"/>
          <w:noProof/>
          <w:sz w:val="18"/>
        </w:rPr>
        <w:fldChar w:fldCharType="separate"/>
      </w:r>
      <w:r w:rsidR="0064654A">
        <w:rPr>
          <w:i w:val="0"/>
          <w:noProof/>
          <w:sz w:val="18"/>
        </w:rPr>
        <w:t>2</w:t>
      </w:r>
      <w:r w:rsidRPr="003A005A">
        <w:rPr>
          <w:i w:val="0"/>
          <w:noProof/>
          <w:sz w:val="18"/>
        </w:rPr>
        <w:fldChar w:fldCharType="end"/>
      </w:r>
    </w:p>
    <w:p w14:paraId="0CB7E06A" w14:textId="19A79E32" w:rsidR="003A005A" w:rsidRDefault="003A005A">
      <w:pPr>
        <w:pStyle w:val="TOC6"/>
        <w:rPr>
          <w:rFonts w:asciiTheme="minorHAnsi" w:eastAsiaTheme="minorEastAsia" w:hAnsiTheme="minorHAnsi" w:cstheme="minorBidi"/>
          <w:b w:val="0"/>
          <w:noProof/>
          <w:kern w:val="0"/>
          <w:sz w:val="22"/>
          <w:szCs w:val="22"/>
        </w:rPr>
      </w:pPr>
      <w:r>
        <w:rPr>
          <w:noProof/>
        </w:rPr>
        <w:t>Schedule 2—Scale of costs</w:t>
      </w:r>
      <w:r w:rsidRPr="003A005A">
        <w:rPr>
          <w:b w:val="0"/>
          <w:noProof/>
          <w:sz w:val="18"/>
        </w:rPr>
        <w:tab/>
      </w:r>
      <w:r w:rsidRPr="003A005A">
        <w:rPr>
          <w:b w:val="0"/>
          <w:noProof/>
          <w:sz w:val="18"/>
        </w:rPr>
        <w:fldChar w:fldCharType="begin"/>
      </w:r>
      <w:r w:rsidRPr="003A005A">
        <w:rPr>
          <w:b w:val="0"/>
          <w:noProof/>
          <w:sz w:val="18"/>
        </w:rPr>
        <w:instrText xml:space="preserve"> PAGEREF _Toc119661641 \h </w:instrText>
      </w:r>
      <w:r w:rsidRPr="003A005A">
        <w:rPr>
          <w:b w:val="0"/>
          <w:noProof/>
          <w:sz w:val="18"/>
        </w:rPr>
      </w:r>
      <w:r w:rsidRPr="003A005A">
        <w:rPr>
          <w:b w:val="0"/>
          <w:noProof/>
          <w:sz w:val="18"/>
        </w:rPr>
        <w:fldChar w:fldCharType="separate"/>
      </w:r>
      <w:r w:rsidR="0064654A">
        <w:rPr>
          <w:b w:val="0"/>
          <w:noProof/>
          <w:sz w:val="18"/>
        </w:rPr>
        <w:t>6</w:t>
      </w:r>
      <w:r w:rsidRPr="003A005A">
        <w:rPr>
          <w:b w:val="0"/>
          <w:noProof/>
          <w:sz w:val="18"/>
        </w:rPr>
        <w:fldChar w:fldCharType="end"/>
      </w:r>
    </w:p>
    <w:p w14:paraId="0528F011" w14:textId="373E9D89" w:rsidR="003A005A" w:rsidRDefault="003A005A">
      <w:pPr>
        <w:pStyle w:val="TOC9"/>
        <w:rPr>
          <w:rFonts w:asciiTheme="minorHAnsi" w:eastAsiaTheme="minorEastAsia" w:hAnsiTheme="minorHAnsi" w:cstheme="minorBidi"/>
          <w:i w:val="0"/>
          <w:noProof/>
          <w:kern w:val="0"/>
          <w:sz w:val="22"/>
          <w:szCs w:val="22"/>
        </w:rPr>
      </w:pPr>
      <w:r>
        <w:rPr>
          <w:noProof/>
        </w:rPr>
        <w:t xml:space="preserve">Federal Circuit and Family Court of Australia (Family Law) </w:t>
      </w:r>
      <w:r w:rsidR="009325B1">
        <w:rPr>
          <w:noProof/>
        </w:rPr>
        <w:t>Rules 2</w:t>
      </w:r>
      <w:r>
        <w:rPr>
          <w:noProof/>
        </w:rPr>
        <w:t>021</w:t>
      </w:r>
      <w:r w:rsidRPr="003A005A">
        <w:rPr>
          <w:i w:val="0"/>
          <w:noProof/>
          <w:sz w:val="18"/>
        </w:rPr>
        <w:tab/>
      </w:r>
      <w:r w:rsidRPr="003A005A">
        <w:rPr>
          <w:i w:val="0"/>
          <w:noProof/>
          <w:sz w:val="18"/>
        </w:rPr>
        <w:fldChar w:fldCharType="begin"/>
      </w:r>
      <w:r w:rsidRPr="003A005A">
        <w:rPr>
          <w:i w:val="0"/>
          <w:noProof/>
          <w:sz w:val="18"/>
        </w:rPr>
        <w:instrText xml:space="preserve"> PAGEREF _Toc119661642 \h </w:instrText>
      </w:r>
      <w:r w:rsidRPr="003A005A">
        <w:rPr>
          <w:i w:val="0"/>
          <w:noProof/>
          <w:sz w:val="18"/>
        </w:rPr>
      </w:r>
      <w:r w:rsidRPr="003A005A">
        <w:rPr>
          <w:i w:val="0"/>
          <w:noProof/>
          <w:sz w:val="18"/>
        </w:rPr>
        <w:fldChar w:fldCharType="separate"/>
      </w:r>
      <w:r w:rsidR="0064654A">
        <w:rPr>
          <w:i w:val="0"/>
          <w:noProof/>
          <w:sz w:val="18"/>
        </w:rPr>
        <w:t>6</w:t>
      </w:r>
      <w:r w:rsidRPr="003A005A">
        <w:rPr>
          <w:i w:val="0"/>
          <w:noProof/>
          <w:sz w:val="18"/>
        </w:rPr>
        <w:fldChar w:fldCharType="end"/>
      </w:r>
    </w:p>
    <w:p w14:paraId="0E8E8070" w14:textId="2632E610" w:rsidR="003A005A" w:rsidRDefault="003A005A">
      <w:pPr>
        <w:pStyle w:val="TOC6"/>
        <w:rPr>
          <w:rFonts w:asciiTheme="minorHAnsi" w:eastAsiaTheme="minorEastAsia" w:hAnsiTheme="minorHAnsi" w:cstheme="minorBidi"/>
          <w:b w:val="0"/>
          <w:noProof/>
          <w:kern w:val="0"/>
          <w:sz w:val="22"/>
          <w:szCs w:val="22"/>
        </w:rPr>
      </w:pPr>
      <w:r>
        <w:rPr>
          <w:noProof/>
        </w:rPr>
        <w:t>Schedule 3—Delegated powers</w:t>
      </w:r>
      <w:r w:rsidRPr="003A005A">
        <w:rPr>
          <w:b w:val="0"/>
          <w:noProof/>
          <w:sz w:val="18"/>
        </w:rPr>
        <w:tab/>
      </w:r>
      <w:r w:rsidRPr="003A005A">
        <w:rPr>
          <w:b w:val="0"/>
          <w:noProof/>
          <w:sz w:val="18"/>
        </w:rPr>
        <w:fldChar w:fldCharType="begin"/>
      </w:r>
      <w:r w:rsidRPr="003A005A">
        <w:rPr>
          <w:b w:val="0"/>
          <w:noProof/>
          <w:sz w:val="18"/>
        </w:rPr>
        <w:instrText xml:space="preserve"> PAGEREF _Toc119661650 \h </w:instrText>
      </w:r>
      <w:r w:rsidRPr="003A005A">
        <w:rPr>
          <w:b w:val="0"/>
          <w:noProof/>
          <w:sz w:val="18"/>
        </w:rPr>
      </w:r>
      <w:r w:rsidRPr="003A005A">
        <w:rPr>
          <w:b w:val="0"/>
          <w:noProof/>
          <w:sz w:val="18"/>
        </w:rPr>
        <w:fldChar w:fldCharType="separate"/>
      </w:r>
      <w:r w:rsidR="0064654A">
        <w:rPr>
          <w:b w:val="0"/>
          <w:noProof/>
          <w:sz w:val="18"/>
        </w:rPr>
        <w:t>9</w:t>
      </w:r>
      <w:r w:rsidRPr="003A005A">
        <w:rPr>
          <w:b w:val="0"/>
          <w:noProof/>
          <w:sz w:val="18"/>
        </w:rPr>
        <w:fldChar w:fldCharType="end"/>
      </w:r>
    </w:p>
    <w:p w14:paraId="0BE20E60" w14:textId="5D1F24BD" w:rsidR="003A005A" w:rsidRDefault="003A005A">
      <w:pPr>
        <w:pStyle w:val="TOC9"/>
        <w:rPr>
          <w:rFonts w:asciiTheme="minorHAnsi" w:eastAsiaTheme="minorEastAsia" w:hAnsiTheme="minorHAnsi" w:cstheme="minorBidi"/>
          <w:i w:val="0"/>
          <w:noProof/>
          <w:kern w:val="0"/>
          <w:sz w:val="22"/>
          <w:szCs w:val="22"/>
        </w:rPr>
      </w:pPr>
      <w:r>
        <w:rPr>
          <w:noProof/>
        </w:rPr>
        <w:t xml:space="preserve">Federal Circuit and Family Court of Australia (Family Law) </w:t>
      </w:r>
      <w:r w:rsidR="009325B1">
        <w:rPr>
          <w:noProof/>
        </w:rPr>
        <w:t>Rules 2</w:t>
      </w:r>
      <w:r>
        <w:rPr>
          <w:noProof/>
        </w:rPr>
        <w:t>021</w:t>
      </w:r>
      <w:r w:rsidRPr="003A005A">
        <w:rPr>
          <w:i w:val="0"/>
          <w:noProof/>
          <w:sz w:val="18"/>
        </w:rPr>
        <w:tab/>
      </w:r>
      <w:r w:rsidRPr="003A005A">
        <w:rPr>
          <w:i w:val="0"/>
          <w:noProof/>
          <w:sz w:val="18"/>
        </w:rPr>
        <w:fldChar w:fldCharType="begin"/>
      </w:r>
      <w:r w:rsidRPr="003A005A">
        <w:rPr>
          <w:i w:val="0"/>
          <w:noProof/>
          <w:sz w:val="18"/>
        </w:rPr>
        <w:instrText xml:space="preserve"> PAGEREF _Toc119661651 \h </w:instrText>
      </w:r>
      <w:r w:rsidRPr="003A005A">
        <w:rPr>
          <w:i w:val="0"/>
          <w:noProof/>
          <w:sz w:val="18"/>
        </w:rPr>
      </w:r>
      <w:r w:rsidRPr="003A005A">
        <w:rPr>
          <w:i w:val="0"/>
          <w:noProof/>
          <w:sz w:val="18"/>
        </w:rPr>
        <w:fldChar w:fldCharType="separate"/>
      </w:r>
      <w:r w:rsidR="0064654A">
        <w:rPr>
          <w:i w:val="0"/>
          <w:noProof/>
          <w:sz w:val="18"/>
        </w:rPr>
        <w:t>9</w:t>
      </w:r>
      <w:r w:rsidRPr="003A005A">
        <w:rPr>
          <w:i w:val="0"/>
          <w:noProof/>
          <w:sz w:val="18"/>
        </w:rPr>
        <w:fldChar w:fldCharType="end"/>
      </w:r>
    </w:p>
    <w:p w14:paraId="7A4E2980" w14:textId="77777777" w:rsidR="0048364F" w:rsidRPr="003A005A" w:rsidRDefault="003A005A" w:rsidP="0048364F">
      <w:r>
        <w:fldChar w:fldCharType="end"/>
      </w:r>
    </w:p>
    <w:p w14:paraId="239B0F49" w14:textId="77777777" w:rsidR="0048364F" w:rsidRPr="003A005A" w:rsidRDefault="0048364F" w:rsidP="0048364F">
      <w:pPr>
        <w:sectPr w:rsidR="0048364F" w:rsidRPr="003A005A" w:rsidSect="006D3123">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0EA619B2" w14:textId="77777777" w:rsidR="0048364F" w:rsidRPr="003A005A" w:rsidRDefault="0048364F" w:rsidP="0048364F">
      <w:pPr>
        <w:pStyle w:val="ActHead5"/>
      </w:pPr>
      <w:bookmarkStart w:id="0" w:name="_Toc119661632"/>
      <w:r w:rsidRPr="002464C9">
        <w:rPr>
          <w:rStyle w:val="CharSectno"/>
        </w:rPr>
        <w:lastRenderedPageBreak/>
        <w:t>1</w:t>
      </w:r>
      <w:r w:rsidRPr="003A005A">
        <w:t xml:space="preserve">  </w:t>
      </w:r>
      <w:r w:rsidR="004F676E" w:rsidRPr="003A005A">
        <w:t>Name</w:t>
      </w:r>
      <w:bookmarkEnd w:id="0"/>
    </w:p>
    <w:p w14:paraId="153481A8" w14:textId="77777777" w:rsidR="0048364F" w:rsidRPr="003A005A" w:rsidRDefault="0048364F" w:rsidP="0048364F">
      <w:pPr>
        <w:pStyle w:val="subsection"/>
      </w:pPr>
      <w:r w:rsidRPr="003A005A">
        <w:tab/>
      </w:r>
      <w:r w:rsidRPr="003A005A">
        <w:tab/>
      </w:r>
      <w:r w:rsidR="00381F7B" w:rsidRPr="003A005A">
        <w:t>These Rules are</w:t>
      </w:r>
      <w:r w:rsidRPr="003A005A">
        <w:t xml:space="preserve"> the </w:t>
      </w:r>
      <w:r w:rsidR="009325B1">
        <w:rPr>
          <w:i/>
          <w:noProof/>
        </w:rPr>
        <w:t>Federal Circuit and Family Court of Australia (Family Law) Amendment (2022 Measures No. 1) Rules 2022</w:t>
      </w:r>
      <w:r w:rsidRPr="003A005A">
        <w:t>.</w:t>
      </w:r>
    </w:p>
    <w:p w14:paraId="1A5EC228" w14:textId="77777777" w:rsidR="004F676E" w:rsidRPr="003A005A" w:rsidRDefault="0048364F" w:rsidP="005452CC">
      <w:pPr>
        <w:pStyle w:val="ActHead5"/>
      </w:pPr>
      <w:bookmarkStart w:id="1" w:name="_Toc119661633"/>
      <w:r w:rsidRPr="002464C9">
        <w:rPr>
          <w:rStyle w:val="CharSectno"/>
        </w:rPr>
        <w:t>2</w:t>
      </w:r>
      <w:r w:rsidRPr="003A005A">
        <w:t xml:space="preserve">  Commencement</w:t>
      </w:r>
      <w:bookmarkEnd w:id="1"/>
    </w:p>
    <w:p w14:paraId="404B2DE1" w14:textId="77777777" w:rsidR="005452CC" w:rsidRPr="003A005A" w:rsidRDefault="005452CC" w:rsidP="00006355">
      <w:pPr>
        <w:pStyle w:val="subsection"/>
      </w:pPr>
      <w:r w:rsidRPr="003A005A">
        <w:tab/>
        <w:t>(1)</w:t>
      </w:r>
      <w:r w:rsidRPr="003A005A">
        <w:tab/>
        <w:t xml:space="preserve">Each provision of </w:t>
      </w:r>
      <w:r w:rsidR="00381F7B" w:rsidRPr="003A005A">
        <w:t>these Rules</w:t>
      </w:r>
      <w:r w:rsidRPr="003A005A">
        <w:t xml:space="preserve"> specified in column 1 of the table commences, or is taken to have commenced, in accordance with column 2 of the table. Any other statement in column 2 has effect according to its terms.</w:t>
      </w:r>
    </w:p>
    <w:p w14:paraId="1F2BF72B" w14:textId="77777777" w:rsidR="005452CC" w:rsidRPr="003A005A" w:rsidRDefault="005452CC" w:rsidP="00006355">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5452CC" w:rsidRPr="003A005A" w14:paraId="02207CB6" w14:textId="77777777" w:rsidTr="00CA5363">
        <w:trPr>
          <w:tblHeader/>
        </w:trPr>
        <w:tc>
          <w:tcPr>
            <w:tcW w:w="5000" w:type="pct"/>
            <w:gridSpan w:val="3"/>
            <w:tcBorders>
              <w:top w:val="single" w:sz="12" w:space="0" w:color="auto"/>
              <w:bottom w:val="single" w:sz="6" w:space="0" w:color="auto"/>
            </w:tcBorders>
            <w:shd w:val="clear" w:color="auto" w:fill="auto"/>
            <w:hideMark/>
          </w:tcPr>
          <w:p w14:paraId="74B5EBB5" w14:textId="77777777" w:rsidR="005452CC" w:rsidRPr="003A005A" w:rsidRDefault="005452CC" w:rsidP="00006355">
            <w:pPr>
              <w:pStyle w:val="TableHeading"/>
            </w:pPr>
            <w:r w:rsidRPr="003A005A">
              <w:t>Commencement information</w:t>
            </w:r>
          </w:p>
        </w:tc>
      </w:tr>
      <w:tr w:rsidR="005452CC" w:rsidRPr="003A005A" w14:paraId="00F61327" w14:textId="77777777" w:rsidTr="00CA5363">
        <w:trPr>
          <w:tblHeader/>
        </w:trPr>
        <w:tc>
          <w:tcPr>
            <w:tcW w:w="1272" w:type="pct"/>
            <w:tcBorders>
              <w:top w:val="single" w:sz="6" w:space="0" w:color="auto"/>
              <w:bottom w:val="single" w:sz="6" w:space="0" w:color="auto"/>
            </w:tcBorders>
            <w:shd w:val="clear" w:color="auto" w:fill="auto"/>
            <w:hideMark/>
          </w:tcPr>
          <w:p w14:paraId="335D12A2" w14:textId="77777777" w:rsidR="005452CC" w:rsidRPr="003A005A" w:rsidRDefault="005452CC" w:rsidP="00006355">
            <w:pPr>
              <w:pStyle w:val="TableHeading"/>
            </w:pPr>
            <w:r w:rsidRPr="003A005A">
              <w:t>Column 1</w:t>
            </w:r>
          </w:p>
        </w:tc>
        <w:tc>
          <w:tcPr>
            <w:tcW w:w="2627" w:type="pct"/>
            <w:tcBorders>
              <w:top w:val="single" w:sz="6" w:space="0" w:color="auto"/>
              <w:bottom w:val="single" w:sz="6" w:space="0" w:color="auto"/>
            </w:tcBorders>
            <w:shd w:val="clear" w:color="auto" w:fill="auto"/>
            <w:hideMark/>
          </w:tcPr>
          <w:p w14:paraId="14A09365" w14:textId="77777777" w:rsidR="005452CC" w:rsidRPr="003A005A" w:rsidRDefault="005452CC" w:rsidP="00006355">
            <w:pPr>
              <w:pStyle w:val="TableHeading"/>
            </w:pPr>
            <w:r w:rsidRPr="003A005A">
              <w:t>Column 2</w:t>
            </w:r>
          </w:p>
        </w:tc>
        <w:tc>
          <w:tcPr>
            <w:tcW w:w="1102" w:type="pct"/>
            <w:tcBorders>
              <w:top w:val="single" w:sz="6" w:space="0" w:color="auto"/>
              <w:bottom w:val="single" w:sz="6" w:space="0" w:color="auto"/>
            </w:tcBorders>
            <w:shd w:val="clear" w:color="auto" w:fill="auto"/>
            <w:hideMark/>
          </w:tcPr>
          <w:p w14:paraId="6F433932" w14:textId="77777777" w:rsidR="005452CC" w:rsidRPr="003A005A" w:rsidRDefault="005452CC" w:rsidP="00006355">
            <w:pPr>
              <w:pStyle w:val="TableHeading"/>
            </w:pPr>
            <w:r w:rsidRPr="003A005A">
              <w:t>Column 3</w:t>
            </w:r>
          </w:p>
        </w:tc>
      </w:tr>
      <w:tr w:rsidR="005452CC" w:rsidRPr="003A005A" w14:paraId="459C4C0F" w14:textId="77777777" w:rsidTr="00CA5363">
        <w:trPr>
          <w:tblHeader/>
        </w:trPr>
        <w:tc>
          <w:tcPr>
            <w:tcW w:w="1272" w:type="pct"/>
            <w:tcBorders>
              <w:top w:val="single" w:sz="6" w:space="0" w:color="auto"/>
              <w:bottom w:val="single" w:sz="12" w:space="0" w:color="auto"/>
            </w:tcBorders>
            <w:shd w:val="clear" w:color="auto" w:fill="auto"/>
            <w:hideMark/>
          </w:tcPr>
          <w:p w14:paraId="7B496681" w14:textId="77777777" w:rsidR="005452CC" w:rsidRPr="003A005A" w:rsidRDefault="005452CC" w:rsidP="00006355">
            <w:pPr>
              <w:pStyle w:val="TableHeading"/>
            </w:pPr>
            <w:r w:rsidRPr="003A005A">
              <w:t>Provisions</w:t>
            </w:r>
          </w:p>
        </w:tc>
        <w:tc>
          <w:tcPr>
            <w:tcW w:w="2627" w:type="pct"/>
            <w:tcBorders>
              <w:top w:val="single" w:sz="6" w:space="0" w:color="auto"/>
              <w:bottom w:val="single" w:sz="12" w:space="0" w:color="auto"/>
            </w:tcBorders>
            <w:shd w:val="clear" w:color="auto" w:fill="auto"/>
            <w:hideMark/>
          </w:tcPr>
          <w:p w14:paraId="49EE4A91" w14:textId="77777777" w:rsidR="005452CC" w:rsidRPr="003A005A" w:rsidRDefault="005452CC" w:rsidP="00006355">
            <w:pPr>
              <w:pStyle w:val="TableHeading"/>
            </w:pPr>
            <w:r w:rsidRPr="003A005A">
              <w:t>Commencement</w:t>
            </w:r>
          </w:p>
        </w:tc>
        <w:tc>
          <w:tcPr>
            <w:tcW w:w="1102" w:type="pct"/>
            <w:tcBorders>
              <w:top w:val="single" w:sz="6" w:space="0" w:color="auto"/>
              <w:bottom w:val="single" w:sz="12" w:space="0" w:color="auto"/>
            </w:tcBorders>
            <w:shd w:val="clear" w:color="auto" w:fill="auto"/>
            <w:hideMark/>
          </w:tcPr>
          <w:p w14:paraId="55AF6AAD" w14:textId="77777777" w:rsidR="005452CC" w:rsidRPr="003A005A" w:rsidRDefault="005452CC" w:rsidP="00006355">
            <w:pPr>
              <w:pStyle w:val="TableHeading"/>
            </w:pPr>
            <w:r w:rsidRPr="003A005A">
              <w:t>Date/Details</w:t>
            </w:r>
          </w:p>
        </w:tc>
      </w:tr>
      <w:tr w:rsidR="005452CC" w:rsidRPr="003A005A" w14:paraId="6E705210" w14:textId="77777777" w:rsidTr="00CA5363">
        <w:tc>
          <w:tcPr>
            <w:tcW w:w="1272" w:type="pct"/>
            <w:tcBorders>
              <w:top w:val="single" w:sz="12" w:space="0" w:color="auto"/>
            </w:tcBorders>
            <w:shd w:val="clear" w:color="auto" w:fill="auto"/>
            <w:hideMark/>
          </w:tcPr>
          <w:p w14:paraId="181EB3CB" w14:textId="77777777" w:rsidR="005452CC" w:rsidRPr="003A005A" w:rsidRDefault="005452CC" w:rsidP="00AD7252">
            <w:pPr>
              <w:pStyle w:val="Tabletext"/>
            </w:pPr>
            <w:r w:rsidRPr="003A005A">
              <w:t xml:space="preserve">1.  </w:t>
            </w:r>
            <w:r w:rsidR="00CA5363" w:rsidRPr="003A005A">
              <w:t>Rules 1 to 4 and anything in these Rules not elsewhere covered by this table</w:t>
            </w:r>
          </w:p>
        </w:tc>
        <w:tc>
          <w:tcPr>
            <w:tcW w:w="2627" w:type="pct"/>
            <w:tcBorders>
              <w:top w:val="single" w:sz="12" w:space="0" w:color="auto"/>
            </w:tcBorders>
            <w:shd w:val="clear" w:color="auto" w:fill="auto"/>
            <w:hideMark/>
          </w:tcPr>
          <w:p w14:paraId="6CE42C24" w14:textId="77777777" w:rsidR="005452CC" w:rsidRPr="003A005A" w:rsidRDefault="005452CC" w:rsidP="005452CC">
            <w:pPr>
              <w:pStyle w:val="Tabletext"/>
            </w:pPr>
            <w:r w:rsidRPr="003A005A">
              <w:t xml:space="preserve">The day after </w:t>
            </w:r>
            <w:r w:rsidR="00381F7B" w:rsidRPr="003A005A">
              <w:t>these Rules are</w:t>
            </w:r>
            <w:r w:rsidRPr="003A005A">
              <w:t xml:space="preserve"> registered.</w:t>
            </w:r>
          </w:p>
        </w:tc>
        <w:tc>
          <w:tcPr>
            <w:tcW w:w="1102" w:type="pct"/>
            <w:tcBorders>
              <w:top w:val="single" w:sz="12" w:space="0" w:color="auto"/>
            </w:tcBorders>
            <w:shd w:val="clear" w:color="auto" w:fill="auto"/>
          </w:tcPr>
          <w:p w14:paraId="087E402A" w14:textId="363116FE" w:rsidR="005452CC" w:rsidRPr="003A005A" w:rsidRDefault="00362CA6">
            <w:pPr>
              <w:pStyle w:val="Tabletext"/>
            </w:pPr>
            <w:r>
              <w:t>28 November 2022</w:t>
            </w:r>
          </w:p>
        </w:tc>
      </w:tr>
      <w:tr w:rsidR="00CA5363" w:rsidRPr="003A005A" w14:paraId="76CE3761" w14:textId="77777777" w:rsidTr="00CA5363">
        <w:tc>
          <w:tcPr>
            <w:tcW w:w="1272" w:type="pct"/>
            <w:shd w:val="clear" w:color="auto" w:fill="auto"/>
          </w:tcPr>
          <w:p w14:paraId="6609229A" w14:textId="77777777" w:rsidR="00CA5363" w:rsidRPr="003A005A" w:rsidRDefault="00CA5363" w:rsidP="00AD7252">
            <w:pPr>
              <w:pStyle w:val="Tabletext"/>
            </w:pPr>
            <w:r w:rsidRPr="003A005A">
              <w:t xml:space="preserve">2.  </w:t>
            </w:r>
            <w:r w:rsidR="00F4184D" w:rsidRPr="003A005A">
              <w:t>Schedule 1</w:t>
            </w:r>
          </w:p>
        </w:tc>
        <w:tc>
          <w:tcPr>
            <w:tcW w:w="2627" w:type="pct"/>
            <w:shd w:val="clear" w:color="auto" w:fill="auto"/>
          </w:tcPr>
          <w:p w14:paraId="07815247" w14:textId="77777777" w:rsidR="00CA5363" w:rsidRPr="003A005A" w:rsidRDefault="00CA5363" w:rsidP="005452CC">
            <w:pPr>
              <w:pStyle w:val="Tabletext"/>
            </w:pPr>
            <w:r w:rsidRPr="003A005A">
              <w:t>The day after these Rules are registered.</w:t>
            </w:r>
          </w:p>
        </w:tc>
        <w:tc>
          <w:tcPr>
            <w:tcW w:w="1102" w:type="pct"/>
            <w:shd w:val="clear" w:color="auto" w:fill="auto"/>
          </w:tcPr>
          <w:p w14:paraId="073E2997" w14:textId="26D02045" w:rsidR="00CA5363" w:rsidRPr="003A005A" w:rsidRDefault="00690F1B">
            <w:pPr>
              <w:pStyle w:val="Tabletext"/>
            </w:pPr>
            <w:r>
              <w:t>28 November 2022</w:t>
            </w:r>
          </w:p>
        </w:tc>
      </w:tr>
      <w:tr w:rsidR="00CA5363" w:rsidRPr="003A005A" w14:paraId="388C7080" w14:textId="77777777" w:rsidTr="00CA5363">
        <w:tc>
          <w:tcPr>
            <w:tcW w:w="1272" w:type="pct"/>
            <w:tcBorders>
              <w:bottom w:val="single" w:sz="2" w:space="0" w:color="auto"/>
            </w:tcBorders>
            <w:shd w:val="clear" w:color="auto" w:fill="auto"/>
          </w:tcPr>
          <w:p w14:paraId="602F86E9" w14:textId="77777777" w:rsidR="00CA5363" w:rsidRPr="003A005A" w:rsidRDefault="00CA5363" w:rsidP="00AD7252">
            <w:pPr>
              <w:pStyle w:val="Tabletext"/>
            </w:pPr>
            <w:r w:rsidRPr="003A005A">
              <w:t xml:space="preserve">3.  </w:t>
            </w:r>
            <w:r w:rsidR="00F4184D" w:rsidRPr="003A005A">
              <w:t>Schedule 2</w:t>
            </w:r>
          </w:p>
        </w:tc>
        <w:tc>
          <w:tcPr>
            <w:tcW w:w="2627" w:type="pct"/>
            <w:tcBorders>
              <w:bottom w:val="single" w:sz="2" w:space="0" w:color="auto"/>
            </w:tcBorders>
            <w:shd w:val="clear" w:color="auto" w:fill="auto"/>
          </w:tcPr>
          <w:p w14:paraId="1A579075" w14:textId="77777777" w:rsidR="00CA5363" w:rsidRPr="003A005A" w:rsidRDefault="00F4184D" w:rsidP="005452CC">
            <w:pPr>
              <w:pStyle w:val="Tabletext"/>
            </w:pPr>
            <w:r w:rsidRPr="003A005A">
              <w:t>1 January</w:t>
            </w:r>
            <w:r w:rsidR="00CA5363" w:rsidRPr="003A005A">
              <w:t xml:space="preserve"> 2023.</w:t>
            </w:r>
          </w:p>
        </w:tc>
        <w:tc>
          <w:tcPr>
            <w:tcW w:w="1102" w:type="pct"/>
            <w:tcBorders>
              <w:bottom w:val="single" w:sz="2" w:space="0" w:color="auto"/>
            </w:tcBorders>
            <w:shd w:val="clear" w:color="auto" w:fill="auto"/>
          </w:tcPr>
          <w:p w14:paraId="2C4D9CFD" w14:textId="77777777" w:rsidR="00CA5363" w:rsidRPr="003A005A" w:rsidRDefault="00F4184D">
            <w:pPr>
              <w:pStyle w:val="Tabletext"/>
            </w:pPr>
            <w:r w:rsidRPr="003A005A">
              <w:t>1 January</w:t>
            </w:r>
            <w:r w:rsidR="00CA5363" w:rsidRPr="003A005A">
              <w:t xml:space="preserve"> 2023</w:t>
            </w:r>
          </w:p>
        </w:tc>
      </w:tr>
      <w:tr w:rsidR="00CA5363" w:rsidRPr="003A005A" w14:paraId="663D1402" w14:textId="77777777" w:rsidTr="00CA5363">
        <w:tc>
          <w:tcPr>
            <w:tcW w:w="1272" w:type="pct"/>
            <w:tcBorders>
              <w:top w:val="single" w:sz="2" w:space="0" w:color="auto"/>
              <w:bottom w:val="single" w:sz="12" w:space="0" w:color="auto"/>
            </w:tcBorders>
            <w:shd w:val="clear" w:color="auto" w:fill="auto"/>
          </w:tcPr>
          <w:p w14:paraId="7EC4A920" w14:textId="77777777" w:rsidR="00CA5363" w:rsidRPr="003A005A" w:rsidRDefault="00CA5363" w:rsidP="00AD7252">
            <w:pPr>
              <w:pStyle w:val="Tabletext"/>
            </w:pPr>
            <w:r w:rsidRPr="003A005A">
              <w:t xml:space="preserve">4.  </w:t>
            </w:r>
            <w:r w:rsidR="00F4184D" w:rsidRPr="003A005A">
              <w:t>Schedule 3</w:t>
            </w:r>
          </w:p>
        </w:tc>
        <w:tc>
          <w:tcPr>
            <w:tcW w:w="2627" w:type="pct"/>
            <w:tcBorders>
              <w:top w:val="single" w:sz="2" w:space="0" w:color="auto"/>
              <w:bottom w:val="single" w:sz="12" w:space="0" w:color="auto"/>
            </w:tcBorders>
            <w:shd w:val="clear" w:color="auto" w:fill="auto"/>
          </w:tcPr>
          <w:p w14:paraId="59992D87" w14:textId="77777777" w:rsidR="00CA5363" w:rsidRPr="003A005A" w:rsidRDefault="00CA5363" w:rsidP="005452CC">
            <w:pPr>
              <w:pStyle w:val="Tabletext"/>
            </w:pPr>
            <w:r w:rsidRPr="003A005A">
              <w:t>The day after these Rules are registered.</w:t>
            </w:r>
          </w:p>
        </w:tc>
        <w:tc>
          <w:tcPr>
            <w:tcW w:w="1102" w:type="pct"/>
            <w:tcBorders>
              <w:top w:val="single" w:sz="2" w:space="0" w:color="auto"/>
              <w:bottom w:val="single" w:sz="12" w:space="0" w:color="auto"/>
            </w:tcBorders>
            <w:shd w:val="clear" w:color="auto" w:fill="auto"/>
          </w:tcPr>
          <w:p w14:paraId="64748C73" w14:textId="22936E0A" w:rsidR="00CA5363" w:rsidRPr="003A005A" w:rsidRDefault="00690F1B">
            <w:pPr>
              <w:pStyle w:val="Tabletext"/>
            </w:pPr>
            <w:r>
              <w:t>28 November 2022</w:t>
            </w:r>
            <w:bookmarkStart w:id="2" w:name="_GoBack"/>
            <w:bookmarkEnd w:id="2"/>
          </w:p>
        </w:tc>
      </w:tr>
    </w:tbl>
    <w:p w14:paraId="503570B6" w14:textId="77777777" w:rsidR="005452CC" w:rsidRPr="003A005A" w:rsidRDefault="005452CC" w:rsidP="00006355">
      <w:pPr>
        <w:pStyle w:val="notetext"/>
      </w:pPr>
      <w:r w:rsidRPr="003A005A">
        <w:rPr>
          <w:snapToGrid w:val="0"/>
          <w:lang w:eastAsia="en-US"/>
        </w:rPr>
        <w:t>Note:</w:t>
      </w:r>
      <w:r w:rsidRPr="003A005A">
        <w:rPr>
          <w:snapToGrid w:val="0"/>
          <w:lang w:eastAsia="en-US"/>
        </w:rPr>
        <w:tab/>
        <w:t xml:space="preserve">This table relates only to the provisions of </w:t>
      </w:r>
      <w:r w:rsidR="00381F7B" w:rsidRPr="003A005A">
        <w:rPr>
          <w:snapToGrid w:val="0"/>
          <w:lang w:eastAsia="en-US"/>
        </w:rPr>
        <w:t>these Rules</w:t>
      </w:r>
      <w:r w:rsidRPr="003A005A">
        <w:t xml:space="preserve"> </w:t>
      </w:r>
      <w:r w:rsidRPr="003A005A">
        <w:rPr>
          <w:snapToGrid w:val="0"/>
          <w:lang w:eastAsia="en-US"/>
        </w:rPr>
        <w:t xml:space="preserve">as originally made. It will not be amended to deal with any later amendments of </w:t>
      </w:r>
      <w:r w:rsidR="00381F7B" w:rsidRPr="003A005A">
        <w:rPr>
          <w:snapToGrid w:val="0"/>
          <w:lang w:eastAsia="en-US"/>
        </w:rPr>
        <w:t>these Rules</w:t>
      </w:r>
      <w:r w:rsidRPr="003A005A">
        <w:rPr>
          <w:snapToGrid w:val="0"/>
          <w:lang w:eastAsia="en-US"/>
        </w:rPr>
        <w:t>.</w:t>
      </w:r>
    </w:p>
    <w:p w14:paraId="2D31C3BF" w14:textId="77777777" w:rsidR="005452CC" w:rsidRPr="003A005A" w:rsidRDefault="005452CC" w:rsidP="004F676E">
      <w:pPr>
        <w:pStyle w:val="subsection"/>
      </w:pPr>
      <w:r w:rsidRPr="003A005A">
        <w:tab/>
        <w:t>(2)</w:t>
      </w:r>
      <w:r w:rsidRPr="003A005A">
        <w:tab/>
        <w:t xml:space="preserve">Any information in column 3 of the table is not part of </w:t>
      </w:r>
      <w:r w:rsidR="00381F7B" w:rsidRPr="003A005A">
        <w:t>these Rules</w:t>
      </w:r>
      <w:r w:rsidRPr="003A005A">
        <w:t xml:space="preserve">. Information may be inserted in this column, or information in it may be edited, in any published version of </w:t>
      </w:r>
      <w:r w:rsidR="00381F7B" w:rsidRPr="003A005A">
        <w:t>these Rules</w:t>
      </w:r>
      <w:r w:rsidRPr="003A005A">
        <w:t>.</w:t>
      </w:r>
    </w:p>
    <w:p w14:paraId="692F30C1" w14:textId="77777777" w:rsidR="00BF6650" w:rsidRPr="003A005A" w:rsidRDefault="00BF6650" w:rsidP="00BF6650">
      <w:pPr>
        <w:pStyle w:val="ActHead5"/>
      </w:pPr>
      <w:bookmarkStart w:id="3" w:name="_Toc119661634"/>
      <w:r w:rsidRPr="002464C9">
        <w:rPr>
          <w:rStyle w:val="CharSectno"/>
        </w:rPr>
        <w:t>3</w:t>
      </w:r>
      <w:r w:rsidRPr="003A005A">
        <w:t xml:space="preserve">  Authority</w:t>
      </w:r>
      <w:bookmarkEnd w:id="3"/>
    </w:p>
    <w:p w14:paraId="526E490F" w14:textId="77777777" w:rsidR="00BF6650" w:rsidRPr="003A005A" w:rsidRDefault="00BF6650" w:rsidP="00BF6650">
      <w:pPr>
        <w:pStyle w:val="subsection"/>
      </w:pPr>
      <w:r w:rsidRPr="003A005A">
        <w:tab/>
      </w:r>
      <w:r w:rsidRPr="003A005A">
        <w:tab/>
      </w:r>
      <w:r w:rsidR="00381F7B" w:rsidRPr="003A005A">
        <w:t>These Rules are</w:t>
      </w:r>
      <w:r w:rsidRPr="003A005A">
        <w:t xml:space="preserve"> made under </w:t>
      </w:r>
      <w:r w:rsidR="00381F7B" w:rsidRPr="003A005A">
        <w:t xml:space="preserve">Chapter 3 of the </w:t>
      </w:r>
      <w:r w:rsidR="00381F7B" w:rsidRPr="003A005A">
        <w:rPr>
          <w:i/>
        </w:rPr>
        <w:t>Federal Circuit and Family Court of Australia Act 2021</w:t>
      </w:r>
      <w:r w:rsidR="00381F7B" w:rsidRPr="003A005A">
        <w:t>.</w:t>
      </w:r>
    </w:p>
    <w:p w14:paraId="6BF5A255" w14:textId="77777777" w:rsidR="00557C7A" w:rsidRPr="003A005A" w:rsidRDefault="00BF6650" w:rsidP="00557C7A">
      <w:pPr>
        <w:pStyle w:val="ActHead5"/>
      </w:pPr>
      <w:bookmarkStart w:id="4" w:name="_Toc119661635"/>
      <w:r w:rsidRPr="002464C9">
        <w:rPr>
          <w:rStyle w:val="CharSectno"/>
        </w:rPr>
        <w:t>4</w:t>
      </w:r>
      <w:r w:rsidR="00557C7A" w:rsidRPr="003A005A">
        <w:t xml:space="preserve">  </w:t>
      </w:r>
      <w:r w:rsidR="00083F48" w:rsidRPr="003A005A">
        <w:t>Schedules</w:t>
      </w:r>
      <w:bookmarkEnd w:id="4"/>
    </w:p>
    <w:p w14:paraId="49618792" w14:textId="77777777" w:rsidR="00557C7A" w:rsidRPr="003A005A" w:rsidRDefault="00557C7A" w:rsidP="00557C7A">
      <w:pPr>
        <w:pStyle w:val="subsection"/>
      </w:pPr>
      <w:r w:rsidRPr="003A005A">
        <w:tab/>
      </w:r>
      <w:r w:rsidRPr="003A005A">
        <w:tab/>
      </w:r>
      <w:r w:rsidR="00083F48" w:rsidRPr="003A005A">
        <w:t xml:space="preserve">Each </w:t>
      </w:r>
      <w:r w:rsidR="00160BD7" w:rsidRPr="003A005A">
        <w:t>instrument</w:t>
      </w:r>
      <w:r w:rsidR="00083F48" w:rsidRPr="003A005A">
        <w:t xml:space="preserve"> that is specified in a Schedule to </w:t>
      </w:r>
      <w:r w:rsidR="00381F7B" w:rsidRPr="003A005A">
        <w:t>these Rules</w:t>
      </w:r>
      <w:r w:rsidR="00083F48" w:rsidRPr="003A005A">
        <w:t xml:space="preserve"> is amended or repealed as set out in the applicable items in the Schedule concerned, and any other item in a Schedule to </w:t>
      </w:r>
      <w:r w:rsidR="00381F7B" w:rsidRPr="003A005A">
        <w:t>these Rules</w:t>
      </w:r>
      <w:r w:rsidR="00083F48" w:rsidRPr="003A005A">
        <w:t xml:space="preserve"> has effect according to its terms.</w:t>
      </w:r>
    </w:p>
    <w:p w14:paraId="3D9ACD12" w14:textId="77777777" w:rsidR="0048364F" w:rsidRPr="003A005A" w:rsidRDefault="00F4184D" w:rsidP="009C5989">
      <w:pPr>
        <w:pStyle w:val="ActHead6"/>
        <w:pageBreakBefore/>
      </w:pPr>
      <w:bookmarkStart w:id="5" w:name="_Toc119661636"/>
      <w:bookmarkStart w:id="6" w:name="opcAmSched"/>
      <w:r w:rsidRPr="002464C9">
        <w:rPr>
          <w:rStyle w:val="CharAmSchNo"/>
        </w:rPr>
        <w:lastRenderedPageBreak/>
        <w:t>Schedule 1</w:t>
      </w:r>
      <w:r w:rsidR="0048364F" w:rsidRPr="003A005A">
        <w:t>—</w:t>
      </w:r>
      <w:r w:rsidR="00490203" w:rsidRPr="002464C9">
        <w:rPr>
          <w:rStyle w:val="CharAmSchText"/>
        </w:rPr>
        <w:t>General a</w:t>
      </w:r>
      <w:r w:rsidR="00460499" w:rsidRPr="002464C9">
        <w:rPr>
          <w:rStyle w:val="CharAmSchText"/>
        </w:rPr>
        <w:t>mendments</w:t>
      </w:r>
      <w:bookmarkEnd w:id="5"/>
    </w:p>
    <w:bookmarkEnd w:id="6"/>
    <w:p w14:paraId="76BA0DFE" w14:textId="77777777" w:rsidR="0004044E" w:rsidRPr="002464C9" w:rsidRDefault="0004044E" w:rsidP="0004044E">
      <w:pPr>
        <w:pStyle w:val="Header"/>
      </w:pPr>
      <w:r w:rsidRPr="002464C9">
        <w:rPr>
          <w:rStyle w:val="CharAmPartNo"/>
        </w:rPr>
        <w:t xml:space="preserve"> </w:t>
      </w:r>
      <w:r w:rsidRPr="002464C9">
        <w:rPr>
          <w:rStyle w:val="CharAmPartText"/>
        </w:rPr>
        <w:t xml:space="preserve"> </w:t>
      </w:r>
    </w:p>
    <w:p w14:paraId="5AB7BD09" w14:textId="77777777" w:rsidR="0084172C" w:rsidRPr="003A005A" w:rsidRDefault="002456A6" w:rsidP="00EA0D36">
      <w:pPr>
        <w:pStyle w:val="ActHead9"/>
      </w:pPr>
      <w:bookmarkStart w:id="7" w:name="_Toc119661637"/>
      <w:r w:rsidRPr="003A005A">
        <w:t xml:space="preserve">Federal Circuit and Family Court of Australia (Family Law) </w:t>
      </w:r>
      <w:r w:rsidR="009325B1">
        <w:t>Rules 2</w:t>
      </w:r>
      <w:r w:rsidRPr="003A005A">
        <w:t>021</w:t>
      </w:r>
      <w:bookmarkEnd w:id="7"/>
    </w:p>
    <w:p w14:paraId="55DBF489" w14:textId="77777777" w:rsidR="002456A6" w:rsidRPr="003A005A" w:rsidRDefault="00F4184D" w:rsidP="002456A6">
      <w:pPr>
        <w:pStyle w:val="ItemHead"/>
      </w:pPr>
      <w:r w:rsidRPr="003A005A">
        <w:t>1</w:t>
      </w:r>
      <w:r w:rsidR="002456A6" w:rsidRPr="003A005A">
        <w:t xml:space="preserve">  </w:t>
      </w:r>
      <w:r w:rsidR="00E80E48" w:rsidRPr="003A005A">
        <w:t>Subparagraph 1</w:t>
      </w:r>
      <w:r w:rsidR="002456A6" w:rsidRPr="003A005A">
        <w:t>.09(a)(</w:t>
      </w:r>
      <w:proofErr w:type="spellStart"/>
      <w:r w:rsidR="002456A6" w:rsidRPr="003A005A">
        <w:t>i</w:t>
      </w:r>
      <w:proofErr w:type="spellEnd"/>
      <w:r w:rsidR="002456A6" w:rsidRPr="003A005A">
        <w:t>)</w:t>
      </w:r>
    </w:p>
    <w:p w14:paraId="724105AE" w14:textId="77777777" w:rsidR="002456A6" w:rsidRPr="003A005A" w:rsidRDefault="002456A6" w:rsidP="002456A6">
      <w:pPr>
        <w:pStyle w:val="Item"/>
      </w:pPr>
      <w:r w:rsidRPr="003A005A">
        <w:t xml:space="preserve">Omit “for Review”, substitute “in a </w:t>
      </w:r>
      <w:r w:rsidR="00006355" w:rsidRPr="003A005A">
        <w:t>P</w:t>
      </w:r>
      <w:r w:rsidRPr="003A005A">
        <w:t>roceeding”.</w:t>
      </w:r>
    </w:p>
    <w:p w14:paraId="4383E337" w14:textId="77777777" w:rsidR="00006355" w:rsidRPr="003A005A" w:rsidRDefault="00F4184D" w:rsidP="00006355">
      <w:pPr>
        <w:pStyle w:val="ItemHead"/>
      </w:pPr>
      <w:r w:rsidRPr="003A005A">
        <w:t>2</w:t>
      </w:r>
      <w:r w:rsidR="00006355" w:rsidRPr="003A005A">
        <w:t xml:space="preserve">  After </w:t>
      </w:r>
      <w:proofErr w:type="spellStart"/>
      <w:r w:rsidR="00006355" w:rsidRPr="003A005A">
        <w:t>sub</w:t>
      </w:r>
      <w:r w:rsidRPr="003A005A">
        <w:t>rule</w:t>
      </w:r>
      <w:proofErr w:type="spellEnd"/>
      <w:r w:rsidRPr="003A005A">
        <w:t> 2</w:t>
      </w:r>
      <w:r w:rsidR="00006355" w:rsidRPr="003A005A">
        <w:t>.01(5)</w:t>
      </w:r>
    </w:p>
    <w:p w14:paraId="35B08A53" w14:textId="77777777" w:rsidR="00006355" w:rsidRPr="003A005A" w:rsidRDefault="00006355" w:rsidP="00006355">
      <w:pPr>
        <w:pStyle w:val="Item"/>
      </w:pPr>
      <w:r w:rsidRPr="003A005A">
        <w:t>Insert:</w:t>
      </w:r>
    </w:p>
    <w:p w14:paraId="50B767B8" w14:textId="77777777" w:rsidR="00006355" w:rsidRPr="003A005A" w:rsidRDefault="00006355" w:rsidP="00006355">
      <w:pPr>
        <w:pStyle w:val="subsection"/>
      </w:pPr>
      <w:r w:rsidRPr="003A005A">
        <w:tab/>
        <w:t>(5A)</w:t>
      </w:r>
      <w:r w:rsidRPr="003A005A">
        <w:tab/>
        <w:t xml:space="preserve">An application must </w:t>
      </w:r>
      <w:r w:rsidR="005A2A5D" w:rsidRPr="003A005A">
        <w:t xml:space="preserve">concisely </w:t>
      </w:r>
      <w:r w:rsidRPr="003A005A">
        <w:t>state the orders sought.</w:t>
      </w:r>
    </w:p>
    <w:p w14:paraId="2712E852" w14:textId="77777777" w:rsidR="00D95E97" w:rsidRPr="003A005A" w:rsidRDefault="00F4184D" w:rsidP="00006355">
      <w:pPr>
        <w:pStyle w:val="ItemHead"/>
      </w:pPr>
      <w:r w:rsidRPr="003A005A">
        <w:t>3</w:t>
      </w:r>
      <w:r w:rsidR="00D95E97" w:rsidRPr="003A005A">
        <w:t xml:space="preserve">  </w:t>
      </w:r>
      <w:proofErr w:type="spellStart"/>
      <w:r w:rsidR="00D95E97" w:rsidRPr="003A005A">
        <w:t>Sub</w:t>
      </w:r>
      <w:r w:rsidRPr="003A005A">
        <w:t>rule</w:t>
      </w:r>
      <w:proofErr w:type="spellEnd"/>
      <w:r w:rsidRPr="003A005A">
        <w:t> 2</w:t>
      </w:r>
      <w:r w:rsidR="00D95E97" w:rsidRPr="003A005A">
        <w:t>.04(3) (note)</w:t>
      </w:r>
    </w:p>
    <w:p w14:paraId="1B67498A" w14:textId="77777777" w:rsidR="00D95E97" w:rsidRPr="003A005A" w:rsidRDefault="00D95E97" w:rsidP="00D95E97">
      <w:pPr>
        <w:pStyle w:val="Item"/>
      </w:pPr>
      <w:r w:rsidRPr="003A005A">
        <w:t>Repeal the note, substitute:</w:t>
      </w:r>
    </w:p>
    <w:p w14:paraId="647CEC00" w14:textId="77777777" w:rsidR="00D95E97" w:rsidRPr="003A005A" w:rsidRDefault="00D95E97" w:rsidP="00D95E97">
      <w:pPr>
        <w:pStyle w:val="notetext"/>
      </w:pPr>
      <w:r w:rsidRPr="003A005A">
        <w:t>Note:</w:t>
      </w:r>
      <w:r w:rsidRPr="003A005A">
        <w:tab/>
        <w:t xml:space="preserve">For additional obligations when an application is made for an interlocutory parenting order by consent, see </w:t>
      </w:r>
      <w:r w:rsidR="00F4184D" w:rsidRPr="003A005A">
        <w:t>rule 5</w:t>
      </w:r>
      <w:r w:rsidRPr="003A005A">
        <w:t xml:space="preserve">.29, and when an application is made for a final parenting order by consent, see </w:t>
      </w:r>
      <w:r w:rsidR="00F4184D" w:rsidRPr="003A005A">
        <w:t>rule 1</w:t>
      </w:r>
      <w:r w:rsidRPr="003A005A">
        <w:t>0.05.</w:t>
      </w:r>
    </w:p>
    <w:p w14:paraId="2776B709" w14:textId="77777777" w:rsidR="00006355" w:rsidRPr="003A005A" w:rsidRDefault="00F4184D" w:rsidP="00006355">
      <w:pPr>
        <w:pStyle w:val="ItemHead"/>
      </w:pPr>
      <w:r w:rsidRPr="003A005A">
        <w:t>4</w:t>
      </w:r>
      <w:r w:rsidR="00006355" w:rsidRPr="003A005A">
        <w:t xml:space="preserve">  </w:t>
      </w:r>
      <w:r w:rsidR="00616133" w:rsidRPr="003A005A">
        <w:t>Part 2</w:t>
      </w:r>
      <w:r w:rsidR="00006355" w:rsidRPr="003A005A">
        <w:t xml:space="preserve">.6 </w:t>
      </w:r>
      <w:r w:rsidR="00191119" w:rsidRPr="003A005A">
        <w:t>(</w:t>
      </w:r>
      <w:r w:rsidR="00006355" w:rsidRPr="003A005A">
        <w:t>heading)</w:t>
      </w:r>
    </w:p>
    <w:p w14:paraId="1058917D" w14:textId="77777777" w:rsidR="00006355" w:rsidRPr="003A005A" w:rsidRDefault="00006355" w:rsidP="00006355">
      <w:pPr>
        <w:pStyle w:val="Item"/>
      </w:pPr>
      <w:r w:rsidRPr="003A005A">
        <w:t>Omit “</w:t>
      </w:r>
      <w:r w:rsidRPr="003A005A">
        <w:rPr>
          <w:b/>
        </w:rPr>
        <w:t>documents</w:t>
      </w:r>
      <w:r w:rsidRPr="003A005A">
        <w:t xml:space="preserve"> </w:t>
      </w:r>
      <w:r w:rsidRPr="003A005A">
        <w:rPr>
          <w:b/>
        </w:rPr>
        <w:t>in Australia</w:t>
      </w:r>
      <w:r w:rsidRPr="003A005A">
        <w:t>”, substitute “</w:t>
      </w:r>
      <w:r w:rsidRPr="003A005A">
        <w:rPr>
          <w:b/>
        </w:rPr>
        <w:t>documents—general</w:t>
      </w:r>
      <w:r w:rsidRPr="003A005A">
        <w:t>”.</w:t>
      </w:r>
    </w:p>
    <w:p w14:paraId="30D22B3F" w14:textId="77777777" w:rsidR="00D95E97" w:rsidRPr="003A005A" w:rsidRDefault="00F4184D" w:rsidP="005A2A5D">
      <w:pPr>
        <w:pStyle w:val="ItemHead"/>
      </w:pPr>
      <w:r w:rsidRPr="003A005A">
        <w:t>5</w:t>
      </w:r>
      <w:r w:rsidR="00D95E97" w:rsidRPr="003A005A">
        <w:t xml:space="preserve">  </w:t>
      </w:r>
      <w:proofErr w:type="spellStart"/>
      <w:r w:rsidR="00D95E97" w:rsidRPr="003A005A">
        <w:t>Sub</w:t>
      </w:r>
      <w:r w:rsidRPr="003A005A">
        <w:t>rule</w:t>
      </w:r>
      <w:proofErr w:type="spellEnd"/>
      <w:r w:rsidRPr="003A005A">
        <w:t> 3</w:t>
      </w:r>
      <w:r w:rsidR="00D95E97" w:rsidRPr="003A005A">
        <w:t>.13(2) (note 3)</w:t>
      </w:r>
    </w:p>
    <w:p w14:paraId="09D1EAA1" w14:textId="77777777" w:rsidR="00D95E97" w:rsidRPr="003A005A" w:rsidRDefault="00D95E97" w:rsidP="00D95E97">
      <w:pPr>
        <w:pStyle w:val="Item"/>
      </w:pPr>
      <w:r w:rsidRPr="003A005A">
        <w:t>Omit “</w:t>
      </w:r>
      <w:r w:rsidR="00F4184D" w:rsidRPr="003A005A">
        <w:t>Rule 1</w:t>
      </w:r>
      <w:r w:rsidRPr="003A005A">
        <w:t>0.04(3) requires”, substitute “</w:t>
      </w:r>
      <w:proofErr w:type="spellStart"/>
      <w:r w:rsidRPr="003A005A">
        <w:t>Sub</w:t>
      </w:r>
      <w:r w:rsidR="00F4184D" w:rsidRPr="003A005A">
        <w:t>rules</w:t>
      </w:r>
      <w:proofErr w:type="spellEnd"/>
      <w:r w:rsidR="00F4184D" w:rsidRPr="003A005A">
        <w:t> 5</w:t>
      </w:r>
      <w:r w:rsidRPr="003A005A">
        <w:t>.28(3) and 10.04(3) require”.</w:t>
      </w:r>
    </w:p>
    <w:p w14:paraId="5522D4B0" w14:textId="77777777" w:rsidR="005A2A5D" w:rsidRPr="003A005A" w:rsidRDefault="00F4184D" w:rsidP="005A2A5D">
      <w:pPr>
        <w:pStyle w:val="ItemHead"/>
      </w:pPr>
      <w:r w:rsidRPr="003A005A">
        <w:t>6</w:t>
      </w:r>
      <w:r w:rsidR="005A2A5D" w:rsidRPr="003A005A">
        <w:t xml:space="preserve">  </w:t>
      </w:r>
      <w:proofErr w:type="spellStart"/>
      <w:r w:rsidR="005A2A5D" w:rsidRPr="003A005A">
        <w:t>Sub</w:t>
      </w:r>
      <w:r w:rsidRPr="003A005A">
        <w:t>rule</w:t>
      </w:r>
      <w:proofErr w:type="spellEnd"/>
      <w:r w:rsidRPr="003A005A">
        <w:t> 4</w:t>
      </w:r>
      <w:r w:rsidR="005A2A5D" w:rsidRPr="003A005A">
        <w:t>.09(3) (note</w:t>
      </w:r>
      <w:r w:rsidR="00200C51" w:rsidRPr="003A005A">
        <w:t>s</w:t>
      </w:r>
      <w:r w:rsidR="005A2A5D" w:rsidRPr="003A005A">
        <w:t xml:space="preserve"> 1</w:t>
      </w:r>
      <w:r w:rsidR="00200C51" w:rsidRPr="003A005A">
        <w:t xml:space="preserve"> and 2</w:t>
      </w:r>
      <w:r w:rsidR="005A2A5D" w:rsidRPr="003A005A">
        <w:t>)</w:t>
      </w:r>
    </w:p>
    <w:p w14:paraId="3446589A" w14:textId="77777777" w:rsidR="005A2A5D" w:rsidRPr="003A005A" w:rsidRDefault="005A2A5D" w:rsidP="005A2A5D">
      <w:pPr>
        <w:pStyle w:val="Item"/>
      </w:pPr>
      <w:r w:rsidRPr="003A005A">
        <w:t>Repeal the note</w:t>
      </w:r>
      <w:r w:rsidR="00200C51" w:rsidRPr="003A005A">
        <w:t>s</w:t>
      </w:r>
      <w:r w:rsidRPr="003A005A">
        <w:t>, substitute:</w:t>
      </w:r>
    </w:p>
    <w:p w14:paraId="09C1DEAB" w14:textId="77777777" w:rsidR="005A2A5D" w:rsidRPr="003A005A" w:rsidRDefault="005A2A5D" w:rsidP="005A2A5D">
      <w:pPr>
        <w:pStyle w:val="notetext"/>
      </w:pPr>
      <w:r w:rsidRPr="003A005A">
        <w:t>Note 1:</w:t>
      </w:r>
      <w:r w:rsidRPr="003A005A">
        <w:tab/>
        <w:t xml:space="preserve">The draft consent order should set out the orders agreed to by the parties and must be signed by each party or the party’s legal representative (see </w:t>
      </w:r>
      <w:proofErr w:type="spellStart"/>
      <w:r w:rsidRPr="003A005A">
        <w:t>sub</w:t>
      </w:r>
      <w:r w:rsidR="00F4184D" w:rsidRPr="003A005A">
        <w:t>rules</w:t>
      </w:r>
      <w:proofErr w:type="spellEnd"/>
      <w:r w:rsidR="00F4184D" w:rsidRPr="003A005A">
        <w:t> 5</w:t>
      </w:r>
      <w:r w:rsidRPr="003A005A">
        <w:t>.28(2) and 10.04(</w:t>
      </w:r>
      <w:r w:rsidR="00200C51" w:rsidRPr="003A005A">
        <w:t>2</w:t>
      </w:r>
      <w:r w:rsidRPr="003A005A">
        <w:t>)).</w:t>
      </w:r>
    </w:p>
    <w:p w14:paraId="6D880DFA" w14:textId="77777777" w:rsidR="00200C51" w:rsidRPr="003A005A" w:rsidRDefault="00200C51" w:rsidP="005A2A5D">
      <w:pPr>
        <w:pStyle w:val="notetext"/>
      </w:pPr>
      <w:r w:rsidRPr="003A005A">
        <w:t>Note 2:</w:t>
      </w:r>
      <w:r w:rsidRPr="003A005A">
        <w:tab/>
        <w:t xml:space="preserve">If a litigation guardian seeks a consent order (other than an order relating to practice or procedure), the litigation guardian must file an affidavit setting out the facts relied on to satisfy the court that the order is in the party’s best interests (see </w:t>
      </w:r>
      <w:proofErr w:type="spellStart"/>
      <w:r w:rsidRPr="003A005A">
        <w:t>sub</w:t>
      </w:r>
      <w:r w:rsidR="00F4184D" w:rsidRPr="003A005A">
        <w:t>rules</w:t>
      </w:r>
      <w:proofErr w:type="spellEnd"/>
      <w:r w:rsidR="00F4184D" w:rsidRPr="003A005A">
        <w:t> 5</w:t>
      </w:r>
      <w:r w:rsidRPr="003A005A">
        <w:t>.28(3) and 10.04(3)).</w:t>
      </w:r>
    </w:p>
    <w:p w14:paraId="178D1114" w14:textId="77777777" w:rsidR="00006355" w:rsidRPr="003A005A" w:rsidRDefault="00F4184D" w:rsidP="00006355">
      <w:pPr>
        <w:pStyle w:val="ItemHead"/>
      </w:pPr>
      <w:r w:rsidRPr="003A005A">
        <w:t>7</w:t>
      </w:r>
      <w:r w:rsidR="00006355" w:rsidRPr="003A005A">
        <w:t xml:space="preserve">  At the end of </w:t>
      </w:r>
      <w:r w:rsidR="00616133" w:rsidRPr="003A005A">
        <w:t>Chapter 5</w:t>
      </w:r>
    </w:p>
    <w:p w14:paraId="19D4FD6A" w14:textId="77777777" w:rsidR="00006355" w:rsidRPr="003A005A" w:rsidRDefault="00006355" w:rsidP="00006355">
      <w:pPr>
        <w:pStyle w:val="Item"/>
      </w:pPr>
      <w:r w:rsidRPr="003A005A">
        <w:t>Add:</w:t>
      </w:r>
    </w:p>
    <w:p w14:paraId="1B0A9A7C" w14:textId="77777777" w:rsidR="00006355" w:rsidRPr="003A005A" w:rsidRDefault="00616133" w:rsidP="00006355">
      <w:pPr>
        <w:pStyle w:val="ActHead2"/>
      </w:pPr>
      <w:bookmarkStart w:id="8" w:name="_Toc119661638"/>
      <w:r w:rsidRPr="002464C9">
        <w:rPr>
          <w:rStyle w:val="CharPartNo"/>
        </w:rPr>
        <w:t>Part 5</w:t>
      </w:r>
      <w:r w:rsidR="00006355" w:rsidRPr="002464C9">
        <w:rPr>
          <w:rStyle w:val="CharPartNo"/>
        </w:rPr>
        <w:t>.6</w:t>
      </w:r>
      <w:r w:rsidR="00006355" w:rsidRPr="003A005A">
        <w:t>—</w:t>
      </w:r>
      <w:r w:rsidR="00006355" w:rsidRPr="002464C9">
        <w:rPr>
          <w:rStyle w:val="CharPartText"/>
        </w:rPr>
        <w:t>Consent orders</w:t>
      </w:r>
      <w:bookmarkEnd w:id="8"/>
    </w:p>
    <w:p w14:paraId="00D54BC3" w14:textId="77777777" w:rsidR="00006355" w:rsidRPr="002464C9" w:rsidRDefault="00006355" w:rsidP="00006355">
      <w:pPr>
        <w:pStyle w:val="Header"/>
      </w:pPr>
      <w:r w:rsidRPr="002464C9">
        <w:rPr>
          <w:rStyle w:val="CharDivNo"/>
        </w:rPr>
        <w:t xml:space="preserve"> </w:t>
      </w:r>
      <w:r w:rsidRPr="002464C9">
        <w:rPr>
          <w:rStyle w:val="CharDivText"/>
        </w:rPr>
        <w:t xml:space="preserve"> </w:t>
      </w:r>
    </w:p>
    <w:p w14:paraId="11C81A9C" w14:textId="77777777" w:rsidR="00006355" w:rsidRPr="003A005A" w:rsidRDefault="00006355" w:rsidP="00006355">
      <w:pPr>
        <w:pStyle w:val="ActHead5"/>
      </w:pPr>
      <w:bookmarkStart w:id="9" w:name="_Toc119661639"/>
      <w:r w:rsidRPr="002464C9">
        <w:rPr>
          <w:rStyle w:val="CharSectno"/>
        </w:rPr>
        <w:t>5.28</w:t>
      </w:r>
      <w:r w:rsidRPr="003A005A">
        <w:t xml:space="preserve">  Application for order by consent</w:t>
      </w:r>
      <w:bookmarkEnd w:id="9"/>
    </w:p>
    <w:p w14:paraId="44B190F0" w14:textId="77777777" w:rsidR="00006355" w:rsidRPr="003A005A" w:rsidRDefault="00006355" w:rsidP="00006355">
      <w:pPr>
        <w:pStyle w:val="subsection"/>
      </w:pPr>
      <w:r w:rsidRPr="003A005A">
        <w:tab/>
        <w:t>(1)</w:t>
      </w:r>
      <w:r w:rsidRPr="003A005A">
        <w:tab/>
        <w:t>The parties to a proceeding may apply for an order in terms of an agreement reached about a matter in dispute in the proceeding:</w:t>
      </w:r>
    </w:p>
    <w:p w14:paraId="6B122A5A" w14:textId="77777777" w:rsidR="00006355" w:rsidRPr="003A005A" w:rsidRDefault="00006355" w:rsidP="00006355">
      <w:pPr>
        <w:pStyle w:val="paragraph"/>
      </w:pPr>
      <w:r w:rsidRPr="003A005A">
        <w:tab/>
        <w:t>(a)</w:t>
      </w:r>
      <w:r w:rsidRPr="003A005A">
        <w:tab/>
        <w:t>by lodging a draft consent order; or</w:t>
      </w:r>
    </w:p>
    <w:p w14:paraId="32EFBB14" w14:textId="77777777" w:rsidR="00006355" w:rsidRPr="003A005A" w:rsidRDefault="00006355" w:rsidP="00006355">
      <w:pPr>
        <w:pStyle w:val="paragraph"/>
      </w:pPr>
      <w:r w:rsidRPr="003A005A">
        <w:tab/>
        <w:t>(b)</w:t>
      </w:r>
      <w:r w:rsidRPr="003A005A">
        <w:tab/>
        <w:t>by tendering a draft consent order to a judicial officer during a court event; or</w:t>
      </w:r>
    </w:p>
    <w:p w14:paraId="31E8B5D3" w14:textId="77777777" w:rsidR="00006355" w:rsidRPr="003A005A" w:rsidRDefault="00006355" w:rsidP="00006355">
      <w:pPr>
        <w:pStyle w:val="paragraph"/>
      </w:pPr>
      <w:r w:rsidRPr="003A005A">
        <w:tab/>
        <w:t>(c)</w:t>
      </w:r>
      <w:r w:rsidRPr="003A005A">
        <w:tab/>
        <w:t>orally, during a court hearing or trial.</w:t>
      </w:r>
    </w:p>
    <w:p w14:paraId="47942509" w14:textId="77777777" w:rsidR="00006355" w:rsidRPr="003A005A" w:rsidRDefault="00006355" w:rsidP="005A2A5D">
      <w:pPr>
        <w:pStyle w:val="subsection"/>
      </w:pPr>
      <w:r w:rsidRPr="003A005A">
        <w:lastRenderedPageBreak/>
        <w:tab/>
        <w:t>(2)</w:t>
      </w:r>
      <w:r w:rsidRPr="003A005A">
        <w:tab/>
        <w:t>A draft consent order must state that it is made by consent and must be signed by each party</w:t>
      </w:r>
      <w:r w:rsidR="005A2A5D" w:rsidRPr="003A005A">
        <w:t xml:space="preserve"> or the party’s legal representative.</w:t>
      </w:r>
    </w:p>
    <w:p w14:paraId="195DABC1" w14:textId="77777777" w:rsidR="00006355" w:rsidRPr="003A005A" w:rsidRDefault="00006355" w:rsidP="00006355">
      <w:pPr>
        <w:pStyle w:val="subsection"/>
      </w:pPr>
      <w:r w:rsidRPr="003A005A">
        <w:tab/>
        <w:t>(3)</w:t>
      </w:r>
      <w:r w:rsidRPr="003A005A">
        <w:tab/>
        <w:t>If the litigation guardian of a party seeks a consent order (other than an order relating to practice or procedure), the litigation guardian must file an affidavit setting out the facts relied on to satisfy the court that the order is in the party’s best interests.</w:t>
      </w:r>
    </w:p>
    <w:p w14:paraId="3992CAA7" w14:textId="77777777" w:rsidR="00D53083" w:rsidRPr="003A005A" w:rsidRDefault="00FD3894" w:rsidP="00D53083">
      <w:pPr>
        <w:pStyle w:val="ActHead5"/>
      </w:pPr>
      <w:bookmarkStart w:id="10" w:name="_Toc119661640"/>
      <w:r w:rsidRPr="002464C9">
        <w:rPr>
          <w:rStyle w:val="CharSectno"/>
        </w:rPr>
        <w:t>5.29</w:t>
      </w:r>
      <w:r w:rsidR="00D53083" w:rsidRPr="003A005A">
        <w:t xml:space="preserve">  Consent parenting orders and allegations of child abuse, family violence or other risks of harm to children</w:t>
      </w:r>
      <w:bookmarkEnd w:id="10"/>
    </w:p>
    <w:p w14:paraId="4F7543B5" w14:textId="77777777" w:rsidR="00D53083" w:rsidRPr="003A005A" w:rsidRDefault="00D53083" w:rsidP="00D53083">
      <w:pPr>
        <w:pStyle w:val="subsection"/>
      </w:pPr>
      <w:r w:rsidRPr="003A005A">
        <w:tab/>
        <w:t>(1)</w:t>
      </w:r>
      <w:r w:rsidRPr="003A005A">
        <w:tab/>
        <w:t>This rule applies if an application is made to the court for an interlocutory parenting order by consent, unless the order is procedural only.</w:t>
      </w:r>
    </w:p>
    <w:p w14:paraId="60B344D4" w14:textId="77777777" w:rsidR="00D53083" w:rsidRPr="003A005A" w:rsidRDefault="00D53083" w:rsidP="00D53083">
      <w:pPr>
        <w:pStyle w:val="subsection"/>
      </w:pPr>
      <w:r w:rsidRPr="003A005A">
        <w:tab/>
        <w:t>(2)</w:t>
      </w:r>
      <w:r w:rsidRPr="003A005A">
        <w:tab/>
        <w:t>The parties to the application must comply with Division 2.2.1.</w:t>
      </w:r>
    </w:p>
    <w:p w14:paraId="58645D32" w14:textId="77777777" w:rsidR="00D53083" w:rsidRPr="003A005A" w:rsidRDefault="00D53083" w:rsidP="00D53083">
      <w:pPr>
        <w:pStyle w:val="subsection"/>
      </w:pPr>
      <w:r w:rsidRPr="003A005A">
        <w:tab/>
        <w:t>(3)</w:t>
      </w:r>
      <w:r w:rsidRPr="003A005A">
        <w:tab/>
        <w:t>The parties must advise the court whether or not any allegations have been made in the proceeding of child abuse, family violence, or any risk of harm to a child in relation to whom the order is sought.</w:t>
      </w:r>
    </w:p>
    <w:p w14:paraId="1D581B63" w14:textId="77777777" w:rsidR="00D53083" w:rsidRPr="003A005A" w:rsidRDefault="00D53083" w:rsidP="00D53083">
      <w:pPr>
        <w:pStyle w:val="subsection"/>
      </w:pPr>
      <w:r w:rsidRPr="003A005A">
        <w:tab/>
        <w:t>(4)</w:t>
      </w:r>
      <w:r w:rsidRPr="003A005A">
        <w:tab/>
        <w:t>Each party must also advise the court, apart from any allegation made in the proceeding:</w:t>
      </w:r>
    </w:p>
    <w:p w14:paraId="581F5EBC" w14:textId="77777777" w:rsidR="00D53083" w:rsidRPr="003A005A" w:rsidRDefault="00D53083" w:rsidP="00D53083">
      <w:pPr>
        <w:pStyle w:val="paragraph"/>
      </w:pPr>
      <w:r w:rsidRPr="003A005A">
        <w:tab/>
        <w:t>(a)</w:t>
      </w:r>
      <w:r w:rsidRPr="003A005A">
        <w:tab/>
        <w:t>whether the party considers that the child concerned has been, or is at risk of being, subjected or exposed to abuse, neglect or family violence; and</w:t>
      </w:r>
    </w:p>
    <w:p w14:paraId="46822DDC" w14:textId="77777777" w:rsidR="00D53083" w:rsidRPr="003A005A" w:rsidRDefault="00D53083" w:rsidP="00D53083">
      <w:pPr>
        <w:pStyle w:val="paragraph"/>
      </w:pPr>
      <w:r w:rsidRPr="003A005A">
        <w:tab/>
        <w:t>(b)</w:t>
      </w:r>
      <w:r w:rsidRPr="003A005A">
        <w:tab/>
        <w:t>whether the party considers that the party, or another party to the proceedings, has been, or is at risk of being, subjected to family violence.</w:t>
      </w:r>
    </w:p>
    <w:p w14:paraId="0B26296A" w14:textId="77777777" w:rsidR="00D53083" w:rsidRPr="003A005A" w:rsidRDefault="00D53083" w:rsidP="00D53083">
      <w:pPr>
        <w:pStyle w:val="subsection"/>
      </w:pPr>
      <w:r w:rsidRPr="003A005A">
        <w:tab/>
        <w:t>(5)</w:t>
      </w:r>
      <w:r w:rsidRPr="003A005A">
        <w:tab/>
        <w:t xml:space="preserve">If an allegation referred to in </w:t>
      </w:r>
      <w:proofErr w:type="spellStart"/>
      <w:r w:rsidRPr="003A005A">
        <w:t>subrule</w:t>
      </w:r>
      <w:proofErr w:type="spellEnd"/>
      <w:r w:rsidRPr="003A005A">
        <w:t xml:space="preserve"> (3) has been made, or a party advises the court of any concerns referred to in </w:t>
      </w:r>
      <w:proofErr w:type="spellStart"/>
      <w:r w:rsidRPr="003A005A">
        <w:t>subrule</w:t>
      </w:r>
      <w:proofErr w:type="spellEnd"/>
      <w:r w:rsidRPr="003A005A">
        <w:t xml:space="preserve"> (4), the parties must explain to the court how the proposed parenting order attempts to deal with the allegation or concern.</w:t>
      </w:r>
    </w:p>
    <w:p w14:paraId="520F8ED7" w14:textId="77777777" w:rsidR="00D53083" w:rsidRPr="003A005A" w:rsidRDefault="00D53083" w:rsidP="00D53083">
      <w:pPr>
        <w:pStyle w:val="subsection"/>
      </w:pPr>
      <w:r w:rsidRPr="003A005A">
        <w:tab/>
        <w:t>(6)</w:t>
      </w:r>
      <w:r w:rsidRPr="003A005A">
        <w:tab/>
        <w:t xml:space="preserve">The parties may comply with </w:t>
      </w:r>
      <w:proofErr w:type="spellStart"/>
      <w:r w:rsidRPr="003A005A">
        <w:t>subrules</w:t>
      </w:r>
      <w:proofErr w:type="spellEnd"/>
      <w:r w:rsidRPr="003A005A">
        <w:t xml:space="preserve"> (3) to (5):</w:t>
      </w:r>
    </w:p>
    <w:p w14:paraId="39E7A4F3" w14:textId="77777777" w:rsidR="00D53083" w:rsidRPr="003A005A" w:rsidRDefault="00D53083" w:rsidP="00D53083">
      <w:pPr>
        <w:pStyle w:val="paragraph"/>
      </w:pPr>
      <w:r w:rsidRPr="003A005A">
        <w:tab/>
        <w:t>(a)</w:t>
      </w:r>
      <w:r w:rsidRPr="003A005A">
        <w:tab/>
        <w:t xml:space="preserve">if a draft parenting order is lodged or is tendered to a judicial officer during a court event—by attaching to the draft parenting order </w:t>
      </w:r>
      <w:r w:rsidR="009218EE" w:rsidRPr="003A005A">
        <w:t xml:space="preserve">the </w:t>
      </w:r>
      <w:r w:rsidRPr="003A005A">
        <w:t xml:space="preserve">approved form </w:t>
      </w:r>
      <w:r w:rsidR="001B3D86" w:rsidRPr="003A005A">
        <w:t xml:space="preserve">for the purposes of this paragraph </w:t>
      </w:r>
      <w:r w:rsidRPr="003A005A">
        <w:t>signed by each party or their legal representative; or</w:t>
      </w:r>
    </w:p>
    <w:p w14:paraId="06AFC5C3" w14:textId="77777777" w:rsidR="00D53083" w:rsidRPr="003A005A" w:rsidRDefault="00D53083" w:rsidP="00D53083">
      <w:pPr>
        <w:pStyle w:val="paragraph"/>
      </w:pPr>
      <w:r w:rsidRPr="003A005A">
        <w:tab/>
        <w:t>(b)</w:t>
      </w:r>
      <w:r w:rsidRPr="003A005A">
        <w:tab/>
        <w:t>if the application is made orally during a court event—by each party or the party’s legal representative advising the court of the required matters orally; or</w:t>
      </w:r>
    </w:p>
    <w:p w14:paraId="20428842" w14:textId="77777777" w:rsidR="00D53083" w:rsidRPr="003A005A" w:rsidRDefault="00D53083" w:rsidP="00D53083">
      <w:pPr>
        <w:pStyle w:val="paragraph"/>
      </w:pPr>
      <w:r w:rsidRPr="003A005A">
        <w:tab/>
        <w:t>(c)</w:t>
      </w:r>
      <w:r w:rsidRPr="003A005A">
        <w:tab/>
        <w:t xml:space="preserve">if the application for the parenting order </w:t>
      </w:r>
      <w:r w:rsidR="00FD180C" w:rsidRPr="003A005A">
        <w:t xml:space="preserve">is to </w:t>
      </w:r>
      <w:r w:rsidRPr="003A005A">
        <w:t xml:space="preserve">be considered in chambers—by each party attaching to the draft parenting order </w:t>
      </w:r>
      <w:r w:rsidR="009218EE" w:rsidRPr="003A005A">
        <w:t xml:space="preserve">the </w:t>
      </w:r>
      <w:r w:rsidRPr="003A005A">
        <w:t xml:space="preserve">approved form </w:t>
      </w:r>
      <w:r w:rsidR="00F65092" w:rsidRPr="003A005A">
        <w:t xml:space="preserve">for the purposes of this paragraph </w:t>
      </w:r>
      <w:r w:rsidRPr="003A005A">
        <w:t>signed by each party or the party’s legal representative.</w:t>
      </w:r>
    </w:p>
    <w:p w14:paraId="33720B38" w14:textId="77777777" w:rsidR="00006355" w:rsidRPr="003A005A" w:rsidRDefault="00F4184D" w:rsidP="00FD3894">
      <w:pPr>
        <w:pStyle w:val="ItemHead"/>
      </w:pPr>
      <w:r w:rsidRPr="003A005A">
        <w:t>8</w:t>
      </w:r>
      <w:r w:rsidR="00E518E2" w:rsidRPr="003A005A">
        <w:t xml:space="preserve">  </w:t>
      </w:r>
      <w:r w:rsidR="00237A8E" w:rsidRPr="003A005A">
        <w:t>Paragraph 6</w:t>
      </w:r>
      <w:r w:rsidR="00FD3894" w:rsidRPr="003A005A">
        <w:t>.06(5)(b)</w:t>
      </w:r>
    </w:p>
    <w:p w14:paraId="39252282" w14:textId="77777777" w:rsidR="00FD3894" w:rsidRPr="003A005A" w:rsidRDefault="00FD3894" w:rsidP="00FD3894">
      <w:pPr>
        <w:pStyle w:val="Item"/>
      </w:pPr>
      <w:r w:rsidRPr="003A005A">
        <w:t>Repeal the paragraph, substitute:</w:t>
      </w:r>
    </w:p>
    <w:p w14:paraId="60A9B3C9" w14:textId="77777777" w:rsidR="00FD3894" w:rsidRPr="003A005A" w:rsidRDefault="00FD3894" w:rsidP="00E518E2">
      <w:pPr>
        <w:pStyle w:val="paragraph"/>
      </w:pPr>
      <w:r w:rsidRPr="003A005A">
        <w:tab/>
        <w:t>(b)</w:t>
      </w:r>
      <w:r w:rsidRPr="003A005A">
        <w:tab/>
      </w:r>
      <w:r w:rsidR="00E518E2" w:rsidRPr="003A005A">
        <w:t>unless the party is required by these Rules to file an affidavit—a financial questionnaire</w:t>
      </w:r>
      <w:r w:rsidR="00D95E97" w:rsidRPr="003A005A">
        <w:t xml:space="preserve"> in </w:t>
      </w:r>
      <w:r w:rsidR="009218EE" w:rsidRPr="003A005A">
        <w:t xml:space="preserve">accordance with </w:t>
      </w:r>
      <w:r w:rsidR="00D95E97" w:rsidRPr="003A005A">
        <w:t xml:space="preserve">the </w:t>
      </w:r>
      <w:r w:rsidR="009218EE" w:rsidRPr="003A005A">
        <w:t xml:space="preserve">approved </w:t>
      </w:r>
      <w:r w:rsidR="00D95E97" w:rsidRPr="003A005A">
        <w:t>form</w:t>
      </w:r>
      <w:r w:rsidR="00E518E2" w:rsidRPr="003A005A">
        <w:t>.</w:t>
      </w:r>
    </w:p>
    <w:p w14:paraId="696308B3" w14:textId="77777777" w:rsidR="00E518E2" w:rsidRPr="003A005A" w:rsidRDefault="00F4184D" w:rsidP="00E518E2">
      <w:pPr>
        <w:pStyle w:val="ItemHead"/>
      </w:pPr>
      <w:r w:rsidRPr="003A005A">
        <w:t>9</w:t>
      </w:r>
      <w:r w:rsidR="00E518E2" w:rsidRPr="003A005A">
        <w:t xml:space="preserve">  </w:t>
      </w:r>
      <w:r w:rsidR="00616133" w:rsidRPr="003A005A">
        <w:t>Paragraph 7</w:t>
      </w:r>
      <w:r w:rsidR="00E518E2" w:rsidRPr="003A005A">
        <w:t>.01(1)(d)</w:t>
      </w:r>
    </w:p>
    <w:p w14:paraId="17519D56" w14:textId="77777777" w:rsidR="00E518E2" w:rsidRPr="003A005A" w:rsidRDefault="00B8647A" w:rsidP="00E518E2">
      <w:pPr>
        <w:pStyle w:val="Item"/>
      </w:pPr>
      <w:r w:rsidRPr="003A005A">
        <w:t>After “employed”, insert “or engaged”.</w:t>
      </w:r>
    </w:p>
    <w:p w14:paraId="310DABB5" w14:textId="77777777" w:rsidR="00FE7CEC" w:rsidRPr="003A005A" w:rsidRDefault="00F4184D" w:rsidP="00FE7CEC">
      <w:pPr>
        <w:pStyle w:val="ItemHead"/>
      </w:pPr>
      <w:r w:rsidRPr="003A005A">
        <w:lastRenderedPageBreak/>
        <w:t>10</w:t>
      </w:r>
      <w:r w:rsidR="00FE7CEC" w:rsidRPr="003A005A">
        <w:t xml:space="preserve">  </w:t>
      </w:r>
      <w:proofErr w:type="spellStart"/>
      <w:r w:rsidR="00FE7CEC" w:rsidRPr="003A005A">
        <w:t>Sub</w:t>
      </w:r>
      <w:r w:rsidR="00616133" w:rsidRPr="003A005A">
        <w:t>rule</w:t>
      </w:r>
      <w:proofErr w:type="spellEnd"/>
      <w:r w:rsidR="00616133" w:rsidRPr="003A005A">
        <w:t> 7</w:t>
      </w:r>
      <w:r w:rsidR="00FE7CEC" w:rsidRPr="003A005A">
        <w:t>.07(3)</w:t>
      </w:r>
    </w:p>
    <w:p w14:paraId="748112D2" w14:textId="77777777" w:rsidR="00FE7CEC" w:rsidRPr="003A005A" w:rsidRDefault="00FE7CEC" w:rsidP="00FE7CEC">
      <w:pPr>
        <w:pStyle w:val="Item"/>
      </w:pPr>
      <w:r w:rsidRPr="003A005A">
        <w:t>After “the court,”, insert “unless otherwise ordered,”.</w:t>
      </w:r>
    </w:p>
    <w:p w14:paraId="16BBFADA" w14:textId="77777777" w:rsidR="00FE7CEC" w:rsidRPr="003A005A" w:rsidRDefault="00F4184D" w:rsidP="00FE7CEC">
      <w:pPr>
        <w:pStyle w:val="ItemHead"/>
      </w:pPr>
      <w:r w:rsidRPr="003A005A">
        <w:t>11</w:t>
      </w:r>
      <w:r w:rsidR="00FE7CEC" w:rsidRPr="003A005A">
        <w:t xml:space="preserve">  </w:t>
      </w:r>
      <w:proofErr w:type="spellStart"/>
      <w:r w:rsidR="00FE7CEC" w:rsidRPr="003A005A">
        <w:t>Sub</w:t>
      </w:r>
      <w:r w:rsidR="00616133" w:rsidRPr="003A005A">
        <w:t>rule</w:t>
      </w:r>
      <w:proofErr w:type="spellEnd"/>
      <w:r w:rsidR="00616133" w:rsidRPr="003A005A">
        <w:t> 7</w:t>
      </w:r>
      <w:r w:rsidR="00FE7CEC" w:rsidRPr="003A005A">
        <w:t>.22(2)</w:t>
      </w:r>
    </w:p>
    <w:p w14:paraId="44933AB6" w14:textId="77777777" w:rsidR="00FE7CEC" w:rsidRPr="003A005A" w:rsidRDefault="00FE7CEC" w:rsidP="00FE7CEC">
      <w:pPr>
        <w:pStyle w:val="Item"/>
      </w:pPr>
      <w:r w:rsidRPr="003A005A">
        <w:t>Omit “export’s”, substitute “expert’s”.</w:t>
      </w:r>
    </w:p>
    <w:p w14:paraId="5F4036D3" w14:textId="77777777" w:rsidR="00FE7CEC" w:rsidRPr="003A005A" w:rsidRDefault="00F4184D" w:rsidP="00FE7CEC">
      <w:pPr>
        <w:pStyle w:val="ItemHead"/>
      </w:pPr>
      <w:r w:rsidRPr="003A005A">
        <w:t>12</w:t>
      </w:r>
      <w:r w:rsidR="00FE7CEC" w:rsidRPr="003A005A">
        <w:t xml:space="preserve">  At the end of </w:t>
      </w:r>
      <w:proofErr w:type="spellStart"/>
      <w:r w:rsidR="00FE7CEC" w:rsidRPr="003A005A">
        <w:t>sub</w:t>
      </w:r>
      <w:r w:rsidR="00616133" w:rsidRPr="003A005A">
        <w:t>rule</w:t>
      </w:r>
      <w:proofErr w:type="spellEnd"/>
      <w:r w:rsidR="00616133" w:rsidRPr="003A005A">
        <w:t> 7</w:t>
      </w:r>
      <w:r w:rsidR="00FE7CEC" w:rsidRPr="003A005A">
        <w:t>.35(4)</w:t>
      </w:r>
    </w:p>
    <w:p w14:paraId="3D842D45" w14:textId="77777777" w:rsidR="00FE7CEC" w:rsidRPr="003A005A" w:rsidRDefault="00FE7CEC" w:rsidP="00CA6BA4">
      <w:pPr>
        <w:pStyle w:val="Item"/>
      </w:pPr>
      <w:r w:rsidRPr="003A005A">
        <w:t>Add “, but there is a presumption that the court will adopt an opinion or finding of the assessor</w:t>
      </w:r>
      <w:r w:rsidR="00CA6BA4" w:rsidRPr="003A005A">
        <w:t xml:space="preserve"> unless there are exceptional circumstances</w:t>
      </w:r>
      <w:r w:rsidRPr="003A005A">
        <w:t>”.</w:t>
      </w:r>
    </w:p>
    <w:p w14:paraId="12C98A22" w14:textId="77777777" w:rsidR="00FE7CEC" w:rsidRPr="003A005A" w:rsidRDefault="00F4184D" w:rsidP="00FE7CEC">
      <w:pPr>
        <w:pStyle w:val="ItemHead"/>
      </w:pPr>
      <w:r w:rsidRPr="003A005A">
        <w:t>13</w:t>
      </w:r>
      <w:r w:rsidR="00FE7CEC" w:rsidRPr="003A005A">
        <w:t xml:space="preserve">  </w:t>
      </w:r>
      <w:r w:rsidR="00616133" w:rsidRPr="003A005A">
        <w:t>Rule 8</w:t>
      </w:r>
      <w:r w:rsidR="00FE7CEC" w:rsidRPr="003A005A">
        <w:t>.09</w:t>
      </w:r>
    </w:p>
    <w:p w14:paraId="58C4FA90" w14:textId="77777777" w:rsidR="00FE7CEC" w:rsidRPr="003A005A" w:rsidRDefault="00FE7CEC" w:rsidP="00FE7CEC">
      <w:pPr>
        <w:pStyle w:val="Item"/>
      </w:pPr>
      <w:r w:rsidRPr="003A005A">
        <w:t>Omit “Each party to a parenting proceeding”, substitute “Unless a party to a parenting proceeding is required by these Rules to file an affidavit, the party”.</w:t>
      </w:r>
    </w:p>
    <w:p w14:paraId="17CD59B4" w14:textId="77777777" w:rsidR="00FE7CEC" w:rsidRPr="003A005A" w:rsidRDefault="00F4184D" w:rsidP="00FE7CEC">
      <w:pPr>
        <w:pStyle w:val="ItemHead"/>
      </w:pPr>
      <w:r w:rsidRPr="003A005A">
        <w:t>14</w:t>
      </w:r>
      <w:r w:rsidR="00FE7CEC" w:rsidRPr="003A005A">
        <w:t xml:space="preserve">  </w:t>
      </w:r>
      <w:r w:rsidR="00616133" w:rsidRPr="003A005A">
        <w:t>Paragraph 8</w:t>
      </w:r>
      <w:r w:rsidR="00FE7CEC" w:rsidRPr="003A005A">
        <w:t>.15(3)(e)</w:t>
      </w:r>
    </w:p>
    <w:p w14:paraId="3BF71DBE" w14:textId="77777777" w:rsidR="00FE7CEC" w:rsidRPr="003A005A" w:rsidRDefault="00FD180C" w:rsidP="00FE7CEC">
      <w:pPr>
        <w:pStyle w:val="Item"/>
      </w:pPr>
      <w:r w:rsidRPr="003A005A">
        <w:t>Before “tendered”, insert “</w:t>
      </w:r>
      <w:r w:rsidR="00CA6BA4" w:rsidRPr="003A005A">
        <w:t>separately</w:t>
      </w:r>
      <w:r w:rsidRPr="003A005A">
        <w:t>”.</w:t>
      </w:r>
    </w:p>
    <w:p w14:paraId="123CC337" w14:textId="77777777" w:rsidR="005A2A5D" w:rsidRPr="003A005A" w:rsidRDefault="00F4184D" w:rsidP="00FD180C">
      <w:pPr>
        <w:pStyle w:val="ItemHead"/>
      </w:pPr>
      <w:r w:rsidRPr="003A005A">
        <w:t>15</w:t>
      </w:r>
      <w:r w:rsidR="005A2A5D" w:rsidRPr="003A005A">
        <w:t xml:space="preserve">  At the end of </w:t>
      </w:r>
      <w:proofErr w:type="spellStart"/>
      <w:r w:rsidR="005A2A5D" w:rsidRPr="003A005A">
        <w:t>sub</w:t>
      </w:r>
      <w:r w:rsidRPr="003A005A">
        <w:t>rule</w:t>
      </w:r>
      <w:proofErr w:type="spellEnd"/>
      <w:r w:rsidRPr="003A005A">
        <w:t> 1</w:t>
      </w:r>
      <w:r w:rsidR="005A2A5D" w:rsidRPr="003A005A">
        <w:t>0.04(2)</w:t>
      </w:r>
    </w:p>
    <w:p w14:paraId="4019C981" w14:textId="77777777" w:rsidR="005A2A5D" w:rsidRPr="003A005A" w:rsidRDefault="005A2A5D" w:rsidP="005A2A5D">
      <w:pPr>
        <w:pStyle w:val="Item"/>
      </w:pPr>
      <w:r w:rsidRPr="003A005A">
        <w:t>Add “or the party’s legal representative”.</w:t>
      </w:r>
    </w:p>
    <w:p w14:paraId="3854405E" w14:textId="77777777" w:rsidR="001B3D86" w:rsidRPr="003A005A" w:rsidRDefault="00F4184D" w:rsidP="00FD180C">
      <w:pPr>
        <w:pStyle w:val="ItemHead"/>
      </w:pPr>
      <w:r w:rsidRPr="003A005A">
        <w:t>16</w:t>
      </w:r>
      <w:r w:rsidR="001B3D86" w:rsidRPr="003A005A">
        <w:t xml:space="preserve">  </w:t>
      </w:r>
      <w:r w:rsidRPr="003A005A">
        <w:t>Paragraph 1</w:t>
      </w:r>
      <w:r w:rsidR="001B3D86" w:rsidRPr="003A005A">
        <w:t>0.05(6)(a)</w:t>
      </w:r>
    </w:p>
    <w:p w14:paraId="13361C36" w14:textId="77777777" w:rsidR="001B3D86" w:rsidRPr="003A005A" w:rsidRDefault="001B3D86" w:rsidP="001B3D86">
      <w:pPr>
        <w:pStyle w:val="Item"/>
      </w:pPr>
      <w:r w:rsidRPr="003A005A">
        <w:t>Omit “</w:t>
      </w:r>
      <w:r w:rsidR="009218EE" w:rsidRPr="003A005A">
        <w:t xml:space="preserve">an </w:t>
      </w:r>
      <w:r w:rsidRPr="003A005A">
        <w:t xml:space="preserve">approved form signed by each party or their legal representative”, </w:t>
      </w:r>
      <w:r w:rsidR="00485C54">
        <w:t xml:space="preserve">substitute </w:t>
      </w:r>
      <w:r w:rsidRPr="003A005A">
        <w:t>“</w:t>
      </w:r>
      <w:r w:rsidR="009218EE" w:rsidRPr="003A005A">
        <w:t xml:space="preserve">the </w:t>
      </w:r>
      <w:r w:rsidRPr="003A005A">
        <w:t>approved form for the purposes of this paragraph signed by each party or the party’s legal representative”.</w:t>
      </w:r>
    </w:p>
    <w:p w14:paraId="1DE4F0BA" w14:textId="77777777" w:rsidR="00FD180C" w:rsidRPr="003A005A" w:rsidRDefault="00F4184D" w:rsidP="00FD180C">
      <w:pPr>
        <w:pStyle w:val="ItemHead"/>
      </w:pPr>
      <w:r w:rsidRPr="003A005A">
        <w:t>17</w:t>
      </w:r>
      <w:r w:rsidR="00FD180C" w:rsidRPr="003A005A">
        <w:t xml:space="preserve">  At the end of </w:t>
      </w:r>
      <w:proofErr w:type="spellStart"/>
      <w:r w:rsidR="00FD180C" w:rsidRPr="003A005A">
        <w:t>sub</w:t>
      </w:r>
      <w:r w:rsidRPr="003A005A">
        <w:t>rule</w:t>
      </w:r>
      <w:proofErr w:type="spellEnd"/>
      <w:r w:rsidRPr="003A005A">
        <w:t> 1</w:t>
      </w:r>
      <w:r w:rsidR="00FD180C" w:rsidRPr="003A005A">
        <w:t>0.05(6)</w:t>
      </w:r>
    </w:p>
    <w:p w14:paraId="72F3D061" w14:textId="77777777" w:rsidR="00FD180C" w:rsidRPr="003A005A" w:rsidRDefault="00FD180C" w:rsidP="00FD180C">
      <w:pPr>
        <w:pStyle w:val="Item"/>
      </w:pPr>
      <w:r w:rsidRPr="003A005A">
        <w:t>Add:</w:t>
      </w:r>
    </w:p>
    <w:p w14:paraId="0E8E1E04" w14:textId="77777777" w:rsidR="00FD180C" w:rsidRPr="003A005A" w:rsidRDefault="00FD180C" w:rsidP="00FD180C">
      <w:pPr>
        <w:pStyle w:val="paragraph"/>
      </w:pPr>
      <w:r w:rsidRPr="003A005A">
        <w:tab/>
        <w:t>; or (d)</w:t>
      </w:r>
      <w:r w:rsidRPr="003A005A">
        <w:tab/>
        <w:t xml:space="preserve">if the application for the parenting order is to be considered in chambers—by each party attaching to the draft parenting order </w:t>
      </w:r>
      <w:r w:rsidR="009218EE" w:rsidRPr="003A005A">
        <w:t>the</w:t>
      </w:r>
      <w:r w:rsidR="00F65092" w:rsidRPr="003A005A">
        <w:t xml:space="preserve"> </w:t>
      </w:r>
      <w:r w:rsidRPr="003A005A">
        <w:t xml:space="preserve">approved form </w:t>
      </w:r>
      <w:r w:rsidR="00F65092" w:rsidRPr="003A005A">
        <w:t xml:space="preserve">for the purposes of this paragraph </w:t>
      </w:r>
      <w:r w:rsidRPr="003A005A">
        <w:t>signed by each party or the party’s legal representative.</w:t>
      </w:r>
    </w:p>
    <w:p w14:paraId="7D222DD5" w14:textId="77777777" w:rsidR="004D04A7" w:rsidRPr="003A005A" w:rsidRDefault="00F4184D" w:rsidP="004D04A7">
      <w:pPr>
        <w:pStyle w:val="ItemHead"/>
      </w:pPr>
      <w:r w:rsidRPr="003A005A">
        <w:t>18</w:t>
      </w:r>
      <w:r w:rsidR="004D04A7" w:rsidRPr="003A005A">
        <w:t xml:space="preserve">  </w:t>
      </w:r>
      <w:r w:rsidRPr="003A005A">
        <w:t>Rule 1</w:t>
      </w:r>
      <w:r w:rsidR="004D04A7" w:rsidRPr="003A005A">
        <w:t>2.28</w:t>
      </w:r>
    </w:p>
    <w:p w14:paraId="23452EEE" w14:textId="77777777" w:rsidR="004D04A7" w:rsidRPr="003A005A" w:rsidRDefault="004D04A7" w:rsidP="004D04A7">
      <w:pPr>
        <w:pStyle w:val="Item"/>
      </w:pPr>
      <w:r w:rsidRPr="003A005A">
        <w:t>Omit “Queen’s”, substitute “King’s”.</w:t>
      </w:r>
    </w:p>
    <w:p w14:paraId="30261F54" w14:textId="77777777" w:rsidR="004D04A7" w:rsidRPr="003A005A" w:rsidRDefault="00F4184D" w:rsidP="004D04A7">
      <w:pPr>
        <w:pStyle w:val="ItemHead"/>
      </w:pPr>
      <w:r w:rsidRPr="003A005A">
        <w:t>19</w:t>
      </w:r>
      <w:r w:rsidR="004D04A7" w:rsidRPr="003A005A">
        <w:t xml:space="preserve">  </w:t>
      </w:r>
      <w:proofErr w:type="spellStart"/>
      <w:r w:rsidR="004D04A7" w:rsidRPr="003A005A">
        <w:t>Sub</w:t>
      </w:r>
      <w:r w:rsidRPr="003A005A">
        <w:t>rule</w:t>
      </w:r>
      <w:proofErr w:type="spellEnd"/>
      <w:r w:rsidRPr="003A005A">
        <w:t> 1</w:t>
      </w:r>
      <w:r w:rsidR="004D04A7" w:rsidRPr="003A005A">
        <w:t>2.30(2)</w:t>
      </w:r>
    </w:p>
    <w:p w14:paraId="418C9C34" w14:textId="77777777" w:rsidR="004D04A7" w:rsidRPr="003A005A" w:rsidRDefault="004D04A7" w:rsidP="004D04A7">
      <w:pPr>
        <w:pStyle w:val="Item"/>
      </w:pPr>
      <w:r w:rsidRPr="003A005A">
        <w:t>Omit “Queen’s”, substitute “King’s”.</w:t>
      </w:r>
    </w:p>
    <w:p w14:paraId="4A5143B1" w14:textId="77777777" w:rsidR="004D04A7" w:rsidRPr="003A005A" w:rsidRDefault="00F4184D" w:rsidP="004D04A7">
      <w:pPr>
        <w:pStyle w:val="ItemHead"/>
      </w:pPr>
      <w:r w:rsidRPr="003A005A">
        <w:t>20</w:t>
      </w:r>
      <w:r w:rsidR="004D04A7" w:rsidRPr="003A005A">
        <w:t xml:space="preserve">  </w:t>
      </w:r>
      <w:r w:rsidRPr="003A005A">
        <w:t>Paragraph 1</w:t>
      </w:r>
      <w:r w:rsidR="004D04A7" w:rsidRPr="003A005A">
        <w:t>4.07(2)(b)</w:t>
      </w:r>
    </w:p>
    <w:p w14:paraId="2A9EBE1C" w14:textId="77777777" w:rsidR="004D04A7" w:rsidRPr="003A005A" w:rsidRDefault="004D04A7" w:rsidP="004D04A7">
      <w:pPr>
        <w:pStyle w:val="Item"/>
      </w:pPr>
      <w:r w:rsidRPr="003A005A">
        <w:t>Omit “any”, substitute “with the leave of the court, any”.</w:t>
      </w:r>
    </w:p>
    <w:p w14:paraId="26F005B9" w14:textId="77777777" w:rsidR="004D04A7" w:rsidRPr="003A005A" w:rsidRDefault="00F4184D" w:rsidP="004D04A7">
      <w:pPr>
        <w:pStyle w:val="ItemHead"/>
      </w:pPr>
      <w:r w:rsidRPr="003A005A">
        <w:t>21</w:t>
      </w:r>
      <w:r w:rsidR="004D04A7" w:rsidRPr="003A005A">
        <w:t xml:space="preserve">  At the end of </w:t>
      </w:r>
      <w:r w:rsidRPr="003A005A">
        <w:t>rule 1</w:t>
      </w:r>
      <w:r w:rsidR="004D04A7" w:rsidRPr="003A005A">
        <w:t>4.07</w:t>
      </w:r>
    </w:p>
    <w:p w14:paraId="611863F8" w14:textId="77777777" w:rsidR="004D04A7" w:rsidRPr="003A005A" w:rsidRDefault="004D04A7" w:rsidP="004D04A7">
      <w:pPr>
        <w:pStyle w:val="Item"/>
      </w:pPr>
      <w:r w:rsidRPr="003A005A">
        <w:t>Add:</w:t>
      </w:r>
    </w:p>
    <w:p w14:paraId="7FC01228" w14:textId="77777777" w:rsidR="004D04A7" w:rsidRPr="003A005A" w:rsidRDefault="004D04A7" w:rsidP="004D04A7">
      <w:pPr>
        <w:pStyle w:val="subsection"/>
      </w:pPr>
      <w:r w:rsidRPr="003A005A">
        <w:tab/>
        <w:t>(3)</w:t>
      </w:r>
      <w:r w:rsidRPr="003A005A">
        <w:tab/>
        <w:t>The court may determine an application for review in the absence of the parties without an oral hearing if:</w:t>
      </w:r>
    </w:p>
    <w:p w14:paraId="06858C69" w14:textId="77777777" w:rsidR="004D04A7" w:rsidRPr="003A005A" w:rsidRDefault="004D04A7" w:rsidP="004D04A7">
      <w:pPr>
        <w:pStyle w:val="paragraph"/>
      </w:pPr>
      <w:r w:rsidRPr="003A005A">
        <w:tab/>
        <w:t>(a)</w:t>
      </w:r>
      <w:r w:rsidRPr="003A005A">
        <w:tab/>
        <w:t>the parties to the application consent to the making of the decision in their absence without an oral hearing; and</w:t>
      </w:r>
    </w:p>
    <w:p w14:paraId="4C683FA2" w14:textId="77777777" w:rsidR="004D04A7" w:rsidRPr="003A005A" w:rsidRDefault="004D04A7" w:rsidP="004D04A7">
      <w:pPr>
        <w:pStyle w:val="paragraph"/>
      </w:pPr>
      <w:r w:rsidRPr="003A005A">
        <w:lastRenderedPageBreak/>
        <w:tab/>
        <w:t>(b)</w:t>
      </w:r>
      <w:r w:rsidRPr="003A005A">
        <w:tab/>
        <w:t>the court considers it appropriate to make the decision in the absence of the parties without an oral hearing.</w:t>
      </w:r>
    </w:p>
    <w:p w14:paraId="565DF920" w14:textId="77777777" w:rsidR="004D04A7" w:rsidRPr="003A005A" w:rsidRDefault="00F4184D" w:rsidP="004D04A7">
      <w:pPr>
        <w:pStyle w:val="ItemHead"/>
      </w:pPr>
      <w:r w:rsidRPr="003A005A">
        <w:t>22</w:t>
      </w:r>
      <w:r w:rsidR="004D04A7" w:rsidRPr="003A005A">
        <w:t xml:space="preserve">  </w:t>
      </w:r>
      <w:r w:rsidRPr="003A005A">
        <w:t>Paragraph 1</w:t>
      </w:r>
      <w:r w:rsidR="004D04A7" w:rsidRPr="003A005A">
        <w:t>5.13(1)(c)</w:t>
      </w:r>
    </w:p>
    <w:p w14:paraId="6E2B2134" w14:textId="77777777" w:rsidR="00CA5363" w:rsidRPr="003A005A" w:rsidRDefault="00CA5363" w:rsidP="00CA5363">
      <w:pPr>
        <w:pStyle w:val="Item"/>
      </w:pPr>
      <w:r w:rsidRPr="003A005A">
        <w:t>Repeal the paragraph, substitute:</w:t>
      </w:r>
    </w:p>
    <w:p w14:paraId="07A5CD44" w14:textId="77777777" w:rsidR="00CA5363" w:rsidRPr="003A005A" w:rsidRDefault="00CA5363" w:rsidP="00CA5363">
      <w:pPr>
        <w:pStyle w:val="paragraph"/>
      </w:pPr>
      <w:r w:rsidRPr="003A005A">
        <w:tab/>
        <w:t>(c)</w:t>
      </w:r>
      <w:r w:rsidRPr="003A005A">
        <w:tab/>
        <w:t>if the proceeding affects, or may affect, the welfare of a child:</w:t>
      </w:r>
    </w:p>
    <w:p w14:paraId="7EC06977" w14:textId="77777777" w:rsidR="00CA5363" w:rsidRPr="003A005A" w:rsidRDefault="00CA5363" w:rsidP="00CA5363">
      <w:pPr>
        <w:pStyle w:val="paragraphsub"/>
      </w:pPr>
      <w:r w:rsidRPr="003A005A">
        <w:tab/>
        <w:t>(</w:t>
      </w:r>
      <w:proofErr w:type="spellStart"/>
      <w:r w:rsidRPr="003A005A">
        <w:t>i</w:t>
      </w:r>
      <w:proofErr w:type="spellEnd"/>
      <w:r w:rsidRPr="003A005A">
        <w:t>)</w:t>
      </w:r>
      <w:r w:rsidRPr="003A005A">
        <w:tab/>
        <w:t>a child welfare officer of a State or Territory; or</w:t>
      </w:r>
    </w:p>
    <w:p w14:paraId="369AEA2D" w14:textId="77777777" w:rsidR="00CA5363" w:rsidRPr="003A005A" w:rsidRDefault="00CA5363" w:rsidP="00CA5363">
      <w:pPr>
        <w:pStyle w:val="paragraphsub"/>
      </w:pPr>
      <w:r w:rsidRPr="003A005A">
        <w:tab/>
        <w:t>(ii)</w:t>
      </w:r>
      <w:r w:rsidRPr="003A005A">
        <w:tab/>
        <w:t>with the leave of the court, a police officer of a State or Territory;</w:t>
      </w:r>
    </w:p>
    <w:p w14:paraId="70168235" w14:textId="77777777" w:rsidR="00490203" w:rsidRPr="003A005A" w:rsidRDefault="00F4184D" w:rsidP="00490203">
      <w:pPr>
        <w:pStyle w:val="ActHead6"/>
        <w:pageBreakBefore/>
      </w:pPr>
      <w:bookmarkStart w:id="11" w:name="_Toc119661641"/>
      <w:r w:rsidRPr="002464C9">
        <w:rPr>
          <w:rStyle w:val="CharAmSchNo"/>
        </w:rPr>
        <w:lastRenderedPageBreak/>
        <w:t>Schedule 2</w:t>
      </w:r>
      <w:r w:rsidR="00490203" w:rsidRPr="003A005A">
        <w:t>—</w:t>
      </w:r>
      <w:r w:rsidR="0015534F" w:rsidRPr="002464C9">
        <w:rPr>
          <w:rStyle w:val="CharAmSchText"/>
        </w:rPr>
        <w:t>Scale of c</w:t>
      </w:r>
      <w:r w:rsidR="00490203" w:rsidRPr="002464C9">
        <w:rPr>
          <w:rStyle w:val="CharAmSchText"/>
        </w:rPr>
        <w:t>osts</w:t>
      </w:r>
      <w:bookmarkEnd w:id="11"/>
    </w:p>
    <w:p w14:paraId="2A8E1E7F" w14:textId="77777777" w:rsidR="00490203" w:rsidRPr="002464C9" w:rsidRDefault="00490203" w:rsidP="00490203">
      <w:pPr>
        <w:pStyle w:val="Header"/>
      </w:pPr>
      <w:r w:rsidRPr="002464C9">
        <w:rPr>
          <w:rStyle w:val="CharAmPartNo"/>
        </w:rPr>
        <w:t xml:space="preserve"> </w:t>
      </w:r>
      <w:r w:rsidRPr="002464C9">
        <w:rPr>
          <w:rStyle w:val="CharAmPartText"/>
        </w:rPr>
        <w:t xml:space="preserve"> </w:t>
      </w:r>
    </w:p>
    <w:p w14:paraId="2934AFB3" w14:textId="77777777" w:rsidR="00904FEF" w:rsidRPr="003A005A" w:rsidRDefault="00904FEF" w:rsidP="00904FEF">
      <w:pPr>
        <w:pStyle w:val="ActHead9"/>
      </w:pPr>
      <w:bookmarkStart w:id="12" w:name="_Toc119661642"/>
      <w:r w:rsidRPr="003A005A">
        <w:t xml:space="preserve">Federal Circuit and Family Court of Australia (Family Law) </w:t>
      </w:r>
      <w:r w:rsidR="009325B1">
        <w:t>Rules 2</w:t>
      </w:r>
      <w:r w:rsidRPr="003A005A">
        <w:t>021</w:t>
      </w:r>
      <w:bookmarkEnd w:id="12"/>
    </w:p>
    <w:p w14:paraId="65453D64" w14:textId="77777777" w:rsidR="00490203" w:rsidRPr="003A005A" w:rsidRDefault="00490203" w:rsidP="00490203">
      <w:pPr>
        <w:pStyle w:val="ItemHead"/>
      </w:pPr>
      <w:r w:rsidRPr="003A005A">
        <w:t xml:space="preserve">1  </w:t>
      </w:r>
      <w:r w:rsidR="00F4184D" w:rsidRPr="003A005A">
        <w:t>Schedule 3</w:t>
      </w:r>
    </w:p>
    <w:p w14:paraId="2C511D97" w14:textId="77777777" w:rsidR="00490203" w:rsidRPr="003A005A" w:rsidRDefault="00490203" w:rsidP="00490203">
      <w:pPr>
        <w:pStyle w:val="Item"/>
      </w:pPr>
      <w:r w:rsidRPr="003A005A">
        <w:t>Repeal the Schedule, substitute:</w:t>
      </w:r>
    </w:p>
    <w:p w14:paraId="3EE8F1C9" w14:textId="77777777" w:rsidR="00706414" w:rsidRPr="003A005A" w:rsidRDefault="00F4184D" w:rsidP="00706414">
      <w:pPr>
        <w:pStyle w:val="ActHead1"/>
      </w:pPr>
      <w:bookmarkStart w:id="13" w:name="_Toc119661643"/>
      <w:r w:rsidRPr="002464C9">
        <w:rPr>
          <w:rStyle w:val="CharChapNo"/>
        </w:rPr>
        <w:t>Schedule 3</w:t>
      </w:r>
      <w:r w:rsidR="00706414" w:rsidRPr="003A005A">
        <w:t>—</w:t>
      </w:r>
      <w:r w:rsidR="00706414" w:rsidRPr="002464C9">
        <w:rPr>
          <w:rStyle w:val="CharChapText"/>
        </w:rPr>
        <w:t>Scale of costs in family law and child support matters</w:t>
      </w:r>
      <w:bookmarkEnd w:id="13"/>
    </w:p>
    <w:p w14:paraId="09909440" w14:textId="77777777" w:rsidR="00706414" w:rsidRPr="003A005A" w:rsidRDefault="00706414" w:rsidP="00706414">
      <w:pPr>
        <w:pStyle w:val="notemargin"/>
      </w:pPr>
      <w:r w:rsidRPr="003A005A">
        <w:t>Note:</w:t>
      </w:r>
      <w:r w:rsidRPr="003A005A">
        <w:tab/>
        <w:t>See rules 12.17, 12.18, 12.20 to 12.26, 12.30, 12.47 and 12.48.</w:t>
      </w:r>
    </w:p>
    <w:p w14:paraId="0A9401C4" w14:textId="77777777" w:rsidR="00706414" w:rsidRPr="003A005A" w:rsidRDefault="00706414" w:rsidP="00706414">
      <w:pPr>
        <w:pStyle w:val="ActHead2"/>
      </w:pPr>
      <w:bookmarkStart w:id="14" w:name="_Toc119661644"/>
      <w:r w:rsidRPr="002464C9">
        <w:rPr>
          <w:rStyle w:val="CharPartNo"/>
        </w:rPr>
        <w:t>Part 1A</w:t>
      </w:r>
      <w:r w:rsidRPr="003A005A">
        <w:t>—</w:t>
      </w:r>
      <w:r w:rsidRPr="002464C9">
        <w:rPr>
          <w:rStyle w:val="CharPartText"/>
        </w:rPr>
        <w:t>Application of this Schedule</w:t>
      </w:r>
      <w:bookmarkEnd w:id="14"/>
    </w:p>
    <w:p w14:paraId="6B147D9D" w14:textId="77777777" w:rsidR="00706414" w:rsidRPr="002464C9" w:rsidRDefault="00706414" w:rsidP="00706414">
      <w:pPr>
        <w:pStyle w:val="Header"/>
      </w:pPr>
      <w:r w:rsidRPr="002464C9">
        <w:rPr>
          <w:rStyle w:val="CharDivNo"/>
        </w:rPr>
        <w:t xml:space="preserve"> </w:t>
      </w:r>
      <w:r w:rsidRPr="002464C9">
        <w:rPr>
          <w:rStyle w:val="CharDivText"/>
        </w:rPr>
        <w:t xml:space="preserve"> </w:t>
      </w:r>
    </w:p>
    <w:p w14:paraId="0C23DFD5" w14:textId="77777777" w:rsidR="00706414" w:rsidRPr="003A005A" w:rsidRDefault="00706414" w:rsidP="00706414">
      <w:pPr>
        <w:pStyle w:val="ActHead5"/>
      </w:pPr>
      <w:bookmarkStart w:id="15" w:name="_Toc119661645"/>
      <w:r w:rsidRPr="002464C9">
        <w:rPr>
          <w:rStyle w:val="CharSectno"/>
        </w:rPr>
        <w:t>1</w:t>
      </w:r>
      <w:r w:rsidRPr="003A005A">
        <w:t xml:space="preserve">  Application of this Schedule</w:t>
      </w:r>
      <w:bookmarkEnd w:id="15"/>
    </w:p>
    <w:p w14:paraId="574EA227" w14:textId="77777777" w:rsidR="00706414" w:rsidRPr="003A005A" w:rsidRDefault="00706414" w:rsidP="00706414">
      <w:pPr>
        <w:pStyle w:val="subsection"/>
      </w:pPr>
      <w:r w:rsidRPr="003A005A">
        <w:tab/>
      </w:r>
      <w:r w:rsidRPr="003A005A">
        <w:tab/>
        <w:t xml:space="preserve">This Schedule, as substituted by the </w:t>
      </w:r>
      <w:r w:rsidRPr="003A005A">
        <w:rPr>
          <w:i/>
        </w:rPr>
        <w:t>Federal Circuit and Family Court of Australia (Family Law) Amendment (2022 Measures No. 1)</w:t>
      </w:r>
      <w:r w:rsidRPr="003A005A">
        <w:t xml:space="preserve"> </w:t>
      </w:r>
      <w:r w:rsidR="009325B1">
        <w:rPr>
          <w:i/>
        </w:rPr>
        <w:t>Rules 2</w:t>
      </w:r>
      <w:r w:rsidRPr="003A005A">
        <w:rPr>
          <w:i/>
        </w:rPr>
        <w:t>022</w:t>
      </w:r>
      <w:r w:rsidRPr="003A005A">
        <w:t xml:space="preserve">, applies to work done or services performed on or after </w:t>
      </w:r>
      <w:r w:rsidR="00F4184D" w:rsidRPr="003A005A">
        <w:t>1 January</w:t>
      </w:r>
      <w:r w:rsidR="00CA5363" w:rsidRPr="003A005A">
        <w:t xml:space="preserve"> 2023</w:t>
      </w:r>
      <w:r w:rsidRPr="003A005A">
        <w:t>.</w:t>
      </w:r>
    </w:p>
    <w:p w14:paraId="7EAF9FB6" w14:textId="77777777" w:rsidR="00706414" w:rsidRPr="003A005A" w:rsidRDefault="00706414" w:rsidP="00706414">
      <w:pPr>
        <w:pStyle w:val="ActHead2"/>
      </w:pPr>
      <w:bookmarkStart w:id="16" w:name="_Toc119661646"/>
      <w:r w:rsidRPr="002464C9">
        <w:rPr>
          <w:rStyle w:val="CharPartNo"/>
        </w:rPr>
        <w:t>Part 1</w:t>
      </w:r>
      <w:r w:rsidRPr="003A005A">
        <w:t>—</w:t>
      </w:r>
      <w:r w:rsidRPr="002464C9">
        <w:rPr>
          <w:rStyle w:val="CharPartText"/>
        </w:rPr>
        <w:t>Costs allowable for lawyer’s work done and services performed</w:t>
      </w:r>
      <w:bookmarkEnd w:id="16"/>
    </w:p>
    <w:p w14:paraId="328EF863" w14:textId="77777777" w:rsidR="00706414" w:rsidRPr="002464C9" w:rsidRDefault="00706414" w:rsidP="00706414">
      <w:pPr>
        <w:pStyle w:val="Header"/>
      </w:pPr>
      <w:r w:rsidRPr="002464C9">
        <w:rPr>
          <w:rStyle w:val="CharDivNo"/>
        </w:rPr>
        <w:t xml:space="preserve"> </w:t>
      </w:r>
      <w:r w:rsidRPr="002464C9">
        <w:rPr>
          <w:rStyle w:val="CharDivText"/>
        </w:rPr>
        <w:t xml:space="preserve"> </w:t>
      </w:r>
    </w:p>
    <w:p w14:paraId="31DBBDC4" w14:textId="77777777" w:rsidR="00706414" w:rsidRPr="003A005A" w:rsidRDefault="00706414" w:rsidP="0070641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08"/>
        <w:gridCol w:w="5161"/>
        <w:gridCol w:w="2558"/>
      </w:tblGrid>
      <w:tr w:rsidR="00706414" w:rsidRPr="003A005A" w14:paraId="1DBE1645" w14:textId="77777777" w:rsidTr="00706414">
        <w:trPr>
          <w:tblHeader/>
        </w:trPr>
        <w:tc>
          <w:tcPr>
            <w:tcW w:w="5000" w:type="pct"/>
            <w:gridSpan w:val="3"/>
            <w:tcBorders>
              <w:top w:val="single" w:sz="12" w:space="0" w:color="auto"/>
              <w:bottom w:val="single" w:sz="6" w:space="0" w:color="auto"/>
            </w:tcBorders>
            <w:shd w:val="clear" w:color="auto" w:fill="auto"/>
          </w:tcPr>
          <w:p w14:paraId="560BCCD6" w14:textId="77777777" w:rsidR="00706414" w:rsidRPr="003A005A" w:rsidRDefault="00706414" w:rsidP="00706414">
            <w:pPr>
              <w:pStyle w:val="TableHeading"/>
            </w:pPr>
            <w:r w:rsidRPr="003A005A">
              <w:t>Costs—lawyer’s work</w:t>
            </w:r>
          </w:p>
        </w:tc>
      </w:tr>
      <w:tr w:rsidR="00706414" w:rsidRPr="003A005A" w14:paraId="25CA56AB" w14:textId="77777777" w:rsidTr="00706414">
        <w:trPr>
          <w:tblHeader/>
        </w:trPr>
        <w:tc>
          <w:tcPr>
            <w:tcW w:w="474" w:type="pct"/>
            <w:tcBorders>
              <w:top w:val="single" w:sz="6" w:space="0" w:color="auto"/>
              <w:bottom w:val="single" w:sz="12" w:space="0" w:color="auto"/>
            </w:tcBorders>
            <w:shd w:val="clear" w:color="auto" w:fill="auto"/>
            <w:hideMark/>
          </w:tcPr>
          <w:p w14:paraId="20691775" w14:textId="77777777" w:rsidR="00706414" w:rsidRPr="003A005A" w:rsidRDefault="00706414" w:rsidP="00706414">
            <w:pPr>
              <w:pStyle w:val="TableHeading"/>
            </w:pPr>
            <w:r w:rsidRPr="003A005A">
              <w:t>Item</w:t>
            </w:r>
          </w:p>
        </w:tc>
        <w:tc>
          <w:tcPr>
            <w:tcW w:w="3026" w:type="pct"/>
            <w:tcBorders>
              <w:top w:val="single" w:sz="6" w:space="0" w:color="auto"/>
              <w:bottom w:val="single" w:sz="12" w:space="0" w:color="auto"/>
            </w:tcBorders>
            <w:shd w:val="clear" w:color="auto" w:fill="auto"/>
            <w:hideMark/>
          </w:tcPr>
          <w:p w14:paraId="7AB5946E" w14:textId="77777777" w:rsidR="00706414" w:rsidRPr="003A005A" w:rsidRDefault="00706414" w:rsidP="00706414">
            <w:pPr>
              <w:pStyle w:val="TableHeading"/>
            </w:pPr>
            <w:r w:rsidRPr="003A005A">
              <w:t>Matter for which charge may be made</w:t>
            </w:r>
          </w:p>
        </w:tc>
        <w:tc>
          <w:tcPr>
            <w:tcW w:w="1500" w:type="pct"/>
            <w:tcBorders>
              <w:top w:val="single" w:sz="6" w:space="0" w:color="auto"/>
              <w:bottom w:val="single" w:sz="12" w:space="0" w:color="auto"/>
            </w:tcBorders>
            <w:shd w:val="clear" w:color="auto" w:fill="auto"/>
            <w:hideMark/>
          </w:tcPr>
          <w:p w14:paraId="230C3141" w14:textId="77777777" w:rsidR="00706414" w:rsidRPr="003A005A" w:rsidRDefault="00706414" w:rsidP="00706414">
            <w:pPr>
              <w:pStyle w:val="TableHeading"/>
            </w:pPr>
            <w:r w:rsidRPr="003A005A">
              <w:t>Amount (including GST)</w:t>
            </w:r>
          </w:p>
        </w:tc>
      </w:tr>
      <w:tr w:rsidR="00706414" w:rsidRPr="003A005A" w14:paraId="4DE03181" w14:textId="77777777" w:rsidTr="00706414">
        <w:tc>
          <w:tcPr>
            <w:tcW w:w="474" w:type="pct"/>
            <w:tcBorders>
              <w:top w:val="single" w:sz="12" w:space="0" w:color="auto"/>
            </w:tcBorders>
            <w:shd w:val="clear" w:color="auto" w:fill="auto"/>
            <w:hideMark/>
          </w:tcPr>
          <w:p w14:paraId="5E6B9F9B" w14:textId="77777777" w:rsidR="00706414" w:rsidRPr="003A005A" w:rsidRDefault="00706414" w:rsidP="00706414">
            <w:pPr>
              <w:pStyle w:val="Tabletext"/>
            </w:pPr>
            <w:r w:rsidRPr="003A005A">
              <w:t>101</w:t>
            </w:r>
          </w:p>
        </w:tc>
        <w:tc>
          <w:tcPr>
            <w:tcW w:w="3026" w:type="pct"/>
            <w:tcBorders>
              <w:top w:val="single" w:sz="12" w:space="0" w:color="auto"/>
            </w:tcBorders>
            <w:shd w:val="clear" w:color="auto" w:fill="auto"/>
            <w:hideMark/>
          </w:tcPr>
          <w:p w14:paraId="61D6F411" w14:textId="77777777" w:rsidR="00706414" w:rsidRPr="003A005A" w:rsidRDefault="00706414" w:rsidP="00706414">
            <w:pPr>
              <w:pStyle w:val="Tabletext"/>
            </w:pPr>
            <w:r w:rsidRPr="003A005A">
              <w:t>Drafting a document (other than a letter)</w:t>
            </w:r>
          </w:p>
        </w:tc>
        <w:tc>
          <w:tcPr>
            <w:tcW w:w="1500" w:type="pct"/>
            <w:tcBorders>
              <w:top w:val="single" w:sz="12" w:space="0" w:color="auto"/>
            </w:tcBorders>
            <w:shd w:val="clear" w:color="auto" w:fill="auto"/>
            <w:hideMark/>
          </w:tcPr>
          <w:p w14:paraId="0E5E2C8F" w14:textId="77777777" w:rsidR="00706414" w:rsidRPr="003A005A" w:rsidRDefault="00706414" w:rsidP="00706414">
            <w:pPr>
              <w:pStyle w:val="Tabletext"/>
            </w:pPr>
            <w:r w:rsidRPr="003A005A">
              <w:t>$23.55 per 100 words</w:t>
            </w:r>
          </w:p>
        </w:tc>
      </w:tr>
      <w:tr w:rsidR="00706414" w:rsidRPr="003A005A" w14:paraId="6CA4A693" w14:textId="77777777" w:rsidTr="00706414">
        <w:tc>
          <w:tcPr>
            <w:tcW w:w="474" w:type="pct"/>
            <w:shd w:val="clear" w:color="auto" w:fill="auto"/>
            <w:hideMark/>
          </w:tcPr>
          <w:p w14:paraId="2CD80D9D" w14:textId="77777777" w:rsidR="00706414" w:rsidRPr="003A005A" w:rsidRDefault="00706414" w:rsidP="00706414">
            <w:pPr>
              <w:pStyle w:val="Tabletext"/>
            </w:pPr>
            <w:r w:rsidRPr="003A005A">
              <w:t>102</w:t>
            </w:r>
          </w:p>
        </w:tc>
        <w:tc>
          <w:tcPr>
            <w:tcW w:w="3026" w:type="pct"/>
            <w:shd w:val="clear" w:color="auto" w:fill="auto"/>
            <w:hideMark/>
          </w:tcPr>
          <w:p w14:paraId="778EFB27" w14:textId="77777777" w:rsidR="00706414" w:rsidRPr="003A005A" w:rsidRDefault="00706414" w:rsidP="00706414">
            <w:pPr>
              <w:pStyle w:val="Tabletext"/>
            </w:pPr>
            <w:r w:rsidRPr="003A005A">
              <w:t>Producing a document (other than a letter) in printed form</w:t>
            </w:r>
          </w:p>
        </w:tc>
        <w:tc>
          <w:tcPr>
            <w:tcW w:w="1500" w:type="pct"/>
            <w:shd w:val="clear" w:color="auto" w:fill="auto"/>
            <w:hideMark/>
          </w:tcPr>
          <w:p w14:paraId="4345ED12" w14:textId="77777777" w:rsidR="00706414" w:rsidRPr="003A005A" w:rsidRDefault="00706414" w:rsidP="00706414">
            <w:pPr>
              <w:pStyle w:val="Tabletext"/>
            </w:pPr>
            <w:r w:rsidRPr="003A005A">
              <w:t>$8.03 per 100 words</w:t>
            </w:r>
          </w:p>
        </w:tc>
      </w:tr>
      <w:tr w:rsidR="00706414" w:rsidRPr="003A005A" w14:paraId="4C83A393" w14:textId="77777777" w:rsidTr="00706414">
        <w:tc>
          <w:tcPr>
            <w:tcW w:w="474" w:type="pct"/>
            <w:shd w:val="clear" w:color="auto" w:fill="auto"/>
            <w:hideMark/>
          </w:tcPr>
          <w:p w14:paraId="039749D8" w14:textId="77777777" w:rsidR="00706414" w:rsidRPr="003A005A" w:rsidRDefault="00706414" w:rsidP="00706414">
            <w:pPr>
              <w:pStyle w:val="Tabletext"/>
            </w:pPr>
            <w:r w:rsidRPr="003A005A">
              <w:t>103</w:t>
            </w:r>
          </w:p>
        </w:tc>
        <w:tc>
          <w:tcPr>
            <w:tcW w:w="3026" w:type="pct"/>
            <w:shd w:val="clear" w:color="auto" w:fill="auto"/>
            <w:hideMark/>
          </w:tcPr>
          <w:p w14:paraId="5DF8A16F" w14:textId="77777777" w:rsidR="00706414" w:rsidRPr="003A005A" w:rsidRDefault="00706414" w:rsidP="00706414">
            <w:pPr>
              <w:pStyle w:val="Tabletext"/>
            </w:pPr>
            <w:r w:rsidRPr="003A005A">
              <w:t>Drafting and producing a letter (including a fax or an email)</w:t>
            </w:r>
          </w:p>
        </w:tc>
        <w:tc>
          <w:tcPr>
            <w:tcW w:w="1500" w:type="pct"/>
            <w:shd w:val="clear" w:color="auto" w:fill="auto"/>
            <w:hideMark/>
          </w:tcPr>
          <w:p w14:paraId="2656017B" w14:textId="77777777" w:rsidR="00706414" w:rsidRPr="003A005A" w:rsidRDefault="00706414" w:rsidP="00706414">
            <w:pPr>
              <w:pStyle w:val="Tabletext"/>
            </w:pPr>
            <w:r w:rsidRPr="003A005A">
              <w:t>$27.03 per 100 words</w:t>
            </w:r>
          </w:p>
        </w:tc>
      </w:tr>
      <w:tr w:rsidR="00706414" w:rsidRPr="003A005A" w14:paraId="66D45B5F" w14:textId="77777777" w:rsidTr="00706414">
        <w:tc>
          <w:tcPr>
            <w:tcW w:w="474" w:type="pct"/>
            <w:shd w:val="clear" w:color="auto" w:fill="auto"/>
            <w:hideMark/>
          </w:tcPr>
          <w:p w14:paraId="71271AB6" w14:textId="77777777" w:rsidR="00706414" w:rsidRPr="003A005A" w:rsidRDefault="00706414" w:rsidP="00706414">
            <w:pPr>
              <w:pStyle w:val="Tabletext"/>
            </w:pPr>
            <w:r w:rsidRPr="003A005A">
              <w:t>104</w:t>
            </w:r>
          </w:p>
        </w:tc>
        <w:tc>
          <w:tcPr>
            <w:tcW w:w="3026" w:type="pct"/>
            <w:shd w:val="clear" w:color="auto" w:fill="auto"/>
            <w:hideMark/>
          </w:tcPr>
          <w:p w14:paraId="0438AFEE" w14:textId="77777777" w:rsidR="00706414" w:rsidRPr="003A005A" w:rsidRDefault="00706414" w:rsidP="00706414">
            <w:pPr>
              <w:pStyle w:val="Tabletext"/>
            </w:pPr>
            <w:r w:rsidRPr="003A005A">
              <w:t>Reading a document</w:t>
            </w:r>
          </w:p>
        </w:tc>
        <w:tc>
          <w:tcPr>
            <w:tcW w:w="1500" w:type="pct"/>
            <w:shd w:val="clear" w:color="auto" w:fill="auto"/>
            <w:hideMark/>
          </w:tcPr>
          <w:p w14:paraId="0DC20206" w14:textId="77777777" w:rsidR="00706414" w:rsidRPr="003A005A" w:rsidRDefault="00706414" w:rsidP="00706414">
            <w:pPr>
              <w:pStyle w:val="Tabletext"/>
            </w:pPr>
            <w:r w:rsidRPr="003A005A">
              <w:t>$11.01 per 100 words</w:t>
            </w:r>
          </w:p>
        </w:tc>
      </w:tr>
      <w:tr w:rsidR="00706414" w:rsidRPr="003A005A" w14:paraId="350BD9DD" w14:textId="77777777" w:rsidTr="00706414">
        <w:tc>
          <w:tcPr>
            <w:tcW w:w="474" w:type="pct"/>
            <w:shd w:val="clear" w:color="auto" w:fill="auto"/>
            <w:hideMark/>
          </w:tcPr>
          <w:p w14:paraId="7BC23861" w14:textId="77777777" w:rsidR="00706414" w:rsidRPr="003A005A" w:rsidRDefault="00706414" w:rsidP="00706414">
            <w:pPr>
              <w:pStyle w:val="Tabletext"/>
            </w:pPr>
            <w:r w:rsidRPr="003A005A">
              <w:t>105</w:t>
            </w:r>
          </w:p>
        </w:tc>
        <w:tc>
          <w:tcPr>
            <w:tcW w:w="3026" w:type="pct"/>
            <w:shd w:val="clear" w:color="auto" w:fill="auto"/>
            <w:hideMark/>
          </w:tcPr>
          <w:p w14:paraId="64F9DE84" w14:textId="77777777" w:rsidR="00706414" w:rsidRPr="003A005A" w:rsidRDefault="00706414" w:rsidP="00706414">
            <w:pPr>
              <w:pStyle w:val="Tabletext"/>
            </w:pPr>
            <w:r w:rsidRPr="003A005A">
              <w:t>Scanning a document (if reading is not necessary)</w:t>
            </w:r>
          </w:p>
        </w:tc>
        <w:tc>
          <w:tcPr>
            <w:tcW w:w="1500" w:type="pct"/>
            <w:shd w:val="clear" w:color="auto" w:fill="auto"/>
            <w:hideMark/>
          </w:tcPr>
          <w:p w14:paraId="60DA62C4" w14:textId="77777777" w:rsidR="00706414" w:rsidRPr="003A005A" w:rsidRDefault="00706414" w:rsidP="00706414">
            <w:pPr>
              <w:pStyle w:val="Tabletext"/>
            </w:pPr>
            <w:r w:rsidRPr="003A005A">
              <w:t>$4.32 per 100 words</w:t>
            </w:r>
          </w:p>
        </w:tc>
      </w:tr>
      <w:tr w:rsidR="00706414" w:rsidRPr="003A005A" w14:paraId="7AF19641" w14:textId="77777777" w:rsidTr="00706414">
        <w:tc>
          <w:tcPr>
            <w:tcW w:w="474" w:type="pct"/>
            <w:shd w:val="clear" w:color="auto" w:fill="auto"/>
            <w:hideMark/>
          </w:tcPr>
          <w:p w14:paraId="22B1B2E7" w14:textId="77777777" w:rsidR="00706414" w:rsidRPr="003A005A" w:rsidRDefault="00706414" w:rsidP="00706414">
            <w:pPr>
              <w:pStyle w:val="Tabletext"/>
            </w:pPr>
            <w:r w:rsidRPr="003A005A">
              <w:t>106</w:t>
            </w:r>
          </w:p>
        </w:tc>
        <w:tc>
          <w:tcPr>
            <w:tcW w:w="3026" w:type="pct"/>
            <w:shd w:val="clear" w:color="auto" w:fill="auto"/>
            <w:hideMark/>
          </w:tcPr>
          <w:p w14:paraId="16290390" w14:textId="77777777" w:rsidR="00706414" w:rsidRPr="003A005A" w:rsidRDefault="00706414" w:rsidP="00706414">
            <w:pPr>
              <w:pStyle w:val="Tabletext"/>
            </w:pPr>
            <w:r w:rsidRPr="003A005A">
              <w:t>For a document or letter referred to in item 101, 102, 103, 104 or 105 containing more than 3,000 words</w:t>
            </w:r>
          </w:p>
        </w:tc>
        <w:tc>
          <w:tcPr>
            <w:tcW w:w="1500" w:type="pct"/>
            <w:shd w:val="clear" w:color="auto" w:fill="auto"/>
            <w:hideMark/>
          </w:tcPr>
          <w:p w14:paraId="3E7A7544" w14:textId="77777777" w:rsidR="00706414" w:rsidRPr="003A005A" w:rsidRDefault="00706414" w:rsidP="00706414">
            <w:pPr>
              <w:pStyle w:val="Tabletext"/>
            </w:pPr>
            <w:r w:rsidRPr="003A005A">
              <w:t>The amount allowed by the Registrar</w:t>
            </w:r>
          </w:p>
        </w:tc>
      </w:tr>
      <w:tr w:rsidR="00706414" w:rsidRPr="003A005A" w14:paraId="0FAADFD7" w14:textId="77777777" w:rsidTr="00706414">
        <w:tc>
          <w:tcPr>
            <w:tcW w:w="474" w:type="pct"/>
            <w:shd w:val="clear" w:color="auto" w:fill="auto"/>
            <w:hideMark/>
          </w:tcPr>
          <w:p w14:paraId="211E32AD" w14:textId="77777777" w:rsidR="00706414" w:rsidRPr="003A005A" w:rsidRDefault="00706414" w:rsidP="00706414">
            <w:pPr>
              <w:pStyle w:val="Tabletext"/>
            </w:pPr>
            <w:r w:rsidRPr="003A005A">
              <w:t>107</w:t>
            </w:r>
          </w:p>
        </w:tc>
        <w:tc>
          <w:tcPr>
            <w:tcW w:w="3026" w:type="pct"/>
            <w:shd w:val="clear" w:color="auto" w:fill="auto"/>
            <w:hideMark/>
          </w:tcPr>
          <w:p w14:paraId="1E8AE274" w14:textId="77777777" w:rsidR="00706414" w:rsidRPr="003A005A" w:rsidRDefault="00706414" w:rsidP="00706414">
            <w:pPr>
              <w:pStyle w:val="Tabletext"/>
            </w:pPr>
            <w:r w:rsidRPr="003A005A">
              <w:t>Photocopy or other reproduction of a document</w:t>
            </w:r>
          </w:p>
        </w:tc>
        <w:tc>
          <w:tcPr>
            <w:tcW w:w="1500" w:type="pct"/>
            <w:shd w:val="clear" w:color="auto" w:fill="auto"/>
            <w:hideMark/>
          </w:tcPr>
          <w:p w14:paraId="511E3A2E" w14:textId="77777777" w:rsidR="00706414" w:rsidRPr="003A005A" w:rsidRDefault="00706414" w:rsidP="00706414">
            <w:pPr>
              <w:pStyle w:val="Tabletext"/>
            </w:pPr>
            <w:r w:rsidRPr="003A005A">
              <w:t>92 cents per page</w:t>
            </w:r>
          </w:p>
        </w:tc>
      </w:tr>
      <w:tr w:rsidR="00706414" w:rsidRPr="003A005A" w14:paraId="7CFCEC15" w14:textId="77777777" w:rsidTr="00706414">
        <w:tc>
          <w:tcPr>
            <w:tcW w:w="474" w:type="pct"/>
            <w:tcBorders>
              <w:bottom w:val="single" w:sz="4" w:space="0" w:color="auto"/>
            </w:tcBorders>
            <w:shd w:val="clear" w:color="auto" w:fill="auto"/>
            <w:hideMark/>
          </w:tcPr>
          <w:p w14:paraId="2959E884" w14:textId="77777777" w:rsidR="00706414" w:rsidRPr="003A005A" w:rsidRDefault="00706414" w:rsidP="00706414">
            <w:pPr>
              <w:pStyle w:val="Tabletext"/>
            </w:pPr>
            <w:r w:rsidRPr="003A005A">
              <w:t>108</w:t>
            </w:r>
          </w:p>
        </w:tc>
        <w:tc>
          <w:tcPr>
            <w:tcW w:w="3026" w:type="pct"/>
            <w:tcBorders>
              <w:bottom w:val="single" w:sz="4" w:space="0" w:color="auto"/>
            </w:tcBorders>
            <w:shd w:val="clear" w:color="auto" w:fill="auto"/>
            <w:hideMark/>
          </w:tcPr>
          <w:p w14:paraId="7939C646" w14:textId="77777777" w:rsidR="00706414" w:rsidRPr="003A005A" w:rsidRDefault="00706414" w:rsidP="00706414">
            <w:pPr>
              <w:pStyle w:val="Tabletext"/>
            </w:pPr>
            <w:r w:rsidRPr="003A005A">
              <w:t>Time reasonably spent by a lawyer on work requiring the skill of a lawyer (other than work to which any other item in this Part applies)</w:t>
            </w:r>
          </w:p>
        </w:tc>
        <w:tc>
          <w:tcPr>
            <w:tcW w:w="1500" w:type="pct"/>
            <w:tcBorders>
              <w:bottom w:val="single" w:sz="4" w:space="0" w:color="auto"/>
            </w:tcBorders>
            <w:shd w:val="clear" w:color="auto" w:fill="auto"/>
            <w:hideMark/>
          </w:tcPr>
          <w:p w14:paraId="38785FB8" w14:textId="77777777" w:rsidR="00706414" w:rsidRPr="003A005A" w:rsidRDefault="00706414" w:rsidP="00706414">
            <w:pPr>
              <w:pStyle w:val="Tabletext"/>
            </w:pPr>
            <w:r w:rsidRPr="003A005A">
              <w:t>$276.33 per hour</w:t>
            </w:r>
          </w:p>
        </w:tc>
      </w:tr>
      <w:tr w:rsidR="00706414" w:rsidRPr="003A005A" w14:paraId="4307D7A3" w14:textId="77777777" w:rsidTr="00706414">
        <w:tc>
          <w:tcPr>
            <w:tcW w:w="474" w:type="pct"/>
            <w:tcBorders>
              <w:bottom w:val="single" w:sz="12" w:space="0" w:color="auto"/>
            </w:tcBorders>
            <w:shd w:val="clear" w:color="auto" w:fill="auto"/>
            <w:hideMark/>
          </w:tcPr>
          <w:p w14:paraId="0DF9E475" w14:textId="77777777" w:rsidR="00706414" w:rsidRPr="003A005A" w:rsidRDefault="00706414" w:rsidP="00706414">
            <w:pPr>
              <w:pStyle w:val="Tabletext"/>
            </w:pPr>
            <w:r w:rsidRPr="003A005A">
              <w:t>109</w:t>
            </w:r>
          </w:p>
        </w:tc>
        <w:tc>
          <w:tcPr>
            <w:tcW w:w="3026" w:type="pct"/>
            <w:tcBorders>
              <w:bottom w:val="single" w:sz="12" w:space="0" w:color="auto"/>
            </w:tcBorders>
            <w:shd w:val="clear" w:color="auto" w:fill="auto"/>
            <w:hideMark/>
          </w:tcPr>
          <w:p w14:paraId="46BE15AD" w14:textId="77777777" w:rsidR="00706414" w:rsidRPr="003A005A" w:rsidRDefault="00706414" w:rsidP="00706414">
            <w:pPr>
              <w:pStyle w:val="Tabletext"/>
            </w:pPr>
            <w:r w:rsidRPr="003A005A">
              <w:t>Time reasonably spent by a lawyer, or by a clerk of a lawyer, on work (other than work to which any other item in this Part applies)</w:t>
            </w:r>
          </w:p>
        </w:tc>
        <w:tc>
          <w:tcPr>
            <w:tcW w:w="1500" w:type="pct"/>
            <w:tcBorders>
              <w:bottom w:val="single" w:sz="12" w:space="0" w:color="auto"/>
            </w:tcBorders>
            <w:shd w:val="clear" w:color="auto" w:fill="auto"/>
            <w:hideMark/>
          </w:tcPr>
          <w:p w14:paraId="05525808" w14:textId="77777777" w:rsidR="00706414" w:rsidRPr="003A005A" w:rsidRDefault="00706414" w:rsidP="00706414">
            <w:pPr>
              <w:pStyle w:val="Tabletext"/>
            </w:pPr>
            <w:r w:rsidRPr="003A005A">
              <w:t>$179.14 per hour</w:t>
            </w:r>
          </w:p>
        </w:tc>
      </w:tr>
    </w:tbl>
    <w:p w14:paraId="1EE872EA" w14:textId="77777777" w:rsidR="00706414" w:rsidRPr="003A005A" w:rsidRDefault="00706414" w:rsidP="00706414">
      <w:pPr>
        <w:pStyle w:val="notemargin"/>
      </w:pPr>
      <w:r w:rsidRPr="003A005A">
        <w:t>Note:</w:t>
      </w:r>
      <w:r w:rsidRPr="003A005A">
        <w:tab/>
        <w:t xml:space="preserve">See </w:t>
      </w:r>
      <w:r w:rsidR="00F4184D" w:rsidRPr="003A005A">
        <w:t>rule 1</w:t>
      </w:r>
      <w:r w:rsidRPr="003A005A">
        <w:t>2.23 in relation to item 104.</w:t>
      </w:r>
    </w:p>
    <w:p w14:paraId="568D47A9" w14:textId="77777777" w:rsidR="00706414" w:rsidRPr="003A005A" w:rsidRDefault="00706414" w:rsidP="00191119">
      <w:pPr>
        <w:pStyle w:val="ActHead2"/>
      </w:pPr>
      <w:bookmarkStart w:id="17" w:name="_Toc119661647"/>
      <w:r w:rsidRPr="002464C9">
        <w:rPr>
          <w:rStyle w:val="CharPartNo"/>
        </w:rPr>
        <w:lastRenderedPageBreak/>
        <w:t>Part 2</w:t>
      </w:r>
      <w:r w:rsidRPr="003A005A">
        <w:t>—</w:t>
      </w:r>
      <w:r w:rsidRPr="002464C9">
        <w:rPr>
          <w:rStyle w:val="CharPartText"/>
        </w:rPr>
        <w:t>Costs allowable for counsel’s work done and services performed</w:t>
      </w:r>
      <w:bookmarkEnd w:id="17"/>
    </w:p>
    <w:p w14:paraId="0502F145" w14:textId="77777777" w:rsidR="00706414" w:rsidRPr="002464C9" w:rsidRDefault="00706414" w:rsidP="00706414">
      <w:pPr>
        <w:pStyle w:val="Header"/>
      </w:pPr>
      <w:r w:rsidRPr="002464C9">
        <w:rPr>
          <w:rStyle w:val="CharDivNo"/>
        </w:rPr>
        <w:t xml:space="preserve"> </w:t>
      </w:r>
      <w:r w:rsidRPr="002464C9">
        <w:rPr>
          <w:rStyle w:val="CharDivText"/>
        </w:rPr>
        <w:t xml:space="preserve"> </w:t>
      </w:r>
    </w:p>
    <w:p w14:paraId="5CEE937F" w14:textId="77777777" w:rsidR="00706414" w:rsidRPr="003A005A" w:rsidRDefault="00706414" w:rsidP="0070641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90"/>
        <w:gridCol w:w="3569"/>
        <w:gridCol w:w="2084"/>
        <w:gridCol w:w="2084"/>
      </w:tblGrid>
      <w:tr w:rsidR="00706414" w:rsidRPr="003A005A" w14:paraId="77E5D1E9" w14:textId="77777777" w:rsidTr="00706414">
        <w:trPr>
          <w:tblHeader/>
        </w:trPr>
        <w:tc>
          <w:tcPr>
            <w:tcW w:w="5000" w:type="pct"/>
            <w:gridSpan w:val="4"/>
            <w:tcBorders>
              <w:top w:val="single" w:sz="12" w:space="0" w:color="auto"/>
              <w:bottom w:val="single" w:sz="6" w:space="0" w:color="auto"/>
            </w:tcBorders>
            <w:shd w:val="clear" w:color="auto" w:fill="auto"/>
          </w:tcPr>
          <w:p w14:paraId="479D4827" w14:textId="77777777" w:rsidR="00706414" w:rsidRPr="003A005A" w:rsidRDefault="00706414" w:rsidP="00706414">
            <w:pPr>
              <w:pStyle w:val="TableHeading"/>
            </w:pPr>
            <w:r w:rsidRPr="003A005A">
              <w:t>Costs—counsel’s work</w:t>
            </w:r>
          </w:p>
        </w:tc>
      </w:tr>
      <w:tr w:rsidR="00706414" w:rsidRPr="003A005A" w14:paraId="57413FB0" w14:textId="77777777" w:rsidTr="00706414">
        <w:trPr>
          <w:tblHeader/>
        </w:trPr>
        <w:tc>
          <w:tcPr>
            <w:tcW w:w="463" w:type="pct"/>
            <w:tcBorders>
              <w:top w:val="single" w:sz="6" w:space="0" w:color="auto"/>
              <w:bottom w:val="single" w:sz="12" w:space="0" w:color="auto"/>
            </w:tcBorders>
            <w:shd w:val="clear" w:color="auto" w:fill="auto"/>
            <w:hideMark/>
          </w:tcPr>
          <w:p w14:paraId="46B2DE5E" w14:textId="77777777" w:rsidR="00706414" w:rsidRPr="003A005A" w:rsidRDefault="00706414" w:rsidP="00706414">
            <w:pPr>
              <w:pStyle w:val="TableHeading"/>
            </w:pPr>
            <w:r w:rsidRPr="003A005A">
              <w:t>Item</w:t>
            </w:r>
          </w:p>
        </w:tc>
        <w:tc>
          <w:tcPr>
            <w:tcW w:w="2093" w:type="pct"/>
            <w:tcBorders>
              <w:top w:val="single" w:sz="6" w:space="0" w:color="auto"/>
              <w:bottom w:val="single" w:sz="12" w:space="0" w:color="auto"/>
            </w:tcBorders>
            <w:shd w:val="clear" w:color="auto" w:fill="auto"/>
            <w:hideMark/>
          </w:tcPr>
          <w:p w14:paraId="57098667" w14:textId="77777777" w:rsidR="00706414" w:rsidRPr="003A005A" w:rsidRDefault="00706414" w:rsidP="00706414">
            <w:pPr>
              <w:pStyle w:val="TableHeading"/>
            </w:pPr>
            <w:r w:rsidRPr="003A005A">
              <w:t>Matter for which charge may be made</w:t>
            </w:r>
          </w:p>
        </w:tc>
        <w:tc>
          <w:tcPr>
            <w:tcW w:w="1222" w:type="pct"/>
            <w:tcBorders>
              <w:top w:val="single" w:sz="6" w:space="0" w:color="auto"/>
              <w:bottom w:val="single" w:sz="12" w:space="0" w:color="auto"/>
            </w:tcBorders>
            <w:shd w:val="clear" w:color="auto" w:fill="auto"/>
            <w:hideMark/>
          </w:tcPr>
          <w:p w14:paraId="2375F77C" w14:textId="77777777" w:rsidR="00706414" w:rsidRPr="003A005A" w:rsidRDefault="00706414" w:rsidP="00706414">
            <w:pPr>
              <w:pStyle w:val="TableHeading"/>
            </w:pPr>
            <w:r w:rsidRPr="003A005A">
              <w:t>Amount (including GST)</w:t>
            </w:r>
          </w:p>
          <w:p w14:paraId="7FA41042" w14:textId="77777777" w:rsidR="00706414" w:rsidRPr="003A005A" w:rsidRDefault="00706414" w:rsidP="00706414">
            <w:pPr>
              <w:pStyle w:val="TableHeading"/>
            </w:pPr>
            <w:r w:rsidRPr="003A005A">
              <w:t>Senior counsel</w:t>
            </w:r>
          </w:p>
        </w:tc>
        <w:tc>
          <w:tcPr>
            <w:tcW w:w="1222" w:type="pct"/>
            <w:tcBorders>
              <w:top w:val="single" w:sz="6" w:space="0" w:color="auto"/>
              <w:bottom w:val="single" w:sz="12" w:space="0" w:color="auto"/>
            </w:tcBorders>
            <w:shd w:val="clear" w:color="auto" w:fill="auto"/>
            <w:hideMark/>
          </w:tcPr>
          <w:p w14:paraId="5410A75D" w14:textId="77777777" w:rsidR="00706414" w:rsidRPr="003A005A" w:rsidRDefault="00706414" w:rsidP="00706414">
            <w:pPr>
              <w:pStyle w:val="TableHeading"/>
            </w:pPr>
            <w:r w:rsidRPr="003A005A">
              <w:t>Amount (including GST)</w:t>
            </w:r>
          </w:p>
          <w:p w14:paraId="1DF19080" w14:textId="77777777" w:rsidR="00706414" w:rsidRPr="003A005A" w:rsidRDefault="00706414" w:rsidP="00706414">
            <w:pPr>
              <w:pStyle w:val="TableHeading"/>
            </w:pPr>
            <w:r w:rsidRPr="003A005A">
              <w:t>Junior counsel</w:t>
            </w:r>
          </w:p>
        </w:tc>
      </w:tr>
      <w:tr w:rsidR="00706414" w:rsidRPr="003A005A" w14:paraId="38738533" w14:textId="77777777" w:rsidTr="00706414">
        <w:tc>
          <w:tcPr>
            <w:tcW w:w="463" w:type="pct"/>
            <w:tcBorders>
              <w:top w:val="single" w:sz="12" w:space="0" w:color="auto"/>
            </w:tcBorders>
            <w:shd w:val="clear" w:color="auto" w:fill="auto"/>
            <w:hideMark/>
          </w:tcPr>
          <w:p w14:paraId="7D351DD2" w14:textId="77777777" w:rsidR="00706414" w:rsidRPr="003A005A" w:rsidRDefault="00706414" w:rsidP="00706414">
            <w:pPr>
              <w:pStyle w:val="Tabletext"/>
            </w:pPr>
            <w:r w:rsidRPr="003A005A">
              <w:t>201</w:t>
            </w:r>
          </w:p>
        </w:tc>
        <w:tc>
          <w:tcPr>
            <w:tcW w:w="2093" w:type="pct"/>
            <w:tcBorders>
              <w:top w:val="single" w:sz="12" w:space="0" w:color="auto"/>
            </w:tcBorders>
            <w:shd w:val="clear" w:color="auto" w:fill="auto"/>
            <w:hideMark/>
          </w:tcPr>
          <w:p w14:paraId="79C60E27" w14:textId="77777777" w:rsidR="00706414" w:rsidRPr="003A005A" w:rsidRDefault="00706414" w:rsidP="00706414">
            <w:pPr>
              <w:pStyle w:val="Tabletext"/>
            </w:pPr>
            <w:r w:rsidRPr="003A005A">
              <w:t>Chamber work (including preparing or settling any necessary document, opinion, advice or evidence, and any reading fee (if allowed))</w:t>
            </w:r>
          </w:p>
        </w:tc>
        <w:tc>
          <w:tcPr>
            <w:tcW w:w="1222" w:type="pct"/>
            <w:tcBorders>
              <w:top w:val="single" w:sz="12" w:space="0" w:color="auto"/>
            </w:tcBorders>
            <w:shd w:val="clear" w:color="auto" w:fill="auto"/>
            <w:hideMark/>
          </w:tcPr>
          <w:p w14:paraId="3E19DA97" w14:textId="77777777" w:rsidR="00706414" w:rsidRPr="003A005A" w:rsidRDefault="00706414" w:rsidP="00706414">
            <w:pPr>
              <w:pStyle w:val="Tabletext"/>
            </w:pPr>
            <w:r w:rsidRPr="003A005A">
              <w:t>$531.44–$911.08</w:t>
            </w:r>
            <w:r w:rsidRPr="003A005A">
              <w:br/>
              <w:t>per hour</w:t>
            </w:r>
          </w:p>
        </w:tc>
        <w:tc>
          <w:tcPr>
            <w:tcW w:w="1222" w:type="pct"/>
            <w:tcBorders>
              <w:top w:val="single" w:sz="12" w:space="0" w:color="auto"/>
            </w:tcBorders>
            <w:shd w:val="clear" w:color="auto" w:fill="auto"/>
            <w:hideMark/>
          </w:tcPr>
          <w:p w14:paraId="00E3A668" w14:textId="77777777" w:rsidR="00706414" w:rsidRPr="003A005A" w:rsidRDefault="00706414" w:rsidP="00706414">
            <w:pPr>
              <w:pStyle w:val="Tabletext"/>
            </w:pPr>
            <w:r w:rsidRPr="003A005A">
              <w:t>$317.26–$452.51</w:t>
            </w:r>
            <w:r w:rsidRPr="003A005A">
              <w:br/>
              <w:t>per hour</w:t>
            </w:r>
          </w:p>
        </w:tc>
      </w:tr>
      <w:tr w:rsidR="00706414" w:rsidRPr="003A005A" w14:paraId="64A667AD" w14:textId="77777777" w:rsidTr="00706414">
        <w:tc>
          <w:tcPr>
            <w:tcW w:w="463" w:type="pct"/>
            <w:shd w:val="clear" w:color="auto" w:fill="auto"/>
            <w:hideMark/>
          </w:tcPr>
          <w:p w14:paraId="42C9CFD1" w14:textId="77777777" w:rsidR="00706414" w:rsidRPr="003A005A" w:rsidRDefault="00706414" w:rsidP="00706414">
            <w:pPr>
              <w:pStyle w:val="Tabletext"/>
            </w:pPr>
            <w:r w:rsidRPr="003A005A">
              <w:t>202</w:t>
            </w:r>
          </w:p>
        </w:tc>
        <w:tc>
          <w:tcPr>
            <w:tcW w:w="2093" w:type="pct"/>
            <w:shd w:val="clear" w:color="auto" w:fill="auto"/>
            <w:hideMark/>
          </w:tcPr>
          <w:p w14:paraId="53366582" w14:textId="77777777" w:rsidR="00706414" w:rsidRPr="003A005A" w:rsidRDefault="00706414" w:rsidP="00706414">
            <w:pPr>
              <w:pStyle w:val="Tabletext"/>
            </w:pPr>
            <w:r w:rsidRPr="003A005A">
              <w:t>Attendance at a conference (including a court</w:t>
            </w:r>
            <w:r w:rsidR="009325B1">
              <w:noBreakHyphen/>
            </w:r>
            <w:r w:rsidRPr="003A005A">
              <w:t>appointed conference), if necessary</w:t>
            </w:r>
          </w:p>
        </w:tc>
        <w:tc>
          <w:tcPr>
            <w:tcW w:w="1222" w:type="pct"/>
            <w:shd w:val="clear" w:color="auto" w:fill="auto"/>
            <w:hideMark/>
          </w:tcPr>
          <w:p w14:paraId="68E10B3C" w14:textId="77777777" w:rsidR="00706414" w:rsidRPr="003A005A" w:rsidRDefault="00706414" w:rsidP="00706414">
            <w:pPr>
              <w:pStyle w:val="Tabletext"/>
            </w:pPr>
            <w:r w:rsidRPr="003A005A">
              <w:t>$531.44–$911.08</w:t>
            </w:r>
            <w:r w:rsidRPr="003A005A">
              <w:br/>
              <w:t>per hour</w:t>
            </w:r>
          </w:p>
        </w:tc>
        <w:tc>
          <w:tcPr>
            <w:tcW w:w="1222" w:type="pct"/>
            <w:shd w:val="clear" w:color="auto" w:fill="auto"/>
            <w:hideMark/>
          </w:tcPr>
          <w:p w14:paraId="1C78E2ED" w14:textId="77777777" w:rsidR="00706414" w:rsidRPr="003A005A" w:rsidRDefault="00706414" w:rsidP="00706414">
            <w:pPr>
              <w:pStyle w:val="Tabletext"/>
            </w:pPr>
            <w:r w:rsidRPr="003A005A">
              <w:t>$317.26–$452.51</w:t>
            </w:r>
            <w:r w:rsidRPr="003A005A">
              <w:br/>
              <w:t>per hour</w:t>
            </w:r>
          </w:p>
        </w:tc>
      </w:tr>
      <w:tr w:rsidR="00706414" w:rsidRPr="003A005A" w14:paraId="6201675D" w14:textId="77777777" w:rsidTr="00706414">
        <w:tc>
          <w:tcPr>
            <w:tcW w:w="463" w:type="pct"/>
            <w:shd w:val="clear" w:color="auto" w:fill="auto"/>
            <w:hideMark/>
          </w:tcPr>
          <w:p w14:paraId="5EE43FEC" w14:textId="77777777" w:rsidR="00706414" w:rsidRPr="003A005A" w:rsidRDefault="00706414" w:rsidP="00706414">
            <w:pPr>
              <w:pStyle w:val="Tabletext"/>
            </w:pPr>
            <w:r w:rsidRPr="003A005A">
              <w:t>203</w:t>
            </w:r>
          </w:p>
        </w:tc>
        <w:tc>
          <w:tcPr>
            <w:tcW w:w="2093" w:type="pct"/>
            <w:shd w:val="clear" w:color="auto" w:fill="auto"/>
            <w:hideMark/>
          </w:tcPr>
          <w:p w14:paraId="75752609" w14:textId="77777777" w:rsidR="00706414" w:rsidRPr="003A005A" w:rsidRDefault="00706414" w:rsidP="00706414">
            <w:pPr>
              <w:pStyle w:val="Tabletext"/>
            </w:pPr>
            <w:r w:rsidRPr="003A005A">
              <w:t>Attendance of less than 3 hours (for example, a procedural hearing or a summary hearing)</w:t>
            </w:r>
          </w:p>
        </w:tc>
        <w:tc>
          <w:tcPr>
            <w:tcW w:w="1222" w:type="pct"/>
            <w:shd w:val="clear" w:color="auto" w:fill="auto"/>
            <w:hideMark/>
          </w:tcPr>
          <w:p w14:paraId="2A41174A" w14:textId="77777777" w:rsidR="00706414" w:rsidRPr="003A005A" w:rsidRDefault="00706414" w:rsidP="00706414">
            <w:pPr>
              <w:pStyle w:val="Tabletext"/>
            </w:pPr>
            <w:r w:rsidRPr="003A005A">
              <w:t>$531.44–$3,796.00</w:t>
            </w:r>
          </w:p>
        </w:tc>
        <w:tc>
          <w:tcPr>
            <w:tcW w:w="1222" w:type="pct"/>
            <w:shd w:val="clear" w:color="auto" w:fill="auto"/>
            <w:hideMark/>
          </w:tcPr>
          <w:p w14:paraId="1E273AA4" w14:textId="77777777" w:rsidR="00706414" w:rsidRPr="003A005A" w:rsidRDefault="00706414" w:rsidP="00706414">
            <w:pPr>
              <w:pStyle w:val="Tabletext"/>
            </w:pPr>
            <w:r w:rsidRPr="003A005A">
              <w:t>$283.84–$1,330.09</w:t>
            </w:r>
          </w:p>
        </w:tc>
      </w:tr>
      <w:tr w:rsidR="00706414" w:rsidRPr="003A005A" w14:paraId="2FD19A19" w14:textId="77777777" w:rsidTr="00706414">
        <w:tc>
          <w:tcPr>
            <w:tcW w:w="463" w:type="pct"/>
            <w:shd w:val="clear" w:color="auto" w:fill="auto"/>
            <w:hideMark/>
          </w:tcPr>
          <w:p w14:paraId="6AE7470E" w14:textId="77777777" w:rsidR="00706414" w:rsidRPr="003A005A" w:rsidRDefault="00706414" w:rsidP="00706414">
            <w:pPr>
              <w:pStyle w:val="Tabletext"/>
            </w:pPr>
            <w:r w:rsidRPr="003A005A">
              <w:t>204</w:t>
            </w:r>
          </w:p>
        </w:tc>
        <w:tc>
          <w:tcPr>
            <w:tcW w:w="2093" w:type="pct"/>
            <w:shd w:val="clear" w:color="auto" w:fill="auto"/>
            <w:hideMark/>
          </w:tcPr>
          <w:p w14:paraId="459DCFFC" w14:textId="77777777" w:rsidR="00706414" w:rsidRPr="003A005A" w:rsidRDefault="00706414" w:rsidP="00706414">
            <w:pPr>
              <w:pStyle w:val="Tabletext"/>
            </w:pPr>
            <w:r w:rsidRPr="003A005A">
              <w:t>A hearing or trial taking at least 3 hours but not more than 1 day</w:t>
            </w:r>
          </w:p>
        </w:tc>
        <w:tc>
          <w:tcPr>
            <w:tcW w:w="1222" w:type="pct"/>
            <w:shd w:val="clear" w:color="auto" w:fill="auto"/>
            <w:hideMark/>
          </w:tcPr>
          <w:p w14:paraId="5240BF9A" w14:textId="77777777" w:rsidR="00706414" w:rsidRPr="003A005A" w:rsidRDefault="00706414" w:rsidP="00706414">
            <w:pPr>
              <w:pStyle w:val="Tabletext"/>
            </w:pPr>
            <w:r w:rsidRPr="003A005A">
              <w:t>$986.96–$7,592.73</w:t>
            </w:r>
          </w:p>
        </w:tc>
        <w:tc>
          <w:tcPr>
            <w:tcW w:w="1222" w:type="pct"/>
            <w:shd w:val="clear" w:color="auto" w:fill="auto"/>
            <w:hideMark/>
          </w:tcPr>
          <w:p w14:paraId="1903549C" w14:textId="77777777" w:rsidR="00706414" w:rsidRPr="003A005A" w:rsidRDefault="00706414" w:rsidP="00706414">
            <w:pPr>
              <w:pStyle w:val="Tabletext"/>
            </w:pPr>
            <w:r w:rsidRPr="003A005A">
              <w:t>$941.05–$2,175.32</w:t>
            </w:r>
          </w:p>
        </w:tc>
      </w:tr>
      <w:tr w:rsidR="00706414" w:rsidRPr="003A005A" w14:paraId="785883C0" w14:textId="77777777" w:rsidTr="00706414">
        <w:tc>
          <w:tcPr>
            <w:tcW w:w="463" w:type="pct"/>
            <w:tcBorders>
              <w:bottom w:val="single" w:sz="4" w:space="0" w:color="auto"/>
            </w:tcBorders>
            <w:shd w:val="clear" w:color="auto" w:fill="auto"/>
            <w:hideMark/>
          </w:tcPr>
          <w:p w14:paraId="1711781E" w14:textId="77777777" w:rsidR="00706414" w:rsidRPr="003A005A" w:rsidRDefault="00706414" w:rsidP="00706414">
            <w:pPr>
              <w:pStyle w:val="Tabletext"/>
            </w:pPr>
            <w:r w:rsidRPr="003A005A">
              <w:t>205</w:t>
            </w:r>
          </w:p>
        </w:tc>
        <w:tc>
          <w:tcPr>
            <w:tcW w:w="2093" w:type="pct"/>
            <w:tcBorders>
              <w:bottom w:val="single" w:sz="4" w:space="0" w:color="auto"/>
            </w:tcBorders>
            <w:shd w:val="clear" w:color="auto" w:fill="auto"/>
            <w:hideMark/>
          </w:tcPr>
          <w:p w14:paraId="1439D1DF" w14:textId="77777777" w:rsidR="00706414" w:rsidRPr="003A005A" w:rsidRDefault="00706414" w:rsidP="00706414">
            <w:pPr>
              <w:pStyle w:val="Tabletext"/>
            </w:pPr>
            <w:r w:rsidRPr="003A005A">
              <w:t>Other hearings or trials</w:t>
            </w:r>
          </w:p>
        </w:tc>
        <w:tc>
          <w:tcPr>
            <w:tcW w:w="1222" w:type="pct"/>
            <w:tcBorders>
              <w:bottom w:val="single" w:sz="4" w:space="0" w:color="auto"/>
            </w:tcBorders>
            <w:shd w:val="clear" w:color="auto" w:fill="auto"/>
            <w:hideMark/>
          </w:tcPr>
          <w:p w14:paraId="0935099E" w14:textId="77777777" w:rsidR="00706414" w:rsidRPr="003A005A" w:rsidRDefault="00706414" w:rsidP="00706414">
            <w:pPr>
              <w:pStyle w:val="Tabletext"/>
            </w:pPr>
            <w:r w:rsidRPr="003A005A">
              <w:t>$2,505.47–$7,592.73</w:t>
            </w:r>
            <w:r w:rsidRPr="003A005A">
              <w:br/>
              <w:t>per day</w:t>
            </w:r>
          </w:p>
        </w:tc>
        <w:tc>
          <w:tcPr>
            <w:tcW w:w="1222" w:type="pct"/>
            <w:tcBorders>
              <w:bottom w:val="single" w:sz="4" w:space="0" w:color="auto"/>
            </w:tcBorders>
            <w:shd w:val="clear" w:color="auto" w:fill="auto"/>
            <w:hideMark/>
          </w:tcPr>
          <w:p w14:paraId="52BEAF50" w14:textId="77777777" w:rsidR="00706414" w:rsidRPr="003A005A" w:rsidRDefault="00706414" w:rsidP="00706414">
            <w:pPr>
              <w:pStyle w:val="Tabletext"/>
            </w:pPr>
            <w:r w:rsidRPr="003A005A">
              <w:t>$2,242.76–$3,296.54</w:t>
            </w:r>
            <w:r w:rsidRPr="003A005A">
              <w:br/>
              <w:t>per day</w:t>
            </w:r>
          </w:p>
        </w:tc>
      </w:tr>
      <w:tr w:rsidR="00706414" w:rsidRPr="003A005A" w14:paraId="5A6088AD" w14:textId="77777777" w:rsidTr="00706414">
        <w:tc>
          <w:tcPr>
            <w:tcW w:w="463" w:type="pct"/>
            <w:tcBorders>
              <w:bottom w:val="single" w:sz="12" w:space="0" w:color="auto"/>
            </w:tcBorders>
            <w:shd w:val="clear" w:color="auto" w:fill="auto"/>
            <w:hideMark/>
          </w:tcPr>
          <w:p w14:paraId="76C347F8" w14:textId="77777777" w:rsidR="00706414" w:rsidRPr="003A005A" w:rsidRDefault="00706414" w:rsidP="00706414">
            <w:pPr>
              <w:pStyle w:val="Tabletext"/>
            </w:pPr>
            <w:r w:rsidRPr="003A005A">
              <w:t>206</w:t>
            </w:r>
          </w:p>
        </w:tc>
        <w:tc>
          <w:tcPr>
            <w:tcW w:w="2093" w:type="pct"/>
            <w:tcBorders>
              <w:bottom w:val="single" w:sz="12" w:space="0" w:color="auto"/>
            </w:tcBorders>
            <w:shd w:val="clear" w:color="auto" w:fill="auto"/>
            <w:hideMark/>
          </w:tcPr>
          <w:p w14:paraId="3CACF299" w14:textId="77777777" w:rsidR="00706414" w:rsidRPr="003A005A" w:rsidRDefault="00706414" w:rsidP="00706414">
            <w:pPr>
              <w:pStyle w:val="Tabletext"/>
            </w:pPr>
            <w:r w:rsidRPr="003A005A">
              <w:t>Reserved judgment</w:t>
            </w:r>
          </w:p>
        </w:tc>
        <w:tc>
          <w:tcPr>
            <w:tcW w:w="1222" w:type="pct"/>
            <w:tcBorders>
              <w:bottom w:val="single" w:sz="12" w:space="0" w:color="auto"/>
            </w:tcBorders>
            <w:shd w:val="clear" w:color="auto" w:fill="auto"/>
            <w:hideMark/>
          </w:tcPr>
          <w:p w14:paraId="51E3BB03" w14:textId="77777777" w:rsidR="00706414" w:rsidRPr="003A005A" w:rsidRDefault="00706414" w:rsidP="00706414">
            <w:pPr>
              <w:pStyle w:val="Tabletext"/>
            </w:pPr>
            <w:r w:rsidRPr="003A005A">
              <w:t>$531.44–$911.08</w:t>
            </w:r>
            <w:r w:rsidRPr="003A005A">
              <w:br/>
              <w:t>per hour</w:t>
            </w:r>
          </w:p>
        </w:tc>
        <w:tc>
          <w:tcPr>
            <w:tcW w:w="1222" w:type="pct"/>
            <w:tcBorders>
              <w:bottom w:val="single" w:sz="12" w:space="0" w:color="auto"/>
            </w:tcBorders>
            <w:shd w:val="clear" w:color="auto" w:fill="auto"/>
            <w:hideMark/>
          </w:tcPr>
          <w:p w14:paraId="288A3D5B" w14:textId="77777777" w:rsidR="00706414" w:rsidRPr="003A005A" w:rsidRDefault="00706414" w:rsidP="00706414">
            <w:pPr>
              <w:pStyle w:val="Tabletext"/>
            </w:pPr>
            <w:r w:rsidRPr="003A005A">
              <w:t>$317.26–$452.51</w:t>
            </w:r>
            <w:r w:rsidRPr="003A005A">
              <w:br/>
              <w:t>per hour</w:t>
            </w:r>
          </w:p>
        </w:tc>
      </w:tr>
    </w:tbl>
    <w:p w14:paraId="44682CAA" w14:textId="77777777" w:rsidR="00706414" w:rsidRPr="003A005A" w:rsidRDefault="00706414" w:rsidP="00191119">
      <w:pPr>
        <w:pStyle w:val="ActHead2"/>
      </w:pPr>
      <w:bookmarkStart w:id="18" w:name="_Toc119661648"/>
      <w:r w:rsidRPr="002464C9">
        <w:rPr>
          <w:rStyle w:val="CharPartNo"/>
        </w:rPr>
        <w:t>Part 3</w:t>
      </w:r>
      <w:r w:rsidRPr="003A005A">
        <w:t>—</w:t>
      </w:r>
      <w:r w:rsidRPr="002464C9">
        <w:rPr>
          <w:rStyle w:val="CharPartText"/>
        </w:rPr>
        <w:t>Basic composite amount for undefended divorce</w:t>
      </w:r>
      <w:bookmarkEnd w:id="18"/>
    </w:p>
    <w:p w14:paraId="6B864B19" w14:textId="77777777" w:rsidR="00706414" w:rsidRPr="002464C9" w:rsidRDefault="00706414" w:rsidP="00706414">
      <w:pPr>
        <w:pStyle w:val="Header"/>
      </w:pPr>
      <w:r w:rsidRPr="002464C9">
        <w:rPr>
          <w:rStyle w:val="CharDivNo"/>
        </w:rPr>
        <w:t xml:space="preserve"> </w:t>
      </w:r>
      <w:r w:rsidRPr="002464C9">
        <w:rPr>
          <w:rStyle w:val="CharDivText"/>
        </w:rPr>
        <w:t xml:space="preserve"> </w:t>
      </w:r>
    </w:p>
    <w:p w14:paraId="19FBFA04" w14:textId="77777777" w:rsidR="00706414" w:rsidRPr="003A005A" w:rsidRDefault="00706414" w:rsidP="0070641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09"/>
        <w:gridCol w:w="6354"/>
        <w:gridCol w:w="1364"/>
      </w:tblGrid>
      <w:tr w:rsidR="00706414" w:rsidRPr="003A005A" w14:paraId="5F3A452A" w14:textId="77777777" w:rsidTr="00706414">
        <w:trPr>
          <w:tblHeader/>
        </w:trPr>
        <w:tc>
          <w:tcPr>
            <w:tcW w:w="5000" w:type="pct"/>
            <w:gridSpan w:val="3"/>
            <w:tcBorders>
              <w:top w:val="single" w:sz="12" w:space="0" w:color="auto"/>
              <w:bottom w:val="single" w:sz="6" w:space="0" w:color="auto"/>
            </w:tcBorders>
            <w:shd w:val="clear" w:color="auto" w:fill="auto"/>
          </w:tcPr>
          <w:p w14:paraId="72B32FB6" w14:textId="77777777" w:rsidR="00706414" w:rsidRPr="003A005A" w:rsidRDefault="00706414" w:rsidP="00706414">
            <w:pPr>
              <w:pStyle w:val="TableHeading"/>
            </w:pPr>
            <w:r w:rsidRPr="003A005A">
              <w:t>Costs—undefended divorce</w:t>
            </w:r>
          </w:p>
        </w:tc>
      </w:tr>
      <w:tr w:rsidR="00706414" w:rsidRPr="003A005A" w14:paraId="6BBD8AC9" w14:textId="77777777" w:rsidTr="00706414">
        <w:trPr>
          <w:tblHeader/>
        </w:trPr>
        <w:tc>
          <w:tcPr>
            <w:tcW w:w="474" w:type="pct"/>
            <w:tcBorders>
              <w:top w:val="single" w:sz="6" w:space="0" w:color="auto"/>
              <w:bottom w:val="single" w:sz="12" w:space="0" w:color="auto"/>
            </w:tcBorders>
            <w:shd w:val="clear" w:color="auto" w:fill="auto"/>
            <w:hideMark/>
          </w:tcPr>
          <w:p w14:paraId="597C3366" w14:textId="77777777" w:rsidR="00706414" w:rsidRPr="003A005A" w:rsidRDefault="00706414" w:rsidP="00706414">
            <w:pPr>
              <w:pStyle w:val="TableHeading"/>
            </w:pPr>
            <w:r w:rsidRPr="003A005A">
              <w:t>Item</w:t>
            </w:r>
          </w:p>
        </w:tc>
        <w:tc>
          <w:tcPr>
            <w:tcW w:w="3726" w:type="pct"/>
            <w:tcBorders>
              <w:top w:val="single" w:sz="6" w:space="0" w:color="auto"/>
              <w:bottom w:val="single" w:sz="12" w:space="0" w:color="auto"/>
            </w:tcBorders>
            <w:shd w:val="clear" w:color="auto" w:fill="auto"/>
            <w:hideMark/>
          </w:tcPr>
          <w:p w14:paraId="0CCCB36A" w14:textId="77777777" w:rsidR="00706414" w:rsidRPr="003A005A" w:rsidRDefault="00706414" w:rsidP="00706414">
            <w:pPr>
              <w:pStyle w:val="TableHeading"/>
            </w:pPr>
            <w:r w:rsidRPr="003A005A">
              <w:t>Matter for which charge may be made</w:t>
            </w:r>
          </w:p>
        </w:tc>
        <w:tc>
          <w:tcPr>
            <w:tcW w:w="800" w:type="pct"/>
            <w:tcBorders>
              <w:top w:val="single" w:sz="6" w:space="0" w:color="auto"/>
              <w:bottom w:val="single" w:sz="12" w:space="0" w:color="auto"/>
            </w:tcBorders>
            <w:shd w:val="clear" w:color="auto" w:fill="auto"/>
            <w:hideMark/>
          </w:tcPr>
          <w:p w14:paraId="240B9771" w14:textId="77777777" w:rsidR="00706414" w:rsidRPr="003A005A" w:rsidRDefault="00706414" w:rsidP="00706414">
            <w:pPr>
              <w:pStyle w:val="TableHeading"/>
            </w:pPr>
            <w:r w:rsidRPr="003A005A">
              <w:t>Amount (including GST)</w:t>
            </w:r>
          </w:p>
        </w:tc>
      </w:tr>
      <w:tr w:rsidR="00706414" w:rsidRPr="003A005A" w14:paraId="73646D1D" w14:textId="77777777" w:rsidTr="00706414">
        <w:tc>
          <w:tcPr>
            <w:tcW w:w="474" w:type="pct"/>
            <w:tcBorders>
              <w:top w:val="single" w:sz="12" w:space="0" w:color="auto"/>
            </w:tcBorders>
            <w:shd w:val="clear" w:color="auto" w:fill="auto"/>
            <w:hideMark/>
          </w:tcPr>
          <w:p w14:paraId="61823ED3" w14:textId="77777777" w:rsidR="00706414" w:rsidRPr="003A005A" w:rsidRDefault="00706414" w:rsidP="00706414">
            <w:pPr>
              <w:pStyle w:val="Tabletext"/>
            </w:pPr>
            <w:r w:rsidRPr="003A005A">
              <w:t>301</w:t>
            </w:r>
          </w:p>
        </w:tc>
        <w:tc>
          <w:tcPr>
            <w:tcW w:w="3726" w:type="pct"/>
            <w:tcBorders>
              <w:top w:val="single" w:sz="12" w:space="0" w:color="auto"/>
            </w:tcBorders>
            <w:shd w:val="clear" w:color="auto" w:fill="auto"/>
            <w:hideMark/>
          </w:tcPr>
          <w:p w14:paraId="5CB0FD97" w14:textId="77777777" w:rsidR="00706414" w:rsidRPr="003A005A" w:rsidRDefault="00706414" w:rsidP="00706414">
            <w:pPr>
              <w:pStyle w:val="Tabletext"/>
            </w:pPr>
            <w:r w:rsidRPr="003A005A">
              <w:t>If the lawyer employed another lawyer to attend at court for the applicant and there is a child of the marriage under 18</w:t>
            </w:r>
          </w:p>
        </w:tc>
        <w:tc>
          <w:tcPr>
            <w:tcW w:w="800" w:type="pct"/>
            <w:tcBorders>
              <w:top w:val="single" w:sz="12" w:space="0" w:color="auto"/>
            </w:tcBorders>
            <w:shd w:val="clear" w:color="auto" w:fill="auto"/>
            <w:hideMark/>
          </w:tcPr>
          <w:p w14:paraId="0CFD7B00" w14:textId="77777777" w:rsidR="00706414" w:rsidRPr="003A005A" w:rsidRDefault="00706414" w:rsidP="00706414">
            <w:pPr>
              <w:pStyle w:val="Tabletext"/>
            </w:pPr>
            <w:r w:rsidRPr="003A005A">
              <w:t>$1,167.14</w:t>
            </w:r>
          </w:p>
        </w:tc>
      </w:tr>
      <w:tr w:rsidR="00706414" w:rsidRPr="003A005A" w14:paraId="62622091" w14:textId="77777777" w:rsidTr="00706414">
        <w:tc>
          <w:tcPr>
            <w:tcW w:w="474" w:type="pct"/>
            <w:shd w:val="clear" w:color="auto" w:fill="auto"/>
            <w:hideMark/>
          </w:tcPr>
          <w:p w14:paraId="6EBAE1A0" w14:textId="77777777" w:rsidR="00706414" w:rsidRPr="003A005A" w:rsidRDefault="00706414" w:rsidP="00706414">
            <w:pPr>
              <w:pStyle w:val="Tabletext"/>
            </w:pPr>
            <w:r w:rsidRPr="003A005A">
              <w:t>302</w:t>
            </w:r>
          </w:p>
        </w:tc>
        <w:tc>
          <w:tcPr>
            <w:tcW w:w="3726" w:type="pct"/>
            <w:shd w:val="clear" w:color="auto" w:fill="auto"/>
            <w:hideMark/>
          </w:tcPr>
          <w:p w14:paraId="126EAD24" w14:textId="77777777" w:rsidR="00706414" w:rsidRPr="003A005A" w:rsidRDefault="00706414" w:rsidP="00706414">
            <w:pPr>
              <w:pStyle w:val="Tabletext"/>
            </w:pPr>
            <w:r w:rsidRPr="003A005A">
              <w:t>If the lawyer employed another lawyer to attend at court for the applicant and there is no child of the marriage under 18</w:t>
            </w:r>
          </w:p>
        </w:tc>
        <w:tc>
          <w:tcPr>
            <w:tcW w:w="800" w:type="pct"/>
            <w:shd w:val="clear" w:color="auto" w:fill="auto"/>
            <w:hideMark/>
          </w:tcPr>
          <w:p w14:paraId="3AF4F4DA" w14:textId="77777777" w:rsidR="00706414" w:rsidRPr="003A005A" w:rsidRDefault="00706414" w:rsidP="00706414">
            <w:pPr>
              <w:pStyle w:val="Tabletext"/>
            </w:pPr>
            <w:r w:rsidRPr="003A005A">
              <w:t>$868.35</w:t>
            </w:r>
          </w:p>
        </w:tc>
      </w:tr>
      <w:tr w:rsidR="00706414" w:rsidRPr="003A005A" w14:paraId="019B5D5A" w14:textId="77777777" w:rsidTr="00706414">
        <w:tc>
          <w:tcPr>
            <w:tcW w:w="474" w:type="pct"/>
            <w:shd w:val="clear" w:color="auto" w:fill="auto"/>
            <w:hideMark/>
          </w:tcPr>
          <w:p w14:paraId="69883E8E" w14:textId="77777777" w:rsidR="00706414" w:rsidRPr="003A005A" w:rsidRDefault="00706414" w:rsidP="00706414">
            <w:pPr>
              <w:pStyle w:val="Tabletext"/>
            </w:pPr>
            <w:r w:rsidRPr="003A005A">
              <w:t>303</w:t>
            </w:r>
          </w:p>
        </w:tc>
        <w:tc>
          <w:tcPr>
            <w:tcW w:w="3726" w:type="pct"/>
            <w:shd w:val="clear" w:color="auto" w:fill="auto"/>
            <w:hideMark/>
          </w:tcPr>
          <w:p w14:paraId="2AD4AC4C" w14:textId="77777777" w:rsidR="00706414" w:rsidRPr="003A005A" w:rsidRDefault="00706414" w:rsidP="00706414">
            <w:pPr>
              <w:pStyle w:val="Tabletext"/>
            </w:pPr>
            <w:r w:rsidRPr="003A005A">
              <w:t>If the lawyer did not employ another lawyer to attend at court for the applicant and there is a child of the marriage under 18</w:t>
            </w:r>
          </w:p>
        </w:tc>
        <w:tc>
          <w:tcPr>
            <w:tcW w:w="800" w:type="pct"/>
            <w:shd w:val="clear" w:color="auto" w:fill="auto"/>
            <w:hideMark/>
          </w:tcPr>
          <w:p w14:paraId="3BE2A9DD" w14:textId="77777777" w:rsidR="00706414" w:rsidRPr="003A005A" w:rsidRDefault="00706414" w:rsidP="00706414">
            <w:pPr>
              <w:pStyle w:val="Tabletext"/>
            </w:pPr>
            <w:r w:rsidRPr="003A005A">
              <w:t>$1,095.76</w:t>
            </w:r>
          </w:p>
        </w:tc>
      </w:tr>
      <w:tr w:rsidR="00706414" w:rsidRPr="003A005A" w14:paraId="3C3D8825" w14:textId="77777777" w:rsidTr="00706414">
        <w:tc>
          <w:tcPr>
            <w:tcW w:w="474" w:type="pct"/>
            <w:tcBorders>
              <w:bottom w:val="single" w:sz="4" w:space="0" w:color="auto"/>
            </w:tcBorders>
            <w:shd w:val="clear" w:color="auto" w:fill="auto"/>
            <w:hideMark/>
          </w:tcPr>
          <w:p w14:paraId="405905E9" w14:textId="77777777" w:rsidR="00706414" w:rsidRPr="003A005A" w:rsidRDefault="00706414" w:rsidP="00706414">
            <w:pPr>
              <w:pStyle w:val="Tabletext"/>
            </w:pPr>
            <w:r w:rsidRPr="003A005A">
              <w:t>304</w:t>
            </w:r>
          </w:p>
        </w:tc>
        <w:tc>
          <w:tcPr>
            <w:tcW w:w="3726" w:type="pct"/>
            <w:tcBorders>
              <w:bottom w:val="single" w:sz="4" w:space="0" w:color="auto"/>
            </w:tcBorders>
            <w:shd w:val="clear" w:color="auto" w:fill="auto"/>
            <w:hideMark/>
          </w:tcPr>
          <w:p w14:paraId="324488AC" w14:textId="77777777" w:rsidR="00706414" w:rsidRPr="003A005A" w:rsidRDefault="00706414" w:rsidP="00706414">
            <w:pPr>
              <w:pStyle w:val="Tabletext"/>
            </w:pPr>
            <w:r w:rsidRPr="003A005A">
              <w:t>If the lawyer did not employ another lawyer to attend at court for the applicant and there is no child of the marriage under 18</w:t>
            </w:r>
          </w:p>
        </w:tc>
        <w:tc>
          <w:tcPr>
            <w:tcW w:w="800" w:type="pct"/>
            <w:tcBorders>
              <w:bottom w:val="single" w:sz="4" w:space="0" w:color="auto"/>
            </w:tcBorders>
            <w:shd w:val="clear" w:color="auto" w:fill="auto"/>
            <w:hideMark/>
          </w:tcPr>
          <w:p w14:paraId="0A3C094D" w14:textId="77777777" w:rsidR="00706414" w:rsidRPr="003A005A" w:rsidRDefault="00706414" w:rsidP="00706414">
            <w:pPr>
              <w:pStyle w:val="Tabletext"/>
            </w:pPr>
            <w:r w:rsidRPr="003A005A">
              <w:t>$819.92</w:t>
            </w:r>
          </w:p>
        </w:tc>
      </w:tr>
      <w:tr w:rsidR="00706414" w:rsidRPr="003A005A" w14:paraId="55A803A1" w14:textId="77777777" w:rsidTr="00706414">
        <w:tc>
          <w:tcPr>
            <w:tcW w:w="474" w:type="pct"/>
            <w:tcBorders>
              <w:bottom w:val="single" w:sz="12" w:space="0" w:color="auto"/>
            </w:tcBorders>
            <w:shd w:val="clear" w:color="auto" w:fill="auto"/>
            <w:hideMark/>
          </w:tcPr>
          <w:p w14:paraId="1F9CBD9F" w14:textId="77777777" w:rsidR="00706414" w:rsidRPr="003A005A" w:rsidRDefault="00706414" w:rsidP="00706414">
            <w:pPr>
              <w:pStyle w:val="Tabletext"/>
            </w:pPr>
            <w:r w:rsidRPr="003A005A">
              <w:t>305</w:t>
            </w:r>
          </w:p>
        </w:tc>
        <w:tc>
          <w:tcPr>
            <w:tcW w:w="3726" w:type="pct"/>
            <w:tcBorders>
              <w:bottom w:val="single" w:sz="12" w:space="0" w:color="auto"/>
            </w:tcBorders>
            <w:shd w:val="clear" w:color="auto" w:fill="auto"/>
            <w:hideMark/>
          </w:tcPr>
          <w:p w14:paraId="5B234FDB" w14:textId="77777777" w:rsidR="00706414" w:rsidRPr="003A005A" w:rsidRDefault="00706414" w:rsidP="00706414">
            <w:pPr>
              <w:pStyle w:val="Tabletext"/>
            </w:pPr>
            <w:r w:rsidRPr="003A005A">
              <w:t>If the lawyer did not attend at court for the hearing under section 98A of the Act</w:t>
            </w:r>
          </w:p>
        </w:tc>
        <w:tc>
          <w:tcPr>
            <w:tcW w:w="800" w:type="pct"/>
            <w:tcBorders>
              <w:bottom w:val="single" w:sz="12" w:space="0" w:color="auto"/>
            </w:tcBorders>
            <w:shd w:val="clear" w:color="auto" w:fill="auto"/>
            <w:hideMark/>
          </w:tcPr>
          <w:p w14:paraId="74BB6F41" w14:textId="77777777" w:rsidR="00706414" w:rsidRPr="003A005A" w:rsidRDefault="00706414" w:rsidP="00706414">
            <w:pPr>
              <w:pStyle w:val="Tabletext"/>
            </w:pPr>
            <w:r w:rsidRPr="003A005A">
              <w:t>$705.47</w:t>
            </w:r>
          </w:p>
        </w:tc>
      </w:tr>
    </w:tbl>
    <w:p w14:paraId="29A00A70" w14:textId="77777777" w:rsidR="00706414" w:rsidRPr="003A005A" w:rsidRDefault="00706414" w:rsidP="00191119">
      <w:pPr>
        <w:pStyle w:val="ActHead2"/>
      </w:pPr>
      <w:bookmarkStart w:id="19" w:name="_Toc119661649"/>
      <w:r w:rsidRPr="002464C9">
        <w:rPr>
          <w:rStyle w:val="CharPartNo"/>
        </w:rPr>
        <w:t>Part 4</w:t>
      </w:r>
      <w:r w:rsidRPr="003A005A">
        <w:t>—</w:t>
      </w:r>
      <w:r w:rsidRPr="002464C9">
        <w:rPr>
          <w:rStyle w:val="CharPartText"/>
        </w:rPr>
        <w:t>Basic composite amount for request for Enforcement Warrant or Third Party Debt Notice</w:t>
      </w:r>
      <w:bookmarkEnd w:id="19"/>
    </w:p>
    <w:p w14:paraId="7BBD2115" w14:textId="77777777" w:rsidR="00706414" w:rsidRPr="002464C9" w:rsidRDefault="00706414" w:rsidP="00706414">
      <w:pPr>
        <w:pStyle w:val="Header"/>
      </w:pPr>
      <w:r w:rsidRPr="002464C9">
        <w:rPr>
          <w:rStyle w:val="CharDivNo"/>
        </w:rPr>
        <w:t xml:space="preserve"> </w:t>
      </w:r>
      <w:r w:rsidRPr="002464C9">
        <w:rPr>
          <w:rStyle w:val="CharDivText"/>
        </w:rPr>
        <w:t xml:space="preserve"> </w:t>
      </w:r>
    </w:p>
    <w:p w14:paraId="21AB1DE3" w14:textId="77777777" w:rsidR="00706414" w:rsidRPr="003A005A" w:rsidRDefault="00706414" w:rsidP="00706414">
      <w:pPr>
        <w:pStyle w:val="Tabletext"/>
      </w:pPr>
    </w:p>
    <w:tbl>
      <w:tblPr>
        <w:tblW w:w="5000" w:type="pct"/>
        <w:tblCellMar>
          <w:left w:w="107" w:type="dxa"/>
          <w:right w:w="107" w:type="dxa"/>
        </w:tblCellMar>
        <w:tblLook w:val="04A0" w:firstRow="1" w:lastRow="0" w:firstColumn="1" w:lastColumn="0" w:noHBand="0" w:noVBand="1"/>
      </w:tblPr>
      <w:tblGrid>
        <w:gridCol w:w="853"/>
        <w:gridCol w:w="5774"/>
        <w:gridCol w:w="1900"/>
      </w:tblGrid>
      <w:tr w:rsidR="00706414" w:rsidRPr="003A005A" w14:paraId="55B0BA33" w14:textId="77777777" w:rsidTr="00706414">
        <w:tc>
          <w:tcPr>
            <w:tcW w:w="5000" w:type="pct"/>
            <w:gridSpan w:val="3"/>
            <w:tcBorders>
              <w:top w:val="single" w:sz="12" w:space="0" w:color="auto"/>
              <w:bottom w:val="single" w:sz="6" w:space="0" w:color="auto"/>
            </w:tcBorders>
            <w:shd w:val="clear" w:color="auto" w:fill="auto"/>
          </w:tcPr>
          <w:p w14:paraId="3CA65FA9" w14:textId="77777777" w:rsidR="00706414" w:rsidRPr="003A005A" w:rsidRDefault="00706414" w:rsidP="00706414">
            <w:pPr>
              <w:pStyle w:val="TableHeading"/>
            </w:pPr>
            <w:r w:rsidRPr="003A005A">
              <w:lastRenderedPageBreak/>
              <w:t>Costs—Enforcement Warrant or Third Party Debt Notice</w:t>
            </w:r>
          </w:p>
        </w:tc>
      </w:tr>
      <w:tr w:rsidR="00706414" w:rsidRPr="003A005A" w14:paraId="6391F780" w14:textId="77777777" w:rsidTr="00706414">
        <w:tc>
          <w:tcPr>
            <w:tcW w:w="500" w:type="pct"/>
            <w:tcBorders>
              <w:bottom w:val="single" w:sz="12" w:space="0" w:color="auto"/>
            </w:tcBorders>
            <w:shd w:val="clear" w:color="auto" w:fill="auto"/>
            <w:hideMark/>
          </w:tcPr>
          <w:p w14:paraId="77E40E44" w14:textId="77777777" w:rsidR="00706414" w:rsidRPr="003A005A" w:rsidRDefault="00706414" w:rsidP="00706414">
            <w:pPr>
              <w:pStyle w:val="TableHeading"/>
            </w:pPr>
            <w:r w:rsidRPr="003A005A">
              <w:t>Item</w:t>
            </w:r>
          </w:p>
        </w:tc>
        <w:tc>
          <w:tcPr>
            <w:tcW w:w="3386" w:type="pct"/>
            <w:tcBorders>
              <w:top w:val="single" w:sz="6" w:space="0" w:color="auto"/>
              <w:bottom w:val="single" w:sz="12" w:space="0" w:color="auto"/>
            </w:tcBorders>
            <w:shd w:val="clear" w:color="auto" w:fill="auto"/>
            <w:hideMark/>
          </w:tcPr>
          <w:p w14:paraId="03043B72" w14:textId="77777777" w:rsidR="00706414" w:rsidRPr="003A005A" w:rsidRDefault="00706414" w:rsidP="00706414">
            <w:pPr>
              <w:pStyle w:val="TableHeading"/>
            </w:pPr>
            <w:r w:rsidRPr="003A005A">
              <w:t>Matter for which charge may be made</w:t>
            </w:r>
          </w:p>
        </w:tc>
        <w:tc>
          <w:tcPr>
            <w:tcW w:w="1114" w:type="pct"/>
            <w:tcBorders>
              <w:bottom w:val="single" w:sz="12" w:space="0" w:color="auto"/>
            </w:tcBorders>
            <w:shd w:val="clear" w:color="auto" w:fill="auto"/>
            <w:hideMark/>
          </w:tcPr>
          <w:p w14:paraId="546937E4" w14:textId="77777777" w:rsidR="00706414" w:rsidRPr="003A005A" w:rsidRDefault="00706414" w:rsidP="00706414">
            <w:pPr>
              <w:pStyle w:val="TableHeading"/>
            </w:pPr>
            <w:r w:rsidRPr="003A005A">
              <w:t>Amount</w:t>
            </w:r>
            <w:r w:rsidRPr="003A005A">
              <w:br/>
              <w:t>(including GST)</w:t>
            </w:r>
          </w:p>
        </w:tc>
      </w:tr>
      <w:tr w:rsidR="00706414" w:rsidRPr="003A005A" w14:paraId="1D4F3148" w14:textId="77777777" w:rsidTr="00706414">
        <w:tc>
          <w:tcPr>
            <w:tcW w:w="500" w:type="pct"/>
            <w:tcBorders>
              <w:top w:val="single" w:sz="12" w:space="0" w:color="auto"/>
              <w:bottom w:val="single" w:sz="6" w:space="0" w:color="auto"/>
            </w:tcBorders>
            <w:shd w:val="clear" w:color="auto" w:fill="auto"/>
            <w:hideMark/>
          </w:tcPr>
          <w:p w14:paraId="71D0D9E4" w14:textId="77777777" w:rsidR="00706414" w:rsidRPr="003A005A" w:rsidRDefault="00706414" w:rsidP="00706414">
            <w:pPr>
              <w:pStyle w:val="Tabletext"/>
            </w:pPr>
            <w:r w:rsidRPr="003A005A">
              <w:t>401</w:t>
            </w:r>
          </w:p>
        </w:tc>
        <w:tc>
          <w:tcPr>
            <w:tcW w:w="3386" w:type="pct"/>
            <w:tcBorders>
              <w:top w:val="single" w:sz="12" w:space="0" w:color="auto"/>
              <w:bottom w:val="single" w:sz="6" w:space="0" w:color="auto"/>
            </w:tcBorders>
            <w:shd w:val="clear" w:color="auto" w:fill="auto"/>
            <w:hideMark/>
          </w:tcPr>
          <w:p w14:paraId="7443EB59" w14:textId="77777777" w:rsidR="00706414" w:rsidRPr="003A005A" w:rsidRDefault="00706414" w:rsidP="00706414">
            <w:pPr>
              <w:pStyle w:val="Tabletext"/>
            </w:pPr>
            <w:r w:rsidRPr="003A005A">
              <w:t xml:space="preserve">An Enforcement Warrant under </w:t>
            </w:r>
            <w:r w:rsidR="00F4184D" w:rsidRPr="003A005A">
              <w:t>rule 1</w:t>
            </w:r>
            <w:r w:rsidRPr="003A005A">
              <w:t>1.15</w:t>
            </w:r>
          </w:p>
        </w:tc>
        <w:tc>
          <w:tcPr>
            <w:tcW w:w="1114" w:type="pct"/>
            <w:tcBorders>
              <w:top w:val="single" w:sz="12" w:space="0" w:color="auto"/>
              <w:bottom w:val="single" w:sz="6" w:space="0" w:color="auto"/>
            </w:tcBorders>
            <w:shd w:val="clear" w:color="auto" w:fill="auto"/>
            <w:hideMark/>
          </w:tcPr>
          <w:p w14:paraId="6CA8A858" w14:textId="77777777" w:rsidR="00706414" w:rsidRPr="003A005A" w:rsidRDefault="00706414" w:rsidP="00706414">
            <w:pPr>
              <w:pStyle w:val="Tabletext"/>
            </w:pPr>
            <w:r w:rsidRPr="003A005A">
              <w:t>$705.47</w:t>
            </w:r>
          </w:p>
        </w:tc>
      </w:tr>
      <w:tr w:rsidR="00706414" w:rsidRPr="003A005A" w14:paraId="4A99DFE1" w14:textId="77777777" w:rsidTr="00706414">
        <w:tc>
          <w:tcPr>
            <w:tcW w:w="500" w:type="pct"/>
            <w:tcBorders>
              <w:top w:val="single" w:sz="6" w:space="0" w:color="auto"/>
              <w:bottom w:val="single" w:sz="12" w:space="0" w:color="auto"/>
            </w:tcBorders>
            <w:shd w:val="clear" w:color="auto" w:fill="auto"/>
            <w:hideMark/>
          </w:tcPr>
          <w:p w14:paraId="02224DA2" w14:textId="77777777" w:rsidR="00706414" w:rsidRPr="003A005A" w:rsidRDefault="00706414" w:rsidP="00706414">
            <w:pPr>
              <w:pStyle w:val="Tabletext"/>
            </w:pPr>
            <w:r w:rsidRPr="003A005A">
              <w:t>402</w:t>
            </w:r>
          </w:p>
        </w:tc>
        <w:tc>
          <w:tcPr>
            <w:tcW w:w="3386" w:type="pct"/>
            <w:tcBorders>
              <w:top w:val="single" w:sz="6" w:space="0" w:color="auto"/>
              <w:bottom w:val="single" w:sz="12" w:space="0" w:color="auto"/>
            </w:tcBorders>
            <w:shd w:val="clear" w:color="auto" w:fill="auto"/>
            <w:hideMark/>
          </w:tcPr>
          <w:p w14:paraId="7908F559" w14:textId="77777777" w:rsidR="00706414" w:rsidRPr="003A005A" w:rsidRDefault="00706414" w:rsidP="00706414">
            <w:pPr>
              <w:pStyle w:val="Tabletext"/>
            </w:pPr>
            <w:r w:rsidRPr="003A005A">
              <w:t xml:space="preserve">A Third Party Debt Notice under </w:t>
            </w:r>
            <w:r w:rsidR="00F4184D" w:rsidRPr="003A005A">
              <w:t>rule 1</w:t>
            </w:r>
            <w:r w:rsidRPr="003A005A">
              <w:t>1.34</w:t>
            </w:r>
          </w:p>
        </w:tc>
        <w:tc>
          <w:tcPr>
            <w:tcW w:w="1114" w:type="pct"/>
            <w:tcBorders>
              <w:top w:val="single" w:sz="6" w:space="0" w:color="auto"/>
              <w:bottom w:val="single" w:sz="12" w:space="0" w:color="auto"/>
            </w:tcBorders>
            <w:shd w:val="clear" w:color="auto" w:fill="auto"/>
            <w:hideMark/>
          </w:tcPr>
          <w:p w14:paraId="67B94BB2" w14:textId="77777777" w:rsidR="00706414" w:rsidRPr="003A005A" w:rsidRDefault="00706414" w:rsidP="00706414">
            <w:pPr>
              <w:pStyle w:val="Tabletext"/>
            </w:pPr>
            <w:r w:rsidRPr="003A005A">
              <w:t>$705.47</w:t>
            </w:r>
          </w:p>
        </w:tc>
      </w:tr>
    </w:tbl>
    <w:p w14:paraId="0C2E8A04" w14:textId="77777777" w:rsidR="00194AA1" w:rsidRPr="003A005A" w:rsidRDefault="00194AA1" w:rsidP="00706414">
      <w:pPr>
        <w:sectPr w:rsidR="00194AA1" w:rsidRPr="003A005A" w:rsidSect="006D3123">
          <w:headerReference w:type="even" r:id="rId19"/>
          <w:headerReference w:type="default" r:id="rId20"/>
          <w:footerReference w:type="even" r:id="rId21"/>
          <w:footerReference w:type="default" r:id="rId22"/>
          <w:headerReference w:type="first" r:id="rId23"/>
          <w:footerReference w:type="first" r:id="rId24"/>
          <w:pgSz w:w="11907" w:h="16839"/>
          <w:pgMar w:top="1440" w:right="1797" w:bottom="1440" w:left="1797" w:header="720" w:footer="709" w:gutter="0"/>
          <w:pgNumType w:start="1"/>
          <w:cols w:space="708"/>
          <w:docGrid w:linePitch="360"/>
        </w:sectPr>
      </w:pPr>
    </w:p>
    <w:p w14:paraId="707175AB" w14:textId="77777777" w:rsidR="00490203" w:rsidRPr="003A005A" w:rsidRDefault="00F4184D" w:rsidP="00490203">
      <w:pPr>
        <w:pStyle w:val="ActHead6"/>
        <w:pageBreakBefore/>
      </w:pPr>
      <w:bookmarkStart w:id="20" w:name="_Toc119661650"/>
      <w:bookmarkStart w:id="21" w:name="opcCurrentFind"/>
      <w:r w:rsidRPr="002464C9">
        <w:rPr>
          <w:rStyle w:val="CharAmSchNo"/>
        </w:rPr>
        <w:lastRenderedPageBreak/>
        <w:t>Schedule 3</w:t>
      </w:r>
      <w:r w:rsidR="00490203" w:rsidRPr="003A005A">
        <w:t>—</w:t>
      </w:r>
      <w:r w:rsidR="00490203" w:rsidRPr="002464C9">
        <w:rPr>
          <w:rStyle w:val="CharAmSchText"/>
        </w:rPr>
        <w:t>Delegated powers</w:t>
      </w:r>
      <w:bookmarkEnd w:id="20"/>
    </w:p>
    <w:bookmarkEnd w:id="21"/>
    <w:p w14:paraId="4BBC267E" w14:textId="77777777" w:rsidR="00490203" w:rsidRPr="002464C9" w:rsidRDefault="00490203" w:rsidP="00490203">
      <w:pPr>
        <w:pStyle w:val="Header"/>
      </w:pPr>
      <w:r w:rsidRPr="002464C9">
        <w:rPr>
          <w:rStyle w:val="CharAmPartNo"/>
        </w:rPr>
        <w:t xml:space="preserve"> </w:t>
      </w:r>
      <w:r w:rsidRPr="002464C9">
        <w:rPr>
          <w:rStyle w:val="CharAmPartText"/>
        </w:rPr>
        <w:t xml:space="preserve"> </w:t>
      </w:r>
    </w:p>
    <w:p w14:paraId="0C1D95E7" w14:textId="77777777" w:rsidR="00904FEF" w:rsidRPr="003A005A" w:rsidRDefault="00904FEF" w:rsidP="00904FEF">
      <w:pPr>
        <w:pStyle w:val="ActHead9"/>
      </w:pPr>
      <w:bookmarkStart w:id="22" w:name="_Toc119661651"/>
      <w:r w:rsidRPr="003A005A">
        <w:t xml:space="preserve">Federal Circuit and Family Court of Australia (Family Law) </w:t>
      </w:r>
      <w:r w:rsidR="009325B1">
        <w:t>Rules 2</w:t>
      </w:r>
      <w:r w:rsidRPr="003A005A">
        <w:t>021</w:t>
      </w:r>
      <w:bookmarkEnd w:id="22"/>
    </w:p>
    <w:p w14:paraId="660C887F" w14:textId="77777777" w:rsidR="00CF0997" w:rsidRPr="003A005A" w:rsidRDefault="00F4184D" w:rsidP="00490203">
      <w:pPr>
        <w:pStyle w:val="ItemHead"/>
      </w:pPr>
      <w:r w:rsidRPr="003A005A">
        <w:t>1</w:t>
      </w:r>
      <w:r w:rsidR="00CF0997" w:rsidRPr="003A005A">
        <w:t xml:space="preserve">  Clause 2 of Schedule 4 (after table </w:t>
      </w:r>
      <w:r w:rsidRPr="003A005A">
        <w:t>item 2</w:t>
      </w:r>
      <w:r w:rsidR="00CF0997" w:rsidRPr="003A005A">
        <w:t>.1)</w:t>
      </w:r>
    </w:p>
    <w:p w14:paraId="09DD5837" w14:textId="77777777" w:rsidR="00CF0997" w:rsidRPr="003A005A" w:rsidRDefault="00CF0997" w:rsidP="00CF0997">
      <w:pPr>
        <w:pStyle w:val="Item"/>
      </w:pPr>
      <w:r w:rsidRPr="003A005A">
        <w:t>Insert:</w:t>
      </w:r>
    </w:p>
    <w:p w14:paraId="0B8DF4EC" w14:textId="77777777" w:rsidR="00CF0997" w:rsidRPr="003A005A" w:rsidRDefault="00CF0997" w:rsidP="00CF0997">
      <w:pPr>
        <w:pStyle w:val="Tabletext"/>
      </w:pPr>
    </w:p>
    <w:tbl>
      <w:tblPr>
        <w:tblW w:w="5253" w:type="pct"/>
        <w:tblLook w:val="0000" w:firstRow="0" w:lastRow="0" w:firstColumn="0" w:lastColumn="0" w:noHBand="0" w:noVBand="0"/>
      </w:tblPr>
      <w:tblGrid>
        <w:gridCol w:w="738"/>
        <w:gridCol w:w="3765"/>
        <w:gridCol w:w="4678"/>
        <w:gridCol w:w="2551"/>
        <w:gridCol w:w="2410"/>
      </w:tblGrid>
      <w:tr w:rsidR="00CF0997" w:rsidRPr="003A005A" w14:paraId="2F8DBC61" w14:textId="77777777" w:rsidTr="00485C54">
        <w:tc>
          <w:tcPr>
            <w:tcW w:w="261" w:type="pct"/>
            <w:shd w:val="clear" w:color="auto" w:fill="auto"/>
          </w:tcPr>
          <w:p w14:paraId="5FF9CB63" w14:textId="77777777" w:rsidR="00CF0997" w:rsidRPr="003A005A" w:rsidRDefault="00CF0997" w:rsidP="00D633D8">
            <w:pPr>
              <w:pStyle w:val="Tabletext"/>
            </w:pPr>
            <w:r w:rsidRPr="003A005A">
              <w:t>2.1A</w:t>
            </w:r>
          </w:p>
        </w:tc>
        <w:tc>
          <w:tcPr>
            <w:tcW w:w="1331" w:type="pct"/>
            <w:shd w:val="clear" w:color="auto" w:fill="auto"/>
          </w:tcPr>
          <w:p w14:paraId="0CFC8403" w14:textId="77777777" w:rsidR="00CF0997" w:rsidRPr="003A005A" w:rsidRDefault="00CF0997" w:rsidP="00CF0997">
            <w:pPr>
              <w:pStyle w:val="Tabletext"/>
            </w:pPr>
            <w:r w:rsidRPr="003A005A">
              <w:t xml:space="preserve">Part 5.6 </w:t>
            </w:r>
            <w:proofErr w:type="spellStart"/>
            <w:r w:rsidRPr="003A005A">
              <w:t>FCFCOA</w:t>
            </w:r>
            <w:proofErr w:type="spellEnd"/>
            <w:r w:rsidRPr="003A005A">
              <w:t xml:space="preserve"> Rules</w:t>
            </w:r>
          </w:p>
        </w:tc>
        <w:tc>
          <w:tcPr>
            <w:tcW w:w="1654" w:type="pct"/>
            <w:shd w:val="clear" w:color="auto" w:fill="auto"/>
          </w:tcPr>
          <w:p w14:paraId="4E6121E8" w14:textId="77777777" w:rsidR="00CF0997" w:rsidRPr="003A005A" w:rsidRDefault="00CF0997" w:rsidP="00CF0997">
            <w:pPr>
              <w:pStyle w:val="Tabletext"/>
            </w:pPr>
            <w:r w:rsidRPr="003A005A">
              <w:t>To deal with an application for a consent order</w:t>
            </w:r>
          </w:p>
        </w:tc>
        <w:tc>
          <w:tcPr>
            <w:tcW w:w="902" w:type="pct"/>
            <w:shd w:val="clear" w:color="auto" w:fill="auto"/>
          </w:tcPr>
          <w:p w14:paraId="7F5EB1AC" w14:textId="77777777" w:rsidR="00CF0997" w:rsidRPr="003A005A" w:rsidRDefault="00CF0997" w:rsidP="00D633D8">
            <w:pPr>
              <w:pStyle w:val="Tabletext"/>
            </w:pPr>
            <w:r w:rsidRPr="003A005A">
              <w:sym w:font="Wingdings" w:char="F0FC"/>
            </w:r>
          </w:p>
        </w:tc>
        <w:tc>
          <w:tcPr>
            <w:tcW w:w="852" w:type="pct"/>
            <w:shd w:val="clear" w:color="auto" w:fill="auto"/>
          </w:tcPr>
          <w:p w14:paraId="6ED2FF01" w14:textId="77777777" w:rsidR="00CF0997" w:rsidRPr="003A005A" w:rsidRDefault="00CF0997" w:rsidP="00D633D8">
            <w:pPr>
              <w:pStyle w:val="Tabletext"/>
            </w:pPr>
            <w:r w:rsidRPr="003A005A">
              <w:sym w:font="Wingdings" w:char="F0FC"/>
            </w:r>
          </w:p>
        </w:tc>
      </w:tr>
    </w:tbl>
    <w:p w14:paraId="6B80A82E" w14:textId="77777777" w:rsidR="00490203" w:rsidRPr="003A005A" w:rsidRDefault="00F4184D" w:rsidP="00490203">
      <w:pPr>
        <w:pStyle w:val="ItemHead"/>
      </w:pPr>
      <w:r w:rsidRPr="003A005A">
        <w:t>2</w:t>
      </w:r>
      <w:r w:rsidR="00490203" w:rsidRPr="003A005A">
        <w:t xml:space="preserve">  </w:t>
      </w:r>
      <w:r w:rsidR="00237A8E" w:rsidRPr="003A005A">
        <w:t>Clause 2</w:t>
      </w:r>
      <w:r w:rsidR="00490203" w:rsidRPr="003A005A">
        <w:t xml:space="preserve"> of </w:t>
      </w:r>
      <w:r w:rsidR="00237A8E" w:rsidRPr="003A005A">
        <w:t>Schedule 4</w:t>
      </w:r>
      <w:r w:rsidR="00490203" w:rsidRPr="003A005A">
        <w:t xml:space="preserve"> (table </w:t>
      </w:r>
      <w:r w:rsidR="00237A8E" w:rsidRPr="003A005A">
        <w:t>item 3</w:t>
      </w:r>
      <w:r w:rsidR="00490203" w:rsidRPr="003A005A">
        <w:t>.7)</w:t>
      </w:r>
    </w:p>
    <w:p w14:paraId="41C0EFD6" w14:textId="77777777" w:rsidR="00490203" w:rsidRPr="003A005A" w:rsidRDefault="00490203" w:rsidP="00490203">
      <w:pPr>
        <w:pStyle w:val="Item"/>
      </w:pPr>
      <w:r w:rsidRPr="003A005A">
        <w:t>Repeal the item, substitute:</w:t>
      </w:r>
    </w:p>
    <w:p w14:paraId="21BDB9CA" w14:textId="77777777" w:rsidR="00490203" w:rsidRPr="003A005A" w:rsidRDefault="00490203" w:rsidP="00B260B2">
      <w:pPr>
        <w:pStyle w:val="Tabletext"/>
      </w:pPr>
    </w:p>
    <w:tbl>
      <w:tblPr>
        <w:tblW w:w="5253" w:type="pct"/>
        <w:tblBorders>
          <w:insideH w:val="single" w:sz="2" w:space="0" w:color="auto"/>
        </w:tblBorders>
        <w:tblLook w:val="0000" w:firstRow="0" w:lastRow="0" w:firstColumn="0" w:lastColumn="0" w:noHBand="0" w:noVBand="0"/>
      </w:tblPr>
      <w:tblGrid>
        <w:gridCol w:w="738"/>
        <w:gridCol w:w="3765"/>
        <w:gridCol w:w="4678"/>
        <w:gridCol w:w="2551"/>
        <w:gridCol w:w="2410"/>
      </w:tblGrid>
      <w:tr w:rsidR="00B260B2" w:rsidRPr="003A005A" w14:paraId="7BCD0714" w14:textId="77777777" w:rsidTr="00F23A9D">
        <w:tc>
          <w:tcPr>
            <w:tcW w:w="261" w:type="pct"/>
            <w:tcBorders>
              <w:top w:val="nil"/>
              <w:bottom w:val="single" w:sz="4" w:space="0" w:color="auto"/>
            </w:tcBorders>
            <w:shd w:val="clear" w:color="auto" w:fill="auto"/>
          </w:tcPr>
          <w:p w14:paraId="068D3415" w14:textId="77777777" w:rsidR="00B260B2" w:rsidRPr="003A005A" w:rsidRDefault="00B260B2" w:rsidP="00B260B2">
            <w:pPr>
              <w:pStyle w:val="Tabletext"/>
            </w:pPr>
            <w:r w:rsidRPr="003A005A">
              <w:t>3.7</w:t>
            </w:r>
          </w:p>
        </w:tc>
        <w:tc>
          <w:tcPr>
            <w:tcW w:w="1331" w:type="pct"/>
            <w:tcBorders>
              <w:top w:val="nil"/>
              <w:bottom w:val="single" w:sz="4" w:space="0" w:color="auto"/>
            </w:tcBorders>
            <w:shd w:val="clear" w:color="auto" w:fill="auto"/>
          </w:tcPr>
          <w:p w14:paraId="7213B7DB" w14:textId="0ED14466" w:rsidR="00B260B2" w:rsidRPr="003A005A" w:rsidRDefault="00362CA6" w:rsidP="00B260B2">
            <w:pPr>
              <w:pStyle w:val="Tabletext"/>
            </w:pPr>
            <w:hyperlink r:id="rId25" w:history="1">
              <w:r w:rsidR="00B260B2" w:rsidRPr="003A005A">
                <w:t xml:space="preserve">Subject to </w:t>
              </w:r>
              <w:r w:rsidR="00237A8E" w:rsidRPr="003A005A">
                <w:t>item 3</w:t>
              </w:r>
              <w:r w:rsidR="00B260B2" w:rsidRPr="003A005A">
                <w:t>.8 of this table, subsection 69ZR(1) FLA</w:t>
              </w:r>
            </w:hyperlink>
          </w:p>
        </w:tc>
        <w:tc>
          <w:tcPr>
            <w:tcW w:w="1654" w:type="pct"/>
            <w:tcBorders>
              <w:top w:val="nil"/>
              <w:bottom w:val="single" w:sz="4" w:space="0" w:color="auto"/>
            </w:tcBorders>
            <w:shd w:val="clear" w:color="auto" w:fill="auto"/>
          </w:tcPr>
          <w:p w14:paraId="79814F88" w14:textId="77777777" w:rsidR="00B260B2" w:rsidRPr="003A005A" w:rsidRDefault="00B260B2" w:rsidP="00B260B2">
            <w:pPr>
              <w:pStyle w:val="Tabletext"/>
            </w:pPr>
            <w:r w:rsidRPr="003A005A">
              <w:t>To make a finding of fact, determine a matter or make an order in relation to an issue before final orders are made</w:t>
            </w:r>
          </w:p>
        </w:tc>
        <w:tc>
          <w:tcPr>
            <w:tcW w:w="902" w:type="pct"/>
            <w:tcBorders>
              <w:top w:val="nil"/>
              <w:bottom w:val="single" w:sz="4" w:space="0" w:color="auto"/>
            </w:tcBorders>
            <w:shd w:val="clear" w:color="auto" w:fill="auto"/>
          </w:tcPr>
          <w:p w14:paraId="70D501B9" w14:textId="77777777" w:rsidR="00B260B2" w:rsidRPr="003A005A" w:rsidRDefault="00B260B2" w:rsidP="00B260B2">
            <w:pPr>
              <w:pStyle w:val="Tabletext"/>
            </w:pPr>
            <w:r w:rsidRPr="003A005A">
              <w:sym w:font="Wingdings" w:char="F0FC"/>
            </w:r>
          </w:p>
          <w:p w14:paraId="36B01702" w14:textId="77777777" w:rsidR="00750DF1" w:rsidRPr="003A005A" w:rsidRDefault="00750DF1" w:rsidP="00750DF1">
            <w:pPr>
              <w:pStyle w:val="Tabletext"/>
              <w:rPr>
                <w:shd w:val="clear" w:color="auto" w:fill="FFFFFF"/>
              </w:rPr>
            </w:pPr>
            <w:r w:rsidRPr="003A005A">
              <w:rPr>
                <w:shd w:val="clear" w:color="auto" w:fill="FFFFFF"/>
              </w:rPr>
              <w:t>but only if:</w:t>
            </w:r>
          </w:p>
          <w:p w14:paraId="1C6F8ADC" w14:textId="77777777" w:rsidR="00750DF1" w:rsidRPr="003A005A" w:rsidRDefault="00750DF1" w:rsidP="00750DF1">
            <w:pPr>
              <w:pStyle w:val="Tablea"/>
            </w:pPr>
            <w:r w:rsidRPr="003A005A">
              <w:t>(a) the proceeding is to be heard by a Senior Judicial Registrar or Judicial Registrar; or</w:t>
            </w:r>
          </w:p>
          <w:p w14:paraId="7E2ED94F" w14:textId="77777777" w:rsidR="00750DF1" w:rsidRPr="003A005A" w:rsidRDefault="00750DF1" w:rsidP="00750DF1">
            <w:pPr>
              <w:pStyle w:val="Tablea"/>
            </w:pPr>
            <w:r w:rsidRPr="003A005A">
              <w:t>(b) the order is made on an undefended basis; or</w:t>
            </w:r>
          </w:p>
          <w:p w14:paraId="66539F29" w14:textId="77777777" w:rsidR="00750DF1" w:rsidRPr="003A005A" w:rsidRDefault="00750DF1" w:rsidP="00750DF1">
            <w:pPr>
              <w:pStyle w:val="Tablea"/>
            </w:pPr>
            <w:r w:rsidRPr="003A005A">
              <w:t xml:space="preserve">(c) the order is made </w:t>
            </w:r>
            <w:r w:rsidRPr="003A005A">
              <w:rPr>
                <w:shd w:val="clear" w:color="auto" w:fill="FFFFFF"/>
              </w:rPr>
              <w:t>by consent</w:t>
            </w:r>
          </w:p>
        </w:tc>
        <w:tc>
          <w:tcPr>
            <w:tcW w:w="852" w:type="pct"/>
            <w:tcBorders>
              <w:top w:val="nil"/>
              <w:bottom w:val="single" w:sz="4" w:space="0" w:color="auto"/>
            </w:tcBorders>
            <w:shd w:val="clear" w:color="auto" w:fill="auto"/>
          </w:tcPr>
          <w:p w14:paraId="310DE4A7" w14:textId="77777777" w:rsidR="00CE5145" w:rsidRPr="003A005A" w:rsidRDefault="00CE5145" w:rsidP="00CE5145">
            <w:pPr>
              <w:pStyle w:val="Tabletext"/>
            </w:pPr>
            <w:r w:rsidRPr="003A005A">
              <w:sym w:font="Wingdings" w:char="F0FC"/>
            </w:r>
          </w:p>
          <w:p w14:paraId="7D099EB3" w14:textId="77777777" w:rsidR="00750DF1" w:rsidRPr="003A005A" w:rsidRDefault="00750DF1" w:rsidP="00750DF1">
            <w:pPr>
              <w:pStyle w:val="Tabletext"/>
              <w:rPr>
                <w:shd w:val="clear" w:color="auto" w:fill="FFFFFF"/>
              </w:rPr>
            </w:pPr>
            <w:r w:rsidRPr="003A005A">
              <w:rPr>
                <w:shd w:val="clear" w:color="auto" w:fill="FFFFFF"/>
              </w:rPr>
              <w:t>but only if:</w:t>
            </w:r>
          </w:p>
          <w:p w14:paraId="751A3688" w14:textId="77777777" w:rsidR="00750DF1" w:rsidRPr="003A005A" w:rsidRDefault="00750DF1" w:rsidP="00750DF1">
            <w:pPr>
              <w:pStyle w:val="Tablea"/>
            </w:pPr>
            <w:r w:rsidRPr="003A005A">
              <w:t>(a) the proceeding is to be heard by a Judicial Registrar; or</w:t>
            </w:r>
          </w:p>
          <w:p w14:paraId="09AAE2D7" w14:textId="77777777" w:rsidR="00B260B2" w:rsidRPr="003A005A" w:rsidRDefault="00750DF1" w:rsidP="00750DF1">
            <w:pPr>
              <w:pStyle w:val="Tablea"/>
            </w:pPr>
            <w:r w:rsidRPr="003A005A">
              <w:t>(b) the order is made by consent</w:t>
            </w:r>
          </w:p>
        </w:tc>
      </w:tr>
      <w:tr w:rsidR="00750DF1" w:rsidRPr="003A005A" w14:paraId="24AB55A0" w14:textId="77777777" w:rsidTr="00F23A9D">
        <w:tc>
          <w:tcPr>
            <w:tcW w:w="261" w:type="pct"/>
            <w:tcBorders>
              <w:top w:val="single" w:sz="4" w:space="0" w:color="auto"/>
              <w:bottom w:val="nil"/>
            </w:tcBorders>
            <w:shd w:val="clear" w:color="auto" w:fill="auto"/>
          </w:tcPr>
          <w:p w14:paraId="03957438" w14:textId="77777777" w:rsidR="00750DF1" w:rsidRPr="003A005A" w:rsidRDefault="00750DF1" w:rsidP="00750DF1">
            <w:pPr>
              <w:pStyle w:val="Tabletext"/>
            </w:pPr>
            <w:r w:rsidRPr="003A005A">
              <w:t>3.8</w:t>
            </w:r>
          </w:p>
        </w:tc>
        <w:tc>
          <w:tcPr>
            <w:tcW w:w="1331" w:type="pct"/>
            <w:tcBorders>
              <w:top w:val="single" w:sz="4" w:space="0" w:color="auto"/>
              <w:bottom w:val="nil"/>
            </w:tcBorders>
            <w:shd w:val="clear" w:color="auto" w:fill="auto"/>
          </w:tcPr>
          <w:p w14:paraId="179835D4" w14:textId="77777777" w:rsidR="00750DF1" w:rsidRPr="003A005A" w:rsidRDefault="00237A8E" w:rsidP="00750DF1">
            <w:pPr>
              <w:pStyle w:val="Tabletext"/>
            </w:pPr>
            <w:r w:rsidRPr="003A005A">
              <w:t>Paragraph 6</w:t>
            </w:r>
            <w:r w:rsidR="00750DF1" w:rsidRPr="003A005A">
              <w:t>9ZR(1)(c) FLA</w:t>
            </w:r>
          </w:p>
        </w:tc>
        <w:tc>
          <w:tcPr>
            <w:tcW w:w="1654" w:type="pct"/>
            <w:tcBorders>
              <w:top w:val="single" w:sz="4" w:space="0" w:color="auto"/>
              <w:bottom w:val="nil"/>
            </w:tcBorders>
            <w:shd w:val="clear" w:color="auto" w:fill="auto"/>
          </w:tcPr>
          <w:p w14:paraId="4555C34F" w14:textId="77777777" w:rsidR="00750DF1" w:rsidRPr="003A005A" w:rsidRDefault="00750DF1" w:rsidP="00750DF1">
            <w:pPr>
              <w:pStyle w:val="Tabletext"/>
            </w:pPr>
            <w:r w:rsidRPr="003A005A">
              <w:t>To order a party to undergo a drug or alcohol screen or test without consent</w:t>
            </w:r>
          </w:p>
        </w:tc>
        <w:tc>
          <w:tcPr>
            <w:tcW w:w="902" w:type="pct"/>
            <w:tcBorders>
              <w:top w:val="single" w:sz="4" w:space="0" w:color="auto"/>
              <w:bottom w:val="nil"/>
            </w:tcBorders>
            <w:shd w:val="clear" w:color="auto" w:fill="auto"/>
          </w:tcPr>
          <w:p w14:paraId="06327782" w14:textId="77777777" w:rsidR="00750DF1" w:rsidRPr="003A005A" w:rsidRDefault="00750DF1" w:rsidP="00750DF1">
            <w:pPr>
              <w:pStyle w:val="Tabletext"/>
            </w:pPr>
            <w:r w:rsidRPr="003A005A">
              <w:sym w:font="Wingdings" w:char="F0FC"/>
            </w:r>
          </w:p>
        </w:tc>
        <w:tc>
          <w:tcPr>
            <w:tcW w:w="852" w:type="pct"/>
            <w:tcBorders>
              <w:top w:val="single" w:sz="4" w:space="0" w:color="auto"/>
              <w:bottom w:val="nil"/>
            </w:tcBorders>
            <w:shd w:val="clear" w:color="auto" w:fill="auto"/>
          </w:tcPr>
          <w:p w14:paraId="591F667B" w14:textId="77777777" w:rsidR="00750DF1" w:rsidRPr="003A005A" w:rsidRDefault="00750DF1" w:rsidP="00750DF1">
            <w:pPr>
              <w:pStyle w:val="Tabletext"/>
            </w:pPr>
            <w:r w:rsidRPr="003A005A">
              <w:sym w:font="Wingdings" w:char="F0FC"/>
            </w:r>
          </w:p>
        </w:tc>
      </w:tr>
    </w:tbl>
    <w:p w14:paraId="5C00A5E7" w14:textId="77777777" w:rsidR="00490203" w:rsidRPr="003A005A" w:rsidRDefault="00F4184D" w:rsidP="00750DF1">
      <w:pPr>
        <w:pStyle w:val="ItemHead"/>
      </w:pPr>
      <w:r w:rsidRPr="003A005A">
        <w:t>3</w:t>
      </w:r>
      <w:r w:rsidR="00750DF1" w:rsidRPr="003A005A">
        <w:t xml:space="preserve">  </w:t>
      </w:r>
      <w:r w:rsidR="00237A8E" w:rsidRPr="003A005A">
        <w:t>Clause 2</w:t>
      </w:r>
      <w:r w:rsidR="00750DF1" w:rsidRPr="003A005A">
        <w:t xml:space="preserve"> of </w:t>
      </w:r>
      <w:r w:rsidR="00237A8E" w:rsidRPr="003A005A">
        <w:t>Schedule 4</w:t>
      </w:r>
      <w:r w:rsidR="00750DF1" w:rsidRPr="003A005A">
        <w:t xml:space="preserve"> (after table </w:t>
      </w:r>
      <w:r w:rsidR="00237A8E" w:rsidRPr="003A005A">
        <w:t>item 4</w:t>
      </w:r>
      <w:r w:rsidR="00750DF1" w:rsidRPr="003A005A">
        <w:t>.4)</w:t>
      </w:r>
    </w:p>
    <w:p w14:paraId="1FE97366" w14:textId="77777777" w:rsidR="00750DF1" w:rsidRPr="003A005A" w:rsidRDefault="00750DF1" w:rsidP="00750DF1">
      <w:pPr>
        <w:pStyle w:val="Item"/>
      </w:pPr>
      <w:r w:rsidRPr="003A005A">
        <w:t>Insert:</w:t>
      </w:r>
    </w:p>
    <w:p w14:paraId="59FCD9C8" w14:textId="77777777" w:rsidR="00750DF1" w:rsidRPr="003A005A" w:rsidRDefault="00750DF1" w:rsidP="00750DF1">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686"/>
        <w:gridCol w:w="4677"/>
        <w:gridCol w:w="2552"/>
        <w:gridCol w:w="2410"/>
      </w:tblGrid>
      <w:tr w:rsidR="00750DF1" w:rsidRPr="003A005A" w14:paraId="24C7177C" w14:textId="77777777" w:rsidTr="00AD71FA">
        <w:tc>
          <w:tcPr>
            <w:tcW w:w="817" w:type="dxa"/>
          </w:tcPr>
          <w:p w14:paraId="543BC3AB" w14:textId="77777777" w:rsidR="00750DF1" w:rsidRPr="003A005A" w:rsidRDefault="00750DF1" w:rsidP="00750DF1">
            <w:pPr>
              <w:pStyle w:val="Tabletext"/>
            </w:pPr>
            <w:r w:rsidRPr="003A005A">
              <w:t>4.4A</w:t>
            </w:r>
          </w:p>
        </w:tc>
        <w:tc>
          <w:tcPr>
            <w:tcW w:w="3686" w:type="dxa"/>
          </w:tcPr>
          <w:p w14:paraId="13CE542F" w14:textId="77777777" w:rsidR="00750DF1" w:rsidRPr="003A005A" w:rsidRDefault="00237A8E" w:rsidP="00750DF1">
            <w:pPr>
              <w:pStyle w:val="Tabletext"/>
            </w:pPr>
            <w:r w:rsidRPr="003A005A">
              <w:t>Section 7</w:t>
            </w:r>
            <w:r w:rsidR="00750DF1" w:rsidRPr="003A005A">
              <w:t>9 FLA</w:t>
            </w:r>
          </w:p>
          <w:p w14:paraId="6D80597A" w14:textId="77777777" w:rsidR="00750DF1" w:rsidRPr="003A005A" w:rsidRDefault="00237A8E" w:rsidP="00750DF1">
            <w:pPr>
              <w:pStyle w:val="Tabletext"/>
            </w:pPr>
            <w:r w:rsidRPr="003A005A">
              <w:t>Section 9</w:t>
            </w:r>
            <w:r w:rsidR="00750DF1" w:rsidRPr="003A005A">
              <w:t>0SM FLA</w:t>
            </w:r>
          </w:p>
          <w:p w14:paraId="6FF58551" w14:textId="77777777" w:rsidR="00750DF1" w:rsidRPr="003A005A" w:rsidRDefault="00750DF1" w:rsidP="00750DF1">
            <w:pPr>
              <w:pStyle w:val="Tabletext"/>
            </w:pPr>
            <w:r w:rsidRPr="003A005A">
              <w:lastRenderedPageBreak/>
              <w:t>but only if the gross value of the property pool, inclusive of superannuation, is less than $2 million</w:t>
            </w:r>
          </w:p>
        </w:tc>
        <w:tc>
          <w:tcPr>
            <w:tcW w:w="4677" w:type="dxa"/>
          </w:tcPr>
          <w:p w14:paraId="39087920" w14:textId="77777777" w:rsidR="00750DF1" w:rsidRPr="003A005A" w:rsidRDefault="00750DF1" w:rsidP="00750DF1">
            <w:pPr>
              <w:pStyle w:val="Tabletext"/>
            </w:pPr>
            <w:r w:rsidRPr="003A005A">
              <w:lastRenderedPageBreak/>
              <w:t>To make a final property order</w:t>
            </w:r>
          </w:p>
        </w:tc>
        <w:tc>
          <w:tcPr>
            <w:tcW w:w="2552" w:type="dxa"/>
          </w:tcPr>
          <w:p w14:paraId="151B8E7A" w14:textId="77777777" w:rsidR="00750DF1" w:rsidRPr="003A005A" w:rsidRDefault="00750DF1" w:rsidP="00750DF1">
            <w:pPr>
              <w:pStyle w:val="Tabletext"/>
            </w:pPr>
            <w:r w:rsidRPr="003A005A">
              <w:sym w:font="Wingdings" w:char="F0FC"/>
            </w:r>
          </w:p>
          <w:p w14:paraId="5D35AD98" w14:textId="77777777" w:rsidR="00750DF1" w:rsidRPr="003A005A" w:rsidRDefault="00750DF1" w:rsidP="00750DF1">
            <w:pPr>
              <w:pStyle w:val="Tabletext"/>
            </w:pPr>
            <w:r w:rsidRPr="003A005A">
              <w:t xml:space="preserve">but only if a Senior Judicial </w:t>
            </w:r>
            <w:r w:rsidRPr="003A005A">
              <w:lastRenderedPageBreak/>
              <w:t>Registrar is approved by the Chief Justice or CEO (subject to any directions of the Chief Justice) to exercise the power</w:t>
            </w:r>
          </w:p>
        </w:tc>
        <w:tc>
          <w:tcPr>
            <w:tcW w:w="2410" w:type="dxa"/>
          </w:tcPr>
          <w:p w14:paraId="6F5180CC" w14:textId="77777777" w:rsidR="00750DF1" w:rsidRPr="003A005A" w:rsidRDefault="00750DF1" w:rsidP="00750DF1">
            <w:pPr>
              <w:pStyle w:val="Tabletext"/>
            </w:pPr>
          </w:p>
        </w:tc>
      </w:tr>
    </w:tbl>
    <w:p w14:paraId="04DCAFD1" w14:textId="77777777" w:rsidR="00750DF1" w:rsidRPr="003A005A" w:rsidRDefault="00F4184D" w:rsidP="00750DF1">
      <w:pPr>
        <w:pStyle w:val="ItemHead"/>
      </w:pPr>
      <w:r w:rsidRPr="003A005A">
        <w:t>4</w:t>
      </w:r>
      <w:r w:rsidR="00750DF1" w:rsidRPr="003A005A">
        <w:t xml:space="preserve">  </w:t>
      </w:r>
      <w:r w:rsidR="00237A8E" w:rsidRPr="003A005A">
        <w:t>Clause 2</w:t>
      </w:r>
      <w:r w:rsidR="00750DF1" w:rsidRPr="003A005A">
        <w:t xml:space="preserve"> of </w:t>
      </w:r>
      <w:r w:rsidR="00237A8E" w:rsidRPr="003A005A">
        <w:t>Schedule 4</w:t>
      </w:r>
      <w:r w:rsidR="00750DF1" w:rsidRPr="003A005A">
        <w:t xml:space="preserve"> (table </w:t>
      </w:r>
      <w:r w:rsidR="00237A8E" w:rsidRPr="003A005A">
        <w:t>item 4</w:t>
      </w:r>
      <w:r w:rsidR="00750DF1" w:rsidRPr="003A005A">
        <w:t>.6)</w:t>
      </w:r>
    </w:p>
    <w:p w14:paraId="21518825" w14:textId="77777777" w:rsidR="00750DF1" w:rsidRPr="003A005A" w:rsidRDefault="00750DF1" w:rsidP="00750DF1">
      <w:pPr>
        <w:pStyle w:val="Item"/>
      </w:pPr>
      <w:r w:rsidRPr="003A005A">
        <w:t>Repeal the item, substitute:</w:t>
      </w:r>
    </w:p>
    <w:p w14:paraId="4FE0B527" w14:textId="77777777" w:rsidR="00750DF1" w:rsidRPr="003A005A" w:rsidRDefault="00750DF1" w:rsidP="00750DF1">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6"/>
        <w:gridCol w:w="4607"/>
        <w:gridCol w:w="2552"/>
        <w:gridCol w:w="2410"/>
      </w:tblGrid>
      <w:tr w:rsidR="00750DF1" w:rsidRPr="003A005A" w14:paraId="7FFB1737" w14:textId="77777777" w:rsidTr="00AD71FA">
        <w:tc>
          <w:tcPr>
            <w:tcW w:w="817" w:type="dxa"/>
          </w:tcPr>
          <w:p w14:paraId="7A927E78" w14:textId="77777777" w:rsidR="00750DF1" w:rsidRPr="003A005A" w:rsidRDefault="00750DF1" w:rsidP="009A385B">
            <w:pPr>
              <w:pStyle w:val="Tabletext"/>
            </w:pPr>
            <w:r w:rsidRPr="003A005A">
              <w:t>4.6</w:t>
            </w:r>
          </w:p>
        </w:tc>
        <w:tc>
          <w:tcPr>
            <w:tcW w:w="3756" w:type="dxa"/>
          </w:tcPr>
          <w:p w14:paraId="610AB19C" w14:textId="77777777" w:rsidR="00750DF1" w:rsidRPr="003A005A" w:rsidRDefault="00237A8E" w:rsidP="009A385B">
            <w:pPr>
              <w:pStyle w:val="Tabletext"/>
            </w:pPr>
            <w:r w:rsidRPr="003A005A">
              <w:t>Section 7</w:t>
            </w:r>
            <w:r w:rsidR="00750DF1" w:rsidRPr="003A005A">
              <w:t>9A FLA</w:t>
            </w:r>
          </w:p>
          <w:p w14:paraId="724C9CCA" w14:textId="77777777" w:rsidR="00750DF1" w:rsidRPr="003A005A" w:rsidRDefault="00237A8E" w:rsidP="009A385B">
            <w:pPr>
              <w:pStyle w:val="Tabletext"/>
            </w:pPr>
            <w:r w:rsidRPr="003A005A">
              <w:t>Section 9</w:t>
            </w:r>
            <w:r w:rsidR="00750DF1" w:rsidRPr="003A005A">
              <w:t>0SN FLA</w:t>
            </w:r>
          </w:p>
          <w:p w14:paraId="0027D98A" w14:textId="77777777" w:rsidR="00750DF1" w:rsidRPr="003A005A" w:rsidRDefault="00A23BFC" w:rsidP="009A385B">
            <w:pPr>
              <w:pStyle w:val="Tabletext"/>
            </w:pPr>
            <w:r w:rsidRPr="003A005A">
              <w:t>b</w:t>
            </w:r>
            <w:r w:rsidR="00750DF1" w:rsidRPr="003A005A">
              <w:t>ut only if the gross value of the property pool, inclusive of superannuation, is less than $2 million</w:t>
            </w:r>
          </w:p>
        </w:tc>
        <w:tc>
          <w:tcPr>
            <w:tcW w:w="4607" w:type="dxa"/>
          </w:tcPr>
          <w:p w14:paraId="13D122D5" w14:textId="77777777" w:rsidR="00750DF1" w:rsidRPr="003A005A" w:rsidRDefault="00750DF1" w:rsidP="009A385B">
            <w:pPr>
              <w:pStyle w:val="Tabletext"/>
            </w:pPr>
            <w:r w:rsidRPr="003A005A">
              <w:t>To vary or set aside property orders</w:t>
            </w:r>
          </w:p>
        </w:tc>
        <w:tc>
          <w:tcPr>
            <w:tcW w:w="2552" w:type="dxa"/>
          </w:tcPr>
          <w:p w14:paraId="5931F27C" w14:textId="77777777" w:rsidR="00A23BFC" w:rsidRPr="003A005A" w:rsidRDefault="00A23BFC" w:rsidP="00A23BFC">
            <w:pPr>
              <w:pStyle w:val="Tabletext"/>
            </w:pPr>
            <w:r w:rsidRPr="003A005A">
              <w:sym w:font="Wingdings" w:char="F0FC"/>
            </w:r>
          </w:p>
          <w:p w14:paraId="6C307497" w14:textId="77777777" w:rsidR="00750DF1" w:rsidRPr="003A005A" w:rsidRDefault="00A23BFC" w:rsidP="009A385B">
            <w:pPr>
              <w:pStyle w:val="Tabletext"/>
            </w:pPr>
            <w:r w:rsidRPr="003A005A">
              <w:t>b</w:t>
            </w:r>
            <w:r w:rsidR="00750DF1" w:rsidRPr="003A005A">
              <w:t>ut only if a Senior Judicial Registrar is approved by the Chief Justice or CEO (subject to any directions of the Chief Justice) to exercise the power</w:t>
            </w:r>
          </w:p>
        </w:tc>
        <w:tc>
          <w:tcPr>
            <w:tcW w:w="2410" w:type="dxa"/>
          </w:tcPr>
          <w:p w14:paraId="19F5A657" w14:textId="77777777" w:rsidR="00750DF1" w:rsidRPr="003A005A" w:rsidRDefault="00750DF1" w:rsidP="009A385B">
            <w:pPr>
              <w:pStyle w:val="Tabletext"/>
            </w:pPr>
          </w:p>
        </w:tc>
      </w:tr>
    </w:tbl>
    <w:p w14:paraId="5EB6A159" w14:textId="77777777" w:rsidR="00A23BFC" w:rsidRPr="003A005A" w:rsidRDefault="00F4184D" w:rsidP="00A23BFC">
      <w:pPr>
        <w:pStyle w:val="ItemHead"/>
      </w:pPr>
      <w:r w:rsidRPr="003A005A">
        <w:t>5</w:t>
      </w:r>
      <w:r w:rsidR="00A23BFC" w:rsidRPr="003A005A">
        <w:t xml:space="preserve">  </w:t>
      </w:r>
      <w:r w:rsidR="00237A8E" w:rsidRPr="003A005A">
        <w:t>Clause 2</w:t>
      </w:r>
      <w:r w:rsidR="00A23BFC" w:rsidRPr="003A005A">
        <w:t xml:space="preserve"> of </w:t>
      </w:r>
      <w:r w:rsidR="00237A8E" w:rsidRPr="003A005A">
        <w:t>Schedule 4</w:t>
      </w:r>
      <w:r w:rsidR="00A23BFC" w:rsidRPr="003A005A">
        <w:t xml:space="preserve"> (table </w:t>
      </w:r>
      <w:r w:rsidR="00237A8E" w:rsidRPr="003A005A">
        <w:t>items 5</w:t>
      </w:r>
      <w:r w:rsidR="00A23BFC" w:rsidRPr="003A005A">
        <w:t>.1 to 5.3)</w:t>
      </w:r>
    </w:p>
    <w:p w14:paraId="1F58C3A7" w14:textId="77777777" w:rsidR="00A23BFC" w:rsidRPr="003A005A" w:rsidRDefault="00A23BFC" w:rsidP="00A23BFC">
      <w:pPr>
        <w:pStyle w:val="Item"/>
      </w:pPr>
      <w:r w:rsidRPr="003A005A">
        <w:t>Repeal the items, substitute:</w:t>
      </w:r>
    </w:p>
    <w:p w14:paraId="2B569BDC" w14:textId="77777777" w:rsidR="00A23BFC" w:rsidRPr="003A005A" w:rsidRDefault="00A23BFC" w:rsidP="00A23BFC">
      <w:pPr>
        <w:pStyle w:val="Tabletext"/>
      </w:pPr>
    </w:p>
    <w:tbl>
      <w:tblPr>
        <w:tblStyle w:val="TableGrid"/>
        <w:tblW w:w="14142"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817"/>
        <w:gridCol w:w="3734"/>
        <w:gridCol w:w="4629"/>
        <w:gridCol w:w="2552"/>
        <w:gridCol w:w="2410"/>
      </w:tblGrid>
      <w:tr w:rsidR="00A23BFC" w:rsidRPr="003A005A" w14:paraId="73366251" w14:textId="77777777" w:rsidTr="00AD71FA">
        <w:tc>
          <w:tcPr>
            <w:tcW w:w="817" w:type="dxa"/>
            <w:tcBorders>
              <w:left w:val="nil"/>
              <w:bottom w:val="single" w:sz="4" w:space="0" w:color="auto"/>
              <w:right w:val="nil"/>
            </w:tcBorders>
          </w:tcPr>
          <w:p w14:paraId="34A6179F" w14:textId="77777777" w:rsidR="00A23BFC" w:rsidRPr="003A005A" w:rsidRDefault="00A23BFC" w:rsidP="00A23BFC">
            <w:pPr>
              <w:pStyle w:val="Tabletext"/>
            </w:pPr>
            <w:r w:rsidRPr="003A005A">
              <w:t>5.1</w:t>
            </w:r>
          </w:p>
        </w:tc>
        <w:tc>
          <w:tcPr>
            <w:tcW w:w="3734" w:type="dxa"/>
            <w:tcBorders>
              <w:left w:val="nil"/>
              <w:bottom w:val="single" w:sz="4" w:space="0" w:color="auto"/>
              <w:right w:val="nil"/>
            </w:tcBorders>
          </w:tcPr>
          <w:p w14:paraId="62E4FA4A" w14:textId="77777777" w:rsidR="00A23BFC" w:rsidRPr="003A005A" w:rsidRDefault="00237A8E" w:rsidP="00A23BFC">
            <w:pPr>
              <w:pStyle w:val="Tabletext"/>
            </w:pPr>
            <w:r w:rsidRPr="003A005A">
              <w:t>Section 7</w:t>
            </w:r>
            <w:r w:rsidR="00A23BFC" w:rsidRPr="003A005A">
              <w:t>4 FLA</w:t>
            </w:r>
          </w:p>
          <w:p w14:paraId="0562C653" w14:textId="77777777" w:rsidR="00A23BFC" w:rsidRPr="003A005A" w:rsidRDefault="00237A8E" w:rsidP="00A23BFC">
            <w:pPr>
              <w:pStyle w:val="Tabletext"/>
            </w:pPr>
            <w:r w:rsidRPr="003A005A">
              <w:t>Section 9</w:t>
            </w:r>
            <w:r w:rsidR="00A23BFC" w:rsidRPr="003A005A">
              <w:t>0SE FLA</w:t>
            </w:r>
          </w:p>
        </w:tc>
        <w:tc>
          <w:tcPr>
            <w:tcW w:w="4629" w:type="dxa"/>
            <w:tcBorders>
              <w:left w:val="nil"/>
              <w:bottom w:val="single" w:sz="4" w:space="0" w:color="auto"/>
              <w:right w:val="nil"/>
            </w:tcBorders>
          </w:tcPr>
          <w:p w14:paraId="395EFEAC" w14:textId="77777777" w:rsidR="00A23BFC" w:rsidRPr="003A005A" w:rsidRDefault="00A23BFC" w:rsidP="00A23BFC">
            <w:pPr>
              <w:pStyle w:val="Tabletext"/>
            </w:pPr>
            <w:r w:rsidRPr="003A005A">
              <w:t>To make an order for the spousal maintenance of a party</w:t>
            </w:r>
          </w:p>
          <w:p w14:paraId="0C5CDFE2" w14:textId="77777777" w:rsidR="00A23BFC" w:rsidRPr="003A005A" w:rsidRDefault="00A23BFC" w:rsidP="00A23BFC">
            <w:pPr>
              <w:pStyle w:val="Tabletext"/>
            </w:pPr>
            <w:r w:rsidRPr="003A005A">
              <w:t>To make an order for the maintenance of a party to a de facto relationship</w:t>
            </w:r>
          </w:p>
        </w:tc>
        <w:tc>
          <w:tcPr>
            <w:tcW w:w="2552" w:type="dxa"/>
            <w:tcBorders>
              <w:left w:val="nil"/>
              <w:bottom w:val="single" w:sz="4" w:space="0" w:color="auto"/>
              <w:right w:val="nil"/>
            </w:tcBorders>
          </w:tcPr>
          <w:p w14:paraId="62059AF2" w14:textId="77777777" w:rsidR="00A23BFC" w:rsidRPr="003A005A" w:rsidRDefault="00A23BFC" w:rsidP="00A904A1">
            <w:pPr>
              <w:pStyle w:val="Tabletext"/>
            </w:pPr>
            <w:r w:rsidRPr="003A005A">
              <w:sym w:font="Wingdings" w:char="F0FC"/>
            </w:r>
          </w:p>
        </w:tc>
        <w:tc>
          <w:tcPr>
            <w:tcW w:w="2410" w:type="dxa"/>
            <w:tcBorders>
              <w:left w:val="nil"/>
              <w:bottom w:val="single" w:sz="4" w:space="0" w:color="auto"/>
              <w:right w:val="nil"/>
            </w:tcBorders>
          </w:tcPr>
          <w:p w14:paraId="0C161873" w14:textId="77777777" w:rsidR="00A23BFC" w:rsidRPr="003A005A" w:rsidRDefault="00A23BFC" w:rsidP="00A23BFC">
            <w:pPr>
              <w:pStyle w:val="Tabletext"/>
            </w:pPr>
            <w:r w:rsidRPr="003A005A">
              <w:sym w:font="Wingdings" w:char="F0FC"/>
            </w:r>
          </w:p>
          <w:p w14:paraId="46B4A1C9" w14:textId="77777777" w:rsidR="00A904A1" w:rsidRPr="003A005A" w:rsidRDefault="00A904A1" w:rsidP="00A904A1">
            <w:pPr>
              <w:pStyle w:val="Tabletext"/>
            </w:pPr>
            <w:r w:rsidRPr="003A005A">
              <w:t>but only if:</w:t>
            </w:r>
          </w:p>
          <w:p w14:paraId="1AAF63BA" w14:textId="77777777" w:rsidR="00A904A1" w:rsidRPr="003A005A" w:rsidRDefault="00A904A1" w:rsidP="00A904A1">
            <w:pPr>
              <w:pStyle w:val="Tablea"/>
            </w:pPr>
            <w:r w:rsidRPr="003A005A">
              <w:t>(a) all of the following apply:</w:t>
            </w:r>
          </w:p>
          <w:p w14:paraId="5591A9E4" w14:textId="77777777" w:rsidR="00A904A1" w:rsidRPr="003A005A" w:rsidRDefault="00A904A1" w:rsidP="00A904A1">
            <w:pPr>
              <w:pStyle w:val="Tablei"/>
            </w:pPr>
            <w:r w:rsidRPr="003A005A">
              <w:t>(</w:t>
            </w:r>
            <w:proofErr w:type="spellStart"/>
            <w:r w:rsidRPr="003A005A">
              <w:t>i</w:t>
            </w:r>
            <w:proofErr w:type="spellEnd"/>
            <w:r w:rsidRPr="003A005A">
              <w:t>) the order is an order until further order;</w:t>
            </w:r>
          </w:p>
          <w:p w14:paraId="502F6911" w14:textId="77777777" w:rsidR="00A904A1" w:rsidRPr="003A005A" w:rsidRDefault="00A904A1" w:rsidP="00A904A1">
            <w:pPr>
              <w:pStyle w:val="Tablei"/>
            </w:pPr>
            <w:r w:rsidRPr="003A005A">
              <w:t>(ii) the order is made in undefended proceedings;</w:t>
            </w:r>
          </w:p>
          <w:p w14:paraId="45DE97D4" w14:textId="77777777" w:rsidR="00A904A1" w:rsidRPr="003A005A" w:rsidRDefault="00A904A1" w:rsidP="00A904A1">
            <w:pPr>
              <w:pStyle w:val="Tablei"/>
            </w:pPr>
            <w:r w:rsidRPr="003A005A">
              <w:t xml:space="preserve">(iii) the order is to come into effect </w:t>
            </w:r>
            <w:r w:rsidRPr="003A005A">
              <w:lastRenderedPageBreak/>
              <w:t>at least 21 days after the order is served on the other party; or</w:t>
            </w:r>
          </w:p>
          <w:p w14:paraId="07737404" w14:textId="77777777" w:rsidR="00A23BFC" w:rsidRPr="003A005A" w:rsidRDefault="00A904A1" w:rsidP="00A904A1">
            <w:pPr>
              <w:pStyle w:val="Tablea"/>
            </w:pPr>
            <w:r w:rsidRPr="003A005A">
              <w:t>(b) the order is made with the consent of all the parties to the proceedings</w:t>
            </w:r>
          </w:p>
        </w:tc>
      </w:tr>
      <w:tr w:rsidR="00A23BFC" w:rsidRPr="003A005A" w14:paraId="654A24FE" w14:textId="77777777" w:rsidTr="00AD71FA">
        <w:tc>
          <w:tcPr>
            <w:tcW w:w="817" w:type="dxa"/>
            <w:tcBorders>
              <w:top w:val="single" w:sz="4" w:space="0" w:color="auto"/>
              <w:left w:val="nil"/>
              <w:bottom w:val="single" w:sz="4" w:space="0" w:color="auto"/>
              <w:right w:val="nil"/>
            </w:tcBorders>
          </w:tcPr>
          <w:p w14:paraId="0866A55B" w14:textId="77777777" w:rsidR="00A23BFC" w:rsidRPr="003A005A" w:rsidRDefault="00A23BFC" w:rsidP="00A23BFC">
            <w:pPr>
              <w:pStyle w:val="Tabletext"/>
            </w:pPr>
            <w:r w:rsidRPr="003A005A">
              <w:lastRenderedPageBreak/>
              <w:t>5.2</w:t>
            </w:r>
          </w:p>
        </w:tc>
        <w:tc>
          <w:tcPr>
            <w:tcW w:w="3734" w:type="dxa"/>
            <w:tcBorders>
              <w:top w:val="single" w:sz="4" w:space="0" w:color="auto"/>
              <w:left w:val="nil"/>
              <w:bottom w:val="single" w:sz="4" w:space="0" w:color="auto"/>
              <w:right w:val="nil"/>
            </w:tcBorders>
          </w:tcPr>
          <w:p w14:paraId="64E24522" w14:textId="77777777" w:rsidR="00A23BFC" w:rsidRPr="003A005A" w:rsidRDefault="00237A8E" w:rsidP="00A23BFC">
            <w:pPr>
              <w:pStyle w:val="Tabletext"/>
            </w:pPr>
            <w:r w:rsidRPr="003A005A">
              <w:t>Section 7</w:t>
            </w:r>
            <w:r w:rsidR="00A23BFC" w:rsidRPr="003A005A">
              <w:t>7 FLA</w:t>
            </w:r>
          </w:p>
          <w:p w14:paraId="57832894" w14:textId="77777777" w:rsidR="00A23BFC" w:rsidRPr="003A005A" w:rsidRDefault="00237A8E" w:rsidP="00A23BFC">
            <w:pPr>
              <w:pStyle w:val="Tabletext"/>
            </w:pPr>
            <w:r w:rsidRPr="003A005A">
              <w:t>Section 9</w:t>
            </w:r>
            <w:r w:rsidR="00A23BFC" w:rsidRPr="003A005A">
              <w:t>0SG FLA</w:t>
            </w:r>
          </w:p>
          <w:p w14:paraId="5DB89FF0" w14:textId="77777777" w:rsidR="00A23BFC" w:rsidRPr="003A005A" w:rsidRDefault="00237A8E" w:rsidP="00A23BFC">
            <w:pPr>
              <w:pStyle w:val="Tabletext"/>
            </w:pPr>
            <w:r w:rsidRPr="003A005A">
              <w:t>Paragraph 9</w:t>
            </w:r>
            <w:r w:rsidR="00A23BFC" w:rsidRPr="003A005A">
              <w:t xml:space="preserve">8(2)(p) (qualified by </w:t>
            </w:r>
            <w:r w:rsidRPr="003A005A">
              <w:t>subsection 9</w:t>
            </w:r>
            <w:r w:rsidR="00A23BFC" w:rsidRPr="003A005A">
              <w:t xml:space="preserve">8(7)) </w:t>
            </w:r>
            <w:proofErr w:type="spellStart"/>
            <w:r w:rsidR="00A23BFC" w:rsidRPr="003A005A">
              <w:t>FCFCOA</w:t>
            </w:r>
            <w:proofErr w:type="spellEnd"/>
            <w:r w:rsidR="00A23BFC" w:rsidRPr="003A005A">
              <w:t xml:space="preserve"> Act</w:t>
            </w:r>
          </w:p>
        </w:tc>
        <w:tc>
          <w:tcPr>
            <w:tcW w:w="4629" w:type="dxa"/>
            <w:tcBorders>
              <w:top w:val="single" w:sz="4" w:space="0" w:color="auto"/>
              <w:left w:val="nil"/>
              <w:bottom w:val="single" w:sz="4" w:space="0" w:color="auto"/>
              <w:right w:val="nil"/>
            </w:tcBorders>
          </w:tcPr>
          <w:p w14:paraId="0EDCA2CA" w14:textId="77777777" w:rsidR="00A23BFC" w:rsidRPr="003A005A" w:rsidRDefault="00A23BFC" w:rsidP="00A23BFC">
            <w:pPr>
              <w:pStyle w:val="Tabletext"/>
            </w:pPr>
            <w:r w:rsidRPr="003A005A">
              <w:t>To make an urgent order for the spousal maintenance of a party, pending the disposal of the proceedings</w:t>
            </w:r>
          </w:p>
          <w:p w14:paraId="415DE8BD" w14:textId="77777777" w:rsidR="00A23BFC" w:rsidRPr="003A005A" w:rsidRDefault="00A23BFC" w:rsidP="00A23BFC">
            <w:pPr>
              <w:pStyle w:val="Tabletext"/>
            </w:pPr>
            <w:r w:rsidRPr="003A005A">
              <w:t>To make an urgent order for the maintenance of a party to a de facto relationship, pending the disposal of the proceedings</w:t>
            </w:r>
          </w:p>
        </w:tc>
        <w:tc>
          <w:tcPr>
            <w:tcW w:w="2552" w:type="dxa"/>
            <w:tcBorders>
              <w:top w:val="single" w:sz="4" w:space="0" w:color="auto"/>
              <w:left w:val="nil"/>
              <w:bottom w:val="single" w:sz="4" w:space="0" w:color="auto"/>
              <w:right w:val="nil"/>
            </w:tcBorders>
          </w:tcPr>
          <w:p w14:paraId="4AB66DD5" w14:textId="77777777" w:rsidR="00A23BFC" w:rsidRPr="003A005A" w:rsidRDefault="00A23BFC" w:rsidP="00A904A1">
            <w:pPr>
              <w:pStyle w:val="Tabletext"/>
            </w:pPr>
            <w:r w:rsidRPr="003A005A">
              <w:sym w:font="Wingdings" w:char="F0FC"/>
            </w:r>
          </w:p>
        </w:tc>
        <w:tc>
          <w:tcPr>
            <w:tcW w:w="2410" w:type="dxa"/>
            <w:tcBorders>
              <w:top w:val="single" w:sz="4" w:space="0" w:color="auto"/>
              <w:left w:val="nil"/>
              <w:bottom w:val="single" w:sz="4" w:space="0" w:color="auto"/>
              <w:right w:val="nil"/>
            </w:tcBorders>
          </w:tcPr>
          <w:p w14:paraId="53A04FAE" w14:textId="77777777" w:rsidR="00A23BFC" w:rsidRPr="003A005A" w:rsidRDefault="00A23BFC" w:rsidP="00A23BFC">
            <w:pPr>
              <w:pStyle w:val="Tabletext"/>
            </w:pPr>
            <w:r w:rsidRPr="003A005A">
              <w:sym w:font="Wingdings" w:char="F0FC"/>
            </w:r>
          </w:p>
          <w:p w14:paraId="481DB51B" w14:textId="77777777" w:rsidR="00A904A1" w:rsidRPr="003A005A" w:rsidRDefault="00A904A1" w:rsidP="00A904A1">
            <w:pPr>
              <w:pStyle w:val="Tabletext"/>
            </w:pPr>
            <w:r w:rsidRPr="003A005A">
              <w:t>but only if:</w:t>
            </w:r>
          </w:p>
          <w:p w14:paraId="36B9A00E" w14:textId="77777777" w:rsidR="00A904A1" w:rsidRPr="003A005A" w:rsidRDefault="00A904A1" w:rsidP="00A904A1">
            <w:pPr>
              <w:pStyle w:val="Tablea"/>
            </w:pPr>
            <w:r w:rsidRPr="003A005A">
              <w:t>(a) all of the following apply:</w:t>
            </w:r>
          </w:p>
          <w:p w14:paraId="0A3E0B5C" w14:textId="77777777" w:rsidR="00A904A1" w:rsidRPr="003A005A" w:rsidRDefault="00A904A1" w:rsidP="00A904A1">
            <w:pPr>
              <w:pStyle w:val="Tablei"/>
            </w:pPr>
            <w:r w:rsidRPr="003A005A">
              <w:t>(</w:t>
            </w:r>
            <w:proofErr w:type="spellStart"/>
            <w:r w:rsidRPr="003A005A">
              <w:t>i</w:t>
            </w:r>
            <w:proofErr w:type="spellEnd"/>
            <w:r w:rsidRPr="003A005A">
              <w:t>) the order is an order until further order;</w:t>
            </w:r>
          </w:p>
          <w:p w14:paraId="09468CD6" w14:textId="77777777" w:rsidR="00A904A1" w:rsidRPr="003A005A" w:rsidRDefault="00A904A1" w:rsidP="00A904A1">
            <w:pPr>
              <w:pStyle w:val="Tablei"/>
            </w:pPr>
            <w:r w:rsidRPr="003A005A">
              <w:t>(ii) the order is made in undefended proceedings;</w:t>
            </w:r>
          </w:p>
          <w:p w14:paraId="72959AFF" w14:textId="77777777" w:rsidR="00A904A1" w:rsidRPr="003A005A" w:rsidRDefault="00A904A1" w:rsidP="00A904A1">
            <w:pPr>
              <w:pStyle w:val="Tablei"/>
            </w:pPr>
            <w:r w:rsidRPr="003A005A">
              <w:t>(iii) the order is to come into effect at least 21 days after the order is served on the other party; or</w:t>
            </w:r>
          </w:p>
          <w:p w14:paraId="70681DBF" w14:textId="77777777" w:rsidR="00A23BFC" w:rsidRPr="003A005A" w:rsidRDefault="00A904A1" w:rsidP="00A904A1">
            <w:pPr>
              <w:pStyle w:val="Tablea"/>
            </w:pPr>
            <w:r w:rsidRPr="003A005A">
              <w:t>(b) the order is made with the consent of all the parties to the proceedings</w:t>
            </w:r>
          </w:p>
        </w:tc>
      </w:tr>
      <w:tr w:rsidR="00A23BFC" w:rsidRPr="003A005A" w14:paraId="7E50CF1D" w14:textId="77777777" w:rsidTr="00AD71FA">
        <w:tc>
          <w:tcPr>
            <w:tcW w:w="817" w:type="dxa"/>
            <w:tcBorders>
              <w:top w:val="single" w:sz="4" w:space="0" w:color="auto"/>
              <w:left w:val="nil"/>
              <w:bottom w:val="single" w:sz="4" w:space="0" w:color="auto"/>
              <w:right w:val="nil"/>
            </w:tcBorders>
          </w:tcPr>
          <w:p w14:paraId="687A00CF" w14:textId="77777777" w:rsidR="00A23BFC" w:rsidRPr="003A005A" w:rsidRDefault="00A23BFC" w:rsidP="00A23BFC">
            <w:pPr>
              <w:pStyle w:val="Tabletext"/>
            </w:pPr>
            <w:r w:rsidRPr="003A005A">
              <w:t>5.3</w:t>
            </w:r>
          </w:p>
        </w:tc>
        <w:tc>
          <w:tcPr>
            <w:tcW w:w="3734" w:type="dxa"/>
            <w:tcBorders>
              <w:top w:val="single" w:sz="4" w:space="0" w:color="auto"/>
              <w:left w:val="nil"/>
              <w:bottom w:val="single" w:sz="4" w:space="0" w:color="auto"/>
              <w:right w:val="nil"/>
            </w:tcBorders>
          </w:tcPr>
          <w:p w14:paraId="2B7DEB8E" w14:textId="77777777" w:rsidR="00A23BFC" w:rsidRPr="003A005A" w:rsidRDefault="00237A8E" w:rsidP="00A23BFC">
            <w:pPr>
              <w:pStyle w:val="Tabletext"/>
            </w:pPr>
            <w:r w:rsidRPr="003A005A">
              <w:t>Subsection 8</w:t>
            </w:r>
            <w:r w:rsidR="00A23BFC" w:rsidRPr="003A005A">
              <w:t>3(1) FLA</w:t>
            </w:r>
          </w:p>
          <w:p w14:paraId="18C25EB6" w14:textId="77777777" w:rsidR="00A23BFC" w:rsidRPr="003A005A" w:rsidRDefault="00237A8E" w:rsidP="00A23BFC">
            <w:pPr>
              <w:pStyle w:val="Tabletext"/>
            </w:pPr>
            <w:r w:rsidRPr="003A005A">
              <w:t>Section 9</w:t>
            </w:r>
            <w:r w:rsidR="00A23BFC" w:rsidRPr="003A005A">
              <w:t>0SI FLA</w:t>
            </w:r>
          </w:p>
        </w:tc>
        <w:tc>
          <w:tcPr>
            <w:tcW w:w="4629" w:type="dxa"/>
            <w:tcBorders>
              <w:top w:val="single" w:sz="4" w:space="0" w:color="auto"/>
              <w:left w:val="nil"/>
              <w:bottom w:val="single" w:sz="4" w:space="0" w:color="auto"/>
              <w:right w:val="nil"/>
            </w:tcBorders>
          </w:tcPr>
          <w:p w14:paraId="73B82177" w14:textId="77777777" w:rsidR="00A23BFC" w:rsidRPr="003A005A" w:rsidRDefault="00A23BFC" w:rsidP="00A23BFC">
            <w:pPr>
              <w:pStyle w:val="Tabletext"/>
            </w:pPr>
            <w:r w:rsidRPr="003A005A">
              <w:t>To discharge, suspend, revive or vary a spousal maintenance order</w:t>
            </w:r>
          </w:p>
          <w:p w14:paraId="79E8B8A7" w14:textId="77777777" w:rsidR="00A23BFC" w:rsidRPr="003A005A" w:rsidRDefault="00A23BFC" w:rsidP="00A23BFC">
            <w:pPr>
              <w:pStyle w:val="Tabletext"/>
            </w:pPr>
            <w:r w:rsidRPr="003A005A">
              <w:t>To discharge, suspend, revive or vary an order with respect to the maintenance of a party to a de facto relationship</w:t>
            </w:r>
          </w:p>
        </w:tc>
        <w:tc>
          <w:tcPr>
            <w:tcW w:w="2552" w:type="dxa"/>
            <w:tcBorders>
              <w:top w:val="single" w:sz="4" w:space="0" w:color="auto"/>
              <w:left w:val="nil"/>
              <w:bottom w:val="single" w:sz="4" w:space="0" w:color="auto"/>
              <w:right w:val="nil"/>
            </w:tcBorders>
          </w:tcPr>
          <w:p w14:paraId="7000EA8E" w14:textId="77777777" w:rsidR="00A23BFC" w:rsidRPr="003A005A" w:rsidRDefault="00A23BFC" w:rsidP="00A904A1">
            <w:pPr>
              <w:pStyle w:val="Tabletext"/>
            </w:pPr>
            <w:r w:rsidRPr="003A005A">
              <w:sym w:font="Wingdings" w:char="F0FC"/>
            </w:r>
          </w:p>
        </w:tc>
        <w:tc>
          <w:tcPr>
            <w:tcW w:w="2410" w:type="dxa"/>
            <w:tcBorders>
              <w:top w:val="single" w:sz="4" w:space="0" w:color="auto"/>
              <w:left w:val="nil"/>
              <w:bottom w:val="single" w:sz="4" w:space="0" w:color="auto"/>
              <w:right w:val="nil"/>
            </w:tcBorders>
          </w:tcPr>
          <w:p w14:paraId="6E334E95" w14:textId="77777777" w:rsidR="00A23BFC" w:rsidRPr="003A005A" w:rsidRDefault="00A23BFC" w:rsidP="00A23BFC">
            <w:pPr>
              <w:pStyle w:val="Tabletext"/>
            </w:pPr>
            <w:r w:rsidRPr="003A005A">
              <w:sym w:font="Wingdings" w:char="F0FC"/>
            </w:r>
          </w:p>
          <w:p w14:paraId="415A93DA" w14:textId="77777777" w:rsidR="00A904A1" w:rsidRPr="003A005A" w:rsidRDefault="00A904A1" w:rsidP="00A904A1">
            <w:pPr>
              <w:pStyle w:val="Tabletext"/>
            </w:pPr>
            <w:r w:rsidRPr="003A005A">
              <w:t>but only if:</w:t>
            </w:r>
          </w:p>
          <w:p w14:paraId="4AE6F76C" w14:textId="77777777" w:rsidR="00A904A1" w:rsidRPr="003A005A" w:rsidRDefault="00A904A1" w:rsidP="00A904A1">
            <w:pPr>
              <w:pStyle w:val="Tablea"/>
            </w:pPr>
            <w:r w:rsidRPr="003A005A">
              <w:t>(a) all of the following apply:</w:t>
            </w:r>
          </w:p>
          <w:p w14:paraId="19AED349" w14:textId="77777777" w:rsidR="00A904A1" w:rsidRPr="003A005A" w:rsidRDefault="00A904A1" w:rsidP="00A904A1">
            <w:pPr>
              <w:pStyle w:val="Tablei"/>
            </w:pPr>
            <w:r w:rsidRPr="003A005A">
              <w:t>(</w:t>
            </w:r>
            <w:proofErr w:type="spellStart"/>
            <w:r w:rsidRPr="003A005A">
              <w:t>i</w:t>
            </w:r>
            <w:proofErr w:type="spellEnd"/>
            <w:r w:rsidRPr="003A005A">
              <w:t xml:space="preserve">) the order is an </w:t>
            </w:r>
            <w:r w:rsidRPr="003A005A">
              <w:lastRenderedPageBreak/>
              <w:t>order until further order;</w:t>
            </w:r>
          </w:p>
          <w:p w14:paraId="62EC6452" w14:textId="77777777" w:rsidR="00A904A1" w:rsidRPr="003A005A" w:rsidRDefault="00A904A1" w:rsidP="00A904A1">
            <w:pPr>
              <w:pStyle w:val="Tablei"/>
            </w:pPr>
            <w:r w:rsidRPr="003A005A">
              <w:t>(ii) the order is made in undefended proceedings;</w:t>
            </w:r>
          </w:p>
          <w:p w14:paraId="21D17E99" w14:textId="77777777" w:rsidR="00A904A1" w:rsidRPr="003A005A" w:rsidRDefault="00A904A1" w:rsidP="00A904A1">
            <w:pPr>
              <w:pStyle w:val="Tablei"/>
            </w:pPr>
            <w:r w:rsidRPr="003A005A">
              <w:t>(iii) the order is to come into effect at least 21 days after the order is served on the other party; or</w:t>
            </w:r>
          </w:p>
          <w:p w14:paraId="7CF28121" w14:textId="77777777" w:rsidR="00A23BFC" w:rsidRPr="003A005A" w:rsidRDefault="00A904A1" w:rsidP="00A904A1">
            <w:pPr>
              <w:pStyle w:val="Tablea"/>
            </w:pPr>
            <w:r w:rsidRPr="003A005A">
              <w:t>(b) the order is made with the consent of all the parties to the proceedings</w:t>
            </w:r>
          </w:p>
        </w:tc>
      </w:tr>
      <w:tr w:rsidR="00A23BFC" w:rsidRPr="003A005A" w14:paraId="5E78E3AB" w14:textId="77777777" w:rsidTr="00AD71FA">
        <w:tc>
          <w:tcPr>
            <w:tcW w:w="817" w:type="dxa"/>
            <w:tcBorders>
              <w:top w:val="single" w:sz="4" w:space="0" w:color="auto"/>
              <w:left w:val="nil"/>
              <w:bottom w:val="nil"/>
              <w:right w:val="nil"/>
            </w:tcBorders>
          </w:tcPr>
          <w:p w14:paraId="7D267CC0" w14:textId="77777777" w:rsidR="00A23BFC" w:rsidRPr="003A005A" w:rsidRDefault="00A23BFC" w:rsidP="00A23BFC">
            <w:pPr>
              <w:pStyle w:val="Tabletext"/>
            </w:pPr>
            <w:r w:rsidRPr="003A005A">
              <w:lastRenderedPageBreak/>
              <w:t>5.4</w:t>
            </w:r>
          </w:p>
        </w:tc>
        <w:tc>
          <w:tcPr>
            <w:tcW w:w="3734" w:type="dxa"/>
            <w:tcBorders>
              <w:top w:val="single" w:sz="4" w:space="0" w:color="auto"/>
              <w:left w:val="nil"/>
              <w:bottom w:val="nil"/>
              <w:right w:val="nil"/>
            </w:tcBorders>
          </w:tcPr>
          <w:p w14:paraId="488CBD46" w14:textId="77777777" w:rsidR="00A23BFC" w:rsidRPr="003A005A" w:rsidRDefault="00237A8E" w:rsidP="00A23BFC">
            <w:pPr>
              <w:pStyle w:val="Tabletext"/>
            </w:pPr>
            <w:r w:rsidRPr="003A005A">
              <w:t>Section 9</w:t>
            </w:r>
            <w:r w:rsidR="00A23BFC" w:rsidRPr="003A005A">
              <w:t>0F FLA</w:t>
            </w:r>
          </w:p>
        </w:tc>
        <w:tc>
          <w:tcPr>
            <w:tcW w:w="4629" w:type="dxa"/>
            <w:tcBorders>
              <w:top w:val="single" w:sz="4" w:space="0" w:color="auto"/>
              <w:left w:val="nil"/>
              <w:bottom w:val="nil"/>
              <w:right w:val="nil"/>
            </w:tcBorders>
          </w:tcPr>
          <w:p w14:paraId="5A45F314" w14:textId="77777777" w:rsidR="00A23BFC" w:rsidRPr="003A005A" w:rsidRDefault="00C43CD6" w:rsidP="00A23BFC">
            <w:pPr>
              <w:pStyle w:val="Tabletext"/>
            </w:pPr>
            <w:r w:rsidRPr="003A005A">
              <w:t>T</w:t>
            </w:r>
            <w:r w:rsidR="00A23BFC" w:rsidRPr="003A005A">
              <w:t xml:space="preserve">o make an order in relation to certain provisions in </w:t>
            </w:r>
            <w:r w:rsidR="008E52D5" w:rsidRPr="003A005A">
              <w:t xml:space="preserve">a financial </w:t>
            </w:r>
            <w:r w:rsidR="00A23BFC" w:rsidRPr="003A005A">
              <w:t>agreement</w:t>
            </w:r>
          </w:p>
        </w:tc>
        <w:tc>
          <w:tcPr>
            <w:tcW w:w="2552" w:type="dxa"/>
            <w:tcBorders>
              <w:top w:val="single" w:sz="4" w:space="0" w:color="auto"/>
              <w:left w:val="nil"/>
              <w:bottom w:val="nil"/>
              <w:right w:val="nil"/>
            </w:tcBorders>
          </w:tcPr>
          <w:p w14:paraId="488B3F80" w14:textId="77777777" w:rsidR="00A23BFC" w:rsidRPr="003A005A" w:rsidRDefault="00A23BFC" w:rsidP="00A23BFC">
            <w:pPr>
              <w:pStyle w:val="Tabletext"/>
            </w:pPr>
            <w:r w:rsidRPr="003A005A">
              <w:sym w:font="Wingdings" w:char="F0FC"/>
            </w:r>
          </w:p>
        </w:tc>
        <w:tc>
          <w:tcPr>
            <w:tcW w:w="2410" w:type="dxa"/>
            <w:tcBorders>
              <w:top w:val="single" w:sz="4" w:space="0" w:color="auto"/>
              <w:left w:val="nil"/>
              <w:bottom w:val="nil"/>
              <w:right w:val="nil"/>
            </w:tcBorders>
          </w:tcPr>
          <w:p w14:paraId="210FE74C" w14:textId="77777777" w:rsidR="00A23BFC" w:rsidRPr="003A005A" w:rsidRDefault="00A23BFC" w:rsidP="00A23BFC">
            <w:pPr>
              <w:pStyle w:val="Tabletext"/>
            </w:pPr>
            <w:r w:rsidRPr="003A005A">
              <w:sym w:font="Wingdings" w:char="F0FC"/>
            </w:r>
          </w:p>
          <w:p w14:paraId="7A290142" w14:textId="77777777" w:rsidR="00A23BFC" w:rsidRPr="003A005A" w:rsidRDefault="00C43CD6" w:rsidP="00A23BFC">
            <w:pPr>
              <w:pStyle w:val="Tabletext"/>
            </w:pPr>
            <w:r w:rsidRPr="003A005A">
              <w:t>b</w:t>
            </w:r>
            <w:r w:rsidR="00A23BFC" w:rsidRPr="003A005A">
              <w:t>ut only if:</w:t>
            </w:r>
          </w:p>
          <w:p w14:paraId="12223917" w14:textId="77777777" w:rsidR="00A23BFC" w:rsidRPr="003A005A" w:rsidRDefault="00C43CD6" w:rsidP="00C43CD6">
            <w:pPr>
              <w:pStyle w:val="Tablea"/>
            </w:pPr>
            <w:r w:rsidRPr="003A005A">
              <w:t xml:space="preserve">(a) </w:t>
            </w:r>
            <w:r w:rsidR="00A23BFC" w:rsidRPr="003A005A">
              <w:t>the order is made in undefended proceedings; or</w:t>
            </w:r>
          </w:p>
          <w:p w14:paraId="45F4E16D" w14:textId="77777777" w:rsidR="00A23BFC" w:rsidRPr="003A005A" w:rsidRDefault="00C43CD6" w:rsidP="00C43CD6">
            <w:pPr>
              <w:pStyle w:val="Tablea"/>
            </w:pPr>
            <w:r w:rsidRPr="003A005A">
              <w:t xml:space="preserve">(b) </w:t>
            </w:r>
            <w:r w:rsidR="00A23BFC" w:rsidRPr="003A005A">
              <w:t>the order is made with the consent of all the parties to the proceedings</w:t>
            </w:r>
          </w:p>
        </w:tc>
      </w:tr>
    </w:tbl>
    <w:p w14:paraId="5EC3057D" w14:textId="77777777" w:rsidR="00627912" w:rsidRPr="003A005A" w:rsidRDefault="00F4184D" w:rsidP="00627912">
      <w:pPr>
        <w:pStyle w:val="ItemHead"/>
      </w:pPr>
      <w:r w:rsidRPr="003A005A">
        <w:t>6</w:t>
      </w:r>
      <w:r w:rsidR="00627912" w:rsidRPr="003A005A">
        <w:t xml:space="preserve">  </w:t>
      </w:r>
      <w:r w:rsidR="00237A8E" w:rsidRPr="003A005A">
        <w:t>Clause 2</w:t>
      </w:r>
      <w:r w:rsidR="00627912" w:rsidRPr="003A005A">
        <w:t xml:space="preserve"> of </w:t>
      </w:r>
      <w:r w:rsidR="00237A8E" w:rsidRPr="003A005A">
        <w:t>Schedule 4</w:t>
      </w:r>
      <w:r w:rsidR="00627912" w:rsidRPr="003A005A">
        <w:t xml:space="preserve"> (table </w:t>
      </w:r>
      <w:r w:rsidRPr="003A005A">
        <w:t>item 6</w:t>
      </w:r>
      <w:r w:rsidR="00627912" w:rsidRPr="003A005A">
        <w:t>.1)</w:t>
      </w:r>
    </w:p>
    <w:p w14:paraId="7AB67B9A" w14:textId="77777777" w:rsidR="00627912" w:rsidRPr="003A005A" w:rsidRDefault="00627912" w:rsidP="00627912">
      <w:pPr>
        <w:pStyle w:val="Item"/>
      </w:pPr>
      <w:r w:rsidRPr="003A005A">
        <w:t>Repeal the item, substitute:</w:t>
      </w:r>
    </w:p>
    <w:p w14:paraId="45B0B210" w14:textId="77777777" w:rsidR="00627912" w:rsidRPr="003A005A" w:rsidRDefault="00627912"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49"/>
        <w:gridCol w:w="4614"/>
        <w:gridCol w:w="2552"/>
        <w:gridCol w:w="2410"/>
      </w:tblGrid>
      <w:tr w:rsidR="00627912" w:rsidRPr="003A005A" w14:paraId="6D4E16A5" w14:textId="77777777" w:rsidTr="00AD71FA">
        <w:tc>
          <w:tcPr>
            <w:tcW w:w="817" w:type="dxa"/>
          </w:tcPr>
          <w:p w14:paraId="26ABF80A" w14:textId="77777777" w:rsidR="00627912" w:rsidRPr="003A005A" w:rsidRDefault="00627912" w:rsidP="00627912">
            <w:pPr>
              <w:pStyle w:val="Tabletext"/>
            </w:pPr>
            <w:r w:rsidRPr="003A005A">
              <w:t>6.1</w:t>
            </w:r>
          </w:p>
        </w:tc>
        <w:tc>
          <w:tcPr>
            <w:tcW w:w="3749" w:type="dxa"/>
          </w:tcPr>
          <w:p w14:paraId="2E576483" w14:textId="77777777" w:rsidR="00627912" w:rsidRPr="003A005A" w:rsidRDefault="00237A8E" w:rsidP="00627912">
            <w:pPr>
              <w:pStyle w:val="Tabletext"/>
            </w:pPr>
            <w:r w:rsidRPr="003A005A">
              <w:t>Sections 6</w:t>
            </w:r>
            <w:r w:rsidR="00627912" w:rsidRPr="003A005A">
              <w:t>6G, 66</w:t>
            </w:r>
            <w:r w:rsidR="00191119" w:rsidRPr="003A005A">
              <w:t>L</w:t>
            </w:r>
            <w:r w:rsidR="00627912" w:rsidRPr="003A005A">
              <w:t>, 66</w:t>
            </w:r>
            <w:r w:rsidR="00191119" w:rsidRPr="003A005A">
              <w:t>M</w:t>
            </w:r>
            <w:r w:rsidR="00627912" w:rsidRPr="003A005A">
              <w:t>, 66P and 66Q FLA</w:t>
            </w:r>
          </w:p>
        </w:tc>
        <w:tc>
          <w:tcPr>
            <w:tcW w:w="4614" w:type="dxa"/>
          </w:tcPr>
          <w:p w14:paraId="69B7B700" w14:textId="77777777" w:rsidR="00627912" w:rsidRPr="003A005A" w:rsidRDefault="00627912" w:rsidP="00627912">
            <w:pPr>
              <w:pStyle w:val="Tabletext"/>
            </w:pPr>
            <w:r w:rsidRPr="003A005A">
              <w:t>To make an order for child maintenance, including in relation to an adult child</w:t>
            </w:r>
          </w:p>
        </w:tc>
        <w:tc>
          <w:tcPr>
            <w:tcW w:w="2552" w:type="dxa"/>
          </w:tcPr>
          <w:p w14:paraId="47F46ACB" w14:textId="77777777" w:rsidR="00627912" w:rsidRPr="003A005A" w:rsidRDefault="00627912" w:rsidP="00627912">
            <w:pPr>
              <w:pStyle w:val="Tabletext"/>
            </w:pPr>
            <w:r w:rsidRPr="003A005A">
              <w:sym w:font="Wingdings" w:char="F0FC"/>
            </w:r>
          </w:p>
        </w:tc>
        <w:tc>
          <w:tcPr>
            <w:tcW w:w="2410" w:type="dxa"/>
          </w:tcPr>
          <w:p w14:paraId="06B1C7E3" w14:textId="77777777" w:rsidR="00627912" w:rsidRPr="003A005A" w:rsidRDefault="00627912" w:rsidP="00627912">
            <w:pPr>
              <w:pStyle w:val="Tabletext"/>
            </w:pPr>
          </w:p>
        </w:tc>
      </w:tr>
    </w:tbl>
    <w:p w14:paraId="67C7A735" w14:textId="77777777" w:rsidR="00627912" w:rsidRPr="003A005A" w:rsidRDefault="00F4184D" w:rsidP="00627912">
      <w:pPr>
        <w:pStyle w:val="ItemHead"/>
      </w:pPr>
      <w:r w:rsidRPr="003A005A">
        <w:t>7</w:t>
      </w:r>
      <w:r w:rsidR="00627912" w:rsidRPr="003A005A">
        <w:t xml:space="preserve">  </w:t>
      </w:r>
      <w:r w:rsidR="00237A8E" w:rsidRPr="003A005A">
        <w:t>Clause 2</w:t>
      </w:r>
      <w:r w:rsidR="00627912" w:rsidRPr="003A005A">
        <w:t xml:space="preserve"> of </w:t>
      </w:r>
      <w:r w:rsidR="00237A8E" w:rsidRPr="003A005A">
        <w:t>Schedule 4</w:t>
      </w:r>
      <w:r w:rsidR="00627912" w:rsidRPr="003A005A">
        <w:t xml:space="preserve"> (table </w:t>
      </w:r>
      <w:r w:rsidR="00237A8E" w:rsidRPr="003A005A">
        <w:t>items 7</w:t>
      </w:r>
      <w:r w:rsidR="00627912" w:rsidRPr="003A005A">
        <w:t>.2 and 7.3)</w:t>
      </w:r>
    </w:p>
    <w:p w14:paraId="7166926A" w14:textId="77777777" w:rsidR="00627912" w:rsidRPr="003A005A" w:rsidRDefault="00627912" w:rsidP="00627912">
      <w:pPr>
        <w:pStyle w:val="Item"/>
      </w:pPr>
      <w:r w:rsidRPr="003A005A">
        <w:t>Repeal the items, substitute:</w:t>
      </w:r>
    </w:p>
    <w:p w14:paraId="070BD782" w14:textId="77777777" w:rsidR="00627912" w:rsidRPr="003A005A" w:rsidRDefault="00627912"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7"/>
        <w:gridCol w:w="4606"/>
        <w:gridCol w:w="2552"/>
        <w:gridCol w:w="2410"/>
      </w:tblGrid>
      <w:tr w:rsidR="00627912" w:rsidRPr="003A005A" w14:paraId="1ED5574D" w14:textId="77777777" w:rsidTr="00AD71FA">
        <w:tc>
          <w:tcPr>
            <w:tcW w:w="817" w:type="dxa"/>
            <w:tcBorders>
              <w:bottom w:val="single" w:sz="4" w:space="0" w:color="auto"/>
            </w:tcBorders>
          </w:tcPr>
          <w:p w14:paraId="6C575863" w14:textId="77777777" w:rsidR="00627912" w:rsidRPr="003A005A" w:rsidRDefault="00627912" w:rsidP="00627912">
            <w:pPr>
              <w:pStyle w:val="Tabletext"/>
            </w:pPr>
            <w:r w:rsidRPr="003A005A">
              <w:t>7.2</w:t>
            </w:r>
          </w:p>
        </w:tc>
        <w:tc>
          <w:tcPr>
            <w:tcW w:w="3757" w:type="dxa"/>
            <w:tcBorders>
              <w:bottom w:val="single" w:sz="4" w:space="0" w:color="auto"/>
            </w:tcBorders>
          </w:tcPr>
          <w:p w14:paraId="6DE6B6B6" w14:textId="77777777" w:rsidR="00627912" w:rsidRPr="003A005A" w:rsidRDefault="00237A8E" w:rsidP="00627912">
            <w:pPr>
              <w:pStyle w:val="Tabletext"/>
            </w:pPr>
            <w:r w:rsidRPr="003A005A">
              <w:t>Subsection 9</w:t>
            </w:r>
            <w:r w:rsidR="00627912" w:rsidRPr="003A005A">
              <w:t>0J(3) FLA</w:t>
            </w:r>
          </w:p>
          <w:p w14:paraId="46FC61EC" w14:textId="77777777" w:rsidR="00627912" w:rsidRPr="003A005A" w:rsidRDefault="00237A8E" w:rsidP="00627912">
            <w:pPr>
              <w:pStyle w:val="Tabletext"/>
            </w:pPr>
            <w:r w:rsidRPr="003A005A">
              <w:t>Subsection 9</w:t>
            </w:r>
            <w:r w:rsidR="00627912" w:rsidRPr="003A005A">
              <w:t>0UL(3) FLA</w:t>
            </w:r>
          </w:p>
        </w:tc>
        <w:tc>
          <w:tcPr>
            <w:tcW w:w="4606" w:type="dxa"/>
            <w:tcBorders>
              <w:bottom w:val="single" w:sz="4" w:space="0" w:color="auto"/>
            </w:tcBorders>
          </w:tcPr>
          <w:p w14:paraId="5B4573AC" w14:textId="77777777" w:rsidR="00627912" w:rsidRPr="003A005A" w:rsidRDefault="00627912" w:rsidP="00627912">
            <w:pPr>
              <w:pStyle w:val="Tabletext"/>
            </w:pPr>
            <w:r w:rsidRPr="003A005A">
              <w:t>To make orders preserving or adjusting the rights of persons who were parties to a terminated financial agreement</w:t>
            </w:r>
          </w:p>
        </w:tc>
        <w:tc>
          <w:tcPr>
            <w:tcW w:w="2552" w:type="dxa"/>
            <w:tcBorders>
              <w:bottom w:val="single" w:sz="4" w:space="0" w:color="auto"/>
            </w:tcBorders>
          </w:tcPr>
          <w:p w14:paraId="12737EA1" w14:textId="77777777" w:rsidR="00627912" w:rsidRPr="003A005A" w:rsidRDefault="00627912" w:rsidP="00627912">
            <w:pPr>
              <w:pStyle w:val="Tabletext"/>
            </w:pPr>
            <w:r w:rsidRPr="003A005A">
              <w:sym w:font="Wingdings" w:char="F0FC"/>
            </w:r>
          </w:p>
          <w:p w14:paraId="73CDA49A" w14:textId="77777777" w:rsidR="00627912" w:rsidRPr="003A005A" w:rsidRDefault="00627912" w:rsidP="00627912">
            <w:pPr>
              <w:pStyle w:val="Tabletext"/>
            </w:pPr>
            <w:r w:rsidRPr="003A005A">
              <w:t>but only if:</w:t>
            </w:r>
          </w:p>
          <w:p w14:paraId="3330980A" w14:textId="77777777" w:rsidR="00627912" w:rsidRPr="003A005A" w:rsidRDefault="00627912" w:rsidP="00627912">
            <w:pPr>
              <w:pStyle w:val="Tablea"/>
            </w:pPr>
            <w:r w:rsidRPr="003A005A">
              <w:t>(a) the gross value of the property pool, inclusive of superannuation, is less than $2 million and the Senior Judicial Registrar is approved by the Chief Justice or CEO (subject to any directions of the Chief Justice) to exercise the power; or</w:t>
            </w:r>
          </w:p>
          <w:p w14:paraId="6A458748" w14:textId="77777777" w:rsidR="00627912" w:rsidRPr="003A005A" w:rsidRDefault="00627912" w:rsidP="00627912">
            <w:pPr>
              <w:pStyle w:val="Tablea"/>
            </w:pPr>
            <w:r w:rsidRPr="003A005A">
              <w:t>(b) the order is an order until further order; or</w:t>
            </w:r>
          </w:p>
          <w:p w14:paraId="0863B239" w14:textId="77777777" w:rsidR="00627912" w:rsidRPr="003A005A" w:rsidRDefault="00627912" w:rsidP="00627912">
            <w:pPr>
              <w:pStyle w:val="Tablea"/>
            </w:pPr>
            <w:r w:rsidRPr="003A005A">
              <w:t>(c) the order is made in undefended proceedings; or</w:t>
            </w:r>
          </w:p>
          <w:p w14:paraId="73B8D8BF" w14:textId="77777777" w:rsidR="00627912" w:rsidRPr="003A005A" w:rsidRDefault="00627912" w:rsidP="00627912">
            <w:pPr>
              <w:pStyle w:val="Tablea"/>
            </w:pPr>
            <w:r w:rsidRPr="003A005A">
              <w:t>(d) the order is made with the consent of all the parties to the proceedings</w:t>
            </w:r>
          </w:p>
        </w:tc>
        <w:tc>
          <w:tcPr>
            <w:tcW w:w="2410" w:type="dxa"/>
            <w:tcBorders>
              <w:bottom w:val="single" w:sz="4" w:space="0" w:color="auto"/>
            </w:tcBorders>
          </w:tcPr>
          <w:p w14:paraId="155FFF64" w14:textId="77777777" w:rsidR="00627912" w:rsidRPr="003A005A" w:rsidRDefault="00627912" w:rsidP="00627912">
            <w:pPr>
              <w:pStyle w:val="Tabletext"/>
            </w:pPr>
          </w:p>
        </w:tc>
      </w:tr>
      <w:tr w:rsidR="00627912" w:rsidRPr="003A005A" w14:paraId="77CF29F4" w14:textId="77777777" w:rsidTr="00AD71FA">
        <w:tc>
          <w:tcPr>
            <w:tcW w:w="817" w:type="dxa"/>
            <w:tcBorders>
              <w:top w:val="single" w:sz="4" w:space="0" w:color="auto"/>
            </w:tcBorders>
          </w:tcPr>
          <w:p w14:paraId="7982F2BF" w14:textId="77777777" w:rsidR="00627912" w:rsidRPr="003A005A" w:rsidRDefault="00627912" w:rsidP="00627912">
            <w:pPr>
              <w:pStyle w:val="Tabletext"/>
            </w:pPr>
            <w:r w:rsidRPr="003A005A">
              <w:t>7.3</w:t>
            </w:r>
          </w:p>
        </w:tc>
        <w:tc>
          <w:tcPr>
            <w:tcW w:w="3757" w:type="dxa"/>
            <w:tcBorders>
              <w:top w:val="single" w:sz="4" w:space="0" w:color="auto"/>
            </w:tcBorders>
          </w:tcPr>
          <w:p w14:paraId="2FA7780F" w14:textId="77777777" w:rsidR="00627912" w:rsidRPr="003A005A" w:rsidRDefault="00237A8E" w:rsidP="00627912">
            <w:pPr>
              <w:pStyle w:val="Tabletext"/>
            </w:pPr>
            <w:r w:rsidRPr="003A005A">
              <w:t>Section 9</w:t>
            </w:r>
            <w:r w:rsidR="00627912" w:rsidRPr="003A005A">
              <w:t>0K FLA</w:t>
            </w:r>
          </w:p>
          <w:p w14:paraId="46B595DD" w14:textId="77777777" w:rsidR="00627912" w:rsidRPr="003A005A" w:rsidRDefault="00237A8E" w:rsidP="00627912">
            <w:pPr>
              <w:pStyle w:val="Tabletext"/>
            </w:pPr>
            <w:r w:rsidRPr="003A005A">
              <w:t>Section 9</w:t>
            </w:r>
            <w:r w:rsidR="00627912" w:rsidRPr="003A005A">
              <w:t>0UM FLA</w:t>
            </w:r>
          </w:p>
        </w:tc>
        <w:tc>
          <w:tcPr>
            <w:tcW w:w="4606" w:type="dxa"/>
            <w:tcBorders>
              <w:top w:val="single" w:sz="4" w:space="0" w:color="auto"/>
            </w:tcBorders>
          </w:tcPr>
          <w:p w14:paraId="3F4324E3" w14:textId="77777777" w:rsidR="00627912" w:rsidRPr="003A005A" w:rsidRDefault="00627912" w:rsidP="00627912">
            <w:pPr>
              <w:pStyle w:val="Tabletext"/>
            </w:pPr>
            <w:r w:rsidRPr="003A005A">
              <w:t>To set aside a financial agreement</w:t>
            </w:r>
          </w:p>
        </w:tc>
        <w:tc>
          <w:tcPr>
            <w:tcW w:w="2552" w:type="dxa"/>
            <w:tcBorders>
              <w:top w:val="single" w:sz="4" w:space="0" w:color="auto"/>
            </w:tcBorders>
          </w:tcPr>
          <w:p w14:paraId="0DEAFDFF" w14:textId="77777777" w:rsidR="00627912" w:rsidRPr="003A005A" w:rsidRDefault="00627912" w:rsidP="00627912">
            <w:pPr>
              <w:pStyle w:val="Tabletext"/>
            </w:pPr>
            <w:r w:rsidRPr="003A005A">
              <w:sym w:font="Wingdings" w:char="F0FC"/>
            </w:r>
          </w:p>
          <w:p w14:paraId="0B1ED7D6" w14:textId="77777777" w:rsidR="00627912" w:rsidRPr="003A005A" w:rsidRDefault="00627912" w:rsidP="00627912">
            <w:pPr>
              <w:pStyle w:val="Tabletext"/>
            </w:pPr>
            <w:r w:rsidRPr="003A005A">
              <w:t>but only if:</w:t>
            </w:r>
          </w:p>
          <w:p w14:paraId="394AE90F" w14:textId="77777777" w:rsidR="00627912" w:rsidRPr="003A005A" w:rsidRDefault="00627912" w:rsidP="00627912">
            <w:pPr>
              <w:pStyle w:val="Tablea"/>
            </w:pPr>
            <w:r w:rsidRPr="003A005A">
              <w:t>(a) the gross value of the property pool, inclusive of superannuation, is less than $2 million and the Senior Judicial Registrar is approved by the Chief Justice or CEO (subject to any directions of the Chief Justice) to exercise the power; or</w:t>
            </w:r>
          </w:p>
          <w:p w14:paraId="09DBC6C2" w14:textId="77777777" w:rsidR="00627912" w:rsidRPr="003A005A" w:rsidRDefault="00627912" w:rsidP="00627912">
            <w:pPr>
              <w:pStyle w:val="Tablea"/>
            </w:pPr>
            <w:r w:rsidRPr="003A005A">
              <w:t xml:space="preserve">(b) the order is made in undefended proceedings; </w:t>
            </w:r>
            <w:r w:rsidRPr="003A005A">
              <w:lastRenderedPageBreak/>
              <w:t>or</w:t>
            </w:r>
          </w:p>
          <w:p w14:paraId="4F64BFF1" w14:textId="77777777" w:rsidR="00627912" w:rsidRPr="003A005A" w:rsidRDefault="00627912" w:rsidP="00627912">
            <w:pPr>
              <w:pStyle w:val="Tablea"/>
            </w:pPr>
            <w:r w:rsidRPr="003A005A">
              <w:t>(c) the order is made with the consent of all the parties to the proceedings</w:t>
            </w:r>
          </w:p>
        </w:tc>
        <w:tc>
          <w:tcPr>
            <w:tcW w:w="2410" w:type="dxa"/>
            <w:tcBorders>
              <w:top w:val="single" w:sz="4" w:space="0" w:color="auto"/>
            </w:tcBorders>
          </w:tcPr>
          <w:p w14:paraId="6724549E" w14:textId="77777777" w:rsidR="00627912" w:rsidRPr="003A005A" w:rsidRDefault="00627912" w:rsidP="00627912">
            <w:pPr>
              <w:pStyle w:val="Tabletext"/>
            </w:pPr>
          </w:p>
        </w:tc>
      </w:tr>
    </w:tbl>
    <w:p w14:paraId="61897FCF" w14:textId="77777777" w:rsidR="00627912" w:rsidRPr="003A005A" w:rsidRDefault="00F4184D" w:rsidP="00C657AC">
      <w:pPr>
        <w:pStyle w:val="ItemHead"/>
      </w:pPr>
      <w:r w:rsidRPr="003A005A">
        <w:t>8</w:t>
      </w:r>
      <w:r w:rsidR="00C657AC" w:rsidRPr="003A005A">
        <w:t xml:space="preserve">  </w:t>
      </w:r>
      <w:r w:rsidR="00237A8E" w:rsidRPr="003A005A">
        <w:t>Clause 2</w:t>
      </w:r>
      <w:r w:rsidR="00C657AC" w:rsidRPr="003A005A">
        <w:t xml:space="preserve"> of </w:t>
      </w:r>
      <w:r w:rsidR="00237A8E" w:rsidRPr="003A005A">
        <w:t>Schedule 4</w:t>
      </w:r>
      <w:r w:rsidR="00C657AC" w:rsidRPr="003A005A">
        <w:t xml:space="preserve"> (after table </w:t>
      </w:r>
      <w:r w:rsidR="00237A8E" w:rsidRPr="003A005A">
        <w:t>item 1</w:t>
      </w:r>
      <w:r w:rsidR="00C657AC" w:rsidRPr="003A005A">
        <w:t>1.3)</w:t>
      </w:r>
    </w:p>
    <w:p w14:paraId="72F8FFF0" w14:textId="77777777" w:rsidR="00C657AC" w:rsidRPr="003A005A" w:rsidRDefault="00C657AC" w:rsidP="00C657AC">
      <w:pPr>
        <w:pStyle w:val="Item"/>
      </w:pPr>
      <w:r w:rsidRPr="003A005A">
        <w:t>Insert:</w:t>
      </w:r>
    </w:p>
    <w:p w14:paraId="557F8EED" w14:textId="77777777" w:rsidR="00C657AC" w:rsidRPr="003A005A" w:rsidRDefault="00C657AC"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7"/>
        <w:gridCol w:w="4606"/>
        <w:gridCol w:w="2552"/>
        <w:gridCol w:w="2410"/>
      </w:tblGrid>
      <w:tr w:rsidR="00C657AC" w:rsidRPr="003A005A" w14:paraId="0EEDF0DE" w14:textId="77777777" w:rsidTr="00AD71FA">
        <w:tc>
          <w:tcPr>
            <w:tcW w:w="817" w:type="dxa"/>
          </w:tcPr>
          <w:p w14:paraId="199AF3F0" w14:textId="77777777" w:rsidR="00C657AC" w:rsidRPr="003A005A" w:rsidRDefault="00C657AC" w:rsidP="00C657AC">
            <w:pPr>
              <w:pStyle w:val="Tabletext"/>
            </w:pPr>
            <w:r w:rsidRPr="003A005A">
              <w:t>11.4</w:t>
            </w:r>
          </w:p>
        </w:tc>
        <w:tc>
          <w:tcPr>
            <w:tcW w:w="3757" w:type="dxa"/>
          </w:tcPr>
          <w:p w14:paraId="688D0FDB" w14:textId="77777777" w:rsidR="00C657AC" w:rsidRPr="003A005A" w:rsidRDefault="00237A8E" w:rsidP="00C657AC">
            <w:pPr>
              <w:pStyle w:val="Tabletext"/>
            </w:pPr>
            <w:r w:rsidRPr="003A005A">
              <w:t>Section 9</w:t>
            </w:r>
            <w:r w:rsidR="00C657AC" w:rsidRPr="003A005A">
              <w:t>0AF FLA</w:t>
            </w:r>
          </w:p>
          <w:p w14:paraId="06A64451" w14:textId="77777777" w:rsidR="00C657AC" w:rsidRPr="003A005A" w:rsidRDefault="00C657AC" w:rsidP="00C657AC">
            <w:pPr>
              <w:pStyle w:val="Tabletext"/>
            </w:pPr>
            <w:r w:rsidRPr="003A005A">
              <w:t>but only if:</w:t>
            </w:r>
          </w:p>
          <w:p w14:paraId="33977F4A" w14:textId="77777777" w:rsidR="00C657AC" w:rsidRPr="003A005A" w:rsidRDefault="00C657AC" w:rsidP="00C657AC">
            <w:pPr>
              <w:pStyle w:val="Tablea"/>
            </w:pPr>
            <w:r w:rsidRPr="003A005A">
              <w:t>(a) the order is an order until further order; or</w:t>
            </w:r>
          </w:p>
          <w:p w14:paraId="55FB05A2" w14:textId="77777777" w:rsidR="00C657AC" w:rsidRPr="003A005A" w:rsidRDefault="00C657AC" w:rsidP="00C657AC">
            <w:pPr>
              <w:pStyle w:val="Tablea"/>
            </w:pPr>
            <w:r w:rsidRPr="003A005A">
              <w:t>(b) the order is made in undefended proceedings; or</w:t>
            </w:r>
          </w:p>
          <w:p w14:paraId="1A140A32" w14:textId="77777777" w:rsidR="00C657AC" w:rsidRPr="003A005A" w:rsidRDefault="00C657AC" w:rsidP="00C657AC">
            <w:pPr>
              <w:pStyle w:val="Tablea"/>
            </w:pPr>
            <w:r w:rsidRPr="003A005A">
              <w:t>(c) the power is exercised with the consent of all the parties to the proceedings</w:t>
            </w:r>
          </w:p>
        </w:tc>
        <w:tc>
          <w:tcPr>
            <w:tcW w:w="4606" w:type="dxa"/>
          </w:tcPr>
          <w:p w14:paraId="0DD7DAB0" w14:textId="77777777" w:rsidR="00C657AC" w:rsidRPr="003A005A" w:rsidRDefault="00C657AC" w:rsidP="00C657AC">
            <w:pPr>
              <w:pStyle w:val="Tabletext"/>
            </w:pPr>
            <w:r w:rsidRPr="003A005A">
              <w:t xml:space="preserve">To make an injunction under </w:t>
            </w:r>
            <w:r w:rsidR="00237A8E" w:rsidRPr="003A005A">
              <w:t>section 1</w:t>
            </w:r>
            <w:r w:rsidRPr="003A005A">
              <w:t>14 FLA binding a third party</w:t>
            </w:r>
          </w:p>
        </w:tc>
        <w:tc>
          <w:tcPr>
            <w:tcW w:w="2552" w:type="dxa"/>
          </w:tcPr>
          <w:p w14:paraId="2CED4018" w14:textId="77777777" w:rsidR="00C657AC" w:rsidRPr="003A005A" w:rsidRDefault="00C657AC" w:rsidP="00C657AC">
            <w:pPr>
              <w:pStyle w:val="Tabletext"/>
            </w:pPr>
            <w:r w:rsidRPr="003A005A">
              <w:sym w:font="Wingdings" w:char="F0FC"/>
            </w:r>
          </w:p>
        </w:tc>
        <w:tc>
          <w:tcPr>
            <w:tcW w:w="2410" w:type="dxa"/>
          </w:tcPr>
          <w:p w14:paraId="24C0AE5D" w14:textId="77777777" w:rsidR="00C657AC" w:rsidRPr="003A005A" w:rsidRDefault="00C657AC" w:rsidP="00C657AC">
            <w:pPr>
              <w:pStyle w:val="Tabletext"/>
            </w:pPr>
          </w:p>
        </w:tc>
      </w:tr>
    </w:tbl>
    <w:p w14:paraId="593E2846" w14:textId="77777777" w:rsidR="00C657AC" w:rsidRPr="003A005A" w:rsidRDefault="00F4184D" w:rsidP="00C657AC">
      <w:pPr>
        <w:pStyle w:val="ItemHead"/>
      </w:pPr>
      <w:r w:rsidRPr="003A005A">
        <w:t>9</w:t>
      </w:r>
      <w:r w:rsidR="00C657AC" w:rsidRPr="003A005A">
        <w:t xml:space="preserve">  </w:t>
      </w:r>
      <w:r w:rsidR="00237A8E" w:rsidRPr="003A005A">
        <w:t>Clause 2</w:t>
      </w:r>
      <w:r w:rsidR="00C657AC" w:rsidRPr="003A005A">
        <w:t xml:space="preserve"> of </w:t>
      </w:r>
      <w:r w:rsidR="00237A8E" w:rsidRPr="003A005A">
        <w:t>Schedule 4</w:t>
      </w:r>
      <w:r w:rsidR="00C657AC" w:rsidRPr="003A005A">
        <w:t xml:space="preserve"> (table </w:t>
      </w:r>
      <w:r w:rsidR="00237A8E" w:rsidRPr="003A005A">
        <w:t>item 1</w:t>
      </w:r>
      <w:r w:rsidR="00C657AC" w:rsidRPr="003A005A">
        <w:t>2.4)</w:t>
      </w:r>
    </w:p>
    <w:p w14:paraId="409BE50A" w14:textId="77777777" w:rsidR="00C657AC" w:rsidRPr="003A005A" w:rsidRDefault="00C657AC" w:rsidP="00C657AC">
      <w:pPr>
        <w:pStyle w:val="Item"/>
      </w:pPr>
      <w:r w:rsidRPr="003A005A">
        <w:t>Repeal the item, substitute:</w:t>
      </w:r>
    </w:p>
    <w:p w14:paraId="37AE81C8" w14:textId="77777777" w:rsidR="00C657AC" w:rsidRPr="003A005A" w:rsidRDefault="00C657AC"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2"/>
        <w:gridCol w:w="4611"/>
        <w:gridCol w:w="2552"/>
        <w:gridCol w:w="2410"/>
      </w:tblGrid>
      <w:tr w:rsidR="00C657AC" w:rsidRPr="003A005A" w14:paraId="03D6CC26" w14:textId="77777777" w:rsidTr="00AD71FA">
        <w:tc>
          <w:tcPr>
            <w:tcW w:w="817" w:type="dxa"/>
          </w:tcPr>
          <w:p w14:paraId="3CB5A4A2" w14:textId="77777777" w:rsidR="00C657AC" w:rsidRPr="003A005A" w:rsidRDefault="00C657AC" w:rsidP="00C657AC">
            <w:pPr>
              <w:pStyle w:val="Tabletext"/>
            </w:pPr>
            <w:r w:rsidRPr="003A005A">
              <w:t>12.4</w:t>
            </w:r>
          </w:p>
        </w:tc>
        <w:tc>
          <w:tcPr>
            <w:tcW w:w="3752" w:type="dxa"/>
          </w:tcPr>
          <w:p w14:paraId="1F799F90" w14:textId="77777777" w:rsidR="00C657AC" w:rsidRPr="003A005A" w:rsidRDefault="00237A8E" w:rsidP="00C657AC">
            <w:pPr>
              <w:pStyle w:val="Tabletext"/>
            </w:pPr>
            <w:r w:rsidRPr="003A005A">
              <w:t>Chapter 1</w:t>
            </w:r>
            <w:r w:rsidR="00C657AC" w:rsidRPr="003A005A">
              <w:t xml:space="preserve">2 </w:t>
            </w:r>
            <w:proofErr w:type="spellStart"/>
            <w:r w:rsidR="00C657AC" w:rsidRPr="003A005A">
              <w:t>FCFCOA</w:t>
            </w:r>
            <w:proofErr w:type="spellEnd"/>
            <w:r w:rsidR="00C657AC" w:rsidRPr="003A005A">
              <w:t xml:space="preserve"> Rules</w:t>
            </w:r>
          </w:p>
        </w:tc>
        <w:tc>
          <w:tcPr>
            <w:tcW w:w="4611" w:type="dxa"/>
          </w:tcPr>
          <w:p w14:paraId="17EB2072" w14:textId="77777777" w:rsidR="00C657AC" w:rsidRPr="003A005A" w:rsidRDefault="00C657AC" w:rsidP="00C657AC">
            <w:pPr>
              <w:pStyle w:val="Tabletext"/>
            </w:pPr>
            <w:r w:rsidRPr="003A005A">
              <w:t xml:space="preserve">To make orders in relation to costs, the provision of costs estimates and the assessment of costs, </w:t>
            </w:r>
            <w:r w:rsidR="00CA08C0" w:rsidRPr="003A005A">
              <w:t xml:space="preserve">but </w:t>
            </w:r>
            <w:r w:rsidRPr="003A005A">
              <w:t xml:space="preserve">only in relation to </w:t>
            </w:r>
            <w:r w:rsidR="00237A8E" w:rsidRPr="003A005A">
              <w:t>section 1</w:t>
            </w:r>
            <w:r w:rsidRPr="003A005A">
              <w:t>17 FLA</w:t>
            </w:r>
          </w:p>
        </w:tc>
        <w:tc>
          <w:tcPr>
            <w:tcW w:w="2552" w:type="dxa"/>
          </w:tcPr>
          <w:p w14:paraId="324873AE" w14:textId="77777777" w:rsidR="00C657AC" w:rsidRPr="003A005A" w:rsidRDefault="00CA08C0" w:rsidP="00C657AC">
            <w:pPr>
              <w:pStyle w:val="Tabletext"/>
            </w:pPr>
            <w:r w:rsidRPr="003A005A">
              <w:sym w:font="Wingdings" w:char="F0FC"/>
            </w:r>
          </w:p>
        </w:tc>
        <w:tc>
          <w:tcPr>
            <w:tcW w:w="2410" w:type="dxa"/>
          </w:tcPr>
          <w:p w14:paraId="208AB1E1" w14:textId="77777777" w:rsidR="00C657AC" w:rsidRPr="003A005A" w:rsidRDefault="00CA08C0" w:rsidP="00C657AC">
            <w:pPr>
              <w:pStyle w:val="Tabletext"/>
            </w:pPr>
            <w:r w:rsidRPr="003A005A">
              <w:sym w:font="Wingdings" w:char="F0FC"/>
            </w:r>
          </w:p>
        </w:tc>
      </w:tr>
    </w:tbl>
    <w:p w14:paraId="62628540" w14:textId="77777777" w:rsidR="00E7056B" w:rsidRPr="003A005A" w:rsidRDefault="00F4184D" w:rsidP="00E7056B">
      <w:pPr>
        <w:pStyle w:val="ItemHead"/>
      </w:pPr>
      <w:r w:rsidRPr="003A005A">
        <w:t>10</w:t>
      </w:r>
      <w:r w:rsidR="00E7056B" w:rsidRPr="003A005A">
        <w:t xml:space="preserve">  </w:t>
      </w:r>
      <w:r w:rsidR="00237A8E" w:rsidRPr="003A005A">
        <w:t>Clause 2</w:t>
      </w:r>
      <w:r w:rsidR="00E7056B" w:rsidRPr="003A005A">
        <w:t xml:space="preserve"> of </w:t>
      </w:r>
      <w:r w:rsidR="00237A8E" w:rsidRPr="003A005A">
        <w:t>Schedule 4</w:t>
      </w:r>
      <w:r w:rsidR="00E7056B" w:rsidRPr="003A005A">
        <w:t xml:space="preserve"> (table </w:t>
      </w:r>
      <w:r w:rsidR="00237A8E" w:rsidRPr="003A005A">
        <w:t>item 1</w:t>
      </w:r>
      <w:r w:rsidR="00E7056B" w:rsidRPr="003A005A">
        <w:t>3.2)</w:t>
      </w:r>
    </w:p>
    <w:p w14:paraId="789ED1F8" w14:textId="77777777" w:rsidR="00E7056B" w:rsidRPr="003A005A" w:rsidRDefault="00E7056B" w:rsidP="00E7056B">
      <w:pPr>
        <w:pStyle w:val="Item"/>
      </w:pPr>
      <w:r w:rsidRPr="003A005A">
        <w:t>Repeal the item, substitute:</w:t>
      </w:r>
    </w:p>
    <w:p w14:paraId="7FEA229B" w14:textId="77777777" w:rsidR="00E7056B" w:rsidRPr="003A005A" w:rsidRDefault="00E7056B"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39"/>
        <w:gridCol w:w="4624"/>
        <w:gridCol w:w="2552"/>
        <w:gridCol w:w="2410"/>
      </w:tblGrid>
      <w:tr w:rsidR="00E7056B" w:rsidRPr="003A005A" w14:paraId="68FC3D55" w14:textId="77777777" w:rsidTr="00AD71FA">
        <w:tc>
          <w:tcPr>
            <w:tcW w:w="817" w:type="dxa"/>
          </w:tcPr>
          <w:p w14:paraId="543E9CE7" w14:textId="77777777" w:rsidR="00E7056B" w:rsidRPr="003A005A" w:rsidRDefault="00E7056B" w:rsidP="00E7056B">
            <w:pPr>
              <w:pStyle w:val="Tabletext"/>
            </w:pPr>
            <w:r w:rsidRPr="003A005A">
              <w:t>13.2</w:t>
            </w:r>
          </w:p>
        </w:tc>
        <w:tc>
          <w:tcPr>
            <w:tcW w:w="3739" w:type="dxa"/>
          </w:tcPr>
          <w:p w14:paraId="011628DB" w14:textId="77777777" w:rsidR="00E7056B" w:rsidRPr="003A005A" w:rsidRDefault="00E7056B" w:rsidP="00E7056B">
            <w:pPr>
              <w:pStyle w:val="Tabletext"/>
            </w:pPr>
            <w:r w:rsidRPr="003A005A">
              <w:t>Paragraphs 32(3)(a) and (d), by consent, and paragraphs 32(3)(b), (c), (e), (f), (g), (h) and (</w:t>
            </w:r>
            <w:proofErr w:type="spellStart"/>
            <w:r w:rsidRPr="003A005A">
              <w:t>i</w:t>
            </w:r>
            <w:proofErr w:type="spellEnd"/>
            <w:r w:rsidRPr="003A005A">
              <w:t xml:space="preserve">) </w:t>
            </w:r>
            <w:proofErr w:type="spellStart"/>
            <w:r w:rsidRPr="003A005A">
              <w:t>FCFCOA</w:t>
            </w:r>
            <w:proofErr w:type="spellEnd"/>
            <w:r w:rsidRPr="003A005A">
              <w:t xml:space="preserve"> Act</w:t>
            </w:r>
          </w:p>
        </w:tc>
        <w:tc>
          <w:tcPr>
            <w:tcW w:w="4624" w:type="dxa"/>
          </w:tcPr>
          <w:p w14:paraId="4A2A125B" w14:textId="77777777" w:rsidR="00E7056B" w:rsidRPr="003A005A" w:rsidRDefault="00E7056B" w:rsidP="00E7056B">
            <w:pPr>
              <w:pStyle w:val="Tabletext"/>
            </w:pPr>
            <w:r w:rsidRPr="003A005A">
              <w:t>To make orders in relation to the following applications:</w:t>
            </w:r>
          </w:p>
          <w:p w14:paraId="4B0EFAC3" w14:textId="77777777" w:rsidR="00E7056B" w:rsidRPr="003A005A" w:rsidRDefault="00E7056B" w:rsidP="00E7056B">
            <w:pPr>
              <w:pStyle w:val="Tablea"/>
            </w:pPr>
            <w:r w:rsidRPr="003A005A">
              <w:t>(a) to join or remove a party to an appeal (by consent of all parties and any person proposed to be joined only);</w:t>
            </w:r>
          </w:p>
          <w:p w14:paraId="18B6D7A5" w14:textId="77777777" w:rsidR="00E7056B" w:rsidRPr="003A005A" w:rsidRDefault="00E7056B" w:rsidP="00E7056B">
            <w:pPr>
              <w:pStyle w:val="Tablea"/>
            </w:pPr>
            <w:r w:rsidRPr="003A005A">
              <w:lastRenderedPageBreak/>
              <w:t>(b) to give summary judgment;</w:t>
            </w:r>
          </w:p>
          <w:p w14:paraId="397B8F63" w14:textId="77777777" w:rsidR="00E7056B" w:rsidRPr="003A005A" w:rsidRDefault="00E7056B" w:rsidP="00E7056B">
            <w:pPr>
              <w:pStyle w:val="Tablea"/>
            </w:pPr>
            <w:r w:rsidRPr="003A005A">
              <w:t>(c) to make an interlocutory order pending, or after, the determination of an appeal, and to vary or set aside that order;</w:t>
            </w:r>
          </w:p>
          <w:p w14:paraId="54389684" w14:textId="77777777" w:rsidR="00E7056B" w:rsidRPr="003A005A" w:rsidRDefault="00E7056B" w:rsidP="00E7056B">
            <w:pPr>
              <w:pStyle w:val="Tablea"/>
            </w:pPr>
            <w:r w:rsidRPr="003A005A">
              <w:t xml:space="preserve">(d) to make an order to dismiss an appeal for want of prosecution, and to </w:t>
            </w:r>
            <w:r w:rsidR="00CD2AF5" w:rsidRPr="003A005A">
              <w:t xml:space="preserve">vary or </w:t>
            </w:r>
            <w:r w:rsidRPr="003A005A">
              <w:t>set aside that order;</w:t>
            </w:r>
          </w:p>
          <w:p w14:paraId="19F31FB8" w14:textId="77777777" w:rsidR="00E7056B" w:rsidRPr="003A005A" w:rsidRDefault="00E7056B" w:rsidP="00E7056B">
            <w:pPr>
              <w:pStyle w:val="Tablea"/>
            </w:pPr>
            <w:r w:rsidRPr="003A005A">
              <w:t>(e) to:</w:t>
            </w:r>
          </w:p>
          <w:p w14:paraId="1F14A08D" w14:textId="77777777" w:rsidR="00E7056B" w:rsidRPr="003A005A" w:rsidRDefault="00E7056B" w:rsidP="00A904A1">
            <w:pPr>
              <w:pStyle w:val="Tablei"/>
            </w:pPr>
            <w:r w:rsidRPr="003A005A">
              <w:t>(</w:t>
            </w:r>
            <w:proofErr w:type="spellStart"/>
            <w:r w:rsidRPr="003A005A">
              <w:t>i</w:t>
            </w:r>
            <w:proofErr w:type="spellEnd"/>
            <w:r w:rsidRPr="003A005A">
              <w:t xml:space="preserve">) </w:t>
            </w:r>
            <w:r w:rsidR="00A904A1" w:rsidRPr="003A005A">
              <w:t xml:space="preserve">make an order to dismiss an appeal for </w:t>
            </w:r>
            <w:r w:rsidRPr="003A005A">
              <w:t>failure to comply with a direction of the Court or</w:t>
            </w:r>
            <w:r w:rsidR="00A904A1" w:rsidRPr="003A005A">
              <w:t xml:space="preserve"> </w:t>
            </w:r>
            <w:r w:rsidRPr="003A005A">
              <w:t>failure of the appellant to attend a hearing relating to the appeal;</w:t>
            </w:r>
            <w:r w:rsidR="00A904A1" w:rsidRPr="003A005A">
              <w:t xml:space="preserve"> and</w:t>
            </w:r>
          </w:p>
          <w:p w14:paraId="755FF85E" w14:textId="77777777" w:rsidR="00A904A1" w:rsidRPr="003A005A" w:rsidRDefault="00A904A1" w:rsidP="00A904A1">
            <w:pPr>
              <w:pStyle w:val="Tablei"/>
            </w:pPr>
            <w:r w:rsidRPr="003A005A">
              <w:t>(ii) vary or set aside that order;</w:t>
            </w:r>
          </w:p>
          <w:p w14:paraId="7DC8225C" w14:textId="77777777" w:rsidR="00E7056B" w:rsidRPr="003A005A" w:rsidRDefault="00E7056B" w:rsidP="00E7056B">
            <w:pPr>
              <w:pStyle w:val="Tablea"/>
            </w:pPr>
            <w:r w:rsidRPr="003A005A">
              <w:t>(</w:t>
            </w:r>
            <w:r w:rsidR="00A904A1" w:rsidRPr="003A005A">
              <w:t>f</w:t>
            </w:r>
            <w:r w:rsidRPr="003A005A">
              <w:t xml:space="preserve">) to give directions under subsection 69(1) </w:t>
            </w:r>
            <w:proofErr w:type="spellStart"/>
            <w:r w:rsidRPr="003A005A">
              <w:t>FCFCOA</w:t>
            </w:r>
            <w:proofErr w:type="spellEnd"/>
            <w:r w:rsidRPr="003A005A">
              <w:t xml:space="preserve"> Act about practice and procedure to be followed in the proceeding;</w:t>
            </w:r>
          </w:p>
          <w:p w14:paraId="01DB1923" w14:textId="77777777" w:rsidR="00E7056B" w:rsidRPr="003A005A" w:rsidRDefault="00E7056B" w:rsidP="00E7056B">
            <w:pPr>
              <w:pStyle w:val="Tablea"/>
            </w:pPr>
            <w:r w:rsidRPr="003A005A">
              <w:t>(</w:t>
            </w:r>
            <w:r w:rsidR="00A904A1" w:rsidRPr="003A005A">
              <w:t>g</w:t>
            </w:r>
            <w:r w:rsidRPr="003A005A">
              <w:t>) to give other directions about the conduct of the appeal, including about:</w:t>
            </w:r>
          </w:p>
          <w:p w14:paraId="4D6014FA" w14:textId="77777777" w:rsidR="00E7056B" w:rsidRPr="003A005A" w:rsidRDefault="00E7056B" w:rsidP="00E7056B">
            <w:pPr>
              <w:pStyle w:val="Tablei"/>
            </w:pPr>
            <w:r w:rsidRPr="003A005A">
              <w:t>(</w:t>
            </w:r>
            <w:proofErr w:type="spellStart"/>
            <w:r w:rsidRPr="003A005A">
              <w:t>i</w:t>
            </w:r>
            <w:proofErr w:type="spellEnd"/>
            <w:r w:rsidRPr="003A005A">
              <w:t>) use of written submissions; and</w:t>
            </w:r>
          </w:p>
          <w:p w14:paraId="7A119CAD" w14:textId="77777777" w:rsidR="00E7056B" w:rsidRPr="003A005A" w:rsidRDefault="00E7056B" w:rsidP="00E7056B">
            <w:pPr>
              <w:pStyle w:val="Tablei"/>
            </w:pPr>
            <w:r w:rsidRPr="003A005A">
              <w:t>(ii) limiting the time for oral argument</w:t>
            </w:r>
            <w:r w:rsidR="008E52D5" w:rsidRPr="003A005A">
              <w:t>;</w:t>
            </w:r>
          </w:p>
          <w:p w14:paraId="10B4923C" w14:textId="77777777" w:rsidR="00E7056B" w:rsidRPr="003A005A" w:rsidRDefault="00E7056B" w:rsidP="00E7056B">
            <w:pPr>
              <w:pStyle w:val="Tablea"/>
            </w:pPr>
            <w:r w:rsidRPr="003A005A">
              <w:t>(</w:t>
            </w:r>
            <w:r w:rsidR="00A904A1" w:rsidRPr="003A005A">
              <w:t>h</w:t>
            </w:r>
            <w:r w:rsidRPr="003A005A">
              <w:t xml:space="preserve">) to make an order by consent disposing of an appeal to the </w:t>
            </w:r>
            <w:r w:rsidR="005C03D8" w:rsidRPr="003A005A">
              <w:t>c</w:t>
            </w:r>
            <w:r w:rsidRPr="003A005A">
              <w:t>ourt (including an order for costs)</w:t>
            </w:r>
          </w:p>
        </w:tc>
        <w:tc>
          <w:tcPr>
            <w:tcW w:w="2552" w:type="dxa"/>
          </w:tcPr>
          <w:p w14:paraId="7A5AC529" w14:textId="77777777" w:rsidR="00E7056B" w:rsidRPr="003A005A" w:rsidRDefault="00E7056B" w:rsidP="00E7056B">
            <w:pPr>
              <w:pStyle w:val="Tabletext"/>
            </w:pPr>
            <w:r w:rsidRPr="003A005A">
              <w:lastRenderedPageBreak/>
              <w:sym w:font="Wingdings" w:char="F0FC"/>
            </w:r>
          </w:p>
          <w:p w14:paraId="074AAD09" w14:textId="77777777" w:rsidR="00E7056B" w:rsidRPr="003A005A" w:rsidRDefault="00E7056B" w:rsidP="00E7056B">
            <w:pPr>
              <w:pStyle w:val="Tabletext"/>
            </w:pPr>
            <w:r w:rsidRPr="003A005A">
              <w:t xml:space="preserve">if a Senior Judicial Registrar is approved by the Chief Justice or CEO (subject to any directions of the Chief </w:t>
            </w:r>
            <w:r w:rsidRPr="003A005A">
              <w:lastRenderedPageBreak/>
              <w:t>Justice) to exercise the power</w:t>
            </w:r>
          </w:p>
        </w:tc>
        <w:tc>
          <w:tcPr>
            <w:tcW w:w="2410" w:type="dxa"/>
          </w:tcPr>
          <w:p w14:paraId="56DCDE8D" w14:textId="77777777" w:rsidR="00E7056B" w:rsidRPr="003A005A" w:rsidRDefault="00E7056B" w:rsidP="00E7056B">
            <w:pPr>
              <w:pStyle w:val="Tabletext"/>
            </w:pPr>
            <w:r w:rsidRPr="003A005A">
              <w:lastRenderedPageBreak/>
              <w:sym w:font="Wingdings" w:char="F0FC"/>
            </w:r>
          </w:p>
          <w:p w14:paraId="7252AE79" w14:textId="77777777" w:rsidR="00E7056B" w:rsidRPr="003A005A" w:rsidRDefault="00E7056B" w:rsidP="00E7056B">
            <w:pPr>
              <w:pStyle w:val="Tabletext"/>
            </w:pPr>
            <w:r w:rsidRPr="003A005A">
              <w:t xml:space="preserve">if a Judicial Registrar is approved by the Chief Justice or CEO (subject to any directions of the Chief </w:t>
            </w:r>
            <w:r w:rsidRPr="003A005A">
              <w:lastRenderedPageBreak/>
              <w:t>Justice) to exercise the power</w:t>
            </w:r>
          </w:p>
        </w:tc>
      </w:tr>
    </w:tbl>
    <w:p w14:paraId="2FC9DCF1" w14:textId="77777777" w:rsidR="0015534F" w:rsidRPr="003A005A" w:rsidRDefault="00F4184D" w:rsidP="0015534F">
      <w:pPr>
        <w:pStyle w:val="ItemHead"/>
      </w:pPr>
      <w:r w:rsidRPr="003A005A">
        <w:lastRenderedPageBreak/>
        <w:t>11</w:t>
      </w:r>
      <w:r w:rsidR="0015534F" w:rsidRPr="003A005A">
        <w:t xml:space="preserve">  </w:t>
      </w:r>
      <w:r w:rsidR="00237A8E" w:rsidRPr="003A005A">
        <w:t>Clause 2</w:t>
      </w:r>
      <w:r w:rsidR="0015534F" w:rsidRPr="003A005A">
        <w:t xml:space="preserve"> of </w:t>
      </w:r>
      <w:r w:rsidR="00237A8E" w:rsidRPr="003A005A">
        <w:t>Schedule 4</w:t>
      </w:r>
      <w:r w:rsidR="0015534F" w:rsidRPr="003A005A">
        <w:t xml:space="preserve"> (after table </w:t>
      </w:r>
      <w:r w:rsidR="00237A8E" w:rsidRPr="003A005A">
        <w:t>item 1</w:t>
      </w:r>
      <w:r w:rsidR="0015534F" w:rsidRPr="003A005A">
        <w:t>3.8)</w:t>
      </w:r>
    </w:p>
    <w:p w14:paraId="6E2DD513" w14:textId="77777777" w:rsidR="0015534F" w:rsidRPr="003A005A" w:rsidRDefault="0015534F" w:rsidP="0015534F">
      <w:pPr>
        <w:pStyle w:val="Item"/>
      </w:pPr>
      <w:r w:rsidRPr="003A005A">
        <w:t>Insert:</w:t>
      </w:r>
    </w:p>
    <w:p w14:paraId="6F543DB3" w14:textId="77777777" w:rsidR="00E348A4" w:rsidRPr="003A005A" w:rsidRDefault="00E348A4"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42"/>
        <w:gridCol w:w="4621"/>
        <w:gridCol w:w="2552"/>
        <w:gridCol w:w="2410"/>
      </w:tblGrid>
      <w:tr w:rsidR="0015534F" w:rsidRPr="003A005A" w14:paraId="3CCB1D73" w14:textId="77777777" w:rsidTr="00AD71FA">
        <w:tc>
          <w:tcPr>
            <w:tcW w:w="817" w:type="dxa"/>
            <w:tcBorders>
              <w:bottom w:val="single" w:sz="4" w:space="0" w:color="auto"/>
            </w:tcBorders>
          </w:tcPr>
          <w:p w14:paraId="0DCFE95A" w14:textId="77777777" w:rsidR="0015534F" w:rsidRPr="003A005A" w:rsidRDefault="0015534F" w:rsidP="0015534F">
            <w:pPr>
              <w:pStyle w:val="Tabletext"/>
            </w:pPr>
            <w:r w:rsidRPr="003A005A">
              <w:t>13.9</w:t>
            </w:r>
          </w:p>
        </w:tc>
        <w:tc>
          <w:tcPr>
            <w:tcW w:w="3742" w:type="dxa"/>
            <w:tcBorders>
              <w:bottom w:val="single" w:sz="4" w:space="0" w:color="auto"/>
            </w:tcBorders>
          </w:tcPr>
          <w:p w14:paraId="7C37D5C4" w14:textId="77777777" w:rsidR="0015534F" w:rsidRPr="003A005A" w:rsidRDefault="00F4184D" w:rsidP="0015534F">
            <w:pPr>
              <w:pStyle w:val="Tabletext"/>
            </w:pPr>
            <w:r w:rsidRPr="003A005A">
              <w:t>Rule 1</w:t>
            </w:r>
            <w:r w:rsidR="0015534F" w:rsidRPr="003A005A">
              <w:t xml:space="preserve">3.45 </w:t>
            </w:r>
            <w:proofErr w:type="spellStart"/>
            <w:r w:rsidR="0015534F" w:rsidRPr="003A005A">
              <w:t>FCFCOA</w:t>
            </w:r>
            <w:proofErr w:type="spellEnd"/>
            <w:r w:rsidR="0015534F" w:rsidRPr="003A005A">
              <w:t xml:space="preserve"> Rules</w:t>
            </w:r>
          </w:p>
        </w:tc>
        <w:tc>
          <w:tcPr>
            <w:tcW w:w="4621" w:type="dxa"/>
            <w:tcBorders>
              <w:bottom w:val="single" w:sz="4" w:space="0" w:color="auto"/>
            </w:tcBorders>
          </w:tcPr>
          <w:p w14:paraId="0510C9A0" w14:textId="77777777" w:rsidR="0015534F" w:rsidRPr="003A005A" w:rsidRDefault="0015534F" w:rsidP="0015534F">
            <w:pPr>
              <w:pStyle w:val="Tabletext"/>
            </w:pPr>
            <w:r w:rsidRPr="003A005A">
              <w:t>To dismiss an appeal and applications for non</w:t>
            </w:r>
            <w:r w:rsidR="009325B1">
              <w:noBreakHyphen/>
            </w:r>
            <w:r w:rsidRPr="003A005A">
              <w:t>compliance or delay</w:t>
            </w:r>
          </w:p>
        </w:tc>
        <w:tc>
          <w:tcPr>
            <w:tcW w:w="2552" w:type="dxa"/>
            <w:tcBorders>
              <w:bottom w:val="single" w:sz="4" w:space="0" w:color="auto"/>
            </w:tcBorders>
          </w:tcPr>
          <w:p w14:paraId="7013B7B1" w14:textId="77777777" w:rsidR="0015534F" w:rsidRPr="003A005A" w:rsidRDefault="0015534F" w:rsidP="0015534F">
            <w:pPr>
              <w:pStyle w:val="Tabletext"/>
            </w:pPr>
            <w:r w:rsidRPr="003A005A">
              <w:sym w:font="Wingdings" w:char="F0FC"/>
            </w:r>
          </w:p>
          <w:p w14:paraId="3F7B06D3" w14:textId="77777777" w:rsidR="0015534F" w:rsidRPr="003A005A" w:rsidRDefault="0015534F" w:rsidP="0015534F">
            <w:pPr>
              <w:pStyle w:val="Tabletext"/>
            </w:pPr>
            <w:r w:rsidRPr="003A005A">
              <w:t>but only if a Senior Judicial Registrar is approved by the Chief Justice or CEO (subject to any directions of the Chief Justice) to exercise the power</w:t>
            </w:r>
          </w:p>
        </w:tc>
        <w:tc>
          <w:tcPr>
            <w:tcW w:w="2410" w:type="dxa"/>
            <w:tcBorders>
              <w:bottom w:val="single" w:sz="4" w:space="0" w:color="auto"/>
            </w:tcBorders>
          </w:tcPr>
          <w:p w14:paraId="6DC19A80" w14:textId="77777777" w:rsidR="0015534F" w:rsidRPr="003A005A" w:rsidRDefault="0015534F" w:rsidP="0015534F">
            <w:pPr>
              <w:pStyle w:val="Tabletext"/>
            </w:pPr>
            <w:r w:rsidRPr="003A005A">
              <w:sym w:font="Wingdings" w:char="F0FC"/>
            </w:r>
          </w:p>
          <w:p w14:paraId="37511623" w14:textId="77777777" w:rsidR="0015534F" w:rsidRPr="003A005A" w:rsidRDefault="0015534F" w:rsidP="0015534F">
            <w:pPr>
              <w:pStyle w:val="Tabletext"/>
            </w:pPr>
            <w:r w:rsidRPr="003A005A">
              <w:t>but only if a Judicial Registrar is approved by the Chief Justice or CEO (subject to any directions of the Chief Justice) to exercise the power</w:t>
            </w:r>
          </w:p>
        </w:tc>
      </w:tr>
      <w:tr w:rsidR="0015534F" w:rsidRPr="003A005A" w14:paraId="3936AA53" w14:textId="77777777" w:rsidTr="00AD71FA">
        <w:tc>
          <w:tcPr>
            <w:tcW w:w="817" w:type="dxa"/>
            <w:tcBorders>
              <w:top w:val="single" w:sz="4" w:space="0" w:color="auto"/>
            </w:tcBorders>
          </w:tcPr>
          <w:p w14:paraId="57358B5C" w14:textId="77777777" w:rsidR="0015534F" w:rsidRPr="003A005A" w:rsidRDefault="0015534F" w:rsidP="0015534F">
            <w:pPr>
              <w:pStyle w:val="Tabletext"/>
            </w:pPr>
            <w:r w:rsidRPr="003A005A">
              <w:t>13.10</w:t>
            </w:r>
          </w:p>
        </w:tc>
        <w:tc>
          <w:tcPr>
            <w:tcW w:w="3742" w:type="dxa"/>
            <w:tcBorders>
              <w:top w:val="single" w:sz="4" w:space="0" w:color="auto"/>
            </w:tcBorders>
          </w:tcPr>
          <w:p w14:paraId="3C30264F" w14:textId="77777777" w:rsidR="0015534F" w:rsidRPr="003A005A" w:rsidRDefault="00F4184D" w:rsidP="0015534F">
            <w:pPr>
              <w:pStyle w:val="Tabletext"/>
            </w:pPr>
            <w:r w:rsidRPr="003A005A">
              <w:t>Rule 1</w:t>
            </w:r>
            <w:r w:rsidR="0015534F" w:rsidRPr="003A005A">
              <w:t xml:space="preserve">3.54 </w:t>
            </w:r>
            <w:proofErr w:type="spellStart"/>
            <w:r w:rsidR="0015534F" w:rsidRPr="003A005A">
              <w:t>FCFCOA</w:t>
            </w:r>
            <w:proofErr w:type="spellEnd"/>
            <w:r w:rsidR="0015534F" w:rsidRPr="003A005A">
              <w:t xml:space="preserve"> Rules</w:t>
            </w:r>
          </w:p>
        </w:tc>
        <w:tc>
          <w:tcPr>
            <w:tcW w:w="4621" w:type="dxa"/>
            <w:tcBorders>
              <w:top w:val="single" w:sz="4" w:space="0" w:color="auto"/>
            </w:tcBorders>
          </w:tcPr>
          <w:p w14:paraId="1E3A6F08" w14:textId="77777777" w:rsidR="0015534F" w:rsidRPr="003A005A" w:rsidRDefault="0015534F" w:rsidP="0015534F">
            <w:pPr>
              <w:pStyle w:val="Tabletext"/>
            </w:pPr>
            <w:r w:rsidRPr="003A005A">
              <w:t xml:space="preserve">To determine an application in an appeal seeking </w:t>
            </w:r>
            <w:r w:rsidRPr="003A005A">
              <w:lastRenderedPageBreak/>
              <w:t>costs, but only after a notice of discontinuance has been filed</w:t>
            </w:r>
          </w:p>
        </w:tc>
        <w:tc>
          <w:tcPr>
            <w:tcW w:w="2552" w:type="dxa"/>
            <w:tcBorders>
              <w:top w:val="single" w:sz="4" w:space="0" w:color="auto"/>
            </w:tcBorders>
          </w:tcPr>
          <w:p w14:paraId="42C24093" w14:textId="77777777" w:rsidR="0015534F" w:rsidRPr="003A005A" w:rsidRDefault="0015534F" w:rsidP="0015534F">
            <w:pPr>
              <w:pStyle w:val="Tabletext"/>
            </w:pPr>
            <w:r w:rsidRPr="003A005A">
              <w:lastRenderedPageBreak/>
              <w:sym w:font="Wingdings" w:char="F0FC"/>
            </w:r>
          </w:p>
        </w:tc>
        <w:tc>
          <w:tcPr>
            <w:tcW w:w="2410" w:type="dxa"/>
            <w:tcBorders>
              <w:top w:val="single" w:sz="4" w:space="0" w:color="auto"/>
            </w:tcBorders>
          </w:tcPr>
          <w:p w14:paraId="313429DC" w14:textId="77777777" w:rsidR="0015534F" w:rsidRPr="003A005A" w:rsidRDefault="0015534F" w:rsidP="0015534F">
            <w:pPr>
              <w:pStyle w:val="Tabletext"/>
            </w:pPr>
            <w:r w:rsidRPr="003A005A">
              <w:sym w:font="Wingdings" w:char="F0FC"/>
            </w:r>
          </w:p>
        </w:tc>
      </w:tr>
    </w:tbl>
    <w:p w14:paraId="0130FDFC" w14:textId="77777777" w:rsidR="0015534F" w:rsidRPr="003A005A" w:rsidRDefault="00F4184D" w:rsidP="0015534F">
      <w:pPr>
        <w:pStyle w:val="ItemHead"/>
      </w:pPr>
      <w:r w:rsidRPr="003A005A">
        <w:t>12</w:t>
      </w:r>
      <w:r w:rsidR="0015534F" w:rsidRPr="003A005A">
        <w:t xml:space="preserve">  </w:t>
      </w:r>
      <w:r w:rsidR="00237A8E" w:rsidRPr="003A005A">
        <w:t>Clause 2</w:t>
      </w:r>
      <w:r w:rsidR="0015534F" w:rsidRPr="003A005A">
        <w:t xml:space="preserve"> of </w:t>
      </w:r>
      <w:r w:rsidR="00237A8E" w:rsidRPr="003A005A">
        <w:t>Schedule 4</w:t>
      </w:r>
      <w:r w:rsidR="0015534F" w:rsidRPr="003A005A">
        <w:t xml:space="preserve"> (</w:t>
      </w:r>
      <w:r w:rsidR="00237A8E" w:rsidRPr="003A005A">
        <w:t xml:space="preserve">before </w:t>
      </w:r>
      <w:r w:rsidR="0015534F" w:rsidRPr="003A005A">
        <w:t xml:space="preserve">table </w:t>
      </w:r>
      <w:r w:rsidR="00237A8E" w:rsidRPr="003A005A">
        <w:t>item 1</w:t>
      </w:r>
      <w:r w:rsidR="0015534F" w:rsidRPr="003A005A">
        <w:t>4.</w:t>
      </w:r>
      <w:r w:rsidR="00237A8E" w:rsidRPr="003A005A">
        <w:t>1</w:t>
      </w:r>
      <w:r w:rsidR="0015534F" w:rsidRPr="003A005A">
        <w:t>)</w:t>
      </w:r>
    </w:p>
    <w:p w14:paraId="4F8C5921" w14:textId="77777777" w:rsidR="0015534F" w:rsidRPr="003A005A" w:rsidRDefault="0015534F" w:rsidP="0015534F">
      <w:pPr>
        <w:pStyle w:val="Item"/>
      </w:pPr>
      <w:r w:rsidRPr="003A005A">
        <w:t>Insert:</w:t>
      </w:r>
    </w:p>
    <w:p w14:paraId="564423C0" w14:textId="77777777" w:rsidR="0015534F" w:rsidRPr="003A005A" w:rsidRDefault="0015534F"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8"/>
        <w:gridCol w:w="4605"/>
        <w:gridCol w:w="2552"/>
        <w:gridCol w:w="2410"/>
      </w:tblGrid>
      <w:tr w:rsidR="0015534F" w:rsidRPr="003A005A" w14:paraId="7691BFA8" w14:textId="77777777" w:rsidTr="001976E3">
        <w:tc>
          <w:tcPr>
            <w:tcW w:w="817" w:type="dxa"/>
          </w:tcPr>
          <w:p w14:paraId="0F1C5D1C" w14:textId="77777777" w:rsidR="0015534F" w:rsidRPr="003A005A" w:rsidRDefault="0015534F" w:rsidP="0015534F">
            <w:pPr>
              <w:pStyle w:val="Tabletext"/>
            </w:pPr>
            <w:r w:rsidRPr="003A005A">
              <w:t>14.</w:t>
            </w:r>
            <w:r w:rsidR="00237A8E" w:rsidRPr="003A005A">
              <w:t>1A</w:t>
            </w:r>
          </w:p>
        </w:tc>
        <w:tc>
          <w:tcPr>
            <w:tcW w:w="3758" w:type="dxa"/>
          </w:tcPr>
          <w:p w14:paraId="4E2CC547" w14:textId="77777777" w:rsidR="0015534F" w:rsidRPr="003A005A" w:rsidRDefault="00237A8E" w:rsidP="0015534F">
            <w:pPr>
              <w:pStyle w:val="Tabletext"/>
            </w:pPr>
            <w:r w:rsidRPr="003A005A">
              <w:t>Subsections 4</w:t>
            </w:r>
            <w:r w:rsidR="0015534F" w:rsidRPr="003A005A">
              <w:t>4(3) and 44(6) FLA</w:t>
            </w:r>
          </w:p>
        </w:tc>
        <w:tc>
          <w:tcPr>
            <w:tcW w:w="4605" w:type="dxa"/>
          </w:tcPr>
          <w:p w14:paraId="269900EC" w14:textId="77777777" w:rsidR="0015534F" w:rsidRPr="003A005A" w:rsidRDefault="0015534F" w:rsidP="0015534F">
            <w:pPr>
              <w:pStyle w:val="Tabletext"/>
            </w:pPr>
            <w:r w:rsidRPr="003A005A">
              <w:t xml:space="preserve">To grant leave to </w:t>
            </w:r>
            <w:r w:rsidR="008E52D5" w:rsidRPr="003A005A">
              <w:t xml:space="preserve">institute </w:t>
            </w:r>
            <w:r w:rsidRPr="003A005A">
              <w:t>proceedings out of time</w:t>
            </w:r>
          </w:p>
        </w:tc>
        <w:tc>
          <w:tcPr>
            <w:tcW w:w="2552" w:type="dxa"/>
          </w:tcPr>
          <w:p w14:paraId="56C52630" w14:textId="77777777" w:rsidR="0015534F" w:rsidRPr="003A005A" w:rsidRDefault="0015534F" w:rsidP="0015534F">
            <w:pPr>
              <w:pStyle w:val="Tabletext"/>
            </w:pPr>
            <w:r w:rsidRPr="003A005A">
              <w:sym w:font="Wingdings" w:char="F0FC"/>
            </w:r>
          </w:p>
        </w:tc>
        <w:tc>
          <w:tcPr>
            <w:tcW w:w="2410" w:type="dxa"/>
          </w:tcPr>
          <w:p w14:paraId="6456F213" w14:textId="77777777" w:rsidR="0015534F" w:rsidRPr="003A005A" w:rsidRDefault="0015534F" w:rsidP="0015534F">
            <w:pPr>
              <w:pStyle w:val="Tabletext"/>
            </w:pPr>
          </w:p>
        </w:tc>
      </w:tr>
    </w:tbl>
    <w:p w14:paraId="50727A6E" w14:textId="77777777" w:rsidR="00237A8E" w:rsidRPr="003A005A" w:rsidRDefault="00F4184D" w:rsidP="00237A8E">
      <w:pPr>
        <w:pStyle w:val="ItemHead"/>
      </w:pPr>
      <w:r w:rsidRPr="003A005A">
        <w:t>13</w:t>
      </w:r>
      <w:r w:rsidR="00237A8E" w:rsidRPr="003A005A">
        <w:t xml:space="preserve">  Clause 2 of Schedule 4 (after table item 18.2)</w:t>
      </w:r>
    </w:p>
    <w:p w14:paraId="52CFA51A" w14:textId="77777777" w:rsidR="00237A8E" w:rsidRPr="003A005A" w:rsidRDefault="00237A8E" w:rsidP="00237A8E">
      <w:pPr>
        <w:pStyle w:val="Item"/>
      </w:pPr>
      <w:r w:rsidRPr="003A005A">
        <w:t>Insert:</w:t>
      </w:r>
    </w:p>
    <w:p w14:paraId="02FDB9CE" w14:textId="77777777" w:rsidR="00237A8E" w:rsidRPr="003A005A" w:rsidRDefault="00237A8E"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3"/>
        <w:gridCol w:w="4610"/>
        <w:gridCol w:w="2552"/>
        <w:gridCol w:w="2410"/>
      </w:tblGrid>
      <w:tr w:rsidR="00237A8E" w:rsidRPr="003A005A" w14:paraId="5B93F12F" w14:textId="77777777" w:rsidTr="001976E3">
        <w:tc>
          <w:tcPr>
            <w:tcW w:w="817" w:type="dxa"/>
          </w:tcPr>
          <w:p w14:paraId="5ACDC1C4" w14:textId="77777777" w:rsidR="00237A8E" w:rsidRPr="003A005A" w:rsidRDefault="00237A8E" w:rsidP="00237A8E">
            <w:pPr>
              <w:pStyle w:val="Tabletext"/>
            </w:pPr>
            <w:r w:rsidRPr="003A005A">
              <w:t>18.2A</w:t>
            </w:r>
          </w:p>
        </w:tc>
        <w:tc>
          <w:tcPr>
            <w:tcW w:w="3753" w:type="dxa"/>
          </w:tcPr>
          <w:p w14:paraId="228F634F" w14:textId="77777777" w:rsidR="00237A8E" w:rsidRPr="003A005A" w:rsidRDefault="00237A8E" w:rsidP="00237A8E">
            <w:pPr>
              <w:pStyle w:val="Tabletext"/>
            </w:pPr>
            <w:proofErr w:type="spellStart"/>
            <w:r w:rsidRPr="003A005A">
              <w:t>Sub</w:t>
            </w:r>
            <w:r w:rsidR="00F4184D" w:rsidRPr="003A005A">
              <w:t>rule</w:t>
            </w:r>
            <w:proofErr w:type="spellEnd"/>
            <w:r w:rsidR="00F4184D" w:rsidRPr="003A005A">
              <w:t> 3</w:t>
            </w:r>
            <w:r w:rsidRPr="003A005A">
              <w:t xml:space="preserve">.03(4) </w:t>
            </w:r>
            <w:proofErr w:type="spellStart"/>
            <w:r w:rsidRPr="003A005A">
              <w:t>FCFCOA</w:t>
            </w:r>
            <w:proofErr w:type="spellEnd"/>
            <w:r w:rsidRPr="003A005A">
              <w:t xml:space="preserve"> Rules</w:t>
            </w:r>
          </w:p>
        </w:tc>
        <w:tc>
          <w:tcPr>
            <w:tcW w:w="4610" w:type="dxa"/>
          </w:tcPr>
          <w:p w14:paraId="71E195C7" w14:textId="77777777" w:rsidR="00237A8E" w:rsidRPr="003A005A" w:rsidRDefault="00237A8E" w:rsidP="00237A8E">
            <w:pPr>
              <w:pStyle w:val="Tabletext"/>
            </w:pPr>
            <w:r w:rsidRPr="003A005A">
              <w:t>To grant leave to a party to add a party to a proceeding after the first court date</w:t>
            </w:r>
          </w:p>
        </w:tc>
        <w:tc>
          <w:tcPr>
            <w:tcW w:w="2552" w:type="dxa"/>
          </w:tcPr>
          <w:p w14:paraId="763BE974" w14:textId="77777777" w:rsidR="00237A8E" w:rsidRPr="003A005A" w:rsidRDefault="00237A8E" w:rsidP="00237A8E">
            <w:pPr>
              <w:pStyle w:val="Tabletext"/>
            </w:pPr>
            <w:r w:rsidRPr="003A005A">
              <w:sym w:font="Wingdings" w:char="F0FC"/>
            </w:r>
          </w:p>
        </w:tc>
        <w:tc>
          <w:tcPr>
            <w:tcW w:w="2410" w:type="dxa"/>
          </w:tcPr>
          <w:p w14:paraId="7377F236" w14:textId="77777777" w:rsidR="00237A8E" w:rsidRPr="003A005A" w:rsidRDefault="00237A8E" w:rsidP="00237A8E">
            <w:pPr>
              <w:pStyle w:val="Tabletext"/>
            </w:pPr>
            <w:r w:rsidRPr="003A005A">
              <w:sym w:font="Wingdings" w:char="F0FC"/>
            </w:r>
          </w:p>
        </w:tc>
      </w:tr>
    </w:tbl>
    <w:p w14:paraId="559883BF" w14:textId="77777777" w:rsidR="00237A8E" w:rsidRPr="003A005A" w:rsidRDefault="00F4184D" w:rsidP="00237A8E">
      <w:pPr>
        <w:pStyle w:val="ItemHead"/>
      </w:pPr>
      <w:r w:rsidRPr="003A005A">
        <w:t>14</w:t>
      </w:r>
      <w:r w:rsidR="00237A8E" w:rsidRPr="003A005A">
        <w:t xml:space="preserve">  Clause 2 of Schedule 4 (table </w:t>
      </w:r>
      <w:r w:rsidRPr="003A005A">
        <w:t>item 2</w:t>
      </w:r>
      <w:r w:rsidR="00237A8E" w:rsidRPr="003A005A">
        <w:t>5.1)</w:t>
      </w:r>
    </w:p>
    <w:p w14:paraId="570310E6" w14:textId="77777777" w:rsidR="00237A8E" w:rsidRPr="003A005A" w:rsidRDefault="00237A8E" w:rsidP="00237A8E">
      <w:pPr>
        <w:pStyle w:val="Item"/>
      </w:pPr>
      <w:r w:rsidRPr="003A005A">
        <w:t>Repeal the item, substitute:</w:t>
      </w:r>
    </w:p>
    <w:p w14:paraId="2BAC3194" w14:textId="77777777" w:rsidR="00237A8E" w:rsidRPr="003A005A" w:rsidRDefault="00237A8E"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3"/>
        <w:gridCol w:w="4610"/>
        <w:gridCol w:w="2552"/>
        <w:gridCol w:w="2410"/>
      </w:tblGrid>
      <w:tr w:rsidR="001335D5" w:rsidRPr="003A005A" w14:paraId="79BF7C9E" w14:textId="77777777" w:rsidTr="001976E3">
        <w:tc>
          <w:tcPr>
            <w:tcW w:w="817" w:type="dxa"/>
          </w:tcPr>
          <w:p w14:paraId="07F6D56F" w14:textId="77777777" w:rsidR="001335D5" w:rsidRPr="003A005A" w:rsidRDefault="001335D5" w:rsidP="001335D5">
            <w:pPr>
              <w:pStyle w:val="Tabletext"/>
            </w:pPr>
            <w:r w:rsidRPr="003A005A">
              <w:t>25.1</w:t>
            </w:r>
          </w:p>
        </w:tc>
        <w:tc>
          <w:tcPr>
            <w:tcW w:w="3753" w:type="dxa"/>
          </w:tcPr>
          <w:p w14:paraId="2366AE8F" w14:textId="77777777" w:rsidR="001335D5" w:rsidRPr="003A005A" w:rsidRDefault="00E80E48" w:rsidP="001335D5">
            <w:pPr>
              <w:pStyle w:val="Tabletext"/>
            </w:pPr>
            <w:r w:rsidRPr="003A005A">
              <w:t>Part 6</w:t>
            </w:r>
            <w:r w:rsidR="001335D5" w:rsidRPr="003A005A">
              <w:t xml:space="preserve">.5 </w:t>
            </w:r>
            <w:proofErr w:type="spellStart"/>
            <w:r w:rsidR="001335D5" w:rsidRPr="003A005A">
              <w:t>FCFCOA</w:t>
            </w:r>
            <w:proofErr w:type="spellEnd"/>
            <w:r w:rsidR="001335D5" w:rsidRPr="003A005A">
              <w:t xml:space="preserve"> Rules</w:t>
            </w:r>
          </w:p>
        </w:tc>
        <w:tc>
          <w:tcPr>
            <w:tcW w:w="4610" w:type="dxa"/>
          </w:tcPr>
          <w:p w14:paraId="3543765F" w14:textId="77777777" w:rsidR="001335D5" w:rsidRPr="003A005A" w:rsidRDefault="001335D5" w:rsidP="001335D5">
            <w:pPr>
              <w:pStyle w:val="Tabletext"/>
            </w:pPr>
            <w:r w:rsidRPr="003A005A">
              <w:t>To issue a subpoena, order production and inspection of documents</w:t>
            </w:r>
            <w:r w:rsidR="00DF0404" w:rsidRPr="003A005A">
              <w:t>,</w:t>
            </w:r>
            <w:r w:rsidRPr="003A005A">
              <w:t xml:space="preserve"> and hear objections to a subpoena</w:t>
            </w:r>
          </w:p>
        </w:tc>
        <w:tc>
          <w:tcPr>
            <w:tcW w:w="2552" w:type="dxa"/>
          </w:tcPr>
          <w:p w14:paraId="7820ECDB" w14:textId="77777777" w:rsidR="001335D5" w:rsidRPr="003A005A" w:rsidRDefault="001335D5" w:rsidP="001335D5">
            <w:pPr>
              <w:pStyle w:val="Tabletext"/>
            </w:pPr>
            <w:r w:rsidRPr="003A005A">
              <w:sym w:font="Wingdings" w:char="F0FC"/>
            </w:r>
          </w:p>
        </w:tc>
        <w:tc>
          <w:tcPr>
            <w:tcW w:w="2410" w:type="dxa"/>
          </w:tcPr>
          <w:p w14:paraId="222B7F4D" w14:textId="77777777" w:rsidR="001335D5" w:rsidRPr="003A005A" w:rsidRDefault="001335D5" w:rsidP="001335D5">
            <w:pPr>
              <w:pStyle w:val="Tabletext"/>
            </w:pPr>
            <w:r w:rsidRPr="003A005A">
              <w:sym w:font="Wingdings" w:char="F0FC"/>
            </w:r>
          </w:p>
        </w:tc>
      </w:tr>
    </w:tbl>
    <w:p w14:paraId="421CBCD3" w14:textId="77777777" w:rsidR="001335D5" w:rsidRPr="003A005A" w:rsidRDefault="00F4184D" w:rsidP="001335D5">
      <w:pPr>
        <w:pStyle w:val="ItemHead"/>
      </w:pPr>
      <w:r w:rsidRPr="003A005A">
        <w:t>15</w:t>
      </w:r>
      <w:r w:rsidR="001335D5" w:rsidRPr="003A005A">
        <w:t xml:space="preserve">  Clause 2 of Schedule 4 (after table </w:t>
      </w:r>
      <w:r w:rsidRPr="003A005A">
        <w:t>item 2</w:t>
      </w:r>
      <w:r w:rsidR="001335D5" w:rsidRPr="003A005A">
        <w:t>7.9)</w:t>
      </w:r>
    </w:p>
    <w:p w14:paraId="6384B534" w14:textId="77777777" w:rsidR="001335D5" w:rsidRPr="003A005A" w:rsidRDefault="001335D5" w:rsidP="001335D5">
      <w:pPr>
        <w:pStyle w:val="Item"/>
      </w:pPr>
      <w:r w:rsidRPr="003A005A">
        <w:t>Insert:</w:t>
      </w:r>
    </w:p>
    <w:p w14:paraId="752881D3" w14:textId="77777777" w:rsidR="00237A8E" w:rsidRPr="003A005A" w:rsidRDefault="00237A8E"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9"/>
        <w:gridCol w:w="4604"/>
        <w:gridCol w:w="2552"/>
        <w:gridCol w:w="2410"/>
      </w:tblGrid>
      <w:tr w:rsidR="001335D5" w:rsidRPr="003A005A" w14:paraId="7A81CBD0" w14:textId="77777777" w:rsidTr="00DD1DB8">
        <w:tc>
          <w:tcPr>
            <w:tcW w:w="817" w:type="dxa"/>
            <w:tcBorders>
              <w:bottom w:val="single" w:sz="4" w:space="0" w:color="auto"/>
            </w:tcBorders>
          </w:tcPr>
          <w:p w14:paraId="2E09781C" w14:textId="77777777" w:rsidR="001335D5" w:rsidRPr="003A005A" w:rsidRDefault="001335D5" w:rsidP="001335D5">
            <w:pPr>
              <w:pStyle w:val="Tabletext"/>
            </w:pPr>
            <w:r w:rsidRPr="003A005A">
              <w:t>27.9A</w:t>
            </w:r>
          </w:p>
        </w:tc>
        <w:tc>
          <w:tcPr>
            <w:tcW w:w="3759" w:type="dxa"/>
            <w:tcBorders>
              <w:bottom w:val="single" w:sz="4" w:space="0" w:color="auto"/>
            </w:tcBorders>
          </w:tcPr>
          <w:p w14:paraId="3C5198C6" w14:textId="77777777" w:rsidR="001335D5" w:rsidRPr="003A005A" w:rsidRDefault="00E80E48" w:rsidP="001335D5">
            <w:pPr>
              <w:pStyle w:val="Tabletext"/>
            </w:pPr>
            <w:r w:rsidRPr="003A005A">
              <w:t>Subparagraph 1</w:t>
            </w:r>
            <w:r w:rsidR="001335D5" w:rsidRPr="003A005A">
              <w:t>02NA(1)(c)(iv) FLA</w:t>
            </w:r>
          </w:p>
        </w:tc>
        <w:tc>
          <w:tcPr>
            <w:tcW w:w="4604" w:type="dxa"/>
            <w:tcBorders>
              <w:bottom w:val="single" w:sz="4" w:space="0" w:color="auto"/>
            </w:tcBorders>
          </w:tcPr>
          <w:p w14:paraId="215EAC2A" w14:textId="77777777" w:rsidR="001335D5" w:rsidRPr="003A005A" w:rsidRDefault="001335D5" w:rsidP="001335D5">
            <w:pPr>
              <w:pStyle w:val="Tabletext"/>
            </w:pPr>
            <w:r w:rsidRPr="003A005A">
              <w:t>To make an order applying mandatory protections for parties in certain cases</w:t>
            </w:r>
          </w:p>
        </w:tc>
        <w:tc>
          <w:tcPr>
            <w:tcW w:w="2552" w:type="dxa"/>
            <w:tcBorders>
              <w:bottom w:val="single" w:sz="4" w:space="0" w:color="auto"/>
            </w:tcBorders>
          </w:tcPr>
          <w:p w14:paraId="47FF7EA1" w14:textId="77777777" w:rsidR="001335D5" w:rsidRPr="003A005A" w:rsidRDefault="001335D5" w:rsidP="001335D5">
            <w:pPr>
              <w:pStyle w:val="Tabletext"/>
            </w:pPr>
            <w:r w:rsidRPr="003A005A">
              <w:sym w:font="Wingdings" w:char="F0FC"/>
            </w:r>
          </w:p>
          <w:p w14:paraId="2FA9C93F" w14:textId="77777777" w:rsidR="001335D5" w:rsidRPr="003A005A" w:rsidRDefault="001335D5" w:rsidP="001335D5">
            <w:pPr>
              <w:pStyle w:val="Tabletext"/>
            </w:pPr>
            <w:r w:rsidRPr="003A005A">
              <w:t>but only if a Senior Judicial Registrar is approved by the Chief Justice or CEO (subject to any directions of the Chief Justice) to exercise the power</w:t>
            </w:r>
          </w:p>
        </w:tc>
        <w:tc>
          <w:tcPr>
            <w:tcW w:w="2410" w:type="dxa"/>
            <w:tcBorders>
              <w:bottom w:val="single" w:sz="4" w:space="0" w:color="auto"/>
            </w:tcBorders>
          </w:tcPr>
          <w:p w14:paraId="1F9A38CD" w14:textId="77777777" w:rsidR="001335D5" w:rsidRPr="003A005A" w:rsidRDefault="001335D5" w:rsidP="001335D5">
            <w:pPr>
              <w:pStyle w:val="Tabletext"/>
            </w:pPr>
          </w:p>
        </w:tc>
      </w:tr>
      <w:tr w:rsidR="001335D5" w:rsidRPr="003A005A" w14:paraId="6EFA0D93" w14:textId="77777777" w:rsidTr="00DD1DB8">
        <w:tc>
          <w:tcPr>
            <w:tcW w:w="817" w:type="dxa"/>
            <w:tcBorders>
              <w:top w:val="single" w:sz="4" w:space="0" w:color="auto"/>
            </w:tcBorders>
          </w:tcPr>
          <w:p w14:paraId="6074E55E" w14:textId="77777777" w:rsidR="001335D5" w:rsidRPr="003A005A" w:rsidRDefault="001335D5" w:rsidP="001335D5">
            <w:pPr>
              <w:pStyle w:val="Tabletext"/>
            </w:pPr>
            <w:r w:rsidRPr="003A005A">
              <w:t>27.9B</w:t>
            </w:r>
          </w:p>
        </w:tc>
        <w:tc>
          <w:tcPr>
            <w:tcW w:w="3759" w:type="dxa"/>
            <w:tcBorders>
              <w:top w:val="single" w:sz="4" w:space="0" w:color="auto"/>
            </w:tcBorders>
          </w:tcPr>
          <w:p w14:paraId="7F903C42" w14:textId="77777777" w:rsidR="001335D5" w:rsidRPr="003A005A" w:rsidRDefault="00E80E48" w:rsidP="001335D5">
            <w:pPr>
              <w:pStyle w:val="Tabletext"/>
            </w:pPr>
            <w:r w:rsidRPr="003A005A">
              <w:t>Section 1</w:t>
            </w:r>
            <w:r w:rsidR="001335D5" w:rsidRPr="003A005A">
              <w:t xml:space="preserve">28 </w:t>
            </w:r>
            <w:r w:rsidR="001335D5" w:rsidRPr="003A005A">
              <w:rPr>
                <w:i/>
              </w:rPr>
              <w:t>Evidence Act 1995</w:t>
            </w:r>
          </w:p>
        </w:tc>
        <w:tc>
          <w:tcPr>
            <w:tcW w:w="4604" w:type="dxa"/>
            <w:tcBorders>
              <w:top w:val="single" w:sz="4" w:space="0" w:color="auto"/>
            </w:tcBorders>
          </w:tcPr>
          <w:p w14:paraId="5B64AC82" w14:textId="77777777" w:rsidR="001335D5" w:rsidRPr="003A005A" w:rsidRDefault="001335D5" w:rsidP="001335D5">
            <w:pPr>
              <w:pStyle w:val="Tabletext"/>
            </w:pPr>
            <w:r w:rsidRPr="003A005A">
              <w:t xml:space="preserve">To give a witness a certificate in relation to certain </w:t>
            </w:r>
            <w:r w:rsidRPr="003A005A">
              <w:lastRenderedPageBreak/>
              <w:t>evidence</w:t>
            </w:r>
          </w:p>
        </w:tc>
        <w:tc>
          <w:tcPr>
            <w:tcW w:w="2552" w:type="dxa"/>
            <w:tcBorders>
              <w:top w:val="single" w:sz="4" w:space="0" w:color="auto"/>
            </w:tcBorders>
          </w:tcPr>
          <w:p w14:paraId="403ACCDF" w14:textId="77777777" w:rsidR="001335D5" w:rsidRPr="003A005A" w:rsidRDefault="001335D5" w:rsidP="001335D5">
            <w:pPr>
              <w:pStyle w:val="Tabletext"/>
            </w:pPr>
            <w:r w:rsidRPr="003A005A">
              <w:lastRenderedPageBreak/>
              <w:sym w:font="Wingdings" w:char="F0FC"/>
            </w:r>
          </w:p>
          <w:p w14:paraId="2AD25217" w14:textId="77777777" w:rsidR="001335D5" w:rsidRPr="003A005A" w:rsidRDefault="001335D5" w:rsidP="001335D5">
            <w:pPr>
              <w:pStyle w:val="Tabletext"/>
            </w:pPr>
            <w:r w:rsidRPr="003A005A">
              <w:lastRenderedPageBreak/>
              <w:t>but only in relation to a proceeding to be heard and determined by a Senior Judicial Registrar</w:t>
            </w:r>
          </w:p>
        </w:tc>
        <w:tc>
          <w:tcPr>
            <w:tcW w:w="2410" w:type="dxa"/>
            <w:tcBorders>
              <w:top w:val="single" w:sz="4" w:space="0" w:color="auto"/>
            </w:tcBorders>
          </w:tcPr>
          <w:p w14:paraId="61A41658" w14:textId="77777777" w:rsidR="001335D5" w:rsidRPr="003A005A" w:rsidRDefault="001335D5" w:rsidP="001335D5">
            <w:pPr>
              <w:pStyle w:val="Tabletext"/>
            </w:pPr>
          </w:p>
        </w:tc>
      </w:tr>
    </w:tbl>
    <w:p w14:paraId="09E7B7EB" w14:textId="77777777" w:rsidR="009D14A0" w:rsidRPr="003A005A" w:rsidRDefault="00F4184D" w:rsidP="009D14A0">
      <w:pPr>
        <w:pStyle w:val="ItemHead"/>
      </w:pPr>
      <w:r w:rsidRPr="003A005A">
        <w:t>16</w:t>
      </w:r>
      <w:r w:rsidR="009D14A0" w:rsidRPr="003A005A">
        <w:t xml:space="preserve">  Clause 2 of Schedule 4 (table items 31.1 and 31.2)</w:t>
      </w:r>
    </w:p>
    <w:p w14:paraId="19875B0F" w14:textId="77777777" w:rsidR="009D14A0" w:rsidRPr="003A005A" w:rsidRDefault="009D14A0" w:rsidP="009D14A0">
      <w:pPr>
        <w:pStyle w:val="Item"/>
      </w:pPr>
      <w:r w:rsidRPr="003A005A">
        <w:t>Repeal the items, substitute:</w:t>
      </w:r>
    </w:p>
    <w:p w14:paraId="78BD1A20" w14:textId="77777777" w:rsidR="001335D5" w:rsidRPr="003A005A" w:rsidRDefault="001335D5"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44"/>
        <w:gridCol w:w="4619"/>
        <w:gridCol w:w="2552"/>
        <w:gridCol w:w="2410"/>
      </w:tblGrid>
      <w:tr w:rsidR="00505FE8" w:rsidRPr="003A005A" w14:paraId="3D18F743" w14:textId="77777777" w:rsidTr="00DD1DB8">
        <w:tc>
          <w:tcPr>
            <w:tcW w:w="817" w:type="dxa"/>
            <w:tcBorders>
              <w:bottom w:val="single" w:sz="4" w:space="0" w:color="auto"/>
            </w:tcBorders>
          </w:tcPr>
          <w:p w14:paraId="09A02900" w14:textId="77777777" w:rsidR="00505FE8" w:rsidRPr="003A005A" w:rsidRDefault="00505FE8" w:rsidP="00E80E48">
            <w:pPr>
              <w:pStyle w:val="Tabletext"/>
            </w:pPr>
            <w:r w:rsidRPr="003A005A">
              <w:t>31.1</w:t>
            </w:r>
          </w:p>
        </w:tc>
        <w:tc>
          <w:tcPr>
            <w:tcW w:w="3744" w:type="dxa"/>
            <w:tcBorders>
              <w:bottom w:val="single" w:sz="4" w:space="0" w:color="auto"/>
            </w:tcBorders>
          </w:tcPr>
          <w:p w14:paraId="6051A3B7" w14:textId="77777777" w:rsidR="00505FE8" w:rsidRPr="003A005A" w:rsidRDefault="00E80E48" w:rsidP="00E80E48">
            <w:pPr>
              <w:pStyle w:val="Tabletext"/>
            </w:pPr>
            <w:r w:rsidRPr="003A005A">
              <w:t>Section 4</w:t>
            </w:r>
            <w:r w:rsidR="00505FE8" w:rsidRPr="003A005A">
              <w:t>5A FLA</w:t>
            </w:r>
          </w:p>
        </w:tc>
        <w:tc>
          <w:tcPr>
            <w:tcW w:w="4619" w:type="dxa"/>
            <w:tcBorders>
              <w:bottom w:val="single" w:sz="4" w:space="0" w:color="auto"/>
            </w:tcBorders>
          </w:tcPr>
          <w:p w14:paraId="37027E98" w14:textId="77777777" w:rsidR="00505FE8" w:rsidRPr="003A005A" w:rsidRDefault="00505FE8" w:rsidP="00E80E48">
            <w:pPr>
              <w:pStyle w:val="Tabletext"/>
            </w:pPr>
            <w:r w:rsidRPr="003A005A">
              <w:t>To summarily dismiss an application with no reasonable prospects of success</w:t>
            </w:r>
          </w:p>
        </w:tc>
        <w:tc>
          <w:tcPr>
            <w:tcW w:w="2552" w:type="dxa"/>
            <w:tcBorders>
              <w:bottom w:val="single" w:sz="4" w:space="0" w:color="auto"/>
            </w:tcBorders>
          </w:tcPr>
          <w:p w14:paraId="75BF6242" w14:textId="77777777" w:rsidR="00505FE8" w:rsidRPr="003A005A" w:rsidRDefault="00505FE8" w:rsidP="00E80E48">
            <w:pPr>
              <w:pStyle w:val="Tabletext"/>
            </w:pPr>
            <w:r w:rsidRPr="003A005A">
              <w:sym w:font="Wingdings" w:char="F0FC"/>
            </w:r>
          </w:p>
        </w:tc>
        <w:tc>
          <w:tcPr>
            <w:tcW w:w="2410" w:type="dxa"/>
            <w:tcBorders>
              <w:bottom w:val="single" w:sz="4" w:space="0" w:color="auto"/>
            </w:tcBorders>
          </w:tcPr>
          <w:p w14:paraId="4A298466" w14:textId="77777777" w:rsidR="00505FE8" w:rsidRPr="003A005A" w:rsidRDefault="00505FE8" w:rsidP="00E80E48">
            <w:pPr>
              <w:pStyle w:val="Tabletext"/>
            </w:pPr>
            <w:r w:rsidRPr="003A005A">
              <w:sym w:font="Wingdings" w:char="F0FC"/>
            </w:r>
          </w:p>
          <w:p w14:paraId="35C911CD" w14:textId="77777777" w:rsidR="00505FE8" w:rsidRPr="003A005A" w:rsidRDefault="00426C4C" w:rsidP="00E80E48">
            <w:pPr>
              <w:pStyle w:val="Tabletext"/>
            </w:pPr>
            <w:r w:rsidRPr="003A005A">
              <w:t>b</w:t>
            </w:r>
            <w:r w:rsidR="00505FE8" w:rsidRPr="003A005A">
              <w:t>ut only if:</w:t>
            </w:r>
          </w:p>
          <w:p w14:paraId="7DBCA9A7" w14:textId="77777777" w:rsidR="00505FE8" w:rsidRPr="003A005A" w:rsidRDefault="00505FE8" w:rsidP="00505FE8">
            <w:pPr>
              <w:pStyle w:val="Tablea"/>
            </w:pPr>
            <w:r w:rsidRPr="003A005A">
              <w:t>(a) the order is made:</w:t>
            </w:r>
          </w:p>
          <w:p w14:paraId="49C5771C" w14:textId="77777777" w:rsidR="00505FE8" w:rsidRPr="003A005A" w:rsidRDefault="00505FE8" w:rsidP="00505FE8">
            <w:pPr>
              <w:pStyle w:val="Tablei"/>
            </w:pPr>
            <w:r w:rsidRPr="003A005A">
              <w:t>(</w:t>
            </w:r>
            <w:proofErr w:type="spellStart"/>
            <w:r w:rsidRPr="003A005A">
              <w:t>i</w:t>
            </w:r>
            <w:proofErr w:type="spellEnd"/>
            <w:r w:rsidRPr="003A005A">
              <w:t>) in undefended proceedings; or</w:t>
            </w:r>
          </w:p>
          <w:p w14:paraId="3777485C" w14:textId="77777777" w:rsidR="00505FE8" w:rsidRPr="003A005A" w:rsidRDefault="00505FE8" w:rsidP="00505FE8">
            <w:pPr>
              <w:pStyle w:val="Tablei"/>
            </w:pPr>
            <w:r w:rsidRPr="003A005A">
              <w:t>(ii) with the consent of all the parties to the proceedings; and</w:t>
            </w:r>
          </w:p>
          <w:p w14:paraId="761FCD6E" w14:textId="77777777" w:rsidR="00505FE8" w:rsidRPr="003A005A" w:rsidRDefault="00505FE8" w:rsidP="00505FE8">
            <w:pPr>
              <w:pStyle w:val="Tablea"/>
            </w:pPr>
            <w:r w:rsidRPr="003A005A">
              <w:t>(b) a Judicial Registrar is approved by the Chief Justice or CEO (subject to any directions of the Chief Justice) to exercise the power</w:t>
            </w:r>
          </w:p>
        </w:tc>
      </w:tr>
      <w:tr w:rsidR="009D14A0" w:rsidRPr="003A005A" w14:paraId="432C5418" w14:textId="77777777" w:rsidTr="00DD1DB8">
        <w:tc>
          <w:tcPr>
            <w:tcW w:w="817" w:type="dxa"/>
            <w:tcBorders>
              <w:top w:val="single" w:sz="4" w:space="0" w:color="auto"/>
              <w:bottom w:val="single" w:sz="4" w:space="0" w:color="auto"/>
            </w:tcBorders>
          </w:tcPr>
          <w:p w14:paraId="01D29A63" w14:textId="77777777" w:rsidR="009D14A0" w:rsidRPr="003A005A" w:rsidRDefault="009D14A0" w:rsidP="009D14A0">
            <w:pPr>
              <w:pStyle w:val="Tabletext"/>
            </w:pPr>
            <w:r w:rsidRPr="003A005A">
              <w:t>31.</w:t>
            </w:r>
            <w:r w:rsidR="00505FE8" w:rsidRPr="003A005A">
              <w:t>2</w:t>
            </w:r>
          </w:p>
        </w:tc>
        <w:tc>
          <w:tcPr>
            <w:tcW w:w="3744" w:type="dxa"/>
            <w:tcBorders>
              <w:top w:val="single" w:sz="4" w:space="0" w:color="auto"/>
              <w:bottom w:val="single" w:sz="4" w:space="0" w:color="auto"/>
            </w:tcBorders>
          </w:tcPr>
          <w:p w14:paraId="077981AA" w14:textId="77777777" w:rsidR="009D14A0" w:rsidRPr="003A005A" w:rsidRDefault="009D14A0" w:rsidP="009D14A0">
            <w:pPr>
              <w:pStyle w:val="Tabletext"/>
            </w:pPr>
            <w:r w:rsidRPr="003A005A">
              <w:t xml:space="preserve">Paragraphs 10.09(1)(c) and (d) </w:t>
            </w:r>
            <w:proofErr w:type="spellStart"/>
            <w:r w:rsidRPr="003A005A">
              <w:t>FCFCOA</w:t>
            </w:r>
            <w:proofErr w:type="spellEnd"/>
            <w:r w:rsidRPr="003A005A">
              <w:t xml:space="preserve"> Rules</w:t>
            </w:r>
          </w:p>
        </w:tc>
        <w:tc>
          <w:tcPr>
            <w:tcW w:w="4619" w:type="dxa"/>
            <w:tcBorders>
              <w:top w:val="single" w:sz="4" w:space="0" w:color="auto"/>
              <w:bottom w:val="single" w:sz="4" w:space="0" w:color="auto"/>
            </w:tcBorders>
          </w:tcPr>
          <w:p w14:paraId="5B7004FD" w14:textId="77777777" w:rsidR="009D14A0" w:rsidRPr="003A005A" w:rsidRDefault="009D14A0" w:rsidP="009D14A0">
            <w:pPr>
              <w:pStyle w:val="Tabletext"/>
            </w:pPr>
            <w:r w:rsidRPr="003A005A">
              <w:t>To make summary orders if a party claims that:</w:t>
            </w:r>
          </w:p>
          <w:p w14:paraId="737C5183" w14:textId="77777777" w:rsidR="009D14A0" w:rsidRPr="003A005A" w:rsidRDefault="009D14A0" w:rsidP="009D14A0">
            <w:pPr>
              <w:pStyle w:val="Tablea"/>
            </w:pPr>
            <w:r w:rsidRPr="003A005A">
              <w:t xml:space="preserve">(a) an application or response </w:t>
            </w:r>
            <w:r w:rsidR="00DF0404" w:rsidRPr="003A005A">
              <w:t>i</w:t>
            </w:r>
            <w:r w:rsidRPr="003A005A">
              <w:t>s frivolous, vexatious or an abuse of process; or</w:t>
            </w:r>
          </w:p>
          <w:p w14:paraId="035009ED" w14:textId="77777777" w:rsidR="009D14A0" w:rsidRPr="003A005A" w:rsidRDefault="009D14A0" w:rsidP="009D14A0">
            <w:pPr>
              <w:pStyle w:val="Tablea"/>
            </w:pPr>
            <w:r w:rsidRPr="003A005A">
              <w:t>(b) there is no reasonable likelihood of success</w:t>
            </w:r>
          </w:p>
        </w:tc>
        <w:tc>
          <w:tcPr>
            <w:tcW w:w="2552" w:type="dxa"/>
            <w:tcBorders>
              <w:top w:val="single" w:sz="4" w:space="0" w:color="auto"/>
              <w:bottom w:val="single" w:sz="4" w:space="0" w:color="auto"/>
            </w:tcBorders>
          </w:tcPr>
          <w:p w14:paraId="30997BFA" w14:textId="77777777" w:rsidR="009D14A0" w:rsidRPr="003A005A" w:rsidRDefault="009D14A0" w:rsidP="009D14A0">
            <w:pPr>
              <w:pStyle w:val="Tabletext"/>
            </w:pPr>
            <w:r w:rsidRPr="003A005A">
              <w:sym w:font="Wingdings" w:char="F0FC"/>
            </w:r>
          </w:p>
        </w:tc>
        <w:tc>
          <w:tcPr>
            <w:tcW w:w="2410" w:type="dxa"/>
            <w:tcBorders>
              <w:top w:val="single" w:sz="4" w:space="0" w:color="auto"/>
              <w:bottom w:val="single" w:sz="4" w:space="0" w:color="auto"/>
            </w:tcBorders>
          </w:tcPr>
          <w:p w14:paraId="0B35E61D" w14:textId="77777777" w:rsidR="009D14A0" w:rsidRPr="003A005A" w:rsidRDefault="009D14A0" w:rsidP="009D14A0">
            <w:pPr>
              <w:pStyle w:val="Tabletext"/>
            </w:pPr>
            <w:r w:rsidRPr="003A005A">
              <w:sym w:font="Wingdings" w:char="F0FC"/>
            </w:r>
          </w:p>
          <w:p w14:paraId="2DC9AB2C" w14:textId="77777777" w:rsidR="009D14A0" w:rsidRPr="003A005A" w:rsidRDefault="00505FE8" w:rsidP="009D14A0">
            <w:pPr>
              <w:pStyle w:val="Tabletext"/>
            </w:pPr>
            <w:r w:rsidRPr="003A005A">
              <w:t>b</w:t>
            </w:r>
            <w:r w:rsidR="009D14A0" w:rsidRPr="003A005A">
              <w:t>ut only if:</w:t>
            </w:r>
          </w:p>
          <w:p w14:paraId="2CB87926" w14:textId="77777777" w:rsidR="009D14A0" w:rsidRPr="003A005A" w:rsidRDefault="00505FE8" w:rsidP="00505FE8">
            <w:pPr>
              <w:pStyle w:val="Tablea"/>
            </w:pPr>
            <w:r w:rsidRPr="003A005A">
              <w:t xml:space="preserve">(a) </w:t>
            </w:r>
            <w:r w:rsidR="009D14A0" w:rsidRPr="003A005A">
              <w:t>the order is made in undefended proceedings; or</w:t>
            </w:r>
          </w:p>
          <w:p w14:paraId="3C0C6931" w14:textId="77777777" w:rsidR="009D14A0" w:rsidRPr="003A005A" w:rsidRDefault="00505FE8" w:rsidP="00505FE8">
            <w:pPr>
              <w:pStyle w:val="Tablea"/>
            </w:pPr>
            <w:r w:rsidRPr="003A005A">
              <w:t xml:space="preserve">(b) </w:t>
            </w:r>
            <w:r w:rsidR="009D14A0" w:rsidRPr="003A005A">
              <w:t>the order is made with the consent of all the parties to the proceedings</w:t>
            </w:r>
          </w:p>
        </w:tc>
      </w:tr>
      <w:tr w:rsidR="009D14A0" w:rsidRPr="003A005A" w14:paraId="0E23EF2E" w14:textId="77777777" w:rsidTr="00DD1DB8">
        <w:tc>
          <w:tcPr>
            <w:tcW w:w="817" w:type="dxa"/>
            <w:tcBorders>
              <w:top w:val="single" w:sz="4" w:space="0" w:color="auto"/>
            </w:tcBorders>
          </w:tcPr>
          <w:p w14:paraId="16A2E7A6" w14:textId="77777777" w:rsidR="009D14A0" w:rsidRPr="003A005A" w:rsidRDefault="009D14A0" w:rsidP="009D14A0">
            <w:pPr>
              <w:pStyle w:val="Tabletext"/>
            </w:pPr>
            <w:r w:rsidRPr="003A005A">
              <w:t>31.</w:t>
            </w:r>
            <w:r w:rsidR="00505FE8" w:rsidRPr="003A005A">
              <w:t>3</w:t>
            </w:r>
          </w:p>
        </w:tc>
        <w:tc>
          <w:tcPr>
            <w:tcW w:w="3744" w:type="dxa"/>
            <w:tcBorders>
              <w:top w:val="single" w:sz="4" w:space="0" w:color="auto"/>
            </w:tcBorders>
          </w:tcPr>
          <w:p w14:paraId="029D975C" w14:textId="77777777" w:rsidR="009D14A0" w:rsidRPr="003A005A" w:rsidRDefault="009D14A0" w:rsidP="009D14A0">
            <w:pPr>
              <w:pStyle w:val="Tabletext"/>
            </w:pPr>
            <w:r w:rsidRPr="003A005A">
              <w:t>Paragraphs 10.11(1)(a),</w:t>
            </w:r>
            <w:r w:rsidR="00DF0404" w:rsidRPr="003A005A">
              <w:t xml:space="preserve"> </w:t>
            </w:r>
            <w:r w:rsidRPr="003A005A">
              <w:t xml:space="preserve">(d) and (e) and </w:t>
            </w:r>
            <w:proofErr w:type="spellStart"/>
            <w:r w:rsidRPr="003A005A">
              <w:lastRenderedPageBreak/>
              <w:t>sub</w:t>
            </w:r>
            <w:r w:rsidR="00F4184D" w:rsidRPr="003A005A">
              <w:t>rule</w:t>
            </w:r>
            <w:proofErr w:type="spellEnd"/>
            <w:r w:rsidR="00F4184D" w:rsidRPr="003A005A">
              <w:t> 1</w:t>
            </w:r>
            <w:r w:rsidRPr="003A005A">
              <w:t xml:space="preserve">0.11(2) </w:t>
            </w:r>
            <w:proofErr w:type="spellStart"/>
            <w:r w:rsidRPr="003A005A">
              <w:t>FCFCOA</w:t>
            </w:r>
            <w:proofErr w:type="spellEnd"/>
            <w:r w:rsidRPr="003A005A">
              <w:t xml:space="preserve"> Rules</w:t>
            </w:r>
          </w:p>
        </w:tc>
        <w:tc>
          <w:tcPr>
            <w:tcW w:w="4619" w:type="dxa"/>
            <w:tcBorders>
              <w:top w:val="single" w:sz="4" w:space="0" w:color="auto"/>
            </w:tcBorders>
          </w:tcPr>
          <w:p w14:paraId="72C465E8" w14:textId="77777777" w:rsidR="009D14A0" w:rsidRPr="003A005A" w:rsidRDefault="009D14A0" w:rsidP="009D14A0">
            <w:pPr>
              <w:pStyle w:val="Tabletext"/>
            </w:pPr>
            <w:r w:rsidRPr="003A005A">
              <w:lastRenderedPageBreak/>
              <w:t>The following powers:</w:t>
            </w:r>
          </w:p>
          <w:p w14:paraId="73866C0B" w14:textId="77777777" w:rsidR="009D14A0" w:rsidRPr="003A005A" w:rsidRDefault="009D14A0" w:rsidP="00505FE8">
            <w:pPr>
              <w:pStyle w:val="Tablea"/>
            </w:pPr>
            <w:r w:rsidRPr="003A005A">
              <w:lastRenderedPageBreak/>
              <w:t>(a) to dismiss any part of a proceeding;</w:t>
            </w:r>
          </w:p>
          <w:p w14:paraId="06EBCF05" w14:textId="77777777" w:rsidR="009D14A0" w:rsidRPr="003A005A" w:rsidRDefault="009D14A0" w:rsidP="00505FE8">
            <w:pPr>
              <w:pStyle w:val="Tablea"/>
            </w:pPr>
            <w:r w:rsidRPr="003A005A">
              <w:t>(b) to order a hearing about an issue or fact;</w:t>
            </w:r>
          </w:p>
          <w:p w14:paraId="1F71B162" w14:textId="77777777" w:rsidR="009D14A0" w:rsidRPr="003A005A" w:rsidRDefault="009D14A0" w:rsidP="00505FE8">
            <w:pPr>
              <w:pStyle w:val="Tablea"/>
            </w:pPr>
            <w:r w:rsidRPr="003A005A">
              <w:t>(c) with the consent of the parties, to order arbitration about a proceeding or part of a proceeding;</w:t>
            </w:r>
          </w:p>
          <w:p w14:paraId="67AEC9C7" w14:textId="77777777" w:rsidR="009D14A0" w:rsidRPr="003A005A" w:rsidRDefault="009D14A0" w:rsidP="00505FE8">
            <w:pPr>
              <w:pStyle w:val="Tablea"/>
            </w:pPr>
            <w:r w:rsidRPr="003A005A">
              <w:t>(d) to stay execution pending determination of claim</w:t>
            </w:r>
          </w:p>
        </w:tc>
        <w:tc>
          <w:tcPr>
            <w:tcW w:w="2552" w:type="dxa"/>
            <w:tcBorders>
              <w:top w:val="single" w:sz="4" w:space="0" w:color="auto"/>
            </w:tcBorders>
          </w:tcPr>
          <w:p w14:paraId="377FB494" w14:textId="77777777" w:rsidR="009D14A0" w:rsidRPr="003A005A" w:rsidRDefault="009D14A0" w:rsidP="009D14A0">
            <w:pPr>
              <w:pStyle w:val="Tabletext"/>
            </w:pPr>
            <w:r w:rsidRPr="003A005A">
              <w:lastRenderedPageBreak/>
              <w:sym w:font="Wingdings" w:char="F0FC"/>
            </w:r>
          </w:p>
        </w:tc>
        <w:tc>
          <w:tcPr>
            <w:tcW w:w="2410" w:type="dxa"/>
            <w:tcBorders>
              <w:top w:val="single" w:sz="4" w:space="0" w:color="auto"/>
            </w:tcBorders>
          </w:tcPr>
          <w:p w14:paraId="393F7113" w14:textId="77777777" w:rsidR="009D14A0" w:rsidRPr="003A005A" w:rsidRDefault="009D14A0" w:rsidP="009D14A0">
            <w:pPr>
              <w:pStyle w:val="Tabletext"/>
            </w:pPr>
            <w:r w:rsidRPr="003A005A">
              <w:sym w:font="Wingdings" w:char="F0FC"/>
            </w:r>
          </w:p>
          <w:p w14:paraId="51E1C18A" w14:textId="77777777" w:rsidR="009D14A0" w:rsidRPr="003A005A" w:rsidRDefault="00505FE8" w:rsidP="009D14A0">
            <w:pPr>
              <w:pStyle w:val="Tabletext"/>
            </w:pPr>
            <w:r w:rsidRPr="003A005A">
              <w:lastRenderedPageBreak/>
              <w:t>b</w:t>
            </w:r>
            <w:r w:rsidR="009D14A0" w:rsidRPr="003A005A">
              <w:t>ut only if:</w:t>
            </w:r>
          </w:p>
          <w:p w14:paraId="5CCAAA97" w14:textId="77777777" w:rsidR="009D14A0" w:rsidRPr="003A005A" w:rsidRDefault="00505FE8" w:rsidP="00505FE8">
            <w:pPr>
              <w:pStyle w:val="Tablea"/>
            </w:pPr>
            <w:r w:rsidRPr="003A005A">
              <w:t xml:space="preserve">(a) </w:t>
            </w:r>
            <w:r w:rsidR="009D14A0" w:rsidRPr="003A005A">
              <w:t>the order is made in undefended proceedings; or</w:t>
            </w:r>
          </w:p>
          <w:p w14:paraId="65FF4C6D" w14:textId="77777777" w:rsidR="009D14A0" w:rsidRPr="003A005A" w:rsidRDefault="00505FE8" w:rsidP="00505FE8">
            <w:pPr>
              <w:pStyle w:val="Tablea"/>
            </w:pPr>
            <w:r w:rsidRPr="003A005A">
              <w:t xml:space="preserve">(b) </w:t>
            </w:r>
            <w:r w:rsidR="009D14A0" w:rsidRPr="003A005A">
              <w:t>the order is made with the consent of all the parties to the proceedings</w:t>
            </w:r>
          </w:p>
        </w:tc>
      </w:tr>
    </w:tbl>
    <w:p w14:paraId="139B7BAD" w14:textId="77777777" w:rsidR="00505FE8" w:rsidRPr="003A005A" w:rsidRDefault="00F4184D" w:rsidP="00505FE8">
      <w:pPr>
        <w:pStyle w:val="ItemHead"/>
      </w:pPr>
      <w:r w:rsidRPr="003A005A">
        <w:lastRenderedPageBreak/>
        <w:t>17</w:t>
      </w:r>
      <w:r w:rsidR="00505FE8" w:rsidRPr="003A005A">
        <w:t xml:space="preserve">  Clause 2 of Schedule 4 (table item 32.2)</w:t>
      </w:r>
    </w:p>
    <w:p w14:paraId="4EE445A8" w14:textId="77777777" w:rsidR="00505FE8" w:rsidRPr="003A005A" w:rsidRDefault="00505FE8" w:rsidP="00505FE8">
      <w:pPr>
        <w:pStyle w:val="Item"/>
      </w:pPr>
      <w:r w:rsidRPr="003A005A">
        <w:t>Repeal the item, substitute:</w:t>
      </w:r>
    </w:p>
    <w:p w14:paraId="26512582" w14:textId="77777777" w:rsidR="009D14A0" w:rsidRPr="003A005A" w:rsidRDefault="009D14A0"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44"/>
        <w:gridCol w:w="4619"/>
        <w:gridCol w:w="2552"/>
        <w:gridCol w:w="2410"/>
      </w:tblGrid>
      <w:tr w:rsidR="009D14A0" w:rsidRPr="003A005A" w14:paraId="750E3352" w14:textId="77777777" w:rsidTr="00DD1DB8">
        <w:tc>
          <w:tcPr>
            <w:tcW w:w="817" w:type="dxa"/>
          </w:tcPr>
          <w:p w14:paraId="1218C026" w14:textId="77777777" w:rsidR="009D14A0" w:rsidRPr="003A005A" w:rsidRDefault="009D14A0" w:rsidP="00505FE8">
            <w:pPr>
              <w:pStyle w:val="Tabletext"/>
            </w:pPr>
            <w:r w:rsidRPr="003A005A">
              <w:t>32.2</w:t>
            </w:r>
          </w:p>
        </w:tc>
        <w:tc>
          <w:tcPr>
            <w:tcW w:w="3744" w:type="dxa"/>
          </w:tcPr>
          <w:p w14:paraId="5A903610" w14:textId="77777777" w:rsidR="009D14A0" w:rsidRPr="003A005A" w:rsidRDefault="009D14A0" w:rsidP="00505FE8">
            <w:pPr>
              <w:pStyle w:val="Tabletext"/>
            </w:pPr>
            <w:r w:rsidRPr="003A005A">
              <w:t xml:space="preserve">Paragraphs 10.13(1)(e), (g) and (h) </w:t>
            </w:r>
            <w:proofErr w:type="spellStart"/>
            <w:r w:rsidRPr="003A005A">
              <w:t>FCFCOA</w:t>
            </w:r>
            <w:proofErr w:type="spellEnd"/>
            <w:r w:rsidRPr="003A005A">
              <w:t xml:space="preserve"> Rules</w:t>
            </w:r>
          </w:p>
        </w:tc>
        <w:tc>
          <w:tcPr>
            <w:tcW w:w="4619" w:type="dxa"/>
          </w:tcPr>
          <w:p w14:paraId="6976EFDB" w14:textId="77777777" w:rsidR="009D14A0" w:rsidRPr="003A005A" w:rsidRDefault="009D14A0" w:rsidP="00505FE8">
            <w:pPr>
              <w:pStyle w:val="Tabletext"/>
            </w:pPr>
            <w:r w:rsidRPr="003A005A">
              <w:t>To make orders varying or setting aside an order if:</w:t>
            </w:r>
          </w:p>
          <w:p w14:paraId="12DCA1EB" w14:textId="77777777" w:rsidR="009D14A0" w:rsidRPr="003A005A" w:rsidRDefault="009D14A0" w:rsidP="00505FE8">
            <w:pPr>
              <w:pStyle w:val="Tablea"/>
            </w:pPr>
            <w:r w:rsidRPr="003A005A">
              <w:t>(a) the order does not reflect the intention of the court; or</w:t>
            </w:r>
          </w:p>
          <w:p w14:paraId="353C636D" w14:textId="77777777" w:rsidR="009D14A0" w:rsidRPr="003A005A" w:rsidRDefault="009D14A0" w:rsidP="00505FE8">
            <w:pPr>
              <w:pStyle w:val="Tablea"/>
            </w:pPr>
            <w:r w:rsidRPr="003A005A">
              <w:t>(b) there is a clerical mistake in the order; or</w:t>
            </w:r>
          </w:p>
          <w:p w14:paraId="68BF2922" w14:textId="77777777" w:rsidR="009D14A0" w:rsidRPr="003A005A" w:rsidRDefault="009D14A0" w:rsidP="00505FE8">
            <w:pPr>
              <w:pStyle w:val="Tablea"/>
            </w:pPr>
            <w:r w:rsidRPr="003A005A">
              <w:t>(c) there is an error arising in the order from an accidental slip or omission</w:t>
            </w:r>
          </w:p>
        </w:tc>
        <w:tc>
          <w:tcPr>
            <w:tcW w:w="2552" w:type="dxa"/>
          </w:tcPr>
          <w:p w14:paraId="0899E3B5" w14:textId="77777777" w:rsidR="009D14A0" w:rsidRPr="003A005A" w:rsidRDefault="00505FE8" w:rsidP="00505FE8">
            <w:pPr>
              <w:pStyle w:val="Tabletext"/>
            </w:pPr>
            <w:r w:rsidRPr="003A005A">
              <w:sym w:font="Wingdings" w:char="F0FC"/>
            </w:r>
          </w:p>
          <w:p w14:paraId="12C14EE1" w14:textId="77777777" w:rsidR="009D14A0" w:rsidRPr="003A005A" w:rsidRDefault="00505FE8" w:rsidP="00505FE8">
            <w:pPr>
              <w:pStyle w:val="Tabletext"/>
            </w:pPr>
            <w:r w:rsidRPr="003A005A">
              <w:t>b</w:t>
            </w:r>
            <w:r w:rsidR="009D14A0" w:rsidRPr="003A005A">
              <w:t>ut only if the order being varied or set aside was made by a Senior Judicial Registrar or Judicial Registrar</w:t>
            </w:r>
          </w:p>
        </w:tc>
        <w:tc>
          <w:tcPr>
            <w:tcW w:w="2410" w:type="dxa"/>
          </w:tcPr>
          <w:p w14:paraId="1CFBC317" w14:textId="77777777" w:rsidR="009D14A0" w:rsidRPr="003A005A" w:rsidRDefault="00505FE8" w:rsidP="00505FE8">
            <w:pPr>
              <w:pStyle w:val="Tabletext"/>
            </w:pPr>
            <w:r w:rsidRPr="003A005A">
              <w:sym w:font="Wingdings" w:char="F0FC"/>
            </w:r>
          </w:p>
          <w:p w14:paraId="0178096C" w14:textId="77777777" w:rsidR="009D14A0" w:rsidRPr="003A005A" w:rsidRDefault="00505FE8" w:rsidP="00505FE8">
            <w:pPr>
              <w:pStyle w:val="Tabletext"/>
            </w:pPr>
            <w:r w:rsidRPr="003A005A">
              <w:t>b</w:t>
            </w:r>
            <w:r w:rsidR="009D14A0" w:rsidRPr="003A005A">
              <w:t>ut only if the order being varied or set aside was made by a Judicial Registrar</w:t>
            </w:r>
          </w:p>
        </w:tc>
      </w:tr>
    </w:tbl>
    <w:p w14:paraId="3CD3CEBF" w14:textId="77777777" w:rsidR="00505FE8" w:rsidRPr="003A005A" w:rsidRDefault="00F4184D" w:rsidP="00505FE8">
      <w:pPr>
        <w:pStyle w:val="ItemHead"/>
      </w:pPr>
      <w:r w:rsidRPr="003A005A">
        <w:t>18</w:t>
      </w:r>
      <w:r w:rsidR="00505FE8" w:rsidRPr="003A005A">
        <w:t xml:space="preserve">  Clause 2 of Schedule 4 (before table item 37.1)</w:t>
      </w:r>
    </w:p>
    <w:p w14:paraId="24AF4171" w14:textId="77777777" w:rsidR="00505FE8" w:rsidRPr="003A005A" w:rsidRDefault="00505FE8" w:rsidP="00505FE8">
      <w:pPr>
        <w:pStyle w:val="Item"/>
      </w:pPr>
      <w:r w:rsidRPr="003A005A">
        <w:t>Insert:</w:t>
      </w:r>
    </w:p>
    <w:p w14:paraId="726E4D89" w14:textId="77777777" w:rsidR="00505FE8" w:rsidRPr="003A005A" w:rsidRDefault="00505FE8"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1"/>
        <w:gridCol w:w="4612"/>
        <w:gridCol w:w="2552"/>
        <w:gridCol w:w="2410"/>
      </w:tblGrid>
      <w:tr w:rsidR="00505FE8" w:rsidRPr="003A005A" w14:paraId="6F568B6B" w14:textId="77777777" w:rsidTr="00DD1DB8">
        <w:tc>
          <w:tcPr>
            <w:tcW w:w="817" w:type="dxa"/>
            <w:tcBorders>
              <w:bottom w:val="single" w:sz="4" w:space="0" w:color="auto"/>
            </w:tcBorders>
          </w:tcPr>
          <w:p w14:paraId="0CA17789" w14:textId="77777777" w:rsidR="00505FE8" w:rsidRPr="003A005A" w:rsidRDefault="00505FE8" w:rsidP="00C613EC">
            <w:pPr>
              <w:pStyle w:val="Tabletext"/>
            </w:pPr>
            <w:r w:rsidRPr="003A005A">
              <w:t>37.</w:t>
            </w:r>
            <w:r w:rsidR="00C613EC" w:rsidRPr="003A005A">
              <w:t>1A</w:t>
            </w:r>
          </w:p>
        </w:tc>
        <w:tc>
          <w:tcPr>
            <w:tcW w:w="3751" w:type="dxa"/>
            <w:tcBorders>
              <w:bottom w:val="single" w:sz="4" w:space="0" w:color="auto"/>
            </w:tcBorders>
          </w:tcPr>
          <w:p w14:paraId="29737280" w14:textId="77777777" w:rsidR="00505FE8" w:rsidRPr="003A005A" w:rsidRDefault="00E80E48" w:rsidP="00C613EC">
            <w:pPr>
              <w:pStyle w:val="Tabletext"/>
            </w:pPr>
            <w:r w:rsidRPr="003A005A">
              <w:t>Sections 1</w:t>
            </w:r>
            <w:r w:rsidR="00505FE8" w:rsidRPr="003A005A">
              <w:t>06A and 107 Assessment</w:t>
            </w:r>
            <w:r w:rsidR="00C613EC" w:rsidRPr="003A005A">
              <w:t xml:space="preserve"> </w:t>
            </w:r>
            <w:r w:rsidR="00505FE8" w:rsidRPr="003A005A">
              <w:t>Act</w:t>
            </w:r>
          </w:p>
        </w:tc>
        <w:tc>
          <w:tcPr>
            <w:tcW w:w="4612" w:type="dxa"/>
            <w:tcBorders>
              <w:bottom w:val="single" w:sz="4" w:space="0" w:color="auto"/>
            </w:tcBorders>
          </w:tcPr>
          <w:p w14:paraId="4CFC6706" w14:textId="77777777" w:rsidR="00505FE8" w:rsidRPr="003A005A" w:rsidRDefault="00505FE8" w:rsidP="00C613EC">
            <w:pPr>
              <w:pStyle w:val="Tabletext"/>
            </w:pPr>
            <w:bookmarkStart w:id="23" w:name="_Hlk118879486"/>
            <w:r w:rsidRPr="003A005A">
              <w:t xml:space="preserve">To make a declaration </w:t>
            </w:r>
            <w:r w:rsidR="001673F0" w:rsidRPr="003A005A">
              <w:t xml:space="preserve">that </w:t>
            </w:r>
            <w:r w:rsidRPr="003A005A">
              <w:t>a person should</w:t>
            </w:r>
            <w:r w:rsidR="001673F0" w:rsidRPr="003A005A">
              <w:t>, or should not,</w:t>
            </w:r>
            <w:r w:rsidRPr="003A005A">
              <w:t xml:space="preserve"> be assessed in respect of the costs of </w:t>
            </w:r>
            <w:r w:rsidR="00191119" w:rsidRPr="003A005A">
              <w:t xml:space="preserve">a </w:t>
            </w:r>
            <w:r w:rsidRPr="003A005A">
              <w:t>child</w:t>
            </w:r>
            <w:bookmarkEnd w:id="23"/>
          </w:p>
        </w:tc>
        <w:tc>
          <w:tcPr>
            <w:tcW w:w="2552" w:type="dxa"/>
            <w:tcBorders>
              <w:bottom w:val="single" w:sz="4" w:space="0" w:color="auto"/>
            </w:tcBorders>
          </w:tcPr>
          <w:p w14:paraId="0A0938CF" w14:textId="77777777" w:rsidR="00505FE8" w:rsidRPr="003A005A" w:rsidRDefault="00C613EC" w:rsidP="00C613EC">
            <w:pPr>
              <w:pStyle w:val="Tabletext"/>
            </w:pPr>
            <w:r w:rsidRPr="003A005A">
              <w:sym w:font="Wingdings" w:char="F0FC"/>
            </w:r>
          </w:p>
        </w:tc>
        <w:tc>
          <w:tcPr>
            <w:tcW w:w="2410" w:type="dxa"/>
            <w:tcBorders>
              <w:bottom w:val="single" w:sz="4" w:space="0" w:color="auto"/>
            </w:tcBorders>
          </w:tcPr>
          <w:p w14:paraId="1ED518B2" w14:textId="77777777" w:rsidR="00C613EC" w:rsidRPr="003A005A" w:rsidRDefault="00C613EC" w:rsidP="00C613EC">
            <w:pPr>
              <w:pStyle w:val="Tabletext"/>
            </w:pPr>
            <w:r w:rsidRPr="003A005A">
              <w:sym w:font="Wingdings" w:char="F0FC"/>
            </w:r>
          </w:p>
          <w:p w14:paraId="702120AE" w14:textId="77777777" w:rsidR="00505FE8" w:rsidRPr="003A005A" w:rsidRDefault="00C613EC" w:rsidP="00C613EC">
            <w:pPr>
              <w:pStyle w:val="Tabletext"/>
            </w:pPr>
            <w:r w:rsidRPr="003A005A">
              <w:t>b</w:t>
            </w:r>
            <w:r w:rsidR="00505FE8" w:rsidRPr="003A005A">
              <w:t>ut only if:</w:t>
            </w:r>
          </w:p>
          <w:p w14:paraId="41EFA002" w14:textId="77777777" w:rsidR="00505FE8" w:rsidRPr="003A005A" w:rsidRDefault="00C613EC" w:rsidP="00C613EC">
            <w:pPr>
              <w:pStyle w:val="Tablea"/>
            </w:pPr>
            <w:r w:rsidRPr="003A005A">
              <w:t xml:space="preserve">(a) </w:t>
            </w:r>
            <w:r w:rsidR="00505FE8" w:rsidRPr="003A005A">
              <w:t>the order is made in undefended proceedings; or</w:t>
            </w:r>
          </w:p>
          <w:p w14:paraId="20DA3CAD" w14:textId="77777777" w:rsidR="00505FE8" w:rsidRPr="003A005A" w:rsidRDefault="00C613EC" w:rsidP="00C613EC">
            <w:pPr>
              <w:pStyle w:val="Tablea"/>
            </w:pPr>
            <w:r w:rsidRPr="003A005A">
              <w:t xml:space="preserve">(b) </w:t>
            </w:r>
            <w:r w:rsidR="00505FE8" w:rsidRPr="003A005A">
              <w:t>the order is made with the consent of all the parties to the proceedings</w:t>
            </w:r>
          </w:p>
        </w:tc>
      </w:tr>
      <w:tr w:rsidR="00505FE8" w:rsidRPr="003A005A" w14:paraId="1DB2B1B8" w14:textId="77777777" w:rsidTr="00DD1DB8">
        <w:tc>
          <w:tcPr>
            <w:tcW w:w="817" w:type="dxa"/>
            <w:tcBorders>
              <w:top w:val="single" w:sz="4" w:space="0" w:color="auto"/>
            </w:tcBorders>
          </w:tcPr>
          <w:p w14:paraId="662F6827" w14:textId="77777777" w:rsidR="00505FE8" w:rsidRPr="003A005A" w:rsidRDefault="00505FE8" w:rsidP="00C613EC">
            <w:pPr>
              <w:pStyle w:val="Tabletext"/>
            </w:pPr>
            <w:r w:rsidRPr="003A005A">
              <w:t>37.</w:t>
            </w:r>
            <w:r w:rsidR="00C613EC" w:rsidRPr="003A005A">
              <w:t>1B</w:t>
            </w:r>
          </w:p>
        </w:tc>
        <w:tc>
          <w:tcPr>
            <w:tcW w:w="3751" w:type="dxa"/>
            <w:tcBorders>
              <w:top w:val="single" w:sz="4" w:space="0" w:color="auto"/>
            </w:tcBorders>
          </w:tcPr>
          <w:p w14:paraId="43BB89BE" w14:textId="77777777" w:rsidR="00505FE8" w:rsidRPr="003A005A" w:rsidRDefault="00E80E48" w:rsidP="00C613EC">
            <w:pPr>
              <w:pStyle w:val="Tabletext"/>
            </w:pPr>
            <w:r w:rsidRPr="003A005A">
              <w:t>Division 3</w:t>
            </w:r>
            <w:r w:rsidR="00C613EC" w:rsidRPr="003A005A">
              <w:t xml:space="preserve"> of </w:t>
            </w:r>
            <w:r w:rsidRPr="003A005A">
              <w:t>Part 7</w:t>
            </w:r>
            <w:r w:rsidR="00C613EC" w:rsidRPr="003A005A">
              <w:t xml:space="preserve"> </w:t>
            </w:r>
            <w:r w:rsidR="00505FE8" w:rsidRPr="003A005A">
              <w:t>Assessment Act</w:t>
            </w:r>
          </w:p>
        </w:tc>
        <w:tc>
          <w:tcPr>
            <w:tcW w:w="4612" w:type="dxa"/>
            <w:tcBorders>
              <w:top w:val="single" w:sz="4" w:space="0" w:color="auto"/>
            </w:tcBorders>
          </w:tcPr>
          <w:p w14:paraId="0CA0153E" w14:textId="77777777" w:rsidR="00505FE8" w:rsidRPr="003A005A" w:rsidRDefault="00505FE8" w:rsidP="00C613EC">
            <w:pPr>
              <w:pStyle w:val="Tabletext"/>
            </w:pPr>
            <w:r w:rsidRPr="003A005A">
              <w:t xml:space="preserve">To amend an administrative assessment that is more </w:t>
            </w:r>
            <w:r w:rsidRPr="003A005A">
              <w:lastRenderedPageBreak/>
              <w:t>than 18 months old</w:t>
            </w:r>
          </w:p>
        </w:tc>
        <w:tc>
          <w:tcPr>
            <w:tcW w:w="2552" w:type="dxa"/>
            <w:tcBorders>
              <w:top w:val="single" w:sz="4" w:space="0" w:color="auto"/>
            </w:tcBorders>
          </w:tcPr>
          <w:p w14:paraId="745BAF7B" w14:textId="77777777" w:rsidR="00505FE8" w:rsidRPr="003A005A" w:rsidRDefault="00C613EC" w:rsidP="00C613EC">
            <w:pPr>
              <w:pStyle w:val="Tabletext"/>
            </w:pPr>
            <w:r w:rsidRPr="003A005A">
              <w:lastRenderedPageBreak/>
              <w:sym w:font="Wingdings" w:char="F0FC"/>
            </w:r>
          </w:p>
        </w:tc>
        <w:tc>
          <w:tcPr>
            <w:tcW w:w="2410" w:type="dxa"/>
            <w:tcBorders>
              <w:top w:val="single" w:sz="4" w:space="0" w:color="auto"/>
            </w:tcBorders>
          </w:tcPr>
          <w:p w14:paraId="7C67F838" w14:textId="77777777" w:rsidR="00C613EC" w:rsidRPr="003A005A" w:rsidRDefault="00C613EC" w:rsidP="00C613EC">
            <w:pPr>
              <w:pStyle w:val="Tabletext"/>
            </w:pPr>
            <w:r w:rsidRPr="003A005A">
              <w:sym w:font="Wingdings" w:char="F0FC"/>
            </w:r>
          </w:p>
          <w:p w14:paraId="3BAA63F8" w14:textId="77777777" w:rsidR="00505FE8" w:rsidRPr="003A005A" w:rsidRDefault="00C613EC" w:rsidP="00C613EC">
            <w:pPr>
              <w:pStyle w:val="Tabletext"/>
            </w:pPr>
            <w:r w:rsidRPr="003A005A">
              <w:lastRenderedPageBreak/>
              <w:t>b</w:t>
            </w:r>
            <w:r w:rsidR="00505FE8" w:rsidRPr="003A005A">
              <w:t>ut only if:</w:t>
            </w:r>
          </w:p>
          <w:p w14:paraId="12CA0307" w14:textId="77777777" w:rsidR="00505FE8" w:rsidRPr="003A005A" w:rsidRDefault="00C613EC" w:rsidP="00C613EC">
            <w:pPr>
              <w:pStyle w:val="Tablea"/>
            </w:pPr>
            <w:r w:rsidRPr="003A005A">
              <w:t xml:space="preserve">(a) </w:t>
            </w:r>
            <w:r w:rsidR="00505FE8" w:rsidRPr="003A005A">
              <w:t>the order is made in undefended proceedings; or</w:t>
            </w:r>
          </w:p>
          <w:p w14:paraId="6AE2E687" w14:textId="77777777" w:rsidR="00505FE8" w:rsidRPr="003A005A" w:rsidRDefault="00C613EC" w:rsidP="00C613EC">
            <w:pPr>
              <w:pStyle w:val="Tablea"/>
            </w:pPr>
            <w:r w:rsidRPr="003A005A">
              <w:t xml:space="preserve">(b) </w:t>
            </w:r>
            <w:r w:rsidR="00505FE8" w:rsidRPr="003A005A">
              <w:t>the order is made with the consent of all the parties to the proceedings</w:t>
            </w:r>
          </w:p>
        </w:tc>
      </w:tr>
    </w:tbl>
    <w:p w14:paraId="6B58B03D" w14:textId="77777777" w:rsidR="00C613EC" w:rsidRPr="003A005A" w:rsidRDefault="00F4184D" w:rsidP="00C613EC">
      <w:pPr>
        <w:pStyle w:val="ItemHead"/>
      </w:pPr>
      <w:r w:rsidRPr="003A005A">
        <w:lastRenderedPageBreak/>
        <w:t>19</w:t>
      </w:r>
      <w:r w:rsidR="00C613EC" w:rsidRPr="003A005A">
        <w:t xml:space="preserve">  Clause 2 of Schedule 4 (after table item 37.4)</w:t>
      </w:r>
    </w:p>
    <w:p w14:paraId="446E108B" w14:textId="77777777" w:rsidR="00C613EC" w:rsidRPr="003A005A" w:rsidRDefault="00C613EC" w:rsidP="00C613EC">
      <w:pPr>
        <w:pStyle w:val="Item"/>
      </w:pPr>
      <w:r w:rsidRPr="003A005A">
        <w:t>Insert:</w:t>
      </w:r>
    </w:p>
    <w:p w14:paraId="4D7D6C0D" w14:textId="77777777" w:rsidR="00C613EC" w:rsidRPr="003A005A" w:rsidRDefault="00C613EC" w:rsidP="00A23BFC">
      <w:pPr>
        <w:pStyle w:val="Tabletext"/>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6"/>
        <w:gridCol w:w="4607"/>
        <w:gridCol w:w="2552"/>
        <w:gridCol w:w="2410"/>
      </w:tblGrid>
      <w:tr w:rsidR="00C613EC" w:rsidRPr="003A005A" w14:paraId="1C619A90" w14:textId="77777777" w:rsidTr="00DD1DB8">
        <w:tc>
          <w:tcPr>
            <w:tcW w:w="817" w:type="dxa"/>
          </w:tcPr>
          <w:p w14:paraId="5FA71A78" w14:textId="77777777" w:rsidR="00C613EC" w:rsidRPr="003A005A" w:rsidRDefault="00C613EC" w:rsidP="00E80E48">
            <w:pPr>
              <w:pStyle w:val="Tabletext"/>
            </w:pPr>
            <w:r w:rsidRPr="003A005A">
              <w:t>37.4A</w:t>
            </w:r>
          </w:p>
        </w:tc>
        <w:tc>
          <w:tcPr>
            <w:tcW w:w="3756" w:type="dxa"/>
          </w:tcPr>
          <w:p w14:paraId="28AF4F14" w14:textId="77777777" w:rsidR="00C613EC" w:rsidRPr="003A005A" w:rsidRDefault="00E80E48" w:rsidP="00E80E48">
            <w:pPr>
              <w:pStyle w:val="Tabletext"/>
            </w:pPr>
            <w:r w:rsidRPr="003A005A">
              <w:t>Section 1</w:t>
            </w:r>
            <w:r w:rsidR="00C613EC" w:rsidRPr="003A005A">
              <w:t>11C Registration Act</w:t>
            </w:r>
          </w:p>
        </w:tc>
        <w:tc>
          <w:tcPr>
            <w:tcW w:w="4607" w:type="dxa"/>
          </w:tcPr>
          <w:p w14:paraId="687971CD" w14:textId="77777777" w:rsidR="00C613EC" w:rsidRPr="003A005A" w:rsidRDefault="00C613EC" w:rsidP="00E80E48">
            <w:pPr>
              <w:pStyle w:val="Tabletext"/>
            </w:pPr>
            <w:r w:rsidRPr="003A005A">
              <w:t>To grant a stay</w:t>
            </w:r>
          </w:p>
        </w:tc>
        <w:tc>
          <w:tcPr>
            <w:tcW w:w="2552" w:type="dxa"/>
          </w:tcPr>
          <w:p w14:paraId="160FC6E0" w14:textId="77777777" w:rsidR="00C613EC" w:rsidRPr="003A005A" w:rsidRDefault="00C613EC" w:rsidP="00E80E48">
            <w:pPr>
              <w:pStyle w:val="Tabletext"/>
            </w:pPr>
            <w:r w:rsidRPr="003A005A">
              <w:sym w:font="Wingdings" w:char="F0FC"/>
            </w:r>
          </w:p>
        </w:tc>
        <w:tc>
          <w:tcPr>
            <w:tcW w:w="2410" w:type="dxa"/>
          </w:tcPr>
          <w:p w14:paraId="764D4D73" w14:textId="77777777" w:rsidR="00C613EC" w:rsidRPr="003A005A" w:rsidRDefault="00C613EC" w:rsidP="00E80E48">
            <w:pPr>
              <w:pStyle w:val="Tabletext"/>
            </w:pPr>
            <w:r w:rsidRPr="003A005A">
              <w:sym w:font="Wingdings" w:char="F0FC"/>
            </w:r>
          </w:p>
          <w:p w14:paraId="0EA118F6" w14:textId="77777777" w:rsidR="00C613EC" w:rsidRPr="003A005A" w:rsidRDefault="00C613EC" w:rsidP="00E80E48">
            <w:pPr>
              <w:pStyle w:val="Tabletext"/>
            </w:pPr>
            <w:r w:rsidRPr="003A005A">
              <w:t>but only if:</w:t>
            </w:r>
          </w:p>
          <w:p w14:paraId="5547434C" w14:textId="77777777" w:rsidR="00C613EC" w:rsidRPr="003A005A" w:rsidRDefault="00C613EC" w:rsidP="00E80E48">
            <w:pPr>
              <w:pStyle w:val="Tablea"/>
            </w:pPr>
            <w:r w:rsidRPr="003A005A">
              <w:t>(a) the order is made in undefended proceedings; or</w:t>
            </w:r>
          </w:p>
          <w:p w14:paraId="29EDA1B6" w14:textId="77777777" w:rsidR="00C613EC" w:rsidRPr="003A005A" w:rsidRDefault="00C613EC" w:rsidP="00E80E48">
            <w:pPr>
              <w:pStyle w:val="Tablea"/>
            </w:pPr>
            <w:r w:rsidRPr="003A005A">
              <w:t>(b) the order is made with the consent of all the parties to the proceedings</w:t>
            </w:r>
          </w:p>
        </w:tc>
      </w:tr>
    </w:tbl>
    <w:p w14:paraId="677338D0" w14:textId="77777777" w:rsidR="009141A5" w:rsidRDefault="009141A5">
      <w:pPr>
        <w:sectPr w:rsidR="009141A5" w:rsidSect="006D3123">
          <w:headerReference w:type="even" r:id="rId26"/>
          <w:headerReference w:type="default" r:id="rId27"/>
          <w:footerReference w:type="even" r:id="rId28"/>
          <w:footerReference w:type="default" r:id="rId29"/>
          <w:headerReference w:type="first" r:id="rId30"/>
          <w:footerReference w:type="first" r:id="rId31"/>
          <w:pgSz w:w="16839" w:h="11907" w:orient="landscape" w:code="9"/>
          <w:pgMar w:top="1675" w:right="1797" w:bottom="1440" w:left="1797" w:header="720" w:footer="709" w:gutter="0"/>
          <w:cols w:space="720"/>
          <w:docGrid w:linePitch="299"/>
        </w:sectPr>
      </w:pPr>
    </w:p>
    <w:p w14:paraId="4A576DBC" w14:textId="77777777" w:rsidR="00490203" w:rsidRPr="003A005A" w:rsidRDefault="00490203" w:rsidP="009141A5"/>
    <w:sectPr w:rsidR="00490203" w:rsidRPr="003A005A" w:rsidSect="006D3123">
      <w:headerReference w:type="even" r:id="rId32"/>
      <w:headerReference w:type="default" r:id="rId33"/>
      <w:footerReference w:type="even" r:id="rId34"/>
      <w:footerReference w:type="default" r:id="rId35"/>
      <w:headerReference w:type="first" r:id="rId36"/>
      <w:footerReference w:type="first" r:id="rId37"/>
      <w:type w:val="continuous"/>
      <w:pgSz w:w="16839" w:h="11907" w:orient="landscape" w:code="9"/>
      <w:pgMar w:top="167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99149" w14:textId="77777777" w:rsidR="00362CA6" w:rsidRDefault="00362CA6" w:rsidP="0048364F">
      <w:pPr>
        <w:spacing w:line="240" w:lineRule="auto"/>
      </w:pPr>
      <w:r>
        <w:separator/>
      </w:r>
    </w:p>
  </w:endnote>
  <w:endnote w:type="continuationSeparator" w:id="0">
    <w:p w14:paraId="13AFC897" w14:textId="77777777" w:rsidR="00362CA6" w:rsidRDefault="00362CA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06DA" w14:textId="77777777" w:rsidR="00362CA6" w:rsidRPr="006D3123" w:rsidRDefault="00362CA6" w:rsidP="006D3123">
    <w:pPr>
      <w:pStyle w:val="Footer"/>
      <w:tabs>
        <w:tab w:val="clear" w:pos="4153"/>
        <w:tab w:val="clear" w:pos="8306"/>
        <w:tab w:val="center" w:pos="4150"/>
        <w:tab w:val="right" w:pos="8307"/>
      </w:tabs>
      <w:spacing w:before="120"/>
      <w:rPr>
        <w:i/>
        <w:sz w:val="18"/>
      </w:rPr>
    </w:pPr>
    <w:r w:rsidRPr="006D3123">
      <w:rPr>
        <w:i/>
        <w:sz w:val="18"/>
      </w:rPr>
      <w:t>OPC66209 -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A3BCA" w14:textId="77777777" w:rsidR="00362CA6" w:rsidRPr="00021F98" w:rsidRDefault="00362CA6" w:rsidP="0049020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2549"/>
      <w:gridCol w:w="9929"/>
      <w:gridCol w:w="983"/>
    </w:tblGrid>
    <w:tr w:rsidR="00362CA6" w14:paraId="35152896" w14:textId="77777777" w:rsidTr="00490203">
      <w:tc>
        <w:tcPr>
          <w:tcW w:w="947" w:type="pct"/>
          <w:tcBorders>
            <w:top w:val="nil"/>
            <w:left w:val="nil"/>
            <w:bottom w:val="nil"/>
            <w:right w:val="nil"/>
          </w:tcBorders>
        </w:tcPr>
        <w:p w14:paraId="3934B915" w14:textId="77777777" w:rsidR="00362CA6" w:rsidRDefault="00362CA6" w:rsidP="00B260B2">
          <w:pPr>
            <w:spacing w:line="0" w:lineRule="atLeast"/>
            <w:rPr>
              <w:sz w:val="18"/>
            </w:rPr>
          </w:pPr>
        </w:p>
      </w:tc>
      <w:tc>
        <w:tcPr>
          <w:tcW w:w="3688" w:type="pct"/>
          <w:tcBorders>
            <w:top w:val="nil"/>
            <w:left w:val="nil"/>
            <w:bottom w:val="nil"/>
            <w:right w:val="nil"/>
          </w:tcBorders>
        </w:tcPr>
        <w:p w14:paraId="36AD287B" w14:textId="15736415" w:rsidR="00362CA6" w:rsidRDefault="00362CA6" w:rsidP="00B260B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365" w:type="pct"/>
          <w:tcBorders>
            <w:top w:val="nil"/>
            <w:left w:val="nil"/>
            <w:bottom w:val="nil"/>
            <w:right w:val="nil"/>
          </w:tcBorders>
        </w:tcPr>
        <w:p w14:paraId="2BF6C5F6" w14:textId="4F5F19D2" w:rsidR="00362CA6" w:rsidRDefault="00362CA6" w:rsidP="00B260B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w:t>
          </w:r>
          <w:r w:rsidRPr="00ED79B6">
            <w:rPr>
              <w:i/>
              <w:sz w:val="18"/>
            </w:rPr>
            <w:fldChar w:fldCharType="end"/>
          </w:r>
        </w:p>
      </w:tc>
    </w:tr>
  </w:tbl>
  <w:p w14:paraId="07C2E181" w14:textId="77777777" w:rsidR="00362CA6" w:rsidRPr="006D3123" w:rsidRDefault="00362CA6" w:rsidP="006D3123">
    <w:pPr>
      <w:rPr>
        <w:rFonts w:cs="Times New Roman"/>
        <w:i/>
        <w:sz w:val="18"/>
      </w:rPr>
    </w:pPr>
    <w:r w:rsidRPr="006D3123">
      <w:rPr>
        <w:rFonts w:cs="Times New Roman"/>
        <w:i/>
        <w:sz w:val="18"/>
      </w:rPr>
      <w:t>OPC66209 -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6F8D" w14:textId="77777777" w:rsidR="00362CA6" w:rsidRDefault="00362CA6">
    <w:pPr>
      <w:pBdr>
        <w:top w:val="single" w:sz="6" w:space="1" w:color="auto"/>
      </w:pBdr>
      <w:rPr>
        <w:sz w:val="18"/>
      </w:rPr>
    </w:pPr>
  </w:p>
  <w:p w14:paraId="00E6643F" w14:textId="25EEDF1B" w:rsidR="00362CA6" w:rsidRDefault="00362CA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Federal Circuit and Family Court of Australia (Family Law) Amendment (2022 Measures No. 1) Rules 2022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21A06735" w14:textId="77777777" w:rsidR="00362CA6" w:rsidRPr="006D3123" w:rsidRDefault="00362CA6" w:rsidP="006D3123">
    <w:pPr>
      <w:rPr>
        <w:rFonts w:cs="Times New Roman"/>
        <w:i/>
        <w:sz w:val="18"/>
      </w:rPr>
    </w:pPr>
    <w:r w:rsidRPr="006D3123">
      <w:rPr>
        <w:rFonts w:cs="Times New Roman"/>
        <w:i/>
        <w:sz w:val="18"/>
      </w:rPr>
      <w:t>OPC66209 -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3CFF" w14:textId="77777777" w:rsidR="00362CA6" w:rsidRPr="00E33C1C" w:rsidRDefault="00362CA6" w:rsidP="00490203">
    <w:pPr>
      <w:pBdr>
        <w:top w:val="single" w:sz="6" w:space="1" w:color="auto"/>
      </w:pBdr>
      <w:spacing w:before="120" w:line="0" w:lineRule="atLeast"/>
      <w:rPr>
        <w:sz w:val="16"/>
        <w:szCs w:val="16"/>
      </w:rPr>
    </w:pPr>
  </w:p>
  <w:tbl>
    <w:tblPr>
      <w:tblStyle w:val="TableGrid"/>
      <w:tblW w:w="3168" w:type="pct"/>
      <w:tblLook w:val="04A0" w:firstRow="1" w:lastRow="0" w:firstColumn="1" w:lastColumn="0" w:noHBand="0" w:noVBand="1"/>
    </w:tblPr>
    <w:tblGrid>
      <w:gridCol w:w="713"/>
      <w:gridCol w:w="6422"/>
      <w:gridCol w:w="1394"/>
    </w:tblGrid>
    <w:tr w:rsidR="00362CA6" w14:paraId="1F13F09F" w14:textId="77777777" w:rsidTr="002464C9">
      <w:tc>
        <w:tcPr>
          <w:tcW w:w="418" w:type="pct"/>
          <w:tcBorders>
            <w:top w:val="nil"/>
            <w:left w:val="nil"/>
            <w:bottom w:val="nil"/>
            <w:right w:val="nil"/>
          </w:tcBorders>
        </w:tcPr>
        <w:p w14:paraId="6761CD30" w14:textId="77777777" w:rsidR="00362CA6" w:rsidRDefault="00362CA6" w:rsidP="0000635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765" w:type="pct"/>
          <w:tcBorders>
            <w:top w:val="nil"/>
            <w:left w:val="nil"/>
            <w:bottom w:val="nil"/>
            <w:right w:val="nil"/>
          </w:tcBorders>
        </w:tcPr>
        <w:p w14:paraId="2E09A060" w14:textId="01395F7F" w:rsidR="00362CA6" w:rsidRDefault="00362CA6" w:rsidP="000063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817" w:type="pct"/>
          <w:tcBorders>
            <w:top w:val="nil"/>
            <w:left w:val="nil"/>
            <w:bottom w:val="nil"/>
            <w:right w:val="nil"/>
          </w:tcBorders>
        </w:tcPr>
        <w:p w14:paraId="425A58F8" w14:textId="77777777" w:rsidR="00362CA6" w:rsidRDefault="00362CA6" w:rsidP="00006355">
          <w:pPr>
            <w:spacing w:line="0" w:lineRule="atLeast"/>
            <w:jc w:val="right"/>
            <w:rPr>
              <w:sz w:val="18"/>
            </w:rPr>
          </w:pPr>
        </w:p>
      </w:tc>
    </w:tr>
  </w:tbl>
  <w:p w14:paraId="5B02C506" w14:textId="77777777" w:rsidR="00362CA6" w:rsidRPr="006D3123" w:rsidRDefault="00362CA6" w:rsidP="006D3123">
    <w:pPr>
      <w:rPr>
        <w:rFonts w:cs="Times New Roman"/>
        <w:i/>
        <w:sz w:val="18"/>
      </w:rPr>
    </w:pPr>
    <w:r w:rsidRPr="006D3123">
      <w:rPr>
        <w:rFonts w:cs="Times New Roman"/>
        <w:i/>
        <w:sz w:val="18"/>
      </w:rPr>
      <w:t>OPC66209 -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90A6" w14:textId="77777777" w:rsidR="00362CA6" w:rsidRPr="00E33C1C" w:rsidRDefault="00362CA6" w:rsidP="00490203">
    <w:pPr>
      <w:pBdr>
        <w:top w:val="single" w:sz="6" w:space="1" w:color="auto"/>
      </w:pBdr>
      <w:spacing w:before="120" w:line="0" w:lineRule="atLeast"/>
      <w:rPr>
        <w:sz w:val="16"/>
        <w:szCs w:val="16"/>
      </w:rPr>
    </w:pPr>
  </w:p>
  <w:tbl>
    <w:tblPr>
      <w:tblStyle w:val="TableGrid"/>
      <w:tblW w:w="3168" w:type="pct"/>
      <w:tblLook w:val="04A0" w:firstRow="1" w:lastRow="0" w:firstColumn="1" w:lastColumn="0" w:noHBand="0" w:noVBand="1"/>
    </w:tblPr>
    <w:tblGrid>
      <w:gridCol w:w="1394"/>
      <w:gridCol w:w="6422"/>
      <w:gridCol w:w="713"/>
    </w:tblGrid>
    <w:tr w:rsidR="00362CA6" w14:paraId="0996797F" w14:textId="77777777" w:rsidTr="002464C9">
      <w:tc>
        <w:tcPr>
          <w:tcW w:w="817" w:type="pct"/>
          <w:tcBorders>
            <w:top w:val="nil"/>
            <w:left w:val="nil"/>
            <w:bottom w:val="nil"/>
            <w:right w:val="nil"/>
          </w:tcBorders>
        </w:tcPr>
        <w:p w14:paraId="7E831D19" w14:textId="77777777" w:rsidR="00362CA6" w:rsidRDefault="00362CA6" w:rsidP="00006355">
          <w:pPr>
            <w:spacing w:line="0" w:lineRule="atLeast"/>
            <w:rPr>
              <w:sz w:val="18"/>
            </w:rPr>
          </w:pPr>
        </w:p>
      </w:tc>
      <w:tc>
        <w:tcPr>
          <w:tcW w:w="3765" w:type="pct"/>
          <w:tcBorders>
            <w:top w:val="nil"/>
            <w:left w:val="nil"/>
            <w:bottom w:val="nil"/>
            <w:right w:val="nil"/>
          </w:tcBorders>
        </w:tcPr>
        <w:p w14:paraId="07003E66" w14:textId="60116262" w:rsidR="00362CA6" w:rsidRDefault="00362CA6" w:rsidP="000063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418" w:type="pct"/>
          <w:tcBorders>
            <w:top w:val="nil"/>
            <w:left w:val="nil"/>
            <w:bottom w:val="nil"/>
            <w:right w:val="nil"/>
          </w:tcBorders>
        </w:tcPr>
        <w:p w14:paraId="2F667B57" w14:textId="77777777" w:rsidR="00362CA6" w:rsidRDefault="00362CA6" w:rsidP="000063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CBFBC26" w14:textId="77777777" w:rsidR="00362CA6" w:rsidRPr="006D3123" w:rsidRDefault="00362CA6" w:rsidP="006D3123">
    <w:pPr>
      <w:rPr>
        <w:rFonts w:cs="Times New Roman"/>
        <w:i/>
        <w:sz w:val="18"/>
      </w:rPr>
    </w:pPr>
    <w:r w:rsidRPr="006D3123">
      <w:rPr>
        <w:rFonts w:cs="Times New Roman"/>
        <w:i/>
        <w:sz w:val="18"/>
      </w:rPr>
      <w:t>OPC66209 -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38B4" w14:textId="77777777" w:rsidR="00362CA6" w:rsidRPr="00E33C1C" w:rsidRDefault="00362CA6" w:rsidP="00A136F5">
    <w:pPr>
      <w:pBdr>
        <w:top w:val="single" w:sz="6" w:space="1" w:color="auto"/>
      </w:pBdr>
      <w:spacing w:line="0" w:lineRule="atLeast"/>
      <w:rPr>
        <w:sz w:val="16"/>
        <w:szCs w:val="16"/>
      </w:rPr>
    </w:pPr>
  </w:p>
  <w:tbl>
    <w:tblPr>
      <w:tblStyle w:val="TableGrid"/>
      <w:tblW w:w="3147" w:type="pct"/>
      <w:tblLook w:val="04A0" w:firstRow="1" w:lastRow="0" w:firstColumn="1" w:lastColumn="0" w:noHBand="0" w:noVBand="1"/>
    </w:tblPr>
    <w:tblGrid>
      <w:gridCol w:w="1384"/>
      <w:gridCol w:w="6379"/>
      <w:gridCol w:w="709"/>
    </w:tblGrid>
    <w:tr w:rsidR="00362CA6" w14:paraId="21148C2E" w14:textId="77777777" w:rsidTr="002464C9">
      <w:tc>
        <w:tcPr>
          <w:tcW w:w="817" w:type="pct"/>
          <w:tcBorders>
            <w:top w:val="nil"/>
            <w:left w:val="nil"/>
            <w:bottom w:val="nil"/>
            <w:right w:val="nil"/>
          </w:tcBorders>
        </w:tcPr>
        <w:p w14:paraId="45C001F2" w14:textId="77777777" w:rsidR="00362CA6" w:rsidRDefault="00362CA6" w:rsidP="00006355">
          <w:pPr>
            <w:spacing w:line="0" w:lineRule="atLeast"/>
            <w:rPr>
              <w:sz w:val="18"/>
            </w:rPr>
          </w:pPr>
        </w:p>
      </w:tc>
      <w:tc>
        <w:tcPr>
          <w:tcW w:w="3765" w:type="pct"/>
          <w:tcBorders>
            <w:top w:val="nil"/>
            <w:left w:val="nil"/>
            <w:bottom w:val="nil"/>
            <w:right w:val="nil"/>
          </w:tcBorders>
        </w:tcPr>
        <w:p w14:paraId="72176F5C" w14:textId="6FD6F52E" w:rsidR="00362CA6" w:rsidRDefault="00362CA6" w:rsidP="000063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418" w:type="pct"/>
          <w:tcBorders>
            <w:top w:val="nil"/>
            <w:left w:val="nil"/>
            <w:bottom w:val="nil"/>
            <w:right w:val="nil"/>
          </w:tcBorders>
        </w:tcPr>
        <w:p w14:paraId="08182372" w14:textId="77777777" w:rsidR="00362CA6" w:rsidRDefault="00362CA6" w:rsidP="000063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C528A4B" w14:textId="77777777" w:rsidR="00362CA6" w:rsidRPr="006D3123" w:rsidRDefault="00362CA6" w:rsidP="006D3123">
    <w:pPr>
      <w:rPr>
        <w:rFonts w:cs="Times New Roman"/>
        <w:i/>
        <w:sz w:val="18"/>
      </w:rPr>
    </w:pPr>
    <w:r w:rsidRPr="006D3123">
      <w:rPr>
        <w:rFonts w:cs="Times New Roman"/>
        <w:i/>
        <w:sz w:val="18"/>
      </w:rPr>
      <w:t>OPC66209 -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B18A" w14:textId="77777777" w:rsidR="00362CA6" w:rsidRDefault="00362CA6" w:rsidP="00490203">
    <w:pPr>
      <w:spacing w:before="120"/>
    </w:pPr>
  </w:p>
  <w:p w14:paraId="1FDDC17E" w14:textId="77777777" w:rsidR="00362CA6" w:rsidRPr="006D3123" w:rsidRDefault="00362CA6" w:rsidP="006D3123">
    <w:pPr>
      <w:rPr>
        <w:rFonts w:cs="Times New Roman"/>
        <w:i/>
        <w:sz w:val="18"/>
      </w:rPr>
    </w:pPr>
    <w:r w:rsidRPr="006D3123">
      <w:rPr>
        <w:rFonts w:cs="Times New Roman"/>
        <w:i/>
        <w:sz w:val="18"/>
      </w:rPr>
      <w:t>OPC66209 -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A10C" w14:textId="77777777" w:rsidR="00362CA6" w:rsidRPr="006D3123" w:rsidRDefault="00362CA6" w:rsidP="006D3123">
    <w:pPr>
      <w:pStyle w:val="Footer"/>
      <w:tabs>
        <w:tab w:val="clear" w:pos="4153"/>
        <w:tab w:val="clear" w:pos="8306"/>
        <w:tab w:val="center" w:pos="4150"/>
        <w:tab w:val="right" w:pos="8307"/>
      </w:tabs>
      <w:spacing w:before="120"/>
      <w:rPr>
        <w:i/>
        <w:sz w:val="18"/>
      </w:rPr>
    </w:pPr>
    <w:r w:rsidRPr="006D3123">
      <w:rPr>
        <w:i/>
        <w:sz w:val="18"/>
      </w:rPr>
      <w:t>OPC66209 -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9A5F" w14:textId="77777777" w:rsidR="00362CA6" w:rsidRPr="00E33C1C" w:rsidRDefault="00362CA6" w:rsidP="00490203">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709"/>
      <w:gridCol w:w="6379"/>
      <w:gridCol w:w="1384"/>
    </w:tblGrid>
    <w:tr w:rsidR="00362CA6" w14:paraId="471B430E" w14:textId="77777777" w:rsidTr="002464C9">
      <w:tc>
        <w:tcPr>
          <w:tcW w:w="418" w:type="pct"/>
          <w:tcBorders>
            <w:top w:val="nil"/>
            <w:left w:val="nil"/>
            <w:bottom w:val="nil"/>
            <w:right w:val="nil"/>
          </w:tcBorders>
        </w:tcPr>
        <w:p w14:paraId="2E23EFDA" w14:textId="77777777" w:rsidR="00362CA6" w:rsidRDefault="00362CA6" w:rsidP="0000635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765" w:type="pct"/>
          <w:tcBorders>
            <w:top w:val="nil"/>
            <w:left w:val="nil"/>
            <w:bottom w:val="nil"/>
            <w:right w:val="nil"/>
          </w:tcBorders>
        </w:tcPr>
        <w:p w14:paraId="33B540A8" w14:textId="53CB8F6B" w:rsidR="00362CA6" w:rsidRDefault="00362CA6" w:rsidP="000063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817" w:type="pct"/>
          <w:tcBorders>
            <w:top w:val="nil"/>
            <w:left w:val="nil"/>
            <w:bottom w:val="nil"/>
            <w:right w:val="nil"/>
          </w:tcBorders>
        </w:tcPr>
        <w:p w14:paraId="4B7E4B4A" w14:textId="77777777" w:rsidR="00362CA6" w:rsidRDefault="00362CA6" w:rsidP="00006355">
          <w:pPr>
            <w:spacing w:line="0" w:lineRule="atLeast"/>
            <w:jc w:val="right"/>
            <w:rPr>
              <w:sz w:val="18"/>
            </w:rPr>
          </w:pPr>
        </w:p>
      </w:tc>
    </w:tr>
  </w:tbl>
  <w:p w14:paraId="7BE83C82" w14:textId="77777777" w:rsidR="00362CA6" w:rsidRPr="006D3123" w:rsidRDefault="00362CA6" w:rsidP="006D3123">
    <w:pPr>
      <w:rPr>
        <w:rFonts w:cs="Times New Roman"/>
        <w:i/>
        <w:sz w:val="18"/>
      </w:rPr>
    </w:pPr>
    <w:r w:rsidRPr="006D3123">
      <w:rPr>
        <w:rFonts w:cs="Times New Roman"/>
        <w:i/>
        <w:sz w:val="18"/>
      </w:rPr>
      <w:t>OPC66209 -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869A" w14:textId="77777777" w:rsidR="00362CA6" w:rsidRPr="00E33C1C" w:rsidRDefault="00362CA6" w:rsidP="0049020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362CA6" w14:paraId="3CD52C0F" w14:textId="77777777" w:rsidTr="00490203">
      <w:tc>
        <w:tcPr>
          <w:tcW w:w="816" w:type="pct"/>
          <w:tcBorders>
            <w:top w:val="nil"/>
            <w:left w:val="nil"/>
            <w:bottom w:val="nil"/>
            <w:right w:val="nil"/>
          </w:tcBorders>
        </w:tcPr>
        <w:p w14:paraId="7775A0CD" w14:textId="77777777" w:rsidR="00362CA6" w:rsidRDefault="00362CA6" w:rsidP="00006355">
          <w:pPr>
            <w:spacing w:line="0" w:lineRule="atLeast"/>
            <w:rPr>
              <w:sz w:val="18"/>
            </w:rPr>
          </w:pPr>
        </w:p>
      </w:tc>
      <w:tc>
        <w:tcPr>
          <w:tcW w:w="3765" w:type="pct"/>
          <w:tcBorders>
            <w:top w:val="nil"/>
            <w:left w:val="nil"/>
            <w:bottom w:val="nil"/>
            <w:right w:val="nil"/>
          </w:tcBorders>
        </w:tcPr>
        <w:p w14:paraId="76A6D706" w14:textId="03F44925" w:rsidR="00362CA6" w:rsidRDefault="00362CA6" w:rsidP="000063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419" w:type="pct"/>
          <w:tcBorders>
            <w:top w:val="nil"/>
            <w:left w:val="nil"/>
            <w:bottom w:val="nil"/>
            <w:right w:val="nil"/>
          </w:tcBorders>
        </w:tcPr>
        <w:p w14:paraId="7993F970" w14:textId="6AC50980" w:rsidR="00362CA6" w:rsidRDefault="00362CA6" w:rsidP="000063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908045A" w14:textId="77777777" w:rsidR="00362CA6" w:rsidRPr="006D3123" w:rsidRDefault="00362CA6" w:rsidP="006D3123">
    <w:pPr>
      <w:rPr>
        <w:rFonts w:cs="Times New Roman"/>
        <w:i/>
        <w:sz w:val="18"/>
      </w:rPr>
    </w:pPr>
    <w:r w:rsidRPr="006D3123">
      <w:rPr>
        <w:rFonts w:cs="Times New Roman"/>
        <w:i/>
        <w:sz w:val="18"/>
      </w:rPr>
      <w:t>OPC66209 -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21D6" w14:textId="77777777" w:rsidR="00362CA6" w:rsidRPr="00E33C1C" w:rsidRDefault="00362CA6" w:rsidP="00194AA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62CA6" w14:paraId="52A4F517" w14:textId="77777777" w:rsidTr="002464C9">
      <w:tc>
        <w:tcPr>
          <w:tcW w:w="709" w:type="dxa"/>
          <w:tcBorders>
            <w:top w:val="nil"/>
            <w:left w:val="nil"/>
            <w:bottom w:val="nil"/>
            <w:right w:val="nil"/>
          </w:tcBorders>
        </w:tcPr>
        <w:p w14:paraId="07EF0894" w14:textId="2CB3018D" w:rsidR="00362CA6" w:rsidRDefault="00362CA6" w:rsidP="007064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14:paraId="7828D693" w14:textId="2B0C01CA" w:rsidR="00362CA6" w:rsidRDefault="00362CA6" w:rsidP="007064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1384" w:type="dxa"/>
          <w:tcBorders>
            <w:top w:val="nil"/>
            <w:left w:val="nil"/>
            <w:bottom w:val="nil"/>
            <w:right w:val="nil"/>
          </w:tcBorders>
        </w:tcPr>
        <w:p w14:paraId="51BCCA2D" w14:textId="77777777" w:rsidR="00362CA6" w:rsidRDefault="00362CA6" w:rsidP="00706414">
          <w:pPr>
            <w:spacing w:line="0" w:lineRule="atLeast"/>
            <w:jc w:val="right"/>
            <w:rPr>
              <w:sz w:val="18"/>
            </w:rPr>
          </w:pPr>
        </w:p>
      </w:tc>
    </w:tr>
  </w:tbl>
  <w:p w14:paraId="1D5B5DE8" w14:textId="77777777" w:rsidR="00362CA6" w:rsidRPr="006D3123" w:rsidRDefault="00362CA6" w:rsidP="006D3123">
    <w:pPr>
      <w:rPr>
        <w:rFonts w:cs="Times New Roman"/>
        <w:i/>
        <w:sz w:val="18"/>
      </w:rPr>
    </w:pPr>
    <w:r w:rsidRPr="006D3123">
      <w:rPr>
        <w:rFonts w:cs="Times New Roman"/>
        <w:i/>
        <w:sz w:val="18"/>
      </w:rPr>
      <w:t>OPC66209 -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50BF" w14:textId="77777777" w:rsidR="00362CA6" w:rsidRPr="00E33C1C" w:rsidRDefault="00362CA6" w:rsidP="00194AA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62CA6" w14:paraId="50C9FE76" w14:textId="77777777" w:rsidTr="00706414">
      <w:tc>
        <w:tcPr>
          <w:tcW w:w="1384" w:type="dxa"/>
          <w:tcBorders>
            <w:top w:val="nil"/>
            <w:left w:val="nil"/>
            <w:bottom w:val="nil"/>
            <w:right w:val="nil"/>
          </w:tcBorders>
        </w:tcPr>
        <w:p w14:paraId="14F4AACC" w14:textId="77777777" w:rsidR="00362CA6" w:rsidRDefault="00362CA6" w:rsidP="00706414">
          <w:pPr>
            <w:spacing w:line="0" w:lineRule="atLeast"/>
            <w:rPr>
              <w:sz w:val="18"/>
            </w:rPr>
          </w:pPr>
        </w:p>
      </w:tc>
      <w:tc>
        <w:tcPr>
          <w:tcW w:w="6379" w:type="dxa"/>
          <w:tcBorders>
            <w:top w:val="nil"/>
            <w:left w:val="nil"/>
            <w:bottom w:val="nil"/>
            <w:right w:val="nil"/>
          </w:tcBorders>
        </w:tcPr>
        <w:p w14:paraId="09490DE2" w14:textId="467DFFA8" w:rsidR="00362CA6" w:rsidRDefault="00362CA6" w:rsidP="007064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709" w:type="dxa"/>
          <w:tcBorders>
            <w:top w:val="nil"/>
            <w:left w:val="nil"/>
            <w:bottom w:val="nil"/>
            <w:right w:val="nil"/>
          </w:tcBorders>
        </w:tcPr>
        <w:p w14:paraId="52A64C4D" w14:textId="5B3F8C48" w:rsidR="00362CA6" w:rsidRDefault="00362CA6" w:rsidP="007064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7033E28F" w14:textId="77777777" w:rsidR="00362CA6" w:rsidRPr="006D3123" w:rsidRDefault="00362CA6" w:rsidP="006D3123">
    <w:pPr>
      <w:rPr>
        <w:rFonts w:cs="Times New Roman"/>
        <w:i/>
        <w:sz w:val="18"/>
      </w:rPr>
    </w:pPr>
    <w:r w:rsidRPr="006D3123">
      <w:rPr>
        <w:rFonts w:cs="Times New Roman"/>
        <w:i/>
        <w:sz w:val="18"/>
      </w:rPr>
      <w:t>OPC66209 -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3E25" w14:textId="77777777" w:rsidR="00362CA6" w:rsidRPr="00E33C1C" w:rsidRDefault="00362CA6" w:rsidP="00194AA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62CA6" w14:paraId="30341CD6" w14:textId="77777777" w:rsidTr="00706414">
      <w:tc>
        <w:tcPr>
          <w:tcW w:w="817" w:type="pct"/>
          <w:tcBorders>
            <w:top w:val="nil"/>
            <w:left w:val="nil"/>
            <w:bottom w:val="nil"/>
            <w:right w:val="nil"/>
          </w:tcBorders>
        </w:tcPr>
        <w:p w14:paraId="324CD0FB" w14:textId="77777777" w:rsidR="00362CA6" w:rsidRDefault="00362CA6" w:rsidP="00194AA1">
          <w:pPr>
            <w:spacing w:line="0" w:lineRule="atLeast"/>
            <w:rPr>
              <w:sz w:val="18"/>
            </w:rPr>
          </w:pPr>
        </w:p>
      </w:tc>
      <w:tc>
        <w:tcPr>
          <w:tcW w:w="3765" w:type="pct"/>
          <w:tcBorders>
            <w:top w:val="nil"/>
            <w:left w:val="nil"/>
            <w:bottom w:val="nil"/>
            <w:right w:val="nil"/>
          </w:tcBorders>
        </w:tcPr>
        <w:p w14:paraId="47FA0839" w14:textId="3DEFCC37" w:rsidR="00362CA6" w:rsidRDefault="00362CA6" w:rsidP="00194A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418" w:type="pct"/>
          <w:tcBorders>
            <w:top w:val="nil"/>
            <w:left w:val="nil"/>
            <w:bottom w:val="nil"/>
            <w:right w:val="nil"/>
          </w:tcBorders>
        </w:tcPr>
        <w:p w14:paraId="5E1A40C8" w14:textId="77777777" w:rsidR="00362CA6" w:rsidRDefault="00362CA6" w:rsidP="00194A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5A4311F6" w14:textId="77777777" w:rsidR="00362CA6" w:rsidRPr="00ED79B6" w:rsidRDefault="00362CA6" w:rsidP="00194AA1">
    <w:pPr>
      <w:rPr>
        <w:i/>
        <w:sz w:val="18"/>
      </w:rPr>
    </w:pPr>
  </w:p>
  <w:p w14:paraId="5A14EA80" w14:textId="77777777" w:rsidR="00362CA6" w:rsidRPr="006D3123" w:rsidRDefault="00362CA6" w:rsidP="006D3123">
    <w:pPr>
      <w:pStyle w:val="Footer"/>
      <w:rPr>
        <w:i/>
        <w:sz w:val="18"/>
      </w:rPr>
    </w:pPr>
    <w:r w:rsidRPr="006D3123">
      <w:rPr>
        <w:i/>
        <w:sz w:val="18"/>
      </w:rPr>
      <w:t>OPC66209 -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B50A" w14:textId="77777777" w:rsidR="00362CA6" w:rsidRPr="00021F98" w:rsidRDefault="00362CA6" w:rsidP="0049020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2549"/>
      <w:gridCol w:w="9929"/>
      <w:gridCol w:w="983"/>
    </w:tblGrid>
    <w:tr w:rsidR="00362CA6" w14:paraId="15F344CC" w14:textId="77777777" w:rsidTr="00490203">
      <w:tc>
        <w:tcPr>
          <w:tcW w:w="947" w:type="pct"/>
          <w:tcBorders>
            <w:top w:val="nil"/>
            <w:left w:val="nil"/>
            <w:bottom w:val="nil"/>
            <w:right w:val="nil"/>
          </w:tcBorders>
        </w:tcPr>
        <w:p w14:paraId="586D1946" w14:textId="77777777" w:rsidR="00362CA6" w:rsidRDefault="00362CA6" w:rsidP="00B260B2">
          <w:pPr>
            <w:spacing w:line="0" w:lineRule="atLeast"/>
            <w:rPr>
              <w:sz w:val="18"/>
            </w:rPr>
          </w:pPr>
        </w:p>
      </w:tc>
      <w:tc>
        <w:tcPr>
          <w:tcW w:w="3688" w:type="pct"/>
          <w:tcBorders>
            <w:top w:val="nil"/>
            <w:left w:val="nil"/>
            <w:bottom w:val="nil"/>
            <w:right w:val="nil"/>
          </w:tcBorders>
        </w:tcPr>
        <w:p w14:paraId="6C6F67B2" w14:textId="0D05EE5D" w:rsidR="00362CA6" w:rsidRDefault="00362CA6" w:rsidP="00B260B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(Family Law) Amendment (2022 Measures No. 1) Rules 2022</w:t>
          </w:r>
          <w:r w:rsidRPr="007A1328">
            <w:rPr>
              <w:i/>
              <w:sz w:val="18"/>
            </w:rPr>
            <w:fldChar w:fldCharType="end"/>
          </w:r>
        </w:p>
      </w:tc>
      <w:tc>
        <w:tcPr>
          <w:tcW w:w="365" w:type="pct"/>
          <w:tcBorders>
            <w:top w:val="nil"/>
            <w:left w:val="nil"/>
            <w:bottom w:val="nil"/>
            <w:right w:val="nil"/>
          </w:tcBorders>
        </w:tcPr>
        <w:p w14:paraId="08EA0CA1" w14:textId="05C11C54" w:rsidR="00362CA6" w:rsidRDefault="00362CA6" w:rsidP="00B260B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w:t>
          </w:r>
          <w:r w:rsidRPr="00ED79B6">
            <w:rPr>
              <w:i/>
              <w:sz w:val="18"/>
            </w:rPr>
            <w:fldChar w:fldCharType="end"/>
          </w:r>
        </w:p>
      </w:tc>
    </w:tr>
  </w:tbl>
  <w:p w14:paraId="30A30473" w14:textId="77777777" w:rsidR="00362CA6" w:rsidRPr="006D3123" w:rsidRDefault="00362CA6" w:rsidP="006D3123">
    <w:pPr>
      <w:rPr>
        <w:rFonts w:cs="Times New Roman"/>
        <w:i/>
        <w:sz w:val="18"/>
      </w:rPr>
    </w:pPr>
    <w:r w:rsidRPr="006D3123">
      <w:rPr>
        <w:rFonts w:cs="Times New Roman"/>
        <w:i/>
        <w:sz w:val="18"/>
      </w:rPr>
      <w:t>OPC66209 -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C597C" w14:textId="77777777" w:rsidR="00362CA6" w:rsidRDefault="00362CA6" w:rsidP="0048364F">
      <w:pPr>
        <w:spacing w:line="240" w:lineRule="auto"/>
      </w:pPr>
      <w:r>
        <w:separator/>
      </w:r>
    </w:p>
  </w:footnote>
  <w:footnote w:type="continuationSeparator" w:id="0">
    <w:p w14:paraId="7A4A923C" w14:textId="77777777" w:rsidR="00362CA6" w:rsidRDefault="00362CA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8346" w14:textId="77777777" w:rsidR="00362CA6" w:rsidRPr="005F1388" w:rsidRDefault="00362CA6" w:rsidP="00006355">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9A4D" w14:textId="490311F5" w:rsidR="00362CA6" w:rsidRPr="00A961C4" w:rsidRDefault="00362CA6" w:rsidP="00706414">
    <w:pPr>
      <w:rPr>
        <w:b/>
        <w:sz w:val="20"/>
      </w:rPr>
    </w:pPr>
    <w:r>
      <w:rPr>
        <w:b/>
        <w:sz w:val="20"/>
      </w:rPr>
      <w:fldChar w:fldCharType="begin"/>
    </w:r>
    <w:r>
      <w:rPr>
        <w:b/>
        <w:sz w:val="20"/>
      </w:rPr>
      <w:instrText xml:space="preserve"> STYLEREF CharAmSchNo </w:instrText>
    </w:r>
    <w:r>
      <w:rPr>
        <w:b/>
        <w:sz w:val="20"/>
      </w:rPr>
      <w:fldChar w:fldCharType="separate"/>
    </w:r>
    <w:r w:rsidR="00690F1B">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90F1B">
      <w:rPr>
        <w:noProof/>
        <w:sz w:val="20"/>
      </w:rPr>
      <w:t>Delegated powers</w:t>
    </w:r>
    <w:r>
      <w:rPr>
        <w:sz w:val="20"/>
      </w:rPr>
      <w:fldChar w:fldCharType="end"/>
    </w:r>
  </w:p>
  <w:p w14:paraId="139869BF" w14:textId="561B7DBD" w:rsidR="00362CA6" w:rsidRPr="00A961C4" w:rsidRDefault="00362CA6" w:rsidP="0070641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91D7BE8" w14:textId="77777777" w:rsidR="00362CA6" w:rsidRPr="00194AA1" w:rsidRDefault="00362CA6" w:rsidP="00194AA1">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287E" w14:textId="65AC05D7" w:rsidR="00362CA6" w:rsidRPr="00A961C4" w:rsidRDefault="00362CA6" w:rsidP="00706414">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690F1B">
      <w:rPr>
        <w:noProof/>
        <w:sz w:val="20"/>
      </w:rPr>
      <w:t>Delegated powers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690F1B">
      <w:rPr>
        <w:b/>
        <w:noProof/>
        <w:sz w:val="20"/>
      </w:rPr>
      <w:t>Schedule 3</w:t>
    </w:r>
    <w:r>
      <w:rPr>
        <w:b/>
        <w:sz w:val="20"/>
      </w:rPr>
      <w:fldChar w:fldCharType="end"/>
    </w:r>
  </w:p>
  <w:p w14:paraId="72A525DD" w14:textId="3499D387" w:rsidR="00362CA6" w:rsidRPr="00A961C4" w:rsidRDefault="00362CA6" w:rsidP="00706414">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4AA830D" w14:textId="77777777" w:rsidR="00362CA6" w:rsidRPr="00194AA1" w:rsidRDefault="00362CA6" w:rsidP="00194AA1">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D712" w14:textId="77777777" w:rsidR="00362CA6" w:rsidRPr="000B5E62" w:rsidRDefault="00362CA6">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096F" w14:textId="206B47EA" w:rsidR="00362CA6" w:rsidRPr="00A961C4" w:rsidRDefault="00362CA6"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Delegated powers</w:t>
    </w:r>
    <w:r>
      <w:rPr>
        <w:sz w:val="20"/>
      </w:rPr>
      <w:fldChar w:fldCharType="end"/>
    </w:r>
  </w:p>
  <w:p w14:paraId="7B74BB21" w14:textId="77F8A848" w:rsidR="00362CA6" w:rsidRPr="00A961C4" w:rsidRDefault="00362CA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83BD457" w14:textId="77777777" w:rsidR="00362CA6" w:rsidRPr="00A961C4" w:rsidRDefault="00362CA6" w:rsidP="00490203">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0908" w14:textId="6C3E6079" w:rsidR="00362CA6" w:rsidRPr="00A961C4" w:rsidRDefault="00362CA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Pr>
        <w:noProof/>
        <w:sz w:val="20"/>
      </w:rPr>
      <w:t>Delegated powers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Pr>
        <w:b/>
        <w:noProof/>
        <w:sz w:val="20"/>
      </w:rPr>
      <w:t>Schedule 3</w:t>
    </w:r>
    <w:r>
      <w:rPr>
        <w:b/>
        <w:sz w:val="20"/>
      </w:rPr>
      <w:fldChar w:fldCharType="end"/>
    </w:r>
  </w:p>
  <w:p w14:paraId="302D63BB" w14:textId="4C4DDF6A" w:rsidR="00362CA6" w:rsidRPr="00A961C4" w:rsidRDefault="00362CA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857BF05" w14:textId="77777777" w:rsidR="00362CA6" w:rsidRPr="00A961C4" w:rsidRDefault="00362CA6" w:rsidP="00490203">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D44E" w14:textId="77777777" w:rsidR="00362CA6" w:rsidRPr="00A961C4" w:rsidRDefault="00362CA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F5C3" w14:textId="77777777" w:rsidR="00362CA6" w:rsidRPr="005F1388" w:rsidRDefault="00362CA6" w:rsidP="00006355">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0DCE" w14:textId="77777777" w:rsidR="00362CA6" w:rsidRPr="005F1388" w:rsidRDefault="00362CA6" w:rsidP="0000635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FC68" w14:textId="77777777" w:rsidR="00362CA6" w:rsidRPr="00ED79B6" w:rsidRDefault="00362CA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6997" w14:textId="77777777" w:rsidR="00362CA6" w:rsidRPr="00ED79B6" w:rsidRDefault="00362CA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6AB0" w14:textId="77777777" w:rsidR="00362CA6" w:rsidRPr="00ED79B6" w:rsidRDefault="00362CA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54B7" w14:textId="3CCA7E98" w:rsidR="00362CA6" w:rsidRPr="00A961C4" w:rsidRDefault="00362CA6" w:rsidP="00706414">
    <w:pPr>
      <w:rPr>
        <w:b/>
        <w:sz w:val="20"/>
      </w:rPr>
    </w:pPr>
    <w:r>
      <w:rPr>
        <w:b/>
        <w:sz w:val="20"/>
      </w:rPr>
      <w:fldChar w:fldCharType="begin"/>
    </w:r>
    <w:r>
      <w:rPr>
        <w:b/>
        <w:sz w:val="20"/>
      </w:rPr>
      <w:instrText xml:space="preserve"> STYLEREF CharAmSchNo </w:instrText>
    </w:r>
    <w:r>
      <w:rPr>
        <w:b/>
        <w:sz w:val="20"/>
      </w:rPr>
      <w:fldChar w:fldCharType="separate"/>
    </w:r>
    <w:r w:rsidR="00690F1B">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90F1B">
      <w:rPr>
        <w:noProof/>
        <w:sz w:val="20"/>
      </w:rPr>
      <w:t>Scale of costs</w:t>
    </w:r>
    <w:r>
      <w:rPr>
        <w:sz w:val="20"/>
      </w:rPr>
      <w:fldChar w:fldCharType="end"/>
    </w:r>
  </w:p>
  <w:p w14:paraId="117EF1BC" w14:textId="6EB4BE3A" w:rsidR="00362CA6" w:rsidRPr="00A961C4" w:rsidRDefault="00362CA6" w:rsidP="0070641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E0C7983" w14:textId="77777777" w:rsidR="00362CA6" w:rsidRPr="00194AA1" w:rsidRDefault="00362CA6" w:rsidP="00194AA1">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73C0" w14:textId="3685AC8D" w:rsidR="00362CA6" w:rsidRPr="00A961C4" w:rsidRDefault="00362CA6" w:rsidP="00706414">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1454DF0" w14:textId="721DF833" w:rsidR="00362CA6" w:rsidRPr="00A961C4" w:rsidRDefault="00362CA6" w:rsidP="00706414">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ACBCB13" w14:textId="77777777" w:rsidR="00362CA6" w:rsidRPr="00194AA1" w:rsidRDefault="00362CA6" w:rsidP="00194AA1">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1717" w14:textId="77777777" w:rsidR="00362CA6" w:rsidRPr="00194AA1" w:rsidRDefault="00362CA6" w:rsidP="00706414">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E3739"/>
    <w:multiLevelType w:val="hybridMultilevel"/>
    <w:tmpl w:val="669837B6"/>
    <w:lvl w:ilvl="0" w:tplc="0C090017">
      <w:start w:val="1"/>
      <w:numFmt w:val="lowerLetter"/>
      <w:lvlText w:val="%1)"/>
      <w:lvlJc w:val="left"/>
      <w:pPr>
        <w:ind w:left="360" w:hanging="360"/>
      </w:pPr>
    </w:lvl>
    <w:lvl w:ilvl="1" w:tplc="AEB03642">
      <w:start w:val="1"/>
      <w:numFmt w:val="lowerRoman"/>
      <w:lvlText w:val="%2)"/>
      <w:lvlJc w:val="right"/>
      <w:pPr>
        <w:ind w:left="1080" w:hanging="360"/>
      </w:pPr>
      <w:rPr>
        <w:rFonts w:ascii="Times New Roman" w:eastAsia="Times New Roman" w:hAnsi="Times New Roman" w:cs="Times New Roman"/>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B66C14"/>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4F7E9D"/>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7B0513"/>
    <w:multiLevelType w:val="hybridMultilevel"/>
    <w:tmpl w:val="5BB83C42"/>
    <w:lvl w:ilvl="0" w:tplc="FDD46E1A">
      <w:start w:val="1"/>
      <w:numFmt w:val="lowerLetter"/>
      <w:lvlText w:val="(%1)"/>
      <w:lvlJc w:val="left"/>
      <w:pPr>
        <w:ind w:left="720" w:hanging="360"/>
      </w:pPr>
      <w:rPr>
        <w:rFonts w:eastAsiaTheme="minorHAnsi" w:hint="default"/>
        <w:color w:val="FF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C4905FA"/>
    <w:multiLevelType w:val="hybridMultilevel"/>
    <w:tmpl w:val="058C4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0BA7158"/>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9679A3"/>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1E29B0"/>
    <w:multiLevelType w:val="hybridMultilevel"/>
    <w:tmpl w:val="5964B676"/>
    <w:lvl w:ilvl="0" w:tplc="24D8C99E">
      <w:start w:val="1"/>
      <w:numFmt w:val="lowerLetter"/>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8C0880"/>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4B7E1D"/>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924C46"/>
    <w:multiLevelType w:val="hybridMultilevel"/>
    <w:tmpl w:val="C6EE3446"/>
    <w:lvl w:ilvl="0" w:tplc="F010366A">
      <w:start w:val="1"/>
      <w:numFmt w:val="lowerLetter"/>
      <w:lvlText w:val="%1)"/>
      <w:lvlJc w:val="left"/>
      <w:pPr>
        <w:ind w:left="720" w:hanging="360"/>
      </w:pPr>
      <w:rPr>
        <w:rFonts w:ascii="Times New Roman" w:hAnsi="Times New Roman" w:cs="Times New Roman"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5B4AD3"/>
    <w:multiLevelType w:val="hybridMultilevel"/>
    <w:tmpl w:val="5BB83C42"/>
    <w:lvl w:ilvl="0" w:tplc="FDD46E1A">
      <w:start w:val="1"/>
      <w:numFmt w:val="lowerLetter"/>
      <w:lvlText w:val="(%1)"/>
      <w:lvlJc w:val="left"/>
      <w:pPr>
        <w:ind w:left="720" w:hanging="360"/>
      </w:pPr>
      <w:rPr>
        <w:rFonts w:eastAsiaTheme="minorHAnsi" w:hint="default"/>
        <w:color w:val="FF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17"/>
  </w:num>
  <w:num w:numId="15">
    <w:abstractNumId w:val="15"/>
  </w:num>
  <w:num w:numId="16">
    <w:abstractNumId w:val="10"/>
  </w:num>
  <w:num w:numId="17">
    <w:abstractNumId w:val="22"/>
  </w:num>
  <w:num w:numId="18">
    <w:abstractNumId w:val="21"/>
  </w:num>
  <w:num w:numId="19">
    <w:abstractNumId w:val="18"/>
  </w:num>
  <w:num w:numId="20">
    <w:abstractNumId w:val="29"/>
  </w:num>
  <w:num w:numId="21">
    <w:abstractNumId w:val="12"/>
  </w:num>
  <w:num w:numId="22">
    <w:abstractNumId w:val="27"/>
  </w:num>
  <w:num w:numId="23">
    <w:abstractNumId w:val="28"/>
  </w:num>
  <w:num w:numId="24">
    <w:abstractNumId w:val="25"/>
  </w:num>
  <w:num w:numId="25">
    <w:abstractNumId w:val="26"/>
  </w:num>
  <w:num w:numId="26">
    <w:abstractNumId w:val="23"/>
  </w:num>
  <w:num w:numId="27">
    <w:abstractNumId w:val="14"/>
  </w:num>
  <w:num w:numId="28">
    <w:abstractNumId w:val="24"/>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F7B"/>
    <w:rsid w:val="00000263"/>
    <w:rsid w:val="00006355"/>
    <w:rsid w:val="000113BC"/>
    <w:rsid w:val="000136AF"/>
    <w:rsid w:val="00036E24"/>
    <w:rsid w:val="0004044E"/>
    <w:rsid w:val="00046F47"/>
    <w:rsid w:val="0005120E"/>
    <w:rsid w:val="00054577"/>
    <w:rsid w:val="00054AB6"/>
    <w:rsid w:val="000614BF"/>
    <w:rsid w:val="000637F4"/>
    <w:rsid w:val="0007169C"/>
    <w:rsid w:val="00077593"/>
    <w:rsid w:val="00083F48"/>
    <w:rsid w:val="00086D6E"/>
    <w:rsid w:val="000876CD"/>
    <w:rsid w:val="000A25EA"/>
    <w:rsid w:val="000A7DF9"/>
    <w:rsid w:val="000D05EF"/>
    <w:rsid w:val="000D5485"/>
    <w:rsid w:val="000E782E"/>
    <w:rsid w:val="000F21C1"/>
    <w:rsid w:val="00105D72"/>
    <w:rsid w:val="0010745C"/>
    <w:rsid w:val="00117277"/>
    <w:rsid w:val="001335D5"/>
    <w:rsid w:val="0015534F"/>
    <w:rsid w:val="00155873"/>
    <w:rsid w:val="00160BD7"/>
    <w:rsid w:val="001643C9"/>
    <w:rsid w:val="00165568"/>
    <w:rsid w:val="00166082"/>
    <w:rsid w:val="00166C2F"/>
    <w:rsid w:val="001673F0"/>
    <w:rsid w:val="001716C9"/>
    <w:rsid w:val="00184261"/>
    <w:rsid w:val="00190BA1"/>
    <w:rsid w:val="00190DF5"/>
    <w:rsid w:val="00191119"/>
    <w:rsid w:val="00193461"/>
    <w:rsid w:val="001939E1"/>
    <w:rsid w:val="00194AA1"/>
    <w:rsid w:val="00195382"/>
    <w:rsid w:val="001976E3"/>
    <w:rsid w:val="001A3B9F"/>
    <w:rsid w:val="001A65C0"/>
    <w:rsid w:val="001B3D86"/>
    <w:rsid w:val="001B6456"/>
    <w:rsid w:val="001B7A5D"/>
    <w:rsid w:val="001C69C4"/>
    <w:rsid w:val="001E0A8D"/>
    <w:rsid w:val="001E3590"/>
    <w:rsid w:val="001E7407"/>
    <w:rsid w:val="00200C51"/>
    <w:rsid w:val="00201D27"/>
    <w:rsid w:val="0020300C"/>
    <w:rsid w:val="00220A0C"/>
    <w:rsid w:val="00223E4A"/>
    <w:rsid w:val="002302EA"/>
    <w:rsid w:val="00237A8E"/>
    <w:rsid w:val="00240749"/>
    <w:rsid w:val="002456A6"/>
    <w:rsid w:val="002464C9"/>
    <w:rsid w:val="002468D7"/>
    <w:rsid w:val="00263886"/>
    <w:rsid w:val="00285CDD"/>
    <w:rsid w:val="00291167"/>
    <w:rsid w:val="00297ECB"/>
    <w:rsid w:val="002C152A"/>
    <w:rsid w:val="002D043A"/>
    <w:rsid w:val="002D0D54"/>
    <w:rsid w:val="0031713F"/>
    <w:rsid w:val="00321913"/>
    <w:rsid w:val="00324EE6"/>
    <w:rsid w:val="003316DC"/>
    <w:rsid w:val="00332E0D"/>
    <w:rsid w:val="003415D3"/>
    <w:rsid w:val="00341F9F"/>
    <w:rsid w:val="00346335"/>
    <w:rsid w:val="00352B0F"/>
    <w:rsid w:val="003561B0"/>
    <w:rsid w:val="00362CA6"/>
    <w:rsid w:val="00367960"/>
    <w:rsid w:val="00381F7B"/>
    <w:rsid w:val="00385FAD"/>
    <w:rsid w:val="003A005A"/>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26C4C"/>
    <w:rsid w:val="00432FEF"/>
    <w:rsid w:val="0044291A"/>
    <w:rsid w:val="00452821"/>
    <w:rsid w:val="00460499"/>
    <w:rsid w:val="00474835"/>
    <w:rsid w:val="004748C9"/>
    <w:rsid w:val="004819C7"/>
    <w:rsid w:val="0048364F"/>
    <w:rsid w:val="00485C54"/>
    <w:rsid w:val="00490203"/>
    <w:rsid w:val="00490F2E"/>
    <w:rsid w:val="00496DB3"/>
    <w:rsid w:val="00496F97"/>
    <w:rsid w:val="004A53EA"/>
    <w:rsid w:val="004B6F4A"/>
    <w:rsid w:val="004D04A7"/>
    <w:rsid w:val="004F1FAC"/>
    <w:rsid w:val="004F676E"/>
    <w:rsid w:val="00505FE8"/>
    <w:rsid w:val="00516B8D"/>
    <w:rsid w:val="0052686F"/>
    <w:rsid w:val="0052756C"/>
    <w:rsid w:val="00530230"/>
    <w:rsid w:val="00530CC9"/>
    <w:rsid w:val="00537FBC"/>
    <w:rsid w:val="00541D73"/>
    <w:rsid w:val="00543469"/>
    <w:rsid w:val="00543A07"/>
    <w:rsid w:val="005452CC"/>
    <w:rsid w:val="00545964"/>
    <w:rsid w:val="00546FA3"/>
    <w:rsid w:val="00554243"/>
    <w:rsid w:val="00557C7A"/>
    <w:rsid w:val="00562A58"/>
    <w:rsid w:val="00581211"/>
    <w:rsid w:val="00584811"/>
    <w:rsid w:val="00593AA6"/>
    <w:rsid w:val="00594161"/>
    <w:rsid w:val="00594512"/>
    <w:rsid w:val="00594749"/>
    <w:rsid w:val="005A2A5D"/>
    <w:rsid w:val="005A482B"/>
    <w:rsid w:val="005B4067"/>
    <w:rsid w:val="005C03D8"/>
    <w:rsid w:val="005C36E0"/>
    <w:rsid w:val="005C3F41"/>
    <w:rsid w:val="005D168D"/>
    <w:rsid w:val="005D5EA1"/>
    <w:rsid w:val="005E61D3"/>
    <w:rsid w:val="005F4840"/>
    <w:rsid w:val="005F7738"/>
    <w:rsid w:val="00600219"/>
    <w:rsid w:val="00613EAD"/>
    <w:rsid w:val="006158AC"/>
    <w:rsid w:val="00616133"/>
    <w:rsid w:val="00627912"/>
    <w:rsid w:val="00631B17"/>
    <w:rsid w:val="0064024F"/>
    <w:rsid w:val="00640402"/>
    <w:rsid w:val="00640F78"/>
    <w:rsid w:val="0064654A"/>
    <w:rsid w:val="00646E7B"/>
    <w:rsid w:val="00655D6A"/>
    <w:rsid w:val="00656DE9"/>
    <w:rsid w:val="00677CC2"/>
    <w:rsid w:val="00682F77"/>
    <w:rsid w:val="00685F42"/>
    <w:rsid w:val="006866A1"/>
    <w:rsid w:val="00690F1B"/>
    <w:rsid w:val="0069207B"/>
    <w:rsid w:val="006A4309"/>
    <w:rsid w:val="006A623E"/>
    <w:rsid w:val="006B0E55"/>
    <w:rsid w:val="006B7006"/>
    <w:rsid w:val="006C7F8C"/>
    <w:rsid w:val="006D3123"/>
    <w:rsid w:val="006D7AB9"/>
    <w:rsid w:val="00700B2C"/>
    <w:rsid w:val="00706414"/>
    <w:rsid w:val="00713084"/>
    <w:rsid w:val="00714482"/>
    <w:rsid w:val="00720FC2"/>
    <w:rsid w:val="00730223"/>
    <w:rsid w:val="00731E00"/>
    <w:rsid w:val="00732E9D"/>
    <w:rsid w:val="0073491A"/>
    <w:rsid w:val="007440B7"/>
    <w:rsid w:val="00747993"/>
    <w:rsid w:val="00750DF1"/>
    <w:rsid w:val="007634AD"/>
    <w:rsid w:val="007715C9"/>
    <w:rsid w:val="00774EDD"/>
    <w:rsid w:val="007757EC"/>
    <w:rsid w:val="007A115D"/>
    <w:rsid w:val="007A35E6"/>
    <w:rsid w:val="007A6863"/>
    <w:rsid w:val="007D45C1"/>
    <w:rsid w:val="007E7D4A"/>
    <w:rsid w:val="007F48ED"/>
    <w:rsid w:val="007F7947"/>
    <w:rsid w:val="00812F45"/>
    <w:rsid w:val="00823B55"/>
    <w:rsid w:val="0084172C"/>
    <w:rsid w:val="0085535A"/>
    <w:rsid w:val="00856A31"/>
    <w:rsid w:val="00857606"/>
    <w:rsid w:val="008754D0"/>
    <w:rsid w:val="00877D48"/>
    <w:rsid w:val="008816F0"/>
    <w:rsid w:val="0088345B"/>
    <w:rsid w:val="008A16A5"/>
    <w:rsid w:val="008B5D42"/>
    <w:rsid w:val="008C21DC"/>
    <w:rsid w:val="008C2B5D"/>
    <w:rsid w:val="008C3D92"/>
    <w:rsid w:val="008D0EE0"/>
    <w:rsid w:val="008D5B99"/>
    <w:rsid w:val="008D7A27"/>
    <w:rsid w:val="008E4702"/>
    <w:rsid w:val="008E52D5"/>
    <w:rsid w:val="008E66BC"/>
    <w:rsid w:val="008E69AA"/>
    <w:rsid w:val="008F4F1C"/>
    <w:rsid w:val="00904FEF"/>
    <w:rsid w:val="009141A5"/>
    <w:rsid w:val="009218EE"/>
    <w:rsid w:val="00922764"/>
    <w:rsid w:val="00932377"/>
    <w:rsid w:val="009325B1"/>
    <w:rsid w:val="00934C84"/>
    <w:rsid w:val="009408EA"/>
    <w:rsid w:val="00943102"/>
    <w:rsid w:val="0094523D"/>
    <w:rsid w:val="009559E6"/>
    <w:rsid w:val="0097062D"/>
    <w:rsid w:val="00973613"/>
    <w:rsid w:val="00976A63"/>
    <w:rsid w:val="00983419"/>
    <w:rsid w:val="00994821"/>
    <w:rsid w:val="009A385B"/>
    <w:rsid w:val="009B553F"/>
    <w:rsid w:val="009C3431"/>
    <w:rsid w:val="009C5989"/>
    <w:rsid w:val="009D08DA"/>
    <w:rsid w:val="009D14A0"/>
    <w:rsid w:val="009E270A"/>
    <w:rsid w:val="009F4EB5"/>
    <w:rsid w:val="00A05BBD"/>
    <w:rsid w:val="00A06860"/>
    <w:rsid w:val="00A136F5"/>
    <w:rsid w:val="00A231E2"/>
    <w:rsid w:val="00A23BFC"/>
    <w:rsid w:val="00A2550D"/>
    <w:rsid w:val="00A4169B"/>
    <w:rsid w:val="00A445F2"/>
    <w:rsid w:val="00A50D55"/>
    <w:rsid w:val="00A5165B"/>
    <w:rsid w:val="00A52FDA"/>
    <w:rsid w:val="00A566E6"/>
    <w:rsid w:val="00A64912"/>
    <w:rsid w:val="00A70A74"/>
    <w:rsid w:val="00A76B05"/>
    <w:rsid w:val="00A904A1"/>
    <w:rsid w:val="00A90EA8"/>
    <w:rsid w:val="00AA0343"/>
    <w:rsid w:val="00AA2A5C"/>
    <w:rsid w:val="00AB78E9"/>
    <w:rsid w:val="00AD3467"/>
    <w:rsid w:val="00AD5641"/>
    <w:rsid w:val="00AD71FA"/>
    <w:rsid w:val="00AD7252"/>
    <w:rsid w:val="00AE0F9B"/>
    <w:rsid w:val="00AF55FF"/>
    <w:rsid w:val="00B032D8"/>
    <w:rsid w:val="00B260B2"/>
    <w:rsid w:val="00B31FA8"/>
    <w:rsid w:val="00B33B3C"/>
    <w:rsid w:val="00B40D74"/>
    <w:rsid w:val="00B434F0"/>
    <w:rsid w:val="00B52663"/>
    <w:rsid w:val="00B56DCB"/>
    <w:rsid w:val="00B656A1"/>
    <w:rsid w:val="00B770D2"/>
    <w:rsid w:val="00B8647A"/>
    <w:rsid w:val="00B900DC"/>
    <w:rsid w:val="00B93A6A"/>
    <w:rsid w:val="00B94F68"/>
    <w:rsid w:val="00BA47A3"/>
    <w:rsid w:val="00BA5026"/>
    <w:rsid w:val="00BB6E79"/>
    <w:rsid w:val="00BE3B31"/>
    <w:rsid w:val="00BE5080"/>
    <w:rsid w:val="00BE719A"/>
    <w:rsid w:val="00BE720A"/>
    <w:rsid w:val="00BF6650"/>
    <w:rsid w:val="00C0314D"/>
    <w:rsid w:val="00C067E5"/>
    <w:rsid w:val="00C164CA"/>
    <w:rsid w:val="00C22477"/>
    <w:rsid w:val="00C23C39"/>
    <w:rsid w:val="00C42BF8"/>
    <w:rsid w:val="00C43CD6"/>
    <w:rsid w:val="00C460AE"/>
    <w:rsid w:val="00C50043"/>
    <w:rsid w:val="00C50A0F"/>
    <w:rsid w:val="00C613EC"/>
    <w:rsid w:val="00C657AC"/>
    <w:rsid w:val="00C67D06"/>
    <w:rsid w:val="00C75387"/>
    <w:rsid w:val="00C7573B"/>
    <w:rsid w:val="00C76CF3"/>
    <w:rsid w:val="00CA08C0"/>
    <w:rsid w:val="00CA5363"/>
    <w:rsid w:val="00CA6BA4"/>
    <w:rsid w:val="00CA7844"/>
    <w:rsid w:val="00CB58EF"/>
    <w:rsid w:val="00CD2AF5"/>
    <w:rsid w:val="00CE5145"/>
    <w:rsid w:val="00CE7D64"/>
    <w:rsid w:val="00CF0997"/>
    <w:rsid w:val="00CF0BB2"/>
    <w:rsid w:val="00D13441"/>
    <w:rsid w:val="00D20665"/>
    <w:rsid w:val="00D243A3"/>
    <w:rsid w:val="00D3200B"/>
    <w:rsid w:val="00D33440"/>
    <w:rsid w:val="00D52EFE"/>
    <w:rsid w:val="00D53083"/>
    <w:rsid w:val="00D55FD7"/>
    <w:rsid w:val="00D56A0D"/>
    <w:rsid w:val="00D5767F"/>
    <w:rsid w:val="00D633D8"/>
    <w:rsid w:val="00D63EF6"/>
    <w:rsid w:val="00D66518"/>
    <w:rsid w:val="00D70DFB"/>
    <w:rsid w:val="00D71EEA"/>
    <w:rsid w:val="00D735CD"/>
    <w:rsid w:val="00D766DF"/>
    <w:rsid w:val="00D95891"/>
    <w:rsid w:val="00D95E97"/>
    <w:rsid w:val="00DA1887"/>
    <w:rsid w:val="00DA3450"/>
    <w:rsid w:val="00DB5CB4"/>
    <w:rsid w:val="00DD1DB8"/>
    <w:rsid w:val="00DE149E"/>
    <w:rsid w:val="00DF0404"/>
    <w:rsid w:val="00E05704"/>
    <w:rsid w:val="00E12F1A"/>
    <w:rsid w:val="00E15561"/>
    <w:rsid w:val="00E21CFB"/>
    <w:rsid w:val="00E22935"/>
    <w:rsid w:val="00E348A4"/>
    <w:rsid w:val="00E44F42"/>
    <w:rsid w:val="00E518E2"/>
    <w:rsid w:val="00E54292"/>
    <w:rsid w:val="00E60191"/>
    <w:rsid w:val="00E7056B"/>
    <w:rsid w:val="00E74DC7"/>
    <w:rsid w:val="00E768DF"/>
    <w:rsid w:val="00E80E48"/>
    <w:rsid w:val="00E87699"/>
    <w:rsid w:val="00E92E27"/>
    <w:rsid w:val="00E9586B"/>
    <w:rsid w:val="00E97334"/>
    <w:rsid w:val="00EA0D36"/>
    <w:rsid w:val="00ED4928"/>
    <w:rsid w:val="00EE3749"/>
    <w:rsid w:val="00EE6190"/>
    <w:rsid w:val="00EF2E3A"/>
    <w:rsid w:val="00EF6402"/>
    <w:rsid w:val="00F025DF"/>
    <w:rsid w:val="00F047E2"/>
    <w:rsid w:val="00F04D57"/>
    <w:rsid w:val="00F078DC"/>
    <w:rsid w:val="00F13E86"/>
    <w:rsid w:val="00F23A9D"/>
    <w:rsid w:val="00F32FCB"/>
    <w:rsid w:val="00F33575"/>
    <w:rsid w:val="00F4184D"/>
    <w:rsid w:val="00F64958"/>
    <w:rsid w:val="00F65092"/>
    <w:rsid w:val="00F66538"/>
    <w:rsid w:val="00F6709F"/>
    <w:rsid w:val="00F677A9"/>
    <w:rsid w:val="00F723BD"/>
    <w:rsid w:val="00F732EA"/>
    <w:rsid w:val="00F84CF5"/>
    <w:rsid w:val="00F8612E"/>
    <w:rsid w:val="00F95545"/>
    <w:rsid w:val="00FA420B"/>
    <w:rsid w:val="00FB5D45"/>
    <w:rsid w:val="00FD180C"/>
    <w:rsid w:val="00FD3894"/>
    <w:rsid w:val="00FE0781"/>
    <w:rsid w:val="00FE7CE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EEC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325B1"/>
    <w:pPr>
      <w:spacing w:line="260" w:lineRule="atLeast"/>
    </w:pPr>
    <w:rPr>
      <w:sz w:val="22"/>
    </w:rPr>
  </w:style>
  <w:style w:type="paragraph" w:styleId="Heading1">
    <w:name w:val="heading 1"/>
    <w:basedOn w:val="Normal"/>
    <w:next w:val="Normal"/>
    <w:link w:val="Heading1Char"/>
    <w:uiPriority w:val="9"/>
    <w:qFormat/>
    <w:rsid w:val="009325B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25B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5B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25B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25B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325B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325B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325B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325B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25B1"/>
  </w:style>
  <w:style w:type="paragraph" w:customStyle="1" w:styleId="OPCParaBase">
    <w:name w:val="OPCParaBase"/>
    <w:qFormat/>
    <w:rsid w:val="009325B1"/>
    <w:pPr>
      <w:spacing w:line="260" w:lineRule="atLeast"/>
    </w:pPr>
    <w:rPr>
      <w:rFonts w:eastAsia="Times New Roman" w:cs="Times New Roman"/>
      <w:sz w:val="22"/>
      <w:lang w:eastAsia="en-AU"/>
    </w:rPr>
  </w:style>
  <w:style w:type="paragraph" w:customStyle="1" w:styleId="ShortT">
    <w:name w:val="ShortT"/>
    <w:basedOn w:val="OPCParaBase"/>
    <w:next w:val="Normal"/>
    <w:qFormat/>
    <w:rsid w:val="009325B1"/>
    <w:pPr>
      <w:spacing w:line="240" w:lineRule="auto"/>
    </w:pPr>
    <w:rPr>
      <w:b/>
      <w:sz w:val="40"/>
    </w:rPr>
  </w:style>
  <w:style w:type="paragraph" w:customStyle="1" w:styleId="ActHead1">
    <w:name w:val="ActHead 1"/>
    <w:aliases w:val="c"/>
    <w:basedOn w:val="OPCParaBase"/>
    <w:next w:val="Normal"/>
    <w:qFormat/>
    <w:rsid w:val="009325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25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25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25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25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25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25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25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25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25B1"/>
  </w:style>
  <w:style w:type="paragraph" w:customStyle="1" w:styleId="Blocks">
    <w:name w:val="Blocks"/>
    <w:aliases w:val="bb"/>
    <w:basedOn w:val="OPCParaBase"/>
    <w:qFormat/>
    <w:rsid w:val="009325B1"/>
    <w:pPr>
      <w:spacing w:line="240" w:lineRule="auto"/>
    </w:pPr>
    <w:rPr>
      <w:sz w:val="24"/>
    </w:rPr>
  </w:style>
  <w:style w:type="paragraph" w:customStyle="1" w:styleId="BoxText">
    <w:name w:val="BoxText"/>
    <w:aliases w:val="bt"/>
    <w:basedOn w:val="OPCParaBase"/>
    <w:qFormat/>
    <w:rsid w:val="009325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25B1"/>
    <w:rPr>
      <w:b/>
    </w:rPr>
  </w:style>
  <w:style w:type="paragraph" w:customStyle="1" w:styleId="BoxHeadItalic">
    <w:name w:val="BoxHeadItalic"/>
    <w:aliases w:val="bhi"/>
    <w:basedOn w:val="BoxText"/>
    <w:next w:val="BoxStep"/>
    <w:qFormat/>
    <w:rsid w:val="009325B1"/>
    <w:rPr>
      <w:i/>
    </w:rPr>
  </w:style>
  <w:style w:type="paragraph" w:customStyle="1" w:styleId="BoxList">
    <w:name w:val="BoxList"/>
    <w:aliases w:val="bl"/>
    <w:basedOn w:val="BoxText"/>
    <w:qFormat/>
    <w:rsid w:val="009325B1"/>
    <w:pPr>
      <w:ind w:left="1559" w:hanging="425"/>
    </w:pPr>
  </w:style>
  <w:style w:type="paragraph" w:customStyle="1" w:styleId="BoxNote">
    <w:name w:val="BoxNote"/>
    <w:aliases w:val="bn"/>
    <w:basedOn w:val="BoxText"/>
    <w:qFormat/>
    <w:rsid w:val="009325B1"/>
    <w:pPr>
      <w:tabs>
        <w:tab w:val="left" w:pos="1985"/>
      </w:tabs>
      <w:spacing w:before="122" w:line="198" w:lineRule="exact"/>
      <w:ind w:left="2948" w:hanging="1814"/>
    </w:pPr>
    <w:rPr>
      <w:sz w:val="18"/>
    </w:rPr>
  </w:style>
  <w:style w:type="paragraph" w:customStyle="1" w:styleId="BoxPara">
    <w:name w:val="BoxPara"/>
    <w:aliases w:val="bp"/>
    <w:basedOn w:val="BoxText"/>
    <w:qFormat/>
    <w:rsid w:val="009325B1"/>
    <w:pPr>
      <w:tabs>
        <w:tab w:val="right" w:pos="2268"/>
      </w:tabs>
      <w:ind w:left="2552" w:hanging="1418"/>
    </w:pPr>
  </w:style>
  <w:style w:type="paragraph" w:customStyle="1" w:styleId="BoxStep">
    <w:name w:val="BoxStep"/>
    <w:aliases w:val="bs"/>
    <w:basedOn w:val="BoxText"/>
    <w:qFormat/>
    <w:rsid w:val="009325B1"/>
    <w:pPr>
      <w:ind w:left="1985" w:hanging="851"/>
    </w:pPr>
  </w:style>
  <w:style w:type="character" w:customStyle="1" w:styleId="CharAmPartNo">
    <w:name w:val="CharAmPartNo"/>
    <w:basedOn w:val="OPCCharBase"/>
    <w:qFormat/>
    <w:rsid w:val="009325B1"/>
  </w:style>
  <w:style w:type="character" w:customStyle="1" w:styleId="CharAmPartText">
    <w:name w:val="CharAmPartText"/>
    <w:basedOn w:val="OPCCharBase"/>
    <w:qFormat/>
    <w:rsid w:val="009325B1"/>
  </w:style>
  <w:style w:type="character" w:customStyle="1" w:styleId="CharAmSchNo">
    <w:name w:val="CharAmSchNo"/>
    <w:basedOn w:val="OPCCharBase"/>
    <w:qFormat/>
    <w:rsid w:val="009325B1"/>
  </w:style>
  <w:style w:type="character" w:customStyle="1" w:styleId="CharAmSchText">
    <w:name w:val="CharAmSchText"/>
    <w:basedOn w:val="OPCCharBase"/>
    <w:qFormat/>
    <w:rsid w:val="009325B1"/>
  </w:style>
  <w:style w:type="character" w:customStyle="1" w:styleId="CharBoldItalic">
    <w:name w:val="CharBoldItalic"/>
    <w:basedOn w:val="OPCCharBase"/>
    <w:uiPriority w:val="1"/>
    <w:qFormat/>
    <w:rsid w:val="009325B1"/>
    <w:rPr>
      <w:b/>
      <w:i/>
    </w:rPr>
  </w:style>
  <w:style w:type="character" w:customStyle="1" w:styleId="CharChapNo">
    <w:name w:val="CharChapNo"/>
    <w:basedOn w:val="OPCCharBase"/>
    <w:uiPriority w:val="1"/>
    <w:qFormat/>
    <w:rsid w:val="009325B1"/>
  </w:style>
  <w:style w:type="character" w:customStyle="1" w:styleId="CharChapText">
    <w:name w:val="CharChapText"/>
    <w:basedOn w:val="OPCCharBase"/>
    <w:uiPriority w:val="1"/>
    <w:qFormat/>
    <w:rsid w:val="009325B1"/>
  </w:style>
  <w:style w:type="character" w:customStyle="1" w:styleId="CharDivNo">
    <w:name w:val="CharDivNo"/>
    <w:basedOn w:val="OPCCharBase"/>
    <w:uiPriority w:val="1"/>
    <w:qFormat/>
    <w:rsid w:val="009325B1"/>
  </w:style>
  <w:style w:type="character" w:customStyle="1" w:styleId="CharDivText">
    <w:name w:val="CharDivText"/>
    <w:basedOn w:val="OPCCharBase"/>
    <w:uiPriority w:val="1"/>
    <w:qFormat/>
    <w:rsid w:val="009325B1"/>
  </w:style>
  <w:style w:type="character" w:customStyle="1" w:styleId="CharItalic">
    <w:name w:val="CharItalic"/>
    <w:basedOn w:val="OPCCharBase"/>
    <w:uiPriority w:val="1"/>
    <w:qFormat/>
    <w:rsid w:val="009325B1"/>
    <w:rPr>
      <w:i/>
    </w:rPr>
  </w:style>
  <w:style w:type="character" w:customStyle="1" w:styleId="CharPartNo">
    <w:name w:val="CharPartNo"/>
    <w:basedOn w:val="OPCCharBase"/>
    <w:uiPriority w:val="1"/>
    <w:qFormat/>
    <w:rsid w:val="009325B1"/>
  </w:style>
  <w:style w:type="character" w:customStyle="1" w:styleId="CharPartText">
    <w:name w:val="CharPartText"/>
    <w:basedOn w:val="OPCCharBase"/>
    <w:uiPriority w:val="1"/>
    <w:qFormat/>
    <w:rsid w:val="009325B1"/>
  </w:style>
  <w:style w:type="character" w:customStyle="1" w:styleId="CharSectno">
    <w:name w:val="CharSectno"/>
    <w:basedOn w:val="OPCCharBase"/>
    <w:qFormat/>
    <w:rsid w:val="009325B1"/>
  </w:style>
  <w:style w:type="character" w:customStyle="1" w:styleId="CharSubdNo">
    <w:name w:val="CharSubdNo"/>
    <w:basedOn w:val="OPCCharBase"/>
    <w:uiPriority w:val="1"/>
    <w:qFormat/>
    <w:rsid w:val="009325B1"/>
  </w:style>
  <w:style w:type="character" w:customStyle="1" w:styleId="CharSubdText">
    <w:name w:val="CharSubdText"/>
    <w:basedOn w:val="OPCCharBase"/>
    <w:uiPriority w:val="1"/>
    <w:qFormat/>
    <w:rsid w:val="009325B1"/>
  </w:style>
  <w:style w:type="paragraph" w:customStyle="1" w:styleId="CTA--">
    <w:name w:val="CTA --"/>
    <w:basedOn w:val="OPCParaBase"/>
    <w:next w:val="Normal"/>
    <w:rsid w:val="009325B1"/>
    <w:pPr>
      <w:spacing w:before="60" w:line="240" w:lineRule="atLeast"/>
      <w:ind w:left="142" w:hanging="142"/>
    </w:pPr>
    <w:rPr>
      <w:sz w:val="20"/>
    </w:rPr>
  </w:style>
  <w:style w:type="paragraph" w:customStyle="1" w:styleId="CTA-">
    <w:name w:val="CTA -"/>
    <w:basedOn w:val="OPCParaBase"/>
    <w:rsid w:val="009325B1"/>
    <w:pPr>
      <w:spacing w:before="60" w:line="240" w:lineRule="atLeast"/>
      <w:ind w:left="85" w:hanging="85"/>
    </w:pPr>
    <w:rPr>
      <w:sz w:val="20"/>
    </w:rPr>
  </w:style>
  <w:style w:type="paragraph" w:customStyle="1" w:styleId="CTA---">
    <w:name w:val="CTA ---"/>
    <w:basedOn w:val="OPCParaBase"/>
    <w:next w:val="Normal"/>
    <w:rsid w:val="009325B1"/>
    <w:pPr>
      <w:spacing w:before="60" w:line="240" w:lineRule="atLeast"/>
      <w:ind w:left="198" w:hanging="198"/>
    </w:pPr>
    <w:rPr>
      <w:sz w:val="20"/>
    </w:rPr>
  </w:style>
  <w:style w:type="paragraph" w:customStyle="1" w:styleId="CTA----">
    <w:name w:val="CTA ----"/>
    <w:basedOn w:val="OPCParaBase"/>
    <w:next w:val="Normal"/>
    <w:rsid w:val="009325B1"/>
    <w:pPr>
      <w:spacing w:before="60" w:line="240" w:lineRule="atLeast"/>
      <w:ind w:left="255" w:hanging="255"/>
    </w:pPr>
    <w:rPr>
      <w:sz w:val="20"/>
    </w:rPr>
  </w:style>
  <w:style w:type="paragraph" w:customStyle="1" w:styleId="CTA1a">
    <w:name w:val="CTA 1(a)"/>
    <w:basedOn w:val="OPCParaBase"/>
    <w:rsid w:val="009325B1"/>
    <w:pPr>
      <w:tabs>
        <w:tab w:val="right" w:pos="414"/>
      </w:tabs>
      <w:spacing w:before="40" w:line="240" w:lineRule="atLeast"/>
      <w:ind w:left="675" w:hanging="675"/>
    </w:pPr>
    <w:rPr>
      <w:sz w:val="20"/>
    </w:rPr>
  </w:style>
  <w:style w:type="paragraph" w:customStyle="1" w:styleId="CTA1ai">
    <w:name w:val="CTA 1(a)(i)"/>
    <w:basedOn w:val="OPCParaBase"/>
    <w:rsid w:val="009325B1"/>
    <w:pPr>
      <w:tabs>
        <w:tab w:val="right" w:pos="1004"/>
      </w:tabs>
      <w:spacing w:before="40" w:line="240" w:lineRule="atLeast"/>
      <w:ind w:left="1253" w:hanging="1253"/>
    </w:pPr>
    <w:rPr>
      <w:sz w:val="20"/>
    </w:rPr>
  </w:style>
  <w:style w:type="paragraph" w:customStyle="1" w:styleId="CTA2a">
    <w:name w:val="CTA 2(a)"/>
    <w:basedOn w:val="OPCParaBase"/>
    <w:rsid w:val="009325B1"/>
    <w:pPr>
      <w:tabs>
        <w:tab w:val="right" w:pos="482"/>
      </w:tabs>
      <w:spacing w:before="40" w:line="240" w:lineRule="atLeast"/>
      <w:ind w:left="748" w:hanging="748"/>
    </w:pPr>
    <w:rPr>
      <w:sz w:val="20"/>
    </w:rPr>
  </w:style>
  <w:style w:type="paragraph" w:customStyle="1" w:styleId="CTA2ai">
    <w:name w:val="CTA 2(a)(i)"/>
    <w:basedOn w:val="OPCParaBase"/>
    <w:rsid w:val="009325B1"/>
    <w:pPr>
      <w:tabs>
        <w:tab w:val="right" w:pos="1089"/>
      </w:tabs>
      <w:spacing w:before="40" w:line="240" w:lineRule="atLeast"/>
      <w:ind w:left="1327" w:hanging="1327"/>
    </w:pPr>
    <w:rPr>
      <w:sz w:val="20"/>
    </w:rPr>
  </w:style>
  <w:style w:type="paragraph" w:customStyle="1" w:styleId="CTA3a">
    <w:name w:val="CTA 3(a)"/>
    <w:basedOn w:val="OPCParaBase"/>
    <w:rsid w:val="009325B1"/>
    <w:pPr>
      <w:tabs>
        <w:tab w:val="right" w:pos="556"/>
      </w:tabs>
      <w:spacing w:before="40" w:line="240" w:lineRule="atLeast"/>
      <w:ind w:left="805" w:hanging="805"/>
    </w:pPr>
    <w:rPr>
      <w:sz w:val="20"/>
    </w:rPr>
  </w:style>
  <w:style w:type="paragraph" w:customStyle="1" w:styleId="CTA3ai">
    <w:name w:val="CTA 3(a)(i)"/>
    <w:basedOn w:val="OPCParaBase"/>
    <w:rsid w:val="009325B1"/>
    <w:pPr>
      <w:tabs>
        <w:tab w:val="right" w:pos="1140"/>
      </w:tabs>
      <w:spacing w:before="40" w:line="240" w:lineRule="atLeast"/>
      <w:ind w:left="1361" w:hanging="1361"/>
    </w:pPr>
    <w:rPr>
      <w:sz w:val="20"/>
    </w:rPr>
  </w:style>
  <w:style w:type="paragraph" w:customStyle="1" w:styleId="CTA4a">
    <w:name w:val="CTA 4(a)"/>
    <w:basedOn w:val="OPCParaBase"/>
    <w:rsid w:val="009325B1"/>
    <w:pPr>
      <w:tabs>
        <w:tab w:val="right" w:pos="624"/>
      </w:tabs>
      <w:spacing w:before="40" w:line="240" w:lineRule="atLeast"/>
      <w:ind w:left="873" w:hanging="873"/>
    </w:pPr>
    <w:rPr>
      <w:sz w:val="20"/>
    </w:rPr>
  </w:style>
  <w:style w:type="paragraph" w:customStyle="1" w:styleId="CTA4ai">
    <w:name w:val="CTA 4(a)(i)"/>
    <w:basedOn w:val="OPCParaBase"/>
    <w:rsid w:val="009325B1"/>
    <w:pPr>
      <w:tabs>
        <w:tab w:val="right" w:pos="1213"/>
      </w:tabs>
      <w:spacing w:before="40" w:line="240" w:lineRule="atLeast"/>
      <w:ind w:left="1452" w:hanging="1452"/>
    </w:pPr>
    <w:rPr>
      <w:sz w:val="20"/>
    </w:rPr>
  </w:style>
  <w:style w:type="paragraph" w:customStyle="1" w:styleId="CTACAPS">
    <w:name w:val="CTA CAPS"/>
    <w:basedOn w:val="OPCParaBase"/>
    <w:rsid w:val="009325B1"/>
    <w:pPr>
      <w:spacing w:before="60" w:line="240" w:lineRule="atLeast"/>
    </w:pPr>
    <w:rPr>
      <w:sz w:val="20"/>
    </w:rPr>
  </w:style>
  <w:style w:type="paragraph" w:customStyle="1" w:styleId="CTAright">
    <w:name w:val="CTA right"/>
    <w:basedOn w:val="OPCParaBase"/>
    <w:rsid w:val="009325B1"/>
    <w:pPr>
      <w:spacing w:before="60" w:line="240" w:lineRule="auto"/>
      <w:jc w:val="right"/>
    </w:pPr>
    <w:rPr>
      <w:sz w:val="20"/>
    </w:rPr>
  </w:style>
  <w:style w:type="paragraph" w:customStyle="1" w:styleId="subsection">
    <w:name w:val="subsection"/>
    <w:aliases w:val="ss,Subsection"/>
    <w:basedOn w:val="OPCParaBase"/>
    <w:link w:val="subsectionChar"/>
    <w:rsid w:val="009325B1"/>
    <w:pPr>
      <w:tabs>
        <w:tab w:val="right" w:pos="1021"/>
      </w:tabs>
      <w:spacing w:before="180" w:line="240" w:lineRule="auto"/>
      <w:ind w:left="1134" w:hanging="1134"/>
    </w:pPr>
  </w:style>
  <w:style w:type="paragraph" w:customStyle="1" w:styleId="Definition">
    <w:name w:val="Definition"/>
    <w:aliases w:val="dd"/>
    <w:basedOn w:val="OPCParaBase"/>
    <w:rsid w:val="009325B1"/>
    <w:pPr>
      <w:spacing w:before="180" w:line="240" w:lineRule="auto"/>
      <w:ind w:left="1134"/>
    </w:pPr>
  </w:style>
  <w:style w:type="paragraph" w:customStyle="1" w:styleId="ETAsubitem">
    <w:name w:val="ETA(subitem)"/>
    <w:basedOn w:val="OPCParaBase"/>
    <w:rsid w:val="009325B1"/>
    <w:pPr>
      <w:tabs>
        <w:tab w:val="right" w:pos="340"/>
      </w:tabs>
      <w:spacing w:before="60" w:line="240" w:lineRule="auto"/>
      <w:ind w:left="454" w:hanging="454"/>
    </w:pPr>
    <w:rPr>
      <w:sz w:val="20"/>
    </w:rPr>
  </w:style>
  <w:style w:type="paragraph" w:customStyle="1" w:styleId="ETApara">
    <w:name w:val="ETA(para)"/>
    <w:basedOn w:val="OPCParaBase"/>
    <w:rsid w:val="009325B1"/>
    <w:pPr>
      <w:tabs>
        <w:tab w:val="right" w:pos="754"/>
      </w:tabs>
      <w:spacing w:before="60" w:line="240" w:lineRule="auto"/>
      <w:ind w:left="828" w:hanging="828"/>
    </w:pPr>
    <w:rPr>
      <w:sz w:val="20"/>
    </w:rPr>
  </w:style>
  <w:style w:type="paragraph" w:customStyle="1" w:styleId="ETAsubpara">
    <w:name w:val="ETA(subpara)"/>
    <w:basedOn w:val="OPCParaBase"/>
    <w:rsid w:val="009325B1"/>
    <w:pPr>
      <w:tabs>
        <w:tab w:val="right" w:pos="1083"/>
      </w:tabs>
      <w:spacing w:before="60" w:line="240" w:lineRule="auto"/>
      <w:ind w:left="1191" w:hanging="1191"/>
    </w:pPr>
    <w:rPr>
      <w:sz w:val="20"/>
    </w:rPr>
  </w:style>
  <w:style w:type="paragraph" w:customStyle="1" w:styleId="ETAsub-subpara">
    <w:name w:val="ETA(sub-subpara)"/>
    <w:basedOn w:val="OPCParaBase"/>
    <w:rsid w:val="009325B1"/>
    <w:pPr>
      <w:tabs>
        <w:tab w:val="right" w:pos="1412"/>
      </w:tabs>
      <w:spacing w:before="60" w:line="240" w:lineRule="auto"/>
      <w:ind w:left="1525" w:hanging="1525"/>
    </w:pPr>
    <w:rPr>
      <w:sz w:val="20"/>
    </w:rPr>
  </w:style>
  <w:style w:type="paragraph" w:customStyle="1" w:styleId="Formula">
    <w:name w:val="Formula"/>
    <w:basedOn w:val="OPCParaBase"/>
    <w:rsid w:val="009325B1"/>
    <w:pPr>
      <w:spacing w:line="240" w:lineRule="auto"/>
      <w:ind w:left="1134"/>
    </w:pPr>
    <w:rPr>
      <w:sz w:val="20"/>
    </w:rPr>
  </w:style>
  <w:style w:type="paragraph" w:styleId="Header">
    <w:name w:val="header"/>
    <w:basedOn w:val="OPCParaBase"/>
    <w:link w:val="HeaderChar"/>
    <w:unhideWhenUsed/>
    <w:rsid w:val="009325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25B1"/>
    <w:rPr>
      <w:rFonts w:eastAsia="Times New Roman" w:cs="Times New Roman"/>
      <w:sz w:val="16"/>
      <w:lang w:eastAsia="en-AU"/>
    </w:rPr>
  </w:style>
  <w:style w:type="paragraph" w:customStyle="1" w:styleId="House">
    <w:name w:val="House"/>
    <w:basedOn w:val="OPCParaBase"/>
    <w:rsid w:val="009325B1"/>
    <w:pPr>
      <w:spacing w:line="240" w:lineRule="auto"/>
    </w:pPr>
    <w:rPr>
      <w:sz w:val="28"/>
    </w:rPr>
  </w:style>
  <w:style w:type="paragraph" w:customStyle="1" w:styleId="Item">
    <w:name w:val="Item"/>
    <w:aliases w:val="i"/>
    <w:basedOn w:val="OPCParaBase"/>
    <w:next w:val="ItemHead"/>
    <w:rsid w:val="009325B1"/>
    <w:pPr>
      <w:keepLines/>
      <w:spacing w:before="80" w:line="240" w:lineRule="auto"/>
      <w:ind w:left="709"/>
    </w:pPr>
  </w:style>
  <w:style w:type="paragraph" w:customStyle="1" w:styleId="ItemHead">
    <w:name w:val="ItemHead"/>
    <w:aliases w:val="ih"/>
    <w:basedOn w:val="OPCParaBase"/>
    <w:next w:val="Item"/>
    <w:rsid w:val="009325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25B1"/>
    <w:pPr>
      <w:spacing w:line="240" w:lineRule="auto"/>
    </w:pPr>
    <w:rPr>
      <w:b/>
      <w:sz w:val="32"/>
    </w:rPr>
  </w:style>
  <w:style w:type="paragraph" w:customStyle="1" w:styleId="notedraft">
    <w:name w:val="note(draft)"/>
    <w:aliases w:val="nd"/>
    <w:basedOn w:val="OPCParaBase"/>
    <w:rsid w:val="009325B1"/>
    <w:pPr>
      <w:spacing w:before="240" w:line="240" w:lineRule="auto"/>
      <w:ind w:left="284" w:hanging="284"/>
    </w:pPr>
    <w:rPr>
      <w:i/>
      <w:sz w:val="24"/>
    </w:rPr>
  </w:style>
  <w:style w:type="paragraph" w:customStyle="1" w:styleId="notemargin">
    <w:name w:val="note(margin)"/>
    <w:aliases w:val="nm"/>
    <w:basedOn w:val="OPCParaBase"/>
    <w:rsid w:val="009325B1"/>
    <w:pPr>
      <w:tabs>
        <w:tab w:val="left" w:pos="709"/>
      </w:tabs>
      <w:spacing w:before="122" w:line="198" w:lineRule="exact"/>
      <w:ind w:left="709" w:hanging="709"/>
    </w:pPr>
    <w:rPr>
      <w:sz w:val="18"/>
    </w:rPr>
  </w:style>
  <w:style w:type="paragraph" w:customStyle="1" w:styleId="noteToPara">
    <w:name w:val="noteToPara"/>
    <w:aliases w:val="ntp"/>
    <w:basedOn w:val="OPCParaBase"/>
    <w:rsid w:val="009325B1"/>
    <w:pPr>
      <w:spacing w:before="122" w:line="198" w:lineRule="exact"/>
      <w:ind w:left="2353" w:hanging="709"/>
    </w:pPr>
    <w:rPr>
      <w:sz w:val="18"/>
    </w:rPr>
  </w:style>
  <w:style w:type="paragraph" w:customStyle="1" w:styleId="noteParlAmend">
    <w:name w:val="note(ParlAmend)"/>
    <w:aliases w:val="npp"/>
    <w:basedOn w:val="OPCParaBase"/>
    <w:next w:val="ParlAmend"/>
    <w:rsid w:val="009325B1"/>
    <w:pPr>
      <w:spacing w:line="240" w:lineRule="auto"/>
      <w:jc w:val="right"/>
    </w:pPr>
    <w:rPr>
      <w:rFonts w:ascii="Arial" w:hAnsi="Arial"/>
      <w:b/>
      <w:i/>
    </w:rPr>
  </w:style>
  <w:style w:type="paragraph" w:customStyle="1" w:styleId="Page1">
    <w:name w:val="Page1"/>
    <w:basedOn w:val="OPCParaBase"/>
    <w:rsid w:val="009325B1"/>
    <w:pPr>
      <w:spacing w:before="5600" w:line="240" w:lineRule="auto"/>
    </w:pPr>
    <w:rPr>
      <w:b/>
      <w:sz w:val="32"/>
    </w:rPr>
  </w:style>
  <w:style w:type="paragraph" w:customStyle="1" w:styleId="PageBreak">
    <w:name w:val="PageBreak"/>
    <w:aliases w:val="pb"/>
    <w:basedOn w:val="OPCParaBase"/>
    <w:rsid w:val="009325B1"/>
    <w:pPr>
      <w:spacing w:line="240" w:lineRule="auto"/>
    </w:pPr>
    <w:rPr>
      <w:sz w:val="20"/>
    </w:rPr>
  </w:style>
  <w:style w:type="paragraph" w:customStyle="1" w:styleId="paragraphsub">
    <w:name w:val="paragraph(sub)"/>
    <w:aliases w:val="aa"/>
    <w:basedOn w:val="OPCParaBase"/>
    <w:rsid w:val="009325B1"/>
    <w:pPr>
      <w:tabs>
        <w:tab w:val="right" w:pos="1985"/>
      </w:tabs>
      <w:spacing w:before="40" w:line="240" w:lineRule="auto"/>
      <w:ind w:left="2098" w:hanging="2098"/>
    </w:pPr>
  </w:style>
  <w:style w:type="paragraph" w:customStyle="1" w:styleId="paragraphsub-sub">
    <w:name w:val="paragraph(sub-sub)"/>
    <w:aliases w:val="aaa"/>
    <w:basedOn w:val="OPCParaBase"/>
    <w:rsid w:val="009325B1"/>
    <w:pPr>
      <w:tabs>
        <w:tab w:val="right" w:pos="2722"/>
      </w:tabs>
      <w:spacing w:before="40" w:line="240" w:lineRule="auto"/>
      <w:ind w:left="2835" w:hanging="2835"/>
    </w:pPr>
  </w:style>
  <w:style w:type="paragraph" w:customStyle="1" w:styleId="paragraph">
    <w:name w:val="paragraph"/>
    <w:aliases w:val="a"/>
    <w:basedOn w:val="OPCParaBase"/>
    <w:link w:val="paragraphChar"/>
    <w:rsid w:val="009325B1"/>
    <w:pPr>
      <w:tabs>
        <w:tab w:val="right" w:pos="1531"/>
      </w:tabs>
      <w:spacing w:before="40" w:line="240" w:lineRule="auto"/>
      <w:ind w:left="1644" w:hanging="1644"/>
    </w:pPr>
  </w:style>
  <w:style w:type="paragraph" w:customStyle="1" w:styleId="ParlAmend">
    <w:name w:val="ParlAmend"/>
    <w:aliases w:val="pp"/>
    <w:basedOn w:val="OPCParaBase"/>
    <w:rsid w:val="009325B1"/>
    <w:pPr>
      <w:spacing w:before="240" w:line="240" w:lineRule="atLeast"/>
      <w:ind w:hanging="567"/>
    </w:pPr>
    <w:rPr>
      <w:sz w:val="24"/>
    </w:rPr>
  </w:style>
  <w:style w:type="paragraph" w:customStyle="1" w:styleId="Penalty">
    <w:name w:val="Penalty"/>
    <w:basedOn w:val="OPCParaBase"/>
    <w:rsid w:val="009325B1"/>
    <w:pPr>
      <w:tabs>
        <w:tab w:val="left" w:pos="2977"/>
      </w:tabs>
      <w:spacing w:before="180" w:line="240" w:lineRule="auto"/>
      <w:ind w:left="1985" w:hanging="851"/>
    </w:pPr>
  </w:style>
  <w:style w:type="paragraph" w:customStyle="1" w:styleId="Portfolio">
    <w:name w:val="Portfolio"/>
    <w:basedOn w:val="OPCParaBase"/>
    <w:rsid w:val="009325B1"/>
    <w:pPr>
      <w:spacing w:line="240" w:lineRule="auto"/>
    </w:pPr>
    <w:rPr>
      <w:i/>
      <w:sz w:val="20"/>
    </w:rPr>
  </w:style>
  <w:style w:type="paragraph" w:customStyle="1" w:styleId="Preamble">
    <w:name w:val="Preamble"/>
    <w:basedOn w:val="OPCParaBase"/>
    <w:next w:val="Normal"/>
    <w:rsid w:val="009325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25B1"/>
    <w:pPr>
      <w:spacing w:line="240" w:lineRule="auto"/>
    </w:pPr>
    <w:rPr>
      <w:i/>
      <w:sz w:val="20"/>
    </w:rPr>
  </w:style>
  <w:style w:type="paragraph" w:customStyle="1" w:styleId="Session">
    <w:name w:val="Session"/>
    <w:basedOn w:val="OPCParaBase"/>
    <w:rsid w:val="009325B1"/>
    <w:pPr>
      <w:spacing w:line="240" w:lineRule="auto"/>
    </w:pPr>
    <w:rPr>
      <w:sz w:val="28"/>
    </w:rPr>
  </w:style>
  <w:style w:type="paragraph" w:customStyle="1" w:styleId="Sponsor">
    <w:name w:val="Sponsor"/>
    <w:basedOn w:val="OPCParaBase"/>
    <w:rsid w:val="009325B1"/>
    <w:pPr>
      <w:spacing w:line="240" w:lineRule="auto"/>
    </w:pPr>
    <w:rPr>
      <w:i/>
    </w:rPr>
  </w:style>
  <w:style w:type="paragraph" w:customStyle="1" w:styleId="Subitem">
    <w:name w:val="Subitem"/>
    <w:aliases w:val="iss"/>
    <w:basedOn w:val="OPCParaBase"/>
    <w:rsid w:val="009325B1"/>
    <w:pPr>
      <w:spacing w:before="180" w:line="240" w:lineRule="auto"/>
      <w:ind w:left="709" w:hanging="709"/>
    </w:pPr>
  </w:style>
  <w:style w:type="paragraph" w:customStyle="1" w:styleId="SubitemHead">
    <w:name w:val="SubitemHead"/>
    <w:aliases w:val="issh"/>
    <w:basedOn w:val="OPCParaBase"/>
    <w:rsid w:val="009325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25B1"/>
    <w:pPr>
      <w:spacing w:before="40" w:line="240" w:lineRule="auto"/>
      <w:ind w:left="1134"/>
    </w:pPr>
  </w:style>
  <w:style w:type="paragraph" w:customStyle="1" w:styleId="SubsectionHead">
    <w:name w:val="SubsectionHead"/>
    <w:aliases w:val="ssh"/>
    <w:basedOn w:val="OPCParaBase"/>
    <w:next w:val="subsection"/>
    <w:rsid w:val="009325B1"/>
    <w:pPr>
      <w:keepNext/>
      <w:keepLines/>
      <w:spacing w:before="240" w:line="240" w:lineRule="auto"/>
      <w:ind w:left="1134"/>
    </w:pPr>
    <w:rPr>
      <w:i/>
    </w:rPr>
  </w:style>
  <w:style w:type="paragraph" w:customStyle="1" w:styleId="Tablea">
    <w:name w:val="Table(a)"/>
    <w:aliases w:val="ta"/>
    <w:basedOn w:val="OPCParaBase"/>
    <w:rsid w:val="009325B1"/>
    <w:pPr>
      <w:spacing w:before="60" w:line="240" w:lineRule="auto"/>
      <w:ind w:left="284" w:hanging="284"/>
    </w:pPr>
    <w:rPr>
      <w:sz w:val="20"/>
    </w:rPr>
  </w:style>
  <w:style w:type="paragraph" w:customStyle="1" w:styleId="TableAA">
    <w:name w:val="Table(AA)"/>
    <w:aliases w:val="taaa"/>
    <w:basedOn w:val="OPCParaBase"/>
    <w:rsid w:val="009325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25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25B1"/>
    <w:pPr>
      <w:spacing w:before="60" w:line="240" w:lineRule="atLeast"/>
    </w:pPr>
    <w:rPr>
      <w:sz w:val="20"/>
    </w:rPr>
  </w:style>
  <w:style w:type="paragraph" w:customStyle="1" w:styleId="TLPBoxTextnote">
    <w:name w:val="TLPBoxText(note"/>
    <w:aliases w:val="right)"/>
    <w:basedOn w:val="OPCParaBase"/>
    <w:rsid w:val="009325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25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25B1"/>
    <w:pPr>
      <w:spacing w:before="122" w:line="198" w:lineRule="exact"/>
      <w:ind w:left="1985" w:hanging="851"/>
      <w:jc w:val="right"/>
    </w:pPr>
    <w:rPr>
      <w:sz w:val="18"/>
    </w:rPr>
  </w:style>
  <w:style w:type="paragraph" w:customStyle="1" w:styleId="TLPTableBullet">
    <w:name w:val="TLPTableBullet"/>
    <w:aliases w:val="ttb"/>
    <w:basedOn w:val="OPCParaBase"/>
    <w:rsid w:val="009325B1"/>
    <w:pPr>
      <w:spacing w:line="240" w:lineRule="exact"/>
      <w:ind w:left="284" w:hanging="284"/>
    </w:pPr>
    <w:rPr>
      <w:sz w:val="20"/>
    </w:rPr>
  </w:style>
  <w:style w:type="paragraph" w:styleId="TOC1">
    <w:name w:val="toc 1"/>
    <w:basedOn w:val="Normal"/>
    <w:next w:val="Normal"/>
    <w:uiPriority w:val="39"/>
    <w:unhideWhenUsed/>
    <w:rsid w:val="009325B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325B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325B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325B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325B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325B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325B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325B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325B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325B1"/>
    <w:pPr>
      <w:keepLines/>
      <w:spacing w:before="240" w:after="120" w:line="240" w:lineRule="auto"/>
      <w:ind w:left="794"/>
    </w:pPr>
    <w:rPr>
      <w:b/>
      <w:kern w:val="28"/>
      <w:sz w:val="20"/>
    </w:rPr>
  </w:style>
  <w:style w:type="paragraph" w:customStyle="1" w:styleId="TofSectsHeading">
    <w:name w:val="TofSects(Heading)"/>
    <w:basedOn w:val="OPCParaBase"/>
    <w:rsid w:val="009325B1"/>
    <w:pPr>
      <w:spacing w:before="240" w:after="120" w:line="240" w:lineRule="auto"/>
    </w:pPr>
    <w:rPr>
      <w:b/>
      <w:sz w:val="24"/>
    </w:rPr>
  </w:style>
  <w:style w:type="paragraph" w:customStyle="1" w:styleId="TofSectsSection">
    <w:name w:val="TofSects(Section)"/>
    <w:basedOn w:val="OPCParaBase"/>
    <w:rsid w:val="009325B1"/>
    <w:pPr>
      <w:keepLines/>
      <w:spacing w:before="40" w:line="240" w:lineRule="auto"/>
      <w:ind w:left="1588" w:hanging="794"/>
    </w:pPr>
    <w:rPr>
      <w:kern w:val="28"/>
      <w:sz w:val="18"/>
    </w:rPr>
  </w:style>
  <w:style w:type="paragraph" w:customStyle="1" w:styleId="TofSectsSubdiv">
    <w:name w:val="TofSects(Subdiv)"/>
    <w:basedOn w:val="OPCParaBase"/>
    <w:rsid w:val="009325B1"/>
    <w:pPr>
      <w:keepLines/>
      <w:spacing w:before="80" w:line="240" w:lineRule="auto"/>
      <w:ind w:left="1588" w:hanging="794"/>
    </w:pPr>
    <w:rPr>
      <w:kern w:val="28"/>
    </w:rPr>
  </w:style>
  <w:style w:type="paragraph" w:customStyle="1" w:styleId="WRStyle">
    <w:name w:val="WR Style"/>
    <w:aliases w:val="WR"/>
    <w:basedOn w:val="OPCParaBase"/>
    <w:rsid w:val="009325B1"/>
    <w:pPr>
      <w:spacing w:before="240" w:line="240" w:lineRule="auto"/>
      <w:ind w:left="284" w:hanging="284"/>
    </w:pPr>
    <w:rPr>
      <w:b/>
      <w:i/>
      <w:kern w:val="28"/>
      <w:sz w:val="24"/>
    </w:rPr>
  </w:style>
  <w:style w:type="paragraph" w:customStyle="1" w:styleId="notepara">
    <w:name w:val="note(para)"/>
    <w:aliases w:val="na"/>
    <w:basedOn w:val="OPCParaBase"/>
    <w:rsid w:val="009325B1"/>
    <w:pPr>
      <w:spacing w:before="40" w:line="198" w:lineRule="exact"/>
      <w:ind w:left="2354" w:hanging="369"/>
    </w:pPr>
    <w:rPr>
      <w:sz w:val="18"/>
    </w:rPr>
  </w:style>
  <w:style w:type="paragraph" w:styleId="Footer">
    <w:name w:val="footer"/>
    <w:link w:val="FooterChar"/>
    <w:rsid w:val="009325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25B1"/>
    <w:rPr>
      <w:rFonts w:eastAsia="Times New Roman" w:cs="Times New Roman"/>
      <w:sz w:val="22"/>
      <w:szCs w:val="24"/>
      <w:lang w:eastAsia="en-AU"/>
    </w:rPr>
  </w:style>
  <w:style w:type="character" w:styleId="LineNumber">
    <w:name w:val="line number"/>
    <w:basedOn w:val="OPCCharBase"/>
    <w:uiPriority w:val="99"/>
    <w:unhideWhenUsed/>
    <w:rsid w:val="009325B1"/>
    <w:rPr>
      <w:sz w:val="16"/>
    </w:rPr>
  </w:style>
  <w:style w:type="table" w:customStyle="1" w:styleId="CFlag">
    <w:name w:val="CFlag"/>
    <w:basedOn w:val="TableNormal"/>
    <w:uiPriority w:val="99"/>
    <w:rsid w:val="009325B1"/>
    <w:rPr>
      <w:rFonts w:eastAsia="Times New Roman" w:cs="Times New Roman"/>
      <w:lang w:eastAsia="en-AU"/>
    </w:rPr>
    <w:tblPr/>
  </w:style>
  <w:style w:type="paragraph" w:styleId="BalloonText">
    <w:name w:val="Balloon Text"/>
    <w:basedOn w:val="Normal"/>
    <w:link w:val="BalloonTextChar"/>
    <w:uiPriority w:val="99"/>
    <w:unhideWhenUsed/>
    <w:rsid w:val="009325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325B1"/>
    <w:rPr>
      <w:rFonts w:ascii="Tahoma" w:hAnsi="Tahoma" w:cs="Tahoma"/>
      <w:sz w:val="16"/>
      <w:szCs w:val="16"/>
    </w:rPr>
  </w:style>
  <w:style w:type="table" w:styleId="TableGrid">
    <w:name w:val="Table Grid"/>
    <w:basedOn w:val="TableNormal"/>
    <w:uiPriority w:val="59"/>
    <w:rsid w:val="0093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25B1"/>
    <w:rPr>
      <w:b/>
      <w:sz w:val="28"/>
      <w:szCs w:val="32"/>
    </w:rPr>
  </w:style>
  <w:style w:type="paragraph" w:customStyle="1" w:styleId="LegislationMadeUnder">
    <w:name w:val="LegislationMadeUnder"/>
    <w:basedOn w:val="OPCParaBase"/>
    <w:next w:val="Normal"/>
    <w:rsid w:val="009325B1"/>
    <w:rPr>
      <w:i/>
      <w:sz w:val="32"/>
      <w:szCs w:val="32"/>
    </w:rPr>
  </w:style>
  <w:style w:type="paragraph" w:customStyle="1" w:styleId="SignCoverPageEnd">
    <w:name w:val="SignCoverPageEnd"/>
    <w:basedOn w:val="OPCParaBase"/>
    <w:next w:val="Normal"/>
    <w:rsid w:val="009325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25B1"/>
    <w:pPr>
      <w:pBdr>
        <w:top w:val="single" w:sz="4" w:space="1" w:color="auto"/>
      </w:pBdr>
      <w:spacing w:before="360"/>
      <w:ind w:right="397"/>
      <w:jc w:val="both"/>
    </w:pPr>
  </w:style>
  <w:style w:type="paragraph" w:customStyle="1" w:styleId="NotesHeading1">
    <w:name w:val="NotesHeading 1"/>
    <w:basedOn w:val="OPCParaBase"/>
    <w:next w:val="Normal"/>
    <w:rsid w:val="009325B1"/>
    <w:rPr>
      <w:b/>
      <w:sz w:val="28"/>
      <w:szCs w:val="28"/>
    </w:rPr>
  </w:style>
  <w:style w:type="paragraph" w:customStyle="1" w:styleId="NotesHeading2">
    <w:name w:val="NotesHeading 2"/>
    <w:basedOn w:val="OPCParaBase"/>
    <w:next w:val="Normal"/>
    <w:rsid w:val="009325B1"/>
    <w:rPr>
      <w:b/>
      <w:sz w:val="28"/>
      <w:szCs w:val="28"/>
    </w:rPr>
  </w:style>
  <w:style w:type="paragraph" w:customStyle="1" w:styleId="ENotesText">
    <w:name w:val="ENotesText"/>
    <w:aliases w:val="Ent"/>
    <w:basedOn w:val="OPCParaBase"/>
    <w:next w:val="Normal"/>
    <w:rsid w:val="009325B1"/>
    <w:pPr>
      <w:spacing w:before="120"/>
    </w:pPr>
  </w:style>
  <w:style w:type="paragraph" w:customStyle="1" w:styleId="CompiledActNo">
    <w:name w:val="CompiledActNo"/>
    <w:basedOn w:val="OPCParaBase"/>
    <w:next w:val="Normal"/>
    <w:rsid w:val="009325B1"/>
    <w:rPr>
      <w:b/>
      <w:sz w:val="24"/>
      <w:szCs w:val="24"/>
    </w:rPr>
  </w:style>
  <w:style w:type="paragraph" w:customStyle="1" w:styleId="CompiledMadeUnder">
    <w:name w:val="CompiledMadeUnder"/>
    <w:basedOn w:val="OPCParaBase"/>
    <w:next w:val="Normal"/>
    <w:rsid w:val="009325B1"/>
    <w:rPr>
      <w:i/>
      <w:sz w:val="24"/>
      <w:szCs w:val="24"/>
    </w:rPr>
  </w:style>
  <w:style w:type="paragraph" w:customStyle="1" w:styleId="Paragraphsub-sub-sub">
    <w:name w:val="Paragraph(sub-sub-sub)"/>
    <w:aliases w:val="aaaa"/>
    <w:basedOn w:val="OPCParaBase"/>
    <w:rsid w:val="009325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25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25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25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25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25B1"/>
    <w:pPr>
      <w:spacing w:before="60" w:line="240" w:lineRule="auto"/>
    </w:pPr>
    <w:rPr>
      <w:rFonts w:cs="Arial"/>
      <w:sz w:val="20"/>
      <w:szCs w:val="22"/>
    </w:rPr>
  </w:style>
  <w:style w:type="paragraph" w:customStyle="1" w:styleId="NoteToSubpara">
    <w:name w:val="NoteToSubpara"/>
    <w:aliases w:val="nts"/>
    <w:basedOn w:val="OPCParaBase"/>
    <w:rsid w:val="009325B1"/>
    <w:pPr>
      <w:spacing w:before="40" w:line="198" w:lineRule="exact"/>
      <w:ind w:left="2835" w:hanging="709"/>
    </w:pPr>
    <w:rPr>
      <w:sz w:val="18"/>
    </w:rPr>
  </w:style>
  <w:style w:type="paragraph" w:customStyle="1" w:styleId="ENoteTableHeading">
    <w:name w:val="ENoteTableHeading"/>
    <w:aliases w:val="enth"/>
    <w:basedOn w:val="OPCParaBase"/>
    <w:rsid w:val="009325B1"/>
    <w:pPr>
      <w:keepNext/>
      <w:spacing w:before="60" w:line="240" w:lineRule="atLeast"/>
    </w:pPr>
    <w:rPr>
      <w:rFonts w:ascii="Arial" w:hAnsi="Arial"/>
      <w:b/>
      <w:sz w:val="16"/>
    </w:rPr>
  </w:style>
  <w:style w:type="paragraph" w:customStyle="1" w:styleId="ENoteTTi">
    <w:name w:val="ENoteTTi"/>
    <w:aliases w:val="entti"/>
    <w:basedOn w:val="OPCParaBase"/>
    <w:rsid w:val="009325B1"/>
    <w:pPr>
      <w:keepNext/>
      <w:spacing w:before="60" w:line="240" w:lineRule="atLeast"/>
      <w:ind w:left="170"/>
    </w:pPr>
    <w:rPr>
      <w:sz w:val="16"/>
    </w:rPr>
  </w:style>
  <w:style w:type="paragraph" w:customStyle="1" w:styleId="ENotesHeading1">
    <w:name w:val="ENotesHeading 1"/>
    <w:aliases w:val="Enh1"/>
    <w:basedOn w:val="OPCParaBase"/>
    <w:next w:val="Normal"/>
    <w:rsid w:val="009325B1"/>
    <w:pPr>
      <w:spacing w:before="120"/>
      <w:outlineLvl w:val="1"/>
    </w:pPr>
    <w:rPr>
      <w:b/>
      <w:sz w:val="28"/>
      <w:szCs w:val="28"/>
    </w:rPr>
  </w:style>
  <w:style w:type="paragraph" w:customStyle="1" w:styleId="ENotesHeading2">
    <w:name w:val="ENotesHeading 2"/>
    <w:aliases w:val="Enh2"/>
    <w:basedOn w:val="OPCParaBase"/>
    <w:next w:val="Normal"/>
    <w:rsid w:val="009325B1"/>
    <w:pPr>
      <w:spacing w:before="120" w:after="120"/>
      <w:outlineLvl w:val="2"/>
    </w:pPr>
    <w:rPr>
      <w:b/>
      <w:sz w:val="24"/>
      <w:szCs w:val="28"/>
    </w:rPr>
  </w:style>
  <w:style w:type="paragraph" w:customStyle="1" w:styleId="ENoteTTIndentHeading">
    <w:name w:val="ENoteTTIndentHeading"/>
    <w:aliases w:val="enTTHi"/>
    <w:basedOn w:val="OPCParaBase"/>
    <w:rsid w:val="009325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25B1"/>
    <w:pPr>
      <w:spacing w:before="60" w:line="240" w:lineRule="atLeast"/>
    </w:pPr>
    <w:rPr>
      <w:sz w:val="16"/>
    </w:rPr>
  </w:style>
  <w:style w:type="paragraph" w:customStyle="1" w:styleId="MadeunderText">
    <w:name w:val="MadeunderText"/>
    <w:basedOn w:val="OPCParaBase"/>
    <w:next w:val="Normal"/>
    <w:rsid w:val="009325B1"/>
    <w:pPr>
      <w:spacing w:before="240"/>
    </w:pPr>
    <w:rPr>
      <w:sz w:val="24"/>
      <w:szCs w:val="24"/>
    </w:rPr>
  </w:style>
  <w:style w:type="paragraph" w:customStyle="1" w:styleId="ENotesHeading3">
    <w:name w:val="ENotesHeading 3"/>
    <w:aliases w:val="Enh3"/>
    <w:basedOn w:val="OPCParaBase"/>
    <w:next w:val="Normal"/>
    <w:rsid w:val="009325B1"/>
    <w:pPr>
      <w:keepNext/>
      <w:spacing w:before="120" w:line="240" w:lineRule="auto"/>
      <w:outlineLvl w:val="4"/>
    </w:pPr>
    <w:rPr>
      <w:b/>
      <w:szCs w:val="24"/>
    </w:rPr>
  </w:style>
  <w:style w:type="character" w:customStyle="1" w:styleId="CharSubPartTextCASA">
    <w:name w:val="CharSubPartText(CASA)"/>
    <w:basedOn w:val="OPCCharBase"/>
    <w:uiPriority w:val="1"/>
    <w:rsid w:val="009325B1"/>
  </w:style>
  <w:style w:type="character" w:customStyle="1" w:styleId="CharSubPartNoCASA">
    <w:name w:val="CharSubPartNo(CASA)"/>
    <w:basedOn w:val="OPCCharBase"/>
    <w:uiPriority w:val="1"/>
    <w:rsid w:val="009325B1"/>
  </w:style>
  <w:style w:type="paragraph" w:customStyle="1" w:styleId="ENoteTTIndentHeadingSub">
    <w:name w:val="ENoteTTIndentHeadingSub"/>
    <w:aliases w:val="enTTHis"/>
    <w:basedOn w:val="OPCParaBase"/>
    <w:rsid w:val="009325B1"/>
    <w:pPr>
      <w:keepNext/>
      <w:spacing w:before="60" w:line="240" w:lineRule="atLeast"/>
      <w:ind w:left="340"/>
    </w:pPr>
    <w:rPr>
      <w:b/>
      <w:sz w:val="16"/>
    </w:rPr>
  </w:style>
  <w:style w:type="paragraph" w:customStyle="1" w:styleId="ENoteTTiSub">
    <w:name w:val="ENoteTTiSub"/>
    <w:aliases w:val="enttis"/>
    <w:basedOn w:val="OPCParaBase"/>
    <w:rsid w:val="009325B1"/>
    <w:pPr>
      <w:keepNext/>
      <w:spacing w:before="60" w:line="240" w:lineRule="atLeast"/>
      <w:ind w:left="340"/>
    </w:pPr>
    <w:rPr>
      <w:sz w:val="16"/>
    </w:rPr>
  </w:style>
  <w:style w:type="paragraph" w:customStyle="1" w:styleId="SubDivisionMigration">
    <w:name w:val="SubDivisionMigration"/>
    <w:aliases w:val="sdm"/>
    <w:basedOn w:val="OPCParaBase"/>
    <w:rsid w:val="009325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25B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25B1"/>
    <w:pPr>
      <w:spacing w:before="122" w:line="240" w:lineRule="auto"/>
      <w:ind w:left="1985" w:hanging="851"/>
    </w:pPr>
    <w:rPr>
      <w:sz w:val="18"/>
    </w:rPr>
  </w:style>
  <w:style w:type="paragraph" w:customStyle="1" w:styleId="FreeForm">
    <w:name w:val="FreeForm"/>
    <w:rsid w:val="009325B1"/>
    <w:rPr>
      <w:rFonts w:ascii="Arial" w:hAnsi="Arial"/>
      <w:sz w:val="22"/>
    </w:rPr>
  </w:style>
  <w:style w:type="paragraph" w:customStyle="1" w:styleId="SOText">
    <w:name w:val="SO Text"/>
    <w:aliases w:val="sot"/>
    <w:link w:val="SOTextChar"/>
    <w:rsid w:val="009325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25B1"/>
    <w:rPr>
      <w:sz w:val="22"/>
    </w:rPr>
  </w:style>
  <w:style w:type="paragraph" w:customStyle="1" w:styleId="SOTextNote">
    <w:name w:val="SO TextNote"/>
    <w:aliases w:val="sont"/>
    <w:basedOn w:val="SOText"/>
    <w:qFormat/>
    <w:rsid w:val="009325B1"/>
    <w:pPr>
      <w:spacing w:before="122" w:line="198" w:lineRule="exact"/>
      <w:ind w:left="1843" w:hanging="709"/>
    </w:pPr>
    <w:rPr>
      <w:sz w:val="18"/>
    </w:rPr>
  </w:style>
  <w:style w:type="paragraph" w:customStyle="1" w:styleId="SOPara">
    <w:name w:val="SO Para"/>
    <w:aliases w:val="soa"/>
    <w:basedOn w:val="SOText"/>
    <w:link w:val="SOParaChar"/>
    <w:qFormat/>
    <w:rsid w:val="009325B1"/>
    <w:pPr>
      <w:tabs>
        <w:tab w:val="right" w:pos="1786"/>
      </w:tabs>
      <w:spacing w:before="40"/>
      <w:ind w:left="2070" w:hanging="936"/>
    </w:pPr>
  </w:style>
  <w:style w:type="character" w:customStyle="1" w:styleId="SOParaChar">
    <w:name w:val="SO Para Char"/>
    <w:aliases w:val="soa Char"/>
    <w:basedOn w:val="DefaultParagraphFont"/>
    <w:link w:val="SOPara"/>
    <w:rsid w:val="009325B1"/>
    <w:rPr>
      <w:sz w:val="22"/>
    </w:rPr>
  </w:style>
  <w:style w:type="paragraph" w:customStyle="1" w:styleId="FileName">
    <w:name w:val="FileName"/>
    <w:basedOn w:val="Normal"/>
    <w:rsid w:val="009325B1"/>
  </w:style>
  <w:style w:type="paragraph" w:customStyle="1" w:styleId="TableHeading">
    <w:name w:val="TableHeading"/>
    <w:aliases w:val="th"/>
    <w:basedOn w:val="OPCParaBase"/>
    <w:next w:val="Tabletext"/>
    <w:rsid w:val="009325B1"/>
    <w:pPr>
      <w:keepNext/>
      <w:spacing w:before="60" w:line="240" w:lineRule="atLeast"/>
    </w:pPr>
    <w:rPr>
      <w:b/>
      <w:sz w:val="20"/>
    </w:rPr>
  </w:style>
  <w:style w:type="paragraph" w:customStyle="1" w:styleId="SOHeadBold">
    <w:name w:val="SO HeadBold"/>
    <w:aliases w:val="sohb"/>
    <w:basedOn w:val="SOText"/>
    <w:next w:val="SOText"/>
    <w:link w:val="SOHeadBoldChar"/>
    <w:qFormat/>
    <w:rsid w:val="009325B1"/>
    <w:rPr>
      <w:b/>
    </w:rPr>
  </w:style>
  <w:style w:type="character" w:customStyle="1" w:styleId="SOHeadBoldChar">
    <w:name w:val="SO HeadBold Char"/>
    <w:aliases w:val="sohb Char"/>
    <w:basedOn w:val="DefaultParagraphFont"/>
    <w:link w:val="SOHeadBold"/>
    <w:rsid w:val="009325B1"/>
    <w:rPr>
      <w:b/>
      <w:sz w:val="22"/>
    </w:rPr>
  </w:style>
  <w:style w:type="paragraph" w:customStyle="1" w:styleId="SOHeadItalic">
    <w:name w:val="SO HeadItalic"/>
    <w:aliases w:val="sohi"/>
    <w:basedOn w:val="SOText"/>
    <w:next w:val="SOText"/>
    <w:link w:val="SOHeadItalicChar"/>
    <w:qFormat/>
    <w:rsid w:val="009325B1"/>
    <w:rPr>
      <w:i/>
    </w:rPr>
  </w:style>
  <w:style w:type="character" w:customStyle="1" w:styleId="SOHeadItalicChar">
    <w:name w:val="SO HeadItalic Char"/>
    <w:aliases w:val="sohi Char"/>
    <w:basedOn w:val="DefaultParagraphFont"/>
    <w:link w:val="SOHeadItalic"/>
    <w:rsid w:val="009325B1"/>
    <w:rPr>
      <w:i/>
      <w:sz w:val="22"/>
    </w:rPr>
  </w:style>
  <w:style w:type="paragraph" w:customStyle="1" w:styleId="SOBullet">
    <w:name w:val="SO Bullet"/>
    <w:aliases w:val="sotb"/>
    <w:basedOn w:val="SOText"/>
    <w:link w:val="SOBulletChar"/>
    <w:qFormat/>
    <w:rsid w:val="009325B1"/>
    <w:pPr>
      <w:ind w:left="1559" w:hanging="425"/>
    </w:pPr>
  </w:style>
  <w:style w:type="character" w:customStyle="1" w:styleId="SOBulletChar">
    <w:name w:val="SO Bullet Char"/>
    <w:aliases w:val="sotb Char"/>
    <w:basedOn w:val="DefaultParagraphFont"/>
    <w:link w:val="SOBullet"/>
    <w:rsid w:val="009325B1"/>
    <w:rPr>
      <w:sz w:val="22"/>
    </w:rPr>
  </w:style>
  <w:style w:type="paragraph" w:customStyle="1" w:styleId="SOBulletNote">
    <w:name w:val="SO BulletNote"/>
    <w:aliases w:val="sonb"/>
    <w:basedOn w:val="SOTextNote"/>
    <w:link w:val="SOBulletNoteChar"/>
    <w:qFormat/>
    <w:rsid w:val="009325B1"/>
    <w:pPr>
      <w:tabs>
        <w:tab w:val="left" w:pos="1560"/>
      </w:tabs>
      <w:ind w:left="2268" w:hanging="1134"/>
    </w:pPr>
  </w:style>
  <w:style w:type="character" w:customStyle="1" w:styleId="SOBulletNoteChar">
    <w:name w:val="SO BulletNote Char"/>
    <w:aliases w:val="sonb Char"/>
    <w:basedOn w:val="DefaultParagraphFont"/>
    <w:link w:val="SOBulletNote"/>
    <w:rsid w:val="009325B1"/>
    <w:rPr>
      <w:sz w:val="18"/>
    </w:rPr>
  </w:style>
  <w:style w:type="paragraph" w:customStyle="1" w:styleId="SOText2">
    <w:name w:val="SO Text2"/>
    <w:aliases w:val="sot2"/>
    <w:basedOn w:val="Normal"/>
    <w:next w:val="SOText"/>
    <w:link w:val="SOText2Char"/>
    <w:rsid w:val="009325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25B1"/>
    <w:rPr>
      <w:sz w:val="22"/>
    </w:rPr>
  </w:style>
  <w:style w:type="paragraph" w:customStyle="1" w:styleId="SubPartCASA">
    <w:name w:val="SubPart(CASA)"/>
    <w:aliases w:val="csp"/>
    <w:basedOn w:val="OPCParaBase"/>
    <w:next w:val="ActHead3"/>
    <w:rsid w:val="009325B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325B1"/>
    <w:rPr>
      <w:rFonts w:eastAsia="Times New Roman" w:cs="Times New Roman"/>
      <w:sz w:val="22"/>
      <w:lang w:eastAsia="en-AU"/>
    </w:rPr>
  </w:style>
  <w:style w:type="character" w:customStyle="1" w:styleId="notetextChar">
    <w:name w:val="note(text) Char"/>
    <w:aliases w:val="n Char"/>
    <w:basedOn w:val="DefaultParagraphFont"/>
    <w:link w:val="notetext"/>
    <w:rsid w:val="009325B1"/>
    <w:rPr>
      <w:rFonts w:eastAsia="Times New Roman" w:cs="Times New Roman"/>
      <w:sz w:val="18"/>
      <w:lang w:eastAsia="en-AU"/>
    </w:rPr>
  </w:style>
  <w:style w:type="character" w:customStyle="1" w:styleId="Heading1Char">
    <w:name w:val="Heading 1 Char"/>
    <w:basedOn w:val="DefaultParagraphFont"/>
    <w:link w:val="Heading1"/>
    <w:uiPriority w:val="9"/>
    <w:rsid w:val="009325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25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5B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325B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325B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325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325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325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325B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325B1"/>
  </w:style>
  <w:style w:type="character" w:customStyle="1" w:styleId="charlegsubtitle1">
    <w:name w:val="charlegsubtitle1"/>
    <w:basedOn w:val="DefaultParagraphFont"/>
    <w:rsid w:val="009325B1"/>
    <w:rPr>
      <w:rFonts w:ascii="Arial" w:hAnsi="Arial" w:cs="Arial" w:hint="default"/>
      <w:b/>
      <w:bCs/>
      <w:sz w:val="28"/>
      <w:szCs w:val="28"/>
    </w:rPr>
  </w:style>
  <w:style w:type="paragraph" w:styleId="Index1">
    <w:name w:val="index 1"/>
    <w:basedOn w:val="Normal"/>
    <w:next w:val="Normal"/>
    <w:autoRedefine/>
    <w:rsid w:val="009325B1"/>
    <w:pPr>
      <w:ind w:left="240" w:hanging="240"/>
    </w:pPr>
  </w:style>
  <w:style w:type="paragraph" w:styleId="Index2">
    <w:name w:val="index 2"/>
    <w:basedOn w:val="Normal"/>
    <w:next w:val="Normal"/>
    <w:autoRedefine/>
    <w:rsid w:val="009325B1"/>
    <w:pPr>
      <w:ind w:left="480" w:hanging="240"/>
    </w:pPr>
  </w:style>
  <w:style w:type="paragraph" w:styleId="Index3">
    <w:name w:val="index 3"/>
    <w:basedOn w:val="Normal"/>
    <w:next w:val="Normal"/>
    <w:autoRedefine/>
    <w:rsid w:val="009325B1"/>
    <w:pPr>
      <w:ind w:left="720" w:hanging="240"/>
    </w:pPr>
  </w:style>
  <w:style w:type="paragraph" w:styleId="Index4">
    <w:name w:val="index 4"/>
    <w:basedOn w:val="Normal"/>
    <w:next w:val="Normal"/>
    <w:autoRedefine/>
    <w:rsid w:val="009325B1"/>
    <w:pPr>
      <w:ind w:left="960" w:hanging="240"/>
    </w:pPr>
  </w:style>
  <w:style w:type="paragraph" w:styleId="Index5">
    <w:name w:val="index 5"/>
    <w:basedOn w:val="Normal"/>
    <w:next w:val="Normal"/>
    <w:autoRedefine/>
    <w:rsid w:val="009325B1"/>
    <w:pPr>
      <w:ind w:left="1200" w:hanging="240"/>
    </w:pPr>
  </w:style>
  <w:style w:type="paragraph" w:styleId="Index6">
    <w:name w:val="index 6"/>
    <w:basedOn w:val="Normal"/>
    <w:next w:val="Normal"/>
    <w:autoRedefine/>
    <w:rsid w:val="009325B1"/>
    <w:pPr>
      <w:ind w:left="1440" w:hanging="240"/>
    </w:pPr>
  </w:style>
  <w:style w:type="paragraph" w:styleId="Index7">
    <w:name w:val="index 7"/>
    <w:basedOn w:val="Normal"/>
    <w:next w:val="Normal"/>
    <w:autoRedefine/>
    <w:rsid w:val="009325B1"/>
    <w:pPr>
      <w:ind w:left="1680" w:hanging="240"/>
    </w:pPr>
  </w:style>
  <w:style w:type="paragraph" w:styleId="Index8">
    <w:name w:val="index 8"/>
    <w:basedOn w:val="Normal"/>
    <w:next w:val="Normal"/>
    <w:autoRedefine/>
    <w:rsid w:val="009325B1"/>
    <w:pPr>
      <w:ind w:left="1920" w:hanging="240"/>
    </w:pPr>
  </w:style>
  <w:style w:type="paragraph" w:styleId="Index9">
    <w:name w:val="index 9"/>
    <w:basedOn w:val="Normal"/>
    <w:next w:val="Normal"/>
    <w:autoRedefine/>
    <w:rsid w:val="009325B1"/>
    <w:pPr>
      <w:ind w:left="2160" w:hanging="240"/>
    </w:pPr>
  </w:style>
  <w:style w:type="paragraph" w:styleId="NormalIndent">
    <w:name w:val="Normal Indent"/>
    <w:basedOn w:val="Normal"/>
    <w:rsid w:val="009325B1"/>
    <w:pPr>
      <w:ind w:left="720"/>
    </w:pPr>
  </w:style>
  <w:style w:type="paragraph" w:styleId="FootnoteText">
    <w:name w:val="footnote text"/>
    <w:basedOn w:val="Normal"/>
    <w:link w:val="FootnoteTextChar"/>
    <w:rsid w:val="009325B1"/>
    <w:rPr>
      <w:sz w:val="20"/>
    </w:rPr>
  </w:style>
  <w:style w:type="character" w:customStyle="1" w:styleId="FootnoteTextChar">
    <w:name w:val="Footnote Text Char"/>
    <w:basedOn w:val="DefaultParagraphFont"/>
    <w:link w:val="FootnoteText"/>
    <w:rsid w:val="009325B1"/>
  </w:style>
  <w:style w:type="paragraph" w:styleId="CommentText">
    <w:name w:val="annotation text"/>
    <w:basedOn w:val="Normal"/>
    <w:link w:val="CommentTextChar"/>
    <w:rsid w:val="009325B1"/>
    <w:rPr>
      <w:sz w:val="20"/>
    </w:rPr>
  </w:style>
  <w:style w:type="character" w:customStyle="1" w:styleId="CommentTextChar">
    <w:name w:val="Comment Text Char"/>
    <w:basedOn w:val="DefaultParagraphFont"/>
    <w:link w:val="CommentText"/>
    <w:rsid w:val="009325B1"/>
  </w:style>
  <w:style w:type="paragraph" w:styleId="IndexHeading">
    <w:name w:val="index heading"/>
    <w:basedOn w:val="Normal"/>
    <w:next w:val="Index1"/>
    <w:rsid w:val="009325B1"/>
    <w:rPr>
      <w:rFonts w:ascii="Arial" w:hAnsi="Arial" w:cs="Arial"/>
      <w:b/>
      <w:bCs/>
    </w:rPr>
  </w:style>
  <w:style w:type="paragraph" w:styleId="Caption">
    <w:name w:val="caption"/>
    <w:basedOn w:val="Normal"/>
    <w:next w:val="Normal"/>
    <w:qFormat/>
    <w:rsid w:val="009325B1"/>
    <w:pPr>
      <w:spacing w:before="120" w:after="120"/>
    </w:pPr>
    <w:rPr>
      <w:b/>
      <w:bCs/>
      <w:sz w:val="20"/>
    </w:rPr>
  </w:style>
  <w:style w:type="paragraph" w:styleId="TableofFigures">
    <w:name w:val="table of figures"/>
    <w:basedOn w:val="Normal"/>
    <w:next w:val="Normal"/>
    <w:rsid w:val="009325B1"/>
    <w:pPr>
      <w:ind w:left="480" w:hanging="480"/>
    </w:pPr>
  </w:style>
  <w:style w:type="paragraph" w:styleId="EnvelopeAddress">
    <w:name w:val="envelope address"/>
    <w:basedOn w:val="Normal"/>
    <w:rsid w:val="009325B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325B1"/>
    <w:rPr>
      <w:rFonts w:ascii="Arial" w:hAnsi="Arial" w:cs="Arial"/>
      <w:sz w:val="20"/>
    </w:rPr>
  </w:style>
  <w:style w:type="character" w:styleId="FootnoteReference">
    <w:name w:val="footnote reference"/>
    <w:basedOn w:val="DefaultParagraphFont"/>
    <w:rsid w:val="009325B1"/>
    <w:rPr>
      <w:rFonts w:ascii="Times New Roman" w:hAnsi="Times New Roman"/>
      <w:sz w:val="20"/>
      <w:vertAlign w:val="superscript"/>
    </w:rPr>
  </w:style>
  <w:style w:type="character" w:styleId="CommentReference">
    <w:name w:val="annotation reference"/>
    <w:basedOn w:val="DefaultParagraphFont"/>
    <w:rsid w:val="009325B1"/>
    <w:rPr>
      <w:sz w:val="16"/>
      <w:szCs w:val="16"/>
    </w:rPr>
  </w:style>
  <w:style w:type="character" w:styleId="PageNumber">
    <w:name w:val="page number"/>
    <w:basedOn w:val="DefaultParagraphFont"/>
    <w:rsid w:val="009325B1"/>
  </w:style>
  <w:style w:type="character" w:styleId="EndnoteReference">
    <w:name w:val="endnote reference"/>
    <w:basedOn w:val="DefaultParagraphFont"/>
    <w:rsid w:val="009325B1"/>
    <w:rPr>
      <w:vertAlign w:val="superscript"/>
    </w:rPr>
  </w:style>
  <w:style w:type="paragraph" w:styleId="EndnoteText">
    <w:name w:val="endnote text"/>
    <w:basedOn w:val="Normal"/>
    <w:link w:val="EndnoteTextChar"/>
    <w:rsid w:val="009325B1"/>
    <w:rPr>
      <w:sz w:val="20"/>
    </w:rPr>
  </w:style>
  <w:style w:type="character" w:customStyle="1" w:styleId="EndnoteTextChar">
    <w:name w:val="Endnote Text Char"/>
    <w:basedOn w:val="DefaultParagraphFont"/>
    <w:link w:val="EndnoteText"/>
    <w:rsid w:val="009325B1"/>
  </w:style>
  <w:style w:type="paragraph" w:styleId="TableofAuthorities">
    <w:name w:val="table of authorities"/>
    <w:basedOn w:val="Normal"/>
    <w:next w:val="Normal"/>
    <w:rsid w:val="009325B1"/>
    <w:pPr>
      <w:ind w:left="240" w:hanging="240"/>
    </w:pPr>
  </w:style>
  <w:style w:type="paragraph" w:styleId="MacroText">
    <w:name w:val="macro"/>
    <w:link w:val="MacroTextChar"/>
    <w:rsid w:val="009325B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325B1"/>
    <w:rPr>
      <w:rFonts w:ascii="Courier New" w:eastAsia="Times New Roman" w:hAnsi="Courier New" w:cs="Courier New"/>
      <w:lang w:eastAsia="en-AU"/>
    </w:rPr>
  </w:style>
  <w:style w:type="paragraph" w:styleId="TOAHeading">
    <w:name w:val="toa heading"/>
    <w:basedOn w:val="Normal"/>
    <w:next w:val="Normal"/>
    <w:rsid w:val="009325B1"/>
    <w:pPr>
      <w:spacing w:before="120"/>
    </w:pPr>
    <w:rPr>
      <w:rFonts w:ascii="Arial" w:hAnsi="Arial" w:cs="Arial"/>
      <w:b/>
      <w:bCs/>
    </w:rPr>
  </w:style>
  <w:style w:type="paragraph" w:styleId="List">
    <w:name w:val="List"/>
    <w:basedOn w:val="Normal"/>
    <w:rsid w:val="009325B1"/>
    <w:pPr>
      <w:ind w:left="283" w:hanging="283"/>
    </w:pPr>
  </w:style>
  <w:style w:type="paragraph" w:styleId="ListBullet">
    <w:name w:val="List Bullet"/>
    <w:basedOn w:val="Normal"/>
    <w:autoRedefine/>
    <w:rsid w:val="009325B1"/>
    <w:pPr>
      <w:tabs>
        <w:tab w:val="num" w:pos="360"/>
      </w:tabs>
      <w:ind w:left="360" w:hanging="360"/>
    </w:pPr>
  </w:style>
  <w:style w:type="paragraph" w:styleId="ListNumber">
    <w:name w:val="List Number"/>
    <w:basedOn w:val="Normal"/>
    <w:rsid w:val="009325B1"/>
    <w:pPr>
      <w:tabs>
        <w:tab w:val="num" w:pos="360"/>
      </w:tabs>
      <w:ind w:left="360" w:hanging="360"/>
    </w:pPr>
  </w:style>
  <w:style w:type="paragraph" w:styleId="List2">
    <w:name w:val="List 2"/>
    <w:basedOn w:val="Normal"/>
    <w:rsid w:val="009325B1"/>
    <w:pPr>
      <w:ind w:left="566" w:hanging="283"/>
    </w:pPr>
  </w:style>
  <w:style w:type="paragraph" w:styleId="List3">
    <w:name w:val="List 3"/>
    <w:basedOn w:val="Normal"/>
    <w:rsid w:val="009325B1"/>
    <w:pPr>
      <w:ind w:left="849" w:hanging="283"/>
    </w:pPr>
  </w:style>
  <w:style w:type="paragraph" w:styleId="List4">
    <w:name w:val="List 4"/>
    <w:basedOn w:val="Normal"/>
    <w:rsid w:val="009325B1"/>
    <w:pPr>
      <w:ind w:left="1132" w:hanging="283"/>
    </w:pPr>
  </w:style>
  <w:style w:type="paragraph" w:styleId="List5">
    <w:name w:val="List 5"/>
    <w:basedOn w:val="Normal"/>
    <w:rsid w:val="009325B1"/>
    <w:pPr>
      <w:ind w:left="1415" w:hanging="283"/>
    </w:pPr>
  </w:style>
  <w:style w:type="paragraph" w:styleId="ListBullet2">
    <w:name w:val="List Bullet 2"/>
    <w:basedOn w:val="Normal"/>
    <w:autoRedefine/>
    <w:rsid w:val="009325B1"/>
    <w:pPr>
      <w:tabs>
        <w:tab w:val="num" w:pos="360"/>
      </w:tabs>
    </w:pPr>
  </w:style>
  <w:style w:type="paragraph" w:styleId="ListBullet3">
    <w:name w:val="List Bullet 3"/>
    <w:basedOn w:val="Normal"/>
    <w:autoRedefine/>
    <w:rsid w:val="009325B1"/>
    <w:pPr>
      <w:tabs>
        <w:tab w:val="num" w:pos="926"/>
      </w:tabs>
      <w:ind w:left="926" w:hanging="360"/>
    </w:pPr>
  </w:style>
  <w:style w:type="paragraph" w:styleId="ListBullet4">
    <w:name w:val="List Bullet 4"/>
    <w:basedOn w:val="Normal"/>
    <w:autoRedefine/>
    <w:rsid w:val="009325B1"/>
    <w:pPr>
      <w:tabs>
        <w:tab w:val="num" w:pos="1209"/>
      </w:tabs>
      <w:ind w:left="1209" w:hanging="360"/>
    </w:pPr>
  </w:style>
  <w:style w:type="paragraph" w:styleId="ListBullet5">
    <w:name w:val="List Bullet 5"/>
    <w:basedOn w:val="Normal"/>
    <w:autoRedefine/>
    <w:rsid w:val="009325B1"/>
    <w:pPr>
      <w:tabs>
        <w:tab w:val="num" w:pos="1492"/>
      </w:tabs>
      <w:ind w:left="1492" w:hanging="360"/>
    </w:pPr>
  </w:style>
  <w:style w:type="paragraph" w:styleId="ListNumber2">
    <w:name w:val="List Number 2"/>
    <w:basedOn w:val="Normal"/>
    <w:rsid w:val="009325B1"/>
    <w:pPr>
      <w:tabs>
        <w:tab w:val="num" w:pos="643"/>
      </w:tabs>
      <w:ind w:left="643" w:hanging="360"/>
    </w:pPr>
  </w:style>
  <w:style w:type="paragraph" w:styleId="ListNumber3">
    <w:name w:val="List Number 3"/>
    <w:basedOn w:val="Normal"/>
    <w:rsid w:val="009325B1"/>
    <w:pPr>
      <w:tabs>
        <w:tab w:val="num" w:pos="926"/>
      </w:tabs>
      <w:ind w:left="926" w:hanging="360"/>
    </w:pPr>
  </w:style>
  <w:style w:type="paragraph" w:styleId="ListNumber4">
    <w:name w:val="List Number 4"/>
    <w:basedOn w:val="Normal"/>
    <w:rsid w:val="009325B1"/>
    <w:pPr>
      <w:tabs>
        <w:tab w:val="num" w:pos="1209"/>
      </w:tabs>
      <w:ind w:left="1209" w:hanging="360"/>
    </w:pPr>
  </w:style>
  <w:style w:type="paragraph" w:styleId="ListNumber5">
    <w:name w:val="List Number 5"/>
    <w:basedOn w:val="Normal"/>
    <w:rsid w:val="009325B1"/>
    <w:pPr>
      <w:tabs>
        <w:tab w:val="num" w:pos="1492"/>
      </w:tabs>
      <w:ind w:left="1492" w:hanging="360"/>
    </w:pPr>
  </w:style>
  <w:style w:type="paragraph" w:styleId="Title">
    <w:name w:val="Title"/>
    <w:basedOn w:val="Normal"/>
    <w:link w:val="TitleChar"/>
    <w:qFormat/>
    <w:rsid w:val="009325B1"/>
    <w:pPr>
      <w:spacing w:before="240" w:after="60"/>
    </w:pPr>
    <w:rPr>
      <w:rFonts w:ascii="Arial" w:hAnsi="Arial" w:cs="Arial"/>
      <w:b/>
      <w:bCs/>
      <w:sz w:val="40"/>
      <w:szCs w:val="40"/>
    </w:rPr>
  </w:style>
  <w:style w:type="character" w:customStyle="1" w:styleId="TitleChar">
    <w:name w:val="Title Char"/>
    <w:basedOn w:val="DefaultParagraphFont"/>
    <w:link w:val="Title"/>
    <w:rsid w:val="009325B1"/>
    <w:rPr>
      <w:rFonts w:ascii="Arial" w:hAnsi="Arial" w:cs="Arial"/>
      <w:b/>
      <w:bCs/>
      <w:sz w:val="40"/>
      <w:szCs w:val="40"/>
    </w:rPr>
  </w:style>
  <w:style w:type="paragraph" w:styleId="Closing">
    <w:name w:val="Closing"/>
    <w:basedOn w:val="Normal"/>
    <w:link w:val="ClosingChar"/>
    <w:rsid w:val="009325B1"/>
    <w:pPr>
      <w:ind w:left="4252"/>
    </w:pPr>
  </w:style>
  <w:style w:type="character" w:customStyle="1" w:styleId="ClosingChar">
    <w:name w:val="Closing Char"/>
    <w:basedOn w:val="DefaultParagraphFont"/>
    <w:link w:val="Closing"/>
    <w:rsid w:val="009325B1"/>
    <w:rPr>
      <w:sz w:val="22"/>
    </w:rPr>
  </w:style>
  <w:style w:type="paragraph" w:styleId="Signature">
    <w:name w:val="Signature"/>
    <w:basedOn w:val="Normal"/>
    <w:link w:val="SignatureChar"/>
    <w:rsid w:val="009325B1"/>
    <w:pPr>
      <w:ind w:left="4252"/>
    </w:pPr>
  </w:style>
  <w:style w:type="character" w:customStyle="1" w:styleId="SignatureChar">
    <w:name w:val="Signature Char"/>
    <w:basedOn w:val="DefaultParagraphFont"/>
    <w:link w:val="Signature"/>
    <w:rsid w:val="009325B1"/>
    <w:rPr>
      <w:sz w:val="22"/>
    </w:rPr>
  </w:style>
  <w:style w:type="paragraph" w:styleId="BodyText">
    <w:name w:val="Body Text"/>
    <w:basedOn w:val="Normal"/>
    <w:link w:val="BodyTextChar"/>
    <w:rsid w:val="009325B1"/>
    <w:pPr>
      <w:spacing w:after="120"/>
    </w:pPr>
  </w:style>
  <w:style w:type="character" w:customStyle="1" w:styleId="BodyTextChar">
    <w:name w:val="Body Text Char"/>
    <w:basedOn w:val="DefaultParagraphFont"/>
    <w:link w:val="BodyText"/>
    <w:rsid w:val="009325B1"/>
    <w:rPr>
      <w:sz w:val="22"/>
    </w:rPr>
  </w:style>
  <w:style w:type="paragraph" w:styleId="BodyTextIndent">
    <w:name w:val="Body Text Indent"/>
    <w:basedOn w:val="Normal"/>
    <w:link w:val="BodyTextIndentChar"/>
    <w:rsid w:val="009325B1"/>
    <w:pPr>
      <w:spacing w:after="120"/>
      <w:ind w:left="283"/>
    </w:pPr>
  </w:style>
  <w:style w:type="character" w:customStyle="1" w:styleId="BodyTextIndentChar">
    <w:name w:val="Body Text Indent Char"/>
    <w:basedOn w:val="DefaultParagraphFont"/>
    <w:link w:val="BodyTextIndent"/>
    <w:rsid w:val="009325B1"/>
    <w:rPr>
      <w:sz w:val="22"/>
    </w:rPr>
  </w:style>
  <w:style w:type="paragraph" w:styleId="ListContinue">
    <w:name w:val="List Continue"/>
    <w:basedOn w:val="Normal"/>
    <w:rsid w:val="009325B1"/>
    <w:pPr>
      <w:spacing w:after="120"/>
      <w:ind w:left="283"/>
    </w:pPr>
  </w:style>
  <w:style w:type="paragraph" w:styleId="ListContinue2">
    <w:name w:val="List Continue 2"/>
    <w:basedOn w:val="Normal"/>
    <w:rsid w:val="009325B1"/>
    <w:pPr>
      <w:spacing w:after="120"/>
      <w:ind w:left="566"/>
    </w:pPr>
  </w:style>
  <w:style w:type="paragraph" w:styleId="ListContinue3">
    <w:name w:val="List Continue 3"/>
    <w:basedOn w:val="Normal"/>
    <w:rsid w:val="009325B1"/>
    <w:pPr>
      <w:spacing w:after="120"/>
      <w:ind w:left="849"/>
    </w:pPr>
  </w:style>
  <w:style w:type="paragraph" w:styleId="ListContinue4">
    <w:name w:val="List Continue 4"/>
    <w:basedOn w:val="Normal"/>
    <w:rsid w:val="009325B1"/>
    <w:pPr>
      <w:spacing w:after="120"/>
      <w:ind w:left="1132"/>
    </w:pPr>
  </w:style>
  <w:style w:type="paragraph" w:styleId="ListContinue5">
    <w:name w:val="List Continue 5"/>
    <w:basedOn w:val="Normal"/>
    <w:rsid w:val="009325B1"/>
    <w:pPr>
      <w:spacing w:after="120"/>
      <w:ind w:left="1415"/>
    </w:pPr>
  </w:style>
  <w:style w:type="paragraph" w:styleId="MessageHeader">
    <w:name w:val="Message Header"/>
    <w:basedOn w:val="Normal"/>
    <w:link w:val="MessageHeaderChar"/>
    <w:rsid w:val="009325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325B1"/>
    <w:rPr>
      <w:rFonts w:ascii="Arial" w:hAnsi="Arial" w:cs="Arial"/>
      <w:sz w:val="22"/>
      <w:shd w:val="pct20" w:color="auto" w:fill="auto"/>
    </w:rPr>
  </w:style>
  <w:style w:type="paragraph" w:styleId="Subtitle">
    <w:name w:val="Subtitle"/>
    <w:basedOn w:val="Normal"/>
    <w:link w:val="SubtitleChar"/>
    <w:qFormat/>
    <w:rsid w:val="009325B1"/>
    <w:pPr>
      <w:spacing w:after="60"/>
      <w:jc w:val="center"/>
      <w:outlineLvl w:val="1"/>
    </w:pPr>
    <w:rPr>
      <w:rFonts w:ascii="Arial" w:hAnsi="Arial" w:cs="Arial"/>
    </w:rPr>
  </w:style>
  <w:style w:type="character" w:customStyle="1" w:styleId="SubtitleChar">
    <w:name w:val="Subtitle Char"/>
    <w:basedOn w:val="DefaultParagraphFont"/>
    <w:link w:val="Subtitle"/>
    <w:rsid w:val="009325B1"/>
    <w:rPr>
      <w:rFonts w:ascii="Arial" w:hAnsi="Arial" w:cs="Arial"/>
      <w:sz w:val="22"/>
    </w:rPr>
  </w:style>
  <w:style w:type="paragraph" w:styleId="Salutation">
    <w:name w:val="Salutation"/>
    <w:basedOn w:val="Normal"/>
    <w:next w:val="Normal"/>
    <w:link w:val="SalutationChar"/>
    <w:rsid w:val="009325B1"/>
  </w:style>
  <w:style w:type="character" w:customStyle="1" w:styleId="SalutationChar">
    <w:name w:val="Salutation Char"/>
    <w:basedOn w:val="DefaultParagraphFont"/>
    <w:link w:val="Salutation"/>
    <w:rsid w:val="009325B1"/>
    <w:rPr>
      <w:sz w:val="22"/>
    </w:rPr>
  </w:style>
  <w:style w:type="paragraph" w:styleId="Date">
    <w:name w:val="Date"/>
    <w:basedOn w:val="Normal"/>
    <w:next w:val="Normal"/>
    <w:link w:val="DateChar"/>
    <w:rsid w:val="009325B1"/>
  </w:style>
  <w:style w:type="character" w:customStyle="1" w:styleId="DateChar">
    <w:name w:val="Date Char"/>
    <w:basedOn w:val="DefaultParagraphFont"/>
    <w:link w:val="Date"/>
    <w:rsid w:val="009325B1"/>
    <w:rPr>
      <w:sz w:val="22"/>
    </w:rPr>
  </w:style>
  <w:style w:type="paragraph" w:styleId="BodyTextFirstIndent">
    <w:name w:val="Body Text First Indent"/>
    <w:basedOn w:val="BodyText"/>
    <w:link w:val="BodyTextFirstIndentChar"/>
    <w:rsid w:val="009325B1"/>
    <w:pPr>
      <w:ind w:firstLine="210"/>
    </w:pPr>
  </w:style>
  <w:style w:type="character" w:customStyle="1" w:styleId="BodyTextFirstIndentChar">
    <w:name w:val="Body Text First Indent Char"/>
    <w:basedOn w:val="BodyTextChar"/>
    <w:link w:val="BodyTextFirstIndent"/>
    <w:rsid w:val="009325B1"/>
    <w:rPr>
      <w:sz w:val="22"/>
    </w:rPr>
  </w:style>
  <w:style w:type="paragraph" w:styleId="BodyTextFirstIndent2">
    <w:name w:val="Body Text First Indent 2"/>
    <w:basedOn w:val="BodyTextIndent"/>
    <w:link w:val="BodyTextFirstIndent2Char"/>
    <w:rsid w:val="009325B1"/>
    <w:pPr>
      <w:ind w:firstLine="210"/>
    </w:pPr>
  </w:style>
  <w:style w:type="character" w:customStyle="1" w:styleId="BodyTextFirstIndent2Char">
    <w:name w:val="Body Text First Indent 2 Char"/>
    <w:basedOn w:val="BodyTextIndentChar"/>
    <w:link w:val="BodyTextFirstIndent2"/>
    <w:rsid w:val="009325B1"/>
    <w:rPr>
      <w:sz w:val="22"/>
    </w:rPr>
  </w:style>
  <w:style w:type="paragraph" w:styleId="BodyText2">
    <w:name w:val="Body Text 2"/>
    <w:basedOn w:val="Normal"/>
    <w:link w:val="BodyText2Char"/>
    <w:rsid w:val="009325B1"/>
    <w:pPr>
      <w:spacing w:after="120" w:line="480" w:lineRule="auto"/>
    </w:pPr>
  </w:style>
  <w:style w:type="character" w:customStyle="1" w:styleId="BodyText2Char">
    <w:name w:val="Body Text 2 Char"/>
    <w:basedOn w:val="DefaultParagraphFont"/>
    <w:link w:val="BodyText2"/>
    <w:rsid w:val="009325B1"/>
    <w:rPr>
      <w:sz w:val="22"/>
    </w:rPr>
  </w:style>
  <w:style w:type="paragraph" w:styleId="BodyText3">
    <w:name w:val="Body Text 3"/>
    <w:basedOn w:val="Normal"/>
    <w:link w:val="BodyText3Char"/>
    <w:rsid w:val="009325B1"/>
    <w:pPr>
      <w:spacing w:after="120"/>
    </w:pPr>
    <w:rPr>
      <w:sz w:val="16"/>
      <w:szCs w:val="16"/>
    </w:rPr>
  </w:style>
  <w:style w:type="character" w:customStyle="1" w:styleId="BodyText3Char">
    <w:name w:val="Body Text 3 Char"/>
    <w:basedOn w:val="DefaultParagraphFont"/>
    <w:link w:val="BodyText3"/>
    <w:rsid w:val="009325B1"/>
    <w:rPr>
      <w:sz w:val="16"/>
      <w:szCs w:val="16"/>
    </w:rPr>
  </w:style>
  <w:style w:type="paragraph" w:styleId="BodyTextIndent2">
    <w:name w:val="Body Text Indent 2"/>
    <w:basedOn w:val="Normal"/>
    <w:link w:val="BodyTextIndent2Char"/>
    <w:rsid w:val="009325B1"/>
    <w:pPr>
      <w:spacing w:after="120" w:line="480" w:lineRule="auto"/>
      <w:ind w:left="283"/>
    </w:pPr>
  </w:style>
  <w:style w:type="character" w:customStyle="1" w:styleId="BodyTextIndent2Char">
    <w:name w:val="Body Text Indent 2 Char"/>
    <w:basedOn w:val="DefaultParagraphFont"/>
    <w:link w:val="BodyTextIndent2"/>
    <w:rsid w:val="009325B1"/>
    <w:rPr>
      <w:sz w:val="22"/>
    </w:rPr>
  </w:style>
  <w:style w:type="paragraph" w:styleId="BodyTextIndent3">
    <w:name w:val="Body Text Indent 3"/>
    <w:basedOn w:val="Normal"/>
    <w:link w:val="BodyTextIndent3Char"/>
    <w:rsid w:val="009325B1"/>
    <w:pPr>
      <w:spacing w:after="120"/>
      <w:ind w:left="283"/>
    </w:pPr>
    <w:rPr>
      <w:sz w:val="16"/>
      <w:szCs w:val="16"/>
    </w:rPr>
  </w:style>
  <w:style w:type="character" w:customStyle="1" w:styleId="BodyTextIndent3Char">
    <w:name w:val="Body Text Indent 3 Char"/>
    <w:basedOn w:val="DefaultParagraphFont"/>
    <w:link w:val="BodyTextIndent3"/>
    <w:rsid w:val="009325B1"/>
    <w:rPr>
      <w:sz w:val="16"/>
      <w:szCs w:val="16"/>
    </w:rPr>
  </w:style>
  <w:style w:type="paragraph" w:styleId="BlockText">
    <w:name w:val="Block Text"/>
    <w:basedOn w:val="Normal"/>
    <w:rsid w:val="009325B1"/>
    <w:pPr>
      <w:spacing w:after="120"/>
      <w:ind w:left="1440" w:right="1440"/>
    </w:pPr>
  </w:style>
  <w:style w:type="character" w:styleId="Hyperlink">
    <w:name w:val="Hyperlink"/>
    <w:basedOn w:val="DefaultParagraphFont"/>
    <w:rsid w:val="009325B1"/>
    <w:rPr>
      <w:color w:val="0000FF"/>
      <w:u w:val="single"/>
    </w:rPr>
  </w:style>
  <w:style w:type="character" w:styleId="FollowedHyperlink">
    <w:name w:val="FollowedHyperlink"/>
    <w:basedOn w:val="DefaultParagraphFont"/>
    <w:rsid w:val="009325B1"/>
    <w:rPr>
      <w:color w:val="800080"/>
      <w:u w:val="single"/>
    </w:rPr>
  </w:style>
  <w:style w:type="character" w:styleId="Strong">
    <w:name w:val="Strong"/>
    <w:basedOn w:val="DefaultParagraphFont"/>
    <w:qFormat/>
    <w:rsid w:val="009325B1"/>
    <w:rPr>
      <w:b/>
      <w:bCs/>
    </w:rPr>
  </w:style>
  <w:style w:type="character" w:styleId="Emphasis">
    <w:name w:val="Emphasis"/>
    <w:basedOn w:val="DefaultParagraphFont"/>
    <w:qFormat/>
    <w:rsid w:val="009325B1"/>
    <w:rPr>
      <w:i/>
      <w:iCs/>
    </w:rPr>
  </w:style>
  <w:style w:type="paragraph" w:styleId="DocumentMap">
    <w:name w:val="Document Map"/>
    <w:basedOn w:val="Normal"/>
    <w:link w:val="DocumentMapChar"/>
    <w:rsid w:val="009325B1"/>
    <w:pPr>
      <w:shd w:val="clear" w:color="auto" w:fill="000080"/>
    </w:pPr>
    <w:rPr>
      <w:rFonts w:ascii="Tahoma" w:hAnsi="Tahoma" w:cs="Tahoma"/>
    </w:rPr>
  </w:style>
  <w:style w:type="character" w:customStyle="1" w:styleId="DocumentMapChar">
    <w:name w:val="Document Map Char"/>
    <w:basedOn w:val="DefaultParagraphFont"/>
    <w:link w:val="DocumentMap"/>
    <w:rsid w:val="009325B1"/>
    <w:rPr>
      <w:rFonts w:ascii="Tahoma" w:hAnsi="Tahoma" w:cs="Tahoma"/>
      <w:sz w:val="22"/>
      <w:shd w:val="clear" w:color="auto" w:fill="000080"/>
    </w:rPr>
  </w:style>
  <w:style w:type="paragraph" w:styleId="PlainText">
    <w:name w:val="Plain Text"/>
    <w:basedOn w:val="Normal"/>
    <w:link w:val="PlainTextChar"/>
    <w:rsid w:val="009325B1"/>
    <w:rPr>
      <w:rFonts w:ascii="Courier New" w:hAnsi="Courier New" w:cs="Courier New"/>
      <w:sz w:val="20"/>
    </w:rPr>
  </w:style>
  <w:style w:type="character" w:customStyle="1" w:styleId="PlainTextChar">
    <w:name w:val="Plain Text Char"/>
    <w:basedOn w:val="DefaultParagraphFont"/>
    <w:link w:val="PlainText"/>
    <w:rsid w:val="009325B1"/>
    <w:rPr>
      <w:rFonts w:ascii="Courier New" w:hAnsi="Courier New" w:cs="Courier New"/>
    </w:rPr>
  </w:style>
  <w:style w:type="paragraph" w:styleId="E-mailSignature">
    <w:name w:val="E-mail Signature"/>
    <w:basedOn w:val="Normal"/>
    <w:link w:val="E-mailSignatureChar"/>
    <w:rsid w:val="009325B1"/>
  </w:style>
  <w:style w:type="character" w:customStyle="1" w:styleId="E-mailSignatureChar">
    <w:name w:val="E-mail Signature Char"/>
    <w:basedOn w:val="DefaultParagraphFont"/>
    <w:link w:val="E-mailSignature"/>
    <w:rsid w:val="009325B1"/>
    <w:rPr>
      <w:sz w:val="22"/>
    </w:rPr>
  </w:style>
  <w:style w:type="paragraph" w:styleId="NormalWeb">
    <w:name w:val="Normal (Web)"/>
    <w:basedOn w:val="Normal"/>
    <w:rsid w:val="009325B1"/>
  </w:style>
  <w:style w:type="character" w:styleId="HTMLAcronym">
    <w:name w:val="HTML Acronym"/>
    <w:basedOn w:val="DefaultParagraphFont"/>
    <w:rsid w:val="009325B1"/>
  </w:style>
  <w:style w:type="paragraph" w:styleId="HTMLAddress">
    <w:name w:val="HTML Address"/>
    <w:basedOn w:val="Normal"/>
    <w:link w:val="HTMLAddressChar"/>
    <w:rsid w:val="009325B1"/>
    <w:rPr>
      <w:i/>
      <w:iCs/>
    </w:rPr>
  </w:style>
  <w:style w:type="character" w:customStyle="1" w:styleId="HTMLAddressChar">
    <w:name w:val="HTML Address Char"/>
    <w:basedOn w:val="DefaultParagraphFont"/>
    <w:link w:val="HTMLAddress"/>
    <w:rsid w:val="009325B1"/>
    <w:rPr>
      <w:i/>
      <w:iCs/>
      <w:sz w:val="22"/>
    </w:rPr>
  </w:style>
  <w:style w:type="character" w:styleId="HTMLCite">
    <w:name w:val="HTML Cite"/>
    <w:basedOn w:val="DefaultParagraphFont"/>
    <w:rsid w:val="009325B1"/>
    <w:rPr>
      <w:i/>
      <w:iCs/>
    </w:rPr>
  </w:style>
  <w:style w:type="character" w:styleId="HTMLCode">
    <w:name w:val="HTML Code"/>
    <w:basedOn w:val="DefaultParagraphFont"/>
    <w:rsid w:val="009325B1"/>
    <w:rPr>
      <w:rFonts w:ascii="Courier New" w:hAnsi="Courier New" w:cs="Courier New"/>
      <w:sz w:val="20"/>
      <w:szCs w:val="20"/>
    </w:rPr>
  </w:style>
  <w:style w:type="character" w:styleId="HTMLDefinition">
    <w:name w:val="HTML Definition"/>
    <w:basedOn w:val="DefaultParagraphFont"/>
    <w:rsid w:val="009325B1"/>
    <w:rPr>
      <w:i/>
      <w:iCs/>
    </w:rPr>
  </w:style>
  <w:style w:type="character" w:styleId="HTMLKeyboard">
    <w:name w:val="HTML Keyboard"/>
    <w:basedOn w:val="DefaultParagraphFont"/>
    <w:rsid w:val="009325B1"/>
    <w:rPr>
      <w:rFonts w:ascii="Courier New" w:hAnsi="Courier New" w:cs="Courier New"/>
      <w:sz w:val="20"/>
      <w:szCs w:val="20"/>
    </w:rPr>
  </w:style>
  <w:style w:type="paragraph" w:styleId="HTMLPreformatted">
    <w:name w:val="HTML Preformatted"/>
    <w:basedOn w:val="Normal"/>
    <w:link w:val="HTMLPreformattedChar"/>
    <w:rsid w:val="009325B1"/>
    <w:rPr>
      <w:rFonts w:ascii="Courier New" w:hAnsi="Courier New" w:cs="Courier New"/>
      <w:sz w:val="20"/>
    </w:rPr>
  </w:style>
  <w:style w:type="character" w:customStyle="1" w:styleId="HTMLPreformattedChar">
    <w:name w:val="HTML Preformatted Char"/>
    <w:basedOn w:val="DefaultParagraphFont"/>
    <w:link w:val="HTMLPreformatted"/>
    <w:rsid w:val="009325B1"/>
    <w:rPr>
      <w:rFonts w:ascii="Courier New" w:hAnsi="Courier New" w:cs="Courier New"/>
    </w:rPr>
  </w:style>
  <w:style w:type="character" w:styleId="HTMLSample">
    <w:name w:val="HTML Sample"/>
    <w:basedOn w:val="DefaultParagraphFont"/>
    <w:rsid w:val="009325B1"/>
    <w:rPr>
      <w:rFonts w:ascii="Courier New" w:hAnsi="Courier New" w:cs="Courier New"/>
    </w:rPr>
  </w:style>
  <w:style w:type="character" w:styleId="HTMLTypewriter">
    <w:name w:val="HTML Typewriter"/>
    <w:basedOn w:val="DefaultParagraphFont"/>
    <w:rsid w:val="009325B1"/>
    <w:rPr>
      <w:rFonts w:ascii="Courier New" w:hAnsi="Courier New" w:cs="Courier New"/>
      <w:sz w:val="20"/>
      <w:szCs w:val="20"/>
    </w:rPr>
  </w:style>
  <w:style w:type="character" w:styleId="HTMLVariable">
    <w:name w:val="HTML Variable"/>
    <w:basedOn w:val="DefaultParagraphFont"/>
    <w:rsid w:val="009325B1"/>
    <w:rPr>
      <w:i/>
      <w:iCs/>
    </w:rPr>
  </w:style>
  <w:style w:type="paragraph" w:styleId="CommentSubject">
    <w:name w:val="annotation subject"/>
    <w:basedOn w:val="CommentText"/>
    <w:next w:val="CommentText"/>
    <w:link w:val="CommentSubjectChar"/>
    <w:rsid w:val="009325B1"/>
    <w:rPr>
      <w:b/>
      <w:bCs/>
    </w:rPr>
  </w:style>
  <w:style w:type="character" w:customStyle="1" w:styleId="CommentSubjectChar">
    <w:name w:val="Comment Subject Char"/>
    <w:basedOn w:val="CommentTextChar"/>
    <w:link w:val="CommentSubject"/>
    <w:rsid w:val="009325B1"/>
    <w:rPr>
      <w:b/>
      <w:bCs/>
    </w:rPr>
  </w:style>
  <w:style w:type="numbering" w:styleId="1ai">
    <w:name w:val="Outline List 1"/>
    <w:basedOn w:val="NoList"/>
    <w:rsid w:val="009325B1"/>
    <w:pPr>
      <w:numPr>
        <w:numId w:val="14"/>
      </w:numPr>
    </w:pPr>
  </w:style>
  <w:style w:type="numbering" w:styleId="111111">
    <w:name w:val="Outline List 2"/>
    <w:basedOn w:val="NoList"/>
    <w:rsid w:val="009325B1"/>
    <w:pPr>
      <w:numPr>
        <w:numId w:val="15"/>
      </w:numPr>
    </w:pPr>
  </w:style>
  <w:style w:type="numbering" w:styleId="ArticleSection">
    <w:name w:val="Outline List 3"/>
    <w:basedOn w:val="NoList"/>
    <w:rsid w:val="009325B1"/>
    <w:pPr>
      <w:numPr>
        <w:numId w:val="17"/>
      </w:numPr>
    </w:pPr>
  </w:style>
  <w:style w:type="table" w:styleId="TableSimple1">
    <w:name w:val="Table Simple 1"/>
    <w:basedOn w:val="TableNormal"/>
    <w:rsid w:val="009325B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25B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25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325B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25B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25B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25B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25B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25B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25B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25B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25B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25B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25B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25B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325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25B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25B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25B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25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25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25B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25B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25B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25B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25B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25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25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25B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25B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25B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325B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25B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25B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325B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25B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325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25B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25B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325B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25B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25B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325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325B1"/>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006355"/>
    <w:rPr>
      <w:rFonts w:eastAsia="Times New Roman" w:cs="Times New Roman"/>
      <w:sz w:val="22"/>
      <w:lang w:eastAsia="en-AU"/>
    </w:rPr>
  </w:style>
  <w:style w:type="paragraph" w:styleId="ListParagraph">
    <w:name w:val="List Paragraph"/>
    <w:basedOn w:val="Normal"/>
    <w:uiPriority w:val="34"/>
    <w:qFormat/>
    <w:rsid w:val="00750DF1"/>
    <w:pPr>
      <w:spacing w:after="200" w:line="276" w:lineRule="auto"/>
      <w:ind w:left="720"/>
      <w:contextualSpacing/>
    </w:pPr>
    <w:rPr>
      <w:rFonts w:asciiTheme="minorHAnsi" w:hAnsiTheme="minorHAnsi"/>
      <w:szCs w:val="22"/>
    </w:rPr>
  </w:style>
  <w:style w:type="paragraph" w:customStyle="1" w:styleId="tablei0">
    <w:name w:val="tablei"/>
    <w:basedOn w:val="Normal"/>
    <w:rsid w:val="00E7056B"/>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E7056B"/>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E7056B"/>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classic.austlii.edu.au/au/legis/cth/consol_act/fla1975114/s69zr.html" TargetMode="Externa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23</Pages>
  <Words>4095</Words>
  <Characters>20192</Characters>
  <Application>Microsoft Office Word</Application>
  <DocSecurity>0</DocSecurity>
  <PresentationFormat/>
  <Lines>1682</Lines>
  <Paragraphs>735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2022-11-21T05:46:00Z</dcterms:created>
  <dcterms:modified xsi:type="dcterms:W3CDTF">2022-11-24T23:21:00Z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Circuit and Family Court of Australia (Family Law) Amendment (2022 Measures No. 1) Rules 2022</vt:lpwstr>
  </property>
  <property fmtid="{D5CDD505-2E9C-101B-9397-08002B2CF9AE}" pid="4" name="Class">
    <vt:lpwstr>Family Court 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OPC66209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