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690A" w14:textId="27166BE6" w:rsidR="007A7FFB" w:rsidRPr="001705D1" w:rsidRDefault="009B2890" w:rsidP="00806F24">
      <w:pPr>
        <w:spacing w:after="0"/>
        <w:jc w:val="center"/>
        <w:rPr>
          <w:rFonts w:ascii="Times New Roman" w:hAnsi="Times New Roman" w:cs="Times New Roman"/>
          <w:b/>
          <w:bCs/>
        </w:rPr>
      </w:pPr>
      <w:r w:rsidRPr="001705D1">
        <w:rPr>
          <w:rFonts w:ascii="Times New Roman" w:hAnsi="Times New Roman" w:cs="Times New Roman"/>
          <w:b/>
          <w:bCs/>
        </w:rPr>
        <w:t>EXPLANATORY STATEMENT</w:t>
      </w:r>
    </w:p>
    <w:p w14:paraId="17BA3DAF" w14:textId="13CFD20E" w:rsidR="00B419C2" w:rsidRPr="001705D1" w:rsidRDefault="00B419C2" w:rsidP="00806F24">
      <w:pPr>
        <w:spacing w:after="0"/>
        <w:jc w:val="center"/>
        <w:rPr>
          <w:rFonts w:ascii="Times New Roman" w:hAnsi="Times New Roman" w:cs="Times New Roman"/>
          <w:b/>
          <w:bCs/>
        </w:rPr>
      </w:pPr>
    </w:p>
    <w:p w14:paraId="4AC15257" w14:textId="6F6D0DB1" w:rsidR="00B419C2" w:rsidRPr="001705D1" w:rsidRDefault="00B419C2" w:rsidP="00806F24">
      <w:pPr>
        <w:spacing w:after="0"/>
        <w:jc w:val="center"/>
        <w:rPr>
          <w:rFonts w:ascii="Times New Roman" w:hAnsi="Times New Roman" w:cs="Times New Roman"/>
          <w:u w:val="single"/>
        </w:rPr>
      </w:pPr>
      <w:r w:rsidRPr="001705D1">
        <w:rPr>
          <w:rFonts w:ascii="Times New Roman" w:hAnsi="Times New Roman" w:cs="Times New Roman"/>
          <w:u w:val="single"/>
        </w:rPr>
        <w:t>Issued by the authority of the Minister for Education</w:t>
      </w:r>
    </w:p>
    <w:p w14:paraId="26BA0E3F" w14:textId="77777777" w:rsidR="00B419C2" w:rsidRPr="001705D1" w:rsidRDefault="00B419C2" w:rsidP="00806F24">
      <w:pPr>
        <w:spacing w:after="0"/>
        <w:jc w:val="center"/>
        <w:rPr>
          <w:rFonts w:ascii="Times New Roman" w:hAnsi="Times New Roman" w:cs="Times New Roman"/>
          <w:b/>
          <w:bCs/>
        </w:rPr>
      </w:pPr>
    </w:p>
    <w:p w14:paraId="7955FFD5" w14:textId="0678C222" w:rsidR="00B419C2" w:rsidRPr="001705D1" w:rsidRDefault="00B419C2" w:rsidP="00806F24">
      <w:pPr>
        <w:spacing w:after="0"/>
        <w:jc w:val="center"/>
        <w:rPr>
          <w:rFonts w:ascii="Times New Roman" w:hAnsi="Times New Roman" w:cs="Times New Roman"/>
          <w:b/>
          <w:bCs/>
        </w:rPr>
      </w:pPr>
      <w:r w:rsidRPr="001705D1">
        <w:rPr>
          <w:rFonts w:ascii="Times New Roman" w:hAnsi="Times New Roman" w:cs="Times New Roman"/>
          <w:b/>
          <w:bCs/>
        </w:rPr>
        <w:t>Tertiary Education Quality and Standards Agency (Charges) Regulations 202</w:t>
      </w:r>
      <w:r w:rsidR="00415220" w:rsidRPr="001705D1">
        <w:rPr>
          <w:rFonts w:ascii="Times New Roman" w:hAnsi="Times New Roman" w:cs="Times New Roman"/>
          <w:b/>
          <w:bCs/>
        </w:rPr>
        <w:t>2</w:t>
      </w:r>
    </w:p>
    <w:p w14:paraId="63FCB2E0" w14:textId="7580AA12" w:rsidR="00B419C2" w:rsidRPr="001705D1" w:rsidRDefault="00B419C2" w:rsidP="00806F24">
      <w:pPr>
        <w:spacing w:after="0"/>
        <w:rPr>
          <w:rFonts w:ascii="Times New Roman" w:hAnsi="Times New Roman" w:cs="Times New Roman"/>
          <w:b/>
          <w:bCs/>
        </w:rPr>
      </w:pPr>
    </w:p>
    <w:p w14:paraId="61704FE8" w14:textId="393A89AA" w:rsidR="00B15DC0" w:rsidRPr="001705D1" w:rsidRDefault="0010652E" w:rsidP="00806F24">
      <w:pPr>
        <w:pStyle w:val="Heading2"/>
        <w:spacing w:before="0"/>
        <w:rPr>
          <w:rFonts w:cs="Times New Roman"/>
          <w:color w:val="auto"/>
          <w:sz w:val="22"/>
          <w:szCs w:val="22"/>
        </w:rPr>
      </w:pPr>
      <w:r w:rsidRPr="001705D1">
        <w:rPr>
          <w:rFonts w:cs="Times New Roman"/>
          <w:color w:val="auto"/>
          <w:sz w:val="22"/>
          <w:szCs w:val="22"/>
        </w:rPr>
        <w:t>Authority</w:t>
      </w:r>
    </w:p>
    <w:p w14:paraId="640965E7" w14:textId="69F19944" w:rsidR="00B419C2" w:rsidRPr="001705D1" w:rsidRDefault="009A33B3" w:rsidP="00806F24">
      <w:pPr>
        <w:spacing w:after="0"/>
        <w:rPr>
          <w:rFonts w:ascii="Times New Roman" w:hAnsi="Times New Roman" w:cs="Times New Roman"/>
          <w:iCs/>
        </w:rPr>
      </w:pPr>
      <w:r w:rsidRPr="001705D1">
        <w:rPr>
          <w:rFonts w:ascii="Times New Roman" w:hAnsi="Times New Roman" w:cs="Times New Roman"/>
        </w:rPr>
        <w:t xml:space="preserve">Section 9 of the </w:t>
      </w:r>
      <w:r w:rsidRPr="001705D1">
        <w:rPr>
          <w:rFonts w:ascii="Times New Roman" w:hAnsi="Times New Roman" w:cs="Times New Roman"/>
          <w:i/>
          <w:iCs/>
        </w:rPr>
        <w:t>Tertiary Education Quality and Standards Agency (Charges) Act 2021</w:t>
      </w:r>
      <w:r w:rsidR="00F64DDA" w:rsidRPr="001705D1">
        <w:rPr>
          <w:rFonts w:ascii="Times New Roman" w:hAnsi="Times New Roman" w:cs="Times New Roman"/>
        </w:rPr>
        <w:t xml:space="preserve"> (the Act) </w:t>
      </w:r>
      <w:r w:rsidR="00F64DDA" w:rsidRPr="001705D1">
        <w:rPr>
          <w:rFonts w:ascii="Times New Roman" w:hAnsi="Times New Roman" w:cs="Times New Roman"/>
          <w:iCs/>
        </w:rPr>
        <w:t>empowers the Governor-General to make regulations prescribing matters required or permitted by the Act to be prescribed, or necessary or convenient to be prescribed for carrying out or giving effect to the Act.</w:t>
      </w:r>
    </w:p>
    <w:p w14:paraId="194E46CC" w14:textId="77777777" w:rsidR="00244EE2" w:rsidRPr="001705D1" w:rsidRDefault="00244EE2" w:rsidP="00806F24">
      <w:pPr>
        <w:spacing w:after="0"/>
        <w:rPr>
          <w:rFonts w:ascii="Times New Roman" w:hAnsi="Times New Roman" w:cs="Times New Roman"/>
        </w:rPr>
      </w:pPr>
    </w:p>
    <w:p w14:paraId="10ECA170" w14:textId="03C4AB0B" w:rsidR="004C602E" w:rsidRPr="001705D1" w:rsidRDefault="00B15DC0" w:rsidP="00AD44C8">
      <w:pPr>
        <w:pStyle w:val="Heading2"/>
        <w:spacing w:before="0"/>
        <w:rPr>
          <w:rFonts w:cs="Times New Roman"/>
          <w:color w:val="auto"/>
          <w:sz w:val="22"/>
          <w:szCs w:val="22"/>
        </w:rPr>
      </w:pPr>
      <w:r w:rsidRPr="001705D1">
        <w:rPr>
          <w:rFonts w:cs="Times New Roman"/>
          <w:color w:val="auto"/>
          <w:sz w:val="22"/>
          <w:szCs w:val="22"/>
        </w:rPr>
        <w:t>L</w:t>
      </w:r>
      <w:r w:rsidR="0010652E" w:rsidRPr="001705D1">
        <w:rPr>
          <w:rFonts w:cs="Times New Roman"/>
          <w:color w:val="auto"/>
          <w:sz w:val="22"/>
          <w:szCs w:val="22"/>
        </w:rPr>
        <w:t>egislative background</w:t>
      </w:r>
    </w:p>
    <w:p w14:paraId="4D1DA93E" w14:textId="63E7DB73" w:rsidR="0077608D" w:rsidRPr="001705D1" w:rsidRDefault="00467E8E" w:rsidP="0077608D">
      <w:pPr>
        <w:spacing w:after="0"/>
        <w:rPr>
          <w:rFonts w:ascii="Times New Roman" w:hAnsi="Times New Roman" w:cs="Times New Roman"/>
          <w:iCs/>
        </w:rPr>
      </w:pPr>
      <w:r w:rsidRPr="001705D1">
        <w:rPr>
          <w:rFonts w:ascii="Times New Roman" w:hAnsi="Times New Roman" w:cs="Times New Roman"/>
        </w:rPr>
        <w:t>Section 6 t</w:t>
      </w:r>
      <w:r w:rsidR="00244EE2" w:rsidRPr="001705D1">
        <w:rPr>
          <w:rFonts w:ascii="Times New Roman" w:hAnsi="Times New Roman" w:cs="Times New Roman"/>
        </w:rPr>
        <w:t xml:space="preserve">he Act </w:t>
      </w:r>
      <w:r w:rsidRPr="001705D1">
        <w:rPr>
          <w:rFonts w:ascii="Times New Roman" w:hAnsi="Times New Roman" w:cs="Times New Roman"/>
        </w:rPr>
        <w:t>imposes</w:t>
      </w:r>
      <w:r w:rsidR="00244EE2" w:rsidRPr="001705D1">
        <w:rPr>
          <w:rFonts w:ascii="Times New Roman" w:hAnsi="Times New Roman" w:cs="Times New Roman"/>
        </w:rPr>
        <w:t xml:space="preserve"> a</w:t>
      </w:r>
      <w:r w:rsidR="00013148" w:rsidRPr="001705D1">
        <w:rPr>
          <w:rFonts w:ascii="Times New Roman" w:hAnsi="Times New Roman" w:cs="Times New Roman"/>
        </w:rPr>
        <w:t xml:space="preserve"> </w:t>
      </w:r>
      <w:r w:rsidRPr="001705D1">
        <w:rPr>
          <w:rFonts w:ascii="Times New Roman" w:hAnsi="Times New Roman" w:cs="Times New Roman"/>
        </w:rPr>
        <w:t xml:space="preserve">‘registered higher education provider </w:t>
      </w:r>
      <w:r w:rsidR="00244EE2" w:rsidRPr="001705D1">
        <w:rPr>
          <w:rFonts w:ascii="Times New Roman" w:hAnsi="Times New Roman" w:cs="Times New Roman"/>
        </w:rPr>
        <w:t>charge</w:t>
      </w:r>
      <w:r w:rsidRPr="001705D1">
        <w:rPr>
          <w:rFonts w:ascii="Times New Roman" w:hAnsi="Times New Roman" w:cs="Times New Roman"/>
        </w:rPr>
        <w:t>’</w:t>
      </w:r>
      <w:r w:rsidR="00244EE2" w:rsidRPr="001705D1">
        <w:rPr>
          <w:rFonts w:ascii="Times New Roman" w:hAnsi="Times New Roman" w:cs="Times New Roman"/>
        </w:rPr>
        <w:t xml:space="preserve"> on all higher education providers registered </w:t>
      </w:r>
      <w:r w:rsidR="00046C0E" w:rsidRPr="001705D1">
        <w:rPr>
          <w:rFonts w:ascii="Times New Roman" w:hAnsi="Times New Roman" w:cs="Times New Roman"/>
        </w:rPr>
        <w:t xml:space="preserve">under Part 3 of the </w:t>
      </w:r>
      <w:r w:rsidR="00046C0E" w:rsidRPr="001705D1">
        <w:rPr>
          <w:rFonts w:ascii="Times New Roman" w:hAnsi="Times New Roman" w:cs="Times New Roman"/>
          <w:i/>
          <w:iCs/>
        </w:rPr>
        <w:t>Tertiary Education Quality and Standards Act 2011</w:t>
      </w:r>
      <w:r w:rsidR="00046C0E" w:rsidRPr="001705D1">
        <w:rPr>
          <w:rFonts w:ascii="Times New Roman" w:hAnsi="Times New Roman" w:cs="Times New Roman"/>
        </w:rPr>
        <w:t xml:space="preserve"> </w:t>
      </w:r>
      <w:r w:rsidR="00437E86" w:rsidRPr="001705D1">
        <w:rPr>
          <w:rFonts w:ascii="Times New Roman" w:hAnsi="Times New Roman" w:cs="Times New Roman"/>
        </w:rPr>
        <w:t xml:space="preserve">(TEQSA Act) </w:t>
      </w:r>
      <w:r w:rsidR="00046C0E" w:rsidRPr="001705D1">
        <w:rPr>
          <w:rFonts w:ascii="Times New Roman" w:hAnsi="Times New Roman" w:cs="Times New Roman"/>
        </w:rPr>
        <w:t>and listed on the National Register of Higher Education Providers</w:t>
      </w:r>
      <w:r w:rsidR="00244EE2" w:rsidRPr="001705D1">
        <w:rPr>
          <w:rFonts w:ascii="Times New Roman" w:hAnsi="Times New Roman" w:cs="Times New Roman"/>
        </w:rPr>
        <w:t xml:space="preserve">. </w:t>
      </w:r>
      <w:r w:rsidR="0077608D" w:rsidRPr="001705D1">
        <w:rPr>
          <w:rFonts w:ascii="Times New Roman" w:hAnsi="Times New Roman" w:cs="Times New Roman"/>
          <w:iCs/>
        </w:rPr>
        <w:t xml:space="preserve"> </w:t>
      </w:r>
    </w:p>
    <w:p w14:paraId="6F9FD35F" w14:textId="617CDC5F" w:rsidR="00C92D3C" w:rsidRPr="001705D1" w:rsidRDefault="00C92D3C" w:rsidP="00806F24">
      <w:pPr>
        <w:spacing w:after="0"/>
        <w:rPr>
          <w:rFonts w:ascii="Times New Roman" w:hAnsi="Times New Roman" w:cs="Times New Roman"/>
        </w:rPr>
      </w:pPr>
    </w:p>
    <w:p w14:paraId="08CA8DB8" w14:textId="50F6D134" w:rsidR="00244EE2" w:rsidRPr="001705D1" w:rsidRDefault="0090159F" w:rsidP="00806F24">
      <w:pPr>
        <w:spacing w:after="0"/>
        <w:rPr>
          <w:rFonts w:ascii="Times New Roman" w:hAnsi="Times New Roman" w:cs="Times New Roman"/>
        </w:rPr>
      </w:pPr>
      <w:r w:rsidRPr="001705D1">
        <w:rPr>
          <w:rFonts w:ascii="Times New Roman" w:hAnsi="Times New Roman" w:cs="Times New Roman"/>
        </w:rPr>
        <w:t xml:space="preserve">Section 7 of the Act </w:t>
      </w:r>
      <w:r w:rsidR="00046C0E" w:rsidRPr="001705D1">
        <w:rPr>
          <w:rFonts w:ascii="Times New Roman" w:hAnsi="Times New Roman" w:cs="Times New Roman"/>
        </w:rPr>
        <w:t xml:space="preserve">provides </w:t>
      </w:r>
      <w:r w:rsidRPr="001705D1">
        <w:rPr>
          <w:rFonts w:ascii="Times New Roman" w:hAnsi="Times New Roman" w:cs="Times New Roman"/>
        </w:rPr>
        <w:t xml:space="preserve">that regulations may prescribe the amount of the higher education provider charge for that </w:t>
      </w:r>
      <w:r w:rsidR="00A9582E" w:rsidRPr="001705D1">
        <w:rPr>
          <w:rFonts w:ascii="Times New Roman" w:hAnsi="Times New Roman" w:cs="Times New Roman"/>
        </w:rPr>
        <w:t>year or</w:t>
      </w:r>
      <w:r w:rsidRPr="001705D1">
        <w:rPr>
          <w:rFonts w:ascii="Times New Roman" w:hAnsi="Times New Roman" w:cs="Times New Roman"/>
        </w:rPr>
        <w:t xml:space="preserve"> prescribe a method to work out the amount of higher education provider charge for that year.</w:t>
      </w:r>
    </w:p>
    <w:p w14:paraId="613AD816" w14:textId="2980B237" w:rsidR="002563D3" w:rsidRPr="001705D1" w:rsidRDefault="002563D3" w:rsidP="00806F24">
      <w:pPr>
        <w:spacing w:after="0"/>
        <w:rPr>
          <w:rFonts w:ascii="Times New Roman" w:hAnsi="Times New Roman" w:cs="Times New Roman"/>
        </w:rPr>
      </w:pPr>
    </w:p>
    <w:p w14:paraId="763BCB10" w14:textId="2AE288BC" w:rsidR="00B15DC0" w:rsidRPr="001705D1" w:rsidRDefault="0010652E" w:rsidP="00806F24">
      <w:pPr>
        <w:pStyle w:val="Heading2"/>
        <w:spacing w:before="0"/>
        <w:rPr>
          <w:rFonts w:cs="Times New Roman"/>
          <w:color w:val="auto"/>
          <w:sz w:val="22"/>
          <w:szCs w:val="22"/>
        </w:rPr>
      </w:pPr>
      <w:r w:rsidRPr="001705D1">
        <w:rPr>
          <w:rFonts w:cs="Times New Roman"/>
          <w:color w:val="auto"/>
          <w:sz w:val="22"/>
          <w:szCs w:val="22"/>
        </w:rPr>
        <w:t>Purpose and operation</w:t>
      </w:r>
    </w:p>
    <w:p w14:paraId="2D3BE707" w14:textId="4FA44F91" w:rsidR="00AD71D9" w:rsidRPr="001705D1" w:rsidRDefault="00AD71D9" w:rsidP="00806F24">
      <w:pPr>
        <w:spacing w:after="0"/>
        <w:rPr>
          <w:rFonts w:ascii="Times New Roman" w:eastAsia="Times New Roman" w:hAnsi="Times New Roman" w:cs="Times New Roman"/>
          <w:lang w:eastAsia="en-AU"/>
        </w:rPr>
      </w:pPr>
      <w:r w:rsidRPr="001705D1">
        <w:rPr>
          <w:rFonts w:ascii="Times New Roman" w:eastAsia="Times New Roman" w:hAnsi="Times New Roman" w:cs="Times New Roman"/>
          <w:lang w:eastAsia="en-AU"/>
        </w:rPr>
        <w:t xml:space="preserve">The purpose of the </w:t>
      </w:r>
      <w:r w:rsidRPr="001705D1">
        <w:rPr>
          <w:rFonts w:ascii="Times New Roman" w:eastAsia="Times New Roman" w:hAnsi="Times New Roman" w:cs="Times New Roman"/>
          <w:i/>
          <w:iCs/>
          <w:lang w:eastAsia="en-AU"/>
        </w:rPr>
        <w:t>Tertiary Education Quality and Standards Agency (Charges) Regulations 2022</w:t>
      </w:r>
      <w:r w:rsidRPr="001705D1">
        <w:rPr>
          <w:rFonts w:ascii="Times New Roman" w:eastAsia="Times New Roman" w:hAnsi="Times New Roman" w:cs="Times New Roman"/>
          <w:lang w:eastAsia="en-AU"/>
        </w:rPr>
        <w:t xml:space="preserve"> (the Regulations) is to prescribe a method for working out the amount of the registered higher education provider charge for a year for a registered higher education provider. </w:t>
      </w:r>
    </w:p>
    <w:p w14:paraId="48E68CD6" w14:textId="154CDB2B" w:rsidR="00AD71D9" w:rsidRPr="001705D1" w:rsidRDefault="00AD71D9" w:rsidP="00806F24">
      <w:pPr>
        <w:spacing w:after="0"/>
        <w:rPr>
          <w:rFonts w:ascii="Times New Roman" w:eastAsia="Times New Roman" w:hAnsi="Times New Roman" w:cs="Times New Roman"/>
          <w:lang w:eastAsia="en-AU"/>
        </w:rPr>
      </w:pPr>
    </w:p>
    <w:p w14:paraId="44FD98B0" w14:textId="34B79B52" w:rsidR="00AD71D9" w:rsidRPr="001705D1" w:rsidRDefault="00467E8E" w:rsidP="00806F24">
      <w:pPr>
        <w:spacing w:after="0"/>
        <w:rPr>
          <w:rFonts w:ascii="Times New Roman" w:eastAsia="Times New Roman" w:hAnsi="Times New Roman" w:cs="Times New Roman"/>
          <w:lang w:eastAsia="en-AU"/>
        </w:rPr>
      </w:pPr>
      <w:r w:rsidRPr="001705D1">
        <w:rPr>
          <w:rFonts w:ascii="Times New Roman" w:eastAsia="Times New Roman" w:hAnsi="Times New Roman" w:cs="Times New Roman"/>
          <w:lang w:eastAsia="en-AU"/>
        </w:rPr>
        <w:t>Section 26C of the TEQSA Act imposes a condition on the registration of all registered higher education providers that requires them to pay the registered higher education provider charge. The registered higher education provider charge</w:t>
      </w:r>
      <w:r w:rsidR="00AD71D9" w:rsidRPr="001705D1">
        <w:rPr>
          <w:rFonts w:ascii="Times New Roman" w:eastAsia="Times New Roman" w:hAnsi="Times New Roman" w:cs="Times New Roman"/>
          <w:lang w:eastAsia="en-AU"/>
        </w:rPr>
        <w:t xml:space="preserve"> is designed to recover the costs of the Tertiary Education Quality and Standards Agency’s (TEQSA) sector risk monitoring and regulatory oversight activities.</w:t>
      </w:r>
      <w:r w:rsidR="00FB2715" w:rsidRPr="001705D1">
        <w:rPr>
          <w:rFonts w:ascii="Times New Roman" w:eastAsia="Times New Roman" w:hAnsi="Times New Roman" w:cs="Times New Roman"/>
          <w:lang w:eastAsia="en-AU"/>
        </w:rPr>
        <w:t xml:space="preserve"> The charge will compl</w:t>
      </w:r>
      <w:r w:rsidR="008A2BBD" w:rsidRPr="001705D1">
        <w:rPr>
          <w:rFonts w:ascii="Times New Roman" w:eastAsia="Times New Roman" w:hAnsi="Times New Roman" w:cs="Times New Roman"/>
          <w:lang w:eastAsia="en-AU"/>
        </w:rPr>
        <w:t>e</w:t>
      </w:r>
      <w:r w:rsidR="00FB2715" w:rsidRPr="001705D1">
        <w:rPr>
          <w:rFonts w:ascii="Times New Roman" w:eastAsia="Times New Roman" w:hAnsi="Times New Roman" w:cs="Times New Roman"/>
          <w:lang w:eastAsia="en-AU"/>
        </w:rPr>
        <w:t xml:space="preserve">ment other changes, including updated fees for applications, set out in the Cost Recovery Implementation Statement (CRIS) published by TEQSA. </w:t>
      </w:r>
      <w:proofErr w:type="gramStart"/>
      <w:r w:rsidR="00FB2715" w:rsidRPr="001705D1">
        <w:rPr>
          <w:rFonts w:ascii="Times New Roman" w:eastAsia="Times New Roman" w:hAnsi="Times New Roman" w:cs="Times New Roman"/>
          <w:lang w:eastAsia="en-AU"/>
        </w:rPr>
        <w:t>The CRIS</w:t>
      </w:r>
      <w:r w:rsidR="00122623" w:rsidRPr="001705D1">
        <w:rPr>
          <w:rFonts w:ascii="Times New Roman" w:eastAsia="Times New Roman" w:hAnsi="Times New Roman" w:cs="Times New Roman"/>
          <w:lang w:eastAsia="en-AU"/>
        </w:rPr>
        <w:t>,</w:t>
      </w:r>
      <w:proofErr w:type="gramEnd"/>
      <w:r w:rsidR="00122623" w:rsidRPr="001705D1">
        <w:rPr>
          <w:rFonts w:ascii="Times New Roman" w:eastAsia="Times New Roman" w:hAnsi="Times New Roman" w:cs="Times New Roman"/>
          <w:lang w:eastAsia="en-AU"/>
        </w:rPr>
        <w:t xml:space="preserve"> drafted following a </w:t>
      </w:r>
      <w:r w:rsidR="00122623" w:rsidRPr="001705D1">
        <w:rPr>
          <w:rFonts w:ascii="Times New Roman" w:hAnsi="Times New Roman" w:cs="Times New Roman"/>
          <w:iCs/>
        </w:rPr>
        <w:t>2018–19 Government decision to implement revised cost recovery arrangements for TEQSA,</w:t>
      </w:r>
      <w:r w:rsidR="00FB2715" w:rsidRPr="001705D1">
        <w:rPr>
          <w:rFonts w:ascii="Times New Roman" w:eastAsia="Times New Roman" w:hAnsi="Times New Roman" w:cs="Times New Roman"/>
          <w:lang w:eastAsia="en-AU"/>
        </w:rPr>
        <w:t xml:space="preserve"> sets out how TEQSA will implement the transition </w:t>
      </w:r>
      <w:r w:rsidRPr="001705D1">
        <w:rPr>
          <w:rFonts w:ascii="Times New Roman" w:eastAsia="Times New Roman" w:hAnsi="Times New Roman" w:cs="Times New Roman"/>
          <w:lang w:eastAsia="en-AU"/>
        </w:rPr>
        <w:t xml:space="preserve">from 15 </w:t>
      </w:r>
      <w:r w:rsidR="00FB2715" w:rsidRPr="001705D1">
        <w:rPr>
          <w:rFonts w:ascii="Times New Roman" w:eastAsia="Times New Roman" w:hAnsi="Times New Roman" w:cs="Times New Roman"/>
          <w:lang w:eastAsia="en-AU"/>
        </w:rPr>
        <w:t xml:space="preserve">to 90 per cent cost recovery for its regulatory and quality assurance services and activity from 1 January 2023. </w:t>
      </w:r>
    </w:p>
    <w:p w14:paraId="03072666" w14:textId="77777777" w:rsidR="00AD71D9" w:rsidRPr="001705D1" w:rsidRDefault="00AD71D9" w:rsidP="00806F24">
      <w:pPr>
        <w:spacing w:after="0"/>
        <w:rPr>
          <w:rFonts w:ascii="Times New Roman" w:eastAsia="Times New Roman" w:hAnsi="Times New Roman" w:cs="Times New Roman"/>
          <w:lang w:eastAsia="en-AU"/>
        </w:rPr>
      </w:pPr>
    </w:p>
    <w:p w14:paraId="79F8079B" w14:textId="73AF1D43" w:rsidR="008A7283" w:rsidRPr="001705D1" w:rsidRDefault="00FB2715" w:rsidP="008A7283">
      <w:pPr>
        <w:spacing w:after="0"/>
        <w:rPr>
          <w:rFonts w:ascii="Times New Roman" w:hAnsi="Times New Roman" w:cs="Times New Roman"/>
        </w:rPr>
      </w:pPr>
      <w:r w:rsidRPr="001705D1">
        <w:rPr>
          <w:rFonts w:ascii="Times New Roman" w:hAnsi="Times New Roman" w:cs="Times New Roman"/>
        </w:rPr>
        <w:t>The method for calculating the registered higher education charge set out in the Regulations reflects the information set out in Part 4</w:t>
      </w:r>
      <w:r w:rsidR="00F270FC" w:rsidRPr="001705D1">
        <w:rPr>
          <w:rFonts w:ascii="Times New Roman" w:hAnsi="Times New Roman" w:cs="Times New Roman"/>
        </w:rPr>
        <w:t xml:space="preserve"> </w:t>
      </w:r>
      <w:r w:rsidRPr="001705D1">
        <w:rPr>
          <w:rFonts w:ascii="Times New Roman" w:hAnsi="Times New Roman" w:cs="Times New Roman"/>
        </w:rPr>
        <w:t xml:space="preserve">of </w:t>
      </w:r>
      <w:r w:rsidR="00D93B4F" w:rsidRPr="001705D1">
        <w:rPr>
          <w:rFonts w:ascii="Times New Roman" w:hAnsi="Times New Roman" w:cs="Times New Roman"/>
        </w:rPr>
        <w:t>CRIS</w:t>
      </w:r>
      <w:r w:rsidRPr="001705D1">
        <w:rPr>
          <w:rFonts w:ascii="Times New Roman" w:hAnsi="Times New Roman" w:cs="Times New Roman"/>
        </w:rPr>
        <w:t xml:space="preserve">. </w:t>
      </w:r>
      <w:r w:rsidR="008A7283" w:rsidRPr="001705D1">
        <w:rPr>
          <w:rFonts w:ascii="Times New Roman" w:hAnsi="Times New Roman" w:cs="Times New Roman"/>
        </w:rPr>
        <w:t>The registered higher education provider charge is payable in addition to the application-based fees paid by higher education providers to cover activities such as provider registration and course accreditation.</w:t>
      </w:r>
    </w:p>
    <w:p w14:paraId="112BC441" w14:textId="5714A40A" w:rsidR="00C93A85" w:rsidRPr="001705D1" w:rsidRDefault="00C93A85" w:rsidP="00806F24">
      <w:pPr>
        <w:spacing w:after="0"/>
        <w:rPr>
          <w:rFonts w:ascii="Times New Roman" w:hAnsi="Times New Roman" w:cs="Times New Roman"/>
          <w:color w:val="000000"/>
          <w:shd w:val="clear" w:color="auto" w:fill="FFFFFF"/>
        </w:rPr>
      </w:pPr>
    </w:p>
    <w:p w14:paraId="07856714" w14:textId="30CDE4AD" w:rsidR="00A244BB" w:rsidRPr="001705D1" w:rsidRDefault="00A244BB" w:rsidP="00A244BB">
      <w:pPr>
        <w:spacing w:after="0"/>
        <w:rPr>
          <w:rFonts w:ascii="Times New Roman" w:hAnsi="Times New Roman" w:cs="Times New Roman"/>
          <w:iCs/>
        </w:rPr>
      </w:pPr>
      <w:r w:rsidRPr="001705D1">
        <w:rPr>
          <w:rFonts w:ascii="Times New Roman" w:hAnsi="Times New Roman" w:cs="Times New Roman"/>
          <w:iCs/>
        </w:rPr>
        <w:t xml:space="preserve">The Regulations </w:t>
      </w:r>
      <w:r w:rsidR="00BB0D92" w:rsidRPr="001705D1">
        <w:rPr>
          <w:rFonts w:ascii="Times New Roman" w:hAnsi="Times New Roman" w:cs="Times New Roman"/>
          <w:iCs/>
        </w:rPr>
        <w:t xml:space="preserve">specify that the </w:t>
      </w:r>
      <w:r w:rsidR="004C6EA4" w:rsidRPr="001705D1">
        <w:rPr>
          <w:rFonts w:ascii="Times New Roman" w:hAnsi="Times New Roman" w:cs="Times New Roman"/>
          <w:iCs/>
        </w:rPr>
        <w:t xml:space="preserve">registered higher education provider </w:t>
      </w:r>
      <w:r w:rsidRPr="001705D1">
        <w:rPr>
          <w:rFonts w:ascii="Times New Roman" w:hAnsi="Times New Roman" w:cs="Times New Roman"/>
          <w:iCs/>
        </w:rPr>
        <w:t>charge consist</w:t>
      </w:r>
      <w:r w:rsidR="006E4D3F" w:rsidRPr="001705D1">
        <w:rPr>
          <w:rFonts w:ascii="Times New Roman" w:hAnsi="Times New Roman" w:cs="Times New Roman"/>
          <w:iCs/>
        </w:rPr>
        <w:t>s</w:t>
      </w:r>
      <w:r w:rsidRPr="001705D1">
        <w:rPr>
          <w:rFonts w:ascii="Times New Roman" w:hAnsi="Times New Roman" w:cs="Times New Roman"/>
          <w:iCs/>
        </w:rPr>
        <w:t xml:space="preserve"> of two </w:t>
      </w:r>
      <w:r w:rsidR="004C6EA4" w:rsidRPr="001705D1">
        <w:rPr>
          <w:rFonts w:ascii="Times New Roman" w:hAnsi="Times New Roman" w:cs="Times New Roman"/>
          <w:iCs/>
        </w:rPr>
        <w:t>components</w:t>
      </w:r>
      <w:r w:rsidRPr="001705D1">
        <w:rPr>
          <w:rFonts w:ascii="Times New Roman" w:hAnsi="Times New Roman" w:cs="Times New Roman"/>
          <w:iCs/>
        </w:rPr>
        <w:t>:</w:t>
      </w:r>
    </w:p>
    <w:p w14:paraId="34B7A739" w14:textId="15C8739F" w:rsidR="005A4B46" w:rsidRPr="001705D1" w:rsidRDefault="004C6EA4" w:rsidP="005A4B46">
      <w:pPr>
        <w:pStyle w:val="ListParagraph"/>
        <w:numPr>
          <w:ilvl w:val="0"/>
          <w:numId w:val="7"/>
        </w:numPr>
        <w:rPr>
          <w:rFonts w:cs="Times New Roman"/>
          <w:sz w:val="22"/>
        </w:rPr>
      </w:pPr>
      <w:r w:rsidRPr="001705D1">
        <w:rPr>
          <w:rFonts w:cs="Times New Roman"/>
          <w:sz w:val="22"/>
        </w:rPr>
        <w:t>the base component of the charge</w:t>
      </w:r>
      <w:r w:rsidR="005A4B46" w:rsidRPr="001705D1">
        <w:rPr>
          <w:rFonts w:cs="Times New Roman"/>
          <w:sz w:val="22"/>
        </w:rPr>
        <w:t xml:space="preserve">, </w:t>
      </w:r>
      <w:r w:rsidRPr="001705D1">
        <w:rPr>
          <w:rFonts w:cs="Times New Roman"/>
          <w:sz w:val="22"/>
        </w:rPr>
        <w:t>that</w:t>
      </w:r>
      <w:r w:rsidR="005A4B46" w:rsidRPr="001705D1">
        <w:rPr>
          <w:rFonts w:cs="Times New Roman"/>
          <w:sz w:val="22"/>
        </w:rPr>
        <w:t xml:space="preserve"> all registered higher education providers </w:t>
      </w:r>
      <w:r w:rsidRPr="001705D1">
        <w:rPr>
          <w:rFonts w:cs="Times New Roman"/>
          <w:sz w:val="22"/>
        </w:rPr>
        <w:t xml:space="preserve">will have </w:t>
      </w:r>
      <w:r w:rsidR="00DD6E22" w:rsidRPr="001705D1">
        <w:rPr>
          <w:rFonts w:cs="Times New Roman"/>
          <w:sz w:val="22"/>
        </w:rPr>
        <w:t xml:space="preserve">to </w:t>
      </w:r>
      <w:r w:rsidRPr="001705D1">
        <w:rPr>
          <w:rFonts w:cs="Times New Roman"/>
          <w:sz w:val="22"/>
        </w:rPr>
        <w:t xml:space="preserve">pay </w:t>
      </w:r>
      <w:r w:rsidR="005A4B46" w:rsidRPr="001705D1">
        <w:rPr>
          <w:rFonts w:cs="Times New Roman"/>
          <w:sz w:val="22"/>
        </w:rPr>
        <w:t>annually</w:t>
      </w:r>
      <w:r w:rsidR="008A2BBD" w:rsidRPr="001705D1">
        <w:rPr>
          <w:rFonts w:cs="Times New Roman"/>
          <w:sz w:val="22"/>
        </w:rPr>
        <w:t>,</w:t>
      </w:r>
      <w:r w:rsidR="005A4B46" w:rsidRPr="001705D1">
        <w:rPr>
          <w:rFonts w:cs="Times New Roman"/>
          <w:sz w:val="22"/>
        </w:rPr>
        <w:t xml:space="preserve"> cover</w:t>
      </w:r>
      <w:r w:rsidR="00F270FC" w:rsidRPr="001705D1">
        <w:rPr>
          <w:rFonts w:cs="Times New Roman"/>
          <w:sz w:val="22"/>
        </w:rPr>
        <w:t>s</w:t>
      </w:r>
      <w:r w:rsidR="00467E8E" w:rsidRPr="001705D1">
        <w:rPr>
          <w:rFonts w:cs="Times New Roman"/>
          <w:sz w:val="22"/>
        </w:rPr>
        <w:t xml:space="preserve"> </w:t>
      </w:r>
      <w:r w:rsidR="005A4B46" w:rsidRPr="001705D1">
        <w:rPr>
          <w:rFonts w:cs="Times New Roman"/>
          <w:sz w:val="22"/>
        </w:rPr>
        <w:t xml:space="preserve">costs </w:t>
      </w:r>
      <w:r w:rsidR="00467E8E" w:rsidRPr="001705D1">
        <w:rPr>
          <w:rFonts w:cs="Times New Roman"/>
          <w:sz w:val="22"/>
        </w:rPr>
        <w:t xml:space="preserve">associated with </w:t>
      </w:r>
      <w:r w:rsidR="005A4B46" w:rsidRPr="001705D1">
        <w:rPr>
          <w:rFonts w:cs="Times New Roman"/>
          <w:sz w:val="22"/>
        </w:rPr>
        <w:t xml:space="preserve">TEQSA’s non-application-based </w:t>
      </w:r>
      <w:r w:rsidR="00F270FC" w:rsidRPr="001705D1">
        <w:rPr>
          <w:rFonts w:cs="Times New Roman"/>
          <w:sz w:val="22"/>
        </w:rPr>
        <w:t xml:space="preserve">regulatory </w:t>
      </w:r>
      <w:r w:rsidR="005A4B46" w:rsidRPr="001705D1">
        <w:rPr>
          <w:rFonts w:cs="Times New Roman"/>
          <w:sz w:val="22"/>
        </w:rPr>
        <w:t xml:space="preserve">activities, such as risk monitoring and sector oversight. </w:t>
      </w:r>
      <w:r w:rsidR="00F270FC" w:rsidRPr="001705D1">
        <w:rPr>
          <w:rFonts w:cs="Times New Roman"/>
          <w:sz w:val="22"/>
        </w:rPr>
        <w:t xml:space="preserve">The costs covered by the base component of the charge are those where the regulatory effort </w:t>
      </w:r>
      <w:r w:rsidR="00DD6E22" w:rsidRPr="001705D1">
        <w:rPr>
          <w:rFonts w:cs="Times New Roman"/>
          <w:sz w:val="22"/>
        </w:rPr>
        <w:t xml:space="preserve">involved </w:t>
      </w:r>
      <w:r w:rsidR="00F270FC" w:rsidRPr="001705D1">
        <w:rPr>
          <w:rFonts w:cs="Times New Roman"/>
          <w:sz w:val="22"/>
        </w:rPr>
        <w:t>cannot be attributed to a particular provider</w:t>
      </w:r>
      <w:r w:rsidR="005A4B46" w:rsidRPr="001705D1">
        <w:rPr>
          <w:rFonts w:cs="Times New Roman"/>
          <w:sz w:val="22"/>
        </w:rPr>
        <w:t>; and</w:t>
      </w:r>
    </w:p>
    <w:p w14:paraId="35AD23A4" w14:textId="11F35E44" w:rsidR="00A244BB" w:rsidRPr="001705D1" w:rsidRDefault="00F270FC" w:rsidP="008A7283">
      <w:pPr>
        <w:pStyle w:val="ListParagraph"/>
        <w:numPr>
          <w:ilvl w:val="0"/>
          <w:numId w:val="7"/>
        </w:numPr>
        <w:spacing w:after="0"/>
        <w:rPr>
          <w:rFonts w:cs="Times New Roman"/>
          <w:iCs/>
        </w:rPr>
      </w:pPr>
      <w:r w:rsidRPr="001705D1">
        <w:rPr>
          <w:rFonts w:cs="Times New Roman"/>
          <w:sz w:val="22"/>
        </w:rPr>
        <w:t>t</w:t>
      </w:r>
      <w:r w:rsidR="005A4B46" w:rsidRPr="001705D1">
        <w:rPr>
          <w:rFonts w:cs="Times New Roman"/>
          <w:sz w:val="22"/>
        </w:rPr>
        <w:t xml:space="preserve">he </w:t>
      </w:r>
      <w:r w:rsidRPr="001705D1">
        <w:rPr>
          <w:rFonts w:cs="Times New Roman"/>
          <w:sz w:val="22"/>
        </w:rPr>
        <w:t xml:space="preserve">compliance component of the charge. For some registered higher education providers, the compliance component of the </w:t>
      </w:r>
      <w:r w:rsidR="005A4B46" w:rsidRPr="001705D1">
        <w:rPr>
          <w:rFonts w:cs="Times New Roman"/>
          <w:sz w:val="22"/>
        </w:rPr>
        <w:t xml:space="preserve">registered higher education provider charge </w:t>
      </w:r>
      <w:r w:rsidRPr="001705D1">
        <w:rPr>
          <w:rFonts w:cs="Times New Roman"/>
          <w:sz w:val="22"/>
        </w:rPr>
        <w:t xml:space="preserve">for a particular year </w:t>
      </w:r>
      <w:r w:rsidRPr="001705D1">
        <w:rPr>
          <w:rFonts w:cs="Times New Roman"/>
          <w:sz w:val="22"/>
        </w:rPr>
        <w:lastRenderedPageBreak/>
        <w:t xml:space="preserve">will be nil. This is because the method set out in the regulations for the calculation of this component sets out amounts a provider will have to pay </w:t>
      </w:r>
      <w:r w:rsidR="005A4B46" w:rsidRPr="001705D1">
        <w:rPr>
          <w:rFonts w:cs="Times New Roman"/>
          <w:sz w:val="22"/>
        </w:rPr>
        <w:t xml:space="preserve">where </w:t>
      </w:r>
      <w:r w:rsidRPr="001705D1">
        <w:rPr>
          <w:rFonts w:cs="Times New Roman"/>
          <w:sz w:val="22"/>
        </w:rPr>
        <w:t>the</w:t>
      </w:r>
      <w:r w:rsidR="005A4B46" w:rsidRPr="001705D1">
        <w:rPr>
          <w:rFonts w:cs="Times New Roman"/>
          <w:sz w:val="22"/>
        </w:rPr>
        <w:t xml:space="preserve"> provider has conditions imposed on its registration or the accreditation of a course, where TEQSA conducts a compliance assessment or investigation in relation to the provider, or where </w:t>
      </w:r>
      <w:r w:rsidRPr="001705D1">
        <w:rPr>
          <w:rFonts w:cs="Times New Roman"/>
          <w:sz w:val="22"/>
        </w:rPr>
        <w:t xml:space="preserve">the provider has given a compliance undertaking to </w:t>
      </w:r>
      <w:r w:rsidR="005A4B46" w:rsidRPr="001705D1">
        <w:rPr>
          <w:rFonts w:cs="Times New Roman"/>
          <w:sz w:val="22"/>
        </w:rPr>
        <w:t>TEQSA</w:t>
      </w:r>
      <w:r w:rsidRPr="001705D1">
        <w:rPr>
          <w:rFonts w:cs="Times New Roman"/>
          <w:sz w:val="22"/>
        </w:rPr>
        <w:t xml:space="preserve">. </w:t>
      </w:r>
    </w:p>
    <w:p w14:paraId="6A3C6BEF" w14:textId="5823D16C" w:rsidR="00E31F6D" w:rsidRPr="001705D1" w:rsidRDefault="00E31F6D" w:rsidP="00A244BB">
      <w:pPr>
        <w:spacing w:after="0"/>
        <w:rPr>
          <w:rFonts w:ascii="Times New Roman" w:hAnsi="Times New Roman" w:cs="Times New Roman"/>
        </w:rPr>
      </w:pPr>
    </w:p>
    <w:p w14:paraId="7A64F51A" w14:textId="78E6191B" w:rsidR="00B00974" w:rsidRPr="001705D1" w:rsidRDefault="00B00974" w:rsidP="00B00974">
      <w:pPr>
        <w:spacing w:after="0"/>
        <w:rPr>
          <w:rFonts w:ascii="Times New Roman" w:hAnsi="Times New Roman" w:cs="Times New Roman"/>
        </w:rPr>
      </w:pPr>
      <w:r w:rsidRPr="001705D1">
        <w:rPr>
          <w:rFonts w:ascii="Times New Roman" w:hAnsi="Times New Roman" w:cs="Times New Roman"/>
        </w:rPr>
        <w:t xml:space="preserve">The </w:t>
      </w:r>
      <w:r w:rsidR="00271F08" w:rsidRPr="001705D1">
        <w:rPr>
          <w:rFonts w:ascii="Times New Roman" w:hAnsi="Times New Roman" w:cs="Times New Roman"/>
        </w:rPr>
        <w:t>base component of the</w:t>
      </w:r>
      <w:r w:rsidRPr="001705D1">
        <w:rPr>
          <w:rFonts w:ascii="Times New Roman" w:hAnsi="Times New Roman" w:cs="Times New Roman"/>
        </w:rPr>
        <w:t xml:space="preserve"> </w:t>
      </w:r>
      <w:r w:rsidR="00271F08" w:rsidRPr="001705D1">
        <w:rPr>
          <w:rFonts w:ascii="Times New Roman" w:hAnsi="Times New Roman" w:cs="Times New Roman"/>
        </w:rPr>
        <w:t xml:space="preserve">registered higher education provider </w:t>
      </w:r>
      <w:r w:rsidRPr="001705D1">
        <w:rPr>
          <w:rFonts w:ascii="Times New Roman" w:hAnsi="Times New Roman" w:cs="Times New Roman"/>
        </w:rPr>
        <w:t xml:space="preserve">charge will be applicable to all higher education providers that are included in the National Register of </w:t>
      </w:r>
      <w:r w:rsidR="00523A75" w:rsidRPr="001705D1">
        <w:rPr>
          <w:rFonts w:ascii="Times New Roman" w:hAnsi="Times New Roman" w:cs="Times New Roman"/>
        </w:rPr>
        <w:t>H</w:t>
      </w:r>
      <w:r w:rsidRPr="001705D1">
        <w:rPr>
          <w:rFonts w:ascii="Times New Roman" w:hAnsi="Times New Roman" w:cs="Times New Roman"/>
        </w:rPr>
        <w:t xml:space="preserve">igher </w:t>
      </w:r>
      <w:r w:rsidR="00523A75" w:rsidRPr="001705D1">
        <w:rPr>
          <w:rFonts w:ascii="Times New Roman" w:hAnsi="Times New Roman" w:cs="Times New Roman"/>
        </w:rPr>
        <w:t>E</w:t>
      </w:r>
      <w:r w:rsidRPr="001705D1">
        <w:rPr>
          <w:rFonts w:ascii="Times New Roman" w:hAnsi="Times New Roman" w:cs="Times New Roman"/>
        </w:rPr>
        <w:t xml:space="preserve">ducation </w:t>
      </w:r>
      <w:r w:rsidR="00523A75" w:rsidRPr="001705D1">
        <w:rPr>
          <w:rFonts w:ascii="Times New Roman" w:hAnsi="Times New Roman" w:cs="Times New Roman"/>
        </w:rPr>
        <w:t>P</w:t>
      </w:r>
      <w:r w:rsidRPr="001705D1">
        <w:rPr>
          <w:rFonts w:ascii="Times New Roman" w:hAnsi="Times New Roman" w:cs="Times New Roman"/>
        </w:rPr>
        <w:t xml:space="preserve">roviders on 1 January each calendar year. The amount of the </w:t>
      </w:r>
      <w:r w:rsidR="00271F08" w:rsidRPr="001705D1">
        <w:rPr>
          <w:rFonts w:ascii="Times New Roman" w:hAnsi="Times New Roman" w:cs="Times New Roman"/>
        </w:rPr>
        <w:t>base component of the registered higher education provider</w:t>
      </w:r>
      <w:r w:rsidRPr="001705D1">
        <w:rPr>
          <w:rFonts w:ascii="Times New Roman" w:hAnsi="Times New Roman" w:cs="Times New Roman"/>
        </w:rPr>
        <w:t xml:space="preserve"> charge for each provider will be recalculated each calendar year </w:t>
      </w:r>
      <w:r w:rsidR="00271F08" w:rsidRPr="001705D1">
        <w:rPr>
          <w:rFonts w:ascii="Times New Roman" w:hAnsi="Times New Roman" w:cs="Times New Roman"/>
        </w:rPr>
        <w:t xml:space="preserve">as the numbers of students and registered providers change and </w:t>
      </w:r>
      <w:r w:rsidRPr="001705D1">
        <w:rPr>
          <w:rFonts w:ascii="Times New Roman" w:hAnsi="Times New Roman" w:cs="Times New Roman"/>
        </w:rPr>
        <w:t xml:space="preserve">to reflect the most up to date cost estimates </w:t>
      </w:r>
      <w:r w:rsidR="006E4D3F" w:rsidRPr="001705D1">
        <w:rPr>
          <w:rFonts w:ascii="Times New Roman" w:hAnsi="Times New Roman" w:cs="Times New Roman"/>
        </w:rPr>
        <w:t xml:space="preserve">TEQSA </w:t>
      </w:r>
      <w:r w:rsidRPr="001705D1">
        <w:rPr>
          <w:rFonts w:ascii="Times New Roman" w:hAnsi="Times New Roman" w:cs="Times New Roman"/>
        </w:rPr>
        <w:t>has for each element contributing to the charge</w:t>
      </w:r>
      <w:r w:rsidR="008A7283" w:rsidRPr="001705D1">
        <w:rPr>
          <w:rFonts w:ascii="Times New Roman" w:hAnsi="Times New Roman" w:cs="Times New Roman"/>
        </w:rPr>
        <w:t>.</w:t>
      </w:r>
    </w:p>
    <w:p w14:paraId="5C80E1AD" w14:textId="77777777" w:rsidR="00B00974" w:rsidRPr="001705D1" w:rsidRDefault="00B00974" w:rsidP="00B00974">
      <w:pPr>
        <w:spacing w:after="0"/>
        <w:rPr>
          <w:rFonts w:ascii="Times New Roman" w:hAnsi="Times New Roman" w:cs="Times New Roman"/>
        </w:rPr>
      </w:pPr>
    </w:p>
    <w:p w14:paraId="1EF358C2" w14:textId="0A91EFF2" w:rsidR="00DC5873" w:rsidRPr="001705D1" w:rsidRDefault="00153962" w:rsidP="00B9781E">
      <w:pPr>
        <w:keepNext/>
        <w:spacing w:after="0"/>
        <w:rPr>
          <w:rFonts w:ascii="Times New Roman" w:hAnsi="Times New Roman" w:cs="Times New Roman"/>
          <w:bCs/>
          <w:i/>
          <w:iCs/>
          <w:u w:val="single"/>
        </w:rPr>
      </w:pPr>
      <w:r w:rsidRPr="001705D1">
        <w:rPr>
          <w:rFonts w:ascii="Times New Roman" w:hAnsi="Times New Roman" w:cs="Times New Roman"/>
        </w:rPr>
        <w:t xml:space="preserve">The </w:t>
      </w:r>
      <w:r w:rsidR="00271F08" w:rsidRPr="001705D1">
        <w:rPr>
          <w:rFonts w:ascii="Times New Roman" w:hAnsi="Times New Roman" w:cs="Times New Roman"/>
        </w:rPr>
        <w:t>base component of the registered higher education provider charge</w:t>
      </w:r>
      <w:r w:rsidRPr="001705D1">
        <w:rPr>
          <w:rFonts w:ascii="Times New Roman" w:hAnsi="Times New Roman" w:cs="Times New Roman"/>
        </w:rPr>
        <w:t xml:space="preserve"> will be phased in over three years</w:t>
      </w:r>
      <w:r w:rsidR="00271F08" w:rsidRPr="001705D1">
        <w:rPr>
          <w:rFonts w:ascii="Times New Roman" w:hAnsi="Times New Roman" w:cs="Times New Roman"/>
        </w:rPr>
        <w:t xml:space="preserve">. In 2023, the base component of the registered higher education provider charge will be </w:t>
      </w:r>
      <w:r w:rsidR="00AC3607" w:rsidRPr="001705D1">
        <w:rPr>
          <w:rFonts w:ascii="Times New Roman" w:hAnsi="Times New Roman" w:cs="Times New Roman"/>
        </w:rPr>
        <w:t xml:space="preserve">20 </w:t>
      </w:r>
      <w:r w:rsidR="00271F08" w:rsidRPr="001705D1">
        <w:rPr>
          <w:rFonts w:ascii="Times New Roman" w:hAnsi="Times New Roman" w:cs="Times New Roman"/>
        </w:rPr>
        <w:t xml:space="preserve">per cent of the amount calculated in accordance with the formula set out in the Regulations. In 2024, the base component of the registered higher education provider charge will be </w:t>
      </w:r>
      <w:r w:rsidR="00AC3607" w:rsidRPr="001705D1">
        <w:rPr>
          <w:rFonts w:ascii="Times New Roman" w:hAnsi="Times New Roman" w:cs="Times New Roman"/>
        </w:rPr>
        <w:t>50</w:t>
      </w:r>
      <w:r w:rsidR="00271F08" w:rsidRPr="001705D1">
        <w:rPr>
          <w:rFonts w:ascii="Times New Roman" w:hAnsi="Times New Roman" w:cs="Times New Roman"/>
        </w:rPr>
        <w:t xml:space="preserve"> per cent of the amount calculated in accordance with the formula set out in the Regulations and</w:t>
      </w:r>
      <w:r w:rsidR="008A7283" w:rsidRPr="001705D1">
        <w:rPr>
          <w:rFonts w:ascii="Times New Roman" w:hAnsi="Times New Roman" w:cs="Times New Roman"/>
        </w:rPr>
        <w:t>,</w:t>
      </w:r>
      <w:r w:rsidR="00271F08" w:rsidRPr="001705D1">
        <w:rPr>
          <w:rFonts w:ascii="Times New Roman" w:hAnsi="Times New Roman" w:cs="Times New Roman"/>
        </w:rPr>
        <w:t xml:space="preserve"> in 2025, providers will pay the full amount of the base component.</w:t>
      </w:r>
    </w:p>
    <w:p w14:paraId="6CB43D9E" w14:textId="6A2A0102" w:rsidR="00523A75" w:rsidRPr="001705D1" w:rsidRDefault="00523A75" w:rsidP="00B9781E">
      <w:pPr>
        <w:spacing w:after="0"/>
        <w:rPr>
          <w:rFonts w:ascii="Times New Roman" w:eastAsia="Times New Roman" w:hAnsi="Times New Roman" w:cs="Times New Roman"/>
        </w:rPr>
      </w:pPr>
    </w:p>
    <w:p w14:paraId="0E68283B" w14:textId="4850EBC2" w:rsidR="00653584" w:rsidRPr="001705D1" w:rsidRDefault="00271F08" w:rsidP="00B9781E">
      <w:pPr>
        <w:spacing w:after="0"/>
        <w:rPr>
          <w:rFonts w:ascii="Times New Roman" w:hAnsi="Times New Roman" w:cs="Times New Roman"/>
          <w:color w:val="000000"/>
          <w:shd w:val="clear" w:color="auto" w:fill="FFFFFF"/>
        </w:rPr>
      </w:pPr>
      <w:r w:rsidRPr="001705D1">
        <w:rPr>
          <w:rFonts w:ascii="Times New Roman" w:hAnsi="Times New Roman" w:cs="Times New Roman"/>
          <w:color w:val="000000"/>
          <w:shd w:val="clear" w:color="auto" w:fill="FFFFFF"/>
        </w:rPr>
        <w:t xml:space="preserve">The compliance component of the registered higher education provider charge covers costs associated with regulatory effort that can clearly be attributed to a particular provider. This includes the regulatory effort associated with monitoring compliance with conditions, monitoring compliance with </w:t>
      </w:r>
      <w:r w:rsidR="00653584" w:rsidRPr="001705D1">
        <w:rPr>
          <w:rFonts w:ascii="Times New Roman" w:hAnsi="Times New Roman" w:cs="Times New Roman"/>
          <w:color w:val="000000"/>
          <w:shd w:val="clear" w:color="auto" w:fill="FFFFFF"/>
        </w:rPr>
        <w:t xml:space="preserve">compliance undertakings and the </w:t>
      </w:r>
      <w:r w:rsidR="008A7283" w:rsidRPr="001705D1">
        <w:rPr>
          <w:rFonts w:ascii="Times New Roman" w:hAnsi="Times New Roman" w:cs="Times New Roman"/>
          <w:color w:val="000000"/>
          <w:shd w:val="clear" w:color="auto" w:fill="FFFFFF"/>
        </w:rPr>
        <w:t xml:space="preserve">regulatory </w:t>
      </w:r>
      <w:r w:rsidR="00653584" w:rsidRPr="001705D1">
        <w:rPr>
          <w:rFonts w:ascii="Times New Roman" w:hAnsi="Times New Roman" w:cs="Times New Roman"/>
          <w:color w:val="000000"/>
          <w:shd w:val="clear" w:color="auto" w:fill="FFFFFF"/>
        </w:rPr>
        <w:t xml:space="preserve">effort associated with undertaking compliance assessments and investigations. </w:t>
      </w:r>
    </w:p>
    <w:p w14:paraId="3984E93F" w14:textId="77777777" w:rsidR="00653584" w:rsidRPr="001705D1" w:rsidRDefault="00653584" w:rsidP="00B9781E">
      <w:pPr>
        <w:spacing w:after="0"/>
        <w:rPr>
          <w:rFonts w:ascii="Times New Roman" w:hAnsi="Times New Roman" w:cs="Times New Roman"/>
          <w:color w:val="000000"/>
          <w:shd w:val="clear" w:color="auto" w:fill="FFFFFF"/>
        </w:rPr>
      </w:pPr>
    </w:p>
    <w:p w14:paraId="550DF693" w14:textId="087357C4" w:rsidR="00523A75" w:rsidRPr="001705D1" w:rsidRDefault="00523A75" w:rsidP="00B9781E">
      <w:pPr>
        <w:spacing w:after="0"/>
        <w:rPr>
          <w:rFonts w:ascii="Times New Roman" w:eastAsia="Times New Roman" w:hAnsi="Times New Roman" w:cs="Times New Roman"/>
        </w:rPr>
      </w:pPr>
      <w:r w:rsidRPr="001705D1">
        <w:rPr>
          <w:rFonts w:ascii="Times New Roman" w:hAnsi="Times New Roman" w:cs="Times New Roman"/>
          <w:color w:val="000000"/>
          <w:shd w:val="clear" w:color="auto" w:fill="FFFFFF"/>
        </w:rPr>
        <w:t xml:space="preserve">The compliance component of the </w:t>
      </w:r>
      <w:r w:rsidR="00653584" w:rsidRPr="001705D1">
        <w:rPr>
          <w:rFonts w:ascii="Times New Roman" w:hAnsi="Times New Roman" w:cs="Times New Roman"/>
          <w:color w:val="000000"/>
          <w:shd w:val="clear" w:color="auto" w:fill="FFFFFF"/>
        </w:rPr>
        <w:t xml:space="preserve">registered higher education </w:t>
      </w:r>
      <w:r w:rsidRPr="001705D1">
        <w:rPr>
          <w:rFonts w:ascii="Times New Roman" w:hAnsi="Times New Roman" w:cs="Times New Roman"/>
          <w:color w:val="000000"/>
          <w:shd w:val="clear" w:color="auto" w:fill="FFFFFF"/>
        </w:rPr>
        <w:t>provider charge will commence on 1</w:t>
      </w:r>
      <w:r w:rsidR="00BD7E07" w:rsidRPr="001705D1">
        <w:rPr>
          <w:rFonts w:ascii="Times New Roman" w:hAnsi="Times New Roman" w:cs="Times New Roman"/>
          <w:color w:val="000000"/>
          <w:shd w:val="clear" w:color="auto" w:fill="FFFFFF"/>
        </w:rPr>
        <w:t> </w:t>
      </w:r>
      <w:r w:rsidRPr="001705D1">
        <w:rPr>
          <w:rFonts w:ascii="Times New Roman" w:hAnsi="Times New Roman" w:cs="Times New Roman"/>
          <w:color w:val="000000"/>
          <w:shd w:val="clear" w:color="auto" w:fill="FFFFFF"/>
        </w:rPr>
        <w:t>January</w:t>
      </w:r>
      <w:r w:rsidR="00BD7E07" w:rsidRPr="001705D1">
        <w:rPr>
          <w:rFonts w:ascii="Times New Roman" w:hAnsi="Times New Roman" w:cs="Times New Roman"/>
          <w:color w:val="000000"/>
          <w:shd w:val="clear" w:color="auto" w:fill="FFFFFF"/>
        </w:rPr>
        <w:t> </w:t>
      </w:r>
      <w:r w:rsidRPr="001705D1">
        <w:rPr>
          <w:rFonts w:ascii="Times New Roman" w:hAnsi="Times New Roman" w:cs="Times New Roman"/>
          <w:color w:val="000000"/>
          <w:shd w:val="clear" w:color="auto" w:fill="FFFFFF"/>
        </w:rPr>
        <w:t>2023</w:t>
      </w:r>
      <w:r w:rsidR="00676B57" w:rsidRPr="001705D1">
        <w:rPr>
          <w:rFonts w:ascii="Times New Roman" w:hAnsi="Times New Roman" w:cs="Times New Roman"/>
          <w:color w:val="000000"/>
          <w:shd w:val="clear" w:color="auto" w:fill="FFFFFF"/>
        </w:rPr>
        <w:t xml:space="preserve"> </w:t>
      </w:r>
      <w:r w:rsidRPr="001705D1">
        <w:rPr>
          <w:rFonts w:ascii="Times New Roman" w:hAnsi="Times New Roman" w:cs="Times New Roman"/>
          <w:color w:val="000000"/>
          <w:shd w:val="clear" w:color="auto" w:fill="FFFFFF"/>
        </w:rPr>
        <w:t xml:space="preserve">and will not be subject to any </w:t>
      </w:r>
      <w:r w:rsidRPr="001705D1">
        <w:rPr>
          <w:rFonts w:ascii="Times New Roman" w:hAnsi="Times New Roman" w:cs="Times New Roman"/>
        </w:rPr>
        <w:t>phase-in period.</w:t>
      </w:r>
    </w:p>
    <w:p w14:paraId="14218D2F" w14:textId="77777777" w:rsidR="00D24255" w:rsidRPr="001705D1" w:rsidRDefault="00D24255" w:rsidP="00D24255">
      <w:pPr>
        <w:spacing w:after="0"/>
        <w:rPr>
          <w:rFonts w:ascii="Times New Roman" w:hAnsi="Times New Roman" w:cs="Times New Roman"/>
        </w:rPr>
      </w:pPr>
    </w:p>
    <w:p w14:paraId="5F53B280" w14:textId="5E2319F6" w:rsidR="00B15DC0" w:rsidRPr="001705D1" w:rsidRDefault="0010652E" w:rsidP="00806F24">
      <w:pPr>
        <w:pStyle w:val="Heading2"/>
        <w:spacing w:before="0"/>
        <w:rPr>
          <w:rFonts w:cs="Times New Roman"/>
          <w:color w:val="auto"/>
          <w:sz w:val="22"/>
          <w:szCs w:val="22"/>
        </w:rPr>
      </w:pPr>
      <w:r w:rsidRPr="001705D1">
        <w:rPr>
          <w:rFonts w:cs="Times New Roman"/>
          <w:color w:val="auto"/>
          <w:sz w:val="22"/>
          <w:szCs w:val="22"/>
        </w:rPr>
        <w:t>Regulatory impact</w:t>
      </w:r>
    </w:p>
    <w:p w14:paraId="18C586F5" w14:textId="30132D13" w:rsidR="00B15DC0" w:rsidRPr="001705D1" w:rsidRDefault="00C93A85" w:rsidP="00806F24">
      <w:pPr>
        <w:spacing w:after="0"/>
        <w:rPr>
          <w:rFonts w:ascii="Times New Roman" w:hAnsi="Times New Roman" w:cs="Times New Roman"/>
        </w:rPr>
      </w:pPr>
      <w:r w:rsidRPr="001705D1">
        <w:rPr>
          <w:rFonts w:ascii="Times New Roman" w:hAnsi="Times New Roman" w:cs="Times New Roman"/>
        </w:rPr>
        <w:t xml:space="preserve">The Office of Best Practice Regulation (OBPR) has assessed </w:t>
      </w:r>
      <w:r w:rsidR="00190873" w:rsidRPr="001705D1">
        <w:rPr>
          <w:rFonts w:ascii="Times New Roman" w:hAnsi="Times New Roman" w:cs="Times New Roman"/>
        </w:rPr>
        <w:t>TEQSA’s</w:t>
      </w:r>
      <w:r w:rsidRPr="001705D1">
        <w:rPr>
          <w:rFonts w:ascii="Times New Roman" w:hAnsi="Times New Roman" w:cs="Times New Roman"/>
        </w:rPr>
        <w:t xml:space="preserve"> cost recovery arrangements as having minor regulatory impact (OBPR ID: </w:t>
      </w:r>
      <w:r w:rsidR="00105AB3" w:rsidRPr="001705D1">
        <w:rPr>
          <w:rFonts w:ascii="Times New Roman" w:hAnsi="Times New Roman" w:cs="Times New Roman"/>
        </w:rPr>
        <w:t>23377)</w:t>
      </w:r>
      <w:r w:rsidRPr="001705D1">
        <w:rPr>
          <w:rFonts w:ascii="Times New Roman" w:hAnsi="Times New Roman" w:cs="Times New Roman"/>
        </w:rPr>
        <w:t>.</w:t>
      </w:r>
    </w:p>
    <w:p w14:paraId="26EBBD20" w14:textId="77777777" w:rsidR="00C93A85" w:rsidRPr="001705D1" w:rsidRDefault="00C93A85" w:rsidP="00806F24">
      <w:pPr>
        <w:spacing w:after="0"/>
        <w:rPr>
          <w:rFonts w:ascii="Times New Roman" w:hAnsi="Times New Roman" w:cs="Times New Roman"/>
        </w:rPr>
      </w:pPr>
    </w:p>
    <w:p w14:paraId="298B7778" w14:textId="03A7E7A2" w:rsidR="00B15DC0" w:rsidRPr="001705D1" w:rsidRDefault="00B15DC0" w:rsidP="00806F24">
      <w:pPr>
        <w:pStyle w:val="Heading2"/>
        <w:spacing w:before="0"/>
        <w:rPr>
          <w:rFonts w:cs="Times New Roman"/>
          <w:color w:val="auto"/>
          <w:sz w:val="22"/>
          <w:szCs w:val="22"/>
        </w:rPr>
      </w:pPr>
      <w:r w:rsidRPr="001705D1">
        <w:rPr>
          <w:rFonts w:cs="Times New Roman"/>
          <w:color w:val="auto"/>
          <w:sz w:val="22"/>
          <w:szCs w:val="22"/>
        </w:rPr>
        <w:t>C</w:t>
      </w:r>
      <w:r w:rsidR="0010652E" w:rsidRPr="001705D1">
        <w:rPr>
          <w:rFonts w:cs="Times New Roman"/>
          <w:color w:val="auto"/>
          <w:sz w:val="22"/>
          <w:szCs w:val="22"/>
        </w:rPr>
        <w:t>ommencement</w:t>
      </w:r>
    </w:p>
    <w:p w14:paraId="16BB4B5A" w14:textId="05389ECF" w:rsidR="00B15DC0" w:rsidRPr="001705D1" w:rsidRDefault="00C93A85" w:rsidP="00806F24">
      <w:pPr>
        <w:spacing w:after="0"/>
        <w:rPr>
          <w:rFonts w:ascii="Times New Roman" w:hAnsi="Times New Roman" w:cs="Times New Roman"/>
          <w:iCs/>
        </w:rPr>
      </w:pPr>
      <w:r w:rsidRPr="001705D1">
        <w:rPr>
          <w:rFonts w:ascii="Times New Roman" w:hAnsi="Times New Roman" w:cs="Times New Roman"/>
          <w:iCs/>
        </w:rPr>
        <w:t xml:space="preserve">This instrument commences on </w:t>
      </w:r>
      <w:r w:rsidR="00653584" w:rsidRPr="001705D1">
        <w:rPr>
          <w:rFonts w:ascii="Times New Roman" w:hAnsi="Times New Roman" w:cs="Times New Roman"/>
          <w:iCs/>
        </w:rPr>
        <w:t>the day after the instrument is registered</w:t>
      </w:r>
      <w:r w:rsidR="00F34D93" w:rsidRPr="001705D1">
        <w:rPr>
          <w:rFonts w:ascii="Times New Roman" w:hAnsi="Times New Roman" w:cs="Times New Roman"/>
          <w:iCs/>
        </w:rPr>
        <w:t>.</w:t>
      </w:r>
    </w:p>
    <w:p w14:paraId="061130E2" w14:textId="77777777" w:rsidR="00F34D93" w:rsidRPr="001705D1" w:rsidRDefault="00F34D93" w:rsidP="00806F24">
      <w:pPr>
        <w:spacing w:after="0"/>
        <w:rPr>
          <w:rFonts w:ascii="Times New Roman" w:hAnsi="Times New Roman" w:cs="Times New Roman"/>
        </w:rPr>
      </w:pPr>
    </w:p>
    <w:p w14:paraId="3FB91372" w14:textId="5B6DEF97" w:rsidR="00B15DC0" w:rsidRPr="001705D1" w:rsidRDefault="00B15DC0" w:rsidP="00806F24">
      <w:pPr>
        <w:pStyle w:val="Heading2"/>
        <w:spacing w:before="0"/>
        <w:rPr>
          <w:rFonts w:cs="Times New Roman"/>
          <w:color w:val="auto"/>
          <w:sz w:val="22"/>
          <w:szCs w:val="22"/>
        </w:rPr>
      </w:pPr>
      <w:bookmarkStart w:id="0" w:name="_Toc34293360"/>
      <w:r w:rsidRPr="001705D1">
        <w:rPr>
          <w:rFonts w:cs="Times New Roman"/>
          <w:color w:val="auto"/>
          <w:sz w:val="22"/>
          <w:szCs w:val="22"/>
        </w:rPr>
        <w:t>C</w:t>
      </w:r>
      <w:r w:rsidR="0010652E" w:rsidRPr="001705D1">
        <w:rPr>
          <w:rFonts w:cs="Times New Roman"/>
          <w:color w:val="auto"/>
          <w:sz w:val="22"/>
          <w:szCs w:val="22"/>
        </w:rPr>
        <w:t>onsultation</w:t>
      </w:r>
      <w:bookmarkEnd w:id="0"/>
    </w:p>
    <w:p w14:paraId="6EA4944E" w14:textId="1E64675A" w:rsidR="00B15DC0" w:rsidRPr="001705D1" w:rsidRDefault="00C93A85" w:rsidP="00806F24">
      <w:pPr>
        <w:spacing w:after="0"/>
        <w:rPr>
          <w:rFonts w:ascii="Times New Roman" w:hAnsi="Times New Roman" w:cs="Times New Roman"/>
        </w:rPr>
      </w:pPr>
      <w:r w:rsidRPr="001705D1">
        <w:rPr>
          <w:rFonts w:ascii="Times New Roman" w:hAnsi="Times New Roman" w:cs="Times New Roman"/>
        </w:rPr>
        <w:t xml:space="preserve">TEQSA undertook public consultation on its revised cost recovery arrangements with higher education sector stakeholders </w:t>
      </w:r>
      <w:r w:rsidR="00682DA4" w:rsidRPr="001705D1">
        <w:rPr>
          <w:rFonts w:ascii="Times New Roman" w:hAnsi="Times New Roman" w:cs="Times New Roman"/>
        </w:rPr>
        <w:t>in</w:t>
      </w:r>
      <w:r w:rsidRPr="001705D1">
        <w:rPr>
          <w:rFonts w:ascii="Times New Roman" w:hAnsi="Times New Roman" w:cs="Times New Roman"/>
        </w:rPr>
        <w:t xml:space="preserve"> 2021. TEQSA received 39 stakeholder submissions through the consultation process, including from peak bodies and individual higher education providers. TEQSA incorporated feedback received from the consultation process in finalising its </w:t>
      </w:r>
      <w:r w:rsidR="00B40C0C" w:rsidRPr="001705D1">
        <w:rPr>
          <w:rFonts w:ascii="Times New Roman" w:hAnsi="Times New Roman" w:cs="Times New Roman"/>
        </w:rPr>
        <w:t>CRIS</w:t>
      </w:r>
      <w:r w:rsidRPr="001705D1">
        <w:rPr>
          <w:rFonts w:ascii="Times New Roman" w:hAnsi="Times New Roman" w:cs="Times New Roman"/>
        </w:rPr>
        <w:t>.</w:t>
      </w:r>
    </w:p>
    <w:p w14:paraId="66AD86CC" w14:textId="2A19209E" w:rsidR="00B15DC0" w:rsidRPr="001705D1" w:rsidRDefault="00B15DC0" w:rsidP="00806F24">
      <w:pPr>
        <w:spacing w:after="0"/>
        <w:rPr>
          <w:rFonts w:ascii="Times New Roman" w:hAnsi="Times New Roman" w:cs="Times New Roman"/>
        </w:rPr>
      </w:pPr>
    </w:p>
    <w:p w14:paraId="21052571" w14:textId="752C145F" w:rsidR="00B15DC0" w:rsidRPr="001705D1" w:rsidRDefault="00B15DC0" w:rsidP="00806F24">
      <w:pPr>
        <w:spacing w:after="0"/>
        <w:rPr>
          <w:rFonts w:ascii="Times New Roman" w:hAnsi="Times New Roman" w:cs="Times New Roman"/>
        </w:rPr>
      </w:pPr>
      <w:r w:rsidRPr="001705D1">
        <w:rPr>
          <w:rFonts w:ascii="Times New Roman" w:hAnsi="Times New Roman" w:cs="Times New Roman"/>
        </w:rPr>
        <w:br w:type="page"/>
      </w:r>
    </w:p>
    <w:p w14:paraId="7C632EC8" w14:textId="77777777" w:rsidR="00676B57" w:rsidRPr="001705D1" w:rsidRDefault="00676B57" w:rsidP="00676B57">
      <w:pPr>
        <w:pStyle w:val="Heading2"/>
        <w:spacing w:before="0"/>
        <w:jc w:val="center"/>
        <w:rPr>
          <w:rFonts w:cs="Times New Roman"/>
          <w:color w:val="auto"/>
          <w:sz w:val="22"/>
          <w:szCs w:val="22"/>
        </w:rPr>
      </w:pPr>
      <w:r w:rsidRPr="001705D1">
        <w:rPr>
          <w:rFonts w:cs="Times New Roman"/>
          <w:color w:val="auto"/>
          <w:sz w:val="22"/>
          <w:szCs w:val="22"/>
        </w:rPr>
        <w:lastRenderedPageBreak/>
        <w:t>STATEMENT OF COMPATIBILITY WITH HUMAN RIGHTS</w:t>
      </w:r>
    </w:p>
    <w:p w14:paraId="0406AE7D" w14:textId="77777777" w:rsidR="00676B57" w:rsidRPr="001705D1" w:rsidRDefault="00676B57" w:rsidP="00676B57">
      <w:pPr>
        <w:spacing w:after="0"/>
        <w:jc w:val="center"/>
        <w:rPr>
          <w:rFonts w:ascii="Times New Roman" w:hAnsi="Times New Roman" w:cs="Times New Roman"/>
          <w:i/>
        </w:rPr>
      </w:pPr>
    </w:p>
    <w:p w14:paraId="0F60A065" w14:textId="77777777" w:rsidR="00676B57" w:rsidRPr="001705D1" w:rsidRDefault="00676B57" w:rsidP="00676B57">
      <w:pPr>
        <w:spacing w:after="0"/>
        <w:jc w:val="center"/>
        <w:rPr>
          <w:rFonts w:ascii="Times New Roman" w:hAnsi="Times New Roman" w:cs="Times New Roman"/>
          <w:i/>
        </w:rPr>
      </w:pPr>
      <w:r w:rsidRPr="001705D1">
        <w:rPr>
          <w:rFonts w:ascii="Times New Roman" w:hAnsi="Times New Roman" w:cs="Times New Roman"/>
          <w:i/>
        </w:rPr>
        <w:t>Prepared in accordance with Part 3 of the Human Rights (Parliamentary Scrutiny) Act 2011</w:t>
      </w:r>
    </w:p>
    <w:p w14:paraId="08F5F1E6" w14:textId="77777777" w:rsidR="00676B57" w:rsidRPr="001705D1" w:rsidRDefault="00676B57" w:rsidP="00676B57">
      <w:pPr>
        <w:spacing w:after="0"/>
        <w:jc w:val="center"/>
        <w:rPr>
          <w:rFonts w:ascii="Times New Roman" w:hAnsi="Times New Roman" w:cs="Times New Roman"/>
        </w:rPr>
      </w:pPr>
    </w:p>
    <w:p w14:paraId="5E4DC8AA" w14:textId="77777777" w:rsidR="00676B57" w:rsidRPr="001705D1" w:rsidRDefault="00676B57" w:rsidP="00676B57">
      <w:pPr>
        <w:spacing w:after="0"/>
        <w:jc w:val="center"/>
        <w:rPr>
          <w:rFonts w:ascii="Times New Roman" w:hAnsi="Times New Roman" w:cs="Times New Roman"/>
        </w:rPr>
      </w:pPr>
      <w:r w:rsidRPr="001705D1">
        <w:rPr>
          <w:rFonts w:ascii="Times New Roman" w:hAnsi="Times New Roman" w:cs="Times New Roman"/>
          <w:u w:val="single"/>
        </w:rPr>
        <w:t>Tertiary Education Quality and Standards Agency (Charges) Regulations 2022</w:t>
      </w:r>
    </w:p>
    <w:p w14:paraId="6917FFDE" w14:textId="77777777" w:rsidR="00676B57" w:rsidRPr="001705D1" w:rsidRDefault="00676B57" w:rsidP="00676B57">
      <w:pPr>
        <w:spacing w:after="0"/>
        <w:rPr>
          <w:rFonts w:ascii="Times New Roman" w:hAnsi="Times New Roman" w:cs="Times New Roman"/>
        </w:rPr>
      </w:pPr>
    </w:p>
    <w:p w14:paraId="58BFC6E2" w14:textId="5A13FAE8" w:rsidR="00676B57" w:rsidRPr="001705D1" w:rsidRDefault="00676B57" w:rsidP="00676B57">
      <w:pPr>
        <w:spacing w:after="0"/>
        <w:rPr>
          <w:rFonts w:ascii="Times New Roman" w:hAnsi="Times New Roman" w:cs="Times New Roman"/>
        </w:rPr>
      </w:pPr>
      <w:r w:rsidRPr="001705D1">
        <w:rPr>
          <w:rFonts w:ascii="Times New Roman" w:hAnsi="Times New Roman" w:cs="Times New Roman"/>
        </w:rPr>
        <w:t xml:space="preserve">The Tertiary Education Quality and Standards Agency (Charges) Regulations 2022 (the Regulations) are compatible with the human rights and freedoms recognised or declared in the international instruments listed in section 3 of the </w:t>
      </w:r>
      <w:r w:rsidRPr="001705D1">
        <w:rPr>
          <w:rFonts w:ascii="Times New Roman" w:hAnsi="Times New Roman" w:cs="Times New Roman"/>
          <w:i/>
        </w:rPr>
        <w:t>Human Rights (Parliamentary Scrutiny) Act 2011</w:t>
      </w:r>
      <w:r w:rsidRPr="001705D1">
        <w:rPr>
          <w:rFonts w:ascii="Times New Roman" w:hAnsi="Times New Roman" w:cs="Times New Roman"/>
        </w:rPr>
        <w:t>.</w:t>
      </w:r>
    </w:p>
    <w:p w14:paraId="503DA0C5" w14:textId="77777777" w:rsidR="00676B57" w:rsidRPr="001705D1" w:rsidRDefault="00676B57" w:rsidP="00676B57">
      <w:pPr>
        <w:spacing w:after="0"/>
        <w:rPr>
          <w:rFonts w:ascii="Times New Roman" w:hAnsi="Times New Roman" w:cs="Times New Roman"/>
        </w:rPr>
      </w:pPr>
    </w:p>
    <w:p w14:paraId="674D8925" w14:textId="77777777" w:rsidR="00676B57" w:rsidRPr="001705D1" w:rsidRDefault="00676B57" w:rsidP="00676B57">
      <w:pPr>
        <w:spacing w:after="0"/>
        <w:rPr>
          <w:rFonts w:ascii="Times New Roman" w:hAnsi="Times New Roman" w:cs="Times New Roman"/>
        </w:rPr>
      </w:pPr>
      <w:r w:rsidRPr="001705D1">
        <w:rPr>
          <w:rFonts w:ascii="Times New Roman" w:hAnsi="Times New Roman" w:cs="Times New Roman"/>
          <w:b/>
        </w:rPr>
        <w:t>Overview of the Legislative Instrument</w:t>
      </w:r>
    </w:p>
    <w:p w14:paraId="249339A5" w14:textId="77777777" w:rsidR="00676B57" w:rsidRPr="001705D1" w:rsidRDefault="00676B57" w:rsidP="00676B57">
      <w:pPr>
        <w:spacing w:after="0"/>
        <w:rPr>
          <w:rFonts w:ascii="Times New Roman" w:hAnsi="Times New Roman" w:cs="Times New Roman"/>
        </w:rPr>
      </w:pPr>
      <w:r w:rsidRPr="001705D1">
        <w:rPr>
          <w:rFonts w:ascii="Times New Roman" w:hAnsi="Times New Roman" w:cs="Times New Roman"/>
        </w:rPr>
        <w:t xml:space="preserve">Section 6 of the </w:t>
      </w:r>
      <w:r w:rsidRPr="001705D1">
        <w:rPr>
          <w:rFonts w:ascii="Times New Roman" w:hAnsi="Times New Roman" w:cs="Times New Roman"/>
          <w:i/>
          <w:iCs/>
        </w:rPr>
        <w:t>Tertiary Education Quality and Standards Agency (Charges) Act 2021</w:t>
      </w:r>
      <w:r w:rsidRPr="001705D1">
        <w:rPr>
          <w:rFonts w:ascii="Times New Roman" w:hAnsi="Times New Roman" w:cs="Times New Roman"/>
        </w:rPr>
        <w:t xml:space="preserve"> (the Act) imposes a ‘registered higher education charge’ on all higher education providers registered under Part 3 of the </w:t>
      </w:r>
      <w:r w:rsidRPr="001705D1">
        <w:rPr>
          <w:rFonts w:ascii="Times New Roman" w:hAnsi="Times New Roman" w:cs="Times New Roman"/>
          <w:i/>
          <w:iCs/>
        </w:rPr>
        <w:t>Tertiary Education Quality and Standards Act 2011</w:t>
      </w:r>
      <w:r w:rsidRPr="001705D1">
        <w:rPr>
          <w:rFonts w:ascii="Times New Roman" w:hAnsi="Times New Roman" w:cs="Times New Roman"/>
        </w:rPr>
        <w:t xml:space="preserve"> and listed on the National Register of Higher Education providers. Section 7 of the Act provides that regulations, made under section 9 of the Act, will </w:t>
      </w:r>
      <w:r w:rsidRPr="001705D1">
        <w:rPr>
          <w:rFonts w:ascii="Times New Roman" w:hAnsi="Times New Roman" w:cs="Times New Roman"/>
          <w:iCs/>
        </w:rPr>
        <w:t>specify the amount of the registered higher education provider charge or the method for calculating the charge</w:t>
      </w:r>
      <w:r w:rsidRPr="001705D1">
        <w:rPr>
          <w:rFonts w:ascii="Times New Roman" w:hAnsi="Times New Roman" w:cs="Times New Roman"/>
        </w:rPr>
        <w:t xml:space="preserve">. </w:t>
      </w:r>
    </w:p>
    <w:p w14:paraId="3F172351" w14:textId="77777777" w:rsidR="00676B57" w:rsidRPr="001705D1" w:rsidRDefault="00676B57" w:rsidP="00676B57">
      <w:pPr>
        <w:spacing w:after="0"/>
        <w:rPr>
          <w:rFonts w:ascii="Times New Roman" w:hAnsi="Times New Roman" w:cs="Times New Roman"/>
          <w:color w:val="000000"/>
          <w:shd w:val="clear" w:color="auto" w:fill="FFFFFF"/>
        </w:rPr>
      </w:pPr>
    </w:p>
    <w:p w14:paraId="75B2B2FD" w14:textId="77777777" w:rsidR="00676B57" w:rsidRPr="001705D1" w:rsidRDefault="00676B57" w:rsidP="00676B57">
      <w:pPr>
        <w:spacing w:after="0"/>
        <w:rPr>
          <w:rFonts w:ascii="Times New Roman" w:hAnsi="Times New Roman" w:cs="Times New Roman"/>
          <w:iCs/>
        </w:rPr>
      </w:pPr>
      <w:r w:rsidRPr="001705D1">
        <w:rPr>
          <w:rFonts w:ascii="Times New Roman" w:hAnsi="Times New Roman" w:cs="Times New Roman"/>
          <w:iCs/>
        </w:rPr>
        <w:t>The Regulations set out the method for calculating the registered higher education provider charge for each registered higher education provider. The registered higher education provider charge consists of two components:</w:t>
      </w:r>
    </w:p>
    <w:p w14:paraId="63898892" w14:textId="367CA7BD" w:rsidR="00676B57" w:rsidRPr="001705D1" w:rsidRDefault="00676B57" w:rsidP="00676B57">
      <w:pPr>
        <w:pStyle w:val="ListParagraph"/>
        <w:numPr>
          <w:ilvl w:val="0"/>
          <w:numId w:val="12"/>
        </w:numPr>
        <w:rPr>
          <w:rFonts w:cs="Times New Roman"/>
          <w:sz w:val="22"/>
        </w:rPr>
      </w:pPr>
      <w:r w:rsidRPr="001705D1">
        <w:rPr>
          <w:rFonts w:cs="Times New Roman"/>
          <w:sz w:val="22"/>
        </w:rPr>
        <w:t>the base component of the charge, that all registered higher education providers will have to pay annually to cover costs associated with Tertiary Education Quality and Standards Agency’s (TEQSA)</w:t>
      </w:r>
      <w:r w:rsidR="00AB09ED" w:rsidRPr="001705D1">
        <w:rPr>
          <w:rFonts w:cs="Times New Roman"/>
          <w:sz w:val="22"/>
        </w:rPr>
        <w:t xml:space="preserve"> </w:t>
      </w:r>
      <w:r w:rsidRPr="001705D1">
        <w:rPr>
          <w:rFonts w:cs="Times New Roman"/>
          <w:sz w:val="22"/>
        </w:rPr>
        <w:t>non-application-based regulatory activities, such as risk monitoring and sector oversight. The costs covered by the base component of the charge are those where the regulatory effort involved cannot be attributed to a particular provider; and</w:t>
      </w:r>
    </w:p>
    <w:p w14:paraId="2E494233" w14:textId="77777777" w:rsidR="00676B57" w:rsidRPr="001705D1" w:rsidRDefault="00676B57" w:rsidP="00676B57">
      <w:pPr>
        <w:pStyle w:val="ListParagraph"/>
        <w:numPr>
          <w:ilvl w:val="0"/>
          <w:numId w:val="12"/>
        </w:numPr>
        <w:spacing w:after="0"/>
        <w:rPr>
          <w:rFonts w:cs="Times New Roman"/>
          <w:iCs/>
          <w:sz w:val="22"/>
        </w:rPr>
      </w:pPr>
      <w:r w:rsidRPr="001705D1">
        <w:rPr>
          <w:rFonts w:cs="Times New Roman"/>
          <w:sz w:val="22"/>
        </w:rPr>
        <w:t>the compliance component of the charge. For some registered higher education providers, the compliance component of the registered higher education provider charge for a particular year will be nil. This is because the method set out in the Regulations for the calculation of this component sets out amounts a provider will have to pay where the provider has conditions imposed on its registration or the accreditation of a course, where TEQSA conducts a compliance assessment or investigation in relation to the provider, or where the provider has given a compliance undertaking to TEQSA.</w:t>
      </w:r>
    </w:p>
    <w:p w14:paraId="4B7D6D5A" w14:textId="77777777" w:rsidR="00676B57" w:rsidRPr="001705D1" w:rsidRDefault="00676B57" w:rsidP="00676B57">
      <w:pPr>
        <w:spacing w:after="0"/>
        <w:rPr>
          <w:rFonts w:ascii="Times New Roman" w:hAnsi="Times New Roman" w:cs="Times New Roman"/>
          <w:iCs/>
        </w:rPr>
      </w:pPr>
    </w:p>
    <w:p w14:paraId="25D8F2D5" w14:textId="77777777" w:rsidR="00676B57" w:rsidRPr="001705D1" w:rsidRDefault="00676B57" w:rsidP="00676B57">
      <w:pPr>
        <w:spacing w:after="0"/>
        <w:rPr>
          <w:rFonts w:ascii="Times New Roman" w:hAnsi="Times New Roman" w:cs="Times New Roman"/>
        </w:rPr>
      </w:pPr>
      <w:r w:rsidRPr="001705D1">
        <w:rPr>
          <w:rFonts w:ascii="Times New Roman" w:hAnsi="Times New Roman" w:cs="Times New Roman"/>
          <w:b/>
        </w:rPr>
        <w:t>Human rights implications</w:t>
      </w:r>
    </w:p>
    <w:p w14:paraId="0EE8A6C1" w14:textId="77777777" w:rsidR="00676B57" w:rsidRPr="001705D1" w:rsidRDefault="00676B57" w:rsidP="00676B57">
      <w:pPr>
        <w:spacing w:after="0"/>
        <w:rPr>
          <w:rFonts w:ascii="Times New Roman" w:hAnsi="Times New Roman" w:cs="Times New Roman"/>
          <w:u w:val="single"/>
        </w:rPr>
      </w:pPr>
    </w:p>
    <w:p w14:paraId="49EC5D97" w14:textId="440FE21B" w:rsidR="002A5ABF" w:rsidRPr="001705D1" w:rsidRDefault="00676B57" w:rsidP="00676B57">
      <w:pPr>
        <w:spacing w:after="0"/>
        <w:rPr>
          <w:rFonts w:ascii="Times New Roman" w:hAnsi="Times New Roman" w:cs="Times New Roman"/>
          <w:i/>
          <w:iCs/>
          <w:sz w:val="24"/>
          <w:szCs w:val="24"/>
        </w:rPr>
      </w:pPr>
      <w:r w:rsidRPr="001705D1">
        <w:rPr>
          <w:rFonts w:ascii="Times New Roman" w:hAnsi="Times New Roman" w:cs="Times New Roman"/>
          <w:i/>
          <w:iCs/>
          <w:sz w:val="24"/>
          <w:szCs w:val="24"/>
        </w:rPr>
        <w:t>Right to education</w:t>
      </w:r>
    </w:p>
    <w:p w14:paraId="7995BA32" w14:textId="77777777" w:rsidR="00676B57" w:rsidRPr="001705D1" w:rsidRDefault="00676B57" w:rsidP="00676B57">
      <w:pPr>
        <w:spacing w:after="0"/>
        <w:rPr>
          <w:rFonts w:ascii="Times New Roman" w:hAnsi="Times New Roman" w:cs="Times New Roman"/>
        </w:rPr>
      </w:pPr>
    </w:p>
    <w:p w14:paraId="001500C9" w14:textId="3061F469" w:rsidR="00676B57" w:rsidRPr="001705D1" w:rsidRDefault="00676B57" w:rsidP="00676B57">
      <w:pPr>
        <w:spacing w:after="0"/>
        <w:rPr>
          <w:rFonts w:ascii="Times New Roman" w:hAnsi="Times New Roman" w:cs="Times New Roman"/>
        </w:rPr>
      </w:pPr>
      <w:r w:rsidRPr="001705D1">
        <w:rPr>
          <w:rFonts w:ascii="Times New Roman" w:hAnsi="Times New Roman" w:cs="Times New Roman"/>
        </w:rPr>
        <w:t xml:space="preserve">The Regulations engage the right to education which is set out in Article 13 of the </w:t>
      </w:r>
      <w:r w:rsidRPr="001705D1">
        <w:rPr>
          <w:rFonts w:ascii="Times New Roman" w:hAnsi="Times New Roman" w:cs="Times New Roman"/>
          <w:i/>
        </w:rPr>
        <w:t>International Covenant on Economic, Social and Cultural Rights</w:t>
      </w:r>
      <w:r w:rsidR="002A5ABF" w:rsidRPr="001705D1">
        <w:rPr>
          <w:rFonts w:ascii="Times New Roman" w:hAnsi="Times New Roman" w:cs="Times New Roman"/>
        </w:rPr>
        <w:t>.</w:t>
      </w:r>
      <w:r w:rsidRPr="001705D1">
        <w:rPr>
          <w:rFonts w:ascii="Times New Roman" w:hAnsi="Times New Roman" w:cs="Times New Roman"/>
        </w:rPr>
        <w:t xml:space="preserve"> The right to education recognises the important personal, societal, </w:t>
      </w:r>
      <w:proofErr w:type="gramStart"/>
      <w:r w:rsidRPr="001705D1">
        <w:rPr>
          <w:rFonts w:ascii="Times New Roman" w:hAnsi="Times New Roman" w:cs="Times New Roman"/>
        </w:rPr>
        <w:t>economic</w:t>
      </w:r>
      <w:proofErr w:type="gramEnd"/>
      <w:r w:rsidRPr="001705D1">
        <w:rPr>
          <w:rFonts w:ascii="Times New Roman" w:hAnsi="Times New Roman" w:cs="Times New Roman"/>
        </w:rPr>
        <w:t xml:space="preserve"> and intellectual benefits of education, and provides that secondary education in its different forms, including higher education, shall be made generally available and accessible to all by every appropriate means. </w:t>
      </w:r>
    </w:p>
    <w:p w14:paraId="40CBD2CC" w14:textId="77777777" w:rsidR="00676B57" w:rsidRPr="001705D1" w:rsidRDefault="00676B57" w:rsidP="00676B57">
      <w:pPr>
        <w:spacing w:after="0"/>
        <w:rPr>
          <w:rFonts w:ascii="Times New Roman" w:hAnsi="Times New Roman" w:cs="Times New Roman"/>
        </w:rPr>
      </w:pPr>
    </w:p>
    <w:p w14:paraId="6662A34A" w14:textId="64C38DEC" w:rsidR="00676B57" w:rsidRPr="001705D1" w:rsidRDefault="00676B57" w:rsidP="00676B57">
      <w:pPr>
        <w:spacing w:after="0"/>
        <w:rPr>
          <w:rFonts w:ascii="Times New Roman" w:hAnsi="Times New Roman" w:cs="Times New Roman"/>
        </w:rPr>
      </w:pPr>
      <w:r w:rsidRPr="001705D1">
        <w:rPr>
          <w:rFonts w:ascii="Times New Roman" w:hAnsi="Times New Roman" w:cs="Times New Roman"/>
        </w:rPr>
        <w:t xml:space="preserve">The Regulations provide for the introduction of a registered higher education provider charge which will </w:t>
      </w:r>
      <w:r w:rsidR="002962A2" w:rsidRPr="001705D1">
        <w:rPr>
          <w:rFonts w:ascii="Times New Roman" w:hAnsi="Times New Roman" w:cs="Times New Roman"/>
        </w:rPr>
        <w:t>recover the costs of</w:t>
      </w:r>
      <w:r w:rsidRPr="001705D1">
        <w:rPr>
          <w:rFonts w:ascii="Times New Roman" w:hAnsi="Times New Roman" w:cs="Times New Roman"/>
        </w:rPr>
        <w:t xml:space="preserve"> TEQSA’s monitoring and compliance functions and, in turn, maintain high quality and reputation of Australia’s higher education system. </w:t>
      </w:r>
    </w:p>
    <w:p w14:paraId="711F4AC9" w14:textId="77777777" w:rsidR="00676B57" w:rsidRPr="001705D1" w:rsidRDefault="00676B57" w:rsidP="00676B57">
      <w:pPr>
        <w:spacing w:after="0"/>
        <w:rPr>
          <w:rFonts w:ascii="Times New Roman" w:hAnsi="Times New Roman" w:cs="Times New Roman"/>
        </w:rPr>
      </w:pPr>
    </w:p>
    <w:p w14:paraId="5884F95A" w14:textId="0360D27B" w:rsidR="00676B57" w:rsidRPr="001705D1" w:rsidRDefault="00676B57" w:rsidP="00676B57">
      <w:pPr>
        <w:spacing w:after="0"/>
        <w:rPr>
          <w:rFonts w:ascii="Times New Roman" w:hAnsi="Times New Roman" w:cs="Times New Roman"/>
        </w:rPr>
      </w:pPr>
      <w:r w:rsidRPr="001705D1">
        <w:rPr>
          <w:rFonts w:ascii="Times New Roman" w:hAnsi="Times New Roman" w:cs="Times New Roman"/>
        </w:rPr>
        <w:t xml:space="preserve">Payment of these charges by registered higher education providers will contribute to the Australian Government’s consolidated revenue fund. The contributions to this fund will ensure that the </w:t>
      </w:r>
      <w:r w:rsidRPr="001705D1">
        <w:rPr>
          <w:rFonts w:ascii="Times New Roman" w:hAnsi="Times New Roman" w:cs="Times New Roman"/>
        </w:rPr>
        <w:lastRenderedPageBreak/>
        <w:t xml:space="preserve">Australian Government can fund TEQSA to carry out its regulatory and quality assurance roles in the higher education sector. While providers are currently required to pay a fee in relation to certain </w:t>
      </w:r>
      <w:proofErr w:type="gramStart"/>
      <w:r w:rsidRPr="001705D1">
        <w:rPr>
          <w:rFonts w:ascii="Times New Roman" w:hAnsi="Times New Roman" w:cs="Times New Roman"/>
        </w:rPr>
        <w:t>applications</w:t>
      </w:r>
      <w:proofErr w:type="gramEnd"/>
      <w:r w:rsidRPr="001705D1">
        <w:rPr>
          <w:rFonts w:ascii="Times New Roman" w:hAnsi="Times New Roman" w:cs="Times New Roman"/>
        </w:rPr>
        <w:t xml:space="preserve"> </w:t>
      </w:r>
      <w:r w:rsidR="007929E4" w:rsidRPr="001705D1">
        <w:rPr>
          <w:rFonts w:ascii="Times New Roman" w:hAnsi="Times New Roman" w:cs="Times New Roman"/>
        </w:rPr>
        <w:t>they initiate with</w:t>
      </w:r>
      <w:r w:rsidRPr="001705D1">
        <w:rPr>
          <w:rFonts w:ascii="Times New Roman" w:hAnsi="Times New Roman" w:cs="Times New Roman"/>
        </w:rPr>
        <w:t xml:space="preserve"> TEQSA, for example an application </w:t>
      </w:r>
      <w:r w:rsidR="00E55AC8" w:rsidRPr="001705D1">
        <w:rPr>
          <w:rFonts w:ascii="Times New Roman" w:hAnsi="Times New Roman" w:cs="Times New Roman"/>
        </w:rPr>
        <w:t>to accredit a</w:t>
      </w:r>
      <w:r w:rsidR="007929E4" w:rsidRPr="001705D1">
        <w:rPr>
          <w:rFonts w:ascii="Times New Roman" w:hAnsi="Times New Roman" w:cs="Times New Roman"/>
        </w:rPr>
        <w:t xml:space="preserve"> </w:t>
      </w:r>
      <w:r w:rsidR="006F54F5" w:rsidRPr="001705D1">
        <w:rPr>
          <w:rFonts w:ascii="Times New Roman" w:hAnsi="Times New Roman" w:cs="Times New Roman"/>
        </w:rPr>
        <w:t>course</w:t>
      </w:r>
      <w:r w:rsidRPr="001705D1">
        <w:rPr>
          <w:rFonts w:ascii="Times New Roman" w:hAnsi="Times New Roman" w:cs="Times New Roman"/>
        </w:rPr>
        <w:t xml:space="preserve">, these fees </w:t>
      </w:r>
      <w:r w:rsidR="000E7C51" w:rsidRPr="001705D1">
        <w:rPr>
          <w:rFonts w:ascii="Times New Roman" w:hAnsi="Times New Roman" w:cs="Times New Roman"/>
        </w:rPr>
        <w:t xml:space="preserve">do not cover TEQSA’s </w:t>
      </w:r>
      <w:r w:rsidR="007929E4" w:rsidRPr="001705D1">
        <w:rPr>
          <w:rFonts w:ascii="Times New Roman" w:hAnsi="Times New Roman" w:cs="Times New Roman"/>
        </w:rPr>
        <w:t>broader sector oversight functions</w:t>
      </w:r>
      <w:r w:rsidRPr="001705D1">
        <w:rPr>
          <w:rFonts w:ascii="Times New Roman" w:hAnsi="Times New Roman" w:cs="Times New Roman"/>
        </w:rPr>
        <w:t xml:space="preserve">. The monies recovered through the registered higher education provider charges </w:t>
      </w:r>
      <w:r w:rsidR="007929E4" w:rsidRPr="001705D1">
        <w:rPr>
          <w:rFonts w:ascii="Times New Roman" w:hAnsi="Times New Roman" w:cs="Times New Roman"/>
        </w:rPr>
        <w:t xml:space="preserve">will </w:t>
      </w:r>
      <w:r w:rsidRPr="001705D1">
        <w:rPr>
          <w:rFonts w:ascii="Times New Roman" w:hAnsi="Times New Roman" w:cs="Times New Roman"/>
        </w:rPr>
        <w:t>fund</w:t>
      </w:r>
      <w:r w:rsidR="004B49B6" w:rsidRPr="001705D1">
        <w:rPr>
          <w:rFonts w:ascii="Times New Roman" w:hAnsi="Times New Roman" w:cs="Times New Roman"/>
        </w:rPr>
        <w:t xml:space="preserve"> TEQSA’s broader sector oversight</w:t>
      </w:r>
      <w:r w:rsidRPr="001705D1">
        <w:rPr>
          <w:rFonts w:ascii="Times New Roman" w:hAnsi="Times New Roman" w:cs="Times New Roman"/>
        </w:rPr>
        <w:t xml:space="preserve"> activities</w:t>
      </w:r>
      <w:r w:rsidR="004B49B6" w:rsidRPr="001705D1">
        <w:rPr>
          <w:rFonts w:ascii="Times New Roman" w:hAnsi="Times New Roman" w:cs="Times New Roman"/>
        </w:rPr>
        <w:t>,</w:t>
      </w:r>
      <w:r w:rsidR="002962A2" w:rsidRPr="001705D1">
        <w:rPr>
          <w:rFonts w:ascii="Times New Roman" w:hAnsi="Times New Roman" w:cs="Times New Roman"/>
        </w:rPr>
        <w:t xml:space="preserve"> </w:t>
      </w:r>
      <w:r w:rsidR="004B49B6" w:rsidRPr="001705D1">
        <w:rPr>
          <w:rFonts w:ascii="Times New Roman" w:hAnsi="Times New Roman" w:cs="Times New Roman"/>
        </w:rPr>
        <w:t>including</w:t>
      </w:r>
      <w:r w:rsidR="002962A2" w:rsidRPr="001705D1">
        <w:rPr>
          <w:rFonts w:ascii="Times New Roman" w:hAnsi="Times New Roman" w:cs="Times New Roman"/>
        </w:rPr>
        <w:t xml:space="preserve"> </w:t>
      </w:r>
      <w:r w:rsidR="004B49B6" w:rsidRPr="001705D1">
        <w:rPr>
          <w:rFonts w:ascii="Times New Roman" w:hAnsi="Times New Roman" w:cs="Times New Roman"/>
        </w:rPr>
        <w:t>concerns and complaints; communications and engagement; risk assessment; general enquiries; and guidance and education materials</w:t>
      </w:r>
      <w:r w:rsidR="002962A2" w:rsidRPr="001705D1">
        <w:rPr>
          <w:rFonts w:ascii="Times New Roman" w:hAnsi="Times New Roman" w:cs="Times New Roman"/>
        </w:rPr>
        <w:t>. These are</w:t>
      </w:r>
      <w:r w:rsidRPr="001705D1">
        <w:rPr>
          <w:rFonts w:ascii="Times New Roman" w:hAnsi="Times New Roman" w:cs="Times New Roman"/>
        </w:rPr>
        <w:t xml:space="preserve"> unrelated to applications</w:t>
      </w:r>
      <w:r w:rsidR="007929E4" w:rsidRPr="001705D1">
        <w:rPr>
          <w:rFonts w:ascii="Times New Roman" w:hAnsi="Times New Roman" w:cs="Times New Roman"/>
        </w:rPr>
        <w:t xml:space="preserve"> initiated by providers </w:t>
      </w:r>
      <w:r w:rsidR="004B49B6" w:rsidRPr="001705D1">
        <w:rPr>
          <w:rFonts w:ascii="Times New Roman" w:hAnsi="Times New Roman" w:cs="Times New Roman"/>
        </w:rPr>
        <w:t>and</w:t>
      </w:r>
      <w:r w:rsidRPr="001705D1">
        <w:rPr>
          <w:rFonts w:ascii="Times New Roman" w:hAnsi="Times New Roman" w:cs="Times New Roman"/>
        </w:rPr>
        <w:t xml:space="preserve"> are carried out by TEQSA to ensure standards and quality are maintained </w:t>
      </w:r>
      <w:r w:rsidR="00597D0B" w:rsidRPr="001705D1">
        <w:rPr>
          <w:rFonts w:ascii="Times New Roman" w:hAnsi="Times New Roman" w:cs="Times New Roman"/>
        </w:rPr>
        <w:t xml:space="preserve">across </w:t>
      </w:r>
      <w:r w:rsidRPr="001705D1">
        <w:rPr>
          <w:rFonts w:ascii="Times New Roman" w:hAnsi="Times New Roman" w:cs="Times New Roman"/>
        </w:rPr>
        <w:t>the Australian higher education sector.</w:t>
      </w:r>
    </w:p>
    <w:p w14:paraId="005EE71D" w14:textId="77777777" w:rsidR="00676B57" w:rsidRPr="001705D1" w:rsidRDefault="00676B57" w:rsidP="00676B57">
      <w:pPr>
        <w:spacing w:after="0"/>
        <w:rPr>
          <w:rFonts w:ascii="Times New Roman" w:hAnsi="Times New Roman" w:cs="Times New Roman"/>
        </w:rPr>
      </w:pPr>
    </w:p>
    <w:p w14:paraId="53D4E8D9" w14:textId="19D989ED" w:rsidR="00676B57" w:rsidRPr="001705D1" w:rsidRDefault="002962A2" w:rsidP="00676B57">
      <w:pPr>
        <w:spacing w:after="0"/>
        <w:rPr>
          <w:rFonts w:ascii="Times New Roman" w:hAnsi="Times New Roman" w:cs="Times New Roman"/>
        </w:rPr>
      </w:pPr>
      <w:r w:rsidRPr="001705D1">
        <w:rPr>
          <w:rFonts w:ascii="Times New Roman" w:hAnsi="Times New Roman" w:cs="Times New Roman"/>
        </w:rPr>
        <w:t>Australia</w:t>
      </w:r>
      <w:r w:rsidR="00E14856" w:rsidRPr="001705D1">
        <w:rPr>
          <w:rFonts w:ascii="Times New Roman" w:hAnsi="Times New Roman" w:cs="Times New Roman"/>
        </w:rPr>
        <w:t xml:space="preserve"> delivers</w:t>
      </w:r>
      <w:r w:rsidRPr="001705D1">
        <w:rPr>
          <w:rFonts w:ascii="Times New Roman" w:hAnsi="Times New Roman" w:cs="Times New Roman"/>
        </w:rPr>
        <w:t xml:space="preserve"> higher education to more than</w:t>
      </w:r>
      <w:r w:rsidR="00676B57" w:rsidRPr="001705D1">
        <w:rPr>
          <w:rFonts w:ascii="Times New Roman" w:hAnsi="Times New Roman" w:cs="Times New Roman"/>
        </w:rPr>
        <w:t xml:space="preserve"> 1.6 million students and</w:t>
      </w:r>
      <w:r w:rsidRPr="001705D1">
        <w:rPr>
          <w:rFonts w:ascii="Times New Roman" w:hAnsi="Times New Roman" w:cs="Times New Roman"/>
        </w:rPr>
        <w:t xml:space="preserve"> therefore contributes to the full development of the human personality and the sense of its dignity through education</w:t>
      </w:r>
      <w:r w:rsidR="00676B57" w:rsidRPr="001705D1">
        <w:rPr>
          <w:rFonts w:ascii="Times New Roman" w:hAnsi="Times New Roman" w:cs="Times New Roman"/>
        </w:rPr>
        <w:t xml:space="preserve">. The Regulations engage and promote the right to education because it supports TEQSA’s regulatory and quality assurance roles in ensuring that higher education providers remain compliant with regulatory and quality frameworks, which in turn ensures that quality education is made available and accessible to students both in Australia and those who come from overseas to study. </w:t>
      </w:r>
    </w:p>
    <w:p w14:paraId="29F5B835" w14:textId="77777777" w:rsidR="00676B57" w:rsidRPr="001705D1" w:rsidRDefault="00676B57" w:rsidP="00676B57">
      <w:pPr>
        <w:spacing w:after="0"/>
        <w:rPr>
          <w:rFonts w:ascii="Times New Roman" w:hAnsi="Times New Roman" w:cs="Times New Roman"/>
        </w:rPr>
      </w:pPr>
    </w:p>
    <w:p w14:paraId="52A89648" w14:textId="77777777" w:rsidR="00676B57" w:rsidRPr="001705D1" w:rsidRDefault="00676B57" w:rsidP="00676B57">
      <w:pPr>
        <w:spacing w:after="0"/>
        <w:rPr>
          <w:rFonts w:ascii="Times New Roman" w:hAnsi="Times New Roman" w:cs="Times New Roman"/>
        </w:rPr>
      </w:pPr>
      <w:r w:rsidRPr="001705D1">
        <w:rPr>
          <w:rFonts w:ascii="Times New Roman" w:hAnsi="Times New Roman" w:cs="Times New Roman"/>
        </w:rPr>
        <w:t>The Regulations are compatible with the right to education.</w:t>
      </w:r>
    </w:p>
    <w:p w14:paraId="289A1782" w14:textId="77777777" w:rsidR="00676B57" w:rsidRPr="001705D1" w:rsidRDefault="00676B57" w:rsidP="00676B57">
      <w:pPr>
        <w:spacing w:after="0"/>
        <w:rPr>
          <w:rFonts w:ascii="Times New Roman" w:hAnsi="Times New Roman" w:cs="Times New Roman"/>
        </w:rPr>
      </w:pPr>
    </w:p>
    <w:p w14:paraId="3A84976A" w14:textId="77777777" w:rsidR="00676B57" w:rsidRPr="001705D1" w:rsidRDefault="00676B57" w:rsidP="00676B57">
      <w:pPr>
        <w:spacing w:after="0"/>
        <w:rPr>
          <w:rFonts w:ascii="Times New Roman" w:hAnsi="Times New Roman" w:cs="Times New Roman"/>
        </w:rPr>
      </w:pPr>
      <w:r w:rsidRPr="001705D1">
        <w:rPr>
          <w:rFonts w:ascii="Times New Roman" w:hAnsi="Times New Roman" w:cs="Times New Roman"/>
          <w:b/>
        </w:rPr>
        <w:t>Conclusion</w:t>
      </w:r>
    </w:p>
    <w:p w14:paraId="0BB19866" w14:textId="77777777" w:rsidR="00676B57" w:rsidRPr="001705D1" w:rsidRDefault="00676B57" w:rsidP="00676B57">
      <w:pPr>
        <w:spacing w:after="0"/>
        <w:rPr>
          <w:rFonts w:ascii="Times New Roman" w:hAnsi="Times New Roman" w:cs="Times New Roman"/>
        </w:rPr>
      </w:pPr>
      <w:r w:rsidRPr="001705D1">
        <w:rPr>
          <w:rFonts w:ascii="Times New Roman" w:hAnsi="Times New Roman" w:cs="Times New Roman"/>
        </w:rPr>
        <w:t xml:space="preserve">The Regulations are compatible with human rights because it promotes the right to education. </w:t>
      </w:r>
    </w:p>
    <w:p w14:paraId="37304132" w14:textId="77777777" w:rsidR="00676B57" w:rsidRPr="001705D1" w:rsidRDefault="00676B57" w:rsidP="00676B57">
      <w:pPr>
        <w:spacing w:after="0"/>
        <w:rPr>
          <w:rFonts w:ascii="Times New Roman" w:hAnsi="Times New Roman" w:cs="Times New Roman"/>
          <w:b/>
        </w:rPr>
      </w:pPr>
    </w:p>
    <w:p w14:paraId="5141E139" w14:textId="77777777" w:rsidR="00676B57" w:rsidRPr="001705D1" w:rsidRDefault="00676B57" w:rsidP="00676B57">
      <w:pPr>
        <w:spacing w:after="0"/>
        <w:rPr>
          <w:rFonts w:ascii="Times New Roman" w:hAnsi="Times New Roman" w:cs="Times New Roman"/>
          <w:b/>
        </w:rPr>
      </w:pPr>
    </w:p>
    <w:p w14:paraId="676A1B2D" w14:textId="77777777" w:rsidR="00676B57" w:rsidRPr="001705D1" w:rsidRDefault="00676B57" w:rsidP="00676B57">
      <w:pPr>
        <w:spacing w:after="0"/>
        <w:rPr>
          <w:rFonts w:ascii="Times New Roman" w:hAnsi="Times New Roman" w:cs="Times New Roman"/>
          <w:b/>
        </w:rPr>
      </w:pPr>
    </w:p>
    <w:p w14:paraId="6CA17486" w14:textId="77777777" w:rsidR="00676B57" w:rsidRPr="001705D1" w:rsidRDefault="00676B57" w:rsidP="00676B57">
      <w:pPr>
        <w:spacing w:after="0"/>
        <w:rPr>
          <w:rFonts w:ascii="Times New Roman" w:hAnsi="Times New Roman" w:cs="Times New Roman"/>
          <w:b/>
        </w:rPr>
      </w:pPr>
    </w:p>
    <w:p w14:paraId="09001718" w14:textId="77777777" w:rsidR="00676B57" w:rsidRPr="001705D1" w:rsidRDefault="00676B57" w:rsidP="00676B57">
      <w:pPr>
        <w:spacing w:after="0"/>
        <w:jc w:val="center"/>
        <w:rPr>
          <w:rFonts w:ascii="Times New Roman" w:hAnsi="Times New Roman" w:cs="Times New Roman"/>
          <w:b/>
        </w:rPr>
      </w:pPr>
      <w:r w:rsidRPr="001705D1">
        <w:rPr>
          <w:rFonts w:ascii="Times New Roman" w:hAnsi="Times New Roman" w:cs="Times New Roman"/>
          <w:b/>
        </w:rPr>
        <w:t>Minister for Education, the Hon Jason Clare MP</w:t>
      </w:r>
    </w:p>
    <w:p w14:paraId="6382A219" w14:textId="77777777" w:rsidR="00676B57" w:rsidRPr="001705D1" w:rsidRDefault="00676B57" w:rsidP="00676B57">
      <w:pPr>
        <w:spacing w:after="0"/>
        <w:rPr>
          <w:rFonts w:ascii="Times New Roman" w:hAnsi="Times New Roman" w:cs="Times New Roman"/>
        </w:rPr>
      </w:pPr>
    </w:p>
    <w:p w14:paraId="75FD109D" w14:textId="77777777" w:rsidR="00676B57" w:rsidRPr="001705D1" w:rsidRDefault="00676B57">
      <w:pPr>
        <w:rPr>
          <w:rFonts w:ascii="Times New Roman" w:hAnsi="Times New Roman" w:cs="Times New Roman"/>
          <w:b/>
          <w:bCs/>
          <w:caps/>
        </w:rPr>
      </w:pPr>
      <w:r w:rsidRPr="001705D1">
        <w:rPr>
          <w:rFonts w:ascii="Times New Roman" w:hAnsi="Times New Roman" w:cs="Times New Roman"/>
          <w:b/>
          <w:bCs/>
          <w:caps/>
        </w:rPr>
        <w:br w:type="page"/>
      </w:r>
    </w:p>
    <w:p w14:paraId="6EFF3FCA" w14:textId="001663BE" w:rsidR="00B15DC0" w:rsidRPr="001705D1" w:rsidRDefault="00B15DC0" w:rsidP="00806F24">
      <w:pPr>
        <w:spacing w:after="0"/>
        <w:jc w:val="center"/>
        <w:rPr>
          <w:rFonts w:ascii="Times New Roman" w:hAnsi="Times New Roman" w:cs="Times New Roman"/>
          <w:b/>
          <w:bCs/>
          <w:caps/>
        </w:rPr>
      </w:pPr>
      <w:r w:rsidRPr="001705D1">
        <w:rPr>
          <w:rFonts w:ascii="Times New Roman" w:hAnsi="Times New Roman" w:cs="Times New Roman"/>
          <w:b/>
          <w:bCs/>
          <w:caps/>
        </w:rPr>
        <w:lastRenderedPageBreak/>
        <w:t>Tertiary Education Quality and Standards Agency (Charges) Regulations 202</w:t>
      </w:r>
      <w:r w:rsidR="00600965" w:rsidRPr="001705D1">
        <w:rPr>
          <w:rFonts w:ascii="Times New Roman" w:hAnsi="Times New Roman" w:cs="Times New Roman"/>
          <w:b/>
          <w:bCs/>
          <w:caps/>
        </w:rPr>
        <w:t>2</w:t>
      </w:r>
    </w:p>
    <w:p w14:paraId="57349EDE" w14:textId="77777777" w:rsidR="00B15DC0" w:rsidRPr="001705D1" w:rsidRDefault="00B15DC0" w:rsidP="00806F24">
      <w:pPr>
        <w:spacing w:after="0"/>
        <w:rPr>
          <w:rFonts w:ascii="Times New Roman" w:hAnsi="Times New Roman" w:cs="Times New Roman"/>
        </w:rPr>
      </w:pPr>
    </w:p>
    <w:p w14:paraId="0A275499" w14:textId="77777777" w:rsidR="00B15DC0" w:rsidRPr="001705D1" w:rsidRDefault="00B15DC0" w:rsidP="00806F24">
      <w:pPr>
        <w:pStyle w:val="Heading2"/>
        <w:spacing w:before="0"/>
        <w:jc w:val="center"/>
        <w:rPr>
          <w:rFonts w:cs="Times New Roman"/>
          <w:color w:val="auto"/>
          <w:sz w:val="22"/>
          <w:szCs w:val="22"/>
        </w:rPr>
      </w:pPr>
      <w:r w:rsidRPr="001705D1">
        <w:rPr>
          <w:rFonts w:cs="Times New Roman"/>
          <w:color w:val="auto"/>
          <w:sz w:val="22"/>
          <w:szCs w:val="22"/>
        </w:rPr>
        <w:t>EXPLANATION OF PROVISIONS</w:t>
      </w:r>
    </w:p>
    <w:p w14:paraId="61CDF6B8" w14:textId="77777777" w:rsidR="00B15DC0" w:rsidRPr="001705D1" w:rsidRDefault="00B15DC0" w:rsidP="00806F24">
      <w:pPr>
        <w:spacing w:after="0"/>
        <w:rPr>
          <w:rFonts w:ascii="Times New Roman" w:hAnsi="Times New Roman" w:cs="Times New Roman"/>
        </w:rPr>
      </w:pPr>
    </w:p>
    <w:p w14:paraId="590B0AEC" w14:textId="090AC354" w:rsidR="00190873" w:rsidRPr="001705D1" w:rsidRDefault="00B15DC0" w:rsidP="00F96061">
      <w:pPr>
        <w:keepNext/>
        <w:spacing w:beforeLines="80" w:before="192" w:afterLines="120" w:after="288" w:line="240" w:lineRule="auto"/>
        <w:rPr>
          <w:rFonts w:ascii="Times New Roman" w:hAnsi="Times New Roman" w:cs="Times New Roman"/>
          <w:bCs/>
          <w:u w:val="single"/>
        </w:rPr>
      </w:pPr>
      <w:r w:rsidRPr="001705D1">
        <w:rPr>
          <w:rFonts w:ascii="Times New Roman" w:hAnsi="Times New Roman" w:cs="Times New Roman"/>
          <w:bCs/>
          <w:u w:val="single"/>
        </w:rPr>
        <w:t>Section 1: Name</w:t>
      </w:r>
    </w:p>
    <w:p w14:paraId="0666FD2D" w14:textId="10DB1975" w:rsidR="00B15DC0" w:rsidRPr="001705D1" w:rsidRDefault="00B15DC0" w:rsidP="00F96061">
      <w:pPr>
        <w:pStyle w:val="ListParagraph"/>
        <w:numPr>
          <w:ilvl w:val="0"/>
          <w:numId w:val="17"/>
        </w:numPr>
        <w:spacing w:beforeLines="80" w:before="192" w:afterLines="120" w:after="288" w:line="240" w:lineRule="auto"/>
        <w:contextualSpacing w:val="0"/>
        <w:rPr>
          <w:rFonts w:cs="Times New Roman"/>
          <w:sz w:val="22"/>
        </w:rPr>
      </w:pPr>
      <w:r w:rsidRPr="001705D1">
        <w:rPr>
          <w:rFonts w:cs="Times New Roman"/>
          <w:sz w:val="22"/>
        </w:rPr>
        <w:t>This section specif</w:t>
      </w:r>
      <w:r w:rsidR="00AA4581" w:rsidRPr="001705D1">
        <w:rPr>
          <w:rFonts w:cs="Times New Roman"/>
          <w:sz w:val="22"/>
        </w:rPr>
        <w:t>ies</w:t>
      </w:r>
      <w:r w:rsidRPr="001705D1">
        <w:rPr>
          <w:rFonts w:cs="Times New Roman"/>
          <w:sz w:val="22"/>
        </w:rPr>
        <w:t xml:space="preserve"> the name of the instrument as the </w:t>
      </w:r>
      <w:r w:rsidRPr="001705D1">
        <w:rPr>
          <w:rFonts w:cs="Times New Roman"/>
          <w:i/>
          <w:iCs/>
          <w:sz w:val="22"/>
        </w:rPr>
        <w:t>Tertiary Education Quality and Standards Agency (Charges) Regulations 202</w:t>
      </w:r>
      <w:r w:rsidR="00600965" w:rsidRPr="001705D1">
        <w:rPr>
          <w:rFonts w:cs="Times New Roman"/>
          <w:i/>
          <w:iCs/>
          <w:sz w:val="22"/>
        </w:rPr>
        <w:t xml:space="preserve">2 </w:t>
      </w:r>
      <w:r w:rsidRPr="001705D1">
        <w:rPr>
          <w:rFonts w:cs="Times New Roman"/>
          <w:sz w:val="22"/>
        </w:rPr>
        <w:t>(the Regulations).</w:t>
      </w:r>
    </w:p>
    <w:p w14:paraId="29597406" w14:textId="649DE23C" w:rsidR="00190873" w:rsidRPr="001705D1" w:rsidRDefault="00B15DC0" w:rsidP="00F96061">
      <w:pPr>
        <w:keepNext/>
        <w:spacing w:beforeLines="80" w:before="192" w:afterLines="120" w:after="288" w:line="240" w:lineRule="auto"/>
        <w:rPr>
          <w:rFonts w:ascii="Times New Roman" w:hAnsi="Times New Roman" w:cs="Times New Roman"/>
          <w:bCs/>
          <w:u w:val="single"/>
        </w:rPr>
      </w:pPr>
      <w:r w:rsidRPr="001705D1">
        <w:rPr>
          <w:rFonts w:ascii="Times New Roman" w:hAnsi="Times New Roman" w:cs="Times New Roman"/>
          <w:bCs/>
          <w:u w:val="single"/>
        </w:rPr>
        <w:t>Section 2: Commencement</w:t>
      </w:r>
    </w:p>
    <w:p w14:paraId="3E738AFD" w14:textId="3BD1F0A5" w:rsidR="00190873" w:rsidRPr="001705D1" w:rsidRDefault="00B15DC0" w:rsidP="00F96061">
      <w:pPr>
        <w:pStyle w:val="ListParagraph"/>
        <w:keepNext/>
        <w:numPr>
          <w:ilvl w:val="0"/>
          <w:numId w:val="17"/>
        </w:numPr>
        <w:spacing w:beforeLines="80" w:before="192" w:afterLines="120" w:after="288" w:line="240" w:lineRule="auto"/>
        <w:contextualSpacing w:val="0"/>
        <w:rPr>
          <w:rFonts w:cs="Times New Roman"/>
          <w:iCs/>
          <w:sz w:val="22"/>
        </w:rPr>
      </w:pPr>
      <w:r w:rsidRPr="001705D1">
        <w:rPr>
          <w:rFonts w:cs="Times New Roman"/>
          <w:iCs/>
          <w:sz w:val="22"/>
        </w:rPr>
        <w:t xml:space="preserve">This section specifies that the Regulations </w:t>
      </w:r>
      <w:r w:rsidR="00AD0D2E" w:rsidRPr="001705D1">
        <w:rPr>
          <w:rFonts w:cs="Times New Roman"/>
          <w:iCs/>
          <w:sz w:val="22"/>
        </w:rPr>
        <w:t xml:space="preserve">will </w:t>
      </w:r>
      <w:r w:rsidRPr="001705D1">
        <w:rPr>
          <w:rFonts w:cs="Times New Roman"/>
          <w:iCs/>
          <w:sz w:val="22"/>
        </w:rPr>
        <w:t xml:space="preserve">commence on </w:t>
      </w:r>
      <w:r w:rsidR="004A76AF" w:rsidRPr="001705D1">
        <w:rPr>
          <w:rFonts w:cs="Times New Roman"/>
          <w:iCs/>
          <w:sz w:val="22"/>
        </w:rPr>
        <w:t>the day after the instrument is registered.</w:t>
      </w:r>
    </w:p>
    <w:p w14:paraId="0704EA26" w14:textId="7244F9A7" w:rsidR="00190873" w:rsidRPr="001705D1" w:rsidRDefault="00B15DC0" w:rsidP="00F96061">
      <w:pPr>
        <w:keepNext/>
        <w:spacing w:beforeLines="80" w:before="192" w:afterLines="120" w:after="288" w:line="240" w:lineRule="auto"/>
        <w:rPr>
          <w:rFonts w:ascii="Times New Roman" w:hAnsi="Times New Roman" w:cs="Times New Roman"/>
          <w:bCs/>
          <w:u w:val="single"/>
        </w:rPr>
      </w:pPr>
      <w:r w:rsidRPr="001705D1">
        <w:rPr>
          <w:rFonts w:ascii="Times New Roman" w:hAnsi="Times New Roman" w:cs="Times New Roman"/>
          <w:bCs/>
          <w:u w:val="single"/>
        </w:rPr>
        <w:t>Section 3: Authority</w:t>
      </w:r>
    </w:p>
    <w:p w14:paraId="27D8D49E" w14:textId="117D8345" w:rsidR="00B15DC0" w:rsidRPr="001705D1" w:rsidRDefault="00B15DC0" w:rsidP="00F96061">
      <w:pPr>
        <w:pStyle w:val="ListParagraph"/>
        <w:keepNext/>
        <w:numPr>
          <w:ilvl w:val="0"/>
          <w:numId w:val="17"/>
        </w:numPr>
        <w:spacing w:beforeLines="80" w:before="192" w:afterLines="120" w:after="288" w:line="240" w:lineRule="auto"/>
        <w:contextualSpacing w:val="0"/>
        <w:rPr>
          <w:rFonts w:cs="Times New Roman"/>
          <w:iCs/>
          <w:sz w:val="22"/>
        </w:rPr>
      </w:pPr>
      <w:r w:rsidRPr="001705D1">
        <w:rPr>
          <w:rFonts w:cs="Times New Roman"/>
          <w:iCs/>
          <w:sz w:val="22"/>
        </w:rPr>
        <w:t>Th</w:t>
      </w:r>
      <w:r w:rsidR="00AD0D2E" w:rsidRPr="001705D1">
        <w:rPr>
          <w:rFonts w:cs="Times New Roman"/>
          <w:iCs/>
          <w:sz w:val="22"/>
        </w:rPr>
        <w:t xml:space="preserve">is section provides that </w:t>
      </w:r>
      <w:r w:rsidRPr="001705D1">
        <w:rPr>
          <w:rFonts w:cs="Times New Roman"/>
          <w:iCs/>
          <w:sz w:val="22"/>
        </w:rPr>
        <w:t xml:space="preserve">Regulations are made under the </w:t>
      </w:r>
      <w:r w:rsidRPr="001705D1">
        <w:rPr>
          <w:rFonts w:cs="Times New Roman"/>
          <w:i/>
          <w:sz w:val="22"/>
        </w:rPr>
        <w:t>Tertiary Education Quality and Standards Agency (Charges) Act 2021</w:t>
      </w:r>
      <w:r w:rsidRPr="001705D1">
        <w:rPr>
          <w:rFonts w:cs="Times New Roman"/>
          <w:iCs/>
          <w:sz w:val="22"/>
        </w:rPr>
        <w:t xml:space="preserve"> (the Act). </w:t>
      </w:r>
    </w:p>
    <w:p w14:paraId="2C922553" w14:textId="09ABE89D" w:rsidR="00BA2D1E" w:rsidRPr="001705D1" w:rsidRDefault="00BA2D1E" w:rsidP="00F96061">
      <w:pPr>
        <w:spacing w:beforeLines="80" w:before="192" w:afterLines="120" w:after="288" w:line="240" w:lineRule="auto"/>
        <w:ind w:right="91"/>
        <w:rPr>
          <w:rFonts w:ascii="Times New Roman" w:eastAsia="Times New Roman" w:hAnsi="Times New Roman" w:cs="Times New Roman"/>
          <w:lang w:eastAsia="en-AU"/>
        </w:rPr>
      </w:pPr>
      <w:r w:rsidRPr="001705D1">
        <w:rPr>
          <w:rFonts w:ascii="Times New Roman" w:eastAsia="Times New Roman" w:hAnsi="Times New Roman" w:cs="Times New Roman"/>
          <w:u w:val="single"/>
          <w:lang w:eastAsia="en-AU"/>
        </w:rPr>
        <w:t>Section 4 - Definitions</w:t>
      </w:r>
    </w:p>
    <w:p w14:paraId="2F5A6136" w14:textId="16D18687" w:rsidR="00BA2D1E" w:rsidRPr="001705D1" w:rsidRDefault="00BA2D1E" w:rsidP="00F96061">
      <w:pPr>
        <w:pStyle w:val="ListParagraph"/>
        <w:numPr>
          <w:ilvl w:val="0"/>
          <w:numId w:val="17"/>
        </w:numPr>
        <w:spacing w:beforeLines="80" w:before="192" w:afterLines="120" w:after="288" w:line="240" w:lineRule="auto"/>
        <w:contextualSpacing w:val="0"/>
        <w:rPr>
          <w:rFonts w:cs="Times New Roman"/>
          <w:sz w:val="22"/>
        </w:rPr>
      </w:pPr>
      <w:r w:rsidRPr="001705D1">
        <w:rPr>
          <w:rFonts w:eastAsia="Times New Roman" w:cs="Times New Roman"/>
          <w:sz w:val="22"/>
          <w:lang w:eastAsia="en-AU"/>
        </w:rPr>
        <w:t xml:space="preserve">This section </w:t>
      </w:r>
      <w:r w:rsidR="004A76AF" w:rsidRPr="001705D1">
        <w:rPr>
          <w:rFonts w:eastAsia="Times New Roman" w:cs="Times New Roman"/>
          <w:sz w:val="22"/>
          <w:lang w:eastAsia="en-AU"/>
        </w:rPr>
        <w:t xml:space="preserve">of </w:t>
      </w:r>
      <w:r w:rsidRPr="001705D1">
        <w:rPr>
          <w:rFonts w:eastAsia="Times New Roman" w:cs="Times New Roman"/>
          <w:sz w:val="22"/>
          <w:lang w:eastAsia="en-AU"/>
        </w:rPr>
        <w:t xml:space="preserve">the Regulations </w:t>
      </w:r>
      <w:r w:rsidR="004A76AF" w:rsidRPr="001705D1">
        <w:rPr>
          <w:rFonts w:eastAsia="Times New Roman" w:cs="Times New Roman"/>
          <w:sz w:val="22"/>
          <w:lang w:eastAsia="en-AU"/>
        </w:rPr>
        <w:t xml:space="preserve">sets out definitions for the purpose of the Regulations. </w:t>
      </w:r>
    </w:p>
    <w:p w14:paraId="13045DCA" w14:textId="7D711005" w:rsidR="00936BE4" w:rsidRPr="001705D1" w:rsidRDefault="00936BE4" w:rsidP="00F96061">
      <w:pPr>
        <w:spacing w:beforeLines="80" w:before="192" w:afterLines="120" w:after="288" w:line="240" w:lineRule="auto"/>
        <w:ind w:right="91"/>
        <w:rPr>
          <w:rFonts w:ascii="Times New Roman" w:eastAsia="Times New Roman" w:hAnsi="Times New Roman" w:cs="Times New Roman"/>
          <w:lang w:eastAsia="en-AU"/>
        </w:rPr>
      </w:pPr>
      <w:r w:rsidRPr="001705D1">
        <w:rPr>
          <w:rFonts w:ascii="Times New Roman" w:eastAsia="Times New Roman" w:hAnsi="Times New Roman" w:cs="Times New Roman"/>
          <w:u w:val="single"/>
          <w:lang w:eastAsia="en-AU"/>
        </w:rPr>
        <w:t>Section 5 – Amount of charge</w:t>
      </w:r>
    </w:p>
    <w:p w14:paraId="2CC80BC1" w14:textId="7B89E4F8" w:rsidR="00936BE4" w:rsidRPr="001705D1" w:rsidRDefault="00936BE4" w:rsidP="008A7283">
      <w:pPr>
        <w:pStyle w:val="ListParagraph"/>
        <w:numPr>
          <w:ilvl w:val="0"/>
          <w:numId w:val="17"/>
        </w:numPr>
        <w:spacing w:beforeLines="80" w:before="192" w:afterLines="120" w:after="288"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This section </w:t>
      </w:r>
      <w:r w:rsidR="00227178" w:rsidRPr="001705D1">
        <w:rPr>
          <w:rFonts w:eastAsia="Times New Roman" w:cs="Times New Roman"/>
          <w:sz w:val="22"/>
          <w:lang w:eastAsia="en-AU"/>
        </w:rPr>
        <w:t xml:space="preserve">prescribes </w:t>
      </w:r>
      <w:r w:rsidRPr="001705D1">
        <w:rPr>
          <w:rFonts w:eastAsia="Times New Roman" w:cs="Times New Roman"/>
          <w:sz w:val="22"/>
          <w:lang w:eastAsia="en-AU"/>
        </w:rPr>
        <w:t>the formula for calculating the amount of the registered higher education provider charge</w:t>
      </w:r>
      <w:r w:rsidR="00227178" w:rsidRPr="001705D1">
        <w:rPr>
          <w:rFonts w:eastAsia="Times New Roman" w:cs="Times New Roman"/>
          <w:sz w:val="22"/>
          <w:lang w:eastAsia="en-AU"/>
        </w:rPr>
        <w:t xml:space="preserve"> for a year for each registered higher education provider</w:t>
      </w:r>
      <w:r w:rsidRPr="001705D1">
        <w:rPr>
          <w:rFonts w:eastAsia="Times New Roman" w:cs="Times New Roman"/>
          <w:sz w:val="22"/>
          <w:lang w:eastAsia="en-AU"/>
        </w:rPr>
        <w:t>.</w:t>
      </w:r>
      <w:r w:rsidR="008A7283" w:rsidRPr="001705D1">
        <w:rPr>
          <w:rFonts w:eastAsia="Times New Roman" w:cs="Times New Roman"/>
          <w:sz w:val="22"/>
          <w:lang w:eastAsia="en-AU"/>
        </w:rPr>
        <w:t xml:space="preserve"> </w:t>
      </w:r>
      <w:r w:rsidRPr="001705D1">
        <w:rPr>
          <w:rFonts w:eastAsia="Times New Roman" w:cs="Times New Roman"/>
          <w:sz w:val="22"/>
          <w:lang w:eastAsia="en-AU"/>
        </w:rPr>
        <w:t xml:space="preserve">Subsection </w:t>
      </w:r>
      <w:r w:rsidR="003634B5" w:rsidRPr="001705D1">
        <w:rPr>
          <w:rFonts w:eastAsia="Times New Roman" w:cs="Times New Roman"/>
          <w:sz w:val="22"/>
          <w:lang w:eastAsia="en-AU"/>
        </w:rPr>
        <w:t>5(</w:t>
      </w:r>
      <w:r w:rsidRPr="001705D1">
        <w:rPr>
          <w:rFonts w:eastAsia="Times New Roman" w:cs="Times New Roman"/>
          <w:sz w:val="22"/>
          <w:lang w:eastAsia="en-AU"/>
        </w:rPr>
        <w:t>1</w:t>
      </w:r>
      <w:r w:rsidR="003634B5" w:rsidRPr="001705D1">
        <w:rPr>
          <w:rFonts w:eastAsia="Times New Roman" w:cs="Times New Roman"/>
          <w:sz w:val="22"/>
          <w:lang w:eastAsia="en-AU"/>
        </w:rPr>
        <w:t>)</w:t>
      </w:r>
      <w:r w:rsidRPr="001705D1">
        <w:rPr>
          <w:rFonts w:eastAsia="Times New Roman" w:cs="Times New Roman"/>
          <w:sz w:val="22"/>
          <w:lang w:eastAsia="en-AU"/>
        </w:rPr>
        <w:t xml:space="preserve"> </w:t>
      </w:r>
      <w:r w:rsidR="003634B5" w:rsidRPr="001705D1">
        <w:rPr>
          <w:rFonts w:eastAsia="Times New Roman" w:cs="Times New Roman"/>
          <w:sz w:val="22"/>
          <w:lang w:eastAsia="en-AU"/>
        </w:rPr>
        <w:t xml:space="preserve">provides </w:t>
      </w:r>
      <w:r w:rsidRPr="001705D1">
        <w:rPr>
          <w:rFonts w:eastAsia="Times New Roman" w:cs="Times New Roman"/>
          <w:sz w:val="22"/>
          <w:lang w:eastAsia="en-AU"/>
        </w:rPr>
        <w:t xml:space="preserve">that the total amount of the </w:t>
      </w:r>
      <w:r w:rsidR="003634B5" w:rsidRPr="001705D1">
        <w:rPr>
          <w:rFonts w:eastAsia="Times New Roman" w:cs="Times New Roman"/>
          <w:sz w:val="22"/>
          <w:lang w:eastAsia="en-AU"/>
        </w:rPr>
        <w:t xml:space="preserve">registered higher education provider </w:t>
      </w:r>
      <w:r w:rsidRPr="001705D1">
        <w:rPr>
          <w:rFonts w:eastAsia="Times New Roman" w:cs="Times New Roman"/>
          <w:sz w:val="22"/>
          <w:lang w:eastAsia="en-AU"/>
        </w:rPr>
        <w:t xml:space="preserve">charge </w:t>
      </w:r>
      <w:r w:rsidR="003634B5" w:rsidRPr="001705D1">
        <w:rPr>
          <w:rFonts w:eastAsia="Times New Roman" w:cs="Times New Roman"/>
          <w:sz w:val="22"/>
          <w:lang w:eastAsia="en-AU"/>
        </w:rPr>
        <w:t>for each year commencing after 1 January 202</w:t>
      </w:r>
      <w:r w:rsidR="00227178" w:rsidRPr="001705D1">
        <w:rPr>
          <w:rFonts w:eastAsia="Times New Roman" w:cs="Times New Roman"/>
          <w:sz w:val="22"/>
          <w:lang w:eastAsia="en-AU"/>
        </w:rPr>
        <w:t>2</w:t>
      </w:r>
      <w:r w:rsidR="003634B5" w:rsidRPr="001705D1">
        <w:rPr>
          <w:rFonts w:eastAsia="Times New Roman" w:cs="Times New Roman"/>
          <w:sz w:val="22"/>
          <w:lang w:eastAsia="en-AU"/>
        </w:rPr>
        <w:t xml:space="preserve"> </w:t>
      </w:r>
      <w:r w:rsidRPr="001705D1">
        <w:rPr>
          <w:rFonts w:eastAsia="Times New Roman" w:cs="Times New Roman"/>
          <w:sz w:val="22"/>
          <w:lang w:eastAsia="en-AU"/>
        </w:rPr>
        <w:t xml:space="preserve">is the sum of </w:t>
      </w:r>
      <w:r w:rsidR="003634B5" w:rsidRPr="001705D1">
        <w:rPr>
          <w:rFonts w:eastAsia="Times New Roman" w:cs="Times New Roman"/>
          <w:sz w:val="22"/>
          <w:lang w:eastAsia="en-AU"/>
        </w:rPr>
        <w:t xml:space="preserve">two components, </w:t>
      </w:r>
      <w:r w:rsidRPr="001705D1">
        <w:rPr>
          <w:rFonts w:eastAsia="Times New Roman" w:cs="Times New Roman"/>
          <w:sz w:val="22"/>
          <w:lang w:eastAsia="en-AU"/>
        </w:rPr>
        <w:t xml:space="preserve">the base </w:t>
      </w:r>
      <w:proofErr w:type="gramStart"/>
      <w:r w:rsidRPr="001705D1">
        <w:rPr>
          <w:rFonts w:eastAsia="Times New Roman" w:cs="Times New Roman"/>
          <w:sz w:val="22"/>
          <w:lang w:eastAsia="en-AU"/>
        </w:rPr>
        <w:t>component</w:t>
      </w:r>
      <w:proofErr w:type="gramEnd"/>
      <w:r w:rsidRPr="001705D1">
        <w:rPr>
          <w:rFonts w:eastAsia="Times New Roman" w:cs="Times New Roman"/>
          <w:sz w:val="22"/>
          <w:lang w:eastAsia="en-AU"/>
        </w:rPr>
        <w:t xml:space="preserve"> and the compliance component</w:t>
      </w:r>
      <w:r w:rsidR="004A76AF" w:rsidRPr="001705D1">
        <w:rPr>
          <w:rFonts w:eastAsia="Times New Roman" w:cs="Times New Roman"/>
          <w:sz w:val="22"/>
          <w:lang w:eastAsia="en-AU"/>
        </w:rPr>
        <w:t xml:space="preserve"> </w:t>
      </w:r>
      <w:r w:rsidRPr="001705D1">
        <w:rPr>
          <w:rFonts w:eastAsia="Times New Roman" w:cs="Times New Roman"/>
          <w:sz w:val="22"/>
          <w:lang w:eastAsia="en-AU"/>
        </w:rPr>
        <w:t>(if any</w:t>
      </w:r>
      <w:r w:rsidR="003634B5" w:rsidRPr="001705D1">
        <w:rPr>
          <w:rFonts w:eastAsia="Times New Roman" w:cs="Times New Roman"/>
          <w:sz w:val="22"/>
          <w:lang w:eastAsia="en-AU"/>
        </w:rPr>
        <w:t>)</w:t>
      </w:r>
      <w:r w:rsidRPr="001705D1">
        <w:rPr>
          <w:rFonts w:eastAsia="Times New Roman" w:cs="Times New Roman"/>
          <w:sz w:val="22"/>
          <w:lang w:eastAsia="en-AU"/>
        </w:rPr>
        <w:t>.</w:t>
      </w:r>
    </w:p>
    <w:p w14:paraId="2185A394" w14:textId="17747519" w:rsidR="00936BE4" w:rsidRPr="001705D1" w:rsidRDefault="00936BE4" w:rsidP="00F96061">
      <w:pPr>
        <w:pStyle w:val="ListParagraph"/>
        <w:numPr>
          <w:ilvl w:val="0"/>
          <w:numId w:val="17"/>
        </w:numPr>
        <w:spacing w:beforeLines="80" w:before="192" w:afterLines="120" w:after="288"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Subsection </w:t>
      </w:r>
      <w:r w:rsidR="003634B5" w:rsidRPr="001705D1">
        <w:rPr>
          <w:rFonts w:eastAsia="Times New Roman" w:cs="Times New Roman"/>
          <w:sz w:val="22"/>
          <w:lang w:eastAsia="en-AU"/>
        </w:rPr>
        <w:t>5(</w:t>
      </w:r>
      <w:r w:rsidRPr="001705D1">
        <w:rPr>
          <w:rFonts w:eastAsia="Times New Roman" w:cs="Times New Roman"/>
          <w:sz w:val="22"/>
          <w:lang w:eastAsia="en-AU"/>
        </w:rPr>
        <w:t>2</w:t>
      </w:r>
      <w:r w:rsidR="003634B5" w:rsidRPr="001705D1">
        <w:rPr>
          <w:rFonts w:eastAsia="Times New Roman" w:cs="Times New Roman"/>
          <w:sz w:val="22"/>
          <w:lang w:eastAsia="en-AU"/>
        </w:rPr>
        <w:t>)</w:t>
      </w:r>
      <w:r w:rsidRPr="001705D1">
        <w:rPr>
          <w:rFonts w:eastAsia="Times New Roman" w:cs="Times New Roman"/>
          <w:sz w:val="22"/>
          <w:lang w:eastAsia="en-AU"/>
        </w:rPr>
        <w:t xml:space="preserve"> </w:t>
      </w:r>
      <w:r w:rsidR="003634B5" w:rsidRPr="001705D1">
        <w:rPr>
          <w:rFonts w:eastAsia="Times New Roman" w:cs="Times New Roman"/>
          <w:sz w:val="22"/>
          <w:lang w:eastAsia="en-AU"/>
        </w:rPr>
        <w:t xml:space="preserve">provides </w:t>
      </w:r>
      <w:r w:rsidRPr="001705D1">
        <w:rPr>
          <w:rFonts w:eastAsia="Times New Roman" w:cs="Times New Roman"/>
          <w:sz w:val="22"/>
          <w:lang w:eastAsia="en-AU"/>
        </w:rPr>
        <w:t xml:space="preserve">the formula for calculating the base component of </w:t>
      </w:r>
      <w:r w:rsidR="003634B5" w:rsidRPr="001705D1">
        <w:rPr>
          <w:rFonts w:eastAsia="Times New Roman" w:cs="Times New Roman"/>
          <w:sz w:val="22"/>
          <w:lang w:eastAsia="en-AU"/>
        </w:rPr>
        <w:t xml:space="preserve">the registered higher education provider </w:t>
      </w:r>
      <w:r w:rsidRPr="001705D1">
        <w:rPr>
          <w:rFonts w:eastAsia="Times New Roman" w:cs="Times New Roman"/>
          <w:sz w:val="22"/>
          <w:lang w:eastAsia="en-AU"/>
        </w:rPr>
        <w:t>charge.</w:t>
      </w:r>
      <w:r w:rsidR="006B079A" w:rsidRPr="001705D1">
        <w:rPr>
          <w:rFonts w:eastAsia="Times New Roman" w:cs="Times New Roman"/>
          <w:sz w:val="22"/>
          <w:lang w:eastAsia="en-AU"/>
        </w:rPr>
        <w:t xml:space="preserve"> There are two parts to the formula which, when added together, are the base component of the registered higher education provider charge.</w:t>
      </w:r>
      <w:r w:rsidR="00227178" w:rsidRPr="001705D1">
        <w:rPr>
          <w:rFonts w:eastAsia="Times New Roman" w:cs="Times New Roman"/>
          <w:sz w:val="22"/>
          <w:lang w:eastAsia="en-AU"/>
        </w:rPr>
        <w:t xml:space="preserve"> </w:t>
      </w:r>
      <w:r w:rsidR="00E857AA" w:rsidRPr="001705D1">
        <w:rPr>
          <w:rFonts w:cs="Times New Roman"/>
          <w:sz w:val="22"/>
        </w:rPr>
        <w:t xml:space="preserve">The base component will recover TEQSA’s costs in relation to </w:t>
      </w:r>
      <w:r w:rsidRPr="001705D1">
        <w:rPr>
          <w:rFonts w:cs="Times New Roman"/>
          <w:sz w:val="22"/>
        </w:rPr>
        <w:t xml:space="preserve">six areas of </w:t>
      </w:r>
      <w:r w:rsidR="00E857AA" w:rsidRPr="001705D1">
        <w:rPr>
          <w:rFonts w:cs="Times New Roman"/>
          <w:sz w:val="22"/>
        </w:rPr>
        <w:t xml:space="preserve">regulatory </w:t>
      </w:r>
      <w:r w:rsidRPr="001705D1">
        <w:rPr>
          <w:rFonts w:cs="Times New Roman"/>
          <w:sz w:val="22"/>
        </w:rPr>
        <w:t>activit</w:t>
      </w:r>
      <w:r w:rsidR="00E857AA" w:rsidRPr="001705D1">
        <w:rPr>
          <w:rFonts w:cs="Times New Roman"/>
          <w:sz w:val="22"/>
        </w:rPr>
        <w:t>y</w:t>
      </w:r>
      <w:r w:rsidRPr="001705D1">
        <w:rPr>
          <w:rFonts w:cs="Times New Roman"/>
          <w:sz w:val="22"/>
        </w:rPr>
        <w:t>:</w:t>
      </w:r>
    </w:p>
    <w:p w14:paraId="1EE135FE" w14:textId="69BD046A" w:rsidR="00936BE4" w:rsidRPr="001705D1" w:rsidRDefault="00936BE4" w:rsidP="008C0C15">
      <w:pPr>
        <w:pStyle w:val="ListParagraph"/>
        <w:numPr>
          <w:ilvl w:val="0"/>
          <w:numId w:val="23"/>
        </w:numPr>
        <w:spacing w:beforeLines="60" w:before="144" w:afterLines="50" w:after="120"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Concerns and complaints </w:t>
      </w:r>
    </w:p>
    <w:p w14:paraId="40E100DA" w14:textId="135F4987" w:rsidR="00936BE4" w:rsidRPr="001705D1" w:rsidRDefault="00936BE4" w:rsidP="008C0C15">
      <w:pPr>
        <w:pStyle w:val="ListParagraph"/>
        <w:numPr>
          <w:ilvl w:val="0"/>
          <w:numId w:val="23"/>
        </w:numPr>
        <w:spacing w:beforeLines="60" w:before="144" w:afterLines="50" w:after="120"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Communications and engagement </w:t>
      </w:r>
    </w:p>
    <w:p w14:paraId="12EA9226" w14:textId="49946C8D" w:rsidR="00936BE4" w:rsidRPr="001705D1" w:rsidRDefault="00936BE4" w:rsidP="008C0C15">
      <w:pPr>
        <w:pStyle w:val="ListParagraph"/>
        <w:numPr>
          <w:ilvl w:val="0"/>
          <w:numId w:val="23"/>
        </w:numPr>
        <w:spacing w:beforeLines="60" w:before="144" w:afterLines="50" w:after="120"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Risk Assessment </w:t>
      </w:r>
    </w:p>
    <w:p w14:paraId="4BF5854F" w14:textId="5E153304" w:rsidR="00936BE4" w:rsidRPr="001705D1" w:rsidRDefault="00936BE4" w:rsidP="008C0C15">
      <w:pPr>
        <w:pStyle w:val="ListParagraph"/>
        <w:numPr>
          <w:ilvl w:val="0"/>
          <w:numId w:val="23"/>
        </w:numPr>
        <w:spacing w:beforeLines="60" w:before="144" w:afterLines="50" w:after="120"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General Enquiries </w:t>
      </w:r>
    </w:p>
    <w:p w14:paraId="250808CF" w14:textId="6E52F977" w:rsidR="00936BE4" w:rsidRPr="001705D1" w:rsidRDefault="00936BE4" w:rsidP="008C0C15">
      <w:pPr>
        <w:pStyle w:val="ListParagraph"/>
        <w:numPr>
          <w:ilvl w:val="0"/>
          <w:numId w:val="23"/>
        </w:numPr>
        <w:spacing w:beforeLines="60" w:before="144" w:afterLines="50" w:after="120"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Corporate Support </w:t>
      </w:r>
    </w:p>
    <w:p w14:paraId="4046B043" w14:textId="00394258" w:rsidR="00936BE4" w:rsidRPr="001705D1" w:rsidRDefault="00936BE4" w:rsidP="008C0C15">
      <w:pPr>
        <w:pStyle w:val="ListParagraph"/>
        <w:numPr>
          <w:ilvl w:val="0"/>
          <w:numId w:val="23"/>
        </w:numPr>
        <w:spacing w:beforeLines="60" w:before="144" w:afterLines="50" w:after="120" w:line="240" w:lineRule="auto"/>
        <w:ind w:right="91"/>
        <w:contextualSpacing w:val="0"/>
        <w:rPr>
          <w:rFonts w:eastAsia="Times New Roman" w:cs="Times New Roman"/>
          <w:sz w:val="22"/>
          <w:lang w:eastAsia="en-AU"/>
        </w:rPr>
      </w:pPr>
      <w:r w:rsidRPr="001705D1">
        <w:rPr>
          <w:rFonts w:eastAsia="Times New Roman" w:cs="Times New Roman"/>
          <w:sz w:val="22"/>
          <w:lang w:eastAsia="en-AU"/>
        </w:rPr>
        <w:t>Guidance and education standards</w:t>
      </w:r>
    </w:p>
    <w:p w14:paraId="0EFE4D2A" w14:textId="0031484B" w:rsidR="005F31BF" w:rsidRPr="001705D1" w:rsidRDefault="00936BE4" w:rsidP="00F96061">
      <w:pPr>
        <w:pStyle w:val="ListParagraph"/>
        <w:numPr>
          <w:ilvl w:val="0"/>
          <w:numId w:val="17"/>
        </w:numPr>
        <w:spacing w:beforeLines="80" w:before="192" w:afterLines="120" w:after="288" w:line="240" w:lineRule="auto"/>
        <w:contextualSpacing w:val="0"/>
        <w:rPr>
          <w:rFonts w:cs="Times New Roman"/>
          <w:sz w:val="22"/>
        </w:rPr>
      </w:pPr>
      <w:r w:rsidRPr="001705D1">
        <w:rPr>
          <w:rFonts w:cs="Times New Roman"/>
          <w:sz w:val="22"/>
        </w:rPr>
        <w:t xml:space="preserve">The </w:t>
      </w:r>
      <w:r w:rsidR="00E857AA" w:rsidRPr="001705D1">
        <w:rPr>
          <w:rFonts w:cs="Times New Roman"/>
          <w:sz w:val="22"/>
        </w:rPr>
        <w:t xml:space="preserve">first part of the </w:t>
      </w:r>
      <w:r w:rsidR="00AA3BCB" w:rsidRPr="001705D1">
        <w:rPr>
          <w:rFonts w:cs="Times New Roman"/>
          <w:sz w:val="22"/>
        </w:rPr>
        <w:t>formula</w:t>
      </w:r>
      <w:r w:rsidR="00E857AA" w:rsidRPr="001705D1">
        <w:rPr>
          <w:rFonts w:cs="Times New Roman"/>
          <w:sz w:val="22"/>
        </w:rPr>
        <w:t xml:space="preserve"> set out in subsection 5(2) distributes the total </w:t>
      </w:r>
      <w:r w:rsidRPr="001705D1">
        <w:rPr>
          <w:rFonts w:cs="Times New Roman"/>
          <w:sz w:val="22"/>
        </w:rPr>
        <w:t xml:space="preserve">costs </w:t>
      </w:r>
      <w:r w:rsidR="00E857AA" w:rsidRPr="001705D1">
        <w:rPr>
          <w:rFonts w:cs="Times New Roman"/>
          <w:sz w:val="22"/>
        </w:rPr>
        <w:t xml:space="preserve">for </w:t>
      </w:r>
      <w:r w:rsidRPr="001705D1">
        <w:rPr>
          <w:rFonts w:cs="Times New Roman"/>
          <w:sz w:val="22"/>
        </w:rPr>
        <w:t>activit</w:t>
      </w:r>
      <w:r w:rsidR="00782A07" w:rsidRPr="001705D1">
        <w:rPr>
          <w:rFonts w:cs="Times New Roman"/>
          <w:sz w:val="22"/>
        </w:rPr>
        <w:t>ies</w:t>
      </w:r>
      <w:r w:rsidR="00AA3BCB" w:rsidRPr="001705D1">
        <w:rPr>
          <w:rFonts w:cs="Times New Roman"/>
          <w:sz w:val="22"/>
        </w:rPr>
        <w:t xml:space="preserve">(ii) – (vi) </w:t>
      </w:r>
      <w:r w:rsidR="00782A07" w:rsidRPr="001705D1">
        <w:rPr>
          <w:rFonts w:cs="Times New Roman"/>
          <w:sz w:val="22"/>
        </w:rPr>
        <w:t xml:space="preserve">listed </w:t>
      </w:r>
      <w:r w:rsidRPr="001705D1">
        <w:rPr>
          <w:rFonts w:cs="Times New Roman"/>
          <w:sz w:val="22"/>
        </w:rPr>
        <w:t>above</w:t>
      </w:r>
      <w:r w:rsidR="008A7283" w:rsidRPr="001705D1">
        <w:rPr>
          <w:rFonts w:cs="Times New Roman"/>
          <w:sz w:val="22"/>
        </w:rPr>
        <w:t xml:space="preserve">, </w:t>
      </w:r>
      <w:r w:rsidR="005F31BF" w:rsidRPr="001705D1">
        <w:rPr>
          <w:rFonts w:cs="Times New Roman"/>
          <w:sz w:val="22"/>
        </w:rPr>
        <w:t>$5,</w:t>
      </w:r>
      <w:r w:rsidR="00AA3BCB" w:rsidRPr="001705D1">
        <w:rPr>
          <w:rFonts w:cs="Times New Roman"/>
          <w:sz w:val="22"/>
        </w:rPr>
        <w:t>304</w:t>
      </w:r>
      <w:r w:rsidR="005F31BF" w:rsidRPr="001705D1">
        <w:rPr>
          <w:rFonts w:cs="Times New Roman"/>
          <w:sz w:val="22"/>
        </w:rPr>
        <w:t>,000</w:t>
      </w:r>
      <w:r w:rsidR="008A7283" w:rsidRPr="001705D1">
        <w:rPr>
          <w:rFonts w:cs="Times New Roman"/>
          <w:sz w:val="22"/>
        </w:rPr>
        <w:t>,</w:t>
      </w:r>
      <w:r w:rsidR="00E857AA" w:rsidRPr="001705D1">
        <w:rPr>
          <w:rFonts w:cs="Times New Roman"/>
          <w:sz w:val="22"/>
        </w:rPr>
        <w:t xml:space="preserve"> </w:t>
      </w:r>
      <w:r w:rsidRPr="001705D1">
        <w:rPr>
          <w:rFonts w:cs="Times New Roman"/>
          <w:sz w:val="22"/>
        </w:rPr>
        <w:t xml:space="preserve">evenly across </w:t>
      </w:r>
      <w:r w:rsidR="00E857AA" w:rsidRPr="001705D1">
        <w:rPr>
          <w:rFonts w:cs="Times New Roman"/>
          <w:sz w:val="22"/>
        </w:rPr>
        <w:t xml:space="preserve">all </w:t>
      </w:r>
      <w:r w:rsidRPr="001705D1">
        <w:rPr>
          <w:rFonts w:cs="Times New Roman"/>
          <w:sz w:val="22"/>
        </w:rPr>
        <w:t xml:space="preserve">higher education providers </w:t>
      </w:r>
      <w:r w:rsidR="00E857AA" w:rsidRPr="001705D1">
        <w:rPr>
          <w:rFonts w:cs="Times New Roman"/>
          <w:sz w:val="22"/>
        </w:rPr>
        <w:t xml:space="preserve">that are registered higher education providers on 1 January of the relevant year. </w:t>
      </w:r>
      <w:r w:rsidR="00272F91" w:rsidRPr="001705D1">
        <w:rPr>
          <w:rFonts w:cs="Times New Roman"/>
          <w:sz w:val="22"/>
        </w:rPr>
        <w:t xml:space="preserve">The formula does this by dividing the costs, $5,304,000, by the total number of </w:t>
      </w:r>
      <w:r w:rsidR="008A7283" w:rsidRPr="001705D1">
        <w:rPr>
          <w:rFonts w:cs="Times New Roman"/>
          <w:sz w:val="22"/>
        </w:rPr>
        <w:t xml:space="preserve">registered </w:t>
      </w:r>
      <w:r w:rsidR="00272F91" w:rsidRPr="001705D1">
        <w:rPr>
          <w:rFonts w:cs="Times New Roman"/>
          <w:sz w:val="22"/>
        </w:rPr>
        <w:t xml:space="preserve">providers. The first part of the formula is </w:t>
      </w:r>
      <w:r w:rsidR="00272F91" w:rsidRPr="001705D1">
        <w:rPr>
          <w:rFonts w:cs="Times New Roman"/>
          <w:sz w:val="22"/>
        </w:rPr>
        <w:lastRenderedPageBreak/>
        <w:t>drafted in th</w:t>
      </w:r>
      <w:r w:rsidR="008A7283" w:rsidRPr="001705D1">
        <w:rPr>
          <w:rFonts w:cs="Times New Roman"/>
          <w:sz w:val="22"/>
        </w:rPr>
        <w:t>is</w:t>
      </w:r>
      <w:r w:rsidR="00272F91" w:rsidRPr="001705D1">
        <w:rPr>
          <w:rFonts w:cs="Times New Roman"/>
          <w:sz w:val="22"/>
        </w:rPr>
        <w:t xml:space="preserve"> manner </w:t>
      </w:r>
      <w:r w:rsidR="00E857AA" w:rsidRPr="001705D1">
        <w:rPr>
          <w:rFonts w:cs="Times New Roman"/>
          <w:sz w:val="22"/>
        </w:rPr>
        <w:t>because the regulatory effort and costs associated with these regulatory activities cannot be attributed to particular providers</w:t>
      </w:r>
      <w:r w:rsidRPr="001705D1">
        <w:rPr>
          <w:rFonts w:cs="Times New Roman"/>
          <w:sz w:val="22"/>
        </w:rPr>
        <w:t xml:space="preserve">. </w:t>
      </w:r>
    </w:p>
    <w:p w14:paraId="0A748052" w14:textId="6E5F3A59" w:rsidR="00AA3BCB" w:rsidRPr="001705D1" w:rsidRDefault="005F31BF" w:rsidP="00F96061">
      <w:pPr>
        <w:pStyle w:val="ListParagraph"/>
        <w:numPr>
          <w:ilvl w:val="0"/>
          <w:numId w:val="17"/>
        </w:numPr>
        <w:spacing w:beforeLines="80" w:before="192" w:afterLines="120" w:after="288" w:line="240" w:lineRule="auto"/>
        <w:ind w:right="91"/>
        <w:contextualSpacing w:val="0"/>
        <w:rPr>
          <w:rFonts w:cs="Times New Roman"/>
          <w:sz w:val="22"/>
        </w:rPr>
      </w:pPr>
      <w:r w:rsidRPr="001705D1">
        <w:rPr>
          <w:rFonts w:cs="Times New Roman"/>
          <w:sz w:val="22"/>
        </w:rPr>
        <w:t xml:space="preserve">The second part of the </w:t>
      </w:r>
      <w:r w:rsidR="00AA3BCB" w:rsidRPr="001705D1">
        <w:rPr>
          <w:rFonts w:cs="Times New Roman"/>
          <w:sz w:val="22"/>
        </w:rPr>
        <w:t>formula</w:t>
      </w:r>
      <w:r w:rsidRPr="001705D1">
        <w:rPr>
          <w:rFonts w:cs="Times New Roman"/>
          <w:sz w:val="22"/>
        </w:rPr>
        <w:t xml:space="preserve"> set out in subsection 5(2) distributes </w:t>
      </w:r>
      <w:r w:rsidR="00936BE4" w:rsidRPr="001705D1">
        <w:rPr>
          <w:rFonts w:cs="Times New Roman"/>
          <w:sz w:val="22"/>
        </w:rPr>
        <w:t xml:space="preserve">the </w:t>
      </w:r>
      <w:r w:rsidRPr="001705D1">
        <w:rPr>
          <w:rFonts w:cs="Times New Roman"/>
          <w:sz w:val="22"/>
        </w:rPr>
        <w:t xml:space="preserve">total </w:t>
      </w:r>
      <w:r w:rsidR="00936BE4" w:rsidRPr="001705D1">
        <w:rPr>
          <w:rFonts w:cs="Times New Roman"/>
          <w:sz w:val="22"/>
        </w:rPr>
        <w:t xml:space="preserve">costs </w:t>
      </w:r>
      <w:r w:rsidR="00782A07" w:rsidRPr="001705D1">
        <w:rPr>
          <w:rFonts w:cs="Times New Roman"/>
          <w:sz w:val="22"/>
        </w:rPr>
        <w:t xml:space="preserve">of activity </w:t>
      </w:r>
      <w:r w:rsidR="00AA3BCB" w:rsidRPr="001705D1">
        <w:rPr>
          <w:rFonts w:cs="Times New Roman"/>
          <w:sz w:val="22"/>
        </w:rPr>
        <w:t>(</w:t>
      </w:r>
      <w:proofErr w:type="spellStart"/>
      <w:r w:rsidR="00AA3BCB" w:rsidRPr="001705D1">
        <w:rPr>
          <w:rFonts w:cs="Times New Roman"/>
          <w:sz w:val="22"/>
        </w:rPr>
        <w:t>i</w:t>
      </w:r>
      <w:proofErr w:type="spellEnd"/>
      <w:r w:rsidR="00AA3BCB" w:rsidRPr="001705D1">
        <w:rPr>
          <w:rFonts w:cs="Times New Roman"/>
          <w:sz w:val="22"/>
        </w:rPr>
        <w:t>) above</w:t>
      </w:r>
      <w:r w:rsidR="00782A07" w:rsidRPr="001705D1">
        <w:rPr>
          <w:rFonts w:cs="Times New Roman"/>
          <w:sz w:val="22"/>
        </w:rPr>
        <w:t xml:space="preserve"> (Concerns and Complaints)</w:t>
      </w:r>
      <w:r w:rsidR="006B079A" w:rsidRPr="001705D1">
        <w:rPr>
          <w:rFonts w:cs="Times New Roman"/>
          <w:sz w:val="22"/>
        </w:rPr>
        <w:t xml:space="preserve">, </w:t>
      </w:r>
      <w:r w:rsidR="00CF0253" w:rsidRPr="001705D1">
        <w:rPr>
          <w:rFonts w:cs="Times New Roman"/>
          <w:sz w:val="22"/>
        </w:rPr>
        <w:t>$206,000</w:t>
      </w:r>
      <w:r w:rsidR="006B079A" w:rsidRPr="001705D1">
        <w:rPr>
          <w:rFonts w:cs="Times New Roman"/>
          <w:sz w:val="22"/>
        </w:rPr>
        <w:t>,</w:t>
      </w:r>
      <w:r w:rsidR="00CF0253" w:rsidRPr="001705D1">
        <w:rPr>
          <w:rFonts w:cs="Times New Roman"/>
          <w:sz w:val="22"/>
        </w:rPr>
        <w:t xml:space="preserve"> </w:t>
      </w:r>
      <w:r w:rsidR="00936BE4" w:rsidRPr="001705D1">
        <w:rPr>
          <w:rFonts w:cs="Times New Roman"/>
          <w:sz w:val="22"/>
        </w:rPr>
        <w:t xml:space="preserve">among </w:t>
      </w:r>
      <w:r w:rsidRPr="001705D1">
        <w:rPr>
          <w:rFonts w:cs="Times New Roman"/>
          <w:sz w:val="22"/>
        </w:rPr>
        <w:t xml:space="preserve">registered higher education </w:t>
      </w:r>
      <w:r w:rsidR="00936BE4" w:rsidRPr="001705D1">
        <w:rPr>
          <w:rFonts w:cs="Times New Roman"/>
          <w:sz w:val="22"/>
        </w:rPr>
        <w:t xml:space="preserve">providers based on </w:t>
      </w:r>
      <w:r w:rsidR="00AA3BCB" w:rsidRPr="001705D1">
        <w:rPr>
          <w:rFonts w:cs="Times New Roman"/>
          <w:sz w:val="22"/>
        </w:rPr>
        <w:t>each</w:t>
      </w:r>
      <w:r w:rsidRPr="001705D1">
        <w:rPr>
          <w:rFonts w:cs="Times New Roman"/>
          <w:sz w:val="22"/>
        </w:rPr>
        <w:t xml:space="preserve"> provider’s</w:t>
      </w:r>
      <w:r w:rsidR="00936BE4" w:rsidRPr="001705D1">
        <w:rPr>
          <w:rFonts w:cs="Times New Roman"/>
          <w:sz w:val="22"/>
        </w:rPr>
        <w:t xml:space="preserve"> share of total equivalent full-time students</w:t>
      </w:r>
      <w:r w:rsidRPr="001705D1">
        <w:rPr>
          <w:rFonts w:cs="Times New Roman"/>
          <w:sz w:val="22"/>
        </w:rPr>
        <w:t xml:space="preserve">. </w:t>
      </w:r>
      <w:r w:rsidR="00272F91" w:rsidRPr="001705D1">
        <w:rPr>
          <w:rFonts w:cs="Times New Roman"/>
          <w:sz w:val="22"/>
        </w:rPr>
        <w:t xml:space="preserve">The formula does this by dividing the costs, $206,000, by the total number of equivalent full-time students and then multiplying that number by the particular provider’s number of equivalent </w:t>
      </w:r>
      <w:r w:rsidR="00F96061" w:rsidRPr="001705D1">
        <w:rPr>
          <w:rFonts w:cs="Times New Roman"/>
          <w:sz w:val="22"/>
        </w:rPr>
        <w:t>full-time</w:t>
      </w:r>
      <w:r w:rsidR="00272F91" w:rsidRPr="001705D1">
        <w:rPr>
          <w:rFonts w:cs="Times New Roman"/>
          <w:sz w:val="22"/>
        </w:rPr>
        <w:t xml:space="preserve"> students.</w:t>
      </w:r>
    </w:p>
    <w:p w14:paraId="48DD758C" w14:textId="1467170F" w:rsidR="00CF0253" w:rsidRPr="001705D1" w:rsidRDefault="00AA3BCB" w:rsidP="00F96061">
      <w:pPr>
        <w:pStyle w:val="ListParagraph"/>
        <w:numPr>
          <w:ilvl w:val="0"/>
          <w:numId w:val="17"/>
        </w:numPr>
        <w:spacing w:beforeLines="80" w:before="192" w:afterLines="120" w:after="288" w:line="240" w:lineRule="auto"/>
        <w:ind w:right="91"/>
        <w:contextualSpacing w:val="0"/>
        <w:rPr>
          <w:rFonts w:cs="Times New Roman"/>
          <w:sz w:val="22"/>
        </w:rPr>
      </w:pPr>
      <w:r w:rsidRPr="001705D1">
        <w:rPr>
          <w:rFonts w:cs="Times New Roman"/>
          <w:sz w:val="22"/>
        </w:rPr>
        <w:t>Th</w:t>
      </w:r>
      <w:r w:rsidR="00272F91" w:rsidRPr="001705D1">
        <w:rPr>
          <w:rFonts w:cs="Times New Roman"/>
          <w:sz w:val="22"/>
        </w:rPr>
        <w:t>e second part of the formula is draf</w:t>
      </w:r>
      <w:r w:rsidR="00852DA5" w:rsidRPr="001705D1">
        <w:rPr>
          <w:rFonts w:cs="Times New Roman"/>
          <w:sz w:val="22"/>
        </w:rPr>
        <w:t>ted</w:t>
      </w:r>
      <w:r w:rsidR="00272F91" w:rsidRPr="001705D1">
        <w:rPr>
          <w:rFonts w:cs="Times New Roman"/>
          <w:sz w:val="22"/>
        </w:rPr>
        <w:t xml:space="preserve"> in this manner </w:t>
      </w:r>
      <w:r w:rsidRPr="001705D1">
        <w:rPr>
          <w:rFonts w:cs="Times New Roman"/>
          <w:sz w:val="22"/>
        </w:rPr>
        <w:t xml:space="preserve">because the regulatory effort TEQSA expends in relation to each registered higher education provider for </w:t>
      </w:r>
      <w:r w:rsidR="00782A07" w:rsidRPr="001705D1">
        <w:rPr>
          <w:rFonts w:cs="Times New Roman"/>
          <w:sz w:val="22"/>
        </w:rPr>
        <w:t xml:space="preserve">‘Concerns and Complaints’ </w:t>
      </w:r>
      <w:r w:rsidRPr="001705D1">
        <w:rPr>
          <w:rFonts w:cs="Times New Roman"/>
          <w:sz w:val="22"/>
        </w:rPr>
        <w:t xml:space="preserve">differs between providers depending on the number of students enrolled with the provider. </w:t>
      </w:r>
    </w:p>
    <w:p w14:paraId="057B2FAF" w14:textId="2A7A80EF" w:rsidR="00A87FF2" w:rsidRPr="001705D1" w:rsidRDefault="00CF0253" w:rsidP="00F96061">
      <w:pPr>
        <w:pStyle w:val="ListParagraph"/>
        <w:numPr>
          <w:ilvl w:val="0"/>
          <w:numId w:val="17"/>
        </w:numPr>
        <w:spacing w:beforeLines="80" w:before="192" w:afterLines="120" w:after="288" w:line="240" w:lineRule="auto"/>
        <w:ind w:right="91"/>
        <w:contextualSpacing w:val="0"/>
        <w:rPr>
          <w:rFonts w:cs="Times New Roman"/>
          <w:sz w:val="22"/>
        </w:rPr>
      </w:pPr>
      <w:r w:rsidRPr="001705D1">
        <w:rPr>
          <w:rFonts w:cs="Times New Roman"/>
          <w:sz w:val="22"/>
        </w:rPr>
        <w:t xml:space="preserve">Subsection 5(2) </w:t>
      </w:r>
      <w:r w:rsidR="00AA3BCB" w:rsidRPr="001705D1">
        <w:rPr>
          <w:rFonts w:cs="Times New Roman"/>
          <w:sz w:val="22"/>
        </w:rPr>
        <w:t>explains</w:t>
      </w:r>
      <w:r w:rsidRPr="001705D1">
        <w:rPr>
          <w:rFonts w:cs="Times New Roman"/>
          <w:sz w:val="22"/>
        </w:rPr>
        <w:t xml:space="preserve"> that the term</w:t>
      </w:r>
      <w:r w:rsidR="00A87FF2" w:rsidRPr="001705D1">
        <w:rPr>
          <w:rFonts w:cs="Times New Roman"/>
          <w:sz w:val="22"/>
        </w:rPr>
        <w:t xml:space="preserve"> ‘number of providers’ means the number of registered higher education providers at the start of the year for which the charge is being calculated.</w:t>
      </w:r>
    </w:p>
    <w:p w14:paraId="7DADB13A" w14:textId="2DC2E9AA" w:rsidR="00936BE4" w:rsidRPr="001705D1" w:rsidRDefault="00A87FF2" w:rsidP="00F96061">
      <w:pPr>
        <w:pStyle w:val="ListParagraph"/>
        <w:numPr>
          <w:ilvl w:val="0"/>
          <w:numId w:val="17"/>
        </w:numPr>
        <w:spacing w:beforeLines="80" w:before="192" w:afterLines="120" w:after="288" w:line="240" w:lineRule="auto"/>
        <w:ind w:right="91"/>
        <w:contextualSpacing w:val="0"/>
        <w:rPr>
          <w:rFonts w:cs="Times New Roman"/>
          <w:sz w:val="22"/>
        </w:rPr>
      </w:pPr>
      <w:r w:rsidRPr="001705D1">
        <w:rPr>
          <w:rFonts w:cs="Times New Roman"/>
          <w:sz w:val="22"/>
        </w:rPr>
        <w:t xml:space="preserve">Subsection 5(2) </w:t>
      </w:r>
      <w:r w:rsidR="00AA3BCB" w:rsidRPr="001705D1">
        <w:rPr>
          <w:rFonts w:cs="Times New Roman"/>
          <w:sz w:val="22"/>
        </w:rPr>
        <w:t>explains</w:t>
      </w:r>
      <w:r w:rsidRPr="001705D1">
        <w:rPr>
          <w:rFonts w:cs="Times New Roman"/>
          <w:sz w:val="22"/>
        </w:rPr>
        <w:t xml:space="preserve"> that</w:t>
      </w:r>
      <w:r w:rsidR="00CF0253" w:rsidRPr="001705D1">
        <w:rPr>
          <w:rFonts w:cs="Times New Roman"/>
          <w:sz w:val="22"/>
        </w:rPr>
        <w:t xml:space="preserve"> </w:t>
      </w:r>
      <w:r w:rsidR="00272F91" w:rsidRPr="001705D1">
        <w:rPr>
          <w:rFonts w:cs="Times New Roman"/>
          <w:sz w:val="22"/>
        </w:rPr>
        <w:t xml:space="preserve">the term ‘provider’s equivalent full-time students’ means the total number of students enrolled, on an equivalent full-time basis, in each accredited course provided by the relevant higher education provider in the year that is 2 years before the year in which the charge is being calculated. </w:t>
      </w:r>
      <w:r w:rsidR="00CF0253" w:rsidRPr="001705D1">
        <w:rPr>
          <w:rFonts w:cs="Times New Roman"/>
          <w:sz w:val="22"/>
        </w:rPr>
        <w:t xml:space="preserve">Subsection 5(2) similarly </w:t>
      </w:r>
      <w:r w:rsidR="00AA3BCB" w:rsidRPr="001705D1">
        <w:rPr>
          <w:rFonts w:cs="Times New Roman"/>
          <w:sz w:val="22"/>
        </w:rPr>
        <w:t>explains</w:t>
      </w:r>
      <w:r w:rsidR="00CF0253" w:rsidRPr="001705D1">
        <w:rPr>
          <w:rFonts w:cs="Times New Roman"/>
          <w:sz w:val="22"/>
        </w:rPr>
        <w:t xml:space="preserve"> that </w:t>
      </w:r>
      <w:r w:rsidR="00272F91" w:rsidRPr="001705D1">
        <w:rPr>
          <w:rFonts w:cs="Times New Roman"/>
          <w:sz w:val="22"/>
        </w:rPr>
        <w:t>term ‘total equivalent full-time students’ means the total number of students enrolled, on an equivalent full-time basis, in each accredited course provided by each registered higher education provider in the year that is 2 years before the year in which the charge is being calculated.</w:t>
      </w:r>
      <w:r w:rsidR="00CF0253" w:rsidRPr="001705D1">
        <w:rPr>
          <w:rFonts w:cs="Times New Roman"/>
          <w:sz w:val="22"/>
        </w:rPr>
        <w:t xml:space="preserve"> These terms refer to data from 2 years prior to the year in which the charge is being calculated as this will be the</w:t>
      </w:r>
      <w:r w:rsidR="00936BE4" w:rsidRPr="001705D1">
        <w:rPr>
          <w:rFonts w:cs="Times New Roman"/>
          <w:sz w:val="22"/>
        </w:rPr>
        <w:t xml:space="preserve"> most recent academic year for which data is available at the time </w:t>
      </w:r>
      <w:r w:rsidR="00CF0253" w:rsidRPr="001705D1">
        <w:rPr>
          <w:rFonts w:cs="Times New Roman"/>
          <w:sz w:val="22"/>
        </w:rPr>
        <w:t>when the registered higher education provider charge is being calculated</w:t>
      </w:r>
      <w:r w:rsidR="00936BE4" w:rsidRPr="001705D1">
        <w:rPr>
          <w:rFonts w:cs="Times New Roman"/>
          <w:sz w:val="22"/>
        </w:rPr>
        <w:t>.</w:t>
      </w:r>
    </w:p>
    <w:p w14:paraId="2923B990" w14:textId="311E238E" w:rsidR="00936BE4" w:rsidRPr="001705D1" w:rsidRDefault="00936BE4" w:rsidP="00F96061">
      <w:pPr>
        <w:pStyle w:val="ListParagraph"/>
        <w:numPr>
          <w:ilvl w:val="0"/>
          <w:numId w:val="17"/>
        </w:numPr>
        <w:spacing w:beforeLines="80" w:before="192" w:afterLines="120" w:after="288"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Subsection </w:t>
      </w:r>
      <w:r w:rsidR="00E857AA" w:rsidRPr="001705D1">
        <w:rPr>
          <w:rFonts w:eastAsia="Times New Roman" w:cs="Times New Roman"/>
          <w:sz w:val="22"/>
          <w:lang w:eastAsia="en-AU"/>
        </w:rPr>
        <w:t>5(</w:t>
      </w:r>
      <w:r w:rsidRPr="001705D1">
        <w:rPr>
          <w:rFonts w:eastAsia="Times New Roman" w:cs="Times New Roman"/>
          <w:sz w:val="22"/>
          <w:lang w:eastAsia="en-AU"/>
        </w:rPr>
        <w:t>3</w:t>
      </w:r>
      <w:r w:rsidR="00E857AA" w:rsidRPr="001705D1">
        <w:rPr>
          <w:rFonts w:eastAsia="Times New Roman" w:cs="Times New Roman"/>
          <w:sz w:val="22"/>
          <w:lang w:eastAsia="en-AU"/>
        </w:rPr>
        <w:t>)</w:t>
      </w:r>
      <w:r w:rsidRPr="001705D1">
        <w:rPr>
          <w:rFonts w:eastAsia="Times New Roman" w:cs="Times New Roman"/>
          <w:sz w:val="22"/>
          <w:lang w:eastAsia="en-AU"/>
        </w:rPr>
        <w:t xml:space="preserve"> </w:t>
      </w:r>
      <w:r w:rsidR="00A87FF2" w:rsidRPr="001705D1">
        <w:rPr>
          <w:rFonts w:eastAsia="Times New Roman" w:cs="Times New Roman"/>
          <w:sz w:val="22"/>
          <w:lang w:eastAsia="en-AU"/>
        </w:rPr>
        <w:t xml:space="preserve">provides </w:t>
      </w:r>
      <w:r w:rsidRPr="001705D1">
        <w:rPr>
          <w:rFonts w:eastAsia="Times New Roman" w:cs="Times New Roman"/>
          <w:sz w:val="22"/>
          <w:lang w:eastAsia="en-AU"/>
        </w:rPr>
        <w:t xml:space="preserve">how the number of students enrolled on a full-time equivalent basis </w:t>
      </w:r>
      <w:r w:rsidR="00272F91" w:rsidRPr="001705D1">
        <w:rPr>
          <w:rFonts w:eastAsia="Times New Roman" w:cs="Times New Roman"/>
          <w:sz w:val="22"/>
          <w:lang w:eastAsia="en-AU"/>
        </w:rPr>
        <w:t xml:space="preserve">must be </w:t>
      </w:r>
      <w:r w:rsidRPr="001705D1">
        <w:rPr>
          <w:rFonts w:eastAsia="Times New Roman" w:cs="Times New Roman"/>
          <w:sz w:val="22"/>
          <w:lang w:eastAsia="en-AU"/>
        </w:rPr>
        <w:t xml:space="preserve">calculated </w:t>
      </w:r>
      <w:r w:rsidR="00272F91" w:rsidRPr="001705D1">
        <w:rPr>
          <w:rFonts w:eastAsia="Times New Roman" w:cs="Times New Roman"/>
          <w:sz w:val="22"/>
          <w:lang w:eastAsia="en-AU"/>
        </w:rPr>
        <w:t>for the purposes of</w:t>
      </w:r>
      <w:r w:rsidRPr="001705D1">
        <w:rPr>
          <w:rFonts w:eastAsia="Times New Roman" w:cs="Times New Roman"/>
          <w:sz w:val="22"/>
          <w:lang w:eastAsia="en-AU"/>
        </w:rPr>
        <w:t xml:space="preserve"> subsection </w:t>
      </w:r>
      <w:r w:rsidR="00272F91" w:rsidRPr="001705D1">
        <w:rPr>
          <w:rFonts w:eastAsia="Times New Roman" w:cs="Times New Roman"/>
          <w:sz w:val="22"/>
          <w:lang w:eastAsia="en-AU"/>
        </w:rPr>
        <w:t>(5)</w:t>
      </w:r>
      <w:r w:rsidRPr="001705D1">
        <w:rPr>
          <w:rFonts w:eastAsia="Times New Roman" w:cs="Times New Roman"/>
          <w:sz w:val="22"/>
          <w:lang w:eastAsia="en-AU"/>
        </w:rPr>
        <w:t>2.</w:t>
      </w:r>
      <w:r w:rsidR="00A87FF2" w:rsidRPr="001705D1">
        <w:rPr>
          <w:rFonts w:eastAsia="Times New Roman" w:cs="Times New Roman"/>
          <w:sz w:val="22"/>
          <w:lang w:eastAsia="en-AU"/>
        </w:rPr>
        <w:t xml:space="preserve"> Subsection 5(3) explains that each student that has a full-time study load for the course and the year should be counted as one student and that any student with less or more than a full-time study load should be counted as a fraction of a student</w:t>
      </w:r>
      <w:r w:rsidR="00272F91" w:rsidRPr="001705D1">
        <w:rPr>
          <w:rFonts w:eastAsia="Times New Roman" w:cs="Times New Roman"/>
          <w:sz w:val="22"/>
          <w:lang w:eastAsia="en-AU"/>
        </w:rPr>
        <w:t xml:space="preserve">. The example set out under subsection 5(3) explains that </w:t>
      </w:r>
      <w:r w:rsidR="00272F91" w:rsidRPr="001705D1">
        <w:rPr>
          <w:rFonts w:cs="Times New Roman"/>
          <w:sz w:val="22"/>
        </w:rPr>
        <w:t>if a part</w:t>
      </w:r>
      <w:r w:rsidR="00272F91" w:rsidRPr="001705D1">
        <w:rPr>
          <w:rFonts w:cs="Times New Roman"/>
          <w:sz w:val="22"/>
        </w:rPr>
        <w:noBreakHyphen/>
        <w:t xml:space="preserve">time student is enrolled in 4 units of study as part of that course where </w:t>
      </w:r>
      <w:r w:rsidR="00156446" w:rsidRPr="001705D1">
        <w:rPr>
          <w:rFonts w:cs="Times New Roman"/>
          <w:sz w:val="22"/>
        </w:rPr>
        <w:t xml:space="preserve">a </w:t>
      </w:r>
      <w:r w:rsidR="00F96061" w:rsidRPr="001705D1">
        <w:rPr>
          <w:rFonts w:cs="Times New Roman"/>
          <w:sz w:val="22"/>
        </w:rPr>
        <w:t>full-time</w:t>
      </w:r>
      <w:r w:rsidR="00156446" w:rsidRPr="001705D1">
        <w:rPr>
          <w:rFonts w:cs="Times New Roman"/>
          <w:sz w:val="22"/>
        </w:rPr>
        <w:t xml:space="preserve"> student would be enrolled in 8 units, that student </w:t>
      </w:r>
      <w:r w:rsidR="00272F91" w:rsidRPr="001705D1">
        <w:rPr>
          <w:rFonts w:cs="Times New Roman"/>
          <w:sz w:val="22"/>
        </w:rPr>
        <w:t xml:space="preserve">is counted as half of 1 student. </w:t>
      </w:r>
      <w:r w:rsidR="00156446" w:rsidRPr="001705D1">
        <w:rPr>
          <w:rFonts w:cs="Times New Roman"/>
          <w:sz w:val="22"/>
        </w:rPr>
        <w:t>If a</w:t>
      </w:r>
      <w:r w:rsidR="00272F91" w:rsidRPr="001705D1">
        <w:rPr>
          <w:rFonts w:cs="Times New Roman"/>
          <w:sz w:val="22"/>
        </w:rPr>
        <w:t>nother student is enrolled in 10 units of study as part of that course</w:t>
      </w:r>
      <w:r w:rsidR="00156446" w:rsidRPr="001705D1">
        <w:rPr>
          <w:rFonts w:cs="Times New Roman"/>
          <w:sz w:val="22"/>
        </w:rPr>
        <w:t>, that student</w:t>
      </w:r>
      <w:r w:rsidR="00272F91" w:rsidRPr="001705D1">
        <w:rPr>
          <w:rFonts w:cs="Times New Roman"/>
          <w:sz w:val="22"/>
        </w:rPr>
        <w:t xml:space="preserve"> is counted as 1 and a quarter of 1 student</w:t>
      </w:r>
      <w:r w:rsidR="00156446" w:rsidRPr="001705D1">
        <w:rPr>
          <w:rFonts w:cs="Times New Roman"/>
          <w:sz w:val="22"/>
        </w:rPr>
        <w:t xml:space="preserve">. </w:t>
      </w:r>
    </w:p>
    <w:p w14:paraId="5A928960" w14:textId="23F12EFB" w:rsidR="00936BE4" w:rsidRPr="001705D1" w:rsidRDefault="00936BE4" w:rsidP="00F96061">
      <w:pPr>
        <w:pStyle w:val="ListParagraph"/>
        <w:numPr>
          <w:ilvl w:val="0"/>
          <w:numId w:val="17"/>
        </w:numPr>
        <w:spacing w:beforeLines="80" w:before="192" w:afterLines="120" w:after="288" w:line="240" w:lineRule="auto"/>
        <w:ind w:right="91"/>
        <w:contextualSpacing w:val="0"/>
        <w:rPr>
          <w:rFonts w:cs="Times New Roman"/>
          <w:sz w:val="22"/>
        </w:rPr>
      </w:pPr>
      <w:r w:rsidRPr="001705D1">
        <w:rPr>
          <w:rFonts w:eastAsia="Times New Roman" w:cs="Times New Roman"/>
          <w:sz w:val="22"/>
          <w:lang w:eastAsia="en-AU"/>
        </w:rPr>
        <w:t xml:space="preserve">Subsection </w:t>
      </w:r>
      <w:r w:rsidR="00E857AA" w:rsidRPr="001705D1">
        <w:rPr>
          <w:rFonts w:eastAsia="Times New Roman" w:cs="Times New Roman"/>
          <w:sz w:val="22"/>
          <w:lang w:eastAsia="en-AU"/>
        </w:rPr>
        <w:t>5(</w:t>
      </w:r>
      <w:r w:rsidRPr="001705D1">
        <w:rPr>
          <w:rFonts w:eastAsia="Times New Roman" w:cs="Times New Roman"/>
          <w:sz w:val="22"/>
          <w:lang w:eastAsia="en-AU"/>
        </w:rPr>
        <w:t>4</w:t>
      </w:r>
      <w:r w:rsidR="00E857AA" w:rsidRPr="001705D1">
        <w:rPr>
          <w:rFonts w:eastAsia="Times New Roman" w:cs="Times New Roman"/>
          <w:sz w:val="22"/>
          <w:lang w:eastAsia="en-AU"/>
        </w:rPr>
        <w:t>)</w:t>
      </w:r>
      <w:r w:rsidRPr="001705D1">
        <w:rPr>
          <w:rFonts w:eastAsia="Times New Roman" w:cs="Times New Roman"/>
          <w:sz w:val="22"/>
          <w:lang w:eastAsia="en-AU"/>
        </w:rPr>
        <w:t xml:space="preserve"> </w:t>
      </w:r>
      <w:r w:rsidR="00641D55" w:rsidRPr="001705D1">
        <w:rPr>
          <w:rFonts w:eastAsia="Times New Roman" w:cs="Times New Roman"/>
          <w:sz w:val="22"/>
          <w:lang w:eastAsia="en-AU"/>
        </w:rPr>
        <w:t xml:space="preserve">provides a formula for calculating </w:t>
      </w:r>
      <w:r w:rsidRPr="001705D1">
        <w:rPr>
          <w:rFonts w:eastAsia="Times New Roman" w:cs="Times New Roman"/>
          <w:sz w:val="22"/>
          <w:lang w:eastAsia="en-AU"/>
        </w:rPr>
        <w:t xml:space="preserve">the compliance component of </w:t>
      </w:r>
      <w:r w:rsidR="00641D55" w:rsidRPr="001705D1">
        <w:rPr>
          <w:rFonts w:eastAsia="Times New Roman" w:cs="Times New Roman"/>
          <w:sz w:val="22"/>
          <w:lang w:eastAsia="en-AU"/>
        </w:rPr>
        <w:t xml:space="preserve">registered higher education provider </w:t>
      </w:r>
      <w:r w:rsidRPr="001705D1">
        <w:rPr>
          <w:rFonts w:eastAsia="Times New Roman" w:cs="Times New Roman"/>
          <w:sz w:val="22"/>
          <w:lang w:eastAsia="en-AU"/>
        </w:rPr>
        <w:t xml:space="preserve">charge. </w:t>
      </w:r>
      <w:r w:rsidR="00641D55" w:rsidRPr="001705D1">
        <w:rPr>
          <w:rFonts w:eastAsia="Times New Roman" w:cs="Times New Roman"/>
          <w:sz w:val="22"/>
          <w:lang w:eastAsia="en-AU"/>
        </w:rPr>
        <w:t>The subsection provides that the compliance component of the registered higher education provider charge for a provider will be the sum of the f</w:t>
      </w:r>
      <w:r w:rsidRPr="001705D1">
        <w:rPr>
          <w:rFonts w:cs="Times New Roman"/>
          <w:sz w:val="22"/>
        </w:rPr>
        <w:t>ixed charges</w:t>
      </w:r>
      <w:r w:rsidR="00641D55" w:rsidRPr="001705D1">
        <w:rPr>
          <w:rFonts w:cs="Times New Roman"/>
          <w:sz w:val="22"/>
        </w:rPr>
        <w:t xml:space="preserve"> </w:t>
      </w:r>
      <w:r w:rsidR="00641D55" w:rsidRPr="001705D1">
        <w:rPr>
          <w:rFonts w:eastAsia="Times New Roman" w:cs="Times New Roman"/>
          <w:sz w:val="22"/>
          <w:lang w:eastAsia="en-AU"/>
        </w:rPr>
        <w:t xml:space="preserve">set out in paragraphs 5(4)(a) to (f).  </w:t>
      </w:r>
    </w:p>
    <w:p w14:paraId="42AD0D54" w14:textId="2B18CB0E" w:rsidR="00936BE4" w:rsidRPr="001705D1" w:rsidRDefault="00641D55" w:rsidP="00F96061">
      <w:pPr>
        <w:pStyle w:val="ListParagraph"/>
        <w:numPr>
          <w:ilvl w:val="0"/>
          <w:numId w:val="20"/>
        </w:numPr>
        <w:spacing w:beforeLines="80" w:before="192" w:afterLines="120" w:after="288" w:line="240" w:lineRule="auto"/>
        <w:contextualSpacing w:val="0"/>
        <w:rPr>
          <w:rFonts w:cs="Times New Roman"/>
          <w:sz w:val="22"/>
        </w:rPr>
      </w:pPr>
      <w:r w:rsidRPr="001705D1">
        <w:rPr>
          <w:rFonts w:cs="Times New Roman"/>
          <w:sz w:val="22"/>
        </w:rPr>
        <w:t xml:space="preserve">Paragraph 5(4)(a) provides that the compliance component of the registered higher education provider charge will include </w:t>
      </w:r>
      <w:r w:rsidR="00936BE4" w:rsidRPr="001705D1">
        <w:rPr>
          <w:rFonts w:cs="Times New Roman"/>
          <w:sz w:val="22"/>
        </w:rPr>
        <w:t>$36,000 for each compliance assessment</w:t>
      </w:r>
      <w:r w:rsidR="005F7791" w:rsidRPr="001705D1">
        <w:rPr>
          <w:rFonts w:cs="Times New Roman"/>
          <w:sz w:val="22"/>
        </w:rPr>
        <w:t xml:space="preserve"> TEQSA decided to </w:t>
      </w:r>
      <w:r w:rsidR="00936BE4" w:rsidRPr="001705D1">
        <w:rPr>
          <w:rFonts w:cs="Times New Roman"/>
          <w:sz w:val="22"/>
        </w:rPr>
        <w:t xml:space="preserve">commence </w:t>
      </w:r>
      <w:r w:rsidR="005F7791" w:rsidRPr="001705D1">
        <w:rPr>
          <w:rFonts w:cs="Times New Roman"/>
          <w:sz w:val="22"/>
        </w:rPr>
        <w:t xml:space="preserve">in the previous year </w:t>
      </w:r>
      <w:r w:rsidR="00936BE4" w:rsidRPr="001705D1">
        <w:rPr>
          <w:rFonts w:cs="Times New Roman"/>
          <w:sz w:val="22"/>
        </w:rPr>
        <w:t>under section 59 TEQSA Act</w:t>
      </w:r>
      <w:r w:rsidR="006E4CBE" w:rsidRPr="001705D1">
        <w:rPr>
          <w:rFonts w:cs="Times New Roman"/>
          <w:sz w:val="22"/>
        </w:rPr>
        <w:t xml:space="preserve"> to </w:t>
      </w:r>
      <w:r w:rsidR="005F7791" w:rsidRPr="001705D1">
        <w:rPr>
          <w:rFonts w:cs="Times New Roman"/>
          <w:sz w:val="22"/>
        </w:rPr>
        <w:t>assess</w:t>
      </w:r>
      <w:r w:rsidR="006E4CBE" w:rsidRPr="001705D1">
        <w:rPr>
          <w:rFonts w:cs="Times New Roman"/>
          <w:sz w:val="22"/>
        </w:rPr>
        <w:t xml:space="preserve"> </w:t>
      </w:r>
      <w:r w:rsidR="005F7791" w:rsidRPr="001705D1">
        <w:rPr>
          <w:rFonts w:cs="Times New Roman"/>
          <w:sz w:val="22"/>
        </w:rPr>
        <w:t>whether the</w:t>
      </w:r>
      <w:r w:rsidR="006E4CBE" w:rsidRPr="001705D1">
        <w:rPr>
          <w:rFonts w:cs="Times New Roman"/>
          <w:sz w:val="22"/>
        </w:rPr>
        <w:t xml:space="preserve"> registered higher education provider </w:t>
      </w:r>
      <w:r w:rsidR="005F7791" w:rsidRPr="001705D1">
        <w:rPr>
          <w:rFonts w:cs="Times New Roman"/>
          <w:sz w:val="22"/>
        </w:rPr>
        <w:t>continued</w:t>
      </w:r>
      <w:r w:rsidR="006E4CBE" w:rsidRPr="001705D1">
        <w:rPr>
          <w:rFonts w:cs="Times New Roman"/>
          <w:sz w:val="22"/>
        </w:rPr>
        <w:t xml:space="preserve"> to meet the Threshold Standards</w:t>
      </w:r>
      <w:r w:rsidR="0048201C" w:rsidRPr="001705D1">
        <w:rPr>
          <w:rFonts w:cs="Times New Roman"/>
          <w:sz w:val="22"/>
        </w:rPr>
        <w:t>.</w:t>
      </w:r>
      <w:r w:rsidRPr="001705D1">
        <w:rPr>
          <w:rFonts w:cs="Times New Roman"/>
          <w:sz w:val="22"/>
        </w:rPr>
        <w:t xml:space="preserve"> </w:t>
      </w:r>
    </w:p>
    <w:p w14:paraId="68143206" w14:textId="3D8A38E6" w:rsidR="006E4CBE" w:rsidRPr="001705D1" w:rsidRDefault="006E4CBE" w:rsidP="00F96061">
      <w:pPr>
        <w:pStyle w:val="ListParagraph"/>
        <w:numPr>
          <w:ilvl w:val="0"/>
          <w:numId w:val="20"/>
        </w:numPr>
        <w:spacing w:beforeLines="80" w:before="192" w:afterLines="120" w:after="288" w:line="240" w:lineRule="auto"/>
        <w:contextualSpacing w:val="0"/>
        <w:rPr>
          <w:rFonts w:cs="Times New Roman"/>
          <w:sz w:val="22"/>
        </w:rPr>
      </w:pPr>
      <w:r w:rsidRPr="001705D1">
        <w:rPr>
          <w:rFonts w:cs="Times New Roman"/>
          <w:sz w:val="22"/>
        </w:rPr>
        <w:t>Paragraph 5(4)(b) provides that the compliance component of the registered higher education provider charge will include $36,000 for each accreditation assessment</w:t>
      </w:r>
      <w:r w:rsidR="005F7791" w:rsidRPr="001705D1">
        <w:rPr>
          <w:rFonts w:cs="Times New Roman"/>
          <w:sz w:val="22"/>
        </w:rPr>
        <w:t xml:space="preserve"> TEQSA decided to commence in the previous year under </w:t>
      </w:r>
      <w:r w:rsidRPr="001705D1">
        <w:rPr>
          <w:rFonts w:cs="Times New Roman"/>
          <w:sz w:val="22"/>
        </w:rPr>
        <w:t xml:space="preserve">section 61 TEQSA Act to </w:t>
      </w:r>
      <w:r w:rsidR="005F7791" w:rsidRPr="001705D1">
        <w:rPr>
          <w:rFonts w:cs="Times New Roman"/>
          <w:sz w:val="22"/>
        </w:rPr>
        <w:t>assess whether the</w:t>
      </w:r>
      <w:r w:rsidRPr="001705D1">
        <w:rPr>
          <w:rFonts w:cs="Times New Roman"/>
          <w:sz w:val="22"/>
        </w:rPr>
        <w:t xml:space="preserve"> accredited course continues to meet the </w:t>
      </w:r>
      <w:r w:rsidR="005F7791" w:rsidRPr="001705D1">
        <w:rPr>
          <w:rFonts w:cs="Times New Roman"/>
          <w:sz w:val="22"/>
        </w:rPr>
        <w:t xml:space="preserve">Threshold </w:t>
      </w:r>
      <w:r w:rsidRPr="001705D1">
        <w:rPr>
          <w:rFonts w:cs="Times New Roman"/>
          <w:sz w:val="22"/>
        </w:rPr>
        <w:t>Standards</w:t>
      </w:r>
      <w:r w:rsidR="0048201C" w:rsidRPr="001705D1">
        <w:rPr>
          <w:rFonts w:cs="Times New Roman"/>
          <w:sz w:val="22"/>
        </w:rPr>
        <w:t>.</w:t>
      </w:r>
      <w:r w:rsidRPr="001705D1">
        <w:rPr>
          <w:rFonts w:cs="Times New Roman"/>
          <w:sz w:val="22"/>
        </w:rPr>
        <w:t xml:space="preserve"> </w:t>
      </w:r>
    </w:p>
    <w:p w14:paraId="30EAECA2" w14:textId="77777777" w:rsidR="0048201C" w:rsidRPr="001705D1" w:rsidRDefault="006E4CBE" w:rsidP="00F96061">
      <w:pPr>
        <w:pStyle w:val="ListParagraph"/>
        <w:numPr>
          <w:ilvl w:val="0"/>
          <w:numId w:val="20"/>
        </w:numPr>
        <w:spacing w:beforeLines="80" w:before="192" w:afterLines="120" w:after="288" w:line="240" w:lineRule="auto"/>
        <w:contextualSpacing w:val="0"/>
        <w:rPr>
          <w:rFonts w:cs="Times New Roman"/>
          <w:sz w:val="22"/>
        </w:rPr>
      </w:pPr>
      <w:r w:rsidRPr="001705D1">
        <w:rPr>
          <w:rFonts w:cs="Times New Roman"/>
          <w:sz w:val="22"/>
        </w:rPr>
        <w:t xml:space="preserve">Paragraph 5(4)(c) provides that the compliance component of the registered higher education provider charge will include </w:t>
      </w:r>
      <w:r w:rsidR="00936BE4" w:rsidRPr="001705D1">
        <w:rPr>
          <w:rFonts w:cs="Times New Roman"/>
          <w:sz w:val="22"/>
        </w:rPr>
        <w:t>$8,375 for each condition</w:t>
      </w:r>
      <w:r w:rsidR="0048201C" w:rsidRPr="001705D1">
        <w:rPr>
          <w:rFonts w:cs="Times New Roman"/>
          <w:sz w:val="22"/>
        </w:rPr>
        <w:t xml:space="preserve">, imposed under subsection 32(1) of the </w:t>
      </w:r>
      <w:r w:rsidR="0048201C" w:rsidRPr="001705D1">
        <w:rPr>
          <w:rFonts w:cs="Times New Roman"/>
          <w:sz w:val="22"/>
        </w:rPr>
        <w:lastRenderedPageBreak/>
        <w:t>TEQSA Act, subsection 10</w:t>
      </w:r>
      <w:proofErr w:type="gramStart"/>
      <w:r w:rsidR="0048201C" w:rsidRPr="001705D1">
        <w:rPr>
          <w:rFonts w:cs="Times New Roman"/>
          <w:sz w:val="22"/>
        </w:rPr>
        <w:t>B(</w:t>
      </w:r>
      <w:proofErr w:type="gramEnd"/>
      <w:r w:rsidR="0048201C" w:rsidRPr="001705D1">
        <w:rPr>
          <w:rFonts w:cs="Times New Roman"/>
          <w:sz w:val="22"/>
        </w:rPr>
        <w:t xml:space="preserve">1) or subsection 83(3) of the ESOS Act, that applied to the registered higher education provider’s registration at any time during the previous year. </w:t>
      </w:r>
    </w:p>
    <w:p w14:paraId="6905BC4B" w14:textId="50580615" w:rsidR="00936BE4" w:rsidRPr="001705D1" w:rsidRDefault="0048201C" w:rsidP="005F7791">
      <w:pPr>
        <w:pStyle w:val="ListParagraph"/>
        <w:numPr>
          <w:ilvl w:val="0"/>
          <w:numId w:val="20"/>
        </w:numPr>
        <w:spacing w:beforeLines="80" w:before="192" w:afterLines="120" w:after="288" w:line="240" w:lineRule="auto"/>
        <w:contextualSpacing w:val="0"/>
        <w:rPr>
          <w:rFonts w:cs="Times New Roman"/>
          <w:sz w:val="22"/>
        </w:rPr>
      </w:pPr>
      <w:r w:rsidRPr="001705D1">
        <w:rPr>
          <w:rFonts w:cs="Times New Roman"/>
          <w:sz w:val="22"/>
        </w:rPr>
        <w:t xml:space="preserve">Paragraph 5(4)(d) provides that the compliance component of the registered higher education provider charge will include </w:t>
      </w:r>
      <w:r w:rsidR="00936BE4" w:rsidRPr="001705D1">
        <w:rPr>
          <w:rFonts w:cs="Times New Roman"/>
          <w:sz w:val="22"/>
        </w:rPr>
        <w:t>$3</w:t>
      </w:r>
      <w:r w:rsidR="006B079A" w:rsidRPr="001705D1">
        <w:rPr>
          <w:rFonts w:cs="Times New Roman"/>
          <w:sz w:val="22"/>
        </w:rPr>
        <w:t>,</w:t>
      </w:r>
      <w:r w:rsidR="00936BE4" w:rsidRPr="001705D1">
        <w:rPr>
          <w:rFonts w:cs="Times New Roman"/>
          <w:sz w:val="22"/>
        </w:rPr>
        <w:t>350 for each condition</w:t>
      </w:r>
      <w:r w:rsidRPr="001705D1">
        <w:rPr>
          <w:rFonts w:cs="Times New Roman"/>
          <w:sz w:val="22"/>
        </w:rPr>
        <w:t>,</w:t>
      </w:r>
      <w:r w:rsidR="00936BE4" w:rsidRPr="001705D1">
        <w:rPr>
          <w:rFonts w:cs="Times New Roman"/>
          <w:sz w:val="22"/>
        </w:rPr>
        <w:t xml:space="preserve"> imposed under s 53 of the TEQSA Act</w:t>
      </w:r>
      <w:r w:rsidRPr="001705D1">
        <w:rPr>
          <w:rFonts w:cs="Times New Roman"/>
          <w:sz w:val="22"/>
        </w:rPr>
        <w:t>,</w:t>
      </w:r>
      <w:r w:rsidR="00936BE4" w:rsidRPr="001705D1">
        <w:rPr>
          <w:rFonts w:cs="Times New Roman"/>
          <w:sz w:val="22"/>
        </w:rPr>
        <w:t xml:space="preserve"> that applied </w:t>
      </w:r>
      <w:r w:rsidR="005F7791" w:rsidRPr="001705D1">
        <w:rPr>
          <w:rFonts w:cs="Times New Roman"/>
          <w:sz w:val="22"/>
        </w:rPr>
        <w:t xml:space="preserve">to </w:t>
      </w:r>
      <w:r w:rsidRPr="001705D1">
        <w:rPr>
          <w:rFonts w:cs="Times New Roman"/>
          <w:sz w:val="22"/>
        </w:rPr>
        <w:t xml:space="preserve">the </w:t>
      </w:r>
      <w:r w:rsidR="00936BE4" w:rsidRPr="001705D1">
        <w:rPr>
          <w:rFonts w:cs="Times New Roman"/>
          <w:sz w:val="22"/>
        </w:rPr>
        <w:t>accreditation of a course of study</w:t>
      </w:r>
      <w:r w:rsidR="005F7791" w:rsidRPr="001705D1">
        <w:rPr>
          <w:rFonts w:cs="Times New Roman"/>
          <w:sz w:val="22"/>
        </w:rPr>
        <w:t xml:space="preserve"> at any time during the previous year</w:t>
      </w:r>
      <w:r w:rsidR="00936BE4" w:rsidRPr="001705D1">
        <w:rPr>
          <w:rFonts w:cs="Times New Roman"/>
          <w:sz w:val="22"/>
        </w:rPr>
        <w:t xml:space="preserve">. </w:t>
      </w:r>
    </w:p>
    <w:p w14:paraId="1C1571EC" w14:textId="7D879FA3" w:rsidR="00936BE4" w:rsidRPr="001705D1" w:rsidRDefault="0048201C" w:rsidP="005F7791">
      <w:pPr>
        <w:pStyle w:val="ListParagraph"/>
        <w:numPr>
          <w:ilvl w:val="0"/>
          <w:numId w:val="20"/>
        </w:numPr>
        <w:spacing w:beforeLines="80" w:before="192" w:afterLines="120" w:after="288" w:line="240" w:lineRule="auto"/>
        <w:contextualSpacing w:val="0"/>
        <w:rPr>
          <w:rFonts w:cs="Times New Roman"/>
          <w:sz w:val="22"/>
        </w:rPr>
      </w:pPr>
      <w:r w:rsidRPr="001705D1">
        <w:rPr>
          <w:rFonts w:cs="Times New Roman"/>
          <w:sz w:val="22"/>
        </w:rPr>
        <w:t xml:space="preserve">Paragraph 5(4)(e) provides that the compliance component of the registered higher education provider charge will include </w:t>
      </w:r>
      <w:r w:rsidR="00936BE4" w:rsidRPr="001705D1">
        <w:rPr>
          <w:rFonts w:cs="Times New Roman"/>
          <w:sz w:val="22"/>
        </w:rPr>
        <w:t xml:space="preserve">$1,675 for each </w:t>
      </w:r>
      <w:bookmarkStart w:id="1" w:name="_Hlk113953312"/>
      <w:r w:rsidR="005F7791" w:rsidRPr="001705D1">
        <w:rPr>
          <w:rFonts w:cs="Times New Roman"/>
          <w:sz w:val="22"/>
        </w:rPr>
        <w:t xml:space="preserve">compliance </w:t>
      </w:r>
      <w:r w:rsidR="00936BE4" w:rsidRPr="001705D1">
        <w:rPr>
          <w:rFonts w:cs="Times New Roman"/>
          <w:sz w:val="22"/>
        </w:rPr>
        <w:t>undertaking</w:t>
      </w:r>
      <w:r w:rsidR="006B079A" w:rsidRPr="001705D1">
        <w:rPr>
          <w:rFonts w:cs="Times New Roman"/>
          <w:sz w:val="22"/>
        </w:rPr>
        <w:t xml:space="preserve"> </w:t>
      </w:r>
      <w:r w:rsidRPr="001705D1">
        <w:rPr>
          <w:rFonts w:cs="Times New Roman"/>
          <w:sz w:val="22"/>
        </w:rPr>
        <w:t xml:space="preserve">that was in </w:t>
      </w:r>
      <w:r w:rsidR="005F7791" w:rsidRPr="001705D1">
        <w:rPr>
          <w:rFonts w:cs="Times New Roman"/>
          <w:sz w:val="22"/>
        </w:rPr>
        <w:t>force</w:t>
      </w:r>
      <w:r w:rsidRPr="001705D1">
        <w:rPr>
          <w:rFonts w:cs="Times New Roman"/>
          <w:sz w:val="22"/>
        </w:rPr>
        <w:t xml:space="preserve"> at any time during the previous year.  </w:t>
      </w:r>
      <w:bookmarkEnd w:id="1"/>
    </w:p>
    <w:p w14:paraId="52A67D7F" w14:textId="6FB2BC90" w:rsidR="00936BE4" w:rsidRPr="001705D1" w:rsidRDefault="00D64146" w:rsidP="00881EC0">
      <w:pPr>
        <w:pStyle w:val="ListParagraph"/>
        <w:numPr>
          <w:ilvl w:val="0"/>
          <w:numId w:val="20"/>
        </w:numPr>
        <w:spacing w:beforeLines="80" w:before="192" w:afterLines="120" w:after="288" w:line="240" w:lineRule="auto"/>
        <w:contextualSpacing w:val="0"/>
        <w:rPr>
          <w:rFonts w:cs="Times New Roman"/>
          <w:sz w:val="22"/>
        </w:rPr>
      </w:pPr>
      <w:r w:rsidRPr="001705D1">
        <w:rPr>
          <w:rFonts w:cs="Times New Roman"/>
          <w:sz w:val="22"/>
        </w:rPr>
        <w:t>Paragraph 5(4)(f) provides that</w:t>
      </w:r>
      <w:r w:rsidR="005F7791" w:rsidRPr="001705D1">
        <w:rPr>
          <w:rFonts w:cs="Times New Roman"/>
          <w:sz w:val="22"/>
        </w:rPr>
        <w:t xml:space="preserve"> if</w:t>
      </w:r>
      <w:r w:rsidR="006B079A" w:rsidRPr="001705D1">
        <w:rPr>
          <w:rFonts w:cs="Times New Roman"/>
          <w:sz w:val="22"/>
        </w:rPr>
        <w:t>,</w:t>
      </w:r>
      <w:r w:rsidR="005F7791" w:rsidRPr="001705D1">
        <w:rPr>
          <w:rFonts w:cs="Times New Roman"/>
          <w:sz w:val="22"/>
        </w:rPr>
        <w:t xml:space="preserve"> at any time in the previous year, TEQSA </w:t>
      </w:r>
      <w:proofErr w:type="gramStart"/>
      <w:r w:rsidR="005F7791" w:rsidRPr="001705D1">
        <w:rPr>
          <w:rFonts w:cs="Times New Roman"/>
          <w:sz w:val="22"/>
        </w:rPr>
        <w:t>conducted an investigation</w:t>
      </w:r>
      <w:proofErr w:type="gramEnd"/>
      <w:r w:rsidR="005F7791" w:rsidRPr="001705D1">
        <w:rPr>
          <w:rFonts w:cs="Times New Roman"/>
          <w:sz w:val="22"/>
        </w:rPr>
        <w:t xml:space="preserve"> in relation to a matter that constitutes or may constitute a contravention of an offence o</w:t>
      </w:r>
      <w:r w:rsidR="003056CF" w:rsidRPr="001705D1">
        <w:rPr>
          <w:rFonts w:cs="Times New Roman"/>
          <w:sz w:val="22"/>
        </w:rPr>
        <w:t>r</w:t>
      </w:r>
      <w:r w:rsidR="005F7791" w:rsidRPr="001705D1">
        <w:rPr>
          <w:rFonts w:cs="Times New Roman"/>
          <w:sz w:val="22"/>
        </w:rPr>
        <w:t xml:space="preserve"> civil penalty provision by a registered higher education provider, </w:t>
      </w:r>
      <w:r w:rsidRPr="001705D1">
        <w:rPr>
          <w:rFonts w:cs="Times New Roman"/>
          <w:sz w:val="22"/>
        </w:rPr>
        <w:t xml:space="preserve">the compliance component of the registered higher education provider charge will include </w:t>
      </w:r>
      <w:r w:rsidR="00936BE4" w:rsidRPr="001705D1">
        <w:rPr>
          <w:rFonts w:cs="Times New Roman"/>
          <w:sz w:val="22"/>
        </w:rPr>
        <w:t>$165 for each hour</w:t>
      </w:r>
      <w:r w:rsidRPr="001705D1">
        <w:rPr>
          <w:rFonts w:cs="Times New Roman"/>
          <w:sz w:val="22"/>
        </w:rPr>
        <w:t xml:space="preserve"> members of </w:t>
      </w:r>
      <w:r w:rsidR="00936BE4" w:rsidRPr="001705D1">
        <w:rPr>
          <w:rFonts w:cs="Times New Roman"/>
          <w:sz w:val="22"/>
        </w:rPr>
        <w:t xml:space="preserve">the staff of TEQSA </w:t>
      </w:r>
      <w:r w:rsidR="003D4C96" w:rsidRPr="001705D1">
        <w:rPr>
          <w:rFonts w:cs="Times New Roman"/>
          <w:sz w:val="22"/>
        </w:rPr>
        <w:t xml:space="preserve">spend conducting the investigation </w:t>
      </w:r>
      <w:r w:rsidRPr="001705D1">
        <w:rPr>
          <w:rFonts w:cs="Times New Roman"/>
          <w:sz w:val="22"/>
        </w:rPr>
        <w:t xml:space="preserve">in the previous year. </w:t>
      </w:r>
    </w:p>
    <w:p w14:paraId="306ED6EC" w14:textId="6C7F931B" w:rsidR="00B80859" w:rsidRPr="001705D1" w:rsidRDefault="00B354CE" w:rsidP="00722EB8">
      <w:pPr>
        <w:pStyle w:val="ListParagraph"/>
        <w:numPr>
          <w:ilvl w:val="0"/>
          <w:numId w:val="17"/>
        </w:numPr>
        <w:spacing w:beforeLines="80" w:before="192" w:afterLines="120" w:after="288" w:line="240" w:lineRule="auto"/>
        <w:ind w:right="91"/>
        <w:rPr>
          <w:rFonts w:eastAsia="Times New Roman" w:cs="Times New Roman"/>
          <w:sz w:val="22"/>
          <w:lang w:eastAsia="en-AU"/>
        </w:rPr>
      </w:pPr>
      <w:r w:rsidRPr="001705D1">
        <w:rPr>
          <w:rFonts w:eastAsia="Times New Roman" w:cs="Times New Roman"/>
          <w:sz w:val="22"/>
          <w:lang w:eastAsia="en-AU"/>
        </w:rPr>
        <w:t xml:space="preserve">Any decision to commence an investigation will be made in light of the principles of procedural fairness and in line with the basic principles of regulation set out in Part 2 of the TEQSA Act. A decision to commence an investigation, and the conduct of that investigation, will be overseen by the </w:t>
      </w:r>
      <w:r w:rsidR="00123834" w:rsidRPr="001705D1">
        <w:rPr>
          <w:rFonts w:eastAsia="Times New Roman" w:cs="Times New Roman"/>
          <w:sz w:val="22"/>
          <w:lang w:eastAsia="en-AU"/>
        </w:rPr>
        <w:t xml:space="preserve">TEQSA Commissioners. </w:t>
      </w:r>
    </w:p>
    <w:p w14:paraId="753B69B8" w14:textId="77777777" w:rsidR="00722EB8" w:rsidRPr="001705D1" w:rsidRDefault="00722EB8" w:rsidP="00722EB8">
      <w:pPr>
        <w:pStyle w:val="ListParagraph"/>
        <w:spacing w:beforeLines="80" w:before="192" w:afterLines="120" w:after="288" w:line="240" w:lineRule="auto"/>
        <w:ind w:left="360" w:right="91"/>
        <w:rPr>
          <w:rFonts w:eastAsia="Times New Roman" w:cs="Times New Roman"/>
          <w:sz w:val="22"/>
          <w:lang w:eastAsia="en-AU"/>
        </w:rPr>
      </w:pPr>
    </w:p>
    <w:p w14:paraId="02501EAE" w14:textId="6A0E7F15" w:rsidR="00881EC0" w:rsidRPr="001705D1" w:rsidRDefault="00881EC0" w:rsidP="00B80859">
      <w:pPr>
        <w:pStyle w:val="ListParagraph"/>
        <w:numPr>
          <w:ilvl w:val="0"/>
          <w:numId w:val="17"/>
        </w:numPr>
        <w:spacing w:beforeLines="80" w:before="192" w:afterLines="120" w:after="288" w:line="240" w:lineRule="auto"/>
        <w:ind w:right="91"/>
        <w:rPr>
          <w:rFonts w:eastAsia="Times New Roman" w:cs="Times New Roman"/>
          <w:sz w:val="22"/>
          <w:lang w:eastAsia="en-AU"/>
        </w:rPr>
      </w:pPr>
      <w:r w:rsidRPr="001705D1">
        <w:rPr>
          <w:rFonts w:eastAsia="Times New Roman" w:cs="Times New Roman"/>
          <w:sz w:val="22"/>
          <w:lang w:eastAsia="en-AU"/>
        </w:rPr>
        <w:t xml:space="preserve">Subsection 5(5) provides that a registered higher education provider will not need to pay the $165 per hour amount set out in subsection 5(4)(f) in relation to staff made available to TEQSA under section 157 of the TEQSA Act unless there is an arrangement for the Commonwealth to reimburse the relevant State or Territory with respect to the services of those staff. </w:t>
      </w:r>
    </w:p>
    <w:p w14:paraId="46D18097" w14:textId="19862367" w:rsidR="00936BE4" w:rsidRPr="001705D1" w:rsidRDefault="00936BE4" w:rsidP="00F96061">
      <w:pPr>
        <w:spacing w:beforeLines="80" w:before="192" w:afterLines="120" w:after="288" w:line="240" w:lineRule="auto"/>
        <w:ind w:right="91"/>
        <w:rPr>
          <w:rFonts w:ascii="Times New Roman" w:eastAsia="Times New Roman" w:hAnsi="Times New Roman" w:cs="Times New Roman"/>
          <w:b/>
          <w:bCs/>
          <w:u w:val="single"/>
          <w:lang w:eastAsia="en-AU"/>
        </w:rPr>
      </w:pPr>
      <w:r w:rsidRPr="001705D1">
        <w:rPr>
          <w:rFonts w:ascii="Times New Roman" w:eastAsia="Times New Roman" w:hAnsi="Times New Roman" w:cs="Times New Roman"/>
          <w:b/>
          <w:bCs/>
          <w:u w:val="single"/>
          <w:lang w:eastAsia="en-AU"/>
        </w:rPr>
        <w:t xml:space="preserve">Section 6 - </w:t>
      </w:r>
      <w:r w:rsidRPr="001705D1">
        <w:rPr>
          <w:rFonts w:ascii="Times New Roman" w:hAnsi="Times New Roman" w:cs="Times New Roman"/>
          <w:b/>
          <w:bCs/>
          <w:u w:val="single"/>
        </w:rPr>
        <w:t xml:space="preserve">Transitional provision—base component of charge in </w:t>
      </w:r>
      <w:r w:rsidR="00DD014F" w:rsidRPr="001705D1">
        <w:rPr>
          <w:rFonts w:ascii="Times New Roman" w:hAnsi="Times New Roman" w:cs="Times New Roman"/>
          <w:b/>
          <w:bCs/>
          <w:u w:val="single"/>
        </w:rPr>
        <w:t xml:space="preserve">2022, </w:t>
      </w:r>
      <w:r w:rsidRPr="001705D1">
        <w:rPr>
          <w:rFonts w:ascii="Times New Roman" w:hAnsi="Times New Roman" w:cs="Times New Roman"/>
          <w:b/>
          <w:bCs/>
          <w:u w:val="single"/>
        </w:rPr>
        <w:t>2023 and 2024</w:t>
      </w:r>
    </w:p>
    <w:p w14:paraId="0232842F" w14:textId="57E961EB" w:rsidR="00936BE4" w:rsidRPr="001705D1" w:rsidRDefault="00936BE4" w:rsidP="00F96061">
      <w:pPr>
        <w:pStyle w:val="ListParagraph"/>
        <w:numPr>
          <w:ilvl w:val="0"/>
          <w:numId w:val="17"/>
        </w:numPr>
        <w:spacing w:beforeLines="80" w:before="192" w:afterLines="120" w:after="288"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This section </w:t>
      </w:r>
      <w:r w:rsidR="00BC3D0D" w:rsidRPr="001705D1">
        <w:rPr>
          <w:rFonts w:eastAsia="Times New Roman" w:cs="Times New Roman"/>
          <w:sz w:val="22"/>
          <w:lang w:eastAsia="en-AU"/>
        </w:rPr>
        <w:t xml:space="preserve">provides that </w:t>
      </w:r>
      <w:r w:rsidRPr="001705D1">
        <w:rPr>
          <w:rFonts w:eastAsia="Times New Roman" w:cs="Times New Roman"/>
          <w:sz w:val="22"/>
          <w:lang w:eastAsia="en-AU"/>
        </w:rPr>
        <w:t xml:space="preserve">the base component of the </w:t>
      </w:r>
      <w:r w:rsidR="00BC3D0D" w:rsidRPr="001705D1">
        <w:rPr>
          <w:rFonts w:eastAsia="Times New Roman" w:cs="Times New Roman"/>
          <w:sz w:val="22"/>
          <w:lang w:eastAsia="en-AU"/>
        </w:rPr>
        <w:t xml:space="preserve">registered higher education provider </w:t>
      </w:r>
      <w:r w:rsidRPr="001705D1">
        <w:rPr>
          <w:rFonts w:eastAsia="Times New Roman" w:cs="Times New Roman"/>
          <w:sz w:val="22"/>
          <w:lang w:eastAsia="en-AU"/>
        </w:rPr>
        <w:t xml:space="preserve">charge </w:t>
      </w:r>
      <w:r w:rsidR="003D4C96" w:rsidRPr="001705D1">
        <w:rPr>
          <w:rFonts w:eastAsia="Times New Roman" w:cs="Times New Roman"/>
          <w:sz w:val="22"/>
          <w:lang w:eastAsia="en-AU"/>
        </w:rPr>
        <w:t xml:space="preserve">will be $0 in 2022 and </w:t>
      </w:r>
      <w:r w:rsidR="00BC3D0D" w:rsidRPr="001705D1">
        <w:rPr>
          <w:rFonts w:eastAsia="Times New Roman" w:cs="Times New Roman"/>
          <w:sz w:val="22"/>
          <w:lang w:eastAsia="en-AU"/>
        </w:rPr>
        <w:t>will be</w:t>
      </w:r>
      <w:r w:rsidRPr="001705D1">
        <w:rPr>
          <w:rFonts w:eastAsia="Times New Roman" w:cs="Times New Roman"/>
          <w:sz w:val="22"/>
          <w:lang w:eastAsia="en-AU"/>
        </w:rPr>
        <w:t xml:space="preserve"> phased-in during 2023 and 2024. </w:t>
      </w:r>
    </w:p>
    <w:p w14:paraId="69E9CFFC" w14:textId="1BAECA18" w:rsidR="003D4C96" w:rsidRPr="001705D1" w:rsidRDefault="003D4C96" w:rsidP="00F96061">
      <w:pPr>
        <w:pStyle w:val="ListParagraph"/>
        <w:numPr>
          <w:ilvl w:val="0"/>
          <w:numId w:val="17"/>
        </w:numPr>
        <w:spacing w:beforeLines="80" w:before="192" w:afterLines="120" w:after="288"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Paragraph 6(a) provides that in 2022, </w:t>
      </w:r>
      <w:r w:rsidR="00641C3F" w:rsidRPr="001705D1">
        <w:rPr>
          <w:rFonts w:eastAsia="Times New Roman" w:cs="Times New Roman"/>
          <w:sz w:val="22"/>
          <w:lang w:eastAsia="en-AU"/>
        </w:rPr>
        <w:t xml:space="preserve">the </w:t>
      </w:r>
      <w:r w:rsidRPr="001705D1">
        <w:rPr>
          <w:rFonts w:cs="Times New Roman"/>
          <w:sz w:val="22"/>
        </w:rPr>
        <w:t xml:space="preserve">base component of the registered higher education provider charge will be </w:t>
      </w:r>
      <w:r w:rsidR="00907277" w:rsidRPr="001705D1">
        <w:rPr>
          <w:rFonts w:cs="Times New Roman"/>
          <w:sz w:val="22"/>
        </w:rPr>
        <w:t>0</w:t>
      </w:r>
      <w:r w:rsidRPr="001705D1">
        <w:rPr>
          <w:rFonts w:cs="Times New Roman"/>
          <w:sz w:val="22"/>
        </w:rPr>
        <w:t xml:space="preserve"> per cent of the amount calculated in accordance with the formula set out subsection 5(2)</w:t>
      </w:r>
      <w:r w:rsidRPr="001705D1">
        <w:rPr>
          <w:rFonts w:eastAsia="Times New Roman" w:cs="Times New Roman"/>
          <w:sz w:val="22"/>
          <w:lang w:eastAsia="en-AU"/>
        </w:rPr>
        <w:t>.</w:t>
      </w:r>
    </w:p>
    <w:p w14:paraId="5FFEA423" w14:textId="58FFA1D3" w:rsidR="00936BE4" w:rsidRPr="001705D1" w:rsidRDefault="003D4C96" w:rsidP="00F96061">
      <w:pPr>
        <w:pStyle w:val="ListParagraph"/>
        <w:numPr>
          <w:ilvl w:val="0"/>
          <w:numId w:val="17"/>
        </w:numPr>
        <w:spacing w:beforeLines="80" w:before="192" w:afterLines="120" w:after="288"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Paragraph 6(b) provides </w:t>
      </w:r>
      <w:r w:rsidR="00782A07" w:rsidRPr="001705D1">
        <w:rPr>
          <w:rFonts w:eastAsia="Times New Roman" w:cs="Times New Roman"/>
          <w:sz w:val="22"/>
          <w:lang w:eastAsia="en-AU"/>
        </w:rPr>
        <w:t>for a phased implementation of</w:t>
      </w:r>
      <w:r w:rsidR="00BC3D0D" w:rsidRPr="001705D1">
        <w:rPr>
          <w:rFonts w:eastAsia="Times New Roman" w:cs="Times New Roman"/>
          <w:sz w:val="22"/>
          <w:lang w:eastAsia="en-AU"/>
        </w:rPr>
        <w:t xml:space="preserve"> </w:t>
      </w:r>
      <w:r w:rsidR="00936BE4" w:rsidRPr="001705D1">
        <w:rPr>
          <w:rFonts w:cs="Times New Roman"/>
          <w:sz w:val="22"/>
        </w:rPr>
        <w:t xml:space="preserve">the base component of the </w:t>
      </w:r>
      <w:r w:rsidR="00BC3D0D" w:rsidRPr="001705D1">
        <w:rPr>
          <w:rFonts w:cs="Times New Roman"/>
          <w:sz w:val="22"/>
        </w:rPr>
        <w:t xml:space="preserve">registered higher education provider </w:t>
      </w:r>
      <w:r w:rsidR="00936BE4" w:rsidRPr="001705D1">
        <w:rPr>
          <w:rFonts w:cs="Times New Roman"/>
          <w:sz w:val="22"/>
        </w:rPr>
        <w:t>charge</w:t>
      </w:r>
      <w:r w:rsidR="00782A07" w:rsidRPr="001705D1">
        <w:rPr>
          <w:rFonts w:cs="Times New Roman"/>
          <w:sz w:val="22"/>
        </w:rPr>
        <w:t>. In 2023, registered higher education providers</w:t>
      </w:r>
      <w:r w:rsidR="00936BE4" w:rsidRPr="001705D1">
        <w:rPr>
          <w:rFonts w:cs="Times New Roman"/>
          <w:sz w:val="22"/>
        </w:rPr>
        <w:t xml:space="preserve"> </w:t>
      </w:r>
      <w:r w:rsidR="002129A5" w:rsidRPr="001705D1">
        <w:rPr>
          <w:rFonts w:cs="Times New Roman"/>
          <w:sz w:val="22"/>
        </w:rPr>
        <w:t>will be</w:t>
      </w:r>
      <w:r w:rsidR="00782A07" w:rsidRPr="001705D1">
        <w:rPr>
          <w:rFonts w:cs="Times New Roman"/>
          <w:sz w:val="22"/>
        </w:rPr>
        <w:t xml:space="preserve"> charged at</w:t>
      </w:r>
      <w:r w:rsidR="002129A5" w:rsidRPr="001705D1">
        <w:rPr>
          <w:rFonts w:cs="Times New Roman"/>
          <w:sz w:val="22"/>
        </w:rPr>
        <w:t xml:space="preserve"> </w:t>
      </w:r>
      <w:r w:rsidR="00641C3F" w:rsidRPr="001705D1">
        <w:rPr>
          <w:rFonts w:cs="Times New Roman"/>
          <w:sz w:val="22"/>
        </w:rPr>
        <w:t>20</w:t>
      </w:r>
      <w:r w:rsidR="002129A5" w:rsidRPr="001705D1">
        <w:rPr>
          <w:rFonts w:cs="Times New Roman"/>
          <w:sz w:val="22"/>
        </w:rPr>
        <w:t xml:space="preserve"> per cent of the amount</w:t>
      </w:r>
      <w:r w:rsidR="00BC3D0D" w:rsidRPr="001705D1">
        <w:rPr>
          <w:rFonts w:cs="Times New Roman"/>
          <w:sz w:val="22"/>
        </w:rPr>
        <w:t xml:space="preserve"> </w:t>
      </w:r>
      <w:r w:rsidR="00936BE4" w:rsidRPr="001705D1">
        <w:rPr>
          <w:rFonts w:cs="Times New Roman"/>
          <w:sz w:val="22"/>
        </w:rPr>
        <w:t xml:space="preserve">calculated in </w:t>
      </w:r>
      <w:r w:rsidR="002129A5" w:rsidRPr="001705D1">
        <w:rPr>
          <w:rFonts w:cs="Times New Roman"/>
          <w:sz w:val="22"/>
        </w:rPr>
        <w:t xml:space="preserve">accordance with the formula set out </w:t>
      </w:r>
      <w:r w:rsidR="00936BE4" w:rsidRPr="001705D1">
        <w:rPr>
          <w:rFonts w:cs="Times New Roman"/>
          <w:sz w:val="22"/>
        </w:rPr>
        <w:t>subsection 5(2)</w:t>
      </w:r>
      <w:r w:rsidR="00936BE4" w:rsidRPr="001705D1">
        <w:rPr>
          <w:rFonts w:eastAsia="Times New Roman" w:cs="Times New Roman"/>
          <w:sz w:val="22"/>
          <w:lang w:eastAsia="en-AU"/>
        </w:rPr>
        <w:t xml:space="preserve">. </w:t>
      </w:r>
      <w:r w:rsidRPr="001705D1">
        <w:rPr>
          <w:rFonts w:eastAsia="Times New Roman" w:cs="Times New Roman"/>
          <w:sz w:val="22"/>
          <w:lang w:eastAsia="en-AU"/>
        </w:rPr>
        <w:t>Paragraph 6(c) provides that i</w:t>
      </w:r>
      <w:r w:rsidR="00936BE4" w:rsidRPr="001705D1">
        <w:rPr>
          <w:rFonts w:eastAsia="Times New Roman" w:cs="Times New Roman"/>
          <w:sz w:val="22"/>
          <w:lang w:eastAsia="en-AU"/>
        </w:rPr>
        <w:t xml:space="preserve">n 2024, </w:t>
      </w:r>
      <w:r w:rsidR="00782A07" w:rsidRPr="001705D1">
        <w:rPr>
          <w:rFonts w:cs="Times New Roman"/>
          <w:sz w:val="22"/>
        </w:rPr>
        <w:t xml:space="preserve">registered higher education providers </w:t>
      </w:r>
      <w:r w:rsidR="002129A5" w:rsidRPr="001705D1">
        <w:rPr>
          <w:rFonts w:eastAsia="Times New Roman" w:cs="Times New Roman"/>
          <w:sz w:val="22"/>
          <w:lang w:eastAsia="en-AU"/>
        </w:rPr>
        <w:t xml:space="preserve">will be </w:t>
      </w:r>
      <w:r w:rsidR="00782A07" w:rsidRPr="001705D1">
        <w:rPr>
          <w:rFonts w:eastAsia="Times New Roman" w:cs="Times New Roman"/>
          <w:sz w:val="22"/>
          <w:lang w:eastAsia="en-AU"/>
        </w:rPr>
        <w:t xml:space="preserve">charged at </w:t>
      </w:r>
      <w:r w:rsidR="00641C3F" w:rsidRPr="001705D1">
        <w:rPr>
          <w:rFonts w:eastAsia="Times New Roman" w:cs="Times New Roman"/>
          <w:sz w:val="22"/>
          <w:lang w:eastAsia="en-AU"/>
        </w:rPr>
        <w:t>50</w:t>
      </w:r>
      <w:r w:rsidR="00936BE4" w:rsidRPr="001705D1">
        <w:rPr>
          <w:rFonts w:eastAsia="Times New Roman" w:cs="Times New Roman"/>
          <w:sz w:val="22"/>
          <w:lang w:eastAsia="en-AU"/>
        </w:rPr>
        <w:t xml:space="preserve"> per cent of </w:t>
      </w:r>
      <w:r w:rsidR="00936BE4" w:rsidRPr="001705D1">
        <w:rPr>
          <w:rFonts w:cs="Times New Roman"/>
          <w:sz w:val="22"/>
        </w:rPr>
        <w:t>the</w:t>
      </w:r>
      <w:r w:rsidR="002129A5" w:rsidRPr="001705D1">
        <w:rPr>
          <w:rFonts w:cs="Times New Roman"/>
          <w:sz w:val="22"/>
        </w:rPr>
        <w:t xml:space="preserve"> amount</w:t>
      </w:r>
      <w:r w:rsidR="00936BE4" w:rsidRPr="001705D1">
        <w:rPr>
          <w:rFonts w:cs="Times New Roman"/>
          <w:sz w:val="22"/>
        </w:rPr>
        <w:t xml:space="preserve"> calculated in </w:t>
      </w:r>
      <w:r w:rsidR="002129A5" w:rsidRPr="001705D1">
        <w:rPr>
          <w:rFonts w:cs="Times New Roman"/>
          <w:sz w:val="22"/>
        </w:rPr>
        <w:t xml:space="preserve">accordance with the formula set out in </w:t>
      </w:r>
      <w:r w:rsidR="00936BE4" w:rsidRPr="001705D1">
        <w:rPr>
          <w:rFonts w:cs="Times New Roman"/>
          <w:sz w:val="22"/>
        </w:rPr>
        <w:t>subsection 5(2)</w:t>
      </w:r>
      <w:r w:rsidR="00936BE4" w:rsidRPr="001705D1">
        <w:rPr>
          <w:rFonts w:eastAsia="Times New Roman" w:cs="Times New Roman"/>
          <w:sz w:val="22"/>
          <w:lang w:eastAsia="en-AU"/>
        </w:rPr>
        <w:t>.</w:t>
      </w:r>
    </w:p>
    <w:p w14:paraId="5DBFCD4B" w14:textId="70E00028" w:rsidR="00936BE4" w:rsidRPr="001705D1" w:rsidRDefault="00936BE4" w:rsidP="00F96061">
      <w:pPr>
        <w:spacing w:beforeLines="80" w:before="192" w:afterLines="120" w:after="288" w:line="240" w:lineRule="auto"/>
        <w:ind w:right="91"/>
        <w:rPr>
          <w:rFonts w:ascii="Times New Roman" w:eastAsia="Times New Roman" w:hAnsi="Times New Roman" w:cs="Times New Roman"/>
          <w:b/>
          <w:bCs/>
          <w:u w:val="single"/>
          <w:lang w:eastAsia="en-AU"/>
        </w:rPr>
      </w:pPr>
      <w:r w:rsidRPr="001705D1">
        <w:rPr>
          <w:rFonts w:ascii="Times New Roman" w:eastAsia="Times New Roman" w:hAnsi="Times New Roman" w:cs="Times New Roman"/>
          <w:b/>
          <w:bCs/>
          <w:u w:val="single"/>
          <w:lang w:eastAsia="en-AU"/>
        </w:rPr>
        <w:t xml:space="preserve">Section 7 - </w:t>
      </w:r>
      <w:r w:rsidRPr="001705D1">
        <w:rPr>
          <w:rFonts w:ascii="Times New Roman" w:hAnsi="Times New Roman" w:cs="Times New Roman"/>
          <w:b/>
          <w:bCs/>
          <w:u w:val="single"/>
        </w:rPr>
        <w:t>Application provision—compliance component of charge</w:t>
      </w:r>
    </w:p>
    <w:p w14:paraId="2233AE95" w14:textId="4387C7C3" w:rsidR="00936BE4" w:rsidRPr="001705D1" w:rsidRDefault="00936BE4" w:rsidP="00F96061">
      <w:pPr>
        <w:pStyle w:val="ListParagraph"/>
        <w:numPr>
          <w:ilvl w:val="0"/>
          <w:numId w:val="17"/>
        </w:numPr>
        <w:spacing w:beforeLines="80" w:before="192" w:afterLines="120" w:after="288" w:line="240" w:lineRule="auto"/>
        <w:ind w:right="91"/>
        <w:contextualSpacing w:val="0"/>
        <w:rPr>
          <w:rFonts w:eastAsia="Times New Roman" w:cs="Times New Roman"/>
          <w:sz w:val="22"/>
          <w:lang w:eastAsia="en-AU"/>
        </w:rPr>
      </w:pPr>
      <w:r w:rsidRPr="001705D1">
        <w:rPr>
          <w:rFonts w:eastAsia="Times New Roman" w:cs="Times New Roman"/>
          <w:sz w:val="22"/>
          <w:lang w:eastAsia="en-AU"/>
        </w:rPr>
        <w:t xml:space="preserve">This section </w:t>
      </w:r>
      <w:r w:rsidR="00070037" w:rsidRPr="001705D1">
        <w:rPr>
          <w:rFonts w:eastAsia="Times New Roman" w:cs="Times New Roman"/>
          <w:sz w:val="22"/>
          <w:lang w:eastAsia="en-AU"/>
        </w:rPr>
        <w:t xml:space="preserve">provides when charging for each of the compliance related regulated activities will </w:t>
      </w:r>
      <w:r w:rsidR="00DD014F" w:rsidRPr="001705D1">
        <w:rPr>
          <w:rFonts w:eastAsia="Times New Roman" w:cs="Times New Roman"/>
          <w:sz w:val="22"/>
          <w:lang w:eastAsia="en-AU"/>
        </w:rPr>
        <w:t>start applying</w:t>
      </w:r>
      <w:r w:rsidR="00070037" w:rsidRPr="001705D1">
        <w:rPr>
          <w:rFonts w:eastAsia="Times New Roman" w:cs="Times New Roman"/>
          <w:sz w:val="22"/>
          <w:lang w:eastAsia="en-AU"/>
        </w:rPr>
        <w:t xml:space="preserve">.   </w:t>
      </w:r>
    </w:p>
    <w:p w14:paraId="53674CF7" w14:textId="2C72AACB" w:rsidR="00070037" w:rsidRPr="001705D1" w:rsidRDefault="00070037" w:rsidP="00F96061">
      <w:pPr>
        <w:pStyle w:val="ListParagraph"/>
        <w:numPr>
          <w:ilvl w:val="0"/>
          <w:numId w:val="21"/>
        </w:numPr>
        <w:spacing w:beforeLines="80" w:before="192" w:afterLines="120" w:after="288" w:line="240" w:lineRule="auto"/>
        <w:contextualSpacing w:val="0"/>
        <w:rPr>
          <w:rFonts w:cs="Times New Roman"/>
          <w:sz w:val="22"/>
        </w:rPr>
      </w:pPr>
      <w:r w:rsidRPr="001705D1">
        <w:rPr>
          <w:rFonts w:cs="Times New Roman"/>
          <w:sz w:val="22"/>
        </w:rPr>
        <w:t xml:space="preserve">Subsection 7(1) provides that </w:t>
      </w:r>
      <w:r w:rsidR="005749BE" w:rsidRPr="001705D1">
        <w:rPr>
          <w:rFonts w:cs="Times New Roman"/>
          <w:sz w:val="22"/>
        </w:rPr>
        <w:t xml:space="preserve">paragraphs 5(4)(a) and (b) of the formula for calculating the compliance component of the registered higher education provider charge only apply </w:t>
      </w:r>
      <w:r w:rsidRPr="001705D1">
        <w:rPr>
          <w:rFonts w:cs="Times New Roman"/>
          <w:sz w:val="22"/>
        </w:rPr>
        <w:t xml:space="preserve">to assessments </w:t>
      </w:r>
      <w:r w:rsidR="00DD014F" w:rsidRPr="001705D1">
        <w:rPr>
          <w:rFonts w:cs="Times New Roman"/>
          <w:sz w:val="22"/>
        </w:rPr>
        <w:t xml:space="preserve">conducted under sections 59 and 61 of the TEQSA Act that are </w:t>
      </w:r>
      <w:r w:rsidRPr="001705D1">
        <w:rPr>
          <w:rFonts w:cs="Times New Roman"/>
          <w:sz w:val="22"/>
        </w:rPr>
        <w:t xml:space="preserve">commenced on or after 1 January 2023. </w:t>
      </w:r>
    </w:p>
    <w:p w14:paraId="39133FB1" w14:textId="0D68CDDB" w:rsidR="00070037" w:rsidRPr="001705D1" w:rsidRDefault="00070037" w:rsidP="00F96061">
      <w:pPr>
        <w:pStyle w:val="ListParagraph"/>
        <w:numPr>
          <w:ilvl w:val="0"/>
          <w:numId w:val="21"/>
        </w:numPr>
        <w:spacing w:beforeLines="80" w:before="192" w:afterLines="120" w:after="288" w:line="240" w:lineRule="auto"/>
        <w:contextualSpacing w:val="0"/>
        <w:rPr>
          <w:rFonts w:cs="Times New Roman"/>
          <w:sz w:val="22"/>
        </w:rPr>
      </w:pPr>
      <w:r w:rsidRPr="001705D1">
        <w:rPr>
          <w:rFonts w:cs="Times New Roman"/>
          <w:sz w:val="22"/>
        </w:rPr>
        <w:lastRenderedPageBreak/>
        <w:t xml:space="preserve">Subsection 7(2) provides that </w:t>
      </w:r>
      <w:r w:rsidR="005749BE" w:rsidRPr="001705D1">
        <w:rPr>
          <w:rFonts w:cs="Times New Roman"/>
          <w:sz w:val="22"/>
        </w:rPr>
        <w:t xml:space="preserve">paragraphs </w:t>
      </w:r>
      <w:r w:rsidRPr="001705D1">
        <w:rPr>
          <w:rFonts w:cs="Times New Roman"/>
          <w:sz w:val="22"/>
        </w:rPr>
        <w:t>5(4)(c) and (d)</w:t>
      </w:r>
      <w:r w:rsidR="005749BE" w:rsidRPr="001705D1">
        <w:rPr>
          <w:rFonts w:cs="Times New Roman"/>
          <w:sz w:val="22"/>
        </w:rPr>
        <w:t xml:space="preserve"> of the formula for calculating the compliance component of the registered higher education provider charge </w:t>
      </w:r>
      <w:r w:rsidRPr="001705D1">
        <w:rPr>
          <w:rFonts w:cs="Times New Roman"/>
          <w:sz w:val="22"/>
        </w:rPr>
        <w:t xml:space="preserve">only </w:t>
      </w:r>
      <w:r w:rsidR="005749BE" w:rsidRPr="001705D1">
        <w:rPr>
          <w:rFonts w:cs="Times New Roman"/>
          <w:sz w:val="22"/>
        </w:rPr>
        <w:t xml:space="preserve">apply to conditions imposed on a registered higher education provider’s registration or on the accreditation of a course of study </w:t>
      </w:r>
      <w:r w:rsidR="00DD014F" w:rsidRPr="001705D1">
        <w:rPr>
          <w:rFonts w:cs="Times New Roman"/>
          <w:sz w:val="22"/>
        </w:rPr>
        <w:t>where</w:t>
      </w:r>
      <w:r w:rsidR="005749BE" w:rsidRPr="001705D1">
        <w:rPr>
          <w:rFonts w:cs="Times New Roman"/>
          <w:sz w:val="22"/>
        </w:rPr>
        <w:t xml:space="preserve"> those</w:t>
      </w:r>
      <w:r w:rsidRPr="001705D1">
        <w:rPr>
          <w:rFonts w:cs="Times New Roman"/>
          <w:sz w:val="22"/>
        </w:rPr>
        <w:t xml:space="preserve"> conditions</w:t>
      </w:r>
      <w:r w:rsidR="005749BE" w:rsidRPr="001705D1">
        <w:rPr>
          <w:rFonts w:cs="Times New Roman"/>
          <w:sz w:val="22"/>
        </w:rPr>
        <w:t xml:space="preserve"> </w:t>
      </w:r>
      <w:r w:rsidRPr="001705D1">
        <w:rPr>
          <w:rFonts w:cs="Times New Roman"/>
          <w:sz w:val="22"/>
        </w:rPr>
        <w:t xml:space="preserve">are in force on after 1 January 2023. </w:t>
      </w:r>
      <w:r w:rsidR="005749BE" w:rsidRPr="001705D1">
        <w:rPr>
          <w:rFonts w:cs="Times New Roman"/>
          <w:sz w:val="22"/>
        </w:rPr>
        <w:t xml:space="preserve">The date on when the condition was originally imposed on a provider’s registration, or the accreditation of a course, is irrelevant to whether paragraphs 5(4)(c) and (d) apply. </w:t>
      </w:r>
    </w:p>
    <w:p w14:paraId="1B42B9BE" w14:textId="41EA7BFC" w:rsidR="005749BE" w:rsidRPr="001705D1" w:rsidRDefault="005749BE" w:rsidP="00F96061">
      <w:pPr>
        <w:pStyle w:val="ListParagraph"/>
        <w:numPr>
          <w:ilvl w:val="0"/>
          <w:numId w:val="21"/>
        </w:numPr>
        <w:spacing w:beforeLines="80" w:before="192" w:afterLines="120" w:after="288" w:line="240" w:lineRule="auto"/>
        <w:contextualSpacing w:val="0"/>
        <w:rPr>
          <w:rFonts w:cs="Times New Roman"/>
          <w:sz w:val="22"/>
        </w:rPr>
      </w:pPr>
      <w:r w:rsidRPr="001705D1">
        <w:rPr>
          <w:rFonts w:cs="Times New Roman"/>
          <w:sz w:val="22"/>
        </w:rPr>
        <w:t xml:space="preserve">Subsection 7(3) provides that paragraph 5(4)(e) of the formula for calculating the compliance component of the registered higher education provider charge only applies to a </w:t>
      </w:r>
      <w:r w:rsidR="00DD014F" w:rsidRPr="001705D1">
        <w:rPr>
          <w:rFonts w:cs="Times New Roman"/>
          <w:sz w:val="22"/>
        </w:rPr>
        <w:t>compliance</w:t>
      </w:r>
      <w:r w:rsidRPr="001705D1">
        <w:rPr>
          <w:rFonts w:cs="Times New Roman"/>
          <w:sz w:val="22"/>
        </w:rPr>
        <w:t xml:space="preserve"> undertaking if the undertaking is in force on or after 1 January 2023. The date on which the </w:t>
      </w:r>
      <w:r w:rsidR="00DD014F" w:rsidRPr="001705D1">
        <w:rPr>
          <w:rFonts w:cs="Times New Roman"/>
          <w:sz w:val="22"/>
        </w:rPr>
        <w:t>compliance</w:t>
      </w:r>
      <w:r w:rsidRPr="001705D1">
        <w:rPr>
          <w:rFonts w:cs="Times New Roman"/>
          <w:sz w:val="22"/>
        </w:rPr>
        <w:t xml:space="preserve"> undertaking was originally accepted by TEQSA is irrelevant to whether paragraph 5(4)(e) applies.</w:t>
      </w:r>
    </w:p>
    <w:p w14:paraId="1993A8EF" w14:textId="6A81271D" w:rsidR="005749BE" w:rsidRPr="001705D1" w:rsidRDefault="005749BE" w:rsidP="00F96061">
      <w:pPr>
        <w:pStyle w:val="ListParagraph"/>
        <w:numPr>
          <w:ilvl w:val="0"/>
          <w:numId w:val="21"/>
        </w:numPr>
        <w:spacing w:beforeLines="80" w:before="192" w:afterLines="120" w:after="288" w:line="240" w:lineRule="auto"/>
        <w:contextualSpacing w:val="0"/>
        <w:rPr>
          <w:rFonts w:cs="Times New Roman"/>
          <w:sz w:val="22"/>
        </w:rPr>
      </w:pPr>
      <w:r w:rsidRPr="001705D1">
        <w:rPr>
          <w:rFonts w:cs="Times New Roman"/>
          <w:sz w:val="22"/>
        </w:rPr>
        <w:t xml:space="preserve">Subsection 7(4) provides that paragraph 5(4)(f) of the formula for calculating the compliance component of the registered higher education provider charge only </w:t>
      </w:r>
      <w:r w:rsidR="00F839E3" w:rsidRPr="001705D1">
        <w:rPr>
          <w:rFonts w:cs="Times New Roman"/>
          <w:sz w:val="22"/>
        </w:rPr>
        <w:t xml:space="preserve">applies to investigations commenced on or after 1 January 2023. </w:t>
      </w:r>
    </w:p>
    <w:p w14:paraId="642F8771" w14:textId="450D7574" w:rsidR="00B15DC0" w:rsidRPr="00BD7E07" w:rsidRDefault="00B15DC0" w:rsidP="005D7E05">
      <w:pPr>
        <w:spacing w:after="0"/>
        <w:rPr>
          <w:rFonts w:ascii="Times New Roman" w:hAnsi="Times New Roman" w:cs="Times New Roman"/>
        </w:rPr>
      </w:pPr>
    </w:p>
    <w:sectPr w:rsidR="00B15DC0" w:rsidRPr="00BD7E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F373" w14:textId="77777777" w:rsidR="005A28AF" w:rsidRDefault="005A28AF" w:rsidP="0091151D">
      <w:pPr>
        <w:spacing w:after="0" w:line="240" w:lineRule="auto"/>
      </w:pPr>
      <w:r>
        <w:separator/>
      </w:r>
    </w:p>
  </w:endnote>
  <w:endnote w:type="continuationSeparator" w:id="0">
    <w:p w14:paraId="54435093" w14:textId="77777777" w:rsidR="005A28AF" w:rsidRDefault="005A28AF" w:rsidP="0091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AB44" w14:textId="77777777" w:rsidR="005A28AF" w:rsidRDefault="005A28AF" w:rsidP="0091151D">
      <w:pPr>
        <w:spacing w:after="0" w:line="240" w:lineRule="auto"/>
      </w:pPr>
      <w:r>
        <w:separator/>
      </w:r>
    </w:p>
  </w:footnote>
  <w:footnote w:type="continuationSeparator" w:id="0">
    <w:p w14:paraId="62F96620" w14:textId="77777777" w:rsidR="005A28AF" w:rsidRDefault="005A28AF" w:rsidP="00911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A"/>
    <w:multiLevelType w:val="hybridMultilevel"/>
    <w:tmpl w:val="9DB4B072"/>
    <w:lvl w:ilvl="0" w:tplc="FFFFFFFF">
      <w:start w:val="1"/>
      <w:numFmt w:val="lowerRoman"/>
      <w:lvlText w:val="%1."/>
      <w:lvlJc w:val="right"/>
      <w:pPr>
        <w:ind w:left="1440" w:hanging="360"/>
      </w:pPr>
    </w:lvl>
    <w:lvl w:ilvl="1" w:tplc="0C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716199A"/>
    <w:multiLevelType w:val="hybridMultilevel"/>
    <w:tmpl w:val="A9886270"/>
    <w:lvl w:ilvl="0" w:tplc="0C090001">
      <w:start w:val="1"/>
      <w:numFmt w:val="bullet"/>
      <w:lvlText w:val=""/>
      <w:lvlJc w:val="left"/>
      <w:pPr>
        <w:ind w:left="1440" w:hanging="360"/>
      </w:pPr>
      <w:rPr>
        <w:rFonts w:ascii="Symbol" w:hAnsi="Symbol" w:hint="default"/>
      </w:r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AE4E24"/>
    <w:multiLevelType w:val="hybridMultilevel"/>
    <w:tmpl w:val="EF52C896"/>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DFB1868"/>
    <w:multiLevelType w:val="hybridMultilevel"/>
    <w:tmpl w:val="13F04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17B61"/>
    <w:multiLevelType w:val="hybridMultilevel"/>
    <w:tmpl w:val="01B00CF6"/>
    <w:lvl w:ilvl="0" w:tplc="FFFFFFFF">
      <w:start w:val="1"/>
      <w:numFmt w:val="lowerRoman"/>
      <w:lvlText w:val="%1."/>
      <w:lvlJc w:val="right"/>
      <w:pPr>
        <w:ind w:left="1440" w:hanging="360"/>
      </w:pPr>
      <w:rPr>
        <w:rFonts w:hint="default"/>
      </w:r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A670DC8"/>
    <w:multiLevelType w:val="hybridMultilevel"/>
    <w:tmpl w:val="E1A4E6F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490629"/>
    <w:multiLevelType w:val="hybridMultilevel"/>
    <w:tmpl w:val="F62EF97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B13F20"/>
    <w:multiLevelType w:val="hybridMultilevel"/>
    <w:tmpl w:val="29FC30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99310B"/>
    <w:multiLevelType w:val="hybridMultilevel"/>
    <w:tmpl w:val="5A2C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461DF2"/>
    <w:multiLevelType w:val="hybridMultilevel"/>
    <w:tmpl w:val="11203A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0A069F"/>
    <w:multiLevelType w:val="hybridMultilevel"/>
    <w:tmpl w:val="EBA26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0E5CC4"/>
    <w:multiLevelType w:val="hybridMultilevel"/>
    <w:tmpl w:val="29FC30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9470A8"/>
    <w:multiLevelType w:val="hybridMultilevel"/>
    <w:tmpl w:val="5A1C7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E63A56"/>
    <w:multiLevelType w:val="hybridMultilevel"/>
    <w:tmpl w:val="72FCD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045600"/>
    <w:multiLevelType w:val="hybridMultilevel"/>
    <w:tmpl w:val="830AAC90"/>
    <w:lvl w:ilvl="0" w:tplc="9B128368">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0C2FB3"/>
    <w:multiLevelType w:val="hybridMultilevel"/>
    <w:tmpl w:val="41E44D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3BD3F3A"/>
    <w:multiLevelType w:val="hybridMultilevel"/>
    <w:tmpl w:val="A6F0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F00B94"/>
    <w:multiLevelType w:val="hybridMultilevel"/>
    <w:tmpl w:val="DD7690B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44A4310"/>
    <w:multiLevelType w:val="hybridMultilevel"/>
    <w:tmpl w:val="F62EF97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9D297E"/>
    <w:multiLevelType w:val="hybridMultilevel"/>
    <w:tmpl w:val="C57A94CA"/>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6310CCF"/>
    <w:multiLevelType w:val="hybridMultilevel"/>
    <w:tmpl w:val="8CBED16E"/>
    <w:lvl w:ilvl="0" w:tplc="0C09000F">
      <w:start w:val="1"/>
      <w:numFmt w:val="decimal"/>
      <w:lvlText w:val="%1."/>
      <w:lvlJc w:val="left"/>
      <w:pPr>
        <w:ind w:left="360" w:hanging="360"/>
      </w:pPr>
      <w:rPr>
        <w:rFonts w:hint="default"/>
      </w:rPr>
    </w:lvl>
    <w:lvl w:ilvl="1" w:tplc="2408915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B8020F3"/>
    <w:multiLevelType w:val="hybridMultilevel"/>
    <w:tmpl w:val="29FC30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C8037E"/>
    <w:multiLevelType w:val="hybridMultilevel"/>
    <w:tmpl w:val="70167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2"/>
  </w:num>
  <w:num w:numId="4">
    <w:abstractNumId w:val="18"/>
  </w:num>
  <w:num w:numId="5">
    <w:abstractNumId w:val="6"/>
  </w:num>
  <w:num w:numId="6">
    <w:abstractNumId w:val="12"/>
  </w:num>
  <w:num w:numId="7">
    <w:abstractNumId w:val="11"/>
  </w:num>
  <w:num w:numId="8">
    <w:abstractNumId w:val="7"/>
  </w:num>
  <w:num w:numId="9">
    <w:abstractNumId w:val="15"/>
  </w:num>
  <w:num w:numId="10">
    <w:abstractNumId w:val="9"/>
  </w:num>
  <w:num w:numId="11">
    <w:abstractNumId w:val="17"/>
  </w:num>
  <w:num w:numId="12">
    <w:abstractNumId w:val="21"/>
  </w:num>
  <w:num w:numId="13">
    <w:abstractNumId w:val="8"/>
  </w:num>
  <w:num w:numId="14">
    <w:abstractNumId w:val="16"/>
  </w:num>
  <w:num w:numId="15">
    <w:abstractNumId w:val="3"/>
  </w:num>
  <w:num w:numId="16">
    <w:abstractNumId w:val="10"/>
  </w:num>
  <w:num w:numId="17">
    <w:abstractNumId w:val="20"/>
  </w:num>
  <w:num w:numId="18">
    <w:abstractNumId w:val="2"/>
  </w:num>
  <w:num w:numId="19">
    <w:abstractNumId w:val="0"/>
  </w:num>
  <w:num w:numId="20">
    <w:abstractNumId w:val="19"/>
  </w:num>
  <w:num w:numId="21">
    <w:abstractNumId w:val="14"/>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9C2"/>
    <w:rsid w:val="00002124"/>
    <w:rsid w:val="00010478"/>
    <w:rsid w:val="00013148"/>
    <w:rsid w:val="00046C0E"/>
    <w:rsid w:val="00070037"/>
    <w:rsid w:val="00081E8A"/>
    <w:rsid w:val="000A3AF5"/>
    <w:rsid w:val="000B3B5F"/>
    <w:rsid w:val="000C5AD5"/>
    <w:rsid w:val="000E3335"/>
    <w:rsid w:val="000E7C51"/>
    <w:rsid w:val="00105AB3"/>
    <w:rsid w:val="00106466"/>
    <w:rsid w:val="0010652E"/>
    <w:rsid w:val="00122623"/>
    <w:rsid w:val="00123834"/>
    <w:rsid w:val="00153962"/>
    <w:rsid w:val="00156446"/>
    <w:rsid w:val="001705D1"/>
    <w:rsid w:val="00190873"/>
    <w:rsid w:val="001F2EE4"/>
    <w:rsid w:val="00202112"/>
    <w:rsid w:val="002129A5"/>
    <w:rsid w:val="00227178"/>
    <w:rsid w:val="002334F5"/>
    <w:rsid w:val="00244EE2"/>
    <w:rsid w:val="002563D3"/>
    <w:rsid w:val="00264D40"/>
    <w:rsid w:val="00271F08"/>
    <w:rsid w:val="00272F91"/>
    <w:rsid w:val="002962A2"/>
    <w:rsid w:val="002A5ABF"/>
    <w:rsid w:val="003056CF"/>
    <w:rsid w:val="00330EA0"/>
    <w:rsid w:val="0035549B"/>
    <w:rsid w:val="003634B5"/>
    <w:rsid w:val="0036377A"/>
    <w:rsid w:val="00380BC8"/>
    <w:rsid w:val="00384C52"/>
    <w:rsid w:val="003D4C96"/>
    <w:rsid w:val="003F465D"/>
    <w:rsid w:val="00415220"/>
    <w:rsid w:val="00437E86"/>
    <w:rsid w:val="004522DD"/>
    <w:rsid w:val="00463CB3"/>
    <w:rsid w:val="00467E8E"/>
    <w:rsid w:val="0048201C"/>
    <w:rsid w:val="00492F56"/>
    <w:rsid w:val="004A76AF"/>
    <w:rsid w:val="004B49B6"/>
    <w:rsid w:val="004B7C0F"/>
    <w:rsid w:val="004C602E"/>
    <w:rsid w:val="004C6EA4"/>
    <w:rsid w:val="004D3EFB"/>
    <w:rsid w:val="00513C38"/>
    <w:rsid w:val="00516755"/>
    <w:rsid w:val="00523A75"/>
    <w:rsid w:val="005359DC"/>
    <w:rsid w:val="005749BE"/>
    <w:rsid w:val="005949C4"/>
    <w:rsid w:val="00597D0B"/>
    <w:rsid w:val="005A28AF"/>
    <w:rsid w:val="005A4B46"/>
    <w:rsid w:val="005C39AA"/>
    <w:rsid w:val="005D382B"/>
    <w:rsid w:val="005D7E05"/>
    <w:rsid w:val="005F31BF"/>
    <w:rsid w:val="005F649C"/>
    <w:rsid w:val="005F7791"/>
    <w:rsid w:val="00600965"/>
    <w:rsid w:val="00641C3F"/>
    <w:rsid w:val="00641D55"/>
    <w:rsid w:val="00653584"/>
    <w:rsid w:val="006612EB"/>
    <w:rsid w:val="006628E1"/>
    <w:rsid w:val="00676B57"/>
    <w:rsid w:val="00682DA4"/>
    <w:rsid w:val="006B079A"/>
    <w:rsid w:val="006C1CF6"/>
    <w:rsid w:val="006C5D18"/>
    <w:rsid w:val="006E4CBE"/>
    <w:rsid w:val="006E4D3F"/>
    <w:rsid w:val="006F190D"/>
    <w:rsid w:val="006F54F5"/>
    <w:rsid w:val="006F6675"/>
    <w:rsid w:val="00722EB8"/>
    <w:rsid w:val="0077608D"/>
    <w:rsid w:val="007769E2"/>
    <w:rsid w:val="00782A07"/>
    <w:rsid w:val="007927B0"/>
    <w:rsid w:val="007929E4"/>
    <w:rsid w:val="007A7FFB"/>
    <w:rsid w:val="007F1C13"/>
    <w:rsid w:val="00806F24"/>
    <w:rsid w:val="00827CB3"/>
    <w:rsid w:val="00843AA3"/>
    <w:rsid w:val="00852DA5"/>
    <w:rsid w:val="008562C4"/>
    <w:rsid w:val="008576E2"/>
    <w:rsid w:val="00857FB4"/>
    <w:rsid w:val="00863736"/>
    <w:rsid w:val="00881EC0"/>
    <w:rsid w:val="008A2BBD"/>
    <w:rsid w:val="008A4A82"/>
    <w:rsid w:val="008A7283"/>
    <w:rsid w:val="008B0800"/>
    <w:rsid w:val="008C0C15"/>
    <w:rsid w:val="008C25BC"/>
    <w:rsid w:val="0090159F"/>
    <w:rsid w:val="00907277"/>
    <w:rsid w:val="0091151D"/>
    <w:rsid w:val="00936BE4"/>
    <w:rsid w:val="00940A38"/>
    <w:rsid w:val="009436A4"/>
    <w:rsid w:val="009673AB"/>
    <w:rsid w:val="009836F0"/>
    <w:rsid w:val="009A33B3"/>
    <w:rsid w:val="009B2890"/>
    <w:rsid w:val="009B3761"/>
    <w:rsid w:val="009E6392"/>
    <w:rsid w:val="00A243C6"/>
    <w:rsid w:val="00A244BB"/>
    <w:rsid w:val="00A25780"/>
    <w:rsid w:val="00A600D9"/>
    <w:rsid w:val="00A61285"/>
    <w:rsid w:val="00A6409C"/>
    <w:rsid w:val="00A87FF2"/>
    <w:rsid w:val="00A93C68"/>
    <w:rsid w:val="00A9582E"/>
    <w:rsid w:val="00AA3BCB"/>
    <w:rsid w:val="00AA4581"/>
    <w:rsid w:val="00AB09ED"/>
    <w:rsid w:val="00AC3607"/>
    <w:rsid w:val="00AD0BDF"/>
    <w:rsid w:val="00AD0D2E"/>
    <w:rsid w:val="00AD44C8"/>
    <w:rsid w:val="00AD71D9"/>
    <w:rsid w:val="00AE6557"/>
    <w:rsid w:val="00B00974"/>
    <w:rsid w:val="00B15DC0"/>
    <w:rsid w:val="00B354CE"/>
    <w:rsid w:val="00B40C0C"/>
    <w:rsid w:val="00B419C2"/>
    <w:rsid w:val="00B80859"/>
    <w:rsid w:val="00B9781E"/>
    <w:rsid w:val="00BA2D1E"/>
    <w:rsid w:val="00BB0D92"/>
    <w:rsid w:val="00BC3D0D"/>
    <w:rsid w:val="00BD7E07"/>
    <w:rsid w:val="00BE7366"/>
    <w:rsid w:val="00BF7D7A"/>
    <w:rsid w:val="00C367A1"/>
    <w:rsid w:val="00C46DCE"/>
    <w:rsid w:val="00C63CF4"/>
    <w:rsid w:val="00C92D3C"/>
    <w:rsid w:val="00C93A85"/>
    <w:rsid w:val="00CF0253"/>
    <w:rsid w:val="00CF7232"/>
    <w:rsid w:val="00D036EE"/>
    <w:rsid w:val="00D24255"/>
    <w:rsid w:val="00D64146"/>
    <w:rsid w:val="00D73E25"/>
    <w:rsid w:val="00D93B4F"/>
    <w:rsid w:val="00DA1192"/>
    <w:rsid w:val="00DC5873"/>
    <w:rsid w:val="00DD014F"/>
    <w:rsid w:val="00DD6E22"/>
    <w:rsid w:val="00DF0A8D"/>
    <w:rsid w:val="00E14856"/>
    <w:rsid w:val="00E31F6D"/>
    <w:rsid w:val="00E55AC8"/>
    <w:rsid w:val="00E857AA"/>
    <w:rsid w:val="00F270FC"/>
    <w:rsid w:val="00F34D93"/>
    <w:rsid w:val="00F57D25"/>
    <w:rsid w:val="00F64DDA"/>
    <w:rsid w:val="00F839E3"/>
    <w:rsid w:val="00F96061"/>
    <w:rsid w:val="00F96FCF"/>
    <w:rsid w:val="00FA731C"/>
    <w:rsid w:val="00FB2715"/>
    <w:rsid w:val="00FC33F4"/>
    <w:rsid w:val="00FD2A35"/>
    <w:rsid w:val="00FE00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E38244F"/>
  <w15:chartTrackingRefBased/>
  <w15:docId w15:val="{41CE3BA7-A778-4AB9-88FE-67FD3121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15DC0"/>
    <w:pPr>
      <w:keepNext/>
      <w:keepLines/>
      <w:spacing w:before="40" w:after="0" w:line="276" w:lineRule="auto"/>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9C2"/>
    <w:rPr>
      <w:rFonts w:ascii="Segoe UI" w:hAnsi="Segoe UI" w:cs="Segoe UI"/>
      <w:sz w:val="18"/>
      <w:szCs w:val="18"/>
    </w:rPr>
  </w:style>
  <w:style w:type="character" w:customStyle="1" w:styleId="Heading2Char">
    <w:name w:val="Heading 2 Char"/>
    <w:basedOn w:val="DefaultParagraphFont"/>
    <w:link w:val="Heading2"/>
    <w:uiPriority w:val="9"/>
    <w:rsid w:val="00B15DC0"/>
    <w:rPr>
      <w:rFonts w:ascii="Times New Roman" w:eastAsiaTheme="majorEastAsia" w:hAnsi="Times New Roman" w:cstheme="majorBidi"/>
      <w:b/>
      <w:color w:val="000000" w:themeColor="text1"/>
      <w:sz w:val="24"/>
      <w:szCs w:val="26"/>
    </w:rPr>
  </w:style>
  <w:style w:type="paragraph" w:styleId="Footer">
    <w:name w:val="footer"/>
    <w:basedOn w:val="Normal"/>
    <w:link w:val="FooterChar"/>
    <w:uiPriority w:val="99"/>
    <w:unhideWhenUsed/>
    <w:rsid w:val="00B15DC0"/>
    <w:pPr>
      <w:tabs>
        <w:tab w:val="center" w:pos="4513"/>
        <w:tab w:val="right" w:pos="9026"/>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B15DC0"/>
    <w:rPr>
      <w:rFonts w:ascii="Times New Roman" w:hAnsi="Times New Roman"/>
      <w:sz w:val="24"/>
    </w:rPr>
  </w:style>
  <w:style w:type="paragraph" w:styleId="ListParagraph">
    <w:name w:val="List Paragraph"/>
    <w:basedOn w:val="Normal"/>
    <w:uiPriority w:val="34"/>
    <w:qFormat/>
    <w:rsid w:val="00B15DC0"/>
    <w:pPr>
      <w:spacing w:after="200" w:line="276" w:lineRule="auto"/>
      <w:ind w:left="720"/>
      <w:contextualSpacing/>
    </w:pPr>
    <w:rPr>
      <w:rFonts w:ascii="Times New Roman" w:hAnsi="Times New Roman"/>
      <w:sz w:val="24"/>
    </w:rPr>
  </w:style>
  <w:style w:type="paragraph" w:styleId="Header">
    <w:name w:val="header"/>
    <w:basedOn w:val="Normal"/>
    <w:link w:val="HeaderChar"/>
    <w:uiPriority w:val="99"/>
    <w:unhideWhenUsed/>
    <w:rsid w:val="0091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51D"/>
  </w:style>
  <w:style w:type="character" w:styleId="Hyperlink">
    <w:name w:val="Hyperlink"/>
    <w:basedOn w:val="DefaultParagraphFont"/>
    <w:uiPriority w:val="99"/>
    <w:unhideWhenUsed/>
    <w:rsid w:val="000B3B5F"/>
    <w:rPr>
      <w:color w:val="0563C1" w:themeColor="hyperlink"/>
      <w:u w:val="single"/>
    </w:rPr>
  </w:style>
  <w:style w:type="character" w:styleId="CommentReference">
    <w:name w:val="annotation reference"/>
    <w:basedOn w:val="DefaultParagraphFont"/>
    <w:uiPriority w:val="99"/>
    <w:semiHidden/>
    <w:unhideWhenUsed/>
    <w:rsid w:val="007F1C13"/>
    <w:rPr>
      <w:sz w:val="16"/>
      <w:szCs w:val="16"/>
    </w:rPr>
  </w:style>
  <w:style w:type="paragraph" w:styleId="CommentText">
    <w:name w:val="annotation text"/>
    <w:basedOn w:val="Normal"/>
    <w:link w:val="CommentTextChar"/>
    <w:uiPriority w:val="99"/>
    <w:unhideWhenUsed/>
    <w:rsid w:val="007F1C13"/>
    <w:pPr>
      <w:spacing w:line="240" w:lineRule="auto"/>
    </w:pPr>
    <w:rPr>
      <w:sz w:val="20"/>
      <w:szCs w:val="20"/>
    </w:rPr>
  </w:style>
  <w:style w:type="character" w:customStyle="1" w:styleId="CommentTextChar">
    <w:name w:val="Comment Text Char"/>
    <w:basedOn w:val="DefaultParagraphFont"/>
    <w:link w:val="CommentText"/>
    <w:uiPriority w:val="99"/>
    <w:rsid w:val="007F1C13"/>
    <w:rPr>
      <w:sz w:val="20"/>
      <w:szCs w:val="20"/>
    </w:rPr>
  </w:style>
  <w:style w:type="paragraph" w:styleId="CommentSubject">
    <w:name w:val="annotation subject"/>
    <w:basedOn w:val="CommentText"/>
    <w:next w:val="CommentText"/>
    <w:link w:val="CommentSubjectChar"/>
    <w:uiPriority w:val="99"/>
    <w:semiHidden/>
    <w:unhideWhenUsed/>
    <w:rsid w:val="007F1C13"/>
    <w:rPr>
      <w:b/>
      <w:bCs/>
    </w:rPr>
  </w:style>
  <w:style w:type="character" w:customStyle="1" w:styleId="CommentSubjectChar">
    <w:name w:val="Comment Subject Char"/>
    <w:basedOn w:val="CommentTextChar"/>
    <w:link w:val="CommentSubject"/>
    <w:uiPriority w:val="99"/>
    <w:semiHidden/>
    <w:rsid w:val="007F1C13"/>
    <w:rPr>
      <w:b/>
      <w:bCs/>
      <w:sz w:val="20"/>
      <w:szCs w:val="20"/>
    </w:rPr>
  </w:style>
  <w:style w:type="table" w:styleId="TableGrid">
    <w:name w:val="Table Grid"/>
    <w:basedOn w:val="TableNormal"/>
    <w:uiPriority w:val="59"/>
    <w:rsid w:val="008C2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6C0E"/>
    <w:pPr>
      <w:spacing w:after="0" w:line="240" w:lineRule="auto"/>
    </w:pPr>
  </w:style>
  <w:style w:type="character" w:styleId="UnresolvedMention">
    <w:name w:val="Unresolved Mention"/>
    <w:basedOn w:val="DefaultParagraphFont"/>
    <w:uiPriority w:val="99"/>
    <w:semiHidden/>
    <w:unhideWhenUsed/>
    <w:rsid w:val="00AD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400235">
      <w:bodyDiv w:val="1"/>
      <w:marLeft w:val="0"/>
      <w:marRight w:val="0"/>
      <w:marTop w:val="0"/>
      <w:marBottom w:val="0"/>
      <w:divBdr>
        <w:top w:val="none" w:sz="0" w:space="0" w:color="auto"/>
        <w:left w:val="none" w:sz="0" w:space="0" w:color="auto"/>
        <w:bottom w:val="none" w:sz="0" w:space="0" w:color="auto"/>
        <w:right w:val="none" w:sz="0" w:space="0" w:color="auto"/>
      </w:divBdr>
    </w:div>
    <w:div w:id="1082070377">
      <w:bodyDiv w:val="1"/>
      <w:marLeft w:val="0"/>
      <w:marRight w:val="0"/>
      <w:marTop w:val="0"/>
      <w:marBottom w:val="0"/>
      <w:divBdr>
        <w:top w:val="none" w:sz="0" w:space="0" w:color="auto"/>
        <w:left w:val="none" w:sz="0" w:space="0" w:color="auto"/>
        <w:bottom w:val="none" w:sz="0" w:space="0" w:color="auto"/>
        <w:right w:val="none" w:sz="0" w:space="0" w:color="auto"/>
      </w:divBdr>
    </w:div>
    <w:div w:id="1248541263">
      <w:bodyDiv w:val="1"/>
      <w:marLeft w:val="0"/>
      <w:marRight w:val="0"/>
      <w:marTop w:val="0"/>
      <w:marBottom w:val="0"/>
      <w:divBdr>
        <w:top w:val="none" w:sz="0" w:space="0" w:color="auto"/>
        <w:left w:val="none" w:sz="0" w:space="0" w:color="auto"/>
        <w:bottom w:val="none" w:sz="0" w:space="0" w:color="auto"/>
        <w:right w:val="none" w:sz="0" w:space="0" w:color="auto"/>
      </w:divBdr>
    </w:div>
    <w:div w:id="14629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2BA3111FA09FA4B99F6B48E420C8961" ma:contentTypeVersion="" ma:contentTypeDescription="PDMS Document Site Content Type" ma:contentTypeScope="" ma:versionID="edf4325190c79d7a346fe733f88846fe">
  <xsd:schema xmlns:xsd="http://www.w3.org/2001/XMLSchema" xmlns:xs="http://www.w3.org/2001/XMLSchema" xmlns:p="http://schemas.microsoft.com/office/2006/metadata/properties" xmlns:ns2="DA017EA1-9E15-4E52-AAE3-2298BD8A4DFA" targetNamespace="http://schemas.microsoft.com/office/2006/metadata/properties" ma:root="true" ma:fieldsID="66234d4b3648b336ccdd3b5692ad9ebb" ns2:_="">
    <xsd:import namespace="DA017EA1-9E15-4E52-AAE3-2298BD8A4DF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17EA1-9E15-4E52-AAE3-2298BD8A4DF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17EA1-9E15-4E52-AAE3-2298BD8A4DFA" xsi:nil="true"/>
  </documentManagement>
</p:properties>
</file>

<file path=customXml/itemProps1.xml><?xml version="1.0" encoding="utf-8"?>
<ds:datastoreItem xmlns:ds="http://schemas.openxmlformats.org/officeDocument/2006/customXml" ds:itemID="{E9E8F846-AD90-4790-A6FA-4F1F743C5DEE}">
  <ds:schemaRefs>
    <ds:schemaRef ds:uri="http://schemas.microsoft.com/sharepoint/v3/contenttype/forms"/>
  </ds:schemaRefs>
</ds:datastoreItem>
</file>

<file path=customXml/itemProps2.xml><?xml version="1.0" encoding="utf-8"?>
<ds:datastoreItem xmlns:ds="http://schemas.openxmlformats.org/officeDocument/2006/customXml" ds:itemID="{86A17BEF-B8CA-49F1-94D8-05C3A878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17EA1-9E15-4E52-AAE3-2298BD8A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572E2-75BB-46C4-8D4D-9B9301958F80}">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DA017EA1-9E15-4E52-AAE3-2298BD8A4DFA"/>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 DUYN,Nicole</dc:creator>
  <cp:keywords/>
  <dc:description/>
  <cp:lastModifiedBy>OSTOJIC,Stephanie</cp:lastModifiedBy>
  <cp:revision>2</cp:revision>
  <dcterms:created xsi:type="dcterms:W3CDTF">2022-11-22T00:40:00Z</dcterms:created>
  <dcterms:modified xsi:type="dcterms:W3CDTF">2022-11-22T00:40:00Z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2022-10-05T02:45:17Z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a0efc6e0-0746-4166-9e6d-d58e0ac464a0</vt:lpwstr>
  </property>
  <property fmtid="{D5CDD505-2E9C-101B-9397-08002B2CF9AE}" pid="8" name="MSIP_Label_79d889eb-932f-4752-8739-64d25806ef64_ContentBits">
    <vt:lpwstr>0</vt:lpwstr>
  </property>
  <property fmtid="{D5CDD505-2E9C-101B-9397-08002B2CF9AE}" pid="9" name="ContentTypeId">
    <vt:lpwstr>0x010100266966F133664895A6EE3632470D45F50032BA3111FA09FA4B99F6B48E420C8961</vt:lpwstr>
  </property>
</Properties>
</file>