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4661"/>
        <w:gridCol w:w="4661"/>
      </w:tblGrid>
      <w:tr w:rsidR="00090A6F" w:rsidRPr="00964B0B" w14:paraId="2D7C2159" w14:textId="77777777" w:rsidTr="000A13E1">
        <w:tc>
          <w:tcPr>
            <w:tcW w:w="4661" w:type="dxa"/>
          </w:tcPr>
          <w:p w14:paraId="2D7C2156" w14:textId="011C5773" w:rsidR="00090A6F" w:rsidRPr="00964B0B" w:rsidRDefault="00364B30">
            <w:pPr>
              <w:pStyle w:val="CoverStandard"/>
            </w:pPr>
            <w:r w:rsidRPr="00964B0B">
              <w:t>AASB</w:t>
            </w:r>
            <w:r w:rsidR="00831497" w:rsidRPr="00964B0B">
              <w:t xml:space="preserve"> Standard</w:t>
            </w:r>
          </w:p>
        </w:tc>
        <w:tc>
          <w:tcPr>
            <w:tcW w:w="4661" w:type="dxa"/>
          </w:tcPr>
          <w:p w14:paraId="2D7C2157" w14:textId="4AB57203" w:rsidR="00090A6F" w:rsidRPr="00964B0B" w:rsidRDefault="00831497">
            <w:pPr>
              <w:pStyle w:val="CoverNumber"/>
            </w:pPr>
            <w:r w:rsidRPr="00964B0B">
              <w:t>AASB</w:t>
            </w:r>
            <w:r w:rsidR="00090A6F" w:rsidRPr="00964B0B">
              <w:t xml:space="preserve"> </w:t>
            </w:r>
            <w:bookmarkStart w:id="0" w:name="DocNo"/>
            <w:r w:rsidR="00DF7725" w:rsidRPr="00964B0B">
              <w:t>2022-5</w:t>
            </w:r>
            <w:bookmarkEnd w:id="0"/>
          </w:p>
          <w:p w14:paraId="2D7C2158" w14:textId="12414D68" w:rsidR="00090A6F" w:rsidRPr="00964B0B" w:rsidRDefault="00DF7725">
            <w:pPr>
              <w:pStyle w:val="CoverDate"/>
            </w:pPr>
            <w:bookmarkStart w:id="1" w:name="DocDate"/>
            <w:r w:rsidRPr="00964B0B">
              <w:t>November 2022</w:t>
            </w:r>
            <w:bookmarkEnd w:id="1"/>
          </w:p>
        </w:tc>
      </w:tr>
    </w:tbl>
    <w:p w14:paraId="2D7C215A" w14:textId="2C390EE7" w:rsidR="00090A6F" w:rsidRPr="00964B0B" w:rsidRDefault="004F7D3A" w:rsidP="00947B93">
      <w:pPr>
        <w:pStyle w:val="CoverTitle"/>
        <w:jc w:val="left"/>
      </w:pPr>
      <w:bookmarkStart w:id="2" w:name="DocTitle"/>
      <w:r w:rsidRPr="00964B0B">
        <w:t>Amendments to Australian Accounting Standards – Lease Liability in a Sale and Leaseback</w:t>
      </w:r>
      <w:bookmarkEnd w:id="2"/>
    </w:p>
    <w:p w14:paraId="2D7C215B" w14:textId="77777777" w:rsidR="00C5022C" w:rsidRPr="00964B0B" w:rsidRDefault="002B7803" w:rsidP="00C5022C">
      <w:pPr>
        <w:pStyle w:val="CoverSubtitle"/>
      </w:pPr>
      <w:r w:rsidRPr="00964B0B">
        <w:t>[</w:t>
      </w:r>
      <w:bookmarkStart w:id="3" w:name="AmendingNos"/>
      <w:r w:rsidR="00E162E2" w:rsidRPr="00964B0B">
        <w:t>AASB 16</w:t>
      </w:r>
      <w:bookmarkEnd w:id="3"/>
      <w:r w:rsidRPr="00964B0B">
        <w:t>]</w:t>
      </w:r>
    </w:p>
    <w:p w14:paraId="2D7C215C" w14:textId="77777777" w:rsidR="00737714" w:rsidRPr="00964B0B" w:rsidRDefault="00737714" w:rsidP="00737714"/>
    <w:p w14:paraId="7CD13411" w14:textId="77777777" w:rsidR="00F91228" w:rsidRPr="00964B0B" w:rsidRDefault="00F91228" w:rsidP="00F91228">
      <w:pPr>
        <w:pStyle w:val="CoverTitle"/>
        <w:widowControl w:val="0"/>
        <w:suppressAutoHyphens/>
        <w:spacing w:before="7800" w:after="0" w:line="240" w:lineRule="auto"/>
        <w:jc w:val="left"/>
        <w:outlineLvl w:val="0"/>
        <w:rPr>
          <w:sz w:val="19"/>
          <w:szCs w:val="19"/>
        </w:rPr>
      </w:pPr>
      <w:r w:rsidRPr="00964B0B">
        <w:rPr>
          <w:noProof/>
          <w:sz w:val="19"/>
          <w:szCs w:val="19"/>
        </w:rPr>
        <w:drawing>
          <wp:inline distT="0" distB="0" distL="0" distR="0" wp14:anchorId="00C76212" wp14:editId="64A7ABBC">
            <wp:extent cx="1677600" cy="1332000"/>
            <wp:effectExtent l="0" t="0" r="0" b="1905"/>
            <wp:docPr id="20" name="Picture 20" descr="Logo of the Australian Accounting Standards Board&#10;&#10;Australian crest, with text naming the Australian Government and the Australian Accounting Standards Boar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Logo of the Australian Accounting Standards Board&#10;&#10;Australian crest, with text naming the Australian Government and the Australian Accounting Standards Boar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215D" w14:textId="6F953B76" w:rsidR="00090A6F" w:rsidRPr="00964B0B" w:rsidRDefault="00090A6F">
      <w:pPr>
        <w:sectPr w:rsidR="00090A6F" w:rsidRPr="00964B0B" w:rsidSect="00A63C27">
          <w:headerReference w:type="first" r:id="rId9"/>
          <w:footerReference w:type="first" r:id="rId10"/>
          <w:pgSz w:w="11907" w:h="16840" w:code="9"/>
          <w:pgMar w:top="1418" w:right="1418" w:bottom="1418" w:left="1418" w:header="709" w:footer="709" w:gutter="0"/>
          <w:paperSrc w:first="15" w:other="15"/>
          <w:cols w:space="720"/>
          <w:docGrid w:linePitch="258"/>
        </w:sectPr>
      </w:pPr>
    </w:p>
    <w:p w14:paraId="2D7C215E" w14:textId="77777777" w:rsidR="00737714" w:rsidRPr="00964B0B" w:rsidRDefault="00737714" w:rsidP="00F13C5A">
      <w:pPr>
        <w:pStyle w:val="Heading1"/>
      </w:pPr>
      <w:r w:rsidRPr="00964B0B">
        <w:lastRenderedPageBreak/>
        <w:t xml:space="preserve">Obtaining a </w:t>
      </w:r>
      <w:r w:rsidR="005655CE" w:rsidRPr="00964B0B">
        <w:t>c</w:t>
      </w:r>
      <w:r w:rsidRPr="00964B0B">
        <w:t xml:space="preserve">opy of this </w:t>
      </w:r>
      <w:r w:rsidR="00C5022C" w:rsidRPr="00964B0B">
        <w:t>Accounting Standard</w:t>
      </w:r>
    </w:p>
    <w:p w14:paraId="2D7C215F" w14:textId="77777777" w:rsidR="00737714" w:rsidRPr="00964B0B" w:rsidRDefault="00737714" w:rsidP="00895809">
      <w:pPr>
        <w:spacing w:after="200"/>
      </w:pPr>
      <w:r w:rsidRPr="00964B0B">
        <w:t xml:space="preserve">This </w:t>
      </w:r>
      <w:r w:rsidR="00C5022C" w:rsidRPr="00964B0B">
        <w:t>Standard</w:t>
      </w:r>
      <w:r w:rsidRPr="00964B0B">
        <w:t xml:space="preserve"> is available o</w:t>
      </w:r>
      <w:r w:rsidR="00923261" w:rsidRPr="00964B0B">
        <w:t>n the AASB website: www.aasb.gov</w:t>
      </w:r>
      <w:r w:rsidRPr="00964B0B">
        <w:t>.au.</w:t>
      </w:r>
    </w:p>
    <w:p w14:paraId="2D7C2160" w14:textId="77777777" w:rsidR="00895809" w:rsidRPr="00964B0B" w:rsidRDefault="00895809" w:rsidP="00895809">
      <w:r w:rsidRPr="00964B0B">
        <w:t>Australian Accounting Standards Board</w:t>
      </w:r>
    </w:p>
    <w:p w14:paraId="2D7C2161" w14:textId="77777777" w:rsidR="00895809" w:rsidRPr="00964B0B" w:rsidRDefault="00895809" w:rsidP="00895809">
      <w:r w:rsidRPr="00964B0B">
        <w:t>PO Box 204</w:t>
      </w:r>
    </w:p>
    <w:p w14:paraId="2D7C2162" w14:textId="77777777" w:rsidR="00895809" w:rsidRPr="00964B0B" w:rsidRDefault="00895809" w:rsidP="00895809">
      <w:r w:rsidRPr="00964B0B">
        <w:t>Collins Street West</w:t>
      </w:r>
    </w:p>
    <w:p w14:paraId="2D7C2163" w14:textId="77777777" w:rsidR="00895809" w:rsidRPr="00964B0B" w:rsidRDefault="00895809" w:rsidP="00895809">
      <w:r w:rsidRPr="00964B0B">
        <w:t>Victoria   8007</w:t>
      </w:r>
    </w:p>
    <w:p w14:paraId="2D7C2164" w14:textId="77777777" w:rsidR="00895809" w:rsidRPr="00964B0B" w:rsidRDefault="00895809" w:rsidP="00895809">
      <w:pPr>
        <w:pStyle w:val="CoverContact"/>
        <w:spacing w:after="200"/>
      </w:pPr>
      <w:r w:rsidRPr="00964B0B">
        <w:t>AUSTRALIA</w:t>
      </w:r>
    </w:p>
    <w:p w14:paraId="2D7C2165" w14:textId="77777777" w:rsidR="00737714" w:rsidRPr="00964B0B" w:rsidRDefault="0034243B" w:rsidP="00B82F15">
      <w:pPr>
        <w:pStyle w:val="CoverContact"/>
      </w:pPr>
      <w:r w:rsidRPr="00964B0B">
        <w:t>Phone:</w:t>
      </w:r>
      <w:r w:rsidRPr="00964B0B">
        <w:tab/>
        <w:t>(03) 9617 7600</w:t>
      </w:r>
    </w:p>
    <w:p w14:paraId="2D7C2166" w14:textId="77777777" w:rsidR="00E96D45" w:rsidRPr="00964B0B" w:rsidRDefault="00DB00CD" w:rsidP="00DB00CD">
      <w:pPr>
        <w:pStyle w:val="CoverContact"/>
      </w:pPr>
      <w:r w:rsidRPr="00964B0B">
        <w:t>E-mail:</w:t>
      </w:r>
      <w:r w:rsidRPr="00964B0B">
        <w:tab/>
      </w:r>
      <w:r w:rsidR="0034243B" w:rsidRPr="00964B0B">
        <w:t>standard</w:t>
      </w:r>
      <w:r w:rsidRPr="00964B0B">
        <w:t>@aasb.gov.au</w:t>
      </w:r>
    </w:p>
    <w:p w14:paraId="2D7C2167" w14:textId="77777777" w:rsidR="00E96D45" w:rsidRPr="00964B0B" w:rsidRDefault="00DB00CD" w:rsidP="00F910DB">
      <w:pPr>
        <w:pStyle w:val="CoverContact"/>
        <w:spacing w:after="200"/>
      </w:pPr>
      <w:r w:rsidRPr="00964B0B">
        <w:t>Website:</w:t>
      </w:r>
      <w:r w:rsidRPr="00964B0B">
        <w:tab/>
        <w:t>www.aasb.gov.au</w:t>
      </w:r>
    </w:p>
    <w:p w14:paraId="2D7C2168" w14:textId="77777777" w:rsidR="00090A6F" w:rsidRPr="00964B0B" w:rsidRDefault="00090A6F" w:rsidP="00F13C5A">
      <w:pPr>
        <w:pStyle w:val="Heading1"/>
      </w:pPr>
      <w:r w:rsidRPr="00964B0B">
        <w:t xml:space="preserve">Other </w:t>
      </w:r>
      <w:r w:rsidR="005655CE" w:rsidRPr="00964B0B">
        <w:t>enquiries</w:t>
      </w:r>
    </w:p>
    <w:p w14:paraId="2D7C2169" w14:textId="77777777" w:rsidR="00090A6F" w:rsidRPr="00964B0B" w:rsidRDefault="00090A6F" w:rsidP="00B82F15">
      <w:pPr>
        <w:pStyle w:val="CoverContact"/>
      </w:pPr>
      <w:r w:rsidRPr="00964B0B">
        <w:t>Phone:</w:t>
      </w:r>
      <w:r w:rsidRPr="00964B0B">
        <w:tab/>
        <w:t>(03) 9617 7600</w:t>
      </w:r>
    </w:p>
    <w:p w14:paraId="2D7C216A" w14:textId="77777777" w:rsidR="00090A6F" w:rsidRPr="00964B0B" w:rsidRDefault="00923261">
      <w:pPr>
        <w:pStyle w:val="CoverContact"/>
      </w:pPr>
      <w:r w:rsidRPr="00964B0B">
        <w:t>E-mail:</w:t>
      </w:r>
      <w:r w:rsidRPr="00964B0B">
        <w:tab/>
        <w:t>standard@aasb.gov</w:t>
      </w:r>
      <w:r w:rsidR="00090A6F" w:rsidRPr="00964B0B">
        <w:t>.au</w:t>
      </w:r>
    </w:p>
    <w:p w14:paraId="2D7C216B" w14:textId="77777777" w:rsidR="00276BC5" w:rsidRPr="00964B0B" w:rsidRDefault="00276BC5" w:rsidP="00F910DB">
      <w:pPr>
        <w:pStyle w:val="NoNumPlain1"/>
        <w:spacing w:before="6200"/>
      </w:pPr>
      <w:r w:rsidRPr="00964B0B">
        <w:t>COPYRIGHT</w:t>
      </w:r>
    </w:p>
    <w:p w14:paraId="2D7C216C" w14:textId="77777777" w:rsidR="00276BC5" w:rsidRPr="00964B0B" w:rsidRDefault="00276BC5" w:rsidP="00276BC5">
      <w:pPr>
        <w:pStyle w:val="NoNumPlain1"/>
      </w:pPr>
      <w:r w:rsidRPr="00964B0B">
        <w:t xml:space="preserve">© Commonwealth of Australia </w:t>
      </w:r>
      <w:bookmarkStart w:id="4" w:name="Year"/>
      <w:r w:rsidR="00E162E2" w:rsidRPr="00964B0B">
        <w:t>2022</w:t>
      </w:r>
      <w:bookmarkEnd w:id="4"/>
    </w:p>
    <w:p w14:paraId="2D7C216D" w14:textId="1A19D31E" w:rsidR="00276BC5" w:rsidRPr="00964B0B" w:rsidRDefault="00276BC5" w:rsidP="00276BC5">
      <w:pPr>
        <w:pStyle w:val="NoNumPlain1"/>
      </w:pPr>
      <w:r w:rsidRPr="00964B0B">
        <w:t>This AASB Standard contains IFRS Foundation copyright material.  Reproduction within Australia in unaltered form (retaining this notice) is permitted for personal and non</w:t>
      </w:r>
      <w:r w:rsidR="00895809" w:rsidRPr="00964B0B">
        <w:t>-</w:t>
      </w:r>
      <w:r w:rsidRPr="00964B0B">
        <w:t xml:space="preserve">commercial use subject to the inclusion of an acknowledgment of the source.  Requests and enquiries concerning reproduction and rights for commercial purposes within Australia should be addressed to The </w:t>
      </w:r>
      <w:r w:rsidR="00C64ADC" w:rsidRPr="00964B0B">
        <w:t xml:space="preserve">Managing </w:t>
      </w:r>
      <w:r w:rsidRPr="00964B0B">
        <w:t xml:space="preserve">Director, Australian Accounting Standards Board, </w:t>
      </w:r>
      <w:r w:rsidR="00895809" w:rsidRPr="00964B0B">
        <w:t>PO</w:t>
      </w:r>
      <w:r w:rsidR="000C248C" w:rsidRPr="00964B0B">
        <w:t xml:space="preserve"> </w:t>
      </w:r>
      <w:r w:rsidR="00895809" w:rsidRPr="00964B0B">
        <w:t>Box</w:t>
      </w:r>
      <w:r w:rsidR="000C248C" w:rsidRPr="00964B0B">
        <w:t xml:space="preserve"> </w:t>
      </w:r>
      <w:r w:rsidRPr="00964B0B">
        <w:t>204, Collins Street West, Victoria 8007.</w:t>
      </w:r>
    </w:p>
    <w:p w14:paraId="2D7C216E" w14:textId="77777777" w:rsidR="00276BC5" w:rsidRPr="00964B0B" w:rsidRDefault="00276BC5" w:rsidP="00895809">
      <w:pPr>
        <w:spacing w:after="200"/>
      </w:pPr>
      <w:r w:rsidRPr="00964B0B">
        <w:t>All existing rights in this material are reserved outside Australia.</w:t>
      </w:r>
      <w:r w:rsidR="00895809" w:rsidRPr="00964B0B">
        <w:t xml:space="preserve">  </w:t>
      </w:r>
      <w:r w:rsidRPr="00964B0B">
        <w:t>Reproduction outside Australia in unaltered form (retaining this notice) is permitted for personal and non-commercial use only.  Further information and requests for authorisation to reproduce for commercial purposes outside Australia should be addressed to the IFRS Foundation at www.ifrs.org.</w:t>
      </w:r>
    </w:p>
    <w:p w14:paraId="2D7C216F" w14:textId="77777777" w:rsidR="007455F0" w:rsidRPr="00964B0B" w:rsidRDefault="006D4700" w:rsidP="006D4700">
      <w:r w:rsidRPr="00964B0B">
        <w:t xml:space="preserve">ISSN </w:t>
      </w:r>
      <w:bookmarkStart w:id="5" w:name="ISSN"/>
      <w:r w:rsidR="00E162E2" w:rsidRPr="00964B0B">
        <w:t>1036-4803</w:t>
      </w:r>
      <w:bookmarkEnd w:id="5"/>
    </w:p>
    <w:p w14:paraId="2D7C2170" w14:textId="77777777" w:rsidR="00090A6F" w:rsidRPr="00964B0B" w:rsidRDefault="00090A6F">
      <w:pPr>
        <w:sectPr w:rsidR="00090A6F" w:rsidRPr="00964B0B" w:rsidSect="00D74C6A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2D7C2171" w14:textId="77777777" w:rsidR="00090A6F" w:rsidRPr="00964B0B" w:rsidRDefault="005655CE" w:rsidP="003C29BC">
      <w:pPr>
        <w:pStyle w:val="Heading1"/>
      </w:pPr>
      <w:r w:rsidRPr="00964B0B">
        <w:lastRenderedPageBreak/>
        <w:t>Contents</w:t>
      </w:r>
    </w:p>
    <w:p w14:paraId="2D7C2172" w14:textId="77777777" w:rsidR="00090A6F" w:rsidRPr="00964B0B" w:rsidRDefault="00090A6F" w:rsidP="002C5EF9">
      <w:pPr>
        <w:pStyle w:val="ContentsCapsPlain"/>
        <w:spacing w:before="400"/>
      </w:pPr>
      <w:r w:rsidRPr="00964B0B">
        <w:t>Preface</w:t>
      </w:r>
    </w:p>
    <w:p w14:paraId="2D7C2173" w14:textId="77777777" w:rsidR="00090A6F" w:rsidRPr="00964B0B" w:rsidRDefault="00090A6F">
      <w:pPr>
        <w:pStyle w:val="ContentsCapsBold"/>
      </w:pPr>
      <w:r w:rsidRPr="00964B0B">
        <w:t>Accounting Standard</w:t>
      </w:r>
    </w:p>
    <w:p w14:paraId="2D7C2174" w14:textId="06DD9DD5" w:rsidR="00090A6F" w:rsidRPr="00964B0B" w:rsidRDefault="00090A6F">
      <w:pPr>
        <w:pStyle w:val="ContentsCapsBold"/>
        <w:rPr>
          <w:i/>
          <w:iCs/>
        </w:rPr>
      </w:pPr>
      <w:r w:rsidRPr="00964B0B">
        <w:t xml:space="preserve">AASB </w:t>
      </w:r>
      <w:r w:rsidR="009C2479" w:rsidRPr="00964B0B">
        <w:rPr>
          <w:iCs/>
        </w:rPr>
        <w:fldChar w:fldCharType="begin" w:fldLock="1"/>
      </w:r>
      <w:r w:rsidR="009C2479" w:rsidRPr="00964B0B">
        <w:rPr>
          <w:iCs/>
        </w:rPr>
        <w:instrText xml:space="preserve"> REF DocNo \* charformat </w:instrText>
      </w:r>
      <w:r w:rsidR="009C2479" w:rsidRPr="00964B0B">
        <w:rPr>
          <w:iCs/>
        </w:rPr>
        <w:fldChar w:fldCharType="separate"/>
      </w:r>
      <w:r w:rsidR="00522685" w:rsidRPr="00964B0B">
        <w:rPr>
          <w:iCs/>
        </w:rPr>
        <w:t>2022-5</w:t>
      </w:r>
      <w:r w:rsidR="009C2479" w:rsidRPr="00964B0B">
        <w:rPr>
          <w:iCs/>
        </w:rPr>
        <w:fldChar w:fldCharType="end"/>
      </w:r>
      <w:r w:rsidRPr="00964B0B">
        <w:t xml:space="preserve"> </w:t>
      </w:r>
      <w:r w:rsidR="00CC1DF4" w:rsidRPr="00964B0B">
        <w:rPr>
          <w:i/>
        </w:rPr>
        <w:fldChar w:fldCharType="begin" w:fldLock="1"/>
      </w:r>
      <w:r w:rsidR="00CC1DF4" w:rsidRPr="00964B0B">
        <w:rPr>
          <w:i/>
        </w:rPr>
        <w:instrText xml:space="preserve"> REF DocTitle \* charformat </w:instrText>
      </w:r>
      <w:r w:rsidR="00CC1DF4" w:rsidRPr="00964B0B">
        <w:rPr>
          <w:i/>
        </w:rPr>
        <w:fldChar w:fldCharType="separate"/>
      </w:r>
      <w:r w:rsidR="00522685" w:rsidRPr="00964B0B">
        <w:rPr>
          <w:i/>
        </w:rPr>
        <w:t>Amendments to Australian Accounting Standards – Lease Liability in a Sale and Leaseback</w:t>
      </w:r>
      <w:r w:rsidR="00CC1DF4" w:rsidRPr="00964B0B">
        <w:rPr>
          <w:i/>
        </w:rPr>
        <w:fldChar w:fldCharType="end"/>
      </w:r>
    </w:p>
    <w:p w14:paraId="2D7C2175" w14:textId="77777777" w:rsidR="002B7803" w:rsidRPr="00964B0B" w:rsidRDefault="002B7803" w:rsidP="002B7803"/>
    <w:p w14:paraId="2D7C2176" w14:textId="77777777" w:rsidR="00090A6F" w:rsidRPr="00964B0B" w:rsidRDefault="009965BA" w:rsidP="00920008">
      <w:pPr>
        <w:pStyle w:val="ContentsParaHead"/>
      </w:pPr>
      <w:r w:rsidRPr="00964B0B">
        <w:t>from page</w:t>
      </w:r>
    </w:p>
    <w:p w14:paraId="36C8901C" w14:textId="77777777" w:rsidR="00F572C7" w:rsidRPr="00964B0B" w:rsidRDefault="00F572C7" w:rsidP="00564D15">
      <w:pPr>
        <w:pStyle w:val="ContentsLevel1"/>
        <w:ind w:right="0"/>
      </w:pPr>
      <w:bookmarkStart w:id="6" w:name="TOCRange"/>
      <w:r w:rsidRPr="00964B0B">
        <w:t>Objective</w:t>
      </w:r>
      <w:r w:rsidRPr="00964B0B">
        <w:tab/>
        <w:t>5</w:t>
      </w:r>
    </w:p>
    <w:p w14:paraId="474D605B" w14:textId="77777777" w:rsidR="00F572C7" w:rsidRPr="00964B0B" w:rsidRDefault="00F572C7" w:rsidP="009362A4">
      <w:pPr>
        <w:pStyle w:val="ContentsLevel1"/>
        <w:ind w:right="0"/>
      </w:pPr>
      <w:r w:rsidRPr="00964B0B">
        <w:t>Application</w:t>
      </w:r>
      <w:r w:rsidRPr="00964B0B">
        <w:tab/>
        <w:t>5</w:t>
      </w:r>
    </w:p>
    <w:p w14:paraId="7E766942" w14:textId="53A2D1F7" w:rsidR="00F572C7" w:rsidRPr="00964B0B" w:rsidRDefault="00F572C7" w:rsidP="009362A4">
      <w:pPr>
        <w:pStyle w:val="ContentsLevel1"/>
        <w:ind w:right="0"/>
      </w:pPr>
      <w:r w:rsidRPr="00964B0B">
        <w:t>Amendments to AASB 1</w:t>
      </w:r>
      <w:r w:rsidR="00B42566" w:rsidRPr="00964B0B">
        <w:t>6</w:t>
      </w:r>
      <w:r w:rsidRPr="00964B0B">
        <w:tab/>
        <w:t>5</w:t>
      </w:r>
    </w:p>
    <w:p w14:paraId="16A8B057" w14:textId="0D664689" w:rsidR="00CB79D8" w:rsidRPr="00964B0B" w:rsidRDefault="00CB79D8" w:rsidP="009362A4">
      <w:pPr>
        <w:tabs>
          <w:tab w:val="right" w:pos="9071"/>
        </w:tabs>
        <w:rPr>
          <w:b/>
          <w:bCs/>
        </w:rPr>
      </w:pPr>
      <w:r w:rsidRPr="00964B0B">
        <w:rPr>
          <w:b/>
          <w:bCs/>
        </w:rPr>
        <w:t>COMMENCEMENT OF THE LEGISLATIVE INSTRUMENT</w:t>
      </w:r>
      <w:r w:rsidRPr="00964B0B">
        <w:rPr>
          <w:b/>
          <w:bCs/>
        </w:rPr>
        <w:tab/>
      </w:r>
      <w:r w:rsidR="007C02F4" w:rsidRPr="00964B0B">
        <w:rPr>
          <w:b/>
          <w:bCs/>
        </w:rPr>
        <w:t>6</w:t>
      </w:r>
      <w:bookmarkStart w:id="7" w:name="ContentsMarker"/>
      <w:bookmarkEnd w:id="7"/>
    </w:p>
    <w:bookmarkEnd w:id="6"/>
    <w:p w14:paraId="2D7C217B" w14:textId="77777777" w:rsidR="0034243B" w:rsidRPr="00964B0B" w:rsidRDefault="0034243B" w:rsidP="00FE7D5D">
      <w:pPr>
        <w:pStyle w:val="ContentsCapsBold"/>
        <w:spacing w:before="400" w:after="60"/>
      </w:pPr>
      <w:r w:rsidRPr="00964B0B">
        <w:t>aVailable on the AASB website</w:t>
      </w:r>
    </w:p>
    <w:p w14:paraId="570B44A3" w14:textId="5301ADAD" w:rsidR="00BA1CA4" w:rsidRPr="00964B0B" w:rsidRDefault="00B83DF8" w:rsidP="002B5D86">
      <w:pPr>
        <w:pStyle w:val="ContentsCapsBoldPg"/>
        <w:spacing w:after="60"/>
      </w:pPr>
      <w:r w:rsidRPr="00964B0B">
        <w:t xml:space="preserve">IASB </w:t>
      </w:r>
      <w:r w:rsidR="006E2F6C" w:rsidRPr="00964B0B">
        <w:t xml:space="preserve">Illustrative examples </w:t>
      </w:r>
      <w:r w:rsidR="0028631F" w:rsidRPr="00964B0B">
        <w:t>–</w:t>
      </w:r>
      <w:r w:rsidRPr="00964B0B">
        <w:t xml:space="preserve"> Amendments</w:t>
      </w:r>
    </w:p>
    <w:p w14:paraId="2D7C217C" w14:textId="02C73CFE" w:rsidR="0034243B" w:rsidRPr="00964B0B" w:rsidRDefault="0034243B" w:rsidP="00232AF4">
      <w:pPr>
        <w:pStyle w:val="ContentsCapsBoldPg"/>
        <w:spacing w:after="60"/>
      </w:pPr>
      <w:r w:rsidRPr="00964B0B">
        <w:t xml:space="preserve">IASB </w:t>
      </w:r>
      <w:r w:rsidR="00A332A6" w:rsidRPr="00964B0B">
        <w:t>Bas</w:t>
      </w:r>
      <w:r w:rsidR="007C02F4" w:rsidRPr="00964B0B">
        <w:t>i</w:t>
      </w:r>
      <w:r w:rsidR="00A332A6" w:rsidRPr="00964B0B">
        <w:t>s</w:t>
      </w:r>
      <w:r w:rsidRPr="00964B0B">
        <w:t xml:space="preserve"> for Conclusions – Amendments</w:t>
      </w:r>
    </w:p>
    <w:p w14:paraId="2D7C217D" w14:textId="77777777" w:rsidR="0034243B" w:rsidRPr="00964B0B" w:rsidRDefault="0034243B" w:rsidP="0034243B">
      <w:pPr>
        <w:pStyle w:val="ContentsCapsBoldPg"/>
      </w:pPr>
    </w:p>
    <w:p w14:paraId="2D7C217E" w14:textId="5AE9740C" w:rsidR="00090A6F" w:rsidRPr="00964B0B" w:rsidRDefault="00090A6F">
      <w:pPr>
        <w:pStyle w:val="ContentsBox"/>
      </w:pPr>
      <w:r w:rsidRPr="00964B0B">
        <w:t xml:space="preserve">Australian Accounting Standard AASB </w:t>
      </w:r>
      <w:r w:rsidR="00BC0D5D" w:rsidRPr="00964B0B">
        <w:rPr>
          <w:iCs/>
        </w:rPr>
        <w:fldChar w:fldCharType="begin" w:fldLock="1"/>
      </w:r>
      <w:r w:rsidR="00BC0D5D" w:rsidRPr="00964B0B">
        <w:rPr>
          <w:iCs/>
        </w:rPr>
        <w:instrText xml:space="preserve"> REF </w:instrText>
      </w:r>
      <w:r w:rsidR="009C2479" w:rsidRPr="00964B0B">
        <w:rPr>
          <w:iCs/>
        </w:rPr>
        <w:instrText>Doc</w:instrText>
      </w:r>
      <w:r w:rsidR="00BC0D5D" w:rsidRPr="00964B0B">
        <w:rPr>
          <w:iCs/>
        </w:rPr>
        <w:instrText xml:space="preserve">No \* charformat </w:instrText>
      </w:r>
      <w:r w:rsidR="00BC0D5D" w:rsidRPr="00964B0B">
        <w:rPr>
          <w:iCs/>
        </w:rPr>
        <w:fldChar w:fldCharType="separate"/>
      </w:r>
      <w:r w:rsidR="00522685" w:rsidRPr="00964B0B">
        <w:rPr>
          <w:iCs/>
        </w:rPr>
        <w:t>2022-5</w:t>
      </w:r>
      <w:r w:rsidR="00BC0D5D" w:rsidRPr="00964B0B">
        <w:rPr>
          <w:iCs/>
        </w:rPr>
        <w:fldChar w:fldCharType="end"/>
      </w:r>
      <w:r w:rsidRPr="00964B0B">
        <w:t xml:space="preserve"> </w:t>
      </w:r>
      <w:r w:rsidR="00CC1DF4" w:rsidRPr="00964B0B">
        <w:rPr>
          <w:i/>
        </w:rPr>
        <w:fldChar w:fldCharType="begin" w:fldLock="1"/>
      </w:r>
      <w:r w:rsidR="00CC1DF4" w:rsidRPr="00964B0B">
        <w:rPr>
          <w:i/>
        </w:rPr>
        <w:instrText xml:space="preserve"> REF DocTitle \* charformat </w:instrText>
      </w:r>
      <w:r w:rsidR="00CC1DF4" w:rsidRPr="00964B0B">
        <w:rPr>
          <w:i/>
        </w:rPr>
        <w:fldChar w:fldCharType="separate"/>
      </w:r>
      <w:r w:rsidR="00522685" w:rsidRPr="00964B0B">
        <w:rPr>
          <w:i/>
        </w:rPr>
        <w:t>Amendments to Australian Accounting Standards – Lease Liability in a Sale and Leaseback</w:t>
      </w:r>
      <w:r w:rsidR="00CC1DF4" w:rsidRPr="00964B0B">
        <w:rPr>
          <w:i/>
        </w:rPr>
        <w:fldChar w:fldCharType="end"/>
      </w:r>
      <w:r w:rsidRPr="00964B0B">
        <w:rPr>
          <w:i/>
          <w:iCs/>
        </w:rPr>
        <w:t xml:space="preserve"> </w:t>
      </w:r>
      <w:r w:rsidRPr="00964B0B">
        <w:t xml:space="preserve">is set out </w:t>
      </w:r>
      <w:r w:rsidR="005655CE" w:rsidRPr="00964B0B">
        <w:t>o</w:t>
      </w:r>
      <w:r w:rsidRPr="00964B0B">
        <w:t xml:space="preserve">n </w:t>
      </w:r>
      <w:r w:rsidR="005655CE" w:rsidRPr="00964B0B">
        <w:t>pages</w:t>
      </w:r>
      <w:r w:rsidRPr="00964B0B">
        <w:t xml:space="preserve"> </w:t>
      </w:r>
      <w:r w:rsidR="002F4EAF" w:rsidRPr="00964B0B">
        <w:t xml:space="preserve">5 </w:t>
      </w:r>
      <w:r w:rsidR="002F4EAF" w:rsidRPr="00964B0B">
        <w:rPr>
          <w:iCs/>
        </w:rPr>
        <w:t>–</w:t>
      </w:r>
      <w:r w:rsidR="00E3317B" w:rsidRPr="00964B0B">
        <w:rPr>
          <w:iCs/>
        </w:rPr>
        <w:t xml:space="preserve"> </w:t>
      </w:r>
      <w:r w:rsidR="002F4EAF" w:rsidRPr="00964B0B">
        <w:rPr>
          <w:iCs/>
        </w:rPr>
        <w:t>6</w:t>
      </w:r>
      <w:r w:rsidRPr="00964B0B">
        <w:t>. All the pa</w:t>
      </w:r>
      <w:r w:rsidR="009C2479" w:rsidRPr="00964B0B">
        <w:t>ragraphs have equal authority.</w:t>
      </w:r>
    </w:p>
    <w:p w14:paraId="2D7C217F" w14:textId="77777777" w:rsidR="00090A6F" w:rsidRPr="00964B0B" w:rsidRDefault="00090A6F" w:rsidP="00D93EF7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</w:p>
    <w:p w14:paraId="2D7C2180" w14:textId="77777777" w:rsidR="00090A6F" w:rsidRPr="00964B0B" w:rsidRDefault="00090A6F" w:rsidP="00D93EF7">
      <w:pPr>
        <w:sectPr w:rsidR="00090A6F" w:rsidRPr="00964B0B" w:rsidSect="00D74C6A">
          <w:footerReference w:type="default" r:id="rId15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2D7C2181" w14:textId="77777777" w:rsidR="00090A6F" w:rsidRPr="00964B0B" w:rsidRDefault="00090A6F">
      <w:pPr>
        <w:pStyle w:val="Heading1"/>
      </w:pPr>
      <w:r w:rsidRPr="00964B0B">
        <w:lastRenderedPageBreak/>
        <w:t>Preface</w:t>
      </w:r>
    </w:p>
    <w:p w14:paraId="2D7C2182" w14:textId="68932EEA" w:rsidR="000F64CC" w:rsidRPr="00964B0B" w:rsidRDefault="00CA61C5" w:rsidP="00D762A4">
      <w:pPr>
        <w:pStyle w:val="Heading2"/>
        <w:spacing w:before="400"/>
      </w:pPr>
      <w:r w:rsidRPr="00964B0B">
        <w:t xml:space="preserve">Standards amended by AASB </w:t>
      </w:r>
      <w:r w:rsidRPr="00964B0B">
        <w:fldChar w:fldCharType="begin" w:fldLock="1"/>
      </w:r>
      <w:r w:rsidRPr="00964B0B">
        <w:instrText xml:space="preserve"> REF DocNo \* charformat</w:instrText>
      </w:r>
      <w:r w:rsidRPr="00964B0B">
        <w:fldChar w:fldCharType="separate"/>
      </w:r>
      <w:r w:rsidR="00522685" w:rsidRPr="00964B0B">
        <w:t>2022-5</w:t>
      </w:r>
      <w:r w:rsidRPr="00964B0B">
        <w:fldChar w:fldCharType="end"/>
      </w:r>
    </w:p>
    <w:p w14:paraId="2D7C2184" w14:textId="2F433CFF" w:rsidR="00074133" w:rsidRPr="00964B0B" w:rsidRDefault="009C2479" w:rsidP="005A2514">
      <w:pPr>
        <w:pStyle w:val="NoNumPlain1"/>
      </w:pPr>
      <w:r w:rsidRPr="00964B0B">
        <w:t xml:space="preserve">This Standard makes amendments to </w:t>
      </w:r>
      <w:r w:rsidR="00FD6649" w:rsidRPr="00964B0B">
        <w:t xml:space="preserve">AASB 16 </w:t>
      </w:r>
      <w:r w:rsidR="00FD6649" w:rsidRPr="00964B0B">
        <w:rPr>
          <w:i/>
          <w:iCs/>
        </w:rPr>
        <w:t xml:space="preserve">Leases </w:t>
      </w:r>
      <w:r w:rsidR="00FD6649" w:rsidRPr="00964B0B">
        <w:t>(</w:t>
      </w:r>
      <w:r w:rsidR="00050598" w:rsidRPr="00964B0B">
        <w:t>February 2016</w:t>
      </w:r>
      <w:r w:rsidR="00FD6649" w:rsidRPr="00964B0B">
        <w:t>).</w:t>
      </w:r>
    </w:p>
    <w:p w14:paraId="2D7C2186" w14:textId="074B8C31" w:rsidR="00401ECA" w:rsidRPr="00964B0B" w:rsidRDefault="00401ECA" w:rsidP="00401ECA">
      <w:pPr>
        <w:pStyle w:val="NoNumPlain1"/>
      </w:pPr>
      <w:r w:rsidRPr="00964B0B">
        <w:t xml:space="preserve">These </w:t>
      </w:r>
      <w:r w:rsidR="00460FBB" w:rsidRPr="00964B0B">
        <w:t>a</w:t>
      </w:r>
      <w:r w:rsidRPr="00964B0B">
        <w:t>mendments arise from</w:t>
      </w:r>
      <w:r w:rsidR="00D00FD5" w:rsidRPr="00964B0B">
        <w:t xml:space="preserve"> the issuance of </w:t>
      </w:r>
      <w:r w:rsidR="008A16EB" w:rsidRPr="00964B0B">
        <w:t xml:space="preserve">International Financial Reporting Standard </w:t>
      </w:r>
      <w:bookmarkStart w:id="8" w:name="ArisingTitle"/>
      <w:r w:rsidR="00867213" w:rsidRPr="00964B0B">
        <w:rPr>
          <w:i/>
        </w:rPr>
        <w:t>Lease Liability in a Sale and Leaseback</w:t>
      </w:r>
      <w:bookmarkEnd w:id="8"/>
      <w:r w:rsidR="00B8166B" w:rsidRPr="00964B0B">
        <w:t xml:space="preserve"> </w:t>
      </w:r>
      <w:r w:rsidR="00867213" w:rsidRPr="00964B0B">
        <w:t xml:space="preserve">(Amendments to IFRS 16) </w:t>
      </w:r>
      <w:r w:rsidR="008A16EB" w:rsidRPr="00964B0B">
        <w:t xml:space="preserve">by the International Accounting Standards Board (IASB) in </w:t>
      </w:r>
      <w:bookmarkStart w:id="9" w:name="ArisingDate"/>
      <w:r w:rsidR="00C63364" w:rsidRPr="00964B0B">
        <w:t>September 2022</w:t>
      </w:r>
      <w:bookmarkEnd w:id="9"/>
      <w:r w:rsidR="008A16EB" w:rsidRPr="00964B0B">
        <w:t>.</w:t>
      </w:r>
    </w:p>
    <w:p w14:paraId="2D7C2187" w14:textId="77777777" w:rsidR="00090A6F" w:rsidRPr="00964B0B" w:rsidRDefault="00F22AF2" w:rsidP="00D762A4">
      <w:pPr>
        <w:pStyle w:val="Heading2"/>
        <w:spacing w:before="400"/>
      </w:pPr>
      <w:r w:rsidRPr="00964B0B">
        <w:t>Main features of this Standard</w:t>
      </w:r>
    </w:p>
    <w:p w14:paraId="2D7C2188" w14:textId="77777777" w:rsidR="00F22AF2" w:rsidRPr="00964B0B" w:rsidRDefault="00F22AF2" w:rsidP="00F22AF2">
      <w:pPr>
        <w:pStyle w:val="Heading2Indent1"/>
      </w:pPr>
      <w:r w:rsidRPr="00964B0B">
        <w:t>Main requirements</w:t>
      </w:r>
    </w:p>
    <w:p w14:paraId="6359F196" w14:textId="46FFFA15" w:rsidR="00E82899" w:rsidRPr="00964B0B" w:rsidRDefault="0030546C" w:rsidP="00631D6E">
      <w:pPr>
        <w:pStyle w:val="NoNumPlain1"/>
      </w:pPr>
      <w:r w:rsidRPr="00964B0B">
        <w:t>This Standard amends AASB 1</w:t>
      </w:r>
      <w:r w:rsidR="00E95368" w:rsidRPr="00964B0B">
        <w:t>6</w:t>
      </w:r>
      <w:r w:rsidRPr="00964B0B">
        <w:t xml:space="preserve"> to </w:t>
      </w:r>
      <w:r w:rsidR="003F0762" w:rsidRPr="00964B0B">
        <w:t xml:space="preserve">add subsequent measurement requirements for sale and leaseback transactions that satisfy the requirements in </w:t>
      </w:r>
      <w:r w:rsidR="00E95368" w:rsidRPr="00964B0B">
        <w:t>AASB</w:t>
      </w:r>
      <w:r w:rsidR="003F0762" w:rsidRPr="00964B0B">
        <w:t xml:space="preserve"> 15 </w:t>
      </w:r>
      <w:r w:rsidR="00611B13" w:rsidRPr="00964B0B">
        <w:rPr>
          <w:i/>
          <w:iCs/>
        </w:rPr>
        <w:t xml:space="preserve">Revenue from Contracts with Customers </w:t>
      </w:r>
      <w:r w:rsidR="003F0762" w:rsidRPr="00964B0B">
        <w:t>to be accounted for as a sale.</w:t>
      </w:r>
    </w:p>
    <w:p w14:paraId="2D7C2189" w14:textId="74FDC874" w:rsidR="00F22AF2" w:rsidRPr="00964B0B" w:rsidRDefault="003717B5" w:rsidP="00F22AF2">
      <w:pPr>
        <w:pStyle w:val="NoNumPlain1"/>
      </w:pPr>
      <w:r w:rsidRPr="00964B0B">
        <w:t xml:space="preserve">AASB 16 already requires </w:t>
      </w:r>
      <w:r w:rsidR="0016735A" w:rsidRPr="00964B0B">
        <w:t xml:space="preserve">a </w:t>
      </w:r>
      <w:r w:rsidRPr="00964B0B">
        <w:t xml:space="preserve">seller-lessee to </w:t>
      </w:r>
      <w:r w:rsidR="007037B0" w:rsidRPr="00964B0B">
        <w:t>recognise only the amount of any gain or loss that relates to the rights transferred to the buyer-lessor</w:t>
      </w:r>
      <w:r w:rsidRPr="00964B0B">
        <w:t>.</w:t>
      </w:r>
      <w:r w:rsidR="00C22A4A" w:rsidRPr="00964B0B">
        <w:t xml:space="preserve"> </w:t>
      </w:r>
      <w:r w:rsidRPr="00964B0B">
        <w:t xml:space="preserve"> The amendments</w:t>
      </w:r>
      <w:r w:rsidR="00537854" w:rsidRPr="00964B0B">
        <w:t xml:space="preserve"> made by </w:t>
      </w:r>
      <w:r w:rsidR="00861A9C" w:rsidRPr="00964B0B">
        <w:t>this Standard</w:t>
      </w:r>
      <w:r w:rsidRPr="00964B0B">
        <w:t xml:space="preserve"> ensure that </w:t>
      </w:r>
      <w:r w:rsidR="00631D6E" w:rsidRPr="00964B0B">
        <w:t xml:space="preserve">a </w:t>
      </w:r>
      <w:r w:rsidR="00755740" w:rsidRPr="00964B0B">
        <w:t xml:space="preserve">similar </w:t>
      </w:r>
      <w:r w:rsidR="00631D6E" w:rsidRPr="00964B0B">
        <w:t xml:space="preserve">approach is applied by </w:t>
      </w:r>
      <w:r w:rsidR="005C1572" w:rsidRPr="00964B0B">
        <w:t xml:space="preserve">also </w:t>
      </w:r>
      <w:r w:rsidR="00A13B2B" w:rsidRPr="00964B0B">
        <w:t xml:space="preserve">requiring </w:t>
      </w:r>
      <w:r w:rsidR="003F0762" w:rsidRPr="00964B0B">
        <w:t xml:space="preserve">a seller-lessee to subsequently measure lease liabilities arising from a leaseback in a way that </w:t>
      </w:r>
      <w:r w:rsidR="00060DF9" w:rsidRPr="00964B0B">
        <w:t>does not recognise any amount of the gain or loss related</w:t>
      </w:r>
      <w:r w:rsidR="003F0762" w:rsidRPr="00964B0B">
        <w:t xml:space="preserve"> to the right of use it retains.</w:t>
      </w:r>
    </w:p>
    <w:p w14:paraId="2D7C218A" w14:textId="77777777" w:rsidR="00F22AF2" w:rsidRPr="00964B0B" w:rsidRDefault="00F22AF2" w:rsidP="00F22AF2">
      <w:pPr>
        <w:pStyle w:val="Heading2Indent1"/>
      </w:pPr>
      <w:r w:rsidRPr="00964B0B">
        <w:t>Application date</w:t>
      </w:r>
    </w:p>
    <w:p w14:paraId="2D7C218B" w14:textId="571E902F" w:rsidR="00F22AF2" w:rsidRPr="00964B0B" w:rsidRDefault="00B16904" w:rsidP="00F22AF2">
      <w:pPr>
        <w:pStyle w:val="NoNumPlain1"/>
      </w:pPr>
      <w:r w:rsidRPr="00964B0B">
        <w:t xml:space="preserve">This Standard applies to annual periods </w:t>
      </w:r>
      <w:bookmarkStart w:id="10" w:name="ApplyText"/>
      <w:r w:rsidRPr="00964B0B">
        <w:t>beginning</w:t>
      </w:r>
      <w:bookmarkEnd w:id="10"/>
      <w:r w:rsidRPr="00964B0B">
        <w:t xml:space="preserve"> on or after</w:t>
      </w:r>
      <w:r w:rsidR="00867FB0" w:rsidRPr="00964B0B">
        <w:t xml:space="preserve"> </w:t>
      </w:r>
      <w:bookmarkStart w:id="11" w:name="ApplyDate"/>
      <w:r w:rsidR="00E162E2" w:rsidRPr="00964B0B">
        <w:t>1</w:t>
      </w:r>
      <w:r w:rsidR="00573894" w:rsidRPr="00964B0B">
        <w:t xml:space="preserve"> </w:t>
      </w:r>
      <w:r w:rsidR="00E162E2" w:rsidRPr="00964B0B">
        <w:t>January</w:t>
      </w:r>
      <w:r w:rsidR="00573894" w:rsidRPr="00964B0B">
        <w:t xml:space="preserve"> </w:t>
      </w:r>
      <w:r w:rsidR="00E162E2" w:rsidRPr="00964B0B">
        <w:t>2024</w:t>
      </w:r>
      <w:bookmarkEnd w:id="11"/>
      <w:r w:rsidRPr="00964B0B">
        <w:t>.  Earlier application is permitted</w:t>
      </w:r>
      <w:r w:rsidR="000069A5" w:rsidRPr="00964B0B">
        <w:t>.</w:t>
      </w:r>
    </w:p>
    <w:p w14:paraId="2D7C218C" w14:textId="77777777" w:rsidR="00F22AF2" w:rsidRPr="00964B0B" w:rsidRDefault="00F22AF2"/>
    <w:p w14:paraId="2D7C218D" w14:textId="77777777" w:rsidR="00090A6F" w:rsidRPr="00964B0B" w:rsidRDefault="00090A6F">
      <w:pPr>
        <w:sectPr w:rsidR="00090A6F" w:rsidRPr="00964B0B" w:rsidSect="00D74C6A">
          <w:footerReference w:type="default" r:id="rId16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2D7C218E" w14:textId="12114EBD" w:rsidR="001662B8" w:rsidRPr="00964B0B" w:rsidRDefault="00F13C5A" w:rsidP="001662B8">
      <w:pPr>
        <w:pStyle w:val="Heading1"/>
      </w:pPr>
      <w:r w:rsidRPr="00964B0B">
        <w:lastRenderedPageBreak/>
        <w:t xml:space="preserve">Accounting Standard </w:t>
      </w:r>
      <w:r w:rsidR="001662B8" w:rsidRPr="00964B0B">
        <w:t xml:space="preserve">AASB </w:t>
      </w:r>
      <w:r w:rsidR="001662B8" w:rsidRPr="00964B0B">
        <w:rPr>
          <w:iCs/>
        </w:rPr>
        <w:fldChar w:fldCharType="begin" w:fldLock="1"/>
      </w:r>
      <w:r w:rsidR="001662B8" w:rsidRPr="00964B0B">
        <w:rPr>
          <w:iCs/>
        </w:rPr>
        <w:instrText xml:space="preserve"> REF DocNo \* charformat </w:instrText>
      </w:r>
      <w:r w:rsidR="001662B8" w:rsidRPr="00964B0B">
        <w:rPr>
          <w:iCs/>
        </w:rPr>
        <w:fldChar w:fldCharType="separate"/>
      </w:r>
      <w:r w:rsidR="00522685" w:rsidRPr="00964B0B">
        <w:rPr>
          <w:iCs/>
        </w:rPr>
        <w:t>2022-5</w:t>
      </w:r>
      <w:r w:rsidR="001662B8" w:rsidRPr="00964B0B">
        <w:rPr>
          <w:iCs/>
        </w:rPr>
        <w:fldChar w:fldCharType="end"/>
      </w:r>
    </w:p>
    <w:p w14:paraId="2D7C218F" w14:textId="0ED80C5D" w:rsidR="001662B8" w:rsidRPr="00964B0B" w:rsidRDefault="001662B8" w:rsidP="003E1900">
      <w:pPr>
        <w:pStyle w:val="NoNumPlain1"/>
      </w:pPr>
      <w:r w:rsidRPr="00964B0B">
        <w:t>The Australian Accounting Standards Board makes Accounting Standard AASB</w:t>
      </w:r>
      <w:r w:rsidR="00573894" w:rsidRPr="00964B0B">
        <w:t xml:space="preserve"> </w:t>
      </w:r>
      <w:fldSimple w:instr=" REF DocNo  \* charformat " w:fldLock="1">
        <w:r w:rsidR="00522685" w:rsidRPr="00964B0B">
          <w:t>2022-5</w:t>
        </w:r>
      </w:fldSimple>
      <w:r w:rsidRPr="00964B0B">
        <w:t xml:space="preserve"> </w:t>
      </w:r>
      <w:r w:rsidR="00CC1DF4" w:rsidRPr="00964B0B">
        <w:rPr>
          <w:i/>
        </w:rPr>
        <w:fldChar w:fldCharType="begin" w:fldLock="1"/>
      </w:r>
      <w:r w:rsidR="00CC1DF4" w:rsidRPr="00964B0B">
        <w:rPr>
          <w:i/>
        </w:rPr>
        <w:instrText xml:space="preserve"> REF DocTitle \* charformat </w:instrText>
      </w:r>
      <w:r w:rsidR="00CC1DF4" w:rsidRPr="00964B0B">
        <w:rPr>
          <w:i/>
        </w:rPr>
        <w:fldChar w:fldCharType="separate"/>
      </w:r>
      <w:r w:rsidR="00522685" w:rsidRPr="00964B0B">
        <w:rPr>
          <w:i/>
        </w:rPr>
        <w:t>Amendments to Australian Accounting Standards – Lease Liability in a Sale and Leaseback</w:t>
      </w:r>
      <w:r w:rsidR="00CC1DF4" w:rsidRPr="00964B0B">
        <w:rPr>
          <w:i/>
        </w:rPr>
        <w:fldChar w:fldCharType="end"/>
      </w:r>
      <w:bookmarkStart w:id="12" w:name="CorpsAct"/>
      <w:r w:rsidR="002B7803" w:rsidRPr="00964B0B">
        <w:rPr>
          <w:i/>
          <w:iCs/>
        </w:rPr>
        <w:t xml:space="preserve"> </w:t>
      </w:r>
      <w:r w:rsidRPr="00964B0B">
        <w:t xml:space="preserve">under section 334 of the </w:t>
      </w:r>
      <w:r w:rsidRPr="00964B0B">
        <w:rPr>
          <w:i/>
          <w:iCs/>
        </w:rPr>
        <w:t>Corporations Act 2001</w:t>
      </w:r>
      <w:bookmarkEnd w:id="12"/>
      <w:r w:rsidRPr="00964B0B">
        <w:t>.</w:t>
      </w:r>
    </w:p>
    <w:tbl>
      <w:tblPr>
        <w:tblW w:w="9322" w:type="dxa"/>
        <w:tblInd w:w="-108" w:type="dxa"/>
        <w:tblLook w:val="0000" w:firstRow="0" w:lastRow="0" w:firstColumn="0" w:lastColumn="0" w:noHBand="0" w:noVBand="0"/>
        <w:tblCaption w:val="Authorisation of the statement that the AASB has made the Standard"/>
        <w:tblDescription w:val="Date when the Standard was made by the AASB, the name of the AASB Chair, and the statement of that position"/>
      </w:tblPr>
      <w:tblGrid>
        <w:gridCol w:w="4361"/>
        <w:gridCol w:w="4961"/>
      </w:tblGrid>
      <w:tr w:rsidR="00C03C7B" w:rsidRPr="00964B0B" w14:paraId="2D7C2192" w14:textId="77777777" w:rsidTr="000A13E1">
        <w:tc>
          <w:tcPr>
            <w:tcW w:w="4361" w:type="dxa"/>
          </w:tcPr>
          <w:p w14:paraId="2D7C2190" w14:textId="77777777" w:rsidR="00C03C7B" w:rsidRPr="00964B0B" w:rsidRDefault="00C03C7B" w:rsidP="0048155F"/>
        </w:tc>
        <w:tc>
          <w:tcPr>
            <w:tcW w:w="4961" w:type="dxa"/>
          </w:tcPr>
          <w:p w14:paraId="2D7C2191" w14:textId="77777777" w:rsidR="00C03C7B" w:rsidRPr="00964B0B" w:rsidRDefault="000A13E1" w:rsidP="0048155F">
            <w:pPr>
              <w:jc w:val="right"/>
            </w:pPr>
            <w:r w:rsidRPr="00964B0B">
              <w:t>Dr Keith Kendall</w:t>
            </w:r>
          </w:p>
        </w:tc>
      </w:tr>
      <w:tr w:rsidR="00C03C7B" w:rsidRPr="00964B0B" w14:paraId="2D7C2195" w14:textId="77777777" w:rsidTr="000A13E1">
        <w:tc>
          <w:tcPr>
            <w:tcW w:w="4361" w:type="dxa"/>
          </w:tcPr>
          <w:p w14:paraId="2D7C2193" w14:textId="4ECD747E" w:rsidR="00C03C7B" w:rsidRPr="00964B0B" w:rsidRDefault="00D93EF7" w:rsidP="0048155F">
            <w:r w:rsidRPr="00964B0B">
              <w:t xml:space="preserve"> </w:t>
            </w:r>
            <w:r w:rsidR="00C50494" w:rsidRPr="00964B0B">
              <w:t xml:space="preserve"> </w:t>
            </w:r>
            <w:r w:rsidR="00C03C7B" w:rsidRPr="00964B0B">
              <w:t xml:space="preserve">Dated </w:t>
            </w:r>
            <w:bookmarkStart w:id="13" w:name="DateSigned"/>
            <w:r w:rsidR="008E508E" w:rsidRPr="00964B0B">
              <w:t>10 November 2022</w:t>
            </w:r>
            <w:r w:rsidR="00E162E2" w:rsidRPr="00964B0B">
              <w:t xml:space="preserve"> </w:t>
            </w:r>
            <w:bookmarkEnd w:id="13"/>
          </w:p>
        </w:tc>
        <w:tc>
          <w:tcPr>
            <w:tcW w:w="4961" w:type="dxa"/>
          </w:tcPr>
          <w:p w14:paraId="2D7C2194" w14:textId="77777777" w:rsidR="00C03C7B" w:rsidRPr="00964B0B" w:rsidRDefault="00C03C7B" w:rsidP="0048155F">
            <w:pPr>
              <w:jc w:val="right"/>
            </w:pPr>
            <w:r w:rsidRPr="00964B0B">
              <w:t>Chair – AASB</w:t>
            </w:r>
          </w:p>
        </w:tc>
      </w:tr>
    </w:tbl>
    <w:p w14:paraId="2D7C2196" w14:textId="7AFC17D4" w:rsidR="00090A6F" w:rsidRPr="00964B0B" w:rsidRDefault="00F13C5A" w:rsidP="00867FB0">
      <w:pPr>
        <w:pStyle w:val="Heading1"/>
        <w:spacing w:after="0"/>
      </w:pPr>
      <w:r w:rsidRPr="00964B0B">
        <w:t xml:space="preserve">Accounting Standard </w:t>
      </w:r>
      <w:r w:rsidR="00090A6F" w:rsidRPr="00964B0B">
        <w:t xml:space="preserve">AASB </w:t>
      </w:r>
      <w:r w:rsidR="00BC0D5D" w:rsidRPr="00964B0B">
        <w:rPr>
          <w:iCs/>
        </w:rPr>
        <w:fldChar w:fldCharType="begin" w:fldLock="1"/>
      </w:r>
      <w:r w:rsidR="00BC0D5D" w:rsidRPr="00964B0B">
        <w:rPr>
          <w:iCs/>
        </w:rPr>
        <w:instrText xml:space="preserve"> REF </w:instrText>
      </w:r>
      <w:r w:rsidR="001662B8" w:rsidRPr="00964B0B">
        <w:rPr>
          <w:iCs/>
        </w:rPr>
        <w:instrText>Doc</w:instrText>
      </w:r>
      <w:r w:rsidR="00BC0D5D" w:rsidRPr="00964B0B">
        <w:rPr>
          <w:iCs/>
        </w:rPr>
        <w:instrText xml:space="preserve">No \* charformat </w:instrText>
      </w:r>
      <w:r w:rsidR="00BC0D5D" w:rsidRPr="00964B0B">
        <w:rPr>
          <w:iCs/>
        </w:rPr>
        <w:fldChar w:fldCharType="separate"/>
      </w:r>
      <w:r w:rsidR="00522685" w:rsidRPr="00964B0B">
        <w:rPr>
          <w:iCs/>
        </w:rPr>
        <w:t>2022-5</w:t>
      </w:r>
      <w:r w:rsidR="00BC0D5D" w:rsidRPr="00964B0B">
        <w:rPr>
          <w:iCs/>
        </w:rPr>
        <w:fldChar w:fldCharType="end"/>
      </w:r>
    </w:p>
    <w:p w14:paraId="2D7C2197" w14:textId="7BAEA8FD" w:rsidR="00090A6F" w:rsidRPr="00964B0B" w:rsidRDefault="00CC1DF4" w:rsidP="003E1900">
      <w:pPr>
        <w:pStyle w:val="Heading1Italic"/>
        <w:spacing w:before="0"/>
      </w:pPr>
      <w:r w:rsidRPr="00964B0B">
        <w:fldChar w:fldCharType="begin" w:fldLock="1"/>
      </w:r>
      <w:r w:rsidRPr="00964B0B">
        <w:instrText xml:space="preserve"> REF DocTitle \* charformat</w:instrText>
      </w:r>
      <w:r w:rsidRPr="00964B0B">
        <w:fldChar w:fldCharType="separate"/>
      </w:r>
      <w:r w:rsidR="00522685" w:rsidRPr="00964B0B">
        <w:t>Amendments to Australian Accounting Standards – Lease Liability in a Sale and Leaseback</w:t>
      </w:r>
      <w:r w:rsidRPr="00964B0B">
        <w:fldChar w:fldCharType="end"/>
      </w:r>
    </w:p>
    <w:p w14:paraId="2D7C2198" w14:textId="77777777" w:rsidR="00090A6F" w:rsidRPr="00964B0B" w:rsidRDefault="00090A6F" w:rsidP="00FC30DA">
      <w:pPr>
        <w:pStyle w:val="Heading2"/>
      </w:pPr>
      <w:bookmarkStart w:id="14" w:name="TOCStart"/>
      <w:bookmarkEnd w:id="14"/>
      <w:r w:rsidRPr="00964B0B">
        <w:t>Objective</w:t>
      </w:r>
    </w:p>
    <w:p w14:paraId="2D7C219B" w14:textId="537FC098" w:rsidR="001662B8" w:rsidRPr="00964B0B" w:rsidRDefault="00867FB0" w:rsidP="005A6AC7">
      <w:pPr>
        <w:pStyle w:val="NoNumPlain1"/>
      </w:pPr>
      <w:r w:rsidRPr="00964B0B">
        <w:t>This</w:t>
      </w:r>
      <w:r w:rsidR="001662B8" w:rsidRPr="00964B0B">
        <w:t xml:space="preserve"> Standard </w:t>
      </w:r>
      <w:r w:rsidRPr="00964B0B">
        <w:t>amends</w:t>
      </w:r>
      <w:r w:rsidR="007A6EF5" w:rsidRPr="00964B0B">
        <w:t xml:space="preserve"> </w:t>
      </w:r>
      <w:r w:rsidR="00E162E2" w:rsidRPr="00964B0B">
        <w:t xml:space="preserve">AASB 16 </w:t>
      </w:r>
      <w:r w:rsidR="00E162E2" w:rsidRPr="00964B0B">
        <w:rPr>
          <w:i/>
        </w:rPr>
        <w:t>Leases</w:t>
      </w:r>
      <w:r w:rsidR="00B04A3F" w:rsidRPr="00964B0B">
        <w:rPr>
          <w:i/>
        </w:rPr>
        <w:t xml:space="preserve"> </w:t>
      </w:r>
      <w:r w:rsidR="00B04A3F" w:rsidRPr="00964B0B">
        <w:rPr>
          <w:iCs/>
        </w:rPr>
        <w:t>(</w:t>
      </w:r>
      <w:r w:rsidR="00123BCB" w:rsidRPr="00964B0B">
        <w:rPr>
          <w:iCs/>
        </w:rPr>
        <w:t xml:space="preserve">February 2016) </w:t>
      </w:r>
      <w:r w:rsidR="001662B8" w:rsidRPr="00964B0B">
        <w:t>a</w:t>
      </w:r>
      <w:bookmarkStart w:id="15" w:name="StndObj"/>
      <w:bookmarkEnd w:id="15"/>
      <w:r w:rsidR="001662B8" w:rsidRPr="00964B0B">
        <w:t>s a consequence of the issuance of</w:t>
      </w:r>
      <w:r w:rsidRPr="00964B0B">
        <w:t xml:space="preserve"> International Financial Reporting Standard</w:t>
      </w:r>
      <w:r w:rsidR="001662B8" w:rsidRPr="00964B0B">
        <w:t xml:space="preserve"> </w:t>
      </w:r>
      <w:r w:rsidR="001A1BF6" w:rsidRPr="00964B0B">
        <w:rPr>
          <w:i/>
        </w:rPr>
        <w:fldChar w:fldCharType="begin" w:fldLock="1"/>
      </w:r>
      <w:r w:rsidR="001A1BF6" w:rsidRPr="00964B0B">
        <w:rPr>
          <w:i/>
        </w:rPr>
        <w:instrText xml:space="preserve"> REF \* charformat ArisingTitle </w:instrText>
      </w:r>
      <w:r w:rsidR="001A1BF6" w:rsidRPr="00964B0B">
        <w:rPr>
          <w:i/>
        </w:rPr>
        <w:fldChar w:fldCharType="separate"/>
      </w:r>
      <w:r w:rsidR="00522685" w:rsidRPr="00964B0B">
        <w:rPr>
          <w:i/>
        </w:rPr>
        <w:t>Lease Liability in a Sale and Leaseback</w:t>
      </w:r>
      <w:r w:rsidR="001A1BF6" w:rsidRPr="00964B0B">
        <w:rPr>
          <w:i/>
        </w:rPr>
        <w:fldChar w:fldCharType="end"/>
      </w:r>
      <w:r w:rsidR="00121946" w:rsidRPr="00964B0B">
        <w:rPr>
          <w:i/>
        </w:rPr>
        <w:t xml:space="preserve"> </w:t>
      </w:r>
      <w:r w:rsidR="00123BCB" w:rsidRPr="00964B0B">
        <w:rPr>
          <w:iCs/>
        </w:rPr>
        <w:t>(Amendments to IFRS 16)</w:t>
      </w:r>
      <w:r w:rsidR="001662B8" w:rsidRPr="00964B0B">
        <w:t xml:space="preserve"> </w:t>
      </w:r>
      <w:r w:rsidRPr="00964B0B">
        <w:t xml:space="preserve">by the International Accounting Standards Board </w:t>
      </w:r>
      <w:r w:rsidR="001662B8" w:rsidRPr="00964B0B">
        <w:t>in</w:t>
      </w:r>
      <w:r w:rsidR="00742E4B" w:rsidRPr="00964B0B">
        <w:t xml:space="preserve"> </w:t>
      </w:r>
      <w:r w:rsidRPr="00964B0B">
        <w:fldChar w:fldCharType="begin" w:fldLock="1"/>
      </w:r>
      <w:r w:rsidRPr="00964B0B">
        <w:instrText xml:space="preserve"> REF ArisingDate \* charformat</w:instrText>
      </w:r>
      <w:r w:rsidRPr="00964B0B">
        <w:fldChar w:fldCharType="separate"/>
      </w:r>
      <w:r w:rsidR="00522685" w:rsidRPr="00964B0B">
        <w:t>September 2022</w:t>
      </w:r>
      <w:r w:rsidRPr="00964B0B">
        <w:fldChar w:fldCharType="end"/>
      </w:r>
      <w:r w:rsidR="001662B8" w:rsidRPr="00964B0B">
        <w:t>.</w:t>
      </w:r>
    </w:p>
    <w:p w14:paraId="2D7C219D" w14:textId="13BF0F7A" w:rsidR="001C553E" w:rsidRPr="00964B0B" w:rsidRDefault="00090A6F" w:rsidP="008F0E69">
      <w:pPr>
        <w:pStyle w:val="Heading2"/>
      </w:pPr>
      <w:r w:rsidRPr="00964B0B">
        <w:t>Application</w:t>
      </w:r>
    </w:p>
    <w:p w14:paraId="2D7C219E" w14:textId="4D282D13" w:rsidR="005A6AC7" w:rsidRPr="00964B0B" w:rsidRDefault="005A6AC7" w:rsidP="005A6AC7">
      <w:pPr>
        <w:pStyle w:val="NoNumPlain1"/>
        <w:rPr>
          <w:i/>
        </w:rPr>
      </w:pPr>
      <w:r w:rsidRPr="00964B0B">
        <w:t xml:space="preserve">The amendments set out in this Standard apply to entities and financial statements in accordance with the application of </w:t>
      </w:r>
      <w:r w:rsidR="006F35D2" w:rsidRPr="00964B0B">
        <w:t>AASB 16</w:t>
      </w:r>
      <w:r w:rsidRPr="00964B0B">
        <w:t xml:space="preserve"> set out in AASB 1057 </w:t>
      </w:r>
      <w:r w:rsidRPr="00964B0B">
        <w:rPr>
          <w:i/>
        </w:rPr>
        <w:t>Application of Australian Accounting Standards.</w:t>
      </w:r>
    </w:p>
    <w:p w14:paraId="2D7C219F" w14:textId="7429C191" w:rsidR="00090A6F" w:rsidRPr="00964B0B" w:rsidRDefault="00090A6F" w:rsidP="005A6AC7">
      <w:pPr>
        <w:pStyle w:val="NoNumPlain1"/>
      </w:pPr>
      <w:r w:rsidRPr="00964B0B">
        <w:t xml:space="preserve">This Standard applies to annual periods </w:t>
      </w:r>
      <w:r w:rsidR="005A6AC7" w:rsidRPr="00964B0B">
        <w:fldChar w:fldCharType="begin" w:fldLock="1"/>
      </w:r>
      <w:r w:rsidR="005A6AC7" w:rsidRPr="00964B0B">
        <w:instrText xml:space="preserve"> REF ApplyText \* charformat</w:instrText>
      </w:r>
      <w:r w:rsidR="005A6AC7" w:rsidRPr="00964B0B">
        <w:fldChar w:fldCharType="separate"/>
      </w:r>
      <w:r w:rsidR="00522685" w:rsidRPr="00964B0B">
        <w:t>beginning</w:t>
      </w:r>
      <w:r w:rsidR="005A6AC7" w:rsidRPr="00964B0B">
        <w:fldChar w:fldCharType="end"/>
      </w:r>
      <w:r w:rsidRPr="00964B0B">
        <w:t xml:space="preserve"> on or after </w:t>
      </w:r>
      <w:r w:rsidR="005A6AC7" w:rsidRPr="00964B0B">
        <w:fldChar w:fldCharType="begin" w:fldLock="1"/>
      </w:r>
      <w:r w:rsidR="005A6AC7" w:rsidRPr="00964B0B">
        <w:instrText xml:space="preserve"> REF ApplyDate \* charformat</w:instrText>
      </w:r>
      <w:r w:rsidR="005A6AC7" w:rsidRPr="00964B0B">
        <w:fldChar w:fldCharType="separate"/>
      </w:r>
      <w:r w:rsidR="00522685" w:rsidRPr="00964B0B">
        <w:t>1 January 2024</w:t>
      </w:r>
      <w:r w:rsidR="005A6AC7" w:rsidRPr="00964B0B">
        <w:fldChar w:fldCharType="end"/>
      </w:r>
      <w:r w:rsidRPr="00964B0B">
        <w:t>.</w:t>
      </w:r>
    </w:p>
    <w:p w14:paraId="2D7C21A0" w14:textId="09006B78" w:rsidR="00090A6F" w:rsidRPr="00964B0B" w:rsidRDefault="00090A6F" w:rsidP="005A6AC7">
      <w:pPr>
        <w:pStyle w:val="NoNumPlain1"/>
      </w:pPr>
      <w:bookmarkStart w:id="16" w:name="EarlyYesPara"/>
      <w:r w:rsidRPr="00964B0B">
        <w:t>This Standard may be applied to</w:t>
      </w:r>
      <w:r w:rsidR="00522685" w:rsidRPr="00964B0B">
        <w:t xml:space="preserve"> annual periods beginning before 1 January 2024.</w:t>
      </w:r>
      <w:r w:rsidRPr="00964B0B">
        <w:t xml:space="preserve">  When an entity applies this Standard to </w:t>
      </w:r>
      <w:r w:rsidR="00590051" w:rsidRPr="00964B0B">
        <w:t xml:space="preserve">such </w:t>
      </w:r>
      <w:r w:rsidRPr="00964B0B">
        <w:t>an annual period</w:t>
      </w:r>
      <w:r w:rsidR="00590051" w:rsidRPr="00964B0B">
        <w:t>,</w:t>
      </w:r>
      <w:r w:rsidRPr="00964B0B">
        <w:t xml:space="preserve"> it shall disclose that fact.</w:t>
      </w:r>
    </w:p>
    <w:bookmarkEnd w:id="16"/>
    <w:p w14:paraId="2D7C21A1" w14:textId="15D65AD3" w:rsidR="00090A6F" w:rsidRPr="00964B0B" w:rsidRDefault="0048155F" w:rsidP="005A6AC7">
      <w:pPr>
        <w:pStyle w:val="NoNumPlain1"/>
      </w:pPr>
      <w:r w:rsidRPr="00964B0B">
        <w:t>This Standard uses underlining, striking out and other typographical material to identify the amendments to</w:t>
      </w:r>
      <w:r w:rsidR="008854A8" w:rsidRPr="00964B0B">
        <w:t xml:space="preserve"> AASB 16</w:t>
      </w:r>
      <w:r w:rsidRPr="00964B0B">
        <w:t>, in order to make the amendments more understandable.  However, the amendments made by this Standard do not include that underlining, striking out or</w:t>
      </w:r>
      <w:r w:rsidR="003B6633" w:rsidRPr="00964B0B">
        <w:t xml:space="preserve"> other typographical material.</w:t>
      </w:r>
      <w:r w:rsidR="00254B16" w:rsidRPr="00964B0B">
        <w:t xml:space="preserve">  Ellipses (…) are used to help provide the context within which amendments are made and also to indicate text that is not amended.</w:t>
      </w:r>
    </w:p>
    <w:p w14:paraId="165D4A6E" w14:textId="70E39242" w:rsidR="00254F38" w:rsidRPr="00964B0B" w:rsidRDefault="00E162E2" w:rsidP="00DA44A5">
      <w:pPr>
        <w:pStyle w:val="Heading2"/>
        <w:rPr>
          <w:i/>
          <w:iCs w:val="0"/>
        </w:rPr>
      </w:pPr>
      <w:r w:rsidRPr="00964B0B">
        <w:t xml:space="preserve">Amendments to </w:t>
      </w:r>
      <w:bookmarkStart w:id="17" w:name="StndNo2"/>
      <w:r w:rsidRPr="00964B0B">
        <w:t>AASB 16</w:t>
      </w:r>
      <w:bookmarkEnd w:id="17"/>
      <w:r w:rsidR="00DA44A5" w:rsidRPr="00964B0B">
        <w:t xml:space="preserve"> </w:t>
      </w:r>
      <w:r w:rsidR="00DA44A5" w:rsidRPr="00964B0B">
        <w:rPr>
          <w:i/>
          <w:iCs w:val="0"/>
        </w:rPr>
        <w:t>Leases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  <w:tblCaption w:val="Amendment instructions"/>
        <w:tblDescription w:val="Amendment instructions&#10;"/>
      </w:tblPr>
      <w:tblGrid>
        <w:gridCol w:w="9071"/>
      </w:tblGrid>
      <w:tr w:rsidR="00254F38" w:rsidRPr="00964B0B" w14:paraId="72F3D4EB" w14:textId="77777777" w:rsidTr="00A3723E">
        <w:tc>
          <w:tcPr>
            <w:tcW w:w="50" w:type="pct"/>
            <w:tcBorders>
              <w:bottom w:val="single" w:sz="0" w:space="0" w:color="auto"/>
              <w:right w:val="single" w:sz="0" w:space="0" w:color="auto"/>
            </w:tcBorders>
          </w:tcPr>
          <w:p w14:paraId="13FD2EA9" w14:textId="78F13E97" w:rsidR="00254F38" w:rsidRPr="00964B0B" w:rsidRDefault="00254F38" w:rsidP="009516BF">
            <w:pPr>
              <w:pStyle w:val="IASBTableArial"/>
              <w:spacing w:after="120"/>
              <w:rPr>
                <w:lang w:val="en-AU"/>
              </w:rPr>
            </w:pPr>
            <w:r w:rsidRPr="00964B0B">
              <w:rPr>
                <w:lang w:val="en-AU"/>
              </w:rPr>
              <w:t>Paragraphs 102A, C1D and C20E are added and paragraph C2 is amended.  A new heading is added before paragraph C20E.  New text is underlined, and deleted text is struck through.</w:t>
            </w:r>
          </w:p>
        </w:tc>
      </w:tr>
    </w:tbl>
    <w:p w14:paraId="155041F2" w14:textId="77777777" w:rsidR="00254F38" w:rsidRPr="00964B0B" w:rsidRDefault="00254F38" w:rsidP="00254F38">
      <w:pPr>
        <w:pStyle w:val="IASBSectionTitle1NonInd"/>
        <w:rPr>
          <w:lang w:val="en-AU"/>
        </w:rPr>
      </w:pPr>
      <w:r w:rsidRPr="00964B0B">
        <w:rPr>
          <w:lang w:val="en-AU"/>
        </w:rPr>
        <w:t>Sale and leaseback transactions</w:t>
      </w:r>
    </w:p>
    <w:p w14:paraId="42FE94EA" w14:textId="77777777" w:rsidR="00254F38" w:rsidRPr="00964B0B" w:rsidRDefault="00254F38" w:rsidP="00254F38">
      <w:pPr>
        <w:pStyle w:val="IASBNormalnpara"/>
        <w:rPr>
          <w:lang w:val="en-AU"/>
        </w:rPr>
      </w:pPr>
      <w:r w:rsidRPr="00964B0B">
        <w:rPr>
          <w:lang w:val="en-AU"/>
        </w:rPr>
        <w:tab/>
        <w:t>...</w:t>
      </w:r>
    </w:p>
    <w:p w14:paraId="3BA3B118" w14:textId="77777777" w:rsidR="00254F38" w:rsidRPr="00964B0B" w:rsidRDefault="00254F38" w:rsidP="00254F38">
      <w:pPr>
        <w:pStyle w:val="IASBSectionTitle2Ind"/>
        <w:rPr>
          <w:lang w:val="en-AU"/>
        </w:rPr>
      </w:pPr>
      <w:r w:rsidRPr="00964B0B">
        <w:rPr>
          <w:lang w:val="en-AU"/>
        </w:rPr>
        <w:t>Assessing whether the transfer of the asset is a sale</w:t>
      </w:r>
    </w:p>
    <w:p w14:paraId="11CDC8A1" w14:textId="77777777" w:rsidR="00254F38" w:rsidRPr="00964B0B" w:rsidRDefault="00254F38" w:rsidP="00254F38">
      <w:pPr>
        <w:pStyle w:val="IASBNormalnpara"/>
        <w:rPr>
          <w:lang w:val="en-AU"/>
        </w:rPr>
      </w:pPr>
      <w:r w:rsidRPr="00964B0B">
        <w:rPr>
          <w:lang w:val="en-AU"/>
        </w:rPr>
        <w:tab/>
        <w:t>...</w:t>
      </w:r>
    </w:p>
    <w:p w14:paraId="1E9672FA" w14:textId="77777777" w:rsidR="00254F38" w:rsidRPr="00964B0B" w:rsidRDefault="00254F38" w:rsidP="00254F38">
      <w:pPr>
        <w:pStyle w:val="IASBSectionTitle3Ind"/>
        <w:rPr>
          <w:lang w:val="en-AU"/>
        </w:rPr>
      </w:pPr>
      <w:r w:rsidRPr="00964B0B">
        <w:rPr>
          <w:lang w:val="en-AU"/>
        </w:rPr>
        <w:t>Transfer of the asset is a sale</w:t>
      </w:r>
    </w:p>
    <w:p w14:paraId="0CC593ED" w14:textId="77777777" w:rsidR="00254F38" w:rsidRPr="00964B0B" w:rsidRDefault="00254F38" w:rsidP="00254F38">
      <w:pPr>
        <w:pStyle w:val="IASBNormalnpara"/>
        <w:rPr>
          <w:lang w:val="en-AU"/>
        </w:rPr>
      </w:pPr>
      <w:r w:rsidRPr="00964B0B">
        <w:rPr>
          <w:lang w:val="en-AU"/>
        </w:rPr>
        <w:tab/>
        <w:t>...</w:t>
      </w:r>
    </w:p>
    <w:p w14:paraId="12C899EE" w14:textId="5D3854C1" w:rsidR="00254F38" w:rsidRPr="00964B0B" w:rsidRDefault="00254F38" w:rsidP="00254F38">
      <w:pPr>
        <w:pStyle w:val="IASBNormalnpara"/>
        <w:rPr>
          <w:lang w:val="en-AU"/>
        </w:rPr>
      </w:pPr>
      <w:r w:rsidRPr="00964B0B">
        <w:rPr>
          <w:u w:val="single"/>
          <w:lang w:val="en-AU"/>
        </w:rPr>
        <w:t>102A</w:t>
      </w:r>
      <w:r w:rsidRPr="00964B0B">
        <w:rPr>
          <w:lang w:val="en-AU"/>
        </w:rPr>
        <w:tab/>
      </w:r>
      <w:r w:rsidRPr="00964B0B">
        <w:rPr>
          <w:u w:val="single"/>
          <w:lang w:val="en-AU"/>
        </w:rPr>
        <w:t xml:space="preserve">After the commencement date, the seller-lessee shall apply paragraphs 29–35 to the right-of-use asset arising from the leaseback and paragraphs 36–46 to the lease liability arising from the leaseback. In applying paragraphs 36–46, the seller-lessee shall determine ‘lease payments’ or ‘revised lease payments’ in a way that </w:t>
      </w:r>
      <w:r w:rsidRPr="00964B0B">
        <w:rPr>
          <w:u w:val="single"/>
          <w:lang w:val="en-AU"/>
        </w:rPr>
        <w:lastRenderedPageBreak/>
        <w:t>the seller-lessee would not recognise any amount of the gain or loss that relates to the right of use retained by the seller-lessee. Applying the requirements in this paragraph does not prevent the seller-lessee from recognising in profit or loss any gain or loss relating to the partial or full termination of a lease as required by paragraph 46(a).</w:t>
      </w:r>
    </w:p>
    <w:p w14:paraId="34C60718" w14:textId="78B56E59" w:rsidR="00254F38" w:rsidRPr="00964B0B" w:rsidRDefault="00254F38" w:rsidP="00254F38">
      <w:pPr>
        <w:pStyle w:val="IASBNormalnpara"/>
        <w:rPr>
          <w:lang w:val="en-AU"/>
        </w:rPr>
      </w:pPr>
      <w:r w:rsidRPr="00964B0B">
        <w:rPr>
          <w:lang w:val="en-AU"/>
        </w:rPr>
        <w:tab/>
        <w:t>...</w:t>
      </w:r>
    </w:p>
    <w:p w14:paraId="24629513" w14:textId="77777777" w:rsidR="003B5CAE" w:rsidRPr="00964B0B" w:rsidRDefault="003B5CAE" w:rsidP="003B5CAE">
      <w:pPr>
        <w:pStyle w:val="IASBSectionTitle1NonInd"/>
        <w:rPr>
          <w:lang w:val="en-AU"/>
        </w:rPr>
      </w:pPr>
      <w:r w:rsidRPr="00964B0B">
        <w:rPr>
          <w:lang w:val="en-AU"/>
        </w:rPr>
        <w:t>Appendix C</w:t>
      </w:r>
      <w:r w:rsidRPr="00964B0B">
        <w:rPr>
          <w:lang w:val="en-AU"/>
        </w:rPr>
        <w:br/>
        <w:t>Effective date and transition</w:t>
      </w:r>
    </w:p>
    <w:p w14:paraId="74FDBBFC" w14:textId="77777777" w:rsidR="003B5CAE" w:rsidRPr="00964B0B" w:rsidRDefault="003B5CAE" w:rsidP="003B5CAE">
      <w:pPr>
        <w:pStyle w:val="IASBSectionTitle1NonInd"/>
        <w:rPr>
          <w:lang w:val="en-AU"/>
        </w:rPr>
      </w:pPr>
      <w:r w:rsidRPr="00964B0B">
        <w:rPr>
          <w:lang w:val="en-AU"/>
        </w:rPr>
        <w:t>Effective date</w:t>
      </w:r>
    </w:p>
    <w:p w14:paraId="4521BAB1" w14:textId="77777777" w:rsidR="003B5CAE" w:rsidRPr="00964B0B" w:rsidRDefault="003B5CAE" w:rsidP="003B5CAE">
      <w:pPr>
        <w:pStyle w:val="IASBNormalnpara"/>
        <w:rPr>
          <w:lang w:val="en-AU"/>
        </w:rPr>
      </w:pPr>
      <w:r w:rsidRPr="00964B0B">
        <w:rPr>
          <w:lang w:val="en-AU"/>
        </w:rPr>
        <w:tab/>
        <w:t>...</w:t>
      </w:r>
    </w:p>
    <w:p w14:paraId="3A03F3CA" w14:textId="436BF4B5" w:rsidR="003B5CAE" w:rsidRPr="00964B0B" w:rsidRDefault="003B5CAE" w:rsidP="003B5CAE">
      <w:pPr>
        <w:pStyle w:val="IASBNormalnpara"/>
        <w:rPr>
          <w:lang w:val="en-AU"/>
        </w:rPr>
      </w:pPr>
      <w:r w:rsidRPr="00964B0B">
        <w:rPr>
          <w:u w:val="single"/>
          <w:lang w:val="en-AU"/>
        </w:rPr>
        <w:t>C1D</w:t>
      </w:r>
      <w:r w:rsidRPr="00964B0B">
        <w:rPr>
          <w:lang w:val="en-AU"/>
        </w:rPr>
        <w:tab/>
      </w:r>
      <w:r w:rsidR="00C11128" w:rsidRPr="00964B0B">
        <w:rPr>
          <w:u w:val="single"/>
          <w:lang w:val="en-AU"/>
        </w:rPr>
        <w:t>AASB 2022-</w:t>
      </w:r>
      <w:r w:rsidR="00DF7725" w:rsidRPr="00964B0B">
        <w:rPr>
          <w:u w:val="single"/>
          <w:lang w:val="en-AU"/>
        </w:rPr>
        <w:t>5</w:t>
      </w:r>
      <w:r w:rsidR="00C11128" w:rsidRPr="00964B0B">
        <w:rPr>
          <w:u w:val="single"/>
          <w:lang w:val="en-AU"/>
        </w:rPr>
        <w:t xml:space="preserve"> </w:t>
      </w:r>
      <w:r w:rsidR="006409CB" w:rsidRPr="00964B0B">
        <w:rPr>
          <w:i/>
          <w:iCs/>
          <w:u w:val="single"/>
          <w:lang w:val="en-AU"/>
        </w:rPr>
        <w:t>Amendments to Australian Accounting Standards –</w:t>
      </w:r>
      <w:r w:rsidR="00AA78BF" w:rsidRPr="00964B0B">
        <w:rPr>
          <w:i/>
          <w:iCs/>
          <w:u w:val="single"/>
          <w:lang w:val="en-AU"/>
        </w:rPr>
        <w:t xml:space="preserve"> </w:t>
      </w:r>
      <w:r w:rsidRPr="00964B0B">
        <w:rPr>
          <w:i/>
          <w:u w:val="single"/>
          <w:lang w:val="en-AU"/>
        </w:rPr>
        <w:t>Lease Liability in a Sale and Leaseback</w:t>
      </w:r>
      <w:r w:rsidRPr="00964B0B">
        <w:rPr>
          <w:u w:val="single"/>
          <w:lang w:val="en-AU"/>
        </w:rPr>
        <w:t xml:space="preserve">, issued in </w:t>
      </w:r>
      <w:r w:rsidR="00570941" w:rsidRPr="00964B0B">
        <w:rPr>
          <w:u w:val="single"/>
          <w:lang w:val="en-AU"/>
        </w:rPr>
        <w:t>Novem</w:t>
      </w:r>
      <w:r w:rsidR="00573894" w:rsidRPr="00964B0B">
        <w:rPr>
          <w:u w:val="single"/>
          <w:lang w:val="en-AU"/>
        </w:rPr>
        <w:t xml:space="preserve">ber </w:t>
      </w:r>
      <w:r w:rsidRPr="00964B0B">
        <w:rPr>
          <w:u w:val="single"/>
          <w:lang w:val="en-AU"/>
        </w:rPr>
        <w:t>2022, amended paragraph C2 and added paragraphs 102A and C20E. A seller-lessee shall apply these amendments for annual reporting periods beginning on or after 1 January 2024. Earlier application is permitted. If a seller-lessee applies these amendments for an earlier period, it shall disclose that fact.</w:t>
      </w:r>
    </w:p>
    <w:p w14:paraId="44AC5DE8" w14:textId="77777777" w:rsidR="003B5CAE" w:rsidRPr="00964B0B" w:rsidRDefault="003B5CAE" w:rsidP="003B5CAE">
      <w:pPr>
        <w:pStyle w:val="IASBSectionTitle1NonInd"/>
        <w:rPr>
          <w:lang w:val="en-AU"/>
        </w:rPr>
      </w:pPr>
      <w:r w:rsidRPr="00964B0B">
        <w:rPr>
          <w:lang w:val="en-AU"/>
        </w:rPr>
        <w:t>Transition</w:t>
      </w:r>
    </w:p>
    <w:p w14:paraId="239B58BC" w14:textId="77777777" w:rsidR="003B5CAE" w:rsidRPr="00964B0B" w:rsidRDefault="003B5CAE" w:rsidP="003B5CAE">
      <w:pPr>
        <w:pStyle w:val="IASBNormalnpara"/>
        <w:rPr>
          <w:lang w:val="en-AU"/>
        </w:rPr>
      </w:pPr>
      <w:r w:rsidRPr="00964B0B">
        <w:rPr>
          <w:lang w:val="en-AU"/>
        </w:rPr>
        <w:t>C2</w:t>
      </w:r>
      <w:r w:rsidRPr="00964B0B">
        <w:rPr>
          <w:lang w:val="en-AU"/>
        </w:rPr>
        <w:tab/>
        <w:t>For the purposes of the requirements in paragraphs C1–</w:t>
      </w:r>
      <w:r w:rsidRPr="00964B0B">
        <w:rPr>
          <w:u w:val="single"/>
          <w:lang w:val="en-AU"/>
        </w:rPr>
        <w:t>C20E</w:t>
      </w:r>
      <w:r w:rsidRPr="00964B0B">
        <w:rPr>
          <w:strike/>
          <w:lang w:val="en-AU"/>
        </w:rPr>
        <w:t xml:space="preserve"> C19</w:t>
      </w:r>
      <w:r w:rsidRPr="00964B0B">
        <w:rPr>
          <w:lang w:val="en-AU"/>
        </w:rPr>
        <w:t>, the date of initial application is the beginning of the annual reporting period in which an entity first applies this Standard.</w:t>
      </w:r>
    </w:p>
    <w:p w14:paraId="19A7FAC4" w14:textId="77777777" w:rsidR="003B5CAE" w:rsidRPr="00964B0B" w:rsidRDefault="003B5CAE" w:rsidP="003B5CAE">
      <w:pPr>
        <w:pStyle w:val="IASBNormalnparaP"/>
        <w:rPr>
          <w:lang w:val="en-AU"/>
        </w:rPr>
      </w:pPr>
      <w:r w:rsidRPr="00964B0B">
        <w:rPr>
          <w:lang w:val="en-AU"/>
        </w:rPr>
        <w:t>...</w:t>
      </w:r>
    </w:p>
    <w:p w14:paraId="5C4BFC34" w14:textId="68AC92DE" w:rsidR="003B5CAE" w:rsidRPr="00964B0B" w:rsidRDefault="003B5CAE" w:rsidP="003B5CAE">
      <w:pPr>
        <w:pStyle w:val="IASBSectionTitle2Ind"/>
        <w:rPr>
          <w:u w:val="single"/>
          <w:lang w:val="en-AU"/>
        </w:rPr>
      </w:pPr>
      <w:bookmarkStart w:id="18" w:name="_Hlk117587216"/>
      <w:r w:rsidRPr="00964B0B">
        <w:rPr>
          <w:u w:val="single"/>
          <w:lang w:val="en-AU"/>
        </w:rPr>
        <w:t>Lease liability in a sale and leaseback</w:t>
      </w:r>
    </w:p>
    <w:bookmarkEnd w:id="18"/>
    <w:p w14:paraId="4D68DE64" w14:textId="171B1B2B" w:rsidR="003B5CAE" w:rsidRPr="00964B0B" w:rsidRDefault="003B5CAE" w:rsidP="003B5CAE">
      <w:pPr>
        <w:pStyle w:val="IASBNormalnpara"/>
        <w:rPr>
          <w:u w:val="single"/>
          <w:lang w:val="en-AU"/>
        </w:rPr>
      </w:pPr>
      <w:r w:rsidRPr="00964B0B">
        <w:rPr>
          <w:u w:val="single"/>
          <w:lang w:val="en-AU"/>
        </w:rPr>
        <w:t>C20E</w:t>
      </w:r>
      <w:r w:rsidRPr="00964B0B">
        <w:rPr>
          <w:lang w:val="en-AU"/>
        </w:rPr>
        <w:tab/>
      </w:r>
      <w:r w:rsidRPr="00964B0B">
        <w:rPr>
          <w:u w:val="single"/>
          <w:lang w:val="en-AU"/>
        </w:rPr>
        <w:t xml:space="preserve">A seller-lessee shall apply </w:t>
      </w:r>
      <w:r w:rsidR="00D14E8F" w:rsidRPr="00964B0B">
        <w:rPr>
          <w:u w:val="single"/>
          <w:lang w:val="en-AU"/>
        </w:rPr>
        <w:t>AASB 2022-</w:t>
      </w:r>
      <w:r w:rsidR="00DF7725" w:rsidRPr="00964B0B">
        <w:rPr>
          <w:u w:val="single"/>
          <w:lang w:val="en-AU"/>
        </w:rPr>
        <w:t>5</w:t>
      </w:r>
      <w:r w:rsidR="00D14E8F" w:rsidRPr="00964B0B">
        <w:rPr>
          <w:u w:val="single"/>
          <w:lang w:val="en-AU"/>
        </w:rPr>
        <w:t xml:space="preserve"> </w:t>
      </w:r>
      <w:r w:rsidR="00D14E8F" w:rsidRPr="00964B0B">
        <w:rPr>
          <w:i/>
          <w:iCs/>
          <w:u w:val="single"/>
          <w:lang w:val="en-AU"/>
        </w:rPr>
        <w:t xml:space="preserve">Amendments to Australian Accounting Standards – </w:t>
      </w:r>
      <w:r w:rsidRPr="00964B0B">
        <w:rPr>
          <w:i/>
          <w:u w:val="single"/>
          <w:lang w:val="en-AU"/>
        </w:rPr>
        <w:t>Lease Liability in a Sale and Leaseback</w:t>
      </w:r>
      <w:r w:rsidRPr="00964B0B">
        <w:rPr>
          <w:u w:val="single"/>
          <w:lang w:val="en-AU"/>
        </w:rPr>
        <w:t xml:space="preserve"> (see paragraph C1D) retrospectively in accordance with </w:t>
      </w:r>
      <w:r w:rsidR="001A5CF7" w:rsidRPr="00964B0B">
        <w:rPr>
          <w:u w:val="single"/>
          <w:lang w:val="en-AU"/>
        </w:rPr>
        <w:t>AASB 10</w:t>
      </w:r>
      <w:r w:rsidRPr="00964B0B">
        <w:rPr>
          <w:u w:val="single"/>
          <w:lang w:val="en-AU"/>
        </w:rPr>
        <w:t>8 to sale and leaseback transactions entered into after the date of initial application.</w:t>
      </w:r>
    </w:p>
    <w:p w14:paraId="3945933A" w14:textId="77777777" w:rsidR="00AE2F1F" w:rsidRPr="00964B0B" w:rsidRDefault="00AE2F1F" w:rsidP="00AE2F1F">
      <w:pPr>
        <w:pStyle w:val="Heading2"/>
      </w:pPr>
      <w:r w:rsidRPr="00964B0B">
        <w:t>Commencement of the legislative instrument</w:t>
      </w:r>
    </w:p>
    <w:p w14:paraId="3D2DDC7B" w14:textId="77777777" w:rsidR="00AE2F1F" w:rsidRPr="00964B0B" w:rsidRDefault="00AE2F1F" w:rsidP="00AE2F1F">
      <w:pPr>
        <w:pStyle w:val="NoNumPlain1"/>
      </w:pPr>
      <w:r w:rsidRPr="00964B0B">
        <w:t xml:space="preserve">For legal purposes, this legislative instrument commences on </w:t>
      </w:r>
      <w:bookmarkStart w:id="19" w:name="CommenceDate"/>
      <w:r w:rsidRPr="00964B0B">
        <w:t>31 December 2023</w:t>
      </w:r>
      <w:bookmarkEnd w:id="19"/>
      <w:r w:rsidRPr="00964B0B">
        <w:t>.</w:t>
      </w:r>
    </w:p>
    <w:p w14:paraId="63573A40" w14:textId="77777777" w:rsidR="003B5CAE" w:rsidRPr="00964B0B" w:rsidRDefault="003B5CAE" w:rsidP="00AE2F1F">
      <w:pPr>
        <w:pStyle w:val="IASBNormalnpara"/>
        <w:ind w:left="0" w:firstLine="0"/>
        <w:rPr>
          <w:lang w:val="en-AU"/>
        </w:rPr>
      </w:pPr>
    </w:p>
    <w:sectPr w:rsidR="003B5CAE" w:rsidRPr="00964B0B" w:rsidSect="00D74C6A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8" w:right="1418" w:bottom="1418" w:left="1418" w:header="709" w:footer="709" w:gutter="0"/>
      <w:paperSrc w:first="7" w:other="7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037EE" w14:textId="77777777" w:rsidR="00A81FE8" w:rsidRDefault="00A81FE8">
      <w:r>
        <w:separator/>
      </w:r>
    </w:p>
  </w:endnote>
  <w:endnote w:type="continuationSeparator" w:id="0">
    <w:p w14:paraId="356B30D3" w14:textId="77777777" w:rsidR="00A81FE8" w:rsidRDefault="00A81FE8">
      <w:r>
        <w:continuationSeparator/>
      </w:r>
    </w:p>
  </w:endnote>
  <w:endnote w:type="continuationNotice" w:id="1">
    <w:p w14:paraId="75CD112B" w14:textId="77777777" w:rsidR="00A81FE8" w:rsidRDefault="00A81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D865" w14:textId="016D6E8A" w:rsidR="00B65F3C" w:rsidRPr="00DF3BF7" w:rsidRDefault="007A05EE" w:rsidP="00B65F3C">
    <w:pPr>
      <w:pStyle w:val="Footer"/>
      <w:jc w:val="right"/>
      <w:rPr>
        <w:rFonts w:ascii="Arial" w:hAnsi="Arial" w:cs="Arial"/>
        <w:sz w:val="16"/>
        <w:szCs w:val="16"/>
      </w:rPr>
    </w:pPr>
    <w:r w:rsidRPr="00DF3BF7">
      <w:rPr>
        <w:rFonts w:ascii="Arial" w:hAnsi="Arial" w:cs="Arial"/>
        <w:sz w:val="16"/>
        <w:szCs w:val="16"/>
      </w:rPr>
      <w:t xml:space="preserve"> </w:t>
    </w:r>
  </w:p>
  <w:p w14:paraId="2D7C21B0" w14:textId="4430DE53" w:rsidR="001A2CFD" w:rsidRDefault="001A2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1" w14:textId="092B5D04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522685" w:rsidRPr="00522685">
      <w:rPr>
        <w:b/>
      </w:rPr>
      <w:t>2022-5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2" w14:textId="4FD0DEB7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522685" w:rsidRPr="00522685">
      <w:rPr>
        <w:b/>
      </w:rPr>
      <w:t>2022-5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3" w14:textId="514AC55E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522685" w:rsidRPr="00522685">
      <w:rPr>
        <w:b/>
      </w:rPr>
      <w:t>2022-5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5" w14:textId="69AFC3A7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522685" w:rsidRPr="00522685">
      <w:rPr>
        <w:b/>
      </w:rPr>
      <w:t>2022-5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5</w:t>
    </w:r>
    <w:r>
      <w:fldChar w:fldCharType="end"/>
    </w:r>
    <w:r>
      <w:tab/>
    </w:r>
    <w:r>
      <w:rPr>
        <w:b/>
        <w:bCs/>
      </w:rPr>
      <w:t>STANDARD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7" w14:textId="77777777" w:rsidR="00A96702" w:rsidRDefault="00A96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9640" w14:textId="77777777" w:rsidR="00A81FE8" w:rsidRDefault="00A81FE8">
      <w:r>
        <w:separator/>
      </w:r>
    </w:p>
  </w:footnote>
  <w:footnote w:type="continuationSeparator" w:id="0">
    <w:p w14:paraId="15AD7E9B" w14:textId="77777777" w:rsidR="00A81FE8" w:rsidRDefault="00A81FE8">
      <w:r>
        <w:continuationSeparator/>
      </w:r>
    </w:p>
  </w:footnote>
  <w:footnote w:type="continuationNotice" w:id="1">
    <w:p w14:paraId="68D50100" w14:textId="77777777" w:rsidR="00A81FE8" w:rsidRDefault="00A81F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AF" w14:textId="43EF5312" w:rsidR="001A2CFD" w:rsidRDefault="001A2CFD" w:rsidP="00947B93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3675" w14:textId="77777777" w:rsidR="002B2546" w:rsidRDefault="002B2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7CF7C" w14:textId="0C09394C" w:rsidR="002B2546" w:rsidRPr="0030255B" w:rsidRDefault="002B2546" w:rsidP="003025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3E57" w14:textId="77777777" w:rsidR="002B2546" w:rsidRDefault="002B2546" w:rsidP="00947B93">
    <w:pPr>
      <w:pStyle w:val="Header"/>
      <w:jc w:val="left"/>
      <w:rPr>
        <w:b/>
        <w:bCs/>
      </w:rPr>
    </w:pPr>
    <w:r>
      <w:rPr>
        <w:b/>
        <w:bCs/>
      </w:rPr>
      <w:t>AASB November 2022 (M191) Agenda paper 9.2</w:t>
    </w:r>
  </w:p>
  <w:p w14:paraId="12458565" w14:textId="77777777" w:rsidR="002B2546" w:rsidRDefault="002B2546" w:rsidP="00947B93">
    <w:pPr>
      <w:pStyle w:val="Header"/>
      <w:jc w:val="left"/>
    </w:pPr>
    <w:r w:rsidRPr="00947B93">
      <w:rPr>
        <w:b/>
        <w:bCs/>
        <w:color w:val="FF0000"/>
      </w:rPr>
      <w:t>Ballot Draft</w:t>
    </w:r>
    <w:r>
      <w:rPr>
        <w:b/>
        <w:bCs/>
      </w:rPr>
      <w:t xml:space="preserve"> – Lease Liability in a Sale and Leaseback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4" w14:textId="5F4036CC" w:rsidR="00A96702" w:rsidRDefault="00A967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C21B6" w14:textId="77777777" w:rsidR="00A96702" w:rsidRDefault="00A96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" w15:restartNumberingAfterBreak="0">
    <w:nsid w:val="03F92581"/>
    <w:multiLevelType w:val="multilevel"/>
    <w:tmpl w:val="AD5ABFF2"/>
    <w:numStyleLink w:val="AASBSubNumbers"/>
  </w:abstractNum>
  <w:abstractNum w:abstractNumId="2" w15:restartNumberingAfterBreak="0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" w15:restartNumberingAfterBreak="0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4" w15:restartNumberingAfterBreak="0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6" w15:restartNumberingAfterBreak="0">
    <w:nsid w:val="55A5555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542243"/>
    <w:multiLevelType w:val="multilevel"/>
    <w:tmpl w:val="BDF015A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8" w15:restartNumberingAfterBreak="0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9" w15:restartNumberingAfterBreak="0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3428979">
    <w:abstractNumId w:val="7"/>
  </w:num>
  <w:num w:numId="2" w16cid:durableId="1108155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253732">
    <w:abstractNumId w:val="9"/>
  </w:num>
  <w:num w:numId="4" w16cid:durableId="896433210">
    <w:abstractNumId w:val="2"/>
  </w:num>
  <w:num w:numId="5" w16cid:durableId="520507795">
    <w:abstractNumId w:val="3"/>
  </w:num>
  <w:num w:numId="6" w16cid:durableId="1831562300">
    <w:abstractNumId w:val="8"/>
  </w:num>
  <w:num w:numId="7" w16cid:durableId="880823976">
    <w:abstractNumId w:val="4"/>
  </w:num>
  <w:num w:numId="8" w16cid:durableId="1595238829">
    <w:abstractNumId w:val="5"/>
  </w:num>
  <w:num w:numId="9" w16cid:durableId="1164395603">
    <w:abstractNumId w:val="1"/>
  </w:num>
  <w:num w:numId="10" w16cid:durableId="55209581">
    <w:abstractNumId w:val="0"/>
  </w:num>
  <w:num w:numId="11" w16cid:durableId="134552207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24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o:colormru v:ext="edit" colors="#ddd,silver,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wNrU0NjK0MDE1tjBT0lEKTi0uzszPAykwqQUAwcLoLiwAAAA="/>
  </w:docVars>
  <w:rsids>
    <w:rsidRoot w:val="00E162E2"/>
    <w:rsid w:val="0000292B"/>
    <w:rsid w:val="000069A5"/>
    <w:rsid w:val="00023BCE"/>
    <w:rsid w:val="00027E8B"/>
    <w:rsid w:val="0004090E"/>
    <w:rsid w:val="0004455B"/>
    <w:rsid w:val="00050598"/>
    <w:rsid w:val="00060DF9"/>
    <w:rsid w:val="000625F2"/>
    <w:rsid w:val="00074133"/>
    <w:rsid w:val="000812F8"/>
    <w:rsid w:val="0008546F"/>
    <w:rsid w:val="00090A6F"/>
    <w:rsid w:val="00096027"/>
    <w:rsid w:val="000A13E1"/>
    <w:rsid w:val="000A1717"/>
    <w:rsid w:val="000B3794"/>
    <w:rsid w:val="000B6879"/>
    <w:rsid w:val="000B733C"/>
    <w:rsid w:val="000C248C"/>
    <w:rsid w:val="000C3EB0"/>
    <w:rsid w:val="000D7B40"/>
    <w:rsid w:val="000E1F67"/>
    <w:rsid w:val="000F64CC"/>
    <w:rsid w:val="0010694A"/>
    <w:rsid w:val="00106C77"/>
    <w:rsid w:val="00110B96"/>
    <w:rsid w:val="00115912"/>
    <w:rsid w:val="001162C5"/>
    <w:rsid w:val="001206CF"/>
    <w:rsid w:val="00121946"/>
    <w:rsid w:val="00123BCB"/>
    <w:rsid w:val="00130CAB"/>
    <w:rsid w:val="00132C29"/>
    <w:rsid w:val="00136E75"/>
    <w:rsid w:val="00165A1C"/>
    <w:rsid w:val="001662B8"/>
    <w:rsid w:val="0016735A"/>
    <w:rsid w:val="00167429"/>
    <w:rsid w:val="0016748A"/>
    <w:rsid w:val="00171F51"/>
    <w:rsid w:val="001761C6"/>
    <w:rsid w:val="001864D4"/>
    <w:rsid w:val="0019286F"/>
    <w:rsid w:val="001937AC"/>
    <w:rsid w:val="001A0C8F"/>
    <w:rsid w:val="001A1BF6"/>
    <w:rsid w:val="001A2CFD"/>
    <w:rsid w:val="001A5CF7"/>
    <w:rsid w:val="001B33A5"/>
    <w:rsid w:val="001B4A20"/>
    <w:rsid w:val="001C225F"/>
    <w:rsid w:val="001C553E"/>
    <w:rsid w:val="001E40F9"/>
    <w:rsid w:val="001F78DF"/>
    <w:rsid w:val="00211695"/>
    <w:rsid w:val="0022022E"/>
    <w:rsid w:val="00232AF4"/>
    <w:rsid w:val="002434A3"/>
    <w:rsid w:val="00254B16"/>
    <w:rsid w:val="00254F38"/>
    <w:rsid w:val="00276BC5"/>
    <w:rsid w:val="0028086D"/>
    <w:rsid w:val="00283482"/>
    <w:rsid w:val="0028631F"/>
    <w:rsid w:val="00286D00"/>
    <w:rsid w:val="0029647E"/>
    <w:rsid w:val="002A201D"/>
    <w:rsid w:val="002B1C6F"/>
    <w:rsid w:val="002B2546"/>
    <w:rsid w:val="002B2C47"/>
    <w:rsid w:val="002B5D86"/>
    <w:rsid w:val="002B7803"/>
    <w:rsid w:val="002C5EF9"/>
    <w:rsid w:val="002F1CD0"/>
    <w:rsid w:val="002F4EAF"/>
    <w:rsid w:val="0030255B"/>
    <w:rsid w:val="0030546C"/>
    <w:rsid w:val="00307F26"/>
    <w:rsid w:val="00312986"/>
    <w:rsid w:val="003202A3"/>
    <w:rsid w:val="003251D8"/>
    <w:rsid w:val="00332EA3"/>
    <w:rsid w:val="0033581C"/>
    <w:rsid w:val="0034243B"/>
    <w:rsid w:val="00360360"/>
    <w:rsid w:val="00362407"/>
    <w:rsid w:val="00364B30"/>
    <w:rsid w:val="00367DC9"/>
    <w:rsid w:val="003717B5"/>
    <w:rsid w:val="00377B8D"/>
    <w:rsid w:val="00382796"/>
    <w:rsid w:val="00387C61"/>
    <w:rsid w:val="0039009E"/>
    <w:rsid w:val="00392B4C"/>
    <w:rsid w:val="00393CD7"/>
    <w:rsid w:val="003A488F"/>
    <w:rsid w:val="003B0CAA"/>
    <w:rsid w:val="003B0E71"/>
    <w:rsid w:val="003B473E"/>
    <w:rsid w:val="003B5CAE"/>
    <w:rsid w:val="003B6633"/>
    <w:rsid w:val="003C29BC"/>
    <w:rsid w:val="003D1DD4"/>
    <w:rsid w:val="003E0A68"/>
    <w:rsid w:val="003E1900"/>
    <w:rsid w:val="003F0762"/>
    <w:rsid w:val="00401ECA"/>
    <w:rsid w:val="004150BD"/>
    <w:rsid w:val="00422E4D"/>
    <w:rsid w:val="00426876"/>
    <w:rsid w:val="00434D86"/>
    <w:rsid w:val="00436A2D"/>
    <w:rsid w:val="00442186"/>
    <w:rsid w:val="00446492"/>
    <w:rsid w:val="0044702C"/>
    <w:rsid w:val="004513EC"/>
    <w:rsid w:val="00460FBB"/>
    <w:rsid w:val="00470CE9"/>
    <w:rsid w:val="0047683E"/>
    <w:rsid w:val="0048155F"/>
    <w:rsid w:val="00487CF6"/>
    <w:rsid w:val="004961F8"/>
    <w:rsid w:val="004A417F"/>
    <w:rsid w:val="004B038C"/>
    <w:rsid w:val="004B736C"/>
    <w:rsid w:val="004C1FD8"/>
    <w:rsid w:val="004C43DD"/>
    <w:rsid w:val="004C5BDE"/>
    <w:rsid w:val="004C7D0F"/>
    <w:rsid w:val="004D3809"/>
    <w:rsid w:val="004D4D1C"/>
    <w:rsid w:val="004E2B0B"/>
    <w:rsid w:val="004F55FE"/>
    <w:rsid w:val="004F7D3A"/>
    <w:rsid w:val="00500E80"/>
    <w:rsid w:val="00511C34"/>
    <w:rsid w:val="005166B2"/>
    <w:rsid w:val="00522685"/>
    <w:rsid w:val="0053452C"/>
    <w:rsid w:val="00535EC5"/>
    <w:rsid w:val="00537854"/>
    <w:rsid w:val="00542F1D"/>
    <w:rsid w:val="00554483"/>
    <w:rsid w:val="0056274D"/>
    <w:rsid w:val="00564D15"/>
    <w:rsid w:val="005655CE"/>
    <w:rsid w:val="00570941"/>
    <w:rsid w:val="00573894"/>
    <w:rsid w:val="00577065"/>
    <w:rsid w:val="0058004D"/>
    <w:rsid w:val="00580791"/>
    <w:rsid w:val="00580BC4"/>
    <w:rsid w:val="00590051"/>
    <w:rsid w:val="005A2514"/>
    <w:rsid w:val="005A6AC7"/>
    <w:rsid w:val="005B146F"/>
    <w:rsid w:val="005B1A8C"/>
    <w:rsid w:val="005C1572"/>
    <w:rsid w:val="005C5DA1"/>
    <w:rsid w:val="005E3CE8"/>
    <w:rsid w:val="005E6BE4"/>
    <w:rsid w:val="00602261"/>
    <w:rsid w:val="00611B13"/>
    <w:rsid w:val="0061245B"/>
    <w:rsid w:val="00625A6C"/>
    <w:rsid w:val="00631D6E"/>
    <w:rsid w:val="00633CC5"/>
    <w:rsid w:val="006409CB"/>
    <w:rsid w:val="00641282"/>
    <w:rsid w:val="00645FD1"/>
    <w:rsid w:val="00652DF8"/>
    <w:rsid w:val="00661DF8"/>
    <w:rsid w:val="00664410"/>
    <w:rsid w:val="00695155"/>
    <w:rsid w:val="00695497"/>
    <w:rsid w:val="006A3AE9"/>
    <w:rsid w:val="006A40E5"/>
    <w:rsid w:val="006B0CD6"/>
    <w:rsid w:val="006C2E37"/>
    <w:rsid w:val="006D055E"/>
    <w:rsid w:val="006D134A"/>
    <w:rsid w:val="006D4700"/>
    <w:rsid w:val="006D7679"/>
    <w:rsid w:val="006E2C39"/>
    <w:rsid w:val="006E2F6C"/>
    <w:rsid w:val="006E6081"/>
    <w:rsid w:val="006F343A"/>
    <w:rsid w:val="006F35D2"/>
    <w:rsid w:val="00700C6D"/>
    <w:rsid w:val="007037B0"/>
    <w:rsid w:val="00707170"/>
    <w:rsid w:val="00714340"/>
    <w:rsid w:val="0072071C"/>
    <w:rsid w:val="007219F7"/>
    <w:rsid w:val="007333C2"/>
    <w:rsid w:val="00737714"/>
    <w:rsid w:val="00742E4B"/>
    <w:rsid w:val="007455F0"/>
    <w:rsid w:val="00751F6A"/>
    <w:rsid w:val="007554ED"/>
    <w:rsid w:val="00755740"/>
    <w:rsid w:val="00755E40"/>
    <w:rsid w:val="00756FF6"/>
    <w:rsid w:val="0076127E"/>
    <w:rsid w:val="0078116B"/>
    <w:rsid w:val="00784361"/>
    <w:rsid w:val="007A05EE"/>
    <w:rsid w:val="007A6BC3"/>
    <w:rsid w:val="007A6EF5"/>
    <w:rsid w:val="007C02F4"/>
    <w:rsid w:val="007E2DD4"/>
    <w:rsid w:val="007F1D3D"/>
    <w:rsid w:val="007F51F6"/>
    <w:rsid w:val="00812637"/>
    <w:rsid w:val="00813227"/>
    <w:rsid w:val="00820794"/>
    <w:rsid w:val="00831497"/>
    <w:rsid w:val="00833B49"/>
    <w:rsid w:val="008459E8"/>
    <w:rsid w:val="00855142"/>
    <w:rsid w:val="00861A9C"/>
    <w:rsid w:val="008622B9"/>
    <w:rsid w:val="00864ADE"/>
    <w:rsid w:val="00867213"/>
    <w:rsid w:val="00867FB0"/>
    <w:rsid w:val="00871A12"/>
    <w:rsid w:val="00881BBE"/>
    <w:rsid w:val="008854A8"/>
    <w:rsid w:val="00894E33"/>
    <w:rsid w:val="00895809"/>
    <w:rsid w:val="008A16EB"/>
    <w:rsid w:val="008A5441"/>
    <w:rsid w:val="008A6182"/>
    <w:rsid w:val="008B1D94"/>
    <w:rsid w:val="008B4C8D"/>
    <w:rsid w:val="008B643A"/>
    <w:rsid w:val="008C1C4A"/>
    <w:rsid w:val="008C60B1"/>
    <w:rsid w:val="008C6BD0"/>
    <w:rsid w:val="008D2EBD"/>
    <w:rsid w:val="008E005D"/>
    <w:rsid w:val="008E508E"/>
    <w:rsid w:val="008F0A81"/>
    <w:rsid w:val="008F0E69"/>
    <w:rsid w:val="008F3EBA"/>
    <w:rsid w:val="008F4AC5"/>
    <w:rsid w:val="008F5963"/>
    <w:rsid w:val="0090274E"/>
    <w:rsid w:val="00920008"/>
    <w:rsid w:val="00923261"/>
    <w:rsid w:val="009256B7"/>
    <w:rsid w:val="009362A4"/>
    <w:rsid w:val="00947B93"/>
    <w:rsid w:val="009516BF"/>
    <w:rsid w:val="00964B0B"/>
    <w:rsid w:val="00970C7A"/>
    <w:rsid w:val="009721DB"/>
    <w:rsid w:val="00972BFA"/>
    <w:rsid w:val="009812FD"/>
    <w:rsid w:val="009965BA"/>
    <w:rsid w:val="009B6535"/>
    <w:rsid w:val="009C2479"/>
    <w:rsid w:val="009D06F8"/>
    <w:rsid w:val="009D73F1"/>
    <w:rsid w:val="009F6BB2"/>
    <w:rsid w:val="00A05041"/>
    <w:rsid w:val="00A07718"/>
    <w:rsid w:val="00A07A0F"/>
    <w:rsid w:val="00A13B2B"/>
    <w:rsid w:val="00A13F82"/>
    <w:rsid w:val="00A16664"/>
    <w:rsid w:val="00A17C67"/>
    <w:rsid w:val="00A22E0D"/>
    <w:rsid w:val="00A23D87"/>
    <w:rsid w:val="00A24613"/>
    <w:rsid w:val="00A332A6"/>
    <w:rsid w:val="00A41ED3"/>
    <w:rsid w:val="00A47FA2"/>
    <w:rsid w:val="00A51A7E"/>
    <w:rsid w:val="00A51B81"/>
    <w:rsid w:val="00A55F4F"/>
    <w:rsid w:val="00A6237D"/>
    <w:rsid w:val="00A63C27"/>
    <w:rsid w:val="00A748BA"/>
    <w:rsid w:val="00A81B4D"/>
    <w:rsid w:val="00A81FE8"/>
    <w:rsid w:val="00A83862"/>
    <w:rsid w:val="00A84548"/>
    <w:rsid w:val="00A8486C"/>
    <w:rsid w:val="00A91B0E"/>
    <w:rsid w:val="00A96702"/>
    <w:rsid w:val="00A97EB2"/>
    <w:rsid w:val="00AA003E"/>
    <w:rsid w:val="00AA14A9"/>
    <w:rsid w:val="00AA78BF"/>
    <w:rsid w:val="00AB780A"/>
    <w:rsid w:val="00AC4315"/>
    <w:rsid w:val="00AD412C"/>
    <w:rsid w:val="00AD42DA"/>
    <w:rsid w:val="00AE2F1F"/>
    <w:rsid w:val="00AF61B8"/>
    <w:rsid w:val="00B04A3F"/>
    <w:rsid w:val="00B110AD"/>
    <w:rsid w:val="00B16904"/>
    <w:rsid w:val="00B16997"/>
    <w:rsid w:val="00B271BA"/>
    <w:rsid w:val="00B3429E"/>
    <w:rsid w:val="00B42566"/>
    <w:rsid w:val="00B47BAC"/>
    <w:rsid w:val="00B61D8F"/>
    <w:rsid w:val="00B65F3C"/>
    <w:rsid w:val="00B70D5E"/>
    <w:rsid w:val="00B74237"/>
    <w:rsid w:val="00B8166B"/>
    <w:rsid w:val="00B82F15"/>
    <w:rsid w:val="00B83DF8"/>
    <w:rsid w:val="00B9445D"/>
    <w:rsid w:val="00BA1CA4"/>
    <w:rsid w:val="00BA3AB4"/>
    <w:rsid w:val="00BA4622"/>
    <w:rsid w:val="00BB4C9F"/>
    <w:rsid w:val="00BC0794"/>
    <w:rsid w:val="00BC0D5D"/>
    <w:rsid w:val="00BD10C7"/>
    <w:rsid w:val="00BE051E"/>
    <w:rsid w:val="00BE2F68"/>
    <w:rsid w:val="00BE38FC"/>
    <w:rsid w:val="00BE3E5B"/>
    <w:rsid w:val="00BF3600"/>
    <w:rsid w:val="00C024C3"/>
    <w:rsid w:val="00C03C7B"/>
    <w:rsid w:val="00C11128"/>
    <w:rsid w:val="00C22A4A"/>
    <w:rsid w:val="00C23A63"/>
    <w:rsid w:val="00C3493B"/>
    <w:rsid w:val="00C37458"/>
    <w:rsid w:val="00C438DD"/>
    <w:rsid w:val="00C43CD1"/>
    <w:rsid w:val="00C45020"/>
    <w:rsid w:val="00C5022C"/>
    <w:rsid w:val="00C50494"/>
    <w:rsid w:val="00C5068D"/>
    <w:rsid w:val="00C513DD"/>
    <w:rsid w:val="00C552FD"/>
    <w:rsid w:val="00C63364"/>
    <w:rsid w:val="00C63573"/>
    <w:rsid w:val="00C64ADC"/>
    <w:rsid w:val="00C8649E"/>
    <w:rsid w:val="00C95D8A"/>
    <w:rsid w:val="00CA0AC3"/>
    <w:rsid w:val="00CA61C5"/>
    <w:rsid w:val="00CB719A"/>
    <w:rsid w:val="00CB79D8"/>
    <w:rsid w:val="00CC1DF4"/>
    <w:rsid w:val="00CC6FCD"/>
    <w:rsid w:val="00CD1739"/>
    <w:rsid w:val="00CD1D34"/>
    <w:rsid w:val="00CD4DEF"/>
    <w:rsid w:val="00CD5D1C"/>
    <w:rsid w:val="00CE2E6F"/>
    <w:rsid w:val="00CE2F8C"/>
    <w:rsid w:val="00CF2D3A"/>
    <w:rsid w:val="00CF75CA"/>
    <w:rsid w:val="00CF7B67"/>
    <w:rsid w:val="00D00FD5"/>
    <w:rsid w:val="00D05F7D"/>
    <w:rsid w:val="00D1371D"/>
    <w:rsid w:val="00D14E8F"/>
    <w:rsid w:val="00D242E6"/>
    <w:rsid w:val="00D3025B"/>
    <w:rsid w:val="00D3102F"/>
    <w:rsid w:val="00D456EE"/>
    <w:rsid w:val="00D502EF"/>
    <w:rsid w:val="00D52086"/>
    <w:rsid w:val="00D54F5C"/>
    <w:rsid w:val="00D555E0"/>
    <w:rsid w:val="00D60106"/>
    <w:rsid w:val="00D67336"/>
    <w:rsid w:val="00D74038"/>
    <w:rsid w:val="00D74C6A"/>
    <w:rsid w:val="00D762A4"/>
    <w:rsid w:val="00D764F8"/>
    <w:rsid w:val="00D926C8"/>
    <w:rsid w:val="00D93EF7"/>
    <w:rsid w:val="00D942EB"/>
    <w:rsid w:val="00D96A64"/>
    <w:rsid w:val="00D979D3"/>
    <w:rsid w:val="00DA173D"/>
    <w:rsid w:val="00DA2A7B"/>
    <w:rsid w:val="00DA44A5"/>
    <w:rsid w:val="00DB00CD"/>
    <w:rsid w:val="00DC58E1"/>
    <w:rsid w:val="00DC7E1B"/>
    <w:rsid w:val="00DD1DDC"/>
    <w:rsid w:val="00DD3718"/>
    <w:rsid w:val="00DD7E7A"/>
    <w:rsid w:val="00DF129F"/>
    <w:rsid w:val="00DF39E3"/>
    <w:rsid w:val="00DF7725"/>
    <w:rsid w:val="00E033B7"/>
    <w:rsid w:val="00E04F34"/>
    <w:rsid w:val="00E059FD"/>
    <w:rsid w:val="00E06C2F"/>
    <w:rsid w:val="00E13409"/>
    <w:rsid w:val="00E162E2"/>
    <w:rsid w:val="00E24399"/>
    <w:rsid w:val="00E274C6"/>
    <w:rsid w:val="00E3317B"/>
    <w:rsid w:val="00E41399"/>
    <w:rsid w:val="00E43A47"/>
    <w:rsid w:val="00E63279"/>
    <w:rsid w:val="00E74BD5"/>
    <w:rsid w:val="00E7592A"/>
    <w:rsid w:val="00E82899"/>
    <w:rsid w:val="00E839DA"/>
    <w:rsid w:val="00E90B4F"/>
    <w:rsid w:val="00E915E3"/>
    <w:rsid w:val="00E9325C"/>
    <w:rsid w:val="00E94DA2"/>
    <w:rsid w:val="00E95368"/>
    <w:rsid w:val="00E96D45"/>
    <w:rsid w:val="00E97B4B"/>
    <w:rsid w:val="00EB4197"/>
    <w:rsid w:val="00EB4756"/>
    <w:rsid w:val="00EC4AFD"/>
    <w:rsid w:val="00ED0067"/>
    <w:rsid w:val="00ED06E4"/>
    <w:rsid w:val="00EE2509"/>
    <w:rsid w:val="00EE3D03"/>
    <w:rsid w:val="00EE740D"/>
    <w:rsid w:val="00F01FED"/>
    <w:rsid w:val="00F13C5A"/>
    <w:rsid w:val="00F14BDB"/>
    <w:rsid w:val="00F15238"/>
    <w:rsid w:val="00F22AF2"/>
    <w:rsid w:val="00F2677A"/>
    <w:rsid w:val="00F27D29"/>
    <w:rsid w:val="00F424C9"/>
    <w:rsid w:val="00F44C7D"/>
    <w:rsid w:val="00F572C7"/>
    <w:rsid w:val="00F57990"/>
    <w:rsid w:val="00F66B41"/>
    <w:rsid w:val="00F70811"/>
    <w:rsid w:val="00F82A0E"/>
    <w:rsid w:val="00F910DB"/>
    <w:rsid w:val="00F91228"/>
    <w:rsid w:val="00F96DB3"/>
    <w:rsid w:val="00F970FB"/>
    <w:rsid w:val="00FA5FAA"/>
    <w:rsid w:val="00FB39CB"/>
    <w:rsid w:val="00FB69DD"/>
    <w:rsid w:val="00FC2254"/>
    <w:rsid w:val="00FC30DA"/>
    <w:rsid w:val="00FC64EE"/>
    <w:rsid w:val="00FD6649"/>
    <w:rsid w:val="00FE7D5D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silver,#eaeaea"/>
    </o:shapedefaults>
    <o:shapelayout v:ext="edit">
      <o:idmap v:ext="edit" data="2"/>
    </o:shapelayout>
  </w:shapeDefaults>
  <w:decimalSymbol w:val="."/>
  <w:listSeparator w:val=","/>
  <w14:docId w14:val="2D7C2156"/>
  <w15:docId w15:val="{F0C9816E-732B-4E9D-B86C-8CDF4A32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5F2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qFormat/>
    <w:rsid w:val="00F13C5A"/>
    <w:pPr>
      <w:pBdr>
        <w:bottom w:val="single" w:sz="4" w:space="1" w:color="auto"/>
      </w:pBdr>
      <w:spacing w:before="60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C553E"/>
    <w:pPr>
      <w:spacing w:before="4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1C553E"/>
    <w:pPr>
      <w:pBdr>
        <w:bottom w:val="none" w:sz="0" w:space="0" w:color="auto"/>
      </w:pBdr>
      <w:spacing w:before="100"/>
      <w:ind w:left="782"/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1C553E"/>
    <w:pPr>
      <w:outlineLvl w:val="4"/>
    </w:pPr>
    <w:rPr>
      <w:bCs/>
      <w:i/>
      <w:iCs w:val="0"/>
      <w:sz w:val="18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rsid w:val="001C553E"/>
    <w:pPr>
      <w:ind w:left="1293"/>
    </w:pPr>
  </w:style>
  <w:style w:type="paragraph" w:customStyle="1" w:styleId="Heading5Indent1">
    <w:name w:val="Heading 5 Indent1"/>
    <w:basedOn w:val="Heading5"/>
    <w:next w:val="Normal"/>
    <w:rsid w:val="001C553E"/>
    <w:pPr>
      <w:ind w:left="1293"/>
    </w:pPr>
  </w:style>
  <w:style w:type="paragraph" w:customStyle="1" w:styleId="Heading6Indent1">
    <w:name w:val="Heading 6 Indent1"/>
    <w:basedOn w:val="Heading6"/>
    <w:next w:val="Normal"/>
    <w:rsid w:val="001C553E"/>
    <w:pPr>
      <w:ind w:left="1293"/>
    </w:pPr>
  </w:style>
  <w:style w:type="paragraph" w:styleId="Header">
    <w:name w:val="header"/>
    <w:basedOn w:val="Normal"/>
    <w:link w:val="HeaderChar"/>
    <w:uiPriority w:val="99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1A0C8F"/>
    <w:pPr>
      <w:tabs>
        <w:tab w:val="right" w:pos="9072"/>
      </w:tabs>
      <w:spacing w:after="60"/>
      <w:ind w:left="170" w:right="1134" w:hanging="170"/>
      <w:jc w:val="left"/>
    </w:pPr>
    <w:rPr>
      <w:b/>
      <w:caps/>
    </w:r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rsid w:val="001A0C8F"/>
    <w:pPr>
      <w:ind w:left="510"/>
    </w:pPr>
    <w:rPr>
      <w:b w:val="0"/>
      <w:caps w:val="0"/>
    </w:r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7"/>
      </w:numPr>
      <w:spacing w:before="100" w:after="100"/>
    </w:pPr>
  </w:style>
  <w:style w:type="paragraph" w:customStyle="1" w:styleId="NoNumPlain1">
    <w:name w:val="NoNum Plain1"/>
    <w:basedOn w:val="Normal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580BC4"/>
    <w:pPr>
      <w:numPr>
        <w:numId w:val="1"/>
      </w:numPr>
      <w:spacing w:before="100" w:after="1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580BC4"/>
    <w:pPr>
      <w:numPr>
        <w:numId w:val="6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6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6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6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34243B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3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580BC4"/>
    <w:pPr>
      <w:numPr>
        <w:numId w:val="4"/>
      </w:numPr>
      <w:spacing w:before="100" w:after="1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812F8"/>
    <w:rPr>
      <w:sz w:val="19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A0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C8F"/>
    <w:rPr>
      <w:rFonts w:ascii="Segoe UI" w:hAnsi="Segoe UI" w:cs="Segoe UI"/>
      <w:sz w:val="18"/>
      <w:szCs w:val="18"/>
      <w:lang w:eastAsia="en-US"/>
    </w:rPr>
  </w:style>
  <w:style w:type="paragraph" w:customStyle="1" w:styleId="IASBNormalnpara">
    <w:name w:val="IASB Normal npara"/>
    <w:basedOn w:val="Normal"/>
    <w:rsid w:val="00254F38"/>
    <w:pPr>
      <w:spacing w:before="100"/>
      <w:ind w:left="782" w:hanging="782"/>
    </w:pPr>
    <w:rPr>
      <w:lang w:val="en-US"/>
    </w:rPr>
  </w:style>
  <w:style w:type="paragraph" w:customStyle="1" w:styleId="IASBSectionTitle1NonInd">
    <w:name w:val="IASB Section Title 1 NonInd"/>
    <w:basedOn w:val="Normal"/>
    <w:rsid w:val="00254F38"/>
    <w:pPr>
      <w:keepNext/>
      <w:keepLines/>
      <w:pBdr>
        <w:bottom w:val="single" w:sz="4" w:space="0" w:color="auto"/>
      </w:pBdr>
      <w:spacing w:before="400" w:after="200"/>
      <w:jc w:val="left"/>
    </w:pPr>
    <w:rPr>
      <w:rFonts w:ascii="Arial" w:hAnsi="Arial" w:cs="Arial"/>
      <w:b/>
      <w:sz w:val="26"/>
      <w:lang w:val="en-US"/>
    </w:rPr>
  </w:style>
  <w:style w:type="paragraph" w:customStyle="1" w:styleId="IASBSectionTitle2Ind">
    <w:name w:val="IASB Section Title 2 Ind"/>
    <w:basedOn w:val="Normal"/>
    <w:rsid w:val="00254F38"/>
    <w:pPr>
      <w:keepNext/>
      <w:keepLines/>
      <w:spacing w:before="240" w:after="200"/>
      <w:ind w:left="782"/>
      <w:jc w:val="left"/>
    </w:pPr>
    <w:rPr>
      <w:rFonts w:ascii="Arial" w:hAnsi="Arial" w:cs="Arial"/>
      <w:b/>
      <w:sz w:val="26"/>
      <w:lang w:val="en-US"/>
    </w:rPr>
  </w:style>
  <w:style w:type="paragraph" w:customStyle="1" w:styleId="IASBSectionTitle3Ind">
    <w:name w:val="IASB Section Title 3 Ind"/>
    <w:basedOn w:val="Normal"/>
    <w:rsid w:val="00254F38"/>
    <w:pPr>
      <w:keepNext/>
      <w:keepLines/>
      <w:spacing w:before="240" w:after="200"/>
      <w:ind w:left="782"/>
      <w:jc w:val="left"/>
    </w:pPr>
    <w:rPr>
      <w:rFonts w:ascii="Arial" w:hAnsi="Arial" w:cs="Arial"/>
      <w:b/>
      <w:sz w:val="22"/>
      <w:lang w:val="en-US"/>
    </w:rPr>
  </w:style>
  <w:style w:type="paragraph" w:customStyle="1" w:styleId="IASBTableArial">
    <w:name w:val="IASB Table Arial"/>
    <w:basedOn w:val="Normal"/>
    <w:rsid w:val="00254F38"/>
    <w:pPr>
      <w:spacing w:before="120"/>
      <w:jc w:val="left"/>
    </w:pPr>
    <w:rPr>
      <w:rFonts w:ascii="Arial" w:hAnsi="Arial"/>
      <w:sz w:val="18"/>
      <w:lang w:val="en-GB" w:eastAsia="en-GB"/>
    </w:rPr>
  </w:style>
  <w:style w:type="paragraph" w:customStyle="1" w:styleId="IASBNormalnparaP">
    <w:name w:val="IASB Normal nparaP"/>
    <w:basedOn w:val="Normal"/>
    <w:rsid w:val="003B5CAE"/>
    <w:pPr>
      <w:tabs>
        <w:tab w:val="left" w:pos="4253"/>
      </w:tabs>
      <w:spacing w:before="100" w:after="100"/>
      <w:ind w:left="782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B5CAE"/>
    <w:rPr>
      <w:sz w:val="19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5CAE"/>
    <w:rPr>
      <w:sz w:val="19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36E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6E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36E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6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6E75"/>
    <w:rPr>
      <w:b/>
      <w:bCs/>
      <w:lang w:eastAsia="en-US"/>
    </w:rPr>
  </w:style>
  <w:style w:type="paragraph" w:styleId="Revision">
    <w:name w:val="Revision"/>
    <w:hidden/>
    <w:uiPriority w:val="99"/>
    <w:semiHidden/>
    <w:rsid w:val="007E2DD4"/>
    <w:rPr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stis\AUSTRALIAN%20ACCOUNTING%20STANDARDS%20-%20AUDITING%20AND%20ASSURANCE%20STANDARDS%20BOARD\OfficeTemplates%20-%20Documents\Templates\AmendingIF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E7EE-3446-469A-8380-B1C415BD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AmendingIFRS.dotx</Template>
  <TotalTime>33</TotalTime>
  <Pages>6</Pages>
  <Words>1029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AASB2022-5_11-22</vt:lpstr>
    </vt:vector>
  </TitlesOfParts>
  <Company>Australian Accounting Standards Board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AASB2022-5_11-22</dc:title>
  <dc:subject/>
  <dc:creator>.</dc:creator>
  <cp:keywords/>
  <dc:description/>
  <cp:lastModifiedBy>Clark Anstis</cp:lastModifiedBy>
  <cp:revision>8</cp:revision>
  <cp:lastPrinted>2022-10-25T08:08:00Z</cp:lastPrinted>
  <dcterms:created xsi:type="dcterms:W3CDTF">2022-11-18T03:05:00Z</dcterms:created>
  <dcterms:modified xsi:type="dcterms:W3CDTF">2022-11-22T04:40:00Z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Classification">
    <vt:lpwstr>Unofficial</vt:lpwstr>
  </property>
  <property fmtid="{D5CDD505-2E9C-101B-9397-08002B2CF9AE}" pid="3" name="GrammarlyDocumentId">
    <vt:lpwstr>034ad997347d9be0ad4a9c3c5b16325ed94866d744d6375ba57cd04a61e5f387</vt:lpwstr>
  </property>
</Properties>
</file>