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A1A69" w14:textId="1F01E422" w:rsidR="00DF6803" w:rsidRPr="0040612E" w:rsidRDefault="00DF6803" w:rsidP="74D347EE">
      <w:pPr>
        <w:autoSpaceDE w:val="0"/>
        <w:autoSpaceDN w:val="0"/>
        <w:adjustRightInd w:val="0"/>
        <w:spacing w:after="0" w:line="260" w:lineRule="atLeast"/>
        <w:jc w:val="center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40612E"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  <w:t>EXPLANATORY STATEMENT</w:t>
      </w:r>
    </w:p>
    <w:p w14:paraId="57D404B0" w14:textId="77777777" w:rsidR="00DF6803" w:rsidRPr="0040612E" w:rsidRDefault="00DF6803" w:rsidP="74D347EE">
      <w:pPr>
        <w:autoSpaceDE w:val="0"/>
        <w:autoSpaceDN w:val="0"/>
        <w:adjustRightInd w:val="0"/>
        <w:spacing w:after="0" w:line="260" w:lineRule="atLeast"/>
        <w:jc w:val="center"/>
        <w:rPr>
          <w:rFonts w:ascii="Times New Roman" w:eastAsia="Calibri" w:hAnsi="Times New Roman" w:cs="Times New Roman"/>
          <w:b/>
          <w:bCs/>
          <w:color w:val="000000"/>
          <w:u w:val="single"/>
        </w:rPr>
      </w:pPr>
    </w:p>
    <w:p w14:paraId="7BC4A5E8" w14:textId="77777777" w:rsidR="00DF6803" w:rsidRPr="0040612E" w:rsidRDefault="00DF6803" w:rsidP="74D347EE">
      <w:pPr>
        <w:autoSpaceDE w:val="0"/>
        <w:autoSpaceDN w:val="0"/>
        <w:adjustRightInd w:val="0"/>
        <w:spacing w:after="0" w:line="260" w:lineRule="atLeast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color w:val="000000" w:themeColor="text1"/>
        </w:rPr>
        <w:t>Issued by the Authority of the Australian Fisheries Management Authority</w:t>
      </w:r>
    </w:p>
    <w:p w14:paraId="421DAA8B" w14:textId="77777777" w:rsidR="00DF6803" w:rsidRPr="0040612E" w:rsidRDefault="00DF6803" w:rsidP="74D347EE">
      <w:pPr>
        <w:autoSpaceDE w:val="0"/>
        <w:autoSpaceDN w:val="0"/>
        <w:adjustRightInd w:val="0"/>
        <w:spacing w:after="0" w:line="260" w:lineRule="atLeast"/>
        <w:rPr>
          <w:rFonts w:ascii="Times New Roman" w:eastAsia="Calibri" w:hAnsi="Times New Roman" w:cs="Times New Roman"/>
          <w:b/>
          <w:bCs/>
          <w:color w:val="000000"/>
        </w:rPr>
      </w:pPr>
    </w:p>
    <w:p w14:paraId="07247AAE" w14:textId="77777777" w:rsidR="00DF6803" w:rsidRPr="0040612E" w:rsidRDefault="00DF6803" w:rsidP="7F06AB46">
      <w:pPr>
        <w:autoSpaceDE w:val="0"/>
        <w:autoSpaceDN w:val="0"/>
        <w:adjustRightInd w:val="0"/>
        <w:spacing w:after="0" w:line="260" w:lineRule="atLeast"/>
        <w:jc w:val="center"/>
        <w:rPr>
          <w:rFonts w:ascii="Times New Roman" w:eastAsia="Calibri" w:hAnsi="Times New Roman" w:cs="Times New Roman"/>
          <w:i/>
          <w:iCs/>
          <w:color w:val="000000"/>
        </w:rPr>
      </w:pPr>
      <w:r w:rsidRPr="0040612E">
        <w:rPr>
          <w:rFonts w:ascii="Times New Roman" w:eastAsia="Calibri" w:hAnsi="Times New Roman" w:cs="Times New Roman"/>
          <w:i/>
          <w:iCs/>
          <w:color w:val="000000" w:themeColor="text1"/>
        </w:rPr>
        <w:t>Fisheries Management Act 1991</w:t>
      </w:r>
    </w:p>
    <w:p w14:paraId="1D831312" w14:textId="77777777" w:rsidR="00DF6803" w:rsidRPr="0040612E" w:rsidRDefault="00DF6803" w:rsidP="7F06AB46">
      <w:pPr>
        <w:autoSpaceDE w:val="0"/>
        <w:autoSpaceDN w:val="0"/>
        <w:adjustRightInd w:val="0"/>
        <w:spacing w:after="0" w:line="260" w:lineRule="atLeast"/>
        <w:jc w:val="center"/>
        <w:rPr>
          <w:rFonts w:ascii="Times New Roman" w:eastAsia="Calibri" w:hAnsi="Times New Roman" w:cs="Times New Roman"/>
          <w:i/>
          <w:iCs/>
          <w:color w:val="000000"/>
        </w:rPr>
      </w:pPr>
      <w:r w:rsidRPr="0040612E">
        <w:rPr>
          <w:rFonts w:ascii="Times New Roman" w:eastAsia="Calibri" w:hAnsi="Times New Roman" w:cs="Times New Roman"/>
          <w:i/>
          <w:iCs/>
          <w:color w:val="000000" w:themeColor="text1"/>
        </w:rPr>
        <w:t>Eastern Tuna and Billfish Fishery Management Plan 2010</w:t>
      </w:r>
    </w:p>
    <w:p w14:paraId="487F534F" w14:textId="77777777" w:rsidR="00DF6803" w:rsidRPr="0040612E" w:rsidRDefault="00DF6803" w:rsidP="7F06AB46">
      <w:pPr>
        <w:autoSpaceDE w:val="0"/>
        <w:autoSpaceDN w:val="0"/>
        <w:adjustRightInd w:val="0"/>
        <w:spacing w:after="0" w:line="260" w:lineRule="atLeast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</w:p>
    <w:p w14:paraId="57ABD943" w14:textId="297AF577" w:rsidR="00DF6803" w:rsidRPr="0040612E" w:rsidRDefault="00A17E18" w:rsidP="74D347EE">
      <w:pPr>
        <w:autoSpaceDE w:val="0"/>
        <w:autoSpaceDN w:val="0"/>
        <w:adjustRightInd w:val="0"/>
        <w:spacing w:after="0" w:line="260" w:lineRule="atLeast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Eastern Tuna and Billfish Fishery </w:t>
      </w:r>
      <w:r w:rsidR="005F6419" w:rsidRPr="0040612E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(Fishing Season and </w:t>
      </w:r>
      <w:r w:rsidRPr="0040612E">
        <w:rPr>
          <w:rFonts w:ascii="Times New Roman" w:eastAsia="Calibri" w:hAnsi="Times New Roman" w:cs="Times New Roman"/>
          <w:b/>
          <w:bCs/>
          <w:color w:val="000000" w:themeColor="text1"/>
        </w:rPr>
        <w:t>Total Allowable Commercial Catch</w:t>
      </w:r>
      <w:r w:rsidR="008C3F77" w:rsidRPr="0040612E">
        <w:rPr>
          <w:rFonts w:ascii="Times New Roman" w:eastAsia="Calibri" w:hAnsi="Times New Roman" w:cs="Times New Roman"/>
          <w:b/>
          <w:bCs/>
          <w:color w:val="000000" w:themeColor="text1"/>
        </w:rPr>
        <w:t>)</w:t>
      </w:r>
      <w:r w:rsidR="005E0B15" w:rsidRPr="0040612E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Determination 202</w:t>
      </w:r>
      <w:r w:rsidR="00C82A81" w:rsidRPr="0040612E">
        <w:rPr>
          <w:rFonts w:ascii="Times New Roman" w:eastAsia="Calibri" w:hAnsi="Times New Roman" w:cs="Times New Roman"/>
          <w:b/>
          <w:bCs/>
          <w:color w:val="000000" w:themeColor="text1"/>
        </w:rPr>
        <w:t>3</w:t>
      </w:r>
    </w:p>
    <w:p w14:paraId="76BAB7D4" w14:textId="77777777" w:rsidR="00A17E18" w:rsidRPr="0040612E" w:rsidRDefault="00A17E18" w:rsidP="74D347EE">
      <w:pPr>
        <w:autoSpaceDE w:val="0"/>
        <w:autoSpaceDN w:val="0"/>
        <w:adjustRightInd w:val="0"/>
        <w:spacing w:after="0" w:line="260" w:lineRule="atLeast"/>
        <w:jc w:val="center"/>
        <w:rPr>
          <w:rFonts w:ascii="Times New Roman" w:eastAsia="Calibri" w:hAnsi="Times New Roman" w:cs="Times New Roman"/>
          <w:color w:val="000000"/>
        </w:rPr>
      </w:pPr>
    </w:p>
    <w:p w14:paraId="742B2DB5" w14:textId="77777777" w:rsidR="00DF6803" w:rsidRPr="0040612E" w:rsidRDefault="00DF6803" w:rsidP="74D347EE">
      <w:pPr>
        <w:spacing w:after="120" w:line="260" w:lineRule="atLeast"/>
        <w:rPr>
          <w:rFonts w:ascii="Times New Roman" w:eastAsia="Calibri" w:hAnsi="Times New Roman" w:cs="Times New Roman"/>
        </w:rPr>
      </w:pPr>
      <w:r w:rsidRPr="0040612E">
        <w:rPr>
          <w:rFonts w:ascii="Times New Roman" w:eastAsia="Calibri" w:hAnsi="Times New Roman" w:cs="Times New Roman"/>
        </w:rPr>
        <w:t xml:space="preserve">Section 17 of the </w:t>
      </w:r>
      <w:r w:rsidRPr="0040612E">
        <w:rPr>
          <w:rFonts w:ascii="Times New Roman" w:eastAsia="Calibri" w:hAnsi="Times New Roman" w:cs="Times New Roman"/>
          <w:i/>
          <w:iCs/>
        </w:rPr>
        <w:t>Fisheries Management Act 1991</w:t>
      </w:r>
      <w:r w:rsidRPr="0040612E">
        <w:rPr>
          <w:rFonts w:ascii="Times New Roman" w:eastAsia="Calibri" w:hAnsi="Times New Roman" w:cs="Times New Roman"/>
        </w:rPr>
        <w:t xml:space="preserve"> (the FM Act) provides for the Australian Fisheries Management Authority (AFMA) to determine plans of management for a fishery.</w:t>
      </w:r>
    </w:p>
    <w:p w14:paraId="378575F6" w14:textId="77777777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</w:rPr>
        <w:t>Paragraph (aa) of subsection 17(6) of the FM Act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provides that a plan of management may determine, or provide for AFMA to determine, the fishing capacity for a fishery measured by that method or those methods permitted for the fishery or a part of the fishery in respect of a particular period or periods.</w:t>
      </w:r>
    </w:p>
    <w:p w14:paraId="4AA89297" w14:textId="09BF67FF" w:rsidR="005F6419" w:rsidRPr="0040612E" w:rsidRDefault="00DF6803" w:rsidP="74D347E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 xml:space="preserve">Subsection 3.2(1) of the </w:t>
      </w:r>
      <w:r w:rsidRPr="0040612E">
        <w:rPr>
          <w:rFonts w:ascii="Times New Roman" w:eastAsia="Calibri" w:hAnsi="Times New Roman" w:cs="Times New Roman"/>
          <w:i/>
          <w:iCs/>
          <w:color w:val="000000" w:themeColor="text1"/>
        </w:rPr>
        <w:t>Eastern Tuna and Billfish Fishery Management Plan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40612E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2010 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(the Plan) provides that AFMA must determine a total allowable commercial catch (TACC) for each quota species for the fishing season before the fishing season commences. </w:t>
      </w:r>
      <w:r w:rsidR="005F6419" w:rsidRPr="0040612E">
        <w:rPr>
          <w:rFonts w:ascii="Times New Roman" w:eastAsia="Calibri" w:hAnsi="Times New Roman" w:cs="Times New Roman"/>
          <w:color w:val="000000" w:themeColor="text1"/>
        </w:rPr>
        <w:t>S</w:t>
      </w:r>
      <w:r w:rsidR="00F736DD" w:rsidRPr="0040612E">
        <w:rPr>
          <w:rFonts w:ascii="Times New Roman" w:eastAsia="Calibri" w:hAnsi="Times New Roman" w:cs="Times New Roman"/>
          <w:color w:val="000000" w:themeColor="text1"/>
        </w:rPr>
        <w:t>ection 1.3 states that the fishing season means the period determined by AFMA</w:t>
      </w:r>
      <w:r w:rsidR="0045282A" w:rsidRPr="0040612E">
        <w:rPr>
          <w:rFonts w:ascii="Times New Roman" w:eastAsia="Calibri" w:hAnsi="Times New Roman" w:cs="Times New Roman"/>
          <w:color w:val="000000" w:themeColor="text1"/>
        </w:rPr>
        <w:t>.</w:t>
      </w:r>
    </w:p>
    <w:p w14:paraId="44BABA7B" w14:textId="77777777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 xml:space="preserve">A determination of a TACC must specify the TACC expressed in whole weight or a specified other weight.  The quota for each statutory fishing right (SFR), for a quota species, is determined by dividing the TACC for the species by the number of SFRs in force at the start of the fishing season.  </w:t>
      </w:r>
    </w:p>
    <w:p w14:paraId="4A90E22A" w14:textId="25F1C9BB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 xml:space="preserve">Subsection 3.2(4) of the Plan provides that, before AFMA determines a TACC for a quota species for a fishing season, it must consider information given by the advisory committee (established under section 56 of the </w:t>
      </w:r>
      <w:r w:rsidRPr="0040612E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Fisheries Administration Act 1991 </w:t>
      </w:r>
      <w:r w:rsidRPr="0040612E">
        <w:rPr>
          <w:rFonts w:ascii="Times New Roman" w:eastAsia="Calibri" w:hAnsi="Times New Roman" w:cs="Times New Roman"/>
          <w:color w:val="000000" w:themeColor="text1"/>
        </w:rPr>
        <w:t>(the FA Act)</w:t>
      </w:r>
      <w:r w:rsidRPr="0040612E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to assist the Commission in the performance of its functions), other interested Australian and international bodies, and other interested persons.  AFMA must also </w:t>
      </w:r>
      <w:proofErr w:type="gramStart"/>
      <w:r w:rsidRPr="0040612E">
        <w:rPr>
          <w:rFonts w:ascii="Times New Roman" w:eastAsia="Calibri" w:hAnsi="Times New Roman" w:cs="Times New Roman"/>
          <w:color w:val="000000" w:themeColor="text1"/>
        </w:rPr>
        <w:t>take into account</w:t>
      </w:r>
      <w:proofErr w:type="gramEnd"/>
      <w:r w:rsidRPr="0040612E">
        <w:rPr>
          <w:rFonts w:ascii="Times New Roman" w:eastAsia="Calibri" w:hAnsi="Times New Roman" w:cs="Times New Roman"/>
          <w:color w:val="000000" w:themeColor="text1"/>
        </w:rPr>
        <w:t xml:space="preserve"> all fishing mortality from all sectors including commercial, recreational, indigenous and other users of the fishery. AFMA must abide by the Commonwealth </w:t>
      </w:r>
      <w:r w:rsidR="008A1EEA" w:rsidRPr="0040612E">
        <w:rPr>
          <w:rFonts w:ascii="Times New Roman" w:eastAsia="Calibri" w:hAnsi="Times New Roman" w:cs="Times New Roman"/>
          <w:color w:val="000000" w:themeColor="text1"/>
        </w:rPr>
        <w:t xml:space="preserve">Fisheries 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Harvest Strategy Policy and the Eastern Tuna and Billfish Fishery Harvest Strategy and consider information about the sustainability of marine species </w:t>
      </w:r>
      <w:proofErr w:type="gramStart"/>
      <w:r w:rsidRPr="0040612E">
        <w:rPr>
          <w:rFonts w:ascii="Times New Roman" w:eastAsia="Calibri" w:hAnsi="Times New Roman" w:cs="Times New Roman"/>
          <w:color w:val="000000" w:themeColor="text1"/>
        </w:rPr>
        <w:t>in the area of</w:t>
      </w:r>
      <w:proofErr w:type="gramEnd"/>
      <w:r w:rsidRPr="0040612E">
        <w:rPr>
          <w:rFonts w:ascii="Times New Roman" w:eastAsia="Calibri" w:hAnsi="Times New Roman" w:cs="Times New Roman"/>
          <w:color w:val="000000" w:themeColor="text1"/>
        </w:rPr>
        <w:t xml:space="preserve"> the fishery, the precautionary principle, any decision made by the Minister or intergovernmental ministerial council about resource sharing and the likely effect of any </w:t>
      </w:r>
      <w:proofErr w:type="spellStart"/>
      <w:r w:rsidRPr="0040612E">
        <w:rPr>
          <w:rFonts w:ascii="Times New Roman" w:eastAsia="Calibri" w:hAnsi="Times New Roman" w:cs="Times New Roman"/>
          <w:color w:val="000000" w:themeColor="text1"/>
        </w:rPr>
        <w:t>overcatch</w:t>
      </w:r>
      <w:proofErr w:type="spellEnd"/>
      <w:r w:rsidRPr="0040612E">
        <w:rPr>
          <w:rFonts w:ascii="Times New Roman" w:eastAsia="Calibri" w:hAnsi="Times New Roman" w:cs="Times New Roman"/>
          <w:color w:val="000000" w:themeColor="text1"/>
        </w:rPr>
        <w:t xml:space="preserve"> or </w:t>
      </w:r>
      <w:proofErr w:type="spellStart"/>
      <w:r w:rsidRPr="0040612E">
        <w:rPr>
          <w:rFonts w:ascii="Times New Roman" w:eastAsia="Calibri" w:hAnsi="Times New Roman" w:cs="Times New Roman"/>
          <w:color w:val="000000" w:themeColor="text1"/>
        </w:rPr>
        <w:t>undercatch</w:t>
      </w:r>
      <w:proofErr w:type="spellEnd"/>
      <w:r w:rsidRPr="0040612E">
        <w:rPr>
          <w:rFonts w:ascii="Times New Roman" w:eastAsia="Calibri" w:hAnsi="Times New Roman" w:cs="Times New Roman"/>
          <w:color w:val="000000" w:themeColor="text1"/>
        </w:rPr>
        <w:t xml:space="preserve"> provisions. </w:t>
      </w:r>
    </w:p>
    <w:p w14:paraId="2A9424E7" w14:textId="403A471E" w:rsidR="00DF6803" w:rsidRPr="0040612E" w:rsidRDefault="00DF6803" w:rsidP="74D347EE">
      <w:pPr>
        <w:autoSpaceDE w:val="0"/>
        <w:autoSpaceDN w:val="0"/>
        <w:adjustRightInd w:val="0"/>
        <w:spacing w:after="0" w:line="26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 xml:space="preserve">This 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 xml:space="preserve">instrument determines the </w:t>
      </w:r>
      <w:r w:rsidR="002503C7" w:rsidRPr="0040612E">
        <w:rPr>
          <w:rFonts w:ascii="Times New Roman" w:eastAsia="Calibri" w:hAnsi="Times New Roman" w:cs="Times New Roman"/>
          <w:color w:val="000000" w:themeColor="text1"/>
        </w:rPr>
        <w:t xml:space="preserve">fishing season and the 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 xml:space="preserve">TACC 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for each quota species 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>for the 202</w:t>
      </w:r>
      <w:r w:rsidR="00C82A81" w:rsidRPr="0040612E">
        <w:rPr>
          <w:rFonts w:ascii="Times New Roman" w:eastAsia="Calibri" w:hAnsi="Times New Roman" w:cs="Times New Roman"/>
          <w:color w:val="000000" w:themeColor="text1"/>
        </w:rPr>
        <w:t>3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fishing season.    </w:t>
      </w:r>
    </w:p>
    <w:p w14:paraId="10586FE3" w14:textId="77777777" w:rsidR="00DF6803" w:rsidRPr="0040612E" w:rsidRDefault="00DF6803" w:rsidP="74D347EE">
      <w:pPr>
        <w:autoSpaceDE w:val="0"/>
        <w:autoSpaceDN w:val="0"/>
        <w:adjustRightInd w:val="0"/>
        <w:spacing w:before="240" w:after="120" w:line="260" w:lineRule="atLeast"/>
        <w:rPr>
          <w:rFonts w:ascii="Times New Roman" w:eastAsia="Calibri" w:hAnsi="Times New Roman" w:cs="Times New Roman"/>
          <w:b/>
          <w:bCs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color w:val="000000" w:themeColor="text1"/>
        </w:rPr>
        <w:t>The Fishery</w:t>
      </w:r>
    </w:p>
    <w:p w14:paraId="2BC91342" w14:textId="77777777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>The Eastern Tuna and Billfish Fishery</w:t>
      </w:r>
      <w:r w:rsidRPr="0040612E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</w:t>
      </w:r>
      <w:r w:rsidRPr="0040612E">
        <w:rPr>
          <w:rFonts w:ascii="Times New Roman" w:eastAsia="Calibri" w:hAnsi="Times New Roman" w:cs="Times New Roman"/>
          <w:color w:val="000000" w:themeColor="text1"/>
        </w:rPr>
        <w:t>(ETBF)</w:t>
      </w:r>
      <w:r w:rsidRPr="0040612E">
        <w:rPr>
          <w:rFonts w:ascii="Times New Roman" w:eastAsia="Calibri" w:hAnsi="Times New Roman" w:cs="Times New Roman"/>
          <w:i/>
          <w:iCs/>
          <w:color w:val="000000" w:themeColor="text1"/>
        </w:rPr>
        <w:t xml:space="preserve"> </w:t>
      </w:r>
      <w:r w:rsidRPr="0040612E">
        <w:rPr>
          <w:rFonts w:ascii="Times New Roman" w:eastAsia="Calibri" w:hAnsi="Times New Roman" w:cs="Times New Roman"/>
          <w:color w:val="000000" w:themeColor="text1"/>
        </w:rPr>
        <w:t>covers the area of waters in the Australian Exclusive Economic Zone (EEZ) included on the east coast of Australia between the South Australia/Victoria border and Cape York in the North. The ETBF also includes a restricted entry zone in the Coral Sea and a high seas zone that provides specific arrangements for fishing in the ETBF beyond the Australian EEZ.</w:t>
      </w:r>
    </w:p>
    <w:p w14:paraId="5BF4A2DE" w14:textId="77777777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Management in the ETBF is by output controls in the form of individually transferable quotas granted under the Plan. </w:t>
      </w:r>
    </w:p>
    <w:p w14:paraId="5318FAF6" w14:textId="77777777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color w:val="000000" w:themeColor="text1"/>
        </w:rPr>
        <w:t>Consultation</w:t>
      </w:r>
    </w:p>
    <w:p w14:paraId="19E8EF6F" w14:textId="6098C487" w:rsidR="00F6749F" w:rsidRPr="0040612E" w:rsidRDefault="00CB5390" w:rsidP="00301E8F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>T</w:t>
      </w:r>
      <w:r w:rsidR="00F6749F" w:rsidRPr="0040612E">
        <w:rPr>
          <w:rFonts w:ascii="Times New Roman" w:eastAsia="Calibri" w:hAnsi="Times New Roman" w:cs="Times New Roman"/>
          <w:color w:val="000000" w:themeColor="text1"/>
        </w:rPr>
        <w:t>he Tropical Tuna Resource Assessment Group (TTRAG)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072B7" w:rsidRPr="0040612E">
        <w:rPr>
          <w:rFonts w:ascii="Times New Roman" w:eastAsia="Calibri" w:hAnsi="Times New Roman" w:cs="Times New Roman"/>
          <w:color w:val="000000" w:themeColor="text1"/>
        </w:rPr>
        <w:t>provides scientific advice on TACs for the ETBF.  TTRAG</w:t>
      </w:r>
      <w:r w:rsidR="00F6749F" w:rsidRPr="0040612E">
        <w:rPr>
          <w:rFonts w:ascii="Times New Roman" w:eastAsia="Calibri" w:hAnsi="Times New Roman" w:cs="Times New Roman"/>
          <w:color w:val="000000" w:themeColor="text1"/>
        </w:rPr>
        <w:t xml:space="preserve"> comprise</w:t>
      </w:r>
      <w:r w:rsidR="00EE101F" w:rsidRPr="0040612E">
        <w:rPr>
          <w:rFonts w:ascii="Times New Roman" w:eastAsia="Calibri" w:hAnsi="Times New Roman" w:cs="Times New Roman"/>
          <w:color w:val="000000" w:themeColor="text1"/>
        </w:rPr>
        <w:t>s</w:t>
      </w:r>
      <w:r w:rsidR="00F6749F" w:rsidRPr="0040612E">
        <w:rPr>
          <w:rFonts w:ascii="Times New Roman" w:eastAsia="Calibri" w:hAnsi="Times New Roman" w:cs="Times New Roman"/>
          <w:color w:val="000000" w:themeColor="text1"/>
        </w:rPr>
        <w:t xml:space="preserve"> scientific, industry</w:t>
      </w:r>
      <w:r w:rsidR="0023501D" w:rsidRPr="0040612E">
        <w:rPr>
          <w:rFonts w:ascii="Times New Roman" w:eastAsia="Calibri" w:hAnsi="Times New Roman" w:cs="Times New Roman"/>
          <w:color w:val="000000" w:themeColor="text1"/>
        </w:rPr>
        <w:t>, recreational fishing</w:t>
      </w:r>
      <w:r w:rsidR="00F6749F" w:rsidRPr="0040612E">
        <w:rPr>
          <w:rFonts w:ascii="Times New Roman" w:eastAsia="Calibri" w:hAnsi="Times New Roman" w:cs="Times New Roman"/>
          <w:color w:val="000000" w:themeColor="text1"/>
        </w:rPr>
        <w:t xml:space="preserve"> and management </w:t>
      </w:r>
      <w:r w:rsidR="008E30A1" w:rsidRPr="0040612E">
        <w:rPr>
          <w:rFonts w:ascii="Times New Roman" w:eastAsia="Calibri" w:hAnsi="Times New Roman" w:cs="Times New Roman"/>
          <w:color w:val="000000" w:themeColor="text1"/>
        </w:rPr>
        <w:t>sta</w:t>
      </w:r>
      <w:r w:rsidR="002D169C" w:rsidRPr="0040612E">
        <w:rPr>
          <w:rFonts w:ascii="Times New Roman" w:eastAsia="Calibri" w:hAnsi="Times New Roman" w:cs="Times New Roman"/>
          <w:color w:val="000000" w:themeColor="text1"/>
        </w:rPr>
        <w:t>keholders</w:t>
      </w:r>
      <w:r w:rsidR="00F6749F" w:rsidRPr="0040612E">
        <w:rPr>
          <w:rFonts w:ascii="Times New Roman" w:eastAsia="Calibri" w:hAnsi="Times New Roman" w:cs="Times New Roman"/>
          <w:color w:val="000000" w:themeColor="text1"/>
        </w:rPr>
        <w:t xml:space="preserve"> who are appointed following a public application process through a defined AFMA Policy. </w:t>
      </w:r>
      <w:r w:rsidR="009C619C" w:rsidRPr="0040612E">
        <w:rPr>
          <w:rFonts w:ascii="Times New Roman" w:eastAsia="Calibri" w:hAnsi="Times New Roman" w:cs="Times New Roman"/>
          <w:color w:val="000000" w:themeColor="text1"/>
        </w:rPr>
        <w:t xml:space="preserve">Causal observers together with Invited Participants also attend TTRAG meetings.  </w:t>
      </w:r>
      <w:r w:rsidR="00F6749F" w:rsidRPr="0040612E">
        <w:rPr>
          <w:rFonts w:ascii="Times New Roman" w:eastAsia="Calibri" w:hAnsi="Times New Roman" w:cs="Times New Roman"/>
          <w:color w:val="000000" w:themeColor="text1"/>
        </w:rPr>
        <w:t>Tuna Australia, the Tropical Tuna Peak Industry body is an invited participant to TTRAG. Advice from TTRAG was considered by the Tropical Tuna Management Advisory Committe</w:t>
      </w:r>
      <w:r w:rsidR="00470F06" w:rsidRPr="0040612E">
        <w:rPr>
          <w:rFonts w:ascii="Times New Roman" w:eastAsia="Calibri" w:hAnsi="Times New Roman" w:cs="Times New Roman"/>
          <w:color w:val="000000" w:themeColor="text1"/>
        </w:rPr>
        <w:t xml:space="preserve">e </w:t>
      </w:r>
      <w:r w:rsidR="00F6749F" w:rsidRPr="0040612E">
        <w:rPr>
          <w:rFonts w:ascii="Times New Roman" w:eastAsia="Calibri" w:hAnsi="Times New Roman" w:cs="Times New Roman"/>
          <w:color w:val="000000" w:themeColor="text1"/>
        </w:rPr>
        <w:t>(</w:t>
      </w:r>
      <w:r w:rsidR="0023501D" w:rsidRPr="0040612E">
        <w:rPr>
          <w:rFonts w:ascii="Times New Roman" w:eastAsia="Calibri" w:hAnsi="Times New Roman" w:cs="Times New Roman"/>
          <w:color w:val="000000" w:themeColor="text1"/>
        </w:rPr>
        <w:t xml:space="preserve">also comprising </w:t>
      </w:r>
      <w:r w:rsidR="00E9281F" w:rsidRPr="0040612E">
        <w:rPr>
          <w:rFonts w:ascii="Times New Roman" w:eastAsia="Calibri" w:hAnsi="Times New Roman" w:cs="Times New Roman"/>
          <w:color w:val="000000" w:themeColor="text1"/>
        </w:rPr>
        <w:t>the same</w:t>
      </w:r>
      <w:r w:rsidR="001B3DCA" w:rsidRPr="0040612E">
        <w:rPr>
          <w:rFonts w:ascii="Times New Roman" w:eastAsia="Calibri" w:hAnsi="Times New Roman" w:cs="Times New Roman"/>
          <w:color w:val="000000" w:themeColor="text1"/>
        </w:rPr>
        <w:t xml:space="preserve"> range of stakeholder</w:t>
      </w:r>
      <w:r w:rsidR="00E9281F" w:rsidRPr="0040612E">
        <w:rPr>
          <w:rFonts w:ascii="Times New Roman" w:eastAsia="Calibri" w:hAnsi="Times New Roman" w:cs="Times New Roman"/>
          <w:color w:val="000000" w:themeColor="text1"/>
        </w:rPr>
        <w:t xml:space="preserve"> groups as for TTRAG</w:t>
      </w:r>
      <w:r w:rsidR="001B3DCA" w:rsidRPr="0040612E">
        <w:rPr>
          <w:rFonts w:ascii="Times New Roman" w:eastAsia="Calibri" w:hAnsi="Times New Roman" w:cs="Times New Roman"/>
          <w:color w:val="000000" w:themeColor="text1"/>
        </w:rPr>
        <w:t>)</w:t>
      </w:r>
      <w:r w:rsidR="00DB441C" w:rsidRPr="0040612E">
        <w:rPr>
          <w:rFonts w:ascii="Times New Roman" w:eastAsia="Calibri" w:hAnsi="Times New Roman" w:cs="Times New Roman"/>
          <w:color w:val="000000" w:themeColor="text1"/>
        </w:rPr>
        <w:t>,</w:t>
      </w:r>
      <w:r w:rsidR="00DB441C" w:rsidRPr="0040612E">
        <w:rPr>
          <w:color w:val="000000" w:themeColor="text1"/>
        </w:rPr>
        <w:t xml:space="preserve"> </w:t>
      </w:r>
      <w:r w:rsidR="00DB441C" w:rsidRPr="0040612E">
        <w:rPr>
          <w:rFonts w:ascii="Times New Roman" w:eastAsia="Calibri" w:hAnsi="Times New Roman" w:cs="Times New Roman"/>
          <w:color w:val="000000" w:themeColor="text1"/>
        </w:rPr>
        <w:t>which provided advice on recommended TACCs for each quota species to the AFMA Commission.</w:t>
      </w:r>
    </w:p>
    <w:p w14:paraId="064A22BA" w14:textId="74CAB0D5" w:rsidR="004A58FA" w:rsidRPr="0040612E" w:rsidRDefault="004A58FA" w:rsidP="004409A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>TTMAC</w:t>
      </w:r>
      <w:r w:rsidRPr="0040612E">
        <w:rPr>
          <w:rFonts w:ascii="Times New Roman" w:eastAsia="Calibri" w:hAnsi="Times New Roman" w:cs="Times New Roman"/>
        </w:rPr>
        <w:t> </w:t>
      </w:r>
      <w:proofErr w:type="gramStart"/>
      <w:r w:rsidRPr="0040612E">
        <w:rPr>
          <w:rFonts w:ascii="Times New Roman" w:eastAsia="Calibri" w:hAnsi="Times New Roman" w:cs="Times New Roman"/>
          <w:color w:val="000000" w:themeColor="text1"/>
        </w:rPr>
        <w:t>took into account</w:t>
      </w:r>
      <w:proofErr w:type="gramEnd"/>
      <w:r w:rsidRPr="0040612E">
        <w:rPr>
          <w:rFonts w:ascii="Times New Roman" w:eastAsia="Calibri" w:hAnsi="Times New Roman" w:cs="Times New Roman"/>
          <w:color w:val="000000" w:themeColor="text1"/>
        </w:rPr>
        <w:t xml:space="preserve"> broader considerations in order to recommend a TACC. These include the Commonwealth Fisheries Harvest Strategy Policy, stock levels assessed by the Western </w:t>
      </w:r>
      <w:r w:rsidR="00F72AF7" w:rsidRPr="0040612E">
        <w:rPr>
          <w:rFonts w:ascii="Times New Roman" w:eastAsia="Calibri" w:hAnsi="Times New Roman" w:cs="Times New Roman"/>
          <w:color w:val="000000" w:themeColor="text1"/>
        </w:rPr>
        <w:t xml:space="preserve">and </w:t>
      </w:r>
      <w:r w:rsidRPr="0040612E">
        <w:rPr>
          <w:rFonts w:ascii="Times New Roman" w:eastAsia="Calibri" w:hAnsi="Times New Roman" w:cs="Times New Roman"/>
          <w:color w:val="000000" w:themeColor="text1"/>
        </w:rPr>
        <w:t>Central</w:t>
      </w:r>
      <w:r w:rsidR="00A05DD9" w:rsidRPr="0040612E">
        <w:rPr>
          <w:rFonts w:ascii="Times New Roman" w:eastAsia="Calibri" w:hAnsi="Times New Roman" w:cs="Times New Roman"/>
          <w:color w:val="000000" w:themeColor="text1"/>
        </w:rPr>
        <w:t xml:space="preserve"> Pacific </w:t>
      </w:r>
      <w:r w:rsidR="00F72AF7" w:rsidRPr="0040612E">
        <w:rPr>
          <w:rFonts w:ascii="Times New Roman" w:eastAsia="Calibri" w:hAnsi="Times New Roman" w:cs="Times New Roman"/>
          <w:color w:val="000000" w:themeColor="text1"/>
        </w:rPr>
        <w:t>Fisheries Commission (WCPFC)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, Conservation and Management Measures adopted by the </w:t>
      </w:r>
      <w:r w:rsidR="00F72AF7" w:rsidRPr="0040612E">
        <w:rPr>
          <w:rFonts w:ascii="Times New Roman" w:eastAsia="Calibri" w:hAnsi="Times New Roman" w:cs="Times New Roman"/>
          <w:color w:val="000000" w:themeColor="text1"/>
        </w:rPr>
        <w:t>WCPFC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, any relevant whole of government position on catch allocations, total catches from other commercial, </w:t>
      </w:r>
      <w:proofErr w:type="gramStart"/>
      <w:r w:rsidRPr="0040612E">
        <w:rPr>
          <w:rFonts w:ascii="Times New Roman" w:eastAsia="Calibri" w:hAnsi="Times New Roman" w:cs="Times New Roman"/>
          <w:color w:val="000000" w:themeColor="text1"/>
        </w:rPr>
        <w:t>recreational</w:t>
      </w:r>
      <w:proofErr w:type="gramEnd"/>
      <w:r w:rsidRPr="0040612E">
        <w:rPr>
          <w:rFonts w:ascii="Times New Roman" w:eastAsia="Calibri" w:hAnsi="Times New Roman" w:cs="Times New Roman"/>
          <w:color w:val="000000" w:themeColor="text1"/>
        </w:rPr>
        <w:t xml:space="preserve"> and Indigenous sectors and any decisions or considerations on resource sharing. </w:t>
      </w:r>
    </w:p>
    <w:p w14:paraId="6522E5C7" w14:textId="136E4C0B" w:rsidR="004A58FA" w:rsidRPr="0040612E" w:rsidRDefault="004A58FA" w:rsidP="004409A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 xml:space="preserve">The </w:t>
      </w:r>
      <w:r w:rsidR="00C2517F" w:rsidRPr="0040612E">
        <w:rPr>
          <w:rFonts w:ascii="Times New Roman" w:eastAsia="Calibri" w:hAnsi="Times New Roman" w:cs="Times New Roman"/>
          <w:color w:val="000000" w:themeColor="text1"/>
        </w:rPr>
        <w:t>AFMA Commission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determined the TACCs for all quota species at a meeting on 9-10 November 2022 after considering advice from TTMAC and TTRAG.</w:t>
      </w:r>
    </w:p>
    <w:p w14:paraId="10FE686D" w14:textId="214B2BB6" w:rsidR="00966FA2" w:rsidRPr="0040612E" w:rsidRDefault="00966FA2" w:rsidP="00966FA2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>Further, the AFMA Commission determined the fishery season to commence on 1 January</w:t>
      </w:r>
      <w:r w:rsidR="00BE6964" w:rsidRPr="0040612E">
        <w:rPr>
          <w:rFonts w:ascii="Times New Roman" w:eastAsia="Calibri" w:hAnsi="Times New Roman" w:cs="Times New Roman"/>
          <w:color w:val="000000" w:themeColor="text1"/>
        </w:rPr>
        <w:t xml:space="preserve"> 2023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and end on 31 December 202</w:t>
      </w:r>
      <w:r w:rsidR="00BE6964" w:rsidRPr="0040612E">
        <w:rPr>
          <w:rFonts w:ascii="Times New Roman" w:eastAsia="Calibri" w:hAnsi="Times New Roman" w:cs="Times New Roman"/>
          <w:color w:val="000000" w:themeColor="text1"/>
        </w:rPr>
        <w:t>3</w:t>
      </w:r>
      <w:r w:rsidRPr="0040612E">
        <w:rPr>
          <w:rFonts w:ascii="Times New Roman" w:eastAsia="Calibri" w:hAnsi="Times New Roman" w:cs="Times New Roman"/>
          <w:color w:val="000000" w:themeColor="text1"/>
        </w:rPr>
        <w:t>, based on advice from TTMAC and TTRAG.</w:t>
      </w:r>
    </w:p>
    <w:p w14:paraId="3F04721A" w14:textId="77777777" w:rsidR="00DF6803" w:rsidRPr="0040612E" w:rsidRDefault="00DF6803" w:rsidP="7F06AB46">
      <w:pPr>
        <w:spacing w:before="100" w:beforeAutospacing="1" w:after="100" w:afterAutospacing="1" w:line="260" w:lineRule="atLeast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color w:val="000000" w:themeColor="text1"/>
        </w:rPr>
        <w:t>Regulation Impact Statement</w:t>
      </w:r>
    </w:p>
    <w:p w14:paraId="289A37F9" w14:textId="77777777" w:rsidR="00DF6803" w:rsidRPr="0040612E" w:rsidRDefault="00DF6803" w:rsidP="74D347EE">
      <w:pPr>
        <w:spacing w:after="220" w:line="240" w:lineRule="auto"/>
        <w:jc w:val="both"/>
        <w:rPr>
          <w:rFonts w:ascii="Times New Roman" w:eastAsia="Calibri" w:hAnsi="Times New Roman" w:cs="Times New Roman"/>
          <w:kern w:val="20"/>
        </w:rPr>
      </w:pPr>
      <w:r w:rsidRPr="0040612E">
        <w:rPr>
          <w:rFonts w:ascii="Times New Roman" w:eastAsia="Calibri" w:hAnsi="Times New Roman" w:cs="Times New Roman"/>
          <w:kern w:val="20"/>
        </w:rPr>
        <w:t xml:space="preserve">The Office of Best Practice Regulation advised that a Regulation Impact Statement was not required for this Determination consistent with the agreement in place to cover all regulatory changes deemed to be of a minor or machinery nature.  </w:t>
      </w:r>
    </w:p>
    <w:p w14:paraId="3F620DD8" w14:textId="77777777" w:rsidR="00DF6803" w:rsidRPr="0040612E" w:rsidRDefault="00DF6803" w:rsidP="74D347EE">
      <w:pPr>
        <w:spacing w:before="240" w:after="0" w:line="240" w:lineRule="atLeast"/>
        <w:rPr>
          <w:rFonts w:ascii="Times New Roman" w:eastAsia="Calibri" w:hAnsi="Times New Roman" w:cs="Times New Roman"/>
          <w:b/>
          <w:bCs/>
        </w:rPr>
      </w:pPr>
      <w:r w:rsidRPr="0040612E">
        <w:rPr>
          <w:rFonts w:ascii="Times New Roman" w:eastAsia="Calibri" w:hAnsi="Times New Roman" w:cs="Times New Roman"/>
          <w:b/>
          <w:bCs/>
        </w:rPr>
        <w:t xml:space="preserve">Statement of compatibility prepared in accordance with Part 3 of </w:t>
      </w:r>
      <w:r w:rsidRPr="0040612E">
        <w:rPr>
          <w:rFonts w:ascii="Times New Roman" w:eastAsia="Calibri" w:hAnsi="Times New Roman" w:cs="Times New Roman"/>
          <w:b/>
          <w:bCs/>
          <w:i/>
          <w:iCs/>
        </w:rPr>
        <w:t>the Human Rights (Parliamentary Scrutiny) Act 2011</w:t>
      </w:r>
    </w:p>
    <w:p w14:paraId="2FB9EEC3" w14:textId="77777777" w:rsidR="00DF6803" w:rsidRPr="0040612E" w:rsidRDefault="00DF6803" w:rsidP="74D347EE">
      <w:pPr>
        <w:spacing w:before="240" w:after="0" w:line="240" w:lineRule="atLeast"/>
        <w:jc w:val="both"/>
        <w:rPr>
          <w:rFonts w:ascii="Times New Roman" w:eastAsia="Calibri" w:hAnsi="Times New Roman" w:cs="Times New Roman"/>
        </w:rPr>
      </w:pPr>
      <w:r w:rsidRPr="0040612E">
        <w:rPr>
          <w:rFonts w:ascii="Times New Roman" w:eastAsia="Calibri" w:hAnsi="Times New Roman" w:cs="Times New Roman"/>
        </w:rPr>
        <w:t xml:space="preserve">AFMA assesses, under section 3 of the </w:t>
      </w:r>
      <w:r w:rsidRPr="0040612E">
        <w:rPr>
          <w:rFonts w:ascii="Times New Roman" w:eastAsia="Calibri" w:hAnsi="Times New Roman" w:cs="Times New Roman"/>
          <w:i/>
          <w:iCs/>
        </w:rPr>
        <w:t>Human Rights (Parliamentary Scrutiny) Act 2011,</w:t>
      </w:r>
      <w:r w:rsidRPr="0040612E">
        <w:rPr>
          <w:rFonts w:ascii="Times New Roman" w:eastAsia="Calibri" w:hAnsi="Times New Roman" w:cs="Times New Roman"/>
        </w:rPr>
        <w:t xml:space="preserve"> that this legislative instrument is compatible with human rights. AFMA’s Statement of Compatibility is attached as a supporting document.</w:t>
      </w:r>
    </w:p>
    <w:p w14:paraId="6FAFC57B" w14:textId="77777777" w:rsidR="002528E7" w:rsidRPr="0040612E" w:rsidRDefault="002528E7">
      <w:pPr>
        <w:rPr>
          <w:rFonts w:ascii="Times New Roman" w:eastAsia="Calibri" w:hAnsi="Times New Roman" w:cs="Times New Roman"/>
          <w:b/>
          <w:bCs/>
        </w:rPr>
      </w:pPr>
      <w:r w:rsidRPr="0040612E">
        <w:rPr>
          <w:rFonts w:ascii="Times New Roman" w:eastAsia="Calibri" w:hAnsi="Times New Roman" w:cs="Times New Roman"/>
          <w:b/>
          <w:bCs/>
        </w:rPr>
        <w:br w:type="page"/>
      </w:r>
    </w:p>
    <w:p w14:paraId="0591469F" w14:textId="0967D700" w:rsidR="00DF6803" w:rsidRPr="0040612E" w:rsidRDefault="00DF6803" w:rsidP="002528E7">
      <w:pPr>
        <w:rPr>
          <w:rFonts w:ascii="Times New Roman" w:eastAsia="Calibri" w:hAnsi="Times New Roman" w:cs="Times New Roman"/>
          <w:b/>
          <w:bCs/>
        </w:rPr>
      </w:pPr>
      <w:r w:rsidRPr="0040612E">
        <w:rPr>
          <w:rFonts w:ascii="Times New Roman" w:eastAsia="Calibri" w:hAnsi="Times New Roman" w:cs="Times New Roman"/>
          <w:b/>
          <w:bCs/>
        </w:rPr>
        <w:lastRenderedPageBreak/>
        <w:t>The Commission’s Decision</w:t>
      </w:r>
    </w:p>
    <w:p w14:paraId="314F0340" w14:textId="3DC9EBA2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 xml:space="preserve">The AFMA Commission determined the </w:t>
      </w:r>
      <w:r w:rsidR="000D4459" w:rsidRPr="0040612E">
        <w:rPr>
          <w:rFonts w:ascii="Times New Roman" w:eastAsia="Calibri" w:hAnsi="Times New Roman" w:cs="Times New Roman"/>
          <w:color w:val="000000" w:themeColor="text1"/>
        </w:rPr>
        <w:t xml:space="preserve">fishing season and the </w:t>
      </w:r>
      <w:r w:rsidRPr="0040612E">
        <w:rPr>
          <w:rFonts w:ascii="Times New Roman" w:eastAsia="Calibri" w:hAnsi="Times New Roman" w:cs="Times New Roman"/>
          <w:color w:val="000000" w:themeColor="text1"/>
        </w:rPr>
        <w:t>TACC amou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 xml:space="preserve">nts for each quota species </w:t>
      </w:r>
      <w:r w:rsidR="000D4459" w:rsidRPr="0040612E">
        <w:rPr>
          <w:rFonts w:ascii="Times New Roman" w:eastAsia="Calibri" w:hAnsi="Times New Roman" w:cs="Times New Roman"/>
          <w:color w:val="000000" w:themeColor="text1"/>
        </w:rPr>
        <w:t xml:space="preserve">for the fishing season 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>on</w:t>
      </w:r>
      <w:r w:rsidR="00C82A81" w:rsidRPr="0040612E">
        <w:rPr>
          <w:rFonts w:ascii="Times New Roman" w:eastAsia="Calibri" w:hAnsi="Times New Roman" w:cs="Times New Roman"/>
          <w:color w:val="000000" w:themeColor="text1"/>
        </w:rPr>
        <w:t xml:space="preserve"> 9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 xml:space="preserve"> and 1</w:t>
      </w:r>
      <w:r w:rsidR="00C82A81" w:rsidRPr="0040612E">
        <w:rPr>
          <w:rFonts w:ascii="Times New Roman" w:eastAsia="Calibri" w:hAnsi="Times New Roman" w:cs="Times New Roman"/>
          <w:color w:val="000000" w:themeColor="text1"/>
        </w:rPr>
        <w:t>0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November 202</w:t>
      </w:r>
      <w:r w:rsidR="00C82A81" w:rsidRPr="0040612E">
        <w:rPr>
          <w:rFonts w:ascii="Times New Roman" w:eastAsia="Calibri" w:hAnsi="Times New Roman" w:cs="Times New Roman"/>
          <w:color w:val="000000" w:themeColor="text1"/>
        </w:rPr>
        <w:t>2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.  In making its decision, the Commission </w:t>
      </w:r>
      <w:proofErr w:type="gramStart"/>
      <w:r w:rsidRPr="0040612E">
        <w:rPr>
          <w:rFonts w:ascii="Times New Roman" w:eastAsia="Calibri" w:hAnsi="Times New Roman" w:cs="Times New Roman"/>
          <w:color w:val="000000" w:themeColor="text1"/>
        </w:rPr>
        <w:t>took into account</w:t>
      </w:r>
      <w:proofErr w:type="gramEnd"/>
      <w:r w:rsidRPr="0040612E">
        <w:rPr>
          <w:rFonts w:ascii="Times New Roman" w:eastAsia="Calibri" w:hAnsi="Times New Roman" w:cs="Times New Roman"/>
          <w:color w:val="000000" w:themeColor="text1"/>
        </w:rPr>
        <w:t xml:space="preserve"> each of the matters specified in subsection 3.2(4) of the Plan.       </w:t>
      </w:r>
    </w:p>
    <w:p w14:paraId="3F3C7EA6" w14:textId="2B677384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jc w:val="both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</w:rPr>
        <w:t>The Commission is satisfied t</w:t>
      </w:r>
      <w:r w:rsidR="008F5E42" w:rsidRPr="0040612E">
        <w:rPr>
          <w:rFonts w:ascii="Times New Roman" w:eastAsia="Calibri" w:hAnsi="Times New Roman" w:cs="Times New Roman"/>
        </w:rPr>
        <w:t>hat the Instrument</w:t>
      </w:r>
      <w:r w:rsidRPr="0040612E">
        <w:rPr>
          <w:rFonts w:ascii="Times New Roman" w:eastAsia="Calibri" w:hAnsi="Times New Roman" w:cs="Times New Roman"/>
        </w:rPr>
        <w:t xml:space="preserve"> is consistent with AFMA’s obligation to pursue its statutory objectives, specified in section 3 of the FM Act and section 6 of the FA Act.  The Commission considered that significant weight should be given to the objective of ensuring that the exploitation of fisheries resources </w:t>
      </w:r>
      <w:r w:rsidR="005E24CB" w:rsidRPr="0040612E">
        <w:rPr>
          <w:rFonts w:ascii="Times New Roman" w:eastAsia="Calibri" w:hAnsi="Times New Roman" w:cs="Times New Roman"/>
        </w:rPr>
        <w:t>is</w:t>
      </w:r>
      <w:r w:rsidRPr="0040612E">
        <w:rPr>
          <w:rFonts w:ascii="Times New Roman" w:eastAsia="Calibri" w:hAnsi="Times New Roman" w:cs="Times New Roman"/>
        </w:rPr>
        <w:t xml:space="preserve"> conducted in a manner consistent with the principles of ecologically sustainable development, which includes the exercise of the precautionary principle (</w:t>
      </w:r>
      <w:r w:rsidR="00B64FF2" w:rsidRPr="0040612E">
        <w:rPr>
          <w:rFonts w:ascii="Times New Roman" w:eastAsia="Calibri" w:hAnsi="Times New Roman" w:cs="Times New Roman"/>
        </w:rPr>
        <w:t>paragraphs</w:t>
      </w:r>
      <w:r w:rsidRPr="0040612E">
        <w:rPr>
          <w:rFonts w:ascii="Times New Roman" w:eastAsia="Calibri" w:hAnsi="Times New Roman" w:cs="Times New Roman"/>
        </w:rPr>
        <w:t xml:space="preserve"> 3(1)(b) of the FM Act and 6(b) of the FA Act). </w:t>
      </w:r>
    </w:p>
    <w:p w14:paraId="0ED37C53" w14:textId="77777777" w:rsidR="00DF6803" w:rsidRPr="0040612E" w:rsidRDefault="00DF6803" w:rsidP="74D347EE">
      <w:pPr>
        <w:autoSpaceDE w:val="0"/>
        <w:autoSpaceDN w:val="0"/>
        <w:adjustRightInd w:val="0"/>
        <w:spacing w:before="240" w:after="120" w:line="260" w:lineRule="atLeast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color w:val="000000" w:themeColor="text1"/>
        </w:rPr>
        <w:t xml:space="preserve">Details of the </w:t>
      </w:r>
      <w:r w:rsidR="008F5E42" w:rsidRPr="0040612E">
        <w:rPr>
          <w:rFonts w:ascii="Times New Roman" w:eastAsia="Calibri" w:hAnsi="Times New Roman" w:cs="Times New Roman"/>
          <w:color w:val="000000" w:themeColor="text1"/>
        </w:rPr>
        <w:t>Instrument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are set out below:</w:t>
      </w:r>
    </w:p>
    <w:p w14:paraId="625543B5" w14:textId="3D4505B5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ind w:left="993" w:hanging="993"/>
        <w:jc w:val="both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>Clause 1</w:t>
      </w:r>
      <w:r w:rsidRPr="0040612E">
        <w:tab/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provides for the Determination to be cited as </w:t>
      </w:r>
      <w:r w:rsidR="00D64113" w:rsidRPr="0040612E">
        <w:rPr>
          <w:rFonts w:ascii="Times New Roman" w:eastAsia="Calibri" w:hAnsi="Times New Roman" w:cs="Times New Roman"/>
          <w:color w:val="000000" w:themeColor="text1"/>
        </w:rPr>
        <w:t xml:space="preserve">the Eastern Tuna and Billfish Fishery </w:t>
      </w:r>
      <w:r w:rsidR="00192F68" w:rsidRPr="0040612E">
        <w:rPr>
          <w:rFonts w:ascii="Times New Roman" w:eastAsia="Calibri" w:hAnsi="Times New Roman" w:cs="Times New Roman"/>
          <w:color w:val="000000" w:themeColor="text1"/>
        </w:rPr>
        <w:t xml:space="preserve">(Fishing Season and </w:t>
      </w:r>
      <w:r w:rsidR="00D64113" w:rsidRPr="0040612E">
        <w:rPr>
          <w:rFonts w:ascii="Times New Roman" w:eastAsia="Calibri" w:hAnsi="Times New Roman" w:cs="Times New Roman"/>
          <w:color w:val="000000" w:themeColor="text1"/>
        </w:rPr>
        <w:t>Total Allowable Commercial Catch</w:t>
      </w:r>
      <w:r w:rsidR="00192F68" w:rsidRPr="0040612E">
        <w:rPr>
          <w:rFonts w:ascii="Times New Roman" w:eastAsia="Calibri" w:hAnsi="Times New Roman" w:cs="Times New Roman"/>
          <w:color w:val="000000" w:themeColor="text1"/>
        </w:rPr>
        <w:t>)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 xml:space="preserve"> Determination 202</w:t>
      </w:r>
      <w:r w:rsidR="00C82A81" w:rsidRPr="0040612E">
        <w:rPr>
          <w:rFonts w:ascii="Times New Roman" w:eastAsia="Calibri" w:hAnsi="Times New Roman" w:cs="Times New Roman"/>
          <w:color w:val="000000" w:themeColor="text1"/>
        </w:rPr>
        <w:t>3</w:t>
      </w:r>
      <w:r w:rsidR="00D64113" w:rsidRPr="0040612E">
        <w:rPr>
          <w:rFonts w:ascii="Times New Roman" w:eastAsia="Calibri" w:hAnsi="Times New Roman" w:cs="Times New Roman"/>
          <w:color w:val="000000" w:themeColor="text1"/>
        </w:rPr>
        <w:t>.</w:t>
      </w:r>
    </w:p>
    <w:p w14:paraId="7C13627F" w14:textId="60433CB2" w:rsidR="00D64113" w:rsidRPr="0040612E" w:rsidRDefault="00DF6803" w:rsidP="74D347EE">
      <w:pPr>
        <w:autoSpaceDE w:val="0"/>
        <w:autoSpaceDN w:val="0"/>
        <w:adjustRightInd w:val="0"/>
        <w:spacing w:after="120" w:line="260" w:lineRule="atLeast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 xml:space="preserve">Clause 2    </w:t>
      </w:r>
      <w:r w:rsidR="00E972B1" w:rsidRPr="0040612E">
        <w:rPr>
          <w:rFonts w:ascii="Times New Roman" w:eastAsia="Calibri" w:hAnsi="Times New Roman" w:cs="Times New Roman"/>
          <w:color w:val="000000" w:themeColor="text1"/>
        </w:rPr>
        <w:t>provides that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the </w:t>
      </w:r>
      <w:r w:rsidR="00E972B1" w:rsidRPr="0040612E">
        <w:rPr>
          <w:rFonts w:ascii="Times New Roman" w:eastAsia="Calibri" w:hAnsi="Times New Roman" w:cs="Times New Roman"/>
          <w:color w:val="000000" w:themeColor="text1"/>
        </w:rPr>
        <w:t xml:space="preserve">instrument </w:t>
      </w:r>
      <w:r w:rsidRPr="0040612E">
        <w:rPr>
          <w:rFonts w:ascii="Times New Roman" w:eastAsia="Calibri" w:hAnsi="Times New Roman" w:cs="Times New Roman"/>
          <w:color w:val="000000" w:themeColor="text1"/>
        </w:rPr>
        <w:t>commence</w:t>
      </w:r>
      <w:r w:rsidR="00E972B1" w:rsidRPr="0040612E">
        <w:rPr>
          <w:rFonts w:ascii="Times New Roman" w:eastAsia="Calibri" w:hAnsi="Times New Roman" w:cs="Times New Roman"/>
          <w:color w:val="000000" w:themeColor="text1"/>
        </w:rPr>
        <w:t>s on 1 January 202</w:t>
      </w:r>
      <w:r w:rsidR="00C82A81" w:rsidRPr="0040612E">
        <w:rPr>
          <w:rFonts w:ascii="Times New Roman" w:eastAsia="Calibri" w:hAnsi="Times New Roman" w:cs="Times New Roman"/>
          <w:color w:val="000000" w:themeColor="text1"/>
        </w:rPr>
        <w:t>3</w:t>
      </w:r>
      <w:r w:rsidRPr="0040612E">
        <w:rPr>
          <w:rFonts w:ascii="Times New Roman" w:eastAsia="Calibri" w:hAnsi="Times New Roman" w:cs="Times New Roman"/>
          <w:color w:val="000000" w:themeColor="text1"/>
        </w:rPr>
        <w:t>.</w:t>
      </w:r>
    </w:p>
    <w:p w14:paraId="0EB6A9FC" w14:textId="782912F1" w:rsidR="00D64113" w:rsidRPr="0040612E" w:rsidRDefault="00DF6803" w:rsidP="7F06AB46">
      <w:pPr>
        <w:autoSpaceDE w:val="0"/>
        <w:autoSpaceDN w:val="0"/>
        <w:adjustRightInd w:val="0"/>
        <w:spacing w:after="120" w:line="260" w:lineRule="atLeast"/>
        <w:ind w:left="993" w:hanging="993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>Clause 3</w:t>
      </w:r>
      <w:r w:rsidRPr="0040612E">
        <w:tab/>
      </w:r>
      <w:r w:rsidR="6315D6CF" w:rsidRPr="0040612E">
        <w:rPr>
          <w:rFonts w:ascii="Times New Roman" w:eastAsia="Calibri" w:hAnsi="Times New Roman" w:cs="Times New Roman"/>
          <w:color w:val="000000" w:themeColor="text1"/>
        </w:rPr>
        <w:t>p</w:t>
      </w:r>
      <w:r w:rsidR="008F5E42" w:rsidRPr="0040612E">
        <w:rPr>
          <w:rFonts w:ascii="Times New Roman" w:eastAsia="Calibri" w:hAnsi="Times New Roman" w:cs="Times New Roman"/>
          <w:color w:val="000000" w:themeColor="text1"/>
        </w:rPr>
        <w:t>rovides that the instrument is made pursuant to paragraph 17(</w:t>
      </w:r>
      <w:proofErr w:type="gramStart"/>
      <w:r w:rsidR="008F5E42" w:rsidRPr="0040612E">
        <w:rPr>
          <w:rFonts w:ascii="Times New Roman" w:eastAsia="Calibri" w:hAnsi="Times New Roman" w:cs="Times New Roman"/>
          <w:color w:val="000000" w:themeColor="text1"/>
        </w:rPr>
        <w:t>6)(</w:t>
      </w:r>
      <w:proofErr w:type="gramEnd"/>
      <w:r w:rsidR="008F5E42" w:rsidRPr="0040612E">
        <w:rPr>
          <w:rFonts w:ascii="Times New Roman" w:eastAsia="Calibri" w:hAnsi="Times New Roman" w:cs="Times New Roman"/>
          <w:color w:val="000000" w:themeColor="text1"/>
        </w:rPr>
        <w:t>aa) of the FM Act and section</w:t>
      </w:r>
      <w:r w:rsidR="00192F68" w:rsidRPr="0040612E">
        <w:rPr>
          <w:rFonts w:ascii="Times New Roman" w:eastAsia="Calibri" w:hAnsi="Times New Roman" w:cs="Times New Roman"/>
          <w:color w:val="000000" w:themeColor="text1"/>
        </w:rPr>
        <w:t>s 1.3 and</w:t>
      </w:r>
      <w:r w:rsidR="008F5E42" w:rsidRPr="0040612E">
        <w:rPr>
          <w:rFonts w:ascii="Times New Roman" w:eastAsia="Calibri" w:hAnsi="Times New Roman" w:cs="Times New Roman"/>
          <w:color w:val="000000" w:themeColor="text1"/>
        </w:rPr>
        <w:t xml:space="preserve"> 3.2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5E42" w:rsidRPr="0040612E">
        <w:rPr>
          <w:rFonts w:ascii="Times New Roman" w:eastAsia="Calibri" w:hAnsi="Times New Roman" w:cs="Times New Roman"/>
          <w:color w:val="000000" w:themeColor="text1"/>
        </w:rPr>
        <w:t>of the Plan.</w:t>
      </w:r>
    </w:p>
    <w:p w14:paraId="10A3E82A" w14:textId="77777777" w:rsidR="00DF6803" w:rsidRPr="0040612E" w:rsidRDefault="00DF6803" w:rsidP="74D347EE">
      <w:pPr>
        <w:autoSpaceDE w:val="0"/>
        <w:autoSpaceDN w:val="0"/>
        <w:adjustRightInd w:val="0"/>
        <w:spacing w:after="120" w:line="260" w:lineRule="atLeast"/>
        <w:ind w:left="993" w:hanging="993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>Clause 4</w:t>
      </w:r>
      <w:r w:rsidRPr="0040612E">
        <w:tab/>
      </w:r>
      <w:r w:rsidR="00D64113" w:rsidRPr="0040612E">
        <w:rPr>
          <w:rFonts w:ascii="Times New Roman" w:eastAsia="Calibri" w:hAnsi="Times New Roman" w:cs="Times New Roman"/>
          <w:color w:val="000000" w:themeColor="text1"/>
        </w:rPr>
        <w:t xml:space="preserve">provides that </w:t>
      </w:r>
      <w:r w:rsidR="00D64113" w:rsidRPr="0040612E">
        <w:rPr>
          <w:rFonts w:ascii="Times New Roman" w:eastAsia="Calibri" w:hAnsi="Times New Roman" w:cs="Times New Roman"/>
        </w:rPr>
        <w:t>terms used in the Instrument have the meaning given to them in the Plan.</w:t>
      </w:r>
    </w:p>
    <w:p w14:paraId="7B0E4EE6" w14:textId="55F3E850" w:rsidR="00DF6803" w:rsidRPr="0040612E" w:rsidRDefault="00DF6803" w:rsidP="7F06AB46">
      <w:pPr>
        <w:autoSpaceDE w:val="0"/>
        <w:autoSpaceDN w:val="0"/>
        <w:adjustRightInd w:val="0"/>
        <w:spacing w:after="120" w:line="260" w:lineRule="atLeast"/>
        <w:ind w:left="993" w:hanging="993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>Clause 5</w:t>
      </w:r>
      <w:r w:rsidRPr="0040612E">
        <w:tab/>
      </w:r>
      <w:r w:rsidR="00D64113" w:rsidRPr="0040612E">
        <w:rPr>
          <w:rFonts w:ascii="Times New Roman" w:eastAsia="Calibri" w:hAnsi="Times New Roman" w:cs="Times New Roman"/>
          <w:color w:val="000000" w:themeColor="text1"/>
        </w:rPr>
        <w:t>provides that the Ins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 xml:space="preserve">trument ceases on </w:t>
      </w:r>
      <w:r w:rsidR="00E972B1" w:rsidRPr="0040612E">
        <w:rPr>
          <w:rFonts w:ascii="Times New Roman" w:eastAsia="Calibri" w:hAnsi="Times New Roman" w:cs="Times New Roman"/>
          <w:color w:val="000000" w:themeColor="text1"/>
        </w:rPr>
        <w:t>3</w:t>
      </w:r>
      <w:r w:rsidR="005E0B15" w:rsidRPr="0040612E">
        <w:rPr>
          <w:rFonts w:ascii="Times New Roman" w:eastAsia="Calibri" w:hAnsi="Times New Roman" w:cs="Times New Roman"/>
          <w:color w:val="000000" w:themeColor="text1"/>
        </w:rPr>
        <w:t>1</w:t>
      </w:r>
      <w:r w:rsidR="00E972B1" w:rsidRPr="0040612E">
        <w:rPr>
          <w:rFonts w:ascii="Times New Roman" w:eastAsia="Calibri" w:hAnsi="Times New Roman" w:cs="Times New Roman"/>
          <w:color w:val="000000" w:themeColor="text1"/>
        </w:rPr>
        <w:t xml:space="preserve"> December 202</w:t>
      </w:r>
      <w:r w:rsidR="00C82A81" w:rsidRPr="0040612E">
        <w:rPr>
          <w:rFonts w:ascii="Times New Roman" w:eastAsia="Calibri" w:hAnsi="Times New Roman" w:cs="Times New Roman"/>
          <w:color w:val="000000" w:themeColor="text1"/>
        </w:rPr>
        <w:t>3</w:t>
      </w:r>
      <w:r w:rsidR="00D64113" w:rsidRPr="0040612E">
        <w:rPr>
          <w:rFonts w:ascii="Times New Roman" w:eastAsia="Calibri" w:hAnsi="Times New Roman" w:cs="Times New Roman"/>
          <w:color w:val="000000" w:themeColor="text1"/>
        </w:rPr>
        <w:t>.</w:t>
      </w:r>
    </w:p>
    <w:p w14:paraId="6481F8A3" w14:textId="4CBD9841" w:rsidR="00D64113" w:rsidRPr="0040612E" w:rsidRDefault="00DF6803" w:rsidP="005E0B15">
      <w:pPr>
        <w:autoSpaceDE w:val="0"/>
        <w:autoSpaceDN w:val="0"/>
        <w:adjustRightInd w:val="0"/>
        <w:spacing w:after="120" w:line="260" w:lineRule="atLeast"/>
        <w:ind w:left="993" w:hanging="993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i/>
          <w:iCs/>
        </w:rPr>
        <w:t>Clause 6</w:t>
      </w:r>
      <w:r w:rsidRPr="0040612E">
        <w:tab/>
      </w:r>
      <w:r w:rsidRPr="0040612E">
        <w:rPr>
          <w:rFonts w:ascii="Times New Roman" w:eastAsia="Calibri" w:hAnsi="Times New Roman" w:cs="Times New Roman"/>
          <w:color w:val="000000" w:themeColor="text1"/>
        </w:rPr>
        <w:t>determines the</w:t>
      </w:r>
      <w:r w:rsidR="00D53421" w:rsidRPr="0040612E">
        <w:rPr>
          <w:rFonts w:ascii="Times New Roman" w:eastAsia="Calibri" w:hAnsi="Times New Roman" w:cs="Times New Roman"/>
          <w:color w:val="000000" w:themeColor="text1"/>
        </w:rPr>
        <w:t xml:space="preserve"> fishing season as the </w:t>
      </w:r>
      <w:r w:rsidR="009F5BE8" w:rsidRPr="0040612E">
        <w:rPr>
          <w:rFonts w:ascii="Times New Roman" w:eastAsia="Calibri" w:hAnsi="Times New Roman" w:cs="Times New Roman"/>
          <w:color w:val="000000" w:themeColor="text1"/>
        </w:rPr>
        <w:t>period commencing on 1 January 2023 and ending on 31 December 2023.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1A4FB960" w14:textId="7CF48947" w:rsidR="00D53421" w:rsidRPr="0040612E" w:rsidRDefault="00D53421" w:rsidP="00D53421">
      <w:pPr>
        <w:autoSpaceDE w:val="0"/>
        <w:autoSpaceDN w:val="0"/>
        <w:adjustRightInd w:val="0"/>
        <w:spacing w:after="120" w:line="260" w:lineRule="atLeast"/>
        <w:ind w:left="993" w:hanging="993"/>
        <w:rPr>
          <w:rFonts w:ascii="Times New Roman" w:eastAsia="Calibri" w:hAnsi="Times New Roman" w:cs="Times New Roman"/>
          <w:color w:val="000000"/>
        </w:rPr>
      </w:pPr>
      <w:r w:rsidRPr="0040612E">
        <w:rPr>
          <w:rFonts w:ascii="Times New Roman" w:eastAsia="Calibri" w:hAnsi="Times New Roman" w:cs="Times New Roman"/>
          <w:b/>
          <w:bCs/>
          <w:i/>
          <w:iCs/>
        </w:rPr>
        <w:t>Clause 7</w:t>
      </w:r>
      <w:r w:rsidRPr="0040612E">
        <w:tab/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determines the Total Allowable Commercial Catch for each of the five quota species: Albacore Tuna, Bigeye Tuna, Broadbill Swordfish, Striped Marlin and Yellowfin Tuna for the 2023 </w:t>
      </w:r>
      <w:r w:rsidR="009C1237" w:rsidRPr="0040612E">
        <w:rPr>
          <w:rFonts w:ascii="Times New Roman" w:eastAsia="Calibri" w:hAnsi="Times New Roman" w:cs="Times New Roman"/>
          <w:color w:val="000000" w:themeColor="text1"/>
        </w:rPr>
        <w:t>fishing s</w:t>
      </w:r>
      <w:r w:rsidRPr="0040612E">
        <w:rPr>
          <w:rFonts w:ascii="Times New Roman" w:eastAsia="Calibri" w:hAnsi="Times New Roman" w:cs="Times New Roman"/>
          <w:color w:val="000000" w:themeColor="text1"/>
        </w:rPr>
        <w:t xml:space="preserve">eason. </w:t>
      </w:r>
    </w:p>
    <w:p w14:paraId="692C8351" w14:textId="77777777" w:rsidR="00D64113" w:rsidRPr="0040612E" w:rsidRDefault="00D64113" w:rsidP="74D347EE">
      <w:pPr>
        <w:rPr>
          <w:rFonts w:ascii="Times New Roman" w:eastAsia="Calibri" w:hAnsi="Times New Roman" w:cs="Times New Roman"/>
        </w:rPr>
      </w:pPr>
    </w:p>
    <w:p w14:paraId="6BB6AF29" w14:textId="77777777" w:rsidR="00D64113" w:rsidRPr="0040612E" w:rsidRDefault="00D64113" w:rsidP="74D347EE">
      <w:pPr>
        <w:rPr>
          <w:rFonts w:ascii="Times New Roman" w:eastAsia="Calibri" w:hAnsi="Times New Roman" w:cs="Times New Roman"/>
        </w:rPr>
      </w:pPr>
    </w:p>
    <w:p w14:paraId="7D29CB02" w14:textId="60C26044" w:rsidR="00D64113" w:rsidRPr="005E0B15" w:rsidRDefault="00D64113" w:rsidP="74D347EE">
      <w:pPr>
        <w:rPr>
          <w:rFonts w:ascii="Times New Roman" w:eastAsia="Calibri" w:hAnsi="Times New Roman" w:cs="Times New Roman"/>
        </w:rPr>
      </w:pPr>
      <w:r w:rsidRPr="0040612E">
        <w:rPr>
          <w:rFonts w:ascii="Times New Roman" w:hAnsi="Times New Roman" w:cs="Times New Roman"/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598201" wp14:editId="7AAAF5A5">
                <wp:simplePos x="0" y="0"/>
                <wp:positionH relativeFrom="margin">
                  <wp:posOffset>-383331</wp:posOffset>
                </wp:positionH>
                <wp:positionV relativeFrom="paragraph">
                  <wp:posOffset>38590</wp:posOffset>
                </wp:positionV>
                <wp:extent cx="6118860" cy="6865620"/>
                <wp:effectExtent l="38100" t="38100" r="34290" b="3048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686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D154A" w14:textId="77777777" w:rsidR="00E972B1" w:rsidRPr="00E4135E" w:rsidRDefault="00E972B1" w:rsidP="00A17E18">
                            <w:pPr>
                              <w:spacing w:before="36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Statement of Compatibility with Human Rights</w:t>
                            </w:r>
                          </w:p>
                          <w:p w14:paraId="25F664C4" w14:textId="77777777" w:rsidR="00E972B1" w:rsidRPr="00E4135E" w:rsidRDefault="00E972B1" w:rsidP="00A17E1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Prepared in accordance with Part 3 of the Human Rights (Parliamentary Scrutiny) Act 2011</w:t>
                            </w:r>
                          </w:p>
                          <w:p w14:paraId="78848579" w14:textId="77777777" w:rsidR="00E972B1" w:rsidRPr="00E4135E" w:rsidRDefault="00E972B1" w:rsidP="00A17E1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F015DBC" w14:textId="6BD4932E" w:rsidR="00E972B1" w:rsidRPr="00E4135E" w:rsidRDefault="00E972B1" w:rsidP="00A17E1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A17E1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he Eastern Tuna and Billfish Fishery </w:t>
                            </w:r>
                            <w:r w:rsidR="009F5BE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(Fishing Season and </w:t>
                            </w:r>
                            <w:r w:rsidRPr="00A17E1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Total Allowable Commercial Catch</w:t>
                            </w:r>
                            <w:r w:rsidR="009F5BE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B64FF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7E1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Determination 202</w:t>
                            </w:r>
                            <w:r w:rsidR="00FB47D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4275A2A1" w14:textId="77777777" w:rsidR="00E972B1" w:rsidRPr="00E4135E" w:rsidRDefault="00E972B1" w:rsidP="00A17E1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This Legislative Instrument is compatible with the human rights and freedoms recognised or declared in the international instruments listed in section 3 of the </w:t>
                            </w:r>
                            <w:r w:rsidRPr="00E4135E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Human Rights (Parliamentary Scrutiny) Act 2011</w:t>
                            </w: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ECD035" w14:textId="77777777" w:rsidR="00E972B1" w:rsidRPr="00E4135E" w:rsidRDefault="00E972B1" w:rsidP="00A17E1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8FC534D" w14:textId="77777777" w:rsidR="00E972B1" w:rsidRPr="00E4135E" w:rsidRDefault="00E972B1" w:rsidP="00A17E18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31486D7" w14:textId="77777777" w:rsidR="00E972B1" w:rsidRPr="00E4135E" w:rsidRDefault="00E972B1" w:rsidP="00A17E18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Overview of the Legislative Instrument</w:t>
                            </w:r>
                          </w:p>
                          <w:p w14:paraId="4CA9D6EA" w14:textId="6450A611" w:rsidR="00E972B1" w:rsidRPr="00F5063C" w:rsidRDefault="00E972B1" w:rsidP="002518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instrument determines the </w:t>
                            </w:r>
                            <w:r w:rsidR="009F5BE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fishing season </w:t>
                            </w:r>
                            <w:r w:rsidR="00F5063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as the period </w:t>
                            </w:r>
                            <w:r w:rsidR="00F5063C" w:rsidRPr="00BC3B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season commencing on 1 January 20</w:t>
                            </w:r>
                            <w:r w:rsidR="00F5063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</w:t>
                            </w:r>
                            <w:r w:rsidR="00F5063C" w:rsidRPr="00BC3B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and concluding on 31 December 20</w:t>
                            </w:r>
                            <w:r w:rsidR="00F5063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23 and the </w:t>
                            </w:r>
                            <w:r w:rsidRPr="002518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total allowable commercial catch</w:t>
                            </w:r>
                            <w:r w:rsidR="00B64FF2" w:rsidRPr="002518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18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for quota species in the Eastern Tuna and Billfish Fishery for th</w:t>
                            </w:r>
                            <w:r w:rsidR="00F5063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2518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</w:t>
                            </w:r>
                            <w:r w:rsidR="00C82A81" w:rsidRPr="002518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2518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fishing</w:t>
                            </w:r>
                            <w:r w:rsidR="00F5063C" w:rsidRPr="002518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season</w:t>
                            </w:r>
                            <w:r w:rsidR="00F5063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5183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AA6BBF5" w14:textId="77777777" w:rsidR="00E972B1" w:rsidRPr="00E4135E" w:rsidRDefault="00E972B1" w:rsidP="00A17E1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Human rights implications</w:t>
                            </w:r>
                          </w:p>
                          <w:p w14:paraId="59855D86" w14:textId="77777777" w:rsidR="00E972B1" w:rsidRPr="00E4135E" w:rsidRDefault="00E972B1" w:rsidP="00A17E1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This Legislative Instrument does not engage any of the applicable rights or freedoms.</w:t>
                            </w:r>
                          </w:p>
                          <w:p w14:paraId="6C61CE5F" w14:textId="77777777" w:rsidR="00E972B1" w:rsidRPr="00E4135E" w:rsidRDefault="00E972B1" w:rsidP="00A17E1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F36F38A" w14:textId="77777777" w:rsidR="00E972B1" w:rsidRPr="00E4135E" w:rsidRDefault="00E972B1" w:rsidP="00A17E1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  <w:p w14:paraId="7A29FE06" w14:textId="77777777" w:rsidR="00E972B1" w:rsidRPr="00E4135E" w:rsidRDefault="00E972B1" w:rsidP="00A17E18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4135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This Legislative Instrument is compatible with human rights as it does not raise any human rights issues.</w:t>
                            </w:r>
                          </w:p>
                          <w:p w14:paraId="380326FD" w14:textId="77777777" w:rsidR="00E972B1" w:rsidRPr="0072436A" w:rsidRDefault="00E972B1" w:rsidP="00D64113">
                            <w:pPr>
                              <w:spacing w:before="120" w:after="120" w:line="276" w:lineRule="auto"/>
                            </w:pP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98201" id="Rectangle 1" o:spid="_x0000_s1026" style="position:absolute;margin-left:-30.2pt;margin-top:3.05pt;width:481.8pt;height:540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" strokeweight="6pt">
                <v:stroke linestyle="thickBetweenThin"/>
                <v:textbox inset="5mm,,5mm">
                  <w:txbxContent>
                    <w:p w14:paraId="190D154A" w14:textId="77777777" w:rsidR="00E972B1" w:rsidRPr="00E4135E" w:rsidRDefault="00E972B1" w:rsidP="00A17E18">
                      <w:pPr>
                        <w:spacing w:before="360" w:after="12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Statement of Compatibility with Human Rights</w:t>
                      </w:r>
                    </w:p>
                    <w:p w14:paraId="25F664C4" w14:textId="77777777" w:rsidR="00E972B1" w:rsidRPr="00E4135E" w:rsidRDefault="00E972B1" w:rsidP="00A17E1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Prepared in accordance with Part 3 of the Human Rights (Parliamentary Scrutiny) Act 2011</w:t>
                      </w:r>
                    </w:p>
                    <w:p w14:paraId="78848579" w14:textId="77777777" w:rsidR="00E972B1" w:rsidRPr="00E4135E" w:rsidRDefault="00E972B1" w:rsidP="00A17E1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F015DBC" w14:textId="6BD4932E" w:rsidR="00E972B1" w:rsidRPr="00E4135E" w:rsidRDefault="00E972B1" w:rsidP="00A17E1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</w:t>
                      </w:r>
                      <w:r w:rsidRPr="00A17E1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he Eastern Tuna and Billfish Fishery </w:t>
                      </w:r>
                      <w:r w:rsidR="009F5BE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(Fishing Season and </w:t>
                      </w:r>
                      <w:r w:rsidRPr="00A17E1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Total Allowable Commercial Catch</w:t>
                      </w:r>
                      <w:r w:rsidR="009F5BE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)</w:t>
                      </w:r>
                      <w:r w:rsidR="00B64FF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17E1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Determination 202</w:t>
                      </w:r>
                      <w:r w:rsidR="00FB47D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3</w:t>
                      </w:r>
                    </w:p>
                    <w:p w14:paraId="4275A2A1" w14:textId="77777777" w:rsidR="00E972B1" w:rsidRPr="00E4135E" w:rsidRDefault="00E972B1" w:rsidP="00A17E1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This Legislative Instrument is compatible with the human rights and freedoms recognised or declared in the international instruments listed in section 3 of the </w:t>
                      </w:r>
                      <w:r w:rsidRPr="00E4135E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Human Rights (Parliamentary Scrutiny) Act 2011</w:t>
                      </w: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35ECD035" w14:textId="77777777" w:rsidR="00E972B1" w:rsidRPr="00E4135E" w:rsidRDefault="00E972B1" w:rsidP="00A17E1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8FC534D" w14:textId="77777777" w:rsidR="00E972B1" w:rsidRPr="00E4135E" w:rsidRDefault="00E972B1" w:rsidP="00A17E18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31486D7" w14:textId="77777777" w:rsidR="00E972B1" w:rsidRPr="00E4135E" w:rsidRDefault="00E972B1" w:rsidP="00A17E18">
                      <w:pPr>
                        <w:spacing w:before="120" w:after="120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Overview of the Legislative Instrument</w:t>
                      </w:r>
                    </w:p>
                    <w:p w14:paraId="4CA9D6EA" w14:textId="6450A611" w:rsidR="00E972B1" w:rsidRPr="00F5063C" w:rsidRDefault="00E972B1" w:rsidP="002518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instrument determines the </w:t>
                      </w:r>
                      <w:r w:rsidR="009F5BE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fishing season </w:t>
                      </w:r>
                      <w:r w:rsidR="00F5063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as the period </w:t>
                      </w:r>
                      <w:r w:rsidR="00F5063C" w:rsidRPr="00BC3B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season commencing on 1 January 20</w:t>
                      </w:r>
                      <w:r w:rsidR="00F5063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</w:t>
                      </w:r>
                      <w:r w:rsidR="00F5063C" w:rsidRPr="00BC3B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and concluding on 31 December 20</w:t>
                      </w:r>
                      <w:r w:rsidR="00F5063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23 and the </w:t>
                      </w:r>
                      <w:r w:rsidRPr="002518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total allowable commercial catch</w:t>
                      </w:r>
                      <w:r w:rsidR="00B64FF2" w:rsidRPr="002518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2518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for quota species in the Eastern Tuna and Billfish Fishery for th</w:t>
                      </w:r>
                      <w:r w:rsidR="00F5063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 </w:t>
                      </w:r>
                      <w:r w:rsidRPr="002518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</w:t>
                      </w:r>
                      <w:r w:rsidR="00C82A81" w:rsidRPr="002518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 w:rsidRPr="002518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fishing</w:t>
                      </w:r>
                      <w:r w:rsidR="00F5063C" w:rsidRPr="002518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season</w:t>
                      </w:r>
                      <w:r w:rsidR="00F5063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  <w:r w:rsidRPr="0025183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AA6BBF5" w14:textId="77777777" w:rsidR="00E972B1" w:rsidRPr="00E4135E" w:rsidRDefault="00E972B1" w:rsidP="00A17E18">
                      <w:pPr>
                        <w:spacing w:before="120"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Human rights implications</w:t>
                      </w:r>
                    </w:p>
                    <w:p w14:paraId="59855D86" w14:textId="77777777" w:rsidR="00E972B1" w:rsidRPr="00E4135E" w:rsidRDefault="00E972B1" w:rsidP="00A17E18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This Legislative Instrument does not engage any of the applicable rights or freedoms.</w:t>
                      </w:r>
                    </w:p>
                    <w:p w14:paraId="6C61CE5F" w14:textId="77777777" w:rsidR="00E972B1" w:rsidRPr="00E4135E" w:rsidRDefault="00E972B1" w:rsidP="00A17E18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F36F38A" w14:textId="77777777" w:rsidR="00E972B1" w:rsidRPr="00E4135E" w:rsidRDefault="00E972B1" w:rsidP="00A17E18">
                      <w:pPr>
                        <w:spacing w:before="120" w:after="12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Conclusion</w:t>
                      </w:r>
                    </w:p>
                    <w:p w14:paraId="7A29FE06" w14:textId="77777777" w:rsidR="00E972B1" w:rsidRPr="00E4135E" w:rsidRDefault="00E972B1" w:rsidP="00A17E18">
                      <w:pPr>
                        <w:spacing w:before="120" w:after="1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4135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This Legislative Instrument is compatible with human rights as it does not raise any human rights issues.</w:t>
                      </w:r>
                    </w:p>
                    <w:p w14:paraId="380326FD" w14:textId="77777777" w:rsidR="00E972B1" w:rsidRPr="0072436A" w:rsidRDefault="00E972B1" w:rsidP="00D64113">
                      <w:pPr>
                        <w:spacing w:before="120" w:after="120" w:line="276" w:lineRule="aut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75E0B7B" w14:textId="77777777" w:rsidR="00D64113" w:rsidRPr="005E0B15" w:rsidRDefault="00D64113" w:rsidP="00D64113">
      <w:pPr>
        <w:rPr>
          <w:rFonts w:ascii="Times New Roman" w:hAnsi="Times New Roman" w:cs="Times New Roman"/>
        </w:rPr>
      </w:pPr>
    </w:p>
    <w:p w14:paraId="5B3011FD" w14:textId="7C565D07" w:rsidR="00E972B1" w:rsidRPr="005E0B15" w:rsidRDefault="00E972B1" w:rsidP="75BEEDF4">
      <w:pPr>
        <w:rPr>
          <w:rFonts w:ascii="Times New Roman" w:hAnsi="Times New Roman" w:cs="Times New Roman"/>
        </w:rPr>
      </w:pPr>
    </w:p>
    <w:sectPr w:rsidR="00E972B1" w:rsidRPr="005E0B15" w:rsidSect="00E972B1">
      <w:headerReference w:type="even" r:id="rId11"/>
      <w:footerReference w:type="even" r:id="rId12"/>
      <w:footerReference w:type="default" r:id="rId1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9AC76" w14:textId="77777777" w:rsidR="005500C7" w:rsidRDefault="005500C7" w:rsidP="00DF6803">
      <w:pPr>
        <w:spacing w:after="0" w:line="240" w:lineRule="auto"/>
      </w:pPr>
      <w:r>
        <w:separator/>
      </w:r>
    </w:p>
  </w:endnote>
  <w:endnote w:type="continuationSeparator" w:id="0">
    <w:p w14:paraId="315DABD6" w14:textId="77777777" w:rsidR="005500C7" w:rsidRDefault="005500C7" w:rsidP="00DF6803">
      <w:pPr>
        <w:spacing w:after="0" w:line="240" w:lineRule="auto"/>
      </w:pPr>
      <w:r>
        <w:continuationSeparator/>
      </w:r>
    </w:p>
  </w:endnote>
  <w:endnote w:type="continuationNotice" w:id="1">
    <w:p w14:paraId="2382AEEA" w14:textId="77777777" w:rsidR="005500C7" w:rsidRDefault="00550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495BC" w14:textId="77777777" w:rsidR="00E972B1" w:rsidRPr="002B0EA5" w:rsidRDefault="00E972B1" w:rsidP="00E972B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972B1" w14:paraId="52A06AE6" w14:textId="77777777" w:rsidTr="00E972B1">
      <w:tc>
        <w:tcPr>
          <w:tcW w:w="365" w:type="pct"/>
        </w:tcPr>
        <w:p w14:paraId="13714602" w14:textId="77777777" w:rsidR="00E972B1" w:rsidRDefault="00E972B1" w:rsidP="00E972B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B97861A" w14:textId="7963F0DA" w:rsidR="00E972B1" w:rsidRDefault="00E972B1" w:rsidP="00E972B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0EC1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F00894E" w14:textId="77777777" w:rsidR="00E972B1" w:rsidRDefault="00E972B1" w:rsidP="00E972B1">
          <w:pPr>
            <w:spacing w:line="0" w:lineRule="atLeast"/>
            <w:jc w:val="right"/>
            <w:rPr>
              <w:sz w:val="18"/>
            </w:rPr>
          </w:pPr>
        </w:p>
      </w:tc>
    </w:tr>
    <w:tr w:rsidR="00E972B1" w14:paraId="6581DB9F" w14:textId="77777777" w:rsidTr="00E972B1">
      <w:tc>
        <w:tcPr>
          <w:tcW w:w="5000" w:type="pct"/>
          <w:gridSpan w:val="3"/>
        </w:tcPr>
        <w:p w14:paraId="6F31D33E" w14:textId="77777777" w:rsidR="00E972B1" w:rsidRDefault="00E972B1" w:rsidP="00E972B1">
          <w:pPr>
            <w:jc w:val="right"/>
            <w:rPr>
              <w:sz w:val="18"/>
            </w:rPr>
          </w:pPr>
        </w:p>
      </w:tc>
    </w:tr>
  </w:tbl>
  <w:p w14:paraId="41D34465" w14:textId="77777777" w:rsidR="00E972B1" w:rsidRPr="00ED79B6" w:rsidRDefault="00E972B1" w:rsidP="00E972B1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D86A" w14:textId="77777777" w:rsidR="00E972B1" w:rsidRPr="002B0EA5" w:rsidRDefault="00E972B1" w:rsidP="00E972B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972B1" w14:paraId="6F212358" w14:textId="77777777" w:rsidTr="00E972B1">
      <w:tc>
        <w:tcPr>
          <w:tcW w:w="947" w:type="pct"/>
        </w:tcPr>
        <w:p w14:paraId="28944FB3" w14:textId="77777777" w:rsidR="00E972B1" w:rsidRDefault="00E972B1" w:rsidP="00E972B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CC23CCC" w14:textId="77777777" w:rsidR="00E972B1" w:rsidRDefault="00E972B1" w:rsidP="00E972B1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22A355D9" w14:textId="7FA7FADC" w:rsidR="00E972B1" w:rsidRDefault="00E972B1" w:rsidP="00E972B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35F9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972B1" w14:paraId="2C4D2C40" w14:textId="77777777" w:rsidTr="00E972B1">
      <w:tc>
        <w:tcPr>
          <w:tcW w:w="5000" w:type="pct"/>
          <w:gridSpan w:val="3"/>
        </w:tcPr>
        <w:p w14:paraId="6555EC0A" w14:textId="77777777" w:rsidR="00E972B1" w:rsidRDefault="00E972B1" w:rsidP="00E972B1">
          <w:pPr>
            <w:rPr>
              <w:sz w:val="18"/>
            </w:rPr>
          </w:pPr>
        </w:p>
      </w:tc>
    </w:tr>
  </w:tbl>
  <w:p w14:paraId="27A76D51" w14:textId="77777777" w:rsidR="00E972B1" w:rsidRPr="00ED79B6" w:rsidRDefault="00E972B1" w:rsidP="00E972B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A1E3E" w14:textId="77777777" w:rsidR="005500C7" w:rsidRDefault="005500C7" w:rsidP="00DF6803">
      <w:pPr>
        <w:spacing w:after="0" w:line="240" w:lineRule="auto"/>
      </w:pPr>
      <w:r>
        <w:separator/>
      </w:r>
    </w:p>
  </w:footnote>
  <w:footnote w:type="continuationSeparator" w:id="0">
    <w:p w14:paraId="43A1EB90" w14:textId="77777777" w:rsidR="005500C7" w:rsidRDefault="005500C7" w:rsidP="00DF6803">
      <w:pPr>
        <w:spacing w:after="0" w:line="240" w:lineRule="auto"/>
      </w:pPr>
      <w:r>
        <w:continuationSeparator/>
      </w:r>
    </w:p>
  </w:footnote>
  <w:footnote w:type="continuationNotice" w:id="1">
    <w:p w14:paraId="0CEDBE51" w14:textId="77777777" w:rsidR="005500C7" w:rsidRDefault="005500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35478" w14:textId="77777777" w:rsidR="00E972B1" w:rsidRDefault="00E972B1" w:rsidP="00E972B1">
    <w:pPr>
      <w:rPr>
        <w:sz w:val="20"/>
      </w:rPr>
    </w:pPr>
  </w:p>
  <w:p w14:paraId="080C4C8D" w14:textId="77777777" w:rsidR="00E972B1" w:rsidRDefault="00E972B1" w:rsidP="00E972B1">
    <w:pPr>
      <w:rPr>
        <w:sz w:val="20"/>
      </w:rPr>
    </w:pPr>
  </w:p>
  <w:p w14:paraId="5AE15F3D" w14:textId="77777777" w:rsidR="00E972B1" w:rsidRPr="007A1328" w:rsidRDefault="00E972B1" w:rsidP="00E972B1">
    <w:pPr>
      <w:rPr>
        <w:sz w:val="20"/>
      </w:rPr>
    </w:pPr>
  </w:p>
  <w:p w14:paraId="130F92D6" w14:textId="77777777" w:rsidR="00E972B1" w:rsidRPr="007A1328" w:rsidRDefault="00E972B1" w:rsidP="00E972B1">
    <w:pPr>
      <w:rPr>
        <w:b/>
        <w:sz w:val="24"/>
      </w:rPr>
    </w:pPr>
  </w:p>
  <w:p w14:paraId="5780CFE4" w14:textId="77777777" w:rsidR="00E972B1" w:rsidRPr="007A1328" w:rsidRDefault="00E972B1" w:rsidP="00E972B1">
    <w:pPr>
      <w:pBdr>
        <w:bottom w:val="single" w:sz="6" w:space="1" w:color="auto"/>
      </w:pBdr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D72CC"/>
    <w:multiLevelType w:val="hybridMultilevel"/>
    <w:tmpl w:val="9A0E9DBE"/>
    <w:lvl w:ilvl="0" w:tplc="265E3E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03"/>
    <w:rsid w:val="00011BFD"/>
    <w:rsid w:val="00013C37"/>
    <w:rsid w:val="00070387"/>
    <w:rsid w:val="0008747D"/>
    <w:rsid w:val="000D4459"/>
    <w:rsid w:val="000F180C"/>
    <w:rsid w:val="00105390"/>
    <w:rsid w:val="001565E5"/>
    <w:rsid w:val="00192F68"/>
    <w:rsid w:val="001B3DCA"/>
    <w:rsid w:val="0023501D"/>
    <w:rsid w:val="002442CE"/>
    <w:rsid w:val="002503C7"/>
    <w:rsid w:val="00251838"/>
    <w:rsid w:val="002528E7"/>
    <w:rsid w:val="00253AEF"/>
    <w:rsid w:val="00265B44"/>
    <w:rsid w:val="002D169C"/>
    <w:rsid w:val="002F0F9C"/>
    <w:rsid w:val="00301E8F"/>
    <w:rsid w:val="00306410"/>
    <w:rsid w:val="00344D53"/>
    <w:rsid w:val="003A6CBD"/>
    <w:rsid w:val="003B69A5"/>
    <w:rsid w:val="0040612E"/>
    <w:rsid w:val="004409AE"/>
    <w:rsid w:val="0045282A"/>
    <w:rsid w:val="00456DC6"/>
    <w:rsid w:val="00467274"/>
    <w:rsid w:val="00470F06"/>
    <w:rsid w:val="004A58FA"/>
    <w:rsid w:val="005416D5"/>
    <w:rsid w:val="005500C7"/>
    <w:rsid w:val="00554BA0"/>
    <w:rsid w:val="005E0B15"/>
    <w:rsid w:val="005E24CB"/>
    <w:rsid w:val="005F6419"/>
    <w:rsid w:val="0065680A"/>
    <w:rsid w:val="006E2D21"/>
    <w:rsid w:val="006E4E58"/>
    <w:rsid w:val="006F1666"/>
    <w:rsid w:val="0071286E"/>
    <w:rsid w:val="007136CD"/>
    <w:rsid w:val="007407FA"/>
    <w:rsid w:val="007548B0"/>
    <w:rsid w:val="00756C9F"/>
    <w:rsid w:val="00762F5C"/>
    <w:rsid w:val="0078650B"/>
    <w:rsid w:val="007A1368"/>
    <w:rsid w:val="007A3A39"/>
    <w:rsid w:val="007F096B"/>
    <w:rsid w:val="008072B7"/>
    <w:rsid w:val="00886918"/>
    <w:rsid w:val="008A1EEA"/>
    <w:rsid w:val="008C3F77"/>
    <w:rsid w:val="008E30A1"/>
    <w:rsid w:val="008F5E42"/>
    <w:rsid w:val="00966FA2"/>
    <w:rsid w:val="00981520"/>
    <w:rsid w:val="00994207"/>
    <w:rsid w:val="009C1237"/>
    <w:rsid w:val="009C35F9"/>
    <w:rsid w:val="009C619C"/>
    <w:rsid w:val="009F5BE8"/>
    <w:rsid w:val="00A05DD9"/>
    <w:rsid w:val="00A17E18"/>
    <w:rsid w:val="00A459BE"/>
    <w:rsid w:val="00A56828"/>
    <w:rsid w:val="00A764EA"/>
    <w:rsid w:val="00AB36B8"/>
    <w:rsid w:val="00AC0EC1"/>
    <w:rsid w:val="00AC1CDA"/>
    <w:rsid w:val="00B649E9"/>
    <w:rsid w:val="00B64FF2"/>
    <w:rsid w:val="00B7428F"/>
    <w:rsid w:val="00BE6964"/>
    <w:rsid w:val="00BE6F07"/>
    <w:rsid w:val="00C2517F"/>
    <w:rsid w:val="00C82A81"/>
    <w:rsid w:val="00C9648B"/>
    <w:rsid w:val="00CB455C"/>
    <w:rsid w:val="00CB5390"/>
    <w:rsid w:val="00CD1CF4"/>
    <w:rsid w:val="00D53421"/>
    <w:rsid w:val="00D64113"/>
    <w:rsid w:val="00D97B0E"/>
    <w:rsid w:val="00DB441C"/>
    <w:rsid w:val="00DF3578"/>
    <w:rsid w:val="00DF6803"/>
    <w:rsid w:val="00E9281F"/>
    <w:rsid w:val="00E972B1"/>
    <w:rsid w:val="00EA57AA"/>
    <w:rsid w:val="00EE101F"/>
    <w:rsid w:val="00F02712"/>
    <w:rsid w:val="00F5063C"/>
    <w:rsid w:val="00F6749F"/>
    <w:rsid w:val="00F677F1"/>
    <w:rsid w:val="00F72AF7"/>
    <w:rsid w:val="00F736DD"/>
    <w:rsid w:val="00FA5188"/>
    <w:rsid w:val="00FB47D9"/>
    <w:rsid w:val="00FD2079"/>
    <w:rsid w:val="2A2A0036"/>
    <w:rsid w:val="6315D6CF"/>
    <w:rsid w:val="6349EF54"/>
    <w:rsid w:val="74D347EE"/>
    <w:rsid w:val="75BEEDF4"/>
    <w:rsid w:val="769FA166"/>
    <w:rsid w:val="7F06A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CC31F5"/>
  <w15:chartTrackingRefBased/>
  <w15:docId w15:val="{0D17D5F7-0597-469A-A339-6949ECEF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F680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F6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803"/>
  </w:style>
  <w:style w:type="paragraph" w:styleId="Footer">
    <w:name w:val="footer"/>
    <w:basedOn w:val="Normal"/>
    <w:link w:val="FooterChar"/>
    <w:uiPriority w:val="99"/>
    <w:unhideWhenUsed/>
    <w:rsid w:val="00DF6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803"/>
  </w:style>
  <w:style w:type="paragraph" w:styleId="BalloonText">
    <w:name w:val="Balloon Text"/>
    <w:basedOn w:val="Normal"/>
    <w:link w:val="BalloonTextChar"/>
    <w:uiPriority w:val="99"/>
    <w:semiHidden/>
    <w:unhideWhenUsed/>
    <w:rsid w:val="00F6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7E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964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6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91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88691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86918"/>
    <w:rPr>
      <w:color w:val="2B579A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A5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9dc7b98a-aa4a-4582-9fad-77df62eff277">CEO Cleared</DocumentStatus>
    <_dlc_DocId xmlns="9dc7b98a-aa4a-4582-9fad-77df62eff277">AFMAROOT-685074830-24328</_dlc_DocId>
    <_dlc_DocIdUrl xmlns="9dc7b98a-aa4a-4582-9fad-77df62eff277">
      <Url>https://afmagovau.sharepoint.com/sites/AFMA-PROD/_layouts/15/DocIdRedir.aspx?ID=AFMAROOT-685074830-24328</Url>
      <Description>AFMAROOT-685074830-24328</Description>
    </_dlc_DocIdUrl>
    <_dlc_DocIdPersistId xmlns="9dc7b98a-aa4a-4582-9fad-77df62eff277">false</_dlc_DocIdPersistId>
    <SharedWithUsers xmlns="9dc7b98a-aa4a-4582-9fad-77df62eff277">
      <UserInfo>
        <DisplayName/>
        <AccountId xsi:nil="true"/>
        <AccountType/>
      </UserInfo>
    </SharedWithUsers>
    <MediaLengthInSeconds xmlns="d01b9356-9774-4515-b85f-82788657dd43" xsi:nil="true"/>
    <TaxCatchAll xmlns="9dc7b98a-aa4a-4582-9fad-77df62eff277" xsi:nil="true"/>
    <lcf76f155ced4ddcb4097134ff3c332f xmlns="d01b9356-9774-4515-b85f-82788657dd43">
      <Terms xmlns="http://schemas.microsoft.com/office/infopath/2007/PartnerControls"/>
    </lcf76f155ced4ddcb4097134ff3c332f>
    <_Flow_SignoffStatus xmlns="d01b9356-9774-4515-b85f-82788657dd4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1" ma:contentTypeDescription="Create a new document." ma:contentTypeScope="" ma:versionID="15dc7724a54f66442cf79dbaeb01208a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a7195bf7a061cb581e72767f0d06449c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009B90-AC7F-452A-9EB8-5ED647A1AA01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d01b9356-9774-4515-b85f-82788657dd43"/>
    <ds:schemaRef ds:uri="http://purl.org/dc/elements/1.1/"/>
    <ds:schemaRef ds:uri="http://schemas.microsoft.com/office/2006/metadata/properties"/>
    <ds:schemaRef ds:uri="9dc7b98a-aa4a-4582-9fad-77df62eff277"/>
  </ds:schemaRefs>
</ds:datastoreItem>
</file>

<file path=customXml/itemProps2.xml><?xml version="1.0" encoding="utf-8"?>
<ds:datastoreItem xmlns:ds="http://schemas.openxmlformats.org/officeDocument/2006/customXml" ds:itemID="{0E0AC5EB-325E-4327-9FF2-AD91A7C676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A00D0F-AECD-497F-9E14-4BAA32CC7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4BBC3D-74C1-4DB8-9AC9-C1B0B0036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5842</Characters>
  <Application>Microsoft Office Word</Application>
  <DocSecurity>0</DocSecurity>
  <Lines>48</Lines>
  <Paragraphs>13</Paragraphs>
  <ScaleCrop>false</ScaleCrop>
  <Company>The Australian Governmnet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 PIVA, Daniel</dc:creator>
  <cp:keywords/>
  <dc:description/>
  <cp:lastModifiedBy>DAL PIVA, Daniel</cp:lastModifiedBy>
  <cp:revision>2</cp:revision>
  <cp:lastPrinted>2022-11-07T06:00:00Z</cp:lastPrinted>
  <dcterms:created xsi:type="dcterms:W3CDTF">2022-11-17T02:39:00Z</dcterms:created>
  <dcterms:modified xsi:type="dcterms:W3CDTF">2022-11-17T02:39:00Z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d36d25ea-df6b-4f40-9890-e9e42556eeb1</vt:lpwstr>
  </property>
  <property fmtid="{D5CDD505-2E9C-101B-9397-08002B2CF9AE}" pid="3" name="ContentTypeId">
    <vt:lpwstr>0x01010012922EE4DB6956409625CCB71A6EB15A</vt:lpwstr>
  </property>
  <property fmtid="{D5CDD505-2E9C-101B-9397-08002B2CF9AE}" pid="4" name="_dlc_DocIdItemGuid">
    <vt:lpwstr>b740f5f0-73e7-480e-89c2-6e4b8c78a5a6</vt:lpwstr>
  </property>
  <property fmtid="{D5CDD505-2E9C-101B-9397-08002B2CF9AE}" pid="5" name="Order">
    <vt:r8>1481500</vt:r8>
  </property>
  <property fmtid="{D5CDD505-2E9C-101B-9397-08002B2CF9AE}" pid="6" name="xd_Signature">
    <vt:bool>false</vt:bool>
  </property>
  <property fmtid="{D5CDD505-2E9C-101B-9397-08002B2CF9AE}" pid="7" name="MeetingNo">
    <vt:lpwstr>75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SEC">
    <vt:lpwstr>OFFICIAL</vt:lpwstr>
  </property>
  <property fmtid="{D5CDD505-2E9C-101B-9397-08002B2CF9AE}" pid="15" name="ApplyMark">
    <vt:lpwstr>false</vt:lpwstr>
  </property>
</Properties>
</file>