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FF540E" w14:textId="77777777" w:rsidR="0081294E" w:rsidRPr="00F7353C" w:rsidRDefault="0081294E" w:rsidP="0081294E">
      <w:pPr>
        <w:jc w:val="center"/>
        <w:rPr>
          <w:b/>
          <w:u w:val="single"/>
        </w:rPr>
      </w:pPr>
      <w:r w:rsidRPr="00F7353C">
        <w:rPr>
          <w:b/>
          <w:u w:val="single"/>
        </w:rPr>
        <w:t>EXPLANATORY STATEMENT</w:t>
      </w:r>
    </w:p>
    <w:p w14:paraId="40486BE9" w14:textId="77777777" w:rsidR="0081294E" w:rsidRPr="00F7353C" w:rsidRDefault="0081294E" w:rsidP="0081294E">
      <w:pPr>
        <w:jc w:val="center"/>
        <w:rPr>
          <w:b/>
          <w:u w:val="single"/>
        </w:rPr>
      </w:pPr>
    </w:p>
    <w:p w14:paraId="3560A6C8" w14:textId="77777777" w:rsidR="0081294E" w:rsidRPr="00F7353C" w:rsidRDefault="0081294E" w:rsidP="0081294E">
      <w:pPr>
        <w:jc w:val="center"/>
        <w:rPr>
          <w:b/>
        </w:rPr>
      </w:pPr>
      <w:r w:rsidRPr="00F7353C">
        <w:rPr>
          <w:b/>
        </w:rPr>
        <w:t>Issued by the authority of the Minister for Aged Care</w:t>
      </w:r>
    </w:p>
    <w:p w14:paraId="57EB1807" w14:textId="77777777" w:rsidR="0081294E" w:rsidRPr="00F7353C" w:rsidRDefault="0081294E" w:rsidP="0081294E">
      <w:pPr>
        <w:jc w:val="center"/>
        <w:rPr>
          <w:b/>
          <w:i/>
        </w:rPr>
      </w:pPr>
    </w:p>
    <w:p w14:paraId="7105A86B" w14:textId="77777777" w:rsidR="0081294E" w:rsidRPr="00F7353C" w:rsidRDefault="0081294E" w:rsidP="0081294E">
      <w:pPr>
        <w:jc w:val="center"/>
        <w:rPr>
          <w:b/>
          <w:i/>
        </w:rPr>
      </w:pPr>
      <w:r w:rsidRPr="00F7353C">
        <w:rPr>
          <w:b/>
          <w:i/>
        </w:rPr>
        <w:t>Aged Care Act 1997</w:t>
      </w:r>
    </w:p>
    <w:p w14:paraId="011B15F3" w14:textId="77777777" w:rsidR="0081294E" w:rsidRPr="00F7353C" w:rsidRDefault="0081294E" w:rsidP="0081294E">
      <w:pPr>
        <w:jc w:val="center"/>
        <w:rPr>
          <w:b/>
          <w:i/>
        </w:rPr>
      </w:pPr>
      <w:r w:rsidRPr="00F7353C">
        <w:rPr>
          <w:b/>
          <w:i/>
        </w:rPr>
        <w:t>Aged Care Quality and Safety Commission Act 2018</w:t>
      </w:r>
    </w:p>
    <w:p w14:paraId="0725AF2C" w14:textId="77777777" w:rsidR="0081294E" w:rsidRPr="00F7353C" w:rsidRDefault="0081294E" w:rsidP="0081294E">
      <w:pPr>
        <w:jc w:val="center"/>
        <w:rPr>
          <w:b/>
        </w:rPr>
      </w:pPr>
    </w:p>
    <w:p w14:paraId="4BBDDEB0" w14:textId="77777777" w:rsidR="0081294E" w:rsidRPr="00F7353C" w:rsidRDefault="0081294E" w:rsidP="0081294E">
      <w:pPr>
        <w:jc w:val="center"/>
      </w:pPr>
      <w:r w:rsidRPr="00F7353C">
        <w:rPr>
          <w:b/>
          <w:i/>
        </w:rPr>
        <w:t>Aged Care Quality and Safety Commission Amendment (Code of Conduct and Banning Orders) Rules 2022</w:t>
      </w:r>
    </w:p>
    <w:p w14:paraId="4E14D1A7" w14:textId="77777777" w:rsidR="0081294E" w:rsidRPr="00F7353C" w:rsidRDefault="0081294E" w:rsidP="0081294E">
      <w:pPr>
        <w:rPr>
          <w:b/>
        </w:rPr>
      </w:pPr>
    </w:p>
    <w:p w14:paraId="0FBBCF62" w14:textId="77777777" w:rsidR="0081294E" w:rsidRPr="00F7353C" w:rsidRDefault="0081294E" w:rsidP="0081294E">
      <w:pPr>
        <w:rPr>
          <w:b/>
        </w:rPr>
      </w:pPr>
      <w:r w:rsidRPr="00F7353C">
        <w:rPr>
          <w:b/>
        </w:rPr>
        <w:t>Purpose</w:t>
      </w:r>
    </w:p>
    <w:p w14:paraId="330FA2AB" w14:textId="77777777" w:rsidR="0081294E" w:rsidRPr="00F7353C" w:rsidRDefault="0081294E" w:rsidP="0081294E">
      <w:pPr>
        <w:rPr>
          <w:bCs/>
        </w:rPr>
      </w:pPr>
      <w:r w:rsidRPr="00F7353C">
        <w:t xml:space="preserve">The purpose of the </w:t>
      </w:r>
      <w:r w:rsidRPr="00F7353C">
        <w:rPr>
          <w:i/>
          <w:iCs/>
        </w:rPr>
        <w:t>Aged Care Quality and Safety Commission Amendment (Code of Conduct and Banning Orders) Rules 2022</w:t>
      </w:r>
      <w:r w:rsidRPr="00F7353C">
        <w:t xml:space="preserve"> (Instrument) is to</w:t>
      </w:r>
      <w:r w:rsidRPr="00F7353C">
        <w:rPr>
          <w:iCs/>
        </w:rPr>
        <w:t xml:space="preserve"> amend the </w:t>
      </w:r>
      <w:r w:rsidRPr="00F7353C">
        <w:rPr>
          <w:bCs/>
          <w:i/>
          <w:iCs/>
        </w:rPr>
        <w:t xml:space="preserve">Aged Care Quality and Safety Commission Rules 2018 </w:t>
      </w:r>
      <w:r w:rsidRPr="00F7353C">
        <w:rPr>
          <w:bCs/>
        </w:rPr>
        <w:t xml:space="preserve">(Commission Rules) to make provision for the Code of Conduct for Aged Care (Code of Conduct). The Code of Conduct establishes minimum standards of conduct for approved providers and their aged care workers and governing persons. </w:t>
      </w:r>
    </w:p>
    <w:p w14:paraId="79E03935" w14:textId="77777777" w:rsidR="0081294E" w:rsidRPr="00F7353C" w:rsidRDefault="0081294E" w:rsidP="0081294E">
      <w:pPr>
        <w:rPr>
          <w:bCs/>
        </w:rPr>
      </w:pPr>
    </w:p>
    <w:p w14:paraId="29FFA436" w14:textId="77777777" w:rsidR="0081294E" w:rsidRPr="00F7353C" w:rsidRDefault="0081294E" w:rsidP="0081294E">
      <w:pPr>
        <w:rPr>
          <w:bCs/>
        </w:rPr>
      </w:pPr>
      <w:r w:rsidRPr="00F7353C">
        <w:rPr>
          <w:bCs/>
        </w:rPr>
        <w:t xml:space="preserve">The Instrument also makes provision for the Aged Care Quality and Safety Commissioner (Commissioner) to </w:t>
      </w:r>
      <w:proofErr w:type="gramStart"/>
      <w:r w:rsidRPr="00F7353C">
        <w:rPr>
          <w:bCs/>
        </w:rPr>
        <w:t>take action</w:t>
      </w:r>
      <w:proofErr w:type="gramEnd"/>
      <w:r w:rsidRPr="00F7353C">
        <w:rPr>
          <w:bCs/>
        </w:rPr>
        <w:t xml:space="preserve"> in relation to compliance with the Code of Conduct. </w:t>
      </w:r>
    </w:p>
    <w:p w14:paraId="4F4B6C21" w14:textId="77777777" w:rsidR="0081294E" w:rsidRPr="00F7353C" w:rsidRDefault="0081294E" w:rsidP="0081294E">
      <w:pPr>
        <w:rPr>
          <w:bCs/>
        </w:rPr>
      </w:pPr>
    </w:p>
    <w:p w14:paraId="1B8016E4" w14:textId="77777777" w:rsidR="0081294E" w:rsidRPr="00F7353C" w:rsidRDefault="0081294E" w:rsidP="0081294E">
      <w:pPr>
        <w:rPr>
          <w:bCs/>
        </w:rPr>
      </w:pPr>
      <w:r w:rsidRPr="00F7353C">
        <w:rPr>
          <w:bCs/>
        </w:rPr>
        <w:t>The Instrument amends the Commission Rules in relation to banning orders, by specifying that certain information must be included in the register of banning orders, and making provision for matters relating to accessing, correcting information in, and publication of, the register of banning orders.</w:t>
      </w:r>
      <w:r w:rsidRPr="00F7353C">
        <w:rPr>
          <w:iCs/>
        </w:rPr>
        <w:t xml:space="preserve"> </w:t>
      </w:r>
    </w:p>
    <w:p w14:paraId="1BFAE7B2" w14:textId="77777777" w:rsidR="0081294E" w:rsidRPr="00F7353C" w:rsidRDefault="0081294E" w:rsidP="0081294E">
      <w:pPr>
        <w:rPr>
          <w:iCs/>
        </w:rPr>
      </w:pPr>
    </w:p>
    <w:p w14:paraId="03975A5B" w14:textId="77777777" w:rsidR="0081294E" w:rsidRPr="00F7353C" w:rsidRDefault="0081294E" w:rsidP="0081294E">
      <w:pPr>
        <w:rPr>
          <w:iCs/>
        </w:rPr>
      </w:pPr>
      <w:r w:rsidRPr="00F7353C">
        <w:rPr>
          <w:iCs/>
        </w:rPr>
        <w:t>The amendments strengthen safeguards for older Australians receiving aged care and aim to increase public confidence in the aged care sector and workforce.</w:t>
      </w:r>
    </w:p>
    <w:p w14:paraId="6071FB7F" w14:textId="77777777" w:rsidR="0081294E" w:rsidRPr="00F7353C" w:rsidRDefault="0081294E" w:rsidP="0081294E">
      <w:pPr>
        <w:rPr>
          <w:iCs/>
        </w:rPr>
      </w:pPr>
    </w:p>
    <w:p w14:paraId="0FCA17F3" w14:textId="77777777" w:rsidR="0081294E" w:rsidRPr="00F7353C" w:rsidRDefault="0081294E" w:rsidP="0081294E">
      <w:pPr>
        <w:rPr>
          <w:iCs/>
        </w:rPr>
      </w:pPr>
      <w:r w:rsidRPr="00F7353C">
        <w:t xml:space="preserve">The Instrument is a legislative instrument for the purposes of the </w:t>
      </w:r>
      <w:r w:rsidRPr="00F7353C">
        <w:rPr>
          <w:i/>
        </w:rPr>
        <w:t>Legislation Act 2003.</w:t>
      </w:r>
    </w:p>
    <w:p w14:paraId="57056C77" w14:textId="77777777" w:rsidR="0081294E" w:rsidRPr="00F7353C" w:rsidRDefault="0081294E" w:rsidP="0081294E">
      <w:pPr>
        <w:rPr>
          <w:i/>
        </w:rPr>
      </w:pPr>
    </w:p>
    <w:p w14:paraId="061EEB00" w14:textId="77777777" w:rsidR="0081294E" w:rsidRPr="00F7353C" w:rsidRDefault="0081294E" w:rsidP="0081294E">
      <w:pPr>
        <w:rPr>
          <w:b/>
        </w:rPr>
      </w:pPr>
      <w:r w:rsidRPr="00F7353C">
        <w:rPr>
          <w:b/>
        </w:rPr>
        <w:t>Background</w:t>
      </w:r>
    </w:p>
    <w:p w14:paraId="6B2A0357" w14:textId="77777777" w:rsidR="0081294E" w:rsidRPr="00F7353C" w:rsidRDefault="0081294E" w:rsidP="0081294E">
      <w:pPr>
        <w:autoSpaceDE w:val="0"/>
        <w:autoSpaceDN w:val="0"/>
        <w:adjustRightInd w:val="0"/>
      </w:pPr>
      <w:r w:rsidRPr="00F7353C">
        <w:t xml:space="preserve">On 1 March 2021, the Royal Commission into Aged Care Quality and Safety (Royal Commission) </w:t>
      </w:r>
      <w:r w:rsidRPr="00F7353C">
        <w:rPr>
          <w:i/>
          <w:iCs/>
        </w:rPr>
        <w:t>Final Report: Care, Dignity and Respect</w:t>
      </w:r>
      <w:r w:rsidRPr="00F7353C">
        <w:t xml:space="preserve"> (Final Report) was publicly released. The Final Report recommended that the Australian Government should establish a registration scheme for the personal care workforce comprising five key elements (Recommendation 77). One of these key elements was the establishment of a code of conduct and power for a registering body to investigate complaints into breaches of the code of conduct and take appropriate disciplinary action (Recommendation 77(1)(e)). In addition, the Final Report recommended a wider range of enforcement powers for the aged care sector, including banning orders for individuals (Recommendation 103).</w:t>
      </w:r>
    </w:p>
    <w:p w14:paraId="45CEFE1E" w14:textId="77777777" w:rsidR="0081294E" w:rsidRPr="00F7353C" w:rsidRDefault="0081294E" w:rsidP="0081294E">
      <w:pPr>
        <w:autoSpaceDE w:val="0"/>
        <w:autoSpaceDN w:val="0"/>
        <w:adjustRightInd w:val="0"/>
      </w:pPr>
    </w:p>
    <w:p w14:paraId="30F792C0" w14:textId="7AC813F9" w:rsidR="0081294E" w:rsidRPr="00F7353C" w:rsidRDefault="0081294E" w:rsidP="0081294E">
      <w:pPr>
        <w:widowControl w:val="0"/>
        <w:autoSpaceDE w:val="0"/>
        <w:autoSpaceDN w:val="0"/>
        <w:adjustRightInd w:val="0"/>
      </w:pPr>
      <w:r w:rsidRPr="00F7353C">
        <w:t>In response to the recommendations of the Final Report, the Australian Government committed to implement</w:t>
      </w:r>
      <w:r w:rsidR="00FE43F6" w:rsidRPr="00F7353C">
        <w:t>ing</w:t>
      </w:r>
      <w:r w:rsidRPr="00F7353C">
        <w:t xml:space="preserve"> reforms to the aged care system, including a new code of conduct for approved providers, their workforce and governing persons and arrangements for banning orders. These measures were enacted under Schedule 3 to the </w:t>
      </w:r>
      <w:r w:rsidRPr="00F7353C">
        <w:rPr>
          <w:i/>
          <w:iCs/>
        </w:rPr>
        <w:t xml:space="preserve">Aged Care and Other Legislation Amendment (Royal Commission Response) Act </w:t>
      </w:r>
      <w:r w:rsidRPr="00F7353C">
        <w:rPr>
          <w:i/>
          <w:iCs/>
        </w:rPr>
        <w:lastRenderedPageBreak/>
        <w:t>2022</w:t>
      </w:r>
      <w:r w:rsidRPr="00F7353C">
        <w:t xml:space="preserve"> (Royal Commission Response Act) and implement Recommendations 77 and 103 of the Final Report in part. </w:t>
      </w:r>
    </w:p>
    <w:p w14:paraId="24C59F07" w14:textId="77777777" w:rsidR="0081294E" w:rsidRPr="00F7353C" w:rsidRDefault="0081294E" w:rsidP="0081294E"/>
    <w:p w14:paraId="4C7289C3" w14:textId="1A8D78AA" w:rsidR="0081294E" w:rsidRPr="00F7353C" w:rsidRDefault="0081294E" w:rsidP="0081294E">
      <w:pPr>
        <w:widowControl w:val="0"/>
        <w:autoSpaceDE w:val="0"/>
        <w:autoSpaceDN w:val="0"/>
        <w:adjustRightInd w:val="0"/>
      </w:pPr>
      <w:r w:rsidRPr="00F7353C">
        <w:t xml:space="preserve">The Instrument operates alongside information sharing provisions in the </w:t>
      </w:r>
      <w:r w:rsidRPr="00F7353C">
        <w:rPr>
          <w:i/>
          <w:iCs/>
        </w:rPr>
        <w:t>Aged Care Quality and Safety Act 2018</w:t>
      </w:r>
      <w:r w:rsidRPr="00F7353C">
        <w:t xml:space="preserve"> (Commission Act) as amended by Schedule 6 to the Royal Commission Response Act, which allows protected information to be shared between the National Disability Insurance Scheme Quality and Safeguards Commission (NDIS Commission) and the Australian Health Practitioner Regulation Agency (</w:t>
      </w:r>
      <w:proofErr w:type="spellStart"/>
      <w:r w:rsidRPr="00F7353C">
        <w:t>Ahpra</w:t>
      </w:r>
      <w:proofErr w:type="spellEnd"/>
      <w:r w:rsidRPr="00F7353C">
        <w:t xml:space="preserve">). These provisions will support the operation of the Instrument, </w:t>
      </w:r>
      <w:r w:rsidR="00F9363E" w:rsidRPr="00F7353C">
        <w:t>in</w:t>
      </w:r>
      <w:r w:rsidRPr="00F7353C">
        <w:t xml:space="preserve"> relation to banning orders where aged care workers or governing persons work across the aged care and disability support sectors. </w:t>
      </w:r>
    </w:p>
    <w:p w14:paraId="611BDCD9" w14:textId="77777777" w:rsidR="0081294E" w:rsidRPr="00F7353C" w:rsidRDefault="0081294E" w:rsidP="0081294E">
      <w:pPr>
        <w:widowControl w:val="0"/>
        <w:autoSpaceDE w:val="0"/>
        <w:autoSpaceDN w:val="0"/>
        <w:adjustRightInd w:val="0"/>
      </w:pPr>
    </w:p>
    <w:p w14:paraId="04F456F7" w14:textId="77777777" w:rsidR="0081294E" w:rsidRPr="00F7353C" w:rsidRDefault="0081294E" w:rsidP="0081294E">
      <w:pPr>
        <w:widowControl w:val="0"/>
        <w:rPr>
          <w:b/>
        </w:rPr>
      </w:pPr>
      <w:r w:rsidRPr="00F7353C">
        <w:rPr>
          <w:b/>
        </w:rPr>
        <w:t xml:space="preserve">Authority </w:t>
      </w:r>
    </w:p>
    <w:p w14:paraId="2CB8E4F3" w14:textId="77777777" w:rsidR="0081294E" w:rsidRPr="00F7353C" w:rsidRDefault="0081294E" w:rsidP="0081294E">
      <w:pPr>
        <w:widowControl w:val="0"/>
      </w:pPr>
      <w:r w:rsidRPr="00F7353C">
        <w:t xml:space="preserve">The Commission </w:t>
      </w:r>
      <w:r w:rsidRPr="00F7353C">
        <w:rPr>
          <w:iCs/>
        </w:rPr>
        <w:t xml:space="preserve">Rules </w:t>
      </w:r>
      <w:r w:rsidRPr="00F7353C">
        <w:t>are made by the Minister under section 77 of the Commission Act. Under subsection 77(1), the Minister may, by legislative instrument make rules prescribing matters required or permitted, or necessary or convenient, for carrying out or giving effect to the Commission Act.</w:t>
      </w:r>
    </w:p>
    <w:p w14:paraId="4C33FFFD" w14:textId="77777777" w:rsidR="0081294E" w:rsidRPr="00F7353C" w:rsidRDefault="0081294E" w:rsidP="0081294E">
      <w:pPr>
        <w:widowControl w:val="0"/>
      </w:pPr>
    </w:p>
    <w:p w14:paraId="01F07238" w14:textId="77777777" w:rsidR="0081294E" w:rsidRPr="00F7353C" w:rsidRDefault="0081294E" w:rsidP="0081294E">
      <w:pPr>
        <w:widowControl w:val="0"/>
      </w:pPr>
      <w:r w:rsidRPr="00F7353C">
        <w:rPr>
          <w:u w:val="single"/>
        </w:rPr>
        <w:t>Commissioner’s code functions</w:t>
      </w:r>
    </w:p>
    <w:p w14:paraId="005A71A4" w14:textId="77777777" w:rsidR="0081294E" w:rsidRPr="00F7353C" w:rsidRDefault="0081294E" w:rsidP="0081294E">
      <w:pPr>
        <w:widowControl w:val="0"/>
      </w:pPr>
      <w:r w:rsidRPr="00F7353C">
        <w:t xml:space="preserve">Section 18A of the Commission Act outlines the Commissioner’s code functions, which includes </w:t>
      </w:r>
      <w:proofErr w:type="gramStart"/>
      <w:r w:rsidRPr="00F7353C">
        <w:t>taking action</w:t>
      </w:r>
      <w:proofErr w:type="gramEnd"/>
      <w:r w:rsidRPr="00F7353C">
        <w:t xml:space="preserve"> in relation to compliance with the Code of Conduct in accordance with the Commission Rules.</w:t>
      </w:r>
    </w:p>
    <w:p w14:paraId="28C642E6" w14:textId="77777777" w:rsidR="0081294E" w:rsidRPr="00F7353C" w:rsidRDefault="0081294E" w:rsidP="0081294E">
      <w:pPr>
        <w:widowControl w:val="0"/>
      </w:pPr>
    </w:p>
    <w:p w14:paraId="5901435F" w14:textId="77777777" w:rsidR="0081294E" w:rsidRPr="00F7353C" w:rsidRDefault="0081294E" w:rsidP="0081294E">
      <w:pPr>
        <w:widowControl w:val="0"/>
      </w:pPr>
      <w:r w:rsidRPr="00F7353C">
        <w:t xml:space="preserve">Subsection 21(1) of the Commission Act provides that the Commission Rules may make provision for, or in relation to, the performance of the Commissioner’s functions under section 16 of the Commission Act. </w:t>
      </w:r>
    </w:p>
    <w:p w14:paraId="20826A95" w14:textId="77777777" w:rsidR="0081294E" w:rsidRPr="00F7353C" w:rsidRDefault="0081294E" w:rsidP="0081294E">
      <w:pPr>
        <w:widowControl w:val="0"/>
      </w:pPr>
    </w:p>
    <w:p w14:paraId="463F8C27" w14:textId="7C3611EE" w:rsidR="0081294E" w:rsidRPr="00F7353C" w:rsidRDefault="0081294E" w:rsidP="0081294E">
      <w:pPr>
        <w:widowControl w:val="0"/>
      </w:pPr>
      <w:r w:rsidRPr="00F7353C">
        <w:t>Subsection 21(3A) of the Commission Act provides that, without limiting subsection 21(1), the Commission Rules may make provision for</w:t>
      </w:r>
      <w:r w:rsidR="000C7D90" w:rsidRPr="00F7353C">
        <w:t xml:space="preserve"> the taking of action</w:t>
      </w:r>
      <w:r w:rsidRPr="00F7353C">
        <w:t xml:space="preserve"> in relation to compliance with the provisions of the Code of Conduct that apply or applied to an approved provider, an individual who is or was an aged care worker of an approved provider, or an individual who is or was a governing person of an approved provider.</w:t>
      </w:r>
    </w:p>
    <w:p w14:paraId="0EF08C96" w14:textId="77777777" w:rsidR="0081294E" w:rsidRPr="00F7353C" w:rsidRDefault="0081294E" w:rsidP="0081294E">
      <w:pPr>
        <w:widowControl w:val="0"/>
      </w:pPr>
    </w:p>
    <w:p w14:paraId="3D4E16DB" w14:textId="77777777" w:rsidR="0081294E" w:rsidRPr="00F7353C" w:rsidRDefault="0081294E" w:rsidP="0081294E">
      <w:pPr>
        <w:widowControl w:val="0"/>
      </w:pPr>
      <w:r w:rsidRPr="00F7353C">
        <w:t>Subsection 21(3B) of the Commission Act provides that, without limiting subsection 21(3A), the Commission Rules may make provision for, or in relation to, any one or more of the following:</w:t>
      </w:r>
    </w:p>
    <w:p w14:paraId="77CFAA85" w14:textId="77777777" w:rsidR="0081294E" w:rsidRPr="00F7353C" w:rsidRDefault="0081294E" w:rsidP="0081294E">
      <w:pPr>
        <w:numPr>
          <w:ilvl w:val="0"/>
          <w:numId w:val="20"/>
        </w:numPr>
      </w:pPr>
      <w:r w:rsidRPr="00F7353C">
        <w:t xml:space="preserve">how information about compliance with the Code of Conduct may be given to the </w:t>
      </w:r>
      <w:proofErr w:type="gramStart"/>
      <w:r w:rsidRPr="00F7353C">
        <w:t>Commissioner;</w:t>
      </w:r>
      <w:proofErr w:type="gramEnd"/>
    </w:p>
    <w:p w14:paraId="74CD9DC9" w14:textId="77777777" w:rsidR="0081294E" w:rsidRPr="00F7353C" w:rsidRDefault="0081294E" w:rsidP="0081294E">
      <w:pPr>
        <w:numPr>
          <w:ilvl w:val="0"/>
          <w:numId w:val="20"/>
        </w:numPr>
      </w:pPr>
      <w:r w:rsidRPr="00F7353C">
        <w:t xml:space="preserve">the actions that may be taken by the Commissioner in relation to compliance with the Code of Conduct, which may include requiring an approved provider or other relevant person to do </w:t>
      </w:r>
      <w:proofErr w:type="gramStart"/>
      <w:r w:rsidRPr="00F7353C">
        <w:t>something;</w:t>
      </w:r>
      <w:proofErr w:type="gramEnd"/>
    </w:p>
    <w:p w14:paraId="0F2B1066" w14:textId="77777777" w:rsidR="0081294E" w:rsidRPr="00F7353C" w:rsidRDefault="0081294E" w:rsidP="0081294E">
      <w:pPr>
        <w:numPr>
          <w:ilvl w:val="0"/>
          <w:numId w:val="20"/>
        </w:numPr>
      </w:pPr>
      <w:r w:rsidRPr="00F7353C">
        <w:t xml:space="preserve">the roles, rights and responsibilities of persons who give such information to the Commissioner, approved providers, individuals who are or were aged care workers or governing persons of approved providers, or any other relevant </w:t>
      </w:r>
      <w:proofErr w:type="gramStart"/>
      <w:r w:rsidRPr="00F7353C">
        <w:t>persons;</w:t>
      </w:r>
      <w:proofErr w:type="gramEnd"/>
    </w:p>
    <w:p w14:paraId="0220CD95" w14:textId="77777777" w:rsidR="0081294E" w:rsidRPr="00F7353C" w:rsidRDefault="0081294E" w:rsidP="0081294E">
      <w:pPr>
        <w:numPr>
          <w:ilvl w:val="0"/>
          <w:numId w:val="20"/>
        </w:numPr>
      </w:pPr>
      <w:r w:rsidRPr="00F7353C">
        <w:t>the review or reconsideration of decisions made in relation to compliance with the Code of Conduct.</w:t>
      </w:r>
    </w:p>
    <w:p w14:paraId="3F7B8D45" w14:textId="77777777" w:rsidR="0081294E" w:rsidRPr="00F7353C" w:rsidRDefault="0081294E" w:rsidP="0081294E">
      <w:pPr>
        <w:widowControl w:val="0"/>
        <w:rPr>
          <w:u w:val="single"/>
        </w:rPr>
      </w:pPr>
    </w:p>
    <w:p w14:paraId="01E75621" w14:textId="77777777" w:rsidR="0081294E" w:rsidRPr="00F7353C" w:rsidRDefault="0081294E" w:rsidP="0081294E">
      <w:pPr>
        <w:widowControl w:val="0"/>
        <w:rPr>
          <w:u w:val="single"/>
        </w:rPr>
      </w:pPr>
      <w:r w:rsidRPr="00F7353C">
        <w:rPr>
          <w:u w:val="single"/>
        </w:rPr>
        <w:t>Code of Conduct</w:t>
      </w:r>
    </w:p>
    <w:p w14:paraId="22DFF41A" w14:textId="2FDF50B4" w:rsidR="0081294E" w:rsidRPr="00F7353C" w:rsidRDefault="0081294E" w:rsidP="0081294E">
      <w:pPr>
        <w:widowControl w:val="0"/>
      </w:pPr>
      <w:r w:rsidRPr="00F7353C">
        <w:t xml:space="preserve">Section 74AE of the Commission Act provides that the Commission Rules may make </w:t>
      </w:r>
      <w:r w:rsidRPr="00F7353C">
        <w:lastRenderedPageBreak/>
        <w:t xml:space="preserve">provision for, or in relation to, a </w:t>
      </w:r>
      <w:r w:rsidR="00720197" w:rsidRPr="00F7353C">
        <w:t>c</w:t>
      </w:r>
      <w:r w:rsidRPr="00F7353C">
        <w:t xml:space="preserve">ode of </w:t>
      </w:r>
      <w:r w:rsidR="00720197" w:rsidRPr="00F7353C">
        <w:t>c</w:t>
      </w:r>
      <w:r w:rsidRPr="00F7353C">
        <w:t>onduct that applies to approved providers and their aged care workers and governing persons.</w:t>
      </w:r>
    </w:p>
    <w:p w14:paraId="04A44133" w14:textId="77777777" w:rsidR="0081294E" w:rsidRPr="00F7353C" w:rsidRDefault="0081294E" w:rsidP="0081294E">
      <w:pPr>
        <w:widowControl w:val="0"/>
      </w:pPr>
    </w:p>
    <w:p w14:paraId="2C65EB0A" w14:textId="77777777" w:rsidR="0081294E" w:rsidRPr="00F7353C" w:rsidRDefault="0081294E" w:rsidP="0081294E">
      <w:pPr>
        <w:widowControl w:val="0"/>
        <w:rPr>
          <w:u w:val="single"/>
        </w:rPr>
      </w:pPr>
      <w:r w:rsidRPr="00F7353C">
        <w:rPr>
          <w:u w:val="single"/>
        </w:rPr>
        <w:t>Register of banning orders</w:t>
      </w:r>
    </w:p>
    <w:p w14:paraId="5CF6AA3C" w14:textId="77777777" w:rsidR="0081294E" w:rsidRPr="00F7353C" w:rsidRDefault="0081294E" w:rsidP="0081294E">
      <w:pPr>
        <w:widowControl w:val="0"/>
      </w:pPr>
      <w:r w:rsidRPr="00F7353C">
        <w:t xml:space="preserve">Paragraph 74GI(1)(h) of the Commission Act allows the Commission Rules to specify any other information that must be included in the register of banning orders in relation to </w:t>
      </w:r>
      <w:proofErr w:type="gramStart"/>
      <w:r w:rsidRPr="00F7353C">
        <w:t>each individual</w:t>
      </w:r>
      <w:proofErr w:type="gramEnd"/>
      <w:r w:rsidRPr="00F7353C">
        <w:t xml:space="preserve"> against whom a banning order has been made at any time. </w:t>
      </w:r>
    </w:p>
    <w:p w14:paraId="7DEDA433" w14:textId="77777777" w:rsidR="0081294E" w:rsidRPr="00F7353C" w:rsidRDefault="0081294E" w:rsidP="0081294E">
      <w:pPr>
        <w:widowControl w:val="0"/>
      </w:pPr>
    </w:p>
    <w:p w14:paraId="20C121A7" w14:textId="77777777" w:rsidR="0081294E" w:rsidRPr="00F7353C" w:rsidRDefault="0081294E" w:rsidP="0081294E">
      <w:pPr>
        <w:rPr>
          <w:bCs/>
          <w:sz w:val="22"/>
          <w:szCs w:val="22"/>
        </w:rPr>
      </w:pPr>
      <w:r w:rsidRPr="00F7353C">
        <w:t xml:space="preserve">Subsection </w:t>
      </w:r>
      <w:r w:rsidRPr="00F7353C">
        <w:rPr>
          <w:bCs/>
        </w:rPr>
        <w:t>74</w:t>
      </w:r>
      <w:proofErr w:type="gramStart"/>
      <w:r w:rsidRPr="00F7353C">
        <w:rPr>
          <w:bCs/>
        </w:rPr>
        <w:t>GI(</w:t>
      </w:r>
      <w:proofErr w:type="gramEnd"/>
      <w:r w:rsidRPr="00F7353C">
        <w:rPr>
          <w:bCs/>
        </w:rPr>
        <w:t>6) of the Commission Act provides that the Commission Rules must make provision for, or relation to, the correction of information that is included in the register, including how an individual may access information about the individual that is included in the register and seek the correction of such information.</w:t>
      </w:r>
    </w:p>
    <w:p w14:paraId="2C34D784" w14:textId="77777777" w:rsidR="0081294E" w:rsidRPr="00F7353C" w:rsidRDefault="0081294E" w:rsidP="0081294E">
      <w:pPr>
        <w:widowControl w:val="0"/>
      </w:pPr>
    </w:p>
    <w:p w14:paraId="023CA040" w14:textId="77777777" w:rsidR="0081294E" w:rsidRPr="00F7353C" w:rsidRDefault="0081294E" w:rsidP="0081294E">
      <w:pPr>
        <w:rPr>
          <w:sz w:val="22"/>
          <w:szCs w:val="22"/>
        </w:rPr>
      </w:pPr>
      <w:r w:rsidRPr="00F7353C">
        <w:t>Subsection 74</w:t>
      </w:r>
      <w:proofErr w:type="gramStart"/>
      <w:r w:rsidRPr="00F7353C">
        <w:t>GI(</w:t>
      </w:r>
      <w:proofErr w:type="gramEnd"/>
      <w:r w:rsidRPr="00F7353C">
        <w:t xml:space="preserve">7) of the Commission Act provides that the Commission Rules may make provision for, or in relation to, making the register (in whole or in part) publicly available, making specified information that is included in the register publicly available, and any other matter relating to the administration or operation of the register. </w:t>
      </w:r>
    </w:p>
    <w:p w14:paraId="6ADC5AB0" w14:textId="77777777" w:rsidR="0081294E" w:rsidRPr="00F7353C" w:rsidRDefault="0081294E" w:rsidP="0081294E">
      <w:pPr>
        <w:rPr>
          <w:u w:val="single"/>
        </w:rPr>
      </w:pPr>
    </w:p>
    <w:p w14:paraId="22900EEC" w14:textId="77777777" w:rsidR="0081294E" w:rsidRPr="00F7353C" w:rsidRDefault="0081294E" w:rsidP="0081294E">
      <w:pPr>
        <w:rPr>
          <w:u w:val="single"/>
        </w:rPr>
      </w:pPr>
      <w:r w:rsidRPr="00F7353C">
        <w:t xml:space="preserve">Under subsection 33(3) of the </w:t>
      </w:r>
      <w:r w:rsidRPr="00F7353C">
        <w:rPr>
          <w:i/>
          <w:iCs/>
        </w:rPr>
        <w:t>Acts Interpretation Act 1901</w:t>
      </w:r>
      <w:r w:rsidRPr="00F7353C">
        <w:t xml:space="preserve">, where an Act confers a power to make, grant or issue an instrument of a legislative or administrative character (including rules, </w:t>
      </w:r>
      <w:proofErr w:type="gramStart"/>
      <w:r w:rsidRPr="00F7353C">
        <w:t>regulations</w:t>
      </w:r>
      <w:proofErr w:type="gramEnd"/>
      <w:r w:rsidRPr="00F7353C">
        <w:t xml:space="preserve"> or by-laws), the power shall be construed as including a power exercisable in the like manner and subject to the like conditions (if any) to repeal, rescind, revoke, amend or vary any such instrument.</w:t>
      </w:r>
    </w:p>
    <w:p w14:paraId="0B993D64" w14:textId="77777777" w:rsidR="0081294E" w:rsidRPr="00F7353C" w:rsidRDefault="0081294E" w:rsidP="0081294E">
      <w:pPr>
        <w:rPr>
          <w:u w:val="single"/>
        </w:rPr>
      </w:pPr>
    </w:p>
    <w:p w14:paraId="10D4EE03" w14:textId="77777777" w:rsidR="0081294E" w:rsidRPr="00F7353C" w:rsidRDefault="0081294E" w:rsidP="0081294E">
      <w:pPr>
        <w:rPr>
          <w:b/>
        </w:rPr>
      </w:pPr>
      <w:r w:rsidRPr="00F7353C">
        <w:rPr>
          <w:b/>
        </w:rPr>
        <w:t>Commencement</w:t>
      </w:r>
    </w:p>
    <w:p w14:paraId="53BBA3E8" w14:textId="77777777" w:rsidR="0081294E" w:rsidRPr="00F7353C" w:rsidRDefault="0081294E" w:rsidP="0081294E">
      <w:r w:rsidRPr="00F7353C">
        <w:t xml:space="preserve">The Instrument commences on 1 December 2022. </w:t>
      </w:r>
    </w:p>
    <w:p w14:paraId="608BEBAC" w14:textId="77777777" w:rsidR="0081294E" w:rsidRPr="00F7353C" w:rsidRDefault="0081294E" w:rsidP="0081294E">
      <w:pPr>
        <w:rPr>
          <w:b/>
        </w:rPr>
      </w:pPr>
    </w:p>
    <w:p w14:paraId="72DD1101" w14:textId="77777777" w:rsidR="0081294E" w:rsidRPr="00F7353C" w:rsidRDefault="0081294E" w:rsidP="0081294E">
      <w:pPr>
        <w:rPr>
          <w:b/>
        </w:rPr>
      </w:pPr>
      <w:r w:rsidRPr="00F7353C">
        <w:rPr>
          <w:b/>
        </w:rPr>
        <w:t>Consultation</w:t>
      </w:r>
    </w:p>
    <w:p w14:paraId="25E2464E" w14:textId="77777777" w:rsidR="0081294E" w:rsidRPr="00F7353C" w:rsidRDefault="0081294E" w:rsidP="0081294E">
      <w:r w:rsidRPr="00F7353C">
        <w:t xml:space="preserve">The Department of Health and Aged Care (Department) has undertaken the following consultation in relation to the Code of Conduct and banning orders. </w:t>
      </w:r>
    </w:p>
    <w:p w14:paraId="74AFEA63" w14:textId="77777777" w:rsidR="0081294E" w:rsidRPr="00F7353C" w:rsidRDefault="0081294E" w:rsidP="0081294E"/>
    <w:p w14:paraId="1BBFBFD1" w14:textId="77777777" w:rsidR="0081294E" w:rsidRPr="00F7353C" w:rsidRDefault="0081294E" w:rsidP="0081294E">
      <w:r w:rsidRPr="00F7353C">
        <w:t xml:space="preserve">Between November and December 2021, public consultation was undertaken across the aged care, veterans’ </w:t>
      </w:r>
      <w:proofErr w:type="gramStart"/>
      <w:r w:rsidRPr="00F7353C">
        <w:t>care</w:t>
      </w:r>
      <w:proofErr w:type="gramEnd"/>
      <w:r w:rsidRPr="00F7353C">
        <w:t xml:space="preserve"> and disability support sectors (together, the care and support sector) on a draft care and support sector code of conduct, which was based on the existing National Disability Insurance Scheme (NDIS) Code of Conduct. In total, the Department received sixty submissions in response to the consultation. The Department also hosted five targeted online stakeholder forums, including a forum specifically for care recipients.</w:t>
      </w:r>
    </w:p>
    <w:p w14:paraId="262E857A" w14:textId="77777777" w:rsidR="0081294E" w:rsidRPr="00F7353C" w:rsidRDefault="0081294E" w:rsidP="0081294E"/>
    <w:p w14:paraId="61C356E9" w14:textId="77777777" w:rsidR="0081294E" w:rsidRPr="00F7353C" w:rsidRDefault="0081294E" w:rsidP="0081294E">
      <w:r w:rsidRPr="00F7353C">
        <w:t>Parliamentary submissions regarding Schedule 3 to the Royal Commission Response Act, received as part of the parliamentary consultation process for the Royal Commission Response Act in November 2021, were also reviewed by the Department.</w:t>
      </w:r>
    </w:p>
    <w:p w14:paraId="1DEA0E53" w14:textId="77777777" w:rsidR="0081294E" w:rsidRPr="00F7353C" w:rsidRDefault="0081294E" w:rsidP="0081294E"/>
    <w:p w14:paraId="37344C49" w14:textId="3B3A070F" w:rsidR="0081294E" w:rsidRPr="00F7353C" w:rsidRDefault="0081294E" w:rsidP="0081294E">
      <w:r w:rsidRPr="00F7353C">
        <w:t>Across all consultation processes, there was broad stakeholder support for the Code of Conduct and for it to be based on the NDIS Code of Conduct</w:t>
      </w:r>
      <w:r w:rsidR="00FC187A" w:rsidRPr="00F7353C">
        <w:t>,</w:t>
      </w:r>
      <w:r w:rsidRPr="00F7353C">
        <w:t xml:space="preserve"> given</w:t>
      </w:r>
      <w:r w:rsidR="00FC187A" w:rsidRPr="00F7353C">
        <w:t xml:space="preserve"> that</w:t>
      </w:r>
      <w:r w:rsidRPr="00F7353C">
        <w:t xml:space="preserve"> the NDIS Code of Conduct has been operating successfully within the disability support sector since 2018. The Department has implemented this feedback. The Code of Conduct </w:t>
      </w:r>
      <w:r w:rsidR="009475FF" w:rsidRPr="00F7353C">
        <w:t xml:space="preserve">and banning orders </w:t>
      </w:r>
      <w:r w:rsidRPr="00F7353C">
        <w:t xml:space="preserve">largely mirror the existing NDIS Code of Conduct. Differences </w:t>
      </w:r>
      <w:r w:rsidRPr="00F7353C">
        <w:lastRenderedPageBreak/>
        <w:t>between the NDIS Code of Conduct and the Code of Conduct reflect the different nature of support provided in these sectors.</w:t>
      </w:r>
    </w:p>
    <w:p w14:paraId="6C5F66F5" w14:textId="77777777" w:rsidR="0081294E" w:rsidRPr="00F7353C" w:rsidRDefault="0081294E" w:rsidP="0081294E"/>
    <w:p w14:paraId="22FDA810" w14:textId="77777777" w:rsidR="0081294E" w:rsidRPr="00F7353C" w:rsidRDefault="0081294E" w:rsidP="0081294E">
      <w:r w:rsidRPr="00F7353C">
        <w:t xml:space="preserve">The Department also consulted with the Aged Care Quality and Safety Commission (Commission), Department of Social Services and the NDIS Commission. This was to ensure alignment of the Instrument with the NDIS regulatory framework where appropriate and that the Instrument includes appropriate detail and powers to enable the Commission to fulfill its regulatory responsibilities relating to the Code of Conduct and banning orders. </w:t>
      </w:r>
    </w:p>
    <w:p w14:paraId="78252661" w14:textId="77777777" w:rsidR="0081294E" w:rsidRPr="00F7353C" w:rsidRDefault="0081294E" w:rsidP="0081294E"/>
    <w:p w14:paraId="588B31D5" w14:textId="77777777" w:rsidR="00755EC4" w:rsidRPr="00F7353C" w:rsidRDefault="0081294E" w:rsidP="0081294E">
      <w:r w:rsidRPr="00F7353C">
        <w:t xml:space="preserve">An exposure draft of the Instrument was published on the Department’s website and open for public consultation for a period of 14 days from 4 to 18 October 2022. The consultation responses received through this process again indicated that there was broad support for the introduction of the Code of Conduct based on the NDIS Code of Conduct. </w:t>
      </w:r>
    </w:p>
    <w:p w14:paraId="797FE3D2" w14:textId="77777777" w:rsidR="00755EC4" w:rsidRPr="00F7353C" w:rsidRDefault="00755EC4" w:rsidP="0081294E"/>
    <w:p w14:paraId="443E5CC3" w14:textId="6F03A28D" w:rsidR="0081294E" w:rsidRPr="00F7353C" w:rsidRDefault="0081294E" w:rsidP="0081294E">
      <w:r w:rsidRPr="00F7353C">
        <w:t>Feedback on the exposure draft of the Instrument highlighted some common queries and concerns, in particular requests for clarification regarding the application of procedural fairness and the meaning of the terms “approved provider”, “aged care worker” and “governing person” under the Instrument. In response to this feedback, the Department amended the Instrument to address these points. A new note, under both section 23AA and Schedule 1 clause 2, was included to refer to section 7 of the Commission Act for the definitions of “approved provider”, “aged care worker” and “governing person”. New section 23BG was also added and requires the Commissioner to have due regard to procedural fairness.</w:t>
      </w:r>
    </w:p>
    <w:p w14:paraId="277972B1" w14:textId="77777777" w:rsidR="0081294E" w:rsidRPr="00F7353C" w:rsidRDefault="0081294E" w:rsidP="0081294E"/>
    <w:p w14:paraId="7931BF92" w14:textId="77777777" w:rsidR="0081294E" w:rsidRPr="00F7353C" w:rsidRDefault="0081294E" w:rsidP="0081294E">
      <w:pPr>
        <w:keepNext/>
      </w:pPr>
      <w:r w:rsidRPr="00F7353C">
        <w:rPr>
          <w:b/>
        </w:rPr>
        <w:t>Regulation Impact Statement (RIS</w:t>
      </w:r>
      <w:r w:rsidRPr="00F7353C">
        <w:t>)</w:t>
      </w:r>
    </w:p>
    <w:p w14:paraId="048F4AFD" w14:textId="77777777" w:rsidR="0081294E" w:rsidRPr="00F7353C" w:rsidRDefault="0081294E" w:rsidP="0081294E">
      <w:pPr>
        <w:keepNext/>
      </w:pPr>
      <w:r w:rsidRPr="00F7353C">
        <w:t xml:space="preserve">Consistent with </w:t>
      </w:r>
      <w:r w:rsidRPr="00F7353C">
        <w:rPr>
          <w:bCs/>
        </w:rPr>
        <w:t xml:space="preserve">the Office of Best Practice Regulation’s (OBPR) RIS requirements, </w:t>
      </w:r>
      <w:r w:rsidRPr="00F7353C">
        <w:t xml:space="preserve">the Department has certified that the Productivity Commission’s report </w:t>
      </w:r>
      <w:r w:rsidRPr="00F7353C">
        <w:rPr>
          <w:i/>
          <w:iCs/>
        </w:rPr>
        <w:t>National Disability Insurance Scheme Costs</w:t>
      </w:r>
      <w:r w:rsidRPr="00F7353C">
        <w:t xml:space="preserve"> and the report </w:t>
      </w:r>
      <w:r w:rsidRPr="00F7353C">
        <w:rPr>
          <w:i/>
          <w:iCs/>
        </w:rPr>
        <w:t xml:space="preserve">A Matter of Care – Australia’s Aged Care Workforce Strategy </w:t>
      </w:r>
      <w:r w:rsidRPr="00F7353C">
        <w:t>have undertaken similar processes and analyses to that required for a RIS. The OBPR assessed that the options analysed in the independent reviews are sufficiently relevant to the regulatory proposal.</w:t>
      </w:r>
    </w:p>
    <w:p w14:paraId="083C84A2" w14:textId="77777777" w:rsidR="0081294E" w:rsidRPr="00F7353C" w:rsidRDefault="0081294E" w:rsidP="0081294E"/>
    <w:p w14:paraId="14B90196" w14:textId="77777777" w:rsidR="0081294E" w:rsidRPr="00F7353C" w:rsidRDefault="0081294E" w:rsidP="0081294E">
      <w:r w:rsidRPr="00F7353C">
        <w:t xml:space="preserve">The certification and independent reviews are available on the OBPR’s website: </w:t>
      </w:r>
      <w:hyperlink r:id="rId12" w:history="1">
        <w:r w:rsidRPr="00F7353C">
          <w:rPr>
            <w:rStyle w:val="Hyperlink"/>
          </w:rPr>
          <w:t>https://obpr.pmc.gov.au/published-impact-analyses-and-reports/national-care-and-support-worker-regulation</w:t>
        </w:r>
      </w:hyperlink>
      <w:r w:rsidRPr="00F7353C">
        <w:t xml:space="preserve">. </w:t>
      </w:r>
    </w:p>
    <w:p w14:paraId="187E9CF4" w14:textId="77777777" w:rsidR="0081294E" w:rsidRPr="00F7353C" w:rsidRDefault="0081294E" w:rsidP="0081294E">
      <w:pPr>
        <w:rPr>
          <w:b/>
        </w:rPr>
      </w:pPr>
    </w:p>
    <w:p w14:paraId="4C57FEBA" w14:textId="77777777" w:rsidR="0081294E" w:rsidRPr="00F7353C" w:rsidRDefault="0081294E" w:rsidP="0081294E">
      <w:pPr>
        <w:rPr>
          <w:b/>
          <w:i/>
          <w:u w:val="single"/>
        </w:rPr>
      </w:pPr>
      <w:r w:rsidRPr="00F7353C">
        <w:rPr>
          <w:b/>
          <w:u w:val="single"/>
        </w:rPr>
        <w:br w:type="page"/>
      </w:r>
      <w:r w:rsidRPr="00F7353C">
        <w:rPr>
          <w:b/>
          <w:u w:val="single"/>
        </w:rPr>
        <w:lastRenderedPageBreak/>
        <w:t xml:space="preserve">Details of the </w:t>
      </w:r>
      <w:r w:rsidRPr="00F7353C">
        <w:rPr>
          <w:b/>
          <w:i/>
          <w:u w:val="single"/>
        </w:rPr>
        <w:t>Aged Care Quality and Safety Commission Amendment (Code of Conduct and Banning Orders) Rules 2022</w:t>
      </w:r>
    </w:p>
    <w:p w14:paraId="66D4075A" w14:textId="77777777" w:rsidR="0081294E" w:rsidRPr="00F7353C" w:rsidRDefault="0081294E" w:rsidP="0081294E">
      <w:pPr>
        <w:rPr>
          <w:b/>
          <w:i/>
          <w:u w:val="single"/>
        </w:rPr>
      </w:pPr>
    </w:p>
    <w:p w14:paraId="6F2AE31B" w14:textId="77777777" w:rsidR="0081294E" w:rsidRPr="00F7353C" w:rsidRDefault="0081294E" w:rsidP="0081294E">
      <w:pPr>
        <w:rPr>
          <w:i/>
          <w:iCs/>
        </w:rPr>
      </w:pPr>
      <w:r w:rsidRPr="00F7353C">
        <w:rPr>
          <w:b/>
        </w:rPr>
        <w:t>Section 1</w:t>
      </w:r>
      <w:r w:rsidRPr="00F7353C">
        <w:t xml:space="preserve"> provides that the name of the Instrument is the </w:t>
      </w:r>
      <w:r w:rsidRPr="00F7353C">
        <w:rPr>
          <w:i/>
          <w:iCs/>
        </w:rPr>
        <w:t>Aged Care Quality and Safety Commission Amendment (Code of Conduct and Banning Orders) Rules 2022</w:t>
      </w:r>
      <w:r w:rsidRPr="00F7353C">
        <w:t>.</w:t>
      </w:r>
    </w:p>
    <w:p w14:paraId="5B5773B9" w14:textId="77777777" w:rsidR="0081294E" w:rsidRPr="00F7353C" w:rsidRDefault="0081294E" w:rsidP="0081294E">
      <w:pPr>
        <w:rPr>
          <w:i/>
          <w:iCs/>
        </w:rPr>
      </w:pPr>
    </w:p>
    <w:p w14:paraId="44FF7638" w14:textId="77777777" w:rsidR="0081294E" w:rsidRPr="00F7353C" w:rsidRDefault="0081294E" w:rsidP="0081294E">
      <w:r w:rsidRPr="00F7353C">
        <w:rPr>
          <w:b/>
          <w:bCs/>
        </w:rPr>
        <w:t xml:space="preserve">Section 2 </w:t>
      </w:r>
      <w:r w:rsidRPr="00F7353C">
        <w:t>provides that the whole of the Instrument commences on 1 December 2022.</w:t>
      </w:r>
    </w:p>
    <w:p w14:paraId="17671F68" w14:textId="77777777" w:rsidR="0081294E" w:rsidRPr="00F7353C" w:rsidRDefault="0081294E" w:rsidP="0081294E"/>
    <w:p w14:paraId="6A2CA32F" w14:textId="77777777" w:rsidR="0081294E" w:rsidRPr="00F7353C" w:rsidRDefault="0081294E" w:rsidP="0081294E">
      <w:pPr>
        <w:rPr>
          <w:color w:val="000000"/>
          <w:shd w:val="clear" w:color="auto" w:fill="FFFFFF"/>
        </w:rPr>
      </w:pPr>
      <w:r w:rsidRPr="00F7353C">
        <w:rPr>
          <w:b/>
          <w:bCs/>
        </w:rPr>
        <w:t>Section 3</w:t>
      </w:r>
      <w:r w:rsidRPr="00F7353C">
        <w:t xml:space="preserve"> states that the authority for making the Instrument is under </w:t>
      </w:r>
      <w:r w:rsidRPr="00F7353C">
        <w:rPr>
          <w:color w:val="000000"/>
          <w:shd w:val="clear" w:color="auto" w:fill="FFFFFF"/>
        </w:rPr>
        <w:t>the Commission Act.</w:t>
      </w:r>
    </w:p>
    <w:p w14:paraId="4D7D2A13" w14:textId="77777777" w:rsidR="0081294E" w:rsidRPr="00F7353C" w:rsidRDefault="0081294E" w:rsidP="0081294E">
      <w:pPr>
        <w:rPr>
          <w:color w:val="000000"/>
          <w:shd w:val="clear" w:color="auto" w:fill="FFFFFF"/>
        </w:rPr>
      </w:pPr>
    </w:p>
    <w:p w14:paraId="55C3F93C" w14:textId="77777777" w:rsidR="0081294E" w:rsidRPr="00F7353C" w:rsidRDefault="0081294E" w:rsidP="0081294E">
      <w:pPr>
        <w:widowControl w:val="0"/>
        <w:rPr>
          <w:color w:val="000000"/>
          <w:shd w:val="clear" w:color="auto" w:fill="FFFFFF"/>
        </w:rPr>
      </w:pPr>
      <w:r w:rsidRPr="00F7353C">
        <w:rPr>
          <w:b/>
          <w:bCs/>
          <w:color w:val="000000"/>
          <w:shd w:val="clear" w:color="auto" w:fill="FFFFFF"/>
        </w:rPr>
        <w:t xml:space="preserve">Section 4 </w:t>
      </w:r>
      <w:r w:rsidRPr="00F7353C">
        <w:rPr>
          <w:color w:val="000000"/>
          <w:shd w:val="clear" w:color="auto" w:fill="FFFFFF"/>
        </w:rPr>
        <w:t>provides that each instrument that is specified in a Schedule to the Instrument is amended or repealed as set out in the applicable items in that Schedule, and any other item in that Schedule has effect according to its terms.</w:t>
      </w:r>
    </w:p>
    <w:p w14:paraId="5A3D66EF" w14:textId="77777777" w:rsidR="0081294E" w:rsidRPr="00F7353C" w:rsidRDefault="0081294E" w:rsidP="0081294E">
      <w:pPr>
        <w:widowControl w:val="0"/>
        <w:rPr>
          <w:color w:val="000000"/>
          <w:shd w:val="clear" w:color="auto" w:fill="FFFFFF"/>
        </w:rPr>
      </w:pPr>
    </w:p>
    <w:p w14:paraId="00A2CD7F" w14:textId="77777777" w:rsidR="0081294E" w:rsidRPr="00F7353C" w:rsidRDefault="0081294E" w:rsidP="0081294E">
      <w:pPr>
        <w:widowControl w:val="0"/>
        <w:rPr>
          <w:b/>
          <w:bCs/>
        </w:rPr>
      </w:pPr>
      <w:r w:rsidRPr="00F7353C">
        <w:rPr>
          <w:b/>
          <w:bCs/>
          <w:color w:val="000000"/>
          <w:shd w:val="clear" w:color="auto" w:fill="FFFFFF"/>
        </w:rPr>
        <w:t xml:space="preserve">Schedule 1 – Code of Conduct, Commissioner’s Code of Conduct functions and banning orders </w:t>
      </w:r>
    </w:p>
    <w:p w14:paraId="00B23F7B" w14:textId="77777777" w:rsidR="0081294E" w:rsidRPr="00F7353C" w:rsidRDefault="0081294E" w:rsidP="0081294E">
      <w:pPr>
        <w:widowControl w:val="0"/>
        <w:rPr>
          <w:bCs/>
        </w:rPr>
      </w:pPr>
    </w:p>
    <w:p w14:paraId="513A09F5" w14:textId="77777777" w:rsidR="0081294E" w:rsidRPr="00F7353C" w:rsidRDefault="0081294E" w:rsidP="0081294E">
      <w:pPr>
        <w:widowControl w:val="0"/>
        <w:rPr>
          <w:b/>
          <w:i/>
          <w:iCs/>
        </w:rPr>
      </w:pPr>
      <w:r w:rsidRPr="00F7353C">
        <w:rPr>
          <w:b/>
          <w:i/>
          <w:iCs/>
        </w:rPr>
        <w:t>Aged Care Quality and Safety Commission Rules 2018</w:t>
      </w:r>
    </w:p>
    <w:p w14:paraId="3A9CCACA" w14:textId="77777777" w:rsidR="0081294E" w:rsidRPr="00F7353C" w:rsidRDefault="0081294E" w:rsidP="0081294E">
      <w:pPr>
        <w:widowControl w:val="0"/>
        <w:rPr>
          <w:bCs/>
        </w:rPr>
      </w:pPr>
    </w:p>
    <w:p w14:paraId="2C1C7D41" w14:textId="77777777" w:rsidR="0081294E" w:rsidRPr="00F7353C" w:rsidRDefault="0081294E" w:rsidP="0081294E">
      <w:pPr>
        <w:widowControl w:val="0"/>
        <w:rPr>
          <w:bCs/>
        </w:rPr>
      </w:pPr>
      <w:r w:rsidRPr="00F7353C">
        <w:rPr>
          <w:b/>
        </w:rPr>
        <w:t>Item 1</w:t>
      </w:r>
      <w:r w:rsidRPr="00F7353C">
        <w:rPr>
          <w:bCs/>
        </w:rPr>
        <w:t xml:space="preserve"> inserts a new definition of “register of banning orders” in section 4 of the Commission Rules. The “register of banning orders” means the register established in section 74GI of the Commission Act. </w:t>
      </w:r>
    </w:p>
    <w:p w14:paraId="5BFDE03B" w14:textId="77777777" w:rsidR="0081294E" w:rsidRPr="00F7353C" w:rsidRDefault="0081294E" w:rsidP="0081294E">
      <w:pPr>
        <w:widowControl w:val="0"/>
        <w:rPr>
          <w:bCs/>
        </w:rPr>
      </w:pPr>
    </w:p>
    <w:p w14:paraId="35902B6C" w14:textId="77777777" w:rsidR="0081294E" w:rsidRPr="00F7353C" w:rsidRDefault="0081294E" w:rsidP="0081294E">
      <w:pPr>
        <w:widowControl w:val="0"/>
        <w:rPr>
          <w:bCs/>
        </w:rPr>
      </w:pPr>
      <w:r w:rsidRPr="00F7353C">
        <w:rPr>
          <w:b/>
        </w:rPr>
        <w:t>Item 2</w:t>
      </w:r>
      <w:r w:rsidRPr="00F7353C">
        <w:rPr>
          <w:bCs/>
        </w:rPr>
        <w:t xml:space="preserve"> inserts new Parts 2A (Code of Conduct), 2B (Commissioner’s Code of Conduct functions) and 2C (Register of banning orders), after Part 2 of the Commission Rules.</w:t>
      </w:r>
    </w:p>
    <w:p w14:paraId="76DEAEF7" w14:textId="77777777" w:rsidR="0081294E" w:rsidRPr="00F7353C" w:rsidRDefault="0081294E" w:rsidP="0081294E">
      <w:pPr>
        <w:widowControl w:val="0"/>
        <w:rPr>
          <w:bCs/>
        </w:rPr>
      </w:pPr>
    </w:p>
    <w:p w14:paraId="57EB26AD" w14:textId="77777777" w:rsidR="0081294E" w:rsidRPr="00F7353C" w:rsidRDefault="0081294E" w:rsidP="0081294E">
      <w:pPr>
        <w:widowControl w:val="0"/>
        <w:rPr>
          <w:b/>
        </w:rPr>
      </w:pPr>
      <w:r w:rsidRPr="00F7353C">
        <w:rPr>
          <w:b/>
        </w:rPr>
        <w:t>Part 2A – Code of Conduct</w:t>
      </w:r>
    </w:p>
    <w:p w14:paraId="733798E1" w14:textId="77777777" w:rsidR="0081294E" w:rsidRPr="00F7353C" w:rsidRDefault="0081294E" w:rsidP="0081294E">
      <w:pPr>
        <w:widowControl w:val="0"/>
        <w:rPr>
          <w:b/>
        </w:rPr>
      </w:pPr>
    </w:p>
    <w:p w14:paraId="36F0EE5E" w14:textId="77777777" w:rsidR="0081294E" w:rsidRPr="00F7353C" w:rsidRDefault="0081294E" w:rsidP="0081294E">
      <w:pPr>
        <w:widowControl w:val="0"/>
        <w:rPr>
          <w:bCs/>
          <w:u w:val="single"/>
        </w:rPr>
      </w:pPr>
      <w:r w:rsidRPr="00F7353C">
        <w:rPr>
          <w:bCs/>
          <w:u w:val="single"/>
        </w:rPr>
        <w:t>Section 23AA – Simplified outline of this Part</w:t>
      </w:r>
    </w:p>
    <w:p w14:paraId="53F56516" w14:textId="77777777" w:rsidR="0081294E" w:rsidRPr="00F7353C" w:rsidRDefault="0081294E" w:rsidP="0081294E">
      <w:pPr>
        <w:rPr>
          <w:bCs/>
        </w:rPr>
      </w:pPr>
      <w:r w:rsidRPr="00F7353C">
        <w:rPr>
          <w:bCs/>
        </w:rPr>
        <w:t>New section 23AA sets out a simplified outline of new Part 2A, which makes provision for the Code of Conduct that applies to approved providers and their aged care workers and governing persons. This is a consequential amendment to new sections 23AB and 23AC discussed below.</w:t>
      </w:r>
    </w:p>
    <w:p w14:paraId="0833EE23" w14:textId="77777777" w:rsidR="0081294E" w:rsidRPr="00F7353C" w:rsidRDefault="0081294E" w:rsidP="0081294E">
      <w:pPr>
        <w:rPr>
          <w:bCs/>
        </w:rPr>
      </w:pPr>
    </w:p>
    <w:p w14:paraId="4B4372D4" w14:textId="77777777" w:rsidR="0081294E" w:rsidRPr="00F7353C" w:rsidRDefault="0081294E" w:rsidP="0081294E">
      <w:pPr>
        <w:rPr>
          <w:bCs/>
        </w:rPr>
      </w:pPr>
      <w:r w:rsidRPr="00F7353C">
        <w:rPr>
          <w:bCs/>
        </w:rPr>
        <w:t xml:space="preserve">The note clarifies that the definitions of “approved provider”, “aged care worker” and “governing person” are set out in section 7 of the Commission Act. </w:t>
      </w:r>
    </w:p>
    <w:p w14:paraId="75991F1B" w14:textId="77777777" w:rsidR="0081294E" w:rsidRPr="00F7353C" w:rsidRDefault="0081294E" w:rsidP="0081294E">
      <w:pPr>
        <w:widowControl w:val="0"/>
        <w:rPr>
          <w:b/>
        </w:rPr>
      </w:pPr>
    </w:p>
    <w:p w14:paraId="0E4B44D3" w14:textId="77777777" w:rsidR="0081294E" w:rsidRPr="00F7353C" w:rsidRDefault="0081294E" w:rsidP="0081294E">
      <w:pPr>
        <w:widowControl w:val="0"/>
        <w:rPr>
          <w:bCs/>
          <w:u w:val="single"/>
        </w:rPr>
      </w:pPr>
      <w:r w:rsidRPr="00F7353C">
        <w:rPr>
          <w:bCs/>
          <w:u w:val="single"/>
        </w:rPr>
        <w:t>Section 23AB – Purpose of this Part</w:t>
      </w:r>
    </w:p>
    <w:p w14:paraId="789C096C" w14:textId="77777777" w:rsidR="0081294E" w:rsidRPr="00F7353C" w:rsidRDefault="0081294E" w:rsidP="0081294E">
      <w:pPr>
        <w:widowControl w:val="0"/>
        <w:rPr>
          <w:bCs/>
        </w:rPr>
      </w:pPr>
      <w:r w:rsidRPr="00F7353C">
        <w:rPr>
          <w:bCs/>
        </w:rPr>
        <w:t>New section 23AB</w:t>
      </w:r>
      <w:r w:rsidRPr="00F7353C">
        <w:rPr>
          <w:b/>
        </w:rPr>
        <w:t xml:space="preserve"> </w:t>
      </w:r>
      <w:r w:rsidRPr="00F7353C">
        <w:rPr>
          <w:bCs/>
        </w:rPr>
        <w:t>provides this new Part 2A is made for the purposes of section 74AE of the Commission Act. Section 74AE outlines that the Commission Rules may make provision for a Code of Conduct that applies to approved providers and their aged care workers and governing persons.</w:t>
      </w:r>
    </w:p>
    <w:p w14:paraId="15226BF9" w14:textId="77777777" w:rsidR="0081294E" w:rsidRPr="00F7353C" w:rsidRDefault="0081294E" w:rsidP="0081294E">
      <w:pPr>
        <w:rPr>
          <w:bCs/>
        </w:rPr>
      </w:pPr>
    </w:p>
    <w:p w14:paraId="6494ED1F" w14:textId="77777777" w:rsidR="0081294E" w:rsidRPr="00F7353C" w:rsidRDefault="0081294E" w:rsidP="0081294E">
      <w:pPr>
        <w:keepNext/>
        <w:rPr>
          <w:bCs/>
          <w:u w:val="single"/>
        </w:rPr>
      </w:pPr>
      <w:r w:rsidRPr="00F7353C">
        <w:rPr>
          <w:bCs/>
          <w:u w:val="single"/>
        </w:rPr>
        <w:t>Section 23AC – Code of Conduct</w:t>
      </w:r>
    </w:p>
    <w:p w14:paraId="4059AAE8" w14:textId="77777777" w:rsidR="0081294E" w:rsidRPr="00F7353C" w:rsidRDefault="0081294E" w:rsidP="0081294E">
      <w:pPr>
        <w:rPr>
          <w:bCs/>
        </w:rPr>
      </w:pPr>
      <w:r w:rsidRPr="00F7353C">
        <w:rPr>
          <w:bCs/>
        </w:rPr>
        <w:t xml:space="preserve">New section 23AC sets out that the Code of Conduct applies to approved providers, aged care workers of approved providers and governing persons of approved providers. </w:t>
      </w:r>
    </w:p>
    <w:p w14:paraId="4AFE6EA8" w14:textId="77777777" w:rsidR="0081294E" w:rsidRPr="00F7353C" w:rsidRDefault="0081294E" w:rsidP="0081294E">
      <w:pPr>
        <w:rPr>
          <w:bCs/>
        </w:rPr>
      </w:pPr>
    </w:p>
    <w:p w14:paraId="1DE7FDD9" w14:textId="77777777" w:rsidR="0081294E" w:rsidRPr="00F7353C" w:rsidRDefault="0081294E" w:rsidP="0081294E">
      <w:pPr>
        <w:rPr>
          <w:bCs/>
        </w:rPr>
      </w:pPr>
      <w:r w:rsidRPr="00F7353C">
        <w:rPr>
          <w:bCs/>
        </w:rPr>
        <w:lastRenderedPageBreak/>
        <w:t xml:space="preserve">The effect of this provision is that the Code of Conduct applies to approved providers and their aged care workers and governing persons equally. </w:t>
      </w:r>
    </w:p>
    <w:p w14:paraId="68022700" w14:textId="77777777" w:rsidR="0081294E" w:rsidRPr="00F7353C" w:rsidRDefault="0081294E" w:rsidP="0081294E">
      <w:pPr>
        <w:rPr>
          <w:b/>
        </w:rPr>
      </w:pPr>
    </w:p>
    <w:p w14:paraId="359F1B8B" w14:textId="77777777" w:rsidR="0081294E" w:rsidRPr="00F7353C" w:rsidRDefault="0081294E" w:rsidP="0081294E">
      <w:pPr>
        <w:rPr>
          <w:b/>
        </w:rPr>
      </w:pPr>
      <w:r w:rsidRPr="00F7353C">
        <w:rPr>
          <w:b/>
        </w:rPr>
        <w:t>Part 2B – Commissioner’s Code of Conduct functions</w:t>
      </w:r>
    </w:p>
    <w:p w14:paraId="33F07698" w14:textId="77777777" w:rsidR="0081294E" w:rsidRPr="00F7353C" w:rsidRDefault="0081294E" w:rsidP="0081294E">
      <w:pPr>
        <w:rPr>
          <w:bCs/>
        </w:rPr>
      </w:pPr>
    </w:p>
    <w:p w14:paraId="2B02698E" w14:textId="77777777" w:rsidR="0081294E" w:rsidRPr="00F7353C" w:rsidRDefault="0081294E" w:rsidP="0081294E">
      <w:pPr>
        <w:rPr>
          <w:b/>
        </w:rPr>
      </w:pPr>
      <w:r w:rsidRPr="00F7353C">
        <w:rPr>
          <w:b/>
        </w:rPr>
        <w:t>Division 1 – Introduction</w:t>
      </w:r>
    </w:p>
    <w:p w14:paraId="1698393E" w14:textId="77777777" w:rsidR="0081294E" w:rsidRPr="00F7353C" w:rsidRDefault="0081294E" w:rsidP="0081294E">
      <w:pPr>
        <w:rPr>
          <w:bCs/>
          <w:u w:val="single"/>
        </w:rPr>
      </w:pPr>
    </w:p>
    <w:p w14:paraId="68D8AC07" w14:textId="77777777" w:rsidR="0081294E" w:rsidRPr="00F7353C" w:rsidRDefault="0081294E" w:rsidP="0081294E">
      <w:pPr>
        <w:rPr>
          <w:bCs/>
          <w:u w:val="single"/>
        </w:rPr>
      </w:pPr>
      <w:r w:rsidRPr="00F7353C">
        <w:rPr>
          <w:bCs/>
          <w:u w:val="single"/>
        </w:rPr>
        <w:t>Section 23BA – Simplified outline of this Part</w:t>
      </w:r>
    </w:p>
    <w:p w14:paraId="5B4C84B3" w14:textId="77777777" w:rsidR="0081294E" w:rsidRPr="00F7353C" w:rsidRDefault="0081294E" w:rsidP="0081294E">
      <w:pPr>
        <w:rPr>
          <w:bCs/>
        </w:rPr>
      </w:pPr>
      <w:r w:rsidRPr="00F7353C">
        <w:rPr>
          <w:bCs/>
        </w:rPr>
        <w:t xml:space="preserve">New section 23BA sets out a simplified outline of new Part 2B, which states that under Part 2B, the Commissioner may </w:t>
      </w:r>
      <w:proofErr w:type="gramStart"/>
      <w:r w:rsidRPr="00F7353C">
        <w:rPr>
          <w:bCs/>
        </w:rPr>
        <w:t>take action</w:t>
      </w:r>
      <w:proofErr w:type="gramEnd"/>
      <w:r w:rsidRPr="00F7353C">
        <w:rPr>
          <w:bCs/>
        </w:rPr>
        <w:t xml:space="preserve"> and do other things in relation to compliance by an approved provider, or an individual who is or was an aged care worker or governing person of an approved provider, regarding a Code of Conduct matter. It also makes clear that new Part 2B does not affect the existing powers that the Commissioner has separate to this part. This is a consequential amendment to new sections 23BB, 23BC, 23BD, 23BE, 23BF, 23BG, 23BH and 23BI discussed below.</w:t>
      </w:r>
    </w:p>
    <w:p w14:paraId="218BA00B" w14:textId="77777777" w:rsidR="0081294E" w:rsidRPr="00F7353C" w:rsidRDefault="0081294E" w:rsidP="0081294E">
      <w:pPr>
        <w:rPr>
          <w:bCs/>
        </w:rPr>
      </w:pPr>
    </w:p>
    <w:p w14:paraId="048797BF" w14:textId="77777777" w:rsidR="0081294E" w:rsidRPr="00F7353C" w:rsidRDefault="0081294E" w:rsidP="0081294E">
      <w:pPr>
        <w:rPr>
          <w:b/>
        </w:rPr>
      </w:pPr>
      <w:r w:rsidRPr="00F7353C">
        <w:rPr>
          <w:b/>
        </w:rPr>
        <w:t>Division 2 – Purpose of this Part</w:t>
      </w:r>
    </w:p>
    <w:p w14:paraId="60D53461" w14:textId="77777777" w:rsidR="0081294E" w:rsidRPr="00F7353C" w:rsidRDefault="0081294E" w:rsidP="0081294E">
      <w:pPr>
        <w:rPr>
          <w:bCs/>
          <w:u w:val="single"/>
        </w:rPr>
      </w:pPr>
    </w:p>
    <w:p w14:paraId="6E475DB4" w14:textId="77777777" w:rsidR="0081294E" w:rsidRPr="00F7353C" w:rsidRDefault="0081294E" w:rsidP="0081294E">
      <w:pPr>
        <w:rPr>
          <w:bCs/>
          <w:u w:val="single"/>
        </w:rPr>
      </w:pPr>
      <w:r w:rsidRPr="00F7353C">
        <w:rPr>
          <w:bCs/>
          <w:u w:val="single"/>
        </w:rPr>
        <w:t>Section 23BB – Purpose of this Part</w:t>
      </w:r>
    </w:p>
    <w:p w14:paraId="42E2B4E2" w14:textId="77777777" w:rsidR="0081294E" w:rsidRPr="00F7353C" w:rsidRDefault="0081294E" w:rsidP="0081294E">
      <w:pPr>
        <w:rPr>
          <w:bCs/>
        </w:rPr>
      </w:pPr>
      <w:r w:rsidRPr="00F7353C">
        <w:rPr>
          <w:bCs/>
        </w:rPr>
        <w:t xml:space="preserve">New section 23BB provides that new Part 2B is made for the purposes of subsections 21(1), (3A) and (3B) of the Commission Act. </w:t>
      </w:r>
    </w:p>
    <w:p w14:paraId="0E420A90" w14:textId="77777777" w:rsidR="0081294E" w:rsidRPr="00F7353C" w:rsidRDefault="0081294E" w:rsidP="0081294E">
      <w:pPr>
        <w:rPr>
          <w:bCs/>
          <w:u w:val="single"/>
        </w:rPr>
      </w:pPr>
    </w:p>
    <w:p w14:paraId="169BDC3B" w14:textId="77777777" w:rsidR="0081294E" w:rsidRPr="00F7353C" w:rsidRDefault="0081294E" w:rsidP="0081294E">
      <w:pPr>
        <w:rPr>
          <w:b/>
        </w:rPr>
      </w:pPr>
      <w:r w:rsidRPr="00F7353C">
        <w:rPr>
          <w:b/>
        </w:rPr>
        <w:t xml:space="preserve">Division 3 – </w:t>
      </w:r>
      <w:proofErr w:type="gramStart"/>
      <w:r w:rsidRPr="00F7353C">
        <w:rPr>
          <w:b/>
        </w:rPr>
        <w:t>Taking action</w:t>
      </w:r>
      <w:proofErr w:type="gramEnd"/>
    </w:p>
    <w:p w14:paraId="745C7376" w14:textId="77777777" w:rsidR="0081294E" w:rsidRPr="00F7353C" w:rsidRDefault="0081294E" w:rsidP="0081294E">
      <w:pPr>
        <w:rPr>
          <w:bCs/>
        </w:rPr>
      </w:pPr>
    </w:p>
    <w:p w14:paraId="19C66045" w14:textId="77777777" w:rsidR="0081294E" w:rsidRPr="00F7353C" w:rsidRDefault="0081294E" w:rsidP="0081294E">
      <w:pPr>
        <w:rPr>
          <w:bCs/>
          <w:u w:val="single"/>
        </w:rPr>
      </w:pPr>
      <w:r w:rsidRPr="00F7353C">
        <w:rPr>
          <w:bCs/>
          <w:u w:val="single"/>
        </w:rPr>
        <w:t>Section 23BC – Purpose of this Division</w:t>
      </w:r>
    </w:p>
    <w:p w14:paraId="6A67E7D8" w14:textId="77777777" w:rsidR="0081294E" w:rsidRPr="00F7353C" w:rsidRDefault="0081294E" w:rsidP="0081294E">
      <w:pPr>
        <w:rPr>
          <w:bCs/>
        </w:rPr>
      </w:pPr>
      <w:r w:rsidRPr="00F7353C">
        <w:rPr>
          <w:bCs/>
        </w:rPr>
        <w:t xml:space="preserve">New section 23BC explains the purpose of new Division 3, which is to set out the different types of actions that the Commissioner may take in relation to compliance with the provisions of the Code of Conduct by approved providers and their aged care workers and governing persons. </w:t>
      </w:r>
    </w:p>
    <w:p w14:paraId="2F362CD3" w14:textId="77777777" w:rsidR="0081294E" w:rsidRPr="00F7353C" w:rsidRDefault="0081294E" w:rsidP="0081294E">
      <w:pPr>
        <w:rPr>
          <w:bCs/>
        </w:rPr>
      </w:pPr>
    </w:p>
    <w:p w14:paraId="4C626EF2" w14:textId="77777777" w:rsidR="0081294E" w:rsidRPr="00F7353C" w:rsidRDefault="0081294E" w:rsidP="0081294E">
      <w:pPr>
        <w:rPr>
          <w:bCs/>
        </w:rPr>
      </w:pPr>
      <w:r w:rsidRPr="00F7353C">
        <w:rPr>
          <w:bCs/>
        </w:rPr>
        <w:t>The note makes clear that the Commissioner may also take other action (as discussed below) and refers to new section 23BI of the Commission Rules.</w:t>
      </w:r>
    </w:p>
    <w:p w14:paraId="77472103" w14:textId="77777777" w:rsidR="0081294E" w:rsidRPr="00F7353C" w:rsidRDefault="0081294E" w:rsidP="0081294E">
      <w:pPr>
        <w:rPr>
          <w:bCs/>
        </w:rPr>
      </w:pPr>
    </w:p>
    <w:p w14:paraId="7ECA6DE4" w14:textId="77777777" w:rsidR="0081294E" w:rsidRPr="00F7353C" w:rsidRDefault="0081294E" w:rsidP="0081294E">
      <w:pPr>
        <w:rPr>
          <w:bCs/>
        </w:rPr>
      </w:pPr>
      <w:r w:rsidRPr="00F7353C">
        <w:rPr>
          <w:bCs/>
        </w:rPr>
        <w:t>Compliance with the provisions of the Code of Conduct includes alleged or suspected non-compliance with the Code of Conduct and information or matters relating to such alleged or suspected non-compliance.</w:t>
      </w:r>
    </w:p>
    <w:p w14:paraId="36E6C322" w14:textId="77777777" w:rsidR="0081294E" w:rsidRPr="00F7353C" w:rsidRDefault="0081294E" w:rsidP="0081294E">
      <w:pPr>
        <w:rPr>
          <w:bCs/>
        </w:rPr>
      </w:pPr>
    </w:p>
    <w:p w14:paraId="4DD8BA34" w14:textId="2F75F6F1" w:rsidR="0081294E" w:rsidRPr="00F7353C" w:rsidRDefault="0081294E" w:rsidP="00F02D3C">
      <w:pPr>
        <w:widowControl w:val="0"/>
        <w:rPr>
          <w:b/>
        </w:rPr>
      </w:pPr>
      <w:r w:rsidRPr="00F7353C">
        <w:rPr>
          <w:bCs/>
        </w:rPr>
        <w:t>This new division is not intended to limit actions the Commissioner may take in relation to compliance with the Code of Conduct. The intention is to allow the Commission to rely on its existing regulatory powers and processes in relation to approved providers to complement and strengthen actions in relation to compliance with the Code of Conduct where appropriate. This recognises that the Commissioner may become aware of issues relating to compliance with the Code of Conduct through a range of different mechanisms</w:t>
      </w:r>
      <w:r w:rsidR="000E34FF" w:rsidRPr="00F7353C">
        <w:rPr>
          <w:bCs/>
        </w:rPr>
        <w:t>, for example, complaints processes</w:t>
      </w:r>
      <w:r w:rsidRPr="00F7353C">
        <w:rPr>
          <w:bCs/>
        </w:rPr>
        <w:t>. As such, it may be more appropriate to address these issues through those other functions</w:t>
      </w:r>
      <w:r w:rsidR="000E34FF" w:rsidRPr="00F7353C">
        <w:rPr>
          <w:bCs/>
        </w:rPr>
        <w:t>.</w:t>
      </w:r>
    </w:p>
    <w:p w14:paraId="0E6C4857" w14:textId="77777777" w:rsidR="0081294E" w:rsidRPr="00F7353C" w:rsidRDefault="0081294E" w:rsidP="00F02D3C">
      <w:pPr>
        <w:widowControl w:val="0"/>
        <w:rPr>
          <w:bCs/>
        </w:rPr>
      </w:pPr>
    </w:p>
    <w:p w14:paraId="6B1FF736" w14:textId="77777777" w:rsidR="0081294E" w:rsidRPr="00F7353C" w:rsidRDefault="0081294E" w:rsidP="00F02D3C">
      <w:pPr>
        <w:widowControl w:val="0"/>
        <w:rPr>
          <w:bCs/>
          <w:u w:val="single"/>
        </w:rPr>
      </w:pPr>
      <w:r w:rsidRPr="00F7353C">
        <w:rPr>
          <w:bCs/>
          <w:u w:val="single"/>
        </w:rPr>
        <w:t>Section 23BD – Actions the Commissioner may take</w:t>
      </w:r>
    </w:p>
    <w:p w14:paraId="445BC901" w14:textId="77777777" w:rsidR="0081294E" w:rsidRPr="00F7353C" w:rsidRDefault="0081294E" w:rsidP="00F02D3C">
      <w:pPr>
        <w:widowControl w:val="0"/>
        <w:rPr>
          <w:bCs/>
        </w:rPr>
      </w:pPr>
    </w:p>
    <w:p w14:paraId="103B04E8" w14:textId="77777777" w:rsidR="0081294E" w:rsidRPr="00F7353C" w:rsidRDefault="0081294E" w:rsidP="00F02D3C">
      <w:pPr>
        <w:widowControl w:val="0"/>
        <w:rPr>
          <w:bCs/>
          <w:i/>
          <w:iCs/>
        </w:rPr>
      </w:pPr>
      <w:r w:rsidRPr="00F7353C">
        <w:rPr>
          <w:bCs/>
          <w:i/>
          <w:iCs/>
        </w:rPr>
        <w:t>General</w:t>
      </w:r>
    </w:p>
    <w:p w14:paraId="4337EE14" w14:textId="77777777" w:rsidR="0081294E" w:rsidRPr="00F7353C" w:rsidRDefault="0081294E" w:rsidP="00F02D3C">
      <w:pPr>
        <w:widowControl w:val="0"/>
        <w:rPr>
          <w:bCs/>
        </w:rPr>
      </w:pPr>
      <w:r w:rsidRPr="00F7353C">
        <w:rPr>
          <w:bCs/>
        </w:rPr>
        <w:t>New subsection 23</w:t>
      </w:r>
      <w:proofErr w:type="gramStart"/>
      <w:r w:rsidRPr="00F7353C">
        <w:rPr>
          <w:bCs/>
        </w:rPr>
        <w:t>BD(</w:t>
      </w:r>
      <w:proofErr w:type="gramEnd"/>
      <w:r w:rsidRPr="00F7353C">
        <w:rPr>
          <w:bCs/>
        </w:rPr>
        <w:t xml:space="preserve">1) sets out the general actions the Commissioner may take in </w:t>
      </w:r>
      <w:r w:rsidRPr="00F7353C">
        <w:rPr>
          <w:bCs/>
        </w:rPr>
        <w:lastRenderedPageBreak/>
        <w:t xml:space="preserve">relation to compliance with the Code of Conduct and includes: </w:t>
      </w:r>
    </w:p>
    <w:p w14:paraId="53B55F23" w14:textId="77777777" w:rsidR="0081294E" w:rsidRPr="00F7353C" w:rsidRDefault="0081294E" w:rsidP="0081294E">
      <w:pPr>
        <w:numPr>
          <w:ilvl w:val="0"/>
          <w:numId w:val="20"/>
        </w:numPr>
        <w:rPr>
          <w:bCs/>
        </w:rPr>
      </w:pPr>
      <w:r w:rsidRPr="00F7353C">
        <w:rPr>
          <w:bCs/>
        </w:rPr>
        <w:t xml:space="preserve">discussing the matter in person or by other means with a person, who may be the approved provider or aged care worker the subject of the compliance or any other person. Any other person could include, for example, the complainant, the care recipient, family carers or any other person relevant to the matter. The discussion can occur in person or by other means including the </w:t>
      </w:r>
      <w:proofErr w:type="gramStart"/>
      <w:r w:rsidRPr="00F7353C">
        <w:rPr>
          <w:bCs/>
        </w:rPr>
        <w:t>telephone;</w:t>
      </w:r>
      <w:proofErr w:type="gramEnd"/>
    </w:p>
    <w:p w14:paraId="700FB4CD" w14:textId="77777777" w:rsidR="0081294E" w:rsidRPr="00F7353C" w:rsidRDefault="0081294E" w:rsidP="0081294E">
      <w:pPr>
        <w:numPr>
          <w:ilvl w:val="0"/>
          <w:numId w:val="20"/>
        </w:numPr>
        <w:rPr>
          <w:bCs/>
        </w:rPr>
      </w:pPr>
      <w:r w:rsidRPr="00F7353C">
        <w:rPr>
          <w:bCs/>
        </w:rPr>
        <w:t xml:space="preserve">requesting information or documents from any person and considering information or documents. For example, this could include requesting progress notes, worker schedules, medical reports or other information or documents relevant to the </w:t>
      </w:r>
      <w:proofErr w:type="gramStart"/>
      <w:r w:rsidRPr="00F7353C">
        <w:rPr>
          <w:bCs/>
        </w:rPr>
        <w:t>compliance;</w:t>
      </w:r>
      <w:proofErr w:type="gramEnd"/>
    </w:p>
    <w:p w14:paraId="25981CAD" w14:textId="41D29908" w:rsidR="0081294E" w:rsidRPr="00F7353C" w:rsidRDefault="00F20C1D" w:rsidP="0081294E">
      <w:pPr>
        <w:numPr>
          <w:ilvl w:val="0"/>
          <w:numId w:val="20"/>
        </w:numPr>
        <w:rPr>
          <w:bCs/>
        </w:rPr>
      </w:pPr>
      <w:r w:rsidRPr="00F7353C">
        <w:rPr>
          <w:bCs/>
        </w:rPr>
        <w:t>c</w:t>
      </w:r>
      <w:r w:rsidR="0081294E" w:rsidRPr="00F7353C">
        <w:rPr>
          <w:bCs/>
        </w:rPr>
        <w:t xml:space="preserve">arrying out an </w:t>
      </w:r>
      <w:proofErr w:type="gramStart"/>
      <w:r w:rsidR="0081294E" w:rsidRPr="00F7353C">
        <w:rPr>
          <w:bCs/>
        </w:rPr>
        <w:t>investigation;</w:t>
      </w:r>
      <w:proofErr w:type="gramEnd"/>
    </w:p>
    <w:p w14:paraId="5790EA98" w14:textId="77777777" w:rsidR="0081294E" w:rsidRPr="00F7353C" w:rsidRDefault="0081294E" w:rsidP="0081294E">
      <w:pPr>
        <w:numPr>
          <w:ilvl w:val="0"/>
          <w:numId w:val="20"/>
        </w:numPr>
        <w:rPr>
          <w:bCs/>
        </w:rPr>
      </w:pPr>
      <w:r w:rsidRPr="00F7353C">
        <w:rPr>
          <w:bCs/>
        </w:rPr>
        <w:t xml:space="preserve">referring information about the matter to another person or body. This may include referring information to the approved provider or, in the case of a registered health practitioner (as defined under the Health Practitioner Regulation National Law), referring information to </w:t>
      </w:r>
      <w:proofErr w:type="spellStart"/>
      <w:r w:rsidRPr="00F7353C">
        <w:rPr>
          <w:bCs/>
        </w:rPr>
        <w:t>Ahpra</w:t>
      </w:r>
      <w:proofErr w:type="spellEnd"/>
      <w:r w:rsidRPr="00F7353C">
        <w:rPr>
          <w:bCs/>
        </w:rPr>
        <w:t xml:space="preserve">; and </w:t>
      </w:r>
    </w:p>
    <w:p w14:paraId="6D84A993" w14:textId="77777777" w:rsidR="0081294E" w:rsidRPr="00F7353C" w:rsidRDefault="0081294E" w:rsidP="0081294E">
      <w:pPr>
        <w:numPr>
          <w:ilvl w:val="0"/>
          <w:numId w:val="20"/>
        </w:numPr>
        <w:rPr>
          <w:bCs/>
        </w:rPr>
      </w:pPr>
      <w:r w:rsidRPr="00F7353C">
        <w:rPr>
          <w:bCs/>
        </w:rPr>
        <w:t xml:space="preserve">taking any other action that the Commissioner considers reasonable in the circumstances. For example, the Commissioner may </w:t>
      </w:r>
      <w:r w:rsidRPr="00F7353C">
        <w:t>attend the relevant aged care service (with the consent of the approved provider) using its monitoring or other entry powers. Another example may be the issuing of a letter to an aged care worker or a governing person where appropriate, which would notify the individual that the Commission is aware of alleged or suspected non-compliance and bring the matter to the individual’s attention for them to address.</w:t>
      </w:r>
    </w:p>
    <w:p w14:paraId="156A5CDF" w14:textId="77777777" w:rsidR="0081294E" w:rsidRPr="00F7353C" w:rsidRDefault="0081294E" w:rsidP="0081294E">
      <w:pPr>
        <w:rPr>
          <w:bCs/>
        </w:rPr>
      </w:pPr>
    </w:p>
    <w:p w14:paraId="2C79A337" w14:textId="77777777" w:rsidR="0081294E" w:rsidRPr="00F7353C" w:rsidRDefault="0081294E" w:rsidP="0081294E">
      <w:pPr>
        <w:rPr>
          <w:bCs/>
        </w:rPr>
      </w:pPr>
      <w:r w:rsidRPr="00F7353C">
        <w:rPr>
          <w:bCs/>
        </w:rPr>
        <w:t>The examples given above are not intended to be exhaustive and there may be additional examples that fit within each of the above categories.</w:t>
      </w:r>
    </w:p>
    <w:p w14:paraId="51774467" w14:textId="77777777" w:rsidR="0081294E" w:rsidRPr="00F7353C" w:rsidRDefault="0081294E" w:rsidP="0081294E">
      <w:pPr>
        <w:rPr>
          <w:bCs/>
        </w:rPr>
      </w:pPr>
    </w:p>
    <w:p w14:paraId="678811EF" w14:textId="77777777" w:rsidR="0081294E" w:rsidRPr="00F7353C" w:rsidRDefault="0081294E" w:rsidP="0081294E">
      <w:pPr>
        <w:rPr>
          <w:bCs/>
        </w:rPr>
      </w:pPr>
      <w:r w:rsidRPr="00F7353C">
        <w:rPr>
          <w:bCs/>
        </w:rPr>
        <w:t xml:space="preserve">The note makes clear that the Commissioner may also require a person to appear before an authorised officer to answer questions or give information or documents that are relevant to compliance with the Code of Conduct and refers to section 74FA of the Commission Act (the Commissioner’s power to issue a notice to a person to attend and answer questions). </w:t>
      </w:r>
    </w:p>
    <w:p w14:paraId="6A24FAF4" w14:textId="77777777" w:rsidR="0081294E" w:rsidRPr="00F7353C" w:rsidRDefault="0081294E" w:rsidP="0081294E">
      <w:pPr>
        <w:rPr>
          <w:bCs/>
        </w:rPr>
      </w:pPr>
    </w:p>
    <w:p w14:paraId="27BC4985" w14:textId="77777777" w:rsidR="0081294E" w:rsidRPr="00F7353C" w:rsidRDefault="0081294E" w:rsidP="0081294E">
      <w:pPr>
        <w:rPr>
          <w:bCs/>
        </w:rPr>
      </w:pPr>
      <w:r w:rsidRPr="00F7353C">
        <w:rPr>
          <w:bCs/>
        </w:rPr>
        <w:t>New subsection 23</w:t>
      </w:r>
      <w:proofErr w:type="gramStart"/>
      <w:r w:rsidRPr="00F7353C">
        <w:rPr>
          <w:bCs/>
        </w:rPr>
        <w:t>BD(</w:t>
      </w:r>
      <w:proofErr w:type="gramEnd"/>
      <w:r w:rsidRPr="00F7353C">
        <w:rPr>
          <w:bCs/>
        </w:rPr>
        <w:t xml:space="preserve">2) clarifies that the Commissioner may carry out an investigation under 23BD(1)(d) independently of any other person or body, or jointly with another person or body such as another regulatory or registration body, for example, </w:t>
      </w:r>
      <w:proofErr w:type="spellStart"/>
      <w:r w:rsidRPr="00F7353C">
        <w:rPr>
          <w:bCs/>
        </w:rPr>
        <w:t>Ahpra</w:t>
      </w:r>
      <w:proofErr w:type="spellEnd"/>
      <w:r w:rsidRPr="00F7353C">
        <w:rPr>
          <w:bCs/>
        </w:rPr>
        <w:t xml:space="preserve"> or the NDIS Commission. This allows for situations where alleged or suspected non-compliance may involve a health practitioner, or where an aged care worker may be employed in more than one care and support sector. This section also allows for the Commissioner to carry out an investigation jointly with an expert (for example, a clinical expert). </w:t>
      </w:r>
    </w:p>
    <w:p w14:paraId="7D5D35D9" w14:textId="77777777" w:rsidR="0081294E" w:rsidRPr="00F7353C" w:rsidRDefault="0081294E" w:rsidP="0081294E">
      <w:pPr>
        <w:rPr>
          <w:bCs/>
        </w:rPr>
      </w:pPr>
    </w:p>
    <w:p w14:paraId="7BE7D16C" w14:textId="77777777" w:rsidR="0081294E" w:rsidRPr="00F7353C" w:rsidRDefault="0081294E" w:rsidP="0081294E">
      <w:pPr>
        <w:rPr>
          <w:bCs/>
          <w:i/>
          <w:iCs/>
        </w:rPr>
      </w:pPr>
      <w:r w:rsidRPr="00F7353C">
        <w:rPr>
          <w:bCs/>
          <w:i/>
          <w:iCs/>
        </w:rPr>
        <w:t>Requiring action by approved providers</w:t>
      </w:r>
    </w:p>
    <w:p w14:paraId="075A055D" w14:textId="77777777" w:rsidR="0081294E" w:rsidRPr="00F7353C" w:rsidRDefault="0081294E" w:rsidP="0081294E">
      <w:pPr>
        <w:rPr>
          <w:bCs/>
        </w:rPr>
      </w:pPr>
      <w:r w:rsidRPr="00F7353C">
        <w:rPr>
          <w:bCs/>
        </w:rPr>
        <w:t>New subsection 23</w:t>
      </w:r>
      <w:proofErr w:type="gramStart"/>
      <w:r w:rsidRPr="00F7353C">
        <w:rPr>
          <w:bCs/>
        </w:rPr>
        <w:t>BD(</w:t>
      </w:r>
      <w:proofErr w:type="gramEnd"/>
      <w:r w:rsidRPr="00F7353C">
        <w:rPr>
          <w:bCs/>
        </w:rPr>
        <w:t xml:space="preserve">3) outlines the actions that the Commissioner can require an approved provider to do in relation to compliance by the approved provider or an individual who is or was an aged care worker or governing person of the approved provider. That is, to: </w:t>
      </w:r>
    </w:p>
    <w:p w14:paraId="238C6E45" w14:textId="13E6F605" w:rsidR="0081294E" w:rsidRPr="00F7353C" w:rsidRDefault="0081294E" w:rsidP="0081294E">
      <w:pPr>
        <w:numPr>
          <w:ilvl w:val="0"/>
          <w:numId w:val="25"/>
        </w:numPr>
        <w:rPr>
          <w:bCs/>
        </w:rPr>
      </w:pPr>
      <w:r w:rsidRPr="00F7353C">
        <w:rPr>
          <w:bCs/>
        </w:rPr>
        <w:t xml:space="preserve">carry out an internal </w:t>
      </w:r>
      <w:r w:rsidRPr="00F7353C">
        <w:t xml:space="preserve">investigation in a specified manner and give the Commissioner a written report on the investigation within a specified </w:t>
      </w:r>
      <w:proofErr w:type="gramStart"/>
      <w:r w:rsidRPr="00F7353C">
        <w:t>period</w:t>
      </w:r>
      <w:r w:rsidR="00F20C1D" w:rsidRPr="00F7353C">
        <w:t>;</w:t>
      </w:r>
      <w:proofErr w:type="gramEnd"/>
      <w:r w:rsidRPr="00F7353C">
        <w:t xml:space="preserve"> </w:t>
      </w:r>
    </w:p>
    <w:p w14:paraId="5D6F0A5B" w14:textId="1B1086C9" w:rsidR="0081294E" w:rsidRPr="00F7353C" w:rsidRDefault="0081294E" w:rsidP="0081294E">
      <w:pPr>
        <w:numPr>
          <w:ilvl w:val="0"/>
          <w:numId w:val="25"/>
        </w:numPr>
        <w:rPr>
          <w:bCs/>
        </w:rPr>
      </w:pPr>
      <w:r w:rsidRPr="00F7353C">
        <w:lastRenderedPageBreak/>
        <w:t xml:space="preserve">engage an appropriately qualified and independent expert, at the approved provider’s expense, to carry out an investigation into the compliance in a specified manner and provide the Commissioner with a written report on the investigation within a specified </w:t>
      </w:r>
      <w:proofErr w:type="gramStart"/>
      <w:r w:rsidRPr="00F7353C">
        <w:t>period</w:t>
      </w:r>
      <w:r w:rsidR="00F20C1D" w:rsidRPr="00F7353C">
        <w:t>;</w:t>
      </w:r>
      <w:proofErr w:type="gramEnd"/>
      <w:r w:rsidRPr="00F7353C">
        <w:t xml:space="preserve"> </w:t>
      </w:r>
    </w:p>
    <w:p w14:paraId="07ED353B" w14:textId="77777777" w:rsidR="0081294E" w:rsidRPr="00F7353C" w:rsidRDefault="0081294E" w:rsidP="0081294E">
      <w:pPr>
        <w:numPr>
          <w:ilvl w:val="0"/>
          <w:numId w:val="25"/>
        </w:numPr>
        <w:rPr>
          <w:bCs/>
        </w:rPr>
      </w:pPr>
      <w:r w:rsidRPr="00F7353C">
        <w:t>undertake specified action in relation to the compliance within a specified period. Examples of specified action under</w:t>
      </w:r>
      <w:r w:rsidRPr="00F7353C">
        <w:rPr>
          <w:bCs/>
        </w:rPr>
        <w:t xml:space="preserve"> this section</w:t>
      </w:r>
      <w:r w:rsidRPr="00F7353C">
        <w:t xml:space="preserve"> may include requiring an approved provider to engage an appropriately qualified person to deliver relevant staff training.</w:t>
      </w:r>
    </w:p>
    <w:p w14:paraId="321FC8B0" w14:textId="77777777" w:rsidR="0081294E" w:rsidRPr="00F7353C" w:rsidRDefault="0081294E" w:rsidP="0081294E">
      <w:pPr>
        <w:rPr>
          <w:bCs/>
        </w:rPr>
      </w:pPr>
    </w:p>
    <w:p w14:paraId="0862E0E2" w14:textId="77777777" w:rsidR="0081294E" w:rsidRPr="00F7353C" w:rsidRDefault="0081294E" w:rsidP="0081294E">
      <w:pPr>
        <w:rPr>
          <w:bCs/>
        </w:rPr>
      </w:pPr>
      <w:r w:rsidRPr="00F7353C">
        <w:rPr>
          <w:bCs/>
        </w:rPr>
        <w:t>The phrase “within a specified period”</w:t>
      </w:r>
      <w:r w:rsidRPr="00F7353C">
        <w:t xml:space="preserve"> is purposely broad. </w:t>
      </w:r>
      <w:r w:rsidRPr="00F7353C">
        <w:rPr>
          <w:bCs/>
        </w:rPr>
        <w:t xml:space="preserve">Prescribed timeframes for actions have not been included to enable the Commission to require approved providers to undertake suitable action in </w:t>
      </w:r>
      <w:proofErr w:type="gramStart"/>
      <w:r w:rsidRPr="00F7353C">
        <w:rPr>
          <w:bCs/>
        </w:rPr>
        <w:t>a time period</w:t>
      </w:r>
      <w:proofErr w:type="gramEnd"/>
      <w:r w:rsidRPr="00F7353C">
        <w:rPr>
          <w:bCs/>
        </w:rPr>
        <w:t xml:space="preserve"> that is proportionate to the compliance. Similarly, it is intended that </w:t>
      </w:r>
      <w:r w:rsidRPr="00F7353C">
        <w:t>the period provided to the approved provider will reflect the complexity of the investigation required and the nature of the compliance being investigated.</w:t>
      </w:r>
    </w:p>
    <w:p w14:paraId="5459E284" w14:textId="77777777" w:rsidR="0081294E" w:rsidRPr="00F7353C" w:rsidRDefault="0081294E" w:rsidP="0081294E">
      <w:pPr>
        <w:rPr>
          <w:bCs/>
        </w:rPr>
      </w:pPr>
    </w:p>
    <w:p w14:paraId="1753C66F" w14:textId="77777777" w:rsidR="0081294E" w:rsidRPr="00F7353C" w:rsidRDefault="0081294E" w:rsidP="0081294E">
      <w:pPr>
        <w:rPr>
          <w:bCs/>
          <w:i/>
          <w:iCs/>
        </w:rPr>
      </w:pPr>
      <w:r w:rsidRPr="00F7353C">
        <w:rPr>
          <w:bCs/>
          <w:i/>
          <w:iCs/>
        </w:rPr>
        <w:t>Requiring action by individuals</w:t>
      </w:r>
    </w:p>
    <w:p w14:paraId="03F05A0F" w14:textId="77777777" w:rsidR="0081294E" w:rsidRPr="00F7353C" w:rsidRDefault="0081294E" w:rsidP="0081294E">
      <w:pPr>
        <w:rPr>
          <w:bCs/>
        </w:rPr>
      </w:pPr>
      <w:r w:rsidRPr="00F7353C">
        <w:rPr>
          <w:bCs/>
        </w:rPr>
        <w:t>New subsection 23</w:t>
      </w:r>
      <w:proofErr w:type="gramStart"/>
      <w:r w:rsidRPr="00F7353C">
        <w:rPr>
          <w:bCs/>
        </w:rPr>
        <w:t>BD(</w:t>
      </w:r>
      <w:proofErr w:type="gramEnd"/>
      <w:r w:rsidRPr="00F7353C">
        <w:rPr>
          <w:bCs/>
        </w:rPr>
        <w:t xml:space="preserve">4) provides that the Commissioner can require an individual who is or was an aged care worker or governing person of an approved provider to take specified action in relation to the compliance within a specified period. </w:t>
      </w:r>
      <w:r w:rsidRPr="00F7353C">
        <w:t xml:space="preserve">For example, the Commissioner may require an individual to undertake relevant training on a specific aspect of care provision within a specified time that is proportionate to the nature of the compliance. </w:t>
      </w:r>
    </w:p>
    <w:p w14:paraId="36BB9ABC" w14:textId="77777777" w:rsidR="0081294E" w:rsidRPr="00F7353C" w:rsidRDefault="0081294E" w:rsidP="0081294E">
      <w:pPr>
        <w:rPr>
          <w:bCs/>
        </w:rPr>
      </w:pPr>
    </w:p>
    <w:p w14:paraId="562BFB5B" w14:textId="77777777" w:rsidR="0081294E" w:rsidRPr="00F7353C" w:rsidRDefault="0081294E" w:rsidP="0081294E">
      <w:pPr>
        <w:rPr>
          <w:bCs/>
          <w:i/>
          <w:iCs/>
        </w:rPr>
      </w:pPr>
      <w:r w:rsidRPr="00F7353C">
        <w:rPr>
          <w:bCs/>
          <w:i/>
          <w:iCs/>
        </w:rPr>
        <w:t>Referring information and requiring action by approved providers</w:t>
      </w:r>
    </w:p>
    <w:p w14:paraId="7056C2D3" w14:textId="77777777" w:rsidR="0081294E" w:rsidRPr="00F7353C" w:rsidRDefault="0081294E" w:rsidP="0081294E">
      <w:pPr>
        <w:rPr>
          <w:bCs/>
        </w:rPr>
      </w:pPr>
      <w:r w:rsidRPr="00F7353C">
        <w:rPr>
          <w:bCs/>
        </w:rPr>
        <w:t>New subsection 23</w:t>
      </w:r>
      <w:proofErr w:type="gramStart"/>
      <w:r w:rsidRPr="00F7353C">
        <w:rPr>
          <w:bCs/>
        </w:rPr>
        <w:t>BD(</w:t>
      </w:r>
      <w:proofErr w:type="gramEnd"/>
      <w:r w:rsidRPr="00F7353C">
        <w:rPr>
          <w:bCs/>
        </w:rPr>
        <w:t xml:space="preserve">5) provides that the Commissioner may refer information in writing about the compliance of an individual who is or was an aged care worker or governing person of an approved provider to the approved provider and require the approved provider to take appropriate action. </w:t>
      </w:r>
    </w:p>
    <w:p w14:paraId="4B7D00A7" w14:textId="77777777" w:rsidR="0081294E" w:rsidRPr="00F7353C" w:rsidRDefault="0081294E" w:rsidP="0081294E">
      <w:pPr>
        <w:rPr>
          <w:bCs/>
        </w:rPr>
      </w:pPr>
    </w:p>
    <w:p w14:paraId="158EE501" w14:textId="77777777" w:rsidR="0081294E" w:rsidRPr="00F7353C" w:rsidRDefault="0081294E" w:rsidP="0081294E">
      <w:r w:rsidRPr="00F7353C">
        <w:rPr>
          <w:bCs/>
        </w:rPr>
        <w:t>In referring information and requiring action by an approved provider under this new section, the Commissioner may not necessarily identify the specific action the approved provider must take. Rather, the Commissioner could refer the information for the approved provider to consider and develop its own action(s) that are appropriate having regard to the nature of the compliance. T</w:t>
      </w:r>
      <w:r w:rsidRPr="00F7353C">
        <w:t xml:space="preserve">he intent of this section is to require the approved provider to identify the most appropriate action in relation to the compliance by a current or former aged care worker or governing person of that approved provider. </w:t>
      </w:r>
    </w:p>
    <w:p w14:paraId="25F42524" w14:textId="77777777" w:rsidR="0081294E" w:rsidRPr="00F7353C" w:rsidRDefault="0081294E" w:rsidP="0081294E"/>
    <w:p w14:paraId="22419E63" w14:textId="77777777" w:rsidR="0081294E" w:rsidRPr="00F7353C" w:rsidRDefault="0081294E" w:rsidP="0081294E">
      <w:r w:rsidRPr="00F7353C">
        <w:t>This recognises that there may be circumstances where it is more appropriate for the approved provider to consider the specified action because of their proximity to and understanding of the compliance situation. For example, the compliance issue is a lower-level matter that is more appropriately and effectively dealt with as an employer-employee relationship matter.</w:t>
      </w:r>
    </w:p>
    <w:p w14:paraId="4A65FA4E" w14:textId="77777777" w:rsidR="0081294E" w:rsidRPr="00F7353C" w:rsidRDefault="0081294E" w:rsidP="0081294E"/>
    <w:p w14:paraId="454060F8" w14:textId="3D23BC48" w:rsidR="0081294E" w:rsidRPr="00F7353C" w:rsidRDefault="0081294E" w:rsidP="0081294E">
      <w:pPr>
        <w:rPr>
          <w:bCs/>
        </w:rPr>
      </w:pPr>
      <w:r w:rsidRPr="00F7353C">
        <w:t>New subsections 23</w:t>
      </w:r>
      <w:proofErr w:type="gramStart"/>
      <w:r w:rsidRPr="00F7353C">
        <w:t>BD(</w:t>
      </w:r>
      <w:proofErr w:type="gramEnd"/>
      <w:r w:rsidRPr="00F7353C">
        <w:t xml:space="preserve">3), (4) and (5) apply to current and former aged care approved providers, aged care workers and governing persons of approved providers. Investigations into alleged or suspected non-compliance </w:t>
      </w:r>
      <w:r w:rsidR="00493D8B" w:rsidRPr="00F7353C">
        <w:t>with</w:t>
      </w:r>
      <w:r w:rsidRPr="00F7353C">
        <w:t xml:space="preserve"> the Code of Conduct can commence following an individual resigning from an approved provider or </w:t>
      </w:r>
      <w:r w:rsidRPr="00F7353C">
        <w:lastRenderedPageBreak/>
        <w:t>leaving the aged care sector altogether. This ensures that any necessary safeguards can be put in place if the individual re</w:t>
      </w:r>
      <w:r w:rsidR="00BE25A1" w:rsidRPr="00F7353C">
        <w:t>-</w:t>
      </w:r>
      <w:r w:rsidRPr="00F7353C">
        <w:t xml:space="preserve">engages with the aged care sector later. </w:t>
      </w:r>
    </w:p>
    <w:p w14:paraId="51D4F3BE" w14:textId="77777777" w:rsidR="0081294E" w:rsidRPr="00F7353C" w:rsidRDefault="0081294E" w:rsidP="0081294E">
      <w:pPr>
        <w:rPr>
          <w:bCs/>
          <w:i/>
          <w:iCs/>
        </w:rPr>
      </w:pPr>
    </w:p>
    <w:p w14:paraId="71979E35" w14:textId="77777777" w:rsidR="0081294E" w:rsidRPr="00F7353C" w:rsidRDefault="0081294E" w:rsidP="0081294E">
      <w:pPr>
        <w:keepNext/>
        <w:tabs>
          <w:tab w:val="left" w:pos="2830"/>
        </w:tabs>
        <w:rPr>
          <w:bCs/>
          <w:i/>
          <w:iCs/>
        </w:rPr>
      </w:pPr>
      <w:r w:rsidRPr="00F7353C">
        <w:rPr>
          <w:bCs/>
          <w:i/>
          <w:iCs/>
        </w:rPr>
        <w:t>Referring information does not prevent Commissioner taking other action</w:t>
      </w:r>
    </w:p>
    <w:p w14:paraId="609D3D74" w14:textId="77777777" w:rsidR="0081294E" w:rsidRPr="00F7353C" w:rsidRDefault="0081294E" w:rsidP="0081294E">
      <w:pPr>
        <w:rPr>
          <w:bCs/>
        </w:rPr>
      </w:pPr>
      <w:r w:rsidRPr="00F7353C">
        <w:rPr>
          <w:bCs/>
        </w:rPr>
        <w:t>New subsection 23</w:t>
      </w:r>
      <w:proofErr w:type="gramStart"/>
      <w:r w:rsidRPr="00F7353C">
        <w:rPr>
          <w:bCs/>
        </w:rPr>
        <w:t>BD(</w:t>
      </w:r>
      <w:proofErr w:type="gramEnd"/>
      <w:r w:rsidRPr="00F7353C">
        <w:rPr>
          <w:bCs/>
        </w:rPr>
        <w:t xml:space="preserve">6) makes clear that whilst the Commissioner may refer information related to compliance with the Code of Conduct to another person or body, including the relevant approved provider under new subsection 23BD(5), the Commissioner can continue to take other actions related to the compliance.  </w:t>
      </w:r>
    </w:p>
    <w:p w14:paraId="0B4B820E" w14:textId="77777777" w:rsidR="0081294E" w:rsidRPr="00F7353C" w:rsidRDefault="0081294E" w:rsidP="0081294E">
      <w:pPr>
        <w:rPr>
          <w:bCs/>
        </w:rPr>
      </w:pPr>
    </w:p>
    <w:p w14:paraId="6AC910AD" w14:textId="77777777" w:rsidR="0081294E" w:rsidRPr="00F7353C" w:rsidRDefault="0081294E" w:rsidP="0081294E">
      <w:pPr>
        <w:rPr>
          <w:bCs/>
          <w:i/>
          <w:iCs/>
        </w:rPr>
      </w:pPr>
      <w:r w:rsidRPr="00F7353C">
        <w:rPr>
          <w:bCs/>
          <w:i/>
          <w:iCs/>
        </w:rPr>
        <w:t>Oral requirements to also be given in writing</w:t>
      </w:r>
    </w:p>
    <w:p w14:paraId="3E91A287" w14:textId="77777777" w:rsidR="0081294E" w:rsidRPr="00F7353C" w:rsidRDefault="0081294E" w:rsidP="0081294E">
      <w:pPr>
        <w:rPr>
          <w:bCs/>
        </w:rPr>
      </w:pPr>
      <w:r w:rsidRPr="00F7353C">
        <w:rPr>
          <w:bCs/>
        </w:rPr>
        <w:t>New subsection 23</w:t>
      </w:r>
      <w:proofErr w:type="gramStart"/>
      <w:r w:rsidRPr="00F7353C">
        <w:rPr>
          <w:bCs/>
        </w:rPr>
        <w:t>BD(</w:t>
      </w:r>
      <w:proofErr w:type="gramEnd"/>
      <w:r w:rsidRPr="00F7353C">
        <w:rPr>
          <w:bCs/>
        </w:rPr>
        <w:t>7) provides that the Commissioner can give a requirement to an approved provider orally in the first instance, and as soon as practicable after the oral requirement, provide the same requirement in writing. This provision applies in respect of new subsections 23</w:t>
      </w:r>
      <w:proofErr w:type="gramStart"/>
      <w:r w:rsidRPr="00F7353C">
        <w:rPr>
          <w:bCs/>
        </w:rPr>
        <w:t>BD(</w:t>
      </w:r>
      <w:proofErr w:type="gramEnd"/>
      <w:r w:rsidRPr="00F7353C">
        <w:rPr>
          <w:bCs/>
        </w:rPr>
        <w:t>1), (3), (4) or (6) discussed above.</w:t>
      </w:r>
    </w:p>
    <w:p w14:paraId="7414DB3F" w14:textId="77777777" w:rsidR="0081294E" w:rsidRPr="00F7353C" w:rsidRDefault="0081294E" w:rsidP="0081294E">
      <w:pPr>
        <w:rPr>
          <w:bCs/>
        </w:rPr>
      </w:pPr>
    </w:p>
    <w:p w14:paraId="5F2C07A8" w14:textId="77777777" w:rsidR="0081294E" w:rsidRPr="00F7353C" w:rsidRDefault="0081294E" w:rsidP="0081294E">
      <w:pPr>
        <w:rPr>
          <w:bCs/>
          <w:i/>
          <w:iCs/>
        </w:rPr>
      </w:pPr>
      <w:r w:rsidRPr="00F7353C">
        <w:rPr>
          <w:bCs/>
        </w:rPr>
        <w:t xml:space="preserve">This allows the Commissioner to act promptly and provide an urgent oral direction which may be required to address immediate risks to the health, </w:t>
      </w:r>
      <w:proofErr w:type="gramStart"/>
      <w:r w:rsidRPr="00F7353C">
        <w:rPr>
          <w:bCs/>
        </w:rPr>
        <w:t>safety</w:t>
      </w:r>
      <w:proofErr w:type="gramEnd"/>
      <w:r w:rsidRPr="00F7353C">
        <w:rPr>
          <w:bCs/>
        </w:rPr>
        <w:t xml:space="preserve"> or wellbeing of care recipients. For example, the Commissioner can contact an approved provider by phone and follow up with written notice as soon as practicable afterwards. </w:t>
      </w:r>
    </w:p>
    <w:p w14:paraId="372E96F7" w14:textId="77777777" w:rsidR="0081294E" w:rsidRPr="00F7353C" w:rsidRDefault="0081294E" w:rsidP="0081294E">
      <w:pPr>
        <w:rPr>
          <w:bCs/>
        </w:rPr>
      </w:pPr>
    </w:p>
    <w:p w14:paraId="0C0D472E" w14:textId="77777777" w:rsidR="00906A8C" w:rsidRPr="00F7353C" w:rsidRDefault="00906A8C" w:rsidP="00906A8C">
      <w:pPr>
        <w:rPr>
          <w:bCs/>
          <w:u w:val="single"/>
        </w:rPr>
      </w:pPr>
      <w:r w:rsidRPr="00F7353C">
        <w:rPr>
          <w:bCs/>
          <w:u w:val="single"/>
        </w:rPr>
        <w:t>Section 23BE – Actions dealing with outcomes of investigations</w:t>
      </w:r>
    </w:p>
    <w:p w14:paraId="747060A3" w14:textId="77777777" w:rsidR="00906A8C" w:rsidRPr="00F7353C" w:rsidRDefault="00906A8C" w:rsidP="00906A8C">
      <w:pPr>
        <w:rPr>
          <w:bCs/>
        </w:rPr>
      </w:pPr>
      <w:r w:rsidRPr="00F7353C">
        <w:rPr>
          <w:bCs/>
        </w:rPr>
        <w:t>New section 23BE provides that following an investigation as outlined in new paragraph 23BD(1)(d) or 23BD(3)(a) or (b), the Commissioner may proceed to take any action to deal with the outcome of the investigation that the Commissioner considers appropriate. For example, following an investigation, the Commissioner may:</w:t>
      </w:r>
    </w:p>
    <w:p w14:paraId="16383E82" w14:textId="369DEB75" w:rsidR="00906A8C" w:rsidRPr="00F7353C" w:rsidRDefault="00906A8C" w:rsidP="00906A8C">
      <w:pPr>
        <w:numPr>
          <w:ilvl w:val="0"/>
          <w:numId w:val="20"/>
        </w:numPr>
        <w:rPr>
          <w:bCs/>
        </w:rPr>
      </w:pPr>
      <w:r w:rsidRPr="00F7353C">
        <w:rPr>
          <w:bCs/>
        </w:rPr>
        <w:t>communicate the outcome of a Code of Conduct investigation to a care recipient or their carer(s</w:t>
      </w:r>
      <w:proofErr w:type="gramStart"/>
      <w:r w:rsidRPr="00F7353C">
        <w:rPr>
          <w:bCs/>
        </w:rPr>
        <w:t>);</w:t>
      </w:r>
      <w:proofErr w:type="gramEnd"/>
    </w:p>
    <w:p w14:paraId="635EB474" w14:textId="50733177" w:rsidR="00F4297C" w:rsidRPr="00F7353C" w:rsidRDefault="00F4297C" w:rsidP="00906A8C">
      <w:pPr>
        <w:numPr>
          <w:ilvl w:val="0"/>
          <w:numId w:val="20"/>
        </w:numPr>
        <w:rPr>
          <w:bCs/>
        </w:rPr>
      </w:pPr>
      <w:r w:rsidRPr="00F7353C">
        <w:rPr>
          <w:bCs/>
        </w:rPr>
        <w:t xml:space="preserve">take action under Part 7B or 8A of the Commission </w:t>
      </w:r>
      <w:proofErr w:type="gramStart"/>
      <w:r w:rsidRPr="00F7353C">
        <w:rPr>
          <w:bCs/>
        </w:rPr>
        <w:t>Act;</w:t>
      </w:r>
      <w:proofErr w:type="gramEnd"/>
    </w:p>
    <w:p w14:paraId="06C2CD48" w14:textId="597BA654" w:rsidR="00906A8C" w:rsidRPr="00F7353C" w:rsidRDefault="00323FAB" w:rsidP="00906A8C">
      <w:pPr>
        <w:numPr>
          <w:ilvl w:val="0"/>
          <w:numId w:val="20"/>
        </w:numPr>
        <w:rPr>
          <w:bCs/>
        </w:rPr>
      </w:pPr>
      <w:r w:rsidRPr="00F7353C">
        <w:rPr>
          <w:bCs/>
        </w:rPr>
        <w:t xml:space="preserve">ultimately </w:t>
      </w:r>
      <w:r w:rsidR="00906A8C" w:rsidRPr="00F7353C">
        <w:rPr>
          <w:bCs/>
        </w:rPr>
        <w:t xml:space="preserve">issue a banning order to an </w:t>
      </w:r>
      <w:r w:rsidR="00403788" w:rsidRPr="00F7353C">
        <w:rPr>
          <w:bCs/>
        </w:rPr>
        <w:t xml:space="preserve">individual who is or was an </w:t>
      </w:r>
      <w:r w:rsidR="00906A8C" w:rsidRPr="00F7353C">
        <w:rPr>
          <w:bCs/>
        </w:rPr>
        <w:t>aged care worker or governing person</w:t>
      </w:r>
      <w:r w:rsidR="00403788" w:rsidRPr="00F7353C">
        <w:rPr>
          <w:bCs/>
        </w:rPr>
        <w:t xml:space="preserve"> of an approved provider</w:t>
      </w:r>
      <w:r w:rsidRPr="00F7353C">
        <w:rPr>
          <w:bCs/>
        </w:rPr>
        <w:t xml:space="preserve"> after following the appropriate processes set out in Division 4 of Part 8A of the Commission </w:t>
      </w:r>
      <w:proofErr w:type="gramStart"/>
      <w:r w:rsidRPr="00F7353C">
        <w:rPr>
          <w:bCs/>
        </w:rPr>
        <w:t>Act</w:t>
      </w:r>
      <w:r w:rsidR="00906A8C" w:rsidRPr="00F7353C">
        <w:rPr>
          <w:bCs/>
        </w:rPr>
        <w:t>;</w:t>
      </w:r>
      <w:proofErr w:type="gramEnd"/>
    </w:p>
    <w:p w14:paraId="7A4A04A4" w14:textId="77777777" w:rsidR="00906A8C" w:rsidRPr="00F7353C" w:rsidRDefault="00906A8C" w:rsidP="00906A8C">
      <w:pPr>
        <w:numPr>
          <w:ilvl w:val="0"/>
          <w:numId w:val="20"/>
        </w:numPr>
        <w:rPr>
          <w:bCs/>
        </w:rPr>
      </w:pPr>
      <w:r w:rsidRPr="00F7353C">
        <w:rPr>
          <w:bCs/>
        </w:rPr>
        <w:t>request an approved provider to update human resources policies and procedures to address any issues identified in the Code of Conduct investigation.</w:t>
      </w:r>
    </w:p>
    <w:p w14:paraId="04A0FE58" w14:textId="77777777" w:rsidR="00906A8C" w:rsidRPr="00F7353C" w:rsidRDefault="00906A8C" w:rsidP="00906A8C">
      <w:pPr>
        <w:rPr>
          <w:bCs/>
        </w:rPr>
      </w:pPr>
    </w:p>
    <w:p w14:paraId="2F4A25B3" w14:textId="77777777" w:rsidR="00906A8C" w:rsidRPr="00F7353C" w:rsidRDefault="00906A8C" w:rsidP="00906A8C">
      <w:pPr>
        <w:rPr>
          <w:bCs/>
        </w:rPr>
      </w:pPr>
      <w:r w:rsidRPr="00F7353C">
        <w:rPr>
          <w:bCs/>
        </w:rPr>
        <w:t xml:space="preserve">This section is intended to ensure the outcome of any investigation can be dealt with appropriately and proportionately. It is not intended that the Commissioner be restricted in relation to the types of actions they may take to deal with the outcome of an investigation. </w:t>
      </w:r>
    </w:p>
    <w:p w14:paraId="4A95128D" w14:textId="77777777" w:rsidR="00906A8C" w:rsidRPr="00F7353C" w:rsidRDefault="00906A8C" w:rsidP="00906A8C">
      <w:pPr>
        <w:rPr>
          <w:bCs/>
          <w:u w:val="single"/>
        </w:rPr>
      </w:pPr>
    </w:p>
    <w:p w14:paraId="53F592D9" w14:textId="77777777" w:rsidR="00906A8C" w:rsidRPr="00F7353C" w:rsidRDefault="00906A8C" w:rsidP="00FF3B8C">
      <w:pPr>
        <w:keepNext/>
        <w:rPr>
          <w:bCs/>
          <w:u w:val="single"/>
        </w:rPr>
      </w:pPr>
      <w:r w:rsidRPr="00F7353C">
        <w:rPr>
          <w:bCs/>
          <w:u w:val="single"/>
        </w:rPr>
        <w:t>Section 23BF – Further investigations</w:t>
      </w:r>
    </w:p>
    <w:p w14:paraId="0F0F70B1" w14:textId="2AB3364E" w:rsidR="00906A8C" w:rsidRPr="00F7353C" w:rsidRDefault="00906A8C" w:rsidP="00FF3B8C">
      <w:pPr>
        <w:keepNext/>
        <w:rPr>
          <w:bCs/>
        </w:rPr>
      </w:pPr>
      <w:r w:rsidRPr="00F7353C">
        <w:rPr>
          <w:bCs/>
        </w:rPr>
        <w:t>New section 23BF provides that if an investigation is carried out in relation to compliance with the Code of Conduct under new paragraphs 23BD(1)(d) and 23BD(3)(a) or (b), this does not prevent the Commissioner from carrying out further investigations under new paragraph 23BD(1)(d</w:t>
      </w:r>
      <w:r w:rsidR="00F9363E" w:rsidRPr="00F7353C">
        <w:rPr>
          <w:bCs/>
        </w:rPr>
        <w:t>) or</w:t>
      </w:r>
      <w:r w:rsidRPr="00F7353C">
        <w:rPr>
          <w:bCs/>
        </w:rPr>
        <w:t xml:space="preserve"> requiring further investigations under new paragraphs 23BD(3)(a) or (b) </w:t>
      </w:r>
      <w:proofErr w:type="gramStart"/>
      <w:r w:rsidRPr="00F7353C">
        <w:rPr>
          <w:bCs/>
        </w:rPr>
        <w:t>on the basis of</w:t>
      </w:r>
      <w:proofErr w:type="gramEnd"/>
      <w:r w:rsidRPr="00F7353C">
        <w:rPr>
          <w:bCs/>
        </w:rPr>
        <w:t xml:space="preserve"> new information. This has the effect that the Commissioner could undertake multiple investigations in relation to the same compliance</w:t>
      </w:r>
      <w:r w:rsidR="00421F28" w:rsidRPr="00F7353C">
        <w:rPr>
          <w:bCs/>
        </w:rPr>
        <w:t xml:space="preserve"> matter</w:t>
      </w:r>
      <w:r w:rsidRPr="00F7353C">
        <w:rPr>
          <w:bCs/>
        </w:rPr>
        <w:t>.</w:t>
      </w:r>
    </w:p>
    <w:p w14:paraId="5E62F251" w14:textId="77777777" w:rsidR="00906A8C" w:rsidRPr="00F7353C" w:rsidRDefault="00906A8C" w:rsidP="00906A8C">
      <w:pPr>
        <w:rPr>
          <w:bCs/>
        </w:rPr>
      </w:pPr>
    </w:p>
    <w:p w14:paraId="14F6FA3A" w14:textId="68745208" w:rsidR="00906A8C" w:rsidRPr="00F7353C" w:rsidRDefault="00906A8C" w:rsidP="00906A8C">
      <w:pPr>
        <w:rPr>
          <w:bCs/>
        </w:rPr>
      </w:pPr>
      <w:r w:rsidRPr="00F7353C">
        <w:rPr>
          <w:bCs/>
        </w:rPr>
        <w:lastRenderedPageBreak/>
        <w:t>The intent of this section is to enable the Commissioner to undertake</w:t>
      </w:r>
      <w:r w:rsidR="00B01CC7" w:rsidRPr="00F7353C">
        <w:rPr>
          <w:bCs/>
        </w:rPr>
        <w:t xml:space="preserve"> further</w:t>
      </w:r>
      <w:r w:rsidRPr="00F7353C">
        <w:rPr>
          <w:bCs/>
        </w:rPr>
        <w:t xml:space="preserve"> investigations as appropriate if new information becomes available. For example, the Commissioner may undertake an investigation and determine an outcome based on the information available at that point in time. However, at </w:t>
      </w:r>
      <w:r w:rsidR="0081294E" w:rsidRPr="00F7353C">
        <w:rPr>
          <w:bCs/>
        </w:rPr>
        <w:t>any</w:t>
      </w:r>
      <w:r w:rsidRPr="00F7353C">
        <w:rPr>
          <w:bCs/>
        </w:rPr>
        <w:t xml:space="preserve"> later date, further information may become available</w:t>
      </w:r>
      <w:r w:rsidR="00B01CC7" w:rsidRPr="00F7353C">
        <w:rPr>
          <w:bCs/>
        </w:rPr>
        <w:t>,</w:t>
      </w:r>
      <w:r w:rsidRPr="00F7353C">
        <w:rPr>
          <w:bCs/>
        </w:rPr>
        <w:t xml:space="preserve"> which may require further investigation. </w:t>
      </w:r>
    </w:p>
    <w:p w14:paraId="61EA2CA7" w14:textId="77777777" w:rsidR="003A74E8" w:rsidRPr="00F7353C" w:rsidRDefault="003A74E8" w:rsidP="00906A8C">
      <w:pPr>
        <w:rPr>
          <w:bCs/>
        </w:rPr>
      </w:pPr>
    </w:p>
    <w:p w14:paraId="6FBFFB9A" w14:textId="77777777" w:rsidR="003A74E8" w:rsidRPr="00F7353C" w:rsidRDefault="003A74E8" w:rsidP="00906A8C">
      <w:pPr>
        <w:rPr>
          <w:bCs/>
          <w:u w:val="single"/>
        </w:rPr>
      </w:pPr>
      <w:r w:rsidRPr="00F7353C">
        <w:rPr>
          <w:bCs/>
          <w:u w:val="single"/>
        </w:rPr>
        <w:t>Section 23BG – Procedural fairness</w:t>
      </w:r>
    </w:p>
    <w:p w14:paraId="3324233B" w14:textId="517BEFFF" w:rsidR="003A74E8" w:rsidRPr="00F7353C" w:rsidRDefault="003A74E8" w:rsidP="00906A8C">
      <w:pPr>
        <w:rPr>
          <w:bCs/>
        </w:rPr>
      </w:pPr>
      <w:r w:rsidRPr="00F7353C">
        <w:rPr>
          <w:bCs/>
        </w:rPr>
        <w:t xml:space="preserve">New section 23BG provides that the Commissioner must have due regard to procedural fairness in </w:t>
      </w:r>
      <w:proofErr w:type="gramStart"/>
      <w:r w:rsidRPr="00F7353C">
        <w:rPr>
          <w:bCs/>
        </w:rPr>
        <w:t>taking action</w:t>
      </w:r>
      <w:proofErr w:type="gramEnd"/>
      <w:r w:rsidRPr="00F7353C">
        <w:rPr>
          <w:bCs/>
        </w:rPr>
        <w:t xml:space="preserve"> under Division 3 of the Instrument.</w:t>
      </w:r>
    </w:p>
    <w:p w14:paraId="0C6851A6" w14:textId="77777777" w:rsidR="003A74E8" w:rsidRPr="00F7353C" w:rsidRDefault="003A74E8" w:rsidP="00906A8C">
      <w:pPr>
        <w:rPr>
          <w:bCs/>
        </w:rPr>
      </w:pPr>
    </w:p>
    <w:p w14:paraId="1910FE29" w14:textId="77777777" w:rsidR="00003598" w:rsidRPr="00F7353C" w:rsidRDefault="003A74E8" w:rsidP="00906A8C">
      <w:pPr>
        <w:rPr>
          <w:bCs/>
        </w:rPr>
      </w:pPr>
      <w:r w:rsidRPr="00F7353C">
        <w:rPr>
          <w:bCs/>
        </w:rPr>
        <w:t xml:space="preserve">New section 23BG is intended to give visibility to the existing common law duty to afford procedural fairness in administrative decision making, without </w:t>
      </w:r>
      <w:r w:rsidR="00BE1FA7" w:rsidRPr="00F7353C">
        <w:rPr>
          <w:bCs/>
        </w:rPr>
        <w:t xml:space="preserve">limiting, </w:t>
      </w:r>
      <w:proofErr w:type="gramStart"/>
      <w:r w:rsidR="00BE1FA7" w:rsidRPr="00F7353C">
        <w:rPr>
          <w:bCs/>
        </w:rPr>
        <w:t>excluding</w:t>
      </w:r>
      <w:proofErr w:type="gramEnd"/>
      <w:r w:rsidR="00BE1FA7" w:rsidRPr="00F7353C">
        <w:rPr>
          <w:bCs/>
        </w:rPr>
        <w:t xml:space="preserve"> or otherwise </w:t>
      </w:r>
      <w:r w:rsidRPr="00F7353C">
        <w:rPr>
          <w:bCs/>
        </w:rPr>
        <w:t xml:space="preserve">affecting </w:t>
      </w:r>
      <w:r w:rsidR="00003598" w:rsidRPr="00F7353C">
        <w:rPr>
          <w:bCs/>
        </w:rPr>
        <w:t xml:space="preserve">or interfering with </w:t>
      </w:r>
      <w:r w:rsidRPr="00F7353C">
        <w:rPr>
          <w:bCs/>
        </w:rPr>
        <w:t>th</w:t>
      </w:r>
      <w:r w:rsidR="00BE1FA7" w:rsidRPr="00F7353C">
        <w:rPr>
          <w:bCs/>
        </w:rPr>
        <w:t>e common law principles of procedural fairness</w:t>
      </w:r>
      <w:r w:rsidRPr="00F7353C">
        <w:rPr>
          <w:bCs/>
        </w:rPr>
        <w:t xml:space="preserve"> in any way</w:t>
      </w:r>
      <w:r w:rsidR="00BE1FA7" w:rsidRPr="00F7353C">
        <w:rPr>
          <w:bCs/>
        </w:rPr>
        <w:t xml:space="preserve">. </w:t>
      </w:r>
    </w:p>
    <w:p w14:paraId="3BF32EDB" w14:textId="77777777" w:rsidR="00003598" w:rsidRPr="00F7353C" w:rsidRDefault="00003598" w:rsidP="00906A8C">
      <w:pPr>
        <w:rPr>
          <w:bCs/>
        </w:rPr>
      </w:pPr>
    </w:p>
    <w:p w14:paraId="1F7FD15D" w14:textId="3EF7F9BB" w:rsidR="0081294E" w:rsidRPr="00F7353C" w:rsidRDefault="00B01CC7" w:rsidP="00906A8C">
      <w:pPr>
        <w:rPr>
          <w:bCs/>
        </w:rPr>
      </w:pPr>
      <w:r w:rsidRPr="00F7353C">
        <w:rPr>
          <w:bCs/>
        </w:rPr>
        <w:t>“Procedural fairness” has its ordinary common law meaning</w:t>
      </w:r>
      <w:r w:rsidR="00F04138" w:rsidRPr="00F7353C">
        <w:rPr>
          <w:bCs/>
        </w:rPr>
        <w:t xml:space="preserve">. </w:t>
      </w:r>
      <w:r w:rsidR="00BE1FA7" w:rsidRPr="00F7353C">
        <w:rPr>
          <w:bCs/>
        </w:rPr>
        <w:t xml:space="preserve">It is noted that </w:t>
      </w:r>
      <w:r w:rsidR="003A74E8" w:rsidRPr="00F7353C">
        <w:rPr>
          <w:bCs/>
        </w:rPr>
        <w:t>“the fairness of the procedure depends on the nature of the matters in issue, and what would be a reasonable opportunity for parties to present their cases in the relevant circumstances”</w:t>
      </w:r>
      <w:r w:rsidR="00137691" w:rsidRPr="00F7353C">
        <w:rPr>
          <w:bCs/>
        </w:rPr>
        <w:t xml:space="preserve"> (</w:t>
      </w:r>
      <w:r w:rsidR="003A74E8" w:rsidRPr="00F7353C">
        <w:rPr>
          <w:bCs/>
        </w:rPr>
        <w:t xml:space="preserve">see </w:t>
      </w:r>
      <w:r w:rsidR="003A74E8" w:rsidRPr="00F7353C">
        <w:rPr>
          <w:bCs/>
          <w:i/>
          <w:iCs/>
        </w:rPr>
        <w:t>Content of procedural fairness</w:t>
      </w:r>
      <w:r w:rsidR="003A74E8" w:rsidRPr="00F7353C">
        <w:rPr>
          <w:bCs/>
        </w:rPr>
        <w:t xml:space="preserve"> in Australian Law Reform Commission Report 129</w:t>
      </w:r>
      <w:r w:rsidR="00137691" w:rsidRPr="00F7353C">
        <w:rPr>
          <w:bCs/>
        </w:rPr>
        <w:t>)</w:t>
      </w:r>
      <w:r w:rsidR="00BE1FA7" w:rsidRPr="00F7353C">
        <w:rPr>
          <w:bCs/>
        </w:rPr>
        <w:t>.</w:t>
      </w:r>
      <w:r w:rsidR="00137691" w:rsidRPr="00F7353C">
        <w:rPr>
          <w:bCs/>
        </w:rPr>
        <w:t xml:space="preserve"> As such, </w:t>
      </w:r>
      <w:r w:rsidR="002109BC" w:rsidRPr="00F7353C">
        <w:rPr>
          <w:bCs/>
        </w:rPr>
        <w:t xml:space="preserve">the nature and extent of any duty to afford </w:t>
      </w:r>
      <w:r w:rsidR="00137691" w:rsidRPr="00F7353C">
        <w:rPr>
          <w:bCs/>
        </w:rPr>
        <w:t xml:space="preserve">procedural fairness </w:t>
      </w:r>
      <w:r w:rsidR="002109BC" w:rsidRPr="00F7353C">
        <w:rPr>
          <w:bCs/>
        </w:rPr>
        <w:t xml:space="preserve">by the Commissioner </w:t>
      </w:r>
      <w:r w:rsidR="009F3AF0" w:rsidRPr="00F7353C">
        <w:rPr>
          <w:bCs/>
        </w:rPr>
        <w:t>may be impacted by</w:t>
      </w:r>
      <w:r w:rsidR="00137691" w:rsidRPr="00F7353C">
        <w:rPr>
          <w:bCs/>
        </w:rPr>
        <w:t xml:space="preserve"> relevant </w:t>
      </w:r>
      <w:r w:rsidR="009F3AF0" w:rsidRPr="00F7353C">
        <w:rPr>
          <w:bCs/>
        </w:rPr>
        <w:t xml:space="preserve">contextual </w:t>
      </w:r>
      <w:r w:rsidR="00137691" w:rsidRPr="00F7353C">
        <w:rPr>
          <w:bCs/>
        </w:rPr>
        <w:t>factors such as the level of urgency and/or risk of serious harm</w:t>
      </w:r>
      <w:r w:rsidR="009F3AF0" w:rsidRPr="00F7353C">
        <w:rPr>
          <w:bCs/>
        </w:rPr>
        <w:t xml:space="preserve"> to care recipients or others</w:t>
      </w:r>
      <w:r w:rsidR="00137691" w:rsidRPr="00F7353C">
        <w:rPr>
          <w:bCs/>
        </w:rPr>
        <w:t>.</w:t>
      </w:r>
      <w:r w:rsidR="0081294E" w:rsidRPr="00F7353C">
        <w:rPr>
          <w:bCs/>
        </w:rPr>
        <w:t xml:space="preserve"> </w:t>
      </w:r>
    </w:p>
    <w:p w14:paraId="5176C043" w14:textId="77777777" w:rsidR="003A74E8" w:rsidRPr="00F7353C" w:rsidRDefault="003A74E8" w:rsidP="00906A8C">
      <w:pPr>
        <w:rPr>
          <w:bCs/>
        </w:rPr>
      </w:pPr>
    </w:p>
    <w:p w14:paraId="53BAA1C8" w14:textId="77777777" w:rsidR="00906A8C" w:rsidRPr="00F7353C" w:rsidRDefault="00906A8C" w:rsidP="00906A8C">
      <w:pPr>
        <w:keepNext/>
        <w:rPr>
          <w:b/>
        </w:rPr>
      </w:pPr>
      <w:r w:rsidRPr="00F7353C">
        <w:rPr>
          <w:b/>
        </w:rPr>
        <w:t>Division 4 –</w:t>
      </w:r>
      <w:r w:rsidRPr="00F7353C">
        <w:rPr>
          <w:bCs/>
        </w:rPr>
        <w:t xml:space="preserve"> </w:t>
      </w:r>
      <w:r w:rsidRPr="00F7353C">
        <w:rPr>
          <w:b/>
        </w:rPr>
        <w:t>Doing other things</w:t>
      </w:r>
    </w:p>
    <w:p w14:paraId="39DD4E86" w14:textId="77777777" w:rsidR="00906A8C" w:rsidRPr="00F7353C" w:rsidRDefault="00906A8C" w:rsidP="00906A8C">
      <w:pPr>
        <w:keepNext/>
        <w:rPr>
          <w:bCs/>
          <w:u w:val="single"/>
        </w:rPr>
      </w:pPr>
    </w:p>
    <w:p w14:paraId="7A1A2E7D" w14:textId="77777777" w:rsidR="00906A8C" w:rsidRPr="00F7353C" w:rsidRDefault="00906A8C" w:rsidP="00906A8C">
      <w:pPr>
        <w:rPr>
          <w:bCs/>
          <w:u w:val="single"/>
        </w:rPr>
      </w:pPr>
      <w:r w:rsidRPr="00F7353C">
        <w:rPr>
          <w:bCs/>
          <w:u w:val="single"/>
        </w:rPr>
        <w:t>Section 23B</w:t>
      </w:r>
      <w:r w:rsidR="003A74E8" w:rsidRPr="00F7353C">
        <w:rPr>
          <w:bCs/>
          <w:u w:val="single"/>
        </w:rPr>
        <w:t>H</w:t>
      </w:r>
      <w:r w:rsidRPr="00F7353C">
        <w:rPr>
          <w:bCs/>
          <w:u w:val="single"/>
        </w:rPr>
        <w:t xml:space="preserve"> – Notices about investigations carried out by Commissioner that are closed</w:t>
      </w:r>
    </w:p>
    <w:p w14:paraId="59765A02" w14:textId="77777777" w:rsidR="00906A8C" w:rsidRPr="00F7353C" w:rsidRDefault="00906A8C" w:rsidP="00906A8C">
      <w:pPr>
        <w:rPr>
          <w:bCs/>
        </w:rPr>
      </w:pPr>
      <w:r w:rsidRPr="00F7353C">
        <w:rPr>
          <w:bCs/>
        </w:rPr>
        <w:t>New section 23B</w:t>
      </w:r>
      <w:r w:rsidR="003A74E8" w:rsidRPr="00F7353C">
        <w:rPr>
          <w:bCs/>
        </w:rPr>
        <w:t>H</w:t>
      </w:r>
      <w:r w:rsidRPr="00F7353C">
        <w:rPr>
          <w:bCs/>
        </w:rPr>
        <w:t xml:space="preserve"> requires that where the Commissioner has undertaken an investigation under new paragraph 23BD(1)(d) discussed above, and the investigation has been closed and no further immediate action in relation to the compliance is to be taken under the Commission Act or the Commission Rules, the Commissioner must issue a written notice to the approved provider or the individual and the approved provider. The written notice must set out the outcomes of the investigation. </w:t>
      </w:r>
    </w:p>
    <w:p w14:paraId="2C67EE72" w14:textId="77777777" w:rsidR="00906A8C" w:rsidRPr="00F7353C" w:rsidRDefault="00906A8C" w:rsidP="00906A8C">
      <w:pPr>
        <w:rPr>
          <w:bCs/>
        </w:rPr>
      </w:pPr>
    </w:p>
    <w:p w14:paraId="2A335E96" w14:textId="2AEE0672" w:rsidR="00906A8C" w:rsidRPr="00F7353C" w:rsidRDefault="00906A8C" w:rsidP="00906A8C">
      <w:pPr>
        <w:rPr>
          <w:bCs/>
        </w:rPr>
      </w:pPr>
      <w:r w:rsidRPr="00F7353C">
        <w:rPr>
          <w:bCs/>
        </w:rPr>
        <w:t xml:space="preserve">This ensures that the relevant approved providers and individuals are formally notified of the outcome of an investigation under new paragraph 23BD(1)(d) </w:t>
      </w:r>
      <w:r w:rsidR="004F70CD" w:rsidRPr="00F7353C">
        <w:rPr>
          <w:bCs/>
        </w:rPr>
        <w:t xml:space="preserve">where </w:t>
      </w:r>
      <w:r w:rsidRPr="00F7353C">
        <w:rPr>
          <w:bCs/>
        </w:rPr>
        <w:t>that the investigation has been closed.</w:t>
      </w:r>
    </w:p>
    <w:p w14:paraId="0FC06BCC" w14:textId="77777777" w:rsidR="00906A8C" w:rsidRPr="00F7353C" w:rsidRDefault="00906A8C" w:rsidP="00906A8C">
      <w:pPr>
        <w:rPr>
          <w:bCs/>
        </w:rPr>
      </w:pPr>
    </w:p>
    <w:p w14:paraId="63F439A3" w14:textId="77777777" w:rsidR="00906A8C" w:rsidRPr="00F7353C" w:rsidRDefault="00906A8C" w:rsidP="000351CB">
      <w:pPr>
        <w:keepNext/>
        <w:rPr>
          <w:bCs/>
          <w:u w:val="single"/>
        </w:rPr>
      </w:pPr>
      <w:r w:rsidRPr="00F7353C">
        <w:rPr>
          <w:bCs/>
          <w:u w:val="single"/>
        </w:rPr>
        <w:t>Section 23B</w:t>
      </w:r>
      <w:r w:rsidR="003A74E8" w:rsidRPr="00F7353C">
        <w:rPr>
          <w:bCs/>
          <w:u w:val="single"/>
        </w:rPr>
        <w:t>I</w:t>
      </w:r>
      <w:r w:rsidRPr="00F7353C">
        <w:rPr>
          <w:bCs/>
          <w:u w:val="single"/>
        </w:rPr>
        <w:t xml:space="preserve"> – Taking of other action not prevented by this Part</w:t>
      </w:r>
    </w:p>
    <w:p w14:paraId="2B541BD3" w14:textId="77777777" w:rsidR="00906A8C" w:rsidRPr="00F7353C" w:rsidRDefault="00906A8C" w:rsidP="000351CB">
      <w:pPr>
        <w:keepNext/>
        <w:rPr>
          <w:bCs/>
        </w:rPr>
      </w:pPr>
      <w:r w:rsidRPr="00F7353C">
        <w:rPr>
          <w:bCs/>
        </w:rPr>
        <w:t>New section 23B</w:t>
      </w:r>
      <w:r w:rsidR="003A74E8" w:rsidRPr="00F7353C">
        <w:rPr>
          <w:bCs/>
        </w:rPr>
        <w:t>I</w:t>
      </w:r>
      <w:r w:rsidRPr="00F7353C">
        <w:rPr>
          <w:bCs/>
        </w:rPr>
        <w:t xml:space="preserve"> provides that nothing in new Part 2B prevents the Commissioner from taking other action under the Commission Act or the Commission Rules in relation to compliance with the Code of Conduct. </w:t>
      </w:r>
      <w:r w:rsidR="004F70CD" w:rsidRPr="00F7353C">
        <w:rPr>
          <w:bCs/>
        </w:rPr>
        <w:t>For example, issuing sanctions under Part 7B of the Commission Act</w:t>
      </w:r>
      <w:r w:rsidR="001A5C8C" w:rsidRPr="00F7353C">
        <w:rPr>
          <w:bCs/>
        </w:rPr>
        <w:t xml:space="preserve"> where appropriate</w:t>
      </w:r>
      <w:r w:rsidR="004F70CD" w:rsidRPr="00F7353C">
        <w:rPr>
          <w:bCs/>
        </w:rPr>
        <w:t>.</w:t>
      </w:r>
    </w:p>
    <w:p w14:paraId="54BC3FEC" w14:textId="77777777" w:rsidR="00906A8C" w:rsidRPr="00F7353C" w:rsidRDefault="00906A8C" w:rsidP="00906A8C">
      <w:pPr>
        <w:rPr>
          <w:bCs/>
        </w:rPr>
      </w:pPr>
    </w:p>
    <w:p w14:paraId="54ED2B82" w14:textId="087A0A1A" w:rsidR="00906A8C" w:rsidRPr="00F7353C" w:rsidRDefault="00906A8C" w:rsidP="00906A8C">
      <w:pPr>
        <w:rPr>
          <w:bCs/>
        </w:rPr>
      </w:pPr>
      <w:r w:rsidRPr="00F7353C">
        <w:rPr>
          <w:bCs/>
        </w:rPr>
        <w:t xml:space="preserve">The note sets out the other provisions under the Commission Act, Aged Care </w:t>
      </w:r>
      <w:proofErr w:type="gramStart"/>
      <w:r w:rsidRPr="00F7353C">
        <w:rPr>
          <w:bCs/>
        </w:rPr>
        <w:t>Act</w:t>
      </w:r>
      <w:proofErr w:type="gramEnd"/>
      <w:r w:rsidRPr="00F7353C">
        <w:rPr>
          <w:bCs/>
        </w:rPr>
        <w:t xml:space="preserve"> and the Commission Rules under which regulatory action can be taken in relation to compliance with the Code of Conduct.</w:t>
      </w:r>
    </w:p>
    <w:p w14:paraId="29AAEDD9" w14:textId="77777777" w:rsidR="00906A8C" w:rsidRPr="00F7353C" w:rsidRDefault="00906A8C" w:rsidP="00906A8C">
      <w:pPr>
        <w:rPr>
          <w:bCs/>
        </w:rPr>
      </w:pPr>
    </w:p>
    <w:p w14:paraId="1D736C96" w14:textId="77777777" w:rsidR="00906A8C" w:rsidRPr="00F7353C" w:rsidRDefault="00906A8C" w:rsidP="007E5EBC">
      <w:pPr>
        <w:keepNext/>
        <w:rPr>
          <w:b/>
        </w:rPr>
      </w:pPr>
      <w:r w:rsidRPr="00F7353C">
        <w:rPr>
          <w:b/>
        </w:rPr>
        <w:lastRenderedPageBreak/>
        <w:t>Part 2C – Register of banning orders</w:t>
      </w:r>
    </w:p>
    <w:p w14:paraId="7019664B" w14:textId="77777777" w:rsidR="00906A8C" w:rsidRPr="00F7353C" w:rsidRDefault="00906A8C" w:rsidP="00237964">
      <w:pPr>
        <w:keepNext/>
        <w:rPr>
          <w:bCs/>
        </w:rPr>
      </w:pPr>
    </w:p>
    <w:p w14:paraId="1976471B" w14:textId="77777777" w:rsidR="00906A8C" w:rsidRPr="00F7353C" w:rsidRDefault="00906A8C" w:rsidP="00EF5AD1">
      <w:pPr>
        <w:keepNext/>
        <w:rPr>
          <w:b/>
        </w:rPr>
      </w:pPr>
      <w:r w:rsidRPr="00F7353C">
        <w:rPr>
          <w:b/>
        </w:rPr>
        <w:t>Division 1 – Simplified outline of this Part</w:t>
      </w:r>
    </w:p>
    <w:p w14:paraId="69929406" w14:textId="77777777" w:rsidR="00906A8C" w:rsidRPr="00F7353C" w:rsidRDefault="00906A8C" w:rsidP="00EF5AD1">
      <w:pPr>
        <w:keepNext/>
        <w:rPr>
          <w:bCs/>
          <w:u w:val="single"/>
        </w:rPr>
      </w:pPr>
    </w:p>
    <w:p w14:paraId="37459361" w14:textId="77777777" w:rsidR="00906A8C" w:rsidRPr="00F7353C" w:rsidRDefault="00906A8C" w:rsidP="00906A8C">
      <w:pPr>
        <w:rPr>
          <w:bCs/>
          <w:u w:val="single"/>
        </w:rPr>
      </w:pPr>
      <w:r w:rsidRPr="00F7353C">
        <w:rPr>
          <w:bCs/>
          <w:u w:val="single"/>
        </w:rPr>
        <w:t>Section 23CA – Simplified outline of this Part</w:t>
      </w:r>
    </w:p>
    <w:p w14:paraId="0333CAFB" w14:textId="77777777" w:rsidR="00906A8C" w:rsidRPr="00F7353C" w:rsidRDefault="00906A8C" w:rsidP="00906A8C">
      <w:pPr>
        <w:rPr>
          <w:bCs/>
        </w:rPr>
      </w:pPr>
      <w:r w:rsidRPr="00F7353C">
        <w:rPr>
          <w:bCs/>
        </w:rPr>
        <w:t>New section 23CA sets out a simplified outline of new Part 2C. It provides that:</w:t>
      </w:r>
    </w:p>
    <w:p w14:paraId="74FEB162" w14:textId="77777777" w:rsidR="00906A8C" w:rsidRPr="00F7353C" w:rsidRDefault="00906A8C" w:rsidP="00906A8C">
      <w:pPr>
        <w:numPr>
          <w:ilvl w:val="0"/>
          <w:numId w:val="28"/>
        </w:numPr>
        <w:rPr>
          <w:bCs/>
        </w:rPr>
      </w:pPr>
      <w:r w:rsidRPr="00F7353C">
        <w:rPr>
          <w:bCs/>
        </w:rPr>
        <w:t xml:space="preserve">certain information must be included in the register of banning </w:t>
      </w:r>
      <w:proofErr w:type="gramStart"/>
      <w:r w:rsidRPr="00F7353C">
        <w:rPr>
          <w:bCs/>
        </w:rPr>
        <w:t>orders;</w:t>
      </w:r>
      <w:proofErr w:type="gramEnd"/>
      <w:r w:rsidRPr="00F7353C">
        <w:rPr>
          <w:bCs/>
        </w:rPr>
        <w:t xml:space="preserve"> </w:t>
      </w:r>
    </w:p>
    <w:p w14:paraId="69E7F144" w14:textId="77777777" w:rsidR="00906A8C" w:rsidRPr="00F7353C" w:rsidRDefault="00906A8C" w:rsidP="00906A8C">
      <w:pPr>
        <w:numPr>
          <w:ilvl w:val="0"/>
          <w:numId w:val="28"/>
        </w:numPr>
        <w:rPr>
          <w:bCs/>
        </w:rPr>
      </w:pPr>
      <w:r w:rsidRPr="00F7353C">
        <w:rPr>
          <w:bCs/>
        </w:rPr>
        <w:t xml:space="preserve">an individual may request access to and/or correction of information about themselves that is included in the register of banning </w:t>
      </w:r>
      <w:proofErr w:type="gramStart"/>
      <w:r w:rsidRPr="00F7353C">
        <w:rPr>
          <w:bCs/>
        </w:rPr>
        <w:t>orders;</w:t>
      </w:r>
      <w:proofErr w:type="gramEnd"/>
    </w:p>
    <w:p w14:paraId="021FA76E" w14:textId="77777777" w:rsidR="00906A8C" w:rsidRPr="00F7353C" w:rsidRDefault="00906A8C" w:rsidP="00906A8C">
      <w:pPr>
        <w:numPr>
          <w:ilvl w:val="0"/>
          <w:numId w:val="28"/>
        </w:numPr>
        <w:rPr>
          <w:bCs/>
        </w:rPr>
      </w:pPr>
      <w:r w:rsidRPr="00F7353C">
        <w:rPr>
          <w:bCs/>
        </w:rPr>
        <w:t xml:space="preserve">the Commissioner may correct information that is included in the register of banning orders; and </w:t>
      </w:r>
    </w:p>
    <w:p w14:paraId="1366E5C1" w14:textId="77777777" w:rsidR="00906A8C" w:rsidRPr="00F7353C" w:rsidRDefault="00906A8C" w:rsidP="00906A8C">
      <w:pPr>
        <w:numPr>
          <w:ilvl w:val="0"/>
          <w:numId w:val="28"/>
        </w:numPr>
        <w:rPr>
          <w:bCs/>
        </w:rPr>
      </w:pPr>
      <w:r w:rsidRPr="00F7353C">
        <w:rPr>
          <w:bCs/>
        </w:rPr>
        <w:t>the register of banning orders may be published on the Commission’s website.</w:t>
      </w:r>
    </w:p>
    <w:p w14:paraId="6D88D8D5" w14:textId="77777777" w:rsidR="00906A8C" w:rsidRPr="00F7353C" w:rsidRDefault="00906A8C" w:rsidP="00906A8C">
      <w:pPr>
        <w:rPr>
          <w:bCs/>
        </w:rPr>
      </w:pPr>
    </w:p>
    <w:p w14:paraId="35F34B4E" w14:textId="77777777" w:rsidR="00906A8C" w:rsidRPr="00F7353C" w:rsidRDefault="00906A8C" w:rsidP="00906A8C">
      <w:pPr>
        <w:rPr>
          <w:b/>
        </w:rPr>
      </w:pPr>
      <w:r w:rsidRPr="00F7353C">
        <w:rPr>
          <w:b/>
        </w:rPr>
        <w:t>Division 2 – Information in register of banning orders</w:t>
      </w:r>
    </w:p>
    <w:p w14:paraId="519CC6C7" w14:textId="77777777" w:rsidR="00906A8C" w:rsidRPr="00F7353C" w:rsidRDefault="00906A8C" w:rsidP="00906A8C">
      <w:pPr>
        <w:rPr>
          <w:bCs/>
          <w:u w:val="single"/>
        </w:rPr>
      </w:pPr>
    </w:p>
    <w:p w14:paraId="06829929" w14:textId="77777777" w:rsidR="00906A8C" w:rsidRPr="00F7353C" w:rsidRDefault="00906A8C" w:rsidP="00906A8C">
      <w:pPr>
        <w:rPr>
          <w:bCs/>
          <w:u w:val="single"/>
        </w:rPr>
      </w:pPr>
      <w:r w:rsidRPr="00F7353C">
        <w:rPr>
          <w:bCs/>
          <w:u w:val="single"/>
        </w:rPr>
        <w:t>Section 23CB – Information that must be included in the register of banning orders</w:t>
      </w:r>
    </w:p>
    <w:p w14:paraId="5B3A7DB4" w14:textId="77777777" w:rsidR="00906A8C" w:rsidRPr="00F7353C" w:rsidRDefault="00906A8C" w:rsidP="00906A8C">
      <w:r w:rsidRPr="00F7353C">
        <w:t xml:space="preserve">New section 23CB provides that for the purposes of paragraph 74GI(1)(h) of the Commission Act, the following information must be specified in the register of banning orders: </w:t>
      </w:r>
    </w:p>
    <w:p w14:paraId="6DF54AFD" w14:textId="77777777" w:rsidR="00906A8C" w:rsidRPr="00F7353C" w:rsidRDefault="00906A8C" w:rsidP="00906A8C"/>
    <w:p w14:paraId="764ABBA0" w14:textId="77777777" w:rsidR="00906A8C" w:rsidRPr="00F7353C" w:rsidRDefault="00906A8C" w:rsidP="00906A8C">
      <w:pPr>
        <w:numPr>
          <w:ilvl w:val="0"/>
          <w:numId w:val="28"/>
        </w:numPr>
      </w:pPr>
      <w:r w:rsidRPr="00F7353C">
        <w:t xml:space="preserve">the State or Territory, </w:t>
      </w:r>
      <w:proofErr w:type="gramStart"/>
      <w:r w:rsidRPr="00F7353C">
        <w:t>suburb</w:t>
      </w:r>
      <w:proofErr w:type="gramEnd"/>
      <w:r w:rsidRPr="00F7353C">
        <w:t xml:space="preserve"> and postcode of the individual’s last known residential address; and</w:t>
      </w:r>
    </w:p>
    <w:p w14:paraId="2C0CE2BC" w14:textId="77777777" w:rsidR="00906A8C" w:rsidRPr="00F7353C" w:rsidRDefault="00D80E52" w:rsidP="00906A8C">
      <w:pPr>
        <w:numPr>
          <w:ilvl w:val="0"/>
          <w:numId w:val="28"/>
        </w:numPr>
      </w:pPr>
      <w:r w:rsidRPr="00F7353C">
        <w:t>if the Commissioner considers that further information is necessary to identify the individual</w:t>
      </w:r>
      <w:r w:rsidR="00F74E28" w:rsidRPr="00F7353C">
        <w:t xml:space="preserve"> – </w:t>
      </w:r>
      <w:r w:rsidRPr="00F7353C">
        <w:t>further information, including personal information, that the Commissioner considers is sufficient to identify the individual.</w:t>
      </w:r>
    </w:p>
    <w:p w14:paraId="056318A6" w14:textId="77777777" w:rsidR="00906A8C" w:rsidRPr="00F7353C" w:rsidRDefault="00906A8C" w:rsidP="00906A8C"/>
    <w:p w14:paraId="45B53D52" w14:textId="6205E142" w:rsidR="00906A8C" w:rsidRPr="00F7353C" w:rsidRDefault="00284946" w:rsidP="00906A8C">
      <w:r w:rsidRPr="00F7353C">
        <w:rPr>
          <w:bCs/>
        </w:rPr>
        <w:t>T</w:t>
      </w:r>
      <w:r w:rsidR="00906A8C" w:rsidRPr="00F7353C">
        <w:t>his information must be included about an individual whether the banning order is currently in force or not</w:t>
      </w:r>
      <w:r w:rsidR="003459FE" w:rsidRPr="00F7353C">
        <w:t xml:space="preserve">, </w:t>
      </w:r>
      <w:r w:rsidRPr="00F7353C">
        <w:t>i</w:t>
      </w:r>
      <w:r w:rsidRPr="00F7353C">
        <w:rPr>
          <w:bCs/>
        </w:rPr>
        <w:t>n accordance with subsection 74</w:t>
      </w:r>
      <w:proofErr w:type="gramStart"/>
      <w:r w:rsidRPr="00F7353C">
        <w:rPr>
          <w:bCs/>
        </w:rPr>
        <w:t>GI(</w:t>
      </w:r>
      <w:proofErr w:type="gramEnd"/>
      <w:r w:rsidRPr="00F7353C">
        <w:rPr>
          <w:bCs/>
        </w:rPr>
        <w:t>2) of the Commission Act</w:t>
      </w:r>
      <w:r w:rsidR="00906A8C" w:rsidRPr="00F7353C">
        <w:t xml:space="preserve">. </w:t>
      </w:r>
      <w:r w:rsidR="00825E5F" w:rsidRPr="00F7353C">
        <w:t>As outlined under subsection 74</w:t>
      </w:r>
      <w:proofErr w:type="gramStart"/>
      <w:r w:rsidR="00825E5F" w:rsidRPr="00F7353C">
        <w:t>GI(</w:t>
      </w:r>
      <w:proofErr w:type="gramEnd"/>
      <w:r w:rsidR="00825E5F" w:rsidRPr="00F7353C">
        <w:t>3), s</w:t>
      </w:r>
      <w:r w:rsidRPr="00F7353C">
        <w:t xml:space="preserve">ubsection 74GI(1) does not apply if the banning order has been revoked under section 74GG or the decision regarding the banning order has been set aside on </w:t>
      </w:r>
      <w:r w:rsidR="00825E5F" w:rsidRPr="00F7353C">
        <w:t xml:space="preserve">reconsideration under Part 8B or on </w:t>
      </w:r>
      <w:r w:rsidRPr="00F7353C">
        <w:t>review</w:t>
      </w:r>
      <w:r w:rsidR="00825E5F" w:rsidRPr="00F7353C">
        <w:t>.</w:t>
      </w:r>
      <w:r w:rsidRPr="00F7353C">
        <w:t xml:space="preserve"> </w:t>
      </w:r>
    </w:p>
    <w:p w14:paraId="54FE4249" w14:textId="77777777" w:rsidR="00906A8C" w:rsidRPr="00F7353C" w:rsidRDefault="00906A8C" w:rsidP="00906A8C"/>
    <w:p w14:paraId="189246C4" w14:textId="20FFEAB2" w:rsidR="00906A8C" w:rsidRPr="00F7353C" w:rsidRDefault="00906A8C" w:rsidP="00906A8C">
      <w:r w:rsidRPr="00F7353C">
        <w:t xml:space="preserve">New paragraph 23CB(b) allows further identifying information to be published on the register of banning orders in </w:t>
      </w:r>
      <w:r w:rsidR="00BE07FC" w:rsidRPr="00F7353C">
        <w:t xml:space="preserve">the </w:t>
      </w:r>
      <w:r w:rsidRPr="00F7353C">
        <w:t>circumstances</w:t>
      </w:r>
      <w:r w:rsidR="00BE07FC" w:rsidRPr="00F7353C">
        <w:t xml:space="preserve"> described above</w:t>
      </w:r>
      <w:r w:rsidRPr="00F7353C">
        <w:t xml:space="preserve">. </w:t>
      </w:r>
      <w:r w:rsidR="00BE07FC" w:rsidRPr="00F7353C">
        <w:t xml:space="preserve">It is intended that this paragraph only be relied up on where it would not otherwise be possible to correctly identify an individual. </w:t>
      </w:r>
      <w:r w:rsidRPr="00F7353C">
        <w:t xml:space="preserve">For example, where two individuals who work in aged care have the same name, live in the same suburb, and a banning order is made in relation to one of those individuals. </w:t>
      </w:r>
      <w:r w:rsidR="00BE07FC" w:rsidRPr="00F7353C">
        <w:t>In these circumstances, t</w:t>
      </w:r>
      <w:r w:rsidRPr="00F7353C">
        <w:t xml:space="preserve">he Commissioner can include </w:t>
      </w:r>
      <w:r w:rsidR="00F04138" w:rsidRPr="00F7353C">
        <w:t xml:space="preserve">additional personal </w:t>
      </w:r>
      <w:r w:rsidRPr="00F7353C">
        <w:t xml:space="preserve">information in the register to </w:t>
      </w:r>
      <w:r w:rsidR="00F04138" w:rsidRPr="00F7353C">
        <w:t xml:space="preserve">correctly </w:t>
      </w:r>
      <w:r w:rsidRPr="00F7353C">
        <w:t xml:space="preserve">identify the individual in relation to whom the banning order relates. It is not intended that any information beyond that which is reasonably necessary to enable correct identification of an individual would be included. The additional personal information would not extend to include, for example, sensitive information (as defined in the </w:t>
      </w:r>
      <w:r w:rsidRPr="00F7353C">
        <w:rPr>
          <w:i/>
          <w:iCs/>
        </w:rPr>
        <w:t>Privacy Act 1988</w:t>
      </w:r>
      <w:r w:rsidR="00FD6A82" w:rsidRPr="00F7353C">
        <w:t xml:space="preserve"> (Privacy Act)</w:t>
      </w:r>
      <w:r w:rsidRPr="00F7353C">
        <w:t>).</w:t>
      </w:r>
    </w:p>
    <w:p w14:paraId="3EB18C38" w14:textId="77777777" w:rsidR="00906A8C" w:rsidRPr="00F7353C" w:rsidRDefault="00906A8C" w:rsidP="00906A8C"/>
    <w:p w14:paraId="3C5D10F8" w14:textId="77777777" w:rsidR="00906A8C" w:rsidRPr="00F7353C" w:rsidRDefault="00906A8C" w:rsidP="00906A8C">
      <w:r w:rsidRPr="00F7353C">
        <w:t>Note 1 makes clear that the information in new section 23CB is in addition to the information already required to be included in the register of banning orders specified in subsection 74</w:t>
      </w:r>
      <w:proofErr w:type="gramStart"/>
      <w:r w:rsidRPr="00F7353C">
        <w:t>GI(</w:t>
      </w:r>
      <w:proofErr w:type="gramEnd"/>
      <w:r w:rsidRPr="00F7353C">
        <w:t>1) of the Commission Act.</w:t>
      </w:r>
    </w:p>
    <w:p w14:paraId="5960BEA7" w14:textId="77777777" w:rsidR="00906A8C" w:rsidRPr="00F7353C" w:rsidRDefault="00906A8C" w:rsidP="00906A8C">
      <w:pPr>
        <w:rPr>
          <w:bCs/>
        </w:rPr>
      </w:pPr>
    </w:p>
    <w:p w14:paraId="6F7EEE39" w14:textId="77777777" w:rsidR="00906A8C" w:rsidRPr="00F7353C" w:rsidRDefault="00906A8C" w:rsidP="00906A8C">
      <w:r w:rsidRPr="00F7353C">
        <w:rPr>
          <w:bCs/>
        </w:rPr>
        <w:lastRenderedPageBreak/>
        <w:t>Note 2 makes clear that the application of subsection 74</w:t>
      </w:r>
      <w:proofErr w:type="gramStart"/>
      <w:r w:rsidRPr="00F7353C">
        <w:rPr>
          <w:bCs/>
        </w:rPr>
        <w:t>GI(</w:t>
      </w:r>
      <w:proofErr w:type="gramEnd"/>
      <w:r w:rsidRPr="00F7353C">
        <w:rPr>
          <w:bCs/>
        </w:rPr>
        <w:t>1) of the Commission Act to banning orders is</w:t>
      </w:r>
      <w:r w:rsidR="0056068B" w:rsidRPr="00F7353C">
        <w:rPr>
          <w:bCs/>
        </w:rPr>
        <w:t xml:space="preserve"> outlined</w:t>
      </w:r>
      <w:r w:rsidRPr="00F7353C">
        <w:rPr>
          <w:bCs/>
        </w:rPr>
        <w:t xml:space="preserve"> in subsections 74GI(2) and (3) of the Commission Act</w:t>
      </w:r>
      <w:r w:rsidR="00284946" w:rsidRPr="00F7353C">
        <w:rPr>
          <w:bCs/>
        </w:rPr>
        <w:t>, as explained above.</w:t>
      </w:r>
    </w:p>
    <w:p w14:paraId="7385ED93" w14:textId="77777777" w:rsidR="00906A8C" w:rsidRPr="00F7353C" w:rsidRDefault="00906A8C" w:rsidP="00906A8C"/>
    <w:p w14:paraId="73F81DC1" w14:textId="5B5FD4ED" w:rsidR="00906A8C" w:rsidRPr="00F7353C" w:rsidRDefault="00906A8C" w:rsidP="00906A8C">
      <w:r w:rsidRPr="00F7353C">
        <w:t>The information referred to in new section 23CB of this Instrument and subsection 74</w:t>
      </w:r>
      <w:proofErr w:type="gramStart"/>
      <w:r w:rsidRPr="00F7353C">
        <w:t>GI(</w:t>
      </w:r>
      <w:proofErr w:type="gramEnd"/>
      <w:r w:rsidRPr="00F7353C">
        <w:t xml:space="preserve">1) of the Commission Act is intended to align with the approach taken under the NDIS in relation to information published about banned individuals on the NDIS Provider Register (see section 73ZS of the </w:t>
      </w:r>
      <w:r w:rsidRPr="00F7353C">
        <w:rPr>
          <w:i/>
          <w:iCs/>
        </w:rPr>
        <w:t xml:space="preserve">National Disability Insurance Scheme Act 2013 </w:t>
      </w:r>
      <w:r w:rsidRPr="00F7353C">
        <w:t xml:space="preserve">(NDIS Act)). It also aligns with </w:t>
      </w:r>
      <w:proofErr w:type="spellStart"/>
      <w:r w:rsidRPr="00F7353C">
        <w:t>Ahpra’s</w:t>
      </w:r>
      <w:proofErr w:type="spellEnd"/>
      <w:r w:rsidRPr="00F7353C">
        <w:t xml:space="preserve"> approach to publishing information about health practitioners on </w:t>
      </w:r>
      <w:proofErr w:type="spellStart"/>
      <w:r w:rsidRPr="00F7353C">
        <w:t>Ahpra’s</w:t>
      </w:r>
      <w:proofErr w:type="spellEnd"/>
      <w:r w:rsidRPr="00F7353C">
        <w:t xml:space="preserve"> register of </w:t>
      </w:r>
      <w:r w:rsidR="00F04138" w:rsidRPr="00F7353C">
        <w:t xml:space="preserve">health </w:t>
      </w:r>
      <w:r w:rsidRPr="00F7353C">
        <w:t xml:space="preserve">practitioners. </w:t>
      </w:r>
    </w:p>
    <w:p w14:paraId="109A70F9" w14:textId="77777777" w:rsidR="00906A8C" w:rsidRPr="00F7353C" w:rsidRDefault="00906A8C" w:rsidP="00906A8C"/>
    <w:p w14:paraId="0FECBDAD" w14:textId="77777777" w:rsidR="00906A8C" w:rsidRPr="00F7353C" w:rsidRDefault="00906A8C" w:rsidP="00906A8C">
      <w:pPr>
        <w:rPr>
          <w:b/>
        </w:rPr>
      </w:pPr>
      <w:r w:rsidRPr="00F7353C">
        <w:rPr>
          <w:b/>
        </w:rPr>
        <w:t>Division 3 – Accessing and correcting information</w:t>
      </w:r>
    </w:p>
    <w:p w14:paraId="083558B0" w14:textId="77777777" w:rsidR="00906A8C" w:rsidRPr="00F7353C" w:rsidRDefault="00906A8C" w:rsidP="00906A8C">
      <w:pPr>
        <w:rPr>
          <w:bCs/>
          <w:u w:val="single"/>
        </w:rPr>
      </w:pPr>
    </w:p>
    <w:p w14:paraId="01980C51" w14:textId="77777777" w:rsidR="00906A8C" w:rsidRPr="00F7353C" w:rsidRDefault="00906A8C" w:rsidP="00906A8C">
      <w:pPr>
        <w:rPr>
          <w:bCs/>
          <w:u w:val="single"/>
        </w:rPr>
      </w:pPr>
      <w:r w:rsidRPr="00F7353C">
        <w:rPr>
          <w:bCs/>
          <w:u w:val="single"/>
        </w:rPr>
        <w:t>Section 23CC – Purpose of this Division</w:t>
      </w:r>
    </w:p>
    <w:p w14:paraId="411D31A1" w14:textId="6A9458EE" w:rsidR="00906A8C" w:rsidRPr="00F7353C" w:rsidRDefault="00906A8C" w:rsidP="00906A8C">
      <w:pPr>
        <w:rPr>
          <w:bCs/>
        </w:rPr>
      </w:pPr>
      <w:r w:rsidRPr="00F7353C">
        <w:rPr>
          <w:bCs/>
        </w:rPr>
        <w:t>New section 23CC makes clear that new Division 3 is made for the purposes of subsection 74</w:t>
      </w:r>
      <w:proofErr w:type="gramStart"/>
      <w:r w:rsidRPr="00F7353C">
        <w:rPr>
          <w:bCs/>
        </w:rPr>
        <w:t>GI(</w:t>
      </w:r>
      <w:proofErr w:type="gramEnd"/>
      <w:r w:rsidRPr="00F7353C">
        <w:rPr>
          <w:bCs/>
        </w:rPr>
        <w:t>6) of the Commission Act. Section 74</w:t>
      </w:r>
      <w:proofErr w:type="gramStart"/>
      <w:r w:rsidRPr="00F7353C">
        <w:rPr>
          <w:bCs/>
        </w:rPr>
        <w:t>GI(</w:t>
      </w:r>
      <w:proofErr w:type="gramEnd"/>
      <w:r w:rsidRPr="00F7353C">
        <w:rPr>
          <w:bCs/>
        </w:rPr>
        <w:t xml:space="preserve">6) </w:t>
      </w:r>
      <w:r w:rsidR="0056068B" w:rsidRPr="00F7353C">
        <w:rPr>
          <w:bCs/>
        </w:rPr>
        <w:t xml:space="preserve">provides </w:t>
      </w:r>
      <w:r w:rsidRPr="00F7353C">
        <w:rPr>
          <w:bCs/>
        </w:rPr>
        <w:t xml:space="preserve">that </w:t>
      </w:r>
      <w:r w:rsidR="0056068B" w:rsidRPr="00F7353C">
        <w:rPr>
          <w:bCs/>
        </w:rPr>
        <w:t xml:space="preserve">the rules must make provision for, or in relation to, </w:t>
      </w:r>
      <w:r w:rsidRPr="00F7353C">
        <w:rPr>
          <w:bCs/>
        </w:rPr>
        <w:t>the correction of information contained in the register of banning orders</w:t>
      </w:r>
      <w:r w:rsidR="0056068B" w:rsidRPr="00F7353C">
        <w:rPr>
          <w:bCs/>
        </w:rPr>
        <w:t>, including how an individual may access information about the individual that is included in the register and seek correction of such information</w:t>
      </w:r>
      <w:r w:rsidRPr="00F7353C">
        <w:rPr>
          <w:bCs/>
        </w:rPr>
        <w:t xml:space="preserve">. </w:t>
      </w:r>
    </w:p>
    <w:p w14:paraId="1805BBCB" w14:textId="77777777" w:rsidR="00906A8C" w:rsidRPr="00F7353C" w:rsidRDefault="00906A8C" w:rsidP="00906A8C">
      <w:pPr>
        <w:rPr>
          <w:bCs/>
        </w:rPr>
      </w:pPr>
    </w:p>
    <w:p w14:paraId="2F021292" w14:textId="77777777" w:rsidR="00906A8C" w:rsidRPr="00F7353C" w:rsidRDefault="00906A8C" w:rsidP="00906A8C">
      <w:pPr>
        <w:rPr>
          <w:bCs/>
          <w:u w:val="single"/>
        </w:rPr>
      </w:pPr>
      <w:r w:rsidRPr="00F7353C">
        <w:rPr>
          <w:bCs/>
          <w:u w:val="single"/>
        </w:rPr>
        <w:t>Section 23CD – Accessing information in the register</w:t>
      </w:r>
    </w:p>
    <w:p w14:paraId="786CCA48" w14:textId="5B797BA3" w:rsidR="00906A8C" w:rsidRPr="00F7353C" w:rsidRDefault="00906A8C" w:rsidP="00906A8C">
      <w:pPr>
        <w:rPr>
          <w:bCs/>
        </w:rPr>
      </w:pPr>
      <w:r w:rsidRPr="00F7353C">
        <w:rPr>
          <w:bCs/>
        </w:rPr>
        <w:t xml:space="preserve">New section 23CD outlines that an individual against whom a banning order has been made may request that the Commissioner provide access to them to any information that is included in the register of banning orders relating to them. This is consistent with Australian Privacy Principle (APP) 12 in Schedule 1 to the Privacy Act, and consistent with the provisions of the </w:t>
      </w:r>
      <w:r w:rsidRPr="00F7353C">
        <w:rPr>
          <w:bCs/>
          <w:i/>
          <w:iCs/>
        </w:rPr>
        <w:t>Freedom of Information Act 1982</w:t>
      </w:r>
      <w:r w:rsidRPr="00F7353C">
        <w:rPr>
          <w:bCs/>
        </w:rPr>
        <w:t xml:space="preserve">. It is intended that guidance will be produced by the Commission to assist individuals make this request. </w:t>
      </w:r>
      <w:r w:rsidR="0056068B" w:rsidRPr="00F7353C">
        <w:rPr>
          <w:bCs/>
        </w:rPr>
        <w:t>APP</w:t>
      </w:r>
      <w:r w:rsidR="0098469E" w:rsidRPr="00F7353C">
        <w:rPr>
          <w:bCs/>
        </w:rPr>
        <w:t xml:space="preserve"> </w:t>
      </w:r>
      <w:r w:rsidR="0056068B" w:rsidRPr="00F7353C">
        <w:rPr>
          <w:bCs/>
        </w:rPr>
        <w:t xml:space="preserve">12 sets out </w:t>
      </w:r>
      <w:r w:rsidR="0098469E" w:rsidRPr="00F7353C">
        <w:rPr>
          <w:bCs/>
        </w:rPr>
        <w:t>obligations when an individual requests access to personal information.</w:t>
      </w:r>
      <w:r w:rsidRPr="00F7353C">
        <w:rPr>
          <w:bCs/>
        </w:rPr>
        <w:t xml:space="preserve"> </w:t>
      </w:r>
    </w:p>
    <w:p w14:paraId="4426E769" w14:textId="77777777" w:rsidR="00F9363E" w:rsidRPr="00F7353C" w:rsidRDefault="00F9363E" w:rsidP="0098469E">
      <w:pPr>
        <w:keepNext/>
        <w:rPr>
          <w:bCs/>
          <w:u w:val="single"/>
        </w:rPr>
      </w:pPr>
    </w:p>
    <w:p w14:paraId="0099368E" w14:textId="38DE531A" w:rsidR="00906A8C" w:rsidRPr="00F7353C" w:rsidRDefault="00906A8C" w:rsidP="0098469E">
      <w:pPr>
        <w:keepNext/>
        <w:rPr>
          <w:bCs/>
          <w:u w:val="single"/>
        </w:rPr>
      </w:pPr>
      <w:r w:rsidRPr="00F7353C">
        <w:rPr>
          <w:bCs/>
          <w:u w:val="single"/>
        </w:rPr>
        <w:t>Section 23CE – Seeking correction of information in the register</w:t>
      </w:r>
    </w:p>
    <w:p w14:paraId="10CE8595" w14:textId="77777777" w:rsidR="00906A8C" w:rsidRPr="00F7353C" w:rsidRDefault="00906A8C" w:rsidP="0098469E">
      <w:pPr>
        <w:keepNext/>
        <w:rPr>
          <w:bCs/>
        </w:rPr>
      </w:pPr>
      <w:r w:rsidRPr="00F7353C">
        <w:rPr>
          <w:bCs/>
        </w:rPr>
        <w:t xml:space="preserve">New section 23CE provides that an individual against whom a banning order has been made may request that the Commissioner correct information contained in the register of banning orders in relation to the individual. </w:t>
      </w:r>
    </w:p>
    <w:p w14:paraId="5DE76E1C" w14:textId="77777777" w:rsidR="00906A8C" w:rsidRPr="00F7353C" w:rsidRDefault="00906A8C" w:rsidP="00906A8C">
      <w:pPr>
        <w:rPr>
          <w:bCs/>
        </w:rPr>
      </w:pPr>
    </w:p>
    <w:p w14:paraId="12780A5E" w14:textId="5E890C15" w:rsidR="00011957" w:rsidRPr="00F7353C" w:rsidRDefault="00906A8C" w:rsidP="00906A8C">
      <w:pPr>
        <w:rPr>
          <w:bCs/>
        </w:rPr>
      </w:pPr>
      <w:r w:rsidRPr="00F7353C">
        <w:rPr>
          <w:bCs/>
        </w:rPr>
        <w:t>Under subsection 74</w:t>
      </w:r>
      <w:proofErr w:type="gramStart"/>
      <w:r w:rsidRPr="00F7353C">
        <w:rPr>
          <w:bCs/>
        </w:rPr>
        <w:t>GI(</w:t>
      </w:r>
      <w:proofErr w:type="gramEnd"/>
      <w:r w:rsidRPr="00F7353C">
        <w:rPr>
          <w:bCs/>
        </w:rPr>
        <w:t xml:space="preserve">4) of the Commission Act, the Commissioner must </w:t>
      </w:r>
      <w:r w:rsidR="00006048" w:rsidRPr="00F7353C">
        <w:rPr>
          <w:bCs/>
        </w:rPr>
        <w:t xml:space="preserve">ensure that </w:t>
      </w:r>
      <w:r w:rsidRPr="00F7353C">
        <w:rPr>
          <w:bCs/>
        </w:rPr>
        <w:t xml:space="preserve">the register of banning orders </w:t>
      </w:r>
      <w:r w:rsidR="00006048" w:rsidRPr="00F7353C">
        <w:rPr>
          <w:bCs/>
        </w:rPr>
        <w:t xml:space="preserve">is kept </w:t>
      </w:r>
      <w:r w:rsidRPr="00F7353C">
        <w:rPr>
          <w:bCs/>
        </w:rPr>
        <w:t>up to date. This means that, in certain circumstances, where an individual has requested correction to the register of banning orders, the Commissioner must take steps to correct information about the individual that is wrong or misleading so that the information is accurate, up to date, complete, and relevant, consistent with APP 13 in Schedule 1 to the Privacy Act.</w:t>
      </w:r>
      <w:r w:rsidR="00011957" w:rsidRPr="00F7353C">
        <w:rPr>
          <w:bCs/>
        </w:rPr>
        <w:t xml:space="preserve"> </w:t>
      </w:r>
      <w:r w:rsidR="0056068B" w:rsidRPr="00F7353C">
        <w:rPr>
          <w:bCs/>
        </w:rPr>
        <w:t xml:space="preserve">APP 13 sets out minimum procedural requirements for correcting personal information. </w:t>
      </w:r>
    </w:p>
    <w:p w14:paraId="22328062" w14:textId="77777777" w:rsidR="00906A8C" w:rsidRPr="00F7353C" w:rsidRDefault="00906A8C" w:rsidP="00906A8C">
      <w:pPr>
        <w:rPr>
          <w:bCs/>
        </w:rPr>
      </w:pPr>
    </w:p>
    <w:p w14:paraId="0673E6FA" w14:textId="77777777" w:rsidR="00906A8C" w:rsidRPr="00F7353C" w:rsidRDefault="00906A8C" w:rsidP="000351CB">
      <w:pPr>
        <w:keepNext/>
        <w:rPr>
          <w:bCs/>
          <w:u w:val="single"/>
        </w:rPr>
      </w:pPr>
      <w:r w:rsidRPr="00F7353C">
        <w:rPr>
          <w:bCs/>
          <w:u w:val="single"/>
        </w:rPr>
        <w:t>Section 23CF – Corrections on the Commissioner’s initiative</w:t>
      </w:r>
    </w:p>
    <w:p w14:paraId="2770C137" w14:textId="77777777" w:rsidR="00906A8C" w:rsidRPr="00F7353C" w:rsidRDefault="00906A8C" w:rsidP="0056068B">
      <w:pPr>
        <w:rPr>
          <w:bCs/>
        </w:rPr>
      </w:pPr>
      <w:r w:rsidRPr="00F7353C">
        <w:rPr>
          <w:bCs/>
        </w:rPr>
        <w:t xml:space="preserve">New section 23CF provides that an individual against whom a banning order has been made may request the Commissioner to correct information contained in the register of banning orders in relation to that individual. For example, if the information is inaccurate, out of date, incomplete, </w:t>
      </w:r>
      <w:proofErr w:type="gramStart"/>
      <w:r w:rsidRPr="00F7353C">
        <w:rPr>
          <w:bCs/>
        </w:rPr>
        <w:t>irrelevant</w:t>
      </w:r>
      <w:proofErr w:type="gramEnd"/>
      <w:r w:rsidRPr="00F7353C">
        <w:rPr>
          <w:bCs/>
        </w:rPr>
        <w:t xml:space="preserve"> or misleading. This section is consistent </w:t>
      </w:r>
      <w:r w:rsidRPr="00F7353C">
        <w:rPr>
          <w:bCs/>
        </w:rPr>
        <w:lastRenderedPageBreak/>
        <w:t>with APP 13 in Schedule 1 to the Privacy Act.</w:t>
      </w:r>
      <w:r w:rsidR="00011957" w:rsidRPr="00F7353C">
        <w:rPr>
          <w:bCs/>
        </w:rPr>
        <w:t xml:space="preserve"> </w:t>
      </w:r>
      <w:r w:rsidR="0056068B" w:rsidRPr="00F7353C">
        <w:rPr>
          <w:bCs/>
        </w:rPr>
        <w:t xml:space="preserve">APP 13 sets out minimum procedural requirements for correcting personal information. </w:t>
      </w:r>
    </w:p>
    <w:p w14:paraId="2BB11DE5" w14:textId="77777777" w:rsidR="00906A8C" w:rsidRPr="00F7353C" w:rsidRDefault="00906A8C" w:rsidP="00906A8C">
      <w:pPr>
        <w:rPr>
          <w:bCs/>
        </w:rPr>
      </w:pPr>
    </w:p>
    <w:p w14:paraId="44D49589" w14:textId="77777777" w:rsidR="00906A8C" w:rsidRPr="00F7353C" w:rsidRDefault="00906A8C" w:rsidP="00906A8C">
      <w:pPr>
        <w:rPr>
          <w:bCs/>
        </w:rPr>
      </w:pPr>
      <w:r w:rsidRPr="00F7353C">
        <w:rPr>
          <w:b/>
        </w:rPr>
        <w:t>Division 4 – Publication of register of banning orders</w:t>
      </w:r>
    </w:p>
    <w:p w14:paraId="2A797D37" w14:textId="77777777" w:rsidR="00906A8C" w:rsidRPr="00F7353C" w:rsidRDefault="00906A8C" w:rsidP="00906A8C">
      <w:pPr>
        <w:rPr>
          <w:bCs/>
          <w:u w:val="single"/>
        </w:rPr>
      </w:pPr>
    </w:p>
    <w:p w14:paraId="11C575A9" w14:textId="77777777" w:rsidR="00906A8C" w:rsidRPr="00F7353C" w:rsidRDefault="00906A8C" w:rsidP="00906A8C">
      <w:pPr>
        <w:rPr>
          <w:bCs/>
          <w:u w:val="single"/>
        </w:rPr>
      </w:pPr>
      <w:r w:rsidRPr="00F7353C">
        <w:rPr>
          <w:bCs/>
          <w:u w:val="single"/>
        </w:rPr>
        <w:t>Section 23CG – Making the register of banning orders publicly available</w:t>
      </w:r>
    </w:p>
    <w:p w14:paraId="5F3F7D3B" w14:textId="77777777" w:rsidR="00906A8C" w:rsidRPr="00F7353C" w:rsidRDefault="00906A8C" w:rsidP="00906A8C">
      <w:r w:rsidRPr="00F7353C">
        <w:rPr>
          <w:bCs/>
        </w:rPr>
        <w:t xml:space="preserve">New section 23CG is made for the purposes of </w:t>
      </w:r>
      <w:r w:rsidRPr="00F7353C">
        <w:t>subsection 74</w:t>
      </w:r>
      <w:proofErr w:type="gramStart"/>
      <w:r w:rsidRPr="00F7353C">
        <w:t>GI(</w:t>
      </w:r>
      <w:proofErr w:type="gramEnd"/>
      <w:r w:rsidRPr="00F7353C">
        <w:t xml:space="preserve">7) of the Commission Act and provides that the register of banning orders may be published on the Commission’s website. The effect of this provision is that information on the register of banning orders will be publicly available. </w:t>
      </w:r>
    </w:p>
    <w:p w14:paraId="21B41A0D" w14:textId="77777777" w:rsidR="00906A8C" w:rsidRPr="00F7353C" w:rsidRDefault="00906A8C" w:rsidP="00906A8C"/>
    <w:p w14:paraId="1558217E" w14:textId="77777777" w:rsidR="00906A8C" w:rsidRPr="00F7353C" w:rsidRDefault="00906A8C" w:rsidP="00906A8C">
      <w:r w:rsidRPr="00F7353C">
        <w:t>The note to new subsection 23</w:t>
      </w:r>
      <w:proofErr w:type="gramStart"/>
      <w:r w:rsidRPr="00F7353C">
        <w:t>CG(</w:t>
      </w:r>
      <w:proofErr w:type="gramEnd"/>
      <w:r w:rsidRPr="00F7353C">
        <w:t>2) makes clear that the information to be included on the register of banning orders is outlined in subsection 74GI(1) of the Commission Act and new section 23CB of this Instrument, discussed above.</w:t>
      </w:r>
    </w:p>
    <w:p w14:paraId="71099E29" w14:textId="77777777" w:rsidR="00906A8C" w:rsidRPr="00F7353C" w:rsidRDefault="00906A8C" w:rsidP="00906A8C"/>
    <w:p w14:paraId="19057E5D" w14:textId="2C55AFB9" w:rsidR="00906A8C" w:rsidRPr="00F7353C" w:rsidRDefault="00906A8C" w:rsidP="00906A8C">
      <w:r w:rsidRPr="00F7353C">
        <w:t>New subsection 23</w:t>
      </w:r>
      <w:proofErr w:type="gramStart"/>
      <w:r w:rsidRPr="00F7353C">
        <w:t>CG(</w:t>
      </w:r>
      <w:proofErr w:type="gramEnd"/>
      <w:r w:rsidRPr="00F7353C">
        <w:t xml:space="preserve">3) states that, despite new subsection 23CG(1), the Commissioner can choose not to publish part of the register of banning orders if publication of that part would be contrary to public interest or the interests of one or more care recipients. An example of this would be where the part of the register relates to a vulnerable person against whom a banning order has been made and the detriment to this individual in publishing the information would outweigh any public benefit. A second example may be where a person against whom a banning order has been made is subject to existing protection arrangements in relation to </w:t>
      </w:r>
      <w:r w:rsidR="00F9061A" w:rsidRPr="00F7353C">
        <w:t xml:space="preserve">domestic </w:t>
      </w:r>
      <w:r w:rsidRPr="00F7353C">
        <w:t>violence matters.</w:t>
      </w:r>
    </w:p>
    <w:p w14:paraId="02CD65D1" w14:textId="77777777" w:rsidR="00906A8C" w:rsidRPr="00F7353C" w:rsidRDefault="00906A8C" w:rsidP="00906A8C">
      <w:pPr>
        <w:rPr>
          <w:b/>
        </w:rPr>
      </w:pPr>
    </w:p>
    <w:p w14:paraId="1CC7C6F7" w14:textId="77777777" w:rsidR="00906A8C" w:rsidRPr="00F7353C" w:rsidRDefault="00906A8C" w:rsidP="00906A8C">
      <w:pPr>
        <w:keepNext/>
        <w:rPr>
          <w:bCs/>
        </w:rPr>
      </w:pPr>
      <w:r w:rsidRPr="00F7353C">
        <w:rPr>
          <w:b/>
        </w:rPr>
        <w:t xml:space="preserve">Item 3 </w:t>
      </w:r>
      <w:r w:rsidRPr="00F7353C">
        <w:rPr>
          <w:bCs/>
        </w:rPr>
        <w:t>adds new Schedule 1 – Code of Conduct at the end of the Commission Rules.</w:t>
      </w:r>
    </w:p>
    <w:p w14:paraId="3728A283" w14:textId="77777777" w:rsidR="00906A8C" w:rsidRPr="00F7353C" w:rsidRDefault="00906A8C" w:rsidP="00906A8C">
      <w:pPr>
        <w:keepNext/>
        <w:rPr>
          <w:bCs/>
        </w:rPr>
      </w:pPr>
    </w:p>
    <w:p w14:paraId="2CEF4F96" w14:textId="77777777" w:rsidR="00906A8C" w:rsidRPr="00F7353C" w:rsidRDefault="00906A8C" w:rsidP="00906A8C">
      <w:pPr>
        <w:keepNext/>
        <w:rPr>
          <w:b/>
        </w:rPr>
      </w:pPr>
      <w:r w:rsidRPr="00F7353C">
        <w:rPr>
          <w:b/>
        </w:rPr>
        <w:t>Schedule 1 – Code of Conduct</w:t>
      </w:r>
    </w:p>
    <w:p w14:paraId="73CCF8B8" w14:textId="77777777" w:rsidR="00906A8C" w:rsidRPr="00F7353C" w:rsidRDefault="00906A8C" w:rsidP="00906A8C">
      <w:pPr>
        <w:keepNext/>
        <w:rPr>
          <w:b/>
        </w:rPr>
      </w:pPr>
    </w:p>
    <w:p w14:paraId="196E92C6" w14:textId="77777777" w:rsidR="00906A8C" w:rsidRPr="00F7353C" w:rsidRDefault="00906A8C" w:rsidP="00906A8C">
      <w:pPr>
        <w:keepNext/>
        <w:rPr>
          <w:bCs/>
        </w:rPr>
      </w:pPr>
      <w:r w:rsidRPr="00F7353C">
        <w:rPr>
          <w:bCs/>
        </w:rPr>
        <w:t>New Schedule 1 sets out the Code of Conduct and how it applies to approved providers and their aged care workers and governing persons.</w:t>
      </w:r>
    </w:p>
    <w:p w14:paraId="42016702" w14:textId="77777777" w:rsidR="00906A8C" w:rsidRPr="00F7353C" w:rsidRDefault="00906A8C" w:rsidP="00906A8C">
      <w:pPr>
        <w:keepNext/>
        <w:rPr>
          <w:b/>
        </w:rPr>
      </w:pPr>
    </w:p>
    <w:p w14:paraId="4AD99097" w14:textId="77777777" w:rsidR="00906A8C" w:rsidRPr="00F7353C" w:rsidRDefault="00906A8C" w:rsidP="00906A8C">
      <w:pPr>
        <w:keepNext/>
        <w:rPr>
          <w:bCs/>
          <w:u w:val="single"/>
        </w:rPr>
      </w:pPr>
      <w:r w:rsidRPr="00F7353C">
        <w:rPr>
          <w:bCs/>
          <w:u w:val="single"/>
        </w:rPr>
        <w:t>Clause 1 – Code of Conduct</w:t>
      </w:r>
    </w:p>
    <w:p w14:paraId="178CDB08" w14:textId="77777777" w:rsidR="00906A8C" w:rsidRPr="00F7353C" w:rsidRDefault="00906A8C" w:rsidP="00906A8C">
      <w:pPr>
        <w:rPr>
          <w:bCs/>
          <w:u w:val="single"/>
        </w:rPr>
      </w:pPr>
    </w:p>
    <w:p w14:paraId="11BB8425" w14:textId="62395DF9" w:rsidR="00906A8C" w:rsidRPr="00F7353C" w:rsidRDefault="00906A8C" w:rsidP="00906A8C">
      <w:pPr>
        <w:rPr>
          <w:bCs/>
        </w:rPr>
      </w:pPr>
      <w:r w:rsidRPr="00F7353C">
        <w:rPr>
          <w:bCs/>
        </w:rPr>
        <w:t>Clause 1 of new Schedule 1 sets out the Code of Conduct</w:t>
      </w:r>
      <w:r w:rsidR="00F9061A" w:rsidRPr="00F7353C">
        <w:rPr>
          <w:bCs/>
        </w:rPr>
        <w:t xml:space="preserve">, which </w:t>
      </w:r>
      <w:r w:rsidR="00F02F2A" w:rsidRPr="00F7353C">
        <w:rPr>
          <w:bCs/>
        </w:rPr>
        <w:t>provides the</w:t>
      </w:r>
      <w:r w:rsidR="00F9061A" w:rsidRPr="00F7353C">
        <w:rPr>
          <w:bCs/>
        </w:rPr>
        <w:t xml:space="preserve"> standards of conduct for </w:t>
      </w:r>
      <w:r w:rsidR="0056068B" w:rsidRPr="00F7353C">
        <w:rPr>
          <w:bCs/>
        </w:rPr>
        <w:t>approved providers, aged care workers and governing persons</w:t>
      </w:r>
      <w:r w:rsidRPr="00F7353C">
        <w:rPr>
          <w:bCs/>
        </w:rPr>
        <w:t xml:space="preserve">. The Code of Conduct is based on the NDIS Code of Conduct with amendments to ensure that the Code of Conduct is relevant and applicable to the aged care sector. </w:t>
      </w:r>
    </w:p>
    <w:p w14:paraId="61C948CB" w14:textId="77777777" w:rsidR="00906A8C" w:rsidRPr="00F7353C" w:rsidRDefault="00906A8C" w:rsidP="00906A8C">
      <w:pPr>
        <w:pStyle w:val="mpcbullets1"/>
        <w:numPr>
          <w:ilvl w:val="0"/>
          <w:numId w:val="0"/>
        </w:numPr>
        <w:contextualSpacing/>
        <w:rPr>
          <w:rFonts w:ascii="Times New Roman" w:hAnsi="Times New Roman" w:cs="Times New Roman"/>
          <w:bCs/>
        </w:rPr>
      </w:pPr>
    </w:p>
    <w:p w14:paraId="01FA8D49" w14:textId="2F4F52FE" w:rsidR="00F9061A" w:rsidRPr="00F7353C" w:rsidRDefault="00F9061A" w:rsidP="00906A8C">
      <w:pPr>
        <w:pStyle w:val="mpcbullets1"/>
        <w:numPr>
          <w:ilvl w:val="0"/>
          <w:numId w:val="0"/>
        </w:numPr>
        <w:contextualSpacing/>
        <w:rPr>
          <w:rFonts w:ascii="Times New Roman" w:hAnsi="Times New Roman" w:cs="Times New Roman"/>
          <w:bCs/>
        </w:rPr>
      </w:pPr>
      <w:r w:rsidRPr="00F7353C">
        <w:rPr>
          <w:rFonts w:ascii="Times New Roman" w:hAnsi="Times New Roman" w:cs="Times New Roman"/>
          <w:bCs/>
        </w:rPr>
        <w:t>New clause 1 of new Schedule 1</w:t>
      </w:r>
      <w:r w:rsidR="00237964" w:rsidRPr="00F7353C">
        <w:rPr>
          <w:rFonts w:ascii="Times New Roman" w:hAnsi="Times New Roman" w:cs="Times New Roman"/>
          <w:bCs/>
        </w:rPr>
        <w:t xml:space="preserve"> sets out conduct that</w:t>
      </w:r>
      <w:r w:rsidRPr="00F7353C">
        <w:rPr>
          <w:rFonts w:ascii="Times New Roman" w:hAnsi="Times New Roman" w:cs="Times New Roman"/>
          <w:bCs/>
        </w:rPr>
        <w:t xml:space="preserve"> a relevant person (approved providers and their aged care workers and governing persons as </w:t>
      </w:r>
      <w:r w:rsidR="00237964" w:rsidRPr="00F7353C">
        <w:rPr>
          <w:rFonts w:ascii="Times New Roman" w:hAnsi="Times New Roman" w:cs="Times New Roman"/>
          <w:bCs/>
        </w:rPr>
        <w:t xml:space="preserve">outlined </w:t>
      </w:r>
      <w:r w:rsidRPr="00F7353C">
        <w:rPr>
          <w:rFonts w:ascii="Times New Roman" w:hAnsi="Times New Roman" w:cs="Times New Roman"/>
          <w:bCs/>
        </w:rPr>
        <w:t xml:space="preserve">in new clause 2 of new Schedule 1 discussed below) must </w:t>
      </w:r>
      <w:r w:rsidR="0056068B" w:rsidRPr="00F7353C">
        <w:rPr>
          <w:rFonts w:ascii="Times New Roman" w:hAnsi="Times New Roman" w:cs="Times New Roman"/>
          <w:bCs/>
        </w:rPr>
        <w:t xml:space="preserve">comply with </w:t>
      </w:r>
      <w:r w:rsidRPr="00F7353C">
        <w:rPr>
          <w:rFonts w:ascii="Times New Roman" w:hAnsi="Times New Roman" w:cs="Times New Roman"/>
          <w:bCs/>
        </w:rPr>
        <w:t>when providing care, supports and services (</w:t>
      </w:r>
      <w:r w:rsidR="00237964" w:rsidRPr="00F7353C">
        <w:rPr>
          <w:rFonts w:ascii="Times New Roman" w:hAnsi="Times New Roman" w:cs="Times New Roman"/>
          <w:bCs/>
        </w:rPr>
        <w:t xml:space="preserve">including aged care </w:t>
      </w:r>
      <w:r w:rsidRPr="00F7353C">
        <w:rPr>
          <w:rFonts w:ascii="Times New Roman" w:hAnsi="Times New Roman" w:cs="Times New Roman"/>
          <w:bCs/>
        </w:rPr>
        <w:t xml:space="preserve">as </w:t>
      </w:r>
      <w:r w:rsidR="00237964" w:rsidRPr="00F7353C">
        <w:rPr>
          <w:rFonts w:ascii="Times New Roman" w:hAnsi="Times New Roman" w:cs="Times New Roman"/>
          <w:bCs/>
        </w:rPr>
        <w:t xml:space="preserve">outlined </w:t>
      </w:r>
      <w:r w:rsidRPr="00F7353C">
        <w:rPr>
          <w:rFonts w:ascii="Times New Roman" w:hAnsi="Times New Roman" w:cs="Times New Roman"/>
          <w:bCs/>
        </w:rPr>
        <w:t>in new clause 2 of new Schedule 1 discussed below) to people (</w:t>
      </w:r>
      <w:r w:rsidR="00237964" w:rsidRPr="00F7353C">
        <w:rPr>
          <w:rFonts w:ascii="Times New Roman" w:hAnsi="Times New Roman" w:cs="Times New Roman"/>
          <w:bCs/>
        </w:rPr>
        <w:t xml:space="preserve">care recipients, </w:t>
      </w:r>
      <w:r w:rsidRPr="00F7353C">
        <w:rPr>
          <w:rFonts w:ascii="Times New Roman" w:hAnsi="Times New Roman" w:cs="Times New Roman"/>
          <w:bCs/>
        </w:rPr>
        <w:t xml:space="preserve">as </w:t>
      </w:r>
      <w:r w:rsidR="00237964" w:rsidRPr="00F7353C">
        <w:rPr>
          <w:rFonts w:ascii="Times New Roman" w:hAnsi="Times New Roman" w:cs="Times New Roman"/>
          <w:bCs/>
        </w:rPr>
        <w:t xml:space="preserve">outlined </w:t>
      </w:r>
      <w:r w:rsidRPr="00F7353C">
        <w:rPr>
          <w:rFonts w:ascii="Times New Roman" w:hAnsi="Times New Roman" w:cs="Times New Roman"/>
          <w:bCs/>
        </w:rPr>
        <w:t>in new clause 2 of new Schedule 1 discussed below)</w:t>
      </w:r>
      <w:r w:rsidR="00237964" w:rsidRPr="00F7353C">
        <w:rPr>
          <w:rFonts w:ascii="Times New Roman" w:hAnsi="Times New Roman" w:cs="Times New Roman"/>
          <w:bCs/>
        </w:rPr>
        <w:t>.</w:t>
      </w:r>
    </w:p>
    <w:p w14:paraId="040ACE77" w14:textId="77777777" w:rsidR="00F9061A" w:rsidRPr="00F7353C" w:rsidRDefault="00F9061A" w:rsidP="00906A8C">
      <w:pPr>
        <w:pStyle w:val="mpcbullets1"/>
        <w:numPr>
          <w:ilvl w:val="0"/>
          <w:numId w:val="0"/>
        </w:numPr>
        <w:contextualSpacing/>
        <w:rPr>
          <w:rFonts w:ascii="Times New Roman" w:hAnsi="Times New Roman" w:cs="Times New Roman"/>
          <w:bCs/>
        </w:rPr>
      </w:pPr>
    </w:p>
    <w:p w14:paraId="2D9F4D67" w14:textId="193E74A7" w:rsidR="00906A8C" w:rsidRPr="00F7353C" w:rsidRDefault="00237964" w:rsidP="00906A8C">
      <w:pPr>
        <w:pStyle w:val="mpcbullets1"/>
        <w:numPr>
          <w:ilvl w:val="0"/>
          <w:numId w:val="0"/>
        </w:numPr>
        <w:contextualSpacing/>
        <w:rPr>
          <w:rFonts w:ascii="Times New Roman" w:hAnsi="Times New Roman" w:cs="Times New Roman"/>
        </w:rPr>
      </w:pPr>
      <w:r w:rsidRPr="00F7353C">
        <w:rPr>
          <w:rFonts w:ascii="Times New Roman" w:hAnsi="Times New Roman" w:cs="Times New Roman"/>
          <w:bCs/>
        </w:rPr>
        <w:t>N</w:t>
      </w:r>
      <w:r w:rsidR="00906A8C" w:rsidRPr="00F7353C">
        <w:rPr>
          <w:rFonts w:ascii="Times New Roman" w:hAnsi="Times New Roman" w:cs="Times New Roman"/>
          <w:bCs/>
        </w:rPr>
        <w:t>ew subclause 1(a)</w:t>
      </w:r>
      <w:r w:rsidRPr="00F7353C">
        <w:rPr>
          <w:rFonts w:ascii="Times New Roman" w:hAnsi="Times New Roman" w:cs="Times New Roman"/>
          <w:bCs/>
        </w:rPr>
        <w:t xml:space="preserve"> requires </w:t>
      </w:r>
      <w:r w:rsidR="00705DD3" w:rsidRPr="00F7353C">
        <w:rPr>
          <w:rFonts w:ascii="Times New Roman" w:hAnsi="Times New Roman" w:cs="Times New Roman"/>
        </w:rPr>
        <w:t>that</w:t>
      </w:r>
      <w:r w:rsidR="00F9061A" w:rsidRPr="00F7353C">
        <w:rPr>
          <w:rFonts w:ascii="Times New Roman" w:hAnsi="Times New Roman" w:cs="Times New Roman"/>
        </w:rPr>
        <w:t xml:space="preserve"> </w:t>
      </w:r>
      <w:r w:rsidR="00705DD3" w:rsidRPr="00F7353C">
        <w:rPr>
          <w:rFonts w:ascii="Times New Roman" w:hAnsi="Times New Roman" w:cs="Times New Roman"/>
        </w:rPr>
        <w:t xml:space="preserve">approved providers and their aged care workers and governing persons </w:t>
      </w:r>
      <w:r w:rsidRPr="00F7353C">
        <w:rPr>
          <w:rFonts w:ascii="Times New Roman" w:hAnsi="Times New Roman" w:cs="Times New Roman"/>
          <w:bCs/>
        </w:rPr>
        <w:t xml:space="preserve">act with respect for people’s rights to freedom of expression, </w:t>
      </w:r>
      <w:proofErr w:type="gramStart"/>
      <w:r w:rsidRPr="00F7353C">
        <w:rPr>
          <w:rFonts w:ascii="Times New Roman" w:hAnsi="Times New Roman" w:cs="Times New Roman"/>
          <w:bCs/>
        </w:rPr>
        <w:t>self-</w:t>
      </w:r>
      <w:r w:rsidRPr="00F7353C">
        <w:rPr>
          <w:rFonts w:ascii="Times New Roman" w:hAnsi="Times New Roman" w:cs="Times New Roman"/>
          <w:bCs/>
        </w:rPr>
        <w:lastRenderedPageBreak/>
        <w:t>determination</w:t>
      </w:r>
      <w:proofErr w:type="gramEnd"/>
      <w:r w:rsidRPr="00F7353C">
        <w:rPr>
          <w:rFonts w:ascii="Times New Roman" w:hAnsi="Times New Roman" w:cs="Times New Roman"/>
          <w:bCs/>
        </w:rPr>
        <w:t xml:space="preserve"> and decision-making in accordance with applicable laws and conventions. This means that these persons must</w:t>
      </w:r>
      <w:r w:rsidR="00906A8C" w:rsidRPr="00F7353C">
        <w:rPr>
          <w:rFonts w:ascii="Times New Roman" w:hAnsi="Times New Roman" w:cs="Times New Roman"/>
        </w:rPr>
        <w:t>:</w:t>
      </w:r>
    </w:p>
    <w:p w14:paraId="04D51992" w14:textId="77777777" w:rsidR="00906A8C" w:rsidRPr="00F7353C" w:rsidRDefault="00906A8C" w:rsidP="00906A8C">
      <w:pPr>
        <w:numPr>
          <w:ilvl w:val="0"/>
          <w:numId w:val="28"/>
        </w:numPr>
        <w:rPr>
          <w:bCs/>
        </w:rPr>
      </w:pPr>
      <w:r w:rsidRPr="00F7353C">
        <w:rPr>
          <w:bCs/>
        </w:rPr>
        <w:t>support care recipients to determine how they live and what happens to them. This includes supporting care recipients to exercise choice and control over their care, supports and services they are provided with and to exercise dignity of risk where they wish; and</w:t>
      </w:r>
    </w:p>
    <w:p w14:paraId="7E42A970" w14:textId="3F745933" w:rsidR="00906A8C" w:rsidRPr="00F7353C" w:rsidRDefault="00906A8C" w:rsidP="00906A8C">
      <w:pPr>
        <w:numPr>
          <w:ilvl w:val="0"/>
          <w:numId w:val="28"/>
        </w:numPr>
        <w:rPr>
          <w:bCs/>
        </w:rPr>
      </w:pPr>
      <w:r w:rsidRPr="00F7353C">
        <w:rPr>
          <w:bCs/>
        </w:rPr>
        <w:t xml:space="preserve">support care recipients to make decisions, including upholding their right to involve </w:t>
      </w:r>
      <w:r w:rsidR="00237964" w:rsidRPr="00F7353C">
        <w:rPr>
          <w:bCs/>
        </w:rPr>
        <w:t>persons they have chosen</w:t>
      </w:r>
      <w:r w:rsidRPr="00F7353C">
        <w:rPr>
          <w:bCs/>
        </w:rPr>
        <w:t xml:space="preserve"> in making decisions, and to use supported decision making (where appropriate or required).</w:t>
      </w:r>
    </w:p>
    <w:p w14:paraId="4E87AFB3" w14:textId="77777777" w:rsidR="0056068B" w:rsidRPr="00F7353C" w:rsidRDefault="0056068B" w:rsidP="00906A8C">
      <w:r w:rsidRPr="00F7353C">
        <w:t>This list is not meant to be exhaustive.</w:t>
      </w:r>
    </w:p>
    <w:p w14:paraId="466C3AD9" w14:textId="77777777" w:rsidR="0056068B" w:rsidRPr="00F7353C" w:rsidRDefault="0056068B" w:rsidP="00906A8C"/>
    <w:p w14:paraId="411A61FC" w14:textId="2CF57466" w:rsidR="00906A8C" w:rsidRPr="00F7353C" w:rsidRDefault="00906A8C" w:rsidP="00906A8C">
      <w:pPr>
        <w:rPr>
          <w:bCs/>
        </w:rPr>
      </w:pPr>
      <w:r w:rsidRPr="00F7353C">
        <w:rPr>
          <w:bCs/>
        </w:rPr>
        <w:t>New subclause 1(b)</w:t>
      </w:r>
      <w:r w:rsidR="00237964" w:rsidRPr="00F7353C">
        <w:rPr>
          <w:bCs/>
        </w:rPr>
        <w:t xml:space="preserve"> </w:t>
      </w:r>
      <w:r w:rsidRPr="00F7353C">
        <w:rPr>
          <w:bCs/>
        </w:rPr>
        <w:t xml:space="preserve">requires that </w:t>
      </w:r>
      <w:r w:rsidR="00237964" w:rsidRPr="00F7353C">
        <w:rPr>
          <w:bCs/>
        </w:rPr>
        <w:t xml:space="preserve">that approved providers and their aged care workers and governing persons must treat </w:t>
      </w:r>
      <w:r w:rsidRPr="00F7353C">
        <w:rPr>
          <w:bCs/>
        </w:rPr>
        <w:t xml:space="preserve">care recipients with dignity and respect, and </w:t>
      </w:r>
      <w:r w:rsidR="00237964" w:rsidRPr="00F7353C">
        <w:rPr>
          <w:bCs/>
        </w:rPr>
        <w:t xml:space="preserve">value </w:t>
      </w:r>
      <w:r w:rsidRPr="00F7353C">
        <w:rPr>
          <w:bCs/>
        </w:rPr>
        <w:t xml:space="preserve">their diversity. This includes: </w:t>
      </w:r>
    </w:p>
    <w:p w14:paraId="2C2DE181" w14:textId="77777777" w:rsidR="00906A8C" w:rsidRPr="00F7353C" w:rsidRDefault="00906A8C" w:rsidP="00906A8C">
      <w:pPr>
        <w:pStyle w:val="mpcbullets1"/>
        <w:numPr>
          <w:ilvl w:val="0"/>
          <w:numId w:val="33"/>
        </w:numPr>
        <w:contextualSpacing/>
        <w:rPr>
          <w:rFonts w:ascii="Times New Roman" w:hAnsi="Times New Roman" w:cs="Times New Roman"/>
        </w:rPr>
      </w:pPr>
      <w:r w:rsidRPr="00F7353C">
        <w:rPr>
          <w:rFonts w:ascii="Times New Roman" w:hAnsi="Times New Roman" w:cs="Times New Roman"/>
        </w:rPr>
        <w:t xml:space="preserve">recognising care recipients’ </w:t>
      </w:r>
      <w:proofErr w:type="gramStart"/>
      <w:r w:rsidRPr="00F7353C">
        <w:rPr>
          <w:rFonts w:ascii="Times New Roman" w:hAnsi="Times New Roman" w:cs="Times New Roman"/>
        </w:rPr>
        <w:t>strengths;</w:t>
      </w:r>
      <w:proofErr w:type="gramEnd"/>
    </w:p>
    <w:p w14:paraId="7730ED59" w14:textId="77777777" w:rsidR="00906A8C" w:rsidRPr="00F7353C" w:rsidRDefault="00906A8C" w:rsidP="00906A8C">
      <w:pPr>
        <w:pStyle w:val="mpcbullets1"/>
        <w:numPr>
          <w:ilvl w:val="0"/>
          <w:numId w:val="33"/>
        </w:numPr>
        <w:contextualSpacing/>
        <w:rPr>
          <w:rFonts w:ascii="Times New Roman" w:hAnsi="Times New Roman" w:cs="Times New Roman"/>
        </w:rPr>
      </w:pPr>
      <w:r w:rsidRPr="00F7353C">
        <w:rPr>
          <w:rFonts w:ascii="Times New Roman" w:hAnsi="Times New Roman" w:cs="Times New Roman"/>
        </w:rPr>
        <w:t xml:space="preserve">empowering care recipients to be as independent as </w:t>
      </w:r>
      <w:proofErr w:type="gramStart"/>
      <w:r w:rsidRPr="00F7353C">
        <w:rPr>
          <w:rFonts w:ascii="Times New Roman" w:hAnsi="Times New Roman" w:cs="Times New Roman"/>
        </w:rPr>
        <w:t>possible;</w:t>
      </w:r>
      <w:proofErr w:type="gramEnd"/>
    </w:p>
    <w:p w14:paraId="2B0E6738" w14:textId="77777777" w:rsidR="00906A8C" w:rsidRPr="00F7353C" w:rsidRDefault="00906A8C" w:rsidP="00906A8C">
      <w:pPr>
        <w:pStyle w:val="mpcbullets1"/>
        <w:numPr>
          <w:ilvl w:val="0"/>
          <w:numId w:val="33"/>
        </w:numPr>
        <w:contextualSpacing/>
        <w:rPr>
          <w:rFonts w:ascii="Times New Roman" w:hAnsi="Times New Roman" w:cs="Times New Roman"/>
        </w:rPr>
      </w:pPr>
      <w:r w:rsidRPr="00F7353C">
        <w:rPr>
          <w:rFonts w:ascii="Times New Roman" w:hAnsi="Times New Roman" w:cs="Times New Roman"/>
        </w:rPr>
        <w:t xml:space="preserve">communicating respectfully to care recipients; and </w:t>
      </w:r>
    </w:p>
    <w:p w14:paraId="629A9ACB" w14:textId="77777777" w:rsidR="00906A8C" w:rsidRPr="00F7353C" w:rsidRDefault="00906A8C" w:rsidP="00906A8C">
      <w:pPr>
        <w:pStyle w:val="mpcbullets1"/>
        <w:numPr>
          <w:ilvl w:val="0"/>
          <w:numId w:val="33"/>
        </w:numPr>
        <w:contextualSpacing/>
        <w:rPr>
          <w:rFonts w:ascii="Times New Roman" w:hAnsi="Times New Roman" w:cs="Times New Roman"/>
        </w:rPr>
      </w:pPr>
      <w:r w:rsidRPr="00F7353C">
        <w:rPr>
          <w:rFonts w:ascii="Times New Roman" w:hAnsi="Times New Roman" w:cs="Times New Roman"/>
        </w:rPr>
        <w:t>recognising and appreciating a care recipient’s individuality</w:t>
      </w:r>
      <w:r w:rsidR="00237964" w:rsidRPr="00F7353C">
        <w:rPr>
          <w:rFonts w:ascii="Times New Roman" w:hAnsi="Times New Roman" w:cs="Times New Roman"/>
        </w:rPr>
        <w:t xml:space="preserve"> and diverse needs</w:t>
      </w:r>
      <w:r w:rsidRPr="00F7353C">
        <w:rPr>
          <w:rFonts w:ascii="Times New Roman" w:hAnsi="Times New Roman" w:cs="Times New Roman"/>
        </w:rPr>
        <w:t xml:space="preserve"> in all aspects of care, supports and services. </w:t>
      </w:r>
    </w:p>
    <w:p w14:paraId="60315A93" w14:textId="77777777" w:rsidR="00906A8C" w:rsidRPr="00F7353C" w:rsidRDefault="00906A8C" w:rsidP="00906A8C"/>
    <w:p w14:paraId="606CAAC4" w14:textId="5F7F4AF0" w:rsidR="00906A8C" w:rsidRPr="00F7353C" w:rsidRDefault="00906A8C" w:rsidP="00906A8C">
      <w:pPr>
        <w:rPr>
          <w:bCs/>
        </w:rPr>
      </w:pPr>
      <w:r w:rsidRPr="00F7353C">
        <w:rPr>
          <w:bCs/>
        </w:rPr>
        <w:t xml:space="preserve">New subclause 1(c) requires </w:t>
      </w:r>
      <w:r w:rsidR="00237964" w:rsidRPr="00F7353C">
        <w:rPr>
          <w:bCs/>
        </w:rPr>
        <w:t xml:space="preserve">that </w:t>
      </w:r>
      <w:r w:rsidR="00705DD3" w:rsidRPr="00F7353C">
        <w:rPr>
          <w:bCs/>
        </w:rPr>
        <w:t xml:space="preserve">approved providers and their aged care workers and governing persons </w:t>
      </w:r>
      <w:r w:rsidR="00237964" w:rsidRPr="00F7353C">
        <w:rPr>
          <w:bCs/>
        </w:rPr>
        <w:t xml:space="preserve">must </w:t>
      </w:r>
      <w:r w:rsidRPr="00F7353C">
        <w:rPr>
          <w:bCs/>
        </w:rPr>
        <w:t xml:space="preserve">act with respect for the privacy of care recipients. This includes: </w:t>
      </w:r>
    </w:p>
    <w:p w14:paraId="43E01A96" w14:textId="77777777" w:rsidR="00906A8C" w:rsidRPr="00F7353C" w:rsidRDefault="00906A8C" w:rsidP="00906A8C">
      <w:pPr>
        <w:numPr>
          <w:ilvl w:val="0"/>
          <w:numId w:val="34"/>
        </w:numPr>
        <w:rPr>
          <w:bCs/>
        </w:rPr>
      </w:pPr>
      <w:r w:rsidRPr="00F7353C">
        <w:rPr>
          <w:bCs/>
        </w:rPr>
        <w:t xml:space="preserve">handling personal information </w:t>
      </w:r>
      <w:proofErr w:type="gramStart"/>
      <w:r w:rsidRPr="00F7353C">
        <w:rPr>
          <w:bCs/>
        </w:rPr>
        <w:t>carefully;</w:t>
      </w:r>
      <w:proofErr w:type="gramEnd"/>
      <w:r w:rsidRPr="00F7353C">
        <w:rPr>
          <w:bCs/>
        </w:rPr>
        <w:t xml:space="preserve"> </w:t>
      </w:r>
    </w:p>
    <w:p w14:paraId="0768D03A" w14:textId="77777777" w:rsidR="00906A8C" w:rsidRPr="00F7353C" w:rsidRDefault="00906A8C" w:rsidP="00906A8C">
      <w:pPr>
        <w:numPr>
          <w:ilvl w:val="0"/>
          <w:numId w:val="34"/>
        </w:numPr>
        <w:rPr>
          <w:bCs/>
        </w:rPr>
      </w:pPr>
      <w:r w:rsidRPr="00F7353C">
        <w:rPr>
          <w:bCs/>
        </w:rPr>
        <w:t>respecting a care recipient’s personal and physical privacy; and</w:t>
      </w:r>
    </w:p>
    <w:p w14:paraId="5B08EB7A" w14:textId="77777777" w:rsidR="00906A8C" w:rsidRPr="00F7353C" w:rsidRDefault="00906A8C" w:rsidP="00906A8C">
      <w:pPr>
        <w:numPr>
          <w:ilvl w:val="0"/>
          <w:numId w:val="34"/>
        </w:numPr>
        <w:rPr>
          <w:bCs/>
        </w:rPr>
      </w:pPr>
      <w:r w:rsidRPr="00F7353C">
        <w:rPr>
          <w:bCs/>
        </w:rPr>
        <w:t xml:space="preserve">ensuring care recipients are not unnecessarily subjected to embarrassment or discomfort during service delivery. </w:t>
      </w:r>
    </w:p>
    <w:p w14:paraId="003EA02F" w14:textId="77777777" w:rsidR="00906A8C" w:rsidRPr="00F7353C" w:rsidRDefault="00906A8C" w:rsidP="00906A8C"/>
    <w:p w14:paraId="7D93DE06" w14:textId="5878E008" w:rsidR="00906A8C" w:rsidRPr="00F7353C" w:rsidRDefault="00906A8C" w:rsidP="00906A8C">
      <w:pPr>
        <w:rPr>
          <w:bCs/>
        </w:rPr>
      </w:pPr>
      <w:r w:rsidRPr="00F7353C">
        <w:rPr>
          <w:bCs/>
        </w:rPr>
        <w:t>New subclause 1(d) requires that approved providers and their aged care workers and governing persons must provide care</w:t>
      </w:r>
      <w:r w:rsidR="00237964" w:rsidRPr="00F7353C">
        <w:rPr>
          <w:bCs/>
        </w:rPr>
        <w:t>, supports and services in</w:t>
      </w:r>
      <w:r w:rsidRPr="00F7353C">
        <w:rPr>
          <w:bCs/>
        </w:rPr>
        <w:t xml:space="preserve"> </w:t>
      </w:r>
      <w:r w:rsidR="00237964" w:rsidRPr="00F7353C">
        <w:rPr>
          <w:bCs/>
        </w:rPr>
        <w:t xml:space="preserve">a </w:t>
      </w:r>
      <w:r w:rsidRPr="00F7353C">
        <w:rPr>
          <w:bCs/>
        </w:rPr>
        <w:t>safe</w:t>
      </w:r>
      <w:r w:rsidR="00237964" w:rsidRPr="00F7353C">
        <w:rPr>
          <w:bCs/>
        </w:rPr>
        <w:t xml:space="preserve"> and</w:t>
      </w:r>
      <w:r w:rsidRPr="00F7353C">
        <w:rPr>
          <w:bCs/>
        </w:rPr>
        <w:t xml:space="preserve"> competent </w:t>
      </w:r>
      <w:r w:rsidR="00237964" w:rsidRPr="00F7353C">
        <w:rPr>
          <w:bCs/>
        </w:rPr>
        <w:t>manner, with care and skill</w:t>
      </w:r>
      <w:r w:rsidRPr="00F7353C">
        <w:rPr>
          <w:bCs/>
        </w:rPr>
        <w:t xml:space="preserve">. This means that: </w:t>
      </w:r>
    </w:p>
    <w:p w14:paraId="2CB979CE" w14:textId="366CE969" w:rsidR="00906A8C" w:rsidRPr="00F7353C" w:rsidRDefault="00906A8C" w:rsidP="00906A8C">
      <w:pPr>
        <w:numPr>
          <w:ilvl w:val="0"/>
          <w:numId w:val="35"/>
        </w:numPr>
        <w:rPr>
          <w:bCs/>
        </w:rPr>
      </w:pPr>
      <w:r w:rsidRPr="00F7353C">
        <w:rPr>
          <w:bCs/>
        </w:rPr>
        <w:t xml:space="preserve">care should be provided with attention, kindness and </w:t>
      </w:r>
      <w:proofErr w:type="gramStart"/>
      <w:r w:rsidRPr="00F7353C">
        <w:rPr>
          <w:bCs/>
        </w:rPr>
        <w:t>empathy;</w:t>
      </w:r>
      <w:proofErr w:type="gramEnd"/>
      <w:r w:rsidRPr="00F7353C">
        <w:rPr>
          <w:bCs/>
        </w:rPr>
        <w:t xml:space="preserve"> </w:t>
      </w:r>
    </w:p>
    <w:p w14:paraId="62828BCE" w14:textId="77777777" w:rsidR="00906A8C" w:rsidRPr="00F7353C" w:rsidRDefault="00906A8C" w:rsidP="00906A8C">
      <w:pPr>
        <w:numPr>
          <w:ilvl w:val="0"/>
          <w:numId w:val="35"/>
        </w:numPr>
        <w:rPr>
          <w:bCs/>
        </w:rPr>
      </w:pPr>
      <w:r w:rsidRPr="00F7353C">
        <w:rPr>
          <w:bCs/>
        </w:rPr>
        <w:t>aged care workers</w:t>
      </w:r>
      <w:r w:rsidR="00237964" w:rsidRPr="00F7353C">
        <w:rPr>
          <w:bCs/>
        </w:rPr>
        <w:t xml:space="preserve"> and governing persons</w:t>
      </w:r>
      <w:r w:rsidRPr="00F7353C">
        <w:rPr>
          <w:bCs/>
        </w:rPr>
        <w:t xml:space="preserve"> should be sufficiently competent in their roles and be able to work in a safe </w:t>
      </w:r>
      <w:proofErr w:type="gramStart"/>
      <w:r w:rsidRPr="00F7353C">
        <w:rPr>
          <w:bCs/>
        </w:rPr>
        <w:t>manner;</w:t>
      </w:r>
      <w:proofErr w:type="gramEnd"/>
    </w:p>
    <w:p w14:paraId="453A51FA" w14:textId="77777777" w:rsidR="00906A8C" w:rsidRPr="00F7353C" w:rsidRDefault="00906A8C" w:rsidP="00906A8C">
      <w:pPr>
        <w:numPr>
          <w:ilvl w:val="0"/>
          <w:numId w:val="35"/>
        </w:numPr>
        <w:rPr>
          <w:bCs/>
        </w:rPr>
      </w:pPr>
      <w:r w:rsidRPr="00F7353C">
        <w:rPr>
          <w:bCs/>
        </w:rPr>
        <w:t xml:space="preserve">aged care workers should be appropriately qualified when delivering certain </w:t>
      </w:r>
      <w:r w:rsidR="005F56D3" w:rsidRPr="00F7353C">
        <w:rPr>
          <w:bCs/>
        </w:rPr>
        <w:t xml:space="preserve">care </w:t>
      </w:r>
      <w:r w:rsidRPr="00F7353C">
        <w:rPr>
          <w:bCs/>
        </w:rPr>
        <w:t>services; and</w:t>
      </w:r>
    </w:p>
    <w:p w14:paraId="6967AC20" w14:textId="77777777" w:rsidR="00906A8C" w:rsidRPr="00F7353C" w:rsidRDefault="00906A8C" w:rsidP="00906A8C">
      <w:pPr>
        <w:numPr>
          <w:ilvl w:val="0"/>
          <w:numId w:val="35"/>
        </w:numPr>
        <w:rPr>
          <w:bCs/>
        </w:rPr>
      </w:pPr>
      <w:r w:rsidRPr="00F7353C">
        <w:rPr>
          <w:bCs/>
        </w:rPr>
        <w:t>continuity of care to a care recipient is supported through accurate record keeping and information sharing between aged care workers</w:t>
      </w:r>
      <w:r w:rsidR="005F56D3" w:rsidRPr="00F7353C">
        <w:rPr>
          <w:bCs/>
        </w:rPr>
        <w:t xml:space="preserve"> and with governing persons</w:t>
      </w:r>
      <w:r w:rsidRPr="00F7353C">
        <w:rPr>
          <w:bCs/>
        </w:rPr>
        <w:t xml:space="preserve">. </w:t>
      </w:r>
    </w:p>
    <w:p w14:paraId="49432C54" w14:textId="77777777" w:rsidR="00906A8C" w:rsidRPr="00F7353C" w:rsidRDefault="00906A8C" w:rsidP="00906A8C"/>
    <w:p w14:paraId="31087127" w14:textId="1D494B65" w:rsidR="00906A8C" w:rsidRPr="00F7353C" w:rsidRDefault="00906A8C" w:rsidP="00906A8C">
      <w:pPr>
        <w:rPr>
          <w:bCs/>
        </w:rPr>
      </w:pPr>
      <w:r w:rsidRPr="00F7353C">
        <w:rPr>
          <w:bCs/>
        </w:rPr>
        <w:t xml:space="preserve">New subclause 1(e) requires that approved providers and their aged care workers and governing persons act with integrity, </w:t>
      </w:r>
      <w:proofErr w:type="gramStart"/>
      <w:r w:rsidRPr="00F7353C">
        <w:rPr>
          <w:bCs/>
        </w:rPr>
        <w:t>honesty</w:t>
      </w:r>
      <w:proofErr w:type="gramEnd"/>
      <w:r w:rsidRPr="00F7353C">
        <w:rPr>
          <w:bCs/>
        </w:rPr>
        <w:t xml:space="preserve"> and transparency. This </w:t>
      </w:r>
      <w:r w:rsidR="00771322" w:rsidRPr="00F7353C">
        <w:rPr>
          <w:bCs/>
        </w:rPr>
        <w:t xml:space="preserve">aims to </w:t>
      </w:r>
      <w:r w:rsidRPr="00F7353C">
        <w:rPr>
          <w:bCs/>
        </w:rPr>
        <w:t>promote trust-based relationships with care recipients.</w:t>
      </w:r>
    </w:p>
    <w:p w14:paraId="2BE9A875" w14:textId="77777777" w:rsidR="00906A8C" w:rsidRPr="00F7353C" w:rsidRDefault="00906A8C" w:rsidP="00906A8C"/>
    <w:p w14:paraId="3DF04853" w14:textId="56AFC59E" w:rsidR="00906A8C" w:rsidRPr="00F7353C" w:rsidRDefault="00906A8C" w:rsidP="00906A8C">
      <w:pPr>
        <w:rPr>
          <w:bCs/>
        </w:rPr>
      </w:pPr>
      <w:r w:rsidRPr="00F7353C">
        <w:rPr>
          <w:bCs/>
        </w:rPr>
        <w:t xml:space="preserve">New subclause 1(f) requires that approved providers and their aged care workers and governing persons must take prompt steps to raise and act on concerns about matters that </w:t>
      </w:r>
      <w:r w:rsidR="00771322" w:rsidRPr="00F7353C">
        <w:rPr>
          <w:bCs/>
        </w:rPr>
        <w:t xml:space="preserve">may </w:t>
      </w:r>
      <w:r w:rsidRPr="00F7353C">
        <w:rPr>
          <w:bCs/>
        </w:rPr>
        <w:t xml:space="preserve">impact the quality and safety of care, supports and services. This is intended to safeguard against unsafe or </w:t>
      </w:r>
      <w:proofErr w:type="gramStart"/>
      <w:r w:rsidRPr="00F7353C">
        <w:rPr>
          <w:bCs/>
        </w:rPr>
        <w:t>poor quality</w:t>
      </w:r>
      <w:proofErr w:type="gramEnd"/>
      <w:r w:rsidRPr="00F7353C">
        <w:rPr>
          <w:bCs/>
        </w:rPr>
        <w:t xml:space="preserve"> care through the early identification and notification of risks that may impact </w:t>
      </w:r>
      <w:r w:rsidR="00771322" w:rsidRPr="00F7353C">
        <w:rPr>
          <w:bCs/>
        </w:rPr>
        <w:t xml:space="preserve">the delivery of </w:t>
      </w:r>
      <w:r w:rsidRPr="00F7353C">
        <w:rPr>
          <w:bCs/>
        </w:rPr>
        <w:t xml:space="preserve">care </w:t>
      </w:r>
      <w:r w:rsidR="00771322" w:rsidRPr="00F7353C">
        <w:rPr>
          <w:bCs/>
        </w:rPr>
        <w:t>to care recipients</w:t>
      </w:r>
      <w:r w:rsidRPr="00F7353C">
        <w:rPr>
          <w:bCs/>
        </w:rPr>
        <w:t xml:space="preserve">. </w:t>
      </w:r>
    </w:p>
    <w:p w14:paraId="46137E5B" w14:textId="77777777" w:rsidR="00906A8C" w:rsidRPr="00F7353C" w:rsidRDefault="00906A8C" w:rsidP="00906A8C"/>
    <w:p w14:paraId="74E3399B" w14:textId="77777777" w:rsidR="00906A8C" w:rsidRPr="00F7353C" w:rsidRDefault="00906A8C" w:rsidP="00906A8C">
      <w:pPr>
        <w:rPr>
          <w:bCs/>
        </w:rPr>
      </w:pPr>
      <w:r w:rsidRPr="00F7353C">
        <w:rPr>
          <w:bCs/>
        </w:rPr>
        <w:t>New subclause 1(g) requires an approved provider and their aged care worker and governing persons to provide care</w:t>
      </w:r>
      <w:r w:rsidR="00771322" w:rsidRPr="00F7353C">
        <w:rPr>
          <w:bCs/>
        </w:rPr>
        <w:t>, supports</w:t>
      </w:r>
      <w:r w:rsidRPr="00F7353C">
        <w:rPr>
          <w:bCs/>
        </w:rPr>
        <w:t xml:space="preserve"> and services to care recipients free form all forms of violence, discrimination, exploitation, neglect, </w:t>
      </w:r>
      <w:proofErr w:type="gramStart"/>
      <w:r w:rsidRPr="00F7353C">
        <w:rPr>
          <w:bCs/>
        </w:rPr>
        <w:t>abuse</w:t>
      </w:r>
      <w:proofErr w:type="gramEnd"/>
      <w:r w:rsidRPr="00F7353C">
        <w:rPr>
          <w:bCs/>
        </w:rPr>
        <w:t xml:space="preserve"> and sexual misconduct. This includes: </w:t>
      </w:r>
    </w:p>
    <w:p w14:paraId="4C25D343" w14:textId="77777777" w:rsidR="00906A8C" w:rsidRPr="00F7353C" w:rsidRDefault="00906A8C" w:rsidP="00906A8C">
      <w:pPr>
        <w:pStyle w:val="mpcbullets1"/>
        <w:numPr>
          <w:ilvl w:val="0"/>
          <w:numId w:val="37"/>
        </w:numPr>
        <w:rPr>
          <w:rFonts w:ascii="Times New Roman" w:hAnsi="Times New Roman" w:cs="Times New Roman"/>
        </w:rPr>
      </w:pPr>
      <w:r w:rsidRPr="00F7353C">
        <w:rPr>
          <w:rFonts w:ascii="Times New Roman" w:hAnsi="Times New Roman" w:cs="Times New Roman"/>
        </w:rPr>
        <w:t>physical and verbal violence</w:t>
      </w:r>
      <w:r w:rsidR="00705DD3" w:rsidRPr="00F7353C">
        <w:rPr>
          <w:rFonts w:ascii="Times New Roman" w:hAnsi="Times New Roman" w:cs="Times New Roman"/>
        </w:rPr>
        <w:t xml:space="preserve">, including threats of </w:t>
      </w:r>
      <w:proofErr w:type="gramStart"/>
      <w:r w:rsidR="00705DD3" w:rsidRPr="00F7353C">
        <w:rPr>
          <w:rFonts w:ascii="Times New Roman" w:hAnsi="Times New Roman" w:cs="Times New Roman"/>
        </w:rPr>
        <w:t>violence</w:t>
      </w:r>
      <w:r w:rsidRPr="00F7353C">
        <w:rPr>
          <w:rFonts w:ascii="Times New Roman" w:hAnsi="Times New Roman" w:cs="Times New Roman"/>
        </w:rPr>
        <w:t>;</w:t>
      </w:r>
      <w:proofErr w:type="gramEnd"/>
    </w:p>
    <w:p w14:paraId="6226972A" w14:textId="303D33BD" w:rsidR="00906A8C" w:rsidRPr="00F7353C" w:rsidRDefault="00906A8C" w:rsidP="00906A8C">
      <w:pPr>
        <w:pStyle w:val="mpcbullets1"/>
        <w:numPr>
          <w:ilvl w:val="0"/>
          <w:numId w:val="37"/>
        </w:numPr>
        <w:rPr>
          <w:rFonts w:ascii="Times New Roman" w:hAnsi="Times New Roman" w:cs="Times New Roman"/>
        </w:rPr>
      </w:pPr>
      <w:r w:rsidRPr="00F7353C">
        <w:rPr>
          <w:rFonts w:ascii="Times New Roman" w:hAnsi="Times New Roman" w:cs="Times New Roman"/>
        </w:rPr>
        <w:t>coercive</w:t>
      </w:r>
      <w:r w:rsidR="00771322" w:rsidRPr="00F7353C">
        <w:rPr>
          <w:rFonts w:ascii="Times New Roman" w:hAnsi="Times New Roman" w:cs="Times New Roman"/>
        </w:rPr>
        <w:t xml:space="preserve"> and</w:t>
      </w:r>
      <w:r w:rsidRPr="00F7353C">
        <w:rPr>
          <w:rFonts w:ascii="Times New Roman" w:hAnsi="Times New Roman" w:cs="Times New Roman"/>
        </w:rPr>
        <w:t xml:space="preserve"> controlling </w:t>
      </w:r>
      <w:proofErr w:type="gramStart"/>
      <w:r w:rsidRPr="00F7353C">
        <w:rPr>
          <w:rFonts w:ascii="Times New Roman" w:hAnsi="Times New Roman" w:cs="Times New Roman"/>
        </w:rPr>
        <w:t>behaviours;</w:t>
      </w:r>
      <w:proofErr w:type="gramEnd"/>
    </w:p>
    <w:p w14:paraId="7D8220B0" w14:textId="2B42C0E5" w:rsidR="00906A8C" w:rsidRPr="00F7353C" w:rsidRDefault="00906A8C" w:rsidP="00906A8C">
      <w:pPr>
        <w:pStyle w:val="mpcbullets1"/>
        <w:numPr>
          <w:ilvl w:val="0"/>
          <w:numId w:val="37"/>
        </w:numPr>
        <w:rPr>
          <w:rFonts w:ascii="Times New Roman" w:hAnsi="Times New Roman" w:cs="Times New Roman"/>
        </w:rPr>
      </w:pPr>
      <w:r w:rsidRPr="00F7353C">
        <w:rPr>
          <w:rFonts w:ascii="Times New Roman" w:hAnsi="Times New Roman" w:cs="Times New Roman"/>
        </w:rPr>
        <w:t>any sexual act between a care recipient and an aged care worker</w:t>
      </w:r>
      <w:r w:rsidR="00771322" w:rsidRPr="00F7353C">
        <w:rPr>
          <w:rFonts w:ascii="Times New Roman" w:hAnsi="Times New Roman" w:cs="Times New Roman"/>
        </w:rPr>
        <w:t xml:space="preserve"> or governing </w:t>
      </w:r>
      <w:proofErr w:type="gramStart"/>
      <w:r w:rsidR="00771322" w:rsidRPr="00F7353C">
        <w:rPr>
          <w:rFonts w:ascii="Times New Roman" w:hAnsi="Times New Roman" w:cs="Times New Roman"/>
        </w:rPr>
        <w:t>person</w:t>
      </w:r>
      <w:r w:rsidRPr="00F7353C">
        <w:rPr>
          <w:rFonts w:ascii="Times New Roman" w:hAnsi="Times New Roman" w:cs="Times New Roman"/>
        </w:rPr>
        <w:t>;</w:t>
      </w:r>
      <w:proofErr w:type="gramEnd"/>
    </w:p>
    <w:p w14:paraId="042CF880" w14:textId="2E266BA5" w:rsidR="00906A8C" w:rsidRPr="00F7353C" w:rsidRDefault="00FB0EC5" w:rsidP="00906A8C">
      <w:pPr>
        <w:pStyle w:val="mpcbullets1"/>
        <w:numPr>
          <w:ilvl w:val="0"/>
          <w:numId w:val="37"/>
        </w:numPr>
        <w:rPr>
          <w:rFonts w:ascii="Times New Roman" w:hAnsi="Times New Roman" w:cs="Times New Roman"/>
        </w:rPr>
      </w:pPr>
      <w:r w:rsidRPr="00F7353C">
        <w:rPr>
          <w:rFonts w:ascii="Times New Roman" w:hAnsi="Times New Roman" w:cs="Times New Roman"/>
        </w:rPr>
        <w:t xml:space="preserve">unlawful </w:t>
      </w:r>
      <w:r w:rsidR="00906A8C" w:rsidRPr="00F7353C">
        <w:rPr>
          <w:rFonts w:ascii="Times New Roman" w:hAnsi="Times New Roman" w:cs="Times New Roman"/>
        </w:rPr>
        <w:t xml:space="preserve">use of </w:t>
      </w:r>
      <w:r w:rsidRPr="00F7353C">
        <w:rPr>
          <w:rFonts w:ascii="Times New Roman" w:hAnsi="Times New Roman" w:cs="Times New Roman"/>
        </w:rPr>
        <w:t xml:space="preserve">a </w:t>
      </w:r>
      <w:r w:rsidR="00906A8C" w:rsidRPr="00F7353C">
        <w:rPr>
          <w:rFonts w:ascii="Times New Roman" w:hAnsi="Times New Roman" w:cs="Times New Roman"/>
        </w:rPr>
        <w:t xml:space="preserve">restrictive </w:t>
      </w:r>
      <w:proofErr w:type="gramStart"/>
      <w:r w:rsidR="00906A8C" w:rsidRPr="00F7353C">
        <w:rPr>
          <w:rFonts w:ascii="Times New Roman" w:hAnsi="Times New Roman" w:cs="Times New Roman"/>
        </w:rPr>
        <w:t>practice;</w:t>
      </w:r>
      <w:proofErr w:type="gramEnd"/>
      <w:r w:rsidR="00906A8C" w:rsidRPr="00F7353C">
        <w:rPr>
          <w:rFonts w:ascii="Times New Roman" w:hAnsi="Times New Roman" w:cs="Times New Roman"/>
        </w:rPr>
        <w:t xml:space="preserve"> </w:t>
      </w:r>
    </w:p>
    <w:p w14:paraId="4C460404" w14:textId="77777777" w:rsidR="00906A8C" w:rsidRPr="00F7353C" w:rsidRDefault="00906A8C" w:rsidP="00906A8C">
      <w:pPr>
        <w:pStyle w:val="mpcbullets1"/>
        <w:numPr>
          <w:ilvl w:val="0"/>
          <w:numId w:val="37"/>
        </w:numPr>
        <w:rPr>
          <w:rFonts w:ascii="Times New Roman" w:hAnsi="Times New Roman" w:cs="Times New Roman"/>
        </w:rPr>
      </w:pPr>
      <w:r w:rsidRPr="00F7353C">
        <w:rPr>
          <w:rFonts w:ascii="Times New Roman" w:hAnsi="Times New Roman" w:cs="Times New Roman"/>
        </w:rPr>
        <w:t xml:space="preserve">financial abuse or </w:t>
      </w:r>
      <w:proofErr w:type="gramStart"/>
      <w:r w:rsidRPr="00F7353C">
        <w:rPr>
          <w:rFonts w:ascii="Times New Roman" w:hAnsi="Times New Roman" w:cs="Times New Roman"/>
        </w:rPr>
        <w:t>exploitation;</w:t>
      </w:r>
      <w:proofErr w:type="gramEnd"/>
    </w:p>
    <w:p w14:paraId="3514EC2A" w14:textId="77777777" w:rsidR="00906A8C" w:rsidRPr="00F7353C" w:rsidRDefault="00906A8C" w:rsidP="00906A8C">
      <w:pPr>
        <w:pStyle w:val="mpcbullets1"/>
        <w:numPr>
          <w:ilvl w:val="0"/>
          <w:numId w:val="37"/>
        </w:numPr>
        <w:rPr>
          <w:rFonts w:ascii="Times New Roman" w:hAnsi="Times New Roman" w:cs="Times New Roman"/>
        </w:rPr>
      </w:pPr>
      <w:r w:rsidRPr="00F7353C">
        <w:rPr>
          <w:rFonts w:ascii="Times New Roman" w:hAnsi="Times New Roman" w:cs="Times New Roman"/>
        </w:rPr>
        <w:t>physical and emotional neglect; and</w:t>
      </w:r>
    </w:p>
    <w:p w14:paraId="7EB4D182" w14:textId="77777777" w:rsidR="00906A8C" w:rsidRPr="00F7353C" w:rsidRDefault="00906A8C" w:rsidP="00906A8C">
      <w:pPr>
        <w:pStyle w:val="mpcbullets1"/>
        <w:numPr>
          <w:ilvl w:val="0"/>
          <w:numId w:val="37"/>
        </w:numPr>
        <w:rPr>
          <w:rFonts w:ascii="Times New Roman" w:hAnsi="Times New Roman" w:cs="Times New Roman"/>
        </w:rPr>
      </w:pPr>
      <w:r w:rsidRPr="00F7353C">
        <w:rPr>
          <w:rFonts w:ascii="Times New Roman" w:hAnsi="Times New Roman" w:cs="Times New Roman"/>
        </w:rPr>
        <w:t>passive neglect and wilful deprivation.</w:t>
      </w:r>
    </w:p>
    <w:p w14:paraId="79D668A7" w14:textId="77777777" w:rsidR="00906A8C" w:rsidRPr="00F7353C" w:rsidRDefault="00906A8C" w:rsidP="00906A8C">
      <w:pPr>
        <w:rPr>
          <w:bCs/>
        </w:rPr>
      </w:pPr>
    </w:p>
    <w:p w14:paraId="3179B565" w14:textId="77777777" w:rsidR="00906A8C" w:rsidRPr="00F7353C" w:rsidRDefault="00906A8C" w:rsidP="00906A8C">
      <w:pPr>
        <w:rPr>
          <w:bCs/>
        </w:rPr>
      </w:pPr>
      <w:r w:rsidRPr="00F7353C">
        <w:rPr>
          <w:bCs/>
        </w:rPr>
        <w:t xml:space="preserve">New subclause 1(h) </w:t>
      </w:r>
      <w:bookmarkStart w:id="0" w:name="_Hlk118194740"/>
      <w:r w:rsidRPr="00F7353C">
        <w:rPr>
          <w:bCs/>
        </w:rPr>
        <w:t xml:space="preserve">requires approved providers and their aged care workers and governing persons to take all reasonable steps to prevent and respond to all forms of violence, discrimination, exploitation, neglect, </w:t>
      </w:r>
      <w:proofErr w:type="gramStart"/>
      <w:r w:rsidRPr="00F7353C">
        <w:rPr>
          <w:bCs/>
        </w:rPr>
        <w:t>abuse</w:t>
      </w:r>
      <w:proofErr w:type="gramEnd"/>
      <w:r w:rsidRPr="00F7353C">
        <w:rPr>
          <w:bCs/>
        </w:rPr>
        <w:t xml:space="preserve"> and sexual misconduct. </w:t>
      </w:r>
    </w:p>
    <w:bookmarkEnd w:id="0"/>
    <w:p w14:paraId="2530BEBB" w14:textId="77777777" w:rsidR="00906A8C" w:rsidRPr="00F7353C" w:rsidRDefault="00906A8C" w:rsidP="00906A8C">
      <w:pPr>
        <w:rPr>
          <w:bCs/>
        </w:rPr>
      </w:pPr>
    </w:p>
    <w:p w14:paraId="5A11DA02" w14:textId="143695A3" w:rsidR="00906A8C" w:rsidRPr="00F7353C" w:rsidRDefault="00906A8C" w:rsidP="00906A8C">
      <w:r w:rsidRPr="00F7353C">
        <w:rPr>
          <w:bCs/>
        </w:rPr>
        <w:t>The meaning of “sexual misconduct” in subclauses 1(g)(ii) and 1(h)(ii)</w:t>
      </w:r>
      <w:r w:rsidRPr="00F7353C">
        <w:t xml:space="preserve"> is </w:t>
      </w:r>
      <w:r w:rsidR="00E2466A" w:rsidRPr="00F7353C">
        <w:t xml:space="preserve">intended to be </w:t>
      </w:r>
      <w:r w:rsidRPr="00F7353C">
        <w:t xml:space="preserve">consistent with the </w:t>
      </w:r>
      <w:r w:rsidR="00E2466A" w:rsidRPr="00F7353C">
        <w:t xml:space="preserve">meaning of “unlawful sexual contact or inappropriate sexual conduct” referred to in </w:t>
      </w:r>
      <w:r w:rsidRPr="00F7353C">
        <w:t>section 54-3</w:t>
      </w:r>
      <w:r w:rsidR="00A50FB3" w:rsidRPr="00F7353C">
        <w:t>(2)(b)</w:t>
      </w:r>
      <w:r w:rsidRPr="00F7353C">
        <w:t xml:space="preserve"> of the Aged Care Act and section</w:t>
      </w:r>
      <w:r w:rsidR="00E2466A" w:rsidRPr="00F7353C">
        <w:t> </w:t>
      </w:r>
      <w:r w:rsidRPr="00F7353C">
        <w:t>15</w:t>
      </w:r>
      <w:proofErr w:type="gramStart"/>
      <w:r w:rsidRPr="00F7353C">
        <w:t>NA(</w:t>
      </w:r>
      <w:proofErr w:type="gramEnd"/>
      <w:r w:rsidRPr="00F7353C">
        <w:t xml:space="preserve">4) of the </w:t>
      </w:r>
      <w:r w:rsidRPr="00F7353C">
        <w:rPr>
          <w:i/>
          <w:iCs/>
        </w:rPr>
        <w:t>Quality of Care Principles 2014</w:t>
      </w:r>
      <w:r w:rsidRPr="00F7353C">
        <w:t xml:space="preserve">. This includes any unwelcome acts or behaviours that are sexual in nature. Both physical and verbal actions </w:t>
      </w:r>
      <w:r w:rsidR="00E2466A" w:rsidRPr="00F7353C">
        <w:t>that a</w:t>
      </w:r>
      <w:r w:rsidR="00F4297C" w:rsidRPr="00F7353C">
        <w:t>re</w:t>
      </w:r>
      <w:r w:rsidR="00E2466A" w:rsidRPr="00F7353C">
        <w:t xml:space="preserve"> sexual in nature, </w:t>
      </w:r>
      <w:r w:rsidRPr="00F7353C">
        <w:t>committed without consent</w:t>
      </w:r>
      <w:r w:rsidR="00E2466A" w:rsidRPr="00F7353C">
        <w:t>, including</w:t>
      </w:r>
      <w:r w:rsidRPr="00F7353C">
        <w:t xml:space="preserve"> by force, intimidation, </w:t>
      </w:r>
      <w:proofErr w:type="gramStart"/>
      <w:r w:rsidRPr="00F7353C">
        <w:t>coercion</w:t>
      </w:r>
      <w:proofErr w:type="gramEnd"/>
      <w:r w:rsidRPr="00F7353C">
        <w:t xml:space="preserve"> or manipulation</w:t>
      </w:r>
      <w:r w:rsidR="00E2466A" w:rsidRPr="00F7353C">
        <w:t>,</w:t>
      </w:r>
      <w:r w:rsidRPr="00F7353C">
        <w:t xml:space="preserve"> are considered sexual misconduct. </w:t>
      </w:r>
    </w:p>
    <w:p w14:paraId="79E562E7" w14:textId="77777777" w:rsidR="00906A8C" w:rsidRPr="00F7353C" w:rsidRDefault="00906A8C" w:rsidP="00906A8C">
      <w:pPr>
        <w:rPr>
          <w:b/>
        </w:rPr>
      </w:pPr>
    </w:p>
    <w:p w14:paraId="7010327F" w14:textId="77777777" w:rsidR="00906A8C" w:rsidRPr="00F7353C" w:rsidRDefault="00906A8C" w:rsidP="00906A8C">
      <w:pPr>
        <w:rPr>
          <w:bCs/>
          <w:u w:val="single"/>
        </w:rPr>
      </w:pPr>
      <w:r w:rsidRPr="00F7353C">
        <w:rPr>
          <w:bCs/>
          <w:u w:val="single"/>
        </w:rPr>
        <w:t>Clause 2 – Application to approved providers and aged care workers and governing persons of approved providers</w:t>
      </w:r>
      <w:r w:rsidR="00E2466A" w:rsidRPr="00F7353C">
        <w:rPr>
          <w:bCs/>
          <w:u w:val="single"/>
        </w:rPr>
        <w:t xml:space="preserve"> </w:t>
      </w:r>
    </w:p>
    <w:p w14:paraId="386E38A2" w14:textId="77777777" w:rsidR="00906A8C" w:rsidRPr="00F7353C" w:rsidRDefault="00906A8C" w:rsidP="00906A8C">
      <w:pPr>
        <w:rPr>
          <w:b/>
        </w:rPr>
      </w:pPr>
    </w:p>
    <w:p w14:paraId="777F7A7C" w14:textId="77777777" w:rsidR="00906A8C" w:rsidRPr="00F7353C" w:rsidRDefault="00906A8C" w:rsidP="00906A8C">
      <w:pPr>
        <w:rPr>
          <w:bCs/>
        </w:rPr>
      </w:pPr>
      <w:r w:rsidRPr="00F7353C">
        <w:rPr>
          <w:bCs/>
        </w:rPr>
        <w:t xml:space="preserve">New subclause 2(1) of </w:t>
      </w:r>
      <w:r w:rsidR="00E2466A" w:rsidRPr="00F7353C">
        <w:rPr>
          <w:bCs/>
        </w:rPr>
        <w:t xml:space="preserve">new </w:t>
      </w:r>
      <w:r w:rsidRPr="00F7353C">
        <w:rPr>
          <w:bCs/>
        </w:rPr>
        <w:t>Schedule 1 provides that the provisions of the Code of Conduct set out in new clause 1 above apply as if the references to:</w:t>
      </w:r>
    </w:p>
    <w:p w14:paraId="708AECDE" w14:textId="77777777" w:rsidR="00906A8C" w:rsidRPr="00F7353C" w:rsidRDefault="00906A8C" w:rsidP="00906A8C">
      <w:pPr>
        <w:pStyle w:val="mpcbullets1"/>
        <w:numPr>
          <w:ilvl w:val="0"/>
          <w:numId w:val="37"/>
        </w:numPr>
        <w:rPr>
          <w:rFonts w:ascii="Times New Roman" w:hAnsi="Times New Roman" w:cs="Times New Roman"/>
        </w:rPr>
      </w:pPr>
      <w:r w:rsidRPr="00F7353C">
        <w:rPr>
          <w:rFonts w:ascii="Times New Roman" w:hAnsi="Times New Roman" w:cs="Times New Roman"/>
        </w:rPr>
        <w:t>“</w:t>
      </w:r>
      <w:proofErr w:type="gramStart"/>
      <w:r w:rsidRPr="00F7353C">
        <w:rPr>
          <w:rFonts w:ascii="Times New Roman" w:hAnsi="Times New Roman" w:cs="Times New Roman"/>
        </w:rPr>
        <w:t>care</w:t>
      </w:r>
      <w:proofErr w:type="gramEnd"/>
      <w:r w:rsidRPr="00F7353C">
        <w:rPr>
          <w:rFonts w:ascii="Times New Roman" w:hAnsi="Times New Roman" w:cs="Times New Roman"/>
        </w:rPr>
        <w:t xml:space="preserve">, supports and services” means care, including aged care; </w:t>
      </w:r>
    </w:p>
    <w:p w14:paraId="1CADEA60" w14:textId="77777777" w:rsidR="00906A8C" w:rsidRPr="00F7353C" w:rsidRDefault="00906A8C" w:rsidP="00906A8C">
      <w:pPr>
        <w:pStyle w:val="mpcbullets1"/>
        <w:numPr>
          <w:ilvl w:val="0"/>
          <w:numId w:val="37"/>
        </w:numPr>
        <w:rPr>
          <w:rFonts w:ascii="Times New Roman" w:hAnsi="Times New Roman" w:cs="Times New Roman"/>
        </w:rPr>
      </w:pPr>
      <w:r w:rsidRPr="00F7353C">
        <w:rPr>
          <w:rFonts w:ascii="Times New Roman" w:hAnsi="Times New Roman" w:cs="Times New Roman"/>
        </w:rPr>
        <w:t>“people” refers to care recipients; and</w:t>
      </w:r>
    </w:p>
    <w:p w14:paraId="7B38F2B5" w14:textId="0D173D7F" w:rsidR="00906A8C" w:rsidRPr="00F7353C" w:rsidRDefault="00906A8C" w:rsidP="00EF5AD1">
      <w:pPr>
        <w:pStyle w:val="mpcbullets1"/>
        <w:numPr>
          <w:ilvl w:val="0"/>
          <w:numId w:val="37"/>
        </w:numPr>
        <w:rPr>
          <w:bCs/>
        </w:rPr>
      </w:pPr>
      <w:r w:rsidRPr="00F7353C">
        <w:rPr>
          <w:rFonts w:ascii="Times New Roman" w:hAnsi="Times New Roman" w:cs="Times New Roman"/>
        </w:rPr>
        <w:t xml:space="preserve">“I” refers to an approved provider and aged care workers and governing persons of approved providers. </w:t>
      </w:r>
    </w:p>
    <w:p w14:paraId="43CAA441" w14:textId="77777777" w:rsidR="00906A8C" w:rsidRPr="00F7353C" w:rsidRDefault="00906A8C" w:rsidP="00906A8C">
      <w:pPr>
        <w:rPr>
          <w:bCs/>
        </w:rPr>
      </w:pPr>
    </w:p>
    <w:p w14:paraId="500C2622" w14:textId="457DAC07" w:rsidR="00906A8C" w:rsidRPr="00F7353C" w:rsidRDefault="00906A8C" w:rsidP="00906A8C">
      <w:pPr>
        <w:rPr>
          <w:bCs/>
        </w:rPr>
      </w:pPr>
      <w:r w:rsidRPr="00F7353C">
        <w:rPr>
          <w:bCs/>
        </w:rPr>
        <w:t>Subclause 2(2) makes clear that the Code of Conduct applies to a governing person of an approved provider in relation to the governing person</w:t>
      </w:r>
      <w:r w:rsidR="00551960" w:rsidRPr="00F7353C">
        <w:rPr>
          <w:bCs/>
        </w:rPr>
        <w:t>’</w:t>
      </w:r>
      <w:r w:rsidRPr="00F7353C">
        <w:rPr>
          <w:bCs/>
        </w:rPr>
        <w:t>s performance in their capacity as a governing person and in respect of their responsibilities and functions as a governing person</w:t>
      </w:r>
      <w:r w:rsidR="00551960" w:rsidRPr="00F7353C">
        <w:rPr>
          <w:bCs/>
        </w:rPr>
        <w:t xml:space="preserve"> in relation to the provision of care, supports and services</w:t>
      </w:r>
      <w:r w:rsidRPr="00F7353C">
        <w:rPr>
          <w:bCs/>
        </w:rPr>
        <w:t>.</w:t>
      </w:r>
    </w:p>
    <w:p w14:paraId="7D1FBBFE" w14:textId="77777777" w:rsidR="00C56625" w:rsidRPr="00F7353C" w:rsidRDefault="00C56625" w:rsidP="00906A8C">
      <w:pPr>
        <w:rPr>
          <w:bCs/>
        </w:rPr>
      </w:pPr>
    </w:p>
    <w:p w14:paraId="457BF0B7" w14:textId="77777777" w:rsidR="00C56625" w:rsidRPr="00F7353C" w:rsidRDefault="00C56625" w:rsidP="00906A8C">
      <w:pPr>
        <w:rPr>
          <w:bCs/>
        </w:rPr>
      </w:pPr>
      <w:r w:rsidRPr="00F7353C">
        <w:rPr>
          <w:bCs/>
        </w:rPr>
        <w:t xml:space="preserve">A note is included at the end of new clause 2 to clarify that the definitions of “approved provider”, “aged care worker” and “governing person” are set out in section 7 of the Commission Act. </w:t>
      </w:r>
    </w:p>
    <w:p w14:paraId="3ECE769F" w14:textId="77777777" w:rsidR="00906A8C" w:rsidRPr="00F7353C" w:rsidRDefault="00906A8C" w:rsidP="00906A8C">
      <w:pPr>
        <w:rPr>
          <w:b/>
        </w:rPr>
      </w:pPr>
    </w:p>
    <w:p w14:paraId="11A978F2" w14:textId="77777777" w:rsidR="00906A8C" w:rsidRPr="00F7353C" w:rsidRDefault="00906A8C" w:rsidP="00906A8C">
      <w:pPr>
        <w:keepNext/>
        <w:rPr>
          <w:b/>
          <w:bCs/>
          <w:color w:val="000000"/>
          <w:shd w:val="clear" w:color="auto" w:fill="FFFFFF"/>
        </w:rPr>
      </w:pPr>
      <w:r w:rsidRPr="00F7353C">
        <w:rPr>
          <w:b/>
          <w:bCs/>
          <w:color w:val="000000"/>
          <w:shd w:val="clear" w:color="auto" w:fill="FFFFFF"/>
        </w:rPr>
        <w:lastRenderedPageBreak/>
        <w:t>Schedule 2 – Other amendments</w:t>
      </w:r>
    </w:p>
    <w:p w14:paraId="2D91A4D2" w14:textId="77777777" w:rsidR="00906A8C" w:rsidRPr="00F7353C" w:rsidRDefault="00906A8C" w:rsidP="00906A8C">
      <w:pPr>
        <w:keepNext/>
        <w:rPr>
          <w:b/>
          <w:bCs/>
          <w:color w:val="000000"/>
          <w:shd w:val="clear" w:color="auto" w:fill="FFFFFF"/>
        </w:rPr>
      </w:pPr>
    </w:p>
    <w:p w14:paraId="476CDC03" w14:textId="77777777" w:rsidR="00906A8C" w:rsidRPr="00F7353C" w:rsidRDefault="00906A8C" w:rsidP="00906A8C">
      <w:pPr>
        <w:keepNext/>
        <w:rPr>
          <w:b/>
          <w:i/>
          <w:iCs/>
        </w:rPr>
      </w:pPr>
      <w:r w:rsidRPr="00F7353C">
        <w:rPr>
          <w:b/>
          <w:i/>
          <w:iCs/>
        </w:rPr>
        <w:t>Aged Care Quality and Safety Commission Rules 2018</w:t>
      </w:r>
    </w:p>
    <w:p w14:paraId="3641431F" w14:textId="77777777" w:rsidR="00906A8C" w:rsidRPr="00F7353C" w:rsidRDefault="00906A8C" w:rsidP="00906A8C">
      <w:pPr>
        <w:keepNext/>
        <w:rPr>
          <w:bCs/>
        </w:rPr>
      </w:pPr>
    </w:p>
    <w:p w14:paraId="00B8C28C" w14:textId="345B97E1" w:rsidR="00906A8C" w:rsidRPr="00F7353C" w:rsidRDefault="00906A8C" w:rsidP="00906A8C">
      <w:pPr>
        <w:rPr>
          <w:bCs/>
        </w:rPr>
      </w:pPr>
      <w:r w:rsidRPr="00F7353C">
        <w:rPr>
          <w:b/>
        </w:rPr>
        <w:t>Item 1</w:t>
      </w:r>
      <w:r w:rsidRPr="00F7353C">
        <w:rPr>
          <w:bCs/>
        </w:rPr>
        <w:t xml:space="preserve"> inserts “or documents” after “information” in paragraph 15(3)(c) of the Commission Rules. This amendment </w:t>
      </w:r>
      <w:r w:rsidR="00006048" w:rsidRPr="00F7353C">
        <w:rPr>
          <w:bCs/>
        </w:rPr>
        <w:t xml:space="preserve">clarifies that </w:t>
      </w:r>
      <w:r w:rsidRPr="00F7353C">
        <w:rPr>
          <w:bCs/>
        </w:rPr>
        <w:t xml:space="preserve">the Commissioner </w:t>
      </w:r>
      <w:r w:rsidR="00F9363E" w:rsidRPr="00F7353C">
        <w:rPr>
          <w:bCs/>
        </w:rPr>
        <w:t>can</w:t>
      </w:r>
      <w:r w:rsidRPr="00F7353C">
        <w:rPr>
          <w:bCs/>
        </w:rPr>
        <w:t xml:space="preserve"> specifically request documents from any person when </w:t>
      </w:r>
      <w:proofErr w:type="gramStart"/>
      <w:r w:rsidRPr="00F7353C">
        <w:rPr>
          <w:bCs/>
        </w:rPr>
        <w:t>taking action</w:t>
      </w:r>
      <w:proofErr w:type="gramEnd"/>
      <w:r w:rsidRPr="00F7353C">
        <w:rPr>
          <w:bCs/>
        </w:rPr>
        <w:t xml:space="preserve"> under subsection 15(2) of the Commission Rules when participating in a complaints resolution process. This amendment has been made for clarity and consistency.</w:t>
      </w:r>
    </w:p>
    <w:p w14:paraId="4B0C36DF" w14:textId="77777777" w:rsidR="00906A8C" w:rsidRPr="00F7353C" w:rsidRDefault="00906A8C" w:rsidP="00906A8C">
      <w:pPr>
        <w:rPr>
          <w:bCs/>
        </w:rPr>
      </w:pPr>
    </w:p>
    <w:p w14:paraId="2EA1E3D4" w14:textId="11163BC1" w:rsidR="00906A8C" w:rsidRPr="00F7353C" w:rsidRDefault="00906A8C" w:rsidP="00906A8C">
      <w:pPr>
        <w:rPr>
          <w:b/>
          <w:bCs/>
        </w:rPr>
      </w:pPr>
      <w:r w:rsidRPr="00F7353C">
        <w:rPr>
          <w:b/>
        </w:rPr>
        <w:t xml:space="preserve">Item 2 </w:t>
      </w:r>
      <w:r w:rsidRPr="00F7353C">
        <w:rPr>
          <w:bCs/>
        </w:rPr>
        <w:t xml:space="preserve">omits the words </w:t>
      </w:r>
      <w:r w:rsidRPr="00F7353C">
        <w:t xml:space="preserve">“information that is” from paragraph 95H(4)(b) of the Commission Rules, and substitutes “information or documents that are” in its place. </w:t>
      </w:r>
      <w:r w:rsidRPr="00F7353C">
        <w:rPr>
          <w:bCs/>
        </w:rPr>
        <w:t xml:space="preserve">This amendment will </w:t>
      </w:r>
      <w:r w:rsidR="00006048" w:rsidRPr="00F7353C">
        <w:rPr>
          <w:bCs/>
        </w:rPr>
        <w:t xml:space="preserve">clarify that </w:t>
      </w:r>
      <w:r w:rsidRPr="00F7353C">
        <w:rPr>
          <w:bCs/>
        </w:rPr>
        <w:t xml:space="preserve">the Commissioner </w:t>
      </w:r>
      <w:r w:rsidR="00006048" w:rsidRPr="00F7353C">
        <w:rPr>
          <w:bCs/>
        </w:rPr>
        <w:t xml:space="preserve">can </w:t>
      </w:r>
      <w:r w:rsidRPr="00F7353C">
        <w:rPr>
          <w:bCs/>
        </w:rPr>
        <w:t>request documents from any person that are relevant to an inquiry being carried out in relation to reportable incidents under section 95H of the Commission Rules. This amendment has been made for clarity and consistency.</w:t>
      </w:r>
    </w:p>
    <w:p w14:paraId="13AE00A7" w14:textId="77777777" w:rsidR="00906A8C" w:rsidRPr="00F7353C" w:rsidRDefault="00906A8C" w:rsidP="00906A8C"/>
    <w:p w14:paraId="155BC8D5" w14:textId="77777777" w:rsidR="00906A8C" w:rsidRPr="00F7353C" w:rsidRDefault="00906A8C" w:rsidP="00906A8C"/>
    <w:p w14:paraId="7D3455C3" w14:textId="77777777" w:rsidR="00906A8C" w:rsidRPr="00F7353C" w:rsidRDefault="00906A8C" w:rsidP="00906A8C">
      <w:pPr>
        <w:jc w:val="center"/>
        <w:rPr>
          <w:b/>
        </w:rPr>
      </w:pPr>
      <w:r w:rsidRPr="00F7353C">
        <w:rPr>
          <w:b/>
        </w:rPr>
        <w:br w:type="page"/>
      </w:r>
      <w:r w:rsidRPr="00F7353C">
        <w:rPr>
          <w:b/>
        </w:rPr>
        <w:lastRenderedPageBreak/>
        <w:t>Statement of Compatibility with Human Rights</w:t>
      </w:r>
    </w:p>
    <w:p w14:paraId="5BCB177E" w14:textId="77777777" w:rsidR="00906A8C" w:rsidRPr="00F7353C" w:rsidRDefault="00906A8C" w:rsidP="00906A8C">
      <w:pPr>
        <w:jc w:val="center"/>
        <w:rPr>
          <w:b/>
        </w:rPr>
      </w:pPr>
    </w:p>
    <w:p w14:paraId="19512E25" w14:textId="77777777" w:rsidR="00906A8C" w:rsidRPr="00F7353C" w:rsidRDefault="00906A8C" w:rsidP="00906A8C">
      <w:pPr>
        <w:jc w:val="center"/>
        <w:rPr>
          <w:i/>
        </w:rPr>
      </w:pPr>
      <w:r w:rsidRPr="00F7353C">
        <w:rPr>
          <w:i/>
        </w:rPr>
        <w:t>Prepared in accordance with Part 3 of the Human Rights (Parliamentary Scrutiny) Act 2011</w:t>
      </w:r>
    </w:p>
    <w:p w14:paraId="5A63EE19" w14:textId="77777777" w:rsidR="00906A8C" w:rsidRPr="00F7353C" w:rsidRDefault="00906A8C" w:rsidP="00906A8C">
      <w:pPr>
        <w:jc w:val="center"/>
      </w:pPr>
    </w:p>
    <w:p w14:paraId="46B218D0" w14:textId="77777777" w:rsidR="00906A8C" w:rsidRPr="00F7353C" w:rsidRDefault="00906A8C" w:rsidP="00906A8C">
      <w:pPr>
        <w:jc w:val="center"/>
      </w:pPr>
      <w:r w:rsidRPr="00F7353C">
        <w:rPr>
          <w:b/>
          <w:i/>
        </w:rPr>
        <w:t>Aged Care Quality and Safety Commission Amendment (Code of Conduct and Banning Orders) Rules 2022</w:t>
      </w:r>
    </w:p>
    <w:p w14:paraId="396EB456" w14:textId="77777777" w:rsidR="00906A8C" w:rsidRPr="00F7353C" w:rsidRDefault="00906A8C" w:rsidP="00906A8C"/>
    <w:p w14:paraId="670919BC" w14:textId="77777777" w:rsidR="00906A8C" w:rsidRPr="00F7353C" w:rsidRDefault="00906A8C" w:rsidP="00906A8C">
      <w:r w:rsidRPr="00F7353C">
        <w:t xml:space="preserve">This legislative instrument </w:t>
      </w:r>
      <w:r w:rsidRPr="00F7353C">
        <w:rPr>
          <w:bCs/>
        </w:rPr>
        <w:t>is</w:t>
      </w:r>
      <w:r w:rsidRPr="00F7353C">
        <w:t xml:space="preserve"> compatible with human rights and freedoms recognised or declared in the international instruments listed in section 3 of the </w:t>
      </w:r>
      <w:r w:rsidRPr="00F7353C">
        <w:rPr>
          <w:i/>
        </w:rPr>
        <w:t>Human Rights (Parliamentary Scrutiny) Act 2011</w:t>
      </w:r>
      <w:r w:rsidRPr="00F7353C">
        <w:t>.</w:t>
      </w:r>
    </w:p>
    <w:p w14:paraId="632D40F9" w14:textId="77777777" w:rsidR="00906A8C" w:rsidRPr="00F7353C" w:rsidRDefault="00906A8C" w:rsidP="00906A8C"/>
    <w:p w14:paraId="5A227E13" w14:textId="77777777" w:rsidR="00906A8C" w:rsidRPr="00F7353C" w:rsidRDefault="00906A8C" w:rsidP="00906A8C">
      <w:pPr>
        <w:rPr>
          <w:b/>
          <w:bCs/>
        </w:rPr>
      </w:pPr>
      <w:r w:rsidRPr="00F7353C">
        <w:rPr>
          <w:b/>
          <w:bCs/>
        </w:rPr>
        <w:t xml:space="preserve">Overview of the Instrument </w:t>
      </w:r>
    </w:p>
    <w:p w14:paraId="784B9523" w14:textId="77777777" w:rsidR="00906A8C" w:rsidRPr="00F7353C" w:rsidRDefault="00906A8C" w:rsidP="00906A8C">
      <w:pPr>
        <w:autoSpaceDE w:val="0"/>
        <w:autoSpaceDN w:val="0"/>
        <w:adjustRightInd w:val="0"/>
      </w:pPr>
    </w:p>
    <w:p w14:paraId="691CD012" w14:textId="77777777" w:rsidR="00F4297C" w:rsidRPr="00F7353C" w:rsidRDefault="00F4297C" w:rsidP="00F4297C">
      <w:pPr>
        <w:rPr>
          <w:bCs/>
        </w:rPr>
      </w:pPr>
      <w:r w:rsidRPr="00F7353C">
        <w:t xml:space="preserve">The purpose of the </w:t>
      </w:r>
      <w:r w:rsidRPr="00F7353C">
        <w:rPr>
          <w:i/>
          <w:iCs/>
        </w:rPr>
        <w:t>Aged Care Quality and Safety Commission Amendment (Code of Conduct and Banning Orders) Rules 2022</w:t>
      </w:r>
      <w:r w:rsidRPr="00F7353C">
        <w:t xml:space="preserve"> (Instrument) is to</w:t>
      </w:r>
      <w:r w:rsidRPr="00F7353C">
        <w:rPr>
          <w:iCs/>
        </w:rPr>
        <w:t xml:space="preserve"> amend the </w:t>
      </w:r>
      <w:r w:rsidRPr="00F7353C">
        <w:rPr>
          <w:bCs/>
          <w:i/>
          <w:iCs/>
        </w:rPr>
        <w:t xml:space="preserve">Aged Care Quality and Safety Commission Rules 2018 </w:t>
      </w:r>
      <w:r w:rsidRPr="00F7353C">
        <w:rPr>
          <w:bCs/>
        </w:rPr>
        <w:t xml:space="preserve">(Commission Rules) to make provision for the Code of Conduct for Aged Care (Code of Conduct). The Code of Conduct establishes minimum standards of conduct for approved providers and their aged care workers and governing persons. </w:t>
      </w:r>
    </w:p>
    <w:p w14:paraId="1167284B" w14:textId="77777777" w:rsidR="00F4297C" w:rsidRPr="00F7353C" w:rsidRDefault="00F4297C" w:rsidP="00F4297C">
      <w:pPr>
        <w:rPr>
          <w:bCs/>
        </w:rPr>
      </w:pPr>
    </w:p>
    <w:p w14:paraId="3D819259" w14:textId="77777777" w:rsidR="00F4297C" w:rsidRPr="00F7353C" w:rsidRDefault="00F4297C" w:rsidP="00F4297C">
      <w:pPr>
        <w:rPr>
          <w:bCs/>
        </w:rPr>
      </w:pPr>
      <w:r w:rsidRPr="00F7353C">
        <w:rPr>
          <w:bCs/>
        </w:rPr>
        <w:t xml:space="preserve">The Instrument also makes provision for the Aged Care Quality and Safety Commissioner (Commissioner) to </w:t>
      </w:r>
      <w:proofErr w:type="gramStart"/>
      <w:r w:rsidRPr="00F7353C">
        <w:rPr>
          <w:bCs/>
        </w:rPr>
        <w:t>take action</w:t>
      </w:r>
      <w:proofErr w:type="gramEnd"/>
      <w:r w:rsidRPr="00F7353C">
        <w:rPr>
          <w:bCs/>
        </w:rPr>
        <w:t xml:space="preserve"> in relation to compliance with the Code of Conduct. </w:t>
      </w:r>
    </w:p>
    <w:p w14:paraId="2ED836A7" w14:textId="77777777" w:rsidR="00F4297C" w:rsidRPr="00F7353C" w:rsidRDefault="00F4297C" w:rsidP="00F4297C">
      <w:pPr>
        <w:rPr>
          <w:bCs/>
        </w:rPr>
      </w:pPr>
    </w:p>
    <w:p w14:paraId="37B561BC" w14:textId="77777777" w:rsidR="00F4297C" w:rsidRPr="00F7353C" w:rsidRDefault="00F4297C" w:rsidP="00F4297C">
      <w:pPr>
        <w:rPr>
          <w:bCs/>
        </w:rPr>
      </w:pPr>
      <w:r w:rsidRPr="00F7353C">
        <w:rPr>
          <w:bCs/>
        </w:rPr>
        <w:t>The Instrument amends the Commission Rules in relation to banning orders, by specifying that certain information must be included in the register of banning orders, and making provision for matters relating to accessing, correcting information in, and publication of, the register of banning orders.</w:t>
      </w:r>
      <w:r w:rsidRPr="00F7353C">
        <w:rPr>
          <w:iCs/>
        </w:rPr>
        <w:t xml:space="preserve"> </w:t>
      </w:r>
    </w:p>
    <w:p w14:paraId="4473448F" w14:textId="77777777" w:rsidR="00F4297C" w:rsidRPr="00F7353C" w:rsidRDefault="00F4297C" w:rsidP="00F4297C">
      <w:pPr>
        <w:rPr>
          <w:iCs/>
        </w:rPr>
      </w:pPr>
    </w:p>
    <w:p w14:paraId="151A04EF" w14:textId="77777777" w:rsidR="00F4297C" w:rsidRPr="00F7353C" w:rsidRDefault="00F4297C" w:rsidP="00F4297C">
      <w:pPr>
        <w:rPr>
          <w:iCs/>
        </w:rPr>
      </w:pPr>
      <w:r w:rsidRPr="00F7353C">
        <w:rPr>
          <w:iCs/>
        </w:rPr>
        <w:t>The amendments strengthen safeguards for older Australians receiving aged care and aim to increase public confidence in the aged care sector and workforce.</w:t>
      </w:r>
    </w:p>
    <w:p w14:paraId="223BF647" w14:textId="77777777" w:rsidR="00F4297C" w:rsidRPr="00F7353C" w:rsidRDefault="00F4297C" w:rsidP="00F4297C">
      <w:pPr>
        <w:rPr>
          <w:iCs/>
        </w:rPr>
      </w:pPr>
    </w:p>
    <w:p w14:paraId="78561F10" w14:textId="77777777" w:rsidR="00906A8C" w:rsidRPr="00F7353C" w:rsidRDefault="00906A8C" w:rsidP="00906A8C">
      <w:pPr>
        <w:rPr>
          <w:b/>
          <w:bCs/>
        </w:rPr>
      </w:pPr>
      <w:r w:rsidRPr="00F7353C">
        <w:rPr>
          <w:b/>
          <w:bCs/>
        </w:rPr>
        <w:t>Human rights implications</w:t>
      </w:r>
    </w:p>
    <w:p w14:paraId="1AF2953D" w14:textId="77777777" w:rsidR="00906A8C" w:rsidRPr="00F7353C" w:rsidRDefault="00906A8C" w:rsidP="00906A8C">
      <w:pPr>
        <w:rPr>
          <w:b/>
          <w:bCs/>
        </w:rPr>
      </w:pPr>
    </w:p>
    <w:p w14:paraId="6753F257" w14:textId="77777777" w:rsidR="00906A8C" w:rsidRPr="00F7353C" w:rsidRDefault="00906A8C" w:rsidP="00906A8C">
      <w:r w:rsidRPr="00F7353C">
        <w:t xml:space="preserve">The Instrument engages the following human rights: </w:t>
      </w:r>
    </w:p>
    <w:p w14:paraId="1A84E1C1" w14:textId="77777777" w:rsidR="00906A8C" w:rsidRPr="00F7353C" w:rsidRDefault="00906A8C" w:rsidP="00906A8C">
      <w:pPr>
        <w:numPr>
          <w:ilvl w:val="0"/>
          <w:numId w:val="3"/>
        </w:numPr>
      </w:pPr>
      <w:r w:rsidRPr="00F7353C">
        <w:t xml:space="preserve">the right to protection from discrimination, hostility, exploitation, violence and abuse in Article 20(2) of the </w:t>
      </w:r>
      <w:r w:rsidRPr="00F7353C">
        <w:rPr>
          <w:i/>
          <w:iCs/>
        </w:rPr>
        <w:t>International Covenant on Civil and Political Rights</w:t>
      </w:r>
      <w:r w:rsidRPr="00F7353C">
        <w:t xml:space="preserve"> (ICCPR) and Article 16(1) of the </w:t>
      </w:r>
      <w:r w:rsidRPr="00F7353C">
        <w:rPr>
          <w:i/>
          <w:iCs/>
        </w:rPr>
        <w:t>Convention on the Rights of Persons with Disabilities</w:t>
      </w:r>
      <w:r w:rsidRPr="00F7353C">
        <w:t xml:space="preserve"> (CRPD</w:t>
      </w:r>
      <w:proofErr w:type="gramStart"/>
      <w:r w:rsidRPr="00F7353C">
        <w:t>);</w:t>
      </w:r>
      <w:proofErr w:type="gramEnd"/>
    </w:p>
    <w:p w14:paraId="76D55D09" w14:textId="77777777" w:rsidR="00906A8C" w:rsidRPr="00F7353C" w:rsidRDefault="00906A8C" w:rsidP="00906A8C">
      <w:pPr>
        <w:numPr>
          <w:ilvl w:val="0"/>
          <w:numId w:val="3"/>
        </w:numPr>
      </w:pPr>
      <w:r w:rsidRPr="00F7353C">
        <w:t xml:space="preserve">the right to health in Article 12 of the </w:t>
      </w:r>
      <w:r w:rsidRPr="00F7353C">
        <w:rPr>
          <w:i/>
          <w:iCs/>
        </w:rPr>
        <w:t xml:space="preserve">International Covenant on Economic, Social, and Cultural Rights </w:t>
      </w:r>
      <w:r w:rsidRPr="00F7353C">
        <w:t xml:space="preserve">(ICESCR) and Article 25 of the </w:t>
      </w:r>
      <w:proofErr w:type="gramStart"/>
      <w:r w:rsidRPr="00F7353C">
        <w:t>CRPD;</w:t>
      </w:r>
      <w:proofErr w:type="gramEnd"/>
    </w:p>
    <w:p w14:paraId="725F1DC0" w14:textId="77777777" w:rsidR="00906A8C" w:rsidRPr="00F7353C" w:rsidRDefault="00906A8C" w:rsidP="00906A8C">
      <w:pPr>
        <w:numPr>
          <w:ilvl w:val="0"/>
          <w:numId w:val="3"/>
        </w:numPr>
      </w:pPr>
      <w:r w:rsidRPr="00F7353C">
        <w:t xml:space="preserve">the right not to be subjected to cruel, inhuman or degrading treatment in Article 7 of the ICCPR, Article 15 of the CRPD and Articles 1 and 2 of the </w:t>
      </w:r>
      <w:r w:rsidRPr="00F7353C">
        <w:rPr>
          <w:i/>
          <w:iCs/>
        </w:rPr>
        <w:t xml:space="preserve">Convention against Torture and Other Cruel, Inhuman or Degrading Treatment or Punishment </w:t>
      </w:r>
      <w:r w:rsidRPr="00F7353C">
        <w:t>(CAT</w:t>
      </w:r>
      <w:proofErr w:type="gramStart"/>
      <w:r w:rsidRPr="00F7353C">
        <w:t>);</w:t>
      </w:r>
      <w:proofErr w:type="gramEnd"/>
      <w:r w:rsidRPr="00F7353C">
        <w:t xml:space="preserve"> </w:t>
      </w:r>
    </w:p>
    <w:p w14:paraId="460535C7" w14:textId="77777777" w:rsidR="00906A8C" w:rsidRPr="00F7353C" w:rsidRDefault="00906A8C" w:rsidP="00906A8C">
      <w:pPr>
        <w:numPr>
          <w:ilvl w:val="0"/>
          <w:numId w:val="3"/>
        </w:numPr>
      </w:pPr>
      <w:r w:rsidRPr="00F7353C">
        <w:t>the right to privacy in Article 17 of the ICCPR and Article 22 of the CRPD; and</w:t>
      </w:r>
    </w:p>
    <w:p w14:paraId="50ECE3D7" w14:textId="77777777" w:rsidR="00906A8C" w:rsidRPr="00F7353C" w:rsidRDefault="00906A8C" w:rsidP="00906A8C">
      <w:pPr>
        <w:numPr>
          <w:ilvl w:val="0"/>
          <w:numId w:val="3"/>
        </w:numPr>
      </w:pPr>
      <w:r w:rsidRPr="00F7353C">
        <w:rPr>
          <w:kern w:val="28"/>
          <w:lang w:val="en-US"/>
        </w:rPr>
        <w:t>the right to freedom of opinion and expression in Article 19 of the ICCPR and Article 21 of the CRPD</w:t>
      </w:r>
      <w:r w:rsidRPr="00F7353C">
        <w:t>.</w:t>
      </w:r>
    </w:p>
    <w:p w14:paraId="2AED9310" w14:textId="77777777" w:rsidR="00906A8C" w:rsidRPr="00F7353C" w:rsidRDefault="00906A8C" w:rsidP="00906A8C"/>
    <w:p w14:paraId="772F8C20" w14:textId="77777777" w:rsidR="00906A8C" w:rsidRPr="00F7353C" w:rsidRDefault="00906A8C" w:rsidP="00906A8C">
      <w:pPr>
        <w:rPr>
          <w:u w:val="single"/>
        </w:rPr>
      </w:pPr>
      <w:r w:rsidRPr="00F7353C">
        <w:rPr>
          <w:u w:val="single"/>
        </w:rPr>
        <w:t xml:space="preserve">Right to protection from exploitation, </w:t>
      </w:r>
      <w:proofErr w:type="gramStart"/>
      <w:r w:rsidRPr="00F7353C">
        <w:rPr>
          <w:u w:val="single"/>
        </w:rPr>
        <w:t>violence</w:t>
      </w:r>
      <w:proofErr w:type="gramEnd"/>
      <w:r w:rsidRPr="00F7353C">
        <w:rPr>
          <w:u w:val="single"/>
        </w:rPr>
        <w:t xml:space="preserve"> and abuse</w:t>
      </w:r>
    </w:p>
    <w:p w14:paraId="761F941E" w14:textId="77777777" w:rsidR="00906A8C" w:rsidRPr="00F7353C" w:rsidRDefault="00906A8C" w:rsidP="00906A8C">
      <w:r w:rsidRPr="00F7353C">
        <w:t xml:space="preserve">The right to protection from discrimination, hostility, exploitation, </w:t>
      </w:r>
      <w:proofErr w:type="gramStart"/>
      <w:r w:rsidRPr="00F7353C">
        <w:t>violence</w:t>
      </w:r>
      <w:proofErr w:type="gramEnd"/>
      <w:r w:rsidRPr="00F7353C">
        <w:t xml:space="preserve"> and abuse in Article 20(2) of the ICCPR and Article 16(1) of the CRPD is engaged by the Instrument.</w:t>
      </w:r>
    </w:p>
    <w:p w14:paraId="348243B4" w14:textId="77777777" w:rsidR="00906A8C" w:rsidRPr="00F7353C" w:rsidRDefault="00906A8C" w:rsidP="00906A8C"/>
    <w:p w14:paraId="046C0D29" w14:textId="33DC6ED9" w:rsidR="00906A8C" w:rsidRPr="00F7353C" w:rsidRDefault="00906A8C" w:rsidP="00906A8C">
      <w:pPr>
        <w:pStyle w:val="legcohead3"/>
        <w:keepNext w:val="0"/>
        <w:widowControl w:val="0"/>
        <w:rPr>
          <w:b w:val="0"/>
          <w:szCs w:val="24"/>
        </w:rPr>
      </w:pPr>
      <w:r w:rsidRPr="00F7353C">
        <w:rPr>
          <w:b w:val="0"/>
          <w:szCs w:val="24"/>
        </w:rPr>
        <w:t xml:space="preserve">The Instrument promotes this right by implementing the Code of Conduct, which sets standards of </w:t>
      </w:r>
      <w:r w:rsidR="00CF2B24" w:rsidRPr="00F7353C">
        <w:rPr>
          <w:b w:val="0"/>
          <w:szCs w:val="24"/>
        </w:rPr>
        <w:t xml:space="preserve">conduct </w:t>
      </w:r>
      <w:r w:rsidRPr="00F7353C">
        <w:rPr>
          <w:b w:val="0"/>
          <w:szCs w:val="24"/>
        </w:rPr>
        <w:t xml:space="preserve">for approved providers and their aged care workers and governing persons. This includes providing care, supports and services free from all forms of violence, discrimination, exploitation, </w:t>
      </w:r>
      <w:proofErr w:type="gramStart"/>
      <w:r w:rsidRPr="00F7353C">
        <w:rPr>
          <w:b w:val="0"/>
          <w:szCs w:val="24"/>
        </w:rPr>
        <w:t>abuse</w:t>
      </w:r>
      <w:proofErr w:type="gramEnd"/>
      <w:r w:rsidRPr="00F7353C">
        <w:rPr>
          <w:b w:val="0"/>
          <w:szCs w:val="24"/>
        </w:rPr>
        <w:t xml:space="preserve"> and neglect (see new clause 1(g)(ii) of </w:t>
      </w:r>
      <w:r w:rsidR="00284C0B" w:rsidRPr="00F7353C">
        <w:rPr>
          <w:b w:val="0"/>
          <w:szCs w:val="24"/>
        </w:rPr>
        <w:t xml:space="preserve">new </w:t>
      </w:r>
      <w:r w:rsidRPr="00F7353C">
        <w:rPr>
          <w:b w:val="0"/>
          <w:szCs w:val="24"/>
        </w:rPr>
        <w:t xml:space="preserve">Schedule 1). </w:t>
      </w:r>
    </w:p>
    <w:p w14:paraId="40419D49" w14:textId="77777777" w:rsidR="00906A8C" w:rsidRPr="00F7353C" w:rsidRDefault="00906A8C" w:rsidP="00906A8C">
      <w:pPr>
        <w:pStyle w:val="legcohead3"/>
        <w:keepNext w:val="0"/>
        <w:widowControl w:val="0"/>
        <w:rPr>
          <w:b w:val="0"/>
          <w:szCs w:val="24"/>
        </w:rPr>
      </w:pPr>
    </w:p>
    <w:p w14:paraId="303BC69F" w14:textId="77777777" w:rsidR="00906A8C" w:rsidRPr="00F7353C" w:rsidRDefault="00906A8C" w:rsidP="00906A8C">
      <w:pPr>
        <w:pStyle w:val="legcohead3"/>
        <w:keepNext w:val="0"/>
        <w:widowControl w:val="0"/>
        <w:rPr>
          <w:b w:val="0"/>
          <w:szCs w:val="24"/>
        </w:rPr>
      </w:pPr>
      <w:r w:rsidRPr="00F7353C">
        <w:rPr>
          <w:b w:val="0"/>
          <w:szCs w:val="24"/>
        </w:rPr>
        <w:t xml:space="preserve">The Instrument further promotes this right by introducing new functions for the Commissioner to </w:t>
      </w:r>
      <w:proofErr w:type="gramStart"/>
      <w:r w:rsidRPr="00F7353C">
        <w:rPr>
          <w:b w:val="0"/>
          <w:szCs w:val="24"/>
        </w:rPr>
        <w:t>take action</w:t>
      </w:r>
      <w:proofErr w:type="gramEnd"/>
      <w:r w:rsidRPr="00F7353C">
        <w:rPr>
          <w:b w:val="0"/>
          <w:szCs w:val="24"/>
        </w:rPr>
        <w:t xml:space="preserve"> in relation to compliance with the Code of Conduct. This aims to improve the safety, </w:t>
      </w:r>
      <w:proofErr w:type="gramStart"/>
      <w:r w:rsidRPr="00F7353C">
        <w:rPr>
          <w:b w:val="0"/>
          <w:szCs w:val="24"/>
        </w:rPr>
        <w:t>health</w:t>
      </w:r>
      <w:proofErr w:type="gramEnd"/>
      <w:r w:rsidRPr="00F7353C">
        <w:rPr>
          <w:b w:val="0"/>
          <w:szCs w:val="24"/>
        </w:rPr>
        <w:t xml:space="preserve"> and wellbeing of care recipients, including those with disability, through regulating compliance with the Code of Conduct (see new section 23BD).</w:t>
      </w:r>
    </w:p>
    <w:p w14:paraId="003F9815" w14:textId="77777777" w:rsidR="00906A8C" w:rsidRPr="00F7353C" w:rsidRDefault="00906A8C" w:rsidP="00906A8C">
      <w:pPr>
        <w:pStyle w:val="legcohead3"/>
        <w:keepNext w:val="0"/>
        <w:widowControl w:val="0"/>
        <w:rPr>
          <w:b w:val="0"/>
          <w:szCs w:val="24"/>
        </w:rPr>
      </w:pPr>
    </w:p>
    <w:p w14:paraId="22BA1AB3" w14:textId="691F76CB" w:rsidR="00906A8C" w:rsidRPr="00F7353C" w:rsidRDefault="00906A8C" w:rsidP="00906A8C">
      <w:pPr>
        <w:pStyle w:val="legcohead3"/>
        <w:keepNext w:val="0"/>
        <w:widowControl w:val="0"/>
        <w:rPr>
          <w:b w:val="0"/>
          <w:szCs w:val="24"/>
        </w:rPr>
      </w:pPr>
      <w:r w:rsidRPr="00F7353C">
        <w:rPr>
          <w:b w:val="0"/>
          <w:szCs w:val="24"/>
        </w:rPr>
        <w:t xml:space="preserve">The provisions regarding the register of banning orders further promotes this right by ensuring that aged care workers and governing persons who </w:t>
      </w:r>
      <w:r w:rsidR="00FE2042" w:rsidRPr="00F7353C">
        <w:rPr>
          <w:b w:val="0"/>
          <w:szCs w:val="24"/>
        </w:rPr>
        <w:t xml:space="preserve">have been </w:t>
      </w:r>
      <w:r w:rsidRPr="00F7353C">
        <w:rPr>
          <w:b w:val="0"/>
          <w:szCs w:val="24"/>
        </w:rPr>
        <w:t>prohibited from working or otherwise being involved in the aged care sector</w:t>
      </w:r>
      <w:r w:rsidR="00FE2042" w:rsidRPr="00F7353C">
        <w:rPr>
          <w:b w:val="0"/>
          <w:szCs w:val="24"/>
        </w:rPr>
        <w:t>, whether in whole or in part,</w:t>
      </w:r>
      <w:r w:rsidRPr="00F7353C">
        <w:rPr>
          <w:b w:val="0"/>
          <w:szCs w:val="24"/>
        </w:rPr>
        <w:t xml:space="preserve"> are appropriately </w:t>
      </w:r>
      <w:r w:rsidR="00FE2042" w:rsidRPr="00F7353C">
        <w:rPr>
          <w:b w:val="0"/>
          <w:szCs w:val="24"/>
        </w:rPr>
        <w:t>identified</w:t>
      </w:r>
      <w:r w:rsidRPr="00F7353C">
        <w:rPr>
          <w:b w:val="0"/>
          <w:szCs w:val="24"/>
        </w:rPr>
        <w:t>.</w:t>
      </w:r>
    </w:p>
    <w:p w14:paraId="589EF9ED" w14:textId="77777777" w:rsidR="00906A8C" w:rsidRPr="00F7353C" w:rsidRDefault="00906A8C" w:rsidP="00906A8C"/>
    <w:p w14:paraId="65E6EA76" w14:textId="77777777" w:rsidR="00906A8C" w:rsidRPr="00F7353C" w:rsidRDefault="00906A8C" w:rsidP="00906A8C">
      <w:pPr>
        <w:keepNext/>
        <w:rPr>
          <w:color w:val="000000"/>
          <w:u w:val="single"/>
        </w:rPr>
      </w:pPr>
      <w:r w:rsidRPr="00F7353C">
        <w:rPr>
          <w:color w:val="000000"/>
          <w:u w:val="single"/>
        </w:rPr>
        <w:t>Right to health</w:t>
      </w:r>
    </w:p>
    <w:p w14:paraId="66BDAA40" w14:textId="77777777" w:rsidR="00906A8C" w:rsidRPr="00F7353C" w:rsidRDefault="00906A8C" w:rsidP="00906A8C">
      <w:pPr>
        <w:keepNext/>
      </w:pPr>
      <w:r w:rsidRPr="00F7353C">
        <w:t xml:space="preserve">The right to health contained under Article 12 of the ICESCR and Article 25 of the CRPD is engaged by the Instrument. These articles refer to the right of individuals, including persons with disability, to the highest attainable standard of physical and mental health. </w:t>
      </w:r>
    </w:p>
    <w:p w14:paraId="15393CFC" w14:textId="77777777" w:rsidR="00906A8C" w:rsidRPr="00F7353C" w:rsidRDefault="00906A8C" w:rsidP="00906A8C">
      <w:pPr>
        <w:keepNext/>
      </w:pPr>
    </w:p>
    <w:p w14:paraId="4FE539F5" w14:textId="78EA1F10" w:rsidR="00906A8C" w:rsidRPr="00F7353C" w:rsidRDefault="00906A8C" w:rsidP="00906A8C">
      <w:pPr>
        <w:keepNext/>
      </w:pPr>
      <w:r w:rsidRPr="00F7353C">
        <w:rPr>
          <w:color w:val="000000"/>
        </w:rPr>
        <w:t xml:space="preserve">The Instrument promotes this right </w:t>
      </w:r>
      <w:r w:rsidR="00551960" w:rsidRPr="00F7353C">
        <w:rPr>
          <w:color w:val="000000"/>
        </w:rPr>
        <w:t>setting out ways in which the Commissioner can take action to regulate</w:t>
      </w:r>
      <w:r w:rsidRPr="00F7353C">
        <w:t xml:space="preserve"> inappropriate conduct by those providing aged care services. </w:t>
      </w:r>
    </w:p>
    <w:p w14:paraId="27ED3E80" w14:textId="77777777" w:rsidR="00906A8C" w:rsidRPr="00F7353C" w:rsidRDefault="00906A8C" w:rsidP="00906A8C">
      <w:pPr>
        <w:keepNext/>
      </w:pPr>
    </w:p>
    <w:p w14:paraId="53838DD0" w14:textId="77777777" w:rsidR="00906A8C" w:rsidRPr="00F7353C" w:rsidRDefault="00906A8C" w:rsidP="00906A8C">
      <w:pPr>
        <w:pStyle w:val="legcohead3"/>
        <w:keepNext w:val="0"/>
        <w:widowControl w:val="0"/>
        <w:rPr>
          <w:b w:val="0"/>
          <w:szCs w:val="24"/>
        </w:rPr>
      </w:pPr>
      <w:r w:rsidRPr="00F7353C">
        <w:rPr>
          <w:b w:val="0"/>
          <w:szCs w:val="24"/>
        </w:rPr>
        <w:t xml:space="preserve">Specific clauses include s23BD which introduces new functions for the Commissioner to </w:t>
      </w:r>
      <w:proofErr w:type="gramStart"/>
      <w:r w:rsidRPr="00F7353C">
        <w:rPr>
          <w:b w:val="0"/>
          <w:szCs w:val="24"/>
        </w:rPr>
        <w:t>take action</w:t>
      </w:r>
      <w:proofErr w:type="gramEnd"/>
      <w:r w:rsidRPr="00F7353C">
        <w:rPr>
          <w:b w:val="0"/>
          <w:szCs w:val="24"/>
        </w:rPr>
        <w:t xml:space="preserve"> in relation to compliance with the Code of Conduct. This aims to improve the safety, </w:t>
      </w:r>
      <w:proofErr w:type="gramStart"/>
      <w:r w:rsidRPr="00F7353C">
        <w:rPr>
          <w:b w:val="0"/>
          <w:szCs w:val="24"/>
        </w:rPr>
        <w:t>health</w:t>
      </w:r>
      <w:proofErr w:type="gramEnd"/>
      <w:r w:rsidRPr="00F7353C">
        <w:rPr>
          <w:b w:val="0"/>
          <w:szCs w:val="24"/>
        </w:rPr>
        <w:t xml:space="preserve"> and wellbeing of care recipients, including those with disability, through regulating compliance with the Code of Conduct (see new section 23BD).</w:t>
      </w:r>
    </w:p>
    <w:p w14:paraId="78E4522E" w14:textId="77777777" w:rsidR="00906A8C" w:rsidRPr="00F7353C" w:rsidRDefault="00906A8C" w:rsidP="00906A8C">
      <w:pPr>
        <w:pStyle w:val="legcohead3"/>
        <w:keepNext w:val="0"/>
        <w:widowControl w:val="0"/>
        <w:rPr>
          <w:b w:val="0"/>
          <w:szCs w:val="24"/>
        </w:rPr>
      </w:pPr>
    </w:p>
    <w:p w14:paraId="6A31A4F2" w14:textId="77777777" w:rsidR="00FE2042" w:rsidRPr="00F7353C" w:rsidRDefault="00FE2042" w:rsidP="00FE2042">
      <w:pPr>
        <w:pStyle w:val="legcohead3"/>
        <w:keepNext w:val="0"/>
        <w:widowControl w:val="0"/>
        <w:rPr>
          <w:b w:val="0"/>
          <w:szCs w:val="24"/>
        </w:rPr>
      </w:pPr>
      <w:r w:rsidRPr="00F7353C">
        <w:rPr>
          <w:b w:val="0"/>
          <w:szCs w:val="24"/>
        </w:rPr>
        <w:t>The provisions regarding the register of banning orders further promotes this right by ensuring that aged care workers and governing persons who have been prohibited from working or otherwise being involved in the aged care sector, whether in whole or in part, are appropriately identified.</w:t>
      </w:r>
    </w:p>
    <w:p w14:paraId="2D0060E3" w14:textId="77777777" w:rsidR="00906A8C" w:rsidRPr="00F7353C" w:rsidRDefault="00906A8C" w:rsidP="00906A8C">
      <w:pPr>
        <w:keepNext/>
        <w:rPr>
          <w:color w:val="000000"/>
        </w:rPr>
      </w:pPr>
    </w:p>
    <w:p w14:paraId="02919EFD" w14:textId="77777777" w:rsidR="00906A8C" w:rsidRPr="00F7353C" w:rsidRDefault="00906A8C" w:rsidP="009E52E3">
      <w:pPr>
        <w:keepNext/>
        <w:rPr>
          <w:b/>
          <w:bCs/>
          <w:color w:val="000000"/>
          <w:u w:val="single"/>
        </w:rPr>
      </w:pPr>
      <w:r w:rsidRPr="00F7353C">
        <w:rPr>
          <w:color w:val="000000"/>
          <w:u w:val="single"/>
        </w:rPr>
        <w:t xml:space="preserve">Right not to be subjected to cruel, </w:t>
      </w:r>
      <w:proofErr w:type="gramStart"/>
      <w:r w:rsidRPr="00F7353C">
        <w:rPr>
          <w:color w:val="000000"/>
          <w:u w:val="single"/>
        </w:rPr>
        <w:t>inhuman</w:t>
      </w:r>
      <w:proofErr w:type="gramEnd"/>
      <w:r w:rsidRPr="00F7353C">
        <w:rPr>
          <w:color w:val="000000"/>
          <w:u w:val="single"/>
        </w:rPr>
        <w:t xml:space="preserve"> or degrading treatment</w:t>
      </w:r>
    </w:p>
    <w:p w14:paraId="278CFE11" w14:textId="77777777" w:rsidR="00906A8C" w:rsidRPr="00F7353C" w:rsidRDefault="00906A8C" w:rsidP="009E52E3">
      <w:pPr>
        <w:keepNext/>
        <w:rPr>
          <w:b/>
          <w:bCs/>
          <w:color w:val="000000"/>
          <w:u w:val="single"/>
        </w:rPr>
      </w:pPr>
      <w:r w:rsidRPr="00F7353C">
        <w:rPr>
          <w:color w:val="000000"/>
        </w:rPr>
        <w:t xml:space="preserve">The right not to be subjected to cruel, inhuman or degrading treatment contained under Article 7 of the ICCPR, Article 15 of the CRPD and </w:t>
      </w:r>
      <w:r w:rsidRPr="00F7353C">
        <w:t xml:space="preserve">Articles 1 and 2 of the </w:t>
      </w:r>
      <w:proofErr w:type="gramStart"/>
      <w:r w:rsidRPr="00F7353C">
        <w:t>CAT</w:t>
      </w:r>
      <w:proofErr w:type="gramEnd"/>
      <w:r w:rsidRPr="00F7353C">
        <w:t xml:space="preserve"> is engaged by the Instrument. </w:t>
      </w:r>
    </w:p>
    <w:p w14:paraId="66FBA7D2" w14:textId="77777777" w:rsidR="00906A8C" w:rsidRPr="00F7353C" w:rsidRDefault="00906A8C" w:rsidP="00906A8C">
      <w:pPr>
        <w:keepNext/>
        <w:rPr>
          <w:color w:val="000000"/>
        </w:rPr>
      </w:pPr>
    </w:p>
    <w:p w14:paraId="5F62055E" w14:textId="7E912B7A" w:rsidR="00906A8C" w:rsidRPr="00F7353C" w:rsidRDefault="00906A8C" w:rsidP="00906A8C">
      <w:pPr>
        <w:widowControl w:val="0"/>
        <w:rPr>
          <w:color w:val="000000"/>
        </w:rPr>
      </w:pPr>
      <w:r w:rsidRPr="00F7353C">
        <w:rPr>
          <w:color w:val="000000"/>
        </w:rPr>
        <w:t xml:space="preserve">The Instrument promotes this right by imposing responsibilities on approved providers, aged care workers and governing persons who are engaged in aged care </w:t>
      </w:r>
      <w:r w:rsidRPr="00F7353C">
        <w:rPr>
          <w:color w:val="000000"/>
        </w:rPr>
        <w:lastRenderedPageBreak/>
        <w:t>services</w:t>
      </w:r>
      <w:r w:rsidR="00FE2042" w:rsidRPr="00F7353C">
        <w:rPr>
          <w:color w:val="000000"/>
        </w:rPr>
        <w:t xml:space="preserve"> through the Code of Conduct</w:t>
      </w:r>
      <w:r w:rsidRPr="00F7353C">
        <w:rPr>
          <w:color w:val="000000"/>
        </w:rPr>
        <w:t xml:space="preserve">, and by allowing for appropriate regulation by the Commissioner </w:t>
      </w:r>
      <w:r w:rsidR="00FE2042" w:rsidRPr="00F7353C">
        <w:rPr>
          <w:color w:val="000000"/>
        </w:rPr>
        <w:t>through their code functions</w:t>
      </w:r>
      <w:r w:rsidRPr="00F7353C">
        <w:rPr>
          <w:color w:val="000000"/>
        </w:rPr>
        <w:t xml:space="preserve">. </w:t>
      </w:r>
    </w:p>
    <w:p w14:paraId="4E74DE6F" w14:textId="77777777" w:rsidR="00906A8C" w:rsidRPr="00F7353C" w:rsidRDefault="00906A8C" w:rsidP="00906A8C">
      <w:pPr>
        <w:widowControl w:val="0"/>
        <w:rPr>
          <w:color w:val="000000"/>
        </w:rPr>
      </w:pPr>
    </w:p>
    <w:p w14:paraId="748628C1" w14:textId="77777777" w:rsidR="00906A8C" w:rsidRPr="00F7353C" w:rsidRDefault="00906A8C" w:rsidP="00906A8C">
      <w:pPr>
        <w:pStyle w:val="legcohead3"/>
        <w:keepNext w:val="0"/>
        <w:widowControl w:val="0"/>
        <w:rPr>
          <w:b w:val="0"/>
          <w:szCs w:val="24"/>
        </w:rPr>
      </w:pPr>
      <w:r w:rsidRPr="00F7353C">
        <w:rPr>
          <w:b w:val="0"/>
          <w:bCs/>
          <w:color w:val="000000"/>
        </w:rPr>
        <w:t xml:space="preserve">The Instrument gives the Commission powers to monitor and enforce compliance in accordance with new section 23BD. </w:t>
      </w:r>
      <w:r w:rsidRPr="00F7353C">
        <w:rPr>
          <w:b w:val="0"/>
          <w:szCs w:val="24"/>
        </w:rPr>
        <w:t>The provisions regarding the register of banning orders further promotes this right by ensuring that aged care workers and governing persons who are unsuitable are prohibited from working or otherwise being involved in the aged care sector are appropriately identifiable.</w:t>
      </w:r>
    </w:p>
    <w:p w14:paraId="59D66B8C" w14:textId="77777777" w:rsidR="00906A8C" w:rsidRPr="00F7353C" w:rsidRDefault="00906A8C" w:rsidP="00906A8C">
      <w:pPr>
        <w:widowControl w:val="0"/>
        <w:rPr>
          <w:color w:val="000000"/>
        </w:rPr>
      </w:pPr>
    </w:p>
    <w:p w14:paraId="11E8C862" w14:textId="77777777" w:rsidR="00906A8C" w:rsidRPr="00F7353C" w:rsidRDefault="00906A8C" w:rsidP="00906A8C">
      <w:pPr>
        <w:widowControl w:val="0"/>
        <w:rPr>
          <w:color w:val="000000"/>
        </w:rPr>
      </w:pPr>
      <w:r w:rsidRPr="00F7353C">
        <w:rPr>
          <w:color w:val="000000"/>
        </w:rPr>
        <w:t xml:space="preserve">The Code of Conduct also promotes this right by requiring approved providers and their aged care workers and governing persons to provide care in a safe and competent manner, free from all forms of violence, discrimination, exploitation, neglect, </w:t>
      </w:r>
      <w:proofErr w:type="gramStart"/>
      <w:r w:rsidRPr="00F7353C">
        <w:rPr>
          <w:color w:val="000000"/>
        </w:rPr>
        <w:t>abuse</w:t>
      </w:r>
      <w:proofErr w:type="gramEnd"/>
      <w:r w:rsidRPr="00F7353C">
        <w:rPr>
          <w:color w:val="000000"/>
        </w:rPr>
        <w:t xml:space="preserve"> and sexual misconduct.</w:t>
      </w:r>
    </w:p>
    <w:p w14:paraId="2A5C0802" w14:textId="77777777" w:rsidR="00906A8C" w:rsidRPr="00F7353C" w:rsidRDefault="00906A8C" w:rsidP="00906A8C">
      <w:pPr>
        <w:keepNext/>
        <w:rPr>
          <w:color w:val="000000"/>
        </w:rPr>
      </w:pPr>
    </w:p>
    <w:p w14:paraId="27ABF53E" w14:textId="77777777" w:rsidR="00906A8C" w:rsidRPr="00F7353C" w:rsidRDefault="00906A8C" w:rsidP="00906A8C">
      <w:pPr>
        <w:keepNext/>
        <w:rPr>
          <w:color w:val="000000"/>
          <w:u w:val="single"/>
        </w:rPr>
      </w:pPr>
      <w:r w:rsidRPr="00F7353C">
        <w:rPr>
          <w:color w:val="000000"/>
          <w:u w:val="single"/>
        </w:rPr>
        <w:t xml:space="preserve">Right to privacy </w:t>
      </w:r>
    </w:p>
    <w:p w14:paraId="0AEC0E10" w14:textId="77777777" w:rsidR="00906A8C" w:rsidRPr="00F7353C" w:rsidRDefault="00906A8C" w:rsidP="00906A8C">
      <w:r w:rsidRPr="00F7353C">
        <w:t>The right to privacy contained under Article 17 of the ICCPR and Article 22 of the CRPD, which state that no person should be subject to interference with their privacy, is engaged by the Instrument.</w:t>
      </w:r>
    </w:p>
    <w:p w14:paraId="1CE43AAE" w14:textId="77777777" w:rsidR="00906A8C" w:rsidRPr="00F7353C" w:rsidRDefault="00906A8C" w:rsidP="00906A8C"/>
    <w:p w14:paraId="7AABE7E5" w14:textId="77777777" w:rsidR="00906A8C" w:rsidRPr="00F7353C" w:rsidRDefault="00906A8C" w:rsidP="00906A8C">
      <w:pPr>
        <w:widowControl w:val="0"/>
        <w:rPr>
          <w:color w:val="000000"/>
        </w:rPr>
      </w:pPr>
      <w:r w:rsidRPr="00F7353C">
        <w:rPr>
          <w:color w:val="000000"/>
        </w:rPr>
        <w:t>The Instrument requires the Commissioner to maintain a register of banning orders, with the register to contain personal information of individuals who have had a banning order made against them. The register of banning orders will include information, including personal information, about individuals against whom a banning order has been made, including their suburb and postcode. This information will generally be made publicly available.</w:t>
      </w:r>
    </w:p>
    <w:p w14:paraId="2FEC2F5C" w14:textId="77777777" w:rsidR="00906A8C" w:rsidRPr="00F7353C" w:rsidRDefault="00906A8C" w:rsidP="00906A8C">
      <w:pPr>
        <w:widowControl w:val="0"/>
        <w:rPr>
          <w:color w:val="000000"/>
        </w:rPr>
      </w:pPr>
    </w:p>
    <w:p w14:paraId="12E196F2" w14:textId="78FD1219" w:rsidR="00906A8C" w:rsidRPr="00F7353C" w:rsidRDefault="00906A8C" w:rsidP="00906A8C">
      <w:pPr>
        <w:widowControl w:val="0"/>
        <w:rPr>
          <w:color w:val="000000"/>
        </w:rPr>
      </w:pPr>
      <w:r w:rsidRPr="00F7353C">
        <w:rPr>
          <w:color w:val="000000"/>
        </w:rPr>
        <w:t>The engagement of the right is limited as the Instrument (in new sections 23CD, 23CE and 23CF) ensure</w:t>
      </w:r>
      <w:r w:rsidR="00C92E06" w:rsidRPr="00F7353C">
        <w:rPr>
          <w:color w:val="000000"/>
        </w:rPr>
        <w:t>s</w:t>
      </w:r>
      <w:r w:rsidRPr="00F7353C">
        <w:rPr>
          <w:color w:val="000000"/>
        </w:rPr>
        <w:t xml:space="preserve"> that the named individuals can request corrections to the register, that additional information can be published to ensure that the information does not unintentionally and incorrectly implicate another person, and that the Commissioner has the power not to publish information if in the public interest.</w:t>
      </w:r>
      <w:r w:rsidR="00FE2042" w:rsidRPr="00F7353C">
        <w:rPr>
          <w:color w:val="000000"/>
        </w:rPr>
        <w:t xml:space="preserve"> Engagement of the right is also limited as the information on the register will be limited to personal information and will not include sensitive information.</w:t>
      </w:r>
    </w:p>
    <w:p w14:paraId="73687011" w14:textId="77777777" w:rsidR="00906A8C" w:rsidRPr="00F7353C" w:rsidRDefault="00906A8C" w:rsidP="00906A8C">
      <w:pPr>
        <w:widowControl w:val="0"/>
        <w:rPr>
          <w:color w:val="000000"/>
        </w:rPr>
      </w:pPr>
    </w:p>
    <w:p w14:paraId="08A03830" w14:textId="59635C89" w:rsidR="00906A8C" w:rsidRPr="00F7353C" w:rsidRDefault="00906A8C" w:rsidP="00906A8C">
      <w:pPr>
        <w:widowControl w:val="0"/>
        <w:rPr>
          <w:color w:val="000000"/>
        </w:rPr>
      </w:pPr>
      <w:r w:rsidRPr="00F7353C">
        <w:rPr>
          <w:color w:val="000000"/>
        </w:rPr>
        <w:t>The Instrument also allows for an individual to request the correction of information about them in the register of banning orders. This is consistent with an Australian Privacy Principle 13</w:t>
      </w:r>
      <w:r w:rsidR="00CF2B24" w:rsidRPr="00F7353C">
        <w:rPr>
          <w:color w:val="000000"/>
        </w:rPr>
        <w:t>, under which an individual can request correction of their personal information</w:t>
      </w:r>
      <w:r w:rsidRPr="00F7353C">
        <w:rPr>
          <w:color w:val="000000"/>
        </w:rPr>
        <w:t xml:space="preserve">. </w:t>
      </w:r>
    </w:p>
    <w:p w14:paraId="36021008" w14:textId="77777777" w:rsidR="00906A8C" w:rsidRPr="00F7353C" w:rsidRDefault="00906A8C" w:rsidP="00906A8C">
      <w:pPr>
        <w:rPr>
          <w:bCs/>
        </w:rPr>
      </w:pPr>
    </w:p>
    <w:p w14:paraId="082DD46F" w14:textId="77777777" w:rsidR="00906A8C" w:rsidRPr="00F7353C" w:rsidRDefault="00906A8C" w:rsidP="00906A8C">
      <w:pPr>
        <w:widowControl w:val="0"/>
        <w:shd w:val="clear" w:color="auto" w:fill="FFFFFF"/>
        <w:rPr>
          <w:rFonts w:eastAsia="Calibri"/>
        </w:rPr>
      </w:pPr>
      <w:r w:rsidRPr="00F7353C">
        <w:rPr>
          <w:rFonts w:eastAsia="Calibri"/>
        </w:rPr>
        <w:t xml:space="preserve">All personal information, including sensitive information, acquired under or for the purposes of the Commission Act or the Aged Care Act is protected information. It is an offence, punishable by 2 years imprisonment, to use or disclose protected information other than as authorised by law, including in accordance with the </w:t>
      </w:r>
      <w:r w:rsidRPr="00F7353C">
        <w:rPr>
          <w:rFonts w:eastAsia="Calibri"/>
          <w:i/>
          <w:iCs/>
        </w:rPr>
        <w:t>Privacy Act 1988</w:t>
      </w:r>
      <w:r w:rsidRPr="00F7353C">
        <w:rPr>
          <w:rFonts w:eastAsia="Calibri"/>
        </w:rPr>
        <w:t>.</w:t>
      </w:r>
    </w:p>
    <w:p w14:paraId="613B4B69" w14:textId="77777777" w:rsidR="00906A8C" w:rsidRPr="00F7353C" w:rsidRDefault="00906A8C" w:rsidP="00906A8C">
      <w:pPr>
        <w:widowControl w:val="0"/>
        <w:shd w:val="clear" w:color="auto" w:fill="FFFFFF"/>
        <w:rPr>
          <w:rFonts w:eastAsia="Calibri"/>
        </w:rPr>
      </w:pPr>
    </w:p>
    <w:p w14:paraId="3AC8F7FA" w14:textId="77777777" w:rsidR="00906A8C" w:rsidRPr="00F7353C" w:rsidRDefault="00906A8C" w:rsidP="00906A8C">
      <w:pPr>
        <w:widowControl w:val="0"/>
        <w:shd w:val="clear" w:color="auto" w:fill="FFFFFF"/>
        <w:rPr>
          <w:rFonts w:eastAsia="Calibri"/>
        </w:rPr>
      </w:pPr>
      <w:r w:rsidRPr="00F7353C">
        <w:rPr>
          <w:rFonts w:eastAsia="Calibri"/>
        </w:rPr>
        <w:t xml:space="preserve">To the extent that the Instrument engages the right to privacy, the engagement is limited and is reasonable and proportionate as the collection, use and disclosure of personal information will be in accordance with the permissions set out under the relevant secrecy provisions. </w:t>
      </w:r>
    </w:p>
    <w:p w14:paraId="4ADDFCD3" w14:textId="77777777" w:rsidR="00906A8C" w:rsidRPr="00F7353C" w:rsidRDefault="00906A8C" w:rsidP="00906A8C">
      <w:pPr>
        <w:widowControl w:val="0"/>
        <w:shd w:val="clear" w:color="auto" w:fill="FFFFFF"/>
        <w:rPr>
          <w:rFonts w:eastAsia="Calibri"/>
        </w:rPr>
      </w:pPr>
    </w:p>
    <w:p w14:paraId="4138FDAC" w14:textId="77777777" w:rsidR="00906A8C" w:rsidRPr="00F7353C" w:rsidRDefault="00906A8C" w:rsidP="00906A8C">
      <w:pPr>
        <w:widowControl w:val="0"/>
        <w:shd w:val="clear" w:color="auto" w:fill="FFFFFF"/>
        <w:rPr>
          <w:rFonts w:eastAsia="Calibri"/>
        </w:rPr>
      </w:pPr>
      <w:r w:rsidRPr="00F7353C">
        <w:rPr>
          <w:rFonts w:eastAsia="Calibri"/>
        </w:rPr>
        <w:lastRenderedPageBreak/>
        <w:t>The limitation of privacy rights in limited circumstances and for limited purposes is directly connected to the Instrument’s legitimate purpose in promoting the rights of aged care recipients to be protected from violence, exploitation and abuse, and their right to the highest attainable standard of health and an adequate standard of living.</w:t>
      </w:r>
    </w:p>
    <w:p w14:paraId="42689337" w14:textId="77777777" w:rsidR="00906A8C" w:rsidRPr="00F7353C" w:rsidRDefault="00906A8C" w:rsidP="00906A8C"/>
    <w:p w14:paraId="40E475C1" w14:textId="77777777" w:rsidR="00906A8C" w:rsidRPr="00F7353C" w:rsidRDefault="00906A8C" w:rsidP="00906A8C">
      <w:pPr>
        <w:widowControl w:val="0"/>
        <w:autoSpaceDE w:val="0"/>
        <w:autoSpaceDN w:val="0"/>
        <w:adjustRightInd w:val="0"/>
        <w:rPr>
          <w:bCs/>
          <w:u w:val="single"/>
        </w:rPr>
      </w:pPr>
      <w:r w:rsidRPr="00F7353C">
        <w:rPr>
          <w:bCs/>
          <w:u w:val="single"/>
        </w:rPr>
        <w:t>Right to freedom of opinion and expression </w:t>
      </w:r>
    </w:p>
    <w:p w14:paraId="17863F9D" w14:textId="77777777" w:rsidR="00906A8C" w:rsidRPr="00F7353C" w:rsidRDefault="00906A8C" w:rsidP="00906A8C">
      <w:pPr>
        <w:widowControl w:val="0"/>
        <w:autoSpaceDE w:val="0"/>
        <w:autoSpaceDN w:val="0"/>
        <w:adjustRightInd w:val="0"/>
      </w:pPr>
      <w:r w:rsidRPr="00F7353C">
        <w:t>Article 19 of the ICCPR provides that everyone shall have the right to hold opinions without interference and the right to freedom of expression, including the freedom to seek, receive and impart information and ideas of all kinds. This right extends to a right to seek, receive and impart information and the Human Rights Committee in its General Comment 34 has outlined that article 19(2) embraces a right of access to information held by public bodies, regardless of the form in which the information is stored, its source and the date of production.</w:t>
      </w:r>
    </w:p>
    <w:p w14:paraId="14431CFD" w14:textId="77777777" w:rsidR="00906A8C" w:rsidRPr="00F7353C" w:rsidRDefault="00906A8C" w:rsidP="00906A8C">
      <w:pPr>
        <w:widowControl w:val="0"/>
        <w:autoSpaceDE w:val="0"/>
        <w:autoSpaceDN w:val="0"/>
        <w:adjustRightInd w:val="0"/>
      </w:pPr>
    </w:p>
    <w:p w14:paraId="6DBBDD2A" w14:textId="77777777" w:rsidR="00906A8C" w:rsidRPr="00F7353C" w:rsidRDefault="00906A8C" w:rsidP="00906A8C">
      <w:pPr>
        <w:widowControl w:val="0"/>
        <w:autoSpaceDE w:val="0"/>
        <w:autoSpaceDN w:val="0"/>
        <w:adjustRightInd w:val="0"/>
      </w:pPr>
      <w:r w:rsidRPr="00F7353C">
        <w:t xml:space="preserve">Under article 19(3), to constitute a permissible limitation on article 19(2), this interference must be according to law and necessary (that is, reasonable, </w:t>
      </w:r>
      <w:proofErr w:type="gramStart"/>
      <w:r w:rsidRPr="00F7353C">
        <w:t>necessary</w:t>
      </w:r>
      <w:proofErr w:type="gramEnd"/>
      <w:r w:rsidRPr="00F7353C">
        <w:t xml:space="preserve"> and proportionate) for one of the purposes set out in article 19(3).</w:t>
      </w:r>
    </w:p>
    <w:p w14:paraId="5B208A7E" w14:textId="77777777" w:rsidR="00906A8C" w:rsidRPr="00F7353C" w:rsidRDefault="00906A8C" w:rsidP="00906A8C">
      <w:pPr>
        <w:widowControl w:val="0"/>
        <w:autoSpaceDE w:val="0"/>
        <w:autoSpaceDN w:val="0"/>
        <w:adjustRightInd w:val="0"/>
      </w:pPr>
    </w:p>
    <w:p w14:paraId="0A6DF5E5" w14:textId="2205CDFC" w:rsidR="00906A8C" w:rsidRPr="00F7353C" w:rsidRDefault="00906A8C" w:rsidP="00906A8C">
      <w:pPr>
        <w:widowControl w:val="0"/>
        <w:autoSpaceDE w:val="0"/>
        <w:autoSpaceDN w:val="0"/>
        <w:adjustRightInd w:val="0"/>
      </w:pPr>
      <w:r w:rsidRPr="00F7353C">
        <w:t>Article 19(3) of the ICCPR provides that this right may be subject to certain restrictions by law that are necessary for the respect of the rights and reputation of others</w:t>
      </w:r>
      <w:r w:rsidR="004F7AE6" w:rsidRPr="00F7353C">
        <w:t>,</w:t>
      </w:r>
      <w:r w:rsidRPr="00F7353C">
        <w:t xml:space="preserve"> the protection of national security, public order or of public health or morals. Any interference would be ‘lawful’ because it is provided for in legislation.</w:t>
      </w:r>
    </w:p>
    <w:p w14:paraId="377EF7CE" w14:textId="77777777" w:rsidR="00906A8C" w:rsidRPr="00F7353C" w:rsidRDefault="00906A8C" w:rsidP="00906A8C"/>
    <w:p w14:paraId="1CF57AB8" w14:textId="77777777" w:rsidR="00906A8C" w:rsidRPr="00F7353C" w:rsidRDefault="00906A8C" w:rsidP="00906A8C">
      <w:pPr>
        <w:rPr>
          <w:b/>
          <w:bCs/>
        </w:rPr>
      </w:pPr>
      <w:r w:rsidRPr="00F7353C">
        <w:rPr>
          <w:b/>
          <w:bCs/>
        </w:rPr>
        <w:t>Conclusion</w:t>
      </w:r>
    </w:p>
    <w:p w14:paraId="1071B95E" w14:textId="77777777" w:rsidR="00906A8C" w:rsidRPr="00F7353C" w:rsidRDefault="00906A8C" w:rsidP="00906A8C"/>
    <w:p w14:paraId="75E0FA6D" w14:textId="77777777" w:rsidR="00906A8C" w:rsidRPr="00F7353C" w:rsidRDefault="00906A8C" w:rsidP="00906A8C">
      <w:r w:rsidRPr="00F7353C">
        <w:t xml:space="preserve">The Instrument is consistent with human rights because it promotes the protection of the human rights of aged care recipients. To the extent that aspects of the Instrument may limit the right to privacy, these measures are reasonable, </w:t>
      </w:r>
      <w:proofErr w:type="gramStart"/>
      <w:r w:rsidRPr="00F7353C">
        <w:t>necessary</w:t>
      </w:r>
      <w:proofErr w:type="gramEnd"/>
      <w:r w:rsidRPr="00F7353C">
        <w:t xml:space="preserve"> and proportionate. </w:t>
      </w:r>
    </w:p>
    <w:p w14:paraId="52F4190A" w14:textId="77777777" w:rsidR="00906A8C" w:rsidRPr="00F7353C" w:rsidRDefault="00906A8C" w:rsidP="00906A8C"/>
    <w:p w14:paraId="79716EC5" w14:textId="77777777" w:rsidR="00906A8C" w:rsidRPr="00F7353C" w:rsidRDefault="00906A8C" w:rsidP="00906A8C"/>
    <w:p w14:paraId="0FB3691D" w14:textId="77777777" w:rsidR="00906A8C" w:rsidRPr="00F7353C" w:rsidRDefault="00906A8C" w:rsidP="00906A8C">
      <w:pPr>
        <w:shd w:val="clear" w:color="auto" w:fill="FFFFFF"/>
        <w:jc w:val="center"/>
        <w:rPr>
          <w:b/>
          <w:bCs/>
          <w:color w:val="000000"/>
        </w:rPr>
      </w:pPr>
      <w:r w:rsidRPr="00F7353C">
        <w:rPr>
          <w:b/>
          <w:bCs/>
          <w:color w:val="000000"/>
        </w:rPr>
        <w:t>Minister the Hon Annika Wells</w:t>
      </w:r>
    </w:p>
    <w:p w14:paraId="70D44696" w14:textId="77777777" w:rsidR="00906A8C" w:rsidRPr="002A3CE2" w:rsidRDefault="00906A8C" w:rsidP="00906A8C">
      <w:pPr>
        <w:shd w:val="clear" w:color="auto" w:fill="FFFFFF"/>
        <w:jc w:val="center"/>
        <w:rPr>
          <w:b/>
          <w:bCs/>
          <w:color w:val="000000"/>
        </w:rPr>
      </w:pPr>
      <w:r w:rsidRPr="00F7353C">
        <w:rPr>
          <w:b/>
          <w:bCs/>
          <w:color w:val="000000"/>
        </w:rPr>
        <w:t>Minister for Aged Care</w:t>
      </w:r>
    </w:p>
    <w:p w14:paraId="1AA4EC85" w14:textId="77777777" w:rsidR="0008021C" w:rsidRPr="00906A8C" w:rsidRDefault="0008021C" w:rsidP="00906A8C"/>
    <w:sectPr w:rsidR="0008021C" w:rsidRPr="00906A8C">
      <w:footerReference w:type="default" r:id="rId13"/>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81358C" w14:textId="77777777" w:rsidR="00CD1540" w:rsidRDefault="00CD1540" w:rsidP="00994E9F">
      <w:r>
        <w:separator/>
      </w:r>
    </w:p>
  </w:endnote>
  <w:endnote w:type="continuationSeparator" w:id="0">
    <w:p w14:paraId="7DEA80C8" w14:textId="77777777" w:rsidR="00CD1540" w:rsidRDefault="00CD1540" w:rsidP="00994E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3F50AB" w14:textId="77777777" w:rsidR="005477BF" w:rsidRDefault="005477BF">
    <w:pPr>
      <w:pStyle w:val="Footer"/>
      <w:jc w:val="center"/>
    </w:pPr>
    <w:r>
      <w:fldChar w:fldCharType="begin"/>
    </w:r>
    <w:r>
      <w:instrText xml:space="preserve"> PAGE   \* MERGEFORMAT </w:instrText>
    </w:r>
    <w:r>
      <w:fldChar w:fldCharType="separate"/>
    </w:r>
    <w:r>
      <w:rPr>
        <w:noProof/>
      </w:rPr>
      <w:t>2</w:t>
    </w:r>
    <w:r>
      <w:rPr>
        <w:noProof/>
      </w:rPr>
      <w:fldChar w:fldCharType="end"/>
    </w:r>
  </w:p>
  <w:p w14:paraId="2B0688FD" w14:textId="77777777" w:rsidR="005477BF" w:rsidRDefault="005477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1ECA65" w14:textId="77777777" w:rsidR="00CD1540" w:rsidRDefault="00CD1540" w:rsidP="00994E9F">
      <w:r>
        <w:separator/>
      </w:r>
    </w:p>
  </w:footnote>
  <w:footnote w:type="continuationSeparator" w:id="0">
    <w:p w14:paraId="2C9FEF70" w14:textId="77777777" w:rsidR="00CD1540" w:rsidRDefault="00CD1540" w:rsidP="00994E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65446"/>
    <w:multiLevelType w:val="hybridMultilevel"/>
    <w:tmpl w:val="230CF2FC"/>
    <w:lvl w:ilvl="0" w:tplc="E8A4633A">
      <w:start w:val="1"/>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2360892"/>
    <w:multiLevelType w:val="hybridMultilevel"/>
    <w:tmpl w:val="D69E0B4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88E6296"/>
    <w:multiLevelType w:val="hybridMultilevel"/>
    <w:tmpl w:val="CA48DE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8C511F8"/>
    <w:multiLevelType w:val="hybridMultilevel"/>
    <w:tmpl w:val="E6A6EBE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 w15:restartNumberingAfterBreak="0">
    <w:nsid w:val="0B1676E2"/>
    <w:multiLevelType w:val="hybridMultilevel"/>
    <w:tmpl w:val="40CC2F8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0900FCA"/>
    <w:multiLevelType w:val="hybridMultilevel"/>
    <w:tmpl w:val="9FC6E3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1DB2C75"/>
    <w:multiLevelType w:val="hybridMultilevel"/>
    <w:tmpl w:val="4B2EB04C"/>
    <w:lvl w:ilvl="0" w:tplc="DB6A2E60">
      <w:start w:val="1"/>
      <w:numFmt w:val="decimal"/>
      <w:lvlText w:val="%1."/>
      <w:lvlJc w:val="left"/>
      <w:pPr>
        <w:ind w:left="720" w:hanging="360"/>
      </w:pPr>
      <w:rPr>
        <w:rFonts w:ascii="Times New Roman" w:eastAsia="Times New Roman" w:hAnsi="Times New Roman" w:cs="Times New Roman"/>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5F875BD"/>
    <w:multiLevelType w:val="hybridMultilevel"/>
    <w:tmpl w:val="D23A89F8"/>
    <w:lvl w:ilvl="0" w:tplc="781420A6">
      <w:start w:val="1"/>
      <w:numFmt w:val="bullet"/>
      <w:pStyle w:val="mpcbullets1"/>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7E31EFB"/>
    <w:multiLevelType w:val="hybridMultilevel"/>
    <w:tmpl w:val="86CEFE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8731DD3"/>
    <w:multiLevelType w:val="hybridMultilevel"/>
    <w:tmpl w:val="E8021E64"/>
    <w:lvl w:ilvl="0" w:tplc="F9C46F1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1A630A51"/>
    <w:multiLevelType w:val="hybridMultilevel"/>
    <w:tmpl w:val="0FF201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F390585"/>
    <w:multiLevelType w:val="hybridMultilevel"/>
    <w:tmpl w:val="9C6093D0"/>
    <w:lvl w:ilvl="0" w:tplc="66683542">
      <w:start w:val="1"/>
      <w:numFmt w:val="lowerRoman"/>
      <w:lvlText w:val="(%1)"/>
      <w:lvlJc w:val="left"/>
      <w:pPr>
        <w:ind w:left="2160" w:hanging="72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12" w15:restartNumberingAfterBreak="0">
    <w:nsid w:val="210C6FC1"/>
    <w:multiLevelType w:val="hybridMultilevel"/>
    <w:tmpl w:val="0C7EBDD6"/>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3" w15:restartNumberingAfterBreak="0">
    <w:nsid w:val="246E3CE7"/>
    <w:multiLevelType w:val="hybridMultilevel"/>
    <w:tmpl w:val="A27C095E"/>
    <w:lvl w:ilvl="0" w:tplc="949A3BB2">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24C849F9"/>
    <w:multiLevelType w:val="hybridMultilevel"/>
    <w:tmpl w:val="7AD003B8"/>
    <w:lvl w:ilvl="0" w:tplc="F9C46F1C">
      <w:start w:val="1"/>
      <w:numFmt w:val="lowerLetter"/>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5" w15:restartNumberingAfterBreak="0">
    <w:nsid w:val="279C5790"/>
    <w:multiLevelType w:val="hybridMultilevel"/>
    <w:tmpl w:val="DBB2B69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6" w15:restartNumberingAfterBreak="0">
    <w:nsid w:val="28C41CFE"/>
    <w:multiLevelType w:val="multilevel"/>
    <w:tmpl w:val="0C09001D"/>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17" w15:restartNumberingAfterBreak="0">
    <w:nsid w:val="2A35636D"/>
    <w:multiLevelType w:val="hybridMultilevel"/>
    <w:tmpl w:val="0744F824"/>
    <w:lvl w:ilvl="0" w:tplc="0D5241C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2FB56361"/>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3CF53D59"/>
    <w:multiLevelType w:val="hybridMultilevel"/>
    <w:tmpl w:val="008A2AAE"/>
    <w:lvl w:ilvl="0" w:tplc="A006ABD8">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0" w15:restartNumberingAfterBreak="0">
    <w:nsid w:val="43A30B26"/>
    <w:multiLevelType w:val="hybridMultilevel"/>
    <w:tmpl w:val="C41CE1E6"/>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21" w15:restartNumberingAfterBreak="0">
    <w:nsid w:val="4E4F0149"/>
    <w:multiLevelType w:val="hybridMultilevel"/>
    <w:tmpl w:val="EB96890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08E1F36"/>
    <w:multiLevelType w:val="hybridMultilevel"/>
    <w:tmpl w:val="84726F72"/>
    <w:lvl w:ilvl="0" w:tplc="0C090017">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7">
      <w:start w:val="1"/>
      <w:numFmt w:val="lowerLetter"/>
      <w:lvlText w:val="%5)"/>
      <w:lvlJc w:val="left"/>
      <w:pPr>
        <w:ind w:left="3960" w:hanging="360"/>
      </w:pPr>
    </w:lvl>
    <w:lvl w:ilvl="5" w:tplc="66683542">
      <w:start w:val="1"/>
      <w:numFmt w:val="lowerRoman"/>
      <w:lvlText w:val="(%6)"/>
      <w:lvlJc w:val="left"/>
      <w:pPr>
        <w:ind w:left="4680" w:hanging="180"/>
      </w:pPr>
      <w:rPr>
        <w:rFonts w:hint="default"/>
      </w:r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3" w15:restartNumberingAfterBreak="0">
    <w:nsid w:val="53B62447"/>
    <w:multiLevelType w:val="hybridMultilevel"/>
    <w:tmpl w:val="E03046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4BD2399"/>
    <w:multiLevelType w:val="hybridMultilevel"/>
    <w:tmpl w:val="BEB6E2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4DF420C"/>
    <w:multiLevelType w:val="hybridMultilevel"/>
    <w:tmpl w:val="26B43888"/>
    <w:lvl w:ilvl="0" w:tplc="F9C46F1C">
      <w:start w:val="1"/>
      <w:numFmt w:val="lowerLetter"/>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6" w15:restartNumberingAfterBreak="0">
    <w:nsid w:val="57BA4C02"/>
    <w:multiLevelType w:val="hybridMultilevel"/>
    <w:tmpl w:val="70E477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C6E34D4"/>
    <w:multiLevelType w:val="hybridMultilevel"/>
    <w:tmpl w:val="E0D03E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2D422E7"/>
    <w:multiLevelType w:val="hybridMultilevel"/>
    <w:tmpl w:val="5C0C92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3B019D6"/>
    <w:multiLevelType w:val="multilevel"/>
    <w:tmpl w:val="0C09001D"/>
    <w:lvl w:ilvl="0">
      <w:start w:val="1"/>
      <w:numFmt w:val="decimal"/>
      <w:lvlText w:val="%1)"/>
      <w:lvlJc w:val="left"/>
      <w:pPr>
        <w:ind w:left="1800" w:hanging="360"/>
      </w:pPr>
    </w:lvl>
    <w:lvl w:ilvl="1">
      <w:start w:val="1"/>
      <w:numFmt w:val="lowerLetter"/>
      <w:lvlText w:val="%2)"/>
      <w:lvlJc w:val="left"/>
      <w:pPr>
        <w:ind w:left="2160" w:hanging="360"/>
      </w:pPr>
    </w:lvl>
    <w:lvl w:ilvl="2">
      <w:start w:val="1"/>
      <w:numFmt w:val="lowerRoman"/>
      <w:lvlText w:val="%3)"/>
      <w:lvlJc w:val="left"/>
      <w:pPr>
        <w:ind w:left="2520" w:hanging="360"/>
      </w:pPr>
    </w:lvl>
    <w:lvl w:ilvl="3">
      <w:start w:val="1"/>
      <w:numFmt w:val="decimal"/>
      <w:lvlText w:val="(%4)"/>
      <w:lvlJc w:val="left"/>
      <w:pPr>
        <w:ind w:left="2880" w:hanging="360"/>
      </w:pPr>
    </w:lvl>
    <w:lvl w:ilvl="4">
      <w:start w:val="1"/>
      <w:numFmt w:val="lowerLetter"/>
      <w:lvlText w:val="(%5)"/>
      <w:lvlJc w:val="left"/>
      <w:pPr>
        <w:ind w:left="3240" w:hanging="360"/>
      </w:pPr>
    </w:lvl>
    <w:lvl w:ilvl="5">
      <w:start w:val="1"/>
      <w:numFmt w:val="lowerRoman"/>
      <w:lvlText w:val="(%6)"/>
      <w:lvlJc w:val="left"/>
      <w:pPr>
        <w:ind w:left="3600" w:hanging="360"/>
      </w:pPr>
    </w:lvl>
    <w:lvl w:ilvl="6">
      <w:start w:val="1"/>
      <w:numFmt w:val="decimal"/>
      <w:lvlText w:val="%7."/>
      <w:lvlJc w:val="left"/>
      <w:pPr>
        <w:ind w:left="3960" w:hanging="360"/>
      </w:pPr>
    </w:lvl>
    <w:lvl w:ilvl="7">
      <w:start w:val="1"/>
      <w:numFmt w:val="lowerLetter"/>
      <w:lvlText w:val="%8."/>
      <w:lvlJc w:val="left"/>
      <w:pPr>
        <w:ind w:left="4320" w:hanging="360"/>
      </w:pPr>
    </w:lvl>
    <w:lvl w:ilvl="8">
      <w:start w:val="1"/>
      <w:numFmt w:val="lowerRoman"/>
      <w:lvlText w:val="%9."/>
      <w:lvlJc w:val="left"/>
      <w:pPr>
        <w:ind w:left="4680" w:hanging="360"/>
      </w:pPr>
    </w:lvl>
  </w:abstractNum>
  <w:abstractNum w:abstractNumId="30" w15:restartNumberingAfterBreak="0">
    <w:nsid w:val="68263B34"/>
    <w:multiLevelType w:val="hybridMultilevel"/>
    <w:tmpl w:val="88CC62C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BAD1632"/>
    <w:multiLevelType w:val="hybridMultilevel"/>
    <w:tmpl w:val="7AD003B8"/>
    <w:lvl w:ilvl="0" w:tplc="F9C46F1C">
      <w:start w:val="1"/>
      <w:numFmt w:val="lowerLetter"/>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2" w15:restartNumberingAfterBreak="0">
    <w:nsid w:val="6CAE0B35"/>
    <w:multiLevelType w:val="hybridMultilevel"/>
    <w:tmpl w:val="A0EA9972"/>
    <w:lvl w:ilvl="0" w:tplc="54B28FEC">
      <w:start w:val="1"/>
      <w:numFmt w:val="decimal"/>
      <w:lvlText w:val="%1."/>
      <w:lvlJc w:val="left"/>
      <w:pPr>
        <w:ind w:left="720" w:hanging="360"/>
      </w:pPr>
      <w:rPr>
        <w:rFonts w:hint="default"/>
        <w:sz w:val="22"/>
        <w:szCs w:val="22"/>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6D2569D3"/>
    <w:multiLevelType w:val="hybridMultilevel"/>
    <w:tmpl w:val="9C0A91E0"/>
    <w:lvl w:ilvl="0" w:tplc="3DCE6942">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4" w15:restartNumberingAfterBreak="0">
    <w:nsid w:val="6DB75E6B"/>
    <w:multiLevelType w:val="hybridMultilevel"/>
    <w:tmpl w:val="87762E94"/>
    <w:lvl w:ilvl="0" w:tplc="9AFA04CC">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5" w15:restartNumberingAfterBreak="0">
    <w:nsid w:val="70070DAE"/>
    <w:multiLevelType w:val="hybridMultilevel"/>
    <w:tmpl w:val="DF3475A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4582E3C"/>
    <w:multiLevelType w:val="hybridMultilevel"/>
    <w:tmpl w:val="1EE8F1A6"/>
    <w:lvl w:ilvl="0" w:tplc="208E2ECA">
      <w:start w:val="1"/>
      <w:numFmt w:val="decimal"/>
      <w:lvlText w:val="%1"/>
      <w:lvlJc w:val="left"/>
      <w:pPr>
        <w:tabs>
          <w:tab w:val="num" w:pos="1080"/>
        </w:tabs>
        <w:ind w:left="1080" w:hanging="72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7545383B"/>
    <w:multiLevelType w:val="hybridMultilevel"/>
    <w:tmpl w:val="BD0AB8FE"/>
    <w:lvl w:ilvl="0" w:tplc="0C090001">
      <w:start w:val="1"/>
      <w:numFmt w:val="bullet"/>
      <w:lvlText w:val=""/>
      <w:lvlJc w:val="left"/>
      <w:pPr>
        <w:ind w:left="787" w:hanging="360"/>
      </w:pPr>
      <w:rPr>
        <w:rFonts w:ascii="Symbol" w:hAnsi="Symbol" w:hint="default"/>
      </w:rPr>
    </w:lvl>
    <w:lvl w:ilvl="1" w:tplc="0C090003" w:tentative="1">
      <w:start w:val="1"/>
      <w:numFmt w:val="bullet"/>
      <w:lvlText w:val="o"/>
      <w:lvlJc w:val="left"/>
      <w:pPr>
        <w:ind w:left="1507" w:hanging="360"/>
      </w:pPr>
      <w:rPr>
        <w:rFonts w:ascii="Courier New" w:hAnsi="Courier New" w:cs="Courier New" w:hint="default"/>
      </w:rPr>
    </w:lvl>
    <w:lvl w:ilvl="2" w:tplc="0C090005" w:tentative="1">
      <w:start w:val="1"/>
      <w:numFmt w:val="bullet"/>
      <w:lvlText w:val=""/>
      <w:lvlJc w:val="left"/>
      <w:pPr>
        <w:ind w:left="2227" w:hanging="360"/>
      </w:pPr>
      <w:rPr>
        <w:rFonts w:ascii="Wingdings" w:hAnsi="Wingdings" w:hint="default"/>
      </w:rPr>
    </w:lvl>
    <w:lvl w:ilvl="3" w:tplc="0C090001" w:tentative="1">
      <w:start w:val="1"/>
      <w:numFmt w:val="bullet"/>
      <w:lvlText w:val=""/>
      <w:lvlJc w:val="left"/>
      <w:pPr>
        <w:ind w:left="2947" w:hanging="360"/>
      </w:pPr>
      <w:rPr>
        <w:rFonts w:ascii="Symbol" w:hAnsi="Symbol" w:hint="default"/>
      </w:rPr>
    </w:lvl>
    <w:lvl w:ilvl="4" w:tplc="0C090003" w:tentative="1">
      <w:start w:val="1"/>
      <w:numFmt w:val="bullet"/>
      <w:lvlText w:val="o"/>
      <w:lvlJc w:val="left"/>
      <w:pPr>
        <w:ind w:left="3667" w:hanging="360"/>
      </w:pPr>
      <w:rPr>
        <w:rFonts w:ascii="Courier New" w:hAnsi="Courier New" w:cs="Courier New" w:hint="default"/>
      </w:rPr>
    </w:lvl>
    <w:lvl w:ilvl="5" w:tplc="0C090005" w:tentative="1">
      <w:start w:val="1"/>
      <w:numFmt w:val="bullet"/>
      <w:lvlText w:val=""/>
      <w:lvlJc w:val="left"/>
      <w:pPr>
        <w:ind w:left="4387" w:hanging="360"/>
      </w:pPr>
      <w:rPr>
        <w:rFonts w:ascii="Wingdings" w:hAnsi="Wingdings" w:hint="default"/>
      </w:rPr>
    </w:lvl>
    <w:lvl w:ilvl="6" w:tplc="0C090001" w:tentative="1">
      <w:start w:val="1"/>
      <w:numFmt w:val="bullet"/>
      <w:lvlText w:val=""/>
      <w:lvlJc w:val="left"/>
      <w:pPr>
        <w:ind w:left="5107" w:hanging="360"/>
      </w:pPr>
      <w:rPr>
        <w:rFonts w:ascii="Symbol" w:hAnsi="Symbol" w:hint="default"/>
      </w:rPr>
    </w:lvl>
    <w:lvl w:ilvl="7" w:tplc="0C090003" w:tentative="1">
      <w:start w:val="1"/>
      <w:numFmt w:val="bullet"/>
      <w:lvlText w:val="o"/>
      <w:lvlJc w:val="left"/>
      <w:pPr>
        <w:ind w:left="5827" w:hanging="360"/>
      </w:pPr>
      <w:rPr>
        <w:rFonts w:ascii="Courier New" w:hAnsi="Courier New" w:cs="Courier New" w:hint="default"/>
      </w:rPr>
    </w:lvl>
    <w:lvl w:ilvl="8" w:tplc="0C090005" w:tentative="1">
      <w:start w:val="1"/>
      <w:numFmt w:val="bullet"/>
      <w:lvlText w:val=""/>
      <w:lvlJc w:val="left"/>
      <w:pPr>
        <w:ind w:left="6547" w:hanging="360"/>
      </w:pPr>
      <w:rPr>
        <w:rFonts w:ascii="Wingdings" w:hAnsi="Wingdings" w:hint="default"/>
      </w:rPr>
    </w:lvl>
  </w:abstractNum>
  <w:abstractNum w:abstractNumId="38" w15:restartNumberingAfterBreak="0">
    <w:nsid w:val="76EA4498"/>
    <w:multiLevelType w:val="hybridMultilevel"/>
    <w:tmpl w:val="7FAEA2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79EE7A9F"/>
    <w:multiLevelType w:val="hybridMultilevel"/>
    <w:tmpl w:val="0D2A5C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35"/>
  </w:num>
  <w:num w:numId="2">
    <w:abstractNumId w:val="36"/>
  </w:num>
  <w:num w:numId="3">
    <w:abstractNumId w:val="8"/>
  </w:num>
  <w:num w:numId="4">
    <w:abstractNumId w:val="18"/>
  </w:num>
  <w:num w:numId="5">
    <w:abstractNumId w:val="9"/>
  </w:num>
  <w:num w:numId="6">
    <w:abstractNumId w:val="32"/>
  </w:num>
  <w:num w:numId="7">
    <w:abstractNumId w:val="4"/>
  </w:num>
  <w:num w:numId="8">
    <w:abstractNumId w:val="31"/>
  </w:num>
  <w:num w:numId="9">
    <w:abstractNumId w:val="34"/>
  </w:num>
  <w:num w:numId="10">
    <w:abstractNumId w:val="25"/>
  </w:num>
  <w:num w:numId="11">
    <w:abstractNumId w:val="19"/>
  </w:num>
  <w:num w:numId="12">
    <w:abstractNumId w:val="14"/>
  </w:num>
  <w:num w:numId="13">
    <w:abstractNumId w:val="29"/>
  </w:num>
  <w:num w:numId="14">
    <w:abstractNumId w:val="11"/>
  </w:num>
  <w:num w:numId="15">
    <w:abstractNumId w:val="16"/>
  </w:num>
  <w:num w:numId="16">
    <w:abstractNumId w:val="33"/>
  </w:num>
  <w:num w:numId="17">
    <w:abstractNumId w:val="22"/>
  </w:num>
  <w:num w:numId="18">
    <w:abstractNumId w:val="15"/>
  </w:num>
  <w:num w:numId="19">
    <w:abstractNumId w:val="21"/>
  </w:num>
  <w:num w:numId="20">
    <w:abstractNumId w:val="23"/>
  </w:num>
  <w:num w:numId="21">
    <w:abstractNumId w:val="17"/>
  </w:num>
  <w:num w:numId="22">
    <w:abstractNumId w:val="37"/>
  </w:num>
  <w:num w:numId="23">
    <w:abstractNumId w:val="39"/>
  </w:num>
  <w:num w:numId="24">
    <w:abstractNumId w:val="30"/>
  </w:num>
  <w:num w:numId="25">
    <w:abstractNumId w:val="28"/>
  </w:num>
  <w:num w:numId="26">
    <w:abstractNumId w:val="3"/>
  </w:num>
  <w:num w:numId="27">
    <w:abstractNumId w:val="3"/>
  </w:num>
  <w:num w:numId="28">
    <w:abstractNumId w:val="1"/>
  </w:num>
  <w:num w:numId="29">
    <w:abstractNumId w:val="20"/>
  </w:num>
  <w:num w:numId="30">
    <w:abstractNumId w:val="10"/>
  </w:num>
  <w:num w:numId="31">
    <w:abstractNumId w:val="12"/>
  </w:num>
  <w:num w:numId="32">
    <w:abstractNumId w:val="7"/>
  </w:num>
  <w:num w:numId="33">
    <w:abstractNumId w:val="26"/>
  </w:num>
  <w:num w:numId="34">
    <w:abstractNumId w:val="2"/>
  </w:num>
  <w:num w:numId="35">
    <w:abstractNumId w:val="5"/>
  </w:num>
  <w:num w:numId="36">
    <w:abstractNumId w:val="24"/>
  </w:num>
  <w:num w:numId="37">
    <w:abstractNumId w:val="27"/>
  </w:num>
  <w:num w:numId="38">
    <w:abstractNumId w:val="38"/>
  </w:num>
  <w:num w:numId="39">
    <w:abstractNumId w:val="7"/>
  </w:num>
  <w:num w:numId="40">
    <w:abstractNumId w:val="0"/>
  </w:num>
  <w:num w:numId="41">
    <w:abstractNumId w:val="6"/>
  </w:num>
  <w:num w:numId="4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6026"/>
    <w:rsid w:val="00000471"/>
    <w:rsid w:val="00000522"/>
    <w:rsid w:val="00000769"/>
    <w:rsid w:val="000009ED"/>
    <w:rsid w:val="000020EF"/>
    <w:rsid w:val="0000255B"/>
    <w:rsid w:val="00002640"/>
    <w:rsid w:val="000027A0"/>
    <w:rsid w:val="0000314E"/>
    <w:rsid w:val="000031CA"/>
    <w:rsid w:val="00003598"/>
    <w:rsid w:val="000039CD"/>
    <w:rsid w:val="00003B1F"/>
    <w:rsid w:val="00003B2A"/>
    <w:rsid w:val="0000408A"/>
    <w:rsid w:val="000042D0"/>
    <w:rsid w:val="000044FC"/>
    <w:rsid w:val="000046B6"/>
    <w:rsid w:val="00004892"/>
    <w:rsid w:val="00004B2C"/>
    <w:rsid w:val="00005251"/>
    <w:rsid w:val="000053E5"/>
    <w:rsid w:val="000054FC"/>
    <w:rsid w:val="00005AEF"/>
    <w:rsid w:val="00005C2B"/>
    <w:rsid w:val="00006048"/>
    <w:rsid w:val="000062AE"/>
    <w:rsid w:val="000069B1"/>
    <w:rsid w:val="00006DE1"/>
    <w:rsid w:val="000070B5"/>
    <w:rsid w:val="00007343"/>
    <w:rsid w:val="00007794"/>
    <w:rsid w:val="00007798"/>
    <w:rsid w:val="000077EC"/>
    <w:rsid w:val="0000795B"/>
    <w:rsid w:val="00007F44"/>
    <w:rsid w:val="00007F86"/>
    <w:rsid w:val="00010535"/>
    <w:rsid w:val="000107A5"/>
    <w:rsid w:val="00011068"/>
    <w:rsid w:val="000110D5"/>
    <w:rsid w:val="000112F0"/>
    <w:rsid w:val="000113BD"/>
    <w:rsid w:val="00011640"/>
    <w:rsid w:val="00011672"/>
    <w:rsid w:val="00011957"/>
    <w:rsid w:val="00012187"/>
    <w:rsid w:val="00012285"/>
    <w:rsid w:val="000126AA"/>
    <w:rsid w:val="00012DB7"/>
    <w:rsid w:val="00012DB8"/>
    <w:rsid w:val="000130B4"/>
    <w:rsid w:val="000132C2"/>
    <w:rsid w:val="00013596"/>
    <w:rsid w:val="000139A3"/>
    <w:rsid w:val="00013A87"/>
    <w:rsid w:val="00014364"/>
    <w:rsid w:val="0001448D"/>
    <w:rsid w:val="0001463B"/>
    <w:rsid w:val="000147EB"/>
    <w:rsid w:val="000149B3"/>
    <w:rsid w:val="000149F5"/>
    <w:rsid w:val="00014D29"/>
    <w:rsid w:val="00015026"/>
    <w:rsid w:val="000153E8"/>
    <w:rsid w:val="00015C2F"/>
    <w:rsid w:val="0001609C"/>
    <w:rsid w:val="00016838"/>
    <w:rsid w:val="0001693B"/>
    <w:rsid w:val="00016D72"/>
    <w:rsid w:val="00016D73"/>
    <w:rsid w:val="00016D99"/>
    <w:rsid w:val="00016E94"/>
    <w:rsid w:val="0001737D"/>
    <w:rsid w:val="00017467"/>
    <w:rsid w:val="00017B0C"/>
    <w:rsid w:val="00017EFE"/>
    <w:rsid w:val="00017F33"/>
    <w:rsid w:val="00020AE8"/>
    <w:rsid w:val="00020CCD"/>
    <w:rsid w:val="00020FD1"/>
    <w:rsid w:val="0002159D"/>
    <w:rsid w:val="00021F76"/>
    <w:rsid w:val="00022559"/>
    <w:rsid w:val="00022656"/>
    <w:rsid w:val="000226DE"/>
    <w:rsid w:val="000227F0"/>
    <w:rsid w:val="00022876"/>
    <w:rsid w:val="00022A77"/>
    <w:rsid w:val="00022DD6"/>
    <w:rsid w:val="00022ED9"/>
    <w:rsid w:val="00022FB4"/>
    <w:rsid w:val="00023192"/>
    <w:rsid w:val="00023844"/>
    <w:rsid w:val="00024010"/>
    <w:rsid w:val="000241F3"/>
    <w:rsid w:val="0002472D"/>
    <w:rsid w:val="0002485E"/>
    <w:rsid w:val="00024A62"/>
    <w:rsid w:val="00024DEB"/>
    <w:rsid w:val="00024EAB"/>
    <w:rsid w:val="00025162"/>
    <w:rsid w:val="000259F2"/>
    <w:rsid w:val="00025A65"/>
    <w:rsid w:val="00025DC5"/>
    <w:rsid w:val="00025DC7"/>
    <w:rsid w:val="0002647A"/>
    <w:rsid w:val="00026A6E"/>
    <w:rsid w:val="00026AD6"/>
    <w:rsid w:val="00027077"/>
    <w:rsid w:val="00027900"/>
    <w:rsid w:val="0002794B"/>
    <w:rsid w:val="00027EFB"/>
    <w:rsid w:val="000304BE"/>
    <w:rsid w:val="00030AC1"/>
    <w:rsid w:val="00030F29"/>
    <w:rsid w:val="00031327"/>
    <w:rsid w:val="0003145F"/>
    <w:rsid w:val="00031C55"/>
    <w:rsid w:val="00031DAF"/>
    <w:rsid w:val="000324E4"/>
    <w:rsid w:val="000327CB"/>
    <w:rsid w:val="00032D05"/>
    <w:rsid w:val="0003306F"/>
    <w:rsid w:val="000337EB"/>
    <w:rsid w:val="00033892"/>
    <w:rsid w:val="00033CF2"/>
    <w:rsid w:val="00034151"/>
    <w:rsid w:val="00034758"/>
    <w:rsid w:val="00034826"/>
    <w:rsid w:val="000349A3"/>
    <w:rsid w:val="000351CB"/>
    <w:rsid w:val="00035325"/>
    <w:rsid w:val="0003591C"/>
    <w:rsid w:val="00036095"/>
    <w:rsid w:val="00036160"/>
    <w:rsid w:val="0003619F"/>
    <w:rsid w:val="0003620A"/>
    <w:rsid w:val="0003632D"/>
    <w:rsid w:val="000363D8"/>
    <w:rsid w:val="00036632"/>
    <w:rsid w:val="00036FB1"/>
    <w:rsid w:val="000373B0"/>
    <w:rsid w:val="00037B83"/>
    <w:rsid w:val="00037B8B"/>
    <w:rsid w:val="00037D71"/>
    <w:rsid w:val="00037E02"/>
    <w:rsid w:val="00037E0B"/>
    <w:rsid w:val="00037E17"/>
    <w:rsid w:val="00037F0F"/>
    <w:rsid w:val="00040108"/>
    <w:rsid w:val="000402A1"/>
    <w:rsid w:val="00040647"/>
    <w:rsid w:val="0004068F"/>
    <w:rsid w:val="000408EA"/>
    <w:rsid w:val="000410BA"/>
    <w:rsid w:val="000411DB"/>
    <w:rsid w:val="0004124E"/>
    <w:rsid w:val="0004138B"/>
    <w:rsid w:val="0004193A"/>
    <w:rsid w:val="00041A76"/>
    <w:rsid w:val="00041B9C"/>
    <w:rsid w:val="0004200B"/>
    <w:rsid w:val="000420A2"/>
    <w:rsid w:val="0004260D"/>
    <w:rsid w:val="0004279D"/>
    <w:rsid w:val="00042F0D"/>
    <w:rsid w:val="0004309F"/>
    <w:rsid w:val="0004371E"/>
    <w:rsid w:val="000442CF"/>
    <w:rsid w:val="00044E75"/>
    <w:rsid w:val="00045066"/>
    <w:rsid w:val="0004518C"/>
    <w:rsid w:val="000451E7"/>
    <w:rsid w:val="0004523A"/>
    <w:rsid w:val="00045B39"/>
    <w:rsid w:val="00045C2A"/>
    <w:rsid w:val="00045C5E"/>
    <w:rsid w:val="00045E3F"/>
    <w:rsid w:val="000460A4"/>
    <w:rsid w:val="000461D0"/>
    <w:rsid w:val="000466AA"/>
    <w:rsid w:val="000469CE"/>
    <w:rsid w:val="00046E5F"/>
    <w:rsid w:val="000501F7"/>
    <w:rsid w:val="00050A0C"/>
    <w:rsid w:val="00050C99"/>
    <w:rsid w:val="00050F4D"/>
    <w:rsid w:val="000510B8"/>
    <w:rsid w:val="000512B0"/>
    <w:rsid w:val="00051463"/>
    <w:rsid w:val="00051CE8"/>
    <w:rsid w:val="00052294"/>
    <w:rsid w:val="00052345"/>
    <w:rsid w:val="00052A8F"/>
    <w:rsid w:val="00053464"/>
    <w:rsid w:val="00053590"/>
    <w:rsid w:val="000536B8"/>
    <w:rsid w:val="00053C1E"/>
    <w:rsid w:val="00054C4E"/>
    <w:rsid w:val="00055456"/>
    <w:rsid w:val="000555F1"/>
    <w:rsid w:val="00055674"/>
    <w:rsid w:val="000556CA"/>
    <w:rsid w:val="00055719"/>
    <w:rsid w:val="00055742"/>
    <w:rsid w:val="000558B7"/>
    <w:rsid w:val="00055CE2"/>
    <w:rsid w:val="000560D4"/>
    <w:rsid w:val="00056248"/>
    <w:rsid w:val="0005688B"/>
    <w:rsid w:val="00056B2C"/>
    <w:rsid w:val="000573DA"/>
    <w:rsid w:val="00057858"/>
    <w:rsid w:val="0005794D"/>
    <w:rsid w:val="00057AB6"/>
    <w:rsid w:val="00057C97"/>
    <w:rsid w:val="00057E3D"/>
    <w:rsid w:val="0006023D"/>
    <w:rsid w:val="000606DA"/>
    <w:rsid w:val="00060A86"/>
    <w:rsid w:val="00060E27"/>
    <w:rsid w:val="00060FC0"/>
    <w:rsid w:val="00061699"/>
    <w:rsid w:val="000617ED"/>
    <w:rsid w:val="00061A22"/>
    <w:rsid w:val="00061FFB"/>
    <w:rsid w:val="00061FFF"/>
    <w:rsid w:val="00062139"/>
    <w:rsid w:val="000621BC"/>
    <w:rsid w:val="0006288E"/>
    <w:rsid w:val="00062AF8"/>
    <w:rsid w:val="0006393B"/>
    <w:rsid w:val="00063DD6"/>
    <w:rsid w:val="000645F8"/>
    <w:rsid w:val="00064CC4"/>
    <w:rsid w:val="00064D14"/>
    <w:rsid w:val="00064F95"/>
    <w:rsid w:val="0006512D"/>
    <w:rsid w:val="000658B9"/>
    <w:rsid w:val="00065955"/>
    <w:rsid w:val="00065981"/>
    <w:rsid w:val="00065C4B"/>
    <w:rsid w:val="00065DEC"/>
    <w:rsid w:val="00065F71"/>
    <w:rsid w:val="00066048"/>
    <w:rsid w:val="00066162"/>
    <w:rsid w:val="000664C6"/>
    <w:rsid w:val="000667F1"/>
    <w:rsid w:val="000668B6"/>
    <w:rsid w:val="00066D70"/>
    <w:rsid w:val="00066D7C"/>
    <w:rsid w:val="00067475"/>
    <w:rsid w:val="000677F4"/>
    <w:rsid w:val="000704EF"/>
    <w:rsid w:val="00070CCF"/>
    <w:rsid w:val="00071157"/>
    <w:rsid w:val="0007136A"/>
    <w:rsid w:val="000714ED"/>
    <w:rsid w:val="00071926"/>
    <w:rsid w:val="00071DA1"/>
    <w:rsid w:val="0007284C"/>
    <w:rsid w:val="0007296D"/>
    <w:rsid w:val="00072A7F"/>
    <w:rsid w:val="00072E28"/>
    <w:rsid w:val="00072E2C"/>
    <w:rsid w:val="00072EFA"/>
    <w:rsid w:val="000733B2"/>
    <w:rsid w:val="00073602"/>
    <w:rsid w:val="00073751"/>
    <w:rsid w:val="00073779"/>
    <w:rsid w:val="000737BF"/>
    <w:rsid w:val="0007380D"/>
    <w:rsid w:val="00073936"/>
    <w:rsid w:val="00073AD1"/>
    <w:rsid w:val="00073B4D"/>
    <w:rsid w:val="00074C67"/>
    <w:rsid w:val="00074C8C"/>
    <w:rsid w:val="00074C9B"/>
    <w:rsid w:val="00074CF7"/>
    <w:rsid w:val="00074D41"/>
    <w:rsid w:val="00075866"/>
    <w:rsid w:val="00075B99"/>
    <w:rsid w:val="00075D9B"/>
    <w:rsid w:val="00075F83"/>
    <w:rsid w:val="000763CE"/>
    <w:rsid w:val="00076F4A"/>
    <w:rsid w:val="000771D3"/>
    <w:rsid w:val="000771EA"/>
    <w:rsid w:val="00077246"/>
    <w:rsid w:val="00077586"/>
    <w:rsid w:val="000775AC"/>
    <w:rsid w:val="00077A99"/>
    <w:rsid w:val="00077AC9"/>
    <w:rsid w:val="00077C6D"/>
    <w:rsid w:val="00077E8B"/>
    <w:rsid w:val="0008021C"/>
    <w:rsid w:val="000803A9"/>
    <w:rsid w:val="000805D0"/>
    <w:rsid w:val="00080793"/>
    <w:rsid w:val="00080AC4"/>
    <w:rsid w:val="00080C5F"/>
    <w:rsid w:val="00080D9C"/>
    <w:rsid w:val="00080DEA"/>
    <w:rsid w:val="00081232"/>
    <w:rsid w:val="000813F4"/>
    <w:rsid w:val="0008155C"/>
    <w:rsid w:val="000818B6"/>
    <w:rsid w:val="00081C14"/>
    <w:rsid w:val="00081C44"/>
    <w:rsid w:val="00081C8C"/>
    <w:rsid w:val="00082301"/>
    <w:rsid w:val="000829EC"/>
    <w:rsid w:val="00082D61"/>
    <w:rsid w:val="0008321A"/>
    <w:rsid w:val="0008342B"/>
    <w:rsid w:val="00083C45"/>
    <w:rsid w:val="00084072"/>
    <w:rsid w:val="000840B6"/>
    <w:rsid w:val="0008415B"/>
    <w:rsid w:val="00084443"/>
    <w:rsid w:val="0008444F"/>
    <w:rsid w:val="000844E1"/>
    <w:rsid w:val="00084840"/>
    <w:rsid w:val="000848ED"/>
    <w:rsid w:val="00085031"/>
    <w:rsid w:val="000850B6"/>
    <w:rsid w:val="000854C6"/>
    <w:rsid w:val="00085740"/>
    <w:rsid w:val="00086299"/>
    <w:rsid w:val="0008716C"/>
    <w:rsid w:val="000871D3"/>
    <w:rsid w:val="00087474"/>
    <w:rsid w:val="000875CD"/>
    <w:rsid w:val="00087666"/>
    <w:rsid w:val="00090444"/>
    <w:rsid w:val="0009079C"/>
    <w:rsid w:val="00090887"/>
    <w:rsid w:val="00090E5E"/>
    <w:rsid w:val="00090F0E"/>
    <w:rsid w:val="00091078"/>
    <w:rsid w:val="0009112D"/>
    <w:rsid w:val="000911FE"/>
    <w:rsid w:val="000913F2"/>
    <w:rsid w:val="00091848"/>
    <w:rsid w:val="00091993"/>
    <w:rsid w:val="00091A0A"/>
    <w:rsid w:val="00091C5D"/>
    <w:rsid w:val="000922C7"/>
    <w:rsid w:val="00092531"/>
    <w:rsid w:val="00092716"/>
    <w:rsid w:val="00092C46"/>
    <w:rsid w:val="00092DC0"/>
    <w:rsid w:val="00093268"/>
    <w:rsid w:val="00093A86"/>
    <w:rsid w:val="00093E0D"/>
    <w:rsid w:val="00093EEA"/>
    <w:rsid w:val="000943FA"/>
    <w:rsid w:val="000947B9"/>
    <w:rsid w:val="00094828"/>
    <w:rsid w:val="00094AAC"/>
    <w:rsid w:val="00094D8B"/>
    <w:rsid w:val="00094E85"/>
    <w:rsid w:val="0009518B"/>
    <w:rsid w:val="00095203"/>
    <w:rsid w:val="0009592D"/>
    <w:rsid w:val="000959A4"/>
    <w:rsid w:val="0009604D"/>
    <w:rsid w:val="0009644E"/>
    <w:rsid w:val="00097DEB"/>
    <w:rsid w:val="000A00D9"/>
    <w:rsid w:val="000A0191"/>
    <w:rsid w:val="000A066F"/>
    <w:rsid w:val="000A0724"/>
    <w:rsid w:val="000A072C"/>
    <w:rsid w:val="000A07D0"/>
    <w:rsid w:val="000A0831"/>
    <w:rsid w:val="000A0CF3"/>
    <w:rsid w:val="000A0D93"/>
    <w:rsid w:val="000A0E98"/>
    <w:rsid w:val="000A131C"/>
    <w:rsid w:val="000A1325"/>
    <w:rsid w:val="000A1707"/>
    <w:rsid w:val="000A1A28"/>
    <w:rsid w:val="000A1A6C"/>
    <w:rsid w:val="000A1D7A"/>
    <w:rsid w:val="000A1DFD"/>
    <w:rsid w:val="000A2082"/>
    <w:rsid w:val="000A21C1"/>
    <w:rsid w:val="000A2549"/>
    <w:rsid w:val="000A276D"/>
    <w:rsid w:val="000A30A1"/>
    <w:rsid w:val="000A3543"/>
    <w:rsid w:val="000A3F1E"/>
    <w:rsid w:val="000A41C5"/>
    <w:rsid w:val="000A4BBA"/>
    <w:rsid w:val="000A5021"/>
    <w:rsid w:val="000A5108"/>
    <w:rsid w:val="000A5264"/>
    <w:rsid w:val="000A5451"/>
    <w:rsid w:val="000A55BC"/>
    <w:rsid w:val="000A57D5"/>
    <w:rsid w:val="000A5B6A"/>
    <w:rsid w:val="000A65FC"/>
    <w:rsid w:val="000A6D2C"/>
    <w:rsid w:val="000A6DB5"/>
    <w:rsid w:val="000A6FA3"/>
    <w:rsid w:val="000A7419"/>
    <w:rsid w:val="000A7628"/>
    <w:rsid w:val="000A7B18"/>
    <w:rsid w:val="000A7BD4"/>
    <w:rsid w:val="000A7FF6"/>
    <w:rsid w:val="000B06EF"/>
    <w:rsid w:val="000B1615"/>
    <w:rsid w:val="000B179F"/>
    <w:rsid w:val="000B18DD"/>
    <w:rsid w:val="000B1CB9"/>
    <w:rsid w:val="000B1FC7"/>
    <w:rsid w:val="000B2295"/>
    <w:rsid w:val="000B24B4"/>
    <w:rsid w:val="000B26FF"/>
    <w:rsid w:val="000B2766"/>
    <w:rsid w:val="000B2788"/>
    <w:rsid w:val="000B2C44"/>
    <w:rsid w:val="000B2C60"/>
    <w:rsid w:val="000B3253"/>
    <w:rsid w:val="000B3572"/>
    <w:rsid w:val="000B3A68"/>
    <w:rsid w:val="000B3AC2"/>
    <w:rsid w:val="000B3CA4"/>
    <w:rsid w:val="000B3D5B"/>
    <w:rsid w:val="000B40DC"/>
    <w:rsid w:val="000B4253"/>
    <w:rsid w:val="000B43F5"/>
    <w:rsid w:val="000B45A9"/>
    <w:rsid w:val="000B479E"/>
    <w:rsid w:val="000B4DF7"/>
    <w:rsid w:val="000B5592"/>
    <w:rsid w:val="000B5643"/>
    <w:rsid w:val="000B5CDE"/>
    <w:rsid w:val="000B5FC6"/>
    <w:rsid w:val="000B6065"/>
    <w:rsid w:val="000B6124"/>
    <w:rsid w:val="000B687F"/>
    <w:rsid w:val="000B6A38"/>
    <w:rsid w:val="000B7E3E"/>
    <w:rsid w:val="000B7E44"/>
    <w:rsid w:val="000B7EDF"/>
    <w:rsid w:val="000C08B0"/>
    <w:rsid w:val="000C11F5"/>
    <w:rsid w:val="000C172F"/>
    <w:rsid w:val="000C1A18"/>
    <w:rsid w:val="000C1C2A"/>
    <w:rsid w:val="000C1CFD"/>
    <w:rsid w:val="000C1E38"/>
    <w:rsid w:val="000C2437"/>
    <w:rsid w:val="000C2FE1"/>
    <w:rsid w:val="000C3090"/>
    <w:rsid w:val="000C3144"/>
    <w:rsid w:val="000C33C6"/>
    <w:rsid w:val="000C376F"/>
    <w:rsid w:val="000C3A44"/>
    <w:rsid w:val="000C4228"/>
    <w:rsid w:val="000C47FF"/>
    <w:rsid w:val="000C4805"/>
    <w:rsid w:val="000C48CC"/>
    <w:rsid w:val="000C4CEA"/>
    <w:rsid w:val="000C4D64"/>
    <w:rsid w:val="000C500A"/>
    <w:rsid w:val="000C500D"/>
    <w:rsid w:val="000C5393"/>
    <w:rsid w:val="000C6D02"/>
    <w:rsid w:val="000C6F17"/>
    <w:rsid w:val="000C7001"/>
    <w:rsid w:val="000C716E"/>
    <w:rsid w:val="000C7454"/>
    <w:rsid w:val="000C750E"/>
    <w:rsid w:val="000C7ABD"/>
    <w:rsid w:val="000C7D90"/>
    <w:rsid w:val="000C7DDB"/>
    <w:rsid w:val="000C7EFB"/>
    <w:rsid w:val="000D0205"/>
    <w:rsid w:val="000D0673"/>
    <w:rsid w:val="000D090A"/>
    <w:rsid w:val="000D1565"/>
    <w:rsid w:val="000D1683"/>
    <w:rsid w:val="000D1730"/>
    <w:rsid w:val="000D1ACE"/>
    <w:rsid w:val="000D1C51"/>
    <w:rsid w:val="000D1C86"/>
    <w:rsid w:val="000D2391"/>
    <w:rsid w:val="000D27EE"/>
    <w:rsid w:val="000D29A9"/>
    <w:rsid w:val="000D2DFF"/>
    <w:rsid w:val="000D2F41"/>
    <w:rsid w:val="000D2FCA"/>
    <w:rsid w:val="000D33A0"/>
    <w:rsid w:val="000D33AB"/>
    <w:rsid w:val="000D343B"/>
    <w:rsid w:val="000D34BA"/>
    <w:rsid w:val="000D397F"/>
    <w:rsid w:val="000D3AFF"/>
    <w:rsid w:val="000D3BA1"/>
    <w:rsid w:val="000D4593"/>
    <w:rsid w:val="000D4708"/>
    <w:rsid w:val="000D485E"/>
    <w:rsid w:val="000D4999"/>
    <w:rsid w:val="000D4E46"/>
    <w:rsid w:val="000D54FF"/>
    <w:rsid w:val="000D5516"/>
    <w:rsid w:val="000D557B"/>
    <w:rsid w:val="000D5EB3"/>
    <w:rsid w:val="000D6317"/>
    <w:rsid w:val="000D6AC2"/>
    <w:rsid w:val="000D6CDC"/>
    <w:rsid w:val="000D6D4E"/>
    <w:rsid w:val="000D7224"/>
    <w:rsid w:val="000D74B7"/>
    <w:rsid w:val="000D7B49"/>
    <w:rsid w:val="000D7C6B"/>
    <w:rsid w:val="000E0633"/>
    <w:rsid w:val="000E06D3"/>
    <w:rsid w:val="000E0DA4"/>
    <w:rsid w:val="000E0E77"/>
    <w:rsid w:val="000E0F5F"/>
    <w:rsid w:val="000E1359"/>
    <w:rsid w:val="000E1770"/>
    <w:rsid w:val="000E1C07"/>
    <w:rsid w:val="000E1E5D"/>
    <w:rsid w:val="000E20C1"/>
    <w:rsid w:val="000E2268"/>
    <w:rsid w:val="000E2295"/>
    <w:rsid w:val="000E27D7"/>
    <w:rsid w:val="000E2E25"/>
    <w:rsid w:val="000E32D7"/>
    <w:rsid w:val="000E34FF"/>
    <w:rsid w:val="000E38DD"/>
    <w:rsid w:val="000E3F6A"/>
    <w:rsid w:val="000E407B"/>
    <w:rsid w:val="000E475B"/>
    <w:rsid w:val="000E4C37"/>
    <w:rsid w:val="000E4C72"/>
    <w:rsid w:val="000E4DDF"/>
    <w:rsid w:val="000E4E14"/>
    <w:rsid w:val="000E596E"/>
    <w:rsid w:val="000E5B0F"/>
    <w:rsid w:val="000E5F62"/>
    <w:rsid w:val="000E630A"/>
    <w:rsid w:val="000E6550"/>
    <w:rsid w:val="000E6724"/>
    <w:rsid w:val="000E6883"/>
    <w:rsid w:val="000E6E16"/>
    <w:rsid w:val="000E795A"/>
    <w:rsid w:val="000F04EF"/>
    <w:rsid w:val="000F06D1"/>
    <w:rsid w:val="000F0710"/>
    <w:rsid w:val="000F0932"/>
    <w:rsid w:val="000F09BD"/>
    <w:rsid w:val="000F0CE1"/>
    <w:rsid w:val="000F0E6C"/>
    <w:rsid w:val="000F1127"/>
    <w:rsid w:val="000F1475"/>
    <w:rsid w:val="000F162C"/>
    <w:rsid w:val="000F162F"/>
    <w:rsid w:val="000F1880"/>
    <w:rsid w:val="000F194A"/>
    <w:rsid w:val="000F195F"/>
    <w:rsid w:val="000F257D"/>
    <w:rsid w:val="000F2CB8"/>
    <w:rsid w:val="000F3118"/>
    <w:rsid w:val="000F328A"/>
    <w:rsid w:val="000F3801"/>
    <w:rsid w:val="000F39A0"/>
    <w:rsid w:val="000F3BDA"/>
    <w:rsid w:val="000F418C"/>
    <w:rsid w:val="000F4700"/>
    <w:rsid w:val="000F4DBF"/>
    <w:rsid w:val="000F4EFF"/>
    <w:rsid w:val="000F56A0"/>
    <w:rsid w:val="000F56D9"/>
    <w:rsid w:val="000F591E"/>
    <w:rsid w:val="000F5A9D"/>
    <w:rsid w:val="000F6555"/>
    <w:rsid w:val="000F7C88"/>
    <w:rsid w:val="000F7E51"/>
    <w:rsid w:val="0010019C"/>
    <w:rsid w:val="0010075E"/>
    <w:rsid w:val="00100AE5"/>
    <w:rsid w:val="00100B82"/>
    <w:rsid w:val="00100DD6"/>
    <w:rsid w:val="001013F8"/>
    <w:rsid w:val="00101CE3"/>
    <w:rsid w:val="00101FBC"/>
    <w:rsid w:val="0010225B"/>
    <w:rsid w:val="001028FD"/>
    <w:rsid w:val="00102A57"/>
    <w:rsid w:val="00102A5D"/>
    <w:rsid w:val="00102AE1"/>
    <w:rsid w:val="00103084"/>
    <w:rsid w:val="0010357E"/>
    <w:rsid w:val="00103639"/>
    <w:rsid w:val="00103724"/>
    <w:rsid w:val="00103905"/>
    <w:rsid w:val="001039CF"/>
    <w:rsid w:val="00103BD6"/>
    <w:rsid w:val="001041DC"/>
    <w:rsid w:val="001041E6"/>
    <w:rsid w:val="00104B82"/>
    <w:rsid w:val="00104E7F"/>
    <w:rsid w:val="00105ACC"/>
    <w:rsid w:val="00105B28"/>
    <w:rsid w:val="00105F6C"/>
    <w:rsid w:val="0010614C"/>
    <w:rsid w:val="00106184"/>
    <w:rsid w:val="001062A7"/>
    <w:rsid w:val="001062C9"/>
    <w:rsid w:val="0010643B"/>
    <w:rsid w:val="00106450"/>
    <w:rsid w:val="0010650D"/>
    <w:rsid w:val="0010681D"/>
    <w:rsid w:val="00106AF3"/>
    <w:rsid w:val="00107041"/>
    <w:rsid w:val="0010755C"/>
    <w:rsid w:val="0010760E"/>
    <w:rsid w:val="0010772B"/>
    <w:rsid w:val="0010776D"/>
    <w:rsid w:val="00107F6B"/>
    <w:rsid w:val="001100B2"/>
    <w:rsid w:val="001100F9"/>
    <w:rsid w:val="00110461"/>
    <w:rsid w:val="00110CF9"/>
    <w:rsid w:val="00110ECD"/>
    <w:rsid w:val="0011108D"/>
    <w:rsid w:val="001111DF"/>
    <w:rsid w:val="0011176C"/>
    <w:rsid w:val="00111B2A"/>
    <w:rsid w:val="00111D3E"/>
    <w:rsid w:val="00111DAD"/>
    <w:rsid w:val="00112323"/>
    <w:rsid w:val="001123C2"/>
    <w:rsid w:val="00112466"/>
    <w:rsid w:val="00112884"/>
    <w:rsid w:val="00112E92"/>
    <w:rsid w:val="0011412F"/>
    <w:rsid w:val="0011436A"/>
    <w:rsid w:val="001144EC"/>
    <w:rsid w:val="00114BE3"/>
    <w:rsid w:val="00114C8E"/>
    <w:rsid w:val="00115309"/>
    <w:rsid w:val="0011530B"/>
    <w:rsid w:val="0011534A"/>
    <w:rsid w:val="00116016"/>
    <w:rsid w:val="00116CE7"/>
    <w:rsid w:val="00116FE7"/>
    <w:rsid w:val="001178DB"/>
    <w:rsid w:val="0011797D"/>
    <w:rsid w:val="00120154"/>
    <w:rsid w:val="001206D9"/>
    <w:rsid w:val="00120DF9"/>
    <w:rsid w:val="00121425"/>
    <w:rsid w:val="001215A1"/>
    <w:rsid w:val="00122287"/>
    <w:rsid w:val="001231EF"/>
    <w:rsid w:val="00123371"/>
    <w:rsid w:val="0012359E"/>
    <w:rsid w:val="0012409F"/>
    <w:rsid w:val="0012447E"/>
    <w:rsid w:val="001245B4"/>
    <w:rsid w:val="00124B08"/>
    <w:rsid w:val="0012534A"/>
    <w:rsid w:val="0012556E"/>
    <w:rsid w:val="00125682"/>
    <w:rsid w:val="00125890"/>
    <w:rsid w:val="00125FF0"/>
    <w:rsid w:val="001261F6"/>
    <w:rsid w:val="00126478"/>
    <w:rsid w:val="00126C43"/>
    <w:rsid w:val="00126DBE"/>
    <w:rsid w:val="0012765B"/>
    <w:rsid w:val="00127C84"/>
    <w:rsid w:val="00127D7F"/>
    <w:rsid w:val="00127D8E"/>
    <w:rsid w:val="00127E09"/>
    <w:rsid w:val="00127F8A"/>
    <w:rsid w:val="0013039E"/>
    <w:rsid w:val="001303E8"/>
    <w:rsid w:val="00130BAA"/>
    <w:rsid w:val="00130BF4"/>
    <w:rsid w:val="00130D16"/>
    <w:rsid w:val="0013124B"/>
    <w:rsid w:val="00131424"/>
    <w:rsid w:val="0013149E"/>
    <w:rsid w:val="001318D9"/>
    <w:rsid w:val="00131C15"/>
    <w:rsid w:val="00131C7A"/>
    <w:rsid w:val="00131D5D"/>
    <w:rsid w:val="00131D65"/>
    <w:rsid w:val="00131E17"/>
    <w:rsid w:val="00131E41"/>
    <w:rsid w:val="00131E48"/>
    <w:rsid w:val="00132458"/>
    <w:rsid w:val="00132F86"/>
    <w:rsid w:val="00132F9E"/>
    <w:rsid w:val="001334D5"/>
    <w:rsid w:val="0013351A"/>
    <w:rsid w:val="00133B2C"/>
    <w:rsid w:val="00133EF7"/>
    <w:rsid w:val="00133F3A"/>
    <w:rsid w:val="0013460B"/>
    <w:rsid w:val="001349BF"/>
    <w:rsid w:val="00134F5B"/>
    <w:rsid w:val="0013501C"/>
    <w:rsid w:val="001354FB"/>
    <w:rsid w:val="0013550D"/>
    <w:rsid w:val="00135653"/>
    <w:rsid w:val="001356A8"/>
    <w:rsid w:val="00135B61"/>
    <w:rsid w:val="00135ED0"/>
    <w:rsid w:val="00136393"/>
    <w:rsid w:val="0013641E"/>
    <w:rsid w:val="001365A2"/>
    <w:rsid w:val="0013672F"/>
    <w:rsid w:val="001368A5"/>
    <w:rsid w:val="00136AB6"/>
    <w:rsid w:val="00136BDC"/>
    <w:rsid w:val="00136E9C"/>
    <w:rsid w:val="00136F32"/>
    <w:rsid w:val="001370F4"/>
    <w:rsid w:val="0013723F"/>
    <w:rsid w:val="001372C5"/>
    <w:rsid w:val="001375A9"/>
    <w:rsid w:val="00137629"/>
    <w:rsid w:val="0013764C"/>
    <w:rsid w:val="00137691"/>
    <w:rsid w:val="0013777E"/>
    <w:rsid w:val="001379B8"/>
    <w:rsid w:val="00137F7D"/>
    <w:rsid w:val="001401EC"/>
    <w:rsid w:val="001404DF"/>
    <w:rsid w:val="00140BAC"/>
    <w:rsid w:val="00140BCB"/>
    <w:rsid w:val="00140F10"/>
    <w:rsid w:val="00141708"/>
    <w:rsid w:val="0014181B"/>
    <w:rsid w:val="00141BF5"/>
    <w:rsid w:val="001429C0"/>
    <w:rsid w:val="00142BE0"/>
    <w:rsid w:val="001431EE"/>
    <w:rsid w:val="001434F1"/>
    <w:rsid w:val="00143627"/>
    <w:rsid w:val="001436AA"/>
    <w:rsid w:val="00143823"/>
    <w:rsid w:val="00143E17"/>
    <w:rsid w:val="00144013"/>
    <w:rsid w:val="001440AB"/>
    <w:rsid w:val="00144633"/>
    <w:rsid w:val="0014465E"/>
    <w:rsid w:val="00144865"/>
    <w:rsid w:val="00144E6F"/>
    <w:rsid w:val="001450FF"/>
    <w:rsid w:val="00145751"/>
    <w:rsid w:val="0014575D"/>
    <w:rsid w:val="00145761"/>
    <w:rsid w:val="00145A67"/>
    <w:rsid w:val="00145FDE"/>
    <w:rsid w:val="00146A56"/>
    <w:rsid w:val="00147643"/>
    <w:rsid w:val="00147805"/>
    <w:rsid w:val="001478E8"/>
    <w:rsid w:val="00147A24"/>
    <w:rsid w:val="00147A2A"/>
    <w:rsid w:val="00147EB7"/>
    <w:rsid w:val="00150052"/>
    <w:rsid w:val="0015055B"/>
    <w:rsid w:val="00150AA4"/>
    <w:rsid w:val="00150C82"/>
    <w:rsid w:val="00151081"/>
    <w:rsid w:val="001513A8"/>
    <w:rsid w:val="001515F8"/>
    <w:rsid w:val="001518DD"/>
    <w:rsid w:val="001521E2"/>
    <w:rsid w:val="001522F9"/>
    <w:rsid w:val="0015297A"/>
    <w:rsid w:val="00152DEA"/>
    <w:rsid w:val="001538E0"/>
    <w:rsid w:val="00153EE1"/>
    <w:rsid w:val="00153FD9"/>
    <w:rsid w:val="00154168"/>
    <w:rsid w:val="001543E5"/>
    <w:rsid w:val="00154B76"/>
    <w:rsid w:val="00154E49"/>
    <w:rsid w:val="001559EB"/>
    <w:rsid w:val="00155A1A"/>
    <w:rsid w:val="00155C71"/>
    <w:rsid w:val="00155CFB"/>
    <w:rsid w:val="001561C3"/>
    <w:rsid w:val="001565D8"/>
    <w:rsid w:val="001565DB"/>
    <w:rsid w:val="00156922"/>
    <w:rsid w:val="001569C7"/>
    <w:rsid w:val="00156D08"/>
    <w:rsid w:val="00157224"/>
    <w:rsid w:val="00157832"/>
    <w:rsid w:val="00157A47"/>
    <w:rsid w:val="00157EBF"/>
    <w:rsid w:val="00157F39"/>
    <w:rsid w:val="0016017F"/>
    <w:rsid w:val="00160353"/>
    <w:rsid w:val="001608BE"/>
    <w:rsid w:val="00160E82"/>
    <w:rsid w:val="00161489"/>
    <w:rsid w:val="00161729"/>
    <w:rsid w:val="00161752"/>
    <w:rsid w:val="00162173"/>
    <w:rsid w:val="00162607"/>
    <w:rsid w:val="00162E2E"/>
    <w:rsid w:val="00163209"/>
    <w:rsid w:val="00163377"/>
    <w:rsid w:val="00163383"/>
    <w:rsid w:val="00163A84"/>
    <w:rsid w:val="00163D21"/>
    <w:rsid w:val="00164001"/>
    <w:rsid w:val="0016412A"/>
    <w:rsid w:val="001643CD"/>
    <w:rsid w:val="001644AF"/>
    <w:rsid w:val="00164970"/>
    <w:rsid w:val="00164B90"/>
    <w:rsid w:val="0016522F"/>
    <w:rsid w:val="0016542B"/>
    <w:rsid w:val="0016581C"/>
    <w:rsid w:val="00165CCE"/>
    <w:rsid w:val="00165D80"/>
    <w:rsid w:val="00166089"/>
    <w:rsid w:val="001661DE"/>
    <w:rsid w:val="001668E0"/>
    <w:rsid w:val="00166BE3"/>
    <w:rsid w:val="00166ECE"/>
    <w:rsid w:val="00167012"/>
    <w:rsid w:val="001671CB"/>
    <w:rsid w:val="00167377"/>
    <w:rsid w:val="0016762E"/>
    <w:rsid w:val="00167706"/>
    <w:rsid w:val="00167803"/>
    <w:rsid w:val="00167944"/>
    <w:rsid w:val="00167BDA"/>
    <w:rsid w:val="00167C57"/>
    <w:rsid w:val="00170250"/>
    <w:rsid w:val="00170FA4"/>
    <w:rsid w:val="00171181"/>
    <w:rsid w:val="001714F4"/>
    <w:rsid w:val="001723DF"/>
    <w:rsid w:val="0017291B"/>
    <w:rsid w:val="00172DE0"/>
    <w:rsid w:val="00172E0E"/>
    <w:rsid w:val="001730E1"/>
    <w:rsid w:val="00173233"/>
    <w:rsid w:val="001732E5"/>
    <w:rsid w:val="0017372D"/>
    <w:rsid w:val="00173877"/>
    <w:rsid w:val="00173D9F"/>
    <w:rsid w:val="00173E5E"/>
    <w:rsid w:val="00173EF1"/>
    <w:rsid w:val="00173F3A"/>
    <w:rsid w:val="00174648"/>
    <w:rsid w:val="00174A03"/>
    <w:rsid w:val="00174F15"/>
    <w:rsid w:val="001750CC"/>
    <w:rsid w:val="001757A9"/>
    <w:rsid w:val="00175806"/>
    <w:rsid w:val="001762A3"/>
    <w:rsid w:val="00176586"/>
    <w:rsid w:val="00176CBA"/>
    <w:rsid w:val="00177116"/>
    <w:rsid w:val="001771BF"/>
    <w:rsid w:val="00177562"/>
    <w:rsid w:val="00177653"/>
    <w:rsid w:val="00177FC0"/>
    <w:rsid w:val="001804F6"/>
    <w:rsid w:val="0018067D"/>
    <w:rsid w:val="001816F5"/>
    <w:rsid w:val="001818D6"/>
    <w:rsid w:val="00182061"/>
    <w:rsid w:val="00182199"/>
    <w:rsid w:val="00182542"/>
    <w:rsid w:val="001827C4"/>
    <w:rsid w:val="00182923"/>
    <w:rsid w:val="00182CFB"/>
    <w:rsid w:val="00183115"/>
    <w:rsid w:val="0018311B"/>
    <w:rsid w:val="0018359C"/>
    <w:rsid w:val="00183E2F"/>
    <w:rsid w:val="00183EF4"/>
    <w:rsid w:val="00184164"/>
    <w:rsid w:val="001841E7"/>
    <w:rsid w:val="001845AB"/>
    <w:rsid w:val="001845E7"/>
    <w:rsid w:val="001847C7"/>
    <w:rsid w:val="00184D8C"/>
    <w:rsid w:val="0018529A"/>
    <w:rsid w:val="00185391"/>
    <w:rsid w:val="00185985"/>
    <w:rsid w:val="0018619B"/>
    <w:rsid w:val="00186BFC"/>
    <w:rsid w:val="00186CCB"/>
    <w:rsid w:val="00186F50"/>
    <w:rsid w:val="00187930"/>
    <w:rsid w:val="001879DE"/>
    <w:rsid w:val="00187E91"/>
    <w:rsid w:val="001902FD"/>
    <w:rsid w:val="00190327"/>
    <w:rsid w:val="001906FA"/>
    <w:rsid w:val="00190AF9"/>
    <w:rsid w:val="00190E90"/>
    <w:rsid w:val="001918ED"/>
    <w:rsid w:val="00191FCF"/>
    <w:rsid w:val="0019208F"/>
    <w:rsid w:val="0019242B"/>
    <w:rsid w:val="001928F6"/>
    <w:rsid w:val="00192C11"/>
    <w:rsid w:val="00192E83"/>
    <w:rsid w:val="0019316E"/>
    <w:rsid w:val="001934EC"/>
    <w:rsid w:val="001937CB"/>
    <w:rsid w:val="0019461F"/>
    <w:rsid w:val="001947B6"/>
    <w:rsid w:val="00194D15"/>
    <w:rsid w:val="00194FF6"/>
    <w:rsid w:val="001954E6"/>
    <w:rsid w:val="001956D0"/>
    <w:rsid w:val="00195B0C"/>
    <w:rsid w:val="00195BBA"/>
    <w:rsid w:val="00195C5A"/>
    <w:rsid w:val="00195CC0"/>
    <w:rsid w:val="00195DEB"/>
    <w:rsid w:val="00196C42"/>
    <w:rsid w:val="00196F24"/>
    <w:rsid w:val="00197380"/>
    <w:rsid w:val="001976FA"/>
    <w:rsid w:val="00197FA6"/>
    <w:rsid w:val="00197FF8"/>
    <w:rsid w:val="001A0462"/>
    <w:rsid w:val="001A0605"/>
    <w:rsid w:val="001A14F4"/>
    <w:rsid w:val="001A1597"/>
    <w:rsid w:val="001A15D6"/>
    <w:rsid w:val="001A1A51"/>
    <w:rsid w:val="001A1B34"/>
    <w:rsid w:val="001A1D88"/>
    <w:rsid w:val="001A1FD9"/>
    <w:rsid w:val="001A2015"/>
    <w:rsid w:val="001A2403"/>
    <w:rsid w:val="001A2504"/>
    <w:rsid w:val="001A25A3"/>
    <w:rsid w:val="001A2A45"/>
    <w:rsid w:val="001A2BD0"/>
    <w:rsid w:val="001A2E7F"/>
    <w:rsid w:val="001A2F7F"/>
    <w:rsid w:val="001A34D2"/>
    <w:rsid w:val="001A364F"/>
    <w:rsid w:val="001A396E"/>
    <w:rsid w:val="001A3B8F"/>
    <w:rsid w:val="001A3D6D"/>
    <w:rsid w:val="001A3FE2"/>
    <w:rsid w:val="001A4C2B"/>
    <w:rsid w:val="001A4E29"/>
    <w:rsid w:val="001A5161"/>
    <w:rsid w:val="001A5362"/>
    <w:rsid w:val="001A55DE"/>
    <w:rsid w:val="001A5C8C"/>
    <w:rsid w:val="001A5F74"/>
    <w:rsid w:val="001A619E"/>
    <w:rsid w:val="001A653E"/>
    <w:rsid w:val="001A6874"/>
    <w:rsid w:val="001A7552"/>
    <w:rsid w:val="001A791C"/>
    <w:rsid w:val="001A7FAA"/>
    <w:rsid w:val="001B0875"/>
    <w:rsid w:val="001B0DFE"/>
    <w:rsid w:val="001B140A"/>
    <w:rsid w:val="001B1AD3"/>
    <w:rsid w:val="001B1F36"/>
    <w:rsid w:val="001B26F2"/>
    <w:rsid w:val="001B28CD"/>
    <w:rsid w:val="001B2BBF"/>
    <w:rsid w:val="001B3017"/>
    <w:rsid w:val="001B3084"/>
    <w:rsid w:val="001B30FB"/>
    <w:rsid w:val="001B36C4"/>
    <w:rsid w:val="001B3979"/>
    <w:rsid w:val="001B3D49"/>
    <w:rsid w:val="001B3D85"/>
    <w:rsid w:val="001B3FBE"/>
    <w:rsid w:val="001B438F"/>
    <w:rsid w:val="001B446E"/>
    <w:rsid w:val="001B4B52"/>
    <w:rsid w:val="001B514D"/>
    <w:rsid w:val="001B55E5"/>
    <w:rsid w:val="001B5B2E"/>
    <w:rsid w:val="001B5E3A"/>
    <w:rsid w:val="001B65B5"/>
    <w:rsid w:val="001B6BED"/>
    <w:rsid w:val="001B6F41"/>
    <w:rsid w:val="001B7244"/>
    <w:rsid w:val="001B7329"/>
    <w:rsid w:val="001B74FF"/>
    <w:rsid w:val="001B7876"/>
    <w:rsid w:val="001B7984"/>
    <w:rsid w:val="001C00C6"/>
    <w:rsid w:val="001C0608"/>
    <w:rsid w:val="001C0641"/>
    <w:rsid w:val="001C0E3D"/>
    <w:rsid w:val="001C1933"/>
    <w:rsid w:val="001C1942"/>
    <w:rsid w:val="001C1D36"/>
    <w:rsid w:val="001C2756"/>
    <w:rsid w:val="001C280E"/>
    <w:rsid w:val="001C2F56"/>
    <w:rsid w:val="001C32C8"/>
    <w:rsid w:val="001C34B8"/>
    <w:rsid w:val="001C38D8"/>
    <w:rsid w:val="001C3999"/>
    <w:rsid w:val="001C3DD0"/>
    <w:rsid w:val="001C4622"/>
    <w:rsid w:val="001C56C4"/>
    <w:rsid w:val="001C5AFE"/>
    <w:rsid w:val="001C5B44"/>
    <w:rsid w:val="001C6550"/>
    <w:rsid w:val="001C67D6"/>
    <w:rsid w:val="001C6926"/>
    <w:rsid w:val="001C69FB"/>
    <w:rsid w:val="001C6B29"/>
    <w:rsid w:val="001C6B7E"/>
    <w:rsid w:val="001C6E5B"/>
    <w:rsid w:val="001C71C8"/>
    <w:rsid w:val="001C799B"/>
    <w:rsid w:val="001C7E17"/>
    <w:rsid w:val="001D042E"/>
    <w:rsid w:val="001D0927"/>
    <w:rsid w:val="001D0AC9"/>
    <w:rsid w:val="001D0C95"/>
    <w:rsid w:val="001D0CA4"/>
    <w:rsid w:val="001D1593"/>
    <w:rsid w:val="001D1997"/>
    <w:rsid w:val="001D1BF2"/>
    <w:rsid w:val="001D20B0"/>
    <w:rsid w:val="001D26E6"/>
    <w:rsid w:val="001D2B63"/>
    <w:rsid w:val="001D2BDC"/>
    <w:rsid w:val="001D2C53"/>
    <w:rsid w:val="001D3A86"/>
    <w:rsid w:val="001D3AA3"/>
    <w:rsid w:val="001D471B"/>
    <w:rsid w:val="001D48A6"/>
    <w:rsid w:val="001D50C2"/>
    <w:rsid w:val="001D514F"/>
    <w:rsid w:val="001D5205"/>
    <w:rsid w:val="001D597C"/>
    <w:rsid w:val="001D5988"/>
    <w:rsid w:val="001D5B51"/>
    <w:rsid w:val="001D5BE4"/>
    <w:rsid w:val="001D5C3A"/>
    <w:rsid w:val="001D6485"/>
    <w:rsid w:val="001D6766"/>
    <w:rsid w:val="001D68B2"/>
    <w:rsid w:val="001D6A7C"/>
    <w:rsid w:val="001D6A93"/>
    <w:rsid w:val="001D7060"/>
    <w:rsid w:val="001D7592"/>
    <w:rsid w:val="001D7834"/>
    <w:rsid w:val="001E0122"/>
    <w:rsid w:val="001E0246"/>
    <w:rsid w:val="001E0405"/>
    <w:rsid w:val="001E0446"/>
    <w:rsid w:val="001E0B2E"/>
    <w:rsid w:val="001E0EBE"/>
    <w:rsid w:val="001E12BC"/>
    <w:rsid w:val="001E1345"/>
    <w:rsid w:val="001E141A"/>
    <w:rsid w:val="001E18B5"/>
    <w:rsid w:val="001E1E1F"/>
    <w:rsid w:val="001E228C"/>
    <w:rsid w:val="001E2932"/>
    <w:rsid w:val="001E2FCC"/>
    <w:rsid w:val="001E32BB"/>
    <w:rsid w:val="001E35C2"/>
    <w:rsid w:val="001E3C62"/>
    <w:rsid w:val="001E3EE5"/>
    <w:rsid w:val="001E4367"/>
    <w:rsid w:val="001E4A66"/>
    <w:rsid w:val="001E54B0"/>
    <w:rsid w:val="001E5CC2"/>
    <w:rsid w:val="001E5CCB"/>
    <w:rsid w:val="001E6004"/>
    <w:rsid w:val="001E639D"/>
    <w:rsid w:val="001E690F"/>
    <w:rsid w:val="001E6EBE"/>
    <w:rsid w:val="001E6F4F"/>
    <w:rsid w:val="001E70DD"/>
    <w:rsid w:val="001E76FE"/>
    <w:rsid w:val="001F0060"/>
    <w:rsid w:val="001F0479"/>
    <w:rsid w:val="001F0721"/>
    <w:rsid w:val="001F0BE1"/>
    <w:rsid w:val="001F0C89"/>
    <w:rsid w:val="001F119A"/>
    <w:rsid w:val="001F13A3"/>
    <w:rsid w:val="001F1477"/>
    <w:rsid w:val="001F19BE"/>
    <w:rsid w:val="001F1F31"/>
    <w:rsid w:val="001F21F4"/>
    <w:rsid w:val="001F2455"/>
    <w:rsid w:val="001F24A7"/>
    <w:rsid w:val="001F2574"/>
    <w:rsid w:val="001F26A4"/>
    <w:rsid w:val="001F28F9"/>
    <w:rsid w:val="001F29AF"/>
    <w:rsid w:val="001F29DF"/>
    <w:rsid w:val="001F2DAE"/>
    <w:rsid w:val="001F2DB7"/>
    <w:rsid w:val="001F2F6A"/>
    <w:rsid w:val="001F332E"/>
    <w:rsid w:val="001F3618"/>
    <w:rsid w:val="001F3DE9"/>
    <w:rsid w:val="001F4499"/>
    <w:rsid w:val="001F4CAF"/>
    <w:rsid w:val="001F53A3"/>
    <w:rsid w:val="001F5452"/>
    <w:rsid w:val="001F5712"/>
    <w:rsid w:val="001F5AF4"/>
    <w:rsid w:val="001F5CA7"/>
    <w:rsid w:val="001F5D18"/>
    <w:rsid w:val="001F6AD6"/>
    <w:rsid w:val="001F6C67"/>
    <w:rsid w:val="001F6FBD"/>
    <w:rsid w:val="001F70E5"/>
    <w:rsid w:val="001F722B"/>
    <w:rsid w:val="001F7460"/>
    <w:rsid w:val="001F7488"/>
    <w:rsid w:val="002000F9"/>
    <w:rsid w:val="00200574"/>
    <w:rsid w:val="00200880"/>
    <w:rsid w:val="00200F1E"/>
    <w:rsid w:val="00201004"/>
    <w:rsid w:val="00201447"/>
    <w:rsid w:val="0020168A"/>
    <w:rsid w:val="00201CF0"/>
    <w:rsid w:val="00201FA6"/>
    <w:rsid w:val="00202019"/>
    <w:rsid w:val="00202381"/>
    <w:rsid w:val="002023B9"/>
    <w:rsid w:val="002025B6"/>
    <w:rsid w:val="00202EFB"/>
    <w:rsid w:val="002036E3"/>
    <w:rsid w:val="00203950"/>
    <w:rsid w:val="00203E6E"/>
    <w:rsid w:val="002046FD"/>
    <w:rsid w:val="00204BA6"/>
    <w:rsid w:val="00204F43"/>
    <w:rsid w:val="00205110"/>
    <w:rsid w:val="00205942"/>
    <w:rsid w:val="00205958"/>
    <w:rsid w:val="002060E9"/>
    <w:rsid w:val="002062A0"/>
    <w:rsid w:val="002062E5"/>
    <w:rsid w:val="00206549"/>
    <w:rsid w:val="0020674B"/>
    <w:rsid w:val="00206A64"/>
    <w:rsid w:val="00206DA6"/>
    <w:rsid w:val="00206F2E"/>
    <w:rsid w:val="0020708A"/>
    <w:rsid w:val="002070A2"/>
    <w:rsid w:val="0020725B"/>
    <w:rsid w:val="00207367"/>
    <w:rsid w:val="002074AE"/>
    <w:rsid w:val="00210994"/>
    <w:rsid w:val="002109BC"/>
    <w:rsid w:val="00211832"/>
    <w:rsid w:val="002121F8"/>
    <w:rsid w:val="00212546"/>
    <w:rsid w:val="00212610"/>
    <w:rsid w:val="00212899"/>
    <w:rsid w:val="002128E0"/>
    <w:rsid w:val="00212AE1"/>
    <w:rsid w:val="00212C97"/>
    <w:rsid w:val="00212C9B"/>
    <w:rsid w:val="00212FFD"/>
    <w:rsid w:val="00213147"/>
    <w:rsid w:val="00213B7E"/>
    <w:rsid w:val="00214594"/>
    <w:rsid w:val="00214E69"/>
    <w:rsid w:val="00214F4D"/>
    <w:rsid w:val="0021509E"/>
    <w:rsid w:val="0021531A"/>
    <w:rsid w:val="00215575"/>
    <w:rsid w:val="00215741"/>
    <w:rsid w:val="0021584B"/>
    <w:rsid w:val="00215A5F"/>
    <w:rsid w:val="00215FE5"/>
    <w:rsid w:val="00216043"/>
    <w:rsid w:val="0021627A"/>
    <w:rsid w:val="002166A0"/>
    <w:rsid w:val="0021692A"/>
    <w:rsid w:val="00216D66"/>
    <w:rsid w:val="002170B6"/>
    <w:rsid w:val="00217965"/>
    <w:rsid w:val="00217AC4"/>
    <w:rsid w:val="00217B97"/>
    <w:rsid w:val="00217CAA"/>
    <w:rsid w:val="00217DBF"/>
    <w:rsid w:val="00217F7B"/>
    <w:rsid w:val="00220488"/>
    <w:rsid w:val="002206EE"/>
    <w:rsid w:val="0022165A"/>
    <w:rsid w:val="00221A8C"/>
    <w:rsid w:val="00222A01"/>
    <w:rsid w:val="00222D13"/>
    <w:rsid w:val="002231B6"/>
    <w:rsid w:val="00223384"/>
    <w:rsid w:val="00223A51"/>
    <w:rsid w:val="00223CB6"/>
    <w:rsid w:val="00223E9D"/>
    <w:rsid w:val="0022409E"/>
    <w:rsid w:val="0022445E"/>
    <w:rsid w:val="002251E4"/>
    <w:rsid w:val="00225E3D"/>
    <w:rsid w:val="00225E8B"/>
    <w:rsid w:val="00226144"/>
    <w:rsid w:val="002269F4"/>
    <w:rsid w:val="00226CCB"/>
    <w:rsid w:val="00226CD7"/>
    <w:rsid w:val="00226CDC"/>
    <w:rsid w:val="00226E43"/>
    <w:rsid w:val="00226E70"/>
    <w:rsid w:val="00226FD3"/>
    <w:rsid w:val="00227171"/>
    <w:rsid w:val="00227DB4"/>
    <w:rsid w:val="00230182"/>
    <w:rsid w:val="002301C0"/>
    <w:rsid w:val="002301F4"/>
    <w:rsid w:val="002304E8"/>
    <w:rsid w:val="00230DF1"/>
    <w:rsid w:val="00230FB5"/>
    <w:rsid w:val="002315C4"/>
    <w:rsid w:val="002318E8"/>
    <w:rsid w:val="00231C3F"/>
    <w:rsid w:val="00232264"/>
    <w:rsid w:val="0023299C"/>
    <w:rsid w:val="00232D31"/>
    <w:rsid w:val="00232EBE"/>
    <w:rsid w:val="00233326"/>
    <w:rsid w:val="00233949"/>
    <w:rsid w:val="00233BE9"/>
    <w:rsid w:val="00233D5E"/>
    <w:rsid w:val="002340C5"/>
    <w:rsid w:val="00234485"/>
    <w:rsid w:val="00234DCF"/>
    <w:rsid w:val="00235304"/>
    <w:rsid w:val="0023531B"/>
    <w:rsid w:val="002353FA"/>
    <w:rsid w:val="0023564E"/>
    <w:rsid w:val="002359F9"/>
    <w:rsid w:val="00236027"/>
    <w:rsid w:val="002367D5"/>
    <w:rsid w:val="00236A56"/>
    <w:rsid w:val="00236ABD"/>
    <w:rsid w:val="00236E2B"/>
    <w:rsid w:val="002372CE"/>
    <w:rsid w:val="00237964"/>
    <w:rsid w:val="00237AB6"/>
    <w:rsid w:val="00237C7F"/>
    <w:rsid w:val="00237DA4"/>
    <w:rsid w:val="00240046"/>
    <w:rsid w:val="002401CF"/>
    <w:rsid w:val="002402BF"/>
    <w:rsid w:val="00240A6C"/>
    <w:rsid w:val="00240C0E"/>
    <w:rsid w:val="0024122F"/>
    <w:rsid w:val="00241EA1"/>
    <w:rsid w:val="00241EF5"/>
    <w:rsid w:val="0024246F"/>
    <w:rsid w:val="00242689"/>
    <w:rsid w:val="00242AA8"/>
    <w:rsid w:val="0024325B"/>
    <w:rsid w:val="002432E4"/>
    <w:rsid w:val="002435C8"/>
    <w:rsid w:val="00243650"/>
    <w:rsid w:val="002436C8"/>
    <w:rsid w:val="00243B24"/>
    <w:rsid w:val="002444E8"/>
    <w:rsid w:val="00245450"/>
    <w:rsid w:val="002454CA"/>
    <w:rsid w:val="0024559A"/>
    <w:rsid w:val="00245611"/>
    <w:rsid w:val="00245A32"/>
    <w:rsid w:val="00245C4B"/>
    <w:rsid w:val="00245E45"/>
    <w:rsid w:val="00246CDB"/>
    <w:rsid w:val="00247118"/>
    <w:rsid w:val="002471C1"/>
    <w:rsid w:val="0024739E"/>
    <w:rsid w:val="0024743C"/>
    <w:rsid w:val="00247A23"/>
    <w:rsid w:val="00247D5A"/>
    <w:rsid w:val="002500C8"/>
    <w:rsid w:val="002505E6"/>
    <w:rsid w:val="00250965"/>
    <w:rsid w:val="0025184D"/>
    <w:rsid w:val="00252056"/>
    <w:rsid w:val="00252BFA"/>
    <w:rsid w:val="00252F1D"/>
    <w:rsid w:val="002533DA"/>
    <w:rsid w:val="0025371D"/>
    <w:rsid w:val="00253872"/>
    <w:rsid w:val="00253A02"/>
    <w:rsid w:val="002544B0"/>
    <w:rsid w:val="0025453A"/>
    <w:rsid w:val="002545FA"/>
    <w:rsid w:val="0025481A"/>
    <w:rsid w:val="002549F1"/>
    <w:rsid w:val="00254A27"/>
    <w:rsid w:val="00254A41"/>
    <w:rsid w:val="00254A7D"/>
    <w:rsid w:val="00254DF6"/>
    <w:rsid w:val="002553F3"/>
    <w:rsid w:val="00255A08"/>
    <w:rsid w:val="00255C53"/>
    <w:rsid w:val="00255D51"/>
    <w:rsid w:val="00255EB7"/>
    <w:rsid w:val="0025602E"/>
    <w:rsid w:val="002560BC"/>
    <w:rsid w:val="00256755"/>
    <w:rsid w:val="002567B0"/>
    <w:rsid w:val="002570B1"/>
    <w:rsid w:val="0025720B"/>
    <w:rsid w:val="00257977"/>
    <w:rsid w:val="00260528"/>
    <w:rsid w:val="00260585"/>
    <w:rsid w:val="00260799"/>
    <w:rsid w:val="002607F6"/>
    <w:rsid w:val="00260AF3"/>
    <w:rsid w:val="00260B57"/>
    <w:rsid w:val="00261155"/>
    <w:rsid w:val="002614A1"/>
    <w:rsid w:val="00261516"/>
    <w:rsid w:val="002619DA"/>
    <w:rsid w:val="00261B0E"/>
    <w:rsid w:val="00261C4B"/>
    <w:rsid w:val="002629F6"/>
    <w:rsid w:val="00262EC1"/>
    <w:rsid w:val="00262F49"/>
    <w:rsid w:val="00263197"/>
    <w:rsid w:val="00263408"/>
    <w:rsid w:val="002634AF"/>
    <w:rsid w:val="002638BE"/>
    <w:rsid w:val="00263A75"/>
    <w:rsid w:val="00263F3F"/>
    <w:rsid w:val="00263F70"/>
    <w:rsid w:val="00264A08"/>
    <w:rsid w:val="00264B61"/>
    <w:rsid w:val="00264EFF"/>
    <w:rsid w:val="00265009"/>
    <w:rsid w:val="0026509E"/>
    <w:rsid w:val="00265846"/>
    <w:rsid w:val="00265EEA"/>
    <w:rsid w:val="0026626F"/>
    <w:rsid w:val="00266347"/>
    <w:rsid w:val="002663BF"/>
    <w:rsid w:val="00266719"/>
    <w:rsid w:val="00266750"/>
    <w:rsid w:val="00266AAF"/>
    <w:rsid w:val="00266F2F"/>
    <w:rsid w:val="00267587"/>
    <w:rsid w:val="00267596"/>
    <w:rsid w:val="0026793F"/>
    <w:rsid w:val="00267FA4"/>
    <w:rsid w:val="002700A1"/>
    <w:rsid w:val="00270759"/>
    <w:rsid w:val="00270BFC"/>
    <w:rsid w:val="00270EE2"/>
    <w:rsid w:val="00271270"/>
    <w:rsid w:val="0027153A"/>
    <w:rsid w:val="00271A18"/>
    <w:rsid w:val="00271DA7"/>
    <w:rsid w:val="0027251D"/>
    <w:rsid w:val="00272FF2"/>
    <w:rsid w:val="00273132"/>
    <w:rsid w:val="0027321D"/>
    <w:rsid w:val="002733B3"/>
    <w:rsid w:val="002736BD"/>
    <w:rsid w:val="00273CA8"/>
    <w:rsid w:val="00273DB8"/>
    <w:rsid w:val="00274326"/>
    <w:rsid w:val="00274AE9"/>
    <w:rsid w:val="002752EA"/>
    <w:rsid w:val="00276030"/>
    <w:rsid w:val="0027625E"/>
    <w:rsid w:val="0027631F"/>
    <w:rsid w:val="00276CA6"/>
    <w:rsid w:val="00277120"/>
    <w:rsid w:val="0027719C"/>
    <w:rsid w:val="00277707"/>
    <w:rsid w:val="00277C65"/>
    <w:rsid w:val="00277CAF"/>
    <w:rsid w:val="002807CA"/>
    <w:rsid w:val="002809CF"/>
    <w:rsid w:val="0028109A"/>
    <w:rsid w:val="0028118D"/>
    <w:rsid w:val="002814F1"/>
    <w:rsid w:val="00281ADC"/>
    <w:rsid w:val="002827AD"/>
    <w:rsid w:val="002828C5"/>
    <w:rsid w:val="00282DB0"/>
    <w:rsid w:val="002833AD"/>
    <w:rsid w:val="0028453E"/>
    <w:rsid w:val="0028487E"/>
    <w:rsid w:val="00284946"/>
    <w:rsid w:val="00284997"/>
    <w:rsid w:val="00284BDF"/>
    <w:rsid w:val="00284C0B"/>
    <w:rsid w:val="00285057"/>
    <w:rsid w:val="002851C6"/>
    <w:rsid w:val="00285E1F"/>
    <w:rsid w:val="0028609C"/>
    <w:rsid w:val="002868F1"/>
    <w:rsid w:val="00286F57"/>
    <w:rsid w:val="00286F5A"/>
    <w:rsid w:val="002872F2"/>
    <w:rsid w:val="0028736F"/>
    <w:rsid w:val="002873C7"/>
    <w:rsid w:val="00287761"/>
    <w:rsid w:val="00287A73"/>
    <w:rsid w:val="00287E83"/>
    <w:rsid w:val="00287E8B"/>
    <w:rsid w:val="002900F6"/>
    <w:rsid w:val="002902E6"/>
    <w:rsid w:val="00290569"/>
    <w:rsid w:val="00290808"/>
    <w:rsid w:val="00290812"/>
    <w:rsid w:val="0029118B"/>
    <w:rsid w:val="0029154B"/>
    <w:rsid w:val="00291795"/>
    <w:rsid w:val="00292124"/>
    <w:rsid w:val="002925F0"/>
    <w:rsid w:val="00292719"/>
    <w:rsid w:val="002929C6"/>
    <w:rsid w:val="00292AC1"/>
    <w:rsid w:val="00292B16"/>
    <w:rsid w:val="00292EB2"/>
    <w:rsid w:val="00292F9A"/>
    <w:rsid w:val="002936BC"/>
    <w:rsid w:val="00293724"/>
    <w:rsid w:val="002937A0"/>
    <w:rsid w:val="00293EE4"/>
    <w:rsid w:val="0029425F"/>
    <w:rsid w:val="00294882"/>
    <w:rsid w:val="00294D7E"/>
    <w:rsid w:val="00294F06"/>
    <w:rsid w:val="002952C2"/>
    <w:rsid w:val="00295367"/>
    <w:rsid w:val="00295466"/>
    <w:rsid w:val="002954D2"/>
    <w:rsid w:val="002955E2"/>
    <w:rsid w:val="00295B8D"/>
    <w:rsid w:val="00295FA3"/>
    <w:rsid w:val="00295FA5"/>
    <w:rsid w:val="0029607F"/>
    <w:rsid w:val="00297012"/>
    <w:rsid w:val="002972F6"/>
    <w:rsid w:val="00297C96"/>
    <w:rsid w:val="00297DF6"/>
    <w:rsid w:val="002A001F"/>
    <w:rsid w:val="002A0089"/>
    <w:rsid w:val="002A0585"/>
    <w:rsid w:val="002A070A"/>
    <w:rsid w:val="002A0BBE"/>
    <w:rsid w:val="002A0CDE"/>
    <w:rsid w:val="002A0D20"/>
    <w:rsid w:val="002A1421"/>
    <w:rsid w:val="002A1487"/>
    <w:rsid w:val="002A1B68"/>
    <w:rsid w:val="002A1BF7"/>
    <w:rsid w:val="002A2112"/>
    <w:rsid w:val="002A224E"/>
    <w:rsid w:val="002A25DB"/>
    <w:rsid w:val="002A2668"/>
    <w:rsid w:val="002A271B"/>
    <w:rsid w:val="002A30D2"/>
    <w:rsid w:val="002A3416"/>
    <w:rsid w:val="002A3478"/>
    <w:rsid w:val="002A3783"/>
    <w:rsid w:val="002A3CE2"/>
    <w:rsid w:val="002A461D"/>
    <w:rsid w:val="002A481B"/>
    <w:rsid w:val="002A48FA"/>
    <w:rsid w:val="002A4938"/>
    <w:rsid w:val="002A4C45"/>
    <w:rsid w:val="002A4E83"/>
    <w:rsid w:val="002A4FC3"/>
    <w:rsid w:val="002A4FDB"/>
    <w:rsid w:val="002A5043"/>
    <w:rsid w:val="002A557B"/>
    <w:rsid w:val="002A597D"/>
    <w:rsid w:val="002A5A76"/>
    <w:rsid w:val="002A5E2D"/>
    <w:rsid w:val="002A5E33"/>
    <w:rsid w:val="002A602B"/>
    <w:rsid w:val="002A6420"/>
    <w:rsid w:val="002A649A"/>
    <w:rsid w:val="002A6580"/>
    <w:rsid w:val="002A673F"/>
    <w:rsid w:val="002A688B"/>
    <w:rsid w:val="002A692E"/>
    <w:rsid w:val="002A74FD"/>
    <w:rsid w:val="002A7639"/>
    <w:rsid w:val="002A787A"/>
    <w:rsid w:val="002B02D9"/>
    <w:rsid w:val="002B068A"/>
    <w:rsid w:val="002B06B7"/>
    <w:rsid w:val="002B0723"/>
    <w:rsid w:val="002B0864"/>
    <w:rsid w:val="002B0B0B"/>
    <w:rsid w:val="002B0D69"/>
    <w:rsid w:val="002B1079"/>
    <w:rsid w:val="002B109F"/>
    <w:rsid w:val="002B10EF"/>
    <w:rsid w:val="002B1650"/>
    <w:rsid w:val="002B17AD"/>
    <w:rsid w:val="002B1A6D"/>
    <w:rsid w:val="002B1B2F"/>
    <w:rsid w:val="002B1C2A"/>
    <w:rsid w:val="002B20C2"/>
    <w:rsid w:val="002B2300"/>
    <w:rsid w:val="002B235D"/>
    <w:rsid w:val="002B273B"/>
    <w:rsid w:val="002B2782"/>
    <w:rsid w:val="002B2A0F"/>
    <w:rsid w:val="002B2BA2"/>
    <w:rsid w:val="002B2BEB"/>
    <w:rsid w:val="002B32F1"/>
    <w:rsid w:val="002B3377"/>
    <w:rsid w:val="002B337B"/>
    <w:rsid w:val="002B3642"/>
    <w:rsid w:val="002B36BE"/>
    <w:rsid w:val="002B3795"/>
    <w:rsid w:val="002B3AEF"/>
    <w:rsid w:val="002B3BFF"/>
    <w:rsid w:val="002B3F92"/>
    <w:rsid w:val="002B4358"/>
    <w:rsid w:val="002B43DB"/>
    <w:rsid w:val="002B4535"/>
    <w:rsid w:val="002B49F2"/>
    <w:rsid w:val="002B4AF8"/>
    <w:rsid w:val="002B4B24"/>
    <w:rsid w:val="002B4B56"/>
    <w:rsid w:val="002B4D32"/>
    <w:rsid w:val="002B54DF"/>
    <w:rsid w:val="002B586E"/>
    <w:rsid w:val="002B5FA3"/>
    <w:rsid w:val="002B6139"/>
    <w:rsid w:val="002B6C59"/>
    <w:rsid w:val="002B6E2E"/>
    <w:rsid w:val="002B74C0"/>
    <w:rsid w:val="002B74D6"/>
    <w:rsid w:val="002B7824"/>
    <w:rsid w:val="002B7884"/>
    <w:rsid w:val="002B788B"/>
    <w:rsid w:val="002B78E3"/>
    <w:rsid w:val="002B7F9A"/>
    <w:rsid w:val="002C006A"/>
    <w:rsid w:val="002C0266"/>
    <w:rsid w:val="002C06FC"/>
    <w:rsid w:val="002C09B8"/>
    <w:rsid w:val="002C0F53"/>
    <w:rsid w:val="002C13BF"/>
    <w:rsid w:val="002C1577"/>
    <w:rsid w:val="002C16C2"/>
    <w:rsid w:val="002C1860"/>
    <w:rsid w:val="002C1B1C"/>
    <w:rsid w:val="002C273E"/>
    <w:rsid w:val="002C29C7"/>
    <w:rsid w:val="002C2D30"/>
    <w:rsid w:val="002C2DBA"/>
    <w:rsid w:val="002C2F65"/>
    <w:rsid w:val="002C361A"/>
    <w:rsid w:val="002C3996"/>
    <w:rsid w:val="002C4243"/>
    <w:rsid w:val="002C49B3"/>
    <w:rsid w:val="002C49D9"/>
    <w:rsid w:val="002C4AA4"/>
    <w:rsid w:val="002C4BBB"/>
    <w:rsid w:val="002C4BD7"/>
    <w:rsid w:val="002C4D2F"/>
    <w:rsid w:val="002C4EAA"/>
    <w:rsid w:val="002C5003"/>
    <w:rsid w:val="002C5297"/>
    <w:rsid w:val="002C5588"/>
    <w:rsid w:val="002C55D7"/>
    <w:rsid w:val="002C630D"/>
    <w:rsid w:val="002C6570"/>
    <w:rsid w:val="002C69D3"/>
    <w:rsid w:val="002C6B8F"/>
    <w:rsid w:val="002C7720"/>
    <w:rsid w:val="002C79AB"/>
    <w:rsid w:val="002C7A1F"/>
    <w:rsid w:val="002C7D11"/>
    <w:rsid w:val="002C7D71"/>
    <w:rsid w:val="002D08AA"/>
    <w:rsid w:val="002D1127"/>
    <w:rsid w:val="002D1520"/>
    <w:rsid w:val="002D1639"/>
    <w:rsid w:val="002D1C8E"/>
    <w:rsid w:val="002D1E22"/>
    <w:rsid w:val="002D2135"/>
    <w:rsid w:val="002D2291"/>
    <w:rsid w:val="002D2369"/>
    <w:rsid w:val="002D2ADA"/>
    <w:rsid w:val="002D2B3D"/>
    <w:rsid w:val="002D2FD2"/>
    <w:rsid w:val="002D3455"/>
    <w:rsid w:val="002D45A8"/>
    <w:rsid w:val="002D48C9"/>
    <w:rsid w:val="002D4AC5"/>
    <w:rsid w:val="002D4CAB"/>
    <w:rsid w:val="002D4DB6"/>
    <w:rsid w:val="002D4F96"/>
    <w:rsid w:val="002D5542"/>
    <w:rsid w:val="002D5684"/>
    <w:rsid w:val="002D569B"/>
    <w:rsid w:val="002D5BFD"/>
    <w:rsid w:val="002D5EA6"/>
    <w:rsid w:val="002D5EAA"/>
    <w:rsid w:val="002D5F2C"/>
    <w:rsid w:val="002D6584"/>
    <w:rsid w:val="002D6738"/>
    <w:rsid w:val="002D675F"/>
    <w:rsid w:val="002D6BA2"/>
    <w:rsid w:val="002D7904"/>
    <w:rsid w:val="002D7C14"/>
    <w:rsid w:val="002E0103"/>
    <w:rsid w:val="002E0525"/>
    <w:rsid w:val="002E07A2"/>
    <w:rsid w:val="002E122C"/>
    <w:rsid w:val="002E1429"/>
    <w:rsid w:val="002E1556"/>
    <w:rsid w:val="002E15BD"/>
    <w:rsid w:val="002E1F29"/>
    <w:rsid w:val="002E21D3"/>
    <w:rsid w:val="002E224B"/>
    <w:rsid w:val="002E2387"/>
    <w:rsid w:val="002E238E"/>
    <w:rsid w:val="002E26B0"/>
    <w:rsid w:val="002E4BDF"/>
    <w:rsid w:val="002E5BA1"/>
    <w:rsid w:val="002E5F4C"/>
    <w:rsid w:val="002E65A1"/>
    <w:rsid w:val="002E66B7"/>
    <w:rsid w:val="002E67C4"/>
    <w:rsid w:val="002E6ACD"/>
    <w:rsid w:val="002E6C41"/>
    <w:rsid w:val="002E6D3C"/>
    <w:rsid w:val="002E753E"/>
    <w:rsid w:val="002E7742"/>
    <w:rsid w:val="002E7ED9"/>
    <w:rsid w:val="002E7F16"/>
    <w:rsid w:val="002F0232"/>
    <w:rsid w:val="002F0535"/>
    <w:rsid w:val="002F064A"/>
    <w:rsid w:val="002F08C2"/>
    <w:rsid w:val="002F0919"/>
    <w:rsid w:val="002F093C"/>
    <w:rsid w:val="002F0D4B"/>
    <w:rsid w:val="002F1744"/>
    <w:rsid w:val="002F1790"/>
    <w:rsid w:val="002F1D4A"/>
    <w:rsid w:val="002F29A4"/>
    <w:rsid w:val="002F2A3D"/>
    <w:rsid w:val="002F3404"/>
    <w:rsid w:val="002F3D94"/>
    <w:rsid w:val="002F3FBD"/>
    <w:rsid w:val="002F4076"/>
    <w:rsid w:val="002F49C5"/>
    <w:rsid w:val="002F4B48"/>
    <w:rsid w:val="002F55CB"/>
    <w:rsid w:val="002F5CFB"/>
    <w:rsid w:val="002F61D4"/>
    <w:rsid w:val="002F66F2"/>
    <w:rsid w:val="002F6773"/>
    <w:rsid w:val="002F67F9"/>
    <w:rsid w:val="002F6AF2"/>
    <w:rsid w:val="002F6BCA"/>
    <w:rsid w:val="002F7B1C"/>
    <w:rsid w:val="0030082F"/>
    <w:rsid w:val="003008EF"/>
    <w:rsid w:val="00300B0A"/>
    <w:rsid w:val="00300B50"/>
    <w:rsid w:val="0030129E"/>
    <w:rsid w:val="00301617"/>
    <w:rsid w:val="00301967"/>
    <w:rsid w:val="00301A68"/>
    <w:rsid w:val="00301A97"/>
    <w:rsid w:val="00301FA9"/>
    <w:rsid w:val="003021D4"/>
    <w:rsid w:val="003021DF"/>
    <w:rsid w:val="00302585"/>
    <w:rsid w:val="00302674"/>
    <w:rsid w:val="00302891"/>
    <w:rsid w:val="00302C7C"/>
    <w:rsid w:val="003031E2"/>
    <w:rsid w:val="003038E9"/>
    <w:rsid w:val="00303AB3"/>
    <w:rsid w:val="00303B59"/>
    <w:rsid w:val="00303CA1"/>
    <w:rsid w:val="003042C0"/>
    <w:rsid w:val="00304947"/>
    <w:rsid w:val="00304BCE"/>
    <w:rsid w:val="00304D99"/>
    <w:rsid w:val="003052E9"/>
    <w:rsid w:val="003057DE"/>
    <w:rsid w:val="0030593E"/>
    <w:rsid w:val="00305C4D"/>
    <w:rsid w:val="003063C0"/>
    <w:rsid w:val="00306476"/>
    <w:rsid w:val="003065AB"/>
    <w:rsid w:val="00306B87"/>
    <w:rsid w:val="00306BEC"/>
    <w:rsid w:val="00306D28"/>
    <w:rsid w:val="00307112"/>
    <w:rsid w:val="003071FE"/>
    <w:rsid w:val="003073C2"/>
    <w:rsid w:val="00310745"/>
    <w:rsid w:val="00310826"/>
    <w:rsid w:val="00310EEF"/>
    <w:rsid w:val="00311119"/>
    <w:rsid w:val="003117CF"/>
    <w:rsid w:val="003117D1"/>
    <w:rsid w:val="003119F8"/>
    <w:rsid w:val="00311CCC"/>
    <w:rsid w:val="003120C0"/>
    <w:rsid w:val="003124BE"/>
    <w:rsid w:val="003125C3"/>
    <w:rsid w:val="00312A0E"/>
    <w:rsid w:val="00312A1E"/>
    <w:rsid w:val="003130D2"/>
    <w:rsid w:val="00313192"/>
    <w:rsid w:val="00313ADB"/>
    <w:rsid w:val="00313FFD"/>
    <w:rsid w:val="00314208"/>
    <w:rsid w:val="00314293"/>
    <w:rsid w:val="003144CF"/>
    <w:rsid w:val="00314645"/>
    <w:rsid w:val="0031472D"/>
    <w:rsid w:val="003147BD"/>
    <w:rsid w:val="00314A5B"/>
    <w:rsid w:val="00314F5B"/>
    <w:rsid w:val="0031514E"/>
    <w:rsid w:val="0031540F"/>
    <w:rsid w:val="00315821"/>
    <w:rsid w:val="00316162"/>
    <w:rsid w:val="003163ED"/>
    <w:rsid w:val="00316414"/>
    <w:rsid w:val="00316663"/>
    <w:rsid w:val="00316B9B"/>
    <w:rsid w:val="003171EA"/>
    <w:rsid w:val="0031726F"/>
    <w:rsid w:val="003179F2"/>
    <w:rsid w:val="00317A1A"/>
    <w:rsid w:val="00317A6B"/>
    <w:rsid w:val="003206B0"/>
    <w:rsid w:val="00320B52"/>
    <w:rsid w:val="00320E41"/>
    <w:rsid w:val="003210D7"/>
    <w:rsid w:val="0032192C"/>
    <w:rsid w:val="003219E8"/>
    <w:rsid w:val="00321E3A"/>
    <w:rsid w:val="00322C9B"/>
    <w:rsid w:val="00322C9C"/>
    <w:rsid w:val="00322CBA"/>
    <w:rsid w:val="00322E83"/>
    <w:rsid w:val="00323783"/>
    <w:rsid w:val="00323FAB"/>
    <w:rsid w:val="003243E4"/>
    <w:rsid w:val="00324E72"/>
    <w:rsid w:val="00325257"/>
    <w:rsid w:val="0032578C"/>
    <w:rsid w:val="00325B90"/>
    <w:rsid w:val="00326169"/>
    <w:rsid w:val="003263C0"/>
    <w:rsid w:val="00326467"/>
    <w:rsid w:val="00326749"/>
    <w:rsid w:val="003275A9"/>
    <w:rsid w:val="00327B5D"/>
    <w:rsid w:val="00330367"/>
    <w:rsid w:val="00330886"/>
    <w:rsid w:val="00330D08"/>
    <w:rsid w:val="00330DE0"/>
    <w:rsid w:val="0033128A"/>
    <w:rsid w:val="0033151E"/>
    <w:rsid w:val="0033187D"/>
    <w:rsid w:val="00331AF8"/>
    <w:rsid w:val="00331B2D"/>
    <w:rsid w:val="00331C31"/>
    <w:rsid w:val="00331E96"/>
    <w:rsid w:val="003321F3"/>
    <w:rsid w:val="00332AAE"/>
    <w:rsid w:val="00332CDD"/>
    <w:rsid w:val="00332D98"/>
    <w:rsid w:val="0033339D"/>
    <w:rsid w:val="003336EE"/>
    <w:rsid w:val="00333B38"/>
    <w:rsid w:val="003342D0"/>
    <w:rsid w:val="00334393"/>
    <w:rsid w:val="00334718"/>
    <w:rsid w:val="003348A9"/>
    <w:rsid w:val="003349CD"/>
    <w:rsid w:val="00334B81"/>
    <w:rsid w:val="00334D88"/>
    <w:rsid w:val="0033528B"/>
    <w:rsid w:val="003355AE"/>
    <w:rsid w:val="00335C3C"/>
    <w:rsid w:val="0033602E"/>
    <w:rsid w:val="00336142"/>
    <w:rsid w:val="00336239"/>
    <w:rsid w:val="0033632D"/>
    <w:rsid w:val="003365AE"/>
    <w:rsid w:val="00336895"/>
    <w:rsid w:val="00336A86"/>
    <w:rsid w:val="003373A2"/>
    <w:rsid w:val="00337624"/>
    <w:rsid w:val="00337667"/>
    <w:rsid w:val="003376B7"/>
    <w:rsid w:val="00337EFF"/>
    <w:rsid w:val="003404C9"/>
    <w:rsid w:val="003406C6"/>
    <w:rsid w:val="00340E3A"/>
    <w:rsid w:val="00341034"/>
    <w:rsid w:val="00341241"/>
    <w:rsid w:val="00341570"/>
    <w:rsid w:val="003418E6"/>
    <w:rsid w:val="00342436"/>
    <w:rsid w:val="003425A8"/>
    <w:rsid w:val="00342A17"/>
    <w:rsid w:val="00342D10"/>
    <w:rsid w:val="00343053"/>
    <w:rsid w:val="00343113"/>
    <w:rsid w:val="00343490"/>
    <w:rsid w:val="00344029"/>
    <w:rsid w:val="00344ACB"/>
    <w:rsid w:val="00344B4D"/>
    <w:rsid w:val="00344E73"/>
    <w:rsid w:val="0034552C"/>
    <w:rsid w:val="0034561F"/>
    <w:rsid w:val="0034563B"/>
    <w:rsid w:val="003459FE"/>
    <w:rsid w:val="00345B66"/>
    <w:rsid w:val="003462C6"/>
    <w:rsid w:val="003462F9"/>
    <w:rsid w:val="00346A76"/>
    <w:rsid w:val="00346AEB"/>
    <w:rsid w:val="00346C57"/>
    <w:rsid w:val="00346C61"/>
    <w:rsid w:val="003471D0"/>
    <w:rsid w:val="003473DB"/>
    <w:rsid w:val="003475F0"/>
    <w:rsid w:val="003477A9"/>
    <w:rsid w:val="0035085C"/>
    <w:rsid w:val="00350A7F"/>
    <w:rsid w:val="00350BDE"/>
    <w:rsid w:val="00350D32"/>
    <w:rsid w:val="00351231"/>
    <w:rsid w:val="003516CA"/>
    <w:rsid w:val="003518AF"/>
    <w:rsid w:val="00351AFD"/>
    <w:rsid w:val="00351B1C"/>
    <w:rsid w:val="003520EB"/>
    <w:rsid w:val="00352254"/>
    <w:rsid w:val="003523F4"/>
    <w:rsid w:val="003525D4"/>
    <w:rsid w:val="00352954"/>
    <w:rsid w:val="00353570"/>
    <w:rsid w:val="003537E5"/>
    <w:rsid w:val="00353C0F"/>
    <w:rsid w:val="00353C99"/>
    <w:rsid w:val="00353DAE"/>
    <w:rsid w:val="0035410A"/>
    <w:rsid w:val="003545F8"/>
    <w:rsid w:val="0035466C"/>
    <w:rsid w:val="00354A97"/>
    <w:rsid w:val="00354E4C"/>
    <w:rsid w:val="00354F2E"/>
    <w:rsid w:val="00354F8A"/>
    <w:rsid w:val="003551A3"/>
    <w:rsid w:val="0035525D"/>
    <w:rsid w:val="00355329"/>
    <w:rsid w:val="00355556"/>
    <w:rsid w:val="003555A9"/>
    <w:rsid w:val="00355936"/>
    <w:rsid w:val="003560FF"/>
    <w:rsid w:val="00356685"/>
    <w:rsid w:val="003566A9"/>
    <w:rsid w:val="00356ACB"/>
    <w:rsid w:val="00357333"/>
    <w:rsid w:val="0035763C"/>
    <w:rsid w:val="00357773"/>
    <w:rsid w:val="00357F21"/>
    <w:rsid w:val="0036006F"/>
    <w:rsid w:val="00360316"/>
    <w:rsid w:val="00360363"/>
    <w:rsid w:val="0036048A"/>
    <w:rsid w:val="00360806"/>
    <w:rsid w:val="00360B71"/>
    <w:rsid w:val="00360BED"/>
    <w:rsid w:val="00360FA2"/>
    <w:rsid w:val="00361094"/>
    <w:rsid w:val="003610EE"/>
    <w:rsid w:val="00361230"/>
    <w:rsid w:val="00361297"/>
    <w:rsid w:val="003612D0"/>
    <w:rsid w:val="003614D2"/>
    <w:rsid w:val="00361853"/>
    <w:rsid w:val="00361A03"/>
    <w:rsid w:val="00361F31"/>
    <w:rsid w:val="003620E2"/>
    <w:rsid w:val="0036212E"/>
    <w:rsid w:val="003624A7"/>
    <w:rsid w:val="00363029"/>
    <w:rsid w:val="0036388C"/>
    <w:rsid w:val="003638E1"/>
    <w:rsid w:val="00363CDF"/>
    <w:rsid w:val="00363E0F"/>
    <w:rsid w:val="00364722"/>
    <w:rsid w:val="00364C2B"/>
    <w:rsid w:val="00364E46"/>
    <w:rsid w:val="00365AEC"/>
    <w:rsid w:val="0036602B"/>
    <w:rsid w:val="00366241"/>
    <w:rsid w:val="00366354"/>
    <w:rsid w:val="00366AC9"/>
    <w:rsid w:val="00366C11"/>
    <w:rsid w:val="00366D94"/>
    <w:rsid w:val="00367815"/>
    <w:rsid w:val="00367881"/>
    <w:rsid w:val="00367A5A"/>
    <w:rsid w:val="00367ACF"/>
    <w:rsid w:val="00367CA4"/>
    <w:rsid w:val="00367D63"/>
    <w:rsid w:val="00367DC8"/>
    <w:rsid w:val="00367E7A"/>
    <w:rsid w:val="003703B3"/>
    <w:rsid w:val="00370A4E"/>
    <w:rsid w:val="0037114C"/>
    <w:rsid w:val="003717B5"/>
    <w:rsid w:val="00371A96"/>
    <w:rsid w:val="0037236F"/>
    <w:rsid w:val="003727D4"/>
    <w:rsid w:val="00372850"/>
    <w:rsid w:val="00372CB5"/>
    <w:rsid w:val="00372D34"/>
    <w:rsid w:val="00372EC6"/>
    <w:rsid w:val="003730F9"/>
    <w:rsid w:val="00373763"/>
    <w:rsid w:val="0037421F"/>
    <w:rsid w:val="0037442E"/>
    <w:rsid w:val="0037448C"/>
    <w:rsid w:val="00374C2A"/>
    <w:rsid w:val="003756E4"/>
    <w:rsid w:val="00375CE3"/>
    <w:rsid w:val="0037684B"/>
    <w:rsid w:val="0037699F"/>
    <w:rsid w:val="00376AD5"/>
    <w:rsid w:val="003777E7"/>
    <w:rsid w:val="00377ABA"/>
    <w:rsid w:val="00377B01"/>
    <w:rsid w:val="00377C8B"/>
    <w:rsid w:val="00380123"/>
    <w:rsid w:val="00380544"/>
    <w:rsid w:val="0038056C"/>
    <w:rsid w:val="0038090E"/>
    <w:rsid w:val="00381392"/>
    <w:rsid w:val="00381ECE"/>
    <w:rsid w:val="00382719"/>
    <w:rsid w:val="00382EB2"/>
    <w:rsid w:val="003836EF"/>
    <w:rsid w:val="003839BA"/>
    <w:rsid w:val="00383A13"/>
    <w:rsid w:val="00383C33"/>
    <w:rsid w:val="00383C57"/>
    <w:rsid w:val="00383F28"/>
    <w:rsid w:val="00384281"/>
    <w:rsid w:val="00384345"/>
    <w:rsid w:val="0038473D"/>
    <w:rsid w:val="00384820"/>
    <w:rsid w:val="00384857"/>
    <w:rsid w:val="00384921"/>
    <w:rsid w:val="00384C2B"/>
    <w:rsid w:val="00384ED1"/>
    <w:rsid w:val="003853D0"/>
    <w:rsid w:val="0038599A"/>
    <w:rsid w:val="00385ED5"/>
    <w:rsid w:val="00386417"/>
    <w:rsid w:val="0038641D"/>
    <w:rsid w:val="00386664"/>
    <w:rsid w:val="00387023"/>
    <w:rsid w:val="00387B31"/>
    <w:rsid w:val="00387F18"/>
    <w:rsid w:val="00390378"/>
    <w:rsid w:val="003903F5"/>
    <w:rsid w:val="00390E38"/>
    <w:rsid w:val="003913A4"/>
    <w:rsid w:val="003917A1"/>
    <w:rsid w:val="0039219C"/>
    <w:rsid w:val="00392753"/>
    <w:rsid w:val="00392E6B"/>
    <w:rsid w:val="00392EE5"/>
    <w:rsid w:val="00393129"/>
    <w:rsid w:val="003932B5"/>
    <w:rsid w:val="00393499"/>
    <w:rsid w:val="00393DBB"/>
    <w:rsid w:val="00394057"/>
    <w:rsid w:val="0039408C"/>
    <w:rsid w:val="00394125"/>
    <w:rsid w:val="00394F85"/>
    <w:rsid w:val="00395137"/>
    <w:rsid w:val="0039538A"/>
    <w:rsid w:val="00395752"/>
    <w:rsid w:val="00395808"/>
    <w:rsid w:val="0039619B"/>
    <w:rsid w:val="0039680E"/>
    <w:rsid w:val="00396EC8"/>
    <w:rsid w:val="00397D6E"/>
    <w:rsid w:val="00397DF7"/>
    <w:rsid w:val="003A01E1"/>
    <w:rsid w:val="003A0201"/>
    <w:rsid w:val="003A02E7"/>
    <w:rsid w:val="003A0781"/>
    <w:rsid w:val="003A0E66"/>
    <w:rsid w:val="003A1011"/>
    <w:rsid w:val="003A1275"/>
    <w:rsid w:val="003A158C"/>
    <w:rsid w:val="003A1619"/>
    <w:rsid w:val="003A1626"/>
    <w:rsid w:val="003A18C6"/>
    <w:rsid w:val="003A19C4"/>
    <w:rsid w:val="003A1B12"/>
    <w:rsid w:val="003A1E28"/>
    <w:rsid w:val="003A2135"/>
    <w:rsid w:val="003A216A"/>
    <w:rsid w:val="003A225D"/>
    <w:rsid w:val="003A289D"/>
    <w:rsid w:val="003A2CB8"/>
    <w:rsid w:val="003A32AE"/>
    <w:rsid w:val="003A35D7"/>
    <w:rsid w:val="003A3BBA"/>
    <w:rsid w:val="003A3C65"/>
    <w:rsid w:val="003A3D76"/>
    <w:rsid w:val="003A444C"/>
    <w:rsid w:val="003A46F4"/>
    <w:rsid w:val="003A4BFA"/>
    <w:rsid w:val="003A4E0A"/>
    <w:rsid w:val="003A4F0B"/>
    <w:rsid w:val="003A548C"/>
    <w:rsid w:val="003A5699"/>
    <w:rsid w:val="003A5ACA"/>
    <w:rsid w:val="003A5B6D"/>
    <w:rsid w:val="003A5CF4"/>
    <w:rsid w:val="003A5DA8"/>
    <w:rsid w:val="003A6026"/>
    <w:rsid w:val="003A60EE"/>
    <w:rsid w:val="003A6505"/>
    <w:rsid w:val="003A6746"/>
    <w:rsid w:val="003A6834"/>
    <w:rsid w:val="003A6AC8"/>
    <w:rsid w:val="003A74A7"/>
    <w:rsid w:val="003A74E8"/>
    <w:rsid w:val="003A7BB8"/>
    <w:rsid w:val="003B01EC"/>
    <w:rsid w:val="003B0418"/>
    <w:rsid w:val="003B04A7"/>
    <w:rsid w:val="003B05A4"/>
    <w:rsid w:val="003B06A0"/>
    <w:rsid w:val="003B06B8"/>
    <w:rsid w:val="003B0E3A"/>
    <w:rsid w:val="003B11E5"/>
    <w:rsid w:val="003B1320"/>
    <w:rsid w:val="003B2339"/>
    <w:rsid w:val="003B2A4B"/>
    <w:rsid w:val="003B2C04"/>
    <w:rsid w:val="003B3110"/>
    <w:rsid w:val="003B3559"/>
    <w:rsid w:val="003B3E2B"/>
    <w:rsid w:val="003B40C3"/>
    <w:rsid w:val="003B4D98"/>
    <w:rsid w:val="003B59AF"/>
    <w:rsid w:val="003B6034"/>
    <w:rsid w:val="003B6935"/>
    <w:rsid w:val="003B6DA8"/>
    <w:rsid w:val="003B6FDF"/>
    <w:rsid w:val="003B6FEC"/>
    <w:rsid w:val="003B74D8"/>
    <w:rsid w:val="003B7626"/>
    <w:rsid w:val="003B7CFD"/>
    <w:rsid w:val="003C02CA"/>
    <w:rsid w:val="003C06A9"/>
    <w:rsid w:val="003C07A5"/>
    <w:rsid w:val="003C0D6F"/>
    <w:rsid w:val="003C0D71"/>
    <w:rsid w:val="003C0D96"/>
    <w:rsid w:val="003C13B8"/>
    <w:rsid w:val="003C179A"/>
    <w:rsid w:val="003C17A7"/>
    <w:rsid w:val="003C1A9A"/>
    <w:rsid w:val="003C1BDC"/>
    <w:rsid w:val="003C1D87"/>
    <w:rsid w:val="003C2117"/>
    <w:rsid w:val="003C232A"/>
    <w:rsid w:val="003C290F"/>
    <w:rsid w:val="003C298D"/>
    <w:rsid w:val="003C2A9E"/>
    <w:rsid w:val="003C2E57"/>
    <w:rsid w:val="003C30DE"/>
    <w:rsid w:val="003C32E9"/>
    <w:rsid w:val="003C3394"/>
    <w:rsid w:val="003C3AA3"/>
    <w:rsid w:val="003C3B7F"/>
    <w:rsid w:val="003C4084"/>
    <w:rsid w:val="003C45A9"/>
    <w:rsid w:val="003C465B"/>
    <w:rsid w:val="003C4BCB"/>
    <w:rsid w:val="003C4DDF"/>
    <w:rsid w:val="003C54CC"/>
    <w:rsid w:val="003C559D"/>
    <w:rsid w:val="003C5A6C"/>
    <w:rsid w:val="003C5A9A"/>
    <w:rsid w:val="003C5BD9"/>
    <w:rsid w:val="003C5E8E"/>
    <w:rsid w:val="003C6E56"/>
    <w:rsid w:val="003C720A"/>
    <w:rsid w:val="003C7222"/>
    <w:rsid w:val="003C731F"/>
    <w:rsid w:val="003C7460"/>
    <w:rsid w:val="003C7557"/>
    <w:rsid w:val="003C7A1A"/>
    <w:rsid w:val="003C7A8A"/>
    <w:rsid w:val="003C7AB6"/>
    <w:rsid w:val="003C7BD1"/>
    <w:rsid w:val="003C7D0C"/>
    <w:rsid w:val="003D027A"/>
    <w:rsid w:val="003D06E9"/>
    <w:rsid w:val="003D076F"/>
    <w:rsid w:val="003D08D3"/>
    <w:rsid w:val="003D0950"/>
    <w:rsid w:val="003D0C22"/>
    <w:rsid w:val="003D10EF"/>
    <w:rsid w:val="003D1CB0"/>
    <w:rsid w:val="003D2625"/>
    <w:rsid w:val="003D2BB5"/>
    <w:rsid w:val="003D32F9"/>
    <w:rsid w:val="003D3C06"/>
    <w:rsid w:val="003D3EAC"/>
    <w:rsid w:val="003D3EB8"/>
    <w:rsid w:val="003D4031"/>
    <w:rsid w:val="003D40A0"/>
    <w:rsid w:val="003D422F"/>
    <w:rsid w:val="003D45F7"/>
    <w:rsid w:val="003D49A8"/>
    <w:rsid w:val="003D4E74"/>
    <w:rsid w:val="003D5B61"/>
    <w:rsid w:val="003D5D1A"/>
    <w:rsid w:val="003D61EB"/>
    <w:rsid w:val="003D6C3B"/>
    <w:rsid w:val="003D76BE"/>
    <w:rsid w:val="003D7C0B"/>
    <w:rsid w:val="003D7E2D"/>
    <w:rsid w:val="003E027D"/>
    <w:rsid w:val="003E02B0"/>
    <w:rsid w:val="003E0A5F"/>
    <w:rsid w:val="003E0AA1"/>
    <w:rsid w:val="003E0BFF"/>
    <w:rsid w:val="003E0CD7"/>
    <w:rsid w:val="003E0F22"/>
    <w:rsid w:val="003E10B8"/>
    <w:rsid w:val="003E10BD"/>
    <w:rsid w:val="003E10D7"/>
    <w:rsid w:val="003E15E7"/>
    <w:rsid w:val="003E1A22"/>
    <w:rsid w:val="003E20F5"/>
    <w:rsid w:val="003E24A9"/>
    <w:rsid w:val="003E2AD3"/>
    <w:rsid w:val="003E2D05"/>
    <w:rsid w:val="003E33A7"/>
    <w:rsid w:val="003E39CE"/>
    <w:rsid w:val="003E41E0"/>
    <w:rsid w:val="003E4235"/>
    <w:rsid w:val="003E45CC"/>
    <w:rsid w:val="003E4701"/>
    <w:rsid w:val="003E4E79"/>
    <w:rsid w:val="003E5065"/>
    <w:rsid w:val="003E598C"/>
    <w:rsid w:val="003E59BC"/>
    <w:rsid w:val="003E6742"/>
    <w:rsid w:val="003E69C1"/>
    <w:rsid w:val="003E6FA7"/>
    <w:rsid w:val="003E7CCB"/>
    <w:rsid w:val="003E7D67"/>
    <w:rsid w:val="003F06BF"/>
    <w:rsid w:val="003F0D34"/>
    <w:rsid w:val="003F14C2"/>
    <w:rsid w:val="003F19A5"/>
    <w:rsid w:val="003F1CD2"/>
    <w:rsid w:val="003F23D4"/>
    <w:rsid w:val="003F2489"/>
    <w:rsid w:val="003F255E"/>
    <w:rsid w:val="003F25EF"/>
    <w:rsid w:val="003F28B6"/>
    <w:rsid w:val="003F2F60"/>
    <w:rsid w:val="003F3368"/>
    <w:rsid w:val="003F358C"/>
    <w:rsid w:val="003F36BD"/>
    <w:rsid w:val="003F38BC"/>
    <w:rsid w:val="003F3E48"/>
    <w:rsid w:val="003F423F"/>
    <w:rsid w:val="003F42B2"/>
    <w:rsid w:val="003F46A9"/>
    <w:rsid w:val="003F477C"/>
    <w:rsid w:val="003F4785"/>
    <w:rsid w:val="003F4ACC"/>
    <w:rsid w:val="003F5C68"/>
    <w:rsid w:val="003F5DDF"/>
    <w:rsid w:val="003F64FC"/>
    <w:rsid w:val="003F701B"/>
    <w:rsid w:val="003F7583"/>
    <w:rsid w:val="003F77CC"/>
    <w:rsid w:val="003F7BCD"/>
    <w:rsid w:val="003F7F52"/>
    <w:rsid w:val="00400A39"/>
    <w:rsid w:val="00400F41"/>
    <w:rsid w:val="0040176F"/>
    <w:rsid w:val="00401F50"/>
    <w:rsid w:val="00401FDE"/>
    <w:rsid w:val="004020F7"/>
    <w:rsid w:val="00402831"/>
    <w:rsid w:val="00402B19"/>
    <w:rsid w:val="00402E6E"/>
    <w:rsid w:val="00402F9A"/>
    <w:rsid w:val="004031E2"/>
    <w:rsid w:val="00403499"/>
    <w:rsid w:val="0040375A"/>
    <w:rsid w:val="00403788"/>
    <w:rsid w:val="0040388E"/>
    <w:rsid w:val="00403996"/>
    <w:rsid w:val="00403A83"/>
    <w:rsid w:val="00403B13"/>
    <w:rsid w:val="00403E4C"/>
    <w:rsid w:val="00403EE3"/>
    <w:rsid w:val="00404151"/>
    <w:rsid w:val="00404499"/>
    <w:rsid w:val="0040465E"/>
    <w:rsid w:val="00404E29"/>
    <w:rsid w:val="00405478"/>
    <w:rsid w:val="0040554E"/>
    <w:rsid w:val="004059AB"/>
    <w:rsid w:val="00405F28"/>
    <w:rsid w:val="004063C0"/>
    <w:rsid w:val="00406A32"/>
    <w:rsid w:val="00406CF0"/>
    <w:rsid w:val="0040700B"/>
    <w:rsid w:val="004070D3"/>
    <w:rsid w:val="004073F9"/>
    <w:rsid w:val="0040752C"/>
    <w:rsid w:val="0040789A"/>
    <w:rsid w:val="00407A00"/>
    <w:rsid w:val="00407AFD"/>
    <w:rsid w:val="00407FE8"/>
    <w:rsid w:val="00410130"/>
    <w:rsid w:val="00410D6C"/>
    <w:rsid w:val="00410E7F"/>
    <w:rsid w:val="0041109E"/>
    <w:rsid w:val="00411B20"/>
    <w:rsid w:val="00411E6A"/>
    <w:rsid w:val="004127BC"/>
    <w:rsid w:val="004138EC"/>
    <w:rsid w:val="00413928"/>
    <w:rsid w:val="00413AAB"/>
    <w:rsid w:val="004140CD"/>
    <w:rsid w:val="00414168"/>
    <w:rsid w:val="0041466F"/>
    <w:rsid w:val="0041493E"/>
    <w:rsid w:val="00414969"/>
    <w:rsid w:val="00414EC5"/>
    <w:rsid w:val="004151BC"/>
    <w:rsid w:val="00415BDF"/>
    <w:rsid w:val="00415D98"/>
    <w:rsid w:val="00415DBC"/>
    <w:rsid w:val="00415E8C"/>
    <w:rsid w:val="00416197"/>
    <w:rsid w:val="00416375"/>
    <w:rsid w:val="004163EF"/>
    <w:rsid w:val="004164A2"/>
    <w:rsid w:val="00416E67"/>
    <w:rsid w:val="00417689"/>
    <w:rsid w:val="00417761"/>
    <w:rsid w:val="00417B4B"/>
    <w:rsid w:val="00420624"/>
    <w:rsid w:val="004206A0"/>
    <w:rsid w:val="00420C8B"/>
    <w:rsid w:val="00420DD9"/>
    <w:rsid w:val="004210A6"/>
    <w:rsid w:val="00421368"/>
    <w:rsid w:val="004217B5"/>
    <w:rsid w:val="00421AFD"/>
    <w:rsid w:val="00421BBF"/>
    <w:rsid w:val="00421F28"/>
    <w:rsid w:val="004223E9"/>
    <w:rsid w:val="0042267B"/>
    <w:rsid w:val="0042275E"/>
    <w:rsid w:val="00422C13"/>
    <w:rsid w:val="00423DDB"/>
    <w:rsid w:val="00424814"/>
    <w:rsid w:val="00424B31"/>
    <w:rsid w:val="00425076"/>
    <w:rsid w:val="0042567D"/>
    <w:rsid w:val="004258A3"/>
    <w:rsid w:val="00425A3C"/>
    <w:rsid w:val="00426041"/>
    <w:rsid w:val="004264E5"/>
    <w:rsid w:val="00426707"/>
    <w:rsid w:val="00426FBE"/>
    <w:rsid w:val="004277B2"/>
    <w:rsid w:val="00427BF4"/>
    <w:rsid w:val="00427F5C"/>
    <w:rsid w:val="00427FA2"/>
    <w:rsid w:val="00430015"/>
    <w:rsid w:val="004304CA"/>
    <w:rsid w:val="00430953"/>
    <w:rsid w:val="00430A8A"/>
    <w:rsid w:val="00430DE6"/>
    <w:rsid w:val="004313BB"/>
    <w:rsid w:val="004316EB"/>
    <w:rsid w:val="00431C9D"/>
    <w:rsid w:val="00431DE1"/>
    <w:rsid w:val="004327B6"/>
    <w:rsid w:val="00432851"/>
    <w:rsid w:val="00432A98"/>
    <w:rsid w:val="00433128"/>
    <w:rsid w:val="00433342"/>
    <w:rsid w:val="00433653"/>
    <w:rsid w:val="0043372F"/>
    <w:rsid w:val="004339AF"/>
    <w:rsid w:val="00433EA6"/>
    <w:rsid w:val="00434067"/>
    <w:rsid w:val="004340C1"/>
    <w:rsid w:val="0043424F"/>
    <w:rsid w:val="0043432F"/>
    <w:rsid w:val="00434587"/>
    <w:rsid w:val="0043473F"/>
    <w:rsid w:val="00434AEB"/>
    <w:rsid w:val="00434E60"/>
    <w:rsid w:val="00434F35"/>
    <w:rsid w:val="0043543D"/>
    <w:rsid w:val="00435FF6"/>
    <w:rsid w:val="0043603E"/>
    <w:rsid w:val="00436B0A"/>
    <w:rsid w:val="00436B1E"/>
    <w:rsid w:val="00437104"/>
    <w:rsid w:val="004373AC"/>
    <w:rsid w:val="0043751E"/>
    <w:rsid w:val="00437643"/>
    <w:rsid w:val="00437772"/>
    <w:rsid w:val="00437794"/>
    <w:rsid w:val="0043783F"/>
    <w:rsid w:val="00437C34"/>
    <w:rsid w:val="00437FA6"/>
    <w:rsid w:val="004402C9"/>
    <w:rsid w:val="00440434"/>
    <w:rsid w:val="00440998"/>
    <w:rsid w:val="00440C88"/>
    <w:rsid w:val="004413E1"/>
    <w:rsid w:val="00441A38"/>
    <w:rsid w:val="00441C9A"/>
    <w:rsid w:val="00441D0D"/>
    <w:rsid w:val="00442D38"/>
    <w:rsid w:val="00443009"/>
    <w:rsid w:val="00443705"/>
    <w:rsid w:val="004438E5"/>
    <w:rsid w:val="00443917"/>
    <w:rsid w:val="00443A25"/>
    <w:rsid w:val="00443B81"/>
    <w:rsid w:val="00443C86"/>
    <w:rsid w:val="00444587"/>
    <w:rsid w:val="004445C1"/>
    <w:rsid w:val="00444691"/>
    <w:rsid w:val="00444765"/>
    <w:rsid w:val="00444D96"/>
    <w:rsid w:val="00444DD8"/>
    <w:rsid w:val="00445380"/>
    <w:rsid w:val="004454F9"/>
    <w:rsid w:val="00445B9A"/>
    <w:rsid w:val="00445C17"/>
    <w:rsid w:val="00445DA2"/>
    <w:rsid w:val="0044647B"/>
    <w:rsid w:val="0044652F"/>
    <w:rsid w:val="0044688D"/>
    <w:rsid w:val="00446B61"/>
    <w:rsid w:val="00447010"/>
    <w:rsid w:val="004471D3"/>
    <w:rsid w:val="004474D9"/>
    <w:rsid w:val="0044750C"/>
    <w:rsid w:val="00447648"/>
    <w:rsid w:val="004478C2"/>
    <w:rsid w:val="00447C23"/>
    <w:rsid w:val="0045043A"/>
    <w:rsid w:val="00450B8F"/>
    <w:rsid w:val="00450CB0"/>
    <w:rsid w:val="00450E09"/>
    <w:rsid w:val="00450FB1"/>
    <w:rsid w:val="004510F2"/>
    <w:rsid w:val="004513D8"/>
    <w:rsid w:val="00451433"/>
    <w:rsid w:val="00451ED1"/>
    <w:rsid w:val="00452449"/>
    <w:rsid w:val="004526D2"/>
    <w:rsid w:val="00452E42"/>
    <w:rsid w:val="00453023"/>
    <w:rsid w:val="00453368"/>
    <w:rsid w:val="00453443"/>
    <w:rsid w:val="00453F23"/>
    <w:rsid w:val="004540A9"/>
    <w:rsid w:val="00454163"/>
    <w:rsid w:val="00454870"/>
    <w:rsid w:val="00454AC2"/>
    <w:rsid w:val="004550AB"/>
    <w:rsid w:val="004552A3"/>
    <w:rsid w:val="00455D8A"/>
    <w:rsid w:val="0045624C"/>
    <w:rsid w:val="0045640D"/>
    <w:rsid w:val="00456D7C"/>
    <w:rsid w:val="00456DE5"/>
    <w:rsid w:val="004573A1"/>
    <w:rsid w:val="00457ACF"/>
    <w:rsid w:val="00457E75"/>
    <w:rsid w:val="00457F14"/>
    <w:rsid w:val="0046015E"/>
    <w:rsid w:val="0046016D"/>
    <w:rsid w:val="00460AC6"/>
    <w:rsid w:val="0046122C"/>
    <w:rsid w:val="004613E5"/>
    <w:rsid w:val="00461562"/>
    <w:rsid w:val="00462043"/>
    <w:rsid w:val="004629AF"/>
    <w:rsid w:val="00462C5B"/>
    <w:rsid w:val="00462FB8"/>
    <w:rsid w:val="00463507"/>
    <w:rsid w:val="0046361E"/>
    <w:rsid w:val="00464174"/>
    <w:rsid w:val="0046426E"/>
    <w:rsid w:val="00464648"/>
    <w:rsid w:val="004656AC"/>
    <w:rsid w:val="00465721"/>
    <w:rsid w:val="004659A4"/>
    <w:rsid w:val="00465C7B"/>
    <w:rsid w:val="00465EAD"/>
    <w:rsid w:val="00465F34"/>
    <w:rsid w:val="00465FD0"/>
    <w:rsid w:val="004668BF"/>
    <w:rsid w:val="004668FE"/>
    <w:rsid w:val="004669A4"/>
    <w:rsid w:val="004669DB"/>
    <w:rsid w:val="00466B4C"/>
    <w:rsid w:val="004677A4"/>
    <w:rsid w:val="004679CF"/>
    <w:rsid w:val="00467E2C"/>
    <w:rsid w:val="0047023F"/>
    <w:rsid w:val="00470335"/>
    <w:rsid w:val="00470A52"/>
    <w:rsid w:val="004711E0"/>
    <w:rsid w:val="004715A0"/>
    <w:rsid w:val="0047172F"/>
    <w:rsid w:val="00471AB0"/>
    <w:rsid w:val="00471EC7"/>
    <w:rsid w:val="00471FCA"/>
    <w:rsid w:val="004720DF"/>
    <w:rsid w:val="00472338"/>
    <w:rsid w:val="004725FE"/>
    <w:rsid w:val="004727E5"/>
    <w:rsid w:val="00472AE7"/>
    <w:rsid w:val="00473A74"/>
    <w:rsid w:val="00473CF0"/>
    <w:rsid w:val="00473E00"/>
    <w:rsid w:val="00473E18"/>
    <w:rsid w:val="0047408C"/>
    <w:rsid w:val="00474108"/>
    <w:rsid w:val="00474655"/>
    <w:rsid w:val="00474935"/>
    <w:rsid w:val="00474C88"/>
    <w:rsid w:val="00474ED9"/>
    <w:rsid w:val="004754BD"/>
    <w:rsid w:val="00475C5A"/>
    <w:rsid w:val="00475C81"/>
    <w:rsid w:val="00476718"/>
    <w:rsid w:val="00476759"/>
    <w:rsid w:val="00476C9F"/>
    <w:rsid w:val="00476FB5"/>
    <w:rsid w:val="00477930"/>
    <w:rsid w:val="00477B69"/>
    <w:rsid w:val="00477F2E"/>
    <w:rsid w:val="00480399"/>
    <w:rsid w:val="004803A5"/>
    <w:rsid w:val="004808B7"/>
    <w:rsid w:val="00480B8D"/>
    <w:rsid w:val="00480E1F"/>
    <w:rsid w:val="00480F43"/>
    <w:rsid w:val="00481141"/>
    <w:rsid w:val="004816A6"/>
    <w:rsid w:val="00481839"/>
    <w:rsid w:val="00481B19"/>
    <w:rsid w:val="00481B1A"/>
    <w:rsid w:val="00481B91"/>
    <w:rsid w:val="00481E8E"/>
    <w:rsid w:val="0048207C"/>
    <w:rsid w:val="00482953"/>
    <w:rsid w:val="00482AAF"/>
    <w:rsid w:val="00482DB0"/>
    <w:rsid w:val="0048399C"/>
    <w:rsid w:val="00483C82"/>
    <w:rsid w:val="0048435E"/>
    <w:rsid w:val="00484764"/>
    <w:rsid w:val="00484870"/>
    <w:rsid w:val="00484C23"/>
    <w:rsid w:val="004851BA"/>
    <w:rsid w:val="004852E2"/>
    <w:rsid w:val="004856FC"/>
    <w:rsid w:val="00485A8D"/>
    <w:rsid w:val="00485CAA"/>
    <w:rsid w:val="00486569"/>
    <w:rsid w:val="00486659"/>
    <w:rsid w:val="004869F2"/>
    <w:rsid w:val="00486A3A"/>
    <w:rsid w:val="00486E9E"/>
    <w:rsid w:val="004870F4"/>
    <w:rsid w:val="00487167"/>
    <w:rsid w:val="0048730C"/>
    <w:rsid w:val="00487EEA"/>
    <w:rsid w:val="00490D6A"/>
    <w:rsid w:val="00490F24"/>
    <w:rsid w:val="00490F39"/>
    <w:rsid w:val="0049116B"/>
    <w:rsid w:val="004916DD"/>
    <w:rsid w:val="00491728"/>
    <w:rsid w:val="00491910"/>
    <w:rsid w:val="00491D51"/>
    <w:rsid w:val="00492B02"/>
    <w:rsid w:val="00492D9A"/>
    <w:rsid w:val="00493070"/>
    <w:rsid w:val="00493C16"/>
    <w:rsid w:val="00493D8B"/>
    <w:rsid w:val="00494933"/>
    <w:rsid w:val="00496115"/>
    <w:rsid w:val="00496936"/>
    <w:rsid w:val="00496EEB"/>
    <w:rsid w:val="004974FF"/>
    <w:rsid w:val="004A0647"/>
    <w:rsid w:val="004A07DC"/>
    <w:rsid w:val="004A0951"/>
    <w:rsid w:val="004A1096"/>
    <w:rsid w:val="004A10C6"/>
    <w:rsid w:val="004A1168"/>
    <w:rsid w:val="004A1494"/>
    <w:rsid w:val="004A1531"/>
    <w:rsid w:val="004A162E"/>
    <w:rsid w:val="004A16F2"/>
    <w:rsid w:val="004A1A8D"/>
    <w:rsid w:val="004A1F4F"/>
    <w:rsid w:val="004A25A1"/>
    <w:rsid w:val="004A27E2"/>
    <w:rsid w:val="004A2B42"/>
    <w:rsid w:val="004A2E16"/>
    <w:rsid w:val="004A3250"/>
    <w:rsid w:val="004A34D9"/>
    <w:rsid w:val="004A3CCC"/>
    <w:rsid w:val="004A42F8"/>
    <w:rsid w:val="004A4739"/>
    <w:rsid w:val="004A47AF"/>
    <w:rsid w:val="004A482E"/>
    <w:rsid w:val="004A4D3C"/>
    <w:rsid w:val="004A5052"/>
    <w:rsid w:val="004A587B"/>
    <w:rsid w:val="004A5FAC"/>
    <w:rsid w:val="004A6192"/>
    <w:rsid w:val="004A624C"/>
    <w:rsid w:val="004A6509"/>
    <w:rsid w:val="004A6ADA"/>
    <w:rsid w:val="004A738E"/>
    <w:rsid w:val="004A7458"/>
    <w:rsid w:val="004A74AA"/>
    <w:rsid w:val="004A74F7"/>
    <w:rsid w:val="004A76C1"/>
    <w:rsid w:val="004A7B39"/>
    <w:rsid w:val="004A7F15"/>
    <w:rsid w:val="004B0096"/>
    <w:rsid w:val="004B0879"/>
    <w:rsid w:val="004B1C19"/>
    <w:rsid w:val="004B1E0C"/>
    <w:rsid w:val="004B1E74"/>
    <w:rsid w:val="004B1EA4"/>
    <w:rsid w:val="004B1FA5"/>
    <w:rsid w:val="004B202D"/>
    <w:rsid w:val="004B2207"/>
    <w:rsid w:val="004B22DA"/>
    <w:rsid w:val="004B2B25"/>
    <w:rsid w:val="004B2E5E"/>
    <w:rsid w:val="004B3122"/>
    <w:rsid w:val="004B3135"/>
    <w:rsid w:val="004B3200"/>
    <w:rsid w:val="004B32E1"/>
    <w:rsid w:val="004B3615"/>
    <w:rsid w:val="004B384A"/>
    <w:rsid w:val="004B41A9"/>
    <w:rsid w:val="004B4231"/>
    <w:rsid w:val="004B43BF"/>
    <w:rsid w:val="004B4B3B"/>
    <w:rsid w:val="004B4F1A"/>
    <w:rsid w:val="004B5137"/>
    <w:rsid w:val="004B51D6"/>
    <w:rsid w:val="004B5312"/>
    <w:rsid w:val="004B59B5"/>
    <w:rsid w:val="004B5A13"/>
    <w:rsid w:val="004B5BC7"/>
    <w:rsid w:val="004B651C"/>
    <w:rsid w:val="004B65C4"/>
    <w:rsid w:val="004B678C"/>
    <w:rsid w:val="004B6A01"/>
    <w:rsid w:val="004B6A88"/>
    <w:rsid w:val="004B6C10"/>
    <w:rsid w:val="004B6D42"/>
    <w:rsid w:val="004B789A"/>
    <w:rsid w:val="004B7906"/>
    <w:rsid w:val="004B7C02"/>
    <w:rsid w:val="004B7C44"/>
    <w:rsid w:val="004B7FD0"/>
    <w:rsid w:val="004C0266"/>
    <w:rsid w:val="004C0768"/>
    <w:rsid w:val="004C076B"/>
    <w:rsid w:val="004C0AFC"/>
    <w:rsid w:val="004C160D"/>
    <w:rsid w:val="004C18FA"/>
    <w:rsid w:val="004C1B8F"/>
    <w:rsid w:val="004C1DA6"/>
    <w:rsid w:val="004C2183"/>
    <w:rsid w:val="004C283E"/>
    <w:rsid w:val="004C2859"/>
    <w:rsid w:val="004C2883"/>
    <w:rsid w:val="004C29D0"/>
    <w:rsid w:val="004C3749"/>
    <w:rsid w:val="004C3B96"/>
    <w:rsid w:val="004C3EC9"/>
    <w:rsid w:val="004C46DC"/>
    <w:rsid w:val="004C4961"/>
    <w:rsid w:val="004C49E5"/>
    <w:rsid w:val="004C4A18"/>
    <w:rsid w:val="004C4D92"/>
    <w:rsid w:val="004C4DBC"/>
    <w:rsid w:val="004C5010"/>
    <w:rsid w:val="004C5040"/>
    <w:rsid w:val="004C5095"/>
    <w:rsid w:val="004C515A"/>
    <w:rsid w:val="004C5339"/>
    <w:rsid w:val="004C5450"/>
    <w:rsid w:val="004C5E6F"/>
    <w:rsid w:val="004C5FDA"/>
    <w:rsid w:val="004C6495"/>
    <w:rsid w:val="004C64E1"/>
    <w:rsid w:val="004C6B77"/>
    <w:rsid w:val="004C71A9"/>
    <w:rsid w:val="004D06EA"/>
    <w:rsid w:val="004D0ADD"/>
    <w:rsid w:val="004D0B83"/>
    <w:rsid w:val="004D0FE3"/>
    <w:rsid w:val="004D1772"/>
    <w:rsid w:val="004D19A9"/>
    <w:rsid w:val="004D1B7B"/>
    <w:rsid w:val="004D1F68"/>
    <w:rsid w:val="004D1FDC"/>
    <w:rsid w:val="004D28BB"/>
    <w:rsid w:val="004D29D7"/>
    <w:rsid w:val="004D33A4"/>
    <w:rsid w:val="004D3D8E"/>
    <w:rsid w:val="004D4811"/>
    <w:rsid w:val="004D494F"/>
    <w:rsid w:val="004D4D0D"/>
    <w:rsid w:val="004D52A4"/>
    <w:rsid w:val="004D5972"/>
    <w:rsid w:val="004D5A08"/>
    <w:rsid w:val="004D603D"/>
    <w:rsid w:val="004D682B"/>
    <w:rsid w:val="004D6BA5"/>
    <w:rsid w:val="004D6D73"/>
    <w:rsid w:val="004D7063"/>
    <w:rsid w:val="004D73F7"/>
    <w:rsid w:val="004D75BA"/>
    <w:rsid w:val="004D7633"/>
    <w:rsid w:val="004D7FBF"/>
    <w:rsid w:val="004E0732"/>
    <w:rsid w:val="004E1A58"/>
    <w:rsid w:val="004E1A5D"/>
    <w:rsid w:val="004E1CEC"/>
    <w:rsid w:val="004E2073"/>
    <w:rsid w:val="004E251B"/>
    <w:rsid w:val="004E29CC"/>
    <w:rsid w:val="004E2CCD"/>
    <w:rsid w:val="004E2CD0"/>
    <w:rsid w:val="004E2D83"/>
    <w:rsid w:val="004E30F6"/>
    <w:rsid w:val="004E3141"/>
    <w:rsid w:val="004E31F7"/>
    <w:rsid w:val="004E377F"/>
    <w:rsid w:val="004E3A4F"/>
    <w:rsid w:val="004E3D0D"/>
    <w:rsid w:val="004E4019"/>
    <w:rsid w:val="004E4533"/>
    <w:rsid w:val="004E4579"/>
    <w:rsid w:val="004E4D10"/>
    <w:rsid w:val="004E4DF8"/>
    <w:rsid w:val="004E518D"/>
    <w:rsid w:val="004E5624"/>
    <w:rsid w:val="004E5A46"/>
    <w:rsid w:val="004E602E"/>
    <w:rsid w:val="004E65C1"/>
    <w:rsid w:val="004E6C87"/>
    <w:rsid w:val="004E7123"/>
    <w:rsid w:val="004E7FF5"/>
    <w:rsid w:val="004F0143"/>
    <w:rsid w:val="004F05EB"/>
    <w:rsid w:val="004F060E"/>
    <w:rsid w:val="004F06CE"/>
    <w:rsid w:val="004F0A21"/>
    <w:rsid w:val="004F0BBC"/>
    <w:rsid w:val="004F0C13"/>
    <w:rsid w:val="004F0DF1"/>
    <w:rsid w:val="004F0EA8"/>
    <w:rsid w:val="004F0ED6"/>
    <w:rsid w:val="004F12D0"/>
    <w:rsid w:val="004F2041"/>
    <w:rsid w:val="004F226B"/>
    <w:rsid w:val="004F2917"/>
    <w:rsid w:val="004F3AF4"/>
    <w:rsid w:val="004F3C2B"/>
    <w:rsid w:val="004F40C6"/>
    <w:rsid w:val="004F45C9"/>
    <w:rsid w:val="004F45F8"/>
    <w:rsid w:val="004F4ED0"/>
    <w:rsid w:val="004F5866"/>
    <w:rsid w:val="004F58BB"/>
    <w:rsid w:val="004F5F00"/>
    <w:rsid w:val="004F5F72"/>
    <w:rsid w:val="004F665E"/>
    <w:rsid w:val="004F6967"/>
    <w:rsid w:val="004F6BF9"/>
    <w:rsid w:val="004F6CE7"/>
    <w:rsid w:val="004F70CD"/>
    <w:rsid w:val="004F71A1"/>
    <w:rsid w:val="004F7363"/>
    <w:rsid w:val="004F750F"/>
    <w:rsid w:val="004F7AE6"/>
    <w:rsid w:val="004F7D01"/>
    <w:rsid w:val="00500597"/>
    <w:rsid w:val="00500DD6"/>
    <w:rsid w:val="005017B2"/>
    <w:rsid w:val="00501A4B"/>
    <w:rsid w:val="0050241B"/>
    <w:rsid w:val="00502686"/>
    <w:rsid w:val="005031B4"/>
    <w:rsid w:val="00503263"/>
    <w:rsid w:val="005038FA"/>
    <w:rsid w:val="00503B36"/>
    <w:rsid w:val="00503C5C"/>
    <w:rsid w:val="00503CB2"/>
    <w:rsid w:val="00503E3F"/>
    <w:rsid w:val="00503EB6"/>
    <w:rsid w:val="0050416B"/>
    <w:rsid w:val="005042BC"/>
    <w:rsid w:val="0050460B"/>
    <w:rsid w:val="00504793"/>
    <w:rsid w:val="00504D41"/>
    <w:rsid w:val="0050516A"/>
    <w:rsid w:val="00505BDE"/>
    <w:rsid w:val="00505E25"/>
    <w:rsid w:val="00506EA9"/>
    <w:rsid w:val="005073F1"/>
    <w:rsid w:val="005074FC"/>
    <w:rsid w:val="00507923"/>
    <w:rsid w:val="00507A57"/>
    <w:rsid w:val="005109CA"/>
    <w:rsid w:val="00510AB2"/>
    <w:rsid w:val="00510DBD"/>
    <w:rsid w:val="005114A4"/>
    <w:rsid w:val="005118F6"/>
    <w:rsid w:val="00511910"/>
    <w:rsid w:val="005119BB"/>
    <w:rsid w:val="00511E7D"/>
    <w:rsid w:val="00511E8F"/>
    <w:rsid w:val="00511FFD"/>
    <w:rsid w:val="0051227D"/>
    <w:rsid w:val="005127E4"/>
    <w:rsid w:val="00512B7A"/>
    <w:rsid w:val="00512C95"/>
    <w:rsid w:val="00513011"/>
    <w:rsid w:val="00513331"/>
    <w:rsid w:val="0051438C"/>
    <w:rsid w:val="00514902"/>
    <w:rsid w:val="00515032"/>
    <w:rsid w:val="00516164"/>
    <w:rsid w:val="0051645F"/>
    <w:rsid w:val="00516627"/>
    <w:rsid w:val="005168F7"/>
    <w:rsid w:val="005169BB"/>
    <w:rsid w:val="00516ECB"/>
    <w:rsid w:val="00517C74"/>
    <w:rsid w:val="00517F99"/>
    <w:rsid w:val="00517FAC"/>
    <w:rsid w:val="00520154"/>
    <w:rsid w:val="0052061C"/>
    <w:rsid w:val="0052062F"/>
    <w:rsid w:val="005207D0"/>
    <w:rsid w:val="005209C2"/>
    <w:rsid w:val="00520A20"/>
    <w:rsid w:val="00520B2C"/>
    <w:rsid w:val="00520D2F"/>
    <w:rsid w:val="00521998"/>
    <w:rsid w:val="005219CC"/>
    <w:rsid w:val="00521C3D"/>
    <w:rsid w:val="00521CE3"/>
    <w:rsid w:val="00521D5F"/>
    <w:rsid w:val="0052227C"/>
    <w:rsid w:val="005228DC"/>
    <w:rsid w:val="00523588"/>
    <w:rsid w:val="0052389A"/>
    <w:rsid w:val="00523B12"/>
    <w:rsid w:val="0052476E"/>
    <w:rsid w:val="00524B17"/>
    <w:rsid w:val="00524F7C"/>
    <w:rsid w:val="00525170"/>
    <w:rsid w:val="00525814"/>
    <w:rsid w:val="0052664E"/>
    <w:rsid w:val="00526763"/>
    <w:rsid w:val="005268DD"/>
    <w:rsid w:val="00526B87"/>
    <w:rsid w:val="00526D2E"/>
    <w:rsid w:val="00526F20"/>
    <w:rsid w:val="00526F8D"/>
    <w:rsid w:val="005271B6"/>
    <w:rsid w:val="005276A6"/>
    <w:rsid w:val="00527CD4"/>
    <w:rsid w:val="00527FA6"/>
    <w:rsid w:val="00530184"/>
    <w:rsid w:val="005307E1"/>
    <w:rsid w:val="00530E0F"/>
    <w:rsid w:val="0053110E"/>
    <w:rsid w:val="005314B5"/>
    <w:rsid w:val="00531F89"/>
    <w:rsid w:val="005321F8"/>
    <w:rsid w:val="00532380"/>
    <w:rsid w:val="005323B9"/>
    <w:rsid w:val="00532805"/>
    <w:rsid w:val="005329CF"/>
    <w:rsid w:val="00532BF8"/>
    <w:rsid w:val="0053362D"/>
    <w:rsid w:val="005337E8"/>
    <w:rsid w:val="005339AA"/>
    <w:rsid w:val="00534245"/>
    <w:rsid w:val="005347B3"/>
    <w:rsid w:val="00535F8B"/>
    <w:rsid w:val="005360F8"/>
    <w:rsid w:val="00536822"/>
    <w:rsid w:val="00537045"/>
    <w:rsid w:val="00537053"/>
    <w:rsid w:val="005370BD"/>
    <w:rsid w:val="005372CA"/>
    <w:rsid w:val="00537871"/>
    <w:rsid w:val="00537AA6"/>
    <w:rsid w:val="00537B5C"/>
    <w:rsid w:val="00537DDA"/>
    <w:rsid w:val="00537F25"/>
    <w:rsid w:val="00540011"/>
    <w:rsid w:val="005401A1"/>
    <w:rsid w:val="005402E8"/>
    <w:rsid w:val="0054072A"/>
    <w:rsid w:val="005407A4"/>
    <w:rsid w:val="005407CF"/>
    <w:rsid w:val="00540A78"/>
    <w:rsid w:val="00540C96"/>
    <w:rsid w:val="00540DAE"/>
    <w:rsid w:val="00540F70"/>
    <w:rsid w:val="00540FEA"/>
    <w:rsid w:val="0054127C"/>
    <w:rsid w:val="00541B14"/>
    <w:rsid w:val="00541EDA"/>
    <w:rsid w:val="00541FA1"/>
    <w:rsid w:val="00541FF3"/>
    <w:rsid w:val="005421B0"/>
    <w:rsid w:val="005421C6"/>
    <w:rsid w:val="005428A8"/>
    <w:rsid w:val="00542B6C"/>
    <w:rsid w:val="0054362D"/>
    <w:rsid w:val="0054405B"/>
    <w:rsid w:val="005441D9"/>
    <w:rsid w:val="00544848"/>
    <w:rsid w:val="00544D8E"/>
    <w:rsid w:val="005454D5"/>
    <w:rsid w:val="00545681"/>
    <w:rsid w:val="00545865"/>
    <w:rsid w:val="00545876"/>
    <w:rsid w:val="00546329"/>
    <w:rsid w:val="00546836"/>
    <w:rsid w:val="00546BA9"/>
    <w:rsid w:val="00546F4B"/>
    <w:rsid w:val="00546F7D"/>
    <w:rsid w:val="00547765"/>
    <w:rsid w:val="005477BF"/>
    <w:rsid w:val="0055067B"/>
    <w:rsid w:val="00550771"/>
    <w:rsid w:val="00550A16"/>
    <w:rsid w:val="00550BDA"/>
    <w:rsid w:val="00551404"/>
    <w:rsid w:val="00551474"/>
    <w:rsid w:val="00551960"/>
    <w:rsid w:val="005520E6"/>
    <w:rsid w:val="005523E1"/>
    <w:rsid w:val="00552432"/>
    <w:rsid w:val="00552575"/>
    <w:rsid w:val="0055345A"/>
    <w:rsid w:val="005534E1"/>
    <w:rsid w:val="005535FE"/>
    <w:rsid w:val="00553AF6"/>
    <w:rsid w:val="00553F95"/>
    <w:rsid w:val="00554122"/>
    <w:rsid w:val="005546F4"/>
    <w:rsid w:val="00554807"/>
    <w:rsid w:val="00554B60"/>
    <w:rsid w:val="00555237"/>
    <w:rsid w:val="005552BD"/>
    <w:rsid w:val="00555482"/>
    <w:rsid w:val="005556F2"/>
    <w:rsid w:val="005556FC"/>
    <w:rsid w:val="005558D3"/>
    <w:rsid w:val="00555B45"/>
    <w:rsid w:val="0055602B"/>
    <w:rsid w:val="00556616"/>
    <w:rsid w:val="005567BD"/>
    <w:rsid w:val="00556D03"/>
    <w:rsid w:val="00556E3B"/>
    <w:rsid w:val="005573D8"/>
    <w:rsid w:val="00557E34"/>
    <w:rsid w:val="0056068B"/>
    <w:rsid w:val="00560C21"/>
    <w:rsid w:val="005612B3"/>
    <w:rsid w:val="0056167C"/>
    <w:rsid w:val="00561BC9"/>
    <w:rsid w:val="00561C3A"/>
    <w:rsid w:val="00562AA0"/>
    <w:rsid w:val="00562FE7"/>
    <w:rsid w:val="00563271"/>
    <w:rsid w:val="005636E0"/>
    <w:rsid w:val="00563B47"/>
    <w:rsid w:val="00563BE9"/>
    <w:rsid w:val="00563E56"/>
    <w:rsid w:val="005641BA"/>
    <w:rsid w:val="005642A3"/>
    <w:rsid w:val="00564381"/>
    <w:rsid w:val="005643C4"/>
    <w:rsid w:val="005648B0"/>
    <w:rsid w:val="00564FDA"/>
    <w:rsid w:val="005651FA"/>
    <w:rsid w:val="00565283"/>
    <w:rsid w:val="005652A6"/>
    <w:rsid w:val="00565A3B"/>
    <w:rsid w:val="00565FAA"/>
    <w:rsid w:val="00566366"/>
    <w:rsid w:val="0056667C"/>
    <w:rsid w:val="00566873"/>
    <w:rsid w:val="00566A7E"/>
    <w:rsid w:val="00566E2D"/>
    <w:rsid w:val="00567028"/>
    <w:rsid w:val="0056751E"/>
    <w:rsid w:val="00567555"/>
    <w:rsid w:val="00567611"/>
    <w:rsid w:val="00567DFB"/>
    <w:rsid w:val="00567E1E"/>
    <w:rsid w:val="0057043C"/>
    <w:rsid w:val="00571345"/>
    <w:rsid w:val="0057161E"/>
    <w:rsid w:val="0057174F"/>
    <w:rsid w:val="0057306D"/>
    <w:rsid w:val="00573467"/>
    <w:rsid w:val="00573E7B"/>
    <w:rsid w:val="00573F9F"/>
    <w:rsid w:val="00574450"/>
    <w:rsid w:val="0057488C"/>
    <w:rsid w:val="00574944"/>
    <w:rsid w:val="00574F39"/>
    <w:rsid w:val="005751BE"/>
    <w:rsid w:val="0057559D"/>
    <w:rsid w:val="0057560D"/>
    <w:rsid w:val="00575696"/>
    <w:rsid w:val="00575CBD"/>
    <w:rsid w:val="00575D48"/>
    <w:rsid w:val="0057616A"/>
    <w:rsid w:val="005763D0"/>
    <w:rsid w:val="005766E4"/>
    <w:rsid w:val="005773A0"/>
    <w:rsid w:val="005776CB"/>
    <w:rsid w:val="00577D93"/>
    <w:rsid w:val="0058008D"/>
    <w:rsid w:val="0058014B"/>
    <w:rsid w:val="005802A1"/>
    <w:rsid w:val="00580938"/>
    <w:rsid w:val="00580B9B"/>
    <w:rsid w:val="0058128A"/>
    <w:rsid w:val="005812E9"/>
    <w:rsid w:val="005813BB"/>
    <w:rsid w:val="00581426"/>
    <w:rsid w:val="00581447"/>
    <w:rsid w:val="005814F1"/>
    <w:rsid w:val="0058193D"/>
    <w:rsid w:val="00583B34"/>
    <w:rsid w:val="005845DE"/>
    <w:rsid w:val="00584862"/>
    <w:rsid w:val="00584986"/>
    <w:rsid w:val="00584BD8"/>
    <w:rsid w:val="00584F26"/>
    <w:rsid w:val="00585083"/>
    <w:rsid w:val="005850BE"/>
    <w:rsid w:val="0058510B"/>
    <w:rsid w:val="00585173"/>
    <w:rsid w:val="00585ECF"/>
    <w:rsid w:val="00586260"/>
    <w:rsid w:val="00586BC3"/>
    <w:rsid w:val="00586DC6"/>
    <w:rsid w:val="00587313"/>
    <w:rsid w:val="00587B41"/>
    <w:rsid w:val="00587C2F"/>
    <w:rsid w:val="00590041"/>
    <w:rsid w:val="0059032C"/>
    <w:rsid w:val="00590A01"/>
    <w:rsid w:val="00590C61"/>
    <w:rsid w:val="005919F4"/>
    <w:rsid w:val="00591A13"/>
    <w:rsid w:val="005925F6"/>
    <w:rsid w:val="005928E6"/>
    <w:rsid w:val="00592923"/>
    <w:rsid w:val="00592A37"/>
    <w:rsid w:val="00592A48"/>
    <w:rsid w:val="00592C56"/>
    <w:rsid w:val="00592F24"/>
    <w:rsid w:val="00593B5A"/>
    <w:rsid w:val="00593F99"/>
    <w:rsid w:val="00593FCB"/>
    <w:rsid w:val="005940B4"/>
    <w:rsid w:val="00594284"/>
    <w:rsid w:val="00594CE9"/>
    <w:rsid w:val="00595043"/>
    <w:rsid w:val="005955EB"/>
    <w:rsid w:val="005958A7"/>
    <w:rsid w:val="00595980"/>
    <w:rsid w:val="00595C12"/>
    <w:rsid w:val="00595C6C"/>
    <w:rsid w:val="00595F10"/>
    <w:rsid w:val="0059608D"/>
    <w:rsid w:val="0059622E"/>
    <w:rsid w:val="00596709"/>
    <w:rsid w:val="005967C1"/>
    <w:rsid w:val="00597372"/>
    <w:rsid w:val="005974BB"/>
    <w:rsid w:val="005978D3"/>
    <w:rsid w:val="005A00A5"/>
    <w:rsid w:val="005A01DD"/>
    <w:rsid w:val="005A05A0"/>
    <w:rsid w:val="005A076E"/>
    <w:rsid w:val="005A093B"/>
    <w:rsid w:val="005A124A"/>
    <w:rsid w:val="005A13EA"/>
    <w:rsid w:val="005A1706"/>
    <w:rsid w:val="005A1997"/>
    <w:rsid w:val="005A1AAC"/>
    <w:rsid w:val="005A208D"/>
    <w:rsid w:val="005A25D1"/>
    <w:rsid w:val="005A2BDD"/>
    <w:rsid w:val="005A351A"/>
    <w:rsid w:val="005A3834"/>
    <w:rsid w:val="005A38D2"/>
    <w:rsid w:val="005A3969"/>
    <w:rsid w:val="005A3AC8"/>
    <w:rsid w:val="005A465A"/>
    <w:rsid w:val="005A4835"/>
    <w:rsid w:val="005A4AB7"/>
    <w:rsid w:val="005A4DCB"/>
    <w:rsid w:val="005A514D"/>
    <w:rsid w:val="005A538A"/>
    <w:rsid w:val="005A55C5"/>
    <w:rsid w:val="005A63A9"/>
    <w:rsid w:val="005A640B"/>
    <w:rsid w:val="005A6982"/>
    <w:rsid w:val="005A6F4A"/>
    <w:rsid w:val="005A7738"/>
    <w:rsid w:val="005A7A89"/>
    <w:rsid w:val="005A7DA8"/>
    <w:rsid w:val="005A7E76"/>
    <w:rsid w:val="005B00A2"/>
    <w:rsid w:val="005B00CC"/>
    <w:rsid w:val="005B0A20"/>
    <w:rsid w:val="005B0AEB"/>
    <w:rsid w:val="005B1165"/>
    <w:rsid w:val="005B1186"/>
    <w:rsid w:val="005B12DF"/>
    <w:rsid w:val="005B152A"/>
    <w:rsid w:val="005B1D37"/>
    <w:rsid w:val="005B2578"/>
    <w:rsid w:val="005B28DB"/>
    <w:rsid w:val="005B2BCB"/>
    <w:rsid w:val="005B2C5F"/>
    <w:rsid w:val="005B3287"/>
    <w:rsid w:val="005B390D"/>
    <w:rsid w:val="005B3CE5"/>
    <w:rsid w:val="005B455A"/>
    <w:rsid w:val="005B46D2"/>
    <w:rsid w:val="005B4B26"/>
    <w:rsid w:val="005B4DB4"/>
    <w:rsid w:val="005B4DEE"/>
    <w:rsid w:val="005B4F1F"/>
    <w:rsid w:val="005B5082"/>
    <w:rsid w:val="005B5E20"/>
    <w:rsid w:val="005B5E8C"/>
    <w:rsid w:val="005B601A"/>
    <w:rsid w:val="005B617F"/>
    <w:rsid w:val="005B62C8"/>
    <w:rsid w:val="005B6ABB"/>
    <w:rsid w:val="005B6E3B"/>
    <w:rsid w:val="005B756C"/>
    <w:rsid w:val="005B757E"/>
    <w:rsid w:val="005B76E0"/>
    <w:rsid w:val="005B7AC2"/>
    <w:rsid w:val="005C06BF"/>
    <w:rsid w:val="005C08CC"/>
    <w:rsid w:val="005C0BE2"/>
    <w:rsid w:val="005C0D62"/>
    <w:rsid w:val="005C13C9"/>
    <w:rsid w:val="005C1EE8"/>
    <w:rsid w:val="005C20C0"/>
    <w:rsid w:val="005C2660"/>
    <w:rsid w:val="005C2A07"/>
    <w:rsid w:val="005C2D57"/>
    <w:rsid w:val="005C2DAC"/>
    <w:rsid w:val="005C2FEF"/>
    <w:rsid w:val="005C32A4"/>
    <w:rsid w:val="005C3ACE"/>
    <w:rsid w:val="005C3F74"/>
    <w:rsid w:val="005C411B"/>
    <w:rsid w:val="005C41BB"/>
    <w:rsid w:val="005C4EB4"/>
    <w:rsid w:val="005C510C"/>
    <w:rsid w:val="005C5151"/>
    <w:rsid w:val="005C5BA4"/>
    <w:rsid w:val="005C5C06"/>
    <w:rsid w:val="005C5F6E"/>
    <w:rsid w:val="005C600C"/>
    <w:rsid w:val="005C63CD"/>
    <w:rsid w:val="005C65B3"/>
    <w:rsid w:val="005C6B02"/>
    <w:rsid w:val="005C72C6"/>
    <w:rsid w:val="005C7397"/>
    <w:rsid w:val="005C73AD"/>
    <w:rsid w:val="005C7894"/>
    <w:rsid w:val="005C7CEB"/>
    <w:rsid w:val="005C7D85"/>
    <w:rsid w:val="005D0061"/>
    <w:rsid w:val="005D04DE"/>
    <w:rsid w:val="005D0661"/>
    <w:rsid w:val="005D078A"/>
    <w:rsid w:val="005D0986"/>
    <w:rsid w:val="005D0B78"/>
    <w:rsid w:val="005D0BEE"/>
    <w:rsid w:val="005D0F48"/>
    <w:rsid w:val="005D1FD8"/>
    <w:rsid w:val="005D25D7"/>
    <w:rsid w:val="005D2648"/>
    <w:rsid w:val="005D273D"/>
    <w:rsid w:val="005D2788"/>
    <w:rsid w:val="005D2C87"/>
    <w:rsid w:val="005D2D99"/>
    <w:rsid w:val="005D2E89"/>
    <w:rsid w:val="005D2F1B"/>
    <w:rsid w:val="005D31FD"/>
    <w:rsid w:val="005D32FF"/>
    <w:rsid w:val="005D39E1"/>
    <w:rsid w:val="005D3BB5"/>
    <w:rsid w:val="005D3BF7"/>
    <w:rsid w:val="005D3CDE"/>
    <w:rsid w:val="005D3F59"/>
    <w:rsid w:val="005D440E"/>
    <w:rsid w:val="005D48C0"/>
    <w:rsid w:val="005D49DE"/>
    <w:rsid w:val="005D52BF"/>
    <w:rsid w:val="005D54C3"/>
    <w:rsid w:val="005D60F4"/>
    <w:rsid w:val="005D68DC"/>
    <w:rsid w:val="005D695A"/>
    <w:rsid w:val="005D6CE7"/>
    <w:rsid w:val="005D76A3"/>
    <w:rsid w:val="005D7BBF"/>
    <w:rsid w:val="005D7D9B"/>
    <w:rsid w:val="005D7DBB"/>
    <w:rsid w:val="005D7F5A"/>
    <w:rsid w:val="005E0424"/>
    <w:rsid w:val="005E06E8"/>
    <w:rsid w:val="005E0892"/>
    <w:rsid w:val="005E09C6"/>
    <w:rsid w:val="005E1090"/>
    <w:rsid w:val="005E13FA"/>
    <w:rsid w:val="005E160B"/>
    <w:rsid w:val="005E163F"/>
    <w:rsid w:val="005E1E35"/>
    <w:rsid w:val="005E2605"/>
    <w:rsid w:val="005E28BD"/>
    <w:rsid w:val="005E2A29"/>
    <w:rsid w:val="005E2C4A"/>
    <w:rsid w:val="005E2D9B"/>
    <w:rsid w:val="005E324F"/>
    <w:rsid w:val="005E34E6"/>
    <w:rsid w:val="005E39AC"/>
    <w:rsid w:val="005E3C47"/>
    <w:rsid w:val="005E4211"/>
    <w:rsid w:val="005E4270"/>
    <w:rsid w:val="005E488B"/>
    <w:rsid w:val="005E4BB9"/>
    <w:rsid w:val="005E513A"/>
    <w:rsid w:val="005E53F7"/>
    <w:rsid w:val="005E547D"/>
    <w:rsid w:val="005E54C6"/>
    <w:rsid w:val="005E5580"/>
    <w:rsid w:val="005E57D8"/>
    <w:rsid w:val="005E5F39"/>
    <w:rsid w:val="005E5FEF"/>
    <w:rsid w:val="005E61D3"/>
    <w:rsid w:val="005E6D27"/>
    <w:rsid w:val="005E6D93"/>
    <w:rsid w:val="005E702A"/>
    <w:rsid w:val="005E7681"/>
    <w:rsid w:val="005E7707"/>
    <w:rsid w:val="005E7882"/>
    <w:rsid w:val="005E7958"/>
    <w:rsid w:val="005E7B79"/>
    <w:rsid w:val="005E7E58"/>
    <w:rsid w:val="005E7F40"/>
    <w:rsid w:val="005F02AF"/>
    <w:rsid w:val="005F0667"/>
    <w:rsid w:val="005F0785"/>
    <w:rsid w:val="005F0A21"/>
    <w:rsid w:val="005F0AF6"/>
    <w:rsid w:val="005F0E0A"/>
    <w:rsid w:val="005F144C"/>
    <w:rsid w:val="005F1576"/>
    <w:rsid w:val="005F1FCE"/>
    <w:rsid w:val="005F29CA"/>
    <w:rsid w:val="005F2C54"/>
    <w:rsid w:val="005F2DEC"/>
    <w:rsid w:val="005F32E8"/>
    <w:rsid w:val="005F32F7"/>
    <w:rsid w:val="005F3691"/>
    <w:rsid w:val="005F3843"/>
    <w:rsid w:val="005F39FD"/>
    <w:rsid w:val="005F3A2E"/>
    <w:rsid w:val="005F3D78"/>
    <w:rsid w:val="005F3EF4"/>
    <w:rsid w:val="005F42A0"/>
    <w:rsid w:val="005F46BF"/>
    <w:rsid w:val="005F48A6"/>
    <w:rsid w:val="005F4E4A"/>
    <w:rsid w:val="005F5142"/>
    <w:rsid w:val="005F517C"/>
    <w:rsid w:val="005F530B"/>
    <w:rsid w:val="005F5405"/>
    <w:rsid w:val="005F54CC"/>
    <w:rsid w:val="005F56D3"/>
    <w:rsid w:val="005F5830"/>
    <w:rsid w:val="005F593C"/>
    <w:rsid w:val="005F59C2"/>
    <w:rsid w:val="005F5C0B"/>
    <w:rsid w:val="005F7220"/>
    <w:rsid w:val="005F74A3"/>
    <w:rsid w:val="005F7641"/>
    <w:rsid w:val="005F772F"/>
    <w:rsid w:val="005F7B8F"/>
    <w:rsid w:val="005F7E17"/>
    <w:rsid w:val="006002BA"/>
    <w:rsid w:val="0060061D"/>
    <w:rsid w:val="00600698"/>
    <w:rsid w:val="006015CF"/>
    <w:rsid w:val="00601B6E"/>
    <w:rsid w:val="00601D5D"/>
    <w:rsid w:val="00601DEF"/>
    <w:rsid w:val="00602366"/>
    <w:rsid w:val="006025CD"/>
    <w:rsid w:val="00602C06"/>
    <w:rsid w:val="00603338"/>
    <w:rsid w:val="00603A2A"/>
    <w:rsid w:val="00603FB6"/>
    <w:rsid w:val="00603FE2"/>
    <w:rsid w:val="00604433"/>
    <w:rsid w:val="00604785"/>
    <w:rsid w:val="00604B8E"/>
    <w:rsid w:val="0060528C"/>
    <w:rsid w:val="00605BCF"/>
    <w:rsid w:val="00606425"/>
    <w:rsid w:val="00606FF1"/>
    <w:rsid w:val="006070EA"/>
    <w:rsid w:val="0060740C"/>
    <w:rsid w:val="006075BB"/>
    <w:rsid w:val="006077A2"/>
    <w:rsid w:val="00607914"/>
    <w:rsid w:val="00607AC1"/>
    <w:rsid w:val="006104AA"/>
    <w:rsid w:val="0061064B"/>
    <w:rsid w:val="00610D9D"/>
    <w:rsid w:val="006111E2"/>
    <w:rsid w:val="00611A2D"/>
    <w:rsid w:val="00611B5B"/>
    <w:rsid w:val="00611C40"/>
    <w:rsid w:val="00611C8D"/>
    <w:rsid w:val="00611E29"/>
    <w:rsid w:val="006121C0"/>
    <w:rsid w:val="00612AF0"/>
    <w:rsid w:val="00612BD2"/>
    <w:rsid w:val="006138A4"/>
    <w:rsid w:val="006138E0"/>
    <w:rsid w:val="00613D0B"/>
    <w:rsid w:val="00613E40"/>
    <w:rsid w:val="00613E9F"/>
    <w:rsid w:val="00614115"/>
    <w:rsid w:val="006142B7"/>
    <w:rsid w:val="00614804"/>
    <w:rsid w:val="006148C9"/>
    <w:rsid w:val="006149D2"/>
    <w:rsid w:val="00614D91"/>
    <w:rsid w:val="00615019"/>
    <w:rsid w:val="00615034"/>
    <w:rsid w:val="0061520D"/>
    <w:rsid w:val="00615AC1"/>
    <w:rsid w:val="00615FE1"/>
    <w:rsid w:val="006165C5"/>
    <w:rsid w:val="006167FF"/>
    <w:rsid w:val="00616E33"/>
    <w:rsid w:val="00616FC5"/>
    <w:rsid w:val="0061781E"/>
    <w:rsid w:val="006178BB"/>
    <w:rsid w:val="00617E5C"/>
    <w:rsid w:val="0062091A"/>
    <w:rsid w:val="00620987"/>
    <w:rsid w:val="00620B73"/>
    <w:rsid w:val="00620D5C"/>
    <w:rsid w:val="00621365"/>
    <w:rsid w:val="00621CD3"/>
    <w:rsid w:val="00622843"/>
    <w:rsid w:val="00622C7F"/>
    <w:rsid w:val="00622C90"/>
    <w:rsid w:val="006230C1"/>
    <w:rsid w:val="006232E4"/>
    <w:rsid w:val="0062356B"/>
    <w:rsid w:val="0062359F"/>
    <w:rsid w:val="006238F3"/>
    <w:rsid w:val="00624A2A"/>
    <w:rsid w:val="00624B10"/>
    <w:rsid w:val="00624D11"/>
    <w:rsid w:val="00624F26"/>
    <w:rsid w:val="00624FF4"/>
    <w:rsid w:val="00625296"/>
    <w:rsid w:val="00625300"/>
    <w:rsid w:val="00625823"/>
    <w:rsid w:val="00625DCA"/>
    <w:rsid w:val="00626519"/>
    <w:rsid w:val="00626AF9"/>
    <w:rsid w:val="00626E00"/>
    <w:rsid w:val="00627187"/>
    <w:rsid w:val="00627510"/>
    <w:rsid w:val="00627A75"/>
    <w:rsid w:val="00627AF7"/>
    <w:rsid w:val="00627E5E"/>
    <w:rsid w:val="00630022"/>
    <w:rsid w:val="00630338"/>
    <w:rsid w:val="0063061C"/>
    <w:rsid w:val="00630DA1"/>
    <w:rsid w:val="00630FDB"/>
    <w:rsid w:val="00631971"/>
    <w:rsid w:val="00631B23"/>
    <w:rsid w:val="00631BFE"/>
    <w:rsid w:val="00632205"/>
    <w:rsid w:val="00632352"/>
    <w:rsid w:val="00632757"/>
    <w:rsid w:val="00632E62"/>
    <w:rsid w:val="0063321F"/>
    <w:rsid w:val="00633373"/>
    <w:rsid w:val="00633379"/>
    <w:rsid w:val="00633527"/>
    <w:rsid w:val="0063370A"/>
    <w:rsid w:val="00633864"/>
    <w:rsid w:val="00633BC6"/>
    <w:rsid w:val="00633D93"/>
    <w:rsid w:val="0063454F"/>
    <w:rsid w:val="00634ABD"/>
    <w:rsid w:val="00634C50"/>
    <w:rsid w:val="00635BB8"/>
    <w:rsid w:val="00635D0F"/>
    <w:rsid w:val="00635E18"/>
    <w:rsid w:val="00636038"/>
    <w:rsid w:val="0063623E"/>
    <w:rsid w:val="00636273"/>
    <w:rsid w:val="0063641C"/>
    <w:rsid w:val="006367B1"/>
    <w:rsid w:val="006367C8"/>
    <w:rsid w:val="00636904"/>
    <w:rsid w:val="00636B88"/>
    <w:rsid w:val="00636CBF"/>
    <w:rsid w:val="00636CD8"/>
    <w:rsid w:val="006370AA"/>
    <w:rsid w:val="00637EFB"/>
    <w:rsid w:val="00640143"/>
    <w:rsid w:val="00641805"/>
    <w:rsid w:val="00641813"/>
    <w:rsid w:val="00641847"/>
    <w:rsid w:val="00641913"/>
    <w:rsid w:val="00641E0C"/>
    <w:rsid w:val="00641E8A"/>
    <w:rsid w:val="00642B56"/>
    <w:rsid w:val="00642BA5"/>
    <w:rsid w:val="00642EFE"/>
    <w:rsid w:val="0064329B"/>
    <w:rsid w:val="006434ED"/>
    <w:rsid w:val="0064367F"/>
    <w:rsid w:val="00643CD1"/>
    <w:rsid w:val="006440C1"/>
    <w:rsid w:val="00644120"/>
    <w:rsid w:val="006441F9"/>
    <w:rsid w:val="00644262"/>
    <w:rsid w:val="006447F3"/>
    <w:rsid w:val="006450B4"/>
    <w:rsid w:val="006459C4"/>
    <w:rsid w:val="00645A8B"/>
    <w:rsid w:val="00645C10"/>
    <w:rsid w:val="006468B7"/>
    <w:rsid w:val="00646B97"/>
    <w:rsid w:val="00646EAB"/>
    <w:rsid w:val="006471DA"/>
    <w:rsid w:val="00647CD6"/>
    <w:rsid w:val="00650464"/>
    <w:rsid w:val="006505F6"/>
    <w:rsid w:val="00650986"/>
    <w:rsid w:val="00650ABF"/>
    <w:rsid w:val="00650B0B"/>
    <w:rsid w:val="00650F75"/>
    <w:rsid w:val="00651438"/>
    <w:rsid w:val="0065179B"/>
    <w:rsid w:val="00651A58"/>
    <w:rsid w:val="00651AAA"/>
    <w:rsid w:val="00651BB7"/>
    <w:rsid w:val="00652202"/>
    <w:rsid w:val="00652278"/>
    <w:rsid w:val="00652298"/>
    <w:rsid w:val="00652DBB"/>
    <w:rsid w:val="00652FEA"/>
    <w:rsid w:val="006531D1"/>
    <w:rsid w:val="00653559"/>
    <w:rsid w:val="006538E0"/>
    <w:rsid w:val="00653C3B"/>
    <w:rsid w:val="00653ED7"/>
    <w:rsid w:val="00653FE4"/>
    <w:rsid w:val="0065415E"/>
    <w:rsid w:val="006542C2"/>
    <w:rsid w:val="0065486F"/>
    <w:rsid w:val="006548D7"/>
    <w:rsid w:val="006549A1"/>
    <w:rsid w:val="00654B18"/>
    <w:rsid w:val="00654DD6"/>
    <w:rsid w:val="00654EF1"/>
    <w:rsid w:val="00654FFF"/>
    <w:rsid w:val="0065517B"/>
    <w:rsid w:val="006551E5"/>
    <w:rsid w:val="00655807"/>
    <w:rsid w:val="00656891"/>
    <w:rsid w:val="00656B7F"/>
    <w:rsid w:val="00656E83"/>
    <w:rsid w:val="00657056"/>
    <w:rsid w:val="00657978"/>
    <w:rsid w:val="006601DE"/>
    <w:rsid w:val="006602CA"/>
    <w:rsid w:val="00660523"/>
    <w:rsid w:val="0066094D"/>
    <w:rsid w:val="006609C0"/>
    <w:rsid w:val="00660A41"/>
    <w:rsid w:val="006612DD"/>
    <w:rsid w:val="0066153A"/>
    <w:rsid w:val="00661AA2"/>
    <w:rsid w:val="00661D4A"/>
    <w:rsid w:val="0066223A"/>
    <w:rsid w:val="00662460"/>
    <w:rsid w:val="00662715"/>
    <w:rsid w:val="00662D81"/>
    <w:rsid w:val="00663068"/>
    <w:rsid w:val="00663AE4"/>
    <w:rsid w:val="00663E67"/>
    <w:rsid w:val="0066441C"/>
    <w:rsid w:val="006644F3"/>
    <w:rsid w:val="00664579"/>
    <w:rsid w:val="00664589"/>
    <w:rsid w:val="00664FF3"/>
    <w:rsid w:val="00665288"/>
    <w:rsid w:val="006653A7"/>
    <w:rsid w:val="006653DF"/>
    <w:rsid w:val="00665461"/>
    <w:rsid w:val="00665848"/>
    <w:rsid w:val="0066597E"/>
    <w:rsid w:val="00665AFF"/>
    <w:rsid w:val="00665F1F"/>
    <w:rsid w:val="0066611A"/>
    <w:rsid w:val="00666290"/>
    <w:rsid w:val="0066635C"/>
    <w:rsid w:val="00666AF7"/>
    <w:rsid w:val="00666C8D"/>
    <w:rsid w:val="00666E3C"/>
    <w:rsid w:val="0066739D"/>
    <w:rsid w:val="006676B1"/>
    <w:rsid w:val="00667E13"/>
    <w:rsid w:val="0067009F"/>
    <w:rsid w:val="0067015E"/>
    <w:rsid w:val="006701BD"/>
    <w:rsid w:val="00670A4D"/>
    <w:rsid w:val="006710F2"/>
    <w:rsid w:val="006711AB"/>
    <w:rsid w:val="00671270"/>
    <w:rsid w:val="00671671"/>
    <w:rsid w:val="006716C6"/>
    <w:rsid w:val="00671980"/>
    <w:rsid w:val="006720FD"/>
    <w:rsid w:val="00672852"/>
    <w:rsid w:val="00672A0D"/>
    <w:rsid w:val="00672DD8"/>
    <w:rsid w:val="006734AE"/>
    <w:rsid w:val="00673693"/>
    <w:rsid w:val="00673BC3"/>
    <w:rsid w:val="006740BE"/>
    <w:rsid w:val="0067416A"/>
    <w:rsid w:val="0067433F"/>
    <w:rsid w:val="00674368"/>
    <w:rsid w:val="006753AF"/>
    <w:rsid w:val="0067686C"/>
    <w:rsid w:val="0067695C"/>
    <w:rsid w:val="00676BB5"/>
    <w:rsid w:val="00677126"/>
    <w:rsid w:val="00680185"/>
    <w:rsid w:val="0068061A"/>
    <w:rsid w:val="006806E6"/>
    <w:rsid w:val="00680A0A"/>
    <w:rsid w:val="006813B9"/>
    <w:rsid w:val="006818EE"/>
    <w:rsid w:val="00681D3A"/>
    <w:rsid w:val="00681DBF"/>
    <w:rsid w:val="00682113"/>
    <w:rsid w:val="0068225C"/>
    <w:rsid w:val="00682D91"/>
    <w:rsid w:val="00682FF4"/>
    <w:rsid w:val="00683269"/>
    <w:rsid w:val="006836B3"/>
    <w:rsid w:val="0068396F"/>
    <w:rsid w:val="00683B4B"/>
    <w:rsid w:val="00684792"/>
    <w:rsid w:val="006850CB"/>
    <w:rsid w:val="00685730"/>
    <w:rsid w:val="0068586A"/>
    <w:rsid w:val="00685A27"/>
    <w:rsid w:val="00685B8D"/>
    <w:rsid w:val="00685BDB"/>
    <w:rsid w:val="00685EDC"/>
    <w:rsid w:val="0068638B"/>
    <w:rsid w:val="0068640F"/>
    <w:rsid w:val="00686A1A"/>
    <w:rsid w:val="00686B44"/>
    <w:rsid w:val="00686DBB"/>
    <w:rsid w:val="006871AF"/>
    <w:rsid w:val="006872C5"/>
    <w:rsid w:val="00687967"/>
    <w:rsid w:val="00687AD0"/>
    <w:rsid w:val="00690620"/>
    <w:rsid w:val="0069066D"/>
    <w:rsid w:val="00690FE5"/>
    <w:rsid w:val="00691855"/>
    <w:rsid w:val="00692466"/>
    <w:rsid w:val="00692668"/>
    <w:rsid w:val="006927AE"/>
    <w:rsid w:val="00692C40"/>
    <w:rsid w:val="00692C93"/>
    <w:rsid w:val="00692F96"/>
    <w:rsid w:val="00693141"/>
    <w:rsid w:val="006936B5"/>
    <w:rsid w:val="006938E6"/>
    <w:rsid w:val="006940DF"/>
    <w:rsid w:val="0069414E"/>
    <w:rsid w:val="006943C4"/>
    <w:rsid w:val="00694590"/>
    <w:rsid w:val="00694EC3"/>
    <w:rsid w:val="0069513E"/>
    <w:rsid w:val="00695376"/>
    <w:rsid w:val="006953D5"/>
    <w:rsid w:val="006959C3"/>
    <w:rsid w:val="00695C8D"/>
    <w:rsid w:val="00695E10"/>
    <w:rsid w:val="0069618D"/>
    <w:rsid w:val="00696731"/>
    <w:rsid w:val="00696745"/>
    <w:rsid w:val="00696978"/>
    <w:rsid w:val="00696B3A"/>
    <w:rsid w:val="00696B75"/>
    <w:rsid w:val="00696C31"/>
    <w:rsid w:val="00697967"/>
    <w:rsid w:val="006979AB"/>
    <w:rsid w:val="006A0240"/>
    <w:rsid w:val="006A034A"/>
    <w:rsid w:val="006A03A9"/>
    <w:rsid w:val="006A049A"/>
    <w:rsid w:val="006A07F1"/>
    <w:rsid w:val="006A0A4D"/>
    <w:rsid w:val="006A0DDA"/>
    <w:rsid w:val="006A0FB7"/>
    <w:rsid w:val="006A11C3"/>
    <w:rsid w:val="006A1432"/>
    <w:rsid w:val="006A1496"/>
    <w:rsid w:val="006A17AF"/>
    <w:rsid w:val="006A17E2"/>
    <w:rsid w:val="006A19B0"/>
    <w:rsid w:val="006A19B9"/>
    <w:rsid w:val="006A23C5"/>
    <w:rsid w:val="006A25FF"/>
    <w:rsid w:val="006A3544"/>
    <w:rsid w:val="006A36BD"/>
    <w:rsid w:val="006A3BC9"/>
    <w:rsid w:val="006A424E"/>
    <w:rsid w:val="006A44D6"/>
    <w:rsid w:val="006A4821"/>
    <w:rsid w:val="006A4D55"/>
    <w:rsid w:val="006A4E9C"/>
    <w:rsid w:val="006A5727"/>
    <w:rsid w:val="006A586C"/>
    <w:rsid w:val="006A5A0B"/>
    <w:rsid w:val="006A6226"/>
    <w:rsid w:val="006A626D"/>
    <w:rsid w:val="006A6473"/>
    <w:rsid w:val="006A68CA"/>
    <w:rsid w:val="006A69C3"/>
    <w:rsid w:val="006A6C9F"/>
    <w:rsid w:val="006A7793"/>
    <w:rsid w:val="006A7F32"/>
    <w:rsid w:val="006B1F65"/>
    <w:rsid w:val="006B25DD"/>
    <w:rsid w:val="006B2954"/>
    <w:rsid w:val="006B2F1A"/>
    <w:rsid w:val="006B3B5D"/>
    <w:rsid w:val="006B3C1E"/>
    <w:rsid w:val="006B41E9"/>
    <w:rsid w:val="006B4959"/>
    <w:rsid w:val="006B5089"/>
    <w:rsid w:val="006B5147"/>
    <w:rsid w:val="006B558B"/>
    <w:rsid w:val="006B55E7"/>
    <w:rsid w:val="006B584B"/>
    <w:rsid w:val="006B5926"/>
    <w:rsid w:val="006B602C"/>
    <w:rsid w:val="006B6B1A"/>
    <w:rsid w:val="006B6B37"/>
    <w:rsid w:val="006B704D"/>
    <w:rsid w:val="006B777A"/>
    <w:rsid w:val="006C0240"/>
    <w:rsid w:val="006C0310"/>
    <w:rsid w:val="006C0322"/>
    <w:rsid w:val="006C046C"/>
    <w:rsid w:val="006C05EE"/>
    <w:rsid w:val="006C1194"/>
    <w:rsid w:val="006C15D5"/>
    <w:rsid w:val="006C16B5"/>
    <w:rsid w:val="006C1728"/>
    <w:rsid w:val="006C17C6"/>
    <w:rsid w:val="006C188D"/>
    <w:rsid w:val="006C1A1B"/>
    <w:rsid w:val="006C1BE9"/>
    <w:rsid w:val="006C1F56"/>
    <w:rsid w:val="006C3D59"/>
    <w:rsid w:val="006C3D8B"/>
    <w:rsid w:val="006C3F56"/>
    <w:rsid w:val="006C410F"/>
    <w:rsid w:val="006C44AD"/>
    <w:rsid w:val="006C478B"/>
    <w:rsid w:val="006C4EAB"/>
    <w:rsid w:val="006C55CC"/>
    <w:rsid w:val="006C5715"/>
    <w:rsid w:val="006C5F56"/>
    <w:rsid w:val="006C6802"/>
    <w:rsid w:val="006C6D1F"/>
    <w:rsid w:val="006C745C"/>
    <w:rsid w:val="006C75D1"/>
    <w:rsid w:val="006C7760"/>
    <w:rsid w:val="006C7A69"/>
    <w:rsid w:val="006D004C"/>
    <w:rsid w:val="006D02EE"/>
    <w:rsid w:val="006D0344"/>
    <w:rsid w:val="006D06BA"/>
    <w:rsid w:val="006D0DA1"/>
    <w:rsid w:val="006D1591"/>
    <w:rsid w:val="006D19F8"/>
    <w:rsid w:val="006D1E95"/>
    <w:rsid w:val="006D1F59"/>
    <w:rsid w:val="006D1F71"/>
    <w:rsid w:val="006D24FD"/>
    <w:rsid w:val="006D269D"/>
    <w:rsid w:val="006D27CC"/>
    <w:rsid w:val="006D2A2A"/>
    <w:rsid w:val="006D2ABD"/>
    <w:rsid w:val="006D2E86"/>
    <w:rsid w:val="006D3043"/>
    <w:rsid w:val="006D32F1"/>
    <w:rsid w:val="006D38AC"/>
    <w:rsid w:val="006D4042"/>
    <w:rsid w:val="006D4221"/>
    <w:rsid w:val="006D4408"/>
    <w:rsid w:val="006D4593"/>
    <w:rsid w:val="006D45A9"/>
    <w:rsid w:val="006D47A0"/>
    <w:rsid w:val="006D4858"/>
    <w:rsid w:val="006D4D6E"/>
    <w:rsid w:val="006D537A"/>
    <w:rsid w:val="006D556E"/>
    <w:rsid w:val="006D55B9"/>
    <w:rsid w:val="006D5664"/>
    <w:rsid w:val="006D57E7"/>
    <w:rsid w:val="006D5F69"/>
    <w:rsid w:val="006D6560"/>
    <w:rsid w:val="006D681E"/>
    <w:rsid w:val="006D6D36"/>
    <w:rsid w:val="006D6D3F"/>
    <w:rsid w:val="006D7692"/>
    <w:rsid w:val="006D7742"/>
    <w:rsid w:val="006D7824"/>
    <w:rsid w:val="006D7E2D"/>
    <w:rsid w:val="006E01DA"/>
    <w:rsid w:val="006E02F5"/>
    <w:rsid w:val="006E067B"/>
    <w:rsid w:val="006E105B"/>
    <w:rsid w:val="006E135F"/>
    <w:rsid w:val="006E139A"/>
    <w:rsid w:val="006E2106"/>
    <w:rsid w:val="006E2B78"/>
    <w:rsid w:val="006E2D21"/>
    <w:rsid w:val="006E319E"/>
    <w:rsid w:val="006E32B2"/>
    <w:rsid w:val="006E3A26"/>
    <w:rsid w:val="006E4384"/>
    <w:rsid w:val="006E4687"/>
    <w:rsid w:val="006E47B4"/>
    <w:rsid w:val="006E5467"/>
    <w:rsid w:val="006E5E21"/>
    <w:rsid w:val="006E5F12"/>
    <w:rsid w:val="006E639B"/>
    <w:rsid w:val="006E65EF"/>
    <w:rsid w:val="006E66B4"/>
    <w:rsid w:val="006E6752"/>
    <w:rsid w:val="006E68BB"/>
    <w:rsid w:val="006E6BC3"/>
    <w:rsid w:val="006E7168"/>
    <w:rsid w:val="006E7424"/>
    <w:rsid w:val="006E7744"/>
    <w:rsid w:val="006F03CA"/>
    <w:rsid w:val="006F0660"/>
    <w:rsid w:val="006F1075"/>
    <w:rsid w:val="006F188C"/>
    <w:rsid w:val="006F25CD"/>
    <w:rsid w:val="006F29E5"/>
    <w:rsid w:val="006F2A57"/>
    <w:rsid w:val="006F33D8"/>
    <w:rsid w:val="006F3D6C"/>
    <w:rsid w:val="006F3F1E"/>
    <w:rsid w:val="006F422D"/>
    <w:rsid w:val="006F44A0"/>
    <w:rsid w:val="006F466F"/>
    <w:rsid w:val="006F487B"/>
    <w:rsid w:val="006F4A9D"/>
    <w:rsid w:val="006F4D8D"/>
    <w:rsid w:val="006F5003"/>
    <w:rsid w:val="006F551E"/>
    <w:rsid w:val="006F56C7"/>
    <w:rsid w:val="006F5812"/>
    <w:rsid w:val="006F5839"/>
    <w:rsid w:val="006F5881"/>
    <w:rsid w:val="006F5EFF"/>
    <w:rsid w:val="006F63DD"/>
    <w:rsid w:val="006F6450"/>
    <w:rsid w:val="006F664E"/>
    <w:rsid w:val="006F7F7B"/>
    <w:rsid w:val="00700023"/>
    <w:rsid w:val="00700090"/>
    <w:rsid w:val="00700281"/>
    <w:rsid w:val="007007A3"/>
    <w:rsid w:val="00700835"/>
    <w:rsid w:val="00700990"/>
    <w:rsid w:val="00700B47"/>
    <w:rsid w:val="00700CC0"/>
    <w:rsid w:val="00700F17"/>
    <w:rsid w:val="007017D6"/>
    <w:rsid w:val="0070197D"/>
    <w:rsid w:val="00701B9F"/>
    <w:rsid w:val="00701C21"/>
    <w:rsid w:val="00701D87"/>
    <w:rsid w:val="00701ECE"/>
    <w:rsid w:val="00702291"/>
    <w:rsid w:val="00702943"/>
    <w:rsid w:val="00702AF0"/>
    <w:rsid w:val="0070300D"/>
    <w:rsid w:val="00703D2F"/>
    <w:rsid w:val="007041D0"/>
    <w:rsid w:val="007043AD"/>
    <w:rsid w:val="007045FB"/>
    <w:rsid w:val="0070462C"/>
    <w:rsid w:val="00704933"/>
    <w:rsid w:val="00704C4D"/>
    <w:rsid w:val="00704E15"/>
    <w:rsid w:val="00704E7A"/>
    <w:rsid w:val="00705105"/>
    <w:rsid w:val="0070516D"/>
    <w:rsid w:val="00705AAB"/>
    <w:rsid w:val="00705DBD"/>
    <w:rsid w:val="00705DD3"/>
    <w:rsid w:val="007060B9"/>
    <w:rsid w:val="0070623E"/>
    <w:rsid w:val="00706272"/>
    <w:rsid w:val="00706E3B"/>
    <w:rsid w:val="007071F1"/>
    <w:rsid w:val="007074F6"/>
    <w:rsid w:val="007074F9"/>
    <w:rsid w:val="00707583"/>
    <w:rsid w:val="007078C6"/>
    <w:rsid w:val="00710478"/>
    <w:rsid w:val="00710956"/>
    <w:rsid w:val="00710C64"/>
    <w:rsid w:val="00711145"/>
    <w:rsid w:val="00711A5E"/>
    <w:rsid w:val="00711B6D"/>
    <w:rsid w:val="0071215C"/>
    <w:rsid w:val="00712329"/>
    <w:rsid w:val="0071274D"/>
    <w:rsid w:val="00712B5E"/>
    <w:rsid w:val="00712BC9"/>
    <w:rsid w:val="00712CBA"/>
    <w:rsid w:val="007136E9"/>
    <w:rsid w:val="00713C26"/>
    <w:rsid w:val="00713DDF"/>
    <w:rsid w:val="00714261"/>
    <w:rsid w:val="007148F3"/>
    <w:rsid w:val="00714B5B"/>
    <w:rsid w:val="00714F18"/>
    <w:rsid w:val="00714F7C"/>
    <w:rsid w:val="007150E1"/>
    <w:rsid w:val="0071549A"/>
    <w:rsid w:val="007154AF"/>
    <w:rsid w:val="0071570C"/>
    <w:rsid w:val="007159A5"/>
    <w:rsid w:val="00715D94"/>
    <w:rsid w:val="00715F80"/>
    <w:rsid w:val="00715FA8"/>
    <w:rsid w:val="007161AD"/>
    <w:rsid w:val="0071659E"/>
    <w:rsid w:val="00716A20"/>
    <w:rsid w:val="00716EA9"/>
    <w:rsid w:val="00716F85"/>
    <w:rsid w:val="0071704D"/>
    <w:rsid w:val="007174D0"/>
    <w:rsid w:val="00717600"/>
    <w:rsid w:val="0071766D"/>
    <w:rsid w:val="00717749"/>
    <w:rsid w:val="00717E6E"/>
    <w:rsid w:val="00720040"/>
    <w:rsid w:val="00720197"/>
    <w:rsid w:val="007201F8"/>
    <w:rsid w:val="0072056D"/>
    <w:rsid w:val="0072070C"/>
    <w:rsid w:val="00720A0D"/>
    <w:rsid w:val="00720C2E"/>
    <w:rsid w:val="00720C4F"/>
    <w:rsid w:val="00720F0A"/>
    <w:rsid w:val="007217B4"/>
    <w:rsid w:val="00722623"/>
    <w:rsid w:val="007230CE"/>
    <w:rsid w:val="00723231"/>
    <w:rsid w:val="00723D66"/>
    <w:rsid w:val="007241CF"/>
    <w:rsid w:val="0072444D"/>
    <w:rsid w:val="0072462A"/>
    <w:rsid w:val="007246EC"/>
    <w:rsid w:val="00724790"/>
    <w:rsid w:val="00724907"/>
    <w:rsid w:val="0072509A"/>
    <w:rsid w:val="007250DD"/>
    <w:rsid w:val="00725160"/>
    <w:rsid w:val="007251A9"/>
    <w:rsid w:val="007251B0"/>
    <w:rsid w:val="007260BE"/>
    <w:rsid w:val="0072613F"/>
    <w:rsid w:val="00726F5D"/>
    <w:rsid w:val="007270CF"/>
    <w:rsid w:val="00727140"/>
    <w:rsid w:val="007275CD"/>
    <w:rsid w:val="007275D7"/>
    <w:rsid w:val="00727A71"/>
    <w:rsid w:val="00727BDF"/>
    <w:rsid w:val="00727D4C"/>
    <w:rsid w:val="00727E8F"/>
    <w:rsid w:val="00727F5D"/>
    <w:rsid w:val="00730759"/>
    <w:rsid w:val="00731350"/>
    <w:rsid w:val="007313F9"/>
    <w:rsid w:val="007317B7"/>
    <w:rsid w:val="00732024"/>
    <w:rsid w:val="007321DC"/>
    <w:rsid w:val="007322CB"/>
    <w:rsid w:val="00732497"/>
    <w:rsid w:val="00732781"/>
    <w:rsid w:val="0073283B"/>
    <w:rsid w:val="0073285F"/>
    <w:rsid w:val="00732CB8"/>
    <w:rsid w:val="00732D48"/>
    <w:rsid w:val="00732EE8"/>
    <w:rsid w:val="00733132"/>
    <w:rsid w:val="007338E3"/>
    <w:rsid w:val="00734068"/>
    <w:rsid w:val="007340C3"/>
    <w:rsid w:val="007349EF"/>
    <w:rsid w:val="00734DEA"/>
    <w:rsid w:val="00734E2D"/>
    <w:rsid w:val="00735109"/>
    <w:rsid w:val="0073598E"/>
    <w:rsid w:val="00735F7F"/>
    <w:rsid w:val="00736A76"/>
    <w:rsid w:val="00736C7A"/>
    <w:rsid w:val="00736E5C"/>
    <w:rsid w:val="00737299"/>
    <w:rsid w:val="007372DC"/>
    <w:rsid w:val="00737404"/>
    <w:rsid w:val="00737489"/>
    <w:rsid w:val="007375EA"/>
    <w:rsid w:val="00737EAE"/>
    <w:rsid w:val="00740844"/>
    <w:rsid w:val="00740FA9"/>
    <w:rsid w:val="00741308"/>
    <w:rsid w:val="0074172A"/>
    <w:rsid w:val="0074172B"/>
    <w:rsid w:val="0074177F"/>
    <w:rsid w:val="00741BDE"/>
    <w:rsid w:val="00741C32"/>
    <w:rsid w:val="00741C56"/>
    <w:rsid w:val="00741E47"/>
    <w:rsid w:val="00741F13"/>
    <w:rsid w:val="00742170"/>
    <w:rsid w:val="007424A8"/>
    <w:rsid w:val="007427D1"/>
    <w:rsid w:val="00742A83"/>
    <w:rsid w:val="00743305"/>
    <w:rsid w:val="00743985"/>
    <w:rsid w:val="00744053"/>
    <w:rsid w:val="007443C5"/>
    <w:rsid w:val="007454CA"/>
    <w:rsid w:val="00745C7C"/>
    <w:rsid w:val="007466E2"/>
    <w:rsid w:val="00746915"/>
    <w:rsid w:val="00746CD0"/>
    <w:rsid w:val="00746E53"/>
    <w:rsid w:val="0074791E"/>
    <w:rsid w:val="00747FE7"/>
    <w:rsid w:val="00750237"/>
    <w:rsid w:val="007502DA"/>
    <w:rsid w:val="007503AE"/>
    <w:rsid w:val="007506C5"/>
    <w:rsid w:val="007506E1"/>
    <w:rsid w:val="0075083E"/>
    <w:rsid w:val="007508B7"/>
    <w:rsid w:val="00750916"/>
    <w:rsid w:val="00750974"/>
    <w:rsid w:val="00750DD7"/>
    <w:rsid w:val="00750E07"/>
    <w:rsid w:val="007511C7"/>
    <w:rsid w:val="0075241C"/>
    <w:rsid w:val="00752585"/>
    <w:rsid w:val="007529D4"/>
    <w:rsid w:val="00752BF3"/>
    <w:rsid w:val="007530AE"/>
    <w:rsid w:val="00753243"/>
    <w:rsid w:val="0075341A"/>
    <w:rsid w:val="0075343C"/>
    <w:rsid w:val="00753768"/>
    <w:rsid w:val="00753D79"/>
    <w:rsid w:val="00753F59"/>
    <w:rsid w:val="0075400C"/>
    <w:rsid w:val="007545DC"/>
    <w:rsid w:val="00755045"/>
    <w:rsid w:val="00755337"/>
    <w:rsid w:val="00755708"/>
    <w:rsid w:val="00755C95"/>
    <w:rsid w:val="00755EC4"/>
    <w:rsid w:val="00755ECA"/>
    <w:rsid w:val="007562B6"/>
    <w:rsid w:val="007569F1"/>
    <w:rsid w:val="007571F9"/>
    <w:rsid w:val="00757494"/>
    <w:rsid w:val="007574D7"/>
    <w:rsid w:val="00757801"/>
    <w:rsid w:val="00757A18"/>
    <w:rsid w:val="00760334"/>
    <w:rsid w:val="00760B37"/>
    <w:rsid w:val="00760BC5"/>
    <w:rsid w:val="00760CC3"/>
    <w:rsid w:val="00760F71"/>
    <w:rsid w:val="00761484"/>
    <w:rsid w:val="007615FE"/>
    <w:rsid w:val="0076243C"/>
    <w:rsid w:val="00762884"/>
    <w:rsid w:val="0076296F"/>
    <w:rsid w:val="0076297B"/>
    <w:rsid w:val="00762C0E"/>
    <w:rsid w:val="00762ED3"/>
    <w:rsid w:val="00763021"/>
    <w:rsid w:val="00763581"/>
    <w:rsid w:val="00763BE6"/>
    <w:rsid w:val="00763DFA"/>
    <w:rsid w:val="00764448"/>
    <w:rsid w:val="00764563"/>
    <w:rsid w:val="007646B1"/>
    <w:rsid w:val="00764E20"/>
    <w:rsid w:val="0076586A"/>
    <w:rsid w:val="007658BA"/>
    <w:rsid w:val="007659B1"/>
    <w:rsid w:val="00765A52"/>
    <w:rsid w:val="00765A91"/>
    <w:rsid w:val="00765F8D"/>
    <w:rsid w:val="00766414"/>
    <w:rsid w:val="0076658A"/>
    <w:rsid w:val="0076729C"/>
    <w:rsid w:val="00767303"/>
    <w:rsid w:val="007679D0"/>
    <w:rsid w:val="00767D91"/>
    <w:rsid w:val="00767DC0"/>
    <w:rsid w:val="00770046"/>
    <w:rsid w:val="00770455"/>
    <w:rsid w:val="007705A6"/>
    <w:rsid w:val="0077066B"/>
    <w:rsid w:val="00770944"/>
    <w:rsid w:val="00770FE1"/>
    <w:rsid w:val="00771007"/>
    <w:rsid w:val="00771322"/>
    <w:rsid w:val="007716E5"/>
    <w:rsid w:val="00771703"/>
    <w:rsid w:val="00771BCF"/>
    <w:rsid w:val="00772EAD"/>
    <w:rsid w:val="007734A4"/>
    <w:rsid w:val="00773AA4"/>
    <w:rsid w:val="00773B08"/>
    <w:rsid w:val="00773B26"/>
    <w:rsid w:val="00773C4C"/>
    <w:rsid w:val="00773DE2"/>
    <w:rsid w:val="00773F03"/>
    <w:rsid w:val="007744E9"/>
    <w:rsid w:val="00774576"/>
    <w:rsid w:val="00774619"/>
    <w:rsid w:val="007748B4"/>
    <w:rsid w:val="00774C36"/>
    <w:rsid w:val="007750E7"/>
    <w:rsid w:val="007757EA"/>
    <w:rsid w:val="00775880"/>
    <w:rsid w:val="00776132"/>
    <w:rsid w:val="00776295"/>
    <w:rsid w:val="007765C8"/>
    <w:rsid w:val="00776783"/>
    <w:rsid w:val="00776A7A"/>
    <w:rsid w:val="0077713A"/>
    <w:rsid w:val="00777140"/>
    <w:rsid w:val="00777476"/>
    <w:rsid w:val="00777D8A"/>
    <w:rsid w:val="00777E37"/>
    <w:rsid w:val="00777ECC"/>
    <w:rsid w:val="00777ED0"/>
    <w:rsid w:val="0078043A"/>
    <w:rsid w:val="00781E9E"/>
    <w:rsid w:val="00782231"/>
    <w:rsid w:val="00782262"/>
    <w:rsid w:val="00782802"/>
    <w:rsid w:val="00782DEC"/>
    <w:rsid w:val="00783218"/>
    <w:rsid w:val="007839EA"/>
    <w:rsid w:val="00783C15"/>
    <w:rsid w:val="007846F5"/>
    <w:rsid w:val="00784848"/>
    <w:rsid w:val="007848D1"/>
    <w:rsid w:val="00784B24"/>
    <w:rsid w:val="00785507"/>
    <w:rsid w:val="007855BA"/>
    <w:rsid w:val="007857C7"/>
    <w:rsid w:val="00785AEC"/>
    <w:rsid w:val="00785B2C"/>
    <w:rsid w:val="00785BD3"/>
    <w:rsid w:val="00785CC8"/>
    <w:rsid w:val="007861D8"/>
    <w:rsid w:val="007863CE"/>
    <w:rsid w:val="00786402"/>
    <w:rsid w:val="00786411"/>
    <w:rsid w:val="007867DC"/>
    <w:rsid w:val="0078751B"/>
    <w:rsid w:val="00787CAA"/>
    <w:rsid w:val="00787DD9"/>
    <w:rsid w:val="00790334"/>
    <w:rsid w:val="0079046F"/>
    <w:rsid w:val="007905F1"/>
    <w:rsid w:val="007909A5"/>
    <w:rsid w:val="00790C69"/>
    <w:rsid w:val="00790E87"/>
    <w:rsid w:val="00790FE5"/>
    <w:rsid w:val="007916D0"/>
    <w:rsid w:val="00791A2D"/>
    <w:rsid w:val="00791BB2"/>
    <w:rsid w:val="00791E7A"/>
    <w:rsid w:val="00792322"/>
    <w:rsid w:val="0079235A"/>
    <w:rsid w:val="00792C15"/>
    <w:rsid w:val="007936D2"/>
    <w:rsid w:val="00793826"/>
    <w:rsid w:val="00793999"/>
    <w:rsid w:val="00793D3F"/>
    <w:rsid w:val="007940FB"/>
    <w:rsid w:val="0079436D"/>
    <w:rsid w:val="007948D2"/>
    <w:rsid w:val="00794C62"/>
    <w:rsid w:val="007964BD"/>
    <w:rsid w:val="00796596"/>
    <w:rsid w:val="0079677B"/>
    <w:rsid w:val="00797180"/>
    <w:rsid w:val="007971ED"/>
    <w:rsid w:val="007972BE"/>
    <w:rsid w:val="00797858"/>
    <w:rsid w:val="00797A7E"/>
    <w:rsid w:val="007A0166"/>
    <w:rsid w:val="007A045D"/>
    <w:rsid w:val="007A079E"/>
    <w:rsid w:val="007A0DF8"/>
    <w:rsid w:val="007A1980"/>
    <w:rsid w:val="007A1A8C"/>
    <w:rsid w:val="007A20AB"/>
    <w:rsid w:val="007A2312"/>
    <w:rsid w:val="007A2666"/>
    <w:rsid w:val="007A2EBF"/>
    <w:rsid w:val="007A3508"/>
    <w:rsid w:val="007A3843"/>
    <w:rsid w:val="007A3FB8"/>
    <w:rsid w:val="007A4973"/>
    <w:rsid w:val="007A4C0F"/>
    <w:rsid w:val="007A58B7"/>
    <w:rsid w:val="007A59F8"/>
    <w:rsid w:val="007A5A3A"/>
    <w:rsid w:val="007A61E7"/>
    <w:rsid w:val="007A65FC"/>
    <w:rsid w:val="007A68A8"/>
    <w:rsid w:val="007A6BA1"/>
    <w:rsid w:val="007A6E55"/>
    <w:rsid w:val="007A6F31"/>
    <w:rsid w:val="007A7316"/>
    <w:rsid w:val="007A76E1"/>
    <w:rsid w:val="007A78ED"/>
    <w:rsid w:val="007A78F5"/>
    <w:rsid w:val="007A7F28"/>
    <w:rsid w:val="007B012C"/>
    <w:rsid w:val="007B0AC9"/>
    <w:rsid w:val="007B0B6C"/>
    <w:rsid w:val="007B1044"/>
    <w:rsid w:val="007B111D"/>
    <w:rsid w:val="007B1491"/>
    <w:rsid w:val="007B168D"/>
    <w:rsid w:val="007B1EAA"/>
    <w:rsid w:val="007B21F4"/>
    <w:rsid w:val="007B242A"/>
    <w:rsid w:val="007B29F5"/>
    <w:rsid w:val="007B2BBA"/>
    <w:rsid w:val="007B348F"/>
    <w:rsid w:val="007B34A8"/>
    <w:rsid w:val="007B36C4"/>
    <w:rsid w:val="007B3797"/>
    <w:rsid w:val="007B3BBD"/>
    <w:rsid w:val="007B4BCE"/>
    <w:rsid w:val="007B4EFE"/>
    <w:rsid w:val="007B50AC"/>
    <w:rsid w:val="007B5216"/>
    <w:rsid w:val="007B522B"/>
    <w:rsid w:val="007B55B0"/>
    <w:rsid w:val="007B5A6B"/>
    <w:rsid w:val="007B5BB9"/>
    <w:rsid w:val="007B5DD0"/>
    <w:rsid w:val="007B5E2B"/>
    <w:rsid w:val="007B6198"/>
    <w:rsid w:val="007B61AB"/>
    <w:rsid w:val="007B6AA2"/>
    <w:rsid w:val="007B6AC7"/>
    <w:rsid w:val="007B6E3D"/>
    <w:rsid w:val="007B7516"/>
    <w:rsid w:val="007B797B"/>
    <w:rsid w:val="007B7D01"/>
    <w:rsid w:val="007C0154"/>
    <w:rsid w:val="007C020E"/>
    <w:rsid w:val="007C03F6"/>
    <w:rsid w:val="007C0D6D"/>
    <w:rsid w:val="007C1137"/>
    <w:rsid w:val="007C1819"/>
    <w:rsid w:val="007C273C"/>
    <w:rsid w:val="007C28A3"/>
    <w:rsid w:val="007C2BDF"/>
    <w:rsid w:val="007C2C9E"/>
    <w:rsid w:val="007C2E22"/>
    <w:rsid w:val="007C3158"/>
    <w:rsid w:val="007C37A2"/>
    <w:rsid w:val="007C3FC4"/>
    <w:rsid w:val="007C4339"/>
    <w:rsid w:val="007C4533"/>
    <w:rsid w:val="007C494D"/>
    <w:rsid w:val="007C4C3A"/>
    <w:rsid w:val="007C4F59"/>
    <w:rsid w:val="007C4F6A"/>
    <w:rsid w:val="007C4FA9"/>
    <w:rsid w:val="007C50F0"/>
    <w:rsid w:val="007C54AE"/>
    <w:rsid w:val="007C6623"/>
    <w:rsid w:val="007C6910"/>
    <w:rsid w:val="007C6D15"/>
    <w:rsid w:val="007C75EA"/>
    <w:rsid w:val="007C7749"/>
    <w:rsid w:val="007C7C35"/>
    <w:rsid w:val="007C7FD3"/>
    <w:rsid w:val="007D0192"/>
    <w:rsid w:val="007D04A2"/>
    <w:rsid w:val="007D0625"/>
    <w:rsid w:val="007D0E96"/>
    <w:rsid w:val="007D1020"/>
    <w:rsid w:val="007D15D6"/>
    <w:rsid w:val="007D1932"/>
    <w:rsid w:val="007D1C6D"/>
    <w:rsid w:val="007D1DA0"/>
    <w:rsid w:val="007D2B85"/>
    <w:rsid w:val="007D2C03"/>
    <w:rsid w:val="007D3109"/>
    <w:rsid w:val="007D3448"/>
    <w:rsid w:val="007D37EC"/>
    <w:rsid w:val="007D37FF"/>
    <w:rsid w:val="007D3AAC"/>
    <w:rsid w:val="007D3B66"/>
    <w:rsid w:val="007D3CCB"/>
    <w:rsid w:val="007D403E"/>
    <w:rsid w:val="007D51AD"/>
    <w:rsid w:val="007D541C"/>
    <w:rsid w:val="007D54C4"/>
    <w:rsid w:val="007D55CE"/>
    <w:rsid w:val="007D5928"/>
    <w:rsid w:val="007D59AA"/>
    <w:rsid w:val="007D5A81"/>
    <w:rsid w:val="007D5C0F"/>
    <w:rsid w:val="007D5D0C"/>
    <w:rsid w:val="007D5D9F"/>
    <w:rsid w:val="007D640C"/>
    <w:rsid w:val="007D6A88"/>
    <w:rsid w:val="007D6BE8"/>
    <w:rsid w:val="007D6C4F"/>
    <w:rsid w:val="007D6D49"/>
    <w:rsid w:val="007D704C"/>
    <w:rsid w:val="007D7245"/>
    <w:rsid w:val="007D72D5"/>
    <w:rsid w:val="007D7BB3"/>
    <w:rsid w:val="007E06F6"/>
    <w:rsid w:val="007E0906"/>
    <w:rsid w:val="007E091F"/>
    <w:rsid w:val="007E096A"/>
    <w:rsid w:val="007E1E6D"/>
    <w:rsid w:val="007E1E98"/>
    <w:rsid w:val="007E2134"/>
    <w:rsid w:val="007E24D9"/>
    <w:rsid w:val="007E2725"/>
    <w:rsid w:val="007E2DA8"/>
    <w:rsid w:val="007E34CE"/>
    <w:rsid w:val="007E377B"/>
    <w:rsid w:val="007E379A"/>
    <w:rsid w:val="007E3866"/>
    <w:rsid w:val="007E398F"/>
    <w:rsid w:val="007E39CE"/>
    <w:rsid w:val="007E3D20"/>
    <w:rsid w:val="007E3FAE"/>
    <w:rsid w:val="007E423C"/>
    <w:rsid w:val="007E4253"/>
    <w:rsid w:val="007E4625"/>
    <w:rsid w:val="007E474C"/>
    <w:rsid w:val="007E475D"/>
    <w:rsid w:val="007E4762"/>
    <w:rsid w:val="007E47A5"/>
    <w:rsid w:val="007E4C10"/>
    <w:rsid w:val="007E4C24"/>
    <w:rsid w:val="007E53D4"/>
    <w:rsid w:val="007E5593"/>
    <w:rsid w:val="007E5622"/>
    <w:rsid w:val="007E56B4"/>
    <w:rsid w:val="007E58CE"/>
    <w:rsid w:val="007E5B50"/>
    <w:rsid w:val="007E5C45"/>
    <w:rsid w:val="007E5EBC"/>
    <w:rsid w:val="007E6725"/>
    <w:rsid w:val="007E694B"/>
    <w:rsid w:val="007E6C38"/>
    <w:rsid w:val="007E6CF3"/>
    <w:rsid w:val="007E6EBA"/>
    <w:rsid w:val="007E700E"/>
    <w:rsid w:val="007E718B"/>
    <w:rsid w:val="007E7378"/>
    <w:rsid w:val="007E772D"/>
    <w:rsid w:val="007E79CB"/>
    <w:rsid w:val="007E7D6D"/>
    <w:rsid w:val="007F0105"/>
    <w:rsid w:val="007F010C"/>
    <w:rsid w:val="007F036C"/>
    <w:rsid w:val="007F0971"/>
    <w:rsid w:val="007F0C1E"/>
    <w:rsid w:val="007F0F20"/>
    <w:rsid w:val="007F1579"/>
    <w:rsid w:val="007F17D2"/>
    <w:rsid w:val="007F1E07"/>
    <w:rsid w:val="007F201F"/>
    <w:rsid w:val="007F2147"/>
    <w:rsid w:val="007F2614"/>
    <w:rsid w:val="007F2B5E"/>
    <w:rsid w:val="007F2D31"/>
    <w:rsid w:val="007F2D75"/>
    <w:rsid w:val="007F322C"/>
    <w:rsid w:val="007F3442"/>
    <w:rsid w:val="007F36E7"/>
    <w:rsid w:val="007F36EE"/>
    <w:rsid w:val="007F39C6"/>
    <w:rsid w:val="007F3CFA"/>
    <w:rsid w:val="007F473A"/>
    <w:rsid w:val="007F4E08"/>
    <w:rsid w:val="007F5354"/>
    <w:rsid w:val="007F63AB"/>
    <w:rsid w:val="007F672D"/>
    <w:rsid w:val="007F69B0"/>
    <w:rsid w:val="007F6B2F"/>
    <w:rsid w:val="007F7AD7"/>
    <w:rsid w:val="007F7C89"/>
    <w:rsid w:val="008000EA"/>
    <w:rsid w:val="0080033B"/>
    <w:rsid w:val="00800BAE"/>
    <w:rsid w:val="0080143E"/>
    <w:rsid w:val="00801722"/>
    <w:rsid w:val="00801821"/>
    <w:rsid w:val="00801D72"/>
    <w:rsid w:val="008023FE"/>
    <w:rsid w:val="00802534"/>
    <w:rsid w:val="00802C9F"/>
    <w:rsid w:val="00802D40"/>
    <w:rsid w:val="00802F18"/>
    <w:rsid w:val="0080399A"/>
    <w:rsid w:val="00803B67"/>
    <w:rsid w:val="00803C9B"/>
    <w:rsid w:val="00803CA0"/>
    <w:rsid w:val="00803EDC"/>
    <w:rsid w:val="008042A6"/>
    <w:rsid w:val="008044ED"/>
    <w:rsid w:val="00804FA0"/>
    <w:rsid w:val="008052E6"/>
    <w:rsid w:val="00806817"/>
    <w:rsid w:val="0080681C"/>
    <w:rsid w:val="00806A87"/>
    <w:rsid w:val="00806CEE"/>
    <w:rsid w:val="00806DE4"/>
    <w:rsid w:val="008071E5"/>
    <w:rsid w:val="00807D32"/>
    <w:rsid w:val="00807E76"/>
    <w:rsid w:val="008101D5"/>
    <w:rsid w:val="00810266"/>
    <w:rsid w:val="00810545"/>
    <w:rsid w:val="0081070E"/>
    <w:rsid w:val="00810D50"/>
    <w:rsid w:val="00810D6A"/>
    <w:rsid w:val="008110B1"/>
    <w:rsid w:val="0081152D"/>
    <w:rsid w:val="00811B86"/>
    <w:rsid w:val="00811C2A"/>
    <w:rsid w:val="00812300"/>
    <w:rsid w:val="008126A5"/>
    <w:rsid w:val="0081286C"/>
    <w:rsid w:val="0081294E"/>
    <w:rsid w:val="00812AB8"/>
    <w:rsid w:val="0081361C"/>
    <w:rsid w:val="008138B0"/>
    <w:rsid w:val="00813A06"/>
    <w:rsid w:val="00813AF4"/>
    <w:rsid w:val="00813B23"/>
    <w:rsid w:val="008142B3"/>
    <w:rsid w:val="0081485C"/>
    <w:rsid w:val="00814E5C"/>
    <w:rsid w:val="00814E84"/>
    <w:rsid w:val="00815327"/>
    <w:rsid w:val="008154B4"/>
    <w:rsid w:val="00815653"/>
    <w:rsid w:val="00815DF6"/>
    <w:rsid w:val="008162BC"/>
    <w:rsid w:val="008164AC"/>
    <w:rsid w:val="00816507"/>
    <w:rsid w:val="00816559"/>
    <w:rsid w:val="00816A50"/>
    <w:rsid w:val="0081722A"/>
    <w:rsid w:val="008202B3"/>
    <w:rsid w:val="0082057C"/>
    <w:rsid w:val="00820603"/>
    <w:rsid w:val="008208BD"/>
    <w:rsid w:val="00821671"/>
    <w:rsid w:val="00821710"/>
    <w:rsid w:val="00821BED"/>
    <w:rsid w:val="00821C86"/>
    <w:rsid w:val="00821EA9"/>
    <w:rsid w:val="0082221A"/>
    <w:rsid w:val="00822632"/>
    <w:rsid w:val="008230A3"/>
    <w:rsid w:val="008232B2"/>
    <w:rsid w:val="008235B8"/>
    <w:rsid w:val="008235D9"/>
    <w:rsid w:val="00823A65"/>
    <w:rsid w:val="00823AE2"/>
    <w:rsid w:val="008240D2"/>
    <w:rsid w:val="008242F2"/>
    <w:rsid w:val="00824A03"/>
    <w:rsid w:val="00824E7E"/>
    <w:rsid w:val="00824F33"/>
    <w:rsid w:val="00824F35"/>
    <w:rsid w:val="00824FE9"/>
    <w:rsid w:val="00825075"/>
    <w:rsid w:val="0082515E"/>
    <w:rsid w:val="0082544B"/>
    <w:rsid w:val="00825616"/>
    <w:rsid w:val="008257A3"/>
    <w:rsid w:val="008259BB"/>
    <w:rsid w:val="00825AE2"/>
    <w:rsid w:val="00825E5F"/>
    <w:rsid w:val="008260A9"/>
    <w:rsid w:val="00826385"/>
    <w:rsid w:val="00826C24"/>
    <w:rsid w:val="00826E06"/>
    <w:rsid w:val="00827025"/>
    <w:rsid w:val="0082737C"/>
    <w:rsid w:val="00827A07"/>
    <w:rsid w:val="008305BF"/>
    <w:rsid w:val="0083063E"/>
    <w:rsid w:val="00830836"/>
    <w:rsid w:val="0083098C"/>
    <w:rsid w:val="00830A02"/>
    <w:rsid w:val="00830B03"/>
    <w:rsid w:val="00830C66"/>
    <w:rsid w:val="00830CD8"/>
    <w:rsid w:val="0083143B"/>
    <w:rsid w:val="0083143F"/>
    <w:rsid w:val="00831724"/>
    <w:rsid w:val="00831843"/>
    <w:rsid w:val="008318C7"/>
    <w:rsid w:val="00831B13"/>
    <w:rsid w:val="00831D29"/>
    <w:rsid w:val="00831D8B"/>
    <w:rsid w:val="00832554"/>
    <w:rsid w:val="00832B88"/>
    <w:rsid w:val="00832BEF"/>
    <w:rsid w:val="00833106"/>
    <w:rsid w:val="00833878"/>
    <w:rsid w:val="00833899"/>
    <w:rsid w:val="008339B2"/>
    <w:rsid w:val="00833B9B"/>
    <w:rsid w:val="00833D7C"/>
    <w:rsid w:val="00833F61"/>
    <w:rsid w:val="00834271"/>
    <w:rsid w:val="008343DC"/>
    <w:rsid w:val="00834B22"/>
    <w:rsid w:val="00834ECA"/>
    <w:rsid w:val="008351A1"/>
    <w:rsid w:val="00835540"/>
    <w:rsid w:val="0083557A"/>
    <w:rsid w:val="008356AA"/>
    <w:rsid w:val="00835873"/>
    <w:rsid w:val="00835E2E"/>
    <w:rsid w:val="00835F81"/>
    <w:rsid w:val="00836159"/>
    <w:rsid w:val="008367DD"/>
    <w:rsid w:val="00836B9F"/>
    <w:rsid w:val="0083753C"/>
    <w:rsid w:val="00837604"/>
    <w:rsid w:val="0084066C"/>
    <w:rsid w:val="00840909"/>
    <w:rsid w:val="008409DC"/>
    <w:rsid w:val="00840D16"/>
    <w:rsid w:val="00841459"/>
    <w:rsid w:val="008417B4"/>
    <w:rsid w:val="008417CD"/>
    <w:rsid w:val="008418D2"/>
    <w:rsid w:val="008418D7"/>
    <w:rsid w:val="00841A42"/>
    <w:rsid w:val="008423F8"/>
    <w:rsid w:val="00842549"/>
    <w:rsid w:val="008425BF"/>
    <w:rsid w:val="0084269A"/>
    <w:rsid w:val="00842A9B"/>
    <w:rsid w:val="00842AED"/>
    <w:rsid w:val="00842B48"/>
    <w:rsid w:val="008438E7"/>
    <w:rsid w:val="00844592"/>
    <w:rsid w:val="008457DE"/>
    <w:rsid w:val="00845801"/>
    <w:rsid w:val="00845B68"/>
    <w:rsid w:val="00845F84"/>
    <w:rsid w:val="008461A6"/>
    <w:rsid w:val="00846343"/>
    <w:rsid w:val="008469A2"/>
    <w:rsid w:val="008475A2"/>
    <w:rsid w:val="00847651"/>
    <w:rsid w:val="00847A75"/>
    <w:rsid w:val="00847D3F"/>
    <w:rsid w:val="00847E08"/>
    <w:rsid w:val="00850668"/>
    <w:rsid w:val="00850829"/>
    <w:rsid w:val="008509C9"/>
    <w:rsid w:val="00850BCC"/>
    <w:rsid w:val="008510D2"/>
    <w:rsid w:val="008515B7"/>
    <w:rsid w:val="00851A09"/>
    <w:rsid w:val="00851AD1"/>
    <w:rsid w:val="00851B62"/>
    <w:rsid w:val="00851DD6"/>
    <w:rsid w:val="008523B3"/>
    <w:rsid w:val="00852B1A"/>
    <w:rsid w:val="00852DCE"/>
    <w:rsid w:val="00852E78"/>
    <w:rsid w:val="008533AC"/>
    <w:rsid w:val="008536BA"/>
    <w:rsid w:val="00853709"/>
    <w:rsid w:val="00853800"/>
    <w:rsid w:val="00853821"/>
    <w:rsid w:val="00853AC6"/>
    <w:rsid w:val="008543B0"/>
    <w:rsid w:val="00854878"/>
    <w:rsid w:val="008549B0"/>
    <w:rsid w:val="008550EC"/>
    <w:rsid w:val="00855291"/>
    <w:rsid w:val="0085555F"/>
    <w:rsid w:val="00855708"/>
    <w:rsid w:val="008560DF"/>
    <w:rsid w:val="00856137"/>
    <w:rsid w:val="0085666A"/>
    <w:rsid w:val="008567D0"/>
    <w:rsid w:val="00856839"/>
    <w:rsid w:val="00856BB3"/>
    <w:rsid w:val="0085759B"/>
    <w:rsid w:val="00857B44"/>
    <w:rsid w:val="00857B64"/>
    <w:rsid w:val="00857BAE"/>
    <w:rsid w:val="00857C1D"/>
    <w:rsid w:val="00860293"/>
    <w:rsid w:val="00860972"/>
    <w:rsid w:val="00860BBA"/>
    <w:rsid w:val="00860C6D"/>
    <w:rsid w:val="008610A9"/>
    <w:rsid w:val="008613EB"/>
    <w:rsid w:val="0086158F"/>
    <w:rsid w:val="008615FF"/>
    <w:rsid w:val="00861FBB"/>
    <w:rsid w:val="008620E5"/>
    <w:rsid w:val="008621A8"/>
    <w:rsid w:val="008626A0"/>
    <w:rsid w:val="008626D8"/>
    <w:rsid w:val="00862744"/>
    <w:rsid w:val="008628F3"/>
    <w:rsid w:val="00862AF6"/>
    <w:rsid w:val="00863182"/>
    <w:rsid w:val="0086327C"/>
    <w:rsid w:val="008633BA"/>
    <w:rsid w:val="008638F5"/>
    <w:rsid w:val="00863942"/>
    <w:rsid w:val="00863A8B"/>
    <w:rsid w:val="00863B49"/>
    <w:rsid w:val="00863CC6"/>
    <w:rsid w:val="00863D3B"/>
    <w:rsid w:val="00863F26"/>
    <w:rsid w:val="00864D9D"/>
    <w:rsid w:val="00864F97"/>
    <w:rsid w:val="0086507C"/>
    <w:rsid w:val="00865127"/>
    <w:rsid w:val="008652D6"/>
    <w:rsid w:val="0086532A"/>
    <w:rsid w:val="008655A2"/>
    <w:rsid w:val="008657E9"/>
    <w:rsid w:val="0086681A"/>
    <w:rsid w:val="00866EF7"/>
    <w:rsid w:val="0086717E"/>
    <w:rsid w:val="008675BB"/>
    <w:rsid w:val="00870515"/>
    <w:rsid w:val="008707A8"/>
    <w:rsid w:val="00870DF3"/>
    <w:rsid w:val="00870F48"/>
    <w:rsid w:val="008711D4"/>
    <w:rsid w:val="0087129C"/>
    <w:rsid w:val="00871668"/>
    <w:rsid w:val="00871DD9"/>
    <w:rsid w:val="00871E9C"/>
    <w:rsid w:val="00872030"/>
    <w:rsid w:val="008722FD"/>
    <w:rsid w:val="00872C0C"/>
    <w:rsid w:val="008733BF"/>
    <w:rsid w:val="00873964"/>
    <w:rsid w:val="00873C02"/>
    <w:rsid w:val="00874C83"/>
    <w:rsid w:val="00874D3B"/>
    <w:rsid w:val="00875254"/>
    <w:rsid w:val="008755B6"/>
    <w:rsid w:val="0087561D"/>
    <w:rsid w:val="00875CA1"/>
    <w:rsid w:val="0087612D"/>
    <w:rsid w:val="00876D49"/>
    <w:rsid w:val="008774B3"/>
    <w:rsid w:val="0087775D"/>
    <w:rsid w:val="00877B0C"/>
    <w:rsid w:val="0088037B"/>
    <w:rsid w:val="008806DB"/>
    <w:rsid w:val="008806F2"/>
    <w:rsid w:val="0088102C"/>
    <w:rsid w:val="008811C7"/>
    <w:rsid w:val="0088155A"/>
    <w:rsid w:val="00881DF8"/>
    <w:rsid w:val="00881E72"/>
    <w:rsid w:val="00882455"/>
    <w:rsid w:val="00882860"/>
    <w:rsid w:val="00882B97"/>
    <w:rsid w:val="00882EFD"/>
    <w:rsid w:val="00883880"/>
    <w:rsid w:val="00883C83"/>
    <w:rsid w:val="00883D1A"/>
    <w:rsid w:val="00884599"/>
    <w:rsid w:val="00884DED"/>
    <w:rsid w:val="00884FD9"/>
    <w:rsid w:val="00885351"/>
    <w:rsid w:val="00885408"/>
    <w:rsid w:val="0088550C"/>
    <w:rsid w:val="00885722"/>
    <w:rsid w:val="00885E06"/>
    <w:rsid w:val="00885FB6"/>
    <w:rsid w:val="008865EE"/>
    <w:rsid w:val="008866B6"/>
    <w:rsid w:val="00886823"/>
    <w:rsid w:val="00886A79"/>
    <w:rsid w:val="00886E1C"/>
    <w:rsid w:val="008873B8"/>
    <w:rsid w:val="00887CA2"/>
    <w:rsid w:val="00887E7B"/>
    <w:rsid w:val="00887EAE"/>
    <w:rsid w:val="00890F45"/>
    <w:rsid w:val="00891152"/>
    <w:rsid w:val="00891560"/>
    <w:rsid w:val="008917ED"/>
    <w:rsid w:val="00891A0D"/>
    <w:rsid w:val="00891C03"/>
    <w:rsid w:val="008920F8"/>
    <w:rsid w:val="00892918"/>
    <w:rsid w:val="0089365D"/>
    <w:rsid w:val="00893753"/>
    <w:rsid w:val="0089378A"/>
    <w:rsid w:val="00893E27"/>
    <w:rsid w:val="00893F02"/>
    <w:rsid w:val="00894997"/>
    <w:rsid w:val="00894F18"/>
    <w:rsid w:val="00895031"/>
    <w:rsid w:val="00895172"/>
    <w:rsid w:val="008954CD"/>
    <w:rsid w:val="008955C5"/>
    <w:rsid w:val="00895764"/>
    <w:rsid w:val="008959EE"/>
    <w:rsid w:val="008960DF"/>
    <w:rsid w:val="008965D4"/>
    <w:rsid w:val="00896D43"/>
    <w:rsid w:val="0089779D"/>
    <w:rsid w:val="00897FD9"/>
    <w:rsid w:val="008A01CC"/>
    <w:rsid w:val="008A0391"/>
    <w:rsid w:val="008A06A6"/>
    <w:rsid w:val="008A0767"/>
    <w:rsid w:val="008A1268"/>
    <w:rsid w:val="008A141A"/>
    <w:rsid w:val="008A1523"/>
    <w:rsid w:val="008A17E3"/>
    <w:rsid w:val="008A1D43"/>
    <w:rsid w:val="008A271A"/>
    <w:rsid w:val="008A2E02"/>
    <w:rsid w:val="008A2F98"/>
    <w:rsid w:val="008A310F"/>
    <w:rsid w:val="008A3A8C"/>
    <w:rsid w:val="008A3DE2"/>
    <w:rsid w:val="008A454F"/>
    <w:rsid w:val="008A47AE"/>
    <w:rsid w:val="008A5305"/>
    <w:rsid w:val="008A5638"/>
    <w:rsid w:val="008A56DC"/>
    <w:rsid w:val="008A5C00"/>
    <w:rsid w:val="008A5DC5"/>
    <w:rsid w:val="008A6195"/>
    <w:rsid w:val="008A6234"/>
    <w:rsid w:val="008A62D6"/>
    <w:rsid w:val="008A639E"/>
    <w:rsid w:val="008A6F1A"/>
    <w:rsid w:val="008A7005"/>
    <w:rsid w:val="008A71DA"/>
    <w:rsid w:val="008A7523"/>
    <w:rsid w:val="008A780F"/>
    <w:rsid w:val="008A7D11"/>
    <w:rsid w:val="008A7F7A"/>
    <w:rsid w:val="008B036E"/>
    <w:rsid w:val="008B05C9"/>
    <w:rsid w:val="008B0928"/>
    <w:rsid w:val="008B0D64"/>
    <w:rsid w:val="008B0FC9"/>
    <w:rsid w:val="008B14F1"/>
    <w:rsid w:val="008B15FD"/>
    <w:rsid w:val="008B1B15"/>
    <w:rsid w:val="008B1DBC"/>
    <w:rsid w:val="008B1DD2"/>
    <w:rsid w:val="008B1DFD"/>
    <w:rsid w:val="008B1F15"/>
    <w:rsid w:val="008B26CF"/>
    <w:rsid w:val="008B3109"/>
    <w:rsid w:val="008B31CF"/>
    <w:rsid w:val="008B3EE4"/>
    <w:rsid w:val="008B4223"/>
    <w:rsid w:val="008B45EF"/>
    <w:rsid w:val="008B47CD"/>
    <w:rsid w:val="008B48F4"/>
    <w:rsid w:val="008B4CDF"/>
    <w:rsid w:val="008B4E0B"/>
    <w:rsid w:val="008B52DF"/>
    <w:rsid w:val="008B5B2B"/>
    <w:rsid w:val="008B6024"/>
    <w:rsid w:val="008B63DF"/>
    <w:rsid w:val="008B66CC"/>
    <w:rsid w:val="008B7852"/>
    <w:rsid w:val="008B7894"/>
    <w:rsid w:val="008B7ADC"/>
    <w:rsid w:val="008B7BB3"/>
    <w:rsid w:val="008B7C3E"/>
    <w:rsid w:val="008C00E4"/>
    <w:rsid w:val="008C00EA"/>
    <w:rsid w:val="008C01CF"/>
    <w:rsid w:val="008C0636"/>
    <w:rsid w:val="008C06AC"/>
    <w:rsid w:val="008C0CAC"/>
    <w:rsid w:val="008C0ED6"/>
    <w:rsid w:val="008C166E"/>
    <w:rsid w:val="008C21F1"/>
    <w:rsid w:val="008C2237"/>
    <w:rsid w:val="008C2902"/>
    <w:rsid w:val="008C3846"/>
    <w:rsid w:val="008C3E32"/>
    <w:rsid w:val="008C3F1D"/>
    <w:rsid w:val="008C45D3"/>
    <w:rsid w:val="008C47AC"/>
    <w:rsid w:val="008C4A1D"/>
    <w:rsid w:val="008C4C65"/>
    <w:rsid w:val="008C4EC1"/>
    <w:rsid w:val="008C4ED5"/>
    <w:rsid w:val="008C50CF"/>
    <w:rsid w:val="008C52B9"/>
    <w:rsid w:val="008C57E8"/>
    <w:rsid w:val="008C5FFE"/>
    <w:rsid w:val="008C62F3"/>
    <w:rsid w:val="008C650B"/>
    <w:rsid w:val="008C6850"/>
    <w:rsid w:val="008C6C5C"/>
    <w:rsid w:val="008C6D48"/>
    <w:rsid w:val="008C722E"/>
    <w:rsid w:val="008C784E"/>
    <w:rsid w:val="008C7CD1"/>
    <w:rsid w:val="008D041B"/>
    <w:rsid w:val="008D0A15"/>
    <w:rsid w:val="008D0D4B"/>
    <w:rsid w:val="008D108C"/>
    <w:rsid w:val="008D150A"/>
    <w:rsid w:val="008D155E"/>
    <w:rsid w:val="008D1DF5"/>
    <w:rsid w:val="008D1E11"/>
    <w:rsid w:val="008D1FC8"/>
    <w:rsid w:val="008D2179"/>
    <w:rsid w:val="008D2396"/>
    <w:rsid w:val="008D2516"/>
    <w:rsid w:val="008D2B67"/>
    <w:rsid w:val="008D2C20"/>
    <w:rsid w:val="008D2D62"/>
    <w:rsid w:val="008D2FE2"/>
    <w:rsid w:val="008D2FFD"/>
    <w:rsid w:val="008D3D87"/>
    <w:rsid w:val="008D3E2F"/>
    <w:rsid w:val="008D3EAD"/>
    <w:rsid w:val="008D4592"/>
    <w:rsid w:val="008D459C"/>
    <w:rsid w:val="008D4B9C"/>
    <w:rsid w:val="008D508A"/>
    <w:rsid w:val="008D53CC"/>
    <w:rsid w:val="008D559D"/>
    <w:rsid w:val="008D5625"/>
    <w:rsid w:val="008D56F5"/>
    <w:rsid w:val="008D597D"/>
    <w:rsid w:val="008D5AF0"/>
    <w:rsid w:val="008D5F72"/>
    <w:rsid w:val="008D6560"/>
    <w:rsid w:val="008D66D2"/>
    <w:rsid w:val="008D6963"/>
    <w:rsid w:val="008D6F08"/>
    <w:rsid w:val="008D7769"/>
    <w:rsid w:val="008D77AA"/>
    <w:rsid w:val="008D7A15"/>
    <w:rsid w:val="008D7CBD"/>
    <w:rsid w:val="008D7E1B"/>
    <w:rsid w:val="008D7EDC"/>
    <w:rsid w:val="008E004C"/>
    <w:rsid w:val="008E00B3"/>
    <w:rsid w:val="008E00D8"/>
    <w:rsid w:val="008E00E2"/>
    <w:rsid w:val="008E0A6D"/>
    <w:rsid w:val="008E10F7"/>
    <w:rsid w:val="008E1785"/>
    <w:rsid w:val="008E19D6"/>
    <w:rsid w:val="008E1B6C"/>
    <w:rsid w:val="008E1E2D"/>
    <w:rsid w:val="008E257A"/>
    <w:rsid w:val="008E2C4E"/>
    <w:rsid w:val="008E2CCF"/>
    <w:rsid w:val="008E33DF"/>
    <w:rsid w:val="008E38B1"/>
    <w:rsid w:val="008E3A81"/>
    <w:rsid w:val="008E3ACC"/>
    <w:rsid w:val="008E3D8F"/>
    <w:rsid w:val="008E409F"/>
    <w:rsid w:val="008E4322"/>
    <w:rsid w:val="008E4A81"/>
    <w:rsid w:val="008E4B75"/>
    <w:rsid w:val="008E4F4D"/>
    <w:rsid w:val="008E4F78"/>
    <w:rsid w:val="008E5361"/>
    <w:rsid w:val="008E5707"/>
    <w:rsid w:val="008E59ED"/>
    <w:rsid w:val="008E5B03"/>
    <w:rsid w:val="008E5D3E"/>
    <w:rsid w:val="008E5E70"/>
    <w:rsid w:val="008E6CB7"/>
    <w:rsid w:val="008E6FA4"/>
    <w:rsid w:val="008E7025"/>
    <w:rsid w:val="008E72F4"/>
    <w:rsid w:val="008E747B"/>
    <w:rsid w:val="008E7BCF"/>
    <w:rsid w:val="008F00FF"/>
    <w:rsid w:val="008F0568"/>
    <w:rsid w:val="008F0656"/>
    <w:rsid w:val="008F0AEB"/>
    <w:rsid w:val="008F0E88"/>
    <w:rsid w:val="008F11E1"/>
    <w:rsid w:val="008F16A0"/>
    <w:rsid w:val="008F1A26"/>
    <w:rsid w:val="008F1B3C"/>
    <w:rsid w:val="008F1BCC"/>
    <w:rsid w:val="008F1ED1"/>
    <w:rsid w:val="008F1EFB"/>
    <w:rsid w:val="008F2A74"/>
    <w:rsid w:val="008F2AA8"/>
    <w:rsid w:val="008F3187"/>
    <w:rsid w:val="008F420E"/>
    <w:rsid w:val="008F4689"/>
    <w:rsid w:val="008F47A6"/>
    <w:rsid w:val="008F4A21"/>
    <w:rsid w:val="008F4B15"/>
    <w:rsid w:val="008F4B44"/>
    <w:rsid w:val="008F4C7E"/>
    <w:rsid w:val="008F4E72"/>
    <w:rsid w:val="008F51B0"/>
    <w:rsid w:val="008F528A"/>
    <w:rsid w:val="008F5306"/>
    <w:rsid w:val="008F5332"/>
    <w:rsid w:val="008F5369"/>
    <w:rsid w:val="008F53A2"/>
    <w:rsid w:val="008F58D3"/>
    <w:rsid w:val="008F59EA"/>
    <w:rsid w:val="008F6095"/>
    <w:rsid w:val="008F6243"/>
    <w:rsid w:val="008F671C"/>
    <w:rsid w:val="008F6727"/>
    <w:rsid w:val="008F6729"/>
    <w:rsid w:val="008F6ADE"/>
    <w:rsid w:val="008F6E39"/>
    <w:rsid w:val="008F7224"/>
    <w:rsid w:val="008F72B1"/>
    <w:rsid w:val="008F7367"/>
    <w:rsid w:val="008F7637"/>
    <w:rsid w:val="008F77B8"/>
    <w:rsid w:val="008F7AC6"/>
    <w:rsid w:val="008F7B3E"/>
    <w:rsid w:val="008F7C8F"/>
    <w:rsid w:val="008F7E27"/>
    <w:rsid w:val="009005E6"/>
    <w:rsid w:val="00900743"/>
    <w:rsid w:val="00900A9B"/>
    <w:rsid w:val="00900B0B"/>
    <w:rsid w:val="00900C20"/>
    <w:rsid w:val="00900D01"/>
    <w:rsid w:val="00900ED4"/>
    <w:rsid w:val="00901896"/>
    <w:rsid w:val="00901C74"/>
    <w:rsid w:val="009020C9"/>
    <w:rsid w:val="00902100"/>
    <w:rsid w:val="009021A1"/>
    <w:rsid w:val="009022EA"/>
    <w:rsid w:val="00902AD1"/>
    <w:rsid w:val="00902CC8"/>
    <w:rsid w:val="00902EF1"/>
    <w:rsid w:val="0090336C"/>
    <w:rsid w:val="009033DD"/>
    <w:rsid w:val="0090340B"/>
    <w:rsid w:val="00903487"/>
    <w:rsid w:val="0090364E"/>
    <w:rsid w:val="00903C48"/>
    <w:rsid w:val="00903DC0"/>
    <w:rsid w:val="00904437"/>
    <w:rsid w:val="00904505"/>
    <w:rsid w:val="009048F0"/>
    <w:rsid w:val="00904B1A"/>
    <w:rsid w:val="00904C11"/>
    <w:rsid w:val="0090547C"/>
    <w:rsid w:val="00905942"/>
    <w:rsid w:val="009059A7"/>
    <w:rsid w:val="00906142"/>
    <w:rsid w:val="0090674A"/>
    <w:rsid w:val="00906A8C"/>
    <w:rsid w:val="00906B09"/>
    <w:rsid w:val="00906B5F"/>
    <w:rsid w:val="00906DAA"/>
    <w:rsid w:val="0090720A"/>
    <w:rsid w:val="00907583"/>
    <w:rsid w:val="0090776A"/>
    <w:rsid w:val="009079FF"/>
    <w:rsid w:val="00907BAD"/>
    <w:rsid w:val="00910183"/>
    <w:rsid w:val="0091046E"/>
    <w:rsid w:val="0091048B"/>
    <w:rsid w:val="00910795"/>
    <w:rsid w:val="009111E8"/>
    <w:rsid w:val="00911394"/>
    <w:rsid w:val="009116FE"/>
    <w:rsid w:val="0091189A"/>
    <w:rsid w:val="009121EB"/>
    <w:rsid w:val="0091253C"/>
    <w:rsid w:val="009125A6"/>
    <w:rsid w:val="0091273F"/>
    <w:rsid w:val="00912A3C"/>
    <w:rsid w:val="00912AE7"/>
    <w:rsid w:val="00912D2F"/>
    <w:rsid w:val="00912D6F"/>
    <w:rsid w:val="00913162"/>
    <w:rsid w:val="0091319A"/>
    <w:rsid w:val="0091331C"/>
    <w:rsid w:val="0091390D"/>
    <w:rsid w:val="0091458F"/>
    <w:rsid w:val="009147E1"/>
    <w:rsid w:val="00914F34"/>
    <w:rsid w:val="00915684"/>
    <w:rsid w:val="00915D91"/>
    <w:rsid w:val="00915DAF"/>
    <w:rsid w:val="00916153"/>
    <w:rsid w:val="00916162"/>
    <w:rsid w:val="00916364"/>
    <w:rsid w:val="00916791"/>
    <w:rsid w:val="0091695E"/>
    <w:rsid w:val="00916D34"/>
    <w:rsid w:val="00916E0F"/>
    <w:rsid w:val="009171D2"/>
    <w:rsid w:val="00917231"/>
    <w:rsid w:val="00917A82"/>
    <w:rsid w:val="00917B9B"/>
    <w:rsid w:val="00917CD8"/>
    <w:rsid w:val="009205B4"/>
    <w:rsid w:val="009206A4"/>
    <w:rsid w:val="00920914"/>
    <w:rsid w:val="009209F5"/>
    <w:rsid w:val="00920B33"/>
    <w:rsid w:val="00920C46"/>
    <w:rsid w:val="00920CE4"/>
    <w:rsid w:val="00920D1D"/>
    <w:rsid w:val="00920D38"/>
    <w:rsid w:val="00920ED9"/>
    <w:rsid w:val="00921318"/>
    <w:rsid w:val="0092140A"/>
    <w:rsid w:val="00921677"/>
    <w:rsid w:val="0092167C"/>
    <w:rsid w:val="0092224D"/>
    <w:rsid w:val="009222C3"/>
    <w:rsid w:val="00922534"/>
    <w:rsid w:val="009226AD"/>
    <w:rsid w:val="00922757"/>
    <w:rsid w:val="00923187"/>
    <w:rsid w:val="00923475"/>
    <w:rsid w:val="00923A39"/>
    <w:rsid w:val="00923C80"/>
    <w:rsid w:val="00923D45"/>
    <w:rsid w:val="0092427F"/>
    <w:rsid w:val="009244BB"/>
    <w:rsid w:val="009246C1"/>
    <w:rsid w:val="009249E8"/>
    <w:rsid w:val="00924BB7"/>
    <w:rsid w:val="00924BC2"/>
    <w:rsid w:val="0092500E"/>
    <w:rsid w:val="00925226"/>
    <w:rsid w:val="00925374"/>
    <w:rsid w:val="00925E90"/>
    <w:rsid w:val="00925F97"/>
    <w:rsid w:val="00926746"/>
    <w:rsid w:val="00926DC3"/>
    <w:rsid w:val="00926E06"/>
    <w:rsid w:val="009271C5"/>
    <w:rsid w:val="00927373"/>
    <w:rsid w:val="00927482"/>
    <w:rsid w:val="009275E5"/>
    <w:rsid w:val="0092784A"/>
    <w:rsid w:val="00927FF4"/>
    <w:rsid w:val="00930103"/>
    <w:rsid w:val="00930364"/>
    <w:rsid w:val="009306BD"/>
    <w:rsid w:val="00930E17"/>
    <w:rsid w:val="00930FB8"/>
    <w:rsid w:val="009311BF"/>
    <w:rsid w:val="009318DC"/>
    <w:rsid w:val="00932361"/>
    <w:rsid w:val="009328D8"/>
    <w:rsid w:val="00932AF6"/>
    <w:rsid w:val="00932C39"/>
    <w:rsid w:val="00932C90"/>
    <w:rsid w:val="00933000"/>
    <w:rsid w:val="00933576"/>
    <w:rsid w:val="0093398D"/>
    <w:rsid w:val="00933E65"/>
    <w:rsid w:val="009341A0"/>
    <w:rsid w:val="00934896"/>
    <w:rsid w:val="00934E47"/>
    <w:rsid w:val="00934EDD"/>
    <w:rsid w:val="00935418"/>
    <w:rsid w:val="00935AD2"/>
    <w:rsid w:val="0093604B"/>
    <w:rsid w:val="00936A26"/>
    <w:rsid w:val="00936C0A"/>
    <w:rsid w:val="0093721A"/>
    <w:rsid w:val="009374D2"/>
    <w:rsid w:val="00937A78"/>
    <w:rsid w:val="00937D5C"/>
    <w:rsid w:val="00937DA3"/>
    <w:rsid w:val="00937E23"/>
    <w:rsid w:val="00940732"/>
    <w:rsid w:val="0094079D"/>
    <w:rsid w:val="009407EB"/>
    <w:rsid w:val="00940C0A"/>
    <w:rsid w:val="00941257"/>
    <w:rsid w:val="00941262"/>
    <w:rsid w:val="00941437"/>
    <w:rsid w:val="00941B4D"/>
    <w:rsid w:val="00942010"/>
    <w:rsid w:val="009420D4"/>
    <w:rsid w:val="0094216C"/>
    <w:rsid w:val="00942220"/>
    <w:rsid w:val="00942DF9"/>
    <w:rsid w:val="00943391"/>
    <w:rsid w:val="0094355D"/>
    <w:rsid w:val="00943D4D"/>
    <w:rsid w:val="00943DBA"/>
    <w:rsid w:val="009447ED"/>
    <w:rsid w:val="00944814"/>
    <w:rsid w:val="00944F3A"/>
    <w:rsid w:val="009459C8"/>
    <w:rsid w:val="0094663A"/>
    <w:rsid w:val="00946C0B"/>
    <w:rsid w:val="00946D26"/>
    <w:rsid w:val="00946F14"/>
    <w:rsid w:val="009471C0"/>
    <w:rsid w:val="009475FF"/>
    <w:rsid w:val="00947A0B"/>
    <w:rsid w:val="00947A23"/>
    <w:rsid w:val="00947A5E"/>
    <w:rsid w:val="00947CB2"/>
    <w:rsid w:val="00950194"/>
    <w:rsid w:val="00950227"/>
    <w:rsid w:val="00950D8C"/>
    <w:rsid w:val="00950E74"/>
    <w:rsid w:val="00951A89"/>
    <w:rsid w:val="00951C4D"/>
    <w:rsid w:val="00951FB7"/>
    <w:rsid w:val="00952361"/>
    <w:rsid w:val="00952585"/>
    <w:rsid w:val="00952793"/>
    <w:rsid w:val="009532C4"/>
    <w:rsid w:val="009532E9"/>
    <w:rsid w:val="00953E12"/>
    <w:rsid w:val="009544E9"/>
    <w:rsid w:val="00954845"/>
    <w:rsid w:val="00954A39"/>
    <w:rsid w:val="00954BC7"/>
    <w:rsid w:val="00954EFF"/>
    <w:rsid w:val="00954F9A"/>
    <w:rsid w:val="0095525D"/>
    <w:rsid w:val="009552B0"/>
    <w:rsid w:val="00955478"/>
    <w:rsid w:val="00955606"/>
    <w:rsid w:val="00955623"/>
    <w:rsid w:val="00955762"/>
    <w:rsid w:val="009558F9"/>
    <w:rsid w:val="0095598C"/>
    <w:rsid w:val="00955CFD"/>
    <w:rsid w:val="009567D0"/>
    <w:rsid w:val="00956930"/>
    <w:rsid w:val="00956A68"/>
    <w:rsid w:val="00956A82"/>
    <w:rsid w:val="00956B6E"/>
    <w:rsid w:val="00956E4A"/>
    <w:rsid w:val="0095722C"/>
    <w:rsid w:val="0095759D"/>
    <w:rsid w:val="00957706"/>
    <w:rsid w:val="00957F6E"/>
    <w:rsid w:val="009609DC"/>
    <w:rsid w:val="00961097"/>
    <w:rsid w:val="009615AA"/>
    <w:rsid w:val="00962001"/>
    <w:rsid w:val="00962007"/>
    <w:rsid w:val="00962250"/>
    <w:rsid w:val="00962696"/>
    <w:rsid w:val="00962D46"/>
    <w:rsid w:val="00962D4A"/>
    <w:rsid w:val="00962E57"/>
    <w:rsid w:val="00962EDB"/>
    <w:rsid w:val="00963148"/>
    <w:rsid w:val="00963C9A"/>
    <w:rsid w:val="00963E43"/>
    <w:rsid w:val="0096440B"/>
    <w:rsid w:val="00964572"/>
    <w:rsid w:val="00964714"/>
    <w:rsid w:val="00964917"/>
    <w:rsid w:val="00964EBC"/>
    <w:rsid w:val="009653F6"/>
    <w:rsid w:val="00965C51"/>
    <w:rsid w:val="00965E39"/>
    <w:rsid w:val="009661E8"/>
    <w:rsid w:val="009663CF"/>
    <w:rsid w:val="0096679E"/>
    <w:rsid w:val="0096731C"/>
    <w:rsid w:val="00967ABA"/>
    <w:rsid w:val="00967C13"/>
    <w:rsid w:val="009700EE"/>
    <w:rsid w:val="009705C4"/>
    <w:rsid w:val="00970CD8"/>
    <w:rsid w:val="00971058"/>
    <w:rsid w:val="00971296"/>
    <w:rsid w:val="009718AE"/>
    <w:rsid w:val="00971DB6"/>
    <w:rsid w:val="0097224A"/>
    <w:rsid w:val="0097298F"/>
    <w:rsid w:val="00972990"/>
    <w:rsid w:val="00972F9D"/>
    <w:rsid w:val="009733C5"/>
    <w:rsid w:val="00973915"/>
    <w:rsid w:val="00973DAD"/>
    <w:rsid w:val="00974CD7"/>
    <w:rsid w:val="00975092"/>
    <w:rsid w:val="00975095"/>
    <w:rsid w:val="00975ABF"/>
    <w:rsid w:val="00975D1D"/>
    <w:rsid w:val="00976053"/>
    <w:rsid w:val="009762DB"/>
    <w:rsid w:val="00976347"/>
    <w:rsid w:val="00976393"/>
    <w:rsid w:val="00976751"/>
    <w:rsid w:val="00976978"/>
    <w:rsid w:val="00976D41"/>
    <w:rsid w:val="00976E2C"/>
    <w:rsid w:val="00977370"/>
    <w:rsid w:val="00977566"/>
    <w:rsid w:val="00977DE9"/>
    <w:rsid w:val="00980112"/>
    <w:rsid w:val="009808AE"/>
    <w:rsid w:val="00980983"/>
    <w:rsid w:val="00980ED2"/>
    <w:rsid w:val="009810E1"/>
    <w:rsid w:val="00981D6A"/>
    <w:rsid w:val="0098200C"/>
    <w:rsid w:val="009826FD"/>
    <w:rsid w:val="009828C9"/>
    <w:rsid w:val="009828EF"/>
    <w:rsid w:val="00982C80"/>
    <w:rsid w:val="00982F43"/>
    <w:rsid w:val="00982FD3"/>
    <w:rsid w:val="0098317C"/>
    <w:rsid w:val="00983253"/>
    <w:rsid w:val="009833C7"/>
    <w:rsid w:val="009833E2"/>
    <w:rsid w:val="009839CA"/>
    <w:rsid w:val="00983EAE"/>
    <w:rsid w:val="00984035"/>
    <w:rsid w:val="009840CE"/>
    <w:rsid w:val="0098442F"/>
    <w:rsid w:val="0098469E"/>
    <w:rsid w:val="00984933"/>
    <w:rsid w:val="00984DA0"/>
    <w:rsid w:val="009856B4"/>
    <w:rsid w:val="009861C3"/>
    <w:rsid w:val="009865E3"/>
    <w:rsid w:val="009868CD"/>
    <w:rsid w:val="00986A90"/>
    <w:rsid w:val="00986BC5"/>
    <w:rsid w:val="00986D47"/>
    <w:rsid w:val="00986FD2"/>
    <w:rsid w:val="009875B8"/>
    <w:rsid w:val="00987716"/>
    <w:rsid w:val="00987D6B"/>
    <w:rsid w:val="00987E85"/>
    <w:rsid w:val="00987FA2"/>
    <w:rsid w:val="00990127"/>
    <w:rsid w:val="00990991"/>
    <w:rsid w:val="0099100B"/>
    <w:rsid w:val="009911A8"/>
    <w:rsid w:val="00991379"/>
    <w:rsid w:val="00991435"/>
    <w:rsid w:val="00991554"/>
    <w:rsid w:val="009916CE"/>
    <w:rsid w:val="00991947"/>
    <w:rsid w:val="00991BD3"/>
    <w:rsid w:val="00991EAF"/>
    <w:rsid w:val="00991F25"/>
    <w:rsid w:val="009926C0"/>
    <w:rsid w:val="00992B8C"/>
    <w:rsid w:val="00992C33"/>
    <w:rsid w:val="00993024"/>
    <w:rsid w:val="009931A8"/>
    <w:rsid w:val="0099333E"/>
    <w:rsid w:val="00993A10"/>
    <w:rsid w:val="00993C6A"/>
    <w:rsid w:val="00993DF7"/>
    <w:rsid w:val="009941E5"/>
    <w:rsid w:val="00994584"/>
    <w:rsid w:val="00994B35"/>
    <w:rsid w:val="00994E9F"/>
    <w:rsid w:val="009954D4"/>
    <w:rsid w:val="00995C41"/>
    <w:rsid w:val="009971D4"/>
    <w:rsid w:val="00997213"/>
    <w:rsid w:val="0099727D"/>
    <w:rsid w:val="00997434"/>
    <w:rsid w:val="00997511"/>
    <w:rsid w:val="00997872"/>
    <w:rsid w:val="009978B1"/>
    <w:rsid w:val="00997B1B"/>
    <w:rsid w:val="00997D55"/>
    <w:rsid w:val="009A038A"/>
    <w:rsid w:val="009A0C18"/>
    <w:rsid w:val="009A0F9F"/>
    <w:rsid w:val="009A1C0C"/>
    <w:rsid w:val="009A1D48"/>
    <w:rsid w:val="009A1F68"/>
    <w:rsid w:val="009A2232"/>
    <w:rsid w:val="009A2505"/>
    <w:rsid w:val="009A2797"/>
    <w:rsid w:val="009A2AF0"/>
    <w:rsid w:val="009A34A2"/>
    <w:rsid w:val="009A36AD"/>
    <w:rsid w:val="009A3E54"/>
    <w:rsid w:val="009A4204"/>
    <w:rsid w:val="009A4374"/>
    <w:rsid w:val="009A4C2B"/>
    <w:rsid w:val="009A4D33"/>
    <w:rsid w:val="009A4F06"/>
    <w:rsid w:val="009A5A06"/>
    <w:rsid w:val="009A5B1E"/>
    <w:rsid w:val="009A6158"/>
    <w:rsid w:val="009A675C"/>
    <w:rsid w:val="009A68A7"/>
    <w:rsid w:val="009A68ED"/>
    <w:rsid w:val="009A69D7"/>
    <w:rsid w:val="009A6EF5"/>
    <w:rsid w:val="009A6FAC"/>
    <w:rsid w:val="009A6FEF"/>
    <w:rsid w:val="009A782C"/>
    <w:rsid w:val="009A7DA6"/>
    <w:rsid w:val="009B0217"/>
    <w:rsid w:val="009B0349"/>
    <w:rsid w:val="009B0DB0"/>
    <w:rsid w:val="009B0FC8"/>
    <w:rsid w:val="009B108A"/>
    <w:rsid w:val="009B13AB"/>
    <w:rsid w:val="009B17D8"/>
    <w:rsid w:val="009B1861"/>
    <w:rsid w:val="009B1A67"/>
    <w:rsid w:val="009B1DE8"/>
    <w:rsid w:val="009B2565"/>
    <w:rsid w:val="009B2896"/>
    <w:rsid w:val="009B31F8"/>
    <w:rsid w:val="009B363E"/>
    <w:rsid w:val="009B379C"/>
    <w:rsid w:val="009B38F1"/>
    <w:rsid w:val="009B3D53"/>
    <w:rsid w:val="009B3F58"/>
    <w:rsid w:val="009B3F70"/>
    <w:rsid w:val="009B53A3"/>
    <w:rsid w:val="009B5537"/>
    <w:rsid w:val="009B5552"/>
    <w:rsid w:val="009B59C8"/>
    <w:rsid w:val="009B5E62"/>
    <w:rsid w:val="009B6539"/>
    <w:rsid w:val="009B7310"/>
    <w:rsid w:val="009B7A73"/>
    <w:rsid w:val="009B7C55"/>
    <w:rsid w:val="009C0273"/>
    <w:rsid w:val="009C0B24"/>
    <w:rsid w:val="009C0FDF"/>
    <w:rsid w:val="009C107C"/>
    <w:rsid w:val="009C14AD"/>
    <w:rsid w:val="009C1975"/>
    <w:rsid w:val="009C19B1"/>
    <w:rsid w:val="009C1ACD"/>
    <w:rsid w:val="009C1BE2"/>
    <w:rsid w:val="009C1DA0"/>
    <w:rsid w:val="009C2105"/>
    <w:rsid w:val="009C23C9"/>
    <w:rsid w:val="009C2BB0"/>
    <w:rsid w:val="009C2D5F"/>
    <w:rsid w:val="009C38DB"/>
    <w:rsid w:val="009C3940"/>
    <w:rsid w:val="009C3C45"/>
    <w:rsid w:val="009C3DD7"/>
    <w:rsid w:val="009C4152"/>
    <w:rsid w:val="009C43BC"/>
    <w:rsid w:val="009C4447"/>
    <w:rsid w:val="009C4584"/>
    <w:rsid w:val="009C47A5"/>
    <w:rsid w:val="009C47F6"/>
    <w:rsid w:val="009C4ABC"/>
    <w:rsid w:val="009C65B5"/>
    <w:rsid w:val="009C68B7"/>
    <w:rsid w:val="009C7433"/>
    <w:rsid w:val="009C763D"/>
    <w:rsid w:val="009C79D5"/>
    <w:rsid w:val="009D009C"/>
    <w:rsid w:val="009D00E8"/>
    <w:rsid w:val="009D0730"/>
    <w:rsid w:val="009D0A5A"/>
    <w:rsid w:val="009D0FDB"/>
    <w:rsid w:val="009D18B8"/>
    <w:rsid w:val="009D1D74"/>
    <w:rsid w:val="009D2294"/>
    <w:rsid w:val="009D23CE"/>
    <w:rsid w:val="009D2B58"/>
    <w:rsid w:val="009D2EDB"/>
    <w:rsid w:val="009D2F20"/>
    <w:rsid w:val="009D325D"/>
    <w:rsid w:val="009D3854"/>
    <w:rsid w:val="009D38B5"/>
    <w:rsid w:val="009D38E8"/>
    <w:rsid w:val="009D39C0"/>
    <w:rsid w:val="009D3CF2"/>
    <w:rsid w:val="009D3FDA"/>
    <w:rsid w:val="009D406C"/>
    <w:rsid w:val="009D42C5"/>
    <w:rsid w:val="009D48FD"/>
    <w:rsid w:val="009D51ED"/>
    <w:rsid w:val="009D5227"/>
    <w:rsid w:val="009D526C"/>
    <w:rsid w:val="009D53CA"/>
    <w:rsid w:val="009D53D3"/>
    <w:rsid w:val="009D6121"/>
    <w:rsid w:val="009D638A"/>
    <w:rsid w:val="009D6A4F"/>
    <w:rsid w:val="009D70D1"/>
    <w:rsid w:val="009D7222"/>
    <w:rsid w:val="009D74C6"/>
    <w:rsid w:val="009D7E0D"/>
    <w:rsid w:val="009E0068"/>
    <w:rsid w:val="009E00AC"/>
    <w:rsid w:val="009E015C"/>
    <w:rsid w:val="009E027E"/>
    <w:rsid w:val="009E0430"/>
    <w:rsid w:val="009E0668"/>
    <w:rsid w:val="009E0737"/>
    <w:rsid w:val="009E086B"/>
    <w:rsid w:val="009E0BB3"/>
    <w:rsid w:val="009E1805"/>
    <w:rsid w:val="009E19AC"/>
    <w:rsid w:val="009E1A07"/>
    <w:rsid w:val="009E1BA5"/>
    <w:rsid w:val="009E21CB"/>
    <w:rsid w:val="009E2480"/>
    <w:rsid w:val="009E24E5"/>
    <w:rsid w:val="009E25D3"/>
    <w:rsid w:val="009E30C5"/>
    <w:rsid w:val="009E3127"/>
    <w:rsid w:val="009E324A"/>
    <w:rsid w:val="009E3430"/>
    <w:rsid w:val="009E3B7A"/>
    <w:rsid w:val="009E3CC4"/>
    <w:rsid w:val="009E45E5"/>
    <w:rsid w:val="009E48F2"/>
    <w:rsid w:val="009E4A22"/>
    <w:rsid w:val="009E4A9B"/>
    <w:rsid w:val="009E5168"/>
    <w:rsid w:val="009E52E3"/>
    <w:rsid w:val="009E5484"/>
    <w:rsid w:val="009E5614"/>
    <w:rsid w:val="009E59B3"/>
    <w:rsid w:val="009E5D65"/>
    <w:rsid w:val="009E5D8A"/>
    <w:rsid w:val="009E5FBC"/>
    <w:rsid w:val="009E615A"/>
    <w:rsid w:val="009E6346"/>
    <w:rsid w:val="009E65DE"/>
    <w:rsid w:val="009E689D"/>
    <w:rsid w:val="009E6C75"/>
    <w:rsid w:val="009E6D0B"/>
    <w:rsid w:val="009E6D3D"/>
    <w:rsid w:val="009E6EED"/>
    <w:rsid w:val="009E70F6"/>
    <w:rsid w:val="009E7CAE"/>
    <w:rsid w:val="009F0572"/>
    <w:rsid w:val="009F059A"/>
    <w:rsid w:val="009F0850"/>
    <w:rsid w:val="009F087F"/>
    <w:rsid w:val="009F08BF"/>
    <w:rsid w:val="009F0984"/>
    <w:rsid w:val="009F0C8E"/>
    <w:rsid w:val="009F166F"/>
    <w:rsid w:val="009F1D3D"/>
    <w:rsid w:val="009F2137"/>
    <w:rsid w:val="009F2B37"/>
    <w:rsid w:val="009F2D60"/>
    <w:rsid w:val="009F3458"/>
    <w:rsid w:val="009F3AF0"/>
    <w:rsid w:val="009F3E63"/>
    <w:rsid w:val="009F3FC7"/>
    <w:rsid w:val="009F4134"/>
    <w:rsid w:val="009F4334"/>
    <w:rsid w:val="009F4BE5"/>
    <w:rsid w:val="009F4F70"/>
    <w:rsid w:val="009F54BD"/>
    <w:rsid w:val="009F5D39"/>
    <w:rsid w:val="009F5E1E"/>
    <w:rsid w:val="009F5F41"/>
    <w:rsid w:val="009F60A0"/>
    <w:rsid w:val="009F66AB"/>
    <w:rsid w:val="009F66D1"/>
    <w:rsid w:val="009F7081"/>
    <w:rsid w:val="009F70BE"/>
    <w:rsid w:val="009F7197"/>
    <w:rsid w:val="009F75B0"/>
    <w:rsid w:val="009F7F39"/>
    <w:rsid w:val="00A0021C"/>
    <w:rsid w:val="00A006DB"/>
    <w:rsid w:val="00A00EB7"/>
    <w:rsid w:val="00A01965"/>
    <w:rsid w:val="00A0227B"/>
    <w:rsid w:val="00A0260F"/>
    <w:rsid w:val="00A0266D"/>
    <w:rsid w:val="00A02D6E"/>
    <w:rsid w:val="00A0309C"/>
    <w:rsid w:val="00A0316D"/>
    <w:rsid w:val="00A03259"/>
    <w:rsid w:val="00A0340C"/>
    <w:rsid w:val="00A0373F"/>
    <w:rsid w:val="00A03746"/>
    <w:rsid w:val="00A03828"/>
    <w:rsid w:val="00A0384B"/>
    <w:rsid w:val="00A03853"/>
    <w:rsid w:val="00A0459C"/>
    <w:rsid w:val="00A04681"/>
    <w:rsid w:val="00A04936"/>
    <w:rsid w:val="00A04FDC"/>
    <w:rsid w:val="00A053F1"/>
    <w:rsid w:val="00A05526"/>
    <w:rsid w:val="00A05654"/>
    <w:rsid w:val="00A057D2"/>
    <w:rsid w:val="00A05965"/>
    <w:rsid w:val="00A05B87"/>
    <w:rsid w:val="00A05C27"/>
    <w:rsid w:val="00A05C52"/>
    <w:rsid w:val="00A05E4F"/>
    <w:rsid w:val="00A0703D"/>
    <w:rsid w:val="00A0743E"/>
    <w:rsid w:val="00A07616"/>
    <w:rsid w:val="00A076BC"/>
    <w:rsid w:val="00A078A4"/>
    <w:rsid w:val="00A07ADB"/>
    <w:rsid w:val="00A07EAB"/>
    <w:rsid w:val="00A103E4"/>
    <w:rsid w:val="00A103F3"/>
    <w:rsid w:val="00A10791"/>
    <w:rsid w:val="00A10B7D"/>
    <w:rsid w:val="00A12003"/>
    <w:rsid w:val="00A12877"/>
    <w:rsid w:val="00A13157"/>
    <w:rsid w:val="00A13B91"/>
    <w:rsid w:val="00A13D58"/>
    <w:rsid w:val="00A13DC6"/>
    <w:rsid w:val="00A13E10"/>
    <w:rsid w:val="00A147D4"/>
    <w:rsid w:val="00A14959"/>
    <w:rsid w:val="00A14D91"/>
    <w:rsid w:val="00A14DAA"/>
    <w:rsid w:val="00A15053"/>
    <w:rsid w:val="00A1518A"/>
    <w:rsid w:val="00A153BC"/>
    <w:rsid w:val="00A15AFC"/>
    <w:rsid w:val="00A1623B"/>
    <w:rsid w:val="00A16285"/>
    <w:rsid w:val="00A1647B"/>
    <w:rsid w:val="00A1673B"/>
    <w:rsid w:val="00A16753"/>
    <w:rsid w:val="00A168EA"/>
    <w:rsid w:val="00A16A86"/>
    <w:rsid w:val="00A16EF4"/>
    <w:rsid w:val="00A1705F"/>
    <w:rsid w:val="00A17086"/>
    <w:rsid w:val="00A2010A"/>
    <w:rsid w:val="00A201C2"/>
    <w:rsid w:val="00A2051F"/>
    <w:rsid w:val="00A206BD"/>
    <w:rsid w:val="00A2075C"/>
    <w:rsid w:val="00A20BDC"/>
    <w:rsid w:val="00A20E98"/>
    <w:rsid w:val="00A20ED1"/>
    <w:rsid w:val="00A21081"/>
    <w:rsid w:val="00A21094"/>
    <w:rsid w:val="00A210EB"/>
    <w:rsid w:val="00A21461"/>
    <w:rsid w:val="00A21900"/>
    <w:rsid w:val="00A21CE6"/>
    <w:rsid w:val="00A21DFA"/>
    <w:rsid w:val="00A21E33"/>
    <w:rsid w:val="00A21F8B"/>
    <w:rsid w:val="00A22303"/>
    <w:rsid w:val="00A22809"/>
    <w:rsid w:val="00A228E6"/>
    <w:rsid w:val="00A229D0"/>
    <w:rsid w:val="00A22B3F"/>
    <w:rsid w:val="00A22FB0"/>
    <w:rsid w:val="00A23076"/>
    <w:rsid w:val="00A2398D"/>
    <w:rsid w:val="00A24072"/>
    <w:rsid w:val="00A243D2"/>
    <w:rsid w:val="00A24C49"/>
    <w:rsid w:val="00A24D77"/>
    <w:rsid w:val="00A253F5"/>
    <w:rsid w:val="00A25440"/>
    <w:rsid w:val="00A2551C"/>
    <w:rsid w:val="00A267BA"/>
    <w:rsid w:val="00A2684C"/>
    <w:rsid w:val="00A26BE4"/>
    <w:rsid w:val="00A2703D"/>
    <w:rsid w:val="00A2739D"/>
    <w:rsid w:val="00A273B9"/>
    <w:rsid w:val="00A27E77"/>
    <w:rsid w:val="00A30263"/>
    <w:rsid w:val="00A30487"/>
    <w:rsid w:val="00A30DFF"/>
    <w:rsid w:val="00A30EB0"/>
    <w:rsid w:val="00A30ED0"/>
    <w:rsid w:val="00A30FA2"/>
    <w:rsid w:val="00A3163E"/>
    <w:rsid w:val="00A31749"/>
    <w:rsid w:val="00A32211"/>
    <w:rsid w:val="00A32352"/>
    <w:rsid w:val="00A3264C"/>
    <w:rsid w:val="00A32E33"/>
    <w:rsid w:val="00A32F79"/>
    <w:rsid w:val="00A332A4"/>
    <w:rsid w:val="00A3343A"/>
    <w:rsid w:val="00A3372D"/>
    <w:rsid w:val="00A34040"/>
    <w:rsid w:val="00A34184"/>
    <w:rsid w:val="00A3439A"/>
    <w:rsid w:val="00A3472F"/>
    <w:rsid w:val="00A35059"/>
    <w:rsid w:val="00A3521F"/>
    <w:rsid w:val="00A35242"/>
    <w:rsid w:val="00A354BC"/>
    <w:rsid w:val="00A35525"/>
    <w:rsid w:val="00A35FA8"/>
    <w:rsid w:val="00A363C6"/>
    <w:rsid w:val="00A365AD"/>
    <w:rsid w:val="00A3699C"/>
    <w:rsid w:val="00A36AEB"/>
    <w:rsid w:val="00A36B4E"/>
    <w:rsid w:val="00A36CB3"/>
    <w:rsid w:val="00A3726E"/>
    <w:rsid w:val="00A375D9"/>
    <w:rsid w:val="00A378EA"/>
    <w:rsid w:val="00A37D0F"/>
    <w:rsid w:val="00A4006D"/>
    <w:rsid w:val="00A404FC"/>
    <w:rsid w:val="00A405B4"/>
    <w:rsid w:val="00A40780"/>
    <w:rsid w:val="00A408D7"/>
    <w:rsid w:val="00A40C7E"/>
    <w:rsid w:val="00A40DE7"/>
    <w:rsid w:val="00A410FB"/>
    <w:rsid w:val="00A413BE"/>
    <w:rsid w:val="00A414E1"/>
    <w:rsid w:val="00A419B4"/>
    <w:rsid w:val="00A41CC1"/>
    <w:rsid w:val="00A41E14"/>
    <w:rsid w:val="00A424AF"/>
    <w:rsid w:val="00A424BC"/>
    <w:rsid w:val="00A424D6"/>
    <w:rsid w:val="00A43559"/>
    <w:rsid w:val="00A43566"/>
    <w:rsid w:val="00A43C00"/>
    <w:rsid w:val="00A43C2D"/>
    <w:rsid w:val="00A43D09"/>
    <w:rsid w:val="00A444ED"/>
    <w:rsid w:val="00A44AD3"/>
    <w:rsid w:val="00A44C54"/>
    <w:rsid w:val="00A456CE"/>
    <w:rsid w:val="00A45713"/>
    <w:rsid w:val="00A46920"/>
    <w:rsid w:val="00A46FEC"/>
    <w:rsid w:val="00A47C28"/>
    <w:rsid w:val="00A47C70"/>
    <w:rsid w:val="00A50571"/>
    <w:rsid w:val="00A50CBE"/>
    <w:rsid w:val="00A50EAC"/>
    <w:rsid w:val="00A50FB3"/>
    <w:rsid w:val="00A51070"/>
    <w:rsid w:val="00A51334"/>
    <w:rsid w:val="00A51460"/>
    <w:rsid w:val="00A5153C"/>
    <w:rsid w:val="00A51C46"/>
    <w:rsid w:val="00A51FCF"/>
    <w:rsid w:val="00A523C2"/>
    <w:rsid w:val="00A52495"/>
    <w:rsid w:val="00A5283F"/>
    <w:rsid w:val="00A52897"/>
    <w:rsid w:val="00A5289E"/>
    <w:rsid w:val="00A528BB"/>
    <w:rsid w:val="00A52937"/>
    <w:rsid w:val="00A52B1C"/>
    <w:rsid w:val="00A52C82"/>
    <w:rsid w:val="00A533B8"/>
    <w:rsid w:val="00A53538"/>
    <w:rsid w:val="00A5404F"/>
    <w:rsid w:val="00A54B9A"/>
    <w:rsid w:val="00A550CF"/>
    <w:rsid w:val="00A55411"/>
    <w:rsid w:val="00A55530"/>
    <w:rsid w:val="00A561BC"/>
    <w:rsid w:val="00A563A4"/>
    <w:rsid w:val="00A56673"/>
    <w:rsid w:val="00A56E89"/>
    <w:rsid w:val="00A56EE4"/>
    <w:rsid w:val="00A5706E"/>
    <w:rsid w:val="00A570E4"/>
    <w:rsid w:val="00A574E4"/>
    <w:rsid w:val="00A57517"/>
    <w:rsid w:val="00A5788A"/>
    <w:rsid w:val="00A57AEF"/>
    <w:rsid w:val="00A605AB"/>
    <w:rsid w:val="00A6084C"/>
    <w:rsid w:val="00A60927"/>
    <w:rsid w:val="00A60B73"/>
    <w:rsid w:val="00A612D4"/>
    <w:rsid w:val="00A6157A"/>
    <w:rsid w:val="00A618E5"/>
    <w:rsid w:val="00A61A63"/>
    <w:rsid w:val="00A61DCF"/>
    <w:rsid w:val="00A62310"/>
    <w:rsid w:val="00A6252B"/>
    <w:rsid w:val="00A6283F"/>
    <w:rsid w:val="00A62CB9"/>
    <w:rsid w:val="00A63A44"/>
    <w:rsid w:val="00A63AF0"/>
    <w:rsid w:val="00A63B73"/>
    <w:rsid w:val="00A63DB1"/>
    <w:rsid w:val="00A641FB"/>
    <w:rsid w:val="00A64263"/>
    <w:rsid w:val="00A64713"/>
    <w:rsid w:val="00A647AA"/>
    <w:rsid w:val="00A64854"/>
    <w:rsid w:val="00A648A8"/>
    <w:rsid w:val="00A64913"/>
    <w:rsid w:val="00A64E90"/>
    <w:rsid w:val="00A650CF"/>
    <w:rsid w:val="00A6519E"/>
    <w:rsid w:val="00A654A9"/>
    <w:rsid w:val="00A65730"/>
    <w:rsid w:val="00A661ED"/>
    <w:rsid w:val="00A66618"/>
    <w:rsid w:val="00A66C7C"/>
    <w:rsid w:val="00A67AC1"/>
    <w:rsid w:val="00A7033C"/>
    <w:rsid w:val="00A70431"/>
    <w:rsid w:val="00A7079D"/>
    <w:rsid w:val="00A70A03"/>
    <w:rsid w:val="00A70A87"/>
    <w:rsid w:val="00A712CD"/>
    <w:rsid w:val="00A717D5"/>
    <w:rsid w:val="00A71A15"/>
    <w:rsid w:val="00A71BF4"/>
    <w:rsid w:val="00A71C25"/>
    <w:rsid w:val="00A71D54"/>
    <w:rsid w:val="00A72085"/>
    <w:rsid w:val="00A7268F"/>
    <w:rsid w:val="00A72917"/>
    <w:rsid w:val="00A72AE8"/>
    <w:rsid w:val="00A73220"/>
    <w:rsid w:val="00A7362D"/>
    <w:rsid w:val="00A73E04"/>
    <w:rsid w:val="00A740A9"/>
    <w:rsid w:val="00A74334"/>
    <w:rsid w:val="00A748DF"/>
    <w:rsid w:val="00A74A1C"/>
    <w:rsid w:val="00A75B81"/>
    <w:rsid w:val="00A75C06"/>
    <w:rsid w:val="00A75D45"/>
    <w:rsid w:val="00A75EBB"/>
    <w:rsid w:val="00A762B7"/>
    <w:rsid w:val="00A7690C"/>
    <w:rsid w:val="00A76F52"/>
    <w:rsid w:val="00A76F8F"/>
    <w:rsid w:val="00A77182"/>
    <w:rsid w:val="00A7795F"/>
    <w:rsid w:val="00A80BB8"/>
    <w:rsid w:val="00A8142A"/>
    <w:rsid w:val="00A816CC"/>
    <w:rsid w:val="00A818E5"/>
    <w:rsid w:val="00A81D93"/>
    <w:rsid w:val="00A81F87"/>
    <w:rsid w:val="00A82128"/>
    <w:rsid w:val="00A82AA8"/>
    <w:rsid w:val="00A82C3B"/>
    <w:rsid w:val="00A82CA2"/>
    <w:rsid w:val="00A8303F"/>
    <w:rsid w:val="00A831D6"/>
    <w:rsid w:val="00A8365E"/>
    <w:rsid w:val="00A83821"/>
    <w:rsid w:val="00A83839"/>
    <w:rsid w:val="00A84045"/>
    <w:rsid w:val="00A8405E"/>
    <w:rsid w:val="00A840A8"/>
    <w:rsid w:val="00A84573"/>
    <w:rsid w:val="00A848F9"/>
    <w:rsid w:val="00A84BF1"/>
    <w:rsid w:val="00A84D0C"/>
    <w:rsid w:val="00A84ED7"/>
    <w:rsid w:val="00A8505A"/>
    <w:rsid w:val="00A863C2"/>
    <w:rsid w:val="00A8685A"/>
    <w:rsid w:val="00A86C13"/>
    <w:rsid w:val="00A86DBD"/>
    <w:rsid w:val="00A87108"/>
    <w:rsid w:val="00A903AB"/>
    <w:rsid w:val="00A90579"/>
    <w:rsid w:val="00A908A7"/>
    <w:rsid w:val="00A90E0B"/>
    <w:rsid w:val="00A90F12"/>
    <w:rsid w:val="00A90F30"/>
    <w:rsid w:val="00A9134B"/>
    <w:rsid w:val="00A91816"/>
    <w:rsid w:val="00A91872"/>
    <w:rsid w:val="00A92188"/>
    <w:rsid w:val="00A922C3"/>
    <w:rsid w:val="00A924E7"/>
    <w:rsid w:val="00A92617"/>
    <w:rsid w:val="00A92AD7"/>
    <w:rsid w:val="00A92DE4"/>
    <w:rsid w:val="00A92EF9"/>
    <w:rsid w:val="00A93683"/>
    <w:rsid w:val="00A93D3A"/>
    <w:rsid w:val="00A93DD4"/>
    <w:rsid w:val="00A94369"/>
    <w:rsid w:val="00A9436C"/>
    <w:rsid w:val="00A94D59"/>
    <w:rsid w:val="00A94F76"/>
    <w:rsid w:val="00A95050"/>
    <w:rsid w:val="00A954C1"/>
    <w:rsid w:val="00A956C4"/>
    <w:rsid w:val="00A95DB7"/>
    <w:rsid w:val="00A95F71"/>
    <w:rsid w:val="00A960CC"/>
    <w:rsid w:val="00A96162"/>
    <w:rsid w:val="00A96861"/>
    <w:rsid w:val="00A97359"/>
    <w:rsid w:val="00A97376"/>
    <w:rsid w:val="00A974EF"/>
    <w:rsid w:val="00A978E1"/>
    <w:rsid w:val="00A97A42"/>
    <w:rsid w:val="00AA0196"/>
    <w:rsid w:val="00AA0435"/>
    <w:rsid w:val="00AA053D"/>
    <w:rsid w:val="00AA0E75"/>
    <w:rsid w:val="00AA119C"/>
    <w:rsid w:val="00AA11E1"/>
    <w:rsid w:val="00AA1525"/>
    <w:rsid w:val="00AA18FB"/>
    <w:rsid w:val="00AA1D8A"/>
    <w:rsid w:val="00AA1E12"/>
    <w:rsid w:val="00AA2033"/>
    <w:rsid w:val="00AA2780"/>
    <w:rsid w:val="00AA2A4A"/>
    <w:rsid w:val="00AA2BA7"/>
    <w:rsid w:val="00AA3C42"/>
    <w:rsid w:val="00AA478E"/>
    <w:rsid w:val="00AA4B10"/>
    <w:rsid w:val="00AA50BE"/>
    <w:rsid w:val="00AA50FB"/>
    <w:rsid w:val="00AA64C8"/>
    <w:rsid w:val="00AA68AE"/>
    <w:rsid w:val="00AA6B3D"/>
    <w:rsid w:val="00AA6DFE"/>
    <w:rsid w:val="00AA6F8A"/>
    <w:rsid w:val="00AA70C2"/>
    <w:rsid w:val="00AA7663"/>
    <w:rsid w:val="00AA7A61"/>
    <w:rsid w:val="00AB0AF6"/>
    <w:rsid w:val="00AB0EAE"/>
    <w:rsid w:val="00AB0F7A"/>
    <w:rsid w:val="00AB1D6C"/>
    <w:rsid w:val="00AB226D"/>
    <w:rsid w:val="00AB2555"/>
    <w:rsid w:val="00AB2974"/>
    <w:rsid w:val="00AB2C21"/>
    <w:rsid w:val="00AB2CFC"/>
    <w:rsid w:val="00AB30C3"/>
    <w:rsid w:val="00AB32CC"/>
    <w:rsid w:val="00AB3436"/>
    <w:rsid w:val="00AB3AD4"/>
    <w:rsid w:val="00AB43FA"/>
    <w:rsid w:val="00AB5CA6"/>
    <w:rsid w:val="00AB5E49"/>
    <w:rsid w:val="00AB5F59"/>
    <w:rsid w:val="00AB67BC"/>
    <w:rsid w:val="00AB6E4E"/>
    <w:rsid w:val="00AB70C1"/>
    <w:rsid w:val="00AB7550"/>
    <w:rsid w:val="00AB7855"/>
    <w:rsid w:val="00AB79C2"/>
    <w:rsid w:val="00AB7C12"/>
    <w:rsid w:val="00AB7D51"/>
    <w:rsid w:val="00AC0CCF"/>
    <w:rsid w:val="00AC0F0D"/>
    <w:rsid w:val="00AC0FC2"/>
    <w:rsid w:val="00AC1586"/>
    <w:rsid w:val="00AC1625"/>
    <w:rsid w:val="00AC1638"/>
    <w:rsid w:val="00AC1739"/>
    <w:rsid w:val="00AC1D1E"/>
    <w:rsid w:val="00AC21DD"/>
    <w:rsid w:val="00AC2267"/>
    <w:rsid w:val="00AC2766"/>
    <w:rsid w:val="00AC34AD"/>
    <w:rsid w:val="00AC38A3"/>
    <w:rsid w:val="00AC3EB9"/>
    <w:rsid w:val="00AC41BD"/>
    <w:rsid w:val="00AC42B1"/>
    <w:rsid w:val="00AC509C"/>
    <w:rsid w:val="00AC546D"/>
    <w:rsid w:val="00AC6A53"/>
    <w:rsid w:val="00AC6D4B"/>
    <w:rsid w:val="00AC7442"/>
    <w:rsid w:val="00AC74D5"/>
    <w:rsid w:val="00AC75DD"/>
    <w:rsid w:val="00AC786D"/>
    <w:rsid w:val="00AD08E4"/>
    <w:rsid w:val="00AD09CD"/>
    <w:rsid w:val="00AD0C5F"/>
    <w:rsid w:val="00AD0E72"/>
    <w:rsid w:val="00AD1351"/>
    <w:rsid w:val="00AD18EB"/>
    <w:rsid w:val="00AD1A5D"/>
    <w:rsid w:val="00AD1BD0"/>
    <w:rsid w:val="00AD1BDD"/>
    <w:rsid w:val="00AD28D8"/>
    <w:rsid w:val="00AD292C"/>
    <w:rsid w:val="00AD2936"/>
    <w:rsid w:val="00AD2C26"/>
    <w:rsid w:val="00AD2C63"/>
    <w:rsid w:val="00AD2E20"/>
    <w:rsid w:val="00AD3BA8"/>
    <w:rsid w:val="00AD3CF4"/>
    <w:rsid w:val="00AD421F"/>
    <w:rsid w:val="00AD4322"/>
    <w:rsid w:val="00AD4EE4"/>
    <w:rsid w:val="00AD5115"/>
    <w:rsid w:val="00AD5B70"/>
    <w:rsid w:val="00AD618A"/>
    <w:rsid w:val="00AD65EC"/>
    <w:rsid w:val="00AD6621"/>
    <w:rsid w:val="00AD68C5"/>
    <w:rsid w:val="00AD72A3"/>
    <w:rsid w:val="00AD74B8"/>
    <w:rsid w:val="00AD75E8"/>
    <w:rsid w:val="00AD778C"/>
    <w:rsid w:val="00AD7FE8"/>
    <w:rsid w:val="00AE00D3"/>
    <w:rsid w:val="00AE0413"/>
    <w:rsid w:val="00AE0965"/>
    <w:rsid w:val="00AE1103"/>
    <w:rsid w:val="00AE1640"/>
    <w:rsid w:val="00AE1B67"/>
    <w:rsid w:val="00AE1E8A"/>
    <w:rsid w:val="00AE2083"/>
    <w:rsid w:val="00AE283E"/>
    <w:rsid w:val="00AE2892"/>
    <w:rsid w:val="00AE289A"/>
    <w:rsid w:val="00AE30CF"/>
    <w:rsid w:val="00AE3274"/>
    <w:rsid w:val="00AE34DC"/>
    <w:rsid w:val="00AE355E"/>
    <w:rsid w:val="00AE361C"/>
    <w:rsid w:val="00AE3AFE"/>
    <w:rsid w:val="00AE3BC9"/>
    <w:rsid w:val="00AE41AB"/>
    <w:rsid w:val="00AE4267"/>
    <w:rsid w:val="00AE4321"/>
    <w:rsid w:val="00AE45A9"/>
    <w:rsid w:val="00AE482B"/>
    <w:rsid w:val="00AE4F40"/>
    <w:rsid w:val="00AE558D"/>
    <w:rsid w:val="00AE5F25"/>
    <w:rsid w:val="00AE61C2"/>
    <w:rsid w:val="00AE62DD"/>
    <w:rsid w:val="00AE6C51"/>
    <w:rsid w:val="00AE702D"/>
    <w:rsid w:val="00AE70EE"/>
    <w:rsid w:val="00AE7998"/>
    <w:rsid w:val="00AE7BBE"/>
    <w:rsid w:val="00AE7E39"/>
    <w:rsid w:val="00AF0197"/>
    <w:rsid w:val="00AF02C2"/>
    <w:rsid w:val="00AF0333"/>
    <w:rsid w:val="00AF0419"/>
    <w:rsid w:val="00AF0763"/>
    <w:rsid w:val="00AF091A"/>
    <w:rsid w:val="00AF0B39"/>
    <w:rsid w:val="00AF12C9"/>
    <w:rsid w:val="00AF1681"/>
    <w:rsid w:val="00AF1789"/>
    <w:rsid w:val="00AF1A96"/>
    <w:rsid w:val="00AF1C08"/>
    <w:rsid w:val="00AF1C60"/>
    <w:rsid w:val="00AF1DCE"/>
    <w:rsid w:val="00AF1E9E"/>
    <w:rsid w:val="00AF1FC6"/>
    <w:rsid w:val="00AF2420"/>
    <w:rsid w:val="00AF268E"/>
    <w:rsid w:val="00AF33B0"/>
    <w:rsid w:val="00AF38FC"/>
    <w:rsid w:val="00AF3B8D"/>
    <w:rsid w:val="00AF43BF"/>
    <w:rsid w:val="00AF47B7"/>
    <w:rsid w:val="00AF48EA"/>
    <w:rsid w:val="00AF4B0A"/>
    <w:rsid w:val="00AF4C83"/>
    <w:rsid w:val="00AF5239"/>
    <w:rsid w:val="00AF54E8"/>
    <w:rsid w:val="00AF56B7"/>
    <w:rsid w:val="00AF5FDE"/>
    <w:rsid w:val="00AF61F1"/>
    <w:rsid w:val="00AF69CB"/>
    <w:rsid w:val="00AF6A7D"/>
    <w:rsid w:val="00AF6B1B"/>
    <w:rsid w:val="00AF6B37"/>
    <w:rsid w:val="00AF6DFF"/>
    <w:rsid w:val="00AF7038"/>
    <w:rsid w:val="00AF720A"/>
    <w:rsid w:val="00AF76E1"/>
    <w:rsid w:val="00AF78A4"/>
    <w:rsid w:val="00AF7B81"/>
    <w:rsid w:val="00B00119"/>
    <w:rsid w:val="00B00493"/>
    <w:rsid w:val="00B007C0"/>
    <w:rsid w:val="00B00872"/>
    <w:rsid w:val="00B00B69"/>
    <w:rsid w:val="00B011B7"/>
    <w:rsid w:val="00B0163A"/>
    <w:rsid w:val="00B01850"/>
    <w:rsid w:val="00B01CC7"/>
    <w:rsid w:val="00B01F45"/>
    <w:rsid w:val="00B021E1"/>
    <w:rsid w:val="00B02283"/>
    <w:rsid w:val="00B02C5F"/>
    <w:rsid w:val="00B02D49"/>
    <w:rsid w:val="00B02F38"/>
    <w:rsid w:val="00B0316C"/>
    <w:rsid w:val="00B0322D"/>
    <w:rsid w:val="00B0324C"/>
    <w:rsid w:val="00B03B72"/>
    <w:rsid w:val="00B03B94"/>
    <w:rsid w:val="00B03C56"/>
    <w:rsid w:val="00B03EC6"/>
    <w:rsid w:val="00B03F08"/>
    <w:rsid w:val="00B040B7"/>
    <w:rsid w:val="00B047BC"/>
    <w:rsid w:val="00B056E0"/>
    <w:rsid w:val="00B061E6"/>
    <w:rsid w:val="00B062B9"/>
    <w:rsid w:val="00B06B71"/>
    <w:rsid w:val="00B06CFF"/>
    <w:rsid w:val="00B06D5B"/>
    <w:rsid w:val="00B06DE5"/>
    <w:rsid w:val="00B073C2"/>
    <w:rsid w:val="00B0755E"/>
    <w:rsid w:val="00B07A6A"/>
    <w:rsid w:val="00B07C2F"/>
    <w:rsid w:val="00B10380"/>
    <w:rsid w:val="00B10569"/>
    <w:rsid w:val="00B109EF"/>
    <w:rsid w:val="00B10A0E"/>
    <w:rsid w:val="00B10A26"/>
    <w:rsid w:val="00B1157A"/>
    <w:rsid w:val="00B11689"/>
    <w:rsid w:val="00B1178A"/>
    <w:rsid w:val="00B12028"/>
    <w:rsid w:val="00B12153"/>
    <w:rsid w:val="00B12358"/>
    <w:rsid w:val="00B1349D"/>
    <w:rsid w:val="00B136AB"/>
    <w:rsid w:val="00B1370F"/>
    <w:rsid w:val="00B13D54"/>
    <w:rsid w:val="00B13E7D"/>
    <w:rsid w:val="00B13F47"/>
    <w:rsid w:val="00B145C5"/>
    <w:rsid w:val="00B149D1"/>
    <w:rsid w:val="00B14B0F"/>
    <w:rsid w:val="00B14F44"/>
    <w:rsid w:val="00B15214"/>
    <w:rsid w:val="00B152D6"/>
    <w:rsid w:val="00B15600"/>
    <w:rsid w:val="00B1595E"/>
    <w:rsid w:val="00B15DB2"/>
    <w:rsid w:val="00B15E87"/>
    <w:rsid w:val="00B167CB"/>
    <w:rsid w:val="00B16C85"/>
    <w:rsid w:val="00B1777B"/>
    <w:rsid w:val="00B17D8E"/>
    <w:rsid w:val="00B17E1D"/>
    <w:rsid w:val="00B201B1"/>
    <w:rsid w:val="00B20262"/>
    <w:rsid w:val="00B20313"/>
    <w:rsid w:val="00B2051A"/>
    <w:rsid w:val="00B209EA"/>
    <w:rsid w:val="00B20F54"/>
    <w:rsid w:val="00B2101A"/>
    <w:rsid w:val="00B21085"/>
    <w:rsid w:val="00B212C8"/>
    <w:rsid w:val="00B2264C"/>
    <w:rsid w:val="00B231C0"/>
    <w:rsid w:val="00B2337F"/>
    <w:rsid w:val="00B233E9"/>
    <w:rsid w:val="00B2354F"/>
    <w:rsid w:val="00B236B5"/>
    <w:rsid w:val="00B23B55"/>
    <w:rsid w:val="00B23F05"/>
    <w:rsid w:val="00B2410E"/>
    <w:rsid w:val="00B24438"/>
    <w:rsid w:val="00B244E2"/>
    <w:rsid w:val="00B2491C"/>
    <w:rsid w:val="00B24CA7"/>
    <w:rsid w:val="00B24CE4"/>
    <w:rsid w:val="00B24DFF"/>
    <w:rsid w:val="00B24F75"/>
    <w:rsid w:val="00B25178"/>
    <w:rsid w:val="00B2522E"/>
    <w:rsid w:val="00B25233"/>
    <w:rsid w:val="00B25671"/>
    <w:rsid w:val="00B258B2"/>
    <w:rsid w:val="00B25BFF"/>
    <w:rsid w:val="00B25D8C"/>
    <w:rsid w:val="00B264A5"/>
    <w:rsid w:val="00B26919"/>
    <w:rsid w:val="00B26C41"/>
    <w:rsid w:val="00B26D85"/>
    <w:rsid w:val="00B274F3"/>
    <w:rsid w:val="00B27B2A"/>
    <w:rsid w:val="00B27B59"/>
    <w:rsid w:val="00B300A9"/>
    <w:rsid w:val="00B303C8"/>
    <w:rsid w:val="00B30437"/>
    <w:rsid w:val="00B30681"/>
    <w:rsid w:val="00B307AB"/>
    <w:rsid w:val="00B30BA7"/>
    <w:rsid w:val="00B30BCD"/>
    <w:rsid w:val="00B30DB6"/>
    <w:rsid w:val="00B312EA"/>
    <w:rsid w:val="00B31415"/>
    <w:rsid w:val="00B315F4"/>
    <w:rsid w:val="00B3205F"/>
    <w:rsid w:val="00B3210C"/>
    <w:rsid w:val="00B32333"/>
    <w:rsid w:val="00B324CF"/>
    <w:rsid w:val="00B32536"/>
    <w:rsid w:val="00B33317"/>
    <w:rsid w:val="00B33530"/>
    <w:rsid w:val="00B34004"/>
    <w:rsid w:val="00B34521"/>
    <w:rsid w:val="00B34563"/>
    <w:rsid w:val="00B34780"/>
    <w:rsid w:val="00B348FD"/>
    <w:rsid w:val="00B349D7"/>
    <w:rsid w:val="00B34DB8"/>
    <w:rsid w:val="00B352CB"/>
    <w:rsid w:val="00B35489"/>
    <w:rsid w:val="00B35595"/>
    <w:rsid w:val="00B35619"/>
    <w:rsid w:val="00B35D2F"/>
    <w:rsid w:val="00B35EC3"/>
    <w:rsid w:val="00B35F1F"/>
    <w:rsid w:val="00B36153"/>
    <w:rsid w:val="00B3626E"/>
    <w:rsid w:val="00B365EB"/>
    <w:rsid w:val="00B36C2B"/>
    <w:rsid w:val="00B36C34"/>
    <w:rsid w:val="00B36C6E"/>
    <w:rsid w:val="00B36E72"/>
    <w:rsid w:val="00B36EE9"/>
    <w:rsid w:val="00B36F95"/>
    <w:rsid w:val="00B372AC"/>
    <w:rsid w:val="00B373B3"/>
    <w:rsid w:val="00B3768C"/>
    <w:rsid w:val="00B3797F"/>
    <w:rsid w:val="00B37A46"/>
    <w:rsid w:val="00B37BE7"/>
    <w:rsid w:val="00B40250"/>
    <w:rsid w:val="00B40592"/>
    <w:rsid w:val="00B405C6"/>
    <w:rsid w:val="00B40AFE"/>
    <w:rsid w:val="00B40DD6"/>
    <w:rsid w:val="00B40E7F"/>
    <w:rsid w:val="00B41AB2"/>
    <w:rsid w:val="00B41E62"/>
    <w:rsid w:val="00B41E67"/>
    <w:rsid w:val="00B42687"/>
    <w:rsid w:val="00B426B1"/>
    <w:rsid w:val="00B4295F"/>
    <w:rsid w:val="00B42D42"/>
    <w:rsid w:val="00B43002"/>
    <w:rsid w:val="00B4321F"/>
    <w:rsid w:val="00B4322A"/>
    <w:rsid w:val="00B43925"/>
    <w:rsid w:val="00B43B7D"/>
    <w:rsid w:val="00B43D44"/>
    <w:rsid w:val="00B444D8"/>
    <w:rsid w:val="00B44904"/>
    <w:rsid w:val="00B45079"/>
    <w:rsid w:val="00B45139"/>
    <w:rsid w:val="00B4535F"/>
    <w:rsid w:val="00B45545"/>
    <w:rsid w:val="00B4570C"/>
    <w:rsid w:val="00B4588A"/>
    <w:rsid w:val="00B458CD"/>
    <w:rsid w:val="00B46098"/>
    <w:rsid w:val="00B46203"/>
    <w:rsid w:val="00B464C7"/>
    <w:rsid w:val="00B467F6"/>
    <w:rsid w:val="00B46863"/>
    <w:rsid w:val="00B46AFE"/>
    <w:rsid w:val="00B46DD1"/>
    <w:rsid w:val="00B474CA"/>
    <w:rsid w:val="00B47812"/>
    <w:rsid w:val="00B479C9"/>
    <w:rsid w:val="00B50AFA"/>
    <w:rsid w:val="00B50CEB"/>
    <w:rsid w:val="00B5162C"/>
    <w:rsid w:val="00B516D1"/>
    <w:rsid w:val="00B51A73"/>
    <w:rsid w:val="00B52076"/>
    <w:rsid w:val="00B52809"/>
    <w:rsid w:val="00B529BE"/>
    <w:rsid w:val="00B52C04"/>
    <w:rsid w:val="00B53115"/>
    <w:rsid w:val="00B531DD"/>
    <w:rsid w:val="00B534C0"/>
    <w:rsid w:val="00B53778"/>
    <w:rsid w:val="00B541B8"/>
    <w:rsid w:val="00B5479E"/>
    <w:rsid w:val="00B54A24"/>
    <w:rsid w:val="00B54FE5"/>
    <w:rsid w:val="00B54FF1"/>
    <w:rsid w:val="00B55A49"/>
    <w:rsid w:val="00B55B06"/>
    <w:rsid w:val="00B55B57"/>
    <w:rsid w:val="00B56242"/>
    <w:rsid w:val="00B56254"/>
    <w:rsid w:val="00B56354"/>
    <w:rsid w:val="00B56376"/>
    <w:rsid w:val="00B56B1B"/>
    <w:rsid w:val="00B56B9E"/>
    <w:rsid w:val="00B5754F"/>
    <w:rsid w:val="00B576C2"/>
    <w:rsid w:val="00B57765"/>
    <w:rsid w:val="00B5795D"/>
    <w:rsid w:val="00B57D55"/>
    <w:rsid w:val="00B57E2D"/>
    <w:rsid w:val="00B6056A"/>
    <w:rsid w:val="00B606F6"/>
    <w:rsid w:val="00B608CE"/>
    <w:rsid w:val="00B60B81"/>
    <w:rsid w:val="00B6102A"/>
    <w:rsid w:val="00B617C0"/>
    <w:rsid w:val="00B61A78"/>
    <w:rsid w:val="00B61DDB"/>
    <w:rsid w:val="00B6224C"/>
    <w:rsid w:val="00B6262B"/>
    <w:rsid w:val="00B62817"/>
    <w:rsid w:val="00B62EE5"/>
    <w:rsid w:val="00B63140"/>
    <w:rsid w:val="00B63323"/>
    <w:rsid w:val="00B63E5E"/>
    <w:rsid w:val="00B63F77"/>
    <w:rsid w:val="00B64056"/>
    <w:rsid w:val="00B64435"/>
    <w:rsid w:val="00B6469A"/>
    <w:rsid w:val="00B6477B"/>
    <w:rsid w:val="00B648BA"/>
    <w:rsid w:val="00B64D93"/>
    <w:rsid w:val="00B65139"/>
    <w:rsid w:val="00B6530B"/>
    <w:rsid w:val="00B654F3"/>
    <w:rsid w:val="00B6591C"/>
    <w:rsid w:val="00B65ECE"/>
    <w:rsid w:val="00B662B9"/>
    <w:rsid w:val="00B662D9"/>
    <w:rsid w:val="00B67000"/>
    <w:rsid w:val="00B67175"/>
    <w:rsid w:val="00B67A63"/>
    <w:rsid w:val="00B67E00"/>
    <w:rsid w:val="00B67EC2"/>
    <w:rsid w:val="00B70063"/>
    <w:rsid w:val="00B7015D"/>
    <w:rsid w:val="00B701E7"/>
    <w:rsid w:val="00B708AF"/>
    <w:rsid w:val="00B71211"/>
    <w:rsid w:val="00B7146E"/>
    <w:rsid w:val="00B7206D"/>
    <w:rsid w:val="00B7258C"/>
    <w:rsid w:val="00B727F3"/>
    <w:rsid w:val="00B73771"/>
    <w:rsid w:val="00B7449F"/>
    <w:rsid w:val="00B74802"/>
    <w:rsid w:val="00B74B2B"/>
    <w:rsid w:val="00B74C4E"/>
    <w:rsid w:val="00B74FF7"/>
    <w:rsid w:val="00B75432"/>
    <w:rsid w:val="00B75E35"/>
    <w:rsid w:val="00B762BA"/>
    <w:rsid w:val="00B763CA"/>
    <w:rsid w:val="00B76562"/>
    <w:rsid w:val="00B771CB"/>
    <w:rsid w:val="00B773FD"/>
    <w:rsid w:val="00B77D2C"/>
    <w:rsid w:val="00B77D2E"/>
    <w:rsid w:val="00B77E6E"/>
    <w:rsid w:val="00B80003"/>
    <w:rsid w:val="00B8078A"/>
    <w:rsid w:val="00B809B4"/>
    <w:rsid w:val="00B80D6C"/>
    <w:rsid w:val="00B80FF4"/>
    <w:rsid w:val="00B81969"/>
    <w:rsid w:val="00B81FF0"/>
    <w:rsid w:val="00B825A7"/>
    <w:rsid w:val="00B828A9"/>
    <w:rsid w:val="00B82BC2"/>
    <w:rsid w:val="00B837BA"/>
    <w:rsid w:val="00B8384D"/>
    <w:rsid w:val="00B83DA3"/>
    <w:rsid w:val="00B8427D"/>
    <w:rsid w:val="00B8467F"/>
    <w:rsid w:val="00B846A2"/>
    <w:rsid w:val="00B84B08"/>
    <w:rsid w:val="00B85178"/>
    <w:rsid w:val="00B86635"/>
    <w:rsid w:val="00B86757"/>
    <w:rsid w:val="00B86E6F"/>
    <w:rsid w:val="00B86F1C"/>
    <w:rsid w:val="00B86F5D"/>
    <w:rsid w:val="00B87024"/>
    <w:rsid w:val="00B871BF"/>
    <w:rsid w:val="00B87683"/>
    <w:rsid w:val="00B9028A"/>
    <w:rsid w:val="00B903C1"/>
    <w:rsid w:val="00B906A9"/>
    <w:rsid w:val="00B90E9C"/>
    <w:rsid w:val="00B91067"/>
    <w:rsid w:val="00B9177B"/>
    <w:rsid w:val="00B91985"/>
    <w:rsid w:val="00B92127"/>
    <w:rsid w:val="00B92740"/>
    <w:rsid w:val="00B92853"/>
    <w:rsid w:val="00B9314E"/>
    <w:rsid w:val="00B932B0"/>
    <w:rsid w:val="00B93386"/>
    <w:rsid w:val="00B9357D"/>
    <w:rsid w:val="00B9386E"/>
    <w:rsid w:val="00B9449B"/>
    <w:rsid w:val="00B9556C"/>
    <w:rsid w:val="00B9579E"/>
    <w:rsid w:val="00B95941"/>
    <w:rsid w:val="00B95A8F"/>
    <w:rsid w:val="00B95C75"/>
    <w:rsid w:val="00B960DC"/>
    <w:rsid w:val="00B9627E"/>
    <w:rsid w:val="00B96589"/>
    <w:rsid w:val="00B9659A"/>
    <w:rsid w:val="00B965AB"/>
    <w:rsid w:val="00B96B44"/>
    <w:rsid w:val="00B971D8"/>
    <w:rsid w:val="00B97681"/>
    <w:rsid w:val="00B97973"/>
    <w:rsid w:val="00B97B0F"/>
    <w:rsid w:val="00BA05B0"/>
    <w:rsid w:val="00BA07E0"/>
    <w:rsid w:val="00BA0A3F"/>
    <w:rsid w:val="00BA0DA5"/>
    <w:rsid w:val="00BA1215"/>
    <w:rsid w:val="00BA12F5"/>
    <w:rsid w:val="00BA15FC"/>
    <w:rsid w:val="00BA182B"/>
    <w:rsid w:val="00BA1B74"/>
    <w:rsid w:val="00BA1F77"/>
    <w:rsid w:val="00BA2221"/>
    <w:rsid w:val="00BA230D"/>
    <w:rsid w:val="00BA23F2"/>
    <w:rsid w:val="00BA27F5"/>
    <w:rsid w:val="00BA318A"/>
    <w:rsid w:val="00BA331D"/>
    <w:rsid w:val="00BA3BDC"/>
    <w:rsid w:val="00BA3F3D"/>
    <w:rsid w:val="00BA4320"/>
    <w:rsid w:val="00BA4902"/>
    <w:rsid w:val="00BA4944"/>
    <w:rsid w:val="00BA4B18"/>
    <w:rsid w:val="00BA5324"/>
    <w:rsid w:val="00BA5389"/>
    <w:rsid w:val="00BA53F5"/>
    <w:rsid w:val="00BA5580"/>
    <w:rsid w:val="00BA5CB6"/>
    <w:rsid w:val="00BA63A5"/>
    <w:rsid w:val="00BA6578"/>
    <w:rsid w:val="00BA6C7A"/>
    <w:rsid w:val="00BA6FC0"/>
    <w:rsid w:val="00BA7333"/>
    <w:rsid w:val="00BA782A"/>
    <w:rsid w:val="00BA7C2A"/>
    <w:rsid w:val="00BB082C"/>
    <w:rsid w:val="00BB096F"/>
    <w:rsid w:val="00BB1284"/>
    <w:rsid w:val="00BB171B"/>
    <w:rsid w:val="00BB1E58"/>
    <w:rsid w:val="00BB2441"/>
    <w:rsid w:val="00BB261A"/>
    <w:rsid w:val="00BB268A"/>
    <w:rsid w:val="00BB2D5C"/>
    <w:rsid w:val="00BB379E"/>
    <w:rsid w:val="00BB3BEE"/>
    <w:rsid w:val="00BB3FEF"/>
    <w:rsid w:val="00BB4179"/>
    <w:rsid w:val="00BB4248"/>
    <w:rsid w:val="00BB42C3"/>
    <w:rsid w:val="00BB50E6"/>
    <w:rsid w:val="00BB576B"/>
    <w:rsid w:val="00BB5CB6"/>
    <w:rsid w:val="00BB621D"/>
    <w:rsid w:val="00BB62A1"/>
    <w:rsid w:val="00BB68B8"/>
    <w:rsid w:val="00BB6E21"/>
    <w:rsid w:val="00BB6E40"/>
    <w:rsid w:val="00BB6E62"/>
    <w:rsid w:val="00BB7534"/>
    <w:rsid w:val="00BB7586"/>
    <w:rsid w:val="00BB791E"/>
    <w:rsid w:val="00BB7CD7"/>
    <w:rsid w:val="00BC00C0"/>
    <w:rsid w:val="00BC05D8"/>
    <w:rsid w:val="00BC067B"/>
    <w:rsid w:val="00BC06B5"/>
    <w:rsid w:val="00BC08EE"/>
    <w:rsid w:val="00BC0D08"/>
    <w:rsid w:val="00BC1536"/>
    <w:rsid w:val="00BC1572"/>
    <w:rsid w:val="00BC1820"/>
    <w:rsid w:val="00BC18EF"/>
    <w:rsid w:val="00BC18FE"/>
    <w:rsid w:val="00BC1F5A"/>
    <w:rsid w:val="00BC1FBF"/>
    <w:rsid w:val="00BC20AE"/>
    <w:rsid w:val="00BC248C"/>
    <w:rsid w:val="00BC2528"/>
    <w:rsid w:val="00BC2848"/>
    <w:rsid w:val="00BC2C2E"/>
    <w:rsid w:val="00BC3319"/>
    <w:rsid w:val="00BC334A"/>
    <w:rsid w:val="00BC3394"/>
    <w:rsid w:val="00BC3BD8"/>
    <w:rsid w:val="00BC3D3D"/>
    <w:rsid w:val="00BC3ED7"/>
    <w:rsid w:val="00BC422B"/>
    <w:rsid w:val="00BC424E"/>
    <w:rsid w:val="00BC42F4"/>
    <w:rsid w:val="00BC4572"/>
    <w:rsid w:val="00BC4874"/>
    <w:rsid w:val="00BC511E"/>
    <w:rsid w:val="00BC5244"/>
    <w:rsid w:val="00BC5F28"/>
    <w:rsid w:val="00BC67DA"/>
    <w:rsid w:val="00BC6903"/>
    <w:rsid w:val="00BC6CA4"/>
    <w:rsid w:val="00BC716D"/>
    <w:rsid w:val="00BC7FAF"/>
    <w:rsid w:val="00BD0454"/>
    <w:rsid w:val="00BD0B49"/>
    <w:rsid w:val="00BD1118"/>
    <w:rsid w:val="00BD11FE"/>
    <w:rsid w:val="00BD142E"/>
    <w:rsid w:val="00BD1560"/>
    <w:rsid w:val="00BD1B00"/>
    <w:rsid w:val="00BD1D95"/>
    <w:rsid w:val="00BD208E"/>
    <w:rsid w:val="00BD209A"/>
    <w:rsid w:val="00BD24AC"/>
    <w:rsid w:val="00BD2526"/>
    <w:rsid w:val="00BD2F49"/>
    <w:rsid w:val="00BD2FA9"/>
    <w:rsid w:val="00BD351D"/>
    <w:rsid w:val="00BD39BF"/>
    <w:rsid w:val="00BD3BAA"/>
    <w:rsid w:val="00BD3BB2"/>
    <w:rsid w:val="00BD3C24"/>
    <w:rsid w:val="00BD3DA3"/>
    <w:rsid w:val="00BD403B"/>
    <w:rsid w:val="00BD47EA"/>
    <w:rsid w:val="00BD494A"/>
    <w:rsid w:val="00BD4A9D"/>
    <w:rsid w:val="00BD4ADD"/>
    <w:rsid w:val="00BD53A9"/>
    <w:rsid w:val="00BD562B"/>
    <w:rsid w:val="00BD5EC1"/>
    <w:rsid w:val="00BD6271"/>
    <w:rsid w:val="00BD6682"/>
    <w:rsid w:val="00BD6B05"/>
    <w:rsid w:val="00BD6B57"/>
    <w:rsid w:val="00BD7012"/>
    <w:rsid w:val="00BD73EE"/>
    <w:rsid w:val="00BD752A"/>
    <w:rsid w:val="00BE02A8"/>
    <w:rsid w:val="00BE02AB"/>
    <w:rsid w:val="00BE07FC"/>
    <w:rsid w:val="00BE09CA"/>
    <w:rsid w:val="00BE1022"/>
    <w:rsid w:val="00BE1301"/>
    <w:rsid w:val="00BE1C21"/>
    <w:rsid w:val="00BE1EAF"/>
    <w:rsid w:val="00BE1FA7"/>
    <w:rsid w:val="00BE24A2"/>
    <w:rsid w:val="00BE2569"/>
    <w:rsid w:val="00BE25A1"/>
    <w:rsid w:val="00BE2A2A"/>
    <w:rsid w:val="00BE2E2F"/>
    <w:rsid w:val="00BE3550"/>
    <w:rsid w:val="00BE37E7"/>
    <w:rsid w:val="00BE3BB3"/>
    <w:rsid w:val="00BE4D15"/>
    <w:rsid w:val="00BE4D54"/>
    <w:rsid w:val="00BE58DB"/>
    <w:rsid w:val="00BE5D47"/>
    <w:rsid w:val="00BE5DCC"/>
    <w:rsid w:val="00BE5EE9"/>
    <w:rsid w:val="00BE61E3"/>
    <w:rsid w:val="00BE6241"/>
    <w:rsid w:val="00BE6669"/>
    <w:rsid w:val="00BE6A77"/>
    <w:rsid w:val="00BE71B4"/>
    <w:rsid w:val="00BE75CB"/>
    <w:rsid w:val="00BE7612"/>
    <w:rsid w:val="00BE7BF2"/>
    <w:rsid w:val="00BE7C59"/>
    <w:rsid w:val="00BE7DA8"/>
    <w:rsid w:val="00BF012C"/>
    <w:rsid w:val="00BF105A"/>
    <w:rsid w:val="00BF16BA"/>
    <w:rsid w:val="00BF18F6"/>
    <w:rsid w:val="00BF1D4A"/>
    <w:rsid w:val="00BF1EC9"/>
    <w:rsid w:val="00BF1FAD"/>
    <w:rsid w:val="00BF2091"/>
    <w:rsid w:val="00BF270E"/>
    <w:rsid w:val="00BF3536"/>
    <w:rsid w:val="00BF4091"/>
    <w:rsid w:val="00BF4477"/>
    <w:rsid w:val="00BF453E"/>
    <w:rsid w:val="00BF491C"/>
    <w:rsid w:val="00BF4982"/>
    <w:rsid w:val="00BF57A4"/>
    <w:rsid w:val="00BF5EFC"/>
    <w:rsid w:val="00BF5F0B"/>
    <w:rsid w:val="00BF5FC7"/>
    <w:rsid w:val="00BF6762"/>
    <w:rsid w:val="00BF6790"/>
    <w:rsid w:val="00BF7296"/>
    <w:rsid w:val="00BF7674"/>
    <w:rsid w:val="00BF7A10"/>
    <w:rsid w:val="00BF7EE5"/>
    <w:rsid w:val="00BF7F3F"/>
    <w:rsid w:val="00C005C8"/>
    <w:rsid w:val="00C006F6"/>
    <w:rsid w:val="00C00F89"/>
    <w:rsid w:val="00C01343"/>
    <w:rsid w:val="00C0151F"/>
    <w:rsid w:val="00C0188E"/>
    <w:rsid w:val="00C01CC4"/>
    <w:rsid w:val="00C01DF1"/>
    <w:rsid w:val="00C01F6A"/>
    <w:rsid w:val="00C020F5"/>
    <w:rsid w:val="00C0221D"/>
    <w:rsid w:val="00C026C6"/>
    <w:rsid w:val="00C026FC"/>
    <w:rsid w:val="00C0287A"/>
    <w:rsid w:val="00C029BA"/>
    <w:rsid w:val="00C02C2F"/>
    <w:rsid w:val="00C02C7F"/>
    <w:rsid w:val="00C02ED2"/>
    <w:rsid w:val="00C031E1"/>
    <w:rsid w:val="00C035C5"/>
    <w:rsid w:val="00C0385C"/>
    <w:rsid w:val="00C03C0B"/>
    <w:rsid w:val="00C04157"/>
    <w:rsid w:val="00C04534"/>
    <w:rsid w:val="00C0490B"/>
    <w:rsid w:val="00C04AF6"/>
    <w:rsid w:val="00C04BFE"/>
    <w:rsid w:val="00C05126"/>
    <w:rsid w:val="00C05815"/>
    <w:rsid w:val="00C05C67"/>
    <w:rsid w:val="00C06314"/>
    <w:rsid w:val="00C06648"/>
    <w:rsid w:val="00C067A2"/>
    <w:rsid w:val="00C06F30"/>
    <w:rsid w:val="00C07012"/>
    <w:rsid w:val="00C0722A"/>
    <w:rsid w:val="00C07259"/>
    <w:rsid w:val="00C07287"/>
    <w:rsid w:val="00C073C4"/>
    <w:rsid w:val="00C07872"/>
    <w:rsid w:val="00C07D9C"/>
    <w:rsid w:val="00C10111"/>
    <w:rsid w:val="00C101DB"/>
    <w:rsid w:val="00C103BB"/>
    <w:rsid w:val="00C1043E"/>
    <w:rsid w:val="00C104B7"/>
    <w:rsid w:val="00C107D4"/>
    <w:rsid w:val="00C10B5E"/>
    <w:rsid w:val="00C10B78"/>
    <w:rsid w:val="00C10BCA"/>
    <w:rsid w:val="00C10E5A"/>
    <w:rsid w:val="00C112BE"/>
    <w:rsid w:val="00C11536"/>
    <w:rsid w:val="00C115C0"/>
    <w:rsid w:val="00C1171A"/>
    <w:rsid w:val="00C11803"/>
    <w:rsid w:val="00C11865"/>
    <w:rsid w:val="00C11985"/>
    <w:rsid w:val="00C11B41"/>
    <w:rsid w:val="00C12018"/>
    <w:rsid w:val="00C122B8"/>
    <w:rsid w:val="00C1259A"/>
    <w:rsid w:val="00C12742"/>
    <w:rsid w:val="00C12FCA"/>
    <w:rsid w:val="00C12FCB"/>
    <w:rsid w:val="00C1352B"/>
    <w:rsid w:val="00C138AB"/>
    <w:rsid w:val="00C14AA1"/>
    <w:rsid w:val="00C153CF"/>
    <w:rsid w:val="00C1582B"/>
    <w:rsid w:val="00C15A9B"/>
    <w:rsid w:val="00C1629B"/>
    <w:rsid w:val="00C165A9"/>
    <w:rsid w:val="00C16C60"/>
    <w:rsid w:val="00C1730C"/>
    <w:rsid w:val="00C17B43"/>
    <w:rsid w:val="00C17BF9"/>
    <w:rsid w:val="00C20159"/>
    <w:rsid w:val="00C2030B"/>
    <w:rsid w:val="00C2070D"/>
    <w:rsid w:val="00C208D9"/>
    <w:rsid w:val="00C208EC"/>
    <w:rsid w:val="00C2091E"/>
    <w:rsid w:val="00C20D84"/>
    <w:rsid w:val="00C2175E"/>
    <w:rsid w:val="00C21A76"/>
    <w:rsid w:val="00C21B3B"/>
    <w:rsid w:val="00C21D34"/>
    <w:rsid w:val="00C21EAD"/>
    <w:rsid w:val="00C22247"/>
    <w:rsid w:val="00C223F9"/>
    <w:rsid w:val="00C22420"/>
    <w:rsid w:val="00C227C0"/>
    <w:rsid w:val="00C22DB0"/>
    <w:rsid w:val="00C2300D"/>
    <w:rsid w:val="00C2379B"/>
    <w:rsid w:val="00C23E1C"/>
    <w:rsid w:val="00C24159"/>
    <w:rsid w:val="00C24547"/>
    <w:rsid w:val="00C24ACB"/>
    <w:rsid w:val="00C251CE"/>
    <w:rsid w:val="00C252D7"/>
    <w:rsid w:val="00C25539"/>
    <w:rsid w:val="00C2585B"/>
    <w:rsid w:val="00C2632A"/>
    <w:rsid w:val="00C267F4"/>
    <w:rsid w:val="00C26A9A"/>
    <w:rsid w:val="00C26ED7"/>
    <w:rsid w:val="00C272A3"/>
    <w:rsid w:val="00C2774F"/>
    <w:rsid w:val="00C27A5B"/>
    <w:rsid w:val="00C27D1B"/>
    <w:rsid w:val="00C27FC9"/>
    <w:rsid w:val="00C302B3"/>
    <w:rsid w:val="00C3057F"/>
    <w:rsid w:val="00C30818"/>
    <w:rsid w:val="00C30955"/>
    <w:rsid w:val="00C30F83"/>
    <w:rsid w:val="00C30FB7"/>
    <w:rsid w:val="00C30FFD"/>
    <w:rsid w:val="00C316F7"/>
    <w:rsid w:val="00C31C92"/>
    <w:rsid w:val="00C31CEB"/>
    <w:rsid w:val="00C322FE"/>
    <w:rsid w:val="00C328BA"/>
    <w:rsid w:val="00C32AEF"/>
    <w:rsid w:val="00C32E57"/>
    <w:rsid w:val="00C33194"/>
    <w:rsid w:val="00C33489"/>
    <w:rsid w:val="00C33695"/>
    <w:rsid w:val="00C33A03"/>
    <w:rsid w:val="00C33D58"/>
    <w:rsid w:val="00C33FE1"/>
    <w:rsid w:val="00C340EE"/>
    <w:rsid w:val="00C34135"/>
    <w:rsid w:val="00C34262"/>
    <w:rsid w:val="00C34680"/>
    <w:rsid w:val="00C3485B"/>
    <w:rsid w:val="00C3498D"/>
    <w:rsid w:val="00C34C1C"/>
    <w:rsid w:val="00C34F55"/>
    <w:rsid w:val="00C35000"/>
    <w:rsid w:val="00C351CB"/>
    <w:rsid w:val="00C35602"/>
    <w:rsid w:val="00C35BE1"/>
    <w:rsid w:val="00C36084"/>
    <w:rsid w:val="00C3650D"/>
    <w:rsid w:val="00C36619"/>
    <w:rsid w:val="00C36909"/>
    <w:rsid w:val="00C36C97"/>
    <w:rsid w:val="00C37190"/>
    <w:rsid w:val="00C373D3"/>
    <w:rsid w:val="00C37538"/>
    <w:rsid w:val="00C37C53"/>
    <w:rsid w:val="00C4004F"/>
    <w:rsid w:val="00C40200"/>
    <w:rsid w:val="00C4046F"/>
    <w:rsid w:val="00C40492"/>
    <w:rsid w:val="00C409DF"/>
    <w:rsid w:val="00C40AE8"/>
    <w:rsid w:val="00C40B04"/>
    <w:rsid w:val="00C40E95"/>
    <w:rsid w:val="00C40FF5"/>
    <w:rsid w:val="00C41784"/>
    <w:rsid w:val="00C41BA7"/>
    <w:rsid w:val="00C41C12"/>
    <w:rsid w:val="00C4202F"/>
    <w:rsid w:val="00C42160"/>
    <w:rsid w:val="00C42207"/>
    <w:rsid w:val="00C42397"/>
    <w:rsid w:val="00C42AE0"/>
    <w:rsid w:val="00C43005"/>
    <w:rsid w:val="00C43041"/>
    <w:rsid w:val="00C43325"/>
    <w:rsid w:val="00C436DA"/>
    <w:rsid w:val="00C43AE3"/>
    <w:rsid w:val="00C43BFF"/>
    <w:rsid w:val="00C44105"/>
    <w:rsid w:val="00C4439D"/>
    <w:rsid w:val="00C4441A"/>
    <w:rsid w:val="00C44636"/>
    <w:rsid w:val="00C4476B"/>
    <w:rsid w:val="00C447BE"/>
    <w:rsid w:val="00C449A4"/>
    <w:rsid w:val="00C44C53"/>
    <w:rsid w:val="00C454D5"/>
    <w:rsid w:val="00C456C6"/>
    <w:rsid w:val="00C45B40"/>
    <w:rsid w:val="00C45F6D"/>
    <w:rsid w:val="00C4699E"/>
    <w:rsid w:val="00C46B60"/>
    <w:rsid w:val="00C46FE2"/>
    <w:rsid w:val="00C47607"/>
    <w:rsid w:val="00C47A21"/>
    <w:rsid w:val="00C47BB4"/>
    <w:rsid w:val="00C47C9B"/>
    <w:rsid w:val="00C501DA"/>
    <w:rsid w:val="00C502FE"/>
    <w:rsid w:val="00C505D2"/>
    <w:rsid w:val="00C505F9"/>
    <w:rsid w:val="00C507E1"/>
    <w:rsid w:val="00C508A1"/>
    <w:rsid w:val="00C50BFF"/>
    <w:rsid w:val="00C50C63"/>
    <w:rsid w:val="00C50C72"/>
    <w:rsid w:val="00C5101D"/>
    <w:rsid w:val="00C511AF"/>
    <w:rsid w:val="00C513D4"/>
    <w:rsid w:val="00C51E0F"/>
    <w:rsid w:val="00C52499"/>
    <w:rsid w:val="00C52FEB"/>
    <w:rsid w:val="00C53076"/>
    <w:rsid w:val="00C53263"/>
    <w:rsid w:val="00C53942"/>
    <w:rsid w:val="00C53CD5"/>
    <w:rsid w:val="00C5406C"/>
    <w:rsid w:val="00C544FE"/>
    <w:rsid w:val="00C5451A"/>
    <w:rsid w:val="00C546D6"/>
    <w:rsid w:val="00C547DA"/>
    <w:rsid w:val="00C548AE"/>
    <w:rsid w:val="00C5497E"/>
    <w:rsid w:val="00C54ADC"/>
    <w:rsid w:val="00C54D30"/>
    <w:rsid w:val="00C55265"/>
    <w:rsid w:val="00C553C7"/>
    <w:rsid w:val="00C55832"/>
    <w:rsid w:val="00C55B26"/>
    <w:rsid w:val="00C55B9A"/>
    <w:rsid w:val="00C55DB9"/>
    <w:rsid w:val="00C55DC8"/>
    <w:rsid w:val="00C55EA2"/>
    <w:rsid w:val="00C55F0D"/>
    <w:rsid w:val="00C56398"/>
    <w:rsid w:val="00C563B3"/>
    <w:rsid w:val="00C56625"/>
    <w:rsid w:val="00C568D4"/>
    <w:rsid w:val="00C56DA2"/>
    <w:rsid w:val="00C56DE4"/>
    <w:rsid w:val="00C57048"/>
    <w:rsid w:val="00C570ED"/>
    <w:rsid w:val="00C575AF"/>
    <w:rsid w:val="00C57ED6"/>
    <w:rsid w:val="00C600EC"/>
    <w:rsid w:val="00C601B6"/>
    <w:rsid w:val="00C602EB"/>
    <w:rsid w:val="00C6099B"/>
    <w:rsid w:val="00C60BC9"/>
    <w:rsid w:val="00C6174A"/>
    <w:rsid w:val="00C617D4"/>
    <w:rsid w:val="00C619DD"/>
    <w:rsid w:val="00C61A40"/>
    <w:rsid w:val="00C61D09"/>
    <w:rsid w:val="00C62040"/>
    <w:rsid w:val="00C621A7"/>
    <w:rsid w:val="00C62351"/>
    <w:rsid w:val="00C6249A"/>
    <w:rsid w:val="00C6272E"/>
    <w:rsid w:val="00C62B9B"/>
    <w:rsid w:val="00C63F21"/>
    <w:rsid w:val="00C63F88"/>
    <w:rsid w:val="00C64887"/>
    <w:rsid w:val="00C64963"/>
    <w:rsid w:val="00C64A19"/>
    <w:rsid w:val="00C65075"/>
    <w:rsid w:val="00C66003"/>
    <w:rsid w:val="00C6612C"/>
    <w:rsid w:val="00C665CB"/>
    <w:rsid w:val="00C66672"/>
    <w:rsid w:val="00C667A8"/>
    <w:rsid w:val="00C66B47"/>
    <w:rsid w:val="00C66DA7"/>
    <w:rsid w:val="00C66DE4"/>
    <w:rsid w:val="00C66F63"/>
    <w:rsid w:val="00C6773F"/>
    <w:rsid w:val="00C67B33"/>
    <w:rsid w:val="00C67B8C"/>
    <w:rsid w:val="00C7045B"/>
    <w:rsid w:val="00C706E2"/>
    <w:rsid w:val="00C70DC2"/>
    <w:rsid w:val="00C710B5"/>
    <w:rsid w:val="00C71367"/>
    <w:rsid w:val="00C71805"/>
    <w:rsid w:val="00C71877"/>
    <w:rsid w:val="00C718F5"/>
    <w:rsid w:val="00C71B8E"/>
    <w:rsid w:val="00C72381"/>
    <w:rsid w:val="00C72480"/>
    <w:rsid w:val="00C72697"/>
    <w:rsid w:val="00C72C68"/>
    <w:rsid w:val="00C72E01"/>
    <w:rsid w:val="00C72FCD"/>
    <w:rsid w:val="00C73177"/>
    <w:rsid w:val="00C733B2"/>
    <w:rsid w:val="00C734A7"/>
    <w:rsid w:val="00C7350C"/>
    <w:rsid w:val="00C7350D"/>
    <w:rsid w:val="00C73A2A"/>
    <w:rsid w:val="00C73C3F"/>
    <w:rsid w:val="00C73CFB"/>
    <w:rsid w:val="00C74B72"/>
    <w:rsid w:val="00C74C42"/>
    <w:rsid w:val="00C74D82"/>
    <w:rsid w:val="00C751CA"/>
    <w:rsid w:val="00C75541"/>
    <w:rsid w:val="00C75635"/>
    <w:rsid w:val="00C75A27"/>
    <w:rsid w:val="00C75C32"/>
    <w:rsid w:val="00C75F73"/>
    <w:rsid w:val="00C76050"/>
    <w:rsid w:val="00C76221"/>
    <w:rsid w:val="00C764AE"/>
    <w:rsid w:val="00C77BAE"/>
    <w:rsid w:val="00C80877"/>
    <w:rsid w:val="00C80B25"/>
    <w:rsid w:val="00C810D1"/>
    <w:rsid w:val="00C8207A"/>
    <w:rsid w:val="00C82467"/>
    <w:rsid w:val="00C82C6F"/>
    <w:rsid w:val="00C82D9A"/>
    <w:rsid w:val="00C833C0"/>
    <w:rsid w:val="00C8340C"/>
    <w:rsid w:val="00C8359B"/>
    <w:rsid w:val="00C83913"/>
    <w:rsid w:val="00C839D1"/>
    <w:rsid w:val="00C84C55"/>
    <w:rsid w:val="00C86034"/>
    <w:rsid w:val="00C8639C"/>
    <w:rsid w:val="00C86679"/>
    <w:rsid w:val="00C866BB"/>
    <w:rsid w:val="00C869C9"/>
    <w:rsid w:val="00C86BFA"/>
    <w:rsid w:val="00C87403"/>
    <w:rsid w:val="00C87502"/>
    <w:rsid w:val="00C875AD"/>
    <w:rsid w:val="00C87942"/>
    <w:rsid w:val="00C879F6"/>
    <w:rsid w:val="00C87B4E"/>
    <w:rsid w:val="00C90307"/>
    <w:rsid w:val="00C90536"/>
    <w:rsid w:val="00C91249"/>
    <w:rsid w:val="00C915CA"/>
    <w:rsid w:val="00C91618"/>
    <w:rsid w:val="00C91625"/>
    <w:rsid w:val="00C91EA0"/>
    <w:rsid w:val="00C91F2C"/>
    <w:rsid w:val="00C92542"/>
    <w:rsid w:val="00C92941"/>
    <w:rsid w:val="00C92ACA"/>
    <w:rsid w:val="00C92DE0"/>
    <w:rsid w:val="00C92E06"/>
    <w:rsid w:val="00C936F6"/>
    <w:rsid w:val="00C93E11"/>
    <w:rsid w:val="00C940A8"/>
    <w:rsid w:val="00C944DE"/>
    <w:rsid w:val="00C94901"/>
    <w:rsid w:val="00C94A2F"/>
    <w:rsid w:val="00C94A3B"/>
    <w:rsid w:val="00C952DD"/>
    <w:rsid w:val="00C95950"/>
    <w:rsid w:val="00C95B60"/>
    <w:rsid w:val="00C95D8D"/>
    <w:rsid w:val="00C9640C"/>
    <w:rsid w:val="00C96865"/>
    <w:rsid w:val="00C971EC"/>
    <w:rsid w:val="00CA0420"/>
    <w:rsid w:val="00CA0D69"/>
    <w:rsid w:val="00CA0E06"/>
    <w:rsid w:val="00CA114E"/>
    <w:rsid w:val="00CA1378"/>
    <w:rsid w:val="00CA17AF"/>
    <w:rsid w:val="00CA1C7E"/>
    <w:rsid w:val="00CA1F3F"/>
    <w:rsid w:val="00CA211D"/>
    <w:rsid w:val="00CA242A"/>
    <w:rsid w:val="00CA2868"/>
    <w:rsid w:val="00CA2BD9"/>
    <w:rsid w:val="00CA2C28"/>
    <w:rsid w:val="00CA31AE"/>
    <w:rsid w:val="00CA4EE6"/>
    <w:rsid w:val="00CA513B"/>
    <w:rsid w:val="00CA5E5B"/>
    <w:rsid w:val="00CA6013"/>
    <w:rsid w:val="00CA6256"/>
    <w:rsid w:val="00CA6845"/>
    <w:rsid w:val="00CA6A33"/>
    <w:rsid w:val="00CA6A49"/>
    <w:rsid w:val="00CA6C42"/>
    <w:rsid w:val="00CA6D18"/>
    <w:rsid w:val="00CA6F25"/>
    <w:rsid w:val="00CA709C"/>
    <w:rsid w:val="00CA758C"/>
    <w:rsid w:val="00CA779D"/>
    <w:rsid w:val="00CA7B74"/>
    <w:rsid w:val="00CA7CE0"/>
    <w:rsid w:val="00CB02D4"/>
    <w:rsid w:val="00CB0591"/>
    <w:rsid w:val="00CB06F3"/>
    <w:rsid w:val="00CB0751"/>
    <w:rsid w:val="00CB0E84"/>
    <w:rsid w:val="00CB1131"/>
    <w:rsid w:val="00CB1679"/>
    <w:rsid w:val="00CB17A2"/>
    <w:rsid w:val="00CB1AEB"/>
    <w:rsid w:val="00CB1CA5"/>
    <w:rsid w:val="00CB1EA3"/>
    <w:rsid w:val="00CB2A0D"/>
    <w:rsid w:val="00CB3383"/>
    <w:rsid w:val="00CB35B5"/>
    <w:rsid w:val="00CB35E5"/>
    <w:rsid w:val="00CB3732"/>
    <w:rsid w:val="00CB3839"/>
    <w:rsid w:val="00CB384E"/>
    <w:rsid w:val="00CB3C5A"/>
    <w:rsid w:val="00CB3D44"/>
    <w:rsid w:val="00CB3D65"/>
    <w:rsid w:val="00CB3EFF"/>
    <w:rsid w:val="00CB42AB"/>
    <w:rsid w:val="00CB430C"/>
    <w:rsid w:val="00CB49FC"/>
    <w:rsid w:val="00CB4F56"/>
    <w:rsid w:val="00CB526A"/>
    <w:rsid w:val="00CB5934"/>
    <w:rsid w:val="00CB6BC9"/>
    <w:rsid w:val="00CB74AA"/>
    <w:rsid w:val="00CB7D4D"/>
    <w:rsid w:val="00CB7DDA"/>
    <w:rsid w:val="00CC0591"/>
    <w:rsid w:val="00CC105F"/>
    <w:rsid w:val="00CC117C"/>
    <w:rsid w:val="00CC1196"/>
    <w:rsid w:val="00CC183D"/>
    <w:rsid w:val="00CC187E"/>
    <w:rsid w:val="00CC18BA"/>
    <w:rsid w:val="00CC19F6"/>
    <w:rsid w:val="00CC260D"/>
    <w:rsid w:val="00CC2DE7"/>
    <w:rsid w:val="00CC3357"/>
    <w:rsid w:val="00CC364F"/>
    <w:rsid w:val="00CC3E5D"/>
    <w:rsid w:val="00CC4441"/>
    <w:rsid w:val="00CC44CB"/>
    <w:rsid w:val="00CC4D3B"/>
    <w:rsid w:val="00CC50F8"/>
    <w:rsid w:val="00CC52CB"/>
    <w:rsid w:val="00CC5427"/>
    <w:rsid w:val="00CC5665"/>
    <w:rsid w:val="00CC5C34"/>
    <w:rsid w:val="00CC5ED1"/>
    <w:rsid w:val="00CC604E"/>
    <w:rsid w:val="00CC628C"/>
    <w:rsid w:val="00CC684E"/>
    <w:rsid w:val="00CC6C88"/>
    <w:rsid w:val="00CC6CA7"/>
    <w:rsid w:val="00CC6E38"/>
    <w:rsid w:val="00CC6E7D"/>
    <w:rsid w:val="00CC6FDC"/>
    <w:rsid w:val="00CC754F"/>
    <w:rsid w:val="00CC7AC2"/>
    <w:rsid w:val="00CC7B1F"/>
    <w:rsid w:val="00CD008B"/>
    <w:rsid w:val="00CD0267"/>
    <w:rsid w:val="00CD05DE"/>
    <w:rsid w:val="00CD08EF"/>
    <w:rsid w:val="00CD0C29"/>
    <w:rsid w:val="00CD0F3A"/>
    <w:rsid w:val="00CD10B0"/>
    <w:rsid w:val="00CD14EA"/>
    <w:rsid w:val="00CD1540"/>
    <w:rsid w:val="00CD1946"/>
    <w:rsid w:val="00CD1A81"/>
    <w:rsid w:val="00CD23AD"/>
    <w:rsid w:val="00CD2AEC"/>
    <w:rsid w:val="00CD2E1D"/>
    <w:rsid w:val="00CD3A3D"/>
    <w:rsid w:val="00CD4784"/>
    <w:rsid w:val="00CD48DC"/>
    <w:rsid w:val="00CD4BAF"/>
    <w:rsid w:val="00CD4F0C"/>
    <w:rsid w:val="00CD508A"/>
    <w:rsid w:val="00CD51DB"/>
    <w:rsid w:val="00CD52C0"/>
    <w:rsid w:val="00CD53DC"/>
    <w:rsid w:val="00CD5746"/>
    <w:rsid w:val="00CD5967"/>
    <w:rsid w:val="00CD5B45"/>
    <w:rsid w:val="00CD5B5E"/>
    <w:rsid w:val="00CD5E8A"/>
    <w:rsid w:val="00CD6A7E"/>
    <w:rsid w:val="00CD6EED"/>
    <w:rsid w:val="00CD6F5F"/>
    <w:rsid w:val="00CD7249"/>
    <w:rsid w:val="00CD741C"/>
    <w:rsid w:val="00CD78B2"/>
    <w:rsid w:val="00CD7991"/>
    <w:rsid w:val="00CD7AD6"/>
    <w:rsid w:val="00CD7D15"/>
    <w:rsid w:val="00CE0597"/>
    <w:rsid w:val="00CE0BEA"/>
    <w:rsid w:val="00CE0C0A"/>
    <w:rsid w:val="00CE0D14"/>
    <w:rsid w:val="00CE108C"/>
    <w:rsid w:val="00CE1202"/>
    <w:rsid w:val="00CE13E3"/>
    <w:rsid w:val="00CE1416"/>
    <w:rsid w:val="00CE20B8"/>
    <w:rsid w:val="00CE26AC"/>
    <w:rsid w:val="00CE3BD2"/>
    <w:rsid w:val="00CE3D83"/>
    <w:rsid w:val="00CE3FA7"/>
    <w:rsid w:val="00CE4152"/>
    <w:rsid w:val="00CE4363"/>
    <w:rsid w:val="00CE4D5A"/>
    <w:rsid w:val="00CE4E35"/>
    <w:rsid w:val="00CE50F2"/>
    <w:rsid w:val="00CE52A5"/>
    <w:rsid w:val="00CE544D"/>
    <w:rsid w:val="00CE5F5C"/>
    <w:rsid w:val="00CE6296"/>
    <w:rsid w:val="00CE6433"/>
    <w:rsid w:val="00CE65E4"/>
    <w:rsid w:val="00CE6FDE"/>
    <w:rsid w:val="00CE70DE"/>
    <w:rsid w:val="00CE7425"/>
    <w:rsid w:val="00CE793A"/>
    <w:rsid w:val="00CE7B10"/>
    <w:rsid w:val="00CF012E"/>
    <w:rsid w:val="00CF076B"/>
    <w:rsid w:val="00CF1170"/>
    <w:rsid w:val="00CF1312"/>
    <w:rsid w:val="00CF1742"/>
    <w:rsid w:val="00CF19B0"/>
    <w:rsid w:val="00CF2982"/>
    <w:rsid w:val="00CF29AC"/>
    <w:rsid w:val="00CF2B24"/>
    <w:rsid w:val="00CF331F"/>
    <w:rsid w:val="00CF33FD"/>
    <w:rsid w:val="00CF392C"/>
    <w:rsid w:val="00CF3E65"/>
    <w:rsid w:val="00CF3FC9"/>
    <w:rsid w:val="00CF41C4"/>
    <w:rsid w:val="00CF4651"/>
    <w:rsid w:val="00CF4768"/>
    <w:rsid w:val="00CF4778"/>
    <w:rsid w:val="00CF491D"/>
    <w:rsid w:val="00CF50A0"/>
    <w:rsid w:val="00CF5232"/>
    <w:rsid w:val="00CF5271"/>
    <w:rsid w:val="00CF527D"/>
    <w:rsid w:val="00CF5493"/>
    <w:rsid w:val="00CF5699"/>
    <w:rsid w:val="00CF57D9"/>
    <w:rsid w:val="00CF5A41"/>
    <w:rsid w:val="00CF5BEF"/>
    <w:rsid w:val="00CF5DD9"/>
    <w:rsid w:val="00CF5ED9"/>
    <w:rsid w:val="00CF67B4"/>
    <w:rsid w:val="00CF6AC8"/>
    <w:rsid w:val="00CF6B42"/>
    <w:rsid w:val="00CF72FA"/>
    <w:rsid w:val="00CF77EC"/>
    <w:rsid w:val="00CF79AC"/>
    <w:rsid w:val="00CF7B1E"/>
    <w:rsid w:val="00CF7DF1"/>
    <w:rsid w:val="00D00CC2"/>
    <w:rsid w:val="00D01287"/>
    <w:rsid w:val="00D01B2F"/>
    <w:rsid w:val="00D02577"/>
    <w:rsid w:val="00D02ADA"/>
    <w:rsid w:val="00D02EF5"/>
    <w:rsid w:val="00D038A2"/>
    <w:rsid w:val="00D03A23"/>
    <w:rsid w:val="00D03AB5"/>
    <w:rsid w:val="00D03C92"/>
    <w:rsid w:val="00D03F97"/>
    <w:rsid w:val="00D043DD"/>
    <w:rsid w:val="00D048B7"/>
    <w:rsid w:val="00D04C61"/>
    <w:rsid w:val="00D04D1D"/>
    <w:rsid w:val="00D05DB0"/>
    <w:rsid w:val="00D05F78"/>
    <w:rsid w:val="00D06336"/>
    <w:rsid w:val="00D063C0"/>
    <w:rsid w:val="00D0650B"/>
    <w:rsid w:val="00D0656B"/>
    <w:rsid w:val="00D06693"/>
    <w:rsid w:val="00D06A65"/>
    <w:rsid w:val="00D06AAE"/>
    <w:rsid w:val="00D06ADC"/>
    <w:rsid w:val="00D06EFB"/>
    <w:rsid w:val="00D0722C"/>
    <w:rsid w:val="00D07581"/>
    <w:rsid w:val="00D077E6"/>
    <w:rsid w:val="00D07B01"/>
    <w:rsid w:val="00D10717"/>
    <w:rsid w:val="00D107C0"/>
    <w:rsid w:val="00D107F1"/>
    <w:rsid w:val="00D10C3D"/>
    <w:rsid w:val="00D11431"/>
    <w:rsid w:val="00D114C3"/>
    <w:rsid w:val="00D114FE"/>
    <w:rsid w:val="00D117A7"/>
    <w:rsid w:val="00D11E67"/>
    <w:rsid w:val="00D12728"/>
    <w:rsid w:val="00D12EE6"/>
    <w:rsid w:val="00D12FCD"/>
    <w:rsid w:val="00D13150"/>
    <w:rsid w:val="00D1316F"/>
    <w:rsid w:val="00D135BB"/>
    <w:rsid w:val="00D13798"/>
    <w:rsid w:val="00D13C24"/>
    <w:rsid w:val="00D13E34"/>
    <w:rsid w:val="00D14E0F"/>
    <w:rsid w:val="00D15361"/>
    <w:rsid w:val="00D1595E"/>
    <w:rsid w:val="00D15980"/>
    <w:rsid w:val="00D15C1D"/>
    <w:rsid w:val="00D15C7D"/>
    <w:rsid w:val="00D167AB"/>
    <w:rsid w:val="00D16A73"/>
    <w:rsid w:val="00D17198"/>
    <w:rsid w:val="00D177FC"/>
    <w:rsid w:val="00D17C8E"/>
    <w:rsid w:val="00D17CA8"/>
    <w:rsid w:val="00D17E5C"/>
    <w:rsid w:val="00D2033C"/>
    <w:rsid w:val="00D2086D"/>
    <w:rsid w:val="00D20AD8"/>
    <w:rsid w:val="00D20CE8"/>
    <w:rsid w:val="00D21196"/>
    <w:rsid w:val="00D21800"/>
    <w:rsid w:val="00D21928"/>
    <w:rsid w:val="00D21CC6"/>
    <w:rsid w:val="00D224DC"/>
    <w:rsid w:val="00D22B0A"/>
    <w:rsid w:val="00D22B4B"/>
    <w:rsid w:val="00D22CC8"/>
    <w:rsid w:val="00D23902"/>
    <w:rsid w:val="00D23E7D"/>
    <w:rsid w:val="00D23F5D"/>
    <w:rsid w:val="00D2411F"/>
    <w:rsid w:val="00D241A0"/>
    <w:rsid w:val="00D241DC"/>
    <w:rsid w:val="00D2427F"/>
    <w:rsid w:val="00D24625"/>
    <w:rsid w:val="00D24A08"/>
    <w:rsid w:val="00D24CA7"/>
    <w:rsid w:val="00D25259"/>
    <w:rsid w:val="00D25E71"/>
    <w:rsid w:val="00D25F14"/>
    <w:rsid w:val="00D27293"/>
    <w:rsid w:val="00D2739B"/>
    <w:rsid w:val="00D27471"/>
    <w:rsid w:val="00D27474"/>
    <w:rsid w:val="00D27676"/>
    <w:rsid w:val="00D27774"/>
    <w:rsid w:val="00D27EF0"/>
    <w:rsid w:val="00D311A4"/>
    <w:rsid w:val="00D31A36"/>
    <w:rsid w:val="00D31A6E"/>
    <w:rsid w:val="00D31DCA"/>
    <w:rsid w:val="00D31E34"/>
    <w:rsid w:val="00D322A8"/>
    <w:rsid w:val="00D3266F"/>
    <w:rsid w:val="00D329E0"/>
    <w:rsid w:val="00D32AFA"/>
    <w:rsid w:val="00D32C35"/>
    <w:rsid w:val="00D32F93"/>
    <w:rsid w:val="00D32FBD"/>
    <w:rsid w:val="00D33135"/>
    <w:rsid w:val="00D33A76"/>
    <w:rsid w:val="00D340F1"/>
    <w:rsid w:val="00D345AD"/>
    <w:rsid w:val="00D348C5"/>
    <w:rsid w:val="00D34EBD"/>
    <w:rsid w:val="00D34FD8"/>
    <w:rsid w:val="00D35AEC"/>
    <w:rsid w:val="00D35EDE"/>
    <w:rsid w:val="00D360AD"/>
    <w:rsid w:val="00D36483"/>
    <w:rsid w:val="00D365B6"/>
    <w:rsid w:val="00D3683A"/>
    <w:rsid w:val="00D36947"/>
    <w:rsid w:val="00D36DDC"/>
    <w:rsid w:val="00D372C6"/>
    <w:rsid w:val="00D374B4"/>
    <w:rsid w:val="00D37530"/>
    <w:rsid w:val="00D37738"/>
    <w:rsid w:val="00D37B75"/>
    <w:rsid w:val="00D37D3E"/>
    <w:rsid w:val="00D40681"/>
    <w:rsid w:val="00D407AA"/>
    <w:rsid w:val="00D413E2"/>
    <w:rsid w:val="00D4149F"/>
    <w:rsid w:val="00D419AA"/>
    <w:rsid w:val="00D41B37"/>
    <w:rsid w:val="00D41B6C"/>
    <w:rsid w:val="00D4200F"/>
    <w:rsid w:val="00D42892"/>
    <w:rsid w:val="00D4297B"/>
    <w:rsid w:val="00D429C7"/>
    <w:rsid w:val="00D42BDB"/>
    <w:rsid w:val="00D42D87"/>
    <w:rsid w:val="00D42E98"/>
    <w:rsid w:val="00D42F27"/>
    <w:rsid w:val="00D431BF"/>
    <w:rsid w:val="00D43AAD"/>
    <w:rsid w:val="00D43AEC"/>
    <w:rsid w:val="00D4443B"/>
    <w:rsid w:val="00D445CB"/>
    <w:rsid w:val="00D445E8"/>
    <w:rsid w:val="00D448BF"/>
    <w:rsid w:val="00D44D41"/>
    <w:rsid w:val="00D44D99"/>
    <w:rsid w:val="00D458DC"/>
    <w:rsid w:val="00D459D6"/>
    <w:rsid w:val="00D45A6C"/>
    <w:rsid w:val="00D45F2A"/>
    <w:rsid w:val="00D46120"/>
    <w:rsid w:val="00D462F5"/>
    <w:rsid w:val="00D462FA"/>
    <w:rsid w:val="00D46398"/>
    <w:rsid w:val="00D4677F"/>
    <w:rsid w:val="00D4694C"/>
    <w:rsid w:val="00D46B37"/>
    <w:rsid w:val="00D46FB2"/>
    <w:rsid w:val="00D471FC"/>
    <w:rsid w:val="00D4756E"/>
    <w:rsid w:val="00D476F7"/>
    <w:rsid w:val="00D4782C"/>
    <w:rsid w:val="00D47DA1"/>
    <w:rsid w:val="00D50322"/>
    <w:rsid w:val="00D5037A"/>
    <w:rsid w:val="00D50857"/>
    <w:rsid w:val="00D510D1"/>
    <w:rsid w:val="00D51289"/>
    <w:rsid w:val="00D51E28"/>
    <w:rsid w:val="00D5200C"/>
    <w:rsid w:val="00D52494"/>
    <w:rsid w:val="00D524AD"/>
    <w:rsid w:val="00D52958"/>
    <w:rsid w:val="00D529DD"/>
    <w:rsid w:val="00D52A27"/>
    <w:rsid w:val="00D52BB1"/>
    <w:rsid w:val="00D5314B"/>
    <w:rsid w:val="00D53E64"/>
    <w:rsid w:val="00D547A3"/>
    <w:rsid w:val="00D54DE4"/>
    <w:rsid w:val="00D54DF6"/>
    <w:rsid w:val="00D5551A"/>
    <w:rsid w:val="00D556B3"/>
    <w:rsid w:val="00D55971"/>
    <w:rsid w:val="00D55AFB"/>
    <w:rsid w:val="00D55D06"/>
    <w:rsid w:val="00D56434"/>
    <w:rsid w:val="00D566D6"/>
    <w:rsid w:val="00D56A74"/>
    <w:rsid w:val="00D57075"/>
    <w:rsid w:val="00D5711D"/>
    <w:rsid w:val="00D571A6"/>
    <w:rsid w:val="00D57390"/>
    <w:rsid w:val="00D60270"/>
    <w:rsid w:val="00D60518"/>
    <w:rsid w:val="00D60806"/>
    <w:rsid w:val="00D60B80"/>
    <w:rsid w:val="00D60E2E"/>
    <w:rsid w:val="00D60F4D"/>
    <w:rsid w:val="00D6185D"/>
    <w:rsid w:val="00D61BD5"/>
    <w:rsid w:val="00D61F4F"/>
    <w:rsid w:val="00D62771"/>
    <w:rsid w:val="00D628D2"/>
    <w:rsid w:val="00D633C6"/>
    <w:rsid w:val="00D638B8"/>
    <w:rsid w:val="00D64275"/>
    <w:rsid w:val="00D6527D"/>
    <w:rsid w:val="00D65B11"/>
    <w:rsid w:val="00D65B49"/>
    <w:rsid w:val="00D65E66"/>
    <w:rsid w:val="00D67007"/>
    <w:rsid w:val="00D673D7"/>
    <w:rsid w:val="00D6774B"/>
    <w:rsid w:val="00D6782C"/>
    <w:rsid w:val="00D67DC1"/>
    <w:rsid w:val="00D702F9"/>
    <w:rsid w:val="00D7044E"/>
    <w:rsid w:val="00D70472"/>
    <w:rsid w:val="00D70852"/>
    <w:rsid w:val="00D70D31"/>
    <w:rsid w:val="00D70D47"/>
    <w:rsid w:val="00D70D75"/>
    <w:rsid w:val="00D71148"/>
    <w:rsid w:val="00D71764"/>
    <w:rsid w:val="00D71D6E"/>
    <w:rsid w:val="00D721C5"/>
    <w:rsid w:val="00D72364"/>
    <w:rsid w:val="00D72554"/>
    <w:rsid w:val="00D72C47"/>
    <w:rsid w:val="00D72DA2"/>
    <w:rsid w:val="00D73193"/>
    <w:rsid w:val="00D731E1"/>
    <w:rsid w:val="00D73FE9"/>
    <w:rsid w:val="00D73FF9"/>
    <w:rsid w:val="00D7429A"/>
    <w:rsid w:val="00D744EB"/>
    <w:rsid w:val="00D749EA"/>
    <w:rsid w:val="00D74A22"/>
    <w:rsid w:val="00D750E8"/>
    <w:rsid w:val="00D752C7"/>
    <w:rsid w:val="00D75333"/>
    <w:rsid w:val="00D757E5"/>
    <w:rsid w:val="00D75CF2"/>
    <w:rsid w:val="00D75E1E"/>
    <w:rsid w:val="00D75E23"/>
    <w:rsid w:val="00D75E74"/>
    <w:rsid w:val="00D75F10"/>
    <w:rsid w:val="00D76429"/>
    <w:rsid w:val="00D76514"/>
    <w:rsid w:val="00D76607"/>
    <w:rsid w:val="00D766D6"/>
    <w:rsid w:val="00D76A97"/>
    <w:rsid w:val="00D76BA1"/>
    <w:rsid w:val="00D77063"/>
    <w:rsid w:val="00D77184"/>
    <w:rsid w:val="00D77877"/>
    <w:rsid w:val="00D77D09"/>
    <w:rsid w:val="00D8090C"/>
    <w:rsid w:val="00D80C1C"/>
    <w:rsid w:val="00D80DAC"/>
    <w:rsid w:val="00D80E52"/>
    <w:rsid w:val="00D81212"/>
    <w:rsid w:val="00D81617"/>
    <w:rsid w:val="00D8178F"/>
    <w:rsid w:val="00D81887"/>
    <w:rsid w:val="00D81BAD"/>
    <w:rsid w:val="00D81E0F"/>
    <w:rsid w:val="00D82075"/>
    <w:rsid w:val="00D820DE"/>
    <w:rsid w:val="00D82344"/>
    <w:rsid w:val="00D825FB"/>
    <w:rsid w:val="00D82697"/>
    <w:rsid w:val="00D8322A"/>
    <w:rsid w:val="00D835A3"/>
    <w:rsid w:val="00D83906"/>
    <w:rsid w:val="00D83AFE"/>
    <w:rsid w:val="00D83F12"/>
    <w:rsid w:val="00D84288"/>
    <w:rsid w:val="00D84745"/>
    <w:rsid w:val="00D847D6"/>
    <w:rsid w:val="00D84FCC"/>
    <w:rsid w:val="00D856D8"/>
    <w:rsid w:val="00D85C6C"/>
    <w:rsid w:val="00D85E36"/>
    <w:rsid w:val="00D8617D"/>
    <w:rsid w:val="00D86550"/>
    <w:rsid w:val="00D866C0"/>
    <w:rsid w:val="00D86740"/>
    <w:rsid w:val="00D8681D"/>
    <w:rsid w:val="00D86A52"/>
    <w:rsid w:val="00D86B6A"/>
    <w:rsid w:val="00D86CA4"/>
    <w:rsid w:val="00D86D0B"/>
    <w:rsid w:val="00D86D3B"/>
    <w:rsid w:val="00D875EA"/>
    <w:rsid w:val="00D901BA"/>
    <w:rsid w:val="00D90384"/>
    <w:rsid w:val="00D904A3"/>
    <w:rsid w:val="00D9073B"/>
    <w:rsid w:val="00D9112A"/>
    <w:rsid w:val="00D916E2"/>
    <w:rsid w:val="00D9179D"/>
    <w:rsid w:val="00D917D1"/>
    <w:rsid w:val="00D91A57"/>
    <w:rsid w:val="00D91BC6"/>
    <w:rsid w:val="00D91DA1"/>
    <w:rsid w:val="00D91E24"/>
    <w:rsid w:val="00D91F8E"/>
    <w:rsid w:val="00D924F5"/>
    <w:rsid w:val="00D92716"/>
    <w:rsid w:val="00D927B7"/>
    <w:rsid w:val="00D92A4B"/>
    <w:rsid w:val="00D92A76"/>
    <w:rsid w:val="00D92ADD"/>
    <w:rsid w:val="00D92F12"/>
    <w:rsid w:val="00D93293"/>
    <w:rsid w:val="00D9393D"/>
    <w:rsid w:val="00D93D00"/>
    <w:rsid w:val="00D9408D"/>
    <w:rsid w:val="00D943F8"/>
    <w:rsid w:val="00D947B2"/>
    <w:rsid w:val="00D94918"/>
    <w:rsid w:val="00D94D5E"/>
    <w:rsid w:val="00D94DBC"/>
    <w:rsid w:val="00D94EA4"/>
    <w:rsid w:val="00D95339"/>
    <w:rsid w:val="00D95980"/>
    <w:rsid w:val="00D95CBD"/>
    <w:rsid w:val="00D96A6B"/>
    <w:rsid w:val="00D96DCE"/>
    <w:rsid w:val="00D96F27"/>
    <w:rsid w:val="00D9737A"/>
    <w:rsid w:val="00D9745D"/>
    <w:rsid w:val="00D97AFC"/>
    <w:rsid w:val="00D97DB0"/>
    <w:rsid w:val="00D97EF8"/>
    <w:rsid w:val="00DA064A"/>
    <w:rsid w:val="00DA074B"/>
    <w:rsid w:val="00DA08D6"/>
    <w:rsid w:val="00DA0D07"/>
    <w:rsid w:val="00DA175C"/>
    <w:rsid w:val="00DA17FA"/>
    <w:rsid w:val="00DA1805"/>
    <w:rsid w:val="00DA1DD5"/>
    <w:rsid w:val="00DA1EE1"/>
    <w:rsid w:val="00DA1F45"/>
    <w:rsid w:val="00DA268C"/>
    <w:rsid w:val="00DA2B0B"/>
    <w:rsid w:val="00DA2B9E"/>
    <w:rsid w:val="00DA2C7E"/>
    <w:rsid w:val="00DA3048"/>
    <w:rsid w:val="00DA3104"/>
    <w:rsid w:val="00DA3400"/>
    <w:rsid w:val="00DA382B"/>
    <w:rsid w:val="00DA3CE5"/>
    <w:rsid w:val="00DA3F06"/>
    <w:rsid w:val="00DA3FD0"/>
    <w:rsid w:val="00DA4727"/>
    <w:rsid w:val="00DA4881"/>
    <w:rsid w:val="00DA4A32"/>
    <w:rsid w:val="00DA4F57"/>
    <w:rsid w:val="00DA517F"/>
    <w:rsid w:val="00DA56DF"/>
    <w:rsid w:val="00DA59F4"/>
    <w:rsid w:val="00DA61EA"/>
    <w:rsid w:val="00DA62D8"/>
    <w:rsid w:val="00DA6776"/>
    <w:rsid w:val="00DA6EDE"/>
    <w:rsid w:val="00DA71EE"/>
    <w:rsid w:val="00DA72EE"/>
    <w:rsid w:val="00DA7A12"/>
    <w:rsid w:val="00DB06B4"/>
    <w:rsid w:val="00DB07B7"/>
    <w:rsid w:val="00DB0840"/>
    <w:rsid w:val="00DB092E"/>
    <w:rsid w:val="00DB098C"/>
    <w:rsid w:val="00DB09E6"/>
    <w:rsid w:val="00DB0EA4"/>
    <w:rsid w:val="00DB1529"/>
    <w:rsid w:val="00DB171E"/>
    <w:rsid w:val="00DB1D70"/>
    <w:rsid w:val="00DB26F7"/>
    <w:rsid w:val="00DB28CB"/>
    <w:rsid w:val="00DB2DCE"/>
    <w:rsid w:val="00DB2E86"/>
    <w:rsid w:val="00DB34D0"/>
    <w:rsid w:val="00DB39D6"/>
    <w:rsid w:val="00DB3A62"/>
    <w:rsid w:val="00DB3BFD"/>
    <w:rsid w:val="00DB3CBE"/>
    <w:rsid w:val="00DB3EF7"/>
    <w:rsid w:val="00DB3F73"/>
    <w:rsid w:val="00DB3FB6"/>
    <w:rsid w:val="00DB44AB"/>
    <w:rsid w:val="00DB45F8"/>
    <w:rsid w:val="00DB4A9C"/>
    <w:rsid w:val="00DB4DE4"/>
    <w:rsid w:val="00DB5359"/>
    <w:rsid w:val="00DB536E"/>
    <w:rsid w:val="00DB5753"/>
    <w:rsid w:val="00DB6013"/>
    <w:rsid w:val="00DB62B9"/>
    <w:rsid w:val="00DB67B5"/>
    <w:rsid w:val="00DB6B34"/>
    <w:rsid w:val="00DB6F8C"/>
    <w:rsid w:val="00DB70D7"/>
    <w:rsid w:val="00DB746D"/>
    <w:rsid w:val="00DB795F"/>
    <w:rsid w:val="00DB79AF"/>
    <w:rsid w:val="00DC00E5"/>
    <w:rsid w:val="00DC06D6"/>
    <w:rsid w:val="00DC0ED2"/>
    <w:rsid w:val="00DC1081"/>
    <w:rsid w:val="00DC18CC"/>
    <w:rsid w:val="00DC1EF0"/>
    <w:rsid w:val="00DC2020"/>
    <w:rsid w:val="00DC20A0"/>
    <w:rsid w:val="00DC2466"/>
    <w:rsid w:val="00DC24E3"/>
    <w:rsid w:val="00DC2541"/>
    <w:rsid w:val="00DC294B"/>
    <w:rsid w:val="00DC2A0D"/>
    <w:rsid w:val="00DC2B65"/>
    <w:rsid w:val="00DC3382"/>
    <w:rsid w:val="00DC346F"/>
    <w:rsid w:val="00DC388A"/>
    <w:rsid w:val="00DC392B"/>
    <w:rsid w:val="00DC3D79"/>
    <w:rsid w:val="00DC507F"/>
    <w:rsid w:val="00DC51AD"/>
    <w:rsid w:val="00DC5DB1"/>
    <w:rsid w:val="00DC6261"/>
    <w:rsid w:val="00DC6369"/>
    <w:rsid w:val="00DC64E4"/>
    <w:rsid w:val="00DC664D"/>
    <w:rsid w:val="00DC68F4"/>
    <w:rsid w:val="00DC71DD"/>
    <w:rsid w:val="00DC7643"/>
    <w:rsid w:val="00DC772B"/>
    <w:rsid w:val="00DD0296"/>
    <w:rsid w:val="00DD0419"/>
    <w:rsid w:val="00DD05BE"/>
    <w:rsid w:val="00DD093C"/>
    <w:rsid w:val="00DD0BCF"/>
    <w:rsid w:val="00DD0C20"/>
    <w:rsid w:val="00DD0CC8"/>
    <w:rsid w:val="00DD0D44"/>
    <w:rsid w:val="00DD0F7A"/>
    <w:rsid w:val="00DD120A"/>
    <w:rsid w:val="00DD1DA9"/>
    <w:rsid w:val="00DD256B"/>
    <w:rsid w:val="00DD2631"/>
    <w:rsid w:val="00DD264C"/>
    <w:rsid w:val="00DD28A6"/>
    <w:rsid w:val="00DD2941"/>
    <w:rsid w:val="00DD2B06"/>
    <w:rsid w:val="00DD30F8"/>
    <w:rsid w:val="00DD3651"/>
    <w:rsid w:val="00DD398E"/>
    <w:rsid w:val="00DD3C0A"/>
    <w:rsid w:val="00DD4543"/>
    <w:rsid w:val="00DD4622"/>
    <w:rsid w:val="00DD4BCC"/>
    <w:rsid w:val="00DD4C8F"/>
    <w:rsid w:val="00DD59CE"/>
    <w:rsid w:val="00DD5B15"/>
    <w:rsid w:val="00DD5B32"/>
    <w:rsid w:val="00DD5DA9"/>
    <w:rsid w:val="00DD5FE3"/>
    <w:rsid w:val="00DD5FED"/>
    <w:rsid w:val="00DD64E4"/>
    <w:rsid w:val="00DD6BE6"/>
    <w:rsid w:val="00DD6D29"/>
    <w:rsid w:val="00DD70BD"/>
    <w:rsid w:val="00DD716E"/>
    <w:rsid w:val="00DD71C2"/>
    <w:rsid w:val="00DD741B"/>
    <w:rsid w:val="00DD7422"/>
    <w:rsid w:val="00DD766F"/>
    <w:rsid w:val="00DD7A8D"/>
    <w:rsid w:val="00DE0184"/>
    <w:rsid w:val="00DE0185"/>
    <w:rsid w:val="00DE0DB7"/>
    <w:rsid w:val="00DE17E2"/>
    <w:rsid w:val="00DE1885"/>
    <w:rsid w:val="00DE1B65"/>
    <w:rsid w:val="00DE1BB8"/>
    <w:rsid w:val="00DE1DED"/>
    <w:rsid w:val="00DE31F3"/>
    <w:rsid w:val="00DE3352"/>
    <w:rsid w:val="00DE3361"/>
    <w:rsid w:val="00DE3463"/>
    <w:rsid w:val="00DE3480"/>
    <w:rsid w:val="00DE3506"/>
    <w:rsid w:val="00DE4358"/>
    <w:rsid w:val="00DE45B2"/>
    <w:rsid w:val="00DE4D33"/>
    <w:rsid w:val="00DE4DB3"/>
    <w:rsid w:val="00DE4E7A"/>
    <w:rsid w:val="00DE4FB4"/>
    <w:rsid w:val="00DE5573"/>
    <w:rsid w:val="00DE62CE"/>
    <w:rsid w:val="00DE6538"/>
    <w:rsid w:val="00DE6A7C"/>
    <w:rsid w:val="00DE6B8B"/>
    <w:rsid w:val="00DE7BE8"/>
    <w:rsid w:val="00DE7E8E"/>
    <w:rsid w:val="00DE7F13"/>
    <w:rsid w:val="00DE7F94"/>
    <w:rsid w:val="00DF0548"/>
    <w:rsid w:val="00DF08CB"/>
    <w:rsid w:val="00DF1AEC"/>
    <w:rsid w:val="00DF1CF1"/>
    <w:rsid w:val="00DF21E2"/>
    <w:rsid w:val="00DF26FF"/>
    <w:rsid w:val="00DF2A6B"/>
    <w:rsid w:val="00DF3232"/>
    <w:rsid w:val="00DF37D4"/>
    <w:rsid w:val="00DF4120"/>
    <w:rsid w:val="00DF46F5"/>
    <w:rsid w:val="00DF47CC"/>
    <w:rsid w:val="00DF4D8F"/>
    <w:rsid w:val="00DF4FCC"/>
    <w:rsid w:val="00DF519F"/>
    <w:rsid w:val="00DF54A9"/>
    <w:rsid w:val="00DF554A"/>
    <w:rsid w:val="00DF571E"/>
    <w:rsid w:val="00DF585F"/>
    <w:rsid w:val="00DF5A4F"/>
    <w:rsid w:val="00DF5A52"/>
    <w:rsid w:val="00DF5ADD"/>
    <w:rsid w:val="00DF5DB1"/>
    <w:rsid w:val="00DF5F2C"/>
    <w:rsid w:val="00DF5FA2"/>
    <w:rsid w:val="00DF6073"/>
    <w:rsid w:val="00DF6096"/>
    <w:rsid w:val="00DF63C2"/>
    <w:rsid w:val="00DF67ED"/>
    <w:rsid w:val="00DF688F"/>
    <w:rsid w:val="00DF689D"/>
    <w:rsid w:val="00DF7266"/>
    <w:rsid w:val="00DF7303"/>
    <w:rsid w:val="00DF791F"/>
    <w:rsid w:val="00E00371"/>
    <w:rsid w:val="00E007DB"/>
    <w:rsid w:val="00E0085E"/>
    <w:rsid w:val="00E00C45"/>
    <w:rsid w:val="00E0126D"/>
    <w:rsid w:val="00E01281"/>
    <w:rsid w:val="00E01357"/>
    <w:rsid w:val="00E015B6"/>
    <w:rsid w:val="00E02285"/>
    <w:rsid w:val="00E02B1E"/>
    <w:rsid w:val="00E02C64"/>
    <w:rsid w:val="00E0315D"/>
    <w:rsid w:val="00E032E0"/>
    <w:rsid w:val="00E03AC3"/>
    <w:rsid w:val="00E03C70"/>
    <w:rsid w:val="00E0472C"/>
    <w:rsid w:val="00E04A1D"/>
    <w:rsid w:val="00E05322"/>
    <w:rsid w:val="00E057D8"/>
    <w:rsid w:val="00E05BCD"/>
    <w:rsid w:val="00E05D47"/>
    <w:rsid w:val="00E05DF4"/>
    <w:rsid w:val="00E05F8D"/>
    <w:rsid w:val="00E05FFF"/>
    <w:rsid w:val="00E07639"/>
    <w:rsid w:val="00E076E6"/>
    <w:rsid w:val="00E07916"/>
    <w:rsid w:val="00E07E23"/>
    <w:rsid w:val="00E10670"/>
    <w:rsid w:val="00E11143"/>
    <w:rsid w:val="00E11538"/>
    <w:rsid w:val="00E11617"/>
    <w:rsid w:val="00E1187E"/>
    <w:rsid w:val="00E1200A"/>
    <w:rsid w:val="00E120DF"/>
    <w:rsid w:val="00E1270D"/>
    <w:rsid w:val="00E1327D"/>
    <w:rsid w:val="00E13933"/>
    <w:rsid w:val="00E13B3A"/>
    <w:rsid w:val="00E13BD9"/>
    <w:rsid w:val="00E14780"/>
    <w:rsid w:val="00E14A26"/>
    <w:rsid w:val="00E14A3F"/>
    <w:rsid w:val="00E14D26"/>
    <w:rsid w:val="00E14DF1"/>
    <w:rsid w:val="00E15067"/>
    <w:rsid w:val="00E15736"/>
    <w:rsid w:val="00E159B3"/>
    <w:rsid w:val="00E15F80"/>
    <w:rsid w:val="00E16099"/>
    <w:rsid w:val="00E161EA"/>
    <w:rsid w:val="00E161ED"/>
    <w:rsid w:val="00E164E1"/>
    <w:rsid w:val="00E16579"/>
    <w:rsid w:val="00E165DF"/>
    <w:rsid w:val="00E166F6"/>
    <w:rsid w:val="00E16D60"/>
    <w:rsid w:val="00E16F17"/>
    <w:rsid w:val="00E1720D"/>
    <w:rsid w:val="00E17404"/>
    <w:rsid w:val="00E174F3"/>
    <w:rsid w:val="00E174FF"/>
    <w:rsid w:val="00E17FC5"/>
    <w:rsid w:val="00E2052E"/>
    <w:rsid w:val="00E206CE"/>
    <w:rsid w:val="00E20738"/>
    <w:rsid w:val="00E2090A"/>
    <w:rsid w:val="00E213BC"/>
    <w:rsid w:val="00E213F9"/>
    <w:rsid w:val="00E21640"/>
    <w:rsid w:val="00E2166B"/>
    <w:rsid w:val="00E218BA"/>
    <w:rsid w:val="00E21E9C"/>
    <w:rsid w:val="00E21F89"/>
    <w:rsid w:val="00E22138"/>
    <w:rsid w:val="00E22679"/>
    <w:rsid w:val="00E226D1"/>
    <w:rsid w:val="00E22783"/>
    <w:rsid w:val="00E22855"/>
    <w:rsid w:val="00E228EB"/>
    <w:rsid w:val="00E22C42"/>
    <w:rsid w:val="00E22CB7"/>
    <w:rsid w:val="00E23A12"/>
    <w:rsid w:val="00E24089"/>
    <w:rsid w:val="00E24343"/>
    <w:rsid w:val="00E2466A"/>
    <w:rsid w:val="00E2468F"/>
    <w:rsid w:val="00E248A7"/>
    <w:rsid w:val="00E24A36"/>
    <w:rsid w:val="00E254A8"/>
    <w:rsid w:val="00E255C1"/>
    <w:rsid w:val="00E25943"/>
    <w:rsid w:val="00E25B70"/>
    <w:rsid w:val="00E26012"/>
    <w:rsid w:val="00E26024"/>
    <w:rsid w:val="00E26462"/>
    <w:rsid w:val="00E2670C"/>
    <w:rsid w:val="00E26760"/>
    <w:rsid w:val="00E269BF"/>
    <w:rsid w:val="00E26C94"/>
    <w:rsid w:val="00E27057"/>
    <w:rsid w:val="00E27180"/>
    <w:rsid w:val="00E272CA"/>
    <w:rsid w:val="00E3029F"/>
    <w:rsid w:val="00E30490"/>
    <w:rsid w:val="00E30B3E"/>
    <w:rsid w:val="00E30BBC"/>
    <w:rsid w:val="00E3111A"/>
    <w:rsid w:val="00E31A5E"/>
    <w:rsid w:val="00E31FEF"/>
    <w:rsid w:val="00E329CF"/>
    <w:rsid w:val="00E32B54"/>
    <w:rsid w:val="00E33261"/>
    <w:rsid w:val="00E33424"/>
    <w:rsid w:val="00E334B0"/>
    <w:rsid w:val="00E33D62"/>
    <w:rsid w:val="00E33F85"/>
    <w:rsid w:val="00E34010"/>
    <w:rsid w:val="00E34BC4"/>
    <w:rsid w:val="00E34D7D"/>
    <w:rsid w:val="00E34E05"/>
    <w:rsid w:val="00E35982"/>
    <w:rsid w:val="00E35B98"/>
    <w:rsid w:val="00E35BD6"/>
    <w:rsid w:val="00E3619D"/>
    <w:rsid w:val="00E366B2"/>
    <w:rsid w:val="00E369CF"/>
    <w:rsid w:val="00E36C13"/>
    <w:rsid w:val="00E36F25"/>
    <w:rsid w:val="00E36FA9"/>
    <w:rsid w:val="00E36FE9"/>
    <w:rsid w:val="00E371C8"/>
    <w:rsid w:val="00E37357"/>
    <w:rsid w:val="00E37818"/>
    <w:rsid w:val="00E37EDC"/>
    <w:rsid w:val="00E408BF"/>
    <w:rsid w:val="00E41049"/>
    <w:rsid w:val="00E41335"/>
    <w:rsid w:val="00E41415"/>
    <w:rsid w:val="00E415A5"/>
    <w:rsid w:val="00E41BCE"/>
    <w:rsid w:val="00E41EDD"/>
    <w:rsid w:val="00E41FD8"/>
    <w:rsid w:val="00E42B5F"/>
    <w:rsid w:val="00E42C65"/>
    <w:rsid w:val="00E42FD7"/>
    <w:rsid w:val="00E43240"/>
    <w:rsid w:val="00E432A1"/>
    <w:rsid w:val="00E435A2"/>
    <w:rsid w:val="00E436F1"/>
    <w:rsid w:val="00E4397F"/>
    <w:rsid w:val="00E445ED"/>
    <w:rsid w:val="00E44ABC"/>
    <w:rsid w:val="00E44AFE"/>
    <w:rsid w:val="00E450C7"/>
    <w:rsid w:val="00E45776"/>
    <w:rsid w:val="00E45A15"/>
    <w:rsid w:val="00E45A6B"/>
    <w:rsid w:val="00E45CF0"/>
    <w:rsid w:val="00E45DF3"/>
    <w:rsid w:val="00E463AA"/>
    <w:rsid w:val="00E46613"/>
    <w:rsid w:val="00E4687F"/>
    <w:rsid w:val="00E46919"/>
    <w:rsid w:val="00E46B43"/>
    <w:rsid w:val="00E46F09"/>
    <w:rsid w:val="00E471FA"/>
    <w:rsid w:val="00E47398"/>
    <w:rsid w:val="00E47912"/>
    <w:rsid w:val="00E47967"/>
    <w:rsid w:val="00E47F45"/>
    <w:rsid w:val="00E47FF2"/>
    <w:rsid w:val="00E5011B"/>
    <w:rsid w:val="00E504F0"/>
    <w:rsid w:val="00E50600"/>
    <w:rsid w:val="00E509DA"/>
    <w:rsid w:val="00E50B36"/>
    <w:rsid w:val="00E50CEF"/>
    <w:rsid w:val="00E50ECD"/>
    <w:rsid w:val="00E51BE1"/>
    <w:rsid w:val="00E51CD9"/>
    <w:rsid w:val="00E522C3"/>
    <w:rsid w:val="00E5283F"/>
    <w:rsid w:val="00E52ABD"/>
    <w:rsid w:val="00E53170"/>
    <w:rsid w:val="00E533E4"/>
    <w:rsid w:val="00E53858"/>
    <w:rsid w:val="00E53902"/>
    <w:rsid w:val="00E53A59"/>
    <w:rsid w:val="00E53ADD"/>
    <w:rsid w:val="00E53DB2"/>
    <w:rsid w:val="00E540A9"/>
    <w:rsid w:val="00E5420A"/>
    <w:rsid w:val="00E5441E"/>
    <w:rsid w:val="00E54441"/>
    <w:rsid w:val="00E54489"/>
    <w:rsid w:val="00E54CD3"/>
    <w:rsid w:val="00E5502F"/>
    <w:rsid w:val="00E551D4"/>
    <w:rsid w:val="00E5605E"/>
    <w:rsid w:val="00E567D6"/>
    <w:rsid w:val="00E56CB6"/>
    <w:rsid w:val="00E56E37"/>
    <w:rsid w:val="00E57026"/>
    <w:rsid w:val="00E5702F"/>
    <w:rsid w:val="00E606E1"/>
    <w:rsid w:val="00E60A7D"/>
    <w:rsid w:val="00E60AF0"/>
    <w:rsid w:val="00E60C28"/>
    <w:rsid w:val="00E61AD1"/>
    <w:rsid w:val="00E62004"/>
    <w:rsid w:val="00E6219A"/>
    <w:rsid w:val="00E6222D"/>
    <w:rsid w:val="00E63311"/>
    <w:rsid w:val="00E63827"/>
    <w:rsid w:val="00E63E2E"/>
    <w:rsid w:val="00E63EBF"/>
    <w:rsid w:val="00E640AC"/>
    <w:rsid w:val="00E642A5"/>
    <w:rsid w:val="00E6492C"/>
    <w:rsid w:val="00E64D1B"/>
    <w:rsid w:val="00E65129"/>
    <w:rsid w:val="00E65232"/>
    <w:rsid w:val="00E657F1"/>
    <w:rsid w:val="00E658E8"/>
    <w:rsid w:val="00E65B91"/>
    <w:rsid w:val="00E65D29"/>
    <w:rsid w:val="00E660EF"/>
    <w:rsid w:val="00E6627D"/>
    <w:rsid w:val="00E662E9"/>
    <w:rsid w:val="00E6661A"/>
    <w:rsid w:val="00E66687"/>
    <w:rsid w:val="00E66921"/>
    <w:rsid w:val="00E66AF6"/>
    <w:rsid w:val="00E66D90"/>
    <w:rsid w:val="00E676A6"/>
    <w:rsid w:val="00E677A0"/>
    <w:rsid w:val="00E678F8"/>
    <w:rsid w:val="00E67B89"/>
    <w:rsid w:val="00E67CF0"/>
    <w:rsid w:val="00E67D5F"/>
    <w:rsid w:val="00E67D9A"/>
    <w:rsid w:val="00E70AA3"/>
    <w:rsid w:val="00E70AA9"/>
    <w:rsid w:val="00E70E14"/>
    <w:rsid w:val="00E70F3D"/>
    <w:rsid w:val="00E710BB"/>
    <w:rsid w:val="00E7131E"/>
    <w:rsid w:val="00E71AAF"/>
    <w:rsid w:val="00E71BBF"/>
    <w:rsid w:val="00E71E39"/>
    <w:rsid w:val="00E7250A"/>
    <w:rsid w:val="00E727F6"/>
    <w:rsid w:val="00E72951"/>
    <w:rsid w:val="00E72C6F"/>
    <w:rsid w:val="00E72D6B"/>
    <w:rsid w:val="00E72E88"/>
    <w:rsid w:val="00E72F68"/>
    <w:rsid w:val="00E72FE9"/>
    <w:rsid w:val="00E73453"/>
    <w:rsid w:val="00E735C6"/>
    <w:rsid w:val="00E739CA"/>
    <w:rsid w:val="00E73ABB"/>
    <w:rsid w:val="00E73D19"/>
    <w:rsid w:val="00E73D3F"/>
    <w:rsid w:val="00E745DF"/>
    <w:rsid w:val="00E746B4"/>
    <w:rsid w:val="00E746CB"/>
    <w:rsid w:val="00E74917"/>
    <w:rsid w:val="00E74991"/>
    <w:rsid w:val="00E74B07"/>
    <w:rsid w:val="00E74DCD"/>
    <w:rsid w:val="00E74E12"/>
    <w:rsid w:val="00E75D58"/>
    <w:rsid w:val="00E75D9C"/>
    <w:rsid w:val="00E75E9F"/>
    <w:rsid w:val="00E763C9"/>
    <w:rsid w:val="00E76673"/>
    <w:rsid w:val="00E76825"/>
    <w:rsid w:val="00E768B6"/>
    <w:rsid w:val="00E76990"/>
    <w:rsid w:val="00E76A3C"/>
    <w:rsid w:val="00E76D4E"/>
    <w:rsid w:val="00E76F64"/>
    <w:rsid w:val="00E77174"/>
    <w:rsid w:val="00E77AE0"/>
    <w:rsid w:val="00E80729"/>
    <w:rsid w:val="00E80AD8"/>
    <w:rsid w:val="00E80BC1"/>
    <w:rsid w:val="00E80DEA"/>
    <w:rsid w:val="00E81C2C"/>
    <w:rsid w:val="00E81CBA"/>
    <w:rsid w:val="00E81F03"/>
    <w:rsid w:val="00E82017"/>
    <w:rsid w:val="00E8217B"/>
    <w:rsid w:val="00E82E89"/>
    <w:rsid w:val="00E82F86"/>
    <w:rsid w:val="00E8381D"/>
    <w:rsid w:val="00E838C2"/>
    <w:rsid w:val="00E83A11"/>
    <w:rsid w:val="00E83EE7"/>
    <w:rsid w:val="00E841E7"/>
    <w:rsid w:val="00E849E5"/>
    <w:rsid w:val="00E84B04"/>
    <w:rsid w:val="00E84B24"/>
    <w:rsid w:val="00E850DB"/>
    <w:rsid w:val="00E85109"/>
    <w:rsid w:val="00E85150"/>
    <w:rsid w:val="00E851E6"/>
    <w:rsid w:val="00E856EB"/>
    <w:rsid w:val="00E857A8"/>
    <w:rsid w:val="00E8587B"/>
    <w:rsid w:val="00E863BD"/>
    <w:rsid w:val="00E86470"/>
    <w:rsid w:val="00E86902"/>
    <w:rsid w:val="00E86DF8"/>
    <w:rsid w:val="00E86FF1"/>
    <w:rsid w:val="00E87256"/>
    <w:rsid w:val="00E873B1"/>
    <w:rsid w:val="00E878E6"/>
    <w:rsid w:val="00E87C4C"/>
    <w:rsid w:val="00E9045A"/>
    <w:rsid w:val="00E90920"/>
    <w:rsid w:val="00E909AA"/>
    <w:rsid w:val="00E90C2E"/>
    <w:rsid w:val="00E90CFA"/>
    <w:rsid w:val="00E91162"/>
    <w:rsid w:val="00E912DD"/>
    <w:rsid w:val="00E9178F"/>
    <w:rsid w:val="00E918CE"/>
    <w:rsid w:val="00E91FC8"/>
    <w:rsid w:val="00E92346"/>
    <w:rsid w:val="00E923C2"/>
    <w:rsid w:val="00E9241A"/>
    <w:rsid w:val="00E925C6"/>
    <w:rsid w:val="00E925F1"/>
    <w:rsid w:val="00E92714"/>
    <w:rsid w:val="00E92749"/>
    <w:rsid w:val="00E92B91"/>
    <w:rsid w:val="00E92BD4"/>
    <w:rsid w:val="00E92F29"/>
    <w:rsid w:val="00E935D5"/>
    <w:rsid w:val="00E937FC"/>
    <w:rsid w:val="00E93997"/>
    <w:rsid w:val="00E93F8D"/>
    <w:rsid w:val="00E945A3"/>
    <w:rsid w:val="00E94862"/>
    <w:rsid w:val="00E94AB9"/>
    <w:rsid w:val="00E94B2A"/>
    <w:rsid w:val="00E94E6B"/>
    <w:rsid w:val="00E952AB"/>
    <w:rsid w:val="00E95729"/>
    <w:rsid w:val="00E95E93"/>
    <w:rsid w:val="00E96A53"/>
    <w:rsid w:val="00E96BAF"/>
    <w:rsid w:val="00E96CCB"/>
    <w:rsid w:val="00E96EBA"/>
    <w:rsid w:val="00E96FAD"/>
    <w:rsid w:val="00E975D8"/>
    <w:rsid w:val="00E977D6"/>
    <w:rsid w:val="00EA009E"/>
    <w:rsid w:val="00EA0A2B"/>
    <w:rsid w:val="00EA0D6B"/>
    <w:rsid w:val="00EA0F8D"/>
    <w:rsid w:val="00EA1314"/>
    <w:rsid w:val="00EA148E"/>
    <w:rsid w:val="00EA14C6"/>
    <w:rsid w:val="00EA16F8"/>
    <w:rsid w:val="00EA17BF"/>
    <w:rsid w:val="00EA19E2"/>
    <w:rsid w:val="00EA1AE4"/>
    <w:rsid w:val="00EA1BD2"/>
    <w:rsid w:val="00EA1DF1"/>
    <w:rsid w:val="00EA1EA5"/>
    <w:rsid w:val="00EA23DF"/>
    <w:rsid w:val="00EA274D"/>
    <w:rsid w:val="00EA278D"/>
    <w:rsid w:val="00EA2882"/>
    <w:rsid w:val="00EA2C74"/>
    <w:rsid w:val="00EA2CA5"/>
    <w:rsid w:val="00EA2EAA"/>
    <w:rsid w:val="00EA30F7"/>
    <w:rsid w:val="00EA36F3"/>
    <w:rsid w:val="00EA3A0A"/>
    <w:rsid w:val="00EA401D"/>
    <w:rsid w:val="00EA4C3C"/>
    <w:rsid w:val="00EA4D3A"/>
    <w:rsid w:val="00EA53A8"/>
    <w:rsid w:val="00EA5755"/>
    <w:rsid w:val="00EA57D3"/>
    <w:rsid w:val="00EA6001"/>
    <w:rsid w:val="00EA6090"/>
    <w:rsid w:val="00EA6B6D"/>
    <w:rsid w:val="00EA7214"/>
    <w:rsid w:val="00EA77DF"/>
    <w:rsid w:val="00EA78F1"/>
    <w:rsid w:val="00EA7AFB"/>
    <w:rsid w:val="00EA7E36"/>
    <w:rsid w:val="00EB01B5"/>
    <w:rsid w:val="00EB0A3C"/>
    <w:rsid w:val="00EB101D"/>
    <w:rsid w:val="00EB15CE"/>
    <w:rsid w:val="00EB1C61"/>
    <w:rsid w:val="00EB1E09"/>
    <w:rsid w:val="00EB1F90"/>
    <w:rsid w:val="00EB24F6"/>
    <w:rsid w:val="00EB2D98"/>
    <w:rsid w:val="00EB2F9B"/>
    <w:rsid w:val="00EB34A4"/>
    <w:rsid w:val="00EB39A8"/>
    <w:rsid w:val="00EB3A9A"/>
    <w:rsid w:val="00EB4A0C"/>
    <w:rsid w:val="00EB508D"/>
    <w:rsid w:val="00EB54A4"/>
    <w:rsid w:val="00EB5B11"/>
    <w:rsid w:val="00EB5E5C"/>
    <w:rsid w:val="00EB69D3"/>
    <w:rsid w:val="00EB6A09"/>
    <w:rsid w:val="00EB6BB2"/>
    <w:rsid w:val="00EB6DBB"/>
    <w:rsid w:val="00EB7260"/>
    <w:rsid w:val="00EB7443"/>
    <w:rsid w:val="00EB776D"/>
    <w:rsid w:val="00EB7F9E"/>
    <w:rsid w:val="00EC0600"/>
    <w:rsid w:val="00EC0743"/>
    <w:rsid w:val="00EC098E"/>
    <w:rsid w:val="00EC09A7"/>
    <w:rsid w:val="00EC0E3C"/>
    <w:rsid w:val="00EC0EE0"/>
    <w:rsid w:val="00EC1355"/>
    <w:rsid w:val="00EC188E"/>
    <w:rsid w:val="00EC18B1"/>
    <w:rsid w:val="00EC19C1"/>
    <w:rsid w:val="00EC19CE"/>
    <w:rsid w:val="00EC22EA"/>
    <w:rsid w:val="00EC2CBA"/>
    <w:rsid w:val="00EC317B"/>
    <w:rsid w:val="00EC31CC"/>
    <w:rsid w:val="00EC3286"/>
    <w:rsid w:val="00EC3948"/>
    <w:rsid w:val="00EC3F65"/>
    <w:rsid w:val="00EC41B4"/>
    <w:rsid w:val="00EC4321"/>
    <w:rsid w:val="00EC4432"/>
    <w:rsid w:val="00EC4448"/>
    <w:rsid w:val="00EC45A3"/>
    <w:rsid w:val="00EC4740"/>
    <w:rsid w:val="00EC5232"/>
    <w:rsid w:val="00EC5A06"/>
    <w:rsid w:val="00EC5A75"/>
    <w:rsid w:val="00EC5AA9"/>
    <w:rsid w:val="00EC66BD"/>
    <w:rsid w:val="00EC6AB3"/>
    <w:rsid w:val="00EC715B"/>
    <w:rsid w:val="00EC71E6"/>
    <w:rsid w:val="00EC75FD"/>
    <w:rsid w:val="00EC775F"/>
    <w:rsid w:val="00EC792A"/>
    <w:rsid w:val="00EC7A13"/>
    <w:rsid w:val="00EC7B33"/>
    <w:rsid w:val="00ED062C"/>
    <w:rsid w:val="00ED067D"/>
    <w:rsid w:val="00ED16D3"/>
    <w:rsid w:val="00ED176B"/>
    <w:rsid w:val="00ED1BE2"/>
    <w:rsid w:val="00ED1F09"/>
    <w:rsid w:val="00ED1F9C"/>
    <w:rsid w:val="00ED1FAA"/>
    <w:rsid w:val="00ED1FF4"/>
    <w:rsid w:val="00ED2142"/>
    <w:rsid w:val="00ED223D"/>
    <w:rsid w:val="00ED23F0"/>
    <w:rsid w:val="00ED2751"/>
    <w:rsid w:val="00ED2F85"/>
    <w:rsid w:val="00ED32A8"/>
    <w:rsid w:val="00ED3A66"/>
    <w:rsid w:val="00ED3F71"/>
    <w:rsid w:val="00ED43A4"/>
    <w:rsid w:val="00ED4D57"/>
    <w:rsid w:val="00ED4DD6"/>
    <w:rsid w:val="00ED4E49"/>
    <w:rsid w:val="00ED502C"/>
    <w:rsid w:val="00ED5BF5"/>
    <w:rsid w:val="00ED5ED6"/>
    <w:rsid w:val="00ED62EF"/>
    <w:rsid w:val="00ED675F"/>
    <w:rsid w:val="00ED7955"/>
    <w:rsid w:val="00ED7CC3"/>
    <w:rsid w:val="00ED7D0B"/>
    <w:rsid w:val="00ED7D2C"/>
    <w:rsid w:val="00EE003D"/>
    <w:rsid w:val="00EE0184"/>
    <w:rsid w:val="00EE08F3"/>
    <w:rsid w:val="00EE10F7"/>
    <w:rsid w:val="00EE1287"/>
    <w:rsid w:val="00EE15D7"/>
    <w:rsid w:val="00EE18AC"/>
    <w:rsid w:val="00EE1A0B"/>
    <w:rsid w:val="00EE1D35"/>
    <w:rsid w:val="00EE1F3C"/>
    <w:rsid w:val="00EE20CC"/>
    <w:rsid w:val="00EE2282"/>
    <w:rsid w:val="00EE2484"/>
    <w:rsid w:val="00EE24DE"/>
    <w:rsid w:val="00EE3110"/>
    <w:rsid w:val="00EE31E2"/>
    <w:rsid w:val="00EE3425"/>
    <w:rsid w:val="00EE3CB0"/>
    <w:rsid w:val="00EE423C"/>
    <w:rsid w:val="00EE44D7"/>
    <w:rsid w:val="00EE4C40"/>
    <w:rsid w:val="00EE5202"/>
    <w:rsid w:val="00EE5922"/>
    <w:rsid w:val="00EE63AD"/>
    <w:rsid w:val="00EE64C6"/>
    <w:rsid w:val="00EE65E3"/>
    <w:rsid w:val="00EE702C"/>
    <w:rsid w:val="00EE74A5"/>
    <w:rsid w:val="00EE7679"/>
    <w:rsid w:val="00EE77DD"/>
    <w:rsid w:val="00EE7808"/>
    <w:rsid w:val="00EF004D"/>
    <w:rsid w:val="00EF0107"/>
    <w:rsid w:val="00EF016C"/>
    <w:rsid w:val="00EF02CA"/>
    <w:rsid w:val="00EF0BD8"/>
    <w:rsid w:val="00EF0E2A"/>
    <w:rsid w:val="00EF0F03"/>
    <w:rsid w:val="00EF125A"/>
    <w:rsid w:val="00EF18E3"/>
    <w:rsid w:val="00EF2589"/>
    <w:rsid w:val="00EF297C"/>
    <w:rsid w:val="00EF30D1"/>
    <w:rsid w:val="00EF3675"/>
    <w:rsid w:val="00EF3BA9"/>
    <w:rsid w:val="00EF3C96"/>
    <w:rsid w:val="00EF3DA1"/>
    <w:rsid w:val="00EF3E9B"/>
    <w:rsid w:val="00EF4900"/>
    <w:rsid w:val="00EF4E3A"/>
    <w:rsid w:val="00EF507B"/>
    <w:rsid w:val="00EF5716"/>
    <w:rsid w:val="00EF5AD1"/>
    <w:rsid w:val="00EF6412"/>
    <w:rsid w:val="00EF6540"/>
    <w:rsid w:val="00EF6555"/>
    <w:rsid w:val="00EF66E8"/>
    <w:rsid w:val="00EF685D"/>
    <w:rsid w:val="00EF6913"/>
    <w:rsid w:val="00EF69C7"/>
    <w:rsid w:val="00EF6C87"/>
    <w:rsid w:val="00EF6FA2"/>
    <w:rsid w:val="00EF71D0"/>
    <w:rsid w:val="00EF72B7"/>
    <w:rsid w:val="00EF738A"/>
    <w:rsid w:val="00EF7454"/>
    <w:rsid w:val="00EF75C4"/>
    <w:rsid w:val="00EF7798"/>
    <w:rsid w:val="00EF7901"/>
    <w:rsid w:val="00EF7B39"/>
    <w:rsid w:val="00EF7D6B"/>
    <w:rsid w:val="00F00551"/>
    <w:rsid w:val="00F009C9"/>
    <w:rsid w:val="00F00C70"/>
    <w:rsid w:val="00F00E26"/>
    <w:rsid w:val="00F01357"/>
    <w:rsid w:val="00F01648"/>
    <w:rsid w:val="00F01986"/>
    <w:rsid w:val="00F025E2"/>
    <w:rsid w:val="00F02B96"/>
    <w:rsid w:val="00F02D3C"/>
    <w:rsid w:val="00F02F2A"/>
    <w:rsid w:val="00F03108"/>
    <w:rsid w:val="00F032B4"/>
    <w:rsid w:val="00F03E14"/>
    <w:rsid w:val="00F03F49"/>
    <w:rsid w:val="00F03F65"/>
    <w:rsid w:val="00F04072"/>
    <w:rsid w:val="00F04138"/>
    <w:rsid w:val="00F04AD7"/>
    <w:rsid w:val="00F05547"/>
    <w:rsid w:val="00F05828"/>
    <w:rsid w:val="00F05892"/>
    <w:rsid w:val="00F058A6"/>
    <w:rsid w:val="00F058F9"/>
    <w:rsid w:val="00F05EEB"/>
    <w:rsid w:val="00F0602F"/>
    <w:rsid w:val="00F064E3"/>
    <w:rsid w:val="00F065E9"/>
    <w:rsid w:val="00F0678E"/>
    <w:rsid w:val="00F0684A"/>
    <w:rsid w:val="00F06D3D"/>
    <w:rsid w:val="00F06F8F"/>
    <w:rsid w:val="00F0700D"/>
    <w:rsid w:val="00F07068"/>
    <w:rsid w:val="00F07176"/>
    <w:rsid w:val="00F07920"/>
    <w:rsid w:val="00F07A2F"/>
    <w:rsid w:val="00F07F7F"/>
    <w:rsid w:val="00F07FE8"/>
    <w:rsid w:val="00F1024C"/>
    <w:rsid w:val="00F10A66"/>
    <w:rsid w:val="00F10E0C"/>
    <w:rsid w:val="00F11408"/>
    <w:rsid w:val="00F11637"/>
    <w:rsid w:val="00F116EB"/>
    <w:rsid w:val="00F11A09"/>
    <w:rsid w:val="00F11E8D"/>
    <w:rsid w:val="00F11F0B"/>
    <w:rsid w:val="00F1227A"/>
    <w:rsid w:val="00F1243A"/>
    <w:rsid w:val="00F12D0D"/>
    <w:rsid w:val="00F12EA8"/>
    <w:rsid w:val="00F12FA2"/>
    <w:rsid w:val="00F13023"/>
    <w:rsid w:val="00F13465"/>
    <w:rsid w:val="00F14795"/>
    <w:rsid w:val="00F150F0"/>
    <w:rsid w:val="00F15703"/>
    <w:rsid w:val="00F15A6B"/>
    <w:rsid w:val="00F15ACC"/>
    <w:rsid w:val="00F15AE6"/>
    <w:rsid w:val="00F15B04"/>
    <w:rsid w:val="00F15CE9"/>
    <w:rsid w:val="00F167B6"/>
    <w:rsid w:val="00F1690D"/>
    <w:rsid w:val="00F16D07"/>
    <w:rsid w:val="00F16D1F"/>
    <w:rsid w:val="00F16EEF"/>
    <w:rsid w:val="00F17333"/>
    <w:rsid w:val="00F1778C"/>
    <w:rsid w:val="00F20181"/>
    <w:rsid w:val="00F206F5"/>
    <w:rsid w:val="00F2082B"/>
    <w:rsid w:val="00F20C1D"/>
    <w:rsid w:val="00F21083"/>
    <w:rsid w:val="00F21099"/>
    <w:rsid w:val="00F2110D"/>
    <w:rsid w:val="00F211A7"/>
    <w:rsid w:val="00F215BA"/>
    <w:rsid w:val="00F21812"/>
    <w:rsid w:val="00F21919"/>
    <w:rsid w:val="00F21B12"/>
    <w:rsid w:val="00F21BC2"/>
    <w:rsid w:val="00F21C25"/>
    <w:rsid w:val="00F21D24"/>
    <w:rsid w:val="00F21E1A"/>
    <w:rsid w:val="00F21EDF"/>
    <w:rsid w:val="00F22235"/>
    <w:rsid w:val="00F22673"/>
    <w:rsid w:val="00F22EB8"/>
    <w:rsid w:val="00F22F3E"/>
    <w:rsid w:val="00F2312D"/>
    <w:rsid w:val="00F23539"/>
    <w:rsid w:val="00F2398F"/>
    <w:rsid w:val="00F242BB"/>
    <w:rsid w:val="00F245CB"/>
    <w:rsid w:val="00F247AD"/>
    <w:rsid w:val="00F2481D"/>
    <w:rsid w:val="00F24831"/>
    <w:rsid w:val="00F2501C"/>
    <w:rsid w:val="00F2534B"/>
    <w:rsid w:val="00F25DDB"/>
    <w:rsid w:val="00F2653F"/>
    <w:rsid w:val="00F26776"/>
    <w:rsid w:val="00F269BE"/>
    <w:rsid w:val="00F26BEE"/>
    <w:rsid w:val="00F26CFF"/>
    <w:rsid w:val="00F2702C"/>
    <w:rsid w:val="00F270D6"/>
    <w:rsid w:val="00F275B9"/>
    <w:rsid w:val="00F27A14"/>
    <w:rsid w:val="00F27C3D"/>
    <w:rsid w:val="00F30291"/>
    <w:rsid w:val="00F303F0"/>
    <w:rsid w:val="00F30822"/>
    <w:rsid w:val="00F30AF8"/>
    <w:rsid w:val="00F30F16"/>
    <w:rsid w:val="00F31440"/>
    <w:rsid w:val="00F316E7"/>
    <w:rsid w:val="00F318B6"/>
    <w:rsid w:val="00F31CDF"/>
    <w:rsid w:val="00F31DF2"/>
    <w:rsid w:val="00F31E45"/>
    <w:rsid w:val="00F31F4E"/>
    <w:rsid w:val="00F32072"/>
    <w:rsid w:val="00F3254E"/>
    <w:rsid w:val="00F3268D"/>
    <w:rsid w:val="00F329C1"/>
    <w:rsid w:val="00F32FEB"/>
    <w:rsid w:val="00F334A6"/>
    <w:rsid w:val="00F33604"/>
    <w:rsid w:val="00F336B7"/>
    <w:rsid w:val="00F3371A"/>
    <w:rsid w:val="00F3391C"/>
    <w:rsid w:val="00F33B3E"/>
    <w:rsid w:val="00F34250"/>
    <w:rsid w:val="00F3449D"/>
    <w:rsid w:val="00F34571"/>
    <w:rsid w:val="00F3459F"/>
    <w:rsid w:val="00F34651"/>
    <w:rsid w:val="00F34731"/>
    <w:rsid w:val="00F34737"/>
    <w:rsid w:val="00F34AB7"/>
    <w:rsid w:val="00F34F77"/>
    <w:rsid w:val="00F351CE"/>
    <w:rsid w:val="00F35235"/>
    <w:rsid w:val="00F35732"/>
    <w:rsid w:val="00F36014"/>
    <w:rsid w:val="00F36069"/>
    <w:rsid w:val="00F361B4"/>
    <w:rsid w:val="00F36311"/>
    <w:rsid w:val="00F3672E"/>
    <w:rsid w:val="00F3674B"/>
    <w:rsid w:val="00F3684C"/>
    <w:rsid w:val="00F36BF2"/>
    <w:rsid w:val="00F3715A"/>
    <w:rsid w:val="00F37356"/>
    <w:rsid w:val="00F376B9"/>
    <w:rsid w:val="00F37A11"/>
    <w:rsid w:val="00F37C47"/>
    <w:rsid w:val="00F37E18"/>
    <w:rsid w:val="00F37E8E"/>
    <w:rsid w:val="00F37F88"/>
    <w:rsid w:val="00F401AB"/>
    <w:rsid w:val="00F4035C"/>
    <w:rsid w:val="00F40423"/>
    <w:rsid w:val="00F4064E"/>
    <w:rsid w:val="00F4172E"/>
    <w:rsid w:val="00F417E9"/>
    <w:rsid w:val="00F41C61"/>
    <w:rsid w:val="00F41DD1"/>
    <w:rsid w:val="00F41DDF"/>
    <w:rsid w:val="00F41EA6"/>
    <w:rsid w:val="00F42673"/>
    <w:rsid w:val="00F426F8"/>
    <w:rsid w:val="00F4297C"/>
    <w:rsid w:val="00F43395"/>
    <w:rsid w:val="00F434BD"/>
    <w:rsid w:val="00F43703"/>
    <w:rsid w:val="00F43D7E"/>
    <w:rsid w:val="00F43F80"/>
    <w:rsid w:val="00F4440A"/>
    <w:rsid w:val="00F446E4"/>
    <w:rsid w:val="00F447B0"/>
    <w:rsid w:val="00F44BA7"/>
    <w:rsid w:val="00F452D7"/>
    <w:rsid w:val="00F4575B"/>
    <w:rsid w:val="00F458AB"/>
    <w:rsid w:val="00F460FF"/>
    <w:rsid w:val="00F4692A"/>
    <w:rsid w:val="00F46D56"/>
    <w:rsid w:val="00F46E77"/>
    <w:rsid w:val="00F471D4"/>
    <w:rsid w:val="00F476D2"/>
    <w:rsid w:val="00F500D1"/>
    <w:rsid w:val="00F503FE"/>
    <w:rsid w:val="00F50532"/>
    <w:rsid w:val="00F508C0"/>
    <w:rsid w:val="00F50FF7"/>
    <w:rsid w:val="00F512D4"/>
    <w:rsid w:val="00F5139A"/>
    <w:rsid w:val="00F515C7"/>
    <w:rsid w:val="00F515D8"/>
    <w:rsid w:val="00F51745"/>
    <w:rsid w:val="00F51A15"/>
    <w:rsid w:val="00F523B9"/>
    <w:rsid w:val="00F52481"/>
    <w:rsid w:val="00F5251A"/>
    <w:rsid w:val="00F52B7F"/>
    <w:rsid w:val="00F530B1"/>
    <w:rsid w:val="00F53153"/>
    <w:rsid w:val="00F534BC"/>
    <w:rsid w:val="00F5395F"/>
    <w:rsid w:val="00F539F7"/>
    <w:rsid w:val="00F53FCA"/>
    <w:rsid w:val="00F5458E"/>
    <w:rsid w:val="00F54969"/>
    <w:rsid w:val="00F54BF6"/>
    <w:rsid w:val="00F550AC"/>
    <w:rsid w:val="00F55182"/>
    <w:rsid w:val="00F554E3"/>
    <w:rsid w:val="00F55DA8"/>
    <w:rsid w:val="00F56B62"/>
    <w:rsid w:val="00F56BAF"/>
    <w:rsid w:val="00F56E26"/>
    <w:rsid w:val="00F56E55"/>
    <w:rsid w:val="00F570C5"/>
    <w:rsid w:val="00F57580"/>
    <w:rsid w:val="00F5760D"/>
    <w:rsid w:val="00F57754"/>
    <w:rsid w:val="00F57EA6"/>
    <w:rsid w:val="00F57F22"/>
    <w:rsid w:val="00F60F72"/>
    <w:rsid w:val="00F61012"/>
    <w:rsid w:val="00F61311"/>
    <w:rsid w:val="00F619C8"/>
    <w:rsid w:val="00F622B3"/>
    <w:rsid w:val="00F6236C"/>
    <w:rsid w:val="00F62BC5"/>
    <w:rsid w:val="00F62DB4"/>
    <w:rsid w:val="00F6308D"/>
    <w:rsid w:val="00F63256"/>
    <w:rsid w:val="00F63716"/>
    <w:rsid w:val="00F637C0"/>
    <w:rsid w:val="00F638C4"/>
    <w:rsid w:val="00F63B8C"/>
    <w:rsid w:val="00F6455F"/>
    <w:rsid w:val="00F64A90"/>
    <w:rsid w:val="00F64B98"/>
    <w:rsid w:val="00F64E94"/>
    <w:rsid w:val="00F65247"/>
    <w:rsid w:val="00F653EB"/>
    <w:rsid w:val="00F65FE5"/>
    <w:rsid w:val="00F660BC"/>
    <w:rsid w:val="00F664FB"/>
    <w:rsid w:val="00F669E4"/>
    <w:rsid w:val="00F67001"/>
    <w:rsid w:val="00F670A7"/>
    <w:rsid w:val="00F6739A"/>
    <w:rsid w:val="00F673F5"/>
    <w:rsid w:val="00F67492"/>
    <w:rsid w:val="00F676D2"/>
    <w:rsid w:val="00F67B9C"/>
    <w:rsid w:val="00F67C95"/>
    <w:rsid w:val="00F67CA7"/>
    <w:rsid w:val="00F701CD"/>
    <w:rsid w:val="00F70392"/>
    <w:rsid w:val="00F704E7"/>
    <w:rsid w:val="00F708E9"/>
    <w:rsid w:val="00F70AC2"/>
    <w:rsid w:val="00F71037"/>
    <w:rsid w:val="00F710AF"/>
    <w:rsid w:val="00F71626"/>
    <w:rsid w:val="00F7184B"/>
    <w:rsid w:val="00F71C94"/>
    <w:rsid w:val="00F71CA8"/>
    <w:rsid w:val="00F71DBA"/>
    <w:rsid w:val="00F71EA7"/>
    <w:rsid w:val="00F71FEC"/>
    <w:rsid w:val="00F72193"/>
    <w:rsid w:val="00F721C8"/>
    <w:rsid w:val="00F7273F"/>
    <w:rsid w:val="00F72A42"/>
    <w:rsid w:val="00F72A78"/>
    <w:rsid w:val="00F72BD5"/>
    <w:rsid w:val="00F72BDC"/>
    <w:rsid w:val="00F72DA0"/>
    <w:rsid w:val="00F7329F"/>
    <w:rsid w:val="00F7353C"/>
    <w:rsid w:val="00F7416E"/>
    <w:rsid w:val="00F74246"/>
    <w:rsid w:val="00F742CE"/>
    <w:rsid w:val="00F74685"/>
    <w:rsid w:val="00F74C35"/>
    <w:rsid w:val="00F74E28"/>
    <w:rsid w:val="00F74FD9"/>
    <w:rsid w:val="00F75F58"/>
    <w:rsid w:val="00F76005"/>
    <w:rsid w:val="00F767CD"/>
    <w:rsid w:val="00F76DC9"/>
    <w:rsid w:val="00F76E41"/>
    <w:rsid w:val="00F77A62"/>
    <w:rsid w:val="00F77FD4"/>
    <w:rsid w:val="00F8013C"/>
    <w:rsid w:val="00F80391"/>
    <w:rsid w:val="00F80813"/>
    <w:rsid w:val="00F80B33"/>
    <w:rsid w:val="00F80BCB"/>
    <w:rsid w:val="00F80DF1"/>
    <w:rsid w:val="00F8117C"/>
    <w:rsid w:val="00F814FE"/>
    <w:rsid w:val="00F816A8"/>
    <w:rsid w:val="00F81A6F"/>
    <w:rsid w:val="00F82253"/>
    <w:rsid w:val="00F828DD"/>
    <w:rsid w:val="00F8302D"/>
    <w:rsid w:val="00F831D8"/>
    <w:rsid w:val="00F836BB"/>
    <w:rsid w:val="00F83972"/>
    <w:rsid w:val="00F83EB5"/>
    <w:rsid w:val="00F842EC"/>
    <w:rsid w:val="00F84E25"/>
    <w:rsid w:val="00F853C6"/>
    <w:rsid w:val="00F85DCD"/>
    <w:rsid w:val="00F86AC8"/>
    <w:rsid w:val="00F86BCE"/>
    <w:rsid w:val="00F86CAE"/>
    <w:rsid w:val="00F87374"/>
    <w:rsid w:val="00F87A41"/>
    <w:rsid w:val="00F87CD6"/>
    <w:rsid w:val="00F87F7E"/>
    <w:rsid w:val="00F90174"/>
    <w:rsid w:val="00F90328"/>
    <w:rsid w:val="00F90342"/>
    <w:rsid w:val="00F903ED"/>
    <w:rsid w:val="00F904C5"/>
    <w:rsid w:val="00F9061A"/>
    <w:rsid w:val="00F909EC"/>
    <w:rsid w:val="00F90C9D"/>
    <w:rsid w:val="00F90E1F"/>
    <w:rsid w:val="00F913D5"/>
    <w:rsid w:val="00F91986"/>
    <w:rsid w:val="00F92078"/>
    <w:rsid w:val="00F92ABE"/>
    <w:rsid w:val="00F92BE9"/>
    <w:rsid w:val="00F930A5"/>
    <w:rsid w:val="00F930D5"/>
    <w:rsid w:val="00F9363E"/>
    <w:rsid w:val="00F93FF6"/>
    <w:rsid w:val="00F9473D"/>
    <w:rsid w:val="00F94AB7"/>
    <w:rsid w:val="00F94EC1"/>
    <w:rsid w:val="00F9509B"/>
    <w:rsid w:val="00F9524E"/>
    <w:rsid w:val="00F9592C"/>
    <w:rsid w:val="00F9610C"/>
    <w:rsid w:val="00F964D3"/>
    <w:rsid w:val="00F96FF4"/>
    <w:rsid w:val="00F96FFE"/>
    <w:rsid w:val="00F970CF"/>
    <w:rsid w:val="00F97D9B"/>
    <w:rsid w:val="00F97EE7"/>
    <w:rsid w:val="00FA0A64"/>
    <w:rsid w:val="00FA0CA5"/>
    <w:rsid w:val="00FA0FAD"/>
    <w:rsid w:val="00FA123A"/>
    <w:rsid w:val="00FA14B2"/>
    <w:rsid w:val="00FA1F3A"/>
    <w:rsid w:val="00FA207C"/>
    <w:rsid w:val="00FA242F"/>
    <w:rsid w:val="00FA2680"/>
    <w:rsid w:val="00FA2A04"/>
    <w:rsid w:val="00FA2B55"/>
    <w:rsid w:val="00FA2EA7"/>
    <w:rsid w:val="00FA3018"/>
    <w:rsid w:val="00FA344A"/>
    <w:rsid w:val="00FA3A21"/>
    <w:rsid w:val="00FA3AA2"/>
    <w:rsid w:val="00FA3EB9"/>
    <w:rsid w:val="00FA3ED6"/>
    <w:rsid w:val="00FA4393"/>
    <w:rsid w:val="00FA445B"/>
    <w:rsid w:val="00FA44A7"/>
    <w:rsid w:val="00FA49B5"/>
    <w:rsid w:val="00FA4F65"/>
    <w:rsid w:val="00FA57BB"/>
    <w:rsid w:val="00FA582C"/>
    <w:rsid w:val="00FA5AB5"/>
    <w:rsid w:val="00FA5C27"/>
    <w:rsid w:val="00FA6304"/>
    <w:rsid w:val="00FA6399"/>
    <w:rsid w:val="00FA658A"/>
    <w:rsid w:val="00FA67A5"/>
    <w:rsid w:val="00FA6C02"/>
    <w:rsid w:val="00FA6C56"/>
    <w:rsid w:val="00FA7432"/>
    <w:rsid w:val="00FA794C"/>
    <w:rsid w:val="00FA7AB2"/>
    <w:rsid w:val="00FA7B7B"/>
    <w:rsid w:val="00FA7BE4"/>
    <w:rsid w:val="00FB01D4"/>
    <w:rsid w:val="00FB03B7"/>
    <w:rsid w:val="00FB0996"/>
    <w:rsid w:val="00FB0C97"/>
    <w:rsid w:val="00FB0EC5"/>
    <w:rsid w:val="00FB0F65"/>
    <w:rsid w:val="00FB122F"/>
    <w:rsid w:val="00FB1365"/>
    <w:rsid w:val="00FB15B1"/>
    <w:rsid w:val="00FB2697"/>
    <w:rsid w:val="00FB26FC"/>
    <w:rsid w:val="00FB2B5A"/>
    <w:rsid w:val="00FB2B91"/>
    <w:rsid w:val="00FB2BA9"/>
    <w:rsid w:val="00FB3109"/>
    <w:rsid w:val="00FB31F1"/>
    <w:rsid w:val="00FB3272"/>
    <w:rsid w:val="00FB3297"/>
    <w:rsid w:val="00FB37D3"/>
    <w:rsid w:val="00FB3871"/>
    <w:rsid w:val="00FB3DAC"/>
    <w:rsid w:val="00FB4564"/>
    <w:rsid w:val="00FB457D"/>
    <w:rsid w:val="00FB52B8"/>
    <w:rsid w:val="00FB5498"/>
    <w:rsid w:val="00FB5562"/>
    <w:rsid w:val="00FB5703"/>
    <w:rsid w:val="00FB576A"/>
    <w:rsid w:val="00FB6D31"/>
    <w:rsid w:val="00FB7115"/>
    <w:rsid w:val="00FB7E17"/>
    <w:rsid w:val="00FC0085"/>
    <w:rsid w:val="00FC01F7"/>
    <w:rsid w:val="00FC0345"/>
    <w:rsid w:val="00FC0994"/>
    <w:rsid w:val="00FC0C81"/>
    <w:rsid w:val="00FC0D95"/>
    <w:rsid w:val="00FC0F66"/>
    <w:rsid w:val="00FC105C"/>
    <w:rsid w:val="00FC118E"/>
    <w:rsid w:val="00FC1661"/>
    <w:rsid w:val="00FC187A"/>
    <w:rsid w:val="00FC1897"/>
    <w:rsid w:val="00FC1C23"/>
    <w:rsid w:val="00FC23B7"/>
    <w:rsid w:val="00FC2453"/>
    <w:rsid w:val="00FC26BA"/>
    <w:rsid w:val="00FC27C7"/>
    <w:rsid w:val="00FC294E"/>
    <w:rsid w:val="00FC318D"/>
    <w:rsid w:val="00FC3F6D"/>
    <w:rsid w:val="00FC44C1"/>
    <w:rsid w:val="00FC45C8"/>
    <w:rsid w:val="00FC4600"/>
    <w:rsid w:val="00FC4A86"/>
    <w:rsid w:val="00FC4B4C"/>
    <w:rsid w:val="00FC5473"/>
    <w:rsid w:val="00FC5B29"/>
    <w:rsid w:val="00FC60CD"/>
    <w:rsid w:val="00FC61F8"/>
    <w:rsid w:val="00FC631D"/>
    <w:rsid w:val="00FC6671"/>
    <w:rsid w:val="00FC68FA"/>
    <w:rsid w:val="00FC6C99"/>
    <w:rsid w:val="00FC6CEE"/>
    <w:rsid w:val="00FC6D26"/>
    <w:rsid w:val="00FC6D68"/>
    <w:rsid w:val="00FC7220"/>
    <w:rsid w:val="00FC7B66"/>
    <w:rsid w:val="00FC7B9A"/>
    <w:rsid w:val="00FC7FA8"/>
    <w:rsid w:val="00FD0369"/>
    <w:rsid w:val="00FD0B77"/>
    <w:rsid w:val="00FD0F0A"/>
    <w:rsid w:val="00FD1299"/>
    <w:rsid w:val="00FD12A0"/>
    <w:rsid w:val="00FD1621"/>
    <w:rsid w:val="00FD1625"/>
    <w:rsid w:val="00FD19B9"/>
    <w:rsid w:val="00FD1A39"/>
    <w:rsid w:val="00FD222D"/>
    <w:rsid w:val="00FD23B7"/>
    <w:rsid w:val="00FD2708"/>
    <w:rsid w:val="00FD2776"/>
    <w:rsid w:val="00FD2BF0"/>
    <w:rsid w:val="00FD2E21"/>
    <w:rsid w:val="00FD2E9F"/>
    <w:rsid w:val="00FD321E"/>
    <w:rsid w:val="00FD3610"/>
    <w:rsid w:val="00FD3843"/>
    <w:rsid w:val="00FD3C63"/>
    <w:rsid w:val="00FD3FED"/>
    <w:rsid w:val="00FD40C8"/>
    <w:rsid w:val="00FD4343"/>
    <w:rsid w:val="00FD4393"/>
    <w:rsid w:val="00FD450D"/>
    <w:rsid w:val="00FD473C"/>
    <w:rsid w:val="00FD4740"/>
    <w:rsid w:val="00FD4760"/>
    <w:rsid w:val="00FD4B95"/>
    <w:rsid w:val="00FD510A"/>
    <w:rsid w:val="00FD5611"/>
    <w:rsid w:val="00FD5A1F"/>
    <w:rsid w:val="00FD6594"/>
    <w:rsid w:val="00FD6A82"/>
    <w:rsid w:val="00FD6AED"/>
    <w:rsid w:val="00FD746B"/>
    <w:rsid w:val="00FD7485"/>
    <w:rsid w:val="00FD7690"/>
    <w:rsid w:val="00FD7FB7"/>
    <w:rsid w:val="00FE031D"/>
    <w:rsid w:val="00FE04F9"/>
    <w:rsid w:val="00FE07D3"/>
    <w:rsid w:val="00FE07F7"/>
    <w:rsid w:val="00FE0B50"/>
    <w:rsid w:val="00FE1076"/>
    <w:rsid w:val="00FE10AC"/>
    <w:rsid w:val="00FE1177"/>
    <w:rsid w:val="00FE121A"/>
    <w:rsid w:val="00FE18EE"/>
    <w:rsid w:val="00FE1AE2"/>
    <w:rsid w:val="00FE2042"/>
    <w:rsid w:val="00FE32A2"/>
    <w:rsid w:val="00FE342A"/>
    <w:rsid w:val="00FE35EE"/>
    <w:rsid w:val="00FE38BC"/>
    <w:rsid w:val="00FE3ED6"/>
    <w:rsid w:val="00FE3F46"/>
    <w:rsid w:val="00FE3FEF"/>
    <w:rsid w:val="00FE43F6"/>
    <w:rsid w:val="00FE5740"/>
    <w:rsid w:val="00FE5DAE"/>
    <w:rsid w:val="00FE5E55"/>
    <w:rsid w:val="00FE5FF8"/>
    <w:rsid w:val="00FE64CD"/>
    <w:rsid w:val="00FE66C7"/>
    <w:rsid w:val="00FE67D5"/>
    <w:rsid w:val="00FE6AAE"/>
    <w:rsid w:val="00FE71D8"/>
    <w:rsid w:val="00FE7253"/>
    <w:rsid w:val="00FE7484"/>
    <w:rsid w:val="00FE782E"/>
    <w:rsid w:val="00FE7F5A"/>
    <w:rsid w:val="00FF0195"/>
    <w:rsid w:val="00FF01DD"/>
    <w:rsid w:val="00FF0232"/>
    <w:rsid w:val="00FF031A"/>
    <w:rsid w:val="00FF0EF0"/>
    <w:rsid w:val="00FF0F3F"/>
    <w:rsid w:val="00FF119F"/>
    <w:rsid w:val="00FF1373"/>
    <w:rsid w:val="00FF144A"/>
    <w:rsid w:val="00FF148E"/>
    <w:rsid w:val="00FF1642"/>
    <w:rsid w:val="00FF1E85"/>
    <w:rsid w:val="00FF1E9A"/>
    <w:rsid w:val="00FF2029"/>
    <w:rsid w:val="00FF20DD"/>
    <w:rsid w:val="00FF22A6"/>
    <w:rsid w:val="00FF2542"/>
    <w:rsid w:val="00FF2E80"/>
    <w:rsid w:val="00FF3502"/>
    <w:rsid w:val="00FF3671"/>
    <w:rsid w:val="00FF3B8C"/>
    <w:rsid w:val="00FF3D5C"/>
    <w:rsid w:val="00FF3F6A"/>
    <w:rsid w:val="00FF4143"/>
    <w:rsid w:val="00FF4DF7"/>
    <w:rsid w:val="00FF4F9A"/>
    <w:rsid w:val="00FF55B1"/>
    <w:rsid w:val="00FF59A8"/>
    <w:rsid w:val="00FF60BD"/>
    <w:rsid w:val="00FF6548"/>
    <w:rsid w:val="00FF6998"/>
    <w:rsid w:val="00FF715E"/>
    <w:rsid w:val="00FF78FB"/>
    <w:rsid w:val="00FF7B5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C1FABC"/>
  <w15:chartTrackingRefBased/>
  <w15:docId w15:val="{25806C3D-5135-458F-8401-9EF36A16E2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uiPriority="10"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A1A5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806CEE"/>
    <w:rPr>
      <w:rFonts w:ascii="Tahoma" w:hAnsi="Tahoma" w:cs="Tahoma"/>
      <w:sz w:val="16"/>
      <w:szCs w:val="16"/>
    </w:rPr>
  </w:style>
  <w:style w:type="character" w:styleId="Hyperlink">
    <w:name w:val="Hyperlink"/>
    <w:rsid w:val="00B201B1"/>
    <w:rPr>
      <w:color w:val="0563C1"/>
      <w:u w:val="single"/>
    </w:rPr>
  </w:style>
  <w:style w:type="paragraph" w:styleId="Title">
    <w:name w:val="Title"/>
    <w:basedOn w:val="Normal"/>
    <w:link w:val="TitleChar"/>
    <w:uiPriority w:val="10"/>
    <w:qFormat/>
    <w:rsid w:val="0008021C"/>
    <w:pPr>
      <w:spacing w:before="100" w:beforeAutospacing="1" w:after="100" w:afterAutospacing="1"/>
    </w:pPr>
  </w:style>
  <w:style w:type="character" w:customStyle="1" w:styleId="TitleChar">
    <w:name w:val="Title Char"/>
    <w:link w:val="Title"/>
    <w:uiPriority w:val="10"/>
    <w:rsid w:val="0008021C"/>
    <w:rPr>
      <w:sz w:val="24"/>
      <w:szCs w:val="24"/>
    </w:rPr>
  </w:style>
  <w:style w:type="character" w:styleId="UnresolvedMention">
    <w:name w:val="Unresolved Mention"/>
    <w:uiPriority w:val="99"/>
    <w:semiHidden/>
    <w:unhideWhenUsed/>
    <w:rsid w:val="00D038A2"/>
    <w:rPr>
      <w:color w:val="605E5C"/>
      <w:shd w:val="clear" w:color="auto" w:fill="E1DFDD"/>
    </w:rPr>
  </w:style>
  <w:style w:type="character" w:styleId="CommentReference">
    <w:name w:val="annotation reference"/>
    <w:rsid w:val="002269F4"/>
    <w:rPr>
      <w:sz w:val="16"/>
      <w:szCs w:val="16"/>
    </w:rPr>
  </w:style>
  <w:style w:type="paragraph" w:styleId="CommentText">
    <w:name w:val="annotation text"/>
    <w:basedOn w:val="Normal"/>
    <w:link w:val="CommentTextChar"/>
    <w:rsid w:val="002269F4"/>
    <w:rPr>
      <w:sz w:val="20"/>
      <w:szCs w:val="20"/>
    </w:rPr>
  </w:style>
  <w:style w:type="character" w:customStyle="1" w:styleId="CommentTextChar">
    <w:name w:val="Comment Text Char"/>
    <w:basedOn w:val="DefaultParagraphFont"/>
    <w:link w:val="CommentText"/>
    <w:rsid w:val="002269F4"/>
  </w:style>
  <w:style w:type="paragraph" w:styleId="CommentSubject">
    <w:name w:val="annotation subject"/>
    <w:basedOn w:val="CommentText"/>
    <w:next w:val="CommentText"/>
    <w:link w:val="CommentSubjectChar"/>
    <w:rsid w:val="002269F4"/>
    <w:rPr>
      <w:b/>
      <w:bCs/>
    </w:rPr>
  </w:style>
  <w:style w:type="character" w:customStyle="1" w:styleId="CommentSubjectChar">
    <w:name w:val="Comment Subject Char"/>
    <w:link w:val="CommentSubject"/>
    <w:rsid w:val="002269F4"/>
    <w:rPr>
      <w:b/>
      <w:bCs/>
    </w:rPr>
  </w:style>
  <w:style w:type="paragraph" w:styleId="Header">
    <w:name w:val="header"/>
    <w:basedOn w:val="Normal"/>
    <w:link w:val="HeaderChar"/>
    <w:rsid w:val="00994E9F"/>
    <w:pPr>
      <w:tabs>
        <w:tab w:val="center" w:pos="4513"/>
        <w:tab w:val="right" w:pos="9026"/>
      </w:tabs>
    </w:pPr>
  </w:style>
  <w:style w:type="character" w:customStyle="1" w:styleId="HeaderChar">
    <w:name w:val="Header Char"/>
    <w:link w:val="Header"/>
    <w:rsid w:val="00994E9F"/>
    <w:rPr>
      <w:sz w:val="24"/>
      <w:szCs w:val="24"/>
    </w:rPr>
  </w:style>
  <w:style w:type="paragraph" w:styleId="Footer">
    <w:name w:val="footer"/>
    <w:basedOn w:val="Normal"/>
    <w:link w:val="FooterChar"/>
    <w:uiPriority w:val="99"/>
    <w:rsid w:val="00994E9F"/>
    <w:pPr>
      <w:tabs>
        <w:tab w:val="center" w:pos="4513"/>
        <w:tab w:val="right" w:pos="9026"/>
      </w:tabs>
    </w:pPr>
  </w:style>
  <w:style w:type="character" w:customStyle="1" w:styleId="FooterChar">
    <w:name w:val="Footer Char"/>
    <w:link w:val="Footer"/>
    <w:uiPriority w:val="99"/>
    <w:rsid w:val="00994E9F"/>
    <w:rPr>
      <w:sz w:val="24"/>
      <w:szCs w:val="24"/>
    </w:rPr>
  </w:style>
  <w:style w:type="paragraph" w:customStyle="1" w:styleId="notedraft">
    <w:name w:val="note(draft)"/>
    <w:aliases w:val="nd"/>
    <w:basedOn w:val="Normal"/>
    <w:rsid w:val="001879DE"/>
    <w:pPr>
      <w:spacing w:before="240"/>
      <w:ind w:left="284" w:hanging="284"/>
    </w:pPr>
    <w:rPr>
      <w:i/>
      <w:szCs w:val="20"/>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5E53F7"/>
    <w:pPr>
      <w:spacing w:before="100" w:after="200" w:line="276" w:lineRule="auto"/>
      <w:ind w:left="720"/>
      <w:contextualSpacing/>
    </w:pPr>
    <w:rPr>
      <w:rFonts w:ascii="Calibri" w:hAnsi="Calibri"/>
      <w:sz w:val="20"/>
      <w:szCs w:val="20"/>
      <w:lang w:eastAsia="en-US"/>
    </w:r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link w:val="ListParagraph"/>
    <w:uiPriority w:val="34"/>
    <w:qFormat/>
    <w:locked/>
    <w:rsid w:val="005E53F7"/>
    <w:rPr>
      <w:rFonts w:ascii="Calibri" w:hAnsi="Calibri"/>
      <w:lang w:eastAsia="en-US"/>
    </w:rPr>
  </w:style>
  <w:style w:type="character" w:customStyle="1" w:styleId="ActHead5Char">
    <w:name w:val="ActHead 5 Char"/>
    <w:aliases w:val="s Char"/>
    <w:link w:val="ActHead5"/>
    <w:locked/>
    <w:rsid w:val="00E26462"/>
    <w:rPr>
      <w:b/>
      <w:kern w:val="28"/>
      <w:sz w:val="24"/>
    </w:rPr>
  </w:style>
  <w:style w:type="paragraph" w:customStyle="1" w:styleId="ActHead5">
    <w:name w:val="ActHead 5"/>
    <w:aliases w:val="s"/>
    <w:basedOn w:val="Normal"/>
    <w:next w:val="Normal"/>
    <w:link w:val="ActHead5Char"/>
    <w:qFormat/>
    <w:rsid w:val="00E26462"/>
    <w:pPr>
      <w:keepNext/>
      <w:keepLines/>
      <w:spacing w:before="280"/>
      <w:ind w:left="1134" w:hanging="1134"/>
      <w:outlineLvl w:val="4"/>
    </w:pPr>
    <w:rPr>
      <w:b/>
      <w:kern w:val="28"/>
      <w:szCs w:val="20"/>
    </w:rPr>
  </w:style>
  <w:style w:type="paragraph" w:customStyle="1" w:styleId="ItemHead">
    <w:name w:val="ItemHead"/>
    <w:aliases w:val="ih"/>
    <w:basedOn w:val="Normal"/>
    <w:next w:val="Item"/>
    <w:rsid w:val="00E47912"/>
    <w:pPr>
      <w:keepNext/>
      <w:keepLines/>
      <w:spacing w:before="220"/>
      <w:ind w:left="709" w:hanging="709"/>
    </w:pPr>
    <w:rPr>
      <w:rFonts w:ascii="Arial" w:hAnsi="Arial"/>
      <w:b/>
      <w:kern w:val="28"/>
      <w:szCs w:val="20"/>
    </w:rPr>
  </w:style>
  <w:style w:type="paragraph" w:customStyle="1" w:styleId="Item">
    <w:name w:val="Item"/>
    <w:aliases w:val="i"/>
    <w:basedOn w:val="Normal"/>
    <w:next w:val="ItemHead"/>
    <w:rsid w:val="00E47912"/>
    <w:pPr>
      <w:keepLines/>
      <w:spacing w:before="80"/>
      <w:ind w:left="709"/>
    </w:pPr>
    <w:rPr>
      <w:sz w:val="22"/>
      <w:szCs w:val="20"/>
    </w:rPr>
  </w:style>
  <w:style w:type="paragraph" w:customStyle="1" w:styleId="paragraph">
    <w:name w:val="paragraph"/>
    <w:aliases w:val="a"/>
    <w:basedOn w:val="Normal"/>
    <w:rsid w:val="00E47912"/>
    <w:pPr>
      <w:tabs>
        <w:tab w:val="right" w:pos="1531"/>
      </w:tabs>
      <w:spacing w:before="40"/>
      <w:ind w:left="1644" w:hanging="1644"/>
    </w:pPr>
    <w:rPr>
      <w:sz w:val="22"/>
      <w:szCs w:val="20"/>
    </w:rPr>
  </w:style>
  <w:style w:type="paragraph" w:customStyle="1" w:styleId="legcohead3">
    <w:name w:val="legcohead3"/>
    <w:basedOn w:val="Normal"/>
    <w:rsid w:val="005B00CC"/>
    <w:pPr>
      <w:keepNext/>
    </w:pPr>
    <w:rPr>
      <w:b/>
      <w:kern w:val="28"/>
      <w:szCs w:val="20"/>
      <w:lang w:val="en-US"/>
    </w:rPr>
  </w:style>
  <w:style w:type="character" w:styleId="FollowedHyperlink">
    <w:name w:val="FollowedHyperlink"/>
    <w:rsid w:val="002F093C"/>
    <w:rPr>
      <w:color w:val="954F72"/>
      <w:u w:val="single"/>
    </w:rPr>
  </w:style>
  <w:style w:type="paragraph" w:styleId="NoSpacing">
    <w:name w:val="No Spacing"/>
    <w:basedOn w:val="Normal"/>
    <w:uiPriority w:val="1"/>
    <w:qFormat/>
    <w:rsid w:val="0057560D"/>
    <w:pPr>
      <w:ind w:left="567"/>
    </w:pPr>
    <w:rPr>
      <w:rFonts w:ascii="Arial" w:eastAsia="Calibri" w:hAnsi="Arial" w:cs="Arial"/>
      <w:sz w:val="22"/>
      <w:szCs w:val="22"/>
      <w:lang w:eastAsia="ja-JP"/>
    </w:rPr>
  </w:style>
  <w:style w:type="paragraph" w:styleId="Revision">
    <w:name w:val="Revision"/>
    <w:hidden/>
    <w:uiPriority w:val="99"/>
    <w:semiHidden/>
    <w:rsid w:val="00B42687"/>
    <w:rPr>
      <w:sz w:val="24"/>
      <w:szCs w:val="24"/>
    </w:rPr>
  </w:style>
  <w:style w:type="paragraph" w:customStyle="1" w:styleId="mpcbullets1">
    <w:name w:val="mpc bullets 1"/>
    <w:qFormat/>
    <w:rsid w:val="00AA50BE"/>
    <w:pPr>
      <w:numPr>
        <w:numId w:val="32"/>
      </w:numPr>
    </w:pPr>
    <w:rPr>
      <w:rFonts w:ascii="Calibri" w:eastAsia="Calibri" w:hAnsi="Calibri" w:cs="Arial"/>
      <w:sz w:val="24"/>
      <w:szCs w:val="24"/>
      <w:lang w:eastAsia="en-US"/>
    </w:rPr>
  </w:style>
  <w:style w:type="paragraph" w:styleId="NormalWeb">
    <w:name w:val="Normal (Web)"/>
    <w:basedOn w:val="Normal"/>
    <w:uiPriority w:val="99"/>
    <w:unhideWhenUsed/>
    <w:rsid w:val="00906A8C"/>
    <w:pPr>
      <w:spacing w:before="100" w:beforeAutospacing="1" w:after="100" w:afterAutospacing="1"/>
    </w:pPr>
  </w:style>
  <w:style w:type="character" w:customStyle="1" w:styleId="subsectionChar">
    <w:name w:val="subsection Char"/>
    <w:aliases w:val="ss Char"/>
    <w:link w:val="subsection"/>
    <w:locked/>
    <w:rsid w:val="00906A8C"/>
    <w:rPr>
      <w:sz w:val="22"/>
    </w:rPr>
  </w:style>
  <w:style w:type="paragraph" w:customStyle="1" w:styleId="subsection">
    <w:name w:val="subsection"/>
    <w:aliases w:val="ss,Subsection"/>
    <w:basedOn w:val="Normal"/>
    <w:link w:val="subsectionChar"/>
    <w:rsid w:val="00906A8C"/>
    <w:pPr>
      <w:tabs>
        <w:tab w:val="right" w:pos="1021"/>
      </w:tabs>
      <w:spacing w:before="180"/>
      <w:ind w:left="1134" w:hanging="1134"/>
    </w:pPr>
    <w:rPr>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601255">
      <w:bodyDiv w:val="1"/>
      <w:marLeft w:val="0"/>
      <w:marRight w:val="0"/>
      <w:marTop w:val="0"/>
      <w:marBottom w:val="0"/>
      <w:divBdr>
        <w:top w:val="none" w:sz="0" w:space="0" w:color="auto"/>
        <w:left w:val="none" w:sz="0" w:space="0" w:color="auto"/>
        <w:bottom w:val="none" w:sz="0" w:space="0" w:color="auto"/>
        <w:right w:val="none" w:sz="0" w:space="0" w:color="auto"/>
      </w:divBdr>
    </w:div>
    <w:div w:id="107506332">
      <w:bodyDiv w:val="1"/>
      <w:marLeft w:val="0"/>
      <w:marRight w:val="0"/>
      <w:marTop w:val="0"/>
      <w:marBottom w:val="0"/>
      <w:divBdr>
        <w:top w:val="none" w:sz="0" w:space="0" w:color="auto"/>
        <w:left w:val="none" w:sz="0" w:space="0" w:color="auto"/>
        <w:bottom w:val="none" w:sz="0" w:space="0" w:color="auto"/>
        <w:right w:val="none" w:sz="0" w:space="0" w:color="auto"/>
      </w:divBdr>
    </w:div>
    <w:div w:id="188377508">
      <w:bodyDiv w:val="1"/>
      <w:marLeft w:val="0"/>
      <w:marRight w:val="0"/>
      <w:marTop w:val="0"/>
      <w:marBottom w:val="0"/>
      <w:divBdr>
        <w:top w:val="none" w:sz="0" w:space="0" w:color="auto"/>
        <w:left w:val="none" w:sz="0" w:space="0" w:color="auto"/>
        <w:bottom w:val="none" w:sz="0" w:space="0" w:color="auto"/>
        <w:right w:val="none" w:sz="0" w:space="0" w:color="auto"/>
      </w:divBdr>
    </w:div>
    <w:div w:id="236744885">
      <w:bodyDiv w:val="1"/>
      <w:marLeft w:val="0"/>
      <w:marRight w:val="0"/>
      <w:marTop w:val="0"/>
      <w:marBottom w:val="0"/>
      <w:divBdr>
        <w:top w:val="none" w:sz="0" w:space="0" w:color="auto"/>
        <w:left w:val="none" w:sz="0" w:space="0" w:color="auto"/>
        <w:bottom w:val="none" w:sz="0" w:space="0" w:color="auto"/>
        <w:right w:val="none" w:sz="0" w:space="0" w:color="auto"/>
      </w:divBdr>
    </w:div>
    <w:div w:id="250360207">
      <w:bodyDiv w:val="1"/>
      <w:marLeft w:val="0"/>
      <w:marRight w:val="0"/>
      <w:marTop w:val="0"/>
      <w:marBottom w:val="0"/>
      <w:divBdr>
        <w:top w:val="none" w:sz="0" w:space="0" w:color="auto"/>
        <w:left w:val="none" w:sz="0" w:space="0" w:color="auto"/>
        <w:bottom w:val="none" w:sz="0" w:space="0" w:color="auto"/>
        <w:right w:val="none" w:sz="0" w:space="0" w:color="auto"/>
      </w:divBdr>
    </w:div>
    <w:div w:id="252860680">
      <w:bodyDiv w:val="1"/>
      <w:marLeft w:val="0"/>
      <w:marRight w:val="0"/>
      <w:marTop w:val="0"/>
      <w:marBottom w:val="0"/>
      <w:divBdr>
        <w:top w:val="none" w:sz="0" w:space="0" w:color="auto"/>
        <w:left w:val="none" w:sz="0" w:space="0" w:color="auto"/>
        <w:bottom w:val="none" w:sz="0" w:space="0" w:color="auto"/>
        <w:right w:val="none" w:sz="0" w:space="0" w:color="auto"/>
      </w:divBdr>
    </w:div>
    <w:div w:id="302393652">
      <w:bodyDiv w:val="1"/>
      <w:marLeft w:val="0"/>
      <w:marRight w:val="0"/>
      <w:marTop w:val="0"/>
      <w:marBottom w:val="0"/>
      <w:divBdr>
        <w:top w:val="none" w:sz="0" w:space="0" w:color="auto"/>
        <w:left w:val="none" w:sz="0" w:space="0" w:color="auto"/>
        <w:bottom w:val="none" w:sz="0" w:space="0" w:color="auto"/>
        <w:right w:val="none" w:sz="0" w:space="0" w:color="auto"/>
      </w:divBdr>
    </w:div>
    <w:div w:id="447940543">
      <w:bodyDiv w:val="1"/>
      <w:marLeft w:val="0"/>
      <w:marRight w:val="0"/>
      <w:marTop w:val="0"/>
      <w:marBottom w:val="0"/>
      <w:divBdr>
        <w:top w:val="none" w:sz="0" w:space="0" w:color="auto"/>
        <w:left w:val="none" w:sz="0" w:space="0" w:color="auto"/>
        <w:bottom w:val="none" w:sz="0" w:space="0" w:color="auto"/>
        <w:right w:val="none" w:sz="0" w:space="0" w:color="auto"/>
      </w:divBdr>
    </w:div>
    <w:div w:id="462580259">
      <w:bodyDiv w:val="1"/>
      <w:marLeft w:val="0"/>
      <w:marRight w:val="0"/>
      <w:marTop w:val="0"/>
      <w:marBottom w:val="0"/>
      <w:divBdr>
        <w:top w:val="none" w:sz="0" w:space="0" w:color="auto"/>
        <w:left w:val="none" w:sz="0" w:space="0" w:color="auto"/>
        <w:bottom w:val="none" w:sz="0" w:space="0" w:color="auto"/>
        <w:right w:val="none" w:sz="0" w:space="0" w:color="auto"/>
      </w:divBdr>
    </w:div>
    <w:div w:id="664477274">
      <w:bodyDiv w:val="1"/>
      <w:marLeft w:val="0"/>
      <w:marRight w:val="0"/>
      <w:marTop w:val="0"/>
      <w:marBottom w:val="0"/>
      <w:divBdr>
        <w:top w:val="none" w:sz="0" w:space="0" w:color="auto"/>
        <w:left w:val="none" w:sz="0" w:space="0" w:color="auto"/>
        <w:bottom w:val="none" w:sz="0" w:space="0" w:color="auto"/>
        <w:right w:val="none" w:sz="0" w:space="0" w:color="auto"/>
      </w:divBdr>
    </w:div>
    <w:div w:id="683635347">
      <w:bodyDiv w:val="1"/>
      <w:marLeft w:val="0"/>
      <w:marRight w:val="0"/>
      <w:marTop w:val="0"/>
      <w:marBottom w:val="0"/>
      <w:divBdr>
        <w:top w:val="none" w:sz="0" w:space="0" w:color="auto"/>
        <w:left w:val="none" w:sz="0" w:space="0" w:color="auto"/>
        <w:bottom w:val="none" w:sz="0" w:space="0" w:color="auto"/>
        <w:right w:val="none" w:sz="0" w:space="0" w:color="auto"/>
      </w:divBdr>
    </w:div>
    <w:div w:id="715199549">
      <w:bodyDiv w:val="1"/>
      <w:marLeft w:val="0"/>
      <w:marRight w:val="0"/>
      <w:marTop w:val="0"/>
      <w:marBottom w:val="0"/>
      <w:divBdr>
        <w:top w:val="none" w:sz="0" w:space="0" w:color="auto"/>
        <w:left w:val="none" w:sz="0" w:space="0" w:color="auto"/>
        <w:bottom w:val="none" w:sz="0" w:space="0" w:color="auto"/>
        <w:right w:val="none" w:sz="0" w:space="0" w:color="auto"/>
      </w:divBdr>
    </w:div>
    <w:div w:id="798379110">
      <w:bodyDiv w:val="1"/>
      <w:marLeft w:val="0"/>
      <w:marRight w:val="0"/>
      <w:marTop w:val="0"/>
      <w:marBottom w:val="0"/>
      <w:divBdr>
        <w:top w:val="none" w:sz="0" w:space="0" w:color="auto"/>
        <w:left w:val="none" w:sz="0" w:space="0" w:color="auto"/>
        <w:bottom w:val="none" w:sz="0" w:space="0" w:color="auto"/>
        <w:right w:val="none" w:sz="0" w:space="0" w:color="auto"/>
      </w:divBdr>
    </w:div>
    <w:div w:id="816454311">
      <w:bodyDiv w:val="1"/>
      <w:marLeft w:val="0"/>
      <w:marRight w:val="0"/>
      <w:marTop w:val="0"/>
      <w:marBottom w:val="0"/>
      <w:divBdr>
        <w:top w:val="none" w:sz="0" w:space="0" w:color="auto"/>
        <w:left w:val="none" w:sz="0" w:space="0" w:color="auto"/>
        <w:bottom w:val="none" w:sz="0" w:space="0" w:color="auto"/>
        <w:right w:val="none" w:sz="0" w:space="0" w:color="auto"/>
      </w:divBdr>
    </w:div>
    <w:div w:id="820846690">
      <w:bodyDiv w:val="1"/>
      <w:marLeft w:val="0"/>
      <w:marRight w:val="0"/>
      <w:marTop w:val="0"/>
      <w:marBottom w:val="0"/>
      <w:divBdr>
        <w:top w:val="none" w:sz="0" w:space="0" w:color="auto"/>
        <w:left w:val="none" w:sz="0" w:space="0" w:color="auto"/>
        <w:bottom w:val="none" w:sz="0" w:space="0" w:color="auto"/>
        <w:right w:val="none" w:sz="0" w:space="0" w:color="auto"/>
      </w:divBdr>
    </w:div>
    <w:div w:id="871185814">
      <w:bodyDiv w:val="1"/>
      <w:marLeft w:val="0"/>
      <w:marRight w:val="0"/>
      <w:marTop w:val="0"/>
      <w:marBottom w:val="0"/>
      <w:divBdr>
        <w:top w:val="none" w:sz="0" w:space="0" w:color="auto"/>
        <w:left w:val="none" w:sz="0" w:space="0" w:color="auto"/>
        <w:bottom w:val="none" w:sz="0" w:space="0" w:color="auto"/>
        <w:right w:val="none" w:sz="0" w:space="0" w:color="auto"/>
      </w:divBdr>
    </w:div>
    <w:div w:id="875001081">
      <w:bodyDiv w:val="1"/>
      <w:marLeft w:val="0"/>
      <w:marRight w:val="0"/>
      <w:marTop w:val="0"/>
      <w:marBottom w:val="0"/>
      <w:divBdr>
        <w:top w:val="none" w:sz="0" w:space="0" w:color="auto"/>
        <w:left w:val="none" w:sz="0" w:space="0" w:color="auto"/>
        <w:bottom w:val="none" w:sz="0" w:space="0" w:color="auto"/>
        <w:right w:val="none" w:sz="0" w:space="0" w:color="auto"/>
      </w:divBdr>
    </w:div>
    <w:div w:id="878856694">
      <w:bodyDiv w:val="1"/>
      <w:marLeft w:val="0"/>
      <w:marRight w:val="0"/>
      <w:marTop w:val="0"/>
      <w:marBottom w:val="0"/>
      <w:divBdr>
        <w:top w:val="none" w:sz="0" w:space="0" w:color="auto"/>
        <w:left w:val="none" w:sz="0" w:space="0" w:color="auto"/>
        <w:bottom w:val="none" w:sz="0" w:space="0" w:color="auto"/>
        <w:right w:val="none" w:sz="0" w:space="0" w:color="auto"/>
      </w:divBdr>
    </w:div>
    <w:div w:id="903680251">
      <w:bodyDiv w:val="1"/>
      <w:marLeft w:val="0"/>
      <w:marRight w:val="0"/>
      <w:marTop w:val="0"/>
      <w:marBottom w:val="0"/>
      <w:divBdr>
        <w:top w:val="none" w:sz="0" w:space="0" w:color="auto"/>
        <w:left w:val="none" w:sz="0" w:space="0" w:color="auto"/>
        <w:bottom w:val="none" w:sz="0" w:space="0" w:color="auto"/>
        <w:right w:val="none" w:sz="0" w:space="0" w:color="auto"/>
      </w:divBdr>
    </w:div>
    <w:div w:id="957566194">
      <w:bodyDiv w:val="1"/>
      <w:marLeft w:val="0"/>
      <w:marRight w:val="0"/>
      <w:marTop w:val="0"/>
      <w:marBottom w:val="0"/>
      <w:divBdr>
        <w:top w:val="none" w:sz="0" w:space="0" w:color="auto"/>
        <w:left w:val="none" w:sz="0" w:space="0" w:color="auto"/>
        <w:bottom w:val="none" w:sz="0" w:space="0" w:color="auto"/>
        <w:right w:val="none" w:sz="0" w:space="0" w:color="auto"/>
      </w:divBdr>
    </w:div>
    <w:div w:id="1154955891">
      <w:bodyDiv w:val="1"/>
      <w:marLeft w:val="0"/>
      <w:marRight w:val="0"/>
      <w:marTop w:val="0"/>
      <w:marBottom w:val="0"/>
      <w:divBdr>
        <w:top w:val="none" w:sz="0" w:space="0" w:color="auto"/>
        <w:left w:val="none" w:sz="0" w:space="0" w:color="auto"/>
        <w:bottom w:val="none" w:sz="0" w:space="0" w:color="auto"/>
        <w:right w:val="none" w:sz="0" w:space="0" w:color="auto"/>
      </w:divBdr>
    </w:div>
    <w:div w:id="1160315708">
      <w:bodyDiv w:val="1"/>
      <w:marLeft w:val="0"/>
      <w:marRight w:val="0"/>
      <w:marTop w:val="0"/>
      <w:marBottom w:val="0"/>
      <w:divBdr>
        <w:top w:val="none" w:sz="0" w:space="0" w:color="auto"/>
        <w:left w:val="none" w:sz="0" w:space="0" w:color="auto"/>
        <w:bottom w:val="none" w:sz="0" w:space="0" w:color="auto"/>
        <w:right w:val="none" w:sz="0" w:space="0" w:color="auto"/>
      </w:divBdr>
    </w:div>
    <w:div w:id="1160653975">
      <w:bodyDiv w:val="1"/>
      <w:marLeft w:val="0"/>
      <w:marRight w:val="0"/>
      <w:marTop w:val="0"/>
      <w:marBottom w:val="0"/>
      <w:divBdr>
        <w:top w:val="none" w:sz="0" w:space="0" w:color="auto"/>
        <w:left w:val="none" w:sz="0" w:space="0" w:color="auto"/>
        <w:bottom w:val="none" w:sz="0" w:space="0" w:color="auto"/>
        <w:right w:val="none" w:sz="0" w:space="0" w:color="auto"/>
      </w:divBdr>
    </w:div>
    <w:div w:id="1165899049">
      <w:bodyDiv w:val="1"/>
      <w:marLeft w:val="0"/>
      <w:marRight w:val="0"/>
      <w:marTop w:val="0"/>
      <w:marBottom w:val="0"/>
      <w:divBdr>
        <w:top w:val="none" w:sz="0" w:space="0" w:color="auto"/>
        <w:left w:val="none" w:sz="0" w:space="0" w:color="auto"/>
        <w:bottom w:val="none" w:sz="0" w:space="0" w:color="auto"/>
        <w:right w:val="none" w:sz="0" w:space="0" w:color="auto"/>
      </w:divBdr>
    </w:div>
    <w:div w:id="1192232777">
      <w:bodyDiv w:val="1"/>
      <w:marLeft w:val="0"/>
      <w:marRight w:val="0"/>
      <w:marTop w:val="0"/>
      <w:marBottom w:val="0"/>
      <w:divBdr>
        <w:top w:val="none" w:sz="0" w:space="0" w:color="auto"/>
        <w:left w:val="none" w:sz="0" w:space="0" w:color="auto"/>
        <w:bottom w:val="none" w:sz="0" w:space="0" w:color="auto"/>
        <w:right w:val="none" w:sz="0" w:space="0" w:color="auto"/>
      </w:divBdr>
    </w:div>
    <w:div w:id="1193491969">
      <w:bodyDiv w:val="1"/>
      <w:marLeft w:val="0"/>
      <w:marRight w:val="0"/>
      <w:marTop w:val="0"/>
      <w:marBottom w:val="0"/>
      <w:divBdr>
        <w:top w:val="none" w:sz="0" w:space="0" w:color="auto"/>
        <w:left w:val="none" w:sz="0" w:space="0" w:color="auto"/>
        <w:bottom w:val="none" w:sz="0" w:space="0" w:color="auto"/>
        <w:right w:val="none" w:sz="0" w:space="0" w:color="auto"/>
      </w:divBdr>
    </w:div>
    <w:div w:id="1195463161">
      <w:bodyDiv w:val="1"/>
      <w:marLeft w:val="0"/>
      <w:marRight w:val="0"/>
      <w:marTop w:val="0"/>
      <w:marBottom w:val="0"/>
      <w:divBdr>
        <w:top w:val="none" w:sz="0" w:space="0" w:color="auto"/>
        <w:left w:val="none" w:sz="0" w:space="0" w:color="auto"/>
        <w:bottom w:val="none" w:sz="0" w:space="0" w:color="auto"/>
        <w:right w:val="none" w:sz="0" w:space="0" w:color="auto"/>
      </w:divBdr>
    </w:div>
    <w:div w:id="1236935955">
      <w:bodyDiv w:val="1"/>
      <w:marLeft w:val="0"/>
      <w:marRight w:val="0"/>
      <w:marTop w:val="0"/>
      <w:marBottom w:val="0"/>
      <w:divBdr>
        <w:top w:val="none" w:sz="0" w:space="0" w:color="auto"/>
        <w:left w:val="none" w:sz="0" w:space="0" w:color="auto"/>
        <w:bottom w:val="none" w:sz="0" w:space="0" w:color="auto"/>
        <w:right w:val="none" w:sz="0" w:space="0" w:color="auto"/>
      </w:divBdr>
    </w:div>
    <w:div w:id="1319533681">
      <w:bodyDiv w:val="1"/>
      <w:marLeft w:val="0"/>
      <w:marRight w:val="0"/>
      <w:marTop w:val="0"/>
      <w:marBottom w:val="0"/>
      <w:divBdr>
        <w:top w:val="none" w:sz="0" w:space="0" w:color="auto"/>
        <w:left w:val="none" w:sz="0" w:space="0" w:color="auto"/>
        <w:bottom w:val="none" w:sz="0" w:space="0" w:color="auto"/>
        <w:right w:val="none" w:sz="0" w:space="0" w:color="auto"/>
      </w:divBdr>
    </w:div>
    <w:div w:id="1324428860">
      <w:bodyDiv w:val="1"/>
      <w:marLeft w:val="0"/>
      <w:marRight w:val="0"/>
      <w:marTop w:val="0"/>
      <w:marBottom w:val="0"/>
      <w:divBdr>
        <w:top w:val="none" w:sz="0" w:space="0" w:color="auto"/>
        <w:left w:val="none" w:sz="0" w:space="0" w:color="auto"/>
        <w:bottom w:val="none" w:sz="0" w:space="0" w:color="auto"/>
        <w:right w:val="none" w:sz="0" w:space="0" w:color="auto"/>
      </w:divBdr>
    </w:div>
    <w:div w:id="1395352035">
      <w:bodyDiv w:val="1"/>
      <w:marLeft w:val="0"/>
      <w:marRight w:val="0"/>
      <w:marTop w:val="0"/>
      <w:marBottom w:val="0"/>
      <w:divBdr>
        <w:top w:val="none" w:sz="0" w:space="0" w:color="auto"/>
        <w:left w:val="none" w:sz="0" w:space="0" w:color="auto"/>
        <w:bottom w:val="none" w:sz="0" w:space="0" w:color="auto"/>
        <w:right w:val="none" w:sz="0" w:space="0" w:color="auto"/>
      </w:divBdr>
    </w:div>
    <w:div w:id="1400788368">
      <w:bodyDiv w:val="1"/>
      <w:marLeft w:val="0"/>
      <w:marRight w:val="0"/>
      <w:marTop w:val="0"/>
      <w:marBottom w:val="0"/>
      <w:divBdr>
        <w:top w:val="none" w:sz="0" w:space="0" w:color="auto"/>
        <w:left w:val="none" w:sz="0" w:space="0" w:color="auto"/>
        <w:bottom w:val="none" w:sz="0" w:space="0" w:color="auto"/>
        <w:right w:val="none" w:sz="0" w:space="0" w:color="auto"/>
      </w:divBdr>
    </w:div>
    <w:div w:id="1550996828">
      <w:bodyDiv w:val="1"/>
      <w:marLeft w:val="0"/>
      <w:marRight w:val="0"/>
      <w:marTop w:val="0"/>
      <w:marBottom w:val="0"/>
      <w:divBdr>
        <w:top w:val="none" w:sz="0" w:space="0" w:color="auto"/>
        <w:left w:val="none" w:sz="0" w:space="0" w:color="auto"/>
        <w:bottom w:val="none" w:sz="0" w:space="0" w:color="auto"/>
        <w:right w:val="none" w:sz="0" w:space="0" w:color="auto"/>
      </w:divBdr>
    </w:div>
    <w:div w:id="1638536318">
      <w:bodyDiv w:val="1"/>
      <w:marLeft w:val="0"/>
      <w:marRight w:val="0"/>
      <w:marTop w:val="0"/>
      <w:marBottom w:val="0"/>
      <w:divBdr>
        <w:top w:val="none" w:sz="0" w:space="0" w:color="auto"/>
        <w:left w:val="none" w:sz="0" w:space="0" w:color="auto"/>
        <w:bottom w:val="none" w:sz="0" w:space="0" w:color="auto"/>
        <w:right w:val="none" w:sz="0" w:space="0" w:color="auto"/>
      </w:divBdr>
    </w:div>
    <w:div w:id="1730181987">
      <w:bodyDiv w:val="1"/>
      <w:marLeft w:val="0"/>
      <w:marRight w:val="0"/>
      <w:marTop w:val="0"/>
      <w:marBottom w:val="0"/>
      <w:divBdr>
        <w:top w:val="none" w:sz="0" w:space="0" w:color="auto"/>
        <w:left w:val="none" w:sz="0" w:space="0" w:color="auto"/>
        <w:bottom w:val="none" w:sz="0" w:space="0" w:color="auto"/>
        <w:right w:val="none" w:sz="0" w:space="0" w:color="auto"/>
      </w:divBdr>
    </w:div>
    <w:div w:id="1764452797">
      <w:bodyDiv w:val="1"/>
      <w:marLeft w:val="0"/>
      <w:marRight w:val="0"/>
      <w:marTop w:val="0"/>
      <w:marBottom w:val="0"/>
      <w:divBdr>
        <w:top w:val="none" w:sz="0" w:space="0" w:color="auto"/>
        <w:left w:val="none" w:sz="0" w:space="0" w:color="auto"/>
        <w:bottom w:val="none" w:sz="0" w:space="0" w:color="auto"/>
        <w:right w:val="none" w:sz="0" w:space="0" w:color="auto"/>
      </w:divBdr>
    </w:div>
    <w:div w:id="1941983184">
      <w:bodyDiv w:val="1"/>
      <w:marLeft w:val="0"/>
      <w:marRight w:val="0"/>
      <w:marTop w:val="0"/>
      <w:marBottom w:val="0"/>
      <w:divBdr>
        <w:top w:val="none" w:sz="0" w:space="0" w:color="auto"/>
        <w:left w:val="none" w:sz="0" w:space="0" w:color="auto"/>
        <w:bottom w:val="none" w:sz="0" w:space="0" w:color="auto"/>
        <w:right w:val="none" w:sz="0" w:space="0" w:color="auto"/>
      </w:divBdr>
    </w:div>
    <w:div w:id="2060128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obpr.pmc.gov.au/published-impact-analyses-and-reports/national-care-and-support-worker-regulation"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1C198D8CA96D9940B42D495AAE4E5E0E" ma:contentTypeVersion="5" ma:contentTypeDescription="Create a new document." ma:contentTypeScope="" ma:versionID="13fe2a1068db28f4686c7acc6ad9db0f">
  <xsd:schema xmlns:xsd="http://www.w3.org/2001/XMLSchema" xmlns:xs="http://www.w3.org/2001/XMLSchema" xmlns:p="http://schemas.microsoft.com/office/2006/metadata/properties" xmlns:ns3="fb3d6ec8-12ee-4e57-8dd2-0311f06f7c9b" xmlns:ns4="affdb5e0-e447-47fc-9a6f-12bbc3878b8f" targetNamespace="http://schemas.microsoft.com/office/2006/metadata/properties" ma:root="true" ma:fieldsID="1d023de279ce2a955cf5c82f52f16dd0" ns3:_="" ns4:_="">
    <xsd:import namespace="fb3d6ec8-12ee-4e57-8dd2-0311f06f7c9b"/>
    <xsd:import namespace="affdb5e0-e447-47fc-9a6f-12bbc3878b8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3d6ec8-12ee-4e57-8dd2-0311f06f7c9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ffdb5e0-e447-47fc-9a6f-12bbc3878b8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678CB04-DD27-42CA-8EAC-1D43D6ECD2A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873E257-DCF8-4F34-95B9-BDF766F3D56F}">
  <ds:schemaRefs>
    <ds:schemaRef ds:uri="http://schemas.microsoft.com/office/2006/metadata/longProperties"/>
  </ds:schemaRefs>
</ds:datastoreItem>
</file>

<file path=customXml/itemProps3.xml><?xml version="1.0" encoding="utf-8"?>
<ds:datastoreItem xmlns:ds="http://schemas.openxmlformats.org/officeDocument/2006/customXml" ds:itemID="{39E2CC04-3E9B-4B67-8EA7-3084FF45DC6D}">
  <ds:schemaRefs>
    <ds:schemaRef ds:uri="http://schemas.microsoft.com/sharepoint/v3/contenttype/forms"/>
  </ds:schemaRefs>
</ds:datastoreItem>
</file>

<file path=customXml/itemProps4.xml><?xml version="1.0" encoding="utf-8"?>
<ds:datastoreItem xmlns:ds="http://schemas.openxmlformats.org/officeDocument/2006/customXml" ds:itemID="{C8780079-ED63-46F1-B31E-A278E57CABC2}">
  <ds:schemaRefs>
    <ds:schemaRef ds:uri="http://schemas.openxmlformats.org/officeDocument/2006/bibliography"/>
  </ds:schemaRefs>
</ds:datastoreItem>
</file>

<file path=customXml/itemProps5.xml><?xml version="1.0" encoding="utf-8"?>
<ds:datastoreItem xmlns:ds="http://schemas.openxmlformats.org/officeDocument/2006/customXml" ds:itemID="{24749096-9EC4-4B51-9225-6AEDE660BC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3d6ec8-12ee-4e57-8dd2-0311f06f7c9b"/>
    <ds:schemaRef ds:uri="affdb5e0-e447-47fc-9a6f-12bbc3878b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1231</TotalTime>
  <Pages>20</Pages>
  <Words>8043</Words>
  <Characters>44050</Characters>
  <Application>Microsoft Office Word</Application>
  <DocSecurity>0</DocSecurity>
  <Lines>367</Lines>
  <Paragraphs>103</Paragraphs>
  <ScaleCrop>false</ScaleCrop>
  <HeadingPairs>
    <vt:vector size="2" baseType="variant">
      <vt:variant>
        <vt:lpstr>Title</vt:lpstr>
      </vt:variant>
      <vt:variant>
        <vt:i4>1</vt:i4>
      </vt:variant>
    </vt:vector>
  </HeadingPairs>
  <TitlesOfParts>
    <vt:vector size="1" baseType="lpstr">
      <vt:lpstr>Format for an Explanatory Statement</vt:lpstr>
    </vt:vector>
  </TitlesOfParts>
  <Company>DHA</Company>
  <LinksUpToDate>false</LinksUpToDate>
  <CharactersWithSpaces>51990</CharactersWithSpaces>
  <SharedDoc>false</SharedDoc>
  <HLinks>
    <vt:vector size="6" baseType="variant">
      <vt:variant>
        <vt:i4>983127</vt:i4>
      </vt:variant>
      <vt:variant>
        <vt:i4>0</vt:i4>
      </vt:variant>
      <vt:variant>
        <vt:i4>0</vt:i4>
      </vt:variant>
      <vt:variant>
        <vt:i4>5</vt:i4>
      </vt:variant>
      <vt:variant>
        <vt:lpwstr>https://obpr.pmc.gov.au/published-impact-analyses-and-reports/national-care-and-support-worker-regulation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Format for an Explanatory Statement</dc:title>
  <dc:subject/>
  <dc:creator>boylek</dc:creator>
  <cp:keywords/>
  <dc:description/>
  <cp:lastModifiedBy>PANTIC, Sandra</cp:lastModifiedBy>
  <cp:revision>18</cp:revision>
  <cp:lastPrinted>2009-12-03T06:05:00Z</cp:lastPrinted>
  <dcterms:created xsi:type="dcterms:W3CDTF">2022-10-26T01:03:00Z</dcterms:created>
  <dcterms:modified xsi:type="dcterms:W3CDTF">2022-11-11T05:46:00Z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DocType">
    <vt:lpwstr/>
  </property>
  <property fmtid="{D5CDD505-2E9C-101B-9397-08002B2CF9AE}" pid="3" name="DraftType">
    <vt:lpwstr/>
  </property>
  <property fmtid="{D5CDD505-2E9C-101B-9397-08002B2CF9AE}" pid="4" name="WPLUSServerName">
    <vt:lpwstr/>
  </property>
  <property fmtid="{D5CDD505-2E9C-101B-9397-08002B2CF9AE}" pid="5" name="WPLUSDataBaseName">
    <vt:lpwstr/>
  </property>
  <property fmtid="{D5CDD505-2E9C-101B-9397-08002B2CF9AE}" pid="6" name="WPLUSDocumentUNID">
    <vt:lpwstr/>
  </property>
  <property fmtid="{D5CDD505-2E9C-101B-9397-08002B2CF9AE}" pid="7" name="NeverSavedToNT">
    <vt:lpwstr/>
  </property>
  <property fmtid="{D5CDD505-2E9C-101B-9397-08002B2CF9AE}" pid="8" name="Document Categoty">
    <vt:lpwstr>Planning</vt:lpwstr>
  </property>
  <property fmtid="{D5CDD505-2E9C-101B-9397-08002B2CF9AE}" pid="9" name="PublishingExpirationDate">
    <vt:lpwstr/>
  </property>
  <property fmtid="{D5CDD505-2E9C-101B-9397-08002B2CF9AE}" pid="10" name="PublishingStartDate">
    <vt:lpwstr/>
  </property>
  <property fmtid="{D5CDD505-2E9C-101B-9397-08002B2CF9AE}" pid="11" name="ContentTypeId">
    <vt:lpwstr>0x0101001C198D8CA96D9940B42D495AAE4E5E0E</vt:lpwstr>
  </property>
</Properties>
</file>