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DF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105BC8" wp14:editId="4F9F5E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9F">
        <w:rPr>
          <w:sz w:val="28"/>
        </w:rPr>
        <w:br w:type="textWrapping" w:clear="all"/>
      </w:r>
    </w:p>
    <w:p w14:paraId="683CAA10" w14:textId="77777777" w:rsidR="005044B0" w:rsidRDefault="005044B0" w:rsidP="005E317F">
      <w:pPr>
        <w:rPr>
          <w:sz w:val="28"/>
        </w:rPr>
      </w:pPr>
    </w:p>
    <w:p w14:paraId="7A550685" w14:textId="65285583" w:rsidR="005044B0" w:rsidRPr="002D2078" w:rsidRDefault="00BF2483" w:rsidP="005E317F">
      <w:pPr>
        <w:rPr>
          <w:rFonts w:ascii="Arial" w:hAnsi="Arial" w:cs="Arial"/>
          <w:b/>
          <w:szCs w:val="22"/>
        </w:rPr>
      </w:pPr>
      <w:r w:rsidRPr="00D33EB9">
        <w:rPr>
          <w:rFonts w:ascii="Arial" w:hAnsi="Arial" w:cs="Arial"/>
          <w:b/>
          <w:szCs w:val="22"/>
        </w:rPr>
        <w:t xml:space="preserve">PB </w:t>
      </w:r>
      <w:r w:rsidR="009E632D">
        <w:rPr>
          <w:rFonts w:ascii="Arial" w:hAnsi="Arial" w:cs="Arial"/>
          <w:b/>
          <w:szCs w:val="22"/>
        </w:rPr>
        <w:t>105</w:t>
      </w:r>
      <w:r w:rsidR="00900745">
        <w:rPr>
          <w:rFonts w:ascii="Arial" w:hAnsi="Arial" w:cs="Arial"/>
          <w:b/>
          <w:szCs w:val="22"/>
        </w:rPr>
        <w:t xml:space="preserve"> </w:t>
      </w:r>
      <w:r w:rsidR="005044B0" w:rsidRPr="00D33EB9">
        <w:rPr>
          <w:rFonts w:ascii="Arial" w:hAnsi="Arial" w:cs="Arial"/>
          <w:b/>
          <w:szCs w:val="22"/>
        </w:rPr>
        <w:t>o</w:t>
      </w:r>
      <w:r w:rsidR="005044B0" w:rsidRPr="002D2078">
        <w:rPr>
          <w:rFonts w:ascii="Arial" w:hAnsi="Arial" w:cs="Arial"/>
          <w:b/>
          <w:szCs w:val="22"/>
        </w:rPr>
        <w:t>f 202</w:t>
      </w:r>
      <w:r w:rsidR="00225809">
        <w:rPr>
          <w:rFonts w:ascii="Arial" w:hAnsi="Arial" w:cs="Arial"/>
          <w:b/>
          <w:szCs w:val="22"/>
        </w:rPr>
        <w:t>2</w:t>
      </w:r>
    </w:p>
    <w:p w14:paraId="2AE80CEF" w14:textId="77777777" w:rsidR="005E317F" w:rsidRDefault="005E317F" w:rsidP="005E317F">
      <w:pPr>
        <w:rPr>
          <w:sz w:val="19"/>
        </w:rPr>
      </w:pPr>
    </w:p>
    <w:p w14:paraId="234506F7" w14:textId="2FA968A6" w:rsidR="005044B0" w:rsidRPr="002D2078" w:rsidRDefault="005044B0" w:rsidP="00CD0328">
      <w:pPr>
        <w:spacing w:line="240" w:lineRule="auto"/>
        <w:rPr>
          <w:rFonts w:cs="Times New Roman"/>
          <w:b/>
          <w:sz w:val="40"/>
          <w:szCs w:val="40"/>
        </w:rPr>
      </w:pPr>
      <w:r w:rsidRPr="002D2078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 w:rsidR="00225809">
        <w:rPr>
          <w:rFonts w:cs="Times New Roman"/>
          <w:b/>
          <w:sz w:val="40"/>
          <w:szCs w:val="40"/>
        </w:rPr>
        <w:t>2</w:t>
      </w:r>
      <w:r w:rsidRPr="002D2078">
        <w:rPr>
          <w:rFonts w:cs="Times New Roman"/>
          <w:b/>
          <w:sz w:val="40"/>
          <w:szCs w:val="40"/>
        </w:rPr>
        <w:t xml:space="preserve"> </w:t>
      </w:r>
      <w:r w:rsidRPr="00FE0903">
        <w:rPr>
          <w:rFonts w:cs="Times New Roman"/>
          <w:b/>
          <w:sz w:val="40"/>
          <w:szCs w:val="40"/>
        </w:rPr>
        <w:t xml:space="preserve">(No. </w:t>
      </w:r>
      <w:r w:rsidR="009C5C84">
        <w:rPr>
          <w:rFonts w:cs="Times New Roman"/>
          <w:b/>
          <w:sz w:val="40"/>
          <w:szCs w:val="40"/>
        </w:rPr>
        <w:t>7</w:t>
      </w:r>
      <w:r w:rsidRPr="00FE0903">
        <w:rPr>
          <w:rFonts w:cs="Times New Roman"/>
          <w:b/>
          <w:sz w:val="40"/>
          <w:szCs w:val="40"/>
        </w:rPr>
        <w:t>)</w:t>
      </w:r>
    </w:p>
    <w:p w14:paraId="2A28F8EA" w14:textId="339824B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AE0506">
        <w:rPr>
          <w:szCs w:val="22"/>
        </w:rPr>
        <w:t xml:space="preserve"> Nikolai Tsyganov</w:t>
      </w:r>
      <w:r w:rsidR="005044B0" w:rsidRPr="007D38AE">
        <w:rPr>
          <w:szCs w:val="22"/>
        </w:rPr>
        <w:t>,</w:t>
      </w:r>
      <w:r w:rsidR="005044B0">
        <w:rPr>
          <w:szCs w:val="22"/>
        </w:rPr>
        <w:t xml:space="preserve"> </w:t>
      </w:r>
      <w:r w:rsidR="00423883">
        <w:rPr>
          <w:szCs w:val="22"/>
        </w:rPr>
        <w:t xml:space="preserve">Acting </w:t>
      </w:r>
      <w:r w:rsidR="00FA7231">
        <w:rPr>
          <w:szCs w:val="22"/>
        </w:rPr>
        <w:t>A</w:t>
      </w:r>
      <w:r w:rsidR="005044B0" w:rsidRPr="007D38AE">
        <w:rPr>
          <w:szCs w:val="22"/>
        </w:rPr>
        <w:t>ssistant Secretary, Pricing and PBS Policy Branch, Technology</w:t>
      </w:r>
      <w:r w:rsidR="00213140">
        <w:rPr>
          <w:szCs w:val="22"/>
        </w:rPr>
        <w:t> </w:t>
      </w:r>
      <w:r w:rsidR="005044B0" w:rsidRPr="007D38AE">
        <w:rPr>
          <w:szCs w:val="22"/>
        </w:rPr>
        <w:t>Assessment and Access Division, Department of Health</w:t>
      </w:r>
      <w:r w:rsidR="00D47376">
        <w:rPr>
          <w:szCs w:val="22"/>
        </w:rPr>
        <w:t xml:space="preserve"> and Aged Care</w:t>
      </w:r>
      <w:r w:rsidR="005044B0" w:rsidRPr="007D38AE">
        <w:rPr>
          <w:szCs w:val="22"/>
        </w:rPr>
        <w:t xml:space="preserve">, delegate of the </w:t>
      </w:r>
      <w:r w:rsidR="00B671F8" w:rsidRPr="00B671F8">
        <w:rPr>
          <w:szCs w:val="22"/>
        </w:rPr>
        <w:t>Minister</w:t>
      </w:r>
      <w:r w:rsidR="00213140">
        <w:rPr>
          <w:szCs w:val="22"/>
        </w:rPr>
        <w:t> </w:t>
      </w:r>
      <w:r w:rsidR="00B671F8" w:rsidRPr="00B671F8">
        <w:rPr>
          <w:szCs w:val="22"/>
        </w:rPr>
        <w:t>for</w:t>
      </w:r>
      <w:r w:rsidR="00213140">
        <w:rPr>
          <w:szCs w:val="22"/>
        </w:rPr>
        <w:t> </w:t>
      </w:r>
      <w:r w:rsidR="00B671F8" w:rsidRPr="00B671F8">
        <w:rPr>
          <w:szCs w:val="22"/>
        </w:rPr>
        <w:t>Health</w:t>
      </w:r>
      <w:r w:rsidR="00213140">
        <w:rPr>
          <w:szCs w:val="22"/>
        </w:rPr>
        <w:t> </w:t>
      </w:r>
      <w:r w:rsidR="00B671F8" w:rsidRPr="00B671F8">
        <w:rPr>
          <w:szCs w:val="22"/>
        </w:rPr>
        <w:t>and</w:t>
      </w:r>
      <w:r w:rsidR="00213140">
        <w:rPr>
          <w:szCs w:val="22"/>
        </w:rPr>
        <w:t> </w:t>
      </w:r>
      <w:r w:rsidR="00B671F8" w:rsidRPr="00B671F8">
        <w:rPr>
          <w:szCs w:val="22"/>
        </w:rPr>
        <w:t>Aged</w:t>
      </w:r>
      <w:r w:rsidR="00213140">
        <w:rPr>
          <w:szCs w:val="22"/>
        </w:rPr>
        <w:t> </w:t>
      </w:r>
      <w:r w:rsidR="00B671F8" w:rsidRPr="00B671F8">
        <w:rPr>
          <w:szCs w:val="22"/>
        </w:rPr>
        <w:t>Care</w:t>
      </w:r>
      <w:r w:rsidR="005044B0" w:rsidRPr="007D38AE">
        <w:rPr>
          <w:szCs w:val="22"/>
        </w:rPr>
        <w:t>, make t</w:t>
      </w:r>
      <w:r w:rsidR="005044B0">
        <w:rPr>
          <w:szCs w:val="22"/>
        </w:rPr>
        <w:t>he following</w:t>
      </w:r>
      <w:r w:rsidR="005044B0" w:rsidRPr="007D38AE">
        <w:rPr>
          <w:szCs w:val="22"/>
        </w:rPr>
        <w:t xml:space="preserve"> Determination</w:t>
      </w:r>
      <w:r w:rsidR="005044B0">
        <w:rPr>
          <w:szCs w:val="22"/>
        </w:rPr>
        <w:t>.</w:t>
      </w:r>
      <w:r w:rsidRPr="00DA182D">
        <w:rPr>
          <w:szCs w:val="22"/>
        </w:rPr>
        <w:t xml:space="preserve"> </w:t>
      </w:r>
    </w:p>
    <w:p w14:paraId="00E1F1EB" w14:textId="1F1E973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213140">
        <w:rPr>
          <w:szCs w:val="22"/>
        </w:rPr>
        <w:t xml:space="preserve">d </w:t>
      </w:r>
      <w:r w:rsidR="00FA0CE3">
        <w:rPr>
          <w:szCs w:val="22"/>
        </w:rPr>
        <w:t xml:space="preserve">    </w:t>
      </w:r>
      <w:r w:rsidR="00DE17FD">
        <w:rPr>
          <w:szCs w:val="22"/>
        </w:rPr>
        <w:t xml:space="preserve">28 </w:t>
      </w:r>
      <w:r w:rsidR="00A0073A">
        <w:rPr>
          <w:szCs w:val="22"/>
        </w:rPr>
        <w:t>October</w:t>
      </w:r>
      <w:r w:rsidR="00AE0506">
        <w:rPr>
          <w:szCs w:val="22"/>
        </w:rPr>
        <w:t xml:space="preserve"> </w:t>
      </w:r>
      <w:r w:rsidR="005044B0" w:rsidRPr="00FE0903">
        <w:rPr>
          <w:szCs w:val="22"/>
        </w:rPr>
        <w:t>202</w:t>
      </w:r>
      <w:r w:rsidR="00225809" w:rsidRPr="00FE0903">
        <w:rPr>
          <w:szCs w:val="22"/>
        </w:rPr>
        <w:t>2</w:t>
      </w:r>
    </w:p>
    <w:p w14:paraId="770A6DBA" w14:textId="3A538F37" w:rsidR="00665ED9" w:rsidRPr="00557516" w:rsidRDefault="00AE0506" w:rsidP="00665E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/>
          <w:szCs w:val="22"/>
        </w:rPr>
        <w:t>NIKOLAI TSYGANOV</w:t>
      </w:r>
    </w:p>
    <w:p w14:paraId="662082F6" w14:textId="77777777" w:rsidR="00665ED9" w:rsidRDefault="00423883" w:rsidP="00665ED9">
      <w:pPr>
        <w:pStyle w:val="SignCoverPageEnd"/>
        <w:ind w:right="91"/>
      </w:pPr>
      <w:r>
        <w:t xml:space="preserve">Acting </w:t>
      </w:r>
      <w:r w:rsidR="00665ED9">
        <w:t>Assistant</w:t>
      </w:r>
      <w:r w:rsidR="00665ED9" w:rsidRPr="00797362">
        <w:t xml:space="preserve"> Secretary</w:t>
      </w:r>
    </w:p>
    <w:p w14:paraId="084D0FA1" w14:textId="77777777" w:rsidR="00665ED9" w:rsidRDefault="00665ED9" w:rsidP="00665ED9">
      <w:pPr>
        <w:pStyle w:val="SignCoverPageEnd"/>
        <w:ind w:right="91"/>
      </w:pPr>
      <w:r>
        <w:t>Pricing and PBS Policy Branch</w:t>
      </w:r>
    </w:p>
    <w:p w14:paraId="0F5D5B6C" w14:textId="77777777" w:rsidR="00665ED9" w:rsidRPr="00797362" w:rsidRDefault="00665ED9" w:rsidP="00665ED9">
      <w:pPr>
        <w:pStyle w:val="SignCoverPageEnd"/>
        <w:ind w:right="91"/>
      </w:pPr>
      <w:r>
        <w:t>Technology Assessment and Access Division</w:t>
      </w:r>
      <w:r w:rsidRPr="00797362">
        <w:t xml:space="preserve"> </w:t>
      </w:r>
    </w:p>
    <w:p w14:paraId="0B89001A" w14:textId="146C84FE" w:rsidR="00665ED9" w:rsidRPr="00797362" w:rsidRDefault="00665ED9" w:rsidP="00665ED9">
      <w:pPr>
        <w:pStyle w:val="SignCoverPageEnd"/>
        <w:ind w:right="91"/>
      </w:pPr>
      <w:r w:rsidRPr="00797362">
        <w:t>Department of Health</w:t>
      </w:r>
      <w:r w:rsidR="00D47376">
        <w:t xml:space="preserve"> and Aged Care</w:t>
      </w:r>
      <w:r w:rsidRPr="00797362">
        <w:t xml:space="preserve"> </w:t>
      </w:r>
    </w:p>
    <w:p w14:paraId="21D58BF6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18671DC8" w14:textId="77777777" w:rsidR="00B20990" w:rsidRDefault="00B20990" w:rsidP="00B20990"/>
    <w:p w14:paraId="46EE4B16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C3652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9DD0167" w14:textId="799C0E26" w:rsidR="00A0073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0073A">
        <w:rPr>
          <w:noProof/>
        </w:rPr>
        <w:t>1  Name</w:t>
      </w:r>
      <w:r w:rsidR="00A0073A">
        <w:rPr>
          <w:noProof/>
        </w:rPr>
        <w:tab/>
      </w:r>
      <w:r w:rsidR="00A0073A">
        <w:rPr>
          <w:noProof/>
        </w:rPr>
        <w:fldChar w:fldCharType="begin"/>
      </w:r>
      <w:r w:rsidR="00A0073A">
        <w:rPr>
          <w:noProof/>
        </w:rPr>
        <w:instrText xml:space="preserve"> PAGEREF _Toc116396797 \h </w:instrText>
      </w:r>
      <w:r w:rsidR="00A0073A">
        <w:rPr>
          <w:noProof/>
        </w:rPr>
      </w:r>
      <w:r w:rsidR="00A0073A">
        <w:rPr>
          <w:noProof/>
        </w:rPr>
        <w:fldChar w:fldCharType="separate"/>
      </w:r>
      <w:r w:rsidR="00606809">
        <w:rPr>
          <w:noProof/>
        </w:rPr>
        <w:t>1</w:t>
      </w:r>
      <w:r w:rsidR="00A0073A">
        <w:rPr>
          <w:noProof/>
        </w:rPr>
        <w:fldChar w:fldCharType="end"/>
      </w:r>
    </w:p>
    <w:p w14:paraId="1E8B9C72" w14:textId="5B7FA221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_Toc116396798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6CFD7496" w14:textId="0724EA34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_Toc116396799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526EA104" w14:textId="71D886F8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_Toc116396800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79240079" w14:textId="24C7C104" w:rsidR="00A0073A" w:rsidRDefault="00A00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_Toc116396801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2</w:t>
      </w:r>
      <w:r>
        <w:rPr>
          <w:noProof/>
        </w:rPr>
        <w:fldChar w:fldCharType="end"/>
      </w:r>
    </w:p>
    <w:p w14:paraId="753322FB" w14:textId="447DA028" w:rsidR="00A0073A" w:rsidRDefault="00A00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073A">
        <w:rPr>
          <w:noProof/>
        </w:rPr>
        <w:t>National Health (Price and Special Patient Contribution) Determination 2022</w:t>
      </w:r>
      <w:r>
        <w:rPr>
          <w:noProof/>
        </w:rPr>
        <w:t xml:space="preserve"> (PB 98 of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_Toc116396802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2</w:t>
      </w:r>
      <w:r>
        <w:rPr>
          <w:noProof/>
        </w:rPr>
        <w:fldChar w:fldCharType="end"/>
      </w:r>
    </w:p>
    <w:p w14:paraId="7FD3E191" w14:textId="45D1EF4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E817D92" w14:textId="77777777" w:rsidR="00B20990" w:rsidRDefault="00B20990" w:rsidP="00B20990"/>
    <w:p w14:paraId="48BB3AA8" w14:textId="77777777" w:rsidR="00B20990" w:rsidRDefault="00B20990" w:rsidP="00B20990">
      <w:pPr>
        <w:sectPr w:rsidR="00B20990" w:rsidSect="001F6F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C6192B" w14:textId="77777777" w:rsidR="005E317F" w:rsidRPr="009C2562" w:rsidRDefault="005E317F" w:rsidP="005E317F">
      <w:pPr>
        <w:pStyle w:val="ActHead5"/>
      </w:pPr>
      <w:bookmarkStart w:id="1" w:name="_Toc116396797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="00070CF0">
        <w:t>Name</w:t>
      </w:r>
      <w:bookmarkEnd w:id="1"/>
    </w:p>
    <w:p w14:paraId="37C0742B" w14:textId="0F178C0A" w:rsidR="005E317F" w:rsidRDefault="005E317F" w:rsidP="005E317F">
      <w:pPr>
        <w:pStyle w:val="subsection"/>
        <w:rPr>
          <w:sz w:val="24"/>
          <w:szCs w:val="24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44393" w:rsidRPr="002A3922">
        <w:rPr>
          <w:i/>
          <w:szCs w:val="24"/>
        </w:rPr>
        <w:t>National Health (Price and Special Patient Contribution) Amendment Determination 202</w:t>
      </w:r>
      <w:r w:rsidR="00225809">
        <w:rPr>
          <w:i/>
          <w:szCs w:val="24"/>
        </w:rPr>
        <w:t>2</w:t>
      </w:r>
      <w:r w:rsidR="00744393" w:rsidRPr="002A3922">
        <w:rPr>
          <w:i/>
          <w:szCs w:val="24"/>
        </w:rPr>
        <w:t xml:space="preserve"> </w:t>
      </w:r>
      <w:r w:rsidR="00744393" w:rsidRPr="00CC56E7">
        <w:rPr>
          <w:i/>
          <w:szCs w:val="24"/>
        </w:rPr>
        <w:t xml:space="preserve">(No. </w:t>
      </w:r>
      <w:r w:rsidR="00606809">
        <w:rPr>
          <w:i/>
          <w:szCs w:val="24"/>
        </w:rPr>
        <w:t>7</w:t>
      </w:r>
      <w:r w:rsidR="00744393" w:rsidRPr="00CC56E7">
        <w:rPr>
          <w:i/>
          <w:szCs w:val="24"/>
        </w:rPr>
        <w:t>)</w:t>
      </w:r>
      <w:r w:rsidR="00744393" w:rsidRPr="00CC56E7">
        <w:rPr>
          <w:szCs w:val="24"/>
        </w:rPr>
        <w:t>.</w:t>
      </w:r>
    </w:p>
    <w:p w14:paraId="6D355E86" w14:textId="2BF62AA4" w:rsidR="002D2078" w:rsidRDefault="002D2078" w:rsidP="005E317F">
      <w:pPr>
        <w:pStyle w:val="subsection"/>
      </w:pPr>
      <w:r>
        <w:tab/>
      </w:r>
      <w:r>
        <w:tab/>
      </w:r>
      <w:r w:rsidRPr="002D2078">
        <w:t>This inst</w:t>
      </w:r>
      <w:r w:rsidR="00D5193F">
        <w:t xml:space="preserve">rument may also be cited as </w:t>
      </w:r>
      <w:r w:rsidR="00D5193F" w:rsidRPr="00D33EB9">
        <w:t xml:space="preserve">PB </w:t>
      </w:r>
      <w:r w:rsidR="009E632D">
        <w:t>105</w:t>
      </w:r>
      <w:r w:rsidRPr="00D33EB9">
        <w:t xml:space="preserve"> of </w:t>
      </w:r>
      <w:r w:rsidRPr="002D2078">
        <w:t>202</w:t>
      </w:r>
      <w:r w:rsidR="00225809">
        <w:t>2</w:t>
      </w:r>
      <w:r w:rsidR="00070CF0">
        <w:t>.</w:t>
      </w:r>
    </w:p>
    <w:p w14:paraId="337830C5" w14:textId="77777777" w:rsidR="005E317F" w:rsidRDefault="005E317F" w:rsidP="005E317F">
      <w:pPr>
        <w:pStyle w:val="ActHead5"/>
      </w:pPr>
      <w:bookmarkStart w:id="3" w:name="_Toc11639679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4F3B33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2FCB1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3422B4" w14:paraId="039BBC65" w14:textId="77777777" w:rsidTr="001F6F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EA6A4" w14:textId="77777777" w:rsidR="00002BCC" w:rsidRPr="003422B4" w:rsidRDefault="00002BCC" w:rsidP="001F6F0D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BEB4DDA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727DE" w14:textId="77777777" w:rsidR="00002BCC" w:rsidRPr="003422B4" w:rsidRDefault="00002BCC" w:rsidP="001F6F0D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11377" w14:textId="77777777" w:rsidR="00002BCC" w:rsidRPr="003422B4" w:rsidRDefault="00002BCC" w:rsidP="001F6F0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48F54" w14:textId="77777777" w:rsidR="00002BCC" w:rsidRPr="003422B4" w:rsidRDefault="00002BCC" w:rsidP="001F6F0D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089629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670D9" w14:textId="77777777" w:rsidR="00002BCC" w:rsidRPr="003422B4" w:rsidRDefault="00002BCC" w:rsidP="001F6F0D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F407B3" w14:textId="77777777" w:rsidR="00002BCC" w:rsidRPr="003422B4" w:rsidRDefault="00002BCC" w:rsidP="001F6F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85A2F" w14:textId="77777777" w:rsidR="00002BCC" w:rsidRPr="003422B4" w:rsidRDefault="00002BCC" w:rsidP="001F6F0D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F07400B" w14:textId="77777777" w:rsidTr="00744393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5A1F9" w14:textId="77777777" w:rsidR="00002BCC" w:rsidRPr="003A6229" w:rsidRDefault="00002BCC" w:rsidP="002D2078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744393">
              <w:t xml:space="preserve"> The whole of this instrument</w:t>
            </w:r>
            <w:r w:rsidR="00744393" w:rsidRPr="003A6229">
              <w:rPr>
                <w:i/>
                <w:highlight w:val="yellow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3A9B1" w14:textId="7DCD92F3" w:rsidR="00002BCC" w:rsidRPr="00744393" w:rsidRDefault="009F0C2D" w:rsidP="00E730CD">
            <w:pPr>
              <w:pStyle w:val="Tabletext"/>
            </w:pPr>
            <w:r w:rsidRPr="00CC56E7">
              <w:t>1</w:t>
            </w:r>
            <w:r w:rsidR="00A83B30">
              <w:t xml:space="preserve"> </w:t>
            </w:r>
            <w:r w:rsidR="00A0073A">
              <w:t>November</w:t>
            </w:r>
            <w:r w:rsidR="00744393" w:rsidRPr="00CC56E7">
              <w:t xml:space="preserve"> 202</w:t>
            </w:r>
            <w:r w:rsidR="00225809" w:rsidRPr="00CC56E7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1DC26" w14:textId="77777777" w:rsidR="00002BCC" w:rsidRPr="00B43C50" w:rsidRDefault="00002BCC" w:rsidP="001F6F0D">
            <w:pPr>
              <w:pStyle w:val="Tabletext"/>
              <w:rPr>
                <w:i/>
              </w:rPr>
            </w:pPr>
          </w:p>
        </w:tc>
      </w:tr>
    </w:tbl>
    <w:p w14:paraId="5430E69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0A638D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9A035E" w14:textId="77777777" w:rsidR="005E317F" w:rsidRPr="009C2562" w:rsidRDefault="005E317F" w:rsidP="005E317F">
      <w:pPr>
        <w:pStyle w:val="ActHead5"/>
      </w:pPr>
      <w:bookmarkStart w:id="4" w:name="_Toc11639679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F8023C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44393" w:rsidRPr="00185D1D">
        <w:t xml:space="preserve">section 85B of the </w:t>
      </w:r>
      <w:r w:rsidR="00744393" w:rsidRPr="00AD1E79">
        <w:rPr>
          <w:i/>
        </w:rPr>
        <w:t>National Health Act 1953</w:t>
      </w:r>
      <w:r w:rsidR="002A3922">
        <w:rPr>
          <w:i/>
        </w:rPr>
        <w:t>.</w:t>
      </w:r>
    </w:p>
    <w:p w14:paraId="51E8B7FF" w14:textId="77777777" w:rsidR="005E317F" w:rsidRPr="006065DA" w:rsidRDefault="005E317F" w:rsidP="005E317F">
      <w:pPr>
        <w:pStyle w:val="ActHead5"/>
      </w:pPr>
      <w:bookmarkStart w:id="5" w:name="_Toc116396800"/>
      <w:r w:rsidRPr="006065DA">
        <w:t>4  Schedules</w:t>
      </w:r>
      <w:bookmarkEnd w:id="5"/>
    </w:p>
    <w:p w14:paraId="67E7886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68BE4C" w14:textId="77777777" w:rsidR="0020159E" w:rsidRDefault="0020159E" w:rsidP="005E317F">
      <w:pPr>
        <w:pStyle w:val="ActHead6"/>
        <w:pageBreakBefore/>
        <w:rPr>
          <w:rStyle w:val="CharAmSchNo"/>
        </w:rPr>
        <w:sectPr w:rsidR="0020159E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25592C26" w14:textId="77777777" w:rsidR="005E317F" w:rsidRDefault="005E317F" w:rsidP="005E317F">
      <w:pPr>
        <w:pStyle w:val="ActHead6"/>
        <w:pageBreakBefore/>
      </w:pPr>
      <w:bookmarkStart w:id="7" w:name="_Toc11639680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bookmarkEnd w:id="7"/>
    </w:p>
    <w:p w14:paraId="0DBB355A" w14:textId="375EB8DA" w:rsidR="00954E88" w:rsidRDefault="00977447" w:rsidP="00954E88">
      <w:pPr>
        <w:pStyle w:val="ActHead9"/>
      </w:pPr>
      <w:bookmarkStart w:id="8" w:name="_Toc478567692"/>
      <w:bookmarkStart w:id="9" w:name="_Toc116396802"/>
      <w:r w:rsidRPr="00AD1E79">
        <w:t>National Health (Price and Special Patient Contribution) Determination 20</w:t>
      </w:r>
      <w:r>
        <w:t>2</w:t>
      </w:r>
      <w:r w:rsidR="00A0073A">
        <w:t>2</w:t>
      </w:r>
      <w:r w:rsidRPr="00185D1D">
        <w:t xml:space="preserve"> (PB </w:t>
      </w:r>
      <w:r w:rsidR="00A0073A">
        <w:t>98</w:t>
      </w:r>
      <w:r w:rsidRPr="00185D1D">
        <w:t xml:space="preserve"> of 20</w:t>
      </w:r>
      <w:r>
        <w:t>2</w:t>
      </w:r>
      <w:r w:rsidR="00A0073A">
        <w:t>2</w:t>
      </w:r>
      <w:r w:rsidRPr="00185D1D">
        <w:t>)</w:t>
      </w:r>
      <w:bookmarkStart w:id="10" w:name="_Hlk92440352"/>
      <w:bookmarkStart w:id="11" w:name="_Hlk82502273"/>
      <w:bookmarkStart w:id="12" w:name="_Hlk77320630"/>
      <w:bookmarkStart w:id="13" w:name="_Hlk77315437"/>
      <w:bookmarkStart w:id="14" w:name="_Hlk82519650"/>
      <w:bookmarkEnd w:id="8"/>
      <w:bookmarkEnd w:id="9"/>
    </w:p>
    <w:p w14:paraId="1B31ECCD" w14:textId="79C83CF0" w:rsidR="003D5C26" w:rsidRDefault="003D5C26" w:rsidP="003D5C26">
      <w:pPr>
        <w:pStyle w:val="ItemHead"/>
        <w:numPr>
          <w:ilvl w:val="0"/>
          <w:numId w:val="20"/>
        </w:numPr>
      </w:pPr>
      <w:r>
        <w:t>Schedule 1</w:t>
      </w:r>
      <w:r w:rsidR="00A0073A">
        <w:t>-</w:t>
      </w:r>
      <w:r>
        <w:t xml:space="preserve"> </w:t>
      </w:r>
      <w:bookmarkStart w:id="15" w:name="_Hlk108714454"/>
      <w:r>
        <w:t xml:space="preserve">entry for </w:t>
      </w:r>
      <w:bookmarkStart w:id="16" w:name="_Hlk77322089"/>
      <w:r w:rsidR="00A0073A">
        <w:t>Piroxicam</w:t>
      </w:r>
      <w:r>
        <w:t xml:space="preserve"> </w:t>
      </w:r>
      <w:bookmarkEnd w:id="15"/>
      <w:bookmarkEnd w:id="16"/>
    </w:p>
    <w:p w14:paraId="7A1AF3CA" w14:textId="77777777" w:rsidR="00E22514" w:rsidRPr="00E22514" w:rsidRDefault="00E22514" w:rsidP="00E22514">
      <w:pPr>
        <w:pStyle w:val="Item"/>
      </w:pPr>
    </w:p>
    <w:p w14:paraId="459D1040" w14:textId="258B92C3" w:rsidR="00E22514" w:rsidRPr="00E22514" w:rsidRDefault="00E22514" w:rsidP="00E22514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A0073A" w:rsidRPr="009F3D11" w14:paraId="22656E88" w14:textId="77777777" w:rsidTr="00B80D94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85535F" w14:textId="0DC470A7" w:rsidR="00A0073A" w:rsidRPr="00E03EF5" w:rsidRDefault="00A0073A" w:rsidP="00A007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Piroxicam</w:t>
            </w: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DC4179" w14:textId="7A821A41" w:rsidR="00A0073A" w:rsidRPr="00E03EF5" w:rsidRDefault="00A0073A" w:rsidP="00A007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Dispersible tablet 20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C89041" w14:textId="723A8042" w:rsidR="00A0073A" w:rsidRPr="00E03EF5" w:rsidRDefault="00A0073A" w:rsidP="00A007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52EA86" w14:textId="37B99552" w:rsidR="00A0073A" w:rsidRPr="00E03EF5" w:rsidRDefault="00A0073A" w:rsidP="00A007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073A">
              <w:rPr>
                <w:rFonts w:ascii="Arial" w:hAnsi="Arial" w:cs="Arial"/>
                <w:sz w:val="18"/>
                <w:szCs w:val="18"/>
              </w:rPr>
              <w:t>Feldene</w:t>
            </w:r>
            <w:proofErr w:type="spellEnd"/>
            <w:r w:rsidRPr="00A0073A">
              <w:rPr>
                <w:rFonts w:ascii="Arial" w:hAnsi="Arial" w:cs="Arial"/>
                <w:sz w:val="18"/>
                <w:szCs w:val="18"/>
              </w:rPr>
              <w:noBreakHyphen/>
              <w:t>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FBF983" w14:textId="1E4C395C" w:rsidR="00A0073A" w:rsidRPr="00E03EF5" w:rsidRDefault="00A0073A" w:rsidP="00A007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9FE078" w14:textId="7B2C5ED1" w:rsidR="00A0073A" w:rsidRPr="00E03EF5" w:rsidRDefault="00A0073A" w:rsidP="00A007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73392E" w14:textId="24F879BE" w:rsidR="00A0073A" w:rsidRPr="00E03EF5" w:rsidRDefault="00A0073A" w:rsidP="00A007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73A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</w:tr>
    </w:tbl>
    <w:p w14:paraId="0B4734C9" w14:textId="57C8A0AF" w:rsidR="00F50FF5" w:rsidRPr="00A0073A" w:rsidRDefault="00F50FF5" w:rsidP="00A0073A">
      <w:pPr>
        <w:spacing w:line="240" w:lineRule="auto"/>
        <w:rPr>
          <w:lang w:eastAsia="en-AU"/>
        </w:rPr>
      </w:pPr>
    </w:p>
    <w:p w14:paraId="32700125" w14:textId="20759906" w:rsidR="00342601" w:rsidRPr="00221C7E" w:rsidRDefault="00342601" w:rsidP="00342601">
      <w:pPr>
        <w:pStyle w:val="ItemHead"/>
        <w:numPr>
          <w:ilvl w:val="0"/>
          <w:numId w:val="20"/>
        </w:numPr>
      </w:pPr>
      <w:r w:rsidRPr="00221C7E">
        <w:t xml:space="preserve">Schedule 1, </w:t>
      </w:r>
      <w:r w:rsidR="00DB243E" w:rsidRPr="00221C7E">
        <w:t xml:space="preserve">entry for </w:t>
      </w:r>
      <w:r w:rsidR="00E90905" w:rsidRPr="00E90905">
        <w:t>Roxithromycin</w:t>
      </w:r>
    </w:p>
    <w:p w14:paraId="7F63C204" w14:textId="77777777" w:rsidR="00BD3C0C" w:rsidRPr="00221C7E" w:rsidRDefault="00BD3C0C" w:rsidP="00BD3C0C">
      <w:pPr>
        <w:pStyle w:val="Item"/>
        <w:rPr>
          <w:szCs w:val="22"/>
        </w:rPr>
      </w:pPr>
      <w:bookmarkStart w:id="17" w:name="_Hlk101447650"/>
      <w:r w:rsidRPr="00221C7E">
        <w:rPr>
          <w:szCs w:val="22"/>
        </w:rPr>
        <w:t xml:space="preserve">Omit </w:t>
      </w:r>
    </w:p>
    <w:tbl>
      <w:tblPr>
        <w:tblW w:w="141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794"/>
        <w:gridCol w:w="1759"/>
        <w:gridCol w:w="1763"/>
        <w:gridCol w:w="1621"/>
        <w:gridCol w:w="1799"/>
        <w:gridCol w:w="1666"/>
      </w:tblGrid>
      <w:tr w:rsidR="00E90905" w:rsidRPr="00221C7E" w14:paraId="0B47B669" w14:textId="77777777" w:rsidTr="008037E7">
        <w:trPr>
          <w:trHeight w:val="67"/>
        </w:trPr>
        <w:tc>
          <w:tcPr>
            <w:tcW w:w="2708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71536" w14:textId="3207DBCE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bookmarkStart w:id="18" w:name="_Hlk116397191"/>
            <w:bookmarkStart w:id="19" w:name="_Hlk101448076"/>
            <w:r w:rsidRPr="00E90905">
              <w:rPr>
                <w:rFonts w:ascii="Arial" w:hAnsi="Arial" w:cs="Arial"/>
                <w:sz w:val="18"/>
                <w:szCs w:val="18"/>
              </w:rPr>
              <w:t>Roxithromycin</w:t>
            </w:r>
            <w:bookmarkEnd w:id="18"/>
          </w:p>
        </w:tc>
        <w:tc>
          <w:tcPr>
            <w:tcW w:w="279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58B1D" w14:textId="6F77DD6F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Tablet 150 mg</w:t>
            </w:r>
          </w:p>
        </w:tc>
        <w:tc>
          <w:tcPr>
            <w:tcW w:w="17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06B0D9" w14:textId="3E848AD4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63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BB6275" w14:textId="7F818676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0905">
              <w:rPr>
                <w:rFonts w:ascii="Arial" w:hAnsi="Arial" w:cs="Arial"/>
                <w:sz w:val="18"/>
                <w:szCs w:val="18"/>
              </w:rPr>
              <w:t>Rulide</w:t>
            </w:r>
            <w:proofErr w:type="spellEnd"/>
          </w:p>
        </w:tc>
        <w:tc>
          <w:tcPr>
            <w:tcW w:w="1621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CCC03" w14:textId="37F222C1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9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EB810F" w14:textId="3AD5852F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2A2C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C2DA90" w14:textId="7468CB91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2A2C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</w:tr>
      <w:tr w:rsidR="00E90905" w:rsidRPr="00221C7E" w14:paraId="1F8CFEE9" w14:textId="77777777" w:rsidTr="008037E7">
        <w:trPr>
          <w:trHeight w:val="67"/>
        </w:trPr>
        <w:tc>
          <w:tcPr>
            <w:tcW w:w="2708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2D836E" w14:textId="1B8DEBAE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7F006" w14:textId="54EAFCCD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Tablet 300 mg</w:t>
            </w:r>
          </w:p>
        </w:tc>
        <w:tc>
          <w:tcPr>
            <w:tcW w:w="175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5FE096" w14:textId="1F7DA538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63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79C22" w14:textId="2B46EB7F" w:rsidR="00E90905" w:rsidRPr="00E90905" w:rsidRDefault="00E90905" w:rsidP="00BB54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0905">
              <w:rPr>
                <w:rFonts w:ascii="Arial" w:hAnsi="Arial" w:cs="Arial"/>
                <w:sz w:val="18"/>
                <w:szCs w:val="18"/>
              </w:rPr>
              <w:t>Rulide</w:t>
            </w:r>
            <w:proofErr w:type="spellEnd"/>
          </w:p>
        </w:tc>
        <w:tc>
          <w:tcPr>
            <w:tcW w:w="1621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6D7C53" w14:textId="5A2721D7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99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4749EE" w14:textId="766B68BD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EBF7C4" w14:textId="77517ADC" w:rsidR="00E90905" w:rsidRPr="00E90905" w:rsidRDefault="00E90905" w:rsidP="00E9090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</w:tr>
      <w:bookmarkEnd w:id="17"/>
      <w:bookmarkEnd w:id="19"/>
    </w:tbl>
    <w:p w14:paraId="159DE417" w14:textId="77777777" w:rsidR="00DB243E" w:rsidRPr="00221C7E" w:rsidRDefault="00DB243E" w:rsidP="00E90905">
      <w:pPr>
        <w:pStyle w:val="ItemHead"/>
        <w:ind w:left="0" w:firstLine="0"/>
      </w:pPr>
    </w:p>
    <w:p w14:paraId="3CB79BBF" w14:textId="6F12CF61" w:rsidR="00BD3C0C" w:rsidRPr="00221C7E" w:rsidRDefault="00BD3C0C" w:rsidP="008037E7">
      <w:pPr>
        <w:pStyle w:val="Item"/>
        <w:ind w:left="720"/>
        <w:rPr>
          <w:szCs w:val="22"/>
        </w:rPr>
      </w:pPr>
      <w:r w:rsidRPr="00221C7E">
        <w:rPr>
          <w:szCs w:val="22"/>
        </w:rPr>
        <w:t xml:space="preserve">Substitute </w:t>
      </w:r>
    </w:p>
    <w:tbl>
      <w:tblPr>
        <w:tblW w:w="141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746"/>
        <w:gridCol w:w="1731"/>
        <w:gridCol w:w="1915"/>
        <w:gridCol w:w="1603"/>
        <w:gridCol w:w="1782"/>
        <w:gridCol w:w="1652"/>
      </w:tblGrid>
      <w:tr w:rsidR="00E90905" w:rsidRPr="00221C7E" w14:paraId="0187CB30" w14:textId="77777777" w:rsidTr="00B30055">
        <w:trPr>
          <w:trHeight w:val="67"/>
        </w:trPr>
        <w:tc>
          <w:tcPr>
            <w:tcW w:w="2681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bookmarkEnd w:id="10"/>
          <w:bookmarkEnd w:id="11"/>
          <w:bookmarkEnd w:id="12"/>
          <w:bookmarkEnd w:id="13"/>
          <w:bookmarkEnd w:id="14"/>
          <w:p w14:paraId="3071C5DB" w14:textId="60CA6345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Roxithromycin</w:t>
            </w:r>
          </w:p>
        </w:tc>
        <w:tc>
          <w:tcPr>
            <w:tcW w:w="2746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C021E0" w14:textId="2E77F5E4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Tablet 150 mg</w:t>
            </w:r>
          </w:p>
        </w:tc>
        <w:tc>
          <w:tcPr>
            <w:tcW w:w="1731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E05482" w14:textId="486296A7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915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16D9A9" w14:textId="1FA74EA2" w:rsidR="00E90905" w:rsidRPr="00221C7E" w:rsidRDefault="00E90905" w:rsidP="00E90905">
            <w:pPr>
              <w:rPr>
                <w:rFonts w:cs="Times New Roman"/>
                <w:szCs w:val="22"/>
              </w:rPr>
            </w:pPr>
            <w:proofErr w:type="spellStart"/>
            <w:r w:rsidRPr="00E90905">
              <w:rPr>
                <w:rFonts w:ascii="Arial" w:hAnsi="Arial" w:cs="Arial"/>
                <w:sz w:val="18"/>
                <w:szCs w:val="18"/>
              </w:rPr>
              <w:t>Rulide</w:t>
            </w:r>
            <w:proofErr w:type="spellEnd"/>
          </w:p>
        </w:tc>
        <w:tc>
          <w:tcPr>
            <w:tcW w:w="1603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A931CF" w14:textId="0822FAD6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E909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82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8D780" w14:textId="595A6B23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652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A0025F" w14:textId="6235A6BC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</w:tr>
    </w:tbl>
    <w:p w14:paraId="185833DE" w14:textId="15D38BFF" w:rsidR="00A353E0" w:rsidRDefault="00A353E0" w:rsidP="00A353E0">
      <w:pPr>
        <w:pStyle w:val="ItemHead"/>
        <w:numPr>
          <w:ilvl w:val="0"/>
          <w:numId w:val="20"/>
        </w:numPr>
      </w:pPr>
      <w:r>
        <w:t xml:space="preserve">Schedule 1, </w:t>
      </w:r>
      <w:r w:rsidR="00E90905" w:rsidRPr="00221C7E">
        <w:t xml:space="preserve">entry for </w:t>
      </w:r>
      <w:r w:rsidR="00E90905" w:rsidRPr="00E90905">
        <w:t>Salbutamol</w:t>
      </w:r>
    </w:p>
    <w:p w14:paraId="745FD236" w14:textId="32B4F40C" w:rsidR="007817B4" w:rsidRPr="00221C7E" w:rsidRDefault="007817B4" w:rsidP="00586EC4">
      <w:pPr>
        <w:spacing w:line="240" w:lineRule="auto"/>
        <w:rPr>
          <w:lang w:eastAsia="en-AU"/>
        </w:rPr>
      </w:pPr>
    </w:p>
    <w:p w14:paraId="63034C25" w14:textId="0C0F25C2" w:rsidR="00A32E1B" w:rsidRPr="00221C7E" w:rsidRDefault="00A32E1B" w:rsidP="00586EC4">
      <w:pPr>
        <w:spacing w:line="240" w:lineRule="auto"/>
        <w:rPr>
          <w:rFonts w:cs="Times New Roman"/>
          <w:szCs w:val="22"/>
          <w:lang w:eastAsia="en-AU"/>
        </w:rPr>
      </w:pPr>
      <w:r w:rsidRPr="00221C7E">
        <w:rPr>
          <w:lang w:eastAsia="en-AU"/>
        </w:rPr>
        <w:t xml:space="preserve">             </w:t>
      </w:r>
      <w:r w:rsidRPr="00221C7E">
        <w:rPr>
          <w:rFonts w:cs="Times New Roman"/>
          <w:szCs w:val="22"/>
          <w:lang w:eastAsia="en-AU"/>
        </w:rPr>
        <w:t>Omit</w:t>
      </w:r>
    </w:p>
    <w:tbl>
      <w:tblPr>
        <w:tblW w:w="1411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505"/>
        <w:gridCol w:w="1486"/>
        <w:gridCol w:w="1624"/>
        <w:gridCol w:w="1630"/>
        <w:gridCol w:w="1389"/>
        <w:gridCol w:w="1580"/>
        <w:gridCol w:w="1471"/>
      </w:tblGrid>
      <w:tr w:rsidR="009C5C84" w:rsidRPr="00221C7E" w14:paraId="04D11C20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7055C7" w14:textId="2E284CA8" w:rsidR="009C5C84" w:rsidRPr="00221C7E" w:rsidRDefault="009C5C84" w:rsidP="00E90905">
            <w:pPr>
              <w:rPr>
                <w:rFonts w:cs="Times New Roman"/>
                <w:szCs w:val="22"/>
              </w:rPr>
            </w:pPr>
            <w:bookmarkStart w:id="20" w:name="_Hlk116397355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Salbutamol</w:t>
            </w:r>
            <w:bookmarkEnd w:id="20"/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97A242" w14:textId="4E3A9B57" w:rsidR="009C5C84" w:rsidRPr="00221C7E" w:rsidRDefault="009C5C84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2.5 mg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59" w:type="dxa"/>
          </w:tcPr>
          <w:p w14:paraId="6B3C346E" w14:textId="77777777" w:rsidR="009C5C84" w:rsidRPr="00D92A2C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38BE8E" w14:textId="65D9AFDA" w:rsidR="009C5C84" w:rsidRPr="00221C7E" w:rsidRDefault="009C5C84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F31BBC" w14:textId="447C18D2" w:rsidR="009C5C84" w:rsidRPr="00221C7E" w:rsidRDefault="009C5C84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BE672" w14:textId="5BF10977" w:rsidR="009C5C84" w:rsidRPr="00221C7E" w:rsidRDefault="009C5C84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447384" w14:textId="615B8272" w:rsidR="009C5C84" w:rsidRPr="00221C7E" w:rsidRDefault="009C5C84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104919" w14:textId="67D58B28" w:rsidR="009C5C84" w:rsidRPr="00221C7E" w:rsidRDefault="009C5C84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9C5C84" w:rsidRPr="00221C7E" w14:paraId="66E93DD4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DE3F2A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29EE52" w14:textId="250F725A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2.5 mg (as </w:t>
            </w: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30</w:t>
            </w:r>
          </w:p>
        </w:tc>
        <w:tc>
          <w:tcPr>
            <w:tcW w:w="1759" w:type="dxa"/>
          </w:tcPr>
          <w:p w14:paraId="43B7D594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A8A53D" w14:textId="7FB451EC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D8131E" w14:textId="396F6C49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 xml:space="preserve"> 2.5 </w:t>
            </w: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dose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2266A" w14:textId="694C1098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68730A" w14:textId="06B126A5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125239" w14:textId="686D3C09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3.95</w:t>
            </w:r>
          </w:p>
        </w:tc>
      </w:tr>
      <w:tr w:rsidR="009C5C84" w:rsidRPr="00221C7E" w14:paraId="4D6E3768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C1335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59953F" w14:textId="73DE2FB1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5 mg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59" w:type="dxa"/>
          </w:tcPr>
          <w:p w14:paraId="7617AFA7" w14:textId="77777777" w:rsidR="009C5C84" w:rsidRPr="00D92A2C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BF6630" w14:textId="7E895891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BFF0D1" w14:textId="6EFD7A2D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86504E" w14:textId="2D28A7F1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373A9" w14:textId="4D0B7E72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39047E" w14:textId="63B5A230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</w:tr>
      <w:tr w:rsidR="009C5C84" w:rsidRPr="00221C7E" w14:paraId="0ED58924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05E43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3CDCC5" w14:textId="2CD2B3F9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5 mg (as </w:t>
            </w: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30</w:t>
            </w:r>
          </w:p>
        </w:tc>
        <w:tc>
          <w:tcPr>
            <w:tcW w:w="1759" w:type="dxa"/>
          </w:tcPr>
          <w:p w14:paraId="628B534F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EE66C1" w14:textId="05BA98FA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8D73F" w14:textId="43F0BB5B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  <w:proofErr w:type="spellEnd"/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  <w:t>dose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9683A0" w14:textId="7A3C943C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444EA5" w14:textId="5264A4D6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9C84A" w14:textId="7F7DB39D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t>4.15</w:t>
            </w:r>
          </w:p>
        </w:tc>
      </w:tr>
      <w:tr w:rsidR="009C5C84" w:rsidRPr="00221C7E" w14:paraId="0DA43994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1232D3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49C32" w14:textId="58A1FBDF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formulation)</w:t>
            </w:r>
          </w:p>
        </w:tc>
        <w:tc>
          <w:tcPr>
            <w:tcW w:w="1759" w:type="dxa"/>
          </w:tcPr>
          <w:p w14:paraId="48881C6A" w14:textId="77777777" w:rsidR="009C5C84" w:rsidRPr="00D92A2C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59184F" w14:textId="1607E926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0668FE" w14:textId="65D3AF3E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 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with dose counter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F68707" w14:textId="0BF00DE7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A6FE93" w14:textId="4F374169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80F783" w14:textId="3270186C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 w:rsidR="009C5C84" w:rsidRPr="00221C7E" w14:paraId="24DAC066" w14:textId="77777777" w:rsidTr="009C5C84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5911AD" w14:textId="77777777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80632" w14:textId="1165B7EF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formulation)</w:t>
            </w:r>
          </w:p>
        </w:tc>
        <w:tc>
          <w:tcPr>
            <w:tcW w:w="1759" w:type="dxa"/>
          </w:tcPr>
          <w:p w14:paraId="0A83E0F3" w14:textId="77777777" w:rsidR="009C5C84" w:rsidRPr="00D92A2C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E278D1" w14:textId="28B6DE88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41BCCC" w14:textId="7CE2B521" w:rsidR="009C5C84" w:rsidRPr="00E90905" w:rsidRDefault="009C5C84" w:rsidP="00E909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with dose counter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F4B3E8" w14:textId="204BA03C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A67DEF" w14:textId="104EF158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3A0B92" w14:textId="3F8D84C0" w:rsidR="009C5C84" w:rsidRPr="00E90905" w:rsidRDefault="009C5C84" w:rsidP="00E909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</w:tbl>
    <w:p w14:paraId="7208D8C1" w14:textId="3C28360E" w:rsidR="00A32E1B" w:rsidRPr="00221C7E" w:rsidRDefault="00A32E1B" w:rsidP="00A32E1B">
      <w:pPr>
        <w:rPr>
          <w:rFonts w:cs="Times New Roman"/>
          <w:szCs w:val="22"/>
          <w:lang w:eastAsia="en-AU"/>
        </w:rPr>
      </w:pPr>
    </w:p>
    <w:p w14:paraId="6DAE81DD" w14:textId="3A36DE38" w:rsidR="00A32E1B" w:rsidRPr="00221C7E" w:rsidRDefault="00A32E1B" w:rsidP="00A32E1B">
      <w:pPr>
        <w:ind w:firstLine="720"/>
        <w:rPr>
          <w:rFonts w:cs="Times New Roman"/>
          <w:szCs w:val="22"/>
          <w:lang w:eastAsia="en-AU"/>
        </w:rPr>
      </w:pPr>
      <w:r w:rsidRPr="00221C7E">
        <w:rPr>
          <w:rFonts w:cs="Times New Roman"/>
          <w:szCs w:val="22"/>
          <w:lang w:eastAsia="en-AU"/>
        </w:rPr>
        <w:t>Substitute</w:t>
      </w:r>
    </w:p>
    <w:tbl>
      <w:tblPr>
        <w:tblW w:w="1411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794"/>
        <w:gridCol w:w="1759"/>
        <w:gridCol w:w="1763"/>
        <w:gridCol w:w="1621"/>
        <w:gridCol w:w="1799"/>
        <w:gridCol w:w="1666"/>
      </w:tblGrid>
      <w:tr w:rsidR="00E90905" w:rsidRPr="00221C7E" w14:paraId="249CDADE" w14:textId="77777777" w:rsidTr="00B353BC">
        <w:trPr>
          <w:trHeight w:val="67"/>
        </w:trPr>
        <w:tc>
          <w:tcPr>
            <w:tcW w:w="270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3E1F58" w14:textId="6F739EB7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Salbutamol</w:t>
            </w: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454BE8" w14:textId="362EEDA3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2.5 mg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7DFFE2" w14:textId="7F4E94C9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CE8400" w14:textId="43BD39F9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AADA6D" w14:textId="5AE3395F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8A6D0E" w14:textId="1F80D88C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866351" w14:textId="7DC7F500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E90905" w:rsidRPr="00221C7E" w14:paraId="67D061B2" w14:textId="77777777" w:rsidTr="00866DD7">
        <w:trPr>
          <w:trHeight w:val="67"/>
        </w:trPr>
        <w:tc>
          <w:tcPr>
            <w:tcW w:w="2708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6B258E" w14:textId="77777777" w:rsidR="00E90905" w:rsidRPr="00221C7E" w:rsidRDefault="00E90905" w:rsidP="00E90905">
            <w:pPr>
              <w:rPr>
                <w:rFonts w:cs="Times New Roman"/>
                <w:szCs w:val="22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8CB93D" w14:textId="2EDC9090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Nebuliser solution 5 mg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in 2.5 mL single dose units, 20</w:t>
            </w: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AB2E5A" w14:textId="228B652E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E20B0" w14:textId="41DEB8E8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Nebules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D8F2A8" w14:textId="7943838B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E1CE1A" w14:textId="475D5B4B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ACA8B1" w14:textId="5FBE8B46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</w:tr>
      <w:tr w:rsidR="00E90905" w:rsidRPr="00221C7E" w14:paraId="56F96A17" w14:textId="77777777" w:rsidTr="004C222E">
        <w:trPr>
          <w:trHeight w:val="67"/>
        </w:trPr>
        <w:tc>
          <w:tcPr>
            <w:tcW w:w="2708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E0ACA8" w14:textId="77777777" w:rsidR="00E90905" w:rsidRPr="00221C7E" w:rsidRDefault="00E90905" w:rsidP="00E90905">
            <w:pPr>
              <w:rPr>
                <w:rFonts w:cs="Times New Roman"/>
                <w:szCs w:val="22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4C783C" w14:textId="336772FD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) per dose with dose counter, 200 doses (CFC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formulation)</w:t>
            </w: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AD490D" w14:textId="4C512E8E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Inhalation by mouth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D8347D" w14:textId="3436211B" w:rsidR="00E90905" w:rsidRPr="00221C7E" w:rsidRDefault="00E90905" w:rsidP="00E90905">
            <w:pPr>
              <w:rPr>
                <w:rFonts w:cs="Times New Roman"/>
                <w:szCs w:val="22"/>
              </w:rPr>
            </w:pP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Asmol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 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with dose counter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62852B" w14:textId="06436A8F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9B695C" w14:textId="4C7CCB13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25C4BE" w14:textId="66F890A7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 w:rsidR="00E90905" w:rsidRPr="00221C7E" w14:paraId="453F5B0C" w14:textId="77777777" w:rsidTr="004C222E">
        <w:trPr>
          <w:trHeight w:val="67"/>
        </w:trPr>
        <w:tc>
          <w:tcPr>
            <w:tcW w:w="2708" w:type="dxa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67CF9E" w14:textId="77777777" w:rsidR="00E90905" w:rsidRPr="00221C7E" w:rsidRDefault="00E90905" w:rsidP="00E90905">
            <w:pPr>
              <w:rPr>
                <w:rFonts w:cs="Times New Roman"/>
                <w:szCs w:val="22"/>
              </w:rPr>
            </w:pPr>
          </w:p>
        </w:tc>
        <w:tc>
          <w:tcPr>
            <w:tcW w:w="279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94C361" w14:textId="66C06D2D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sulfate</w:t>
            </w:r>
            <w:proofErr w:type="spellEnd"/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 xml:space="preserve">) per </w:t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dose with dose counter, 200 doses (CFC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formulation)</w:t>
            </w:r>
          </w:p>
        </w:tc>
        <w:tc>
          <w:tcPr>
            <w:tcW w:w="175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18380F" w14:textId="6C5358F5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Inhalation by mouth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2B466F" w14:textId="1957A5C8" w:rsidR="00E90905" w:rsidRPr="00221C7E" w:rsidRDefault="00E90905" w:rsidP="00E90905">
            <w:pPr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Ventolin CFC</w:t>
            </w:r>
            <w:r w:rsidRPr="00E90905">
              <w:rPr>
                <w:rFonts w:ascii="Arial" w:hAnsi="Arial" w:cs="Arial"/>
                <w:color w:val="000000"/>
                <w:sz w:val="18"/>
                <w:szCs w:val="18"/>
              </w:rPr>
              <w:noBreakHyphen/>
            </w: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Free with dose counter</w:t>
            </w:r>
          </w:p>
        </w:tc>
        <w:tc>
          <w:tcPr>
            <w:tcW w:w="162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39BF87" w14:textId="065140CB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58883" w14:textId="117C09DC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030E10" w14:textId="44571F29" w:rsidR="00E90905" w:rsidRPr="00221C7E" w:rsidRDefault="00E90905" w:rsidP="00E90905">
            <w:pPr>
              <w:jc w:val="right"/>
              <w:rPr>
                <w:rFonts w:cs="Times New Roman"/>
                <w:szCs w:val="22"/>
              </w:rPr>
            </w:pPr>
            <w:r w:rsidRPr="00D92A2C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</w:tbl>
    <w:p w14:paraId="44410DEA" w14:textId="77777777" w:rsidR="00E90905" w:rsidRPr="00E90905" w:rsidRDefault="00E90905" w:rsidP="00BB548A">
      <w:pPr>
        <w:rPr>
          <w:lang w:eastAsia="en-AU"/>
        </w:rPr>
      </w:pPr>
    </w:p>
    <w:sectPr w:rsidR="00E90905" w:rsidRPr="00E90905" w:rsidSect="00C465C8">
      <w:pgSz w:w="16839" w:h="11907" w:orient="landscape"/>
      <w:pgMar w:top="1797" w:right="1673" w:bottom="1560" w:left="144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3679" w14:textId="77777777" w:rsidR="00FF4D61" w:rsidRDefault="00FF4D61" w:rsidP="0048364F">
      <w:pPr>
        <w:spacing w:line="240" w:lineRule="auto"/>
      </w:pPr>
      <w:r>
        <w:separator/>
      </w:r>
    </w:p>
  </w:endnote>
  <w:endnote w:type="continuationSeparator" w:id="0">
    <w:p w14:paraId="7E3B8C08" w14:textId="77777777" w:rsidR="00FF4D61" w:rsidRDefault="00FF4D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79D9F950" w14:textId="77777777" w:rsidTr="001F6F0D">
      <w:tc>
        <w:tcPr>
          <w:tcW w:w="5000" w:type="pct"/>
        </w:tcPr>
        <w:p w14:paraId="48F854CC" w14:textId="77777777" w:rsidR="00506449" w:rsidRDefault="00506449" w:rsidP="001F6F0D">
          <w:pPr>
            <w:rPr>
              <w:sz w:val="18"/>
            </w:rPr>
          </w:pPr>
        </w:p>
      </w:tc>
    </w:tr>
  </w:tbl>
  <w:p w14:paraId="3A3E5EC9" w14:textId="77777777" w:rsidR="00506449" w:rsidRPr="005F1388" w:rsidRDefault="00506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57B8C1A" w14:textId="77777777" w:rsidTr="001F6F0D">
      <w:tc>
        <w:tcPr>
          <w:tcW w:w="5000" w:type="pct"/>
        </w:tcPr>
        <w:p w14:paraId="4073CC90" w14:textId="77777777" w:rsidR="00506449" w:rsidRDefault="00506449" w:rsidP="001F6F0D">
          <w:pPr>
            <w:rPr>
              <w:sz w:val="18"/>
            </w:rPr>
          </w:pPr>
        </w:p>
      </w:tc>
    </w:tr>
  </w:tbl>
  <w:p w14:paraId="5FBA887A" w14:textId="77777777" w:rsidR="00506449" w:rsidRPr="006D3667" w:rsidRDefault="00506449" w:rsidP="001F6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AC1" w14:textId="77777777" w:rsidR="00506449" w:rsidRDefault="00506449" w:rsidP="001F6F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D12857F" w14:textId="77777777" w:rsidTr="001F6F0D">
      <w:tc>
        <w:tcPr>
          <w:tcW w:w="5000" w:type="pct"/>
        </w:tcPr>
        <w:p w14:paraId="1F8499F1" w14:textId="77777777" w:rsidR="00506449" w:rsidRDefault="00506449" w:rsidP="001F6F0D">
          <w:pPr>
            <w:rPr>
              <w:sz w:val="18"/>
            </w:rPr>
          </w:pPr>
        </w:p>
      </w:tc>
    </w:tr>
  </w:tbl>
  <w:p w14:paraId="0A9835E7" w14:textId="77777777" w:rsidR="00506449" w:rsidRPr="00486382" w:rsidRDefault="005064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68AF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6449" w14:paraId="20B6109E" w14:textId="77777777" w:rsidTr="001F6F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8AD9EB" w14:textId="77777777" w:rsidR="00506449" w:rsidRDefault="00506449" w:rsidP="001F6F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D6C5C4" w14:textId="0584D8ED" w:rsidR="00506449" w:rsidRDefault="00506449" w:rsidP="001F6F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6DCF4A" w14:textId="77777777" w:rsidR="00506449" w:rsidRDefault="00506449" w:rsidP="001F6F0D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919B402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A842DC" w14:textId="77777777" w:rsidR="00506449" w:rsidRDefault="00506449" w:rsidP="001F6F0D">
          <w:pPr>
            <w:jc w:val="right"/>
            <w:rPr>
              <w:sz w:val="18"/>
            </w:rPr>
          </w:pPr>
        </w:p>
      </w:tc>
    </w:tr>
  </w:tbl>
  <w:p w14:paraId="1A1B9283" w14:textId="77777777" w:rsidR="00506449" w:rsidRPr="00ED79B6" w:rsidRDefault="00506449" w:rsidP="001F6F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E23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6449" w14:paraId="1905F0C8" w14:textId="77777777" w:rsidTr="001F6F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146DED" w14:textId="77777777" w:rsidR="00506449" w:rsidRDefault="00506449" w:rsidP="001F6F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C9F330" w14:textId="1E0238AB" w:rsidR="00506449" w:rsidRPr="00B20990" w:rsidRDefault="00506449" w:rsidP="00085A9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Instrument number </w:t>
          </w:r>
          <w:r w:rsidRPr="00D33EB9">
            <w:rPr>
              <w:i/>
              <w:sz w:val="18"/>
            </w:rPr>
            <w:t xml:space="preserve">PB </w:t>
          </w:r>
          <w:r w:rsidR="009E632D">
            <w:rPr>
              <w:i/>
              <w:sz w:val="18"/>
            </w:rPr>
            <w:t>105</w:t>
          </w:r>
          <w:r w:rsidRPr="00D33EB9">
            <w:rPr>
              <w:i/>
              <w:sz w:val="18"/>
            </w:rPr>
            <w:t xml:space="preserve"> of 202</w:t>
          </w:r>
          <w:r>
            <w:rPr>
              <w:i/>
              <w:sz w:val="18"/>
            </w:rPr>
            <w:t>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836D53" w14:textId="7B01D0AA" w:rsidR="00506449" w:rsidRDefault="00506449" w:rsidP="001F6F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6827682F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2E427" w14:textId="77777777" w:rsidR="00506449" w:rsidRDefault="00506449" w:rsidP="001F6F0D">
          <w:pPr>
            <w:rPr>
              <w:sz w:val="18"/>
            </w:rPr>
          </w:pPr>
        </w:p>
      </w:tc>
    </w:tr>
  </w:tbl>
  <w:p w14:paraId="4AD4BFDF" w14:textId="77777777" w:rsidR="00506449" w:rsidRPr="00ED79B6" w:rsidRDefault="00506449" w:rsidP="001F6F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F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6449" w14:paraId="270E1E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27A71" w14:textId="77777777" w:rsidR="00506449" w:rsidRDefault="005064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FFF03" w14:textId="77777777" w:rsidR="00506449" w:rsidRDefault="00506449" w:rsidP="00EC034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 97 of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71E9B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812BD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D1670" w14:textId="77777777" w:rsidR="00506449" w:rsidRDefault="00506449" w:rsidP="00EE57E8">
          <w:pPr>
            <w:jc w:val="right"/>
            <w:rPr>
              <w:sz w:val="18"/>
            </w:rPr>
          </w:pPr>
        </w:p>
      </w:tc>
    </w:tr>
  </w:tbl>
  <w:p w14:paraId="31F21B2F" w14:textId="77777777" w:rsidR="00506449" w:rsidRPr="00ED79B6" w:rsidRDefault="00506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3E5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6449" w14:paraId="28FD7831" w14:textId="77777777" w:rsidTr="001F6F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1E43C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DCF4E" w14:textId="0E117745" w:rsidR="00506449" w:rsidRDefault="00506449" w:rsidP="00085A9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</w:t>
          </w:r>
          <w:r w:rsidRPr="00D33EB9">
            <w:rPr>
              <w:i/>
              <w:sz w:val="18"/>
            </w:rPr>
            <w:t xml:space="preserve"> </w:t>
          </w:r>
          <w:r w:rsidR="00242883">
            <w:rPr>
              <w:i/>
              <w:sz w:val="18"/>
            </w:rPr>
            <w:t>105</w:t>
          </w:r>
          <w:r w:rsidRPr="00D33EB9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of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6A068" w14:textId="4BF817AD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6AAF" w14:textId="77777777" w:rsidR="00506449" w:rsidRPr="00ED79B6" w:rsidRDefault="00506449" w:rsidP="00EE57E8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506449" w14:paraId="57F7C797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8C79E" w14:textId="77777777" w:rsidR="00506449" w:rsidRDefault="00506449" w:rsidP="00EE57E8">
          <w:pPr>
            <w:rPr>
              <w:sz w:val="18"/>
            </w:rPr>
          </w:pPr>
        </w:p>
      </w:tc>
      <w:tc>
        <w:tcPr>
          <w:tcW w:w="709" w:type="dxa"/>
        </w:tcPr>
        <w:p w14:paraId="490ECDBE" w14:textId="77777777" w:rsidR="00506449" w:rsidRDefault="00506449" w:rsidP="00EE57E8">
          <w:pPr>
            <w:rPr>
              <w:sz w:val="18"/>
            </w:rPr>
          </w:pPr>
        </w:p>
      </w:tc>
    </w:tr>
  </w:tbl>
  <w:p w14:paraId="57B0D654" w14:textId="77777777" w:rsidR="00506449" w:rsidRPr="00ED79B6" w:rsidRDefault="00506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35C" w14:textId="59315EA4" w:rsidR="00506449" w:rsidRPr="00E33C1C" w:rsidRDefault="00506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6449" w14:paraId="262F9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7B517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16EF" w14:textId="2B68538E" w:rsidR="00506449" w:rsidRDefault="005064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BB806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2476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A47F1" w14:textId="5D920F23" w:rsidR="00506449" w:rsidRDefault="005064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06809">
            <w:rPr>
              <w:i/>
              <w:noProof/>
              <w:sz w:val="18"/>
            </w:rPr>
            <w:t>C:\Users\karamn\AppData\Roaming\Hewlett-Packard\HP TRIM\Offline Records (A7)\National ~ BENEFITS &amp; ACCESS - Advice\Attachment A - PB 105 of 2022 - section 85B - Determination 1 November 2022.DOCX</w:t>
          </w:r>
          <w:r w:rsidRPr="00ED79B6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17FD">
            <w:rPr>
              <w:i/>
              <w:noProof/>
              <w:sz w:val="18"/>
            </w:rPr>
            <w:t>28/10/2022 4:42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DE21" w14:textId="77777777" w:rsidR="00506449" w:rsidRPr="00ED79B6" w:rsidRDefault="00506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F39A" w14:textId="77777777" w:rsidR="00FF4D61" w:rsidRDefault="00FF4D61" w:rsidP="0048364F">
      <w:pPr>
        <w:spacing w:line="240" w:lineRule="auto"/>
      </w:pPr>
      <w:r>
        <w:separator/>
      </w:r>
    </w:p>
  </w:footnote>
  <w:footnote w:type="continuationSeparator" w:id="0">
    <w:p w14:paraId="1C5C0DB6" w14:textId="77777777" w:rsidR="00FF4D61" w:rsidRDefault="00FF4D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5F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7DE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BA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6E6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230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8F1" w14:textId="77777777" w:rsidR="00506449" w:rsidRPr="00ED79B6" w:rsidRDefault="00506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817" w14:textId="77777777" w:rsidR="00506449" w:rsidRPr="00A961C4" w:rsidRDefault="00506449" w:rsidP="0048364F">
    <w:pPr>
      <w:rPr>
        <w:b/>
        <w:sz w:val="20"/>
      </w:rPr>
    </w:pPr>
  </w:p>
  <w:p w14:paraId="515800F7" w14:textId="77777777" w:rsidR="00506449" w:rsidRPr="00A961C4" w:rsidRDefault="00506449" w:rsidP="0048364F">
    <w:pPr>
      <w:rPr>
        <w:b/>
        <w:sz w:val="20"/>
      </w:rPr>
    </w:pPr>
  </w:p>
  <w:p w14:paraId="3829F22D" w14:textId="77777777" w:rsidR="00506449" w:rsidRPr="00A961C4" w:rsidRDefault="00506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E70" w14:textId="77777777" w:rsidR="00506449" w:rsidRPr="00A961C4" w:rsidRDefault="00506449" w:rsidP="0048364F">
    <w:pPr>
      <w:jc w:val="right"/>
      <w:rPr>
        <w:sz w:val="20"/>
      </w:rPr>
    </w:pPr>
  </w:p>
  <w:p w14:paraId="2668C737" w14:textId="77777777" w:rsidR="00506449" w:rsidRPr="00A961C4" w:rsidRDefault="00506449" w:rsidP="0048364F">
    <w:pPr>
      <w:jc w:val="right"/>
      <w:rPr>
        <w:b/>
        <w:sz w:val="20"/>
      </w:rPr>
    </w:pPr>
  </w:p>
  <w:p w14:paraId="1CAF4B72" w14:textId="77777777" w:rsidR="00506449" w:rsidRPr="00A961C4" w:rsidRDefault="0050644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3E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53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1AC"/>
    <w:multiLevelType w:val="hybridMultilevel"/>
    <w:tmpl w:val="5E068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6FF"/>
    <w:multiLevelType w:val="hybridMultilevel"/>
    <w:tmpl w:val="782E195E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D34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C0710"/>
    <w:multiLevelType w:val="hybridMultilevel"/>
    <w:tmpl w:val="7E3C4A62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137AFB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871942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B1640F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F57DA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E125A9"/>
    <w:multiLevelType w:val="hybridMultilevel"/>
    <w:tmpl w:val="07F80C76"/>
    <w:lvl w:ilvl="0" w:tplc="BFB61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000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97290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F70DE4"/>
    <w:multiLevelType w:val="hybridMultilevel"/>
    <w:tmpl w:val="2F9AA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5D0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0E6FB1"/>
    <w:multiLevelType w:val="hybridMultilevel"/>
    <w:tmpl w:val="400E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57020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76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CE6A76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B076A5"/>
    <w:multiLevelType w:val="hybridMultilevel"/>
    <w:tmpl w:val="708C1072"/>
    <w:lvl w:ilvl="0" w:tplc="98F8F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52BF"/>
    <w:multiLevelType w:val="hybridMultilevel"/>
    <w:tmpl w:val="C6146B82"/>
    <w:lvl w:ilvl="0" w:tplc="5AC230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CB5B88"/>
    <w:multiLevelType w:val="hybridMultilevel"/>
    <w:tmpl w:val="696E34E2"/>
    <w:lvl w:ilvl="0" w:tplc="C5B2D9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1128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432D5A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B1ABD"/>
    <w:multiLevelType w:val="hybridMultilevel"/>
    <w:tmpl w:val="4DC25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0818"/>
    <w:multiLevelType w:val="hybridMultilevel"/>
    <w:tmpl w:val="D71E272E"/>
    <w:lvl w:ilvl="0" w:tplc="2B08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1E46"/>
    <w:multiLevelType w:val="hybridMultilevel"/>
    <w:tmpl w:val="EA706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56E4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D278C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D63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4200B8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3"/>
  </w:num>
  <w:num w:numId="5">
    <w:abstractNumId w:val="21"/>
  </w:num>
  <w:num w:numId="6">
    <w:abstractNumId w:val="14"/>
  </w:num>
  <w:num w:numId="7">
    <w:abstractNumId w:val="4"/>
  </w:num>
  <w:num w:numId="8">
    <w:abstractNumId w:val="13"/>
  </w:num>
  <w:num w:numId="9">
    <w:abstractNumId w:val="25"/>
  </w:num>
  <w:num w:numId="10">
    <w:abstractNumId w:val="22"/>
  </w:num>
  <w:num w:numId="11">
    <w:abstractNumId w:val="33"/>
  </w:num>
  <w:num w:numId="12">
    <w:abstractNumId w:val="10"/>
  </w:num>
  <w:num w:numId="13">
    <w:abstractNumId w:val="19"/>
  </w:num>
  <w:num w:numId="14">
    <w:abstractNumId w:val="12"/>
  </w:num>
  <w:num w:numId="15">
    <w:abstractNumId w:val="8"/>
  </w:num>
  <w:num w:numId="16">
    <w:abstractNumId w:val="5"/>
  </w:num>
  <w:num w:numId="17">
    <w:abstractNumId w:val="28"/>
  </w:num>
  <w:num w:numId="18">
    <w:abstractNumId w:val="17"/>
  </w:num>
  <w:num w:numId="19">
    <w:abstractNumId w:val="24"/>
  </w:num>
  <w:num w:numId="20">
    <w:abstractNumId w:val="1"/>
  </w:num>
  <w:num w:numId="21">
    <w:abstractNumId w:val="11"/>
  </w:num>
  <w:num w:numId="22">
    <w:abstractNumId w:val="32"/>
  </w:num>
  <w:num w:numId="23">
    <w:abstractNumId w:val="31"/>
  </w:num>
  <w:num w:numId="24">
    <w:abstractNumId w:val="26"/>
  </w:num>
  <w:num w:numId="25">
    <w:abstractNumId w:val="34"/>
  </w:num>
  <w:num w:numId="26">
    <w:abstractNumId w:val="7"/>
  </w:num>
  <w:num w:numId="27">
    <w:abstractNumId w:val="9"/>
  </w:num>
  <w:num w:numId="28">
    <w:abstractNumId w:val="30"/>
  </w:num>
  <w:num w:numId="29">
    <w:abstractNumId w:val="20"/>
  </w:num>
  <w:num w:numId="30">
    <w:abstractNumId w:val="2"/>
  </w:num>
  <w:num w:numId="31">
    <w:abstractNumId w:val="27"/>
  </w:num>
  <w:num w:numId="32">
    <w:abstractNumId w:val="29"/>
  </w:num>
  <w:num w:numId="33">
    <w:abstractNumId w:val="0"/>
  </w:num>
  <w:num w:numId="34">
    <w:abstractNumId w:val="15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63"/>
    <w:rsid w:val="000008D5"/>
    <w:rsid w:val="00002BCC"/>
    <w:rsid w:val="000113BC"/>
    <w:rsid w:val="000136AF"/>
    <w:rsid w:val="00031AB5"/>
    <w:rsid w:val="00034C41"/>
    <w:rsid w:val="0004044E"/>
    <w:rsid w:val="00047D19"/>
    <w:rsid w:val="0005120E"/>
    <w:rsid w:val="00054577"/>
    <w:rsid w:val="00055A38"/>
    <w:rsid w:val="000614BF"/>
    <w:rsid w:val="000634E9"/>
    <w:rsid w:val="00070CF0"/>
    <w:rsid w:val="0007169C"/>
    <w:rsid w:val="0007478B"/>
    <w:rsid w:val="00077593"/>
    <w:rsid w:val="00083F48"/>
    <w:rsid w:val="00085A97"/>
    <w:rsid w:val="00095C7A"/>
    <w:rsid w:val="000A0BFC"/>
    <w:rsid w:val="000A2E80"/>
    <w:rsid w:val="000A479A"/>
    <w:rsid w:val="000A7DF9"/>
    <w:rsid w:val="000B7ABB"/>
    <w:rsid w:val="000D05EF"/>
    <w:rsid w:val="000D3FB9"/>
    <w:rsid w:val="000D42CF"/>
    <w:rsid w:val="000D5485"/>
    <w:rsid w:val="000D68B3"/>
    <w:rsid w:val="000E2423"/>
    <w:rsid w:val="000E42CE"/>
    <w:rsid w:val="000E598E"/>
    <w:rsid w:val="000E5A3D"/>
    <w:rsid w:val="000F0ADA"/>
    <w:rsid w:val="000F21C1"/>
    <w:rsid w:val="00103969"/>
    <w:rsid w:val="0010745C"/>
    <w:rsid w:val="001122FF"/>
    <w:rsid w:val="001176B8"/>
    <w:rsid w:val="001203B7"/>
    <w:rsid w:val="00133E4B"/>
    <w:rsid w:val="00134BDC"/>
    <w:rsid w:val="001413A4"/>
    <w:rsid w:val="001466CE"/>
    <w:rsid w:val="001537F8"/>
    <w:rsid w:val="00154BFD"/>
    <w:rsid w:val="00160BD7"/>
    <w:rsid w:val="001643C9"/>
    <w:rsid w:val="00165568"/>
    <w:rsid w:val="001655C5"/>
    <w:rsid w:val="00166082"/>
    <w:rsid w:val="00166C2F"/>
    <w:rsid w:val="001716C9"/>
    <w:rsid w:val="00184261"/>
    <w:rsid w:val="00184BB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38F"/>
    <w:rsid w:val="001E0A8D"/>
    <w:rsid w:val="001E3590"/>
    <w:rsid w:val="001E7407"/>
    <w:rsid w:val="001F1A46"/>
    <w:rsid w:val="001F6CBB"/>
    <w:rsid w:val="001F6F0D"/>
    <w:rsid w:val="001F710B"/>
    <w:rsid w:val="0020159E"/>
    <w:rsid w:val="00201D27"/>
    <w:rsid w:val="002069B1"/>
    <w:rsid w:val="0021153A"/>
    <w:rsid w:val="00213140"/>
    <w:rsid w:val="002164A4"/>
    <w:rsid w:val="0022147B"/>
    <w:rsid w:val="00221C7E"/>
    <w:rsid w:val="002245A6"/>
    <w:rsid w:val="00225809"/>
    <w:rsid w:val="002271C1"/>
    <w:rsid w:val="002302EA"/>
    <w:rsid w:val="00234AF0"/>
    <w:rsid w:val="00236622"/>
    <w:rsid w:val="00237614"/>
    <w:rsid w:val="002376CF"/>
    <w:rsid w:val="00240749"/>
    <w:rsid w:val="00240CC4"/>
    <w:rsid w:val="00242883"/>
    <w:rsid w:val="002468D7"/>
    <w:rsid w:val="00247E97"/>
    <w:rsid w:val="002510A2"/>
    <w:rsid w:val="00253C32"/>
    <w:rsid w:val="00256C81"/>
    <w:rsid w:val="00262243"/>
    <w:rsid w:val="00263832"/>
    <w:rsid w:val="002776DE"/>
    <w:rsid w:val="0028543C"/>
    <w:rsid w:val="00285CDD"/>
    <w:rsid w:val="00291167"/>
    <w:rsid w:val="00293A31"/>
    <w:rsid w:val="0029489E"/>
    <w:rsid w:val="00296A97"/>
    <w:rsid w:val="00297ECB"/>
    <w:rsid w:val="002A3922"/>
    <w:rsid w:val="002C152A"/>
    <w:rsid w:val="002C456C"/>
    <w:rsid w:val="002D043A"/>
    <w:rsid w:val="002D2078"/>
    <w:rsid w:val="002D69B7"/>
    <w:rsid w:val="002E6D0A"/>
    <w:rsid w:val="002F1BD4"/>
    <w:rsid w:val="002F7F43"/>
    <w:rsid w:val="00303ACC"/>
    <w:rsid w:val="0031713F"/>
    <w:rsid w:val="003222D1"/>
    <w:rsid w:val="00324A74"/>
    <w:rsid w:val="0032750F"/>
    <w:rsid w:val="00335E08"/>
    <w:rsid w:val="003415D3"/>
    <w:rsid w:val="00342601"/>
    <w:rsid w:val="00343C2A"/>
    <w:rsid w:val="003442F6"/>
    <w:rsid w:val="003456E1"/>
    <w:rsid w:val="00346335"/>
    <w:rsid w:val="00352B0F"/>
    <w:rsid w:val="003561B0"/>
    <w:rsid w:val="00356688"/>
    <w:rsid w:val="00363DBF"/>
    <w:rsid w:val="00374467"/>
    <w:rsid w:val="00376317"/>
    <w:rsid w:val="00376415"/>
    <w:rsid w:val="0039061F"/>
    <w:rsid w:val="00394BD0"/>
    <w:rsid w:val="003977FB"/>
    <w:rsid w:val="00397893"/>
    <w:rsid w:val="003A15AC"/>
    <w:rsid w:val="003A41B3"/>
    <w:rsid w:val="003B0627"/>
    <w:rsid w:val="003B6B97"/>
    <w:rsid w:val="003C4341"/>
    <w:rsid w:val="003C57D4"/>
    <w:rsid w:val="003C5F2B"/>
    <w:rsid w:val="003C7D35"/>
    <w:rsid w:val="003D0BFE"/>
    <w:rsid w:val="003D5700"/>
    <w:rsid w:val="003D5C26"/>
    <w:rsid w:val="003E048B"/>
    <w:rsid w:val="003E0C69"/>
    <w:rsid w:val="003F6F52"/>
    <w:rsid w:val="004022CA"/>
    <w:rsid w:val="00405994"/>
    <w:rsid w:val="004116CD"/>
    <w:rsid w:val="00414ADE"/>
    <w:rsid w:val="004227DF"/>
    <w:rsid w:val="00423883"/>
    <w:rsid w:val="00424206"/>
    <w:rsid w:val="00424CA9"/>
    <w:rsid w:val="004257BB"/>
    <w:rsid w:val="0044291A"/>
    <w:rsid w:val="004444DC"/>
    <w:rsid w:val="00451893"/>
    <w:rsid w:val="004521F8"/>
    <w:rsid w:val="00452642"/>
    <w:rsid w:val="00456E16"/>
    <w:rsid w:val="004600B0"/>
    <w:rsid w:val="00460499"/>
    <w:rsid w:val="00460FBA"/>
    <w:rsid w:val="004617C2"/>
    <w:rsid w:val="0046185C"/>
    <w:rsid w:val="00461B25"/>
    <w:rsid w:val="00465C78"/>
    <w:rsid w:val="004712F1"/>
    <w:rsid w:val="00474835"/>
    <w:rsid w:val="004819C7"/>
    <w:rsid w:val="0048364F"/>
    <w:rsid w:val="004877FC"/>
    <w:rsid w:val="00490D6C"/>
    <w:rsid w:val="00490F2E"/>
    <w:rsid w:val="0049423F"/>
    <w:rsid w:val="00496F97"/>
    <w:rsid w:val="004A53EA"/>
    <w:rsid w:val="004A614A"/>
    <w:rsid w:val="004B35E7"/>
    <w:rsid w:val="004B5417"/>
    <w:rsid w:val="004B5647"/>
    <w:rsid w:val="004C068C"/>
    <w:rsid w:val="004C319D"/>
    <w:rsid w:val="004C4A86"/>
    <w:rsid w:val="004D333C"/>
    <w:rsid w:val="004E192A"/>
    <w:rsid w:val="004E22A5"/>
    <w:rsid w:val="004F1FAC"/>
    <w:rsid w:val="004F43BF"/>
    <w:rsid w:val="004F5A23"/>
    <w:rsid w:val="004F676E"/>
    <w:rsid w:val="004F71C0"/>
    <w:rsid w:val="004F75A4"/>
    <w:rsid w:val="005044B0"/>
    <w:rsid w:val="00506449"/>
    <w:rsid w:val="00515B27"/>
    <w:rsid w:val="00516B8D"/>
    <w:rsid w:val="00517BF0"/>
    <w:rsid w:val="0052756C"/>
    <w:rsid w:val="00530230"/>
    <w:rsid w:val="00530CC9"/>
    <w:rsid w:val="00531B46"/>
    <w:rsid w:val="005320D8"/>
    <w:rsid w:val="00532AA8"/>
    <w:rsid w:val="00537FBC"/>
    <w:rsid w:val="00541D73"/>
    <w:rsid w:val="00543469"/>
    <w:rsid w:val="005450B1"/>
    <w:rsid w:val="00546FA3"/>
    <w:rsid w:val="00557C7A"/>
    <w:rsid w:val="00562A58"/>
    <w:rsid w:val="0056541A"/>
    <w:rsid w:val="00581211"/>
    <w:rsid w:val="00583967"/>
    <w:rsid w:val="00584811"/>
    <w:rsid w:val="00586EC4"/>
    <w:rsid w:val="00587C74"/>
    <w:rsid w:val="0059166B"/>
    <w:rsid w:val="00591E77"/>
    <w:rsid w:val="00593AA6"/>
    <w:rsid w:val="00594161"/>
    <w:rsid w:val="00594749"/>
    <w:rsid w:val="00594956"/>
    <w:rsid w:val="005960B4"/>
    <w:rsid w:val="00597A77"/>
    <w:rsid w:val="005B1555"/>
    <w:rsid w:val="005B1816"/>
    <w:rsid w:val="005B4067"/>
    <w:rsid w:val="005C39AB"/>
    <w:rsid w:val="005C3F41"/>
    <w:rsid w:val="005C4901"/>
    <w:rsid w:val="005C4E72"/>
    <w:rsid w:val="005C4EF0"/>
    <w:rsid w:val="005C54E3"/>
    <w:rsid w:val="005D4109"/>
    <w:rsid w:val="005D5EA1"/>
    <w:rsid w:val="005D7251"/>
    <w:rsid w:val="005E098C"/>
    <w:rsid w:val="005E1F8D"/>
    <w:rsid w:val="005E270A"/>
    <w:rsid w:val="005E317F"/>
    <w:rsid w:val="005E41E0"/>
    <w:rsid w:val="005E5C62"/>
    <w:rsid w:val="005E61D3"/>
    <w:rsid w:val="005F4B08"/>
    <w:rsid w:val="00600219"/>
    <w:rsid w:val="006048AD"/>
    <w:rsid w:val="006065DA"/>
    <w:rsid w:val="00606809"/>
    <w:rsid w:val="00606AA4"/>
    <w:rsid w:val="0061446F"/>
    <w:rsid w:val="00620D61"/>
    <w:rsid w:val="00625FF7"/>
    <w:rsid w:val="00626155"/>
    <w:rsid w:val="006265F1"/>
    <w:rsid w:val="00640402"/>
    <w:rsid w:val="006407AC"/>
    <w:rsid w:val="00640F78"/>
    <w:rsid w:val="0064474D"/>
    <w:rsid w:val="00650184"/>
    <w:rsid w:val="00650863"/>
    <w:rsid w:val="00655D6A"/>
    <w:rsid w:val="00656DE9"/>
    <w:rsid w:val="00665ED9"/>
    <w:rsid w:val="00666402"/>
    <w:rsid w:val="00672876"/>
    <w:rsid w:val="00677CC2"/>
    <w:rsid w:val="00681222"/>
    <w:rsid w:val="006816B2"/>
    <w:rsid w:val="00685072"/>
    <w:rsid w:val="00685BD0"/>
    <w:rsid w:val="00685F42"/>
    <w:rsid w:val="00691E2F"/>
    <w:rsid w:val="0069207B"/>
    <w:rsid w:val="006A304E"/>
    <w:rsid w:val="006A422E"/>
    <w:rsid w:val="006B7006"/>
    <w:rsid w:val="006C6802"/>
    <w:rsid w:val="006C7F8C"/>
    <w:rsid w:val="006D3495"/>
    <w:rsid w:val="006D63BD"/>
    <w:rsid w:val="006D7AB9"/>
    <w:rsid w:val="006E2125"/>
    <w:rsid w:val="00700B2C"/>
    <w:rsid w:val="00703822"/>
    <w:rsid w:val="00705AA3"/>
    <w:rsid w:val="0070682F"/>
    <w:rsid w:val="00707582"/>
    <w:rsid w:val="007109D7"/>
    <w:rsid w:val="00713084"/>
    <w:rsid w:val="007172CB"/>
    <w:rsid w:val="00717463"/>
    <w:rsid w:val="00720FC2"/>
    <w:rsid w:val="00722E89"/>
    <w:rsid w:val="007307F4"/>
    <w:rsid w:val="00730C90"/>
    <w:rsid w:val="00731E00"/>
    <w:rsid w:val="007339C7"/>
    <w:rsid w:val="007369C2"/>
    <w:rsid w:val="00742CA3"/>
    <w:rsid w:val="007440B7"/>
    <w:rsid w:val="00744393"/>
    <w:rsid w:val="00747993"/>
    <w:rsid w:val="007634AD"/>
    <w:rsid w:val="00763BE9"/>
    <w:rsid w:val="007715C9"/>
    <w:rsid w:val="00772534"/>
    <w:rsid w:val="00774EDD"/>
    <w:rsid w:val="007757EC"/>
    <w:rsid w:val="007817B4"/>
    <w:rsid w:val="00793F0B"/>
    <w:rsid w:val="007A4934"/>
    <w:rsid w:val="007A5255"/>
    <w:rsid w:val="007A6863"/>
    <w:rsid w:val="007B190A"/>
    <w:rsid w:val="007C2232"/>
    <w:rsid w:val="007C78B4"/>
    <w:rsid w:val="007D4727"/>
    <w:rsid w:val="007E135A"/>
    <w:rsid w:val="007E1D7E"/>
    <w:rsid w:val="007E32B6"/>
    <w:rsid w:val="007E486B"/>
    <w:rsid w:val="007E7D4A"/>
    <w:rsid w:val="007F48ED"/>
    <w:rsid w:val="007F5E3F"/>
    <w:rsid w:val="007F7F80"/>
    <w:rsid w:val="0080329E"/>
    <w:rsid w:val="008037E7"/>
    <w:rsid w:val="00806C50"/>
    <w:rsid w:val="00812F45"/>
    <w:rsid w:val="008154D9"/>
    <w:rsid w:val="00832DAC"/>
    <w:rsid w:val="00836FE9"/>
    <w:rsid w:val="00837798"/>
    <w:rsid w:val="00837E14"/>
    <w:rsid w:val="0084172C"/>
    <w:rsid w:val="0085175E"/>
    <w:rsid w:val="00856A31"/>
    <w:rsid w:val="00861952"/>
    <w:rsid w:val="00861AFB"/>
    <w:rsid w:val="0086504D"/>
    <w:rsid w:val="0087401B"/>
    <w:rsid w:val="008754D0"/>
    <w:rsid w:val="00877C69"/>
    <w:rsid w:val="00877D48"/>
    <w:rsid w:val="00881762"/>
    <w:rsid w:val="00881B0D"/>
    <w:rsid w:val="0088345B"/>
    <w:rsid w:val="00896DE2"/>
    <w:rsid w:val="008A073F"/>
    <w:rsid w:val="008A16A5"/>
    <w:rsid w:val="008A22D6"/>
    <w:rsid w:val="008A5C57"/>
    <w:rsid w:val="008B6C23"/>
    <w:rsid w:val="008C0629"/>
    <w:rsid w:val="008D0EE0"/>
    <w:rsid w:val="008D7A27"/>
    <w:rsid w:val="008E1A6D"/>
    <w:rsid w:val="008E4702"/>
    <w:rsid w:val="008E4772"/>
    <w:rsid w:val="008E69AA"/>
    <w:rsid w:val="008F4F1C"/>
    <w:rsid w:val="00900745"/>
    <w:rsid w:val="00906300"/>
    <w:rsid w:val="009069AD"/>
    <w:rsid w:val="00907C6F"/>
    <w:rsid w:val="00910E64"/>
    <w:rsid w:val="00912315"/>
    <w:rsid w:val="00920102"/>
    <w:rsid w:val="00922764"/>
    <w:rsid w:val="009278C1"/>
    <w:rsid w:val="00932377"/>
    <w:rsid w:val="009346E3"/>
    <w:rsid w:val="0094168D"/>
    <w:rsid w:val="009425E0"/>
    <w:rsid w:val="00943E81"/>
    <w:rsid w:val="0094523D"/>
    <w:rsid w:val="00954329"/>
    <w:rsid w:val="00954E88"/>
    <w:rsid w:val="00962A62"/>
    <w:rsid w:val="0097461D"/>
    <w:rsid w:val="0097605A"/>
    <w:rsid w:val="00976A63"/>
    <w:rsid w:val="00977447"/>
    <w:rsid w:val="009840B5"/>
    <w:rsid w:val="009A1B1D"/>
    <w:rsid w:val="009A2BEC"/>
    <w:rsid w:val="009B2490"/>
    <w:rsid w:val="009B4CEF"/>
    <w:rsid w:val="009B50E5"/>
    <w:rsid w:val="009B53FB"/>
    <w:rsid w:val="009C3431"/>
    <w:rsid w:val="009C5989"/>
    <w:rsid w:val="009C5C84"/>
    <w:rsid w:val="009C6A32"/>
    <w:rsid w:val="009D08DA"/>
    <w:rsid w:val="009D102B"/>
    <w:rsid w:val="009D5A85"/>
    <w:rsid w:val="009E2ECE"/>
    <w:rsid w:val="009E632D"/>
    <w:rsid w:val="009F0C2D"/>
    <w:rsid w:val="009F3D11"/>
    <w:rsid w:val="00A0073A"/>
    <w:rsid w:val="00A06860"/>
    <w:rsid w:val="00A136F5"/>
    <w:rsid w:val="00A15F79"/>
    <w:rsid w:val="00A21D57"/>
    <w:rsid w:val="00A231E2"/>
    <w:rsid w:val="00A2550D"/>
    <w:rsid w:val="00A32179"/>
    <w:rsid w:val="00A32E1B"/>
    <w:rsid w:val="00A353E0"/>
    <w:rsid w:val="00A379BB"/>
    <w:rsid w:val="00A4169B"/>
    <w:rsid w:val="00A457F9"/>
    <w:rsid w:val="00A50D55"/>
    <w:rsid w:val="00A52FDA"/>
    <w:rsid w:val="00A54ADE"/>
    <w:rsid w:val="00A62FB8"/>
    <w:rsid w:val="00A64912"/>
    <w:rsid w:val="00A66415"/>
    <w:rsid w:val="00A6758B"/>
    <w:rsid w:val="00A70A74"/>
    <w:rsid w:val="00A827AF"/>
    <w:rsid w:val="00A83B30"/>
    <w:rsid w:val="00A83E41"/>
    <w:rsid w:val="00A9231A"/>
    <w:rsid w:val="00A95BC7"/>
    <w:rsid w:val="00AA0343"/>
    <w:rsid w:val="00AA0ED4"/>
    <w:rsid w:val="00AA78CE"/>
    <w:rsid w:val="00AA7B26"/>
    <w:rsid w:val="00AB4F1C"/>
    <w:rsid w:val="00AB5560"/>
    <w:rsid w:val="00AC5BB5"/>
    <w:rsid w:val="00AC767C"/>
    <w:rsid w:val="00AD3467"/>
    <w:rsid w:val="00AD5641"/>
    <w:rsid w:val="00AE0506"/>
    <w:rsid w:val="00AE3F3F"/>
    <w:rsid w:val="00AE6757"/>
    <w:rsid w:val="00AE7D23"/>
    <w:rsid w:val="00AF33DB"/>
    <w:rsid w:val="00AF354F"/>
    <w:rsid w:val="00B02B15"/>
    <w:rsid w:val="00B032D8"/>
    <w:rsid w:val="00B05D72"/>
    <w:rsid w:val="00B1365D"/>
    <w:rsid w:val="00B20990"/>
    <w:rsid w:val="00B23FAF"/>
    <w:rsid w:val="00B30055"/>
    <w:rsid w:val="00B33B3C"/>
    <w:rsid w:val="00B34216"/>
    <w:rsid w:val="00B35E3E"/>
    <w:rsid w:val="00B40D74"/>
    <w:rsid w:val="00B42649"/>
    <w:rsid w:val="00B46467"/>
    <w:rsid w:val="00B52663"/>
    <w:rsid w:val="00B56DCB"/>
    <w:rsid w:val="00B61728"/>
    <w:rsid w:val="00B654ED"/>
    <w:rsid w:val="00B671F8"/>
    <w:rsid w:val="00B76F45"/>
    <w:rsid w:val="00B770D2"/>
    <w:rsid w:val="00B93516"/>
    <w:rsid w:val="00B952F1"/>
    <w:rsid w:val="00B96776"/>
    <w:rsid w:val="00B973E5"/>
    <w:rsid w:val="00BA47A3"/>
    <w:rsid w:val="00BA5026"/>
    <w:rsid w:val="00BA7B5B"/>
    <w:rsid w:val="00BB2DF8"/>
    <w:rsid w:val="00BB3EFB"/>
    <w:rsid w:val="00BB548A"/>
    <w:rsid w:val="00BB6E79"/>
    <w:rsid w:val="00BC59D8"/>
    <w:rsid w:val="00BD2BE0"/>
    <w:rsid w:val="00BD3C0C"/>
    <w:rsid w:val="00BD423E"/>
    <w:rsid w:val="00BD47BD"/>
    <w:rsid w:val="00BE074E"/>
    <w:rsid w:val="00BE42C5"/>
    <w:rsid w:val="00BE719A"/>
    <w:rsid w:val="00BE720A"/>
    <w:rsid w:val="00BF0723"/>
    <w:rsid w:val="00BF0B74"/>
    <w:rsid w:val="00BF1109"/>
    <w:rsid w:val="00BF2483"/>
    <w:rsid w:val="00BF6650"/>
    <w:rsid w:val="00C066D2"/>
    <w:rsid w:val="00C067E5"/>
    <w:rsid w:val="00C10CA4"/>
    <w:rsid w:val="00C1406A"/>
    <w:rsid w:val="00C164CA"/>
    <w:rsid w:val="00C20747"/>
    <w:rsid w:val="00C25FB2"/>
    <w:rsid w:val="00C26051"/>
    <w:rsid w:val="00C32B1D"/>
    <w:rsid w:val="00C42BF8"/>
    <w:rsid w:val="00C460AE"/>
    <w:rsid w:val="00C465C8"/>
    <w:rsid w:val="00C50043"/>
    <w:rsid w:val="00C5015F"/>
    <w:rsid w:val="00C50A0F"/>
    <w:rsid w:val="00C50F4A"/>
    <w:rsid w:val="00C5784F"/>
    <w:rsid w:val="00C6027C"/>
    <w:rsid w:val="00C60D4E"/>
    <w:rsid w:val="00C66C9F"/>
    <w:rsid w:val="00C704F8"/>
    <w:rsid w:val="00C72D10"/>
    <w:rsid w:val="00C7573B"/>
    <w:rsid w:val="00C76CF3"/>
    <w:rsid w:val="00C77AC0"/>
    <w:rsid w:val="00C8001C"/>
    <w:rsid w:val="00C80761"/>
    <w:rsid w:val="00C835CC"/>
    <w:rsid w:val="00C873DE"/>
    <w:rsid w:val="00C90D9D"/>
    <w:rsid w:val="00C93205"/>
    <w:rsid w:val="00C945DC"/>
    <w:rsid w:val="00C94C32"/>
    <w:rsid w:val="00CA7844"/>
    <w:rsid w:val="00CB2845"/>
    <w:rsid w:val="00CB58EF"/>
    <w:rsid w:val="00CC16D8"/>
    <w:rsid w:val="00CC1B5E"/>
    <w:rsid w:val="00CC261A"/>
    <w:rsid w:val="00CC56E7"/>
    <w:rsid w:val="00CD0328"/>
    <w:rsid w:val="00CD0555"/>
    <w:rsid w:val="00CD105C"/>
    <w:rsid w:val="00CE0A93"/>
    <w:rsid w:val="00CE105D"/>
    <w:rsid w:val="00CE367A"/>
    <w:rsid w:val="00CF0BB2"/>
    <w:rsid w:val="00CF686D"/>
    <w:rsid w:val="00D02205"/>
    <w:rsid w:val="00D0490E"/>
    <w:rsid w:val="00D07B82"/>
    <w:rsid w:val="00D12B0D"/>
    <w:rsid w:val="00D13441"/>
    <w:rsid w:val="00D20E9B"/>
    <w:rsid w:val="00D243A3"/>
    <w:rsid w:val="00D33440"/>
    <w:rsid w:val="00D33EB9"/>
    <w:rsid w:val="00D34D98"/>
    <w:rsid w:val="00D35F66"/>
    <w:rsid w:val="00D408FF"/>
    <w:rsid w:val="00D40C49"/>
    <w:rsid w:val="00D4720B"/>
    <w:rsid w:val="00D47376"/>
    <w:rsid w:val="00D5193F"/>
    <w:rsid w:val="00D52EFE"/>
    <w:rsid w:val="00D56A0D"/>
    <w:rsid w:val="00D63EF6"/>
    <w:rsid w:val="00D65EF9"/>
    <w:rsid w:val="00D66280"/>
    <w:rsid w:val="00D66518"/>
    <w:rsid w:val="00D70DFB"/>
    <w:rsid w:val="00D71C47"/>
    <w:rsid w:val="00D71EEA"/>
    <w:rsid w:val="00D727F2"/>
    <w:rsid w:val="00D735CD"/>
    <w:rsid w:val="00D766DF"/>
    <w:rsid w:val="00D8109E"/>
    <w:rsid w:val="00D90841"/>
    <w:rsid w:val="00D915E1"/>
    <w:rsid w:val="00DA0C3A"/>
    <w:rsid w:val="00DA2439"/>
    <w:rsid w:val="00DA2B21"/>
    <w:rsid w:val="00DA6F05"/>
    <w:rsid w:val="00DB243E"/>
    <w:rsid w:val="00DB5A8A"/>
    <w:rsid w:val="00DB64FC"/>
    <w:rsid w:val="00DC7C0C"/>
    <w:rsid w:val="00DD66EF"/>
    <w:rsid w:val="00DE0F30"/>
    <w:rsid w:val="00DE149E"/>
    <w:rsid w:val="00DE17FD"/>
    <w:rsid w:val="00DE649A"/>
    <w:rsid w:val="00DE69CF"/>
    <w:rsid w:val="00DE6A6B"/>
    <w:rsid w:val="00E034DB"/>
    <w:rsid w:val="00E03EF5"/>
    <w:rsid w:val="00E05704"/>
    <w:rsid w:val="00E1026E"/>
    <w:rsid w:val="00E12F1A"/>
    <w:rsid w:val="00E15BCE"/>
    <w:rsid w:val="00E22514"/>
    <w:rsid w:val="00E22935"/>
    <w:rsid w:val="00E273AD"/>
    <w:rsid w:val="00E3110C"/>
    <w:rsid w:val="00E3334E"/>
    <w:rsid w:val="00E34F2C"/>
    <w:rsid w:val="00E369E6"/>
    <w:rsid w:val="00E41C6A"/>
    <w:rsid w:val="00E41EC4"/>
    <w:rsid w:val="00E43BC9"/>
    <w:rsid w:val="00E52171"/>
    <w:rsid w:val="00E54292"/>
    <w:rsid w:val="00E60191"/>
    <w:rsid w:val="00E6331B"/>
    <w:rsid w:val="00E64F65"/>
    <w:rsid w:val="00E71706"/>
    <w:rsid w:val="00E730CD"/>
    <w:rsid w:val="00E74BE9"/>
    <w:rsid w:val="00E74DC7"/>
    <w:rsid w:val="00E82DE3"/>
    <w:rsid w:val="00E87699"/>
    <w:rsid w:val="00E90905"/>
    <w:rsid w:val="00E92E27"/>
    <w:rsid w:val="00E9586B"/>
    <w:rsid w:val="00E97334"/>
    <w:rsid w:val="00EB3A99"/>
    <w:rsid w:val="00EB65F8"/>
    <w:rsid w:val="00EC034C"/>
    <w:rsid w:val="00ED3B7A"/>
    <w:rsid w:val="00ED4525"/>
    <w:rsid w:val="00ED4928"/>
    <w:rsid w:val="00EE3FFE"/>
    <w:rsid w:val="00EE57E8"/>
    <w:rsid w:val="00EE6190"/>
    <w:rsid w:val="00EF246F"/>
    <w:rsid w:val="00EF2E3A"/>
    <w:rsid w:val="00EF6402"/>
    <w:rsid w:val="00EF75FE"/>
    <w:rsid w:val="00F047E2"/>
    <w:rsid w:val="00F04B22"/>
    <w:rsid w:val="00F04D57"/>
    <w:rsid w:val="00F078DC"/>
    <w:rsid w:val="00F10087"/>
    <w:rsid w:val="00F13E86"/>
    <w:rsid w:val="00F1772B"/>
    <w:rsid w:val="00F20B52"/>
    <w:rsid w:val="00F25C29"/>
    <w:rsid w:val="00F27FDB"/>
    <w:rsid w:val="00F3037E"/>
    <w:rsid w:val="00F32367"/>
    <w:rsid w:val="00F32FCB"/>
    <w:rsid w:val="00F33523"/>
    <w:rsid w:val="00F43504"/>
    <w:rsid w:val="00F50FF5"/>
    <w:rsid w:val="00F677A9"/>
    <w:rsid w:val="00F703B4"/>
    <w:rsid w:val="00F8121C"/>
    <w:rsid w:val="00F821B9"/>
    <w:rsid w:val="00F84CF5"/>
    <w:rsid w:val="00F851FD"/>
    <w:rsid w:val="00F8612E"/>
    <w:rsid w:val="00F8748B"/>
    <w:rsid w:val="00F913C3"/>
    <w:rsid w:val="00F94583"/>
    <w:rsid w:val="00F96369"/>
    <w:rsid w:val="00FA025A"/>
    <w:rsid w:val="00FA0CE3"/>
    <w:rsid w:val="00FA420B"/>
    <w:rsid w:val="00FA50C5"/>
    <w:rsid w:val="00FA7231"/>
    <w:rsid w:val="00FB4442"/>
    <w:rsid w:val="00FB6AEE"/>
    <w:rsid w:val="00FC3EAC"/>
    <w:rsid w:val="00FC5918"/>
    <w:rsid w:val="00FD1AD4"/>
    <w:rsid w:val="00FD2CD7"/>
    <w:rsid w:val="00FD5A22"/>
    <w:rsid w:val="00FE0903"/>
    <w:rsid w:val="00FF39D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3B5C8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0F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chedule">
    <w:name w:val="schedule"/>
    <w:basedOn w:val="Normal"/>
    <w:rsid w:val="0023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32"/>
    <w:rPr>
      <w:b/>
      <w:bCs/>
    </w:rPr>
  </w:style>
  <w:style w:type="paragraph" w:customStyle="1" w:styleId="Default">
    <w:name w:val="Default"/>
    <w:rsid w:val="00293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E81"/>
    <w:rPr>
      <w:sz w:val="22"/>
    </w:rPr>
  </w:style>
  <w:style w:type="paragraph" w:styleId="ListParagraph">
    <w:name w:val="List Paragraph"/>
    <w:basedOn w:val="Normal"/>
    <w:uiPriority w:val="34"/>
    <w:qFormat/>
    <w:rsid w:val="00CD0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A7C-AF4F-458D-B2BD-B88E383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PANTIC, Sandra</cp:lastModifiedBy>
  <cp:revision>11</cp:revision>
  <cp:lastPrinted>2022-10-27T23:13:00Z</cp:lastPrinted>
  <dcterms:created xsi:type="dcterms:W3CDTF">2022-10-11T02:25:00Z</dcterms:created>
  <dcterms:modified xsi:type="dcterms:W3CDTF">2022-10-28T05:43:00Z</dcterms:modified>
</cp:coreProperties>
</file>