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1856" w14:textId="77777777" w:rsidR="00701CC7" w:rsidRPr="0096130A" w:rsidRDefault="00574948" w:rsidP="00701CC7">
      <w:pPr>
        <w:jc w:val="center"/>
        <w:rPr>
          <w:rFonts w:ascii="Times New Roman" w:hAnsi="Times New Roman"/>
          <w:b/>
          <w:sz w:val="28"/>
          <w:szCs w:val="28"/>
        </w:rPr>
      </w:pPr>
      <w:r w:rsidRPr="0096130A">
        <w:rPr>
          <w:rFonts w:ascii="Times New Roman" w:hAnsi="Times New Roman"/>
          <w:b/>
          <w:sz w:val="28"/>
          <w:szCs w:val="28"/>
        </w:rPr>
        <w:t>EXPLANATORY STATEMENT</w:t>
      </w:r>
    </w:p>
    <w:p w14:paraId="3C9F1857" w14:textId="77777777" w:rsidR="00701CC7" w:rsidRPr="0096130A" w:rsidRDefault="00574948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96130A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3C9F1858" w14:textId="77777777" w:rsidR="00346446" w:rsidRDefault="00574948" w:rsidP="008C11E0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A4084">
        <w:rPr>
          <w:rFonts w:ascii="Times New Roman" w:hAnsi="Times New Roman"/>
          <w:b/>
          <w:bCs/>
          <w:iCs/>
          <w:sz w:val="24"/>
          <w:szCs w:val="24"/>
        </w:rPr>
        <w:t>List of Specimens taken to be Suitable for Live Import Amendment </w:t>
      </w:r>
    </w:p>
    <w:p w14:paraId="3C9F1859" w14:textId="2C20CB04" w:rsidR="006A4084" w:rsidRPr="006A4084" w:rsidRDefault="00574948" w:rsidP="008C11E0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A4084">
        <w:rPr>
          <w:rFonts w:ascii="Times New Roman" w:hAnsi="Times New Roman"/>
          <w:b/>
          <w:bCs/>
          <w:iCs/>
          <w:sz w:val="24"/>
          <w:szCs w:val="24"/>
        </w:rPr>
        <w:t>(</w:t>
      </w:r>
      <w:proofErr w:type="spellStart"/>
      <w:r w:rsidR="00171602">
        <w:rPr>
          <w:rFonts w:ascii="Times New Roman" w:hAnsi="Times New Roman"/>
          <w:b/>
          <w:bCs/>
          <w:i/>
          <w:iCs/>
          <w:sz w:val="24"/>
          <w:szCs w:val="24"/>
        </w:rPr>
        <w:t>Acaciothrips</w:t>
      </w:r>
      <w:proofErr w:type="spellEnd"/>
      <w:r w:rsidR="0017160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71602">
        <w:rPr>
          <w:rFonts w:ascii="Times New Roman" w:hAnsi="Times New Roman"/>
          <w:b/>
          <w:bCs/>
          <w:i/>
          <w:iCs/>
          <w:sz w:val="24"/>
          <w:szCs w:val="24"/>
        </w:rPr>
        <w:t>ebneri</w:t>
      </w:r>
      <w:proofErr w:type="spellEnd"/>
      <w:r w:rsidRPr="006A4084">
        <w:rPr>
          <w:rFonts w:ascii="Times New Roman" w:hAnsi="Times New Roman"/>
          <w:b/>
          <w:bCs/>
          <w:iCs/>
          <w:sz w:val="24"/>
          <w:szCs w:val="24"/>
        </w:rPr>
        <w:t>) Instrument 20</w:t>
      </w:r>
      <w:r w:rsidR="00346446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171602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3C9F185A" w14:textId="77777777" w:rsidR="00701CC7" w:rsidRPr="0096130A" w:rsidRDefault="00574948" w:rsidP="00701CC7">
      <w:pPr>
        <w:jc w:val="center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>Instrument under subparagraph 303EC(1)(a</w:t>
      </w:r>
      <w:r w:rsidR="00912941">
        <w:rPr>
          <w:rFonts w:ascii="Times New Roman" w:hAnsi="Times New Roman"/>
          <w:sz w:val="24"/>
          <w:szCs w:val="24"/>
        </w:rPr>
        <w:t>)(</w:t>
      </w:r>
      <w:proofErr w:type="spellStart"/>
      <w:r w:rsidR="00763042" w:rsidRPr="0096130A">
        <w:rPr>
          <w:rFonts w:ascii="Times New Roman" w:hAnsi="Times New Roman"/>
          <w:sz w:val="24"/>
          <w:szCs w:val="24"/>
        </w:rPr>
        <w:t>i</w:t>
      </w:r>
      <w:proofErr w:type="spellEnd"/>
      <w:r w:rsidR="00763042" w:rsidRPr="0096130A">
        <w:rPr>
          <w:rFonts w:ascii="Times New Roman" w:hAnsi="Times New Roman"/>
          <w:sz w:val="24"/>
          <w:szCs w:val="24"/>
        </w:rPr>
        <w:t>)</w:t>
      </w:r>
    </w:p>
    <w:p w14:paraId="3C9F185B" w14:textId="10AB77B9" w:rsidR="00701CC7" w:rsidRPr="0096130A" w:rsidRDefault="00574948" w:rsidP="00701C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Issued under a</w:t>
      </w:r>
      <w:r w:rsidR="00F528F7" w:rsidRPr="0096130A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>
        <w:rPr>
          <w:rFonts w:ascii="Times New Roman" w:hAnsi="Times New Roman"/>
          <w:sz w:val="24"/>
          <w:szCs w:val="24"/>
        </w:rPr>
        <w:t>Environment</w:t>
      </w:r>
      <w:r w:rsidR="00171602">
        <w:rPr>
          <w:rFonts w:ascii="Times New Roman" w:hAnsi="Times New Roman"/>
          <w:sz w:val="24"/>
          <w:szCs w:val="24"/>
        </w:rPr>
        <w:t xml:space="preserve"> and Water</w:t>
      </w:r>
    </w:p>
    <w:p w14:paraId="3C9F185C" w14:textId="10C7BB1C" w:rsidR="00BF622B" w:rsidRDefault="00574948" w:rsidP="00BF622B">
      <w:p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Under the </w:t>
      </w:r>
      <w:r w:rsidRPr="00BF622B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BF622B">
        <w:rPr>
          <w:rFonts w:ascii="Times New Roman" w:hAnsi="Times New Roman"/>
          <w:sz w:val="24"/>
          <w:szCs w:val="24"/>
        </w:rPr>
        <w:t xml:space="preserve">(EPBC Act), a live specimen is taken to be suitable for import if it is included on the </w:t>
      </w:r>
      <w:r w:rsidRPr="00BF622B">
        <w:rPr>
          <w:rFonts w:ascii="Times New Roman" w:hAnsi="Times New Roman"/>
          <w:bCs/>
          <w:i/>
          <w:sz w:val="24"/>
          <w:szCs w:val="24"/>
        </w:rPr>
        <w:t xml:space="preserve">List of Specimens Taken to be Suitable for Live Import (29/11/2001) </w:t>
      </w:r>
      <w:r w:rsidRPr="00BF622B">
        <w:rPr>
          <w:rFonts w:ascii="Times New Roman" w:hAnsi="Times New Roman"/>
          <w:sz w:val="24"/>
          <w:szCs w:val="24"/>
        </w:rPr>
        <w:t>(Live Import List).</w:t>
      </w:r>
    </w:p>
    <w:p w14:paraId="7DDDCACD" w14:textId="77777777" w:rsidR="009930D2" w:rsidRDefault="00171602" w:rsidP="00BF622B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Legislative Background</w:t>
      </w:r>
      <w:r w:rsidR="009930D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3C9F185D" w14:textId="3DFF1538" w:rsidR="00BF622B" w:rsidRPr="00BF622B" w:rsidRDefault="00574948" w:rsidP="00BF622B">
      <w:p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The Live Import List was established under section 303EB of the EPBC Act and has two parts. Part 1 comprises a list of unregulated specimens exempt from the requirement for an import permit under the EPBC Act. </w:t>
      </w:r>
      <w:r w:rsidR="00991867" w:rsidRPr="00991867">
        <w:rPr>
          <w:rFonts w:ascii="Times New Roman" w:hAnsi="Times New Roman"/>
          <w:sz w:val="24"/>
          <w:szCs w:val="24"/>
        </w:rPr>
        <w:t xml:space="preserve">Part 1 of the list must not contain a CITES </w:t>
      </w:r>
      <w:r w:rsidR="00171602">
        <w:rPr>
          <w:rFonts w:ascii="Times New Roman" w:hAnsi="Times New Roman"/>
          <w:sz w:val="24"/>
          <w:szCs w:val="24"/>
        </w:rPr>
        <w:t xml:space="preserve">(Convention on International Trade in Endangered Species of Wild Fauna and Flora) </w:t>
      </w:r>
      <w:r w:rsidR="00991867" w:rsidRPr="00991867">
        <w:rPr>
          <w:rFonts w:ascii="Times New Roman" w:hAnsi="Times New Roman"/>
          <w:sz w:val="24"/>
          <w:szCs w:val="24"/>
        </w:rPr>
        <w:t xml:space="preserve">specimen. </w:t>
      </w:r>
      <w:r w:rsidRPr="00BF622B">
        <w:rPr>
          <w:rFonts w:ascii="Times New Roman" w:hAnsi="Times New Roman"/>
          <w:sz w:val="24"/>
          <w:szCs w:val="24"/>
        </w:rPr>
        <w:t>Part 2 comprises a list of allowable regulated specimens that can be imported with a permit issued by the Minister, along with notation of any restrictions or conditions attached to the inclusion of a specimen.</w:t>
      </w:r>
    </w:p>
    <w:p w14:paraId="3C9F185E" w14:textId="77777777" w:rsidR="00BF622B" w:rsidRPr="00BF622B" w:rsidRDefault="00574948" w:rsidP="00BF622B">
      <w:p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>Subsection 303</w:t>
      </w:r>
      <w:proofErr w:type="gramStart"/>
      <w:r w:rsidRPr="00BF622B">
        <w:rPr>
          <w:rFonts w:ascii="Times New Roman" w:hAnsi="Times New Roman"/>
          <w:sz w:val="24"/>
          <w:szCs w:val="24"/>
        </w:rPr>
        <w:t>EC(</w:t>
      </w:r>
      <w:proofErr w:type="gramEnd"/>
      <w:r w:rsidRPr="00BF622B">
        <w:rPr>
          <w:rFonts w:ascii="Times New Roman" w:hAnsi="Times New Roman"/>
          <w:sz w:val="24"/>
          <w:szCs w:val="24"/>
        </w:rPr>
        <w:t xml:space="preserve">1) of the </w:t>
      </w:r>
      <w:r w:rsidR="000120CC">
        <w:rPr>
          <w:rFonts w:ascii="Times New Roman" w:hAnsi="Times New Roman"/>
          <w:sz w:val="24"/>
          <w:szCs w:val="24"/>
        </w:rPr>
        <w:t xml:space="preserve">EPBC </w:t>
      </w:r>
      <w:r w:rsidRPr="00BF622B">
        <w:rPr>
          <w:rFonts w:ascii="Times New Roman" w:hAnsi="Times New Roman"/>
          <w:sz w:val="24"/>
          <w:szCs w:val="24"/>
        </w:rPr>
        <w:t>Act relevantly provides that the Minister may, by legislative instrument, amend the Live Import List by:</w:t>
      </w:r>
    </w:p>
    <w:p w14:paraId="3C9F185F" w14:textId="77777777" w:rsidR="00BF622B" w:rsidRPr="00BF622B" w:rsidRDefault="00574948" w:rsidP="00062A9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including items in a particular part of the </w:t>
      </w:r>
      <w:proofErr w:type="gramStart"/>
      <w:r w:rsidRPr="00BF622B">
        <w:rPr>
          <w:rFonts w:ascii="Times New Roman" w:hAnsi="Times New Roman"/>
          <w:sz w:val="24"/>
          <w:szCs w:val="24"/>
        </w:rPr>
        <w:t>list;</w:t>
      </w:r>
      <w:proofErr w:type="gramEnd"/>
      <w:r w:rsidRPr="00BF622B">
        <w:rPr>
          <w:rFonts w:ascii="Times New Roman" w:hAnsi="Times New Roman"/>
          <w:sz w:val="24"/>
          <w:szCs w:val="24"/>
        </w:rPr>
        <w:t xml:space="preserve">  </w:t>
      </w:r>
    </w:p>
    <w:p w14:paraId="3C9F1860" w14:textId="77777777" w:rsidR="00BF622B" w:rsidRPr="00BF622B" w:rsidRDefault="00574948" w:rsidP="00062A9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deleting items from a particular part of the </w:t>
      </w:r>
      <w:proofErr w:type="gramStart"/>
      <w:r w:rsidRPr="00BF622B">
        <w:rPr>
          <w:rFonts w:ascii="Times New Roman" w:hAnsi="Times New Roman"/>
          <w:sz w:val="24"/>
          <w:szCs w:val="24"/>
        </w:rPr>
        <w:t>list;</w:t>
      </w:r>
      <w:proofErr w:type="gramEnd"/>
      <w:r w:rsidRPr="00BF622B">
        <w:rPr>
          <w:rFonts w:ascii="Times New Roman" w:hAnsi="Times New Roman"/>
          <w:sz w:val="24"/>
          <w:szCs w:val="24"/>
        </w:rPr>
        <w:t xml:space="preserve"> </w:t>
      </w:r>
    </w:p>
    <w:p w14:paraId="3C9F1861" w14:textId="77777777" w:rsidR="00BF622B" w:rsidRPr="00BF622B" w:rsidRDefault="00574948" w:rsidP="00062A9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imposing a restriction or condition to which the inclusion of a specimen in Part 2 of the list is </w:t>
      </w:r>
      <w:proofErr w:type="gramStart"/>
      <w:r w:rsidRPr="00BF622B">
        <w:rPr>
          <w:rFonts w:ascii="Times New Roman" w:hAnsi="Times New Roman"/>
          <w:sz w:val="24"/>
          <w:szCs w:val="24"/>
        </w:rPr>
        <w:t>subject;</w:t>
      </w:r>
      <w:proofErr w:type="gramEnd"/>
      <w:r w:rsidRPr="00BF622B">
        <w:rPr>
          <w:rFonts w:ascii="Times New Roman" w:hAnsi="Times New Roman"/>
          <w:sz w:val="24"/>
          <w:szCs w:val="24"/>
        </w:rPr>
        <w:t xml:space="preserve"> </w:t>
      </w:r>
    </w:p>
    <w:p w14:paraId="3C9F1862" w14:textId="77777777" w:rsidR="00BF622B" w:rsidRPr="00BF622B" w:rsidRDefault="00574948" w:rsidP="00062A9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varying or revoking a restriction or condition to which the inclusion of a specimen in Part 2 of the list is subject; or </w:t>
      </w:r>
    </w:p>
    <w:p w14:paraId="3C9F1863" w14:textId="77777777" w:rsidR="00BF622B" w:rsidRPr="00BF622B" w:rsidRDefault="00574948" w:rsidP="00062A9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correcting an inaccuracy or updating the name of a species. </w:t>
      </w:r>
    </w:p>
    <w:p w14:paraId="3C9F1864" w14:textId="77777777" w:rsidR="00BF622B" w:rsidRPr="00BF622B" w:rsidRDefault="00574948" w:rsidP="00BF622B">
      <w:p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Amendments to include an item can be made either on the initiative of the Minister, under section 303ED of the EPBC Act, or by application from a person made under section 303EE of the EPBC Act. </w:t>
      </w:r>
    </w:p>
    <w:p w14:paraId="3C9F1865" w14:textId="4BA494B5" w:rsidR="00BF622B" w:rsidRPr="00BF622B" w:rsidRDefault="00574948" w:rsidP="00BF622B">
      <w:p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>Subsection 303</w:t>
      </w:r>
      <w:proofErr w:type="gramStart"/>
      <w:r w:rsidRPr="00BF622B">
        <w:rPr>
          <w:rFonts w:ascii="Times New Roman" w:hAnsi="Times New Roman"/>
          <w:sz w:val="24"/>
          <w:szCs w:val="24"/>
        </w:rPr>
        <w:t>EC(</w:t>
      </w:r>
      <w:proofErr w:type="gramEnd"/>
      <w:r w:rsidRPr="00BF622B">
        <w:rPr>
          <w:rFonts w:ascii="Times New Roman" w:hAnsi="Times New Roman"/>
          <w:sz w:val="24"/>
          <w:szCs w:val="24"/>
        </w:rPr>
        <w:t>3) of the EPBC Act provides that before amending the list referred to in section 303EB, the Minister:</w:t>
      </w:r>
    </w:p>
    <w:p w14:paraId="3C9F1866" w14:textId="77777777" w:rsidR="00BF622B" w:rsidRPr="00BF622B" w:rsidRDefault="00574948" w:rsidP="00062A98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must consult each other Minister or Ministers as the Minister considers appropriate; and </w:t>
      </w:r>
    </w:p>
    <w:p w14:paraId="3C9F1867" w14:textId="77777777" w:rsidR="00BF622B" w:rsidRPr="00BF622B" w:rsidRDefault="00574948" w:rsidP="00062A98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lastRenderedPageBreak/>
        <w:t xml:space="preserve">must consult each other Minister or Ministers of each State and self-governing Territory as the Minister considers appropriate; and </w:t>
      </w:r>
    </w:p>
    <w:p w14:paraId="3C9F1868" w14:textId="77777777" w:rsidR="00BF622B" w:rsidRPr="00BF622B" w:rsidRDefault="00574948" w:rsidP="00062A98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may consult such other persons and organisations as the Minister considers appropriate. </w:t>
      </w:r>
    </w:p>
    <w:p w14:paraId="3C9F1869" w14:textId="77777777" w:rsidR="00BF622B" w:rsidRPr="00BF622B" w:rsidRDefault="00574948" w:rsidP="00BF622B">
      <w:p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>Further, subsection 303</w:t>
      </w:r>
      <w:proofErr w:type="gramStart"/>
      <w:r w:rsidRPr="00BF622B">
        <w:rPr>
          <w:rFonts w:ascii="Times New Roman" w:hAnsi="Times New Roman"/>
          <w:sz w:val="24"/>
          <w:szCs w:val="24"/>
        </w:rPr>
        <w:t>EC(</w:t>
      </w:r>
      <w:proofErr w:type="gramEnd"/>
      <w:r w:rsidRPr="00BF622B">
        <w:rPr>
          <w:rFonts w:ascii="Times New Roman" w:hAnsi="Times New Roman"/>
          <w:sz w:val="24"/>
          <w:szCs w:val="24"/>
        </w:rPr>
        <w:t xml:space="preserve">5) of the EPBC Act provides that the Minister must not amend the list referred to in section 303EB by including an item in the </w:t>
      </w:r>
      <w:r w:rsidR="00F45BF6">
        <w:rPr>
          <w:rFonts w:ascii="Times New Roman" w:hAnsi="Times New Roman"/>
          <w:sz w:val="24"/>
          <w:szCs w:val="24"/>
        </w:rPr>
        <w:t>List,</w:t>
      </w:r>
      <w:r w:rsidR="00F45BF6" w:rsidRPr="00BF622B">
        <w:rPr>
          <w:rFonts w:ascii="Times New Roman" w:hAnsi="Times New Roman"/>
          <w:sz w:val="24"/>
          <w:szCs w:val="24"/>
        </w:rPr>
        <w:t xml:space="preserve"> </w:t>
      </w:r>
      <w:r w:rsidRPr="00BF622B">
        <w:rPr>
          <w:rFonts w:ascii="Times New Roman" w:hAnsi="Times New Roman"/>
          <w:sz w:val="24"/>
          <w:szCs w:val="24"/>
        </w:rPr>
        <w:t>unless:</w:t>
      </w:r>
    </w:p>
    <w:p w14:paraId="3C9F186A" w14:textId="77777777" w:rsidR="00BF622B" w:rsidRPr="00BF622B" w:rsidRDefault="00574948" w:rsidP="00062A98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the amendment is made following consideration of a relevant report under section 303ED or section 303EE; or </w:t>
      </w:r>
    </w:p>
    <w:p w14:paraId="3C9F186B" w14:textId="491E9049" w:rsidR="00BF622B" w:rsidRDefault="00574948" w:rsidP="00062A98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F622B">
        <w:rPr>
          <w:rFonts w:ascii="Times New Roman" w:hAnsi="Times New Roman"/>
          <w:sz w:val="24"/>
          <w:szCs w:val="24"/>
        </w:rPr>
        <w:t xml:space="preserve">the amendment is made following consideration of a relevant review under section 303EJ. </w:t>
      </w:r>
    </w:p>
    <w:p w14:paraId="34920F6C" w14:textId="30E251D9" w:rsidR="00B765A9" w:rsidRPr="002F7071" w:rsidRDefault="00B765A9" w:rsidP="00B765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Subsection 303</w:t>
      </w:r>
      <w:proofErr w:type="gramStart"/>
      <w:r>
        <w:rPr>
          <w:rFonts w:ascii="Times New Roman" w:hAnsi="Times New Roman"/>
          <w:sz w:val="24"/>
          <w:szCs w:val="24"/>
        </w:rPr>
        <w:t>EE(</w:t>
      </w:r>
      <w:proofErr w:type="gramEnd"/>
      <w:r>
        <w:rPr>
          <w:rFonts w:ascii="Times New Roman" w:hAnsi="Times New Roman"/>
          <w:sz w:val="24"/>
          <w:szCs w:val="24"/>
        </w:rPr>
        <w:t xml:space="preserve">4) provides for Biosecurity Australia to prepare a report </w:t>
      </w:r>
      <w:r w:rsidRPr="004F1D60">
        <w:rPr>
          <w:rFonts w:ascii="Times New Roman" w:hAnsi="Times New Roman"/>
          <w:sz w:val="24"/>
          <w:szCs w:val="24"/>
        </w:rPr>
        <w:t>on the potential impacts on the environment if the specimen were to be imported</w:t>
      </w:r>
      <w:r>
        <w:rPr>
          <w:rFonts w:ascii="Times New Roman" w:hAnsi="Times New Roman"/>
          <w:sz w:val="24"/>
          <w:szCs w:val="24"/>
        </w:rPr>
        <w:t>.</w:t>
      </w:r>
      <w:r w:rsidR="002F7071">
        <w:rPr>
          <w:rFonts w:ascii="Times New Roman" w:hAnsi="Times New Roman"/>
          <w:sz w:val="24"/>
          <w:szCs w:val="24"/>
        </w:rPr>
        <w:t xml:space="preserve"> In accordance with the </w:t>
      </w:r>
      <w:r w:rsidR="002F7071" w:rsidRPr="002F7071">
        <w:rPr>
          <w:rFonts w:ascii="Times New Roman" w:hAnsi="Times New Roman"/>
          <w:i/>
          <w:iCs/>
          <w:sz w:val="24"/>
          <w:szCs w:val="24"/>
        </w:rPr>
        <w:t>Environment Protection and Biodiversity Conservation Regulations 2000</w:t>
      </w:r>
      <w:r w:rsidR="002F7071">
        <w:rPr>
          <w:rFonts w:ascii="Times New Roman" w:hAnsi="Times New Roman"/>
          <w:sz w:val="24"/>
          <w:szCs w:val="24"/>
        </w:rPr>
        <w:t xml:space="preserve"> s 9A.07(2), this report is </w:t>
      </w:r>
      <w:r w:rsidR="002F7071" w:rsidRPr="002F7071">
        <w:rPr>
          <w:rFonts w:ascii="Times New Roman" w:hAnsi="Times New Roman"/>
          <w:sz w:val="24"/>
          <w:szCs w:val="24"/>
        </w:rPr>
        <w:t xml:space="preserve">of an assessment undertaken for the purpose of importing </w:t>
      </w:r>
      <w:r w:rsidR="002F7071">
        <w:rPr>
          <w:rFonts w:ascii="Times New Roman" w:hAnsi="Times New Roman"/>
          <w:sz w:val="24"/>
          <w:szCs w:val="24"/>
        </w:rPr>
        <w:t xml:space="preserve">and releasing </w:t>
      </w:r>
      <w:r w:rsidR="002F7071" w:rsidRPr="002F7071">
        <w:rPr>
          <w:rFonts w:ascii="Times New Roman" w:hAnsi="Times New Roman"/>
          <w:sz w:val="24"/>
          <w:szCs w:val="24"/>
        </w:rPr>
        <w:t>a biological control agent</w:t>
      </w:r>
      <w:r w:rsidR="002F7071">
        <w:rPr>
          <w:rFonts w:ascii="Times New Roman" w:hAnsi="Times New Roman"/>
          <w:sz w:val="24"/>
          <w:szCs w:val="24"/>
        </w:rPr>
        <w:t>. A report under subsection 303</w:t>
      </w:r>
      <w:proofErr w:type="gramStart"/>
      <w:r w:rsidR="002F7071">
        <w:rPr>
          <w:rFonts w:ascii="Times New Roman" w:hAnsi="Times New Roman"/>
          <w:sz w:val="24"/>
          <w:szCs w:val="24"/>
        </w:rPr>
        <w:t>EE(</w:t>
      </w:r>
      <w:proofErr w:type="gramEnd"/>
      <w:r w:rsidR="002F7071">
        <w:rPr>
          <w:rFonts w:ascii="Times New Roman" w:hAnsi="Times New Roman"/>
          <w:sz w:val="24"/>
          <w:szCs w:val="24"/>
        </w:rPr>
        <w:t>3) does not apply to the proposed amendment.</w:t>
      </w:r>
    </w:p>
    <w:p w14:paraId="71C20063" w14:textId="77777777" w:rsidR="00171602" w:rsidRPr="00C8347B" w:rsidRDefault="00171602" w:rsidP="00123BB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C8347B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</w:p>
    <w:p w14:paraId="3C9F186C" w14:textId="3C55B662" w:rsidR="007C0D2D" w:rsidRPr="00E76E13" w:rsidRDefault="00574948" w:rsidP="007C0D2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76E13">
        <w:rPr>
          <w:rFonts w:ascii="Times New Roman" w:hAnsi="Times New Roman"/>
          <w:sz w:val="24"/>
          <w:szCs w:val="24"/>
        </w:rPr>
        <w:t xml:space="preserve">The </w:t>
      </w:r>
      <w:r w:rsidRPr="009E5FB3">
        <w:rPr>
          <w:rFonts w:ascii="Times New Roman" w:hAnsi="Times New Roman"/>
          <w:i/>
          <w:iCs/>
          <w:sz w:val="24"/>
          <w:szCs w:val="24"/>
        </w:rPr>
        <w:t>List of Specimens taken to be Suitable for Live Import Amendment (</w:t>
      </w:r>
      <w:proofErr w:type="spellStart"/>
      <w:r w:rsidR="00171602">
        <w:rPr>
          <w:rFonts w:ascii="Times New Roman" w:hAnsi="Times New Roman"/>
          <w:i/>
          <w:iCs/>
          <w:sz w:val="24"/>
          <w:szCs w:val="24"/>
        </w:rPr>
        <w:t>Acaciothrips</w:t>
      </w:r>
      <w:proofErr w:type="spellEnd"/>
      <w:r w:rsidR="0017160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71602">
        <w:rPr>
          <w:rFonts w:ascii="Times New Roman" w:hAnsi="Times New Roman"/>
          <w:i/>
          <w:iCs/>
          <w:sz w:val="24"/>
          <w:szCs w:val="24"/>
        </w:rPr>
        <w:t>ebneri</w:t>
      </w:r>
      <w:proofErr w:type="spellEnd"/>
      <w:r w:rsidRPr="009E5FB3">
        <w:rPr>
          <w:rFonts w:ascii="Times New Roman" w:hAnsi="Times New Roman"/>
          <w:i/>
          <w:iCs/>
          <w:sz w:val="24"/>
          <w:szCs w:val="24"/>
        </w:rPr>
        <w:t>) Instrument 202</w:t>
      </w:r>
      <w:r w:rsidR="00171602"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6E13">
        <w:rPr>
          <w:rFonts w:ascii="Times New Roman" w:hAnsi="Times New Roman"/>
          <w:sz w:val="24"/>
          <w:szCs w:val="24"/>
        </w:rPr>
        <w:t>amend</w:t>
      </w:r>
      <w:r>
        <w:rPr>
          <w:rFonts w:ascii="Times New Roman" w:hAnsi="Times New Roman"/>
          <w:sz w:val="24"/>
          <w:szCs w:val="24"/>
        </w:rPr>
        <w:t>s</w:t>
      </w:r>
      <w:r w:rsidRPr="00E76E13">
        <w:rPr>
          <w:rFonts w:ascii="Times New Roman" w:hAnsi="Times New Roman"/>
          <w:sz w:val="24"/>
          <w:szCs w:val="24"/>
        </w:rPr>
        <w:t xml:space="preserve"> the Live Import List to include </w:t>
      </w:r>
      <w:proofErr w:type="spellStart"/>
      <w:r w:rsidR="00171602">
        <w:rPr>
          <w:rFonts w:ascii="Times New Roman" w:hAnsi="Times New Roman"/>
          <w:i/>
          <w:iCs/>
          <w:sz w:val="24"/>
          <w:szCs w:val="24"/>
        </w:rPr>
        <w:t>Acaciothrips</w:t>
      </w:r>
      <w:proofErr w:type="spellEnd"/>
      <w:r w:rsidR="0017160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71602">
        <w:rPr>
          <w:rFonts w:ascii="Times New Roman" w:hAnsi="Times New Roman"/>
          <w:i/>
          <w:iCs/>
          <w:sz w:val="24"/>
          <w:szCs w:val="24"/>
        </w:rPr>
        <w:t>ebneri</w:t>
      </w:r>
      <w:proofErr w:type="spellEnd"/>
      <w:r w:rsidR="00762173" w:rsidRPr="007621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38A1">
        <w:rPr>
          <w:rFonts w:ascii="Times New Roman" w:hAnsi="Times New Roman"/>
          <w:sz w:val="24"/>
          <w:szCs w:val="24"/>
        </w:rPr>
        <w:t>(</w:t>
      </w:r>
      <w:r w:rsidR="00762173">
        <w:rPr>
          <w:rFonts w:ascii="Times New Roman" w:hAnsi="Times New Roman"/>
          <w:sz w:val="24"/>
          <w:szCs w:val="24"/>
        </w:rPr>
        <w:t xml:space="preserve">a </w:t>
      </w:r>
      <w:r w:rsidR="00446103">
        <w:rPr>
          <w:rFonts w:ascii="Times New Roman" w:hAnsi="Times New Roman"/>
          <w:sz w:val="24"/>
          <w:szCs w:val="24"/>
        </w:rPr>
        <w:t xml:space="preserve">gall </w:t>
      </w:r>
      <w:r w:rsidR="00171602">
        <w:rPr>
          <w:rFonts w:ascii="Times New Roman" w:hAnsi="Times New Roman"/>
          <w:sz w:val="24"/>
          <w:szCs w:val="24"/>
        </w:rPr>
        <w:t>thrip</w:t>
      </w:r>
      <w:r w:rsidRPr="002938A1">
        <w:rPr>
          <w:rFonts w:ascii="Times New Roman" w:hAnsi="Times New Roman"/>
          <w:sz w:val="24"/>
          <w:szCs w:val="24"/>
        </w:rPr>
        <w:t xml:space="preserve">) </w:t>
      </w:r>
      <w:r w:rsidRPr="00E76E13">
        <w:rPr>
          <w:rFonts w:ascii="Times New Roman" w:hAnsi="Times New Roman"/>
          <w:sz w:val="24"/>
          <w:szCs w:val="24"/>
        </w:rPr>
        <w:t xml:space="preserve">in Part </w:t>
      </w:r>
      <w:r w:rsidR="00762173">
        <w:rPr>
          <w:rFonts w:ascii="Times New Roman" w:hAnsi="Times New Roman"/>
          <w:sz w:val="24"/>
          <w:szCs w:val="24"/>
        </w:rPr>
        <w:t>1</w:t>
      </w:r>
      <w:r w:rsidRPr="00E76E13">
        <w:rPr>
          <w:rFonts w:ascii="Times New Roman" w:hAnsi="Times New Roman"/>
          <w:sz w:val="24"/>
          <w:szCs w:val="24"/>
        </w:rPr>
        <w:t xml:space="preserve">. </w:t>
      </w:r>
    </w:p>
    <w:p w14:paraId="3C9F186D" w14:textId="0DA055CB" w:rsidR="001C4EAC" w:rsidRDefault="00574948" w:rsidP="006F27A5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1167E">
        <w:rPr>
          <w:rFonts w:ascii="Times New Roman" w:hAnsi="Times New Roman"/>
          <w:sz w:val="24"/>
          <w:szCs w:val="24"/>
        </w:rPr>
        <w:t>This amendment to</w:t>
      </w:r>
      <w:r>
        <w:rPr>
          <w:rFonts w:ascii="Times New Roman" w:hAnsi="Times New Roman"/>
          <w:sz w:val="24"/>
          <w:szCs w:val="24"/>
        </w:rPr>
        <w:t xml:space="preserve"> the list to</w:t>
      </w:r>
      <w:r w:rsidRPr="00D1167E">
        <w:rPr>
          <w:rFonts w:ascii="Times New Roman" w:hAnsi="Times New Roman"/>
          <w:sz w:val="24"/>
          <w:szCs w:val="24"/>
        </w:rPr>
        <w:t xml:space="preserve"> add </w:t>
      </w:r>
      <w:bookmarkStart w:id="0" w:name="_Hlk63338117"/>
      <w:proofErr w:type="spellStart"/>
      <w:r w:rsidR="00171602">
        <w:rPr>
          <w:rFonts w:ascii="Times New Roman" w:hAnsi="Times New Roman"/>
          <w:i/>
          <w:iCs/>
          <w:sz w:val="24"/>
          <w:szCs w:val="24"/>
        </w:rPr>
        <w:t>Acaciothrips</w:t>
      </w:r>
      <w:proofErr w:type="spellEnd"/>
      <w:r w:rsidR="0017160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71602">
        <w:rPr>
          <w:rFonts w:ascii="Times New Roman" w:hAnsi="Times New Roman"/>
          <w:i/>
          <w:iCs/>
          <w:sz w:val="24"/>
          <w:szCs w:val="24"/>
        </w:rPr>
        <w:t>ebneri</w:t>
      </w:r>
      <w:proofErr w:type="spellEnd"/>
      <w:r w:rsidR="00171602" w:rsidRPr="00762173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0"/>
      <w:r w:rsidRPr="00D1167E">
        <w:rPr>
          <w:rFonts w:ascii="Times New Roman" w:hAnsi="Times New Roman"/>
          <w:sz w:val="24"/>
          <w:szCs w:val="24"/>
        </w:rPr>
        <w:t>was initiated by an application made to the Minister under section 303EE of the EPBC Act.</w:t>
      </w:r>
      <w:r>
        <w:rPr>
          <w:rFonts w:ascii="Times New Roman" w:hAnsi="Times New Roman"/>
          <w:sz w:val="24"/>
          <w:szCs w:val="24"/>
        </w:rPr>
        <w:t xml:space="preserve"> </w:t>
      </w:r>
      <w:r w:rsidR="00F1747E" w:rsidRPr="00F1747E">
        <w:rPr>
          <w:rFonts w:ascii="Times New Roman" w:hAnsi="Times New Roman"/>
          <w:sz w:val="24"/>
          <w:szCs w:val="24"/>
        </w:rPr>
        <w:t xml:space="preserve">An assessment of the potential impacts on the environment of the proposed amendments was reported to the Minister, </w:t>
      </w:r>
      <w:r w:rsidR="00912941" w:rsidRPr="002233EF">
        <w:rPr>
          <w:rFonts w:ascii="Times New Roman" w:hAnsi="Times New Roman"/>
          <w:sz w:val="24"/>
          <w:szCs w:val="24"/>
        </w:rPr>
        <w:t xml:space="preserve">in accordance with </w:t>
      </w:r>
      <w:r w:rsidR="00E429E6" w:rsidRPr="002233EF">
        <w:rPr>
          <w:rFonts w:ascii="Times New Roman" w:hAnsi="Times New Roman"/>
          <w:sz w:val="24"/>
          <w:szCs w:val="24"/>
        </w:rPr>
        <w:t>s</w:t>
      </w:r>
      <w:r w:rsidR="00912941" w:rsidRPr="002233EF">
        <w:rPr>
          <w:rFonts w:ascii="Times New Roman" w:hAnsi="Times New Roman"/>
          <w:sz w:val="24"/>
          <w:szCs w:val="24"/>
        </w:rPr>
        <w:t xml:space="preserve">ection </w:t>
      </w:r>
      <w:r w:rsidRPr="002233EF">
        <w:rPr>
          <w:rFonts w:ascii="Times New Roman" w:hAnsi="Times New Roman"/>
          <w:sz w:val="24"/>
          <w:szCs w:val="24"/>
        </w:rPr>
        <w:t>303</w:t>
      </w:r>
      <w:proofErr w:type="gramStart"/>
      <w:r w:rsidRPr="002233EF">
        <w:rPr>
          <w:rFonts w:ascii="Times New Roman" w:hAnsi="Times New Roman"/>
          <w:sz w:val="24"/>
          <w:szCs w:val="24"/>
        </w:rPr>
        <w:t>EE(</w:t>
      </w:r>
      <w:proofErr w:type="gramEnd"/>
      <w:r w:rsidRPr="002233EF">
        <w:rPr>
          <w:rFonts w:ascii="Times New Roman" w:hAnsi="Times New Roman"/>
          <w:sz w:val="24"/>
          <w:szCs w:val="24"/>
        </w:rPr>
        <w:t>4)</w:t>
      </w:r>
      <w:r w:rsidR="000120CC">
        <w:rPr>
          <w:rFonts w:ascii="Times New Roman" w:hAnsi="Times New Roman"/>
          <w:sz w:val="24"/>
          <w:szCs w:val="24"/>
        </w:rPr>
        <w:t>.</w:t>
      </w:r>
      <w:r w:rsidRPr="002233EF">
        <w:rPr>
          <w:rFonts w:ascii="Times New Roman" w:hAnsi="Times New Roman"/>
          <w:sz w:val="24"/>
          <w:szCs w:val="24"/>
        </w:rPr>
        <w:t xml:space="preserve">  </w:t>
      </w:r>
    </w:p>
    <w:p w14:paraId="06729544" w14:textId="77777777" w:rsidR="00006440" w:rsidRDefault="00574948" w:rsidP="006F27A5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Consultation</w:t>
      </w:r>
      <w:bookmarkStart w:id="1" w:name="_Hlk70520374"/>
    </w:p>
    <w:p w14:paraId="3C9F186E" w14:textId="32BFE2F5" w:rsidR="006F27A5" w:rsidRPr="006F27A5" w:rsidRDefault="00574948" w:rsidP="006F27A5">
      <w:pPr>
        <w:rPr>
          <w:rFonts w:ascii="Times New Roman" w:hAnsi="Times New Roman"/>
          <w:bCs/>
          <w:iCs/>
          <w:sz w:val="24"/>
          <w:szCs w:val="24"/>
        </w:rPr>
      </w:pPr>
      <w:r w:rsidRPr="00F1747E">
        <w:rPr>
          <w:rFonts w:ascii="Times New Roman" w:hAnsi="Times New Roman"/>
          <w:bCs/>
          <w:iCs/>
          <w:sz w:val="24"/>
          <w:szCs w:val="24"/>
        </w:rPr>
        <w:t xml:space="preserve">In accordance with paragraph 303EF(2)(b) of the EPBC Act, the draft assessment report was published on the Department of </w:t>
      </w:r>
      <w:bookmarkStart w:id="2" w:name="_Hlk43286881"/>
      <w:r w:rsidRPr="00F1747E">
        <w:rPr>
          <w:rFonts w:ascii="Times New Roman" w:hAnsi="Times New Roman"/>
          <w:bCs/>
          <w:iCs/>
          <w:sz w:val="24"/>
          <w:szCs w:val="24"/>
        </w:rPr>
        <w:t xml:space="preserve">Agriculture, Water and the Environment’s </w:t>
      </w:r>
      <w:bookmarkEnd w:id="2"/>
      <w:r w:rsidRPr="00F1747E">
        <w:rPr>
          <w:rFonts w:ascii="Times New Roman" w:hAnsi="Times New Roman"/>
          <w:bCs/>
          <w:iCs/>
          <w:sz w:val="24"/>
          <w:szCs w:val="24"/>
        </w:rPr>
        <w:t>website and public comments</w:t>
      </w:r>
      <w:r w:rsidR="000120CC">
        <w:rPr>
          <w:rFonts w:ascii="Times New Roman" w:hAnsi="Times New Roman"/>
          <w:bCs/>
          <w:iCs/>
          <w:sz w:val="24"/>
          <w:szCs w:val="24"/>
        </w:rPr>
        <w:t xml:space="preserve"> were</w:t>
      </w:r>
      <w:r w:rsidRPr="00F1747E">
        <w:rPr>
          <w:rFonts w:ascii="Times New Roman" w:hAnsi="Times New Roman"/>
          <w:bCs/>
          <w:iCs/>
          <w:sz w:val="24"/>
          <w:szCs w:val="24"/>
        </w:rPr>
        <w:t xml:space="preserve"> sought </w:t>
      </w:r>
      <w:r w:rsidR="00D70235">
        <w:rPr>
          <w:rFonts w:ascii="Times New Roman" w:hAnsi="Times New Roman"/>
          <w:bCs/>
          <w:iCs/>
          <w:sz w:val="24"/>
          <w:szCs w:val="24"/>
        </w:rPr>
        <w:t>in December 2021. No comments were received.</w:t>
      </w:r>
    </w:p>
    <w:bookmarkEnd w:id="1"/>
    <w:p w14:paraId="3C9F186F" w14:textId="03E9AE3D" w:rsidR="006F27A5" w:rsidRDefault="00574948" w:rsidP="006F27A5">
      <w:pPr>
        <w:rPr>
          <w:rFonts w:ascii="Times New Roman" w:hAnsi="Times New Roman"/>
          <w:bCs/>
          <w:iCs/>
          <w:sz w:val="24"/>
          <w:szCs w:val="24"/>
        </w:rPr>
      </w:pPr>
      <w:r w:rsidRPr="006F27A5">
        <w:rPr>
          <w:rFonts w:ascii="Times New Roman" w:hAnsi="Times New Roman"/>
          <w:bCs/>
          <w:iCs/>
          <w:sz w:val="24"/>
          <w:szCs w:val="24"/>
        </w:rPr>
        <w:t xml:space="preserve">Consultation concerning the amendment to Part 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6F27A5">
        <w:rPr>
          <w:rFonts w:ascii="Times New Roman" w:hAnsi="Times New Roman"/>
          <w:bCs/>
          <w:iCs/>
          <w:sz w:val="24"/>
          <w:szCs w:val="24"/>
        </w:rPr>
        <w:t xml:space="preserve"> of the Live Import List was also carried out, in accordance with </w:t>
      </w:r>
      <w:r w:rsidR="005938A7">
        <w:rPr>
          <w:rFonts w:ascii="Times New Roman" w:hAnsi="Times New Roman"/>
          <w:bCs/>
          <w:iCs/>
          <w:sz w:val="24"/>
          <w:szCs w:val="24"/>
        </w:rPr>
        <w:t>subsection</w:t>
      </w:r>
      <w:r w:rsidR="005938A7" w:rsidRPr="006F27A5">
        <w:rPr>
          <w:rFonts w:ascii="Times New Roman" w:hAnsi="Times New Roman"/>
          <w:bCs/>
          <w:iCs/>
          <w:sz w:val="24"/>
          <w:szCs w:val="24"/>
        </w:rPr>
        <w:t> </w:t>
      </w:r>
      <w:r w:rsidRPr="006F27A5">
        <w:rPr>
          <w:rFonts w:ascii="Times New Roman" w:hAnsi="Times New Roman"/>
          <w:bCs/>
          <w:iCs/>
          <w:sz w:val="24"/>
          <w:szCs w:val="24"/>
        </w:rPr>
        <w:t>303</w:t>
      </w:r>
      <w:proofErr w:type="gramStart"/>
      <w:r w:rsidRPr="006F27A5">
        <w:rPr>
          <w:rFonts w:ascii="Times New Roman" w:hAnsi="Times New Roman"/>
          <w:bCs/>
          <w:iCs/>
          <w:sz w:val="24"/>
          <w:szCs w:val="24"/>
        </w:rPr>
        <w:t>EC(</w:t>
      </w:r>
      <w:proofErr w:type="gramEnd"/>
      <w:r w:rsidRPr="006F27A5">
        <w:rPr>
          <w:rFonts w:ascii="Times New Roman" w:hAnsi="Times New Roman"/>
          <w:bCs/>
          <w:iCs/>
          <w:sz w:val="24"/>
          <w:szCs w:val="24"/>
        </w:rPr>
        <w:t>3) of the EPBC Act. In this case, the Department of Agriculture, Water and the Environment consulted with relevant Commonwealth, state and territory agencies for the environment, conservation and agriculture. One s</w:t>
      </w:r>
      <w:r>
        <w:rPr>
          <w:rFonts w:ascii="Times New Roman" w:hAnsi="Times New Roman"/>
          <w:bCs/>
          <w:iCs/>
          <w:sz w:val="24"/>
          <w:szCs w:val="24"/>
        </w:rPr>
        <w:t xml:space="preserve">tate </w:t>
      </w:r>
      <w:r w:rsidRPr="006F27A5">
        <w:rPr>
          <w:rFonts w:ascii="Times New Roman" w:hAnsi="Times New Roman"/>
          <w:bCs/>
          <w:iCs/>
          <w:sz w:val="24"/>
          <w:szCs w:val="24"/>
        </w:rPr>
        <w:t xml:space="preserve">submission was received supporting the release of the </w:t>
      </w:r>
      <w:r w:rsidR="00D70235">
        <w:rPr>
          <w:rFonts w:ascii="Times New Roman" w:hAnsi="Times New Roman"/>
          <w:bCs/>
          <w:iCs/>
          <w:sz w:val="24"/>
          <w:szCs w:val="24"/>
        </w:rPr>
        <w:t>thrip</w:t>
      </w:r>
      <w:r w:rsidRPr="006F27A5">
        <w:rPr>
          <w:rFonts w:ascii="Times New Roman" w:hAnsi="Times New Roman"/>
          <w:bCs/>
          <w:iCs/>
          <w:sz w:val="24"/>
          <w:szCs w:val="24"/>
        </w:rPr>
        <w:t xml:space="preserve">. No changes to the risk analysis were required as a result of the submission. </w:t>
      </w:r>
    </w:p>
    <w:p w14:paraId="7B878788" w14:textId="11596955" w:rsidR="00EA762D" w:rsidRPr="006F27A5" w:rsidRDefault="00B765A9" w:rsidP="006F27A5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Given the extensive consultation undertaken on the proposed listing contained in the legislative instrument, it was not necessary to consult on the text of the instrument itself. </w:t>
      </w:r>
    </w:p>
    <w:p w14:paraId="3C9F1870" w14:textId="4CD8E76E" w:rsidR="002233EF" w:rsidRPr="002233EF" w:rsidRDefault="00574948" w:rsidP="002233EF">
      <w:pPr>
        <w:rPr>
          <w:rFonts w:ascii="Times New Roman" w:hAnsi="Times New Roman"/>
          <w:bCs/>
          <w:iCs/>
          <w:sz w:val="24"/>
          <w:szCs w:val="24"/>
        </w:rPr>
      </w:pPr>
      <w:r w:rsidRPr="002233EF">
        <w:rPr>
          <w:rFonts w:ascii="Times New Roman" w:hAnsi="Times New Roman"/>
          <w:bCs/>
          <w:iCs/>
          <w:sz w:val="24"/>
          <w:szCs w:val="24"/>
        </w:rPr>
        <w:t xml:space="preserve">The final report </w:t>
      </w:r>
      <w:r w:rsidR="00137113">
        <w:rPr>
          <w:rFonts w:ascii="Times New Roman" w:hAnsi="Times New Roman"/>
          <w:bCs/>
          <w:iCs/>
          <w:sz w:val="24"/>
          <w:szCs w:val="24"/>
        </w:rPr>
        <w:t xml:space="preserve">under s 303EE </w:t>
      </w:r>
      <w:r w:rsidRPr="002233EF">
        <w:rPr>
          <w:rFonts w:ascii="Times New Roman" w:hAnsi="Times New Roman"/>
          <w:bCs/>
          <w:iCs/>
          <w:sz w:val="24"/>
          <w:szCs w:val="24"/>
        </w:rPr>
        <w:t xml:space="preserve">was provided to the Minister. In accordance with paragraph 303EC(5)(a) of the EPBC Act, the Minister considered the report before deciding to amend the list to include </w:t>
      </w:r>
      <w:proofErr w:type="spellStart"/>
      <w:r w:rsidR="00D70235">
        <w:rPr>
          <w:rFonts w:ascii="Times New Roman" w:hAnsi="Times New Roman"/>
          <w:i/>
          <w:iCs/>
          <w:sz w:val="24"/>
          <w:szCs w:val="24"/>
        </w:rPr>
        <w:t>Acaciothrips</w:t>
      </w:r>
      <w:proofErr w:type="spellEnd"/>
      <w:r w:rsidR="00D702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0235">
        <w:rPr>
          <w:rFonts w:ascii="Times New Roman" w:hAnsi="Times New Roman"/>
          <w:i/>
          <w:iCs/>
          <w:sz w:val="24"/>
          <w:szCs w:val="24"/>
        </w:rPr>
        <w:t>ebneri</w:t>
      </w:r>
      <w:proofErr w:type="spellEnd"/>
      <w:r w:rsidR="00D70235" w:rsidRPr="007621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233EF">
        <w:rPr>
          <w:rFonts w:ascii="Times New Roman" w:hAnsi="Times New Roman"/>
          <w:bCs/>
          <w:iCs/>
          <w:sz w:val="24"/>
          <w:szCs w:val="24"/>
        </w:rPr>
        <w:t>in Part 1 of the Live Import List.</w:t>
      </w:r>
    </w:p>
    <w:p w14:paraId="3C9F1871" w14:textId="7194C82C" w:rsidR="001C4EAC" w:rsidRPr="002233EF" w:rsidRDefault="00574948" w:rsidP="001C4EAC">
      <w:pPr>
        <w:rPr>
          <w:rFonts w:ascii="Times New Roman" w:hAnsi="Times New Roman"/>
          <w:sz w:val="24"/>
          <w:szCs w:val="24"/>
        </w:rPr>
      </w:pPr>
      <w:r w:rsidRPr="002233EF">
        <w:rPr>
          <w:rFonts w:ascii="Times New Roman" w:hAnsi="Times New Roman"/>
          <w:bCs/>
          <w:iCs/>
          <w:sz w:val="24"/>
          <w:szCs w:val="24"/>
        </w:rPr>
        <w:lastRenderedPageBreak/>
        <w:t xml:space="preserve">The Minister considered that </w:t>
      </w:r>
      <w:r w:rsidRPr="002233EF">
        <w:rPr>
          <w:rFonts w:ascii="Times New Roman" w:hAnsi="Times New Roman"/>
          <w:sz w:val="24"/>
          <w:szCs w:val="24"/>
        </w:rPr>
        <w:t>listing th</w:t>
      </w:r>
      <w:r w:rsidR="00912941" w:rsidRPr="002233EF">
        <w:rPr>
          <w:rFonts w:ascii="Times New Roman" w:hAnsi="Times New Roman"/>
          <w:sz w:val="24"/>
          <w:szCs w:val="24"/>
        </w:rPr>
        <w:t xml:space="preserve">is species </w:t>
      </w:r>
      <w:r w:rsidR="009930D2">
        <w:rPr>
          <w:rFonts w:ascii="Times New Roman" w:hAnsi="Times New Roman"/>
          <w:sz w:val="24"/>
          <w:szCs w:val="24"/>
        </w:rPr>
        <w:t>in</w:t>
      </w:r>
      <w:r w:rsidR="009930D2" w:rsidRPr="002233EF">
        <w:rPr>
          <w:rFonts w:ascii="Times New Roman" w:hAnsi="Times New Roman"/>
          <w:sz w:val="24"/>
          <w:szCs w:val="24"/>
        </w:rPr>
        <w:t xml:space="preserve"> </w:t>
      </w:r>
      <w:r w:rsidR="00912941" w:rsidRPr="002233EF">
        <w:rPr>
          <w:rFonts w:ascii="Times New Roman" w:hAnsi="Times New Roman"/>
          <w:sz w:val="24"/>
          <w:szCs w:val="24"/>
        </w:rPr>
        <w:t>Part 1 of the Live Import L</w:t>
      </w:r>
      <w:r w:rsidRPr="002233EF">
        <w:rPr>
          <w:rFonts w:ascii="Times New Roman" w:hAnsi="Times New Roman"/>
          <w:sz w:val="24"/>
          <w:szCs w:val="24"/>
        </w:rPr>
        <w:t xml:space="preserve">ist poses little risk to the Australian environment and has the potential to control </w:t>
      </w:r>
      <w:r w:rsidR="00622366">
        <w:rPr>
          <w:rFonts w:ascii="Times New Roman" w:hAnsi="Times New Roman"/>
          <w:sz w:val="24"/>
          <w:szCs w:val="24"/>
        </w:rPr>
        <w:t xml:space="preserve">the weed </w:t>
      </w:r>
      <w:proofErr w:type="spellStart"/>
      <w:r w:rsidR="00D70235" w:rsidRPr="00123BB3">
        <w:rPr>
          <w:rFonts w:ascii="Times New Roman" w:hAnsi="Times New Roman"/>
          <w:i/>
          <w:iCs/>
          <w:sz w:val="24"/>
          <w:szCs w:val="24"/>
        </w:rPr>
        <w:t>Vachellia</w:t>
      </w:r>
      <w:proofErr w:type="spellEnd"/>
      <w:r w:rsidR="00D70235" w:rsidRPr="00123BB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0235" w:rsidRPr="00123BB3">
        <w:rPr>
          <w:rFonts w:ascii="Times New Roman" w:hAnsi="Times New Roman"/>
          <w:i/>
          <w:iCs/>
          <w:sz w:val="24"/>
          <w:szCs w:val="24"/>
        </w:rPr>
        <w:t>nilotica</w:t>
      </w:r>
      <w:proofErr w:type="spellEnd"/>
      <w:r w:rsidR="00D70235" w:rsidRPr="00123B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70235" w:rsidRPr="00123BB3">
        <w:rPr>
          <w:rFonts w:ascii="Times New Roman" w:hAnsi="Times New Roman"/>
          <w:sz w:val="24"/>
          <w:szCs w:val="24"/>
        </w:rPr>
        <w:t xml:space="preserve">subsp. </w:t>
      </w:r>
      <w:r w:rsidR="00D70235" w:rsidRPr="00C8347B">
        <w:rPr>
          <w:rFonts w:ascii="Times New Roman" w:hAnsi="Times New Roman"/>
          <w:i/>
          <w:iCs/>
          <w:sz w:val="24"/>
          <w:szCs w:val="24"/>
        </w:rPr>
        <w:t>Indica</w:t>
      </w:r>
      <w:r w:rsidR="00D70235">
        <w:rPr>
          <w:rFonts w:ascii="Times New Roman" w:hAnsi="Times New Roman"/>
          <w:sz w:val="24"/>
          <w:szCs w:val="24"/>
        </w:rPr>
        <w:t xml:space="preserve"> (prickly acacia)</w:t>
      </w:r>
      <w:r w:rsidR="00622366">
        <w:rPr>
          <w:rFonts w:ascii="Times New Roman" w:hAnsi="Times New Roman"/>
          <w:sz w:val="24"/>
          <w:szCs w:val="24"/>
        </w:rPr>
        <w:t xml:space="preserve">, </w:t>
      </w:r>
      <w:r w:rsidRPr="00622366">
        <w:rPr>
          <w:rFonts w:ascii="Times New Roman" w:hAnsi="Times New Roman"/>
          <w:sz w:val="24"/>
          <w:szCs w:val="24"/>
        </w:rPr>
        <w:t>a</w:t>
      </w:r>
      <w:r w:rsidRPr="002233EF">
        <w:rPr>
          <w:rFonts w:ascii="Times New Roman" w:hAnsi="Times New Roman"/>
          <w:sz w:val="24"/>
          <w:szCs w:val="24"/>
        </w:rPr>
        <w:t xml:space="preserve"> serious environmental pest.</w:t>
      </w:r>
    </w:p>
    <w:p w14:paraId="3C9F1872" w14:textId="77777777" w:rsidR="000A1EA5" w:rsidRPr="00826298" w:rsidRDefault="00574948" w:rsidP="00826298">
      <w:pPr>
        <w:spacing w:before="120"/>
        <w:rPr>
          <w:rFonts w:ascii="Times New Roman" w:hAnsi="Times New Roman"/>
          <w:color w:val="7030A0"/>
        </w:rPr>
      </w:pPr>
      <w:r w:rsidRPr="002233EF">
        <w:rPr>
          <w:rFonts w:ascii="Times New Roman" w:hAnsi="Times New Roman"/>
          <w:sz w:val="24"/>
          <w:szCs w:val="24"/>
        </w:rPr>
        <w:t xml:space="preserve">This instrument is a legislative instrument for the purposes of the </w:t>
      </w:r>
      <w:r w:rsidRPr="002233EF">
        <w:rPr>
          <w:rFonts w:ascii="Times New Roman" w:hAnsi="Times New Roman"/>
          <w:i/>
          <w:sz w:val="24"/>
          <w:szCs w:val="24"/>
        </w:rPr>
        <w:t>Legislation Act 2003</w:t>
      </w:r>
      <w:r w:rsidRPr="002233EF">
        <w:rPr>
          <w:rFonts w:ascii="Times New Roman" w:hAnsi="Times New Roman"/>
          <w:sz w:val="24"/>
          <w:szCs w:val="24"/>
        </w:rPr>
        <w:t xml:space="preserve">. It commences the day after registration. </w:t>
      </w:r>
      <w:r w:rsidR="00F528F7" w:rsidRPr="00BF622B">
        <w:rPr>
          <w:rFonts w:ascii="Times New Roman" w:hAnsi="Times New Roman"/>
          <w:color w:val="7030A0"/>
        </w:rPr>
        <w:br w:type="page"/>
      </w:r>
    </w:p>
    <w:p w14:paraId="3C9F1873" w14:textId="77777777" w:rsidR="005862C6" w:rsidRPr="004772DF" w:rsidRDefault="00574948" w:rsidP="005862C6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4772DF">
        <w:rPr>
          <w:rFonts w:ascii="Times New Roman" w:hAnsi="Times New Roman"/>
          <w:b/>
          <w:sz w:val="24"/>
          <w:szCs w:val="24"/>
        </w:rPr>
        <w:lastRenderedPageBreak/>
        <w:t>Statement of Compatibility with Human Rights</w:t>
      </w:r>
    </w:p>
    <w:p w14:paraId="3C9F1874" w14:textId="77777777" w:rsidR="005862C6" w:rsidRPr="004772DF" w:rsidRDefault="00574948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4772DF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3C9F1875" w14:textId="77777777" w:rsidR="005862C6" w:rsidRPr="004772DF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C9F1876" w14:textId="77777777" w:rsidR="005862C6" w:rsidRPr="004772DF" w:rsidRDefault="00574948" w:rsidP="005862C6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4772DF">
        <w:rPr>
          <w:rFonts w:ascii="Times New Roman" w:hAnsi="Times New Roman"/>
          <w:b/>
          <w:i/>
          <w:sz w:val="24"/>
          <w:szCs w:val="24"/>
        </w:rPr>
        <w:t>Environment Protection and Biodiversity Conservation Act 1999</w:t>
      </w:r>
    </w:p>
    <w:p w14:paraId="3C9F1877" w14:textId="77777777" w:rsidR="005514F0" w:rsidRPr="004772DF" w:rsidRDefault="00574948" w:rsidP="00622366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772DF">
        <w:rPr>
          <w:rFonts w:ascii="Times New Roman" w:hAnsi="Times New Roman"/>
          <w:b/>
          <w:bCs/>
          <w:iCs/>
          <w:sz w:val="24"/>
          <w:szCs w:val="24"/>
        </w:rPr>
        <w:t>List of Specimens taken to be Suitable for Live Import Amendment</w:t>
      </w:r>
    </w:p>
    <w:p w14:paraId="3C9F1878" w14:textId="1B0E4EDB" w:rsidR="003F27D7" w:rsidRPr="004772DF" w:rsidRDefault="00574948" w:rsidP="00622366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772DF">
        <w:rPr>
          <w:rFonts w:ascii="Times New Roman" w:hAnsi="Times New Roman"/>
          <w:b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Acaciothrips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ebneri</w:t>
      </w:r>
      <w:proofErr w:type="spellEnd"/>
      <w:r w:rsidRPr="004772DF">
        <w:rPr>
          <w:rFonts w:ascii="Times New Roman" w:hAnsi="Times New Roman"/>
          <w:b/>
          <w:bCs/>
          <w:iCs/>
          <w:sz w:val="24"/>
          <w:szCs w:val="24"/>
        </w:rPr>
        <w:t>) Instrument 20</w:t>
      </w:r>
      <w:r w:rsidR="00D23E6C" w:rsidRPr="004772DF"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3C9F1879" w14:textId="77777777" w:rsidR="005862C6" w:rsidRPr="004772DF" w:rsidRDefault="00574948" w:rsidP="00B046B5">
      <w:pPr>
        <w:spacing w:before="120" w:after="120"/>
        <w:rPr>
          <w:rFonts w:ascii="Times New Roman" w:hAnsi="Times New Roman"/>
          <w:sz w:val="24"/>
          <w:szCs w:val="24"/>
        </w:rPr>
      </w:pPr>
      <w:r w:rsidRPr="004772DF">
        <w:rPr>
          <w:rFonts w:ascii="Times New Roman" w:hAnsi="Times New Roman"/>
          <w:sz w:val="24"/>
          <w:szCs w:val="24"/>
        </w:rPr>
        <w:t>This Legislative Instrument is compatible with the human rights and freedoms recognised or</w:t>
      </w:r>
      <w:r w:rsidRPr="004772DF">
        <w:rPr>
          <w:rFonts w:ascii="Times New Roman" w:hAnsi="Times New Roman"/>
          <w:sz w:val="24"/>
          <w:szCs w:val="24"/>
        </w:rPr>
        <w:br/>
        <w:t>declared in the international instruments listed in section 3 of the</w:t>
      </w:r>
      <w:r w:rsidR="00290A48" w:rsidRPr="004772DF">
        <w:rPr>
          <w:rFonts w:ascii="Times New Roman" w:hAnsi="Times New Roman"/>
          <w:sz w:val="24"/>
          <w:szCs w:val="24"/>
        </w:rPr>
        <w:t xml:space="preserve"> </w:t>
      </w:r>
      <w:r w:rsidRPr="004772DF">
        <w:rPr>
          <w:rFonts w:ascii="Times New Roman" w:hAnsi="Times New Roman"/>
          <w:i/>
          <w:sz w:val="24"/>
          <w:szCs w:val="24"/>
        </w:rPr>
        <w:t xml:space="preserve">Human </w:t>
      </w:r>
      <w:r w:rsidR="00912941" w:rsidRPr="004772DF">
        <w:rPr>
          <w:rFonts w:ascii="Times New Roman" w:hAnsi="Times New Roman"/>
          <w:i/>
          <w:sz w:val="24"/>
          <w:szCs w:val="24"/>
        </w:rPr>
        <w:t>Rights</w:t>
      </w:r>
      <w:r w:rsidR="00066F73" w:rsidRPr="004772DF">
        <w:rPr>
          <w:rFonts w:ascii="Times New Roman" w:hAnsi="Times New Roman"/>
          <w:i/>
          <w:sz w:val="24"/>
          <w:szCs w:val="24"/>
        </w:rPr>
        <w:t xml:space="preserve"> </w:t>
      </w:r>
      <w:r w:rsidR="00912941" w:rsidRPr="004772DF">
        <w:rPr>
          <w:rFonts w:ascii="Times New Roman" w:hAnsi="Times New Roman"/>
          <w:i/>
          <w:sz w:val="24"/>
          <w:szCs w:val="24"/>
        </w:rPr>
        <w:t>(</w:t>
      </w:r>
      <w:r w:rsidRPr="004772DF">
        <w:rPr>
          <w:rFonts w:ascii="Times New Roman" w:hAnsi="Times New Roman"/>
          <w:i/>
          <w:sz w:val="24"/>
          <w:szCs w:val="24"/>
        </w:rPr>
        <w:t>Parliamentary Scrutiny) Act 2011</w:t>
      </w:r>
      <w:r w:rsidRPr="004772DF">
        <w:rPr>
          <w:rFonts w:ascii="Times New Roman" w:hAnsi="Times New Roman"/>
          <w:sz w:val="24"/>
          <w:szCs w:val="24"/>
        </w:rPr>
        <w:t>.</w:t>
      </w:r>
    </w:p>
    <w:p w14:paraId="3C9F187A" w14:textId="77777777" w:rsidR="005862C6" w:rsidRPr="004772DF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C9F187B" w14:textId="77777777" w:rsidR="005862C6" w:rsidRPr="004772DF" w:rsidRDefault="00574948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4772DF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3C9F187C" w14:textId="28D84FCC" w:rsidR="00B046B5" w:rsidRPr="00B046B5" w:rsidRDefault="00574948" w:rsidP="00B046B5">
      <w:pPr>
        <w:spacing w:before="120" w:after="120"/>
        <w:rPr>
          <w:rFonts w:ascii="Times New Roman" w:hAnsi="Times New Roman"/>
          <w:sz w:val="24"/>
          <w:szCs w:val="24"/>
        </w:rPr>
      </w:pPr>
      <w:r w:rsidRPr="00B046B5">
        <w:rPr>
          <w:rFonts w:ascii="Times New Roman" w:hAnsi="Times New Roman"/>
          <w:sz w:val="24"/>
          <w:szCs w:val="24"/>
        </w:rPr>
        <w:t xml:space="preserve">The purpose of this instrument is to amend Part </w:t>
      </w:r>
      <w:r w:rsidR="00390BAA">
        <w:rPr>
          <w:rFonts w:ascii="Times New Roman" w:hAnsi="Times New Roman"/>
          <w:sz w:val="24"/>
          <w:szCs w:val="24"/>
        </w:rPr>
        <w:t>1</w:t>
      </w:r>
      <w:r w:rsidRPr="00B046B5">
        <w:rPr>
          <w:rFonts w:ascii="Times New Roman" w:hAnsi="Times New Roman"/>
          <w:sz w:val="24"/>
          <w:szCs w:val="24"/>
        </w:rPr>
        <w:t xml:space="preserve"> of the </w:t>
      </w:r>
      <w:r w:rsidRPr="00B046B5">
        <w:rPr>
          <w:rFonts w:ascii="Times New Roman" w:hAnsi="Times New Roman"/>
          <w:i/>
          <w:iCs/>
          <w:sz w:val="24"/>
          <w:szCs w:val="24"/>
        </w:rPr>
        <w:t>List of Specimens taken to be Suitable for Live Import (29/11/2001)</w:t>
      </w:r>
      <w:r w:rsidRPr="00B046B5">
        <w:rPr>
          <w:rFonts w:ascii="Times New Roman" w:hAnsi="Times New Roman"/>
          <w:sz w:val="24"/>
          <w:szCs w:val="24"/>
        </w:rPr>
        <w:t xml:space="preserve"> to include </w:t>
      </w:r>
      <w:bookmarkStart w:id="3" w:name="_Hlk56076413"/>
      <w:proofErr w:type="spellStart"/>
      <w:r>
        <w:rPr>
          <w:rFonts w:ascii="Times New Roman" w:hAnsi="Times New Roman"/>
          <w:i/>
          <w:iCs/>
          <w:sz w:val="24"/>
          <w:szCs w:val="24"/>
        </w:rPr>
        <w:t>Acaciothrips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ebneri</w:t>
      </w:r>
      <w:proofErr w:type="spellEnd"/>
      <w:r w:rsidRPr="007621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046B5">
        <w:rPr>
          <w:rFonts w:ascii="Times New Roman" w:hAnsi="Times New Roman"/>
          <w:sz w:val="24"/>
          <w:szCs w:val="24"/>
        </w:rPr>
        <w:t>(</w:t>
      </w:r>
      <w:r w:rsidRPr="004772D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thrip</w:t>
      </w:r>
      <w:r w:rsidRPr="00B046B5">
        <w:rPr>
          <w:rFonts w:ascii="Times New Roman" w:hAnsi="Times New Roman"/>
          <w:sz w:val="24"/>
          <w:szCs w:val="24"/>
        </w:rPr>
        <w:t>)</w:t>
      </w:r>
      <w:bookmarkEnd w:id="3"/>
      <w:r w:rsidRPr="00B046B5">
        <w:rPr>
          <w:rFonts w:ascii="Times New Roman" w:hAnsi="Times New Roman"/>
          <w:sz w:val="24"/>
          <w:szCs w:val="24"/>
        </w:rPr>
        <w:t xml:space="preserve"> in accordance with section 303EC of the </w:t>
      </w:r>
      <w:r w:rsidRPr="00B046B5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  <w:r w:rsidRPr="00B046B5">
        <w:rPr>
          <w:rFonts w:ascii="Times New Roman" w:hAnsi="Times New Roman"/>
          <w:sz w:val="24"/>
          <w:szCs w:val="24"/>
        </w:rPr>
        <w:t>.</w:t>
      </w:r>
    </w:p>
    <w:p w14:paraId="3C9F187D" w14:textId="77777777" w:rsidR="005862C6" w:rsidRPr="004772DF" w:rsidRDefault="00574948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4772DF">
        <w:rPr>
          <w:rFonts w:ascii="Times New Roman" w:hAnsi="Times New Roman"/>
          <w:b/>
          <w:sz w:val="24"/>
          <w:szCs w:val="24"/>
        </w:rPr>
        <w:t>Human rights implications</w:t>
      </w:r>
    </w:p>
    <w:p w14:paraId="3C9F187E" w14:textId="77777777" w:rsidR="005862C6" w:rsidRPr="004772DF" w:rsidRDefault="00574948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4772DF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3C9F187F" w14:textId="77777777" w:rsidR="005862C6" w:rsidRPr="004772DF" w:rsidRDefault="00574948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4772DF">
        <w:rPr>
          <w:rFonts w:ascii="Times New Roman" w:hAnsi="Times New Roman"/>
          <w:b/>
          <w:sz w:val="24"/>
          <w:szCs w:val="24"/>
        </w:rPr>
        <w:t>Conclusion</w:t>
      </w:r>
    </w:p>
    <w:p w14:paraId="3C9F1880" w14:textId="77777777" w:rsidR="005862C6" w:rsidRPr="004772DF" w:rsidRDefault="00574948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4772DF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3C9F1881" w14:textId="77777777" w:rsidR="005862C6" w:rsidRPr="004772DF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565F8266" w14:textId="77777777" w:rsidR="00574948" w:rsidRDefault="00574948" w:rsidP="00574948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Hon Tanya Plibersek </w:t>
      </w:r>
    </w:p>
    <w:p w14:paraId="291A5BD9" w14:textId="77777777" w:rsidR="00574948" w:rsidRDefault="00574948" w:rsidP="00574948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Minister for the Environment and Water</w:t>
      </w:r>
    </w:p>
    <w:p w14:paraId="3C9F1884" w14:textId="77777777" w:rsidR="00701CC7" w:rsidRPr="00BF622B" w:rsidRDefault="00701CC7" w:rsidP="00701CC7">
      <w:pPr>
        <w:ind w:left="720" w:hanging="720"/>
        <w:rPr>
          <w:color w:val="7030A0"/>
        </w:rPr>
      </w:pPr>
    </w:p>
    <w:sectPr w:rsidR="00701CC7" w:rsidRPr="00BF622B" w:rsidSect="00701CC7">
      <w:headerReference w:type="even" r:id="rId13"/>
      <w:footerReference w:type="default" r:id="rId14"/>
      <w:footerReference w:type="first" r:id="rId15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188F" w14:textId="77777777" w:rsidR="009D77E2" w:rsidRDefault="00574948">
      <w:pPr>
        <w:spacing w:after="0" w:line="240" w:lineRule="auto"/>
      </w:pPr>
      <w:r>
        <w:separator/>
      </w:r>
    </w:p>
  </w:endnote>
  <w:endnote w:type="continuationSeparator" w:id="0">
    <w:p w14:paraId="3C9F1891" w14:textId="77777777" w:rsidR="009D77E2" w:rsidRDefault="0057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3C9F1886" w14:textId="77777777" w:rsidR="009242A6" w:rsidRDefault="009242A6" w:rsidP="00701CC7">
        <w:pPr>
          <w:pStyle w:val="Footer"/>
          <w:jc w:val="right"/>
        </w:pPr>
      </w:p>
      <w:p w14:paraId="3C9F1887" w14:textId="77777777" w:rsidR="009242A6" w:rsidRDefault="000814A4" w:rsidP="00701CC7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73180"/>
      <w:docPartObj>
        <w:docPartGallery w:val="Page Numbers (Bottom of Page)"/>
        <w:docPartUnique/>
      </w:docPartObj>
    </w:sdtPr>
    <w:sdtEndPr/>
    <w:sdtContent>
      <w:p w14:paraId="3C9F1888" w14:textId="77777777" w:rsidR="009242A6" w:rsidRDefault="009242A6" w:rsidP="00701CC7">
        <w:pPr>
          <w:pStyle w:val="Footer"/>
          <w:jc w:val="right"/>
        </w:pPr>
      </w:p>
      <w:p w14:paraId="3C9F1889" w14:textId="77777777" w:rsidR="009242A6" w:rsidRDefault="000814A4" w:rsidP="00701CC7">
        <w:pPr>
          <w:pStyle w:val="Footer"/>
          <w:jc w:val="right"/>
        </w:pPr>
      </w:p>
    </w:sdtContent>
  </w:sdt>
  <w:p w14:paraId="3C9F188A" w14:textId="77777777" w:rsidR="009242A6" w:rsidRDefault="00924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188B" w14:textId="77777777" w:rsidR="009D77E2" w:rsidRDefault="00574948">
      <w:pPr>
        <w:spacing w:after="0" w:line="240" w:lineRule="auto"/>
      </w:pPr>
      <w:r>
        <w:separator/>
      </w:r>
    </w:p>
  </w:footnote>
  <w:footnote w:type="continuationSeparator" w:id="0">
    <w:p w14:paraId="3C9F188D" w14:textId="77777777" w:rsidR="009D77E2" w:rsidRDefault="0057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1885" w14:textId="77777777" w:rsidR="009242A6" w:rsidRDefault="00F528F7" w:rsidP="00701CC7">
    <w:pPr>
      <w:pStyle w:val="Classification"/>
    </w:pPr>
    <w:r>
      <w:rPr>
        <w:b/>
        <w:bCs/>
        <w:lang w:val="en-US"/>
      </w:rPr>
      <w:t xml:space="preserve">UNCLASSIFIED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2DF2910"/>
    <w:multiLevelType w:val="hybridMultilevel"/>
    <w:tmpl w:val="03BED7F8"/>
    <w:lvl w:ilvl="0" w:tplc="690A4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F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4D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01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80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E87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4B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A1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CF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FD73E4"/>
    <w:multiLevelType w:val="hybridMultilevel"/>
    <w:tmpl w:val="48CE9312"/>
    <w:lvl w:ilvl="0" w:tplc="CF1CE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A8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23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89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4C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8B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C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04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2A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A90BBF"/>
    <w:multiLevelType w:val="hybridMultilevel"/>
    <w:tmpl w:val="AA089916"/>
    <w:lvl w:ilvl="0" w:tplc="AEB28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03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01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7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C2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96B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AF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6E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CF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56429"/>
    <w:multiLevelType w:val="multilevel"/>
    <w:tmpl w:val="E898CC72"/>
    <w:numStyleLink w:val="KeyPoints"/>
  </w:abstractNum>
  <w:abstractNum w:abstractNumId="8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98962144">
    <w:abstractNumId w:val="8"/>
  </w:num>
  <w:num w:numId="2" w16cid:durableId="563369681">
    <w:abstractNumId w:val="0"/>
  </w:num>
  <w:num w:numId="3" w16cid:durableId="70663027">
    <w:abstractNumId w:val="5"/>
  </w:num>
  <w:num w:numId="4" w16cid:durableId="1744791451">
    <w:abstractNumId w:val="3"/>
  </w:num>
  <w:num w:numId="5" w16cid:durableId="453136427">
    <w:abstractNumId w:val="7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6" w16cid:durableId="1358507587">
    <w:abstractNumId w:val="2"/>
  </w:num>
  <w:num w:numId="7" w16cid:durableId="1013608625">
    <w:abstractNumId w:val="4"/>
  </w:num>
  <w:num w:numId="8" w16cid:durableId="81491270">
    <w:abstractNumId w:val="6"/>
  </w:num>
  <w:num w:numId="9" w16cid:durableId="191990213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BA"/>
    <w:rsid w:val="00000164"/>
    <w:rsid w:val="00005B0E"/>
    <w:rsid w:val="00006440"/>
    <w:rsid w:val="00006E83"/>
    <w:rsid w:val="000120CC"/>
    <w:rsid w:val="000213C2"/>
    <w:rsid w:val="000263E6"/>
    <w:rsid w:val="00054674"/>
    <w:rsid w:val="00060CF7"/>
    <w:rsid w:val="00062A98"/>
    <w:rsid w:val="00066F73"/>
    <w:rsid w:val="00071A86"/>
    <w:rsid w:val="000814A4"/>
    <w:rsid w:val="000A1EA5"/>
    <w:rsid w:val="000E2F0D"/>
    <w:rsid w:val="00123BB3"/>
    <w:rsid w:val="00137113"/>
    <w:rsid w:val="00143A9A"/>
    <w:rsid w:val="001639ED"/>
    <w:rsid w:val="001705DA"/>
    <w:rsid w:val="00171602"/>
    <w:rsid w:val="00172AAA"/>
    <w:rsid w:val="001830DF"/>
    <w:rsid w:val="001C4EAC"/>
    <w:rsid w:val="001D1340"/>
    <w:rsid w:val="001D7A90"/>
    <w:rsid w:val="002233EF"/>
    <w:rsid w:val="00251886"/>
    <w:rsid w:val="00290A48"/>
    <w:rsid w:val="002938A1"/>
    <w:rsid w:val="002F7071"/>
    <w:rsid w:val="00303649"/>
    <w:rsid w:val="00306A61"/>
    <w:rsid w:val="00321048"/>
    <w:rsid w:val="003403DA"/>
    <w:rsid w:val="00346446"/>
    <w:rsid w:val="003464AB"/>
    <w:rsid w:val="00346DEF"/>
    <w:rsid w:val="00366A5D"/>
    <w:rsid w:val="00372982"/>
    <w:rsid w:val="00390BAA"/>
    <w:rsid w:val="003D2E1B"/>
    <w:rsid w:val="003F27D7"/>
    <w:rsid w:val="003F34ED"/>
    <w:rsid w:val="004375E3"/>
    <w:rsid w:val="00446103"/>
    <w:rsid w:val="004772DF"/>
    <w:rsid w:val="004938EE"/>
    <w:rsid w:val="004A6386"/>
    <w:rsid w:val="004F4926"/>
    <w:rsid w:val="004F7B2E"/>
    <w:rsid w:val="005514F0"/>
    <w:rsid w:val="00574948"/>
    <w:rsid w:val="00574F7E"/>
    <w:rsid w:val="005862C6"/>
    <w:rsid w:val="005874C9"/>
    <w:rsid w:val="005938A7"/>
    <w:rsid w:val="005D068B"/>
    <w:rsid w:val="005E0351"/>
    <w:rsid w:val="00622366"/>
    <w:rsid w:val="00622FA4"/>
    <w:rsid w:val="006364A6"/>
    <w:rsid w:val="006438C6"/>
    <w:rsid w:val="00644494"/>
    <w:rsid w:val="0065528D"/>
    <w:rsid w:val="006725E8"/>
    <w:rsid w:val="00680873"/>
    <w:rsid w:val="006A060A"/>
    <w:rsid w:val="006A4084"/>
    <w:rsid w:val="006A4DBA"/>
    <w:rsid w:val="006F27A5"/>
    <w:rsid w:val="006F767A"/>
    <w:rsid w:val="00701CC7"/>
    <w:rsid w:val="00703A8F"/>
    <w:rsid w:val="00717C7E"/>
    <w:rsid w:val="00725BEA"/>
    <w:rsid w:val="00726338"/>
    <w:rsid w:val="00762173"/>
    <w:rsid w:val="00763042"/>
    <w:rsid w:val="007C0D2D"/>
    <w:rsid w:val="00826298"/>
    <w:rsid w:val="00865610"/>
    <w:rsid w:val="00885684"/>
    <w:rsid w:val="008A2416"/>
    <w:rsid w:val="008C11E0"/>
    <w:rsid w:val="00912941"/>
    <w:rsid w:val="00920D3E"/>
    <w:rsid w:val="009242A6"/>
    <w:rsid w:val="0096130A"/>
    <w:rsid w:val="00967EBC"/>
    <w:rsid w:val="00991867"/>
    <w:rsid w:val="009930D2"/>
    <w:rsid w:val="009A3B57"/>
    <w:rsid w:val="009B78DA"/>
    <w:rsid w:val="009D77E2"/>
    <w:rsid w:val="009E2956"/>
    <w:rsid w:val="009E5FB3"/>
    <w:rsid w:val="009E7DC6"/>
    <w:rsid w:val="009F00FC"/>
    <w:rsid w:val="00A223FD"/>
    <w:rsid w:val="00A267D1"/>
    <w:rsid w:val="00A5032D"/>
    <w:rsid w:val="00A95920"/>
    <w:rsid w:val="00AD17B9"/>
    <w:rsid w:val="00AE243F"/>
    <w:rsid w:val="00B046B5"/>
    <w:rsid w:val="00B12330"/>
    <w:rsid w:val="00B4119C"/>
    <w:rsid w:val="00B74F3C"/>
    <w:rsid w:val="00B765A9"/>
    <w:rsid w:val="00B86756"/>
    <w:rsid w:val="00BC6907"/>
    <w:rsid w:val="00BD3433"/>
    <w:rsid w:val="00BE45EC"/>
    <w:rsid w:val="00BF622B"/>
    <w:rsid w:val="00C10D02"/>
    <w:rsid w:val="00C152D7"/>
    <w:rsid w:val="00C440B6"/>
    <w:rsid w:val="00C8347B"/>
    <w:rsid w:val="00C84512"/>
    <w:rsid w:val="00C8637D"/>
    <w:rsid w:val="00C877F8"/>
    <w:rsid w:val="00D039D9"/>
    <w:rsid w:val="00D1167E"/>
    <w:rsid w:val="00D23E6C"/>
    <w:rsid w:val="00D36E78"/>
    <w:rsid w:val="00D4297C"/>
    <w:rsid w:val="00D46630"/>
    <w:rsid w:val="00D70235"/>
    <w:rsid w:val="00DD1DC9"/>
    <w:rsid w:val="00DD6A80"/>
    <w:rsid w:val="00E2097B"/>
    <w:rsid w:val="00E31FA9"/>
    <w:rsid w:val="00E429E6"/>
    <w:rsid w:val="00E72F17"/>
    <w:rsid w:val="00E763C1"/>
    <w:rsid w:val="00E76E13"/>
    <w:rsid w:val="00EA762D"/>
    <w:rsid w:val="00F00FD0"/>
    <w:rsid w:val="00F1747E"/>
    <w:rsid w:val="00F23549"/>
    <w:rsid w:val="00F45BF6"/>
    <w:rsid w:val="00F528F7"/>
    <w:rsid w:val="00F52F39"/>
    <w:rsid w:val="00F547D8"/>
    <w:rsid w:val="00F64496"/>
    <w:rsid w:val="00F93ADB"/>
    <w:rsid w:val="00FA0892"/>
    <w:rsid w:val="00FA2355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1856"/>
  <w15:docId w15:val="{24813512-0A03-4341-B36A-D53A165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874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 xsi:nil="true"/>
    <IconOverlay xmlns="http://schemas.microsoft.com/sharepoint/v4" xsi:nil="true"/>
    <DocumentDescription xmlns="344c6e69-c594-4ca4-b341-09ae9dfc1422" xsi:nil="true"/>
    <RecordNumber xmlns="344c6e69-c594-4ca4-b341-09ae9dfc14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688117F755FC8B448D8923B3E8167C0E" ma:contentTypeVersion="10" ma:contentTypeDescription="SPIRE Document" ma:contentTypeScope="" ma:versionID="8b189a7115c60f805053fc6497f6cd55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4"/>
    <ds:schemaRef ds:uri="344c6e69-c594-4ca4-b341-09ae9dfc142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EB612-F9DE-45FF-9E7F-AEE3BB1AEA6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1796DA2-5561-41A9-9277-43FF1DBDB3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35B4C4-1765-4F6F-880C-A9CF21C8222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0DD5200-88DE-45FD-8248-AEB1506FE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MS22- 00 Attachment D- Explanatory Statement for A. ebneri</vt:lpstr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MS22-001468 Attachment D- Explanatory Statement for A. ebneri legal app</dc:title>
  <dc:creator>Helen Hodgkins</dc:creator>
  <cp:lastModifiedBy>Hodgkins, Helen</cp:lastModifiedBy>
  <cp:revision>2</cp:revision>
  <dcterms:created xsi:type="dcterms:W3CDTF">2022-10-10T21:34:00Z</dcterms:created>
  <dcterms:modified xsi:type="dcterms:W3CDTF">2022-10-10T21:34:00Z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WorkflowType">
    <vt:lpwstr>ActiveSubmitStub</vt:lpwstr>
  </property>
  <property fmtid="{D5CDD505-2E9C-101B-9397-08002B2CF9AE}" pid="3" name="ContentTypeId">
    <vt:lpwstr>0x0101009DB8618430E8D149BA674DA7B0E0C3F000688117F755FC8B448D8923B3E8167C0E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{a0e6c625-28a9-4898-9066-97abccbd6970}</vt:lpwstr>
  </property>
  <property fmtid="{D5CDD505-2E9C-101B-9397-08002B2CF9AE}" pid="6" name="RecordPoint_ActiveItemUniqueId">
    <vt:lpwstr>{a228d2f4-8b79-4107-908f-47494c09c496}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