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2FBC" w14:textId="6D88A404" w:rsidR="00E023E8" w:rsidRPr="00635054" w:rsidRDefault="00E023E8" w:rsidP="00303549">
      <w:pPr>
        <w:pStyle w:val="Title"/>
        <w:spacing w:before="4920"/>
      </w:pPr>
      <w:r w:rsidRPr="00635054">
        <w:rPr>
          <w:b w:val="0"/>
        </w:rPr>
        <w:t>Regulation Impact Statement</w:t>
      </w:r>
      <w:r w:rsidRPr="00635054">
        <w:t xml:space="preserve"> – Super</w:t>
      </w:r>
      <w:r w:rsidR="00A91D66" w:rsidRPr="00635054">
        <w:t>ANNUATION</w:t>
      </w:r>
      <w:r w:rsidRPr="00635054">
        <w:t xml:space="preserve"> Data Transformation (SDT) Phase 1</w:t>
      </w:r>
    </w:p>
    <w:p w14:paraId="34FA1F95" w14:textId="77777777" w:rsidR="00E023E8" w:rsidRPr="00635054" w:rsidRDefault="00E023E8" w:rsidP="00303549"/>
    <w:p w14:paraId="5321F288" w14:textId="320DFB22" w:rsidR="00A533A9" w:rsidRPr="00635054" w:rsidRDefault="00A533A9" w:rsidP="00303549"/>
    <w:p w14:paraId="5D6821CA" w14:textId="031296DB" w:rsidR="001418CA" w:rsidRPr="00635054" w:rsidRDefault="001418CA" w:rsidP="00303549">
      <w:pPr>
        <w:jc w:val="both"/>
      </w:pPr>
      <w:r w:rsidRPr="00635054">
        <w:br w:type="page"/>
      </w:r>
    </w:p>
    <w:p w14:paraId="7B320906" w14:textId="77777777" w:rsidR="00E023E8" w:rsidRPr="00635054" w:rsidRDefault="00E023E8" w:rsidP="00303549"/>
    <w:p w14:paraId="2604312D" w14:textId="77777777" w:rsidR="001418CA" w:rsidRPr="00635054" w:rsidRDefault="001418CA" w:rsidP="00303549"/>
    <w:sdt>
      <w:sdtPr>
        <w:rPr>
          <w:rFonts w:asciiTheme="minorHAnsi" w:eastAsiaTheme="minorHAnsi" w:hAnsiTheme="minorHAnsi" w:cstheme="minorBidi"/>
          <w:b/>
          <w:bCs w:val="0"/>
          <w:i w:val="0"/>
          <w:color w:val="auto"/>
          <w:sz w:val="22"/>
          <w:szCs w:val="22"/>
        </w:rPr>
        <w:id w:val="-863443742"/>
        <w:docPartObj>
          <w:docPartGallery w:val="Table of Contents"/>
          <w:docPartUnique/>
        </w:docPartObj>
      </w:sdtPr>
      <w:sdtEndPr>
        <w:rPr>
          <w:b w:val="0"/>
        </w:rPr>
      </w:sdtEndPr>
      <w:sdtContent>
        <w:p w14:paraId="09DF5827" w14:textId="77777777" w:rsidR="001418CA" w:rsidRPr="00635054" w:rsidRDefault="001418CA" w:rsidP="00303549">
          <w:pPr>
            <w:pStyle w:val="TOCHeading"/>
            <w:jc w:val="center"/>
          </w:pPr>
          <w:r w:rsidRPr="00635054">
            <w:t>Contents</w:t>
          </w:r>
        </w:p>
        <w:p w14:paraId="042B066C" w14:textId="334E23E9" w:rsidR="002A471C" w:rsidRPr="00635054" w:rsidRDefault="001418CA" w:rsidP="00B0592B">
          <w:pPr>
            <w:pStyle w:val="TOC1"/>
            <w:rPr>
              <w:rFonts w:eastAsiaTheme="minorEastAsia"/>
              <w:noProof/>
              <w:sz w:val="22"/>
              <w:lang w:eastAsia="en-AU"/>
            </w:rPr>
          </w:pPr>
          <w:r w:rsidRPr="00635054">
            <w:rPr>
              <w:b/>
            </w:rPr>
            <w:fldChar w:fldCharType="begin"/>
          </w:r>
          <w:r w:rsidRPr="00635054">
            <w:instrText xml:space="preserve"> TOC \o "1-3" \h \z \u </w:instrText>
          </w:r>
          <w:r w:rsidRPr="00635054">
            <w:rPr>
              <w:b/>
            </w:rPr>
            <w:fldChar w:fldCharType="separate"/>
          </w:r>
          <w:hyperlink w:anchor="_Toc75295625" w:history="1">
            <w:r w:rsidR="002A471C" w:rsidRPr="00635054">
              <w:rPr>
                <w:rStyle w:val="Hyperlink"/>
                <w:noProof/>
              </w:rPr>
              <w:t>Introduction</w:t>
            </w:r>
            <w:r w:rsidR="002A471C" w:rsidRPr="00635054">
              <w:rPr>
                <w:noProof/>
                <w:webHidden/>
              </w:rPr>
              <w:tab/>
            </w:r>
            <w:r w:rsidR="002A471C" w:rsidRPr="00635054">
              <w:rPr>
                <w:noProof/>
                <w:webHidden/>
              </w:rPr>
              <w:fldChar w:fldCharType="begin"/>
            </w:r>
            <w:r w:rsidR="002A471C" w:rsidRPr="00635054">
              <w:rPr>
                <w:noProof/>
                <w:webHidden/>
              </w:rPr>
              <w:instrText xml:space="preserve"> PAGEREF _Toc75295625 \h </w:instrText>
            </w:r>
            <w:r w:rsidR="002A471C" w:rsidRPr="00635054">
              <w:rPr>
                <w:noProof/>
                <w:webHidden/>
              </w:rPr>
            </w:r>
            <w:r w:rsidR="002A471C" w:rsidRPr="00635054">
              <w:rPr>
                <w:noProof/>
                <w:webHidden/>
              </w:rPr>
              <w:fldChar w:fldCharType="separate"/>
            </w:r>
            <w:r w:rsidR="00A734C5" w:rsidRPr="00635054">
              <w:rPr>
                <w:noProof/>
                <w:webHidden/>
              </w:rPr>
              <w:t>3</w:t>
            </w:r>
            <w:r w:rsidR="002A471C" w:rsidRPr="00635054">
              <w:rPr>
                <w:noProof/>
                <w:webHidden/>
              </w:rPr>
              <w:fldChar w:fldCharType="end"/>
            </w:r>
          </w:hyperlink>
        </w:p>
        <w:p w14:paraId="01A20D31" w14:textId="19B3B447" w:rsidR="002A471C" w:rsidRPr="00635054" w:rsidRDefault="00476190" w:rsidP="00B0592B">
          <w:pPr>
            <w:pStyle w:val="TOC1"/>
            <w:rPr>
              <w:rFonts w:eastAsiaTheme="minorEastAsia"/>
              <w:noProof/>
              <w:sz w:val="22"/>
              <w:lang w:eastAsia="en-AU"/>
            </w:rPr>
          </w:pPr>
          <w:hyperlink w:anchor="_Toc75295626" w:history="1">
            <w:r w:rsidR="002A471C" w:rsidRPr="00635054">
              <w:rPr>
                <w:rStyle w:val="Hyperlink"/>
                <w:noProof/>
              </w:rPr>
              <w:t>Background</w:t>
            </w:r>
            <w:r w:rsidR="002A471C" w:rsidRPr="00635054">
              <w:rPr>
                <w:noProof/>
                <w:webHidden/>
              </w:rPr>
              <w:tab/>
            </w:r>
            <w:r w:rsidR="002A471C" w:rsidRPr="00635054">
              <w:rPr>
                <w:noProof/>
                <w:webHidden/>
              </w:rPr>
              <w:fldChar w:fldCharType="begin"/>
            </w:r>
            <w:r w:rsidR="002A471C" w:rsidRPr="00635054">
              <w:rPr>
                <w:noProof/>
                <w:webHidden/>
              </w:rPr>
              <w:instrText xml:space="preserve"> PAGEREF _Toc75295626 \h </w:instrText>
            </w:r>
            <w:r w:rsidR="002A471C" w:rsidRPr="00635054">
              <w:rPr>
                <w:noProof/>
                <w:webHidden/>
              </w:rPr>
            </w:r>
            <w:r w:rsidR="002A471C" w:rsidRPr="00635054">
              <w:rPr>
                <w:noProof/>
                <w:webHidden/>
              </w:rPr>
              <w:fldChar w:fldCharType="separate"/>
            </w:r>
            <w:r w:rsidR="00A734C5" w:rsidRPr="00635054">
              <w:rPr>
                <w:noProof/>
                <w:webHidden/>
              </w:rPr>
              <w:t>3</w:t>
            </w:r>
            <w:r w:rsidR="002A471C" w:rsidRPr="00635054">
              <w:rPr>
                <w:noProof/>
                <w:webHidden/>
              </w:rPr>
              <w:fldChar w:fldCharType="end"/>
            </w:r>
          </w:hyperlink>
        </w:p>
        <w:p w14:paraId="40E0CDDE" w14:textId="10584DA7" w:rsidR="002A471C" w:rsidRPr="00635054" w:rsidRDefault="00476190" w:rsidP="00B0592B">
          <w:pPr>
            <w:pStyle w:val="TOC1"/>
            <w:rPr>
              <w:rFonts w:eastAsiaTheme="minorEastAsia"/>
              <w:noProof/>
              <w:sz w:val="22"/>
              <w:lang w:eastAsia="en-AU"/>
            </w:rPr>
          </w:pPr>
          <w:hyperlink w:anchor="_Toc75295627" w:history="1">
            <w:r w:rsidR="002A471C" w:rsidRPr="00635054">
              <w:rPr>
                <w:rStyle w:val="Hyperlink"/>
                <w:noProof/>
              </w:rPr>
              <w:t>The problem</w:t>
            </w:r>
            <w:r w:rsidR="002A471C" w:rsidRPr="00635054">
              <w:rPr>
                <w:noProof/>
                <w:webHidden/>
              </w:rPr>
              <w:tab/>
            </w:r>
            <w:r w:rsidR="002A471C" w:rsidRPr="00635054">
              <w:rPr>
                <w:noProof/>
                <w:webHidden/>
              </w:rPr>
              <w:fldChar w:fldCharType="begin"/>
            </w:r>
            <w:r w:rsidR="002A471C" w:rsidRPr="00635054">
              <w:rPr>
                <w:noProof/>
                <w:webHidden/>
              </w:rPr>
              <w:instrText xml:space="preserve"> PAGEREF _Toc75295627 \h </w:instrText>
            </w:r>
            <w:r w:rsidR="002A471C" w:rsidRPr="00635054">
              <w:rPr>
                <w:noProof/>
                <w:webHidden/>
              </w:rPr>
            </w:r>
            <w:r w:rsidR="002A471C" w:rsidRPr="00635054">
              <w:rPr>
                <w:noProof/>
                <w:webHidden/>
              </w:rPr>
              <w:fldChar w:fldCharType="separate"/>
            </w:r>
            <w:r w:rsidR="00A734C5" w:rsidRPr="00635054">
              <w:rPr>
                <w:noProof/>
                <w:webHidden/>
              </w:rPr>
              <w:t>4</w:t>
            </w:r>
            <w:r w:rsidR="002A471C" w:rsidRPr="00635054">
              <w:rPr>
                <w:noProof/>
                <w:webHidden/>
              </w:rPr>
              <w:fldChar w:fldCharType="end"/>
            </w:r>
          </w:hyperlink>
        </w:p>
        <w:p w14:paraId="0B4698EA" w14:textId="0E113BC4" w:rsidR="002A471C" w:rsidRPr="00635054" w:rsidRDefault="00476190" w:rsidP="00B0592B">
          <w:pPr>
            <w:pStyle w:val="TOC1"/>
            <w:rPr>
              <w:rFonts w:eastAsiaTheme="minorEastAsia"/>
              <w:noProof/>
              <w:sz w:val="22"/>
              <w:lang w:eastAsia="en-AU"/>
            </w:rPr>
          </w:pPr>
          <w:hyperlink w:anchor="_Toc75295628" w:history="1">
            <w:r w:rsidR="002A471C" w:rsidRPr="00635054">
              <w:rPr>
                <w:rStyle w:val="Hyperlink"/>
                <w:noProof/>
              </w:rPr>
              <w:t>Why action is needed</w:t>
            </w:r>
            <w:r w:rsidR="002A471C" w:rsidRPr="00635054">
              <w:rPr>
                <w:noProof/>
                <w:webHidden/>
              </w:rPr>
              <w:tab/>
            </w:r>
            <w:r w:rsidR="002A471C" w:rsidRPr="00635054">
              <w:rPr>
                <w:noProof/>
                <w:webHidden/>
              </w:rPr>
              <w:fldChar w:fldCharType="begin"/>
            </w:r>
            <w:r w:rsidR="002A471C" w:rsidRPr="00635054">
              <w:rPr>
                <w:noProof/>
                <w:webHidden/>
              </w:rPr>
              <w:instrText xml:space="preserve"> PAGEREF _Toc75295628 \h </w:instrText>
            </w:r>
            <w:r w:rsidR="002A471C" w:rsidRPr="00635054">
              <w:rPr>
                <w:noProof/>
                <w:webHidden/>
              </w:rPr>
            </w:r>
            <w:r w:rsidR="002A471C" w:rsidRPr="00635054">
              <w:rPr>
                <w:noProof/>
                <w:webHidden/>
              </w:rPr>
              <w:fldChar w:fldCharType="separate"/>
            </w:r>
            <w:r w:rsidR="00A734C5" w:rsidRPr="00635054">
              <w:rPr>
                <w:noProof/>
                <w:webHidden/>
              </w:rPr>
              <w:t>8</w:t>
            </w:r>
            <w:r w:rsidR="002A471C" w:rsidRPr="00635054">
              <w:rPr>
                <w:noProof/>
                <w:webHidden/>
              </w:rPr>
              <w:fldChar w:fldCharType="end"/>
            </w:r>
          </w:hyperlink>
        </w:p>
        <w:p w14:paraId="2E651117" w14:textId="03E96297" w:rsidR="002A471C" w:rsidRPr="00635054" w:rsidRDefault="00476190" w:rsidP="00B0592B">
          <w:pPr>
            <w:pStyle w:val="TOC1"/>
            <w:rPr>
              <w:rFonts w:eastAsiaTheme="minorEastAsia"/>
              <w:noProof/>
              <w:sz w:val="22"/>
              <w:lang w:eastAsia="en-AU"/>
            </w:rPr>
          </w:pPr>
          <w:hyperlink w:anchor="_Toc75295629" w:history="1">
            <w:r w:rsidR="002A471C" w:rsidRPr="00635054">
              <w:rPr>
                <w:rStyle w:val="Hyperlink"/>
                <w:noProof/>
              </w:rPr>
              <w:t>Policy options</w:t>
            </w:r>
            <w:r w:rsidR="002A471C" w:rsidRPr="00635054">
              <w:rPr>
                <w:noProof/>
                <w:webHidden/>
              </w:rPr>
              <w:tab/>
            </w:r>
            <w:r w:rsidR="002A471C" w:rsidRPr="00635054">
              <w:rPr>
                <w:noProof/>
                <w:webHidden/>
              </w:rPr>
              <w:fldChar w:fldCharType="begin"/>
            </w:r>
            <w:r w:rsidR="002A471C" w:rsidRPr="00635054">
              <w:rPr>
                <w:noProof/>
                <w:webHidden/>
              </w:rPr>
              <w:instrText xml:space="preserve"> PAGEREF _Toc75295629 \h </w:instrText>
            </w:r>
            <w:r w:rsidR="002A471C" w:rsidRPr="00635054">
              <w:rPr>
                <w:noProof/>
                <w:webHidden/>
              </w:rPr>
            </w:r>
            <w:r w:rsidR="002A471C" w:rsidRPr="00635054">
              <w:rPr>
                <w:noProof/>
                <w:webHidden/>
              </w:rPr>
              <w:fldChar w:fldCharType="separate"/>
            </w:r>
            <w:r w:rsidR="00A734C5" w:rsidRPr="00635054">
              <w:rPr>
                <w:noProof/>
                <w:webHidden/>
              </w:rPr>
              <w:t>11</w:t>
            </w:r>
            <w:r w:rsidR="002A471C" w:rsidRPr="00635054">
              <w:rPr>
                <w:noProof/>
                <w:webHidden/>
              </w:rPr>
              <w:fldChar w:fldCharType="end"/>
            </w:r>
          </w:hyperlink>
        </w:p>
        <w:p w14:paraId="764D6F27" w14:textId="32F38512" w:rsidR="002A471C" w:rsidRPr="00635054" w:rsidRDefault="00476190" w:rsidP="00B0592B">
          <w:pPr>
            <w:pStyle w:val="TOC1"/>
            <w:rPr>
              <w:rFonts w:eastAsiaTheme="minorEastAsia"/>
              <w:noProof/>
              <w:sz w:val="22"/>
              <w:lang w:eastAsia="en-AU"/>
            </w:rPr>
          </w:pPr>
          <w:hyperlink w:anchor="_Toc75295630" w:history="1">
            <w:r w:rsidR="002A471C" w:rsidRPr="00635054">
              <w:rPr>
                <w:rStyle w:val="Hyperlink"/>
                <w:noProof/>
              </w:rPr>
              <w:t>Cost benefit analysis of each option/Impact analysis</w:t>
            </w:r>
            <w:r w:rsidR="002A471C" w:rsidRPr="00635054">
              <w:rPr>
                <w:noProof/>
                <w:webHidden/>
              </w:rPr>
              <w:tab/>
            </w:r>
            <w:r w:rsidR="002A471C" w:rsidRPr="00635054">
              <w:rPr>
                <w:noProof/>
                <w:webHidden/>
              </w:rPr>
              <w:fldChar w:fldCharType="begin"/>
            </w:r>
            <w:r w:rsidR="002A471C" w:rsidRPr="00635054">
              <w:rPr>
                <w:noProof/>
                <w:webHidden/>
              </w:rPr>
              <w:instrText xml:space="preserve"> PAGEREF _Toc75295630 \h </w:instrText>
            </w:r>
            <w:r w:rsidR="002A471C" w:rsidRPr="00635054">
              <w:rPr>
                <w:noProof/>
                <w:webHidden/>
              </w:rPr>
            </w:r>
            <w:r w:rsidR="002A471C" w:rsidRPr="00635054">
              <w:rPr>
                <w:noProof/>
                <w:webHidden/>
              </w:rPr>
              <w:fldChar w:fldCharType="separate"/>
            </w:r>
            <w:r w:rsidR="00A734C5" w:rsidRPr="00635054">
              <w:rPr>
                <w:noProof/>
                <w:webHidden/>
              </w:rPr>
              <w:t>13</w:t>
            </w:r>
            <w:r w:rsidR="002A471C" w:rsidRPr="00635054">
              <w:rPr>
                <w:noProof/>
                <w:webHidden/>
              </w:rPr>
              <w:fldChar w:fldCharType="end"/>
            </w:r>
          </w:hyperlink>
        </w:p>
        <w:p w14:paraId="13AE162B" w14:textId="40950A73" w:rsidR="002A471C" w:rsidRPr="00635054" w:rsidRDefault="00476190" w:rsidP="00B0592B">
          <w:pPr>
            <w:pStyle w:val="TOC1"/>
            <w:rPr>
              <w:rFonts w:eastAsiaTheme="minorEastAsia"/>
              <w:noProof/>
              <w:sz w:val="22"/>
              <w:lang w:eastAsia="en-AU"/>
            </w:rPr>
          </w:pPr>
          <w:hyperlink w:anchor="_Toc75295631" w:history="1">
            <w:r w:rsidR="002A471C" w:rsidRPr="00635054">
              <w:rPr>
                <w:rStyle w:val="Hyperlink"/>
                <w:noProof/>
              </w:rPr>
              <w:t>Consultation</w:t>
            </w:r>
            <w:r w:rsidR="002A471C" w:rsidRPr="00635054">
              <w:rPr>
                <w:noProof/>
                <w:webHidden/>
              </w:rPr>
              <w:tab/>
            </w:r>
            <w:r w:rsidR="002A471C" w:rsidRPr="00635054">
              <w:rPr>
                <w:noProof/>
                <w:webHidden/>
              </w:rPr>
              <w:fldChar w:fldCharType="begin"/>
            </w:r>
            <w:r w:rsidR="002A471C" w:rsidRPr="00635054">
              <w:rPr>
                <w:noProof/>
                <w:webHidden/>
              </w:rPr>
              <w:instrText xml:space="preserve"> PAGEREF _Toc75295631 \h </w:instrText>
            </w:r>
            <w:r w:rsidR="002A471C" w:rsidRPr="00635054">
              <w:rPr>
                <w:noProof/>
                <w:webHidden/>
              </w:rPr>
            </w:r>
            <w:r w:rsidR="002A471C" w:rsidRPr="00635054">
              <w:rPr>
                <w:noProof/>
                <w:webHidden/>
              </w:rPr>
              <w:fldChar w:fldCharType="separate"/>
            </w:r>
            <w:r w:rsidR="00A734C5" w:rsidRPr="00635054">
              <w:rPr>
                <w:noProof/>
                <w:webHidden/>
              </w:rPr>
              <w:t>21</w:t>
            </w:r>
            <w:r w:rsidR="002A471C" w:rsidRPr="00635054">
              <w:rPr>
                <w:noProof/>
                <w:webHidden/>
              </w:rPr>
              <w:fldChar w:fldCharType="end"/>
            </w:r>
          </w:hyperlink>
        </w:p>
        <w:p w14:paraId="189531C9" w14:textId="1F96FA13" w:rsidR="002A471C" w:rsidRPr="00635054" w:rsidRDefault="00476190" w:rsidP="00B0592B">
          <w:pPr>
            <w:pStyle w:val="TOC1"/>
            <w:rPr>
              <w:rFonts w:eastAsiaTheme="minorEastAsia"/>
              <w:noProof/>
              <w:sz w:val="22"/>
              <w:lang w:eastAsia="en-AU"/>
            </w:rPr>
          </w:pPr>
          <w:hyperlink w:anchor="_Toc75295632" w:history="1">
            <w:r w:rsidR="002A471C" w:rsidRPr="00635054">
              <w:rPr>
                <w:rStyle w:val="Hyperlink"/>
                <w:noProof/>
              </w:rPr>
              <w:t>Option selection/Conclusion</w:t>
            </w:r>
            <w:r w:rsidR="002A471C" w:rsidRPr="00635054">
              <w:rPr>
                <w:noProof/>
                <w:webHidden/>
              </w:rPr>
              <w:tab/>
            </w:r>
            <w:r w:rsidR="002A471C" w:rsidRPr="00635054">
              <w:rPr>
                <w:noProof/>
                <w:webHidden/>
              </w:rPr>
              <w:fldChar w:fldCharType="begin"/>
            </w:r>
            <w:r w:rsidR="002A471C" w:rsidRPr="00635054">
              <w:rPr>
                <w:noProof/>
                <w:webHidden/>
              </w:rPr>
              <w:instrText xml:space="preserve"> PAGEREF _Toc75295632 \h </w:instrText>
            </w:r>
            <w:r w:rsidR="002A471C" w:rsidRPr="00635054">
              <w:rPr>
                <w:noProof/>
                <w:webHidden/>
              </w:rPr>
            </w:r>
            <w:r w:rsidR="002A471C" w:rsidRPr="00635054">
              <w:rPr>
                <w:noProof/>
                <w:webHidden/>
              </w:rPr>
              <w:fldChar w:fldCharType="separate"/>
            </w:r>
            <w:r w:rsidR="00A734C5" w:rsidRPr="00635054">
              <w:rPr>
                <w:noProof/>
                <w:webHidden/>
              </w:rPr>
              <w:t>24</w:t>
            </w:r>
            <w:r w:rsidR="002A471C" w:rsidRPr="00635054">
              <w:rPr>
                <w:noProof/>
                <w:webHidden/>
              </w:rPr>
              <w:fldChar w:fldCharType="end"/>
            </w:r>
          </w:hyperlink>
        </w:p>
        <w:p w14:paraId="504C0AB3" w14:textId="5498C784" w:rsidR="001418CA" w:rsidRPr="00635054" w:rsidRDefault="001418CA">
          <w:r w:rsidRPr="00635054">
            <w:rPr>
              <w:b/>
              <w:bCs/>
              <w:noProof/>
            </w:rPr>
            <w:fldChar w:fldCharType="end"/>
          </w:r>
        </w:p>
      </w:sdtContent>
    </w:sdt>
    <w:p w14:paraId="10435B4F" w14:textId="49913799" w:rsidR="001418CA" w:rsidRPr="00635054" w:rsidRDefault="001418CA">
      <w:pPr>
        <w:jc w:val="both"/>
      </w:pPr>
      <w:r w:rsidRPr="00635054">
        <w:br w:type="page"/>
      </w:r>
    </w:p>
    <w:p w14:paraId="6720619A" w14:textId="77777777" w:rsidR="003B2781" w:rsidRPr="00635054" w:rsidRDefault="003B2781" w:rsidP="00175269">
      <w:pPr>
        <w:pStyle w:val="Heading1"/>
        <w:spacing w:before="0"/>
      </w:pPr>
      <w:bookmarkStart w:id="0" w:name="_Toc75295625"/>
      <w:bookmarkStart w:id="1" w:name="_Toc56693563"/>
      <w:bookmarkStart w:id="2" w:name="_Toc56678083"/>
      <w:bookmarkStart w:id="3" w:name="_Toc493588779"/>
      <w:r w:rsidRPr="00635054">
        <w:lastRenderedPageBreak/>
        <w:t>Introduction</w:t>
      </w:r>
      <w:bookmarkEnd w:id="0"/>
    </w:p>
    <w:p w14:paraId="627D3695" w14:textId="4D2A754E" w:rsidR="008450AF" w:rsidRPr="00635054" w:rsidRDefault="008450AF" w:rsidP="003B2781">
      <w:bookmarkStart w:id="4" w:name="_Hlk73606333"/>
      <w:r w:rsidRPr="00635054">
        <w:t xml:space="preserve">This Regulation Impact Statement (RIS) has been prepared by the Australian Prudential Regulation Authority (APRA). Its purpose is to assist APRA in </w:t>
      </w:r>
      <w:proofErr w:type="gramStart"/>
      <w:r w:rsidRPr="00635054">
        <w:t>making a decision</w:t>
      </w:r>
      <w:proofErr w:type="gramEnd"/>
      <w:r w:rsidRPr="00635054">
        <w:t xml:space="preserve"> on the implementation of proposed new reporting requirements for </w:t>
      </w:r>
      <w:r w:rsidR="00F76D49" w:rsidRPr="00635054">
        <w:t xml:space="preserve">Registerable Superannuation Entity (RSE) licensees </w:t>
      </w:r>
      <w:r w:rsidRPr="00635054">
        <w:t>to report information on</w:t>
      </w:r>
      <w:r w:rsidR="00F76D49" w:rsidRPr="00635054">
        <w:t xml:space="preserve"> RSE structure and profile,</w:t>
      </w:r>
      <w:r w:rsidRPr="00635054">
        <w:t xml:space="preserve"> </w:t>
      </w:r>
      <w:r w:rsidR="00F76D49" w:rsidRPr="00635054">
        <w:t>membership, investments, performance</w:t>
      </w:r>
      <w:r w:rsidR="0025221B" w:rsidRPr="00635054">
        <w:t>, fees and costs</w:t>
      </w:r>
      <w:r w:rsidR="00F76D49" w:rsidRPr="00635054">
        <w:t>, insurance and expenses</w:t>
      </w:r>
      <w:r w:rsidRPr="00635054">
        <w:t xml:space="preserve"> to APRA. </w:t>
      </w:r>
    </w:p>
    <w:bookmarkEnd w:id="4"/>
    <w:p w14:paraId="1619D6DD" w14:textId="3F01FF39" w:rsidR="008450AF" w:rsidRPr="00635054" w:rsidRDefault="008450AF" w:rsidP="003B2781">
      <w:r w:rsidRPr="00635054">
        <w:t>APRA has prepared a standard-form RIS as the Office of Best Practice Regulation (OBPR) considers that the proposals are likely to have more than minor regulatory impacts. The issues addressed in this RIS were considered as part of APRA’s decision making process relating to these measures.</w:t>
      </w:r>
    </w:p>
    <w:p w14:paraId="722D2703" w14:textId="5AFEF84D" w:rsidR="008450AF" w:rsidRPr="00635054" w:rsidRDefault="008450AF" w:rsidP="003B2781">
      <w:bookmarkStart w:id="5" w:name="_Hlk80770923"/>
      <w:r w:rsidRPr="00635054">
        <w:t xml:space="preserve">This RIS follows a Preliminary Assessment (PA) submitted to OBPR on </w:t>
      </w:r>
      <w:r w:rsidR="00174CEF" w:rsidRPr="00635054">
        <w:t>24</w:t>
      </w:r>
      <w:r w:rsidR="00695ED2" w:rsidRPr="00635054">
        <w:t xml:space="preserve"> September</w:t>
      </w:r>
      <w:r w:rsidR="007B54E8" w:rsidRPr="00635054">
        <w:t xml:space="preserve"> 2020</w:t>
      </w:r>
      <w:r w:rsidRPr="00635054">
        <w:t>. The RIS has been prepared in accordance with the Australian Government Guide to Regulation and relevant guidance notes</w:t>
      </w:r>
      <w:bookmarkEnd w:id="5"/>
      <w:r w:rsidRPr="00635054">
        <w:t>.</w:t>
      </w:r>
    </w:p>
    <w:p w14:paraId="0D801AE6" w14:textId="1301D158" w:rsidR="003B2781" w:rsidRPr="00635054" w:rsidRDefault="003B2781" w:rsidP="00EB7C83">
      <w:r w:rsidRPr="00635054">
        <w:t>The issues raised in this RIS were considered by APRA at each major decision point. The need for regulatory action, proposed solution, industry feedback, estimates of regulatory burden and alternative options were considered by APRA throughout the development and consultation process</w:t>
      </w:r>
      <w:r w:rsidR="0031622D" w:rsidRPr="00635054">
        <w:t>.</w:t>
      </w:r>
    </w:p>
    <w:p w14:paraId="440EADD2" w14:textId="550014F7" w:rsidR="001418CA" w:rsidRPr="00635054" w:rsidRDefault="001418CA">
      <w:pPr>
        <w:pStyle w:val="Heading1"/>
      </w:pPr>
      <w:bookmarkStart w:id="6" w:name="_Toc75295626"/>
      <w:r w:rsidRPr="00635054">
        <w:t>Background</w:t>
      </w:r>
      <w:bookmarkEnd w:id="1"/>
      <w:bookmarkEnd w:id="2"/>
      <w:bookmarkEnd w:id="3"/>
      <w:bookmarkEnd w:id="6"/>
    </w:p>
    <w:p w14:paraId="022F37CC" w14:textId="35652614" w:rsidR="001418CA" w:rsidRPr="00635054" w:rsidRDefault="001418CA">
      <w:r w:rsidRPr="00635054">
        <w:t xml:space="preserve">Over the last decade, the superannuation industry has </w:t>
      </w:r>
      <w:proofErr w:type="gramStart"/>
      <w:r w:rsidRPr="00635054">
        <w:t>grown in size</w:t>
      </w:r>
      <w:proofErr w:type="gramEnd"/>
      <w:r w:rsidRPr="00635054">
        <w:t xml:space="preserve"> and importance to the Australian economy, with total assets of superannuation entities increasing from $1.</w:t>
      </w:r>
      <w:r w:rsidR="00C171A7" w:rsidRPr="00635054">
        <w:t>3</w:t>
      </w:r>
      <w:r w:rsidRPr="00635054">
        <w:t xml:space="preserve"> trillion to $3</w:t>
      </w:r>
      <w:r w:rsidR="00C171A7" w:rsidRPr="00635054">
        <w:t>.1</w:t>
      </w:r>
      <w:r w:rsidRPr="00635054">
        <w:t xml:space="preserve"> trillion</w:t>
      </w:r>
      <w:r w:rsidR="00B6767A" w:rsidRPr="00635054">
        <w:rPr>
          <w:rStyle w:val="FootnoteReference"/>
        </w:rPr>
        <w:footnoteReference w:id="2"/>
      </w:r>
      <w:r w:rsidR="00B46178" w:rsidRPr="00635054">
        <w:t>.</w:t>
      </w:r>
      <w:r w:rsidRPr="00635054">
        <w:t xml:space="preserve"> Australia’s superannuation industry plays a critical role in the delivery of retirement incomes for Australians and through its investment of superannuation assets in the economy more broadly.</w:t>
      </w:r>
    </w:p>
    <w:p w14:paraId="3DAA42DA" w14:textId="4990CC8A" w:rsidR="00623D3B" w:rsidRPr="00635054" w:rsidRDefault="00D34E3D">
      <w:r w:rsidRPr="00635054">
        <w:t xml:space="preserve">APRA is tasked with </w:t>
      </w:r>
      <w:r w:rsidR="00FF368A" w:rsidRPr="00635054">
        <w:t xml:space="preserve">the prudential supervision of Registerable Superannuation Entity (RSE) licensees and </w:t>
      </w:r>
      <w:r w:rsidRPr="00635054">
        <w:t>protecting the interests of superannuation fund members</w:t>
      </w:r>
      <w:r w:rsidR="00FF368A" w:rsidRPr="00635054">
        <w:t xml:space="preserve">. </w:t>
      </w:r>
      <w:r w:rsidR="00623D3B" w:rsidRPr="00635054">
        <w:t>APRA has broad data collection powers</w:t>
      </w:r>
      <w:r w:rsidR="00C7268E" w:rsidRPr="00635054">
        <w:rPr>
          <w:rStyle w:val="FootnoteReference"/>
        </w:rPr>
        <w:footnoteReference w:id="3"/>
      </w:r>
      <w:r w:rsidR="00623D3B" w:rsidRPr="00635054">
        <w:t xml:space="preserve"> </w:t>
      </w:r>
      <w:r w:rsidR="00C7268E" w:rsidRPr="00635054">
        <w:t>to collect data</w:t>
      </w:r>
      <w:r w:rsidR="00623D3B" w:rsidRPr="00635054">
        <w:t xml:space="preserve"> from RSE licensees</w:t>
      </w:r>
      <w:r w:rsidR="00C7268E" w:rsidRPr="00635054">
        <w:t xml:space="preserve"> to </w:t>
      </w:r>
      <w:r w:rsidR="00623D3B" w:rsidRPr="00635054">
        <w:t xml:space="preserve">support APRA’s prudential supervision of these entities, to support policy making by Government and for publication to improve </w:t>
      </w:r>
      <w:r w:rsidR="00F9523A" w:rsidRPr="00635054">
        <w:t xml:space="preserve">the </w:t>
      </w:r>
      <w:r w:rsidR="00623D3B" w:rsidRPr="00635054">
        <w:t>transparency o</w:t>
      </w:r>
      <w:r w:rsidR="00F9523A" w:rsidRPr="00635054">
        <w:t>f</w:t>
      </w:r>
      <w:r w:rsidR="00623D3B" w:rsidRPr="00635054">
        <w:t xml:space="preserve"> the industry for a wide range of stakeholders.</w:t>
      </w:r>
      <w:r w:rsidR="0015179B" w:rsidRPr="00635054">
        <w:t xml:space="preserve"> APRA also collaborates closely with other agencies such as the Australian Securities and Investments Commission (ASIC), Australian Taxation Office (ATO) and the Australian Bureau of Statistics (ABS) to collect data on behalf of these agencies or share reported data.</w:t>
      </w:r>
    </w:p>
    <w:p w14:paraId="532ABE5A" w14:textId="5CB608A4" w:rsidR="005740E3" w:rsidRPr="00635054" w:rsidRDefault="00623D3B" w:rsidP="00D15E4C">
      <w:pPr>
        <w:spacing w:before="240"/>
      </w:pPr>
      <w:r w:rsidRPr="00635054">
        <w:t xml:space="preserve">APRA’s current suite of superannuation reporting standards encompasses </w:t>
      </w:r>
      <w:r w:rsidR="00FE36F7" w:rsidRPr="00635054">
        <w:t>3</w:t>
      </w:r>
      <w:r w:rsidR="00C86777" w:rsidRPr="00635054">
        <w:t>5</w:t>
      </w:r>
      <w:r w:rsidRPr="00635054">
        <w:t xml:space="preserve"> reporting forms</w:t>
      </w:r>
      <w:r w:rsidR="00112E31" w:rsidRPr="00635054">
        <w:rPr>
          <w:rStyle w:val="FootnoteReference"/>
        </w:rPr>
        <w:footnoteReference w:id="4"/>
      </w:r>
      <w:r w:rsidRPr="00635054">
        <w:t>.</w:t>
      </w:r>
    </w:p>
    <w:p w14:paraId="687C2CCD" w14:textId="07A0DDC2" w:rsidR="001418CA" w:rsidRPr="00635054" w:rsidRDefault="001418CA">
      <w:pPr>
        <w:spacing w:before="240"/>
      </w:pPr>
      <w:r w:rsidRPr="00635054">
        <w:t xml:space="preserve">It is crucial that </w:t>
      </w:r>
      <w:bookmarkStart w:id="7" w:name="_Hlk71127327"/>
      <w:r w:rsidRPr="00635054">
        <w:t>RSE licensees</w:t>
      </w:r>
      <w:bookmarkEnd w:id="7"/>
      <w:r w:rsidRPr="00635054">
        <w:t xml:space="preserve">, </w:t>
      </w:r>
      <w:r w:rsidR="00FB0E06" w:rsidRPr="00635054">
        <w:t>g</w:t>
      </w:r>
      <w:r w:rsidR="00D73A8F" w:rsidRPr="00635054">
        <w:t>overnment</w:t>
      </w:r>
      <w:r w:rsidR="005838D5" w:rsidRPr="00635054">
        <w:t>,</w:t>
      </w:r>
      <w:r w:rsidR="00D73A8F" w:rsidRPr="00635054">
        <w:t xml:space="preserve"> </w:t>
      </w:r>
      <w:r w:rsidR="005838D5" w:rsidRPr="00635054">
        <w:t xml:space="preserve">regulatory </w:t>
      </w:r>
      <w:r w:rsidR="00D73A8F" w:rsidRPr="00635054">
        <w:t>agencies</w:t>
      </w:r>
      <w:r w:rsidRPr="00635054">
        <w:t xml:space="preserve">, </w:t>
      </w:r>
      <w:r w:rsidR="00183DA3" w:rsidRPr="00635054">
        <w:t xml:space="preserve">superannuation </w:t>
      </w:r>
      <w:r w:rsidRPr="00635054">
        <w:t>members and other interested stakeholders have access to high quality</w:t>
      </w:r>
      <w:r w:rsidR="00282E5C" w:rsidRPr="00635054">
        <w:t xml:space="preserve"> and</w:t>
      </w:r>
      <w:r w:rsidRPr="00635054">
        <w:t xml:space="preserve"> consistent data to assess industry performance and the outcomes delivered for superannuation members.</w:t>
      </w:r>
      <w:r w:rsidRPr="00635054">
        <w:rPr>
          <w:b/>
        </w:rPr>
        <w:t xml:space="preserve"> </w:t>
      </w:r>
      <w:r w:rsidRPr="00635054">
        <w:t>APRA identified the need to address</w:t>
      </w:r>
      <w:r w:rsidR="000A4480" w:rsidRPr="00635054">
        <w:t xml:space="preserve"> </w:t>
      </w:r>
      <w:r w:rsidRPr="00635054">
        <w:t xml:space="preserve">gaps in </w:t>
      </w:r>
      <w:r w:rsidR="00ED2F36" w:rsidRPr="00635054">
        <w:t>the</w:t>
      </w:r>
      <w:r w:rsidRPr="00635054">
        <w:t xml:space="preserve"> coverage and quality of the superannuation </w:t>
      </w:r>
      <w:r w:rsidR="002F3295" w:rsidRPr="00635054">
        <w:t>data collection</w:t>
      </w:r>
      <w:r w:rsidRPr="00635054">
        <w:t xml:space="preserve"> and commenced the Superannuation Data Transformation (SDT) project in 2019</w:t>
      </w:r>
      <w:r w:rsidR="00ED2F36" w:rsidRPr="00635054">
        <w:t>.</w:t>
      </w:r>
      <w:bookmarkStart w:id="8" w:name="_Toc493588780"/>
    </w:p>
    <w:p w14:paraId="3C631DBE" w14:textId="20289F05" w:rsidR="00623D3B" w:rsidRPr="00635054" w:rsidRDefault="00623D3B">
      <w:bookmarkStart w:id="9" w:name="_Toc56408576"/>
      <w:bookmarkStart w:id="10" w:name="_Toc56408667"/>
      <w:bookmarkStart w:id="11" w:name="_Toc56408577"/>
      <w:bookmarkStart w:id="12" w:name="_Toc56408668"/>
      <w:bookmarkStart w:id="13" w:name="_Toc56678084"/>
      <w:bookmarkStart w:id="14" w:name="_Toc56693564"/>
      <w:bookmarkEnd w:id="9"/>
      <w:bookmarkEnd w:id="10"/>
      <w:bookmarkEnd w:id="11"/>
      <w:bookmarkEnd w:id="12"/>
      <w:r w:rsidRPr="00635054">
        <w:lastRenderedPageBreak/>
        <w:t xml:space="preserve">Given the scale and complexity of the </w:t>
      </w:r>
      <w:r w:rsidR="00A91D66" w:rsidRPr="00635054">
        <w:t xml:space="preserve">SDT </w:t>
      </w:r>
      <w:r w:rsidRPr="00635054">
        <w:t>project, APRA has divided the consultation into three phases:</w:t>
      </w:r>
    </w:p>
    <w:p w14:paraId="4178DCE9" w14:textId="04717E4E" w:rsidR="00623D3B" w:rsidRPr="00635054" w:rsidRDefault="00623D3B" w:rsidP="00E11B9C">
      <w:pPr>
        <w:pStyle w:val="ListParagraph"/>
        <w:numPr>
          <w:ilvl w:val="0"/>
          <w:numId w:val="10"/>
        </w:numPr>
        <w:jc w:val="left"/>
      </w:pPr>
      <w:r w:rsidRPr="00635054">
        <w:t xml:space="preserve">Phase 1 (Breadth) will address the most </w:t>
      </w:r>
      <w:r w:rsidR="00AC2270" w:rsidRPr="00635054">
        <w:t>significant</w:t>
      </w:r>
      <w:r w:rsidRPr="00635054">
        <w:t xml:space="preserve"> gaps in APRA’s data collection, particularly for </w:t>
      </w:r>
      <w:r w:rsidR="00437BC9" w:rsidRPr="00635054">
        <w:t>‘</w:t>
      </w:r>
      <w:r w:rsidR="00F217E2" w:rsidRPr="00635054">
        <w:t>C</w:t>
      </w:r>
      <w:r w:rsidRPr="00635054">
        <w:t>hoice</w:t>
      </w:r>
      <w:r w:rsidR="00437BC9" w:rsidRPr="00635054">
        <w:t>’</w:t>
      </w:r>
      <w:r w:rsidR="00437BC9" w:rsidRPr="00635054">
        <w:rPr>
          <w:rStyle w:val="FootnoteReference"/>
        </w:rPr>
        <w:footnoteReference w:id="5"/>
      </w:r>
      <w:r w:rsidRPr="00635054">
        <w:t xml:space="preserve"> products and investment options</w:t>
      </w:r>
      <w:r w:rsidR="005F267F" w:rsidRPr="00635054">
        <w:t>.</w:t>
      </w:r>
    </w:p>
    <w:p w14:paraId="54BFBD25" w14:textId="77777777" w:rsidR="00623D3B" w:rsidRPr="00635054" w:rsidRDefault="00623D3B" w:rsidP="00E11B9C">
      <w:pPr>
        <w:pStyle w:val="ListParagraph"/>
        <w:numPr>
          <w:ilvl w:val="0"/>
          <w:numId w:val="10"/>
        </w:numPr>
        <w:jc w:val="left"/>
      </w:pPr>
      <w:r w:rsidRPr="00635054">
        <w:t xml:space="preserve">Phase 2 (Depth) will identify the broader data needs of stakeholders and propose further changes to the data collection to meet these needs. </w:t>
      </w:r>
    </w:p>
    <w:p w14:paraId="5AC820DD" w14:textId="77777777" w:rsidR="00623D3B" w:rsidRPr="00635054" w:rsidRDefault="00623D3B" w:rsidP="00E11B9C">
      <w:pPr>
        <w:pStyle w:val="ListParagraph"/>
        <w:numPr>
          <w:ilvl w:val="1"/>
          <w:numId w:val="10"/>
        </w:numPr>
        <w:jc w:val="left"/>
      </w:pPr>
      <w:r w:rsidRPr="00635054">
        <w:t>APRA will increase the granularity of the entire collection, taking advantage of APRA’s new Data Collection Solution and enhanced data analytic capabilities; and</w:t>
      </w:r>
    </w:p>
    <w:p w14:paraId="4AA191C1" w14:textId="77777777" w:rsidR="00623D3B" w:rsidRPr="00635054" w:rsidRDefault="00623D3B" w:rsidP="00E11B9C">
      <w:pPr>
        <w:pStyle w:val="ListParagraph"/>
        <w:numPr>
          <w:ilvl w:val="1"/>
          <w:numId w:val="10"/>
        </w:numPr>
        <w:jc w:val="left"/>
      </w:pPr>
      <w:r w:rsidRPr="00635054">
        <w:t>Identify any data currently collected that can be discontinued. </w:t>
      </w:r>
    </w:p>
    <w:p w14:paraId="3361804A" w14:textId="1D891D0E" w:rsidR="00623D3B" w:rsidRPr="00635054" w:rsidRDefault="00623D3B" w:rsidP="00E11B9C">
      <w:pPr>
        <w:pStyle w:val="ListParagraph"/>
        <w:numPr>
          <w:ilvl w:val="0"/>
          <w:numId w:val="10"/>
        </w:numPr>
        <w:jc w:val="left"/>
      </w:pPr>
      <w:r w:rsidRPr="00635054">
        <w:t>Phase 3 (Quality) will assess the quality and consistency of the additional data reported during Phases 1 and 2, and review and address any implementation issues.</w:t>
      </w:r>
    </w:p>
    <w:p w14:paraId="302C52A4" w14:textId="2EAA762E" w:rsidR="00623D3B" w:rsidRPr="00635054" w:rsidRDefault="00623D3B">
      <w:r w:rsidRPr="00635054">
        <w:t>This RIS is for the proposals under Phase 1 of the SDT</w:t>
      </w:r>
      <w:r w:rsidR="00E71A47" w:rsidRPr="00635054">
        <w:t xml:space="preserve"> </w:t>
      </w:r>
      <w:r w:rsidR="000A4480" w:rsidRPr="00635054">
        <w:t>project</w:t>
      </w:r>
      <w:r w:rsidRPr="00635054">
        <w:t>. Phase 2 and Phase 3</w:t>
      </w:r>
      <w:r w:rsidR="00021B78" w:rsidRPr="00635054">
        <w:t xml:space="preserve"> will</w:t>
      </w:r>
      <w:r w:rsidR="0091762D" w:rsidRPr="00635054">
        <w:t xml:space="preserve"> each</w:t>
      </w:r>
      <w:r w:rsidR="00021B78" w:rsidRPr="00635054">
        <w:t xml:space="preserve"> follow the Australian Government requirements.</w:t>
      </w:r>
    </w:p>
    <w:p w14:paraId="7ECFAE4E" w14:textId="77777777" w:rsidR="001418CA" w:rsidRPr="00635054" w:rsidRDefault="001418CA" w:rsidP="009356A1">
      <w:pPr>
        <w:pStyle w:val="Heading1"/>
      </w:pPr>
      <w:bookmarkStart w:id="15" w:name="_Toc75295627"/>
      <w:r w:rsidRPr="00635054">
        <w:t>The problem</w:t>
      </w:r>
      <w:bookmarkEnd w:id="8"/>
      <w:bookmarkEnd w:id="13"/>
      <w:bookmarkEnd w:id="14"/>
      <w:bookmarkEnd w:id="15"/>
    </w:p>
    <w:p w14:paraId="225B4EBF" w14:textId="63C5E9FA" w:rsidR="00760FE1" w:rsidRPr="00635054" w:rsidRDefault="00760FE1" w:rsidP="00271F7C">
      <w:pPr>
        <w:spacing w:before="240"/>
        <w:rPr>
          <w:rFonts w:ascii="Helvetica" w:hAnsi="Helvetica" w:cs="Helvetica"/>
          <w:color w:val="000000"/>
        </w:rPr>
      </w:pPr>
      <w:r w:rsidRPr="00635054">
        <w:rPr>
          <w:rFonts w:ascii="Helvetica" w:hAnsi="Helvetica" w:cs="Helvetica"/>
          <w:color w:val="000000"/>
        </w:rPr>
        <w:t xml:space="preserve">The superannuation system works well for </w:t>
      </w:r>
      <w:proofErr w:type="gramStart"/>
      <w:r w:rsidRPr="00635054">
        <w:rPr>
          <w:rFonts w:ascii="Helvetica" w:hAnsi="Helvetica" w:cs="Helvetica"/>
          <w:color w:val="000000"/>
        </w:rPr>
        <w:t>the majority of</w:t>
      </w:r>
      <w:proofErr w:type="gramEnd"/>
      <w:r w:rsidRPr="00635054">
        <w:rPr>
          <w:rFonts w:ascii="Helvetica" w:hAnsi="Helvetica" w:cs="Helvetica"/>
          <w:color w:val="000000"/>
        </w:rPr>
        <w:t xml:space="preserve"> Australians, however not all Australians are well served by </w:t>
      </w:r>
      <w:r w:rsidR="005B395C" w:rsidRPr="00635054">
        <w:rPr>
          <w:rFonts w:ascii="Helvetica" w:hAnsi="Helvetica" w:cs="Helvetica"/>
          <w:color w:val="000000"/>
        </w:rPr>
        <w:t>it</w:t>
      </w:r>
      <w:r w:rsidRPr="00635054">
        <w:rPr>
          <w:rFonts w:ascii="Helvetica" w:hAnsi="Helvetica" w:cs="Helvetica"/>
          <w:color w:val="000000"/>
        </w:rPr>
        <w:t xml:space="preserve">. </w:t>
      </w:r>
      <w:r w:rsidR="0062772F" w:rsidRPr="00635054">
        <w:rPr>
          <w:rFonts w:ascii="Helvetica" w:hAnsi="Helvetica" w:cs="Helvetica"/>
          <w:color w:val="000000"/>
        </w:rPr>
        <w:t xml:space="preserve">Some RSE licensees have </w:t>
      </w:r>
      <w:r w:rsidR="005B395C" w:rsidRPr="00635054">
        <w:rPr>
          <w:rFonts w:ascii="Helvetica" w:hAnsi="Helvetica" w:cs="Helvetica"/>
          <w:color w:val="000000"/>
        </w:rPr>
        <w:t xml:space="preserve">products and </w:t>
      </w:r>
      <w:r w:rsidR="0062772F" w:rsidRPr="00635054">
        <w:rPr>
          <w:rFonts w:ascii="Helvetica" w:hAnsi="Helvetica" w:cs="Helvetica"/>
          <w:color w:val="000000"/>
        </w:rPr>
        <w:t>investment options with high fees</w:t>
      </w:r>
      <w:r w:rsidR="00F10930" w:rsidRPr="00635054">
        <w:rPr>
          <w:rFonts w:ascii="Helvetica" w:hAnsi="Helvetica" w:cs="Helvetica"/>
          <w:color w:val="000000"/>
        </w:rPr>
        <w:t>,</w:t>
      </w:r>
      <w:r w:rsidR="0062772F" w:rsidRPr="00635054">
        <w:rPr>
          <w:rFonts w:ascii="Helvetica" w:hAnsi="Helvetica" w:cs="Helvetica"/>
          <w:color w:val="000000"/>
        </w:rPr>
        <w:t xml:space="preserve"> poor investment performance, </w:t>
      </w:r>
      <w:r w:rsidR="0004301B" w:rsidRPr="00635054">
        <w:rPr>
          <w:rFonts w:ascii="Helvetica" w:hAnsi="Helvetica" w:cs="Helvetica"/>
          <w:color w:val="000000"/>
        </w:rPr>
        <w:t>inapp</w:t>
      </w:r>
      <w:r w:rsidR="005A4BE8" w:rsidRPr="00635054">
        <w:rPr>
          <w:rFonts w:ascii="Helvetica" w:hAnsi="Helvetica" w:cs="Helvetica"/>
          <w:color w:val="000000"/>
        </w:rPr>
        <w:t xml:space="preserve">ropriate </w:t>
      </w:r>
      <w:proofErr w:type="gramStart"/>
      <w:r w:rsidR="005A4BE8" w:rsidRPr="00635054">
        <w:rPr>
          <w:rFonts w:ascii="Helvetica" w:hAnsi="Helvetica" w:cs="Helvetica"/>
          <w:color w:val="000000"/>
        </w:rPr>
        <w:t>insurance</w:t>
      </w:r>
      <w:proofErr w:type="gramEnd"/>
      <w:r w:rsidR="005A4BE8" w:rsidRPr="00635054">
        <w:rPr>
          <w:rFonts w:ascii="Helvetica" w:hAnsi="Helvetica" w:cs="Helvetica"/>
          <w:color w:val="000000"/>
        </w:rPr>
        <w:t xml:space="preserve"> </w:t>
      </w:r>
      <w:r w:rsidR="0062772F" w:rsidRPr="00635054">
        <w:rPr>
          <w:rFonts w:ascii="Helvetica" w:hAnsi="Helvetica" w:cs="Helvetica"/>
          <w:color w:val="000000"/>
        </w:rPr>
        <w:t xml:space="preserve">or weak governance </w:t>
      </w:r>
      <w:r w:rsidRPr="00635054">
        <w:rPr>
          <w:rFonts w:ascii="Helvetica" w:hAnsi="Helvetica" w:cs="Helvetica"/>
          <w:color w:val="000000"/>
        </w:rPr>
        <w:t xml:space="preserve">of expenditure management </w:t>
      </w:r>
      <w:r w:rsidR="00C477F8" w:rsidRPr="00635054">
        <w:rPr>
          <w:rFonts w:ascii="Helvetica" w:hAnsi="Helvetica" w:cs="Helvetica"/>
          <w:color w:val="000000"/>
        </w:rPr>
        <w:t>and these translate into poor outcomes for their superannuation members.</w:t>
      </w:r>
      <w:r w:rsidR="00271F7C" w:rsidRPr="00635054">
        <w:rPr>
          <w:rFonts w:ascii="Helvetica" w:hAnsi="Helvetica" w:cs="Helvetica"/>
          <w:color w:val="000000"/>
        </w:rPr>
        <w:t xml:space="preserve"> </w:t>
      </w:r>
      <w:r w:rsidRPr="00635054">
        <w:rPr>
          <w:rFonts w:ascii="Helvetica" w:hAnsi="Helvetica" w:cs="Helvetica"/>
          <w:color w:val="000000"/>
        </w:rPr>
        <w:t xml:space="preserve">One of APRA’s key community outcomes in </w:t>
      </w:r>
      <w:r w:rsidR="005B395C" w:rsidRPr="00635054">
        <w:rPr>
          <w:rFonts w:ascii="Helvetica" w:hAnsi="Helvetica" w:cs="Helvetica"/>
          <w:color w:val="000000"/>
        </w:rPr>
        <w:t>its</w:t>
      </w:r>
      <w:r w:rsidRPr="00635054">
        <w:rPr>
          <w:rFonts w:ascii="Helvetica" w:hAnsi="Helvetica" w:cs="Helvetica"/>
          <w:color w:val="000000"/>
        </w:rPr>
        <w:t xml:space="preserve"> Corporate Plan is improving outcomes for superannuation members. </w:t>
      </w:r>
      <w:r w:rsidR="00040A1B" w:rsidRPr="00635054">
        <w:rPr>
          <w:rFonts w:ascii="Helvetica" w:hAnsi="Helvetica" w:cs="Helvetica"/>
          <w:color w:val="000000"/>
        </w:rPr>
        <w:t>APRA does not currently have</w:t>
      </w:r>
      <w:r w:rsidR="00271F7C" w:rsidRPr="00635054">
        <w:rPr>
          <w:rFonts w:ascii="Helvetica" w:hAnsi="Helvetica" w:cs="Helvetica"/>
          <w:color w:val="000000"/>
        </w:rPr>
        <w:t xml:space="preserve"> the data </w:t>
      </w:r>
      <w:r w:rsidR="00040A1B" w:rsidRPr="00635054">
        <w:rPr>
          <w:rFonts w:ascii="Helvetica" w:hAnsi="Helvetica" w:cs="Helvetica"/>
          <w:color w:val="000000"/>
        </w:rPr>
        <w:t xml:space="preserve">needed </w:t>
      </w:r>
      <w:r w:rsidR="00271F7C" w:rsidRPr="00635054">
        <w:rPr>
          <w:rFonts w:ascii="Helvetica" w:hAnsi="Helvetica" w:cs="Helvetica"/>
          <w:color w:val="000000"/>
        </w:rPr>
        <w:t xml:space="preserve">to identify areas </w:t>
      </w:r>
      <w:r w:rsidR="00040A1B" w:rsidRPr="00635054">
        <w:rPr>
          <w:rFonts w:ascii="Helvetica" w:hAnsi="Helvetica" w:cs="Helvetica"/>
          <w:color w:val="000000"/>
        </w:rPr>
        <w:t>across all</w:t>
      </w:r>
      <w:r w:rsidR="00271F7C" w:rsidRPr="00635054">
        <w:rPr>
          <w:rFonts w:ascii="Helvetica" w:hAnsi="Helvetica" w:cs="Helvetica"/>
          <w:color w:val="000000"/>
        </w:rPr>
        <w:t xml:space="preserve"> RSE licensees </w:t>
      </w:r>
      <w:r w:rsidR="00040A1B" w:rsidRPr="00635054">
        <w:rPr>
          <w:rFonts w:ascii="Helvetica" w:hAnsi="Helvetica" w:cs="Helvetica"/>
          <w:color w:val="000000"/>
        </w:rPr>
        <w:t>where</w:t>
      </w:r>
      <w:r w:rsidR="00271F7C" w:rsidRPr="00635054">
        <w:rPr>
          <w:rFonts w:ascii="Helvetica" w:hAnsi="Helvetica" w:cs="Helvetica"/>
          <w:color w:val="000000"/>
        </w:rPr>
        <w:t xml:space="preserve"> improve</w:t>
      </w:r>
      <w:r w:rsidR="00040A1B" w:rsidRPr="00635054">
        <w:rPr>
          <w:rFonts w:ascii="Helvetica" w:hAnsi="Helvetica" w:cs="Helvetica"/>
          <w:color w:val="000000"/>
        </w:rPr>
        <w:t>ment</w:t>
      </w:r>
      <w:r w:rsidR="00271F7C" w:rsidRPr="00635054">
        <w:rPr>
          <w:rFonts w:ascii="Helvetica" w:hAnsi="Helvetica" w:cs="Helvetica"/>
          <w:color w:val="000000"/>
        </w:rPr>
        <w:t xml:space="preserve"> is </w:t>
      </w:r>
      <w:r w:rsidR="00040A1B" w:rsidRPr="00635054">
        <w:rPr>
          <w:rFonts w:ascii="Helvetica" w:hAnsi="Helvetica" w:cs="Helvetica"/>
          <w:color w:val="000000"/>
        </w:rPr>
        <w:t>needed to</w:t>
      </w:r>
      <w:r w:rsidR="00271F7C" w:rsidRPr="00635054">
        <w:rPr>
          <w:rFonts w:ascii="Helvetica" w:hAnsi="Helvetica" w:cs="Helvetica"/>
          <w:color w:val="000000"/>
        </w:rPr>
        <w:t xml:space="preserve"> achiev</w:t>
      </w:r>
      <w:r w:rsidR="00040A1B" w:rsidRPr="00635054">
        <w:rPr>
          <w:rFonts w:ascii="Helvetica" w:hAnsi="Helvetica" w:cs="Helvetica"/>
          <w:color w:val="000000"/>
        </w:rPr>
        <w:t>e</w:t>
      </w:r>
      <w:r w:rsidR="00271F7C" w:rsidRPr="00635054">
        <w:rPr>
          <w:rFonts w:ascii="Helvetica" w:hAnsi="Helvetica" w:cs="Helvetica"/>
          <w:color w:val="000000"/>
        </w:rPr>
        <w:t xml:space="preserve"> this community outcome</w:t>
      </w:r>
      <w:r w:rsidR="00C477F8" w:rsidRPr="00635054">
        <w:rPr>
          <w:rFonts w:ascii="Helvetica" w:hAnsi="Helvetica" w:cs="Helvetica"/>
          <w:color w:val="000000"/>
        </w:rPr>
        <w:t>.</w:t>
      </w:r>
    </w:p>
    <w:p w14:paraId="51F7A6C2" w14:textId="707D6B61" w:rsidR="0011667E" w:rsidRPr="00635054" w:rsidRDefault="0011667E" w:rsidP="00717F30">
      <w:pPr>
        <w:rPr>
          <w:u w:val="single"/>
        </w:rPr>
      </w:pPr>
      <w:r w:rsidRPr="00635054">
        <w:rPr>
          <w:u w:val="single"/>
        </w:rPr>
        <w:t>Drivers of outcomes experienced by Fund members are broad</w:t>
      </w:r>
    </w:p>
    <w:p w14:paraId="08C8CD0E" w14:textId="68D37528" w:rsidR="00717F30" w:rsidRPr="00635054" w:rsidRDefault="00717F30" w:rsidP="00717F30">
      <w:r w:rsidRPr="00635054">
        <w:t xml:space="preserve">Fees and costs, investment performance and insurance </w:t>
      </w:r>
      <w:r w:rsidR="00DB5377" w:rsidRPr="00635054">
        <w:t xml:space="preserve">coverage and </w:t>
      </w:r>
      <w:r w:rsidRPr="00635054">
        <w:t xml:space="preserve">premiums are key elements which impact </w:t>
      </w:r>
      <w:r w:rsidR="00FA7152" w:rsidRPr="00635054">
        <w:t xml:space="preserve">outcomes to </w:t>
      </w:r>
      <w:r w:rsidRPr="00635054">
        <w:t>member</w:t>
      </w:r>
      <w:r w:rsidR="00FA7152" w:rsidRPr="00635054">
        <w:t>s</w:t>
      </w:r>
      <w:r w:rsidRPr="00635054">
        <w:t>. Small differences in these</w:t>
      </w:r>
      <w:r w:rsidR="00C8270C" w:rsidRPr="00635054">
        <w:t xml:space="preserve"> elements</w:t>
      </w:r>
      <w:r w:rsidRPr="00635054">
        <w:t xml:space="preserve"> over individuals’ working li</w:t>
      </w:r>
      <w:r w:rsidR="005B395C" w:rsidRPr="00635054">
        <w:t>ves</w:t>
      </w:r>
      <w:r w:rsidRPr="00635054">
        <w:t xml:space="preserve"> can have significant impacts on the outcomes </w:t>
      </w:r>
      <w:r w:rsidR="005B395C" w:rsidRPr="00635054">
        <w:t>they</w:t>
      </w:r>
      <w:r w:rsidRPr="00635054">
        <w:t xml:space="preserve"> receive in retirement. Data </w:t>
      </w:r>
      <w:r w:rsidR="00FA7152" w:rsidRPr="00635054">
        <w:t xml:space="preserve">currently reported to APRA </w:t>
      </w:r>
      <w:r w:rsidRPr="00635054">
        <w:t xml:space="preserve">on </w:t>
      </w:r>
      <w:proofErr w:type="spellStart"/>
      <w:r w:rsidRPr="00635054">
        <w:t>MySuper</w:t>
      </w:r>
      <w:proofErr w:type="spellEnd"/>
      <w:r w:rsidRPr="00635054">
        <w:t xml:space="preserve"> products has </w:t>
      </w:r>
      <w:r w:rsidR="005B395C" w:rsidRPr="00635054">
        <w:t>provided</w:t>
      </w:r>
      <w:r w:rsidRPr="00635054">
        <w:t xml:space="preserve"> evidence that some products and options are underperforming </w:t>
      </w:r>
      <w:r w:rsidR="00FA7152" w:rsidRPr="00635054">
        <w:t xml:space="preserve">when </w:t>
      </w:r>
      <w:r w:rsidRPr="00635054">
        <w:t xml:space="preserve">compared to relevant </w:t>
      </w:r>
      <w:proofErr w:type="gramStart"/>
      <w:r w:rsidRPr="00635054">
        <w:t>benchmarks, or</w:t>
      </w:r>
      <w:proofErr w:type="gramEnd"/>
      <w:r w:rsidRPr="00635054">
        <w:t xml:space="preserve"> have fees which </w:t>
      </w:r>
      <w:r w:rsidR="00FA7152" w:rsidRPr="00635054">
        <w:t xml:space="preserve">are </w:t>
      </w:r>
      <w:r w:rsidRPr="00635054">
        <w:t>demonstrably higher than similar peer products</w:t>
      </w:r>
      <w:r w:rsidR="00FA7152" w:rsidRPr="00635054">
        <w:t>.</w:t>
      </w:r>
    </w:p>
    <w:p w14:paraId="7DA39CF1" w14:textId="53AF9E3F" w:rsidR="00717F30" w:rsidRDefault="00717F30" w:rsidP="00077132">
      <w:r w:rsidRPr="00635054">
        <w:t>The key elements</w:t>
      </w:r>
      <w:r w:rsidR="005B395C" w:rsidRPr="00635054">
        <w:t xml:space="preserve"> of fees and costs, investment</w:t>
      </w:r>
      <w:r w:rsidR="00B31DDB" w:rsidRPr="00635054">
        <w:t xml:space="preserve"> performance</w:t>
      </w:r>
      <w:r w:rsidR="005B395C" w:rsidRPr="00635054">
        <w:t xml:space="preserve"> and insurance</w:t>
      </w:r>
      <w:r w:rsidRPr="00635054">
        <w:t xml:space="preserve"> </w:t>
      </w:r>
      <w:r w:rsidR="00274850" w:rsidRPr="00635054">
        <w:t xml:space="preserve">coverage and premiums </w:t>
      </w:r>
      <w:r w:rsidRPr="00635054">
        <w:t xml:space="preserve">are </w:t>
      </w:r>
      <w:r w:rsidR="00FA7152" w:rsidRPr="00635054">
        <w:t>themselves</w:t>
      </w:r>
      <w:r w:rsidRPr="00635054">
        <w:t xml:space="preserve"> impacted by the efficiency of fund operations</w:t>
      </w:r>
      <w:r w:rsidR="00FA7152" w:rsidRPr="00635054">
        <w:t xml:space="preserve"> in various areas </w:t>
      </w:r>
      <w:r w:rsidRPr="00635054">
        <w:t>including expenditure management and business planning, the design of insurance arrangements and the structure of fees and costs. APRA</w:t>
      </w:r>
      <w:r w:rsidR="005B395C" w:rsidRPr="00635054">
        <w:t>’s supervision activities</w:t>
      </w:r>
      <w:r w:rsidR="00984BD1" w:rsidRPr="00635054">
        <w:t xml:space="preserve"> have identified that there is room for improvement by</w:t>
      </w:r>
      <w:r w:rsidRPr="00635054">
        <w:t xml:space="preserve"> RSE licensees </w:t>
      </w:r>
      <w:r w:rsidR="00FA7152" w:rsidRPr="00635054">
        <w:t>in these areas and</w:t>
      </w:r>
      <w:r w:rsidRPr="00635054">
        <w:t xml:space="preserve"> </w:t>
      </w:r>
      <w:r w:rsidR="00984BD1" w:rsidRPr="00635054">
        <w:t xml:space="preserve">APRA </w:t>
      </w:r>
      <w:r w:rsidRPr="00635054">
        <w:t xml:space="preserve">has introduced </w:t>
      </w:r>
      <w:r w:rsidRPr="00635054">
        <w:rPr>
          <w:rFonts w:ascii="Helvetica" w:hAnsi="Helvetica"/>
          <w:i/>
          <w:color w:val="000000"/>
        </w:rPr>
        <w:t>Prudential Standard SPS 515 Strategic Planning and Member Outcomes</w:t>
      </w:r>
      <w:r w:rsidRPr="00635054">
        <w:rPr>
          <w:rFonts w:ascii="Helvetica" w:hAnsi="Helvetica"/>
          <w:color w:val="000000"/>
        </w:rPr>
        <w:t xml:space="preserve"> (SPS 515) to enhance industry practice</w:t>
      </w:r>
      <w:r w:rsidR="00984BD1" w:rsidRPr="00635054">
        <w:rPr>
          <w:rFonts w:ascii="Helvetica" w:hAnsi="Helvetica"/>
          <w:color w:val="000000"/>
        </w:rPr>
        <w:t>s</w:t>
      </w:r>
      <w:r w:rsidRPr="00635054">
        <w:t>.</w:t>
      </w:r>
      <w:r w:rsidR="00B31DDB" w:rsidRPr="00635054">
        <w:t xml:space="preserve"> </w:t>
      </w:r>
    </w:p>
    <w:p w14:paraId="1356B36D" w14:textId="77777777" w:rsidR="00385D30" w:rsidRPr="00635054" w:rsidRDefault="00385D30" w:rsidP="00077132"/>
    <w:p w14:paraId="4896781D" w14:textId="08ED4C21" w:rsidR="0011667E" w:rsidRPr="00635054" w:rsidRDefault="0011667E" w:rsidP="00077132">
      <w:pPr>
        <w:rPr>
          <w:u w:val="single"/>
        </w:rPr>
      </w:pPr>
      <w:r w:rsidRPr="00635054">
        <w:rPr>
          <w:u w:val="single"/>
        </w:rPr>
        <w:t xml:space="preserve">Lack of transparency is making it hard to </w:t>
      </w:r>
      <w:r w:rsidR="00D95997" w:rsidRPr="00635054">
        <w:rPr>
          <w:u w:val="single"/>
        </w:rPr>
        <w:t>act on</w:t>
      </w:r>
      <w:r w:rsidRPr="00635054">
        <w:rPr>
          <w:u w:val="single"/>
        </w:rPr>
        <w:t xml:space="preserve"> underperformance</w:t>
      </w:r>
    </w:p>
    <w:p w14:paraId="33942C76" w14:textId="250BF321" w:rsidR="00E71A47" w:rsidRPr="00635054" w:rsidRDefault="00623D3B">
      <w:pPr>
        <w:pStyle w:val="NormalWeb"/>
        <w:rPr>
          <w:rFonts w:ascii="Helvetica" w:hAnsi="Helvetica"/>
          <w:color w:val="000000"/>
        </w:rPr>
      </w:pPr>
      <w:proofErr w:type="gramStart"/>
      <w:r w:rsidRPr="00635054">
        <w:lastRenderedPageBreak/>
        <w:t>A number of</w:t>
      </w:r>
      <w:proofErr w:type="gramEnd"/>
      <w:r w:rsidRPr="00635054">
        <w:t xml:space="preserve"> recent reviews</w:t>
      </w:r>
      <w:r w:rsidR="00BD3CE1" w:rsidRPr="00635054">
        <w:t>, outlined below,</w:t>
      </w:r>
      <w:r w:rsidRPr="00635054">
        <w:t xml:space="preserve"> have </w:t>
      </w:r>
      <w:r w:rsidR="00196F71" w:rsidRPr="00635054">
        <w:t xml:space="preserve">found </w:t>
      </w:r>
      <w:r w:rsidR="00DA1C6B" w:rsidRPr="00635054">
        <w:t>evidence of poor member outcomes and a lack of transparency</w:t>
      </w:r>
      <w:r w:rsidR="00984BD1" w:rsidRPr="00635054">
        <w:t>,</w:t>
      </w:r>
      <w:r w:rsidR="00196F71" w:rsidRPr="00635054">
        <w:t xml:space="preserve"> making it hard</w:t>
      </w:r>
      <w:r w:rsidR="00BD3CE1" w:rsidRPr="00635054">
        <w:t xml:space="preserve"> for all stakeholders, including </w:t>
      </w:r>
      <w:r w:rsidR="00984BD1" w:rsidRPr="00635054">
        <w:t>m</w:t>
      </w:r>
      <w:r w:rsidR="00BD3CE1" w:rsidRPr="00635054">
        <w:t xml:space="preserve">embers, </w:t>
      </w:r>
      <w:r w:rsidR="00196F71" w:rsidRPr="00635054">
        <w:t>to compare fees</w:t>
      </w:r>
      <w:r w:rsidR="00FA7152" w:rsidRPr="00635054">
        <w:t>,</w:t>
      </w:r>
      <w:r w:rsidR="00196F71" w:rsidRPr="00635054">
        <w:t xml:space="preserve"> costs and performance </w:t>
      </w:r>
      <w:r w:rsidR="00FA7152" w:rsidRPr="00635054">
        <w:t xml:space="preserve">across </w:t>
      </w:r>
      <w:r w:rsidR="00984BD1" w:rsidRPr="00635054">
        <w:t>s</w:t>
      </w:r>
      <w:r w:rsidR="00FA7152" w:rsidRPr="00635054">
        <w:t>uperannuation products</w:t>
      </w:r>
      <w:r w:rsidR="00BD3CE1" w:rsidRPr="00635054">
        <w:t xml:space="preserve">. </w:t>
      </w:r>
      <w:r w:rsidR="00FA7152" w:rsidRPr="00635054">
        <w:t xml:space="preserve"> </w:t>
      </w:r>
      <w:r w:rsidR="00BD3CE1" w:rsidRPr="00635054">
        <w:t xml:space="preserve">This lack of transparency limits the degree to which </w:t>
      </w:r>
      <w:r w:rsidR="00196F71" w:rsidRPr="00635054">
        <w:t>RSE licensees</w:t>
      </w:r>
      <w:r w:rsidR="00BD3CE1" w:rsidRPr="00635054">
        <w:t xml:space="preserve"> can be held</w:t>
      </w:r>
      <w:r w:rsidR="00196F71" w:rsidRPr="00635054">
        <w:t xml:space="preserve"> to account for </w:t>
      </w:r>
      <w:r w:rsidR="006A3BB1" w:rsidRPr="00635054">
        <w:t>underperformance</w:t>
      </w:r>
      <w:r w:rsidR="00196F71" w:rsidRPr="00635054">
        <w:t xml:space="preserve">. These </w:t>
      </w:r>
      <w:r w:rsidR="006A3BB1" w:rsidRPr="00635054">
        <w:t>reviews</w:t>
      </w:r>
      <w:r w:rsidR="00DA1C6B" w:rsidRPr="00635054">
        <w:t xml:space="preserve"> </w:t>
      </w:r>
      <w:r w:rsidR="00196F71" w:rsidRPr="00635054">
        <w:t xml:space="preserve">highlighted </w:t>
      </w:r>
      <w:r w:rsidR="00BD3CE1" w:rsidRPr="00635054">
        <w:t xml:space="preserve">gaps in </w:t>
      </w:r>
      <w:r w:rsidRPr="00635054">
        <w:t xml:space="preserve">data </w:t>
      </w:r>
      <w:r w:rsidR="00BD3CE1" w:rsidRPr="00635054">
        <w:t xml:space="preserve">and specifically called out </w:t>
      </w:r>
      <w:r w:rsidRPr="00635054">
        <w:t xml:space="preserve">the need to expand the </w:t>
      </w:r>
      <w:r w:rsidR="00BD3CE1" w:rsidRPr="00635054">
        <w:t xml:space="preserve">existing </w:t>
      </w:r>
      <w:proofErr w:type="spellStart"/>
      <w:r w:rsidR="00BD3CE1" w:rsidRPr="00635054">
        <w:t>MySuper</w:t>
      </w:r>
      <w:proofErr w:type="spellEnd"/>
      <w:r w:rsidR="00984BD1" w:rsidRPr="00635054">
        <w:t>-</w:t>
      </w:r>
      <w:r w:rsidR="00BD3CE1" w:rsidRPr="00635054">
        <w:t xml:space="preserve">focused </w:t>
      </w:r>
      <w:r w:rsidRPr="00635054">
        <w:t>superannuation data collection to include all products and investment options</w:t>
      </w:r>
      <w:r w:rsidR="000C2D94" w:rsidRPr="00635054">
        <w:rPr>
          <w:rFonts w:ascii="Helvetica" w:hAnsi="Helvetica"/>
          <w:color w:val="000000"/>
        </w:rPr>
        <w:t>.</w:t>
      </w:r>
    </w:p>
    <w:p w14:paraId="36958F6F" w14:textId="5913BEE5" w:rsidR="00DA1C6B" w:rsidRPr="00635054" w:rsidRDefault="00DA1C6B" w:rsidP="00DA1C6B">
      <w:r w:rsidRPr="00635054">
        <w:t xml:space="preserve">The 2014 Financial System Inquiry found the superannuation industry was charging high fees and needed to improve its efficiency, </w:t>
      </w:r>
      <w:proofErr w:type="gramStart"/>
      <w:r w:rsidRPr="00635054">
        <w:t>competitiveness</w:t>
      </w:r>
      <w:proofErr w:type="gramEnd"/>
      <w:r w:rsidRPr="00635054">
        <w:t xml:space="preserve"> and governance arrangements</w:t>
      </w:r>
      <w:r w:rsidRPr="00635054">
        <w:rPr>
          <w:rStyle w:val="FootnoteReference"/>
        </w:rPr>
        <w:footnoteReference w:id="6"/>
      </w:r>
      <w:r w:rsidR="009B4865" w:rsidRPr="00635054">
        <w:t>.</w:t>
      </w:r>
    </w:p>
    <w:p w14:paraId="4D176595" w14:textId="480A3DA8" w:rsidR="00DA1C6B" w:rsidRPr="00635054" w:rsidRDefault="00DA1C6B" w:rsidP="00DA1C6B">
      <w:r w:rsidRPr="00635054">
        <w:t xml:space="preserve">In response, the Government tasked the Productivity Commission to undertake a detailed </w:t>
      </w:r>
      <w:r w:rsidR="00984BD1" w:rsidRPr="00635054">
        <w:t>review of</w:t>
      </w:r>
      <w:r w:rsidR="00036CB0" w:rsidRPr="00635054">
        <w:t xml:space="preserve"> the efficiency and competitiveness of the superannuation system</w:t>
      </w:r>
      <w:r w:rsidR="00DE1E8F" w:rsidRPr="00635054">
        <w:t xml:space="preserve"> </w:t>
      </w:r>
      <w:r w:rsidR="00BD3CE1" w:rsidRPr="00635054">
        <w:t xml:space="preserve">and </w:t>
      </w:r>
      <w:r w:rsidR="00984BD1" w:rsidRPr="00635054">
        <w:t xml:space="preserve">a </w:t>
      </w:r>
      <w:r w:rsidRPr="00635054">
        <w:t xml:space="preserve">comprehensive </w:t>
      </w:r>
      <w:r w:rsidR="00984BD1" w:rsidRPr="00635054">
        <w:t xml:space="preserve">report on the outcomes of this </w:t>
      </w:r>
      <w:r w:rsidRPr="00635054">
        <w:t xml:space="preserve">review </w:t>
      </w:r>
      <w:r w:rsidR="00BD3CE1" w:rsidRPr="00635054">
        <w:t xml:space="preserve">was </w:t>
      </w:r>
      <w:r w:rsidRPr="00635054">
        <w:t>released in 2019.</w:t>
      </w:r>
      <w:r w:rsidR="00DE1E8F" w:rsidRPr="00635054">
        <w:t xml:space="preserve"> </w:t>
      </w:r>
      <w:r w:rsidRPr="00635054">
        <w:t>The Productivity Commission found that the superannuation system was working well for some members, but that outcomes for other members were poor</w:t>
      </w:r>
      <w:r w:rsidR="00BD3CE1" w:rsidRPr="00635054">
        <w:t xml:space="preserve"> and</w:t>
      </w:r>
      <w:r w:rsidRPr="00635054">
        <w:t xml:space="preserve"> identified funds that persistently delivered poor returns for members. The Productivity Commission </w:t>
      </w:r>
      <w:r w:rsidR="006F54D7" w:rsidRPr="00635054">
        <w:t xml:space="preserve">highlighted </w:t>
      </w:r>
      <w:r w:rsidR="006F76D3" w:rsidRPr="00635054">
        <w:t>large differences in member outcomes</w:t>
      </w:r>
      <w:r w:rsidRPr="00635054">
        <w:t xml:space="preserve"> </w:t>
      </w:r>
      <w:r w:rsidR="00BD3CE1" w:rsidRPr="00635054">
        <w:t>driven by</w:t>
      </w:r>
      <w:r w:rsidRPr="00635054">
        <w:t xml:space="preserve"> the variation in fees and performance between funds</w:t>
      </w:r>
      <w:bookmarkStart w:id="16" w:name="_Hlk78816406"/>
      <w:r w:rsidRPr="00635054">
        <w:rPr>
          <w:rStyle w:val="FootnoteReference"/>
        </w:rPr>
        <w:footnoteReference w:id="7"/>
      </w:r>
      <w:r w:rsidR="0029152D" w:rsidRPr="00635054">
        <w:t>.</w:t>
      </w:r>
      <w:bookmarkEnd w:id="16"/>
    </w:p>
    <w:p w14:paraId="15A0EE1B" w14:textId="0472AE87" w:rsidR="00DA1C6B" w:rsidRPr="00635054" w:rsidRDefault="006A3BB1" w:rsidP="00DA1C6B">
      <w:r w:rsidRPr="00635054">
        <w:t>T</w:t>
      </w:r>
      <w:r w:rsidR="00DA1C6B" w:rsidRPr="00635054">
        <w:t xml:space="preserve">he Productivity Commission </w:t>
      </w:r>
      <w:r w:rsidRPr="00635054">
        <w:t xml:space="preserve">highlighted that the superannuation system </w:t>
      </w:r>
      <w:r w:rsidR="00DA1C6B" w:rsidRPr="00635054">
        <w:t>“… is opaque, with members finding it difficult to understand how their super fund stacks up against others”</w:t>
      </w:r>
      <w:r w:rsidR="00196F71" w:rsidRPr="00635054">
        <w:rPr>
          <w:rStyle w:val="FootnoteReference"/>
        </w:rPr>
        <w:footnoteReference w:id="8"/>
      </w:r>
      <w:r w:rsidR="00B46178" w:rsidRPr="00635054">
        <w:t>.</w:t>
      </w:r>
      <w:r w:rsidR="00DA1C6B" w:rsidRPr="00635054">
        <w:t xml:space="preserve"> This means </w:t>
      </w:r>
      <w:r w:rsidRPr="00635054">
        <w:t xml:space="preserve">stakeholders </w:t>
      </w:r>
      <w:r w:rsidR="00DA1C6B" w:rsidRPr="00635054">
        <w:t xml:space="preserve">are unable to hold </w:t>
      </w:r>
      <w:r w:rsidRPr="00635054">
        <w:t>RSE licensees</w:t>
      </w:r>
      <w:r w:rsidR="00DA1C6B" w:rsidRPr="00635054">
        <w:t xml:space="preserve"> to account for the </w:t>
      </w:r>
      <w:r w:rsidRPr="00635054">
        <w:t xml:space="preserve">outcomes </w:t>
      </w:r>
      <w:r w:rsidR="00DA1C6B" w:rsidRPr="00635054">
        <w:t xml:space="preserve">they deliver and the </w:t>
      </w:r>
      <w:r w:rsidRPr="00635054">
        <w:t>way they spend members’ money</w:t>
      </w:r>
      <w:r w:rsidR="00DA1C6B" w:rsidRPr="00635054">
        <w:t>.</w:t>
      </w:r>
    </w:p>
    <w:p w14:paraId="41A7459D" w14:textId="17258720" w:rsidR="000C2D94" w:rsidRPr="00635054" w:rsidRDefault="000C2D94">
      <w:pPr>
        <w:pStyle w:val="NormalWeb"/>
        <w:rPr>
          <w:rFonts w:ascii="Helvetica" w:hAnsi="Helvetica"/>
          <w:color w:val="000000"/>
        </w:rPr>
      </w:pPr>
      <w:r w:rsidRPr="00635054">
        <w:rPr>
          <w:rFonts w:ascii="Helvetica" w:hAnsi="Helvetica"/>
          <w:color w:val="000000"/>
        </w:rPr>
        <w:t>The Productivity Commission’s review highlighted the limited data on products and member outcomes and recommended APRA collect and publish member and performance data</w:t>
      </w:r>
      <w:r w:rsidR="00036CB0" w:rsidRPr="00635054">
        <w:rPr>
          <w:rFonts w:ascii="Helvetica" w:hAnsi="Helvetica"/>
          <w:color w:val="000000"/>
        </w:rPr>
        <w:t xml:space="preserve"> for all product cohorts</w:t>
      </w:r>
      <w:r w:rsidRPr="00635054">
        <w:rPr>
          <w:rFonts w:ascii="Helvetica" w:hAnsi="Helvetica"/>
          <w:color w:val="000000"/>
        </w:rPr>
        <w:t xml:space="preserve"> at the investment option and asset class level. The Capability Review of APRA conducted in 2019 also </w:t>
      </w:r>
      <w:r w:rsidR="00791B65" w:rsidRPr="00635054">
        <w:rPr>
          <w:rFonts w:ascii="Helvetica" w:hAnsi="Helvetica"/>
          <w:color w:val="000000"/>
        </w:rPr>
        <w:t xml:space="preserve">recommended </w:t>
      </w:r>
      <w:r w:rsidRPr="00635054">
        <w:rPr>
          <w:rFonts w:ascii="Helvetica" w:hAnsi="Helvetica"/>
          <w:color w:val="000000"/>
        </w:rPr>
        <w:t>that APRA ‘collect product level data that facilitates accurate assessments of outcomes and comparability across funds</w:t>
      </w:r>
      <w:r w:rsidR="00E71A47" w:rsidRPr="00635054">
        <w:rPr>
          <w:rFonts w:ascii="Helvetica" w:hAnsi="Helvetica"/>
          <w:color w:val="000000"/>
        </w:rPr>
        <w:t xml:space="preserve">’ beyond the </w:t>
      </w:r>
      <w:proofErr w:type="spellStart"/>
      <w:r w:rsidR="00E71A47" w:rsidRPr="00635054">
        <w:rPr>
          <w:rFonts w:ascii="Helvetica" w:hAnsi="Helvetica"/>
          <w:color w:val="000000"/>
        </w:rPr>
        <w:t>MySuper</w:t>
      </w:r>
      <w:proofErr w:type="spellEnd"/>
      <w:r w:rsidR="00E71A47" w:rsidRPr="00635054">
        <w:rPr>
          <w:rFonts w:ascii="Helvetica" w:hAnsi="Helvetica"/>
          <w:color w:val="000000"/>
        </w:rPr>
        <w:t xml:space="preserve"> product data collection in place at that time</w:t>
      </w:r>
      <w:r w:rsidR="00760FE1" w:rsidRPr="00635054">
        <w:rPr>
          <w:rStyle w:val="FootnoteReference"/>
          <w:rFonts w:ascii="Helvetica" w:hAnsi="Helvetica"/>
          <w:color w:val="000000"/>
        </w:rPr>
        <w:footnoteReference w:id="9"/>
      </w:r>
      <w:r w:rsidR="00B46178" w:rsidRPr="00635054">
        <w:rPr>
          <w:rFonts w:ascii="Helvetica" w:hAnsi="Helvetica"/>
          <w:color w:val="000000"/>
        </w:rPr>
        <w:t>.</w:t>
      </w:r>
    </w:p>
    <w:p w14:paraId="034D8204" w14:textId="77777777" w:rsidR="00274850" w:rsidRPr="00635054" w:rsidRDefault="00274850" w:rsidP="00274850">
      <w:r w:rsidRPr="00635054">
        <w:t xml:space="preserve">The way that RSE licensees structure insurance terms, </w:t>
      </w:r>
      <w:proofErr w:type="gramStart"/>
      <w:r w:rsidRPr="00635054">
        <w:t>fees</w:t>
      </w:r>
      <w:proofErr w:type="gramEnd"/>
      <w:r w:rsidRPr="00635054">
        <w:t xml:space="preserve"> and costs (particularly for default insurance) can also have significant impacts on the outcomes for different member cohorts, for example based on their account balance or age. Evidence of default insurance arrangements contributing to poor outcomes for some members was identified by the Productivity Commission</w:t>
      </w:r>
      <w:r w:rsidRPr="00635054">
        <w:rPr>
          <w:rStyle w:val="FootnoteReference"/>
          <w:rFonts w:ascii="Arial" w:hAnsi="Arial"/>
          <w:color w:val="000000"/>
        </w:rPr>
        <w:footnoteReference w:id="10"/>
      </w:r>
      <w:r w:rsidRPr="00635054">
        <w:t>. Specific examples of this, such as the erosion of low account balances by insurance premiums, have been addressed through government policy</w:t>
      </w:r>
      <w:r w:rsidRPr="00635054">
        <w:rPr>
          <w:rStyle w:val="FootnoteReference"/>
        </w:rPr>
        <w:footnoteReference w:id="11"/>
      </w:r>
      <w:r w:rsidRPr="00635054">
        <w:t>. A lack of granular and comparable data on insurance prevents APRA and other stakeholders from identifying other member cohorts which may be receiving poor outcomes due to insurance impacts.</w:t>
      </w:r>
    </w:p>
    <w:p w14:paraId="2BD1E4DA" w14:textId="06F297CB" w:rsidR="0000799C" w:rsidRPr="00635054" w:rsidRDefault="007B679B" w:rsidP="0000799C">
      <w:pPr>
        <w:spacing w:before="240"/>
        <w:rPr>
          <w:rFonts w:ascii="Helvetica" w:hAnsi="Helvetica" w:cs="Helvetica"/>
          <w:color w:val="000000"/>
        </w:rPr>
      </w:pPr>
      <w:r w:rsidRPr="00635054">
        <w:t>APRA’s</w:t>
      </w:r>
      <w:r w:rsidR="00DB7B17" w:rsidRPr="00635054">
        <w:rPr>
          <w:rFonts w:ascii="Helvetica" w:hAnsi="Helvetica" w:cs="Helvetica"/>
          <w:color w:val="000000"/>
        </w:rPr>
        <w:t xml:space="preserve"> existing superannuation data collection does not provide the depth and breadth of data needed to adequately assess all aspects of the industry’s operations or to track </w:t>
      </w:r>
      <w:r w:rsidR="00DB7B17" w:rsidRPr="00635054">
        <w:rPr>
          <w:rFonts w:ascii="Helvetica" w:hAnsi="Helvetica" w:cs="Helvetica"/>
          <w:color w:val="000000"/>
        </w:rPr>
        <w:lastRenderedPageBreak/>
        <w:t>progress of RSE licensees in improving outcomes for their members</w:t>
      </w:r>
      <w:r w:rsidR="005A044B" w:rsidRPr="00635054">
        <w:rPr>
          <w:rFonts w:ascii="Helvetica" w:hAnsi="Helvetica" w:cs="Helvetica"/>
          <w:color w:val="000000"/>
        </w:rPr>
        <w:t>. A summary of the key gaps and limitations of the current collection is set out in appendix B</w:t>
      </w:r>
      <w:r w:rsidR="00DB7B17" w:rsidRPr="00635054">
        <w:rPr>
          <w:rFonts w:ascii="Helvetica" w:hAnsi="Helvetica" w:cs="Helvetica"/>
          <w:color w:val="000000"/>
        </w:rPr>
        <w:t xml:space="preserve">. </w:t>
      </w:r>
      <w:r w:rsidR="0000799C" w:rsidRPr="00635054">
        <w:rPr>
          <w:rFonts w:ascii="Helvetica" w:hAnsi="Helvetica" w:cs="Helvetica"/>
          <w:color w:val="000000"/>
        </w:rPr>
        <w:t xml:space="preserve">APRA’s data collection currently collects most data at an aggregated level for the whole fund, which does not </w:t>
      </w:r>
      <w:r w:rsidR="00756A33" w:rsidRPr="00635054">
        <w:rPr>
          <w:rFonts w:ascii="Helvetica" w:hAnsi="Helvetica" w:cs="Helvetica"/>
          <w:color w:val="000000"/>
        </w:rPr>
        <w:t>enable detailed analysis or comparison of</w:t>
      </w:r>
      <w:r w:rsidR="00036CB0" w:rsidRPr="00635054">
        <w:rPr>
          <w:rFonts w:ascii="Helvetica" w:hAnsi="Helvetica" w:cs="Helvetica"/>
          <w:color w:val="000000"/>
        </w:rPr>
        <w:t xml:space="preserve"> the key elements that impact </w:t>
      </w:r>
      <w:r w:rsidR="0000799C" w:rsidRPr="00635054">
        <w:rPr>
          <w:rFonts w:ascii="Helvetica" w:hAnsi="Helvetica" w:cs="Helvetica"/>
          <w:color w:val="000000"/>
        </w:rPr>
        <w:t>member experience</w:t>
      </w:r>
      <w:r w:rsidR="00F66D7E" w:rsidRPr="00635054">
        <w:rPr>
          <w:rStyle w:val="FootnoteReference"/>
        </w:rPr>
        <w:footnoteReference w:id="12"/>
      </w:r>
      <w:r w:rsidR="0000799C" w:rsidRPr="00635054">
        <w:rPr>
          <w:rFonts w:ascii="Helvetica" w:hAnsi="Helvetica" w:cs="Helvetica"/>
          <w:color w:val="000000"/>
        </w:rPr>
        <w:t>.</w:t>
      </w:r>
    </w:p>
    <w:p w14:paraId="1A3F3D20" w14:textId="36F2C671" w:rsidR="00345B23" w:rsidRPr="00635054" w:rsidRDefault="0011667E" w:rsidP="0000799C">
      <w:pPr>
        <w:spacing w:before="240"/>
        <w:rPr>
          <w:rFonts w:ascii="Helvetica" w:hAnsi="Helvetica" w:cs="Helvetica"/>
          <w:color w:val="000000"/>
          <w:u w:val="single"/>
        </w:rPr>
      </w:pPr>
      <w:r w:rsidRPr="00635054">
        <w:rPr>
          <w:rFonts w:ascii="Helvetica" w:hAnsi="Helvetica" w:cs="Helvetica"/>
          <w:color w:val="000000"/>
          <w:u w:val="single"/>
        </w:rPr>
        <w:t xml:space="preserve">Existing data collections </w:t>
      </w:r>
      <w:r w:rsidR="00D95997" w:rsidRPr="00635054">
        <w:rPr>
          <w:rFonts w:ascii="Helvetica" w:hAnsi="Helvetica" w:cs="Helvetica"/>
          <w:color w:val="000000"/>
          <w:u w:val="single"/>
        </w:rPr>
        <w:t>do not</w:t>
      </w:r>
      <w:r w:rsidRPr="00635054">
        <w:rPr>
          <w:rFonts w:ascii="Helvetica" w:hAnsi="Helvetica" w:cs="Helvetica"/>
          <w:color w:val="000000"/>
          <w:u w:val="single"/>
        </w:rPr>
        <w:t xml:space="preserve"> cover all products </w:t>
      </w:r>
    </w:p>
    <w:p w14:paraId="2DFCF611" w14:textId="3F322980" w:rsidR="0011667E" w:rsidRPr="00635054" w:rsidRDefault="00DB7B17" w:rsidP="00077132">
      <w:proofErr w:type="spellStart"/>
      <w:r w:rsidRPr="00635054">
        <w:rPr>
          <w:rFonts w:ascii="Helvetica" w:hAnsi="Helvetica" w:cs="Helvetica"/>
          <w:color w:val="000000"/>
        </w:rPr>
        <w:t>MySuper</w:t>
      </w:r>
      <w:proofErr w:type="spellEnd"/>
      <w:r w:rsidRPr="00635054">
        <w:rPr>
          <w:rFonts w:ascii="Helvetica" w:hAnsi="Helvetica" w:cs="Helvetica"/>
          <w:color w:val="000000"/>
        </w:rPr>
        <w:t xml:space="preserve"> products </w:t>
      </w:r>
      <w:r w:rsidR="00036CB0" w:rsidRPr="00635054">
        <w:t>are</w:t>
      </w:r>
      <w:r w:rsidRPr="00635054">
        <w:t xml:space="preserve"> default product</w:t>
      </w:r>
      <w:r w:rsidR="00036CB0" w:rsidRPr="00635054">
        <w:t>s that</w:t>
      </w:r>
      <w:r w:rsidRPr="00635054">
        <w:t xml:space="preserve"> a member will be placed into when they </w:t>
      </w:r>
      <w:r w:rsidR="007B679B" w:rsidRPr="00635054">
        <w:t>first</w:t>
      </w:r>
      <w:r w:rsidRPr="00635054">
        <w:t xml:space="preserve"> join a </w:t>
      </w:r>
      <w:r w:rsidR="00036CB0" w:rsidRPr="00635054">
        <w:t xml:space="preserve">superannuation </w:t>
      </w:r>
      <w:r w:rsidRPr="00635054">
        <w:t>fund through an employer</w:t>
      </w:r>
      <w:r w:rsidR="00036CB0" w:rsidRPr="00635054">
        <w:t>.</w:t>
      </w:r>
      <w:r w:rsidR="0096453C" w:rsidRPr="00635054">
        <w:t xml:space="preserve"> They are designed to be simple, low cost, and easy to compare. They are not available in pension phase.</w:t>
      </w:r>
      <w:r w:rsidR="00036CB0" w:rsidRPr="00635054">
        <w:t xml:space="preserve"> </w:t>
      </w:r>
      <w:proofErr w:type="spellStart"/>
      <w:r w:rsidR="00036CB0" w:rsidRPr="00635054">
        <w:t>MySuper</w:t>
      </w:r>
      <w:proofErr w:type="spellEnd"/>
      <w:r w:rsidR="00036CB0" w:rsidRPr="00635054">
        <w:t xml:space="preserve"> funds </w:t>
      </w:r>
      <w:r w:rsidRPr="00635054">
        <w:rPr>
          <w:rFonts w:ascii="Helvetica" w:hAnsi="Helvetica" w:cs="Helvetica"/>
          <w:color w:val="000000"/>
        </w:rPr>
        <w:t xml:space="preserve">represent 60 per cent of </w:t>
      </w:r>
      <w:r w:rsidR="00D95997" w:rsidRPr="00635054">
        <w:rPr>
          <w:rFonts w:ascii="Helvetica" w:hAnsi="Helvetica" w:cs="Helvetica"/>
          <w:color w:val="000000"/>
        </w:rPr>
        <w:t xml:space="preserve">superannuation </w:t>
      </w:r>
      <w:r w:rsidRPr="00635054">
        <w:rPr>
          <w:rFonts w:ascii="Helvetica" w:hAnsi="Helvetica" w:cs="Helvetica"/>
          <w:color w:val="000000"/>
        </w:rPr>
        <w:t xml:space="preserve">members </w:t>
      </w:r>
      <w:r w:rsidR="00D95997" w:rsidRPr="00635054">
        <w:rPr>
          <w:rFonts w:ascii="Helvetica" w:hAnsi="Helvetica" w:cs="Helvetica"/>
          <w:color w:val="000000"/>
        </w:rPr>
        <w:t xml:space="preserve">and </w:t>
      </w:r>
      <w:r w:rsidRPr="00635054">
        <w:rPr>
          <w:rFonts w:ascii="Helvetica" w:hAnsi="Helvetica" w:cs="Helvetica"/>
          <w:color w:val="000000"/>
        </w:rPr>
        <w:t>40 percent of assets</w:t>
      </w:r>
      <w:r w:rsidR="00036CB0" w:rsidRPr="00635054">
        <w:rPr>
          <w:rFonts w:ascii="Helvetica" w:hAnsi="Helvetica" w:cs="Helvetica"/>
          <w:color w:val="000000"/>
        </w:rPr>
        <w:t xml:space="preserve"> in the superannuation industry</w:t>
      </w:r>
      <w:r w:rsidRPr="00635054">
        <w:rPr>
          <w:rFonts w:ascii="Helvetica" w:hAnsi="Helvetica" w:cs="Helvetica"/>
          <w:color w:val="000000"/>
        </w:rPr>
        <w:t xml:space="preserve">. </w:t>
      </w:r>
      <w:r w:rsidR="0011667E" w:rsidRPr="00635054">
        <w:rPr>
          <w:rFonts w:ascii="Helvetica" w:hAnsi="Helvetica" w:cs="Helvetica"/>
          <w:color w:val="000000"/>
        </w:rPr>
        <w:t xml:space="preserve">Superannuation </w:t>
      </w:r>
      <w:r w:rsidR="0011667E" w:rsidRPr="00635054">
        <w:t>f</w:t>
      </w:r>
      <w:r w:rsidRPr="00635054">
        <w:t xml:space="preserve">unds may also offer additional products to members who choose to join </w:t>
      </w:r>
      <w:r w:rsidR="00BE6BDB" w:rsidRPr="00635054">
        <w:t xml:space="preserve">a </w:t>
      </w:r>
      <w:r w:rsidRPr="00635054">
        <w:t>fund</w:t>
      </w:r>
      <w:r w:rsidR="00F61383" w:rsidRPr="00635054">
        <w:t xml:space="preserve"> based on</w:t>
      </w:r>
      <w:r w:rsidRPr="00635054">
        <w:t xml:space="preserve"> their own research or through an advisor, or for members who join a fund as a default member and later decide to change their </w:t>
      </w:r>
      <w:r w:rsidR="0011667E" w:rsidRPr="00635054">
        <w:t>selection of investment</w:t>
      </w:r>
      <w:r w:rsidRPr="00635054">
        <w:t xml:space="preserve">. </w:t>
      </w:r>
      <w:r w:rsidR="00D95997" w:rsidRPr="00635054">
        <w:t>The</w:t>
      </w:r>
      <w:r w:rsidR="00BE6BDB" w:rsidRPr="00635054">
        <w:t>se</w:t>
      </w:r>
      <w:r w:rsidR="00D95997" w:rsidRPr="00635054">
        <w:t xml:space="preserve"> products are routinely referred to in</w:t>
      </w:r>
      <w:r w:rsidR="00BE6BDB" w:rsidRPr="00635054">
        <w:t xml:space="preserve"> the</w:t>
      </w:r>
      <w:r w:rsidR="00D95997" w:rsidRPr="00635054">
        <w:t xml:space="preserve"> industry as </w:t>
      </w:r>
      <w:r w:rsidR="00BE6BDB" w:rsidRPr="00635054">
        <w:t>‘</w:t>
      </w:r>
      <w:r w:rsidR="00D95997" w:rsidRPr="00635054">
        <w:t xml:space="preserve">Choice </w:t>
      </w:r>
      <w:proofErr w:type="gramStart"/>
      <w:r w:rsidR="00D478F9" w:rsidRPr="00635054">
        <w:t>products’</w:t>
      </w:r>
      <w:proofErr w:type="gramEnd"/>
      <w:r w:rsidR="00D478F9" w:rsidRPr="00635054">
        <w:t>. They</w:t>
      </w:r>
      <w:r w:rsidR="00D01FD2" w:rsidRPr="00635054">
        <w:t xml:space="preserve"> range in complexity from products which closely resemble </w:t>
      </w:r>
      <w:proofErr w:type="spellStart"/>
      <w:r w:rsidR="00D01FD2" w:rsidRPr="00635054">
        <w:t>MySuper</w:t>
      </w:r>
      <w:proofErr w:type="spellEnd"/>
      <w:r w:rsidR="00D01FD2" w:rsidRPr="00635054">
        <w:t xml:space="preserve"> products, to complex investment platforms </w:t>
      </w:r>
      <w:r w:rsidR="0066082C" w:rsidRPr="00635054">
        <w:t xml:space="preserve">often </w:t>
      </w:r>
      <w:r w:rsidR="00D01FD2" w:rsidRPr="00635054">
        <w:t xml:space="preserve">accessed through a financial advisor. </w:t>
      </w:r>
    </w:p>
    <w:p w14:paraId="1887041E" w14:textId="24B6A3AA" w:rsidR="007762FC" w:rsidRPr="00635054" w:rsidRDefault="007762FC" w:rsidP="007762FC">
      <w:r w:rsidRPr="00635054">
        <w:t>APRA</w:t>
      </w:r>
      <w:r w:rsidR="002714DD" w:rsidRPr="00635054">
        <w:t xml:space="preserve">’s existing </w:t>
      </w:r>
      <w:r w:rsidR="0066082C" w:rsidRPr="00635054">
        <w:t xml:space="preserve">superannuation </w:t>
      </w:r>
      <w:r w:rsidR="002714DD" w:rsidRPr="00635054">
        <w:t xml:space="preserve">data collections </w:t>
      </w:r>
      <w:r w:rsidR="00F7786F" w:rsidRPr="00635054">
        <w:t>focus on</w:t>
      </w:r>
      <w:r w:rsidR="002714DD" w:rsidRPr="00635054">
        <w:t xml:space="preserve"> </w:t>
      </w:r>
      <w:r w:rsidRPr="00635054">
        <w:t xml:space="preserve">data needed to assess member outcomes for </w:t>
      </w:r>
      <w:proofErr w:type="spellStart"/>
      <w:r w:rsidRPr="00635054">
        <w:t>MySuper</w:t>
      </w:r>
      <w:proofErr w:type="spellEnd"/>
      <w:r w:rsidRPr="00635054">
        <w:t xml:space="preserve"> products, although improvements </w:t>
      </w:r>
      <w:r w:rsidR="00E74B46" w:rsidRPr="00635054">
        <w:t>need to</w:t>
      </w:r>
      <w:r w:rsidRPr="00635054">
        <w:t xml:space="preserve"> be made to </w:t>
      </w:r>
      <w:proofErr w:type="spellStart"/>
      <w:r w:rsidR="0066082C" w:rsidRPr="00635054">
        <w:t>to</w:t>
      </w:r>
      <w:proofErr w:type="spellEnd"/>
      <w:r w:rsidR="0066082C" w:rsidRPr="00635054">
        <w:t xml:space="preserve"> the </w:t>
      </w:r>
      <w:proofErr w:type="spellStart"/>
      <w:r w:rsidR="0066082C" w:rsidRPr="00635054">
        <w:t>MySuper</w:t>
      </w:r>
      <w:proofErr w:type="spellEnd"/>
      <w:r w:rsidR="0066082C" w:rsidRPr="00635054">
        <w:t xml:space="preserve"> data to </w:t>
      </w:r>
      <w:r w:rsidRPr="00635054">
        <w:t xml:space="preserve">better understand </w:t>
      </w:r>
      <w:r w:rsidR="002714DD" w:rsidRPr="00635054">
        <w:t xml:space="preserve">drivers of performance using improved </w:t>
      </w:r>
      <w:r w:rsidRPr="00635054">
        <w:t>asset allocation data, and to</w:t>
      </w:r>
      <w:r w:rsidR="002714DD" w:rsidRPr="00635054">
        <w:t xml:space="preserve"> maintain</w:t>
      </w:r>
      <w:r w:rsidRPr="00635054">
        <w:t xml:space="preserve"> align</w:t>
      </w:r>
      <w:r w:rsidR="002714DD" w:rsidRPr="00635054">
        <w:t>ment</w:t>
      </w:r>
      <w:r w:rsidRPr="00635054">
        <w:t xml:space="preserve"> </w:t>
      </w:r>
      <w:r w:rsidR="002714DD" w:rsidRPr="00635054">
        <w:t>with the</w:t>
      </w:r>
      <w:r w:rsidRPr="00635054">
        <w:t xml:space="preserve"> </w:t>
      </w:r>
      <w:r w:rsidR="002714DD" w:rsidRPr="00635054">
        <w:t xml:space="preserve">classifications in the </w:t>
      </w:r>
      <w:r w:rsidRPr="00635054">
        <w:t>fee and cost disclosure regime</w:t>
      </w:r>
      <w:r w:rsidR="00F7786F" w:rsidRPr="00635054">
        <w:t xml:space="preserve"> (RG97)</w:t>
      </w:r>
      <w:r w:rsidRPr="00635054">
        <w:t>.</w:t>
      </w:r>
      <w:r w:rsidR="00051030" w:rsidRPr="00635054">
        <w:rPr>
          <w:rFonts w:ascii="Arial" w:hAnsi="Arial" w:cs="Arial"/>
        </w:rPr>
        <w:t xml:space="preserve"> Use of comparable and consistent data reported to APRA on </w:t>
      </w:r>
      <w:proofErr w:type="spellStart"/>
      <w:r w:rsidR="00051030" w:rsidRPr="00635054">
        <w:rPr>
          <w:rFonts w:ascii="Arial" w:hAnsi="Arial" w:cs="Arial"/>
        </w:rPr>
        <w:t>MySuper</w:t>
      </w:r>
      <w:proofErr w:type="spellEnd"/>
      <w:r w:rsidR="00051030" w:rsidRPr="00635054">
        <w:rPr>
          <w:rFonts w:ascii="Arial" w:hAnsi="Arial" w:cs="Arial"/>
        </w:rPr>
        <w:t xml:space="preserve"> products by both RSE licensees and APRA, and in particular APRA’s publication of </w:t>
      </w:r>
      <w:proofErr w:type="spellStart"/>
      <w:r w:rsidR="00051030" w:rsidRPr="00635054">
        <w:rPr>
          <w:rFonts w:ascii="Arial" w:hAnsi="Arial" w:cs="Arial"/>
        </w:rPr>
        <w:t>MySuper</w:t>
      </w:r>
      <w:proofErr w:type="spellEnd"/>
      <w:r w:rsidR="00051030" w:rsidRPr="00635054">
        <w:rPr>
          <w:rFonts w:ascii="Arial" w:hAnsi="Arial" w:cs="Arial"/>
        </w:rPr>
        <w:t xml:space="preserve"> Heatmaps, has </w:t>
      </w:r>
      <w:proofErr w:type="spellStart"/>
      <w:proofErr w:type="gramStart"/>
      <w:r w:rsidR="00051030" w:rsidRPr="00635054">
        <w:rPr>
          <w:rFonts w:ascii="Arial" w:hAnsi="Arial" w:cs="Arial"/>
        </w:rPr>
        <w:t>lead</w:t>
      </w:r>
      <w:proofErr w:type="spellEnd"/>
      <w:proofErr w:type="gramEnd"/>
      <w:r w:rsidR="00051030" w:rsidRPr="00635054">
        <w:rPr>
          <w:rFonts w:ascii="Arial" w:hAnsi="Arial" w:cs="Arial"/>
        </w:rPr>
        <w:t xml:space="preserve"> to demonstrable improvements in member outcomes. Similar benefits are expected from collection of comparable and consistent data for Choice products.</w:t>
      </w:r>
    </w:p>
    <w:p w14:paraId="774BCE99" w14:textId="56006EAE" w:rsidR="009330E2" w:rsidRPr="00635054" w:rsidRDefault="00E945CA" w:rsidP="00E945CA">
      <w:pPr>
        <w:rPr>
          <w:rFonts w:ascii="Helvetica" w:hAnsi="Helvetica" w:cs="Helvetica"/>
          <w:color w:val="000000"/>
        </w:rPr>
      </w:pPr>
      <w:r w:rsidRPr="00635054">
        <w:rPr>
          <w:rFonts w:ascii="Helvetica" w:hAnsi="Helvetica" w:cs="Helvetica"/>
          <w:color w:val="000000"/>
        </w:rPr>
        <w:t>Currently APRA does not collect data on the performance of Choice products, which represent 34 per cent of members with 45 per cent of assets.</w:t>
      </w:r>
      <w:r w:rsidRPr="00635054">
        <w:rPr>
          <w:rStyle w:val="FootnoteReference"/>
          <w:rFonts w:ascii="Helvetica" w:hAnsi="Helvetica" w:cs="Helvetica"/>
          <w:color w:val="000000"/>
        </w:rPr>
        <w:footnoteReference w:id="13"/>
      </w:r>
      <w:r w:rsidRPr="00635054">
        <w:rPr>
          <w:rFonts w:ascii="Helvetica" w:hAnsi="Helvetica" w:cs="Helvetica"/>
          <w:color w:val="000000"/>
        </w:rPr>
        <w:t xml:space="preserve"> This limits APRA’s ability to assess the quality of the outcomes delivered for </w:t>
      </w:r>
      <w:r w:rsidR="00A8457C" w:rsidRPr="00635054">
        <w:rPr>
          <w:rFonts w:ascii="Helvetica" w:hAnsi="Helvetica" w:cs="Helvetica"/>
          <w:color w:val="000000"/>
        </w:rPr>
        <w:t xml:space="preserve">Choice product </w:t>
      </w:r>
      <w:r w:rsidRPr="00635054">
        <w:rPr>
          <w:rFonts w:ascii="Helvetica" w:hAnsi="Helvetica" w:cs="Helvetica"/>
          <w:color w:val="000000"/>
        </w:rPr>
        <w:t xml:space="preserve">members by RSE licensees, and to determine where supervisory attention or enforcement action is needed. APRA’s </w:t>
      </w:r>
      <w:r w:rsidR="009330E2" w:rsidRPr="00635054">
        <w:rPr>
          <w:rFonts w:ascii="Helvetica" w:hAnsi="Helvetica" w:cs="Helvetica"/>
          <w:color w:val="000000"/>
        </w:rPr>
        <w:t xml:space="preserve">current </w:t>
      </w:r>
      <w:r w:rsidRPr="00635054">
        <w:rPr>
          <w:rFonts w:ascii="Helvetica" w:hAnsi="Helvetica" w:cs="Helvetica"/>
          <w:color w:val="000000"/>
        </w:rPr>
        <w:t xml:space="preserve">published data is </w:t>
      </w:r>
      <w:r w:rsidR="009330E2" w:rsidRPr="00635054">
        <w:rPr>
          <w:rFonts w:ascii="Helvetica" w:hAnsi="Helvetica" w:cs="Helvetica"/>
          <w:color w:val="000000"/>
        </w:rPr>
        <w:t xml:space="preserve">also </w:t>
      </w:r>
      <w:r w:rsidRPr="00635054">
        <w:rPr>
          <w:rFonts w:ascii="Helvetica" w:hAnsi="Helvetica" w:cs="Helvetica"/>
          <w:color w:val="000000"/>
        </w:rPr>
        <w:t>not able to support RSE licensees to easily benchmark their performance and improve outcomes for their members</w:t>
      </w:r>
      <w:r w:rsidR="0066082C" w:rsidRPr="00635054">
        <w:rPr>
          <w:rFonts w:ascii="Helvetica" w:hAnsi="Helvetica" w:cs="Helvetica"/>
          <w:color w:val="000000"/>
        </w:rPr>
        <w:t xml:space="preserve"> across </w:t>
      </w:r>
      <w:proofErr w:type="gramStart"/>
      <w:r w:rsidR="0066082C" w:rsidRPr="00635054">
        <w:rPr>
          <w:rFonts w:ascii="Helvetica" w:hAnsi="Helvetica" w:cs="Helvetica"/>
          <w:color w:val="000000"/>
        </w:rPr>
        <w:t>all of</w:t>
      </w:r>
      <w:proofErr w:type="gramEnd"/>
      <w:r w:rsidR="0066082C" w:rsidRPr="00635054">
        <w:rPr>
          <w:rFonts w:ascii="Helvetica" w:hAnsi="Helvetica" w:cs="Helvetica"/>
          <w:color w:val="000000"/>
        </w:rPr>
        <w:t xml:space="preserve"> their products</w:t>
      </w:r>
      <w:r w:rsidRPr="00635054">
        <w:rPr>
          <w:rFonts w:ascii="Helvetica" w:hAnsi="Helvetica" w:cs="Helvetica"/>
          <w:color w:val="000000"/>
        </w:rPr>
        <w:t xml:space="preserve">. </w:t>
      </w:r>
    </w:p>
    <w:p w14:paraId="7F620338" w14:textId="41B32ED7" w:rsidR="00E945CA" w:rsidRPr="008F1B7C" w:rsidRDefault="00E945CA" w:rsidP="00E945CA">
      <w:pPr>
        <w:rPr>
          <w:rFonts w:ascii="Helvetica" w:hAnsi="Helvetica" w:cs="Helvetica"/>
          <w:color w:val="000000"/>
        </w:rPr>
      </w:pPr>
      <w:r w:rsidRPr="00635054">
        <w:rPr>
          <w:rFonts w:ascii="Helvetica" w:hAnsi="Helvetica" w:cs="Helvetica"/>
          <w:color w:val="000000"/>
        </w:rPr>
        <w:t xml:space="preserve">Due to the increased complexity and </w:t>
      </w:r>
      <w:r w:rsidR="00E74B46" w:rsidRPr="00635054">
        <w:rPr>
          <w:rFonts w:ascii="Helvetica" w:hAnsi="Helvetica" w:cs="Helvetica"/>
          <w:color w:val="000000"/>
        </w:rPr>
        <w:t xml:space="preserve">the </w:t>
      </w:r>
      <w:r w:rsidRPr="00635054">
        <w:rPr>
          <w:rFonts w:ascii="Helvetica" w:hAnsi="Helvetica" w:cs="Helvetica"/>
          <w:color w:val="000000"/>
        </w:rPr>
        <w:t xml:space="preserve">absence of standardised measures which </w:t>
      </w:r>
      <w:r w:rsidR="00BB0775" w:rsidRPr="00635054">
        <w:rPr>
          <w:rFonts w:ascii="Helvetica" w:hAnsi="Helvetica" w:cs="Helvetica"/>
          <w:color w:val="000000"/>
        </w:rPr>
        <w:t>are prescribed for</w:t>
      </w:r>
      <w:r w:rsidRPr="00635054">
        <w:rPr>
          <w:rFonts w:ascii="Helvetica" w:hAnsi="Helvetica" w:cs="Helvetica"/>
          <w:color w:val="000000"/>
        </w:rPr>
        <w:t xml:space="preserve"> </w:t>
      </w:r>
      <w:proofErr w:type="spellStart"/>
      <w:r w:rsidRPr="00635054">
        <w:rPr>
          <w:rFonts w:ascii="Helvetica" w:hAnsi="Helvetica" w:cs="Helvetica"/>
          <w:color w:val="000000"/>
        </w:rPr>
        <w:t>MySuper</w:t>
      </w:r>
      <w:proofErr w:type="spellEnd"/>
      <w:r w:rsidRPr="00635054">
        <w:rPr>
          <w:rFonts w:ascii="Helvetica" w:hAnsi="Helvetica" w:cs="Helvetica"/>
          <w:color w:val="000000"/>
        </w:rPr>
        <w:t xml:space="preserve"> products, it is not simple or efficient to simply expand the current </w:t>
      </w:r>
      <w:r w:rsidR="009330E2" w:rsidRPr="00635054">
        <w:rPr>
          <w:rFonts w:ascii="Helvetica" w:hAnsi="Helvetica" w:cs="Helvetica"/>
          <w:color w:val="000000"/>
        </w:rPr>
        <w:t xml:space="preserve">data </w:t>
      </w:r>
      <w:r w:rsidRPr="00635054">
        <w:rPr>
          <w:rFonts w:ascii="Helvetica" w:hAnsi="Helvetica" w:cs="Helvetica"/>
          <w:color w:val="000000"/>
        </w:rPr>
        <w:t xml:space="preserve">collection </w:t>
      </w:r>
      <w:proofErr w:type="gramStart"/>
      <w:r w:rsidRPr="00635054">
        <w:rPr>
          <w:rFonts w:ascii="Helvetica" w:hAnsi="Helvetica" w:cs="Helvetica"/>
          <w:color w:val="000000"/>
        </w:rPr>
        <w:t>to Choice</w:t>
      </w:r>
      <w:proofErr w:type="gramEnd"/>
      <w:r w:rsidRPr="00635054">
        <w:rPr>
          <w:rFonts w:ascii="Helvetica" w:hAnsi="Helvetica" w:cs="Helvetica"/>
          <w:color w:val="000000"/>
        </w:rPr>
        <w:t xml:space="preserve"> products.</w:t>
      </w:r>
      <w:r w:rsidR="009330E2" w:rsidRPr="00635054">
        <w:rPr>
          <w:rFonts w:ascii="Helvetica" w:hAnsi="Helvetica" w:cs="Helvetica"/>
          <w:color w:val="000000"/>
        </w:rPr>
        <w:t xml:space="preserve"> This is primarily due to the inherent lack of standardised </w:t>
      </w:r>
      <w:r w:rsidR="00E74B46" w:rsidRPr="00635054">
        <w:rPr>
          <w:rFonts w:ascii="Helvetica" w:hAnsi="Helvetica" w:cs="Helvetica"/>
          <w:color w:val="000000"/>
        </w:rPr>
        <w:t xml:space="preserve">measures </w:t>
      </w:r>
      <w:r w:rsidR="009330E2" w:rsidRPr="00635054">
        <w:rPr>
          <w:rFonts w:ascii="Helvetica" w:hAnsi="Helvetica" w:cs="Helvetica"/>
          <w:color w:val="000000"/>
        </w:rPr>
        <w:t>in the Choice product sector</w:t>
      </w:r>
      <w:r w:rsidR="00E74B46" w:rsidRPr="00635054">
        <w:rPr>
          <w:rFonts w:ascii="Helvetica" w:hAnsi="Helvetica" w:cs="Helvetica"/>
          <w:color w:val="000000"/>
        </w:rPr>
        <w:t xml:space="preserve"> which is notable across all elements of performance</w:t>
      </w:r>
      <w:r w:rsidR="009330E2" w:rsidRPr="00635054">
        <w:rPr>
          <w:rFonts w:ascii="Helvetica" w:hAnsi="Helvetica" w:cs="Helvetica"/>
          <w:color w:val="000000"/>
        </w:rPr>
        <w:t>.</w:t>
      </w:r>
    </w:p>
    <w:p w14:paraId="5E710751" w14:textId="73BEC3DB" w:rsidR="007762FC" w:rsidRPr="008F1B7C" w:rsidRDefault="007762FC" w:rsidP="00077132">
      <w:r w:rsidRPr="00635054">
        <w:t xml:space="preserve">The </w:t>
      </w:r>
      <w:proofErr w:type="spellStart"/>
      <w:r w:rsidRPr="00635054">
        <w:t>MySuper</w:t>
      </w:r>
      <w:proofErr w:type="spellEnd"/>
      <w:r w:rsidRPr="00635054">
        <w:t xml:space="preserve"> product dashboard prescribes a standardi</w:t>
      </w:r>
      <w:r w:rsidRPr="008F1B7C">
        <w:t xml:space="preserve">sed </w:t>
      </w:r>
      <w:r w:rsidR="00940702" w:rsidRPr="008F1B7C">
        <w:t xml:space="preserve">return measure, </w:t>
      </w:r>
      <w:r w:rsidRPr="008F1B7C">
        <w:t>return objective, risk measure, and representative member</w:t>
      </w:r>
      <w:r w:rsidR="00940702" w:rsidRPr="008F1B7C">
        <w:t xml:space="preserve"> to be calculated and published in a consistent way for </w:t>
      </w:r>
      <w:proofErr w:type="spellStart"/>
      <w:r w:rsidR="00940702" w:rsidRPr="008F1B7C">
        <w:t>MySuper</w:t>
      </w:r>
      <w:proofErr w:type="spellEnd"/>
      <w:r w:rsidR="00940702" w:rsidRPr="008F1B7C">
        <w:t xml:space="preserve"> products</w:t>
      </w:r>
      <w:r w:rsidR="00940702" w:rsidRPr="00635054">
        <w:rPr>
          <w:rStyle w:val="FootnoteReference"/>
        </w:rPr>
        <w:footnoteReference w:id="14"/>
      </w:r>
      <w:r w:rsidRPr="00635054">
        <w:t>.</w:t>
      </w:r>
      <w:r w:rsidR="00940702" w:rsidRPr="008F1B7C">
        <w:t xml:space="preserve"> </w:t>
      </w:r>
      <w:r w:rsidR="00D478F9" w:rsidRPr="008F1B7C">
        <w:t>However,</w:t>
      </w:r>
      <w:r w:rsidR="009330E2" w:rsidRPr="008F1B7C">
        <w:t xml:space="preserve"> for Choice products t</w:t>
      </w:r>
      <w:r w:rsidRPr="008F1B7C">
        <w:t xml:space="preserve">here is no standardised return </w:t>
      </w:r>
      <w:r w:rsidR="00940702" w:rsidRPr="008F1B7C">
        <w:t xml:space="preserve">measure, return </w:t>
      </w:r>
      <w:r w:rsidRPr="008F1B7C">
        <w:t xml:space="preserve">objective, risk measure and representative member </w:t>
      </w:r>
      <w:r w:rsidR="00940702" w:rsidRPr="008F1B7C">
        <w:t>prescribed</w:t>
      </w:r>
      <w:r w:rsidRPr="008F1B7C">
        <w:t xml:space="preserve">. </w:t>
      </w:r>
      <w:r w:rsidR="00940702" w:rsidRPr="008F1B7C">
        <w:t xml:space="preserve">For </w:t>
      </w:r>
      <w:proofErr w:type="spellStart"/>
      <w:r w:rsidR="00940702" w:rsidRPr="008F1B7C">
        <w:t>MySuper</w:t>
      </w:r>
      <w:proofErr w:type="spellEnd"/>
      <w:r w:rsidR="00940702" w:rsidRPr="008F1B7C">
        <w:t xml:space="preserve"> products the type </w:t>
      </w:r>
      <w:r w:rsidR="0066082C" w:rsidRPr="008F1B7C">
        <w:t xml:space="preserve">of fees and costs, </w:t>
      </w:r>
      <w:r w:rsidR="00940702" w:rsidRPr="008F1B7C">
        <w:t xml:space="preserve">and </w:t>
      </w:r>
      <w:r w:rsidR="0066082C" w:rsidRPr="008F1B7C">
        <w:t xml:space="preserve">the </w:t>
      </w:r>
      <w:r w:rsidR="00940702" w:rsidRPr="008F1B7C">
        <w:t>way fees and costs are charged</w:t>
      </w:r>
      <w:r w:rsidR="0066082C" w:rsidRPr="008F1B7C">
        <w:t>,</w:t>
      </w:r>
      <w:r w:rsidR="00940702" w:rsidRPr="008F1B7C">
        <w:t xml:space="preserve"> are </w:t>
      </w:r>
      <w:proofErr w:type="gramStart"/>
      <w:r w:rsidR="00940702" w:rsidRPr="008F1B7C">
        <w:t>limited</w:t>
      </w:r>
      <w:proofErr w:type="gramEnd"/>
      <w:r w:rsidR="00940702" w:rsidRPr="008F1B7C">
        <w:t xml:space="preserve"> and prescribed</w:t>
      </w:r>
      <w:r w:rsidR="00E945CA" w:rsidRPr="00635054">
        <w:rPr>
          <w:rStyle w:val="FootnoteReference"/>
        </w:rPr>
        <w:footnoteReference w:id="15"/>
      </w:r>
      <w:r w:rsidR="00940702" w:rsidRPr="00635054">
        <w:t xml:space="preserve">. </w:t>
      </w:r>
      <w:r w:rsidR="00E945CA" w:rsidRPr="008F1B7C">
        <w:t xml:space="preserve">Unlike </w:t>
      </w:r>
      <w:proofErr w:type="spellStart"/>
      <w:r w:rsidR="00E945CA" w:rsidRPr="008F1B7C">
        <w:t>MySuper</w:t>
      </w:r>
      <w:proofErr w:type="spellEnd"/>
      <w:r w:rsidR="00E945CA" w:rsidRPr="008F1B7C">
        <w:t xml:space="preserve"> products where </w:t>
      </w:r>
      <w:r w:rsidR="0066082C" w:rsidRPr="008F1B7C">
        <w:t xml:space="preserve">(generally) </w:t>
      </w:r>
      <w:r w:rsidR="00E945CA" w:rsidRPr="008F1B7C">
        <w:t xml:space="preserve">all </w:t>
      </w:r>
      <w:r w:rsidR="00E945CA" w:rsidRPr="008F1B7C">
        <w:lastRenderedPageBreak/>
        <w:t>members must be charged the same fees and costs</w:t>
      </w:r>
      <w:r w:rsidR="0066082C" w:rsidRPr="008F1B7C">
        <w:t>,</w:t>
      </w:r>
      <w:r w:rsidR="00E945CA" w:rsidRPr="008F1B7C">
        <w:t xml:space="preserve"> </w:t>
      </w:r>
      <w:r w:rsidR="00E74B46" w:rsidRPr="008F1B7C">
        <w:t xml:space="preserve">for Choice products </w:t>
      </w:r>
      <w:r w:rsidR="00E945CA" w:rsidRPr="008F1B7C">
        <w:t>there may be many d</w:t>
      </w:r>
      <w:r w:rsidR="00DB7B17" w:rsidRPr="008F1B7C">
        <w:t>ifferent fee structures and investment options for members in different products. These structures can be complex and difficult to compare.</w:t>
      </w:r>
    </w:p>
    <w:p w14:paraId="34D5B27D" w14:textId="295D2362" w:rsidR="00345B23" w:rsidRPr="008F1B7C" w:rsidRDefault="00345B23" w:rsidP="00345B23">
      <w:pPr>
        <w:pStyle w:val="NormalWeb"/>
        <w:rPr>
          <w:rFonts w:ascii="Helvetica" w:hAnsi="Helvetica"/>
          <w:color w:val="000000"/>
          <w:u w:val="single"/>
        </w:rPr>
      </w:pPr>
      <w:r w:rsidRPr="008F1B7C">
        <w:rPr>
          <w:rFonts w:ascii="Helvetica" w:hAnsi="Helvetica"/>
          <w:color w:val="000000"/>
          <w:u w:val="single"/>
        </w:rPr>
        <w:t xml:space="preserve">Quality and granularity of </w:t>
      </w:r>
      <w:r w:rsidR="00D95997" w:rsidRPr="008F1B7C">
        <w:rPr>
          <w:rFonts w:ascii="Helvetica" w:hAnsi="Helvetica"/>
          <w:color w:val="000000"/>
          <w:u w:val="single"/>
        </w:rPr>
        <w:t xml:space="preserve">existing </w:t>
      </w:r>
      <w:r w:rsidRPr="008F1B7C">
        <w:rPr>
          <w:rFonts w:ascii="Helvetica" w:hAnsi="Helvetica"/>
          <w:color w:val="000000"/>
          <w:u w:val="single"/>
        </w:rPr>
        <w:t>data collection</w:t>
      </w:r>
      <w:r w:rsidR="00D95997" w:rsidRPr="008F1B7C">
        <w:rPr>
          <w:rFonts w:ascii="Helvetica" w:hAnsi="Helvetica"/>
          <w:color w:val="000000"/>
          <w:u w:val="single"/>
        </w:rPr>
        <w:t>s needs attention</w:t>
      </w:r>
    </w:p>
    <w:p w14:paraId="3703BEBC" w14:textId="0D562C0E" w:rsidR="000044AA" w:rsidRPr="008F1B7C" w:rsidRDefault="00345B23" w:rsidP="00345B23">
      <w:r w:rsidRPr="008F1B7C">
        <w:rPr>
          <w:rFonts w:ascii="Helvetica" w:hAnsi="Helvetica"/>
          <w:color w:val="000000"/>
        </w:rPr>
        <w:t xml:space="preserve">The </w:t>
      </w:r>
      <w:r w:rsidR="006E621B" w:rsidRPr="008F1B7C">
        <w:rPr>
          <w:rFonts w:ascii="Helvetica" w:hAnsi="Helvetica"/>
          <w:color w:val="000000"/>
        </w:rPr>
        <w:t>current</w:t>
      </w:r>
      <w:r w:rsidRPr="008F1B7C">
        <w:rPr>
          <w:rFonts w:ascii="Helvetica" w:hAnsi="Helvetica"/>
          <w:color w:val="000000"/>
        </w:rPr>
        <w:t xml:space="preserve"> reporting standards and requirements resulting from Stronger Super</w:t>
      </w:r>
      <w:r w:rsidR="003B2C8F" w:rsidRPr="008F1B7C">
        <w:rPr>
          <w:rFonts w:ascii="Helvetica" w:hAnsi="Helvetica"/>
          <w:color w:val="000000"/>
        </w:rPr>
        <w:t xml:space="preserve"> reforms</w:t>
      </w:r>
      <w:r w:rsidR="003B2C8F" w:rsidRPr="00635054">
        <w:rPr>
          <w:rStyle w:val="FootnoteReference"/>
          <w:rFonts w:ascii="Helvetica" w:hAnsi="Helvetica"/>
          <w:color w:val="000000"/>
        </w:rPr>
        <w:footnoteReference w:id="16"/>
      </w:r>
      <w:r w:rsidRPr="00635054">
        <w:rPr>
          <w:rFonts w:ascii="Helvetica" w:hAnsi="Helvetica"/>
          <w:color w:val="000000"/>
        </w:rPr>
        <w:t xml:space="preserve"> in 2013 were a significant upgrade to both the breadth and depth of data collected on the superannuation industry, resulting in a ten-fold increase in the amount of data collected at t</w:t>
      </w:r>
      <w:r w:rsidRPr="008F1B7C">
        <w:rPr>
          <w:rFonts w:ascii="Helvetica" w:hAnsi="Helvetica"/>
          <w:color w:val="000000"/>
        </w:rPr>
        <w:t>he time</w:t>
      </w:r>
      <w:r w:rsidR="000C32B3" w:rsidRPr="00635054">
        <w:rPr>
          <w:rStyle w:val="FootnoteReference"/>
          <w:rFonts w:ascii="Helvetica" w:hAnsi="Helvetica"/>
          <w:color w:val="000000"/>
        </w:rPr>
        <w:footnoteReference w:id="17"/>
      </w:r>
      <w:r w:rsidR="001A5307" w:rsidRPr="00635054">
        <w:rPr>
          <w:rFonts w:ascii="Helvetica" w:hAnsi="Helvetica"/>
          <w:color w:val="000000"/>
        </w:rPr>
        <w:t>.</w:t>
      </w:r>
      <w:r w:rsidRPr="008F1B7C">
        <w:rPr>
          <w:rFonts w:ascii="Helvetica" w:hAnsi="Helvetica"/>
          <w:color w:val="000000"/>
        </w:rPr>
        <w:t xml:space="preserve"> To reduce burden and promote efficiency, APRA aligned these reporting obligations to accounting standard requirements. In the </w:t>
      </w:r>
      <w:r w:rsidRPr="008F1B7C">
        <w:rPr>
          <w:rStyle w:val="Emphasis"/>
          <w:rFonts w:ascii="Helvetica" w:hAnsi="Helvetica"/>
          <w:color w:val="000000"/>
        </w:rPr>
        <w:t>Review of APRA’s 2013 superannuation prudential framework</w:t>
      </w:r>
      <w:r w:rsidRPr="008F1B7C">
        <w:rPr>
          <w:rFonts w:ascii="Helvetica" w:hAnsi="Helvetica"/>
          <w:color w:val="000000"/>
        </w:rPr>
        <w:t xml:space="preserve">, published in April 2019, APRA received feedback </w:t>
      </w:r>
      <w:proofErr w:type="gramStart"/>
      <w:r w:rsidRPr="008F1B7C">
        <w:rPr>
          <w:rFonts w:ascii="Helvetica" w:hAnsi="Helvetica"/>
          <w:color w:val="000000"/>
        </w:rPr>
        <w:t xml:space="preserve">noting </w:t>
      </w:r>
      <w:r w:rsidRPr="008F1B7C" w:rsidDel="00B051E9">
        <w:rPr>
          <w:rFonts w:ascii="Helvetica" w:hAnsi="Helvetica"/>
          <w:color w:val="000000"/>
        </w:rPr>
        <w:t xml:space="preserve"> </w:t>
      </w:r>
      <w:r w:rsidRPr="008F1B7C">
        <w:rPr>
          <w:rFonts w:ascii="Helvetica" w:hAnsi="Helvetica"/>
          <w:color w:val="000000"/>
        </w:rPr>
        <w:t>opportunities</w:t>
      </w:r>
      <w:proofErr w:type="gramEnd"/>
      <w:r w:rsidRPr="008F1B7C">
        <w:rPr>
          <w:rFonts w:ascii="Helvetica" w:hAnsi="Helvetica"/>
          <w:color w:val="000000"/>
        </w:rPr>
        <w:t xml:space="preserve"> to enhance the comparability and efficiency of the data collection. These limitations have resulted at times in reporting which is not meaningfully categorised and inconsistent across different funds.</w:t>
      </w:r>
      <w:r w:rsidR="00B051E9" w:rsidRPr="008F1B7C">
        <w:t xml:space="preserve"> </w:t>
      </w:r>
    </w:p>
    <w:p w14:paraId="02F7E2B3" w14:textId="484F9E29" w:rsidR="00792BC1" w:rsidRPr="008F1B7C" w:rsidRDefault="00BB0775" w:rsidP="00345B23">
      <w:r w:rsidRPr="00635054">
        <w:t>Without addressing the limitations in the cur</w:t>
      </w:r>
      <w:r w:rsidRPr="008F1B7C">
        <w:t>rent collections, APRA and other stakeholders are unable to use the data to support analysis of outcomes to members and the drivers of these outcomes. Th</w:t>
      </w:r>
      <w:r w:rsidR="00792BC1" w:rsidRPr="008F1B7C">
        <w:t>e th</w:t>
      </w:r>
      <w:r w:rsidRPr="008F1B7C">
        <w:t xml:space="preserve">ree key </w:t>
      </w:r>
      <w:r w:rsidR="00792BC1" w:rsidRPr="008F1B7C">
        <w:t>topics</w:t>
      </w:r>
      <w:r w:rsidRPr="008F1B7C">
        <w:t xml:space="preserve"> included in scope for Phase 1 of the Superannuation Data Transformation project</w:t>
      </w:r>
      <w:r w:rsidR="000044AA" w:rsidRPr="008F1B7C">
        <w:t>,</w:t>
      </w:r>
      <w:r w:rsidR="00792BC1" w:rsidRPr="008F1B7C">
        <w:t xml:space="preserve"> in addition to expanding product performance data</w:t>
      </w:r>
      <w:r w:rsidRPr="008F1B7C">
        <w:t xml:space="preserve"> </w:t>
      </w:r>
      <w:proofErr w:type="gramStart"/>
      <w:r w:rsidR="00792BC1" w:rsidRPr="008F1B7C">
        <w:t>to Choice</w:t>
      </w:r>
      <w:proofErr w:type="gramEnd"/>
      <w:r w:rsidR="00792BC1" w:rsidRPr="008F1B7C">
        <w:t xml:space="preserve"> products</w:t>
      </w:r>
      <w:r w:rsidR="000044AA" w:rsidRPr="008F1B7C">
        <w:t>,</w:t>
      </w:r>
      <w:r w:rsidR="00792BC1" w:rsidRPr="008F1B7C">
        <w:t xml:space="preserve"> </w:t>
      </w:r>
      <w:r w:rsidRPr="008F1B7C">
        <w:t>are</w:t>
      </w:r>
      <w:r w:rsidR="00792BC1" w:rsidRPr="008F1B7C">
        <w:t>:</w:t>
      </w:r>
    </w:p>
    <w:p w14:paraId="3895C3A4" w14:textId="76DBE724" w:rsidR="00BB0775" w:rsidRPr="008F1B7C" w:rsidRDefault="0006177A" w:rsidP="005139E3">
      <w:pPr>
        <w:pStyle w:val="ListParagraph"/>
        <w:numPr>
          <w:ilvl w:val="0"/>
          <w:numId w:val="31"/>
        </w:numPr>
      </w:pPr>
      <w:r w:rsidRPr="008F1B7C">
        <w:t>E</w:t>
      </w:r>
      <w:r w:rsidR="00BB0775" w:rsidRPr="008F1B7C">
        <w:t>xpenses, which are a key driver of fees and costs</w:t>
      </w:r>
      <w:r w:rsidR="002714DD" w:rsidRPr="008F1B7C">
        <w:t>.</w:t>
      </w:r>
    </w:p>
    <w:p w14:paraId="5D4A0283" w14:textId="2D308583" w:rsidR="00B051E9" w:rsidRPr="008F1B7C" w:rsidRDefault="0006177A" w:rsidP="005139E3">
      <w:pPr>
        <w:pStyle w:val="ListParagraph"/>
        <w:numPr>
          <w:ilvl w:val="0"/>
          <w:numId w:val="31"/>
        </w:numPr>
      </w:pPr>
      <w:r w:rsidRPr="008F1B7C">
        <w:t>I</w:t>
      </w:r>
      <w:r w:rsidR="00BB0775" w:rsidRPr="008F1B7C">
        <w:t>nsurance</w:t>
      </w:r>
      <w:r w:rsidR="00792BC1" w:rsidRPr="008F1B7C">
        <w:t xml:space="preserve"> claims experience</w:t>
      </w:r>
      <w:r w:rsidR="0058234A" w:rsidRPr="008F1B7C">
        <w:t>,</w:t>
      </w:r>
      <w:r w:rsidR="00792BC1" w:rsidRPr="008F1B7C">
        <w:t xml:space="preserve"> which provides a measure of </w:t>
      </w:r>
      <w:r w:rsidRPr="008F1B7C">
        <w:t>value</w:t>
      </w:r>
      <w:r w:rsidR="00792BC1" w:rsidRPr="008F1B7C">
        <w:t xml:space="preserve"> for money, and the cost and cover design of default insurance</w:t>
      </w:r>
      <w:r w:rsidRPr="008F1B7C">
        <w:t>, which</w:t>
      </w:r>
      <w:r w:rsidR="00792BC1" w:rsidRPr="008F1B7C">
        <w:t xml:space="preserve"> determines the amount of insurance premiums</w:t>
      </w:r>
      <w:r w:rsidR="00BB0775" w:rsidRPr="008F1B7C">
        <w:t xml:space="preserve"> </w:t>
      </w:r>
      <w:r w:rsidR="00792BC1" w:rsidRPr="008F1B7C">
        <w:t>deducted from a member’s account and should not inappropriately erode member balances.</w:t>
      </w:r>
    </w:p>
    <w:p w14:paraId="0071452A" w14:textId="07302F9B" w:rsidR="00BB0775" w:rsidRPr="008F1B7C" w:rsidRDefault="00BB0775" w:rsidP="005139E3">
      <w:pPr>
        <w:pStyle w:val="ListParagraph"/>
        <w:numPr>
          <w:ilvl w:val="0"/>
          <w:numId w:val="31"/>
        </w:numPr>
      </w:pPr>
      <w:r w:rsidRPr="008F1B7C">
        <w:t>Member accounts data, which is needed to understand the impact</w:t>
      </w:r>
      <w:r w:rsidR="0058234A" w:rsidRPr="008F1B7C">
        <w:t xml:space="preserve"> of RSE decision making</w:t>
      </w:r>
      <w:r w:rsidRPr="008F1B7C">
        <w:t xml:space="preserve"> on member </w:t>
      </w:r>
      <w:r w:rsidR="0006177A" w:rsidRPr="008F1B7C">
        <w:t>outcomes</w:t>
      </w:r>
      <w:r w:rsidRPr="008F1B7C">
        <w:t xml:space="preserve"> for the membership of the fund. </w:t>
      </w:r>
    </w:p>
    <w:p w14:paraId="51EE0F81" w14:textId="31EE821A" w:rsidR="00345B23" w:rsidRPr="008F1B7C" w:rsidRDefault="00B051E9" w:rsidP="00345B23">
      <w:pPr>
        <w:rPr>
          <w:rFonts w:ascii="Helvetica" w:hAnsi="Helvetica"/>
          <w:color w:val="000000"/>
        </w:rPr>
      </w:pPr>
      <w:r w:rsidRPr="008F1B7C">
        <w:t xml:space="preserve">A lack of </w:t>
      </w:r>
      <w:r w:rsidR="002714DD" w:rsidRPr="008F1B7C">
        <w:t>comparable and sufficiently granular</w:t>
      </w:r>
      <w:r w:rsidRPr="008F1B7C">
        <w:t xml:space="preserve"> data prevents APRA and other stakeholders from benchmarking </w:t>
      </w:r>
      <w:r w:rsidR="0006177A" w:rsidRPr="008F1B7C">
        <w:t xml:space="preserve">RSE licensees </w:t>
      </w:r>
      <w:r w:rsidRPr="008F1B7C">
        <w:t>and identifying potential areas of concern which impact member outcomes.</w:t>
      </w:r>
    </w:p>
    <w:p w14:paraId="4214462E" w14:textId="0610BA63" w:rsidR="001418CA" w:rsidRPr="008F1B7C" w:rsidRDefault="001418CA" w:rsidP="00E11B9C">
      <w:pPr>
        <w:pStyle w:val="Heading1"/>
        <w:spacing w:before="480" w:after="360"/>
      </w:pPr>
      <w:bookmarkStart w:id="18" w:name="_Toc56408581"/>
      <w:bookmarkStart w:id="19" w:name="_Toc56408672"/>
      <w:bookmarkStart w:id="20" w:name="_Toc56408582"/>
      <w:bookmarkStart w:id="21" w:name="_Toc56408673"/>
      <w:bookmarkStart w:id="22" w:name="_Toc56408583"/>
      <w:bookmarkStart w:id="23" w:name="_Toc56408674"/>
      <w:bookmarkStart w:id="24" w:name="_Toc56678085"/>
      <w:bookmarkStart w:id="25" w:name="_Toc56693565"/>
      <w:bookmarkStart w:id="26" w:name="_Toc75295628"/>
      <w:bookmarkEnd w:id="18"/>
      <w:bookmarkEnd w:id="19"/>
      <w:bookmarkEnd w:id="20"/>
      <w:bookmarkEnd w:id="21"/>
      <w:bookmarkEnd w:id="22"/>
      <w:bookmarkEnd w:id="23"/>
      <w:r w:rsidRPr="008F1B7C">
        <w:t>Why action is needed</w:t>
      </w:r>
      <w:bookmarkEnd w:id="24"/>
      <w:bookmarkEnd w:id="25"/>
      <w:bookmarkEnd w:id="26"/>
    </w:p>
    <w:p w14:paraId="44BFD285" w14:textId="3E05E0EC" w:rsidR="00D40150" w:rsidRPr="008F1B7C" w:rsidRDefault="000D5E08" w:rsidP="00D40150">
      <w:bookmarkStart w:id="27" w:name="_Toc493588782"/>
      <w:r w:rsidRPr="008F1B7C">
        <w:t xml:space="preserve">Many superannuation fund members are disengaged and need to be protected from poor outcomes in underperforming products. </w:t>
      </w:r>
      <w:r w:rsidR="004E054B" w:rsidRPr="008F1B7C">
        <w:t xml:space="preserve">RSE licensees need to be held to account </w:t>
      </w:r>
      <w:r w:rsidR="003327BA" w:rsidRPr="008F1B7C">
        <w:t>to ensure they are</w:t>
      </w:r>
      <w:r w:rsidR="0011216B" w:rsidRPr="008F1B7C">
        <w:t xml:space="preserve"> acting in the best financial interests of members.</w:t>
      </w:r>
      <w:r w:rsidR="00616122" w:rsidRPr="008F1B7C">
        <w:t xml:space="preserve"> </w:t>
      </w:r>
      <w:r w:rsidRPr="008F1B7C">
        <w:t>I</w:t>
      </w:r>
      <w:r w:rsidR="004E054B" w:rsidRPr="008F1B7C">
        <w:t xml:space="preserve">nformation asymmetry </w:t>
      </w:r>
      <w:r w:rsidRPr="008F1B7C">
        <w:t xml:space="preserve">exists with respect to </w:t>
      </w:r>
      <w:r w:rsidR="004E054B" w:rsidRPr="008F1B7C">
        <w:t xml:space="preserve">RSE </w:t>
      </w:r>
      <w:r w:rsidR="000B7832" w:rsidRPr="008F1B7C">
        <w:t xml:space="preserve">licensee </w:t>
      </w:r>
      <w:r w:rsidR="004E054B" w:rsidRPr="008F1B7C">
        <w:t xml:space="preserve">operations and performance due to a lack of consistent and comparable data for </w:t>
      </w:r>
      <w:r w:rsidR="00D40150" w:rsidRPr="008F1B7C">
        <w:t xml:space="preserve">regulators, </w:t>
      </w:r>
      <w:r w:rsidR="004E054B" w:rsidRPr="008F1B7C">
        <w:t>superannuation members and other stakeholders.</w:t>
      </w:r>
    </w:p>
    <w:p w14:paraId="492303AB" w14:textId="36685BEC" w:rsidR="002D4E53" w:rsidRPr="008F1B7C" w:rsidRDefault="00791B65" w:rsidP="002D4E53">
      <w:pPr>
        <w:rPr>
          <w:rFonts w:cs="Arial"/>
          <w:color w:val="000000"/>
        </w:rPr>
      </w:pPr>
      <w:r w:rsidRPr="008F1B7C">
        <w:rPr>
          <w:rFonts w:ascii="Helvetica" w:hAnsi="Helvetica"/>
          <w:color w:val="000000"/>
        </w:rPr>
        <w:lastRenderedPageBreak/>
        <w:t>T</w:t>
      </w:r>
      <w:r w:rsidR="002D4E53" w:rsidRPr="008F1B7C">
        <w:rPr>
          <w:rFonts w:ascii="Helvetica" w:hAnsi="Helvetica"/>
          <w:color w:val="000000"/>
        </w:rPr>
        <w:t>he</w:t>
      </w:r>
      <w:r w:rsidR="002D4E53" w:rsidRPr="008F1B7C">
        <w:rPr>
          <w:rFonts w:cs="Arial"/>
          <w:color w:val="000000"/>
        </w:rPr>
        <w:t xml:space="preserve"> legislative amendments introduced under the Government’s Treasury Laws Amendment (Your Future Your Super) </w:t>
      </w:r>
      <w:r w:rsidR="00534B03" w:rsidRPr="008F1B7C">
        <w:rPr>
          <w:rFonts w:cs="Arial"/>
          <w:color w:val="000000"/>
        </w:rPr>
        <w:t>Act</w:t>
      </w:r>
      <w:r w:rsidR="002D4E53" w:rsidRPr="008F1B7C">
        <w:rPr>
          <w:rFonts w:cs="Arial"/>
          <w:color w:val="000000"/>
        </w:rPr>
        <w:t xml:space="preserve"> 2021</w:t>
      </w:r>
      <w:r w:rsidR="00534B03" w:rsidRPr="008F1B7C">
        <w:rPr>
          <w:rFonts w:cs="Arial"/>
          <w:color w:val="000000"/>
        </w:rPr>
        <w:t xml:space="preserve"> (the YFYS Act)</w:t>
      </w:r>
      <w:r w:rsidR="002D4E53" w:rsidRPr="008F1B7C">
        <w:rPr>
          <w:rFonts w:cs="Arial"/>
          <w:color w:val="000000"/>
        </w:rPr>
        <w:t xml:space="preserve"> </w:t>
      </w:r>
      <w:r w:rsidR="002D4E53" w:rsidRPr="008F1B7C">
        <w:rPr>
          <w:rFonts w:ascii="Helvetica" w:hAnsi="Helvetica"/>
          <w:color w:val="000000"/>
        </w:rPr>
        <w:t xml:space="preserve">have </w:t>
      </w:r>
      <w:r w:rsidRPr="008F1B7C">
        <w:rPr>
          <w:rFonts w:ascii="Helvetica" w:hAnsi="Helvetica"/>
          <w:color w:val="000000"/>
        </w:rPr>
        <w:t xml:space="preserve">made it imperative to collect </w:t>
      </w:r>
      <w:r w:rsidR="002D4E53" w:rsidRPr="008F1B7C">
        <w:rPr>
          <w:rFonts w:ascii="Helvetica" w:hAnsi="Helvetica"/>
          <w:color w:val="000000"/>
        </w:rPr>
        <w:t xml:space="preserve">sufficiently granular, </w:t>
      </w:r>
      <w:proofErr w:type="gramStart"/>
      <w:r w:rsidR="002D4E53" w:rsidRPr="008F1B7C">
        <w:rPr>
          <w:rFonts w:ascii="Helvetica" w:hAnsi="Helvetica"/>
          <w:color w:val="000000"/>
        </w:rPr>
        <w:t>comparable</w:t>
      </w:r>
      <w:proofErr w:type="gramEnd"/>
      <w:r w:rsidR="002D4E53" w:rsidRPr="008F1B7C">
        <w:rPr>
          <w:rFonts w:ascii="Helvetica" w:hAnsi="Helvetica"/>
          <w:color w:val="000000"/>
        </w:rPr>
        <w:t xml:space="preserve"> and consistent data on the elements that drive member outcomes.</w:t>
      </w:r>
    </w:p>
    <w:p w14:paraId="203DB37B" w14:textId="087B6F06" w:rsidR="00A851EF" w:rsidRPr="008F1B7C" w:rsidRDefault="002D4E53" w:rsidP="002D4E53">
      <w:r w:rsidRPr="008F1B7C">
        <w:rPr>
          <w:rFonts w:cs="Arial"/>
          <w:color w:val="000000"/>
        </w:rPr>
        <w:t xml:space="preserve">The performance test introduced as part of the YFYS </w:t>
      </w:r>
      <w:r w:rsidR="00534B03" w:rsidRPr="008F1B7C">
        <w:rPr>
          <w:rFonts w:cs="Arial"/>
          <w:color w:val="000000"/>
        </w:rPr>
        <w:t>Act</w:t>
      </w:r>
      <w:r w:rsidRPr="008F1B7C">
        <w:rPr>
          <w:rFonts w:cs="Arial"/>
          <w:color w:val="000000"/>
        </w:rPr>
        <w:t xml:space="preserve"> creates an obligation for APRA to calculate a performance test for </w:t>
      </w:r>
      <w:proofErr w:type="spellStart"/>
      <w:r w:rsidRPr="008F1B7C">
        <w:rPr>
          <w:rFonts w:cs="Arial"/>
          <w:color w:val="000000"/>
        </w:rPr>
        <w:t>MySuper</w:t>
      </w:r>
      <w:proofErr w:type="spellEnd"/>
      <w:r w:rsidRPr="008F1B7C">
        <w:rPr>
          <w:rFonts w:cs="Arial"/>
          <w:color w:val="000000"/>
        </w:rPr>
        <w:t xml:space="preserve"> products</w:t>
      </w:r>
      <w:r w:rsidR="00FF1E9C" w:rsidRPr="008F1B7C">
        <w:rPr>
          <w:rFonts w:cs="Arial"/>
          <w:color w:val="000000"/>
        </w:rPr>
        <w:t>,</w:t>
      </w:r>
      <w:r w:rsidRPr="008F1B7C">
        <w:rPr>
          <w:rFonts w:cs="Arial"/>
          <w:color w:val="000000"/>
        </w:rPr>
        <w:t xml:space="preserve"> </w:t>
      </w:r>
      <w:r w:rsidR="00D95997" w:rsidRPr="008F1B7C">
        <w:rPr>
          <w:rFonts w:cs="Arial"/>
          <w:color w:val="000000"/>
        </w:rPr>
        <w:t>and</w:t>
      </w:r>
      <w:r w:rsidR="00BE6BDB" w:rsidRPr="008F1B7C">
        <w:rPr>
          <w:rFonts w:cs="Arial"/>
          <w:color w:val="000000"/>
        </w:rPr>
        <w:t>, separately</w:t>
      </w:r>
      <w:r w:rsidR="00D95997" w:rsidRPr="008F1B7C">
        <w:rPr>
          <w:rFonts w:cs="Arial"/>
          <w:color w:val="000000"/>
        </w:rPr>
        <w:t xml:space="preserve"> </w:t>
      </w:r>
      <w:r w:rsidR="00BE6BDB" w:rsidRPr="008F1B7C">
        <w:rPr>
          <w:rFonts w:cs="Arial"/>
          <w:color w:val="000000"/>
        </w:rPr>
        <w:t xml:space="preserve">for </w:t>
      </w:r>
      <w:r w:rsidR="00D95997" w:rsidRPr="008F1B7C">
        <w:rPr>
          <w:rFonts w:cs="Arial"/>
          <w:color w:val="000000"/>
        </w:rPr>
        <w:t>a cohort of</w:t>
      </w:r>
      <w:r w:rsidRPr="008F1B7C">
        <w:rPr>
          <w:rFonts w:cs="Arial"/>
          <w:color w:val="000000"/>
        </w:rPr>
        <w:t xml:space="preserve"> </w:t>
      </w:r>
      <w:r w:rsidR="00D95997" w:rsidRPr="008F1B7C">
        <w:rPr>
          <w:rFonts w:cs="Arial"/>
          <w:color w:val="000000"/>
        </w:rPr>
        <w:t xml:space="preserve">Choice sector </w:t>
      </w:r>
      <w:r w:rsidRPr="008F1B7C">
        <w:rPr>
          <w:rFonts w:cs="Arial"/>
          <w:color w:val="000000"/>
        </w:rPr>
        <w:t>products</w:t>
      </w:r>
      <w:r w:rsidR="00F03145" w:rsidRPr="008F1B7C">
        <w:rPr>
          <w:rFonts w:cs="Arial"/>
          <w:color w:val="000000"/>
        </w:rPr>
        <w:t xml:space="preserve"> known as </w:t>
      </w:r>
      <w:r w:rsidR="00195D98" w:rsidRPr="008F1B7C">
        <w:rPr>
          <w:rFonts w:cs="Arial"/>
          <w:color w:val="000000"/>
        </w:rPr>
        <w:t>t</w:t>
      </w:r>
      <w:r w:rsidR="00F03145" w:rsidRPr="008F1B7C">
        <w:rPr>
          <w:rFonts w:cs="Arial"/>
          <w:color w:val="000000"/>
        </w:rPr>
        <w:t>rustee</w:t>
      </w:r>
      <w:r w:rsidR="00195D98" w:rsidRPr="008F1B7C">
        <w:rPr>
          <w:rFonts w:cs="Arial"/>
          <w:color w:val="000000"/>
        </w:rPr>
        <w:t>-d</w:t>
      </w:r>
      <w:r w:rsidR="00F03145" w:rsidRPr="008F1B7C">
        <w:rPr>
          <w:rFonts w:cs="Arial"/>
          <w:color w:val="000000"/>
        </w:rPr>
        <w:t xml:space="preserve">irected </w:t>
      </w:r>
      <w:r w:rsidR="00195D98" w:rsidRPr="008F1B7C">
        <w:rPr>
          <w:rFonts w:cs="Arial"/>
          <w:color w:val="000000"/>
        </w:rPr>
        <w:t>p</w:t>
      </w:r>
      <w:r w:rsidR="00F03145" w:rsidRPr="008F1B7C">
        <w:rPr>
          <w:rFonts w:cs="Arial"/>
          <w:color w:val="000000"/>
        </w:rPr>
        <w:t>roducts</w:t>
      </w:r>
      <w:r w:rsidR="00E92A8D" w:rsidRPr="00635054">
        <w:rPr>
          <w:rStyle w:val="FootnoteReference"/>
          <w:rFonts w:cs="Arial"/>
          <w:color w:val="000000"/>
        </w:rPr>
        <w:footnoteReference w:id="18"/>
      </w:r>
      <w:r w:rsidRPr="00635054">
        <w:rPr>
          <w:rFonts w:cs="Arial"/>
          <w:color w:val="000000"/>
        </w:rPr>
        <w:t>.</w:t>
      </w:r>
      <w:r w:rsidR="00F03145" w:rsidRPr="008F1B7C">
        <w:rPr>
          <w:rFonts w:cs="Arial"/>
          <w:color w:val="000000"/>
        </w:rPr>
        <w:t xml:space="preserve"> </w:t>
      </w:r>
      <w:r w:rsidR="00F03145" w:rsidRPr="008F1B7C">
        <w:t xml:space="preserve">The performance test will apply to </w:t>
      </w:r>
      <w:proofErr w:type="spellStart"/>
      <w:r w:rsidR="00F03145" w:rsidRPr="008F1B7C">
        <w:t>MySuper</w:t>
      </w:r>
      <w:proofErr w:type="spellEnd"/>
      <w:r w:rsidR="00F03145" w:rsidRPr="008F1B7C">
        <w:t xml:space="preserve"> products in 2021 and </w:t>
      </w:r>
      <w:r w:rsidR="009302E5" w:rsidRPr="008F1B7C">
        <w:t>trustee-directed products</w:t>
      </w:r>
      <w:r w:rsidR="00F03145" w:rsidRPr="008F1B7C">
        <w:t xml:space="preserve"> in 2022. </w:t>
      </w:r>
      <w:r w:rsidRPr="008F1B7C">
        <w:rPr>
          <w:rFonts w:cs="Arial"/>
          <w:color w:val="000000"/>
        </w:rPr>
        <w:t xml:space="preserve"> APRA </w:t>
      </w:r>
      <w:r w:rsidR="004C5257" w:rsidRPr="008F1B7C">
        <w:rPr>
          <w:rFonts w:cs="Arial"/>
          <w:color w:val="000000"/>
        </w:rPr>
        <w:t>therefore needs to commence collecting</w:t>
      </w:r>
      <w:r w:rsidRPr="008F1B7C">
        <w:rPr>
          <w:rFonts w:cs="Arial"/>
          <w:color w:val="000000"/>
        </w:rPr>
        <w:t xml:space="preserve"> </w:t>
      </w:r>
      <w:r w:rsidR="00F7786F" w:rsidRPr="008F1B7C">
        <w:rPr>
          <w:rFonts w:cs="Arial"/>
          <w:color w:val="000000"/>
        </w:rPr>
        <w:t xml:space="preserve">the relevant </w:t>
      </w:r>
      <w:r w:rsidR="00007504" w:rsidRPr="008F1B7C">
        <w:rPr>
          <w:rFonts w:cs="Arial"/>
          <w:color w:val="000000"/>
        </w:rPr>
        <w:t>investment performance</w:t>
      </w:r>
      <w:r w:rsidR="00195D98" w:rsidRPr="008F1B7C">
        <w:rPr>
          <w:rFonts w:cs="Arial"/>
          <w:color w:val="000000"/>
        </w:rPr>
        <w:t>, asset allocation</w:t>
      </w:r>
      <w:r w:rsidR="00007504" w:rsidRPr="008F1B7C">
        <w:rPr>
          <w:rFonts w:cs="Arial"/>
          <w:color w:val="000000"/>
        </w:rPr>
        <w:t xml:space="preserve"> and fee and cost </w:t>
      </w:r>
      <w:r w:rsidRPr="008F1B7C">
        <w:rPr>
          <w:rFonts w:cs="Arial"/>
          <w:color w:val="000000"/>
        </w:rPr>
        <w:t xml:space="preserve">data on </w:t>
      </w:r>
      <w:r w:rsidR="00D95997" w:rsidRPr="008F1B7C">
        <w:rPr>
          <w:rFonts w:cs="Arial"/>
          <w:color w:val="000000"/>
        </w:rPr>
        <w:t xml:space="preserve">Choice </w:t>
      </w:r>
      <w:r w:rsidRPr="008F1B7C">
        <w:rPr>
          <w:rFonts w:cs="Arial"/>
          <w:color w:val="000000"/>
        </w:rPr>
        <w:t>products to enable administ</w:t>
      </w:r>
      <w:r w:rsidR="004C5257" w:rsidRPr="008F1B7C">
        <w:rPr>
          <w:rFonts w:cs="Arial"/>
          <w:color w:val="000000"/>
        </w:rPr>
        <w:t>ration of</w:t>
      </w:r>
      <w:r w:rsidRPr="008F1B7C">
        <w:rPr>
          <w:rFonts w:cs="Arial"/>
          <w:color w:val="000000"/>
        </w:rPr>
        <w:t xml:space="preserve"> the performance test </w:t>
      </w:r>
      <w:r w:rsidR="00DD00EB" w:rsidRPr="008F1B7C">
        <w:rPr>
          <w:rFonts w:cs="Arial"/>
          <w:color w:val="000000"/>
        </w:rPr>
        <w:t xml:space="preserve">for </w:t>
      </w:r>
      <w:r w:rsidR="00BE6BDB" w:rsidRPr="008F1B7C">
        <w:rPr>
          <w:rFonts w:cs="Arial"/>
          <w:color w:val="000000"/>
        </w:rPr>
        <w:t>C</w:t>
      </w:r>
      <w:r w:rsidR="00DD00EB" w:rsidRPr="008F1B7C">
        <w:rPr>
          <w:rFonts w:cs="Arial"/>
          <w:color w:val="000000"/>
        </w:rPr>
        <w:t xml:space="preserve">hoice products </w:t>
      </w:r>
      <w:r w:rsidRPr="008F1B7C">
        <w:rPr>
          <w:rFonts w:cs="Arial"/>
          <w:color w:val="000000"/>
        </w:rPr>
        <w:t>in 2022.</w:t>
      </w:r>
      <w:r w:rsidR="00791B65" w:rsidRPr="008F1B7C">
        <w:rPr>
          <w:rFonts w:ascii="Helvetica" w:hAnsi="Helvetica"/>
          <w:color w:val="000000"/>
        </w:rPr>
        <w:t xml:space="preserve"> </w:t>
      </w:r>
      <w:r w:rsidR="00A851EF" w:rsidRPr="008F1B7C">
        <w:t xml:space="preserve">Over time, other investment options which are made available by the trustee </w:t>
      </w:r>
      <w:r w:rsidR="00FF1E9C" w:rsidRPr="008F1B7C">
        <w:t>are</w:t>
      </w:r>
      <w:r w:rsidR="00A851EF" w:rsidRPr="008F1B7C">
        <w:t xml:space="preserve"> also </w:t>
      </w:r>
      <w:r w:rsidR="00FF1E9C" w:rsidRPr="008F1B7C">
        <w:t xml:space="preserve">expected to </w:t>
      </w:r>
      <w:r w:rsidR="00A851EF" w:rsidRPr="008F1B7C">
        <w:t>be subject to annual performance tests</w:t>
      </w:r>
      <w:r w:rsidR="00A851EF" w:rsidRPr="00635054">
        <w:rPr>
          <w:rStyle w:val="FootnoteReference"/>
        </w:rPr>
        <w:footnoteReference w:id="19"/>
      </w:r>
      <w:r w:rsidR="005F267F" w:rsidRPr="00635054">
        <w:t>.</w:t>
      </w:r>
    </w:p>
    <w:p w14:paraId="1F2A0716" w14:textId="18B7C570" w:rsidR="00A23B75" w:rsidRPr="008F1B7C" w:rsidRDefault="00791B65" w:rsidP="00A23B75">
      <w:pPr>
        <w:rPr>
          <w:rFonts w:ascii="Helvetica" w:hAnsi="Helvetica" w:cs="Helvetica"/>
        </w:rPr>
      </w:pPr>
      <w:r w:rsidRPr="008F1B7C">
        <w:rPr>
          <w:rFonts w:ascii="Helvetica" w:hAnsi="Helvetica"/>
          <w:color w:val="000000"/>
        </w:rPr>
        <w:t xml:space="preserve">Recent prudential changes governing the superannuation industry such as the introduction of </w:t>
      </w:r>
      <w:r w:rsidRPr="008F1B7C">
        <w:rPr>
          <w:rFonts w:ascii="Helvetica" w:hAnsi="Helvetica"/>
          <w:i/>
          <w:color w:val="000000"/>
        </w:rPr>
        <w:t>Prudential Standard SPS 515 Strategic Planning and Member Outcomes</w:t>
      </w:r>
      <w:r w:rsidRPr="008F1B7C">
        <w:rPr>
          <w:rFonts w:ascii="Helvetica" w:hAnsi="Helvetica"/>
          <w:color w:val="000000"/>
        </w:rPr>
        <w:t xml:space="preserve"> (SPS 515)</w:t>
      </w:r>
      <w:r w:rsidRPr="00635054">
        <w:rPr>
          <w:rStyle w:val="FootnoteReference"/>
          <w:rFonts w:ascii="Helvetica" w:hAnsi="Helvetica"/>
          <w:color w:val="000000"/>
        </w:rPr>
        <w:footnoteReference w:id="20"/>
      </w:r>
      <w:r w:rsidRPr="00635054">
        <w:rPr>
          <w:rFonts w:ascii="Helvetica" w:hAnsi="Helvetica"/>
          <w:color w:val="000000"/>
        </w:rPr>
        <w:t xml:space="preserve"> </w:t>
      </w:r>
      <w:r w:rsidRPr="008F1B7C">
        <w:rPr>
          <w:rFonts w:ascii="Helvetica" w:hAnsi="Helvetica"/>
          <w:color w:val="000000"/>
        </w:rPr>
        <w:t>have also increased the importance collecting this data.</w:t>
      </w:r>
      <w:r w:rsidR="00A23B75" w:rsidRPr="008F1B7C">
        <w:t xml:space="preserve"> Under SPS 515, RSE licensees are expected to regularly assess the outcomes provided to members and identify opportunities to improve these through business planning, which includes expense management</w:t>
      </w:r>
      <w:r w:rsidR="00A23B75" w:rsidRPr="008F1B7C">
        <w:rPr>
          <w:rFonts w:ascii="Helvetica" w:hAnsi="Helvetica" w:cs="Helvetica"/>
        </w:rPr>
        <w:t xml:space="preserve">. </w:t>
      </w:r>
      <w:r w:rsidR="006E062F" w:rsidRPr="008F1B7C">
        <w:rPr>
          <w:rFonts w:ascii="Helvetica" w:hAnsi="Helvetica" w:cs="Helvetica"/>
        </w:rPr>
        <w:t>Collecting comparable data and m</w:t>
      </w:r>
      <w:r w:rsidR="00A23B75" w:rsidRPr="008F1B7C">
        <w:rPr>
          <w:rFonts w:ascii="Helvetica" w:hAnsi="Helvetica" w:cs="Helvetica"/>
        </w:rPr>
        <w:t xml:space="preserve">aking </w:t>
      </w:r>
      <w:r w:rsidR="006E062F" w:rsidRPr="008F1B7C">
        <w:rPr>
          <w:rFonts w:ascii="Helvetica" w:hAnsi="Helvetica" w:cs="Helvetica"/>
        </w:rPr>
        <w:t>it</w:t>
      </w:r>
      <w:r w:rsidR="00A23B75" w:rsidRPr="008F1B7C">
        <w:rPr>
          <w:rFonts w:ascii="Helvetica" w:hAnsi="Helvetica" w:cs="Helvetica"/>
        </w:rPr>
        <w:t xml:space="preserve"> publicly available will support industry in implementing improved benchmarking and support enhancements to</w:t>
      </w:r>
      <w:r w:rsidR="00A23B75" w:rsidRPr="008F1B7C">
        <w:t xml:space="preserve"> business planning, expenditure management and oversight as required by SPS 515.</w:t>
      </w:r>
    </w:p>
    <w:p w14:paraId="63D7293B" w14:textId="5F03E6A0" w:rsidR="006679A8" w:rsidRPr="008F1B7C" w:rsidRDefault="003F3D49" w:rsidP="00323085">
      <w:pPr>
        <w:keepNext/>
        <w:rPr>
          <w:u w:val="single"/>
        </w:rPr>
      </w:pPr>
      <w:bookmarkStart w:id="28" w:name="_Hlk81510055"/>
      <w:r w:rsidRPr="008F1B7C">
        <w:rPr>
          <w:u w:val="single"/>
        </w:rPr>
        <w:t>Greater transparency on fund performance delivers improvements in outcomes for fund members</w:t>
      </w:r>
    </w:p>
    <w:bookmarkEnd w:id="28"/>
    <w:p w14:paraId="2B80991E" w14:textId="2BCD33AA" w:rsidR="00F66C57" w:rsidRPr="008F1B7C" w:rsidRDefault="00BD7BF1" w:rsidP="00F66C57">
      <w:pPr>
        <w:autoSpaceDE w:val="0"/>
        <w:autoSpaceDN w:val="0"/>
        <w:adjustRightInd w:val="0"/>
        <w:spacing w:after="0"/>
      </w:pPr>
      <w:r w:rsidRPr="008F1B7C">
        <w:t xml:space="preserve">The </w:t>
      </w:r>
      <w:r w:rsidR="003F3D49" w:rsidRPr="008F1B7C">
        <w:t xml:space="preserve">existing </w:t>
      </w:r>
      <w:r w:rsidRPr="008F1B7C">
        <w:t>data collection</w:t>
      </w:r>
      <w:r w:rsidR="003F3D49" w:rsidRPr="008F1B7C">
        <w:t xml:space="preserve">, which is focused on </w:t>
      </w:r>
      <w:proofErr w:type="spellStart"/>
      <w:r w:rsidRPr="008F1B7C">
        <w:t>MySuper</w:t>
      </w:r>
      <w:proofErr w:type="spellEnd"/>
      <w:r w:rsidRPr="008F1B7C">
        <w:t xml:space="preserve"> products</w:t>
      </w:r>
      <w:r w:rsidR="003F3D49" w:rsidRPr="008F1B7C">
        <w:t>,</w:t>
      </w:r>
      <w:r w:rsidRPr="008F1B7C">
        <w:t xml:space="preserve"> has seen improvements in quality and reliability </w:t>
      </w:r>
      <w:r w:rsidR="005841A1" w:rsidRPr="008F1B7C">
        <w:t xml:space="preserve">of data </w:t>
      </w:r>
      <w:r w:rsidRPr="008F1B7C">
        <w:t xml:space="preserve">over time. </w:t>
      </w:r>
      <w:r w:rsidR="00D44772" w:rsidRPr="008F1B7C">
        <w:t xml:space="preserve">Many benefits have been derived from APRA’s </w:t>
      </w:r>
      <w:r w:rsidR="00F66C57" w:rsidRPr="008F1B7C">
        <w:t xml:space="preserve">supervisory </w:t>
      </w:r>
      <w:r w:rsidR="00D44772" w:rsidRPr="008F1B7C">
        <w:t>use of this data since the collection was implemented</w:t>
      </w:r>
      <w:r w:rsidR="003A60FC" w:rsidRPr="008F1B7C">
        <w:t>. APRA</w:t>
      </w:r>
      <w:r w:rsidR="00D44772" w:rsidRPr="008F1B7C">
        <w:t xml:space="preserve"> </w:t>
      </w:r>
      <w:r w:rsidR="009B4D16" w:rsidRPr="008F1B7C">
        <w:t>identified</w:t>
      </w:r>
      <w:r w:rsidR="003A60FC" w:rsidRPr="008F1B7C">
        <w:t xml:space="preserve"> funds which </w:t>
      </w:r>
      <w:r w:rsidR="003A60FC" w:rsidRPr="008F1B7C">
        <w:rPr>
          <w:rFonts w:ascii="Helvetica" w:hAnsi="Helvetica" w:cs="Helvetica"/>
          <w:color w:val="000000"/>
        </w:rPr>
        <w:t>appeared </w:t>
      </w:r>
      <w:r w:rsidR="006E062F" w:rsidRPr="008F1B7C">
        <w:rPr>
          <w:rFonts w:ascii="Helvetica" w:hAnsi="Helvetica" w:cs="Helvetica"/>
          <w:color w:val="000000"/>
        </w:rPr>
        <w:t>not to be consistently delivering quality, value-for-money outcomes or positioned for sustainability into the future</w:t>
      </w:r>
      <w:r w:rsidR="00D44772" w:rsidRPr="008F1B7C">
        <w:t xml:space="preserve">. </w:t>
      </w:r>
      <w:r w:rsidR="003A60FC" w:rsidRPr="008F1B7C">
        <w:rPr>
          <w:rFonts w:ascii="Helvetica" w:hAnsi="Helvetica" w:cs="Helvetica"/>
          <w:color w:val="000000"/>
        </w:rPr>
        <w:t xml:space="preserve">RSE licensees of these funds were targeted with intensified supervision, with APRA seeking prompt action to address areas of weakness or concern. </w:t>
      </w:r>
      <w:r w:rsidR="00FF1E9C" w:rsidRPr="008F1B7C">
        <w:rPr>
          <w:rFonts w:ascii="Helvetica" w:hAnsi="Helvetica" w:cs="Helvetica"/>
          <w:color w:val="000000"/>
        </w:rPr>
        <w:t>T</w:t>
      </w:r>
      <w:r w:rsidR="003A60FC" w:rsidRPr="008F1B7C">
        <w:rPr>
          <w:rFonts w:ascii="Helvetica" w:hAnsi="Helvetica" w:cs="Helvetica"/>
          <w:color w:val="000000"/>
        </w:rPr>
        <w:t xml:space="preserve">rustees </w:t>
      </w:r>
      <w:r w:rsidR="00FF1E9C" w:rsidRPr="008F1B7C">
        <w:rPr>
          <w:rFonts w:ascii="Helvetica" w:hAnsi="Helvetica" w:cs="Helvetica"/>
          <w:color w:val="000000"/>
        </w:rPr>
        <w:t>that have been</w:t>
      </w:r>
      <w:r w:rsidR="003A60FC" w:rsidRPr="008F1B7C">
        <w:rPr>
          <w:rFonts w:ascii="Helvetica" w:hAnsi="Helvetica" w:cs="Helvetica"/>
          <w:color w:val="000000"/>
        </w:rPr>
        <w:t xml:space="preserve"> unable or unwilling to respond appropriately</w:t>
      </w:r>
      <w:r w:rsidR="00FF1E9C" w:rsidRPr="008F1B7C">
        <w:rPr>
          <w:rFonts w:ascii="Helvetica" w:hAnsi="Helvetica" w:cs="Helvetica"/>
          <w:color w:val="000000"/>
        </w:rPr>
        <w:t xml:space="preserve"> have been expected </w:t>
      </w:r>
      <w:r w:rsidR="003A60FC" w:rsidRPr="008F1B7C">
        <w:rPr>
          <w:rFonts w:ascii="Helvetica" w:hAnsi="Helvetica" w:cs="Helvetica"/>
          <w:color w:val="000000"/>
        </w:rPr>
        <w:t>to seriously consider whether restructuring or exiting the industry is in their members’ best interests.</w:t>
      </w:r>
      <w:r w:rsidR="00437FF8" w:rsidRPr="008F1B7C">
        <w:rPr>
          <w:rFonts w:ascii="Helvetica" w:hAnsi="Helvetica" w:cs="Helvetica"/>
          <w:color w:val="000000"/>
        </w:rPr>
        <w:t xml:space="preserve"> </w:t>
      </w:r>
    </w:p>
    <w:p w14:paraId="4029033A" w14:textId="3631FDA7" w:rsidR="00F66C57" w:rsidRPr="008F1B7C" w:rsidRDefault="00F66C57" w:rsidP="00F66C57">
      <w:pPr>
        <w:autoSpaceDE w:val="0"/>
        <w:autoSpaceDN w:val="0"/>
        <w:adjustRightInd w:val="0"/>
        <w:spacing w:after="0"/>
      </w:pPr>
    </w:p>
    <w:p w14:paraId="4BCA8F77" w14:textId="77777777" w:rsidR="00E261FD" w:rsidRPr="008F1B7C" w:rsidRDefault="00E261FD" w:rsidP="00323085">
      <w:bookmarkStart w:id="29" w:name="_Hlk81509550"/>
      <w:bookmarkStart w:id="30" w:name="_Hlk81509310"/>
    </w:p>
    <w:p w14:paraId="2B17FFF4" w14:textId="76BD0089" w:rsidR="00323085" w:rsidRPr="008F1B7C" w:rsidRDefault="00FC6D1D" w:rsidP="00323085">
      <w:pPr>
        <w:rPr>
          <w:rFonts w:ascii="Calibri" w:hAnsi="Calibri"/>
        </w:rPr>
      </w:pPr>
      <w:r w:rsidRPr="008F1B7C">
        <w:t>I</w:t>
      </w:r>
      <w:r w:rsidR="00323085" w:rsidRPr="008F1B7C">
        <w:t xml:space="preserve">ncreased transparency leads to </w:t>
      </w:r>
      <w:r w:rsidRPr="008F1B7C">
        <w:t>improvements in</w:t>
      </w:r>
      <w:r w:rsidR="00323085" w:rsidRPr="008F1B7C">
        <w:t xml:space="preserve"> outcomes</w:t>
      </w:r>
      <w:r w:rsidRPr="008F1B7C">
        <w:t xml:space="preserve"> for members</w:t>
      </w:r>
      <w:r w:rsidR="00323085" w:rsidRPr="008F1B7C">
        <w:t xml:space="preserve"> </w:t>
      </w:r>
      <w:r w:rsidR="00BC29F2" w:rsidRPr="008F1B7C">
        <w:t>by putting pressure on</w:t>
      </w:r>
      <w:r w:rsidR="00323085" w:rsidRPr="008F1B7C">
        <w:t xml:space="preserve"> RSE licensee</w:t>
      </w:r>
      <w:r w:rsidR="00F62210" w:rsidRPr="008F1B7C">
        <w:t xml:space="preserve"> with poor outcomes</w:t>
      </w:r>
      <w:r w:rsidR="00BC29F2" w:rsidRPr="008F1B7C">
        <w:t xml:space="preserve"> to make changes </w:t>
      </w:r>
      <w:r w:rsidR="00323085" w:rsidRPr="008F1B7C">
        <w:t>which improve the outcomes delivered to members</w:t>
      </w:r>
      <w:r w:rsidR="00FF1E9C" w:rsidRPr="008F1B7C">
        <w:t>. It also</w:t>
      </w:r>
      <w:r w:rsidR="00323085" w:rsidRPr="008F1B7C">
        <w:t xml:space="preserve"> </w:t>
      </w:r>
      <w:r w:rsidR="00BC29F2" w:rsidRPr="008F1B7C">
        <w:t>enabl</w:t>
      </w:r>
      <w:r w:rsidR="00FF1E9C" w:rsidRPr="008F1B7C">
        <w:t>es</w:t>
      </w:r>
      <w:r w:rsidR="00BC29F2" w:rsidRPr="008F1B7C">
        <w:t xml:space="preserve"> use of the data by </w:t>
      </w:r>
      <w:r w:rsidR="00FF1E9C" w:rsidRPr="008F1B7C">
        <w:t xml:space="preserve">a wide range of </w:t>
      </w:r>
      <w:r w:rsidR="00BC29F2" w:rsidRPr="008F1B7C">
        <w:t xml:space="preserve">stakeholders to </w:t>
      </w:r>
      <w:r w:rsidR="00323085" w:rsidRPr="008F1B7C">
        <w:t>inform member decision making in selecting superannuation products, investment options and insurance cover</w:t>
      </w:r>
      <w:r w:rsidR="00BC29F2" w:rsidRPr="008F1B7C">
        <w:t xml:space="preserve"> </w:t>
      </w:r>
      <w:proofErr w:type="gramStart"/>
      <w:r w:rsidR="00DF59D2" w:rsidRPr="008F1B7C">
        <w:t>in order to</w:t>
      </w:r>
      <w:proofErr w:type="gramEnd"/>
      <w:r w:rsidR="00BC29F2" w:rsidRPr="008F1B7C">
        <w:t xml:space="preserve"> deliver good outcome</w:t>
      </w:r>
      <w:r w:rsidR="00DF59D2" w:rsidRPr="008F1B7C">
        <w:t>s</w:t>
      </w:r>
      <w:r w:rsidR="00BC29F2" w:rsidRPr="008F1B7C">
        <w:t xml:space="preserve"> for their circumstances</w:t>
      </w:r>
      <w:r w:rsidR="00323085" w:rsidRPr="008F1B7C">
        <w:t xml:space="preserve">. </w:t>
      </w:r>
    </w:p>
    <w:p w14:paraId="52C2F859" w14:textId="79A03676" w:rsidR="00323085" w:rsidRPr="008F1B7C" w:rsidRDefault="00323085" w:rsidP="00323085">
      <w:r w:rsidRPr="008F1B7C">
        <w:t xml:space="preserve">Enhanced data is needed to produce comparable measures of relative investment performance, relative fees and costs charged and disclosed, relative cost and value of insurance policies, relative expenditure for different types of expenses, and the metrics </w:t>
      </w:r>
      <w:r w:rsidRPr="008F1B7C">
        <w:lastRenderedPageBreak/>
        <w:t>which illustrate the</w:t>
      </w:r>
      <w:r w:rsidR="00DF59D2" w:rsidRPr="008F1B7C">
        <w:t>ir</w:t>
      </w:r>
      <w:r w:rsidRPr="008F1B7C">
        <w:t xml:space="preserve"> drivers </w:t>
      </w:r>
      <w:r w:rsidR="00DF59D2" w:rsidRPr="008F1B7C">
        <w:t>and key components</w:t>
      </w:r>
      <w:r w:rsidRPr="008F1B7C">
        <w:t xml:space="preserve">. APRA will use these measures in internal reports to identify areas for supervisory </w:t>
      </w:r>
      <w:proofErr w:type="gramStart"/>
      <w:r w:rsidRPr="008F1B7C">
        <w:t>intervention, and</w:t>
      </w:r>
      <w:proofErr w:type="gramEnd"/>
      <w:r w:rsidRPr="008F1B7C">
        <w:t xml:space="preserve"> publish these measures in publications including heatmaps. Supervisory intervention, use of these measures by RSE licensees as part of their outcomes assessment and increased public scrutiny will lead to RSE licensees making changes </w:t>
      </w:r>
      <w:r w:rsidR="00FC6D1D" w:rsidRPr="008F1B7C">
        <w:t>which</w:t>
      </w:r>
      <w:r w:rsidRPr="008F1B7C">
        <w:t xml:space="preserve"> improve future outcomes </w:t>
      </w:r>
      <w:r w:rsidR="0041058D" w:rsidRPr="008F1B7C">
        <w:t>for</w:t>
      </w:r>
      <w:r w:rsidRPr="008F1B7C">
        <w:t xml:space="preserve"> members including: </w:t>
      </w:r>
    </w:p>
    <w:p w14:paraId="1CBE5DD4" w14:textId="77777777" w:rsidR="00323085" w:rsidRPr="008F1B7C" w:rsidRDefault="00323085" w:rsidP="005139E3">
      <w:pPr>
        <w:pStyle w:val="ListParagraph"/>
        <w:numPr>
          <w:ilvl w:val="0"/>
          <w:numId w:val="32"/>
        </w:numPr>
        <w:tabs>
          <w:tab w:val="clear" w:pos="425"/>
          <w:tab w:val="clear" w:pos="851"/>
        </w:tabs>
        <w:spacing w:after="0"/>
        <w:contextualSpacing w:val="0"/>
        <w:jc w:val="left"/>
      </w:pPr>
      <w:r w:rsidRPr="008F1B7C">
        <w:t xml:space="preserve">reducing or restructuring fees and costs, </w:t>
      </w:r>
    </w:p>
    <w:p w14:paraId="4E224C48" w14:textId="77777777" w:rsidR="00323085" w:rsidRPr="008F1B7C" w:rsidRDefault="00323085" w:rsidP="005139E3">
      <w:pPr>
        <w:pStyle w:val="ListParagraph"/>
        <w:numPr>
          <w:ilvl w:val="0"/>
          <w:numId w:val="32"/>
        </w:numPr>
        <w:tabs>
          <w:tab w:val="clear" w:pos="425"/>
          <w:tab w:val="clear" w:pos="851"/>
        </w:tabs>
        <w:spacing w:after="0"/>
        <w:contextualSpacing w:val="0"/>
        <w:jc w:val="left"/>
      </w:pPr>
      <w:r w:rsidRPr="008F1B7C">
        <w:t>reviewing investment strategies and investment manager performance</w:t>
      </w:r>
    </w:p>
    <w:p w14:paraId="14D53DD3" w14:textId="77777777" w:rsidR="00323085" w:rsidRPr="008F1B7C" w:rsidRDefault="00323085" w:rsidP="005139E3">
      <w:pPr>
        <w:pStyle w:val="ListParagraph"/>
        <w:numPr>
          <w:ilvl w:val="0"/>
          <w:numId w:val="32"/>
        </w:numPr>
        <w:tabs>
          <w:tab w:val="clear" w:pos="425"/>
          <w:tab w:val="clear" w:pos="851"/>
        </w:tabs>
        <w:spacing w:after="0"/>
        <w:contextualSpacing w:val="0"/>
        <w:jc w:val="left"/>
      </w:pPr>
      <w:r w:rsidRPr="008F1B7C">
        <w:t xml:space="preserve">reviewing service arrangements and expenditure management to reduce or cease expenditure  </w:t>
      </w:r>
    </w:p>
    <w:p w14:paraId="53B18F0F" w14:textId="12564355" w:rsidR="00323085" w:rsidRPr="008F1B7C" w:rsidRDefault="00323085" w:rsidP="005139E3">
      <w:pPr>
        <w:pStyle w:val="ListParagraph"/>
        <w:numPr>
          <w:ilvl w:val="0"/>
          <w:numId w:val="32"/>
        </w:numPr>
        <w:tabs>
          <w:tab w:val="clear" w:pos="425"/>
          <w:tab w:val="clear" w:pos="851"/>
        </w:tabs>
        <w:spacing w:after="0"/>
        <w:contextualSpacing w:val="0"/>
        <w:jc w:val="left"/>
      </w:pPr>
      <w:r w:rsidRPr="008F1B7C">
        <w:t xml:space="preserve">reviewing insurance arrangements, enhancing insurance design, </w:t>
      </w:r>
      <w:r w:rsidR="00DF59D2" w:rsidRPr="008F1B7C">
        <w:t xml:space="preserve">and </w:t>
      </w:r>
      <w:r w:rsidRPr="008F1B7C">
        <w:t>reduc</w:t>
      </w:r>
      <w:r w:rsidR="00DF59D2" w:rsidRPr="008F1B7C">
        <w:t>ing</w:t>
      </w:r>
      <w:r w:rsidRPr="008F1B7C">
        <w:t xml:space="preserve"> inappropriate cross subsidisation</w:t>
      </w:r>
    </w:p>
    <w:p w14:paraId="63D33AA8" w14:textId="77777777" w:rsidR="00323085" w:rsidRPr="008F1B7C" w:rsidRDefault="00323085" w:rsidP="00323085">
      <w:pPr>
        <w:tabs>
          <w:tab w:val="left" w:pos="425"/>
          <w:tab w:val="left" w:pos="851"/>
        </w:tabs>
        <w:contextualSpacing/>
        <w:jc w:val="both"/>
      </w:pPr>
    </w:p>
    <w:p w14:paraId="2BDE9DB4" w14:textId="22E014B1" w:rsidR="00323085" w:rsidRPr="008F1B7C" w:rsidRDefault="000F24E3" w:rsidP="00323085">
      <w:pPr>
        <w:tabs>
          <w:tab w:val="left" w:pos="425"/>
          <w:tab w:val="left" w:pos="851"/>
        </w:tabs>
        <w:contextualSpacing/>
        <w:jc w:val="both"/>
      </w:pPr>
      <w:r w:rsidRPr="008F1B7C">
        <w:t xml:space="preserve">Enhanced data is needed to </w:t>
      </w:r>
      <w:r w:rsidRPr="008F1B7C">
        <w:rPr>
          <w:rFonts w:cs="Arial"/>
        </w:rPr>
        <w:t xml:space="preserve">enable administration of the </w:t>
      </w:r>
      <w:r w:rsidR="00DF59D2" w:rsidRPr="008F1B7C">
        <w:rPr>
          <w:rFonts w:cs="Arial"/>
        </w:rPr>
        <w:t xml:space="preserve">YFYS </w:t>
      </w:r>
      <w:r w:rsidRPr="008F1B7C">
        <w:rPr>
          <w:rFonts w:cs="Arial"/>
        </w:rPr>
        <w:t xml:space="preserve">performance test for Choice products, the outcomes of which </w:t>
      </w:r>
      <w:r w:rsidRPr="008F1B7C">
        <w:t>will influence members directly including</w:t>
      </w:r>
      <w:r w:rsidR="009E0F15" w:rsidRPr="008F1B7C">
        <w:t>:</w:t>
      </w:r>
    </w:p>
    <w:p w14:paraId="1654C12F" w14:textId="59E946E9" w:rsidR="00323085" w:rsidRPr="008F1B7C" w:rsidRDefault="00323085" w:rsidP="005139E3">
      <w:pPr>
        <w:pStyle w:val="ListParagraph"/>
        <w:numPr>
          <w:ilvl w:val="0"/>
          <w:numId w:val="33"/>
        </w:numPr>
      </w:pPr>
      <w:r w:rsidRPr="008F1B7C">
        <w:t>Products which fail the performance test must write to members within 28 days of the test in a prescribed form</w:t>
      </w:r>
      <w:r w:rsidR="00FC6D1D" w:rsidRPr="00635054">
        <w:rPr>
          <w:rStyle w:val="FootnoteReference"/>
        </w:rPr>
        <w:footnoteReference w:id="21"/>
      </w:r>
      <w:r w:rsidRPr="00635054">
        <w:t xml:space="preserve"> which includes a</w:t>
      </w:r>
      <w:r w:rsidR="009E0F15" w:rsidRPr="008F1B7C">
        <w:t xml:space="preserve"> </w:t>
      </w:r>
      <w:r w:rsidR="00FC6D1D" w:rsidRPr="008F1B7C">
        <w:t>suggestion</w:t>
      </w:r>
      <w:r w:rsidR="009E0F15" w:rsidRPr="008F1B7C">
        <w:t xml:space="preserve"> to members to</w:t>
      </w:r>
      <w:r w:rsidRPr="008F1B7C">
        <w:t xml:space="preserve"> </w:t>
      </w:r>
      <w:r w:rsidR="009E0F15" w:rsidRPr="008F1B7C">
        <w:t>consider moving their money into a different superannuation product.</w:t>
      </w:r>
    </w:p>
    <w:p w14:paraId="4C83E3CB" w14:textId="72AEB2F3" w:rsidR="00323085" w:rsidRPr="008F1B7C" w:rsidRDefault="00CC2F75" w:rsidP="00E11B9C">
      <w:pPr>
        <w:pStyle w:val="ListParagraph"/>
        <w:numPr>
          <w:ilvl w:val="0"/>
          <w:numId w:val="33"/>
        </w:numPr>
        <w:jc w:val="left"/>
      </w:pPr>
      <w:r w:rsidRPr="008F1B7C">
        <w:t>Where a product fails the performance test in two consecutive years, the RSE licensee will be prohibited from accepting new beneficiaries into that product.</w:t>
      </w:r>
      <w:r w:rsidR="00323085" w:rsidRPr="008F1B7C">
        <w:t>, which prevents members from joining persistently underperforming products.</w:t>
      </w:r>
    </w:p>
    <w:p w14:paraId="1A518D84" w14:textId="1261CE1A" w:rsidR="00F66C57" w:rsidRPr="008F1B7C" w:rsidRDefault="00BD7BF1">
      <w:pPr>
        <w:autoSpaceDE w:val="0"/>
        <w:autoSpaceDN w:val="0"/>
        <w:adjustRightInd w:val="0"/>
        <w:spacing w:after="0"/>
      </w:pPr>
      <w:r w:rsidRPr="008F1B7C">
        <w:t>Th</w:t>
      </w:r>
      <w:r w:rsidR="009E0F15" w:rsidRPr="008F1B7C">
        <w:t xml:space="preserve">e current </w:t>
      </w:r>
      <w:r w:rsidRPr="008F1B7C">
        <w:t xml:space="preserve">data collection has </w:t>
      </w:r>
      <w:r w:rsidR="00F03145" w:rsidRPr="008F1B7C">
        <w:t xml:space="preserve">also </w:t>
      </w:r>
      <w:r w:rsidRPr="008F1B7C">
        <w:t xml:space="preserve">enabled </w:t>
      </w:r>
      <w:bookmarkStart w:id="31" w:name="_Hlk78817361"/>
      <w:r w:rsidRPr="008F1B7C">
        <w:t xml:space="preserve">APRA to </w:t>
      </w:r>
      <w:r w:rsidR="005841A1" w:rsidRPr="008F1B7C">
        <w:t xml:space="preserve">provide </w:t>
      </w:r>
      <w:r w:rsidR="001E45BE" w:rsidRPr="008F1B7C">
        <w:t xml:space="preserve">increased </w:t>
      </w:r>
      <w:r w:rsidR="005841A1" w:rsidRPr="008F1B7C">
        <w:t xml:space="preserve">transparency on RSE licensee performance by </w:t>
      </w:r>
      <w:r w:rsidRPr="008F1B7C">
        <w:t>publish</w:t>
      </w:r>
      <w:r w:rsidR="005841A1" w:rsidRPr="008F1B7C">
        <w:t>ing</w:t>
      </w:r>
      <w:r w:rsidRPr="008F1B7C">
        <w:t xml:space="preserve"> an annual </w:t>
      </w:r>
      <w:proofErr w:type="spellStart"/>
      <w:r w:rsidRPr="008F1B7C">
        <w:t>MySuper</w:t>
      </w:r>
      <w:proofErr w:type="spellEnd"/>
      <w:r w:rsidRPr="008F1B7C">
        <w:t xml:space="preserve"> heatmap</w:t>
      </w:r>
      <w:bookmarkEnd w:id="31"/>
      <w:r w:rsidRPr="008F1B7C">
        <w:t xml:space="preserve"> that displays investment performance and fee levels and enables comparison of </w:t>
      </w:r>
      <w:proofErr w:type="spellStart"/>
      <w:r w:rsidRPr="008F1B7C">
        <w:t>MySuper</w:t>
      </w:r>
      <w:proofErr w:type="spellEnd"/>
      <w:r w:rsidRPr="008F1B7C">
        <w:t xml:space="preserve"> products across the industry. This increased transparency has focused supervisory</w:t>
      </w:r>
      <w:r w:rsidR="005841A1" w:rsidRPr="008F1B7C">
        <w:t>, industry</w:t>
      </w:r>
      <w:r w:rsidRPr="008F1B7C">
        <w:t xml:space="preserve"> and public attention on the poorest performers</w:t>
      </w:r>
      <w:r w:rsidR="005841A1" w:rsidRPr="008F1B7C">
        <w:t xml:space="preserve"> in the sector and delivered measurable improvements for members in </w:t>
      </w:r>
      <w:r w:rsidR="007D3A26" w:rsidRPr="008F1B7C">
        <w:t xml:space="preserve">most </w:t>
      </w:r>
      <w:proofErr w:type="spellStart"/>
      <w:r w:rsidR="007D3A26" w:rsidRPr="008F1B7C">
        <w:t>MySuper</w:t>
      </w:r>
      <w:proofErr w:type="spellEnd"/>
      <w:r w:rsidR="007D3A26" w:rsidRPr="008F1B7C">
        <w:t xml:space="preserve"> products</w:t>
      </w:r>
      <w:r w:rsidR="00605C72" w:rsidRPr="008F1B7C">
        <w:t xml:space="preserve">. </w:t>
      </w:r>
      <w:bookmarkStart w:id="32" w:name="_Hlk78817196"/>
    </w:p>
    <w:p w14:paraId="249867B2" w14:textId="77777777" w:rsidR="00437FF8" w:rsidRPr="008F1B7C" w:rsidRDefault="00437FF8">
      <w:pPr>
        <w:autoSpaceDE w:val="0"/>
        <w:autoSpaceDN w:val="0"/>
        <w:adjustRightInd w:val="0"/>
        <w:spacing w:after="0"/>
      </w:pPr>
    </w:p>
    <w:p w14:paraId="5F5E3254" w14:textId="4D2C7417" w:rsidR="009E0F15" w:rsidRPr="008F1B7C" w:rsidRDefault="009E0F15" w:rsidP="00E11B9C">
      <w:pPr>
        <w:tabs>
          <w:tab w:val="left" w:pos="425"/>
          <w:tab w:val="left" w:pos="851"/>
        </w:tabs>
        <w:contextualSpacing/>
      </w:pPr>
      <w:r w:rsidRPr="008F1B7C">
        <w:t xml:space="preserve">Publication of the </w:t>
      </w:r>
      <w:proofErr w:type="spellStart"/>
      <w:r w:rsidRPr="008F1B7C">
        <w:t>MySuper</w:t>
      </w:r>
      <w:proofErr w:type="spellEnd"/>
      <w:r w:rsidRPr="008F1B7C">
        <w:t xml:space="preserve"> product heatmap has shown that public scrutiny on measures of performance </w:t>
      </w:r>
      <w:r w:rsidR="00FC6D1D" w:rsidRPr="008F1B7C">
        <w:t xml:space="preserve">published by </w:t>
      </w:r>
      <w:r w:rsidRPr="008F1B7C">
        <w:t xml:space="preserve">APRA </w:t>
      </w:r>
      <w:proofErr w:type="gramStart"/>
      <w:r w:rsidRPr="008F1B7C">
        <w:t>are</w:t>
      </w:r>
      <w:proofErr w:type="gramEnd"/>
      <w:r w:rsidRPr="008F1B7C">
        <w:t xml:space="preserve"> utilised by other stakeholders including media, financial planners, researchers and consumer groups to highlight underperformers</w:t>
      </w:r>
      <w:r w:rsidR="00DF59D2" w:rsidRPr="008F1B7C">
        <w:t>,</w:t>
      </w:r>
      <w:r w:rsidRPr="008F1B7C">
        <w:t xml:space="preserve"> which </w:t>
      </w:r>
      <w:r w:rsidR="00DF59D2" w:rsidRPr="008F1B7C">
        <w:t xml:space="preserve">in turn is likely to </w:t>
      </w:r>
      <w:r w:rsidRPr="008F1B7C">
        <w:t xml:space="preserve">prompt members to consider moving assets from underperforming assets. </w:t>
      </w:r>
      <w:r w:rsidR="00CC2F75" w:rsidRPr="008F1B7C">
        <w:t xml:space="preserve">APRA has </w:t>
      </w:r>
      <w:r w:rsidR="00FC6D1D" w:rsidRPr="008F1B7C">
        <w:t xml:space="preserve">also </w:t>
      </w:r>
      <w:r w:rsidR="00CC2F75" w:rsidRPr="008F1B7C">
        <w:t>provid</w:t>
      </w:r>
      <w:r w:rsidR="00FC6D1D" w:rsidRPr="008F1B7C">
        <w:t>ed</w:t>
      </w:r>
      <w:r w:rsidR="00CC2F75" w:rsidRPr="008F1B7C">
        <w:t xml:space="preserve"> </w:t>
      </w:r>
      <w:proofErr w:type="spellStart"/>
      <w:r w:rsidR="00CC2F75" w:rsidRPr="008F1B7C">
        <w:t>MySuper</w:t>
      </w:r>
      <w:proofErr w:type="spellEnd"/>
      <w:r w:rsidR="00CC2F75" w:rsidRPr="008F1B7C">
        <w:t xml:space="preserve"> data to the Australian Tax Office (‘ATO’) for inclusion in the </w:t>
      </w:r>
      <w:proofErr w:type="spellStart"/>
      <w:r w:rsidR="00CC2F75" w:rsidRPr="008F1B7C">
        <w:t>YourSuper</w:t>
      </w:r>
      <w:proofErr w:type="spellEnd"/>
      <w:r w:rsidR="00CC2F75" w:rsidRPr="008F1B7C">
        <w:t xml:space="preserve"> comparison tool (‘comparison tool’), empowering members to choose a well-performing product that meets their needs</w:t>
      </w:r>
      <w:r w:rsidRPr="008F1B7C">
        <w:t>.</w:t>
      </w:r>
    </w:p>
    <w:p w14:paraId="743EE212" w14:textId="77777777" w:rsidR="009E0F15" w:rsidRPr="008F1B7C" w:rsidRDefault="009E0F15" w:rsidP="009E0F15">
      <w:pPr>
        <w:tabs>
          <w:tab w:val="left" w:pos="425"/>
          <w:tab w:val="left" w:pos="851"/>
        </w:tabs>
        <w:contextualSpacing/>
        <w:jc w:val="both"/>
      </w:pPr>
    </w:p>
    <w:p w14:paraId="28AACABF" w14:textId="52AA6AA0" w:rsidR="00BD7BF1" w:rsidRPr="00635054" w:rsidRDefault="00F66C57" w:rsidP="00917284">
      <w:pPr>
        <w:autoSpaceDE w:val="0"/>
        <w:autoSpaceDN w:val="0"/>
        <w:adjustRightInd w:val="0"/>
        <w:spacing w:after="0"/>
        <w:rPr>
          <w:rFonts w:ascii="Helvetica" w:hAnsi="Helvetica" w:cs="Helvetica"/>
        </w:rPr>
      </w:pPr>
      <w:r w:rsidRPr="008F1B7C">
        <w:t>An example of benefits from transparency on product performance can be seen in the benefits realised between</w:t>
      </w:r>
      <w:r w:rsidR="003F3D49" w:rsidRPr="008F1B7C">
        <w:t xml:space="preserve"> the </w:t>
      </w:r>
      <w:r w:rsidR="00F833E2" w:rsidRPr="008F1B7C">
        <w:t xml:space="preserve">release of the first </w:t>
      </w:r>
      <w:proofErr w:type="spellStart"/>
      <w:r w:rsidR="00F833E2" w:rsidRPr="008F1B7C">
        <w:t>MySuper</w:t>
      </w:r>
      <w:proofErr w:type="spellEnd"/>
      <w:r w:rsidR="00F833E2" w:rsidRPr="008F1B7C">
        <w:t xml:space="preserve"> product heatmap in December 2019 and the </w:t>
      </w:r>
      <w:r w:rsidR="005841A1" w:rsidRPr="008F1B7C">
        <w:t>updated</w:t>
      </w:r>
      <w:r w:rsidR="003F3D49" w:rsidRPr="008F1B7C">
        <w:t xml:space="preserve"> </w:t>
      </w:r>
      <w:r w:rsidR="00F833E2" w:rsidRPr="008F1B7C">
        <w:t>heatmap in December 2020</w:t>
      </w:r>
      <w:r w:rsidRPr="008F1B7C">
        <w:t>.</w:t>
      </w:r>
      <w:r w:rsidR="00605C72" w:rsidRPr="008F1B7C">
        <w:t xml:space="preserve"> </w:t>
      </w:r>
      <w:r w:rsidR="00BD7BF1" w:rsidRPr="008F1B7C">
        <w:rPr>
          <w:rFonts w:ascii="Helvetica" w:hAnsi="Helvetica" w:cs="Helvetica"/>
        </w:rPr>
        <w:t xml:space="preserve">APRA has seen </w:t>
      </w:r>
      <w:bookmarkEnd w:id="32"/>
      <w:r w:rsidR="00BD7BF1" w:rsidRPr="008F1B7C">
        <w:rPr>
          <w:rFonts w:ascii="Helvetica" w:hAnsi="Helvetica" w:cs="Helvetica"/>
        </w:rPr>
        <w:t>the following impacts</w:t>
      </w:r>
      <w:r w:rsidR="00605C72" w:rsidRPr="008F1B7C">
        <w:rPr>
          <w:rFonts w:ascii="Helvetica" w:hAnsi="Helvetica" w:cs="Helvetica"/>
        </w:rPr>
        <w:t xml:space="preserve"> in response from RSE </w:t>
      </w:r>
      <w:r w:rsidR="007D3A26" w:rsidRPr="008F1B7C">
        <w:rPr>
          <w:rFonts w:ascii="Helvetica" w:hAnsi="Helvetica" w:cs="Helvetica"/>
        </w:rPr>
        <w:t>l</w:t>
      </w:r>
      <w:r w:rsidR="00605C72" w:rsidRPr="008F1B7C">
        <w:rPr>
          <w:rFonts w:ascii="Helvetica" w:hAnsi="Helvetica" w:cs="Helvetica"/>
        </w:rPr>
        <w:t>icensees</w:t>
      </w:r>
      <w:bookmarkEnd w:id="29"/>
      <w:r w:rsidR="00F833E2" w:rsidRPr="00635054">
        <w:rPr>
          <w:rStyle w:val="FootnoteReference"/>
          <w:rFonts w:ascii="Helvetica" w:hAnsi="Helvetica" w:cs="Helvetica"/>
        </w:rPr>
        <w:footnoteReference w:id="22"/>
      </w:r>
      <w:r w:rsidR="00BD7BF1" w:rsidRPr="00635054">
        <w:rPr>
          <w:rFonts w:ascii="Helvetica" w:hAnsi="Helvetica" w:cs="Helvetica"/>
        </w:rPr>
        <w:t>:</w:t>
      </w:r>
    </w:p>
    <w:bookmarkEnd w:id="30"/>
    <w:p w14:paraId="3B30D3E2" w14:textId="44BB9B34" w:rsidR="00BD7BF1" w:rsidRPr="008F1B7C" w:rsidRDefault="00BD7BF1" w:rsidP="00E11B9C">
      <w:pPr>
        <w:numPr>
          <w:ilvl w:val="0"/>
          <w:numId w:val="13"/>
        </w:numPr>
        <w:spacing w:after="100" w:afterAutospacing="1"/>
        <w:rPr>
          <w:rFonts w:ascii="Helvetica" w:hAnsi="Helvetica" w:cs="Helvetica"/>
          <w:color w:val="000000"/>
        </w:rPr>
      </w:pPr>
      <w:r w:rsidRPr="008F1B7C">
        <w:rPr>
          <w:rFonts w:ascii="Helvetica" w:hAnsi="Helvetica" w:cs="Helvetica"/>
          <w:color w:val="000000"/>
        </w:rPr>
        <w:t xml:space="preserve">11 of the </w:t>
      </w:r>
      <w:proofErr w:type="spellStart"/>
      <w:r w:rsidRPr="008F1B7C">
        <w:rPr>
          <w:rFonts w:ascii="Helvetica" w:hAnsi="Helvetica" w:cs="Helvetica"/>
          <w:color w:val="000000"/>
        </w:rPr>
        <w:t>MySuper</w:t>
      </w:r>
      <w:proofErr w:type="spellEnd"/>
      <w:r w:rsidRPr="008F1B7C">
        <w:rPr>
          <w:rFonts w:ascii="Helvetica" w:hAnsi="Helvetica" w:cs="Helvetica"/>
          <w:color w:val="000000"/>
        </w:rPr>
        <w:t xml:space="preserve"> products that underperformed the investment benchmarks have exited the </w:t>
      </w:r>
      <w:proofErr w:type="gramStart"/>
      <w:r w:rsidRPr="008F1B7C">
        <w:rPr>
          <w:rFonts w:ascii="Helvetica" w:hAnsi="Helvetica" w:cs="Helvetica"/>
          <w:color w:val="000000"/>
        </w:rPr>
        <w:t>industry;</w:t>
      </w:r>
      <w:proofErr w:type="gramEnd"/>
    </w:p>
    <w:p w14:paraId="5B3D5E6A" w14:textId="6C3DE245" w:rsidR="00BD7BF1" w:rsidRPr="008F1B7C" w:rsidRDefault="00BD7BF1" w:rsidP="005139E3">
      <w:pPr>
        <w:numPr>
          <w:ilvl w:val="0"/>
          <w:numId w:val="13"/>
        </w:numPr>
        <w:spacing w:before="100" w:beforeAutospacing="1" w:after="100" w:afterAutospacing="1"/>
        <w:rPr>
          <w:rFonts w:ascii="Helvetica" w:hAnsi="Helvetica" w:cs="Helvetica"/>
          <w:color w:val="000000"/>
        </w:rPr>
      </w:pPr>
      <w:r w:rsidRPr="008F1B7C">
        <w:rPr>
          <w:rFonts w:ascii="Helvetica" w:hAnsi="Helvetica" w:cs="Helvetica"/>
          <w:color w:val="000000"/>
        </w:rPr>
        <w:t xml:space="preserve">71 per cent of </w:t>
      </w:r>
      <w:proofErr w:type="spellStart"/>
      <w:r w:rsidRPr="008F1B7C">
        <w:rPr>
          <w:rFonts w:ascii="Helvetica" w:hAnsi="Helvetica" w:cs="Helvetica"/>
          <w:color w:val="000000"/>
        </w:rPr>
        <w:t>MySuper</w:t>
      </w:r>
      <w:proofErr w:type="spellEnd"/>
      <w:r w:rsidRPr="008F1B7C">
        <w:rPr>
          <w:rFonts w:ascii="Helvetica" w:hAnsi="Helvetica" w:cs="Helvetica"/>
          <w:color w:val="000000"/>
        </w:rPr>
        <w:t xml:space="preserve"> members (10 million members) are paying less in total fees and costs; and</w:t>
      </w:r>
    </w:p>
    <w:p w14:paraId="5C5BF620" w14:textId="2C14664B" w:rsidR="00BD7BF1" w:rsidRPr="008F1B7C" w:rsidRDefault="00BD7BF1" w:rsidP="005139E3">
      <w:pPr>
        <w:numPr>
          <w:ilvl w:val="0"/>
          <w:numId w:val="13"/>
        </w:numPr>
        <w:spacing w:before="100" w:beforeAutospacing="1" w:after="100" w:afterAutospacing="1"/>
        <w:rPr>
          <w:rFonts w:ascii="Helvetica" w:hAnsi="Helvetica" w:cs="Helvetica"/>
          <w:color w:val="000000"/>
        </w:rPr>
      </w:pPr>
      <w:r w:rsidRPr="008F1B7C">
        <w:rPr>
          <w:rFonts w:ascii="Helvetica" w:hAnsi="Helvetica" w:cs="Helvetica"/>
          <w:color w:val="000000"/>
        </w:rPr>
        <w:t>an estimated $408m annual saving in total fees and costs</w:t>
      </w:r>
      <w:r w:rsidR="005841A1" w:rsidRPr="008F1B7C">
        <w:rPr>
          <w:rFonts w:ascii="Helvetica" w:hAnsi="Helvetica" w:cs="Helvetica"/>
          <w:color w:val="000000"/>
        </w:rPr>
        <w:t xml:space="preserve"> across the </w:t>
      </w:r>
      <w:proofErr w:type="spellStart"/>
      <w:r w:rsidR="005841A1" w:rsidRPr="008F1B7C">
        <w:rPr>
          <w:rFonts w:ascii="Helvetica" w:hAnsi="Helvetica" w:cs="Helvetica"/>
          <w:color w:val="000000"/>
        </w:rPr>
        <w:t>MySuper</w:t>
      </w:r>
      <w:proofErr w:type="spellEnd"/>
      <w:r w:rsidR="005841A1" w:rsidRPr="008F1B7C">
        <w:rPr>
          <w:rFonts w:ascii="Helvetica" w:hAnsi="Helvetica" w:cs="Helvetica"/>
          <w:color w:val="000000"/>
        </w:rPr>
        <w:t xml:space="preserve"> product cohort</w:t>
      </w:r>
      <w:r w:rsidRPr="008F1B7C">
        <w:rPr>
          <w:rFonts w:ascii="Helvetica" w:hAnsi="Helvetica" w:cs="Helvetica"/>
          <w:color w:val="000000"/>
        </w:rPr>
        <w:t xml:space="preserve"> has been achieved.</w:t>
      </w:r>
    </w:p>
    <w:p w14:paraId="3DE13FFA" w14:textId="06A43BA9" w:rsidR="003F3D49" w:rsidRPr="008F1B7C" w:rsidRDefault="003F3D49" w:rsidP="003F3D49">
      <w:pPr>
        <w:keepNext/>
        <w:rPr>
          <w:u w:val="single"/>
        </w:rPr>
      </w:pPr>
      <w:r w:rsidRPr="008F1B7C">
        <w:rPr>
          <w:u w:val="single"/>
        </w:rPr>
        <w:lastRenderedPageBreak/>
        <w:t xml:space="preserve">Comparability, </w:t>
      </w:r>
      <w:proofErr w:type="gramStart"/>
      <w:r w:rsidRPr="008F1B7C">
        <w:rPr>
          <w:u w:val="single"/>
        </w:rPr>
        <w:t>consistency</w:t>
      </w:r>
      <w:proofErr w:type="gramEnd"/>
      <w:r w:rsidRPr="008F1B7C">
        <w:rPr>
          <w:u w:val="single"/>
        </w:rPr>
        <w:t xml:space="preserve"> and coverage of data is needed</w:t>
      </w:r>
    </w:p>
    <w:p w14:paraId="5BAC68E6" w14:textId="6591702C" w:rsidR="003F3D49" w:rsidRPr="008F1B7C" w:rsidRDefault="003F3D49" w:rsidP="003F3D49">
      <w:r w:rsidRPr="008F1B7C">
        <w:t xml:space="preserve">Action is required to address the </w:t>
      </w:r>
      <w:r w:rsidRPr="008F1B7C">
        <w:rPr>
          <w:rFonts w:ascii="Helvetica" w:hAnsi="Helvetica" w:cs="Helvetica"/>
          <w:color w:val="000000"/>
        </w:rPr>
        <w:t xml:space="preserve">coverage issues with the current data collection and </w:t>
      </w:r>
      <w:r w:rsidRPr="008F1B7C">
        <w:t>enhance the comparability and consistency of data reported to APRA.</w:t>
      </w:r>
    </w:p>
    <w:p w14:paraId="440354CE" w14:textId="31EF0DAD" w:rsidR="008B1490" w:rsidRPr="008F1B7C" w:rsidRDefault="008B1490" w:rsidP="00077132">
      <w:r w:rsidRPr="008F1B7C">
        <w:rPr>
          <w:rFonts w:ascii="Helvetica" w:hAnsi="Helvetica" w:cs="Helvetica"/>
        </w:rPr>
        <w:t>Update</w:t>
      </w:r>
      <w:r w:rsidR="00AE3E75" w:rsidRPr="008F1B7C">
        <w:rPr>
          <w:rFonts w:ascii="Helvetica" w:hAnsi="Helvetica" w:cs="Helvetica"/>
        </w:rPr>
        <w:t xml:space="preserve">d </w:t>
      </w:r>
      <w:r w:rsidRPr="008F1B7C">
        <w:rPr>
          <w:rFonts w:ascii="Helvetica" w:hAnsi="Helvetica" w:cs="Helvetica"/>
          <w:i/>
        </w:rPr>
        <w:t>ASIC Regulatory Guide 97: Disclosing fees and costs in PDSs and periodic statements</w:t>
      </w:r>
      <w:r w:rsidRPr="008F1B7C">
        <w:rPr>
          <w:i/>
        </w:rPr>
        <w:t xml:space="preserve"> </w:t>
      </w:r>
      <w:r w:rsidRPr="008F1B7C">
        <w:t xml:space="preserve">(RG 97) </w:t>
      </w:r>
      <w:r w:rsidR="00AE3E75" w:rsidRPr="008F1B7C">
        <w:t xml:space="preserve">which sets out requirements for </w:t>
      </w:r>
      <w:r w:rsidR="007169AB" w:rsidRPr="008F1B7C">
        <w:t xml:space="preserve">fee and cost </w:t>
      </w:r>
      <w:r w:rsidR="00AE3E75" w:rsidRPr="008F1B7C">
        <w:t>disclosure in the P</w:t>
      </w:r>
      <w:r w:rsidR="00CD4A91" w:rsidRPr="008F1B7C">
        <w:t xml:space="preserve">roduct </w:t>
      </w:r>
      <w:r w:rsidR="00AE3E75" w:rsidRPr="008F1B7C">
        <w:t>D</w:t>
      </w:r>
      <w:r w:rsidR="00CD4A91" w:rsidRPr="008F1B7C">
        <w:t xml:space="preserve">isclosure </w:t>
      </w:r>
      <w:r w:rsidR="00AE3E75" w:rsidRPr="008F1B7C">
        <w:t>S</w:t>
      </w:r>
      <w:r w:rsidR="00CD4A91" w:rsidRPr="008F1B7C">
        <w:t>tatement (</w:t>
      </w:r>
      <w:r w:rsidR="00AE3E75" w:rsidRPr="008F1B7C">
        <w:t>PDS</w:t>
      </w:r>
      <w:r w:rsidR="00CD4A91" w:rsidRPr="008F1B7C">
        <w:t>)</w:t>
      </w:r>
      <w:r w:rsidR="00AE3E75" w:rsidRPr="008F1B7C">
        <w:t xml:space="preserve"> and periodic statements </w:t>
      </w:r>
      <w:r w:rsidRPr="008F1B7C">
        <w:t xml:space="preserve">will be adopted by RSE licensees </w:t>
      </w:r>
      <w:r w:rsidR="00AE3E75" w:rsidRPr="008F1B7C">
        <w:t>from 2021</w:t>
      </w:r>
      <w:r w:rsidRPr="008F1B7C">
        <w:t xml:space="preserve">. The </w:t>
      </w:r>
      <w:r w:rsidR="007169AB" w:rsidRPr="008F1B7C">
        <w:t xml:space="preserve">fees and costs reported under the </w:t>
      </w:r>
      <w:r w:rsidR="00AE3E75" w:rsidRPr="008F1B7C">
        <w:t xml:space="preserve">current data </w:t>
      </w:r>
      <w:r w:rsidRPr="008F1B7C">
        <w:t>collection</w:t>
      </w:r>
      <w:r w:rsidR="00626187" w:rsidRPr="008F1B7C">
        <w:t xml:space="preserve"> align to the previous disclosure </w:t>
      </w:r>
      <w:r w:rsidR="006635FB" w:rsidRPr="008F1B7C">
        <w:t>requirements</w:t>
      </w:r>
      <w:r w:rsidR="00626187" w:rsidRPr="008F1B7C">
        <w:t>. Upon adopting updated RG 97 this data</w:t>
      </w:r>
      <w:r w:rsidRPr="008F1B7C">
        <w:t xml:space="preserve"> </w:t>
      </w:r>
      <w:r w:rsidR="000905A9" w:rsidRPr="008F1B7C">
        <w:t>will</w:t>
      </w:r>
      <w:r w:rsidRPr="008F1B7C">
        <w:t xml:space="preserve"> no longer be aligned with </w:t>
      </w:r>
      <w:r w:rsidR="000905A9" w:rsidRPr="008F1B7C">
        <w:t>the disclosure categories</w:t>
      </w:r>
      <w:r w:rsidR="00AE3E75" w:rsidRPr="008F1B7C">
        <w:t xml:space="preserve"> and definitions</w:t>
      </w:r>
      <w:r w:rsidR="000905A9" w:rsidRPr="008F1B7C">
        <w:t xml:space="preserve"> under the</w:t>
      </w:r>
      <w:r w:rsidR="00626187" w:rsidRPr="008F1B7C">
        <w:t xml:space="preserve"> new</w:t>
      </w:r>
      <w:r w:rsidR="000905A9" w:rsidRPr="008F1B7C">
        <w:t xml:space="preserve"> </w:t>
      </w:r>
      <w:r w:rsidRPr="008F1B7C">
        <w:t>disclosure requirements</w:t>
      </w:r>
      <w:r w:rsidR="004A070B" w:rsidRPr="008F1B7C">
        <w:t>,</w:t>
      </w:r>
      <w:r w:rsidRPr="008F1B7C">
        <w:t xml:space="preserve"> resulting in duplicate and inconsistent data reporting</w:t>
      </w:r>
      <w:r w:rsidRPr="00635054">
        <w:rPr>
          <w:rStyle w:val="FootnoteReference"/>
        </w:rPr>
        <w:footnoteReference w:id="23"/>
      </w:r>
      <w:r w:rsidR="00A70F56" w:rsidRPr="00635054">
        <w:t>.</w:t>
      </w:r>
      <w:r w:rsidRPr="008F1B7C">
        <w:t xml:space="preserve"> </w:t>
      </w:r>
    </w:p>
    <w:p w14:paraId="205A16AA" w14:textId="1D951151" w:rsidR="00A23B75" w:rsidRPr="008F1B7C" w:rsidRDefault="009C5551" w:rsidP="00A23B75">
      <w:pPr>
        <w:rPr>
          <w:color w:val="00559A" w:themeColor="accent3" w:themeShade="BF"/>
        </w:rPr>
      </w:pPr>
      <w:r w:rsidRPr="008F1B7C">
        <w:t xml:space="preserve">Addressing </w:t>
      </w:r>
      <w:r w:rsidR="007C701D" w:rsidRPr="008F1B7C">
        <w:t>identified</w:t>
      </w:r>
      <w:r w:rsidR="00D26ED1" w:rsidRPr="008F1B7C">
        <w:t xml:space="preserve"> data</w:t>
      </w:r>
      <w:r w:rsidRPr="008F1B7C">
        <w:t xml:space="preserve"> gaps is also needed to support Government policy making and oversight of the superannuation industry by other government agencies, and </w:t>
      </w:r>
      <w:r w:rsidR="007C701D" w:rsidRPr="008F1B7C">
        <w:t xml:space="preserve">to </w:t>
      </w:r>
      <w:r w:rsidRPr="008F1B7C">
        <w:t>provide additional transparency for all stakeholders on the outcomes being delivered for superannuation members.</w:t>
      </w:r>
      <w:r w:rsidR="008A10B4" w:rsidRPr="008F1B7C">
        <w:t xml:space="preserve"> </w:t>
      </w:r>
      <w:r w:rsidR="006C05C6" w:rsidRPr="008F1B7C">
        <w:t>D</w:t>
      </w:r>
      <w:r w:rsidR="008A10B4" w:rsidRPr="008F1B7C">
        <w:t xml:space="preserve">ata collected </w:t>
      </w:r>
      <w:r w:rsidR="00BC54E2" w:rsidRPr="008F1B7C">
        <w:t xml:space="preserve">under these proposals would be shared with ASIC </w:t>
      </w:r>
      <w:r w:rsidR="00A23B75" w:rsidRPr="008F1B7C">
        <w:t>to supplement their supervision activities</w:t>
      </w:r>
      <w:r w:rsidR="006C05C6" w:rsidRPr="008F1B7C">
        <w:t>, f</w:t>
      </w:r>
      <w:r w:rsidR="00A23B75" w:rsidRPr="008F1B7C">
        <w:t>or example</w:t>
      </w:r>
      <w:r w:rsidR="002F2710" w:rsidRPr="008F1B7C">
        <w:t>,</w:t>
      </w:r>
      <w:r w:rsidR="00A23B75" w:rsidRPr="008F1B7C">
        <w:t xml:space="preserve"> enhancements to insurance data</w:t>
      </w:r>
      <w:r w:rsidR="002527F5" w:rsidRPr="008F1B7C">
        <w:t xml:space="preserve"> collected</w:t>
      </w:r>
      <w:r w:rsidR="00A23B75" w:rsidRPr="008F1B7C">
        <w:t xml:space="preserve"> builds on an ad-hoc collection ASIC conducted with a sample of</w:t>
      </w:r>
      <w:r w:rsidR="00846EF8" w:rsidRPr="008F1B7C">
        <w:t xml:space="preserve"> </w:t>
      </w:r>
      <w:r w:rsidR="00A23B75" w:rsidRPr="008F1B7C">
        <w:t xml:space="preserve">superannuation funds in 2020 to </w:t>
      </w:r>
      <w:r w:rsidR="00846EF8" w:rsidRPr="008F1B7C">
        <w:t xml:space="preserve">explore the </w:t>
      </w:r>
      <w:r w:rsidR="005A4BE8" w:rsidRPr="008F1B7C">
        <w:t>value for money that Australians receive from default insurance</w:t>
      </w:r>
      <w:r w:rsidR="00846EF8" w:rsidRPr="008F1B7C">
        <w:t xml:space="preserve"> provided by their superannuation funds</w:t>
      </w:r>
      <w:r w:rsidR="00737E48" w:rsidRPr="00635054">
        <w:rPr>
          <w:rStyle w:val="FootnoteReference"/>
        </w:rPr>
        <w:footnoteReference w:id="24"/>
      </w:r>
      <w:r w:rsidR="00846EF8" w:rsidRPr="00635054">
        <w:t>.</w:t>
      </w:r>
      <w:r w:rsidR="00A23B75" w:rsidRPr="008F1B7C">
        <w:rPr>
          <w:color w:val="00559A" w:themeColor="accent3" w:themeShade="BF"/>
        </w:rPr>
        <w:t xml:space="preserve"> </w:t>
      </w:r>
    </w:p>
    <w:p w14:paraId="39F0EE76" w14:textId="607FCB54" w:rsidR="00623D3B" w:rsidRPr="008F1B7C" w:rsidRDefault="00D84488">
      <w:pPr>
        <w:rPr>
          <w:u w:val="single"/>
        </w:rPr>
      </w:pPr>
      <w:r w:rsidRPr="008F1B7C">
        <w:rPr>
          <w:u w:val="single"/>
        </w:rPr>
        <w:t>Making use of</w:t>
      </w:r>
      <w:r w:rsidR="00623D3B" w:rsidRPr="008F1B7C">
        <w:rPr>
          <w:u w:val="single"/>
        </w:rPr>
        <w:t xml:space="preserve"> additional powers</w:t>
      </w:r>
      <w:r w:rsidR="009A67E7" w:rsidRPr="008F1B7C">
        <w:rPr>
          <w:u w:val="single"/>
        </w:rPr>
        <w:t xml:space="preserve"> </w:t>
      </w:r>
    </w:p>
    <w:p w14:paraId="5A60F6C4" w14:textId="7502E06E" w:rsidR="00955BF8" w:rsidRPr="008F1B7C" w:rsidRDefault="00955BF8" w:rsidP="00955BF8">
      <w:r w:rsidRPr="008F1B7C">
        <w:t xml:space="preserve">APRA has been granted powers by the </w:t>
      </w:r>
      <w:r w:rsidRPr="008F1B7C">
        <w:rPr>
          <w:i/>
        </w:rPr>
        <w:t>Treasury Laws Amendment (Improving Accountability and Member Outcomes in Superannuation Measure No. 1) Act 2019</w:t>
      </w:r>
      <w:r w:rsidRPr="008F1B7C">
        <w:t xml:space="preserve"> (IAMOIS amendment) to enable APRA to look through to the underlying nature of expenses</w:t>
      </w:r>
      <w:r w:rsidR="002527F5" w:rsidRPr="008F1B7C">
        <w:t xml:space="preserve"> incurred by the fund</w:t>
      </w:r>
      <w:r w:rsidRPr="008F1B7C">
        <w:t>. Action is needed to make use of these additional powers</w:t>
      </w:r>
      <w:r w:rsidR="00D627ED" w:rsidRPr="008F1B7C">
        <w:t>,</w:t>
      </w:r>
      <w:r w:rsidRPr="008F1B7C">
        <w:t xml:space="preserve"> to </w:t>
      </w:r>
      <w:r w:rsidR="00D627ED" w:rsidRPr="008F1B7C">
        <w:t>better enable</w:t>
      </w:r>
      <w:r w:rsidRPr="008F1B7C">
        <w:t xml:space="preserve"> APRA to assess how RSE licensees are spending members’ money.</w:t>
      </w:r>
    </w:p>
    <w:p w14:paraId="4FA5AD5A" w14:textId="11C0ECFE" w:rsidR="00D84488" w:rsidRPr="008F1B7C" w:rsidRDefault="0069459C">
      <w:r w:rsidRPr="008F1B7C">
        <w:t>Improved data on expenses will enable enhanced benchmarking and</w:t>
      </w:r>
      <w:r w:rsidRPr="008F1B7C" w:rsidDel="005360B5">
        <w:t xml:space="preserve"> </w:t>
      </w:r>
      <w:r w:rsidRPr="008F1B7C">
        <w:t xml:space="preserve">increased scrutiny, influencing RSE licensees to reduce expenses which are not in members best interests. Even a one per cent decrease in expenses would </w:t>
      </w:r>
      <w:r w:rsidR="002527F5" w:rsidRPr="008F1B7C">
        <w:t xml:space="preserve">lead to </w:t>
      </w:r>
      <w:r w:rsidRPr="008F1B7C">
        <w:t>a saving to members of $100 million per year.</w:t>
      </w:r>
    </w:p>
    <w:p w14:paraId="2FD4E6F1" w14:textId="17894784" w:rsidR="00760FE1" w:rsidRPr="008F1B7C" w:rsidRDefault="00760FE1" w:rsidP="00760FE1">
      <w:pPr>
        <w:rPr>
          <w:u w:val="single"/>
        </w:rPr>
      </w:pPr>
      <w:r w:rsidRPr="008F1B7C">
        <w:rPr>
          <w:u w:val="single"/>
        </w:rPr>
        <w:t>Inefficiency of ad-hoc collections</w:t>
      </w:r>
    </w:p>
    <w:p w14:paraId="152A4EA7" w14:textId="0378354A" w:rsidR="00760FE1" w:rsidRPr="008F1B7C" w:rsidRDefault="00A23B75" w:rsidP="00760FE1">
      <w:r w:rsidRPr="008F1B7C">
        <w:t>FSCODA sets out APRA’s data collection powers, including the ability to determine reporting standards</w:t>
      </w:r>
      <w:r w:rsidR="00B15749" w:rsidRPr="008F1B7C">
        <w:rPr>
          <w:rFonts w:ascii="Arial" w:hAnsi="Arial" w:cs="Arial"/>
          <w:shd w:val="clear" w:color="auto" w:fill="FFFFFF"/>
        </w:rPr>
        <w:t xml:space="preserve"> that require RSE licensees and other regulated institutions to provide information about their businesses and activities.</w:t>
      </w:r>
      <w:r w:rsidRPr="008F1B7C">
        <w:t xml:space="preserve"> </w:t>
      </w:r>
      <w:r w:rsidR="00760FE1" w:rsidRPr="008F1B7C">
        <w:t xml:space="preserve">APRA and other agencies at times request submission of data on an ad-hoc basis to fill gaps in </w:t>
      </w:r>
      <w:r w:rsidR="00035ABB" w:rsidRPr="008F1B7C">
        <w:t>existing data</w:t>
      </w:r>
      <w:r w:rsidR="00760FE1" w:rsidRPr="008F1B7C">
        <w:t xml:space="preserve"> collection</w:t>
      </w:r>
      <w:r w:rsidR="00035ABB" w:rsidRPr="008F1B7C">
        <w:t>s</w:t>
      </w:r>
      <w:r w:rsidR="00760FE1" w:rsidRPr="008F1B7C">
        <w:t>. Unlike data submitted under reporting standards, ad-hoc data is collected on a ‘best endeavours’ basis via simple spreadsheets</w:t>
      </w:r>
      <w:r w:rsidR="00035ABB" w:rsidRPr="008F1B7C">
        <w:t xml:space="preserve"> which are prone to error and drive increases in compliance costs and regulatory burden for funds</w:t>
      </w:r>
      <w:r w:rsidR="00760FE1" w:rsidRPr="008F1B7C">
        <w:t xml:space="preserve">. The data is not subject to the strict reporting requirements of </w:t>
      </w:r>
      <w:r w:rsidR="005F2BBE" w:rsidRPr="008F1B7C">
        <w:t xml:space="preserve">reporting standards determined under </w:t>
      </w:r>
      <w:r w:rsidR="00760FE1" w:rsidRPr="008F1B7C">
        <w:t xml:space="preserve">FSCODA and is of varying quality, </w:t>
      </w:r>
      <w:proofErr w:type="gramStart"/>
      <w:r w:rsidR="00760FE1" w:rsidRPr="008F1B7C">
        <w:t>timeliness</w:t>
      </w:r>
      <w:proofErr w:type="gramEnd"/>
      <w:r w:rsidR="00760FE1" w:rsidRPr="008F1B7C">
        <w:t xml:space="preserve"> and usability.</w:t>
      </w:r>
    </w:p>
    <w:p w14:paraId="13180F9F" w14:textId="6CF72044" w:rsidR="00760FE1" w:rsidRPr="008F1B7C" w:rsidRDefault="00760FE1" w:rsidP="00760FE1">
      <w:r w:rsidRPr="008F1B7C">
        <w:lastRenderedPageBreak/>
        <w:t xml:space="preserve">Formal </w:t>
      </w:r>
      <w:r w:rsidR="00162B22" w:rsidRPr="008F1B7C">
        <w:t xml:space="preserve">data </w:t>
      </w:r>
      <w:r w:rsidRPr="008F1B7C">
        <w:t xml:space="preserve">collections </w:t>
      </w:r>
      <w:r w:rsidR="005F2BBE" w:rsidRPr="008F1B7C">
        <w:t xml:space="preserve">using reporting standards </w:t>
      </w:r>
      <w:r w:rsidRPr="008F1B7C">
        <w:t>under FSCODA gives industry greater certainty of ongoing reporting requirements, allowing for</w:t>
      </w:r>
      <w:r w:rsidR="002527F5" w:rsidRPr="008F1B7C">
        <w:t xml:space="preserve"> appropriate investment in</w:t>
      </w:r>
      <w:r w:rsidRPr="008F1B7C">
        <w:t xml:space="preserve"> higher quality reporting as well as </w:t>
      </w:r>
      <w:r w:rsidR="002527F5" w:rsidRPr="008F1B7C">
        <w:t xml:space="preserve">the opportunity for </w:t>
      </w:r>
      <w:r w:rsidRPr="008F1B7C">
        <w:t>streamlining of RSE licensees’ reporting processes.</w:t>
      </w:r>
    </w:p>
    <w:p w14:paraId="3457174C" w14:textId="46887642" w:rsidR="001418CA" w:rsidRPr="008F1B7C" w:rsidRDefault="001418CA" w:rsidP="00E11B9C">
      <w:pPr>
        <w:pStyle w:val="Heading1"/>
        <w:spacing w:before="480" w:after="360"/>
      </w:pPr>
      <w:bookmarkStart w:id="33" w:name="_Toc56408586"/>
      <w:bookmarkStart w:id="34" w:name="_Toc56408677"/>
      <w:bookmarkStart w:id="35" w:name="_Toc56408587"/>
      <w:bookmarkStart w:id="36" w:name="_Toc56408678"/>
      <w:bookmarkStart w:id="37" w:name="_Toc56408588"/>
      <w:bookmarkStart w:id="38" w:name="_Toc56408679"/>
      <w:bookmarkStart w:id="39" w:name="_Toc56678086"/>
      <w:bookmarkStart w:id="40" w:name="_Toc56693566"/>
      <w:bookmarkStart w:id="41" w:name="_Toc75295629"/>
      <w:bookmarkEnd w:id="33"/>
      <w:bookmarkEnd w:id="34"/>
      <w:bookmarkEnd w:id="35"/>
      <w:bookmarkEnd w:id="36"/>
      <w:bookmarkEnd w:id="37"/>
      <w:bookmarkEnd w:id="38"/>
      <w:r w:rsidRPr="008F1B7C">
        <w:t>Policy options</w:t>
      </w:r>
      <w:bookmarkEnd w:id="27"/>
      <w:bookmarkEnd w:id="39"/>
      <w:bookmarkEnd w:id="40"/>
      <w:bookmarkEnd w:id="41"/>
    </w:p>
    <w:p w14:paraId="0C258E90" w14:textId="570B10DC" w:rsidR="001418CA" w:rsidRPr="008F1B7C" w:rsidRDefault="008943A9" w:rsidP="00E11B9C">
      <w:pPr>
        <w:spacing w:after="0"/>
      </w:pPr>
      <w:r w:rsidRPr="008F1B7C">
        <w:t>APRA has identified f</w:t>
      </w:r>
      <w:r w:rsidR="001418CA" w:rsidRPr="008F1B7C">
        <w:t>our options</w:t>
      </w:r>
      <w:r w:rsidRPr="008F1B7C">
        <w:t xml:space="preserve"> </w:t>
      </w:r>
      <w:r w:rsidR="000C2D94" w:rsidRPr="008F1B7C">
        <w:t xml:space="preserve">under Phase 1 </w:t>
      </w:r>
      <w:r w:rsidR="001418CA" w:rsidRPr="008F1B7C">
        <w:t xml:space="preserve">to address the </w:t>
      </w:r>
      <w:r w:rsidR="00AC2270" w:rsidRPr="008F1B7C">
        <w:t>significant</w:t>
      </w:r>
      <w:r w:rsidR="001418CA" w:rsidRPr="008F1B7C">
        <w:t xml:space="preserve"> data gaps in the current reporting framework</w:t>
      </w:r>
      <w:r w:rsidR="00A42163" w:rsidRPr="008F1B7C">
        <w:t>:</w:t>
      </w:r>
    </w:p>
    <w:p w14:paraId="3AD9E1B3" w14:textId="696EC8D0" w:rsidR="00D87B42" w:rsidRPr="008F1B7C" w:rsidRDefault="00D87B42" w:rsidP="0041058D">
      <w:pPr>
        <w:pStyle w:val="ListParagraph"/>
        <w:numPr>
          <w:ilvl w:val="0"/>
          <w:numId w:val="32"/>
        </w:numPr>
      </w:pPr>
      <w:r w:rsidRPr="008F1B7C">
        <w:t xml:space="preserve">Option 1: retain the existing </w:t>
      </w:r>
      <w:r w:rsidR="005F4253" w:rsidRPr="008F1B7C">
        <w:t>reporting standards</w:t>
      </w:r>
      <w:r w:rsidRPr="008F1B7C">
        <w:t xml:space="preserve"> without </w:t>
      </w:r>
      <w:proofErr w:type="gramStart"/>
      <w:r w:rsidRPr="008F1B7C">
        <w:t>revision;</w:t>
      </w:r>
      <w:proofErr w:type="gramEnd"/>
    </w:p>
    <w:p w14:paraId="525741BA" w14:textId="27B55C67" w:rsidR="00D87B42" w:rsidRPr="008F1B7C" w:rsidRDefault="00D87B42" w:rsidP="0041058D">
      <w:pPr>
        <w:pStyle w:val="ListParagraph"/>
        <w:numPr>
          <w:ilvl w:val="0"/>
          <w:numId w:val="32"/>
        </w:numPr>
      </w:pPr>
      <w:r w:rsidRPr="008F1B7C">
        <w:t xml:space="preserve">Option 2: expand </w:t>
      </w:r>
      <w:r w:rsidR="00B76763" w:rsidRPr="008F1B7C">
        <w:t xml:space="preserve">the </w:t>
      </w:r>
      <w:r w:rsidR="005F4253" w:rsidRPr="008F1B7C">
        <w:t>existing</w:t>
      </w:r>
      <w:r w:rsidRPr="008F1B7C">
        <w:t xml:space="preserve"> </w:t>
      </w:r>
      <w:proofErr w:type="spellStart"/>
      <w:r w:rsidR="000C785B" w:rsidRPr="008F1B7C">
        <w:t>MySuper</w:t>
      </w:r>
      <w:proofErr w:type="spellEnd"/>
      <w:r w:rsidR="000C785B" w:rsidRPr="008F1B7C">
        <w:t xml:space="preserve"> </w:t>
      </w:r>
      <w:r w:rsidRPr="008F1B7C">
        <w:t xml:space="preserve">reporting standards </w:t>
      </w:r>
      <w:r w:rsidR="00B76763" w:rsidRPr="008F1B7C">
        <w:t>to</w:t>
      </w:r>
      <w:r w:rsidRPr="008F1B7C">
        <w:t xml:space="preserve"> a</w:t>
      </w:r>
      <w:r w:rsidR="000C785B" w:rsidRPr="008F1B7C">
        <w:t>ll</w:t>
      </w:r>
      <w:r w:rsidRPr="008F1B7C">
        <w:t xml:space="preserve"> products and </w:t>
      </w:r>
      <w:r w:rsidR="00C60775" w:rsidRPr="008F1B7C">
        <w:t>investment</w:t>
      </w:r>
      <w:r w:rsidRPr="008F1B7C">
        <w:t xml:space="preserve"> </w:t>
      </w:r>
      <w:proofErr w:type="gramStart"/>
      <w:r w:rsidRPr="008F1B7C">
        <w:t>options;</w:t>
      </w:r>
      <w:proofErr w:type="gramEnd"/>
    </w:p>
    <w:p w14:paraId="53B453FD" w14:textId="5CE04740" w:rsidR="00D87B42" w:rsidRPr="008F1B7C" w:rsidRDefault="00D87B42" w:rsidP="0041058D">
      <w:pPr>
        <w:pStyle w:val="ListParagraph"/>
        <w:numPr>
          <w:ilvl w:val="0"/>
          <w:numId w:val="32"/>
        </w:numPr>
      </w:pPr>
      <w:r w:rsidRPr="008F1B7C">
        <w:t>Option 3: introduce an enhanced data collection; or</w:t>
      </w:r>
    </w:p>
    <w:p w14:paraId="4806E115" w14:textId="5800508F" w:rsidR="00D87B42" w:rsidRPr="008F1B7C" w:rsidRDefault="00D87B42" w:rsidP="0041058D">
      <w:pPr>
        <w:pStyle w:val="ListParagraph"/>
        <w:numPr>
          <w:ilvl w:val="0"/>
          <w:numId w:val="32"/>
        </w:numPr>
      </w:pPr>
      <w:r w:rsidRPr="008F1B7C">
        <w:t xml:space="preserve">Option 4: </w:t>
      </w:r>
      <w:r w:rsidR="002407B3" w:rsidRPr="008F1B7C">
        <w:t>i</w:t>
      </w:r>
      <w:r w:rsidR="005F4253" w:rsidRPr="008F1B7C">
        <w:t xml:space="preserve">mplement option 3 with </w:t>
      </w:r>
      <w:r w:rsidR="00933361" w:rsidRPr="008F1B7C">
        <w:t xml:space="preserve">a </w:t>
      </w:r>
      <w:r w:rsidR="005F4253" w:rsidRPr="008F1B7C">
        <w:t>staged implementation</w:t>
      </w:r>
      <w:r w:rsidR="00532EF0" w:rsidRPr="008F1B7C">
        <w:t>.</w:t>
      </w:r>
    </w:p>
    <w:p w14:paraId="348DB08F" w14:textId="2BDBDDA9" w:rsidR="001418CA" w:rsidRPr="008F1B7C" w:rsidRDefault="001418CA" w:rsidP="009356A1">
      <w:bookmarkStart w:id="42" w:name="_Toc56693567"/>
      <w:bookmarkStart w:id="43" w:name="_Toc56678087"/>
      <w:bookmarkStart w:id="44" w:name="_Toc493588783"/>
      <w:bookmarkStart w:id="45" w:name="_Toc493160731"/>
      <w:r w:rsidRPr="008F1B7C">
        <w:rPr>
          <w:b/>
        </w:rPr>
        <w:t>Option 1 – Status quo</w:t>
      </w:r>
      <w:bookmarkEnd w:id="42"/>
      <w:bookmarkEnd w:id="43"/>
      <w:bookmarkEnd w:id="44"/>
      <w:bookmarkEnd w:id="45"/>
      <w:r w:rsidRPr="008F1B7C">
        <w:rPr>
          <w:b/>
        </w:rPr>
        <w:t xml:space="preserve"> </w:t>
      </w:r>
      <w:r w:rsidR="008D0975" w:rsidRPr="008F1B7C">
        <w:rPr>
          <w:b/>
        </w:rPr>
        <w:t>option</w:t>
      </w:r>
    </w:p>
    <w:p w14:paraId="6A33D6CD" w14:textId="4E5E739B" w:rsidR="000A08A4" w:rsidRPr="008F1B7C" w:rsidRDefault="00A550E2">
      <w:r w:rsidRPr="008F1B7C">
        <w:t>The status quo</w:t>
      </w:r>
      <w:r w:rsidR="001418CA" w:rsidRPr="008F1B7C">
        <w:t xml:space="preserve"> option</w:t>
      </w:r>
      <w:r w:rsidRPr="008F1B7C">
        <w:t xml:space="preserve"> is to retain the </w:t>
      </w:r>
      <w:r w:rsidR="001418CA" w:rsidRPr="008F1B7C">
        <w:t xml:space="preserve">existing </w:t>
      </w:r>
      <w:r w:rsidR="00B76763" w:rsidRPr="008F1B7C">
        <w:t xml:space="preserve">superannuation </w:t>
      </w:r>
      <w:r w:rsidR="001418CA" w:rsidRPr="008F1B7C">
        <w:t>reporting framework</w:t>
      </w:r>
      <w:r w:rsidR="004551DA" w:rsidRPr="008F1B7C">
        <w:t xml:space="preserve"> without change</w:t>
      </w:r>
      <w:r w:rsidR="001418CA" w:rsidRPr="008F1B7C">
        <w:t>.</w:t>
      </w:r>
    </w:p>
    <w:p w14:paraId="3ABB402E" w14:textId="15D6E440" w:rsidR="001418CA" w:rsidRPr="008F1B7C" w:rsidRDefault="001418CA" w:rsidP="009356A1">
      <w:bookmarkStart w:id="46" w:name="_Toc493588784"/>
      <w:bookmarkStart w:id="47" w:name="_Toc493160732"/>
      <w:bookmarkStart w:id="48" w:name="_Toc479856774"/>
      <w:bookmarkStart w:id="49" w:name="_Toc56693568"/>
      <w:bookmarkStart w:id="50" w:name="_Toc56678088"/>
      <w:r w:rsidRPr="008F1B7C">
        <w:rPr>
          <w:b/>
        </w:rPr>
        <w:t xml:space="preserve">Option 2 – </w:t>
      </w:r>
      <w:bookmarkEnd w:id="46"/>
      <w:bookmarkEnd w:id="47"/>
      <w:bookmarkEnd w:id="48"/>
      <w:r w:rsidRPr="008F1B7C">
        <w:rPr>
          <w:b/>
        </w:rPr>
        <w:t xml:space="preserve">Expand </w:t>
      </w:r>
      <w:r w:rsidR="000C785B" w:rsidRPr="008F1B7C">
        <w:rPr>
          <w:b/>
        </w:rPr>
        <w:t>existing</w:t>
      </w:r>
      <w:r w:rsidR="003E1CA0" w:rsidRPr="008F1B7C">
        <w:rPr>
          <w:b/>
        </w:rPr>
        <w:t xml:space="preserve"> </w:t>
      </w:r>
      <w:proofErr w:type="spellStart"/>
      <w:r w:rsidR="00EB065D" w:rsidRPr="008F1B7C">
        <w:rPr>
          <w:b/>
        </w:rPr>
        <w:t>MySuper</w:t>
      </w:r>
      <w:proofErr w:type="spellEnd"/>
      <w:r w:rsidR="00EB065D" w:rsidRPr="008F1B7C">
        <w:rPr>
          <w:b/>
        </w:rPr>
        <w:t xml:space="preserve"> </w:t>
      </w:r>
      <w:r w:rsidR="000F17DB" w:rsidRPr="008F1B7C">
        <w:rPr>
          <w:b/>
        </w:rPr>
        <w:t>reporting standards</w:t>
      </w:r>
      <w:r w:rsidRPr="008F1B7C">
        <w:rPr>
          <w:b/>
        </w:rPr>
        <w:t xml:space="preserve"> to </w:t>
      </w:r>
      <w:r w:rsidR="003E1CA0" w:rsidRPr="008F1B7C">
        <w:rPr>
          <w:b/>
        </w:rPr>
        <w:t>all</w:t>
      </w:r>
      <w:r w:rsidRPr="008F1B7C">
        <w:rPr>
          <w:b/>
        </w:rPr>
        <w:t xml:space="preserve"> products and investment options</w:t>
      </w:r>
      <w:bookmarkEnd w:id="49"/>
      <w:bookmarkEnd w:id="50"/>
    </w:p>
    <w:p w14:paraId="59867C7E" w14:textId="3BD85EBB" w:rsidR="00D87B42" w:rsidRPr="008F1B7C" w:rsidRDefault="001418CA">
      <w:r w:rsidRPr="008F1B7C">
        <w:t xml:space="preserve">Under </w:t>
      </w:r>
      <w:r w:rsidR="002B5F20" w:rsidRPr="008F1B7C">
        <w:t xml:space="preserve">this </w:t>
      </w:r>
      <w:r w:rsidRPr="008F1B7C">
        <w:t>option</w:t>
      </w:r>
      <w:r w:rsidR="004551DA" w:rsidRPr="008F1B7C">
        <w:t>,</w:t>
      </w:r>
      <w:r w:rsidRPr="008F1B7C">
        <w:t xml:space="preserve"> APRA would expand the </w:t>
      </w:r>
      <w:r w:rsidR="009D5D3D" w:rsidRPr="008F1B7C">
        <w:t xml:space="preserve">coverage of </w:t>
      </w:r>
      <w:r w:rsidR="008442FC" w:rsidRPr="008F1B7C">
        <w:t>existing</w:t>
      </w:r>
      <w:r w:rsidRPr="008F1B7C">
        <w:t xml:space="preserve"> data collections </w:t>
      </w:r>
      <w:r w:rsidR="009D5D3D" w:rsidRPr="008F1B7C">
        <w:t xml:space="preserve">for </w:t>
      </w:r>
      <w:proofErr w:type="spellStart"/>
      <w:r w:rsidR="009D5D3D" w:rsidRPr="008F1B7C">
        <w:t>MySuper</w:t>
      </w:r>
      <w:proofErr w:type="spellEnd"/>
      <w:r w:rsidR="009D5D3D" w:rsidRPr="008F1B7C">
        <w:t xml:space="preserve"> products </w:t>
      </w:r>
      <w:r w:rsidRPr="008F1B7C">
        <w:t>to</w:t>
      </w:r>
      <w:r w:rsidR="009D5D3D" w:rsidRPr="008F1B7C">
        <w:t xml:space="preserve"> </w:t>
      </w:r>
      <w:r w:rsidRPr="008F1B7C">
        <w:t>all products and investment options</w:t>
      </w:r>
      <w:r w:rsidR="002B5F20" w:rsidRPr="008F1B7C">
        <w:t>.</w:t>
      </w:r>
    </w:p>
    <w:p w14:paraId="15745155" w14:textId="7C986440" w:rsidR="0064650F" w:rsidRPr="008F1B7C" w:rsidRDefault="00A56715" w:rsidP="00E11B9C">
      <w:pPr>
        <w:spacing w:after="0"/>
      </w:pPr>
      <w:r w:rsidRPr="008F1B7C">
        <w:t>Four</w:t>
      </w:r>
      <w:r w:rsidR="0064650F" w:rsidRPr="008F1B7C">
        <w:t xml:space="preserve"> reporting standards</w:t>
      </w:r>
      <w:r w:rsidR="00CF6814" w:rsidRPr="008F1B7C">
        <w:t xml:space="preserve"> would be expanded to provide</w:t>
      </w:r>
      <w:r w:rsidR="0064650F" w:rsidRPr="008F1B7C">
        <w:t xml:space="preserve"> coverage of all products and investment options</w:t>
      </w:r>
      <w:r w:rsidR="00CF6814" w:rsidRPr="008F1B7C">
        <w:t>, the</w:t>
      </w:r>
      <w:r w:rsidR="0064650F" w:rsidRPr="008F1B7C">
        <w:t xml:space="preserve">se </w:t>
      </w:r>
      <w:r w:rsidR="00CF6814" w:rsidRPr="008F1B7C">
        <w:t>are:</w:t>
      </w:r>
    </w:p>
    <w:p w14:paraId="62B98AFA" w14:textId="13AFBED9" w:rsidR="0064650F" w:rsidRPr="008F1B7C" w:rsidRDefault="0064650F" w:rsidP="005139E3">
      <w:pPr>
        <w:pStyle w:val="ListParagraph"/>
        <w:numPr>
          <w:ilvl w:val="0"/>
          <w:numId w:val="17"/>
        </w:numPr>
      </w:pPr>
      <w:r w:rsidRPr="008F1B7C">
        <w:rPr>
          <w:i/>
        </w:rPr>
        <w:t xml:space="preserve">Reporting Standard </w:t>
      </w:r>
      <w:r w:rsidR="004551DA" w:rsidRPr="008F1B7C">
        <w:rPr>
          <w:i/>
        </w:rPr>
        <w:t xml:space="preserve">SRS </w:t>
      </w:r>
      <w:r w:rsidRPr="008F1B7C">
        <w:rPr>
          <w:i/>
        </w:rPr>
        <w:t>533.1 Asset Allocation and Members’ Benefit Flows</w:t>
      </w:r>
      <w:r w:rsidRPr="008F1B7C">
        <w:t xml:space="preserve"> (SRS 533.1</w:t>
      </w:r>
      <w:proofErr w:type="gramStart"/>
      <w:r w:rsidRPr="008F1B7C">
        <w:t>)</w:t>
      </w:r>
      <w:r w:rsidR="006949DE" w:rsidRPr="008F1B7C">
        <w:t>;</w:t>
      </w:r>
      <w:proofErr w:type="gramEnd"/>
    </w:p>
    <w:p w14:paraId="03158279" w14:textId="26D8F138" w:rsidR="0064650F" w:rsidRPr="008F1B7C" w:rsidRDefault="0064650F" w:rsidP="005139E3">
      <w:pPr>
        <w:pStyle w:val="ListParagraph"/>
        <w:numPr>
          <w:ilvl w:val="0"/>
          <w:numId w:val="17"/>
        </w:numPr>
      </w:pPr>
      <w:r w:rsidRPr="008F1B7C">
        <w:rPr>
          <w:i/>
        </w:rPr>
        <w:t>Reporting Standard</w:t>
      </w:r>
      <w:r w:rsidR="004551DA" w:rsidRPr="008F1B7C">
        <w:rPr>
          <w:i/>
        </w:rPr>
        <w:t xml:space="preserve"> SRS</w:t>
      </w:r>
      <w:r w:rsidRPr="008F1B7C">
        <w:rPr>
          <w:i/>
        </w:rPr>
        <w:t xml:space="preserve"> 700.0 Product Dashboard</w:t>
      </w:r>
      <w:r w:rsidRPr="008F1B7C">
        <w:t xml:space="preserve"> (SRS 700.0</w:t>
      </w:r>
      <w:proofErr w:type="gramStart"/>
      <w:r w:rsidRPr="008F1B7C">
        <w:t>)</w:t>
      </w:r>
      <w:r w:rsidR="006949DE" w:rsidRPr="008F1B7C">
        <w:t>;</w:t>
      </w:r>
      <w:proofErr w:type="gramEnd"/>
    </w:p>
    <w:p w14:paraId="6B3B13C7" w14:textId="76AF7439" w:rsidR="0064650F" w:rsidRPr="008F1B7C" w:rsidRDefault="0064650F" w:rsidP="005139E3">
      <w:pPr>
        <w:pStyle w:val="ListParagraph"/>
        <w:numPr>
          <w:ilvl w:val="0"/>
          <w:numId w:val="17"/>
        </w:numPr>
      </w:pPr>
      <w:r w:rsidRPr="008F1B7C">
        <w:rPr>
          <w:i/>
        </w:rPr>
        <w:t xml:space="preserve">Reporting Standard </w:t>
      </w:r>
      <w:r w:rsidR="004551DA" w:rsidRPr="008F1B7C">
        <w:rPr>
          <w:i/>
        </w:rPr>
        <w:t xml:space="preserve">SRS </w:t>
      </w:r>
      <w:r w:rsidRPr="008F1B7C">
        <w:rPr>
          <w:i/>
        </w:rPr>
        <w:t>702.0 Investment Performance</w:t>
      </w:r>
      <w:r w:rsidR="004551DA" w:rsidRPr="008F1B7C">
        <w:t xml:space="preserve"> </w:t>
      </w:r>
      <w:r w:rsidRPr="008F1B7C">
        <w:t>(SRS 702.0)</w:t>
      </w:r>
      <w:r w:rsidR="006949DE" w:rsidRPr="008F1B7C">
        <w:t>;</w:t>
      </w:r>
      <w:r w:rsidRPr="008F1B7C">
        <w:t xml:space="preserve"> and</w:t>
      </w:r>
      <w:r w:rsidR="006B43F9" w:rsidRPr="008F1B7C">
        <w:t>,</w:t>
      </w:r>
    </w:p>
    <w:p w14:paraId="54729F7F" w14:textId="22A22EBA" w:rsidR="0064650F" w:rsidRPr="008F1B7C" w:rsidRDefault="0064650F" w:rsidP="005139E3">
      <w:pPr>
        <w:pStyle w:val="ListParagraph"/>
        <w:numPr>
          <w:ilvl w:val="0"/>
          <w:numId w:val="17"/>
        </w:numPr>
      </w:pPr>
      <w:r w:rsidRPr="008F1B7C">
        <w:rPr>
          <w:i/>
        </w:rPr>
        <w:t xml:space="preserve">Reporting Standard </w:t>
      </w:r>
      <w:r w:rsidR="004551DA" w:rsidRPr="008F1B7C">
        <w:rPr>
          <w:i/>
        </w:rPr>
        <w:t xml:space="preserve">SRS </w:t>
      </w:r>
      <w:r w:rsidRPr="008F1B7C">
        <w:rPr>
          <w:i/>
        </w:rPr>
        <w:t>703.0 Fees Disclosed</w:t>
      </w:r>
      <w:r w:rsidRPr="008F1B7C">
        <w:t xml:space="preserve"> (SRS 703.0)</w:t>
      </w:r>
      <w:r w:rsidR="006949DE" w:rsidRPr="008F1B7C">
        <w:t>.</w:t>
      </w:r>
    </w:p>
    <w:p w14:paraId="4C5DB2C3" w14:textId="26917853" w:rsidR="0064650F" w:rsidRPr="008F1B7C" w:rsidRDefault="0064650F" w:rsidP="0064650F">
      <w:r w:rsidRPr="008F1B7C">
        <w:t xml:space="preserve">This option does not include improvements to </w:t>
      </w:r>
      <w:r w:rsidR="00DA1210" w:rsidRPr="008F1B7C">
        <w:t xml:space="preserve">address limitations of </w:t>
      </w:r>
      <w:r w:rsidR="00036011" w:rsidRPr="008F1B7C">
        <w:t>the data currently collected on these topics</w:t>
      </w:r>
      <w:r w:rsidR="00162B22" w:rsidRPr="008F1B7C">
        <w:t>. This option also does not include</w:t>
      </w:r>
      <w:r w:rsidR="00036011" w:rsidRPr="008F1B7C">
        <w:t xml:space="preserve"> </w:t>
      </w:r>
      <w:r w:rsidRPr="008F1B7C">
        <w:t xml:space="preserve">data </w:t>
      </w:r>
      <w:r w:rsidR="00035ABB" w:rsidRPr="008F1B7C">
        <w:t xml:space="preserve">required to understand </w:t>
      </w:r>
      <w:r w:rsidRPr="008F1B7C">
        <w:t xml:space="preserve">the </w:t>
      </w:r>
      <w:r w:rsidR="00DA1210" w:rsidRPr="008F1B7C">
        <w:t xml:space="preserve">overall </w:t>
      </w:r>
      <w:r w:rsidR="00036011" w:rsidRPr="008F1B7C">
        <w:t>RSE licensee</w:t>
      </w:r>
      <w:r w:rsidRPr="008F1B7C">
        <w:t xml:space="preserve"> operations</w:t>
      </w:r>
      <w:r w:rsidR="00036011" w:rsidRPr="008F1B7C">
        <w:t xml:space="preserve"> such as RSE structure and profile, </w:t>
      </w:r>
      <w:r w:rsidR="00DA1210" w:rsidRPr="008F1B7C">
        <w:t xml:space="preserve">member accounts, </w:t>
      </w:r>
      <w:proofErr w:type="gramStart"/>
      <w:r w:rsidR="00036011" w:rsidRPr="008F1B7C">
        <w:t>expenses</w:t>
      </w:r>
      <w:proofErr w:type="gramEnd"/>
      <w:r w:rsidR="00036011" w:rsidRPr="008F1B7C">
        <w:t xml:space="preserve"> and insurance</w:t>
      </w:r>
      <w:r w:rsidR="00F85479" w:rsidRPr="008F1B7C">
        <w:t>.</w:t>
      </w:r>
    </w:p>
    <w:p w14:paraId="41876151" w14:textId="77777777" w:rsidR="00E261FD" w:rsidRPr="008F1B7C" w:rsidRDefault="00E261FD">
      <w:pPr>
        <w:rPr>
          <w:b/>
        </w:rPr>
      </w:pPr>
      <w:bookmarkStart w:id="51" w:name="_Toc493588785"/>
      <w:bookmarkStart w:id="52" w:name="_Toc493160733"/>
      <w:bookmarkStart w:id="53" w:name="_Toc479856775"/>
      <w:bookmarkStart w:id="54" w:name="_Toc56693569"/>
      <w:bookmarkStart w:id="55" w:name="_Toc56678089"/>
    </w:p>
    <w:p w14:paraId="216A472B" w14:textId="34EEA046" w:rsidR="001418CA" w:rsidRPr="008F1B7C" w:rsidRDefault="001418CA">
      <w:r w:rsidRPr="008F1B7C">
        <w:rPr>
          <w:b/>
        </w:rPr>
        <w:t xml:space="preserve">Option 3 – </w:t>
      </w:r>
      <w:bookmarkEnd w:id="51"/>
      <w:bookmarkEnd w:id="52"/>
      <w:bookmarkEnd w:id="53"/>
      <w:r w:rsidR="00BA6835" w:rsidRPr="008F1B7C">
        <w:rPr>
          <w:b/>
        </w:rPr>
        <w:t xml:space="preserve">Introduce an </w:t>
      </w:r>
      <w:bookmarkEnd w:id="54"/>
      <w:bookmarkEnd w:id="55"/>
      <w:r w:rsidR="005C24D8" w:rsidRPr="008F1B7C">
        <w:rPr>
          <w:b/>
        </w:rPr>
        <w:t>enhance</w:t>
      </w:r>
      <w:r w:rsidR="000F17DB" w:rsidRPr="008F1B7C">
        <w:rPr>
          <w:b/>
        </w:rPr>
        <w:t xml:space="preserve">d </w:t>
      </w:r>
      <w:r w:rsidR="00BA6835" w:rsidRPr="008F1B7C">
        <w:rPr>
          <w:b/>
        </w:rPr>
        <w:t>data collection</w:t>
      </w:r>
    </w:p>
    <w:p w14:paraId="15E22561" w14:textId="645A7D5D" w:rsidR="007C51E1" w:rsidRPr="008F1B7C" w:rsidRDefault="001418CA">
      <w:r w:rsidRPr="008F1B7C">
        <w:t xml:space="preserve">Under </w:t>
      </w:r>
      <w:r w:rsidR="007C51E1" w:rsidRPr="008F1B7C">
        <w:t xml:space="preserve">this </w:t>
      </w:r>
      <w:r w:rsidRPr="008F1B7C">
        <w:t>option</w:t>
      </w:r>
      <w:r w:rsidR="004551DA" w:rsidRPr="008F1B7C">
        <w:t>,</w:t>
      </w:r>
      <w:r w:rsidRPr="008F1B7C">
        <w:t xml:space="preserve"> </w:t>
      </w:r>
      <w:r w:rsidR="007C51E1" w:rsidRPr="008F1B7C">
        <w:t>an enhanced data collection would</w:t>
      </w:r>
      <w:r w:rsidRPr="008F1B7C">
        <w:t xml:space="preserve"> </w:t>
      </w:r>
      <w:r w:rsidR="007C51E1" w:rsidRPr="008F1B7C">
        <w:t>be introduced to</w:t>
      </w:r>
      <w:r w:rsidRPr="008F1B7C">
        <w:t xml:space="preserve"> </w:t>
      </w:r>
      <w:r w:rsidR="007C51E1" w:rsidRPr="008F1B7C">
        <w:t xml:space="preserve">ensure that APRA has the data it requires to identify areas where supervisory intensity is needed to hold </w:t>
      </w:r>
      <w:r w:rsidR="00036011" w:rsidRPr="008F1B7C">
        <w:t>RSE licensees</w:t>
      </w:r>
      <w:r w:rsidR="007C51E1" w:rsidRPr="008F1B7C">
        <w:t xml:space="preserve"> to account for acting in the best financial interests of members and provide stakeholders with insights into the business practices of RSE licensees.</w:t>
      </w:r>
      <w:r w:rsidR="00D40150" w:rsidRPr="008F1B7C">
        <w:t xml:space="preserve"> This option </w:t>
      </w:r>
      <w:r w:rsidR="009E1D5F" w:rsidRPr="008F1B7C">
        <w:t>expand</w:t>
      </w:r>
      <w:r w:rsidR="00DD5C67" w:rsidRPr="008F1B7C">
        <w:t>s</w:t>
      </w:r>
      <w:r w:rsidR="00D40150" w:rsidRPr="008F1B7C">
        <w:t xml:space="preserve"> the current reporting framework to cover all products and investment options</w:t>
      </w:r>
      <w:r w:rsidR="009E1D5F" w:rsidRPr="008F1B7C">
        <w:t xml:space="preserve">, </w:t>
      </w:r>
      <w:proofErr w:type="gramStart"/>
      <w:r w:rsidR="009E1D5F" w:rsidRPr="008F1B7C">
        <w:t>and</w:t>
      </w:r>
      <w:r w:rsidR="00B47AB0" w:rsidRPr="008F1B7C">
        <w:t xml:space="preserve"> also</w:t>
      </w:r>
      <w:proofErr w:type="gramEnd"/>
      <w:r w:rsidR="00D40150" w:rsidRPr="008F1B7C">
        <w:t xml:space="preserve"> </w:t>
      </w:r>
      <w:r w:rsidR="009E1D5F" w:rsidRPr="008F1B7C">
        <w:t xml:space="preserve">includes enhancements to the quality and granularity of data for </w:t>
      </w:r>
      <w:r w:rsidR="00B47AB0" w:rsidRPr="008F1B7C">
        <w:t>insurance, expenses and member accounts</w:t>
      </w:r>
      <w:r w:rsidR="009E1D5F" w:rsidRPr="008F1B7C">
        <w:t xml:space="preserve">. </w:t>
      </w:r>
      <w:r w:rsidR="00D40150" w:rsidRPr="008F1B7C">
        <w:t xml:space="preserve">The reporting standards will </w:t>
      </w:r>
      <w:r w:rsidR="00D40150" w:rsidRPr="008F1B7C">
        <w:rPr>
          <w:rFonts w:ascii="Helvetica" w:hAnsi="Helvetica" w:cs="Helvetica"/>
          <w:color w:val="000000"/>
        </w:rPr>
        <w:t xml:space="preserve">facilitate performance assessments for </w:t>
      </w:r>
      <w:r w:rsidR="00F217E2" w:rsidRPr="008F1B7C">
        <w:rPr>
          <w:rFonts w:ascii="Helvetica" w:hAnsi="Helvetica" w:cs="Helvetica"/>
          <w:color w:val="000000"/>
        </w:rPr>
        <w:t>C</w:t>
      </w:r>
      <w:r w:rsidR="00D40150" w:rsidRPr="008F1B7C">
        <w:rPr>
          <w:rFonts w:ascii="Helvetica" w:hAnsi="Helvetica" w:cs="Helvetica"/>
          <w:color w:val="000000"/>
        </w:rPr>
        <w:t>hoice products</w:t>
      </w:r>
      <w:r w:rsidR="00B47AB0" w:rsidRPr="008F1B7C">
        <w:rPr>
          <w:rFonts w:ascii="Helvetica" w:hAnsi="Helvetica" w:cs="Helvetica"/>
          <w:color w:val="000000"/>
        </w:rPr>
        <w:t xml:space="preserve"> and </w:t>
      </w:r>
      <w:r w:rsidR="00D40150" w:rsidRPr="008F1B7C">
        <w:rPr>
          <w:rFonts w:ascii="Helvetica" w:hAnsi="Helvetica" w:cs="Helvetica"/>
          <w:color w:val="000000"/>
        </w:rPr>
        <w:t xml:space="preserve">more granular performance assessment for </w:t>
      </w:r>
      <w:proofErr w:type="spellStart"/>
      <w:r w:rsidR="00D40150" w:rsidRPr="008F1B7C">
        <w:rPr>
          <w:rFonts w:ascii="Helvetica" w:hAnsi="Helvetica" w:cs="Helvetica"/>
          <w:color w:val="000000"/>
        </w:rPr>
        <w:t>MySuper</w:t>
      </w:r>
      <w:proofErr w:type="spellEnd"/>
      <w:r w:rsidR="00D40150" w:rsidRPr="008F1B7C">
        <w:rPr>
          <w:rFonts w:ascii="Helvetica" w:hAnsi="Helvetica" w:cs="Helvetica"/>
          <w:color w:val="000000"/>
        </w:rPr>
        <w:t xml:space="preserve"> products in key areas</w:t>
      </w:r>
      <w:r w:rsidR="00B47AB0" w:rsidRPr="008F1B7C">
        <w:rPr>
          <w:rFonts w:ascii="Helvetica" w:hAnsi="Helvetica" w:cs="Helvetica"/>
          <w:color w:val="000000"/>
        </w:rPr>
        <w:t xml:space="preserve">. In </w:t>
      </w:r>
      <w:r w:rsidR="006635FB" w:rsidRPr="008F1B7C">
        <w:rPr>
          <w:rFonts w:ascii="Helvetica" w:hAnsi="Helvetica" w:cs="Helvetica"/>
          <w:color w:val="000000"/>
        </w:rPr>
        <w:t>addition,</w:t>
      </w:r>
      <w:r w:rsidR="00B47AB0" w:rsidRPr="008F1B7C">
        <w:rPr>
          <w:rFonts w:ascii="Helvetica" w:hAnsi="Helvetica" w:cs="Helvetica"/>
          <w:color w:val="000000"/>
        </w:rPr>
        <w:t xml:space="preserve"> the reporting standards will enable enhanced assessment of insurance </w:t>
      </w:r>
      <w:r w:rsidR="00B47AB0" w:rsidRPr="008F1B7C">
        <w:rPr>
          <w:rFonts w:ascii="Helvetica" w:hAnsi="Helvetica" w:cs="Helvetica"/>
          <w:color w:val="000000"/>
        </w:rPr>
        <w:lastRenderedPageBreak/>
        <w:t xml:space="preserve">claims experience, the impact of default premiums on member outcomes </w:t>
      </w:r>
      <w:r w:rsidR="00D40150" w:rsidRPr="008F1B7C">
        <w:rPr>
          <w:rFonts w:ascii="Helvetica" w:hAnsi="Helvetica" w:cs="Helvetica"/>
          <w:color w:val="000000"/>
        </w:rPr>
        <w:t xml:space="preserve">and </w:t>
      </w:r>
      <w:r w:rsidR="00162B22" w:rsidRPr="008F1B7C">
        <w:rPr>
          <w:rFonts w:ascii="Helvetica" w:hAnsi="Helvetica" w:cs="Helvetica"/>
          <w:color w:val="000000"/>
        </w:rPr>
        <w:t xml:space="preserve">a </w:t>
      </w:r>
      <w:r w:rsidR="003D7881" w:rsidRPr="008F1B7C">
        <w:rPr>
          <w:rFonts w:ascii="Helvetica" w:hAnsi="Helvetica" w:cs="Helvetica"/>
          <w:color w:val="000000"/>
        </w:rPr>
        <w:t xml:space="preserve">more detailed </w:t>
      </w:r>
      <w:r w:rsidR="00D40150" w:rsidRPr="008F1B7C">
        <w:rPr>
          <w:rFonts w:ascii="Helvetica" w:hAnsi="Helvetica" w:cs="Helvetica"/>
          <w:color w:val="000000"/>
        </w:rPr>
        <w:t>assessment of how RSE licensees are spending members money</w:t>
      </w:r>
      <w:r w:rsidR="0029152D" w:rsidRPr="008F1B7C">
        <w:rPr>
          <w:rFonts w:ascii="Helvetica" w:hAnsi="Helvetica" w:cs="Helvetica"/>
          <w:color w:val="000000"/>
        </w:rPr>
        <w:t>.</w:t>
      </w:r>
    </w:p>
    <w:p w14:paraId="53DC257B" w14:textId="3B9A5901" w:rsidR="00D87B42" w:rsidRPr="008F1B7C" w:rsidRDefault="003E6FA5">
      <w:r w:rsidRPr="008F1B7C">
        <w:t>Ten</w:t>
      </w:r>
      <w:r w:rsidR="00D87B42" w:rsidRPr="008F1B7C">
        <w:t xml:space="preserve"> reporting standards</w:t>
      </w:r>
      <w:r w:rsidRPr="008F1B7C">
        <w:t xml:space="preserve"> would be introduced, </w:t>
      </w:r>
      <w:r w:rsidR="003D7881" w:rsidRPr="008F1B7C">
        <w:t>as outlined</w:t>
      </w:r>
      <w:r w:rsidR="00451187" w:rsidRPr="008F1B7C">
        <w:t xml:space="preserve"> </w:t>
      </w:r>
      <w:r w:rsidRPr="008F1B7C">
        <w:t>below:</w:t>
      </w:r>
    </w:p>
    <w:p w14:paraId="73C78731" w14:textId="36ED8C7C" w:rsidR="009F43E2" w:rsidRPr="008F1B7C" w:rsidRDefault="00712D00" w:rsidP="00E11B9C">
      <w:pPr>
        <w:pStyle w:val="ListParagraph"/>
        <w:numPr>
          <w:ilvl w:val="0"/>
          <w:numId w:val="16"/>
        </w:numPr>
        <w:spacing w:after="80"/>
        <w:ind w:left="714" w:hanging="357"/>
        <w:contextualSpacing w:val="0"/>
        <w:jc w:val="left"/>
      </w:pPr>
      <w:r w:rsidRPr="008F1B7C">
        <w:rPr>
          <w:i/>
        </w:rPr>
        <w:t xml:space="preserve">Reporting Standard </w:t>
      </w:r>
      <w:r w:rsidR="00452D29" w:rsidRPr="008F1B7C">
        <w:rPr>
          <w:i/>
        </w:rPr>
        <w:t xml:space="preserve">SRS </w:t>
      </w:r>
      <w:r w:rsidRPr="008F1B7C">
        <w:rPr>
          <w:i/>
        </w:rPr>
        <w:t>605.0 RSE Structure</w:t>
      </w:r>
      <w:r w:rsidRPr="008F1B7C">
        <w:t xml:space="preserve"> (SRS 605</w:t>
      </w:r>
      <w:r w:rsidR="00452D29" w:rsidRPr="008F1B7C">
        <w:t>.0)</w:t>
      </w:r>
      <w:r w:rsidRPr="008F1B7C">
        <w:t xml:space="preserve"> which w</w:t>
      </w:r>
      <w:r w:rsidR="005C09D1" w:rsidRPr="008F1B7C">
        <w:t>ould</w:t>
      </w:r>
      <w:r w:rsidRPr="008F1B7C">
        <w:t xml:space="preserve"> establish the population of superannuation products</w:t>
      </w:r>
      <w:r w:rsidR="00691E77" w:rsidRPr="008F1B7C">
        <w:t xml:space="preserve"> (</w:t>
      </w:r>
      <w:proofErr w:type="spellStart"/>
      <w:r w:rsidR="00691E77" w:rsidRPr="008F1B7C">
        <w:t>MySuper</w:t>
      </w:r>
      <w:proofErr w:type="spellEnd"/>
      <w:r w:rsidR="00691E77" w:rsidRPr="008F1B7C">
        <w:t xml:space="preserve"> and </w:t>
      </w:r>
      <w:r w:rsidR="00782CC1" w:rsidRPr="008F1B7C">
        <w:t>C</w:t>
      </w:r>
      <w:r w:rsidR="00691E77" w:rsidRPr="008F1B7C">
        <w:t>hoice)</w:t>
      </w:r>
      <w:r w:rsidRPr="008F1B7C">
        <w:t xml:space="preserve">, investment menus and </w:t>
      </w:r>
      <w:r w:rsidR="00F0211F" w:rsidRPr="008F1B7C">
        <w:t>their characteristics.</w:t>
      </w:r>
    </w:p>
    <w:p w14:paraId="55924D4C" w14:textId="59606B9C" w:rsidR="009F43E2" w:rsidRPr="008F1B7C" w:rsidRDefault="00712D00" w:rsidP="00E11B9C">
      <w:pPr>
        <w:pStyle w:val="ListParagraph"/>
        <w:numPr>
          <w:ilvl w:val="0"/>
          <w:numId w:val="16"/>
        </w:numPr>
        <w:spacing w:after="80"/>
        <w:ind w:left="714" w:hanging="357"/>
        <w:contextualSpacing w:val="0"/>
        <w:jc w:val="left"/>
      </w:pPr>
      <w:r w:rsidRPr="008F1B7C">
        <w:rPr>
          <w:i/>
        </w:rPr>
        <w:t xml:space="preserve">Reporting Standard </w:t>
      </w:r>
      <w:r w:rsidR="00452D29" w:rsidRPr="008F1B7C">
        <w:rPr>
          <w:i/>
        </w:rPr>
        <w:t xml:space="preserve">SRS </w:t>
      </w:r>
      <w:r w:rsidRPr="008F1B7C">
        <w:rPr>
          <w:i/>
        </w:rPr>
        <w:t>606.0 RSE Profile</w:t>
      </w:r>
      <w:r w:rsidRPr="008F1B7C">
        <w:t xml:space="preserve"> (SRS 606.0)</w:t>
      </w:r>
      <w:r w:rsidRPr="008F1B7C">
        <w:rPr>
          <w:i/>
        </w:rPr>
        <w:t xml:space="preserve"> </w:t>
      </w:r>
      <w:r w:rsidR="006C066A" w:rsidRPr="008F1B7C">
        <w:t>which would</w:t>
      </w:r>
      <w:r w:rsidR="00F0211F" w:rsidRPr="008F1B7C">
        <w:t xml:space="preserve"> introduce reporting on the relationships between these superannuation products, investment menus and investment options including the number of members and member assets.</w:t>
      </w:r>
    </w:p>
    <w:p w14:paraId="234F1D79" w14:textId="7CF04A21" w:rsidR="009F43E2" w:rsidRPr="008F1B7C" w:rsidRDefault="005C09D1" w:rsidP="00E11B9C">
      <w:pPr>
        <w:pStyle w:val="ListParagraph"/>
        <w:numPr>
          <w:ilvl w:val="0"/>
          <w:numId w:val="16"/>
        </w:numPr>
        <w:spacing w:after="80"/>
        <w:ind w:left="714" w:hanging="357"/>
        <w:contextualSpacing w:val="0"/>
        <w:jc w:val="left"/>
      </w:pPr>
      <w:r w:rsidRPr="008F1B7C">
        <w:rPr>
          <w:i/>
        </w:rPr>
        <w:t xml:space="preserve">Reporting Standard </w:t>
      </w:r>
      <w:r w:rsidR="00452D29" w:rsidRPr="008F1B7C">
        <w:rPr>
          <w:i/>
        </w:rPr>
        <w:t xml:space="preserve">SRS </w:t>
      </w:r>
      <w:r w:rsidR="00712D00" w:rsidRPr="008F1B7C">
        <w:rPr>
          <w:i/>
        </w:rPr>
        <w:t>611.0 Member Accounts</w:t>
      </w:r>
      <w:r w:rsidR="00712D00" w:rsidRPr="008F1B7C">
        <w:t xml:space="preserve"> (SRS 611.0)</w:t>
      </w:r>
      <w:r w:rsidR="00712D00" w:rsidRPr="008F1B7C" w:rsidDel="00483B62">
        <w:t xml:space="preserve"> </w:t>
      </w:r>
      <w:r w:rsidR="00712D00" w:rsidRPr="008F1B7C">
        <w:t>which would provide enhanced reporting on member demographics</w:t>
      </w:r>
      <w:r w:rsidR="00EB24B4" w:rsidRPr="008F1B7C">
        <w:t xml:space="preserve"> of the fund</w:t>
      </w:r>
      <w:r w:rsidR="002A46E0" w:rsidRPr="008F1B7C">
        <w:t>.</w:t>
      </w:r>
    </w:p>
    <w:p w14:paraId="7DF9BE18" w14:textId="36509ABA" w:rsidR="009F43E2" w:rsidRPr="008F1B7C" w:rsidRDefault="001418CA" w:rsidP="00E11B9C">
      <w:pPr>
        <w:pStyle w:val="ListParagraph"/>
        <w:numPr>
          <w:ilvl w:val="0"/>
          <w:numId w:val="16"/>
        </w:numPr>
        <w:spacing w:after="80"/>
        <w:ind w:left="714" w:hanging="357"/>
        <w:contextualSpacing w:val="0"/>
        <w:jc w:val="left"/>
      </w:pPr>
      <w:r w:rsidRPr="008F1B7C">
        <w:rPr>
          <w:i/>
        </w:rPr>
        <w:t xml:space="preserve">Reporting Standard </w:t>
      </w:r>
      <w:r w:rsidR="00452D29" w:rsidRPr="008F1B7C">
        <w:rPr>
          <w:i/>
        </w:rPr>
        <w:t xml:space="preserve">SRS </w:t>
      </w:r>
      <w:r w:rsidRPr="008F1B7C">
        <w:rPr>
          <w:i/>
        </w:rPr>
        <w:t xml:space="preserve">705.0 Components of Net Return </w:t>
      </w:r>
      <w:r w:rsidRPr="008F1B7C">
        <w:t>(SRS 705.0)</w:t>
      </w:r>
      <w:r w:rsidRPr="008F1B7C">
        <w:rPr>
          <w:i/>
        </w:rPr>
        <w:t xml:space="preserve"> </w:t>
      </w:r>
      <w:r w:rsidR="00D87B42" w:rsidRPr="008F1B7C">
        <w:t>which would provide performance data on all superannuation products, investment menus and investment options.</w:t>
      </w:r>
    </w:p>
    <w:p w14:paraId="20033E95" w14:textId="12024530" w:rsidR="009F43E2" w:rsidRPr="008F1B7C" w:rsidRDefault="001418CA" w:rsidP="00E11B9C">
      <w:pPr>
        <w:pStyle w:val="ListParagraph"/>
        <w:numPr>
          <w:ilvl w:val="0"/>
          <w:numId w:val="18"/>
        </w:numPr>
        <w:spacing w:after="80"/>
        <w:ind w:left="714" w:hanging="357"/>
        <w:contextualSpacing w:val="0"/>
        <w:jc w:val="left"/>
      </w:pPr>
      <w:r w:rsidRPr="008F1B7C">
        <w:rPr>
          <w:i/>
        </w:rPr>
        <w:t xml:space="preserve">Reporting Standard </w:t>
      </w:r>
      <w:r w:rsidR="00452D29" w:rsidRPr="008F1B7C">
        <w:rPr>
          <w:i/>
        </w:rPr>
        <w:t xml:space="preserve">SRS </w:t>
      </w:r>
      <w:r w:rsidRPr="008F1B7C">
        <w:rPr>
          <w:i/>
        </w:rPr>
        <w:t xml:space="preserve">705.1 Investment Performance and Objectives </w:t>
      </w:r>
      <w:r w:rsidRPr="008F1B7C">
        <w:t>(SRS 705.1)</w:t>
      </w:r>
      <w:r w:rsidRPr="008F1B7C">
        <w:rPr>
          <w:i/>
        </w:rPr>
        <w:t xml:space="preserve"> </w:t>
      </w:r>
      <w:r w:rsidRPr="008F1B7C">
        <w:t>which would provide enhanced and consistent</w:t>
      </w:r>
      <w:r w:rsidR="00D87B42" w:rsidRPr="008F1B7C">
        <w:t>ly reported</w:t>
      </w:r>
      <w:r w:rsidRPr="008F1B7C">
        <w:t xml:space="preserve"> performance data for all investment options</w:t>
      </w:r>
      <w:r w:rsidR="00623D3B" w:rsidRPr="008F1B7C">
        <w:t>.</w:t>
      </w:r>
    </w:p>
    <w:p w14:paraId="4CF86787" w14:textId="2B555F05" w:rsidR="009F43E2" w:rsidRPr="008F1B7C" w:rsidRDefault="002A46E0" w:rsidP="00E11B9C">
      <w:pPr>
        <w:pStyle w:val="ListParagraph"/>
        <w:numPr>
          <w:ilvl w:val="0"/>
          <w:numId w:val="18"/>
        </w:numPr>
        <w:spacing w:after="80"/>
        <w:ind w:left="714" w:hanging="357"/>
        <w:contextualSpacing w:val="0"/>
        <w:jc w:val="left"/>
        <w:rPr>
          <w:i/>
        </w:rPr>
      </w:pPr>
      <w:r w:rsidRPr="008F1B7C">
        <w:rPr>
          <w:i/>
        </w:rPr>
        <w:t xml:space="preserve">Reporting Standard </w:t>
      </w:r>
      <w:r w:rsidR="00452D29" w:rsidRPr="008F1B7C">
        <w:rPr>
          <w:i/>
        </w:rPr>
        <w:t xml:space="preserve">SRS </w:t>
      </w:r>
      <w:r w:rsidRPr="008F1B7C">
        <w:rPr>
          <w:i/>
        </w:rPr>
        <w:t xml:space="preserve">550.0 Asset Allocation </w:t>
      </w:r>
      <w:r w:rsidRPr="008F1B7C">
        <w:t>(SRS 550.0) which would</w:t>
      </w:r>
      <w:r w:rsidRPr="008F1B7C">
        <w:rPr>
          <w:i/>
        </w:rPr>
        <w:t xml:space="preserve"> </w:t>
      </w:r>
      <w:r w:rsidRPr="008F1B7C">
        <w:t>provide enhanced data on investment strategies</w:t>
      </w:r>
      <w:r w:rsidR="008350B0" w:rsidRPr="008F1B7C">
        <w:t>,</w:t>
      </w:r>
      <w:r w:rsidRPr="008F1B7C">
        <w:t xml:space="preserve"> to facilitate the assessment of investment performance and understanding of investment strategy and exposures to various asset classes</w:t>
      </w:r>
      <w:r w:rsidR="00EB24B4" w:rsidRPr="008F1B7C">
        <w:t xml:space="preserve"> for all investment options, and data on the investment exposures of the fund</w:t>
      </w:r>
      <w:r w:rsidRPr="008F1B7C">
        <w:t>.</w:t>
      </w:r>
    </w:p>
    <w:p w14:paraId="02527379" w14:textId="64EF9F69" w:rsidR="009F43E2" w:rsidRPr="008F1B7C" w:rsidRDefault="00623D3B" w:rsidP="00E11B9C">
      <w:pPr>
        <w:pStyle w:val="ListParagraph"/>
        <w:numPr>
          <w:ilvl w:val="0"/>
          <w:numId w:val="18"/>
        </w:numPr>
        <w:spacing w:after="80"/>
        <w:ind w:left="714" w:hanging="357"/>
        <w:contextualSpacing w:val="0"/>
        <w:jc w:val="left"/>
        <w:rPr>
          <w:i/>
        </w:rPr>
      </w:pPr>
      <w:r w:rsidRPr="008F1B7C">
        <w:rPr>
          <w:i/>
        </w:rPr>
        <w:t xml:space="preserve">Reporting Standard </w:t>
      </w:r>
      <w:r w:rsidR="00452D29" w:rsidRPr="008F1B7C">
        <w:rPr>
          <w:i/>
        </w:rPr>
        <w:t xml:space="preserve">SRS </w:t>
      </w:r>
      <w:r w:rsidRPr="008F1B7C">
        <w:rPr>
          <w:i/>
        </w:rPr>
        <w:t>706.0 Fees and Cost Disclosed</w:t>
      </w:r>
      <w:r w:rsidRPr="008F1B7C">
        <w:t xml:space="preserve"> (SRS 706.0) which would provide data on the </w:t>
      </w:r>
      <w:r w:rsidR="00EB24B4" w:rsidRPr="008F1B7C">
        <w:t xml:space="preserve">disclosed </w:t>
      </w:r>
      <w:r w:rsidRPr="008F1B7C">
        <w:t xml:space="preserve">fees and costs </w:t>
      </w:r>
      <w:r w:rsidR="00EB24B4" w:rsidRPr="008F1B7C">
        <w:t>for</w:t>
      </w:r>
      <w:r w:rsidRPr="008F1B7C">
        <w:t xml:space="preserve"> members for all products, </w:t>
      </w:r>
      <w:r w:rsidR="00C11EC6" w:rsidRPr="008F1B7C">
        <w:t xml:space="preserve">investment </w:t>
      </w:r>
      <w:r w:rsidRPr="008F1B7C">
        <w:t>menus and options.</w:t>
      </w:r>
    </w:p>
    <w:p w14:paraId="656A54E4" w14:textId="2E6DF6E7" w:rsidR="009F43E2" w:rsidRPr="008F1B7C" w:rsidRDefault="001418CA" w:rsidP="00E11B9C">
      <w:pPr>
        <w:pStyle w:val="ListParagraph"/>
        <w:numPr>
          <w:ilvl w:val="0"/>
          <w:numId w:val="18"/>
        </w:numPr>
        <w:spacing w:after="80"/>
        <w:ind w:left="714" w:hanging="357"/>
        <w:contextualSpacing w:val="0"/>
        <w:jc w:val="left"/>
        <w:rPr>
          <w:i/>
        </w:rPr>
      </w:pPr>
      <w:r w:rsidRPr="008F1B7C">
        <w:rPr>
          <w:i/>
        </w:rPr>
        <w:t xml:space="preserve">Reporting Standard </w:t>
      </w:r>
      <w:r w:rsidR="00452D29" w:rsidRPr="008F1B7C">
        <w:rPr>
          <w:i/>
        </w:rPr>
        <w:t xml:space="preserve">SRS </w:t>
      </w:r>
      <w:r w:rsidRPr="008F1B7C">
        <w:rPr>
          <w:i/>
        </w:rPr>
        <w:t xml:space="preserve">251.0 Insurance </w:t>
      </w:r>
      <w:r w:rsidRPr="008F1B7C">
        <w:t>(SRS 251.0) which would provide enhanced data to facilitate an improved understanding of the nature and value of insurance arrangements</w:t>
      </w:r>
      <w:r w:rsidR="00D87B42" w:rsidRPr="008F1B7C">
        <w:t>, as well as enhanced reporting on insurance experience</w:t>
      </w:r>
      <w:r w:rsidR="00623D3B" w:rsidRPr="008F1B7C">
        <w:t>.</w:t>
      </w:r>
    </w:p>
    <w:p w14:paraId="0D6F12BB" w14:textId="310C876C" w:rsidR="009F43E2" w:rsidRPr="008F1B7C" w:rsidRDefault="001418CA" w:rsidP="00E11B9C">
      <w:pPr>
        <w:pStyle w:val="ListParagraph"/>
        <w:numPr>
          <w:ilvl w:val="0"/>
          <w:numId w:val="18"/>
        </w:numPr>
        <w:spacing w:after="80"/>
        <w:ind w:left="714" w:hanging="357"/>
        <w:contextualSpacing w:val="0"/>
        <w:jc w:val="left"/>
        <w:rPr>
          <w:i/>
        </w:rPr>
      </w:pPr>
      <w:bookmarkStart w:id="56" w:name="_Hlk76650773"/>
      <w:r w:rsidRPr="008F1B7C">
        <w:rPr>
          <w:i/>
        </w:rPr>
        <w:t xml:space="preserve">Reporting Standard </w:t>
      </w:r>
      <w:r w:rsidR="00452D29" w:rsidRPr="008F1B7C">
        <w:rPr>
          <w:i/>
        </w:rPr>
        <w:t xml:space="preserve">SRS </w:t>
      </w:r>
      <w:r w:rsidRPr="008F1B7C">
        <w:rPr>
          <w:i/>
        </w:rPr>
        <w:t xml:space="preserve">332.0 Expenses </w:t>
      </w:r>
      <w:r w:rsidRPr="008F1B7C">
        <w:t xml:space="preserve">(SRS 332.0) </w:t>
      </w:r>
      <w:r w:rsidR="005924E6" w:rsidRPr="008F1B7C">
        <w:t>which would</w:t>
      </w:r>
      <w:r w:rsidRPr="008F1B7C">
        <w:t xml:space="preserve"> collect the expenses data of each fund to enable consistent and comparable assessment of expenses across the superannuation industry.</w:t>
      </w:r>
    </w:p>
    <w:bookmarkEnd w:id="56"/>
    <w:p w14:paraId="5A3D98DE" w14:textId="052B0CA0" w:rsidR="00CA1147" w:rsidRPr="008F1B7C" w:rsidRDefault="00CA1147" w:rsidP="00E11B9C">
      <w:pPr>
        <w:pStyle w:val="ListParagraph"/>
        <w:numPr>
          <w:ilvl w:val="0"/>
          <w:numId w:val="18"/>
        </w:numPr>
        <w:spacing w:after="80"/>
        <w:ind w:left="714" w:hanging="357"/>
        <w:contextualSpacing w:val="0"/>
        <w:jc w:val="left"/>
        <w:rPr>
          <w:i/>
        </w:rPr>
      </w:pPr>
      <w:r w:rsidRPr="008F1B7C">
        <w:rPr>
          <w:i/>
        </w:rPr>
        <w:t xml:space="preserve">Reporting Standard </w:t>
      </w:r>
      <w:r w:rsidR="00452D29" w:rsidRPr="008F1B7C">
        <w:rPr>
          <w:i/>
        </w:rPr>
        <w:t xml:space="preserve">SRS </w:t>
      </w:r>
      <w:r w:rsidRPr="008F1B7C">
        <w:rPr>
          <w:i/>
        </w:rPr>
        <w:t>101.0 Definitions for Superannuation Data Collections</w:t>
      </w:r>
      <w:r w:rsidRPr="008F1B7C">
        <w:t xml:space="preserve"> (SRS 101.0) </w:t>
      </w:r>
      <w:r w:rsidR="00EB24B4" w:rsidRPr="008F1B7C">
        <w:t xml:space="preserve">which would </w:t>
      </w:r>
      <w:r w:rsidRPr="008F1B7C">
        <w:t>provide consistent superannuation definitions across the data collection. Previously definitions were captured within each individual reporting standard.</w:t>
      </w:r>
    </w:p>
    <w:p w14:paraId="3908439C" w14:textId="5F900661" w:rsidR="0070612B" w:rsidRPr="008F1B7C" w:rsidRDefault="0070612B">
      <w:pPr>
        <w:rPr>
          <w:b/>
          <w:i/>
        </w:rPr>
      </w:pPr>
      <w:r w:rsidRPr="008F1B7C">
        <w:t xml:space="preserve">The first submission for these reporting standards would be due </w:t>
      </w:r>
      <w:r w:rsidR="008350B0" w:rsidRPr="008F1B7C">
        <w:t xml:space="preserve">on </w:t>
      </w:r>
      <w:r w:rsidRPr="008F1B7C">
        <w:t>30 September 2021</w:t>
      </w:r>
      <w:r w:rsidR="008350B0" w:rsidRPr="008F1B7C">
        <w:t>,</w:t>
      </w:r>
      <w:r w:rsidRPr="008F1B7C">
        <w:t xml:space="preserve"> for</w:t>
      </w:r>
      <w:r w:rsidR="008350B0" w:rsidRPr="008F1B7C">
        <w:t xml:space="preserve"> data as at an effective date of</w:t>
      </w:r>
      <w:r w:rsidRPr="008F1B7C">
        <w:t xml:space="preserve"> 30 June 2021.</w:t>
      </w:r>
    </w:p>
    <w:p w14:paraId="3FEA7700" w14:textId="3351902E" w:rsidR="00930F0D" w:rsidRPr="008F1B7C" w:rsidRDefault="00930F0D" w:rsidP="00930F0D">
      <w:r w:rsidRPr="008F1B7C">
        <w:t>Where these reporting standards overlap with existing reporting standards</w:t>
      </w:r>
      <w:r w:rsidR="00452D29" w:rsidRPr="008F1B7C">
        <w:t>,</w:t>
      </w:r>
      <w:r w:rsidRPr="008F1B7C">
        <w:t xml:space="preserve"> the superseded elements will be </w:t>
      </w:r>
      <w:r w:rsidR="00452D29" w:rsidRPr="008F1B7C">
        <w:t xml:space="preserve">revoked </w:t>
      </w:r>
      <w:r w:rsidRPr="008F1B7C">
        <w:t xml:space="preserve">after a period of parallel reporting to ensure the quality of the </w:t>
      </w:r>
      <w:r w:rsidR="008350B0" w:rsidRPr="008F1B7C">
        <w:t xml:space="preserve">data submitted under the </w:t>
      </w:r>
      <w:r w:rsidRPr="008F1B7C">
        <w:t xml:space="preserve">new reporting standards is sufficient before ending the </w:t>
      </w:r>
      <w:r w:rsidR="00414A19" w:rsidRPr="008F1B7C">
        <w:t>existing</w:t>
      </w:r>
      <w:r w:rsidRPr="008F1B7C">
        <w:t xml:space="preserve"> collections.</w:t>
      </w:r>
    </w:p>
    <w:p w14:paraId="0B443657" w14:textId="5233439E" w:rsidR="001418CA" w:rsidRPr="008F1B7C" w:rsidRDefault="001418CA" w:rsidP="009356A1">
      <w:bookmarkStart w:id="57" w:name="_Toc56693570"/>
      <w:bookmarkStart w:id="58" w:name="_Toc56678090"/>
      <w:r w:rsidRPr="008F1B7C">
        <w:rPr>
          <w:b/>
        </w:rPr>
        <w:t xml:space="preserve">Option 4 – </w:t>
      </w:r>
      <w:r w:rsidR="00BA6835" w:rsidRPr="008F1B7C">
        <w:rPr>
          <w:b/>
        </w:rPr>
        <w:t>I</w:t>
      </w:r>
      <w:bookmarkStart w:id="59" w:name="_Hlk71103803"/>
      <w:r w:rsidR="00BA6835" w:rsidRPr="008F1B7C">
        <w:rPr>
          <w:b/>
        </w:rPr>
        <w:t>mplement</w:t>
      </w:r>
      <w:r w:rsidR="00D87B42" w:rsidRPr="008F1B7C">
        <w:rPr>
          <w:b/>
        </w:rPr>
        <w:t xml:space="preserve"> </w:t>
      </w:r>
      <w:r w:rsidR="00BD3FC8" w:rsidRPr="008F1B7C">
        <w:rPr>
          <w:b/>
        </w:rPr>
        <w:t>O</w:t>
      </w:r>
      <w:r w:rsidR="00D87B42" w:rsidRPr="008F1B7C">
        <w:rPr>
          <w:b/>
        </w:rPr>
        <w:t>ption 3 with staged implementation</w:t>
      </w:r>
      <w:bookmarkEnd w:id="57"/>
      <w:bookmarkEnd w:id="58"/>
      <w:bookmarkEnd w:id="59"/>
    </w:p>
    <w:p w14:paraId="2D86264D" w14:textId="2829A445" w:rsidR="001418CA" w:rsidRPr="008F1B7C" w:rsidRDefault="001418CA">
      <w:pPr>
        <w:spacing w:after="160"/>
      </w:pPr>
      <w:r w:rsidRPr="008F1B7C">
        <w:rPr>
          <w:rFonts w:eastAsia="Times New Roman" w:cs="Times New Roman"/>
        </w:rPr>
        <w:t>Option 4 involves</w:t>
      </w:r>
      <w:r w:rsidR="00A40B05" w:rsidRPr="008F1B7C">
        <w:rPr>
          <w:rFonts w:eastAsia="Times New Roman" w:cs="Times New Roman"/>
        </w:rPr>
        <w:t xml:space="preserve"> implementing the</w:t>
      </w:r>
      <w:r w:rsidR="00A40B05" w:rsidRPr="008F1B7C">
        <w:t xml:space="preserve"> enhanced data collection as per </w:t>
      </w:r>
      <w:r w:rsidR="00BD3FC8" w:rsidRPr="008F1B7C">
        <w:t>O</w:t>
      </w:r>
      <w:r w:rsidR="00A40B05" w:rsidRPr="008F1B7C">
        <w:t xml:space="preserve">ption 3, with staged implementation </w:t>
      </w:r>
      <w:r w:rsidR="00341B6A" w:rsidRPr="008F1B7C">
        <w:t xml:space="preserve">of the new </w:t>
      </w:r>
      <w:r w:rsidR="00A40B05" w:rsidRPr="008F1B7C">
        <w:t xml:space="preserve">reporting requirements </w:t>
      </w:r>
      <w:r w:rsidR="00452D29" w:rsidRPr="008F1B7C">
        <w:t>over a longer period</w:t>
      </w:r>
      <w:r w:rsidR="00A40B05" w:rsidRPr="008F1B7C">
        <w:t>.</w:t>
      </w:r>
      <w:r w:rsidR="00F161EB" w:rsidRPr="008F1B7C">
        <w:t xml:space="preserve"> This amen</w:t>
      </w:r>
      <w:r w:rsidR="00DB4D70" w:rsidRPr="008F1B7C">
        <w:t>ded implementation timeframe would</w:t>
      </w:r>
      <w:r w:rsidR="00452D29" w:rsidRPr="008F1B7C">
        <w:t xml:space="preserve"> seek to ease the implementation burden on industry by </w:t>
      </w:r>
      <w:r w:rsidR="00452D29" w:rsidRPr="008F1B7C">
        <w:lastRenderedPageBreak/>
        <w:t>enabling</w:t>
      </w:r>
      <w:r w:rsidR="00DB4D70" w:rsidRPr="008F1B7C">
        <w:t xml:space="preserve"> the submission of the highest priority data to commence in 2021, </w:t>
      </w:r>
      <w:r w:rsidR="00452D29" w:rsidRPr="008F1B7C">
        <w:t xml:space="preserve">with </w:t>
      </w:r>
      <w:r w:rsidR="00DB4D70" w:rsidRPr="008F1B7C">
        <w:t xml:space="preserve">the submission of the remainder of the data </w:t>
      </w:r>
      <w:r w:rsidR="00782CC1" w:rsidRPr="008F1B7C">
        <w:t xml:space="preserve">to achieve </w:t>
      </w:r>
      <w:r w:rsidR="00DB4D70" w:rsidRPr="008F1B7C">
        <w:t xml:space="preserve">full reporting </w:t>
      </w:r>
      <w:r w:rsidR="004347CA" w:rsidRPr="008F1B7C">
        <w:t>in</w:t>
      </w:r>
      <w:r w:rsidR="00DB4D70" w:rsidRPr="008F1B7C">
        <w:t xml:space="preserve"> 2022/23.</w:t>
      </w:r>
      <w:r w:rsidR="00D40150" w:rsidRPr="008F1B7C">
        <w:t xml:space="preserve"> </w:t>
      </w:r>
      <w:proofErr w:type="gramStart"/>
      <w:r w:rsidR="00D40150" w:rsidRPr="008F1B7C">
        <w:t xml:space="preserve">In particular, </w:t>
      </w:r>
      <w:r w:rsidR="00BD3FC8" w:rsidRPr="008F1B7C">
        <w:t>O</w:t>
      </w:r>
      <w:r w:rsidR="00D40150" w:rsidRPr="008F1B7C">
        <w:t>ption</w:t>
      </w:r>
      <w:proofErr w:type="gramEnd"/>
      <w:r w:rsidR="00D40150" w:rsidRPr="008F1B7C">
        <w:t xml:space="preserve"> </w:t>
      </w:r>
      <w:r w:rsidR="00452D29" w:rsidRPr="008F1B7C">
        <w:t xml:space="preserve">4 </w:t>
      </w:r>
      <w:r w:rsidR="00D40150" w:rsidRPr="008F1B7C">
        <w:t>will reduce the need to go back and re</w:t>
      </w:r>
      <w:r w:rsidR="003B1548" w:rsidRPr="008F1B7C">
        <w:t>-</w:t>
      </w:r>
      <w:r w:rsidR="00D40150" w:rsidRPr="008F1B7C">
        <w:t>categorise existing data</w:t>
      </w:r>
      <w:r w:rsidR="00782CC1" w:rsidRPr="008F1B7C">
        <w:t xml:space="preserve"> </w:t>
      </w:r>
      <w:r w:rsidR="00D40150" w:rsidRPr="008F1B7C">
        <w:t xml:space="preserve">by giving RSE licensees </w:t>
      </w:r>
      <w:r w:rsidR="00782CC1" w:rsidRPr="008F1B7C">
        <w:t xml:space="preserve">reasonable </w:t>
      </w:r>
      <w:r w:rsidR="00D40150" w:rsidRPr="008F1B7C">
        <w:t>time to put in place processes to capture new classifications going forward.</w:t>
      </w:r>
    </w:p>
    <w:p w14:paraId="67E4218A" w14:textId="5B14FF7D" w:rsidR="00094F75" w:rsidRPr="008F1B7C" w:rsidRDefault="00094F75" w:rsidP="00EB7C83">
      <w:pPr>
        <w:spacing w:before="240" w:after="0"/>
      </w:pPr>
      <w:r w:rsidRPr="008F1B7C">
        <w:t xml:space="preserve">The first submission for these reporting standards will be due </w:t>
      </w:r>
      <w:r w:rsidR="008350B0" w:rsidRPr="008F1B7C">
        <w:t xml:space="preserve">on </w:t>
      </w:r>
      <w:r w:rsidRPr="008F1B7C">
        <w:t xml:space="preserve">30 September 2021 for </w:t>
      </w:r>
      <w:r w:rsidR="008350B0" w:rsidRPr="008F1B7C">
        <w:t xml:space="preserve">data as at an effective date of </w:t>
      </w:r>
      <w:r w:rsidRPr="008F1B7C">
        <w:t xml:space="preserve">30 June 2021. APRA </w:t>
      </w:r>
      <w:r w:rsidR="0070612B" w:rsidRPr="008F1B7C">
        <w:t xml:space="preserve">would </w:t>
      </w:r>
      <w:r w:rsidRPr="008F1B7C">
        <w:t>adopt a staged implementation approach in four key areas:</w:t>
      </w:r>
    </w:p>
    <w:p w14:paraId="35E78A11" w14:textId="77777777" w:rsidR="00094F75" w:rsidRPr="008F1B7C" w:rsidRDefault="00094F75" w:rsidP="005139E3">
      <w:pPr>
        <w:pStyle w:val="ListParagraph"/>
        <w:numPr>
          <w:ilvl w:val="0"/>
          <w:numId w:val="31"/>
        </w:numPr>
        <w:tabs>
          <w:tab w:val="clear" w:pos="425"/>
          <w:tab w:val="clear" w:pos="851"/>
        </w:tabs>
        <w:spacing w:after="0"/>
        <w:contextualSpacing w:val="0"/>
      </w:pPr>
      <w:r w:rsidRPr="008F1B7C">
        <w:t xml:space="preserve">Temporary (one year) reduced coverage of products, investment menus and investment options for reporting on Performance, Asset Allocation and Fees and Costs </w:t>
      </w:r>
    </w:p>
    <w:p w14:paraId="0EA88D57" w14:textId="77777777" w:rsidR="00094F75" w:rsidRPr="008F1B7C" w:rsidRDefault="00094F75" w:rsidP="005139E3">
      <w:pPr>
        <w:pStyle w:val="ListParagraph"/>
        <w:numPr>
          <w:ilvl w:val="0"/>
          <w:numId w:val="31"/>
        </w:numPr>
        <w:tabs>
          <w:tab w:val="clear" w:pos="425"/>
          <w:tab w:val="clear" w:pos="851"/>
        </w:tabs>
        <w:spacing w:after="0"/>
        <w:contextualSpacing w:val="0"/>
      </w:pPr>
      <w:r w:rsidRPr="008F1B7C">
        <w:t xml:space="preserve">Temporary (one year) application of a materiality threshold for expense reporting </w:t>
      </w:r>
    </w:p>
    <w:p w14:paraId="7342E9F1" w14:textId="77777777" w:rsidR="00094F75" w:rsidRPr="008F1B7C" w:rsidRDefault="00094F75" w:rsidP="005139E3">
      <w:pPr>
        <w:pStyle w:val="ListParagraph"/>
        <w:numPr>
          <w:ilvl w:val="0"/>
          <w:numId w:val="31"/>
        </w:numPr>
        <w:tabs>
          <w:tab w:val="clear" w:pos="425"/>
          <w:tab w:val="clear" w:pos="851"/>
        </w:tabs>
        <w:spacing w:after="0"/>
        <w:contextualSpacing w:val="0"/>
      </w:pPr>
      <w:r w:rsidRPr="008F1B7C">
        <w:t xml:space="preserve">Delay (one year) for reporting on (whole-of-RSE) investments and currency exposure </w:t>
      </w:r>
    </w:p>
    <w:p w14:paraId="04343A24" w14:textId="1440B39A" w:rsidR="009A1BD1" w:rsidRPr="008F1B7C" w:rsidRDefault="00782CC1" w:rsidP="005139E3">
      <w:pPr>
        <w:pStyle w:val="ListParagraph"/>
        <w:numPr>
          <w:ilvl w:val="0"/>
          <w:numId w:val="31"/>
        </w:numPr>
        <w:tabs>
          <w:tab w:val="clear" w:pos="425"/>
          <w:tab w:val="clear" w:pos="851"/>
        </w:tabs>
        <w:spacing w:after="160"/>
        <w:contextualSpacing w:val="0"/>
      </w:pPr>
      <w:r w:rsidRPr="008F1B7C">
        <w:t>Staged t</w:t>
      </w:r>
      <w:r w:rsidR="00094F75" w:rsidRPr="008F1B7C">
        <w:t>wo-year transition arrangement for reporting on asset allocation characteristics.</w:t>
      </w:r>
    </w:p>
    <w:p w14:paraId="37F74D1A" w14:textId="103DEE55" w:rsidR="00DB4D70" w:rsidRPr="008F1B7C" w:rsidRDefault="0034082A">
      <w:pPr>
        <w:spacing w:after="160"/>
      </w:pPr>
      <w:r w:rsidRPr="008F1B7C">
        <w:t xml:space="preserve">This </w:t>
      </w:r>
      <w:r w:rsidR="002C0B8A" w:rsidRPr="008F1B7C">
        <w:t xml:space="preserve">staged implementation approach </w:t>
      </w:r>
      <w:r w:rsidRPr="008F1B7C">
        <w:t xml:space="preserve">would </w:t>
      </w:r>
      <w:r w:rsidR="002C0B8A" w:rsidRPr="008F1B7C">
        <w:t>also appl</w:t>
      </w:r>
      <w:r w:rsidRPr="008F1B7C">
        <w:t>y</w:t>
      </w:r>
      <w:r w:rsidR="002C0B8A" w:rsidRPr="008F1B7C">
        <w:t xml:space="preserve"> to </w:t>
      </w:r>
      <w:r w:rsidR="00782CC1" w:rsidRPr="008F1B7C">
        <w:t xml:space="preserve">the </w:t>
      </w:r>
      <w:r w:rsidR="002C0B8A" w:rsidRPr="008F1B7C">
        <w:t xml:space="preserve">reporting </w:t>
      </w:r>
      <w:r w:rsidR="00782CC1" w:rsidRPr="008F1B7C">
        <w:t xml:space="preserve">of </w:t>
      </w:r>
      <w:r w:rsidR="002C0B8A" w:rsidRPr="008F1B7C">
        <w:t>historical data.</w:t>
      </w:r>
    </w:p>
    <w:p w14:paraId="0E7830B1" w14:textId="77777777" w:rsidR="001418CA" w:rsidRPr="008F1B7C" w:rsidRDefault="001418CA" w:rsidP="00E11B9C">
      <w:pPr>
        <w:pStyle w:val="Heading1"/>
        <w:spacing w:before="480" w:after="360"/>
      </w:pPr>
      <w:bookmarkStart w:id="60" w:name="_Toc56408594"/>
      <w:bookmarkStart w:id="61" w:name="_Toc56408685"/>
      <w:bookmarkStart w:id="62" w:name="_Toc493588786"/>
      <w:bookmarkStart w:id="63" w:name="_Toc56678091"/>
      <w:bookmarkStart w:id="64" w:name="_Toc56693571"/>
      <w:bookmarkStart w:id="65" w:name="_Toc75295630"/>
      <w:bookmarkEnd w:id="60"/>
      <w:bookmarkEnd w:id="61"/>
      <w:r w:rsidRPr="008F1B7C">
        <w:t>Cost benefit analysis of each option/Impact analysis</w:t>
      </w:r>
      <w:bookmarkEnd w:id="62"/>
      <w:bookmarkEnd w:id="63"/>
      <w:bookmarkEnd w:id="64"/>
      <w:bookmarkEnd w:id="65"/>
    </w:p>
    <w:p w14:paraId="33F0AC2D" w14:textId="58061070" w:rsidR="001418CA" w:rsidRPr="008F1B7C" w:rsidRDefault="001418CA" w:rsidP="009356A1">
      <w:pPr>
        <w:rPr>
          <w:b/>
        </w:rPr>
      </w:pPr>
      <w:bookmarkStart w:id="66" w:name="_Toc493588787"/>
      <w:bookmarkStart w:id="67" w:name="_Toc493160735"/>
      <w:bookmarkStart w:id="68" w:name="_Toc56693572"/>
      <w:bookmarkStart w:id="69" w:name="_Toc56678092"/>
      <w:r w:rsidRPr="008F1B7C">
        <w:rPr>
          <w:b/>
        </w:rPr>
        <w:t>Option 1</w:t>
      </w:r>
      <w:bookmarkEnd w:id="66"/>
      <w:bookmarkEnd w:id="67"/>
      <w:r w:rsidRPr="008F1B7C">
        <w:rPr>
          <w:b/>
        </w:rPr>
        <w:t xml:space="preserve"> – Status </w:t>
      </w:r>
      <w:r w:rsidR="00E375E6" w:rsidRPr="008F1B7C">
        <w:rPr>
          <w:b/>
        </w:rPr>
        <w:t>q</w:t>
      </w:r>
      <w:r w:rsidRPr="008F1B7C">
        <w:rPr>
          <w:b/>
        </w:rPr>
        <w:t>uo</w:t>
      </w:r>
      <w:r w:rsidR="00E375E6" w:rsidRPr="008F1B7C">
        <w:rPr>
          <w:b/>
        </w:rPr>
        <w:t xml:space="preserve"> option</w:t>
      </w:r>
      <w:bookmarkEnd w:id="68"/>
      <w:bookmarkEnd w:id="69"/>
    </w:p>
    <w:p w14:paraId="7A49F98F" w14:textId="3898970D" w:rsidR="007433B7" w:rsidRPr="008F1B7C" w:rsidRDefault="00CA04E3">
      <w:r w:rsidRPr="008F1B7C">
        <w:t xml:space="preserve">Under this option, there would be no additional requirements imposed on industry. </w:t>
      </w:r>
      <w:r w:rsidR="007433B7" w:rsidRPr="008F1B7C">
        <w:t>The policy problem and need for intervention would remain. There would be no mechanism to address the data limitations outlined</w:t>
      </w:r>
      <w:r w:rsidR="00782CC1" w:rsidRPr="008F1B7C">
        <w:t xml:space="preserve">, and the </w:t>
      </w:r>
      <w:r w:rsidR="00F06B59" w:rsidRPr="008F1B7C">
        <w:t xml:space="preserve">data collected would </w:t>
      </w:r>
      <w:proofErr w:type="spellStart"/>
      <w:r w:rsidR="00635C0D" w:rsidRPr="008F1B7C">
        <w:t>f</w:t>
      </w:r>
      <w:r w:rsidR="00F06B59" w:rsidRPr="008F1B7C">
        <w:t>remain</w:t>
      </w:r>
      <w:proofErr w:type="spellEnd"/>
      <w:r w:rsidR="00F06B59" w:rsidRPr="008F1B7C">
        <w:t xml:space="preserve"> </w:t>
      </w:r>
      <w:r w:rsidR="000C386C" w:rsidRPr="008F1B7C">
        <w:t xml:space="preserve">primarily </w:t>
      </w:r>
      <w:r w:rsidR="00F06B59" w:rsidRPr="008F1B7C">
        <w:t>at an aggregate level</w:t>
      </w:r>
      <w:r w:rsidR="000C386C" w:rsidRPr="008F1B7C">
        <w:t>,</w:t>
      </w:r>
      <w:r w:rsidR="00F06B59" w:rsidRPr="008F1B7C">
        <w:t xml:space="preserve"> </w:t>
      </w:r>
      <w:r w:rsidR="000C386C" w:rsidRPr="008F1B7C">
        <w:t>with limited more granular data</w:t>
      </w:r>
      <w:r w:rsidR="00F06B59" w:rsidRPr="008F1B7C">
        <w:t xml:space="preserve"> only </w:t>
      </w:r>
      <w:r w:rsidR="000C386C" w:rsidRPr="008F1B7C">
        <w:t xml:space="preserve">for </w:t>
      </w:r>
      <w:proofErr w:type="spellStart"/>
      <w:r w:rsidR="00F06B59" w:rsidRPr="008F1B7C">
        <w:t>MySuper</w:t>
      </w:r>
      <w:proofErr w:type="spellEnd"/>
      <w:r w:rsidR="00F06B59" w:rsidRPr="008F1B7C">
        <w:t xml:space="preserve"> </w:t>
      </w:r>
      <w:r w:rsidR="000C386C" w:rsidRPr="008F1B7C">
        <w:t>products</w:t>
      </w:r>
      <w:r w:rsidR="00F06B59" w:rsidRPr="008F1B7C">
        <w:t>.</w:t>
      </w:r>
    </w:p>
    <w:p w14:paraId="330A04D4" w14:textId="230C7AF6" w:rsidR="001418CA" w:rsidRPr="008F1B7C" w:rsidRDefault="002758C9">
      <w:pPr>
        <w:rPr>
          <w:b/>
        </w:rPr>
      </w:pPr>
      <w:r w:rsidRPr="008F1B7C">
        <w:rPr>
          <w:b/>
        </w:rPr>
        <w:t>Benefits</w:t>
      </w:r>
    </w:p>
    <w:p w14:paraId="77C40801" w14:textId="79F7F0F4" w:rsidR="00444236" w:rsidRPr="008F1B7C" w:rsidRDefault="001418CA">
      <w:pPr>
        <w:pStyle w:val="ListParagraph"/>
        <w:numPr>
          <w:ilvl w:val="0"/>
          <w:numId w:val="11"/>
        </w:numPr>
        <w:tabs>
          <w:tab w:val="clear" w:pos="425"/>
          <w:tab w:val="clear" w:pos="851"/>
        </w:tabs>
        <w:jc w:val="left"/>
      </w:pPr>
      <w:r w:rsidRPr="008F1B7C">
        <w:t xml:space="preserve">No change in regulatory burden: RSE licensees would not incur additional regulatory costs of implementing and complying with </w:t>
      </w:r>
      <w:r w:rsidR="009863F4" w:rsidRPr="008F1B7C">
        <w:t>new</w:t>
      </w:r>
      <w:r w:rsidRPr="008F1B7C">
        <w:t xml:space="preserve"> requirements.</w:t>
      </w:r>
    </w:p>
    <w:p w14:paraId="09EFB566" w14:textId="69DDBE35" w:rsidR="00620865" w:rsidRPr="008F1B7C" w:rsidRDefault="002758C9">
      <w:r w:rsidRPr="008F1B7C">
        <w:rPr>
          <w:b/>
        </w:rPr>
        <w:t>D</w:t>
      </w:r>
      <w:r w:rsidR="001418CA" w:rsidRPr="008F1B7C">
        <w:rPr>
          <w:b/>
        </w:rPr>
        <w:t>isadvantages</w:t>
      </w:r>
    </w:p>
    <w:p w14:paraId="033D5296" w14:textId="41A56CB5" w:rsidR="0049119A" w:rsidRPr="008F1B7C" w:rsidRDefault="0049119A" w:rsidP="00E11B9C">
      <w:pPr>
        <w:pStyle w:val="ListParagraph"/>
        <w:numPr>
          <w:ilvl w:val="0"/>
          <w:numId w:val="11"/>
        </w:numPr>
        <w:jc w:val="left"/>
      </w:pPr>
      <w:r w:rsidRPr="008F1B7C">
        <w:t>APRA would continue to be limited by gaps in coverage, comparability and granularity</w:t>
      </w:r>
      <w:r w:rsidRPr="008F1B7C" w:rsidDel="003A204F">
        <w:t xml:space="preserve"> </w:t>
      </w:r>
      <w:r w:rsidRPr="008F1B7C">
        <w:t xml:space="preserve">of data needed to identify underperformance and other areas for increased supervisory intensity where RSE licensees may not be acting in the members best financial interests. This would continue to limit APRA’s ability to </w:t>
      </w:r>
      <w:r w:rsidR="000C386C" w:rsidRPr="008F1B7C">
        <w:t>ensure</w:t>
      </w:r>
      <w:r w:rsidRPr="008F1B7C">
        <w:t xml:space="preserve"> RSE licensees to make </w:t>
      </w:r>
      <w:r w:rsidR="000C386C" w:rsidRPr="008F1B7C">
        <w:t xml:space="preserve">needed </w:t>
      </w:r>
      <w:r w:rsidRPr="008F1B7C">
        <w:t>changes, such as fee reductions to improve member outcomes.</w:t>
      </w:r>
    </w:p>
    <w:p w14:paraId="6295ED8D" w14:textId="7AD6E924" w:rsidR="0049119A" w:rsidRPr="008F1B7C" w:rsidRDefault="0049119A" w:rsidP="00E11B9C">
      <w:pPr>
        <w:pStyle w:val="ListParagraph"/>
        <w:numPr>
          <w:ilvl w:val="0"/>
          <w:numId w:val="11"/>
        </w:numPr>
        <w:jc w:val="left"/>
      </w:pPr>
      <w:r w:rsidRPr="008F1B7C">
        <w:t xml:space="preserve">APRA would not have the data required to administer the performance test for </w:t>
      </w:r>
      <w:r w:rsidR="00F217E2" w:rsidRPr="008F1B7C">
        <w:t>C</w:t>
      </w:r>
      <w:r w:rsidRPr="008F1B7C">
        <w:t>hoice products.</w:t>
      </w:r>
    </w:p>
    <w:p w14:paraId="2CC728BF" w14:textId="4D60623D" w:rsidR="0049119A" w:rsidRPr="008F1B7C" w:rsidRDefault="0049119A" w:rsidP="00E11B9C">
      <w:pPr>
        <w:pStyle w:val="ListParagraph"/>
        <w:numPr>
          <w:ilvl w:val="0"/>
          <w:numId w:val="11"/>
        </w:numPr>
        <w:jc w:val="left"/>
      </w:pPr>
      <w:r w:rsidRPr="008F1B7C">
        <w:t>The</w:t>
      </w:r>
      <w:r w:rsidR="00F06B59" w:rsidRPr="008F1B7C">
        <w:t xml:space="preserve"> data</w:t>
      </w:r>
      <w:r w:rsidRPr="008F1B7C">
        <w:t xml:space="preserve"> collection</w:t>
      </w:r>
      <w:r w:rsidR="00F06B59" w:rsidRPr="008F1B7C">
        <w:t>s</w:t>
      </w:r>
      <w:r w:rsidRPr="008F1B7C">
        <w:t xml:space="preserve"> would no longer be aligned with fee and costs disclosure requirements.</w:t>
      </w:r>
    </w:p>
    <w:p w14:paraId="28B357D5" w14:textId="25F248C4" w:rsidR="0049119A" w:rsidRPr="008F1B7C" w:rsidRDefault="0049119A" w:rsidP="005139E3">
      <w:pPr>
        <w:pStyle w:val="ListParagraph"/>
        <w:numPr>
          <w:ilvl w:val="0"/>
          <w:numId w:val="11"/>
        </w:numPr>
      </w:pPr>
      <w:r w:rsidRPr="008F1B7C">
        <w:t xml:space="preserve">APRA </w:t>
      </w:r>
      <w:r w:rsidR="000C386C" w:rsidRPr="008F1B7C">
        <w:t>would</w:t>
      </w:r>
      <w:r w:rsidRPr="008F1B7C">
        <w:t xml:space="preserve"> not have </w:t>
      </w:r>
      <w:r w:rsidR="000C386C" w:rsidRPr="008F1B7C">
        <w:t>the detailed</w:t>
      </w:r>
      <w:r w:rsidRPr="008F1B7C">
        <w:t xml:space="preserve"> visibility on expenses required to </w:t>
      </w:r>
      <w:r w:rsidR="000C386C" w:rsidRPr="008F1B7C">
        <w:t xml:space="preserve">adequately </w:t>
      </w:r>
      <w:r w:rsidRPr="008F1B7C">
        <w:t xml:space="preserve">understand how members money is </w:t>
      </w:r>
      <w:proofErr w:type="gramStart"/>
      <w:r w:rsidRPr="008F1B7C">
        <w:t>spent</w:t>
      </w:r>
      <w:r w:rsidR="00C706D6" w:rsidRPr="008F1B7C">
        <w:t>, and</w:t>
      </w:r>
      <w:proofErr w:type="gramEnd"/>
      <w:r w:rsidR="00C706D6" w:rsidRPr="008F1B7C">
        <w:t xml:space="preserve"> does not make use of the powers granted in the IAMOIS amendment to capture a full look-though of expenses incurred by the RSE licensee</w:t>
      </w:r>
      <w:r w:rsidRPr="008F1B7C">
        <w:t>.</w:t>
      </w:r>
    </w:p>
    <w:p w14:paraId="13EBCCAF" w14:textId="21BB0DE1" w:rsidR="0049119A" w:rsidRPr="008F1B7C" w:rsidRDefault="00461E91" w:rsidP="005139E3">
      <w:pPr>
        <w:pStyle w:val="ListParagraph"/>
        <w:numPr>
          <w:ilvl w:val="0"/>
          <w:numId w:val="11"/>
        </w:numPr>
      </w:pPr>
      <w:r w:rsidRPr="008F1B7C">
        <w:t>Significant a</w:t>
      </w:r>
      <w:r w:rsidR="0049119A" w:rsidRPr="008F1B7C">
        <w:t>d-hoc data collection would continue to be needed to inform APRA’s supervisory activities and work to improve member outcomes.</w:t>
      </w:r>
    </w:p>
    <w:p w14:paraId="10BFC048" w14:textId="5ADE47CB" w:rsidR="009D3BD0" w:rsidRPr="008F1B7C" w:rsidRDefault="009D3BD0" w:rsidP="00B308B7">
      <w:r w:rsidRPr="008F1B7C">
        <w:lastRenderedPageBreak/>
        <w:t xml:space="preserve">Given APRA’s focus on improving member outcomes and the policy intent of the Your Future Your Super legislation, </w:t>
      </w:r>
      <w:r w:rsidR="00BD3FC8" w:rsidRPr="008F1B7C">
        <w:t>O</w:t>
      </w:r>
      <w:r w:rsidRPr="008F1B7C">
        <w:t xml:space="preserve">ption 1 is fundamentally </w:t>
      </w:r>
      <w:proofErr w:type="gramStart"/>
      <w:r w:rsidRPr="008F1B7C">
        <w:t>problematic</w:t>
      </w:r>
      <w:proofErr w:type="gramEnd"/>
      <w:r w:rsidR="000C386C" w:rsidRPr="008F1B7C">
        <w:t xml:space="preserve"> and</w:t>
      </w:r>
      <w:r w:rsidRPr="008F1B7C">
        <w:t xml:space="preserve"> APRA would be unable to administer the performance test for </w:t>
      </w:r>
      <w:r w:rsidR="00F217E2" w:rsidRPr="008F1B7C">
        <w:t>C</w:t>
      </w:r>
      <w:r w:rsidRPr="008F1B7C">
        <w:t>hoice products.</w:t>
      </w:r>
    </w:p>
    <w:p w14:paraId="47445A73" w14:textId="42C568CC" w:rsidR="008E4F33" w:rsidRPr="008F1B7C" w:rsidRDefault="0037402E" w:rsidP="009356A1">
      <w:pPr>
        <w:rPr>
          <w:b/>
        </w:rPr>
      </w:pPr>
      <w:r w:rsidRPr="008F1B7C">
        <w:rPr>
          <w:b/>
        </w:rPr>
        <w:t>Regulatory costs</w:t>
      </w:r>
      <w:r w:rsidR="007C7D26" w:rsidRPr="008F1B7C">
        <w:rPr>
          <w:b/>
        </w:rPr>
        <w:t xml:space="preserve"> and net benefit</w:t>
      </w:r>
    </w:p>
    <w:p w14:paraId="26E14A9B" w14:textId="1E5EAB34" w:rsidR="0037402E" w:rsidRPr="008F1B7C" w:rsidRDefault="0037402E" w:rsidP="00077132">
      <w:r w:rsidRPr="008F1B7C">
        <w:t>There are no regulatory costs associated with this option</w:t>
      </w:r>
      <w:r w:rsidR="007C7D26" w:rsidRPr="008F1B7C">
        <w:t>, and no net benefit</w:t>
      </w:r>
      <w:r w:rsidRPr="008F1B7C">
        <w:t>.</w:t>
      </w:r>
    </w:p>
    <w:p w14:paraId="61545234" w14:textId="09FAB97B" w:rsidR="001418CA" w:rsidRPr="008F1B7C" w:rsidRDefault="001418CA" w:rsidP="009356A1">
      <w:bookmarkStart w:id="70" w:name="_Toc493588788"/>
      <w:bookmarkStart w:id="71" w:name="_Toc493160736"/>
      <w:bookmarkStart w:id="72" w:name="_Toc479856778"/>
      <w:bookmarkStart w:id="73" w:name="_Toc56693573"/>
      <w:bookmarkStart w:id="74" w:name="_Toc56678093"/>
      <w:r w:rsidRPr="008F1B7C">
        <w:rPr>
          <w:b/>
        </w:rPr>
        <w:t>Option 2</w:t>
      </w:r>
      <w:bookmarkEnd w:id="70"/>
      <w:bookmarkEnd w:id="71"/>
      <w:bookmarkEnd w:id="72"/>
      <w:r w:rsidRPr="008F1B7C">
        <w:rPr>
          <w:b/>
        </w:rPr>
        <w:t xml:space="preserve"> - </w:t>
      </w:r>
      <w:r w:rsidR="00D40150" w:rsidRPr="008F1B7C">
        <w:rPr>
          <w:b/>
        </w:rPr>
        <w:t xml:space="preserve">Expand existing </w:t>
      </w:r>
      <w:proofErr w:type="spellStart"/>
      <w:r w:rsidR="00D40150" w:rsidRPr="008F1B7C">
        <w:rPr>
          <w:b/>
        </w:rPr>
        <w:t>MySuper</w:t>
      </w:r>
      <w:proofErr w:type="spellEnd"/>
      <w:r w:rsidR="00D40150" w:rsidRPr="008F1B7C">
        <w:rPr>
          <w:b/>
        </w:rPr>
        <w:t xml:space="preserve"> reporting standards to all products and investment options</w:t>
      </w:r>
      <w:bookmarkEnd w:id="73"/>
      <w:bookmarkEnd w:id="74"/>
    </w:p>
    <w:p w14:paraId="57632509" w14:textId="77777777" w:rsidR="0078501D" w:rsidRPr="008F1B7C" w:rsidRDefault="001418CA" w:rsidP="0037402E">
      <w:r w:rsidRPr="008F1B7C">
        <w:t xml:space="preserve">Option 2 expands the </w:t>
      </w:r>
      <w:r w:rsidR="00233A42" w:rsidRPr="008F1B7C">
        <w:t>current data</w:t>
      </w:r>
      <w:r w:rsidRPr="008F1B7C">
        <w:t xml:space="preserve"> collection to cover all products and investment options under the current reporting standards.</w:t>
      </w:r>
      <w:r w:rsidR="0037402E" w:rsidRPr="008F1B7C">
        <w:t xml:space="preserve"> </w:t>
      </w:r>
    </w:p>
    <w:p w14:paraId="02564717" w14:textId="1B5C14CF" w:rsidR="0078501D" w:rsidRPr="008F1B7C" w:rsidRDefault="00B37CB0" w:rsidP="0037402E">
      <w:r w:rsidRPr="008F1B7C">
        <w:t xml:space="preserve">As </w:t>
      </w:r>
      <w:r w:rsidR="0078501D" w:rsidRPr="008F1B7C">
        <w:t>noted</w:t>
      </w:r>
      <w:r w:rsidRPr="008F1B7C">
        <w:t xml:space="preserve"> in the problem statement, data for </w:t>
      </w:r>
      <w:proofErr w:type="spellStart"/>
      <w:r w:rsidRPr="008F1B7C">
        <w:t>MySuper</w:t>
      </w:r>
      <w:proofErr w:type="spellEnd"/>
      <w:r w:rsidRPr="008F1B7C">
        <w:t xml:space="preserve"> products is limited in complexity by legislation and standardised measures are prescribed. Extending the existing reporting forms for reporting on </w:t>
      </w:r>
      <w:r w:rsidR="0078501D" w:rsidRPr="008F1B7C">
        <w:t>C</w:t>
      </w:r>
      <w:r w:rsidRPr="008F1B7C">
        <w:t xml:space="preserve">hoice products would involve </w:t>
      </w:r>
      <w:r w:rsidR="0078501D" w:rsidRPr="008F1B7C">
        <w:t>significant additional effort for</w:t>
      </w:r>
      <w:r w:rsidRPr="008F1B7C">
        <w:t xml:space="preserve"> RSE licensees</w:t>
      </w:r>
      <w:r w:rsidR="0078501D" w:rsidRPr="008F1B7C">
        <w:t xml:space="preserve"> to aggregate and report data in prescribed </w:t>
      </w:r>
      <w:proofErr w:type="gramStart"/>
      <w:r w:rsidR="0078501D" w:rsidRPr="008F1B7C">
        <w:t>ways</w:t>
      </w:r>
      <w:r w:rsidRPr="008F1B7C">
        <w:t>, and</w:t>
      </w:r>
      <w:proofErr w:type="gramEnd"/>
      <w:r w:rsidRPr="008F1B7C">
        <w:t xml:space="preserve"> would only capture a partial picture</w:t>
      </w:r>
      <w:r w:rsidR="0078501D" w:rsidRPr="008F1B7C">
        <w:t xml:space="preserve"> of product outcomes</w:t>
      </w:r>
      <w:r w:rsidRPr="008F1B7C">
        <w:t xml:space="preserve">. </w:t>
      </w:r>
    </w:p>
    <w:p w14:paraId="7C49359F" w14:textId="7D5FA4D9" w:rsidR="00B37CB0" w:rsidRPr="008F1B7C" w:rsidRDefault="00B37CB0" w:rsidP="0037402E">
      <w:r w:rsidRPr="008F1B7C">
        <w:t xml:space="preserve">The current collection is inefficient for collecting more complex data, as one form would need to be reported for each combination of product, investment menu and investment option, which for some RSE licensees </w:t>
      </w:r>
      <w:r w:rsidR="0078501D" w:rsidRPr="008F1B7C">
        <w:t xml:space="preserve">would lead to submissions of </w:t>
      </w:r>
      <w:r w:rsidR="00FA5217" w:rsidRPr="008F1B7C">
        <w:t>thousands</w:t>
      </w:r>
      <w:r w:rsidR="0078501D" w:rsidRPr="008F1B7C">
        <w:t xml:space="preserve"> of reporting forms each reporting period</w:t>
      </w:r>
      <w:r w:rsidRPr="008F1B7C">
        <w:t xml:space="preserve">. </w:t>
      </w:r>
    </w:p>
    <w:p w14:paraId="420F60B6" w14:textId="0A9B20E2" w:rsidR="0037402E" w:rsidRPr="008F1B7C" w:rsidRDefault="0037402E">
      <w:r w:rsidRPr="008F1B7C">
        <w:t xml:space="preserve">This option only partially solves the policy problem. While going some way to address the </w:t>
      </w:r>
      <w:r w:rsidR="00F06B59" w:rsidRPr="008F1B7C">
        <w:t xml:space="preserve">existing </w:t>
      </w:r>
      <w:r w:rsidRPr="008F1B7C">
        <w:t xml:space="preserve">gap with respect </w:t>
      </w:r>
      <w:proofErr w:type="gramStart"/>
      <w:r w:rsidRPr="008F1B7C">
        <w:t xml:space="preserve">to </w:t>
      </w:r>
      <w:r w:rsidR="00F06B59" w:rsidRPr="008F1B7C">
        <w:t>Choice</w:t>
      </w:r>
      <w:proofErr w:type="gramEnd"/>
      <w:r w:rsidR="00F06B59" w:rsidRPr="008F1B7C">
        <w:t xml:space="preserve"> products, </w:t>
      </w:r>
      <w:r w:rsidR="00B3124D" w:rsidRPr="008F1B7C">
        <w:t>O</w:t>
      </w:r>
      <w:r w:rsidRPr="008F1B7C">
        <w:t xml:space="preserve">ption 2 </w:t>
      </w:r>
      <w:r w:rsidR="00F06B59" w:rsidRPr="008F1B7C">
        <w:t xml:space="preserve">will collect data </w:t>
      </w:r>
      <w:r w:rsidR="001C221B" w:rsidRPr="008F1B7C">
        <w:t>at</w:t>
      </w:r>
      <w:r w:rsidR="007C7BE0" w:rsidRPr="008F1B7C">
        <w:t xml:space="preserve"> a representative</w:t>
      </w:r>
      <w:r w:rsidR="00F06B59" w:rsidRPr="008F1B7C">
        <w:t xml:space="preserve"> </w:t>
      </w:r>
      <w:r w:rsidR="001C221B" w:rsidRPr="008F1B7C">
        <w:t xml:space="preserve">member </w:t>
      </w:r>
      <w:r w:rsidR="00F06B59" w:rsidRPr="008F1B7C">
        <w:t>level,</w:t>
      </w:r>
      <w:r w:rsidR="007C7BE0" w:rsidRPr="008F1B7C">
        <w:t xml:space="preserve"> would not capture all fee data for all products</w:t>
      </w:r>
      <w:r w:rsidR="00F06B59" w:rsidRPr="008F1B7C">
        <w:t xml:space="preserve"> and </w:t>
      </w:r>
      <w:r w:rsidRPr="008F1B7C">
        <w:t xml:space="preserve">would not </w:t>
      </w:r>
      <w:r w:rsidR="0047737C" w:rsidRPr="008F1B7C">
        <w:t>capture data required to understand the structure of RSE’s operations</w:t>
      </w:r>
      <w:r w:rsidRPr="008F1B7C">
        <w:t>.</w:t>
      </w:r>
    </w:p>
    <w:p w14:paraId="62FDECD9" w14:textId="73C569C2" w:rsidR="0037402E" w:rsidRPr="008F1B7C" w:rsidRDefault="0037402E">
      <w:r w:rsidRPr="008F1B7C">
        <w:t xml:space="preserve">In addition, as in </w:t>
      </w:r>
      <w:r w:rsidR="00BD3FC8" w:rsidRPr="008F1B7C">
        <w:t>O</w:t>
      </w:r>
      <w:r w:rsidRPr="008F1B7C">
        <w:t xml:space="preserve">ption 1, </w:t>
      </w:r>
      <w:r w:rsidR="00BD3FC8" w:rsidRPr="008F1B7C">
        <w:t>O</w:t>
      </w:r>
      <w:r w:rsidRPr="008F1B7C">
        <w:t>ption 2 does not make use of the powers granted in the IAMOIS amendment to capture a full look-though of expenses incurred by the RSE licensee.</w:t>
      </w:r>
    </w:p>
    <w:p w14:paraId="7F370902" w14:textId="73B861E9" w:rsidR="002758C9" w:rsidRPr="008F1B7C" w:rsidRDefault="002758C9">
      <w:r w:rsidRPr="008F1B7C">
        <w:rPr>
          <w:b/>
        </w:rPr>
        <w:t>Benefits</w:t>
      </w:r>
    </w:p>
    <w:p w14:paraId="1343A711" w14:textId="313E1300" w:rsidR="0047737C" w:rsidRPr="008F1B7C" w:rsidRDefault="001418CA" w:rsidP="00E11B9C">
      <w:pPr>
        <w:pStyle w:val="ListParagraph"/>
        <w:numPr>
          <w:ilvl w:val="0"/>
          <w:numId w:val="22"/>
        </w:numPr>
        <w:jc w:val="left"/>
        <w:rPr>
          <w:rFonts w:cs="Arial"/>
        </w:rPr>
      </w:pPr>
      <w:r w:rsidRPr="008F1B7C">
        <w:t>The</w:t>
      </w:r>
      <w:r w:rsidR="0034082A" w:rsidRPr="008F1B7C">
        <w:t xml:space="preserve"> critical</w:t>
      </w:r>
      <w:r w:rsidRPr="008F1B7C">
        <w:t xml:space="preserve"> benefit of expanding the current data collections under </w:t>
      </w:r>
      <w:r w:rsidR="00B3124D" w:rsidRPr="008F1B7C">
        <w:t>O</w:t>
      </w:r>
      <w:r w:rsidRPr="008F1B7C">
        <w:t xml:space="preserve">ption 2 </w:t>
      </w:r>
      <w:r w:rsidR="00FA4766" w:rsidRPr="008F1B7C">
        <w:t xml:space="preserve">is </w:t>
      </w:r>
      <w:r w:rsidR="0034082A" w:rsidRPr="008F1B7C">
        <w:t>that f</w:t>
      </w:r>
      <w:r w:rsidR="00D40150" w:rsidRPr="008F1B7C">
        <w:t xml:space="preserve">ull </w:t>
      </w:r>
      <w:r w:rsidRPr="008F1B7C">
        <w:t xml:space="preserve">coverage of all products and investment options offered by each RSE licensee </w:t>
      </w:r>
      <w:r w:rsidR="00D40150" w:rsidRPr="008F1B7C">
        <w:t xml:space="preserve">would </w:t>
      </w:r>
      <w:r w:rsidRPr="008F1B7C">
        <w:t>enable</w:t>
      </w:r>
      <w:r w:rsidR="0047737C" w:rsidRPr="008F1B7C">
        <w:t xml:space="preserve"> some level of</w:t>
      </w:r>
      <w:r w:rsidRPr="008F1B7C">
        <w:t xml:space="preserve"> comparison across the </w:t>
      </w:r>
      <w:r w:rsidR="00652CCF" w:rsidRPr="008F1B7C">
        <w:t>industry</w:t>
      </w:r>
      <w:r w:rsidR="00FA4766" w:rsidRPr="008F1B7C">
        <w:t xml:space="preserve">. </w:t>
      </w:r>
      <w:r w:rsidR="00F70EF4" w:rsidRPr="008F1B7C">
        <w:t xml:space="preserve">This would </w:t>
      </w:r>
      <w:r w:rsidR="00D40150" w:rsidRPr="008F1B7C">
        <w:t>improve</w:t>
      </w:r>
      <w:r w:rsidR="00F70EF4" w:rsidRPr="008F1B7C">
        <w:t xml:space="preserve"> APRA</w:t>
      </w:r>
      <w:r w:rsidR="00D40150" w:rsidRPr="008F1B7C">
        <w:t>’s ability</w:t>
      </w:r>
      <w:r w:rsidR="00F70EF4" w:rsidRPr="008F1B7C">
        <w:t xml:space="preserve"> to identify </w:t>
      </w:r>
      <w:r w:rsidR="00826271" w:rsidRPr="008F1B7C">
        <w:t>underperformance and</w:t>
      </w:r>
      <w:r w:rsidR="00F70EF4" w:rsidRPr="008F1B7C">
        <w:t xml:space="preserve"> to </w:t>
      </w:r>
      <w:r w:rsidR="001C221B" w:rsidRPr="008F1B7C">
        <w:t>ensure</w:t>
      </w:r>
      <w:r w:rsidR="00F70EF4" w:rsidRPr="008F1B7C">
        <w:t xml:space="preserve"> </w:t>
      </w:r>
      <w:r w:rsidR="00891B4E" w:rsidRPr="008F1B7C">
        <w:t>RSE licensees</w:t>
      </w:r>
      <w:r w:rsidR="00F70EF4" w:rsidRPr="008F1B7C">
        <w:t xml:space="preserve"> make changes such as fee reductions to </w:t>
      </w:r>
      <w:r w:rsidR="001C221B" w:rsidRPr="008F1B7C">
        <w:t>improve</w:t>
      </w:r>
      <w:r w:rsidR="00F70EF4" w:rsidRPr="008F1B7C">
        <w:t xml:space="preserve"> retirement outcomes</w:t>
      </w:r>
      <w:r w:rsidR="006C47DF" w:rsidRPr="008F1B7C">
        <w:t>.</w:t>
      </w:r>
      <w:r w:rsidR="00C93397" w:rsidRPr="008F1B7C">
        <w:t xml:space="preserve"> </w:t>
      </w:r>
    </w:p>
    <w:p w14:paraId="6809540B" w14:textId="1F58113E" w:rsidR="00DB505E" w:rsidRPr="008F1B7C" w:rsidRDefault="00DB505E" w:rsidP="00E11B9C">
      <w:pPr>
        <w:pStyle w:val="ListParagraph"/>
        <w:numPr>
          <w:ilvl w:val="0"/>
          <w:numId w:val="22"/>
        </w:numPr>
        <w:jc w:val="left"/>
        <w:rPr>
          <w:rFonts w:cs="Arial"/>
        </w:rPr>
      </w:pPr>
      <w:r w:rsidRPr="008F1B7C">
        <w:rPr>
          <w:rFonts w:cs="Arial"/>
        </w:rPr>
        <w:t xml:space="preserve">APRA would be able to publish limited </w:t>
      </w:r>
      <w:r w:rsidR="00F217E2" w:rsidRPr="008F1B7C">
        <w:rPr>
          <w:rFonts w:cs="Arial"/>
        </w:rPr>
        <w:t>C</w:t>
      </w:r>
      <w:r w:rsidRPr="008F1B7C">
        <w:rPr>
          <w:rFonts w:cs="Arial"/>
        </w:rPr>
        <w:t>hoice heatmaps based on a representative member</w:t>
      </w:r>
      <w:r w:rsidR="00C93397" w:rsidRPr="008F1B7C">
        <w:rPr>
          <w:rFonts w:cs="Arial"/>
        </w:rPr>
        <w:t>.</w:t>
      </w:r>
    </w:p>
    <w:p w14:paraId="59533003" w14:textId="799CB4EE" w:rsidR="00DE6F6E" w:rsidRPr="008F1B7C" w:rsidRDefault="001418CA" w:rsidP="00E11B9C">
      <w:pPr>
        <w:pStyle w:val="ListParagraph"/>
        <w:numPr>
          <w:ilvl w:val="0"/>
          <w:numId w:val="22"/>
        </w:numPr>
        <w:jc w:val="left"/>
      </w:pPr>
      <w:r w:rsidRPr="008F1B7C">
        <w:t xml:space="preserve">APRA </w:t>
      </w:r>
      <w:r w:rsidR="00854866" w:rsidRPr="008F1B7C">
        <w:t xml:space="preserve">would </w:t>
      </w:r>
      <w:r w:rsidRPr="008F1B7C">
        <w:t xml:space="preserve">be </w:t>
      </w:r>
      <w:r w:rsidR="00F70EF4" w:rsidRPr="008F1B7C">
        <w:t xml:space="preserve">able </w:t>
      </w:r>
      <w:r w:rsidRPr="008F1B7C">
        <w:t xml:space="preserve">to expand current publications to cover all </w:t>
      </w:r>
      <w:r w:rsidR="00F70EF4" w:rsidRPr="008F1B7C">
        <w:t xml:space="preserve">products and </w:t>
      </w:r>
      <w:r w:rsidRPr="008F1B7C">
        <w:t>investment options, increasing transparency in the superannuation industry.</w:t>
      </w:r>
    </w:p>
    <w:p w14:paraId="101802E6" w14:textId="00E054A5" w:rsidR="00623D3B" w:rsidRPr="008F1B7C" w:rsidRDefault="009068FC" w:rsidP="00E11B9C">
      <w:pPr>
        <w:pStyle w:val="ListParagraph"/>
        <w:numPr>
          <w:ilvl w:val="0"/>
          <w:numId w:val="22"/>
        </w:numPr>
        <w:jc w:val="left"/>
      </w:pPr>
      <w:r w:rsidRPr="008F1B7C">
        <w:t>As this option builds upon existing reporting standards</w:t>
      </w:r>
      <w:r w:rsidR="00FA4766" w:rsidRPr="008F1B7C">
        <w:t xml:space="preserve"> for </w:t>
      </w:r>
      <w:proofErr w:type="spellStart"/>
      <w:r w:rsidR="00FA4766" w:rsidRPr="008F1B7C">
        <w:t>MySuper</w:t>
      </w:r>
      <w:proofErr w:type="spellEnd"/>
      <w:r w:rsidR="00FA4766" w:rsidRPr="008F1B7C">
        <w:t xml:space="preserve"> products</w:t>
      </w:r>
      <w:r w:rsidRPr="008F1B7C">
        <w:t xml:space="preserve">, the </w:t>
      </w:r>
      <w:r w:rsidR="0047737C" w:rsidRPr="008F1B7C">
        <w:t xml:space="preserve">transition to reporting is </w:t>
      </w:r>
      <w:r w:rsidR="001C221B" w:rsidRPr="008F1B7C">
        <w:t>facilitated</w:t>
      </w:r>
      <w:r w:rsidR="0047737C" w:rsidRPr="008F1B7C">
        <w:t xml:space="preserve"> for RSE licensees currently reporting to APRA, as </w:t>
      </w:r>
      <w:r w:rsidRPr="008F1B7C">
        <w:t>data items and structure are understood.</w:t>
      </w:r>
    </w:p>
    <w:p w14:paraId="7AC24614" w14:textId="752AB9C5" w:rsidR="001418CA" w:rsidRPr="008F1B7C" w:rsidRDefault="002758C9" w:rsidP="00D84488">
      <w:r w:rsidRPr="008F1B7C">
        <w:rPr>
          <w:b/>
        </w:rPr>
        <w:t>D</w:t>
      </w:r>
      <w:r w:rsidR="001418CA" w:rsidRPr="008F1B7C">
        <w:rPr>
          <w:b/>
        </w:rPr>
        <w:t>isadvantages</w:t>
      </w:r>
    </w:p>
    <w:p w14:paraId="30F883D8" w14:textId="639BFFC7" w:rsidR="00432581" w:rsidRPr="008F1B7C" w:rsidRDefault="00432581" w:rsidP="005139E3">
      <w:pPr>
        <w:pStyle w:val="ListParagraph"/>
        <w:numPr>
          <w:ilvl w:val="0"/>
          <w:numId w:val="12"/>
        </w:numPr>
      </w:pPr>
      <w:r w:rsidRPr="008F1B7C">
        <w:t xml:space="preserve">The data collected under current reporting standards is insufficient for APRA to identify areas for supervisory intensity </w:t>
      </w:r>
      <w:r w:rsidR="0047737C" w:rsidRPr="008F1B7C">
        <w:t xml:space="preserve">in key areas </w:t>
      </w:r>
      <w:r w:rsidR="006329E9" w:rsidRPr="008F1B7C">
        <w:t xml:space="preserve">which impact member outcomes </w:t>
      </w:r>
      <w:r w:rsidR="0047737C" w:rsidRPr="008F1B7C">
        <w:t>such as expenses and insurance</w:t>
      </w:r>
      <w:r w:rsidR="006C47DF" w:rsidRPr="008F1B7C">
        <w:t>.</w:t>
      </w:r>
      <w:r w:rsidR="0047737C" w:rsidRPr="008F1B7C">
        <w:t xml:space="preserve"> </w:t>
      </w:r>
    </w:p>
    <w:p w14:paraId="09F3C80C" w14:textId="001AA6C6" w:rsidR="009068FC" w:rsidRPr="008F1B7C" w:rsidRDefault="009068FC" w:rsidP="005139E3">
      <w:pPr>
        <w:pStyle w:val="ListParagraph"/>
        <w:numPr>
          <w:ilvl w:val="0"/>
          <w:numId w:val="12"/>
        </w:numPr>
        <w:tabs>
          <w:tab w:val="clear" w:pos="425"/>
          <w:tab w:val="clear" w:pos="851"/>
        </w:tabs>
        <w:jc w:val="left"/>
      </w:pPr>
      <w:r w:rsidRPr="008F1B7C">
        <w:t>The relationship</w:t>
      </w:r>
      <w:r w:rsidR="00461E91" w:rsidRPr="008F1B7C">
        <w:t>s</w:t>
      </w:r>
      <w:r w:rsidRPr="008F1B7C">
        <w:t xml:space="preserve"> between the products and investment options would not be captured</w:t>
      </w:r>
      <w:r w:rsidR="00461E91" w:rsidRPr="008F1B7C">
        <w:t xml:space="preserve">, limiting understanding and transparency of RSE </w:t>
      </w:r>
      <w:r w:rsidR="001C221B" w:rsidRPr="008F1B7C">
        <w:t>licensee</w:t>
      </w:r>
      <w:r w:rsidR="00461E91" w:rsidRPr="008F1B7C">
        <w:t xml:space="preserve"> structures</w:t>
      </w:r>
      <w:r w:rsidRPr="008F1B7C">
        <w:t>.</w:t>
      </w:r>
    </w:p>
    <w:p w14:paraId="0446E03B" w14:textId="594412E4" w:rsidR="00FA5217" w:rsidRPr="008F1B7C" w:rsidRDefault="00FA5217" w:rsidP="005139E3">
      <w:pPr>
        <w:pStyle w:val="ListParagraph"/>
        <w:numPr>
          <w:ilvl w:val="0"/>
          <w:numId w:val="12"/>
        </w:numPr>
      </w:pPr>
      <w:r w:rsidRPr="008F1B7C">
        <w:lastRenderedPageBreak/>
        <w:t xml:space="preserve">Collecting the complex Choice product data using the current forms is inefficient and would result in </w:t>
      </w:r>
      <w:r w:rsidR="002300FD" w:rsidRPr="008F1B7C">
        <w:t xml:space="preserve">regulatory burden as </w:t>
      </w:r>
      <w:r w:rsidRPr="008F1B7C">
        <w:t xml:space="preserve">RSE licensees </w:t>
      </w:r>
      <w:r w:rsidR="002300FD" w:rsidRPr="008F1B7C">
        <w:t>would need to modify and aggregate data prior to submission</w:t>
      </w:r>
      <w:r w:rsidRPr="008F1B7C">
        <w:t>.</w:t>
      </w:r>
    </w:p>
    <w:p w14:paraId="0A78CEAD" w14:textId="4879D0AA" w:rsidR="009068FC" w:rsidRPr="008F1B7C" w:rsidRDefault="00461E91" w:rsidP="005139E3">
      <w:pPr>
        <w:pStyle w:val="ListParagraph"/>
        <w:numPr>
          <w:ilvl w:val="0"/>
          <w:numId w:val="12"/>
        </w:numPr>
      </w:pPr>
      <w:r w:rsidRPr="008F1B7C">
        <w:t xml:space="preserve">Key differences between the cohorts, for example complex </w:t>
      </w:r>
      <w:r w:rsidR="00826271" w:rsidRPr="008F1B7C">
        <w:t xml:space="preserve">fee structures </w:t>
      </w:r>
      <w:r w:rsidRPr="008F1B7C">
        <w:t>that exist for Choice</w:t>
      </w:r>
      <w:r w:rsidR="00CB283E" w:rsidRPr="008F1B7C">
        <w:t xml:space="preserve"> products</w:t>
      </w:r>
      <w:r w:rsidR="001C221B" w:rsidRPr="008F1B7C">
        <w:t>,</w:t>
      </w:r>
      <w:r w:rsidR="00432581" w:rsidRPr="008F1B7C">
        <w:t xml:space="preserve"> cannot be captured under the current reporting structure.</w:t>
      </w:r>
    </w:p>
    <w:p w14:paraId="70EF27EF" w14:textId="1B9D2B26" w:rsidR="00DB505E" w:rsidRPr="008F1B7C" w:rsidRDefault="00DB505E" w:rsidP="005139E3">
      <w:pPr>
        <w:pStyle w:val="ListParagraph"/>
        <w:numPr>
          <w:ilvl w:val="0"/>
          <w:numId w:val="11"/>
        </w:numPr>
      </w:pPr>
      <w:r w:rsidRPr="008F1B7C">
        <w:t xml:space="preserve">The </w:t>
      </w:r>
      <w:r w:rsidR="002300FD" w:rsidRPr="008F1B7C">
        <w:t xml:space="preserve">data </w:t>
      </w:r>
      <w:r w:rsidRPr="008F1B7C">
        <w:t>collection would no longer be aligned with fee and costs disclosure requirements</w:t>
      </w:r>
      <w:r w:rsidR="002300FD" w:rsidRPr="008F1B7C">
        <w:t xml:space="preserve"> under RG97</w:t>
      </w:r>
      <w:r w:rsidRPr="008F1B7C">
        <w:t xml:space="preserve">. </w:t>
      </w:r>
    </w:p>
    <w:p w14:paraId="28431D86" w14:textId="2F0B7A6E" w:rsidR="00CB283E" w:rsidRPr="008F1B7C" w:rsidRDefault="00DB505E" w:rsidP="005139E3">
      <w:pPr>
        <w:pStyle w:val="ListParagraph"/>
        <w:numPr>
          <w:ilvl w:val="0"/>
          <w:numId w:val="11"/>
        </w:numPr>
      </w:pPr>
      <w:r w:rsidRPr="008F1B7C">
        <w:t>APRA would not be using the powers granted by the IAMOIS amendment.</w:t>
      </w:r>
    </w:p>
    <w:p w14:paraId="6E30E571" w14:textId="5FF19F95" w:rsidR="00D40150" w:rsidRPr="008F1B7C" w:rsidRDefault="00D40150" w:rsidP="005139E3">
      <w:pPr>
        <w:pStyle w:val="ListParagraph"/>
        <w:numPr>
          <w:ilvl w:val="0"/>
          <w:numId w:val="11"/>
        </w:numPr>
      </w:pPr>
      <w:r w:rsidRPr="008F1B7C">
        <w:t xml:space="preserve">To inform APRA’s supervisory activities and work to improve member outcomes, </w:t>
      </w:r>
      <w:r w:rsidR="002300FD" w:rsidRPr="008F1B7C">
        <w:t xml:space="preserve">additional </w:t>
      </w:r>
      <w:r w:rsidR="00AA3D84" w:rsidRPr="008F1B7C">
        <w:t>ad</w:t>
      </w:r>
      <w:r w:rsidRPr="008F1B7C">
        <w:t>-hoc data collection</w:t>
      </w:r>
      <w:r w:rsidR="002300FD" w:rsidRPr="008F1B7C">
        <w:t>s</w:t>
      </w:r>
      <w:r w:rsidRPr="008F1B7C">
        <w:t xml:space="preserve"> would likely be needed, although to a lesser degree than under </w:t>
      </w:r>
      <w:r w:rsidR="00B3124D" w:rsidRPr="008F1B7C">
        <w:t>O</w:t>
      </w:r>
      <w:r w:rsidRPr="008F1B7C">
        <w:t>ption 1.</w:t>
      </w:r>
    </w:p>
    <w:p w14:paraId="0879E08B" w14:textId="41719238" w:rsidR="00432581" w:rsidRPr="008F1B7C" w:rsidRDefault="00432581" w:rsidP="00B308B7">
      <w:r w:rsidRPr="008F1B7C">
        <w:t xml:space="preserve">While this expansion of coverage would address the gaps in coverage of all products and investment options offered by each RSE licensee, the application of the </w:t>
      </w:r>
      <w:proofErr w:type="spellStart"/>
      <w:r w:rsidRPr="008F1B7C">
        <w:t>MySuper</w:t>
      </w:r>
      <w:proofErr w:type="spellEnd"/>
      <w:r w:rsidRPr="008F1B7C">
        <w:t xml:space="preserve"> collection to other products and options does not address the limitations of the current </w:t>
      </w:r>
      <w:proofErr w:type="gramStart"/>
      <w:r w:rsidRPr="008F1B7C">
        <w:t>collection, and</w:t>
      </w:r>
      <w:proofErr w:type="gramEnd"/>
      <w:r w:rsidRPr="008F1B7C">
        <w:t xml:space="preserve"> does not </w:t>
      </w:r>
      <w:r w:rsidR="006C47DF" w:rsidRPr="008F1B7C">
        <w:t xml:space="preserve">adequately </w:t>
      </w:r>
      <w:r w:rsidRPr="008F1B7C">
        <w:t xml:space="preserve">cater for the complexity of member </w:t>
      </w:r>
      <w:r w:rsidR="00461E91" w:rsidRPr="008F1B7C">
        <w:t xml:space="preserve">arrangements and experiences </w:t>
      </w:r>
      <w:r w:rsidRPr="008F1B7C">
        <w:t xml:space="preserve">outside the </w:t>
      </w:r>
      <w:proofErr w:type="spellStart"/>
      <w:r w:rsidRPr="008F1B7C">
        <w:t>MySuper</w:t>
      </w:r>
      <w:proofErr w:type="spellEnd"/>
      <w:r w:rsidRPr="008F1B7C">
        <w:t xml:space="preserve"> products. </w:t>
      </w:r>
      <w:proofErr w:type="gramStart"/>
      <w:r w:rsidR="006C47DF" w:rsidRPr="008F1B7C">
        <w:t xml:space="preserve">In particular, </w:t>
      </w:r>
      <w:r w:rsidRPr="008F1B7C">
        <w:t>APRA</w:t>
      </w:r>
      <w:proofErr w:type="gramEnd"/>
      <w:r w:rsidRPr="008F1B7C">
        <w:t xml:space="preserve"> and other stakeholders could only assess performance of products and investment options in isolation, without understanding a representative </w:t>
      </w:r>
      <w:r w:rsidR="002300FD" w:rsidRPr="008F1B7C">
        <w:t xml:space="preserve">or cumulative </w:t>
      </w:r>
      <w:r w:rsidRPr="008F1B7C">
        <w:t>member experience through each combination of products and options.</w:t>
      </w:r>
    </w:p>
    <w:p w14:paraId="2296AE09" w14:textId="77777777" w:rsidR="001418CA" w:rsidRPr="008F1B7C" w:rsidRDefault="001418CA">
      <w:pPr>
        <w:rPr>
          <w:b/>
        </w:rPr>
      </w:pPr>
      <w:r w:rsidRPr="008F1B7C">
        <w:rPr>
          <w:b/>
        </w:rPr>
        <w:t>Regulatory costs</w:t>
      </w:r>
    </w:p>
    <w:p w14:paraId="099F4B11" w14:textId="197C9FB2" w:rsidR="001418CA" w:rsidRPr="008F1B7C" w:rsidRDefault="0094678C">
      <w:r w:rsidRPr="008F1B7C">
        <w:t>Under</w:t>
      </w:r>
      <w:r w:rsidR="001418CA" w:rsidRPr="008F1B7C">
        <w:t xml:space="preserve"> </w:t>
      </w:r>
      <w:r w:rsidR="00B3124D" w:rsidRPr="008F1B7C">
        <w:t>O</w:t>
      </w:r>
      <w:r w:rsidR="001418CA" w:rsidRPr="008F1B7C">
        <w:t>ption 2, additional regulatory costs would be imposed on</w:t>
      </w:r>
      <w:r w:rsidR="00B027A2" w:rsidRPr="008F1B7C">
        <w:t xml:space="preserve"> RSE licensees</w:t>
      </w:r>
      <w:r w:rsidR="001418CA" w:rsidRPr="008F1B7C">
        <w:t>. These costs are expected to arise primarily as upfront costs</w:t>
      </w:r>
      <w:r w:rsidR="00AA3D84" w:rsidRPr="008F1B7C">
        <w:t>, specifically</w:t>
      </w:r>
      <w:r w:rsidR="001418CA" w:rsidRPr="008F1B7C">
        <w:t xml:space="preserve"> to understand the </w:t>
      </w:r>
      <w:r w:rsidR="00461E91" w:rsidRPr="008F1B7C">
        <w:t xml:space="preserve">expansion of </w:t>
      </w:r>
      <w:r w:rsidR="001418CA" w:rsidRPr="008F1B7C">
        <w:t xml:space="preserve">requirements, </w:t>
      </w:r>
      <w:r w:rsidR="00461E91" w:rsidRPr="008F1B7C">
        <w:t xml:space="preserve">identify </w:t>
      </w:r>
      <w:r w:rsidR="003C72D1" w:rsidRPr="008F1B7C">
        <w:t xml:space="preserve">and </w:t>
      </w:r>
      <w:r w:rsidR="00461E91" w:rsidRPr="008F1B7C">
        <w:t xml:space="preserve">source </w:t>
      </w:r>
      <w:r w:rsidR="006C47DF" w:rsidRPr="008F1B7C">
        <w:t xml:space="preserve">additional </w:t>
      </w:r>
      <w:r w:rsidR="00461E91" w:rsidRPr="008F1B7C">
        <w:t xml:space="preserve">data points and </w:t>
      </w:r>
      <w:r w:rsidR="001418CA" w:rsidRPr="008F1B7C">
        <w:t>update systems</w:t>
      </w:r>
      <w:r w:rsidR="00461E91" w:rsidRPr="008F1B7C">
        <w:t xml:space="preserve"> to deliver reporting</w:t>
      </w:r>
      <w:r w:rsidR="001418CA" w:rsidRPr="008F1B7C">
        <w:t xml:space="preserve">, </w:t>
      </w:r>
      <w:r w:rsidR="00461E91" w:rsidRPr="008F1B7C">
        <w:t xml:space="preserve">develop </w:t>
      </w:r>
      <w:r w:rsidR="001418CA" w:rsidRPr="008F1B7C">
        <w:t>policies and procedures, and train staff.</w:t>
      </w:r>
      <w:r w:rsidRPr="008F1B7C">
        <w:t xml:space="preserve"> There would also be </w:t>
      </w:r>
      <w:r w:rsidR="00461E91" w:rsidRPr="008F1B7C">
        <w:t xml:space="preserve">recurring </w:t>
      </w:r>
      <w:r w:rsidRPr="008F1B7C">
        <w:t>costs to compile and report the data for the expanded population</w:t>
      </w:r>
      <w:r w:rsidR="001418CA" w:rsidRPr="008F1B7C">
        <w:t xml:space="preserve"> </w:t>
      </w:r>
      <w:r w:rsidRPr="008F1B7C">
        <w:t>each quarter.</w:t>
      </w:r>
      <w:r w:rsidR="009F3F8D" w:rsidRPr="008F1B7C">
        <w:t xml:space="preserve"> The continuation of ad</w:t>
      </w:r>
      <w:r w:rsidR="006C47DF" w:rsidRPr="008F1B7C">
        <w:t>-</w:t>
      </w:r>
      <w:r w:rsidR="009F3F8D" w:rsidRPr="008F1B7C">
        <w:t>hoc data collections</w:t>
      </w:r>
      <w:r w:rsidR="00DF4034" w:rsidRPr="008F1B7C">
        <w:t xml:space="preserve"> in this option</w:t>
      </w:r>
      <w:r w:rsidR="009F3F8D" w:rsidRPr="008F1B7C">
        <w:t xml:space="preserve"> would prevent a reduction in costs borne by funds to respond to </w:t>
      </w:r>
      <w:r w:rsidR="00DF4034" w:rsidRPr="008F1B7C">
        <w:t>ad</w:t>
      </w:r>
      <w:r w:rsidR="006C47DF" w:rsidRPr="008F1B7C">
        <w:t>-</w:t>
      </w:r>
      <w:r w:rsidR="00DF4034" w:rsidRPr="008F1B7C">
        <w:t>hoc requests.</w:t>
      </w:r>
    </w:p>
    <w:p w14:paraId="502FE1B4" w14:textId="4866B1FE" w:rsidR="001418CA" w:rsidRPr="008F1B7C" w:rsidRDefault="001418CA">
      <w:proofErr w:type="gramStart"/>
      <w:r w:rsidRPr="008F1B7C">
        <w:t>Using the regulatory burden measurement framework, it</w:t>
      </w:r>
      <w:proofErr w:type="gramEnd"/>
      <w:r w:rsidRPr="008F1B7C">
        <w:t xml:space="preserve"> </w:t>
      </w:r>
      <w:r w:rsidR="00AA3D84" w:rsidRPr="008F1B7C">
        <w:t>is</w:t>
      </w:r>
      <w:r w:rsidRPr="008F1B7C">
        <w:t xml:space="preserve"> estimated that </w:t>
      </w:r>
      <w:r w:rsidR="00B3124D" w:rsidRPr="008F1B7C">
        <w:t>O</w:t>
      </w:r>
      <w:r w:rsidRPr="008F1B7C">
        <w:t xml:space="preserve">ption 2 would increase compliance costs </w:t>
      </w:r>
      <w:r w:rsidR="00771319" w:rsidRPr="008F1B7C">
        <w:t xml:space="preserve">for the industry </w:t>
      </w:r>
      <w:r w:rsidRPr="008F1B7C">
        <w:t>by $</w:t>
      </w:r>
      <w:r w:rsidR="004D3E66" w:rsidRPr="008F1B7C">
        <w:t>62</w:t>
      </w:r>
      <w:r w:rsidR="000C70AB" w:rsidRPr="008F1B7C">
        <w:t xml:space="preserve"> </w:t>
      </w:r>
      <w:r w:rsidRPr="008F1B7C">
        <w:t xml:space="preserve">million per annum for </w:t>
      </w:r>
      <w:r w:rsidR="006C47DF" w:rsidRPr="008F1B7C">
        <w:t xml:space="preserve">the </w:t>
      </w:r>
      <w:r w:rsidRPr="008F1B7C">
        <w:t>first year and $</w:t>
      </w:r>
      <w:r w:rsidR="002B79BB" w:rsidRPr="008F1B7C">
        <w:t>37</w:t>
      </w:r>
      <w:r w:rsidR="00FA03F5" w:rsidRPr="008F1B7C">
        <w:t xml:space="preserve"> </w:t>
      </w:r>
      <w:r w:rsidRPr="008F1B7C">
        <w:t>million per annum thereafter</w:t>
      </w:r>
      <w:r w:rsidR="00DD00EB" w:rsidRPr="008F1B7C">
        <w:t xml:space="preserve">. </w:t>
      </w:r>
      <w:r w:rsidR="00C337C0" w:rsidRPr="008F1B7C">
        <w:t>Over 10 years t</w:t>
      </w:r>
      <w:r w:rsidR="00DD00EB" w:rsidRPr="008F1B7C">
        <w:t>his represents</w:t>
      </w:r>
      <w:r w:rsidR="00D8645E" w:rsidRPr="008F1B7C">
        <w:t xml:space="preserve"> a</w:t>
      </w:r>
      <w:r w:rsidR="009A58CE" w:rsidRPr="008F1B7C">
        <w:t xml:space="preserve"> total increase</w:t>
      </w:r>
      <w:r w:rsidR="00D8645E" w:rsidRPr="008F1B7C">
        <w:t xml:space="preserve"> of $39 million per year </w:t>
      </w:r>
      <w:r w:rsidR="00DD00EB" w:rsidRPr="008F1B7C">
        <w:t>or $38</w:t>
      </w:r>
      <w:r w:rsidR="004D3E66" w:rsidRPr="008F1B7C">
        <w:t>6</w:t>
      </w:r>
      <w:r w:rsidR="00DD00EB" w:rsidRPr="008F1B7C">
        <w:t xml:space="preserve">,000 per year per RSE licensee </w:t>
      </w:r>
      <w:r w:rsidR="005F2BBE" w:rsidRPr="008F1B7C">
        <w:t>or $</w:t>
      </w:r>
      <w:r w:rsidR="00C337C0" w:rsidRPr="008F1B7C">
        <w:t>1</w:t>
      </w:r>
      <w:r w:rsidR="005F2BBE" w:rsidRPr="008F1B7C">
        <w:t>.</w:t>
      </w:r>
      <w:r w:rsidR="00C337C0" w:rsidRPr="008F1B7C">
        <w:t>7</w:t>
      </w:r>
      <w:r w:rsidR="004D3E66" w:rsidRPr="008F1B7C">
        <w:t>5</w:t>
      </w:r>
      <w:r w:rsidR="005F2BBE" w:rsidRPr="008F1B7C">
        <w:t xml:space="preserve"> per member</w:t>
      </w:r>
      <w:r w:rsidR="00C337C0" w:rsidRPr="008F1B7C">
        <w:t xml:space="preserve"> per year</w:t>
      </w:r>
      <w:r w:rsidR="005F2BBE" w:rsidRPr="008F1B7C">
        <w:t xml:space="preserve"> (based on </w:t>
      </w:r>
      <w:proofErr w:type="gramStart"/>
      <w:r w:rsidR="005F2BBE" w:rsidRPr="008F1B7C">
        <w:t>22.5 million member</w:t>
      </w:r>
      <w:proofErr w:type="gramEnd"/>
      <w:r w:rsidR="005F2BBE" w:rsidRPr="008F1B7C">
        <w:t xml:space="preserve"> accounts in APRA regulated funds at June 2020)</w:t>
      </w:r>
      <w:r w:rsidRPr="008F1B7C">
        <w:t>.</w:t>
      </w:r>
    </w:p>
    <w:p w14:paraId="62B983E6" w14:textId="77777777" w:rsidR="00FD6BEA" w:rsidRPr="008F1B7C" w:rsidRDefault="00FD6BEA" w:rsidP="00231E6C">
      <w:pPr>
        <w:keepNext/>
        <w:spacing w:after="0"/>
        <w:rPr>
          <w:rFonts w:ascii="Arial" w:eastAsiaTheme="minorEastAsia" w:hAnsi="Arial" w:cs="Arial"/>
        </w:rPr>
      </w:pPr>
    </w:p>
    <w:p w14:paraId="757FCD29" w14:textId="77777777" w:rsidR="00E261FD" w:rsidRPr="008F1B7C" w:rsidRDefault="00E261FD">
      <w:pPr>
        <w:jc w:val="both"/>
        <w:rPr>
          <w:rFonts w:ascii="Arial" w:eastAsiaTheme="minorEastAsia" w:hAnsi="Arial" w:cs="Arial"/>
        </w:rPr>
      </w:pPr>
      <w:r w:rsidRPr="008F1B7C">
        <w:rPr>
          <w:rFonts w:ascii="Arial" w:eastAsiaTheme="minorEastAsia" w:hAnsi="Arial" w:cs="Arial"/>
        </w:rPr>
        <w:br w:type="page"/>
      </w:r>
    </w:p>
    <w:p w14:paraId="57F287D6" w14:textId="3FA9F098" w:rsidR="001418CA" w:rsidRPr="008F1B7C" w:rsidRDefault="001418CA" w:rsidP="00E11B9C">
      <w:pPr>
        <w:keepNext/>
        <w:spacing w:after="0"/>
        <w:rPr>
          <w:rFonts w:ascii="Arial" w:eastAsiaTheme="minorEastAsia" w:hAnsi="Arial" w:cs="Arial"/>
        </w:rPr>
      </w:pPr>
      <w:r w:rsidRPr="008F1B7C">
        <w:rPr>
          <w:rFonts w:ascii="Arial" w:eastAsiaTheme="minorEastAsia" w:hAnsi="Arial" w:cs="Arial"/>
        </w:rPr>
        <w:lastRenderedPageBreak/>
        <w:t xml:space="preserve">Table 1: Regulatory burden estimate (RBE) table (see Appendix </w:t>
      </w:r>
      <w:r w:rsidR="00CB5BF6" w:rsidRPr="008F1B7C">
        <w:rPr>
          <w:rFonts w:ascii="Arial" w:eastAsiaTheme="minorEastAsia" w:hAnsi="Arial" w:cs="Arial"/>
        </w:rPr>
        <w:t>D</w:t>
      </w:r>
      <w:r w:rsidRPr="008F1B7C">
        <w:rPr>
          <w:rFonts w:ascii="Arial" w:eastAsiaTheme="minorEastAsia" w:hAnsi="Arial" w:cs="Arial"/>
        </w:rPr>
        <w:t xml:space="preserve"> for further detail)</w:t>
      </w:r>
    </w:p>
    <w:tbl>
      <w:tblPr>
        <w:tblStyle w:val="LightGrid-Accent2"/>
        <w:tblW w:w="936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Caption w:val="Regulatory burden estimate table"/>
        <w:tblDescription w:val="Template for the Regulatory burden estimate table"/>
      </w:tblPr>
      <w:tblGrid>
        <w:gridCol w:w="1871"/>
        <w:gridCol w:w="1272"/>
        <w:gridCol w:w="1418"/>
        <w:gridCol w:w="1277"/>
        <w:gridCol w:w="1761"/>
        <w:gridCol w:w="1761"/>
      </w:tblGrid>
      <w:tr w:rsidR="001418CA" w:rsidRPr="008F1B7C" w14:paraId="7BFA0671" w14:textId="77777777" w:rsidTr="001418C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6"/>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FFFFFF" w:themeFill="background1"/>
            <w:noWrap/>
            <w:hideMark/>
          </w:tcPr>
          <w:p w14:paraId="0E520798" w14:textId="77777777" w:rsidR="001418CA" w:rsidRPr="008F1B7C" w:rsidRDefault="001418CA">
            <w:pPr>
              <w:spacing w:before="120" w:after="120"/>
              <w:rPr>
                <w:rFonts w:ascii="Arial" w:hAnsi="Arial" w:cs="Arial"/>
                <w:sz w:val="20"/>
                <w:szCs w:val="20"/>
              </w:rPr>
            </w:pPr>
            <w:bookmarkStart w:id="75" w:name="_Toc493588789"/>
            <w:bookmarkStart w:id="76" w:name="_Toc493160737"/>
            <w:bookmarkStart w:id="77" w:name="_Toc479856779"/>
            <w:r w:rsidRPr="008F1B7C">
              <w:rPr>
                <w:rFonts w:ascii="Arial" w:hAnsi="Arial" w:cs="Arial"/>
                <w:sz w:val="20"/>
                <w:szCs w:val="20"/>
              </w:rPr>
              <w:t>Average annual regulatory costs (from business as usual)</w:t>
            </w:r>
          </w:p>
        </w:tc>
      </w:tr>
      <w:tr w:rsidR="001418CA" w:rsidRPr="008F1B7C" w14:paraId="76D1543C" w14:textId="77777777" w:rsidTr="001418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6" w:space="0" w:color="000000" w:themeColor="text1"/>
              <w:left w:val="single" w:sz="8" w:space="0" w:color="000000" w:themeColor="text1"/>
              <w:bottom w:val="single" w:sz="4" w:space="0" w:color="auto"/>
              <w:right w:val="single" w:sz="6" w:space="0" w:color="000000" w:themeColor="text1"/>
            </w:tcBorders>
            <w:shd w:val="clear" w:color="auto" w:fill="FFFFFF" w:themeFill="background1"/>
            <w:noWrap/>
            <w:hideMark/>
          </w:tcPr>
          <w:p w14:paraId="41D60E0B" w14:textId="77777777" w:rsidR="001418CA" w:rsidRPr="008F1B7C" w:rsidRDefault="001418CA" w:rsidP="00D84488">
            <w:pPr>
              <w:spacing w:before="120" w:after="120"/>
              <w:rPr>
                <w:rFonts w:ascii="Arial" w:hAnsi="Arial" w:cs="Arial"/>
                <w:sz w:val="20"/>
                <w:szCs w:val="20"/>
              </w:rPr>
            </w:pPr>
            <w:r w:rsidRPr="008F1B7C">
              <w:rPr>
                <w:rFonts w:ascii="Arial" w:hAnsi="Arial" w:cs="Arial"/>
                <w:sz w:val="20"/>
                <w:szCs w:val="20"/>
              </w:rPr>
              <w:t>Change in costs</w:t>
            </w:r>
          </w:p>
        </w:tc>
        <w:tc>
          <w:tcPr>
            <w:tcW w:w="1272"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4BE5928A"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0"/>
                <w:szCs w:val="20"/>
              </w:rPr>
            </w:pPr>
            <w:r w:rsidRPr="008F1B7C">
              <w:rPr>
                <w:rFonts w:ascii="Arial" w:eastAsiaTheme="majorEastAsia" w:hAnsi="Arial" w:cs="Arial"/>
                <w:bCs/>
                <w:sz w:val="20"/>
                <w:szCs w:val="20"/>
              </w:rPr>
              <w:t>Business</w:t>
            </w:r>
          </w:p>
        </w:tc>
        <w:tc>
          <w:tcPr>
            <w:tcW w:w="1417"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41338A1B"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8F1B7C">
              <w:rPr>
                <w:rFonts w:ascii="Arial" w:hAnsi="Arial" w:cs="Arial"/>
                <w:sz w:val="20"/>
                <w:szCs w:val="20"/>
              </w:rPr>
              <w:t>Community organisations</w:t>
            </w:r>
          </w:p>
        </w:tc>
        <w:tc>
          <w:tcPr>
            <w:tcW w:w="1276"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7145FCB5"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1B7C">
              <w:rPr>
                <w:rFonts w:ascii="Arial" w:hAnsi="Arial" w:cs="Arial"/>
                <w:sz w:val="20"/>
                <w:szCs w:val="20"/>
              </w:rPr>
              <w:t>Individuals</w:t>
            </w:r>
          </w:p>
        </w:tc>
        <w:tc>
          <w:tcPr>
            <w:tcW w:w="1760"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24FC8FDC"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1B7C">
              <w:rPr>
                <w:rFonts w:ascii="Arial" w:hAnsi="Arial" w:cs="Arial"/>
                <w:sz w:val="20"/>
                <w:szCs w:val="20"/>
              </w:rPr>
              <w:t>Total change in costs</w:t>
            </w:r>
          </w:p>
        </w:tc>
        <w:tc>
          <w:tcPr>
            <w:tcW w:w="1760" w:type="dxa"/>
            <w:tcBorders>
              <w:top w:val="single" w:sz="6" w:space="0" w:color="000000" w:themeColor="text1"/>
              <w:left w:val="single" w:sz="6" w:space="0" w:color="000000" w:themeColor="text1"/>
              <w:bottom w:val="single" w:sz="4" w:space="0" w:color="000000" w:themeColor="text1"/>
              <w:right w:val="single" w:sz="8" w:space="0" w:color="000000" w:themeColor="text1"/>
            </w:tcBorders>
            <w:shd w:val="clear" w:color="auto" w:fill="FFFFFF" w:themeFill="background1"/>
            <w:hideMark/>
          </w:tcPr>
          <w:p w14:paraId="0827B82D"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1B7C">
              <w:rPr>
                <w:rFonts w:ascii="Arial" w:hAnsi="Arial" w:cs="Arial"/>
                <w:sz w:val="20"/>
                <w:szCs w:val="20"/>
              </w:rPr>
              <w:t>Average cost per business</w:t>
            </w:r>
          </w:p>
        </w:tc>
      </w:tr>
      <w:tr w:rsidR="001418CA" w:rsidRPr="008F1B7C" w14:paraId="6D4C7FEE" w14:textId="77777777" w:rsidTr="001418C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998359" w14:textId="77777777" w:rsidR="001418CA" w:rsidRPr="008F1B7C" w:rsidRDefault="001418CA" w:rsidP="00D84488">
            <w:pPr>
              <w:spacing w:before="120" w:after="120"/>
              <w:rPr>
                <w:rFonts w:ascii="Arial" w:hAnsi="Arial" w:cs="Arial"/>
                <w:sz w:val="20"/>
                <w:szCs w:val="20"/>
              </w:rPr>
            </w:pPr>
            <w:r w:rsidRPr="008F1B7C">
              <w:rPr>
                <w:rFonts w:ascii="Arial" w:hAnsi="Arial" w:cs="Arial"/>
                <w:sz w:val="20"/>
                <w:szCs w:val="20"/>
              </w:rPr>
              <w:t>Total, by sector</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50C96B" w14:textId="219BB4A3"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w:t>
            </w:r>
            <w:r w:rsidR="002B79BB" w:rsidRPr="008F1B7C">
              <w:rPr>
                <w:rFonts w:ascii="Arial" w:hAnsi="Arial" w:cs="Arial"/>
                <w:sz w:val="20"/>
                <w:szCs w:val="20"/>
              </w:rPr>
              <w:t>39</w:t>
            </w:r>
            <w:r w:rsidR="00FA03F5" w:rsidRPr="008F1B7C">
              <w:rPr>
                <w:rFonts w:ascii="Arial" w:hAnsi="Arial" w:cs="Arial"/>
                <w:sz w:val="20"/>
                <w:szCs w:val="20"/>
              </w:rPr>
              <w:t xml:space="preserve"> </w:t>
            </w:r>
            <w:r w:rsidRPr="008F1B7C">
              <w:rPr>
                <w:rFonts w:ascii="Arial" w:hAnsi="Arial" w:cs="Arial"/>
                <w:sz w:val="20"/>
                <w:szCs w:val="20"/>
              </w:rPr>
              <w:t>million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14BF0C7" w14:textId="77777777"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960D324" w14:textId="77777777"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$0</w:t>
            </w:r>
          </w:p>
        </w:tc>
        <w:tc>
          <w:tcPr>
            <w:tcW w:w="1760"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noWrap/>
            <w:hideMark/>
          </w:tcPr>
          <w:p w14:paraId="2290E58B" w14:textId="2458C611"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w:t>
            </w:r>
            <w:r w:rsidR="002B79BB" w:rsidRPr="008F1B7C">
              <w:rPr>
                <w:rFonts w:ascii="Arial" w:hAnsi="Arial" w:cs="Arial"/>
                <w:sz w:val="20"/>
                <w:szCs w:val="20"/>
              </w:rPr>
              <w:t>39</w:t>
            </w:r>
            <w:r w:rsidR="00FA03F5" w:rsidRPr="008F1B7C">
              <w:rPr>
                <w:rFonts w:ascii="Arial" w:hAnsi="Arial" w:cs="Arial"/>
                <w:sz w:val="20"/>
                <w:szCs w:val="20"/>
              </w:rPr>
              <w:t xml:space="preserve"> </w:t>
            </w:r>
            <w:r w:rsidRPr="008F1B7C">
              <w:rPr>
                <w:rFonts w:ascii="Arial" w:hAnsi="Arial" w:cs="Arial"/>
                <w:sz w:val="20"/>
                <w:szCs w:val="20"/>
              </w:rPr>
              <w:t>million</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C2DAB1" w14:textId="413E805E"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w:t>
            </w:r>
            <w:r w:rsidR="002B79BB" w:rsidRPr="008F1B7C">
              <w:rPr>
                <w:rFonts w:ascii="Arial" w:hAnsi="Arial" w:cs="Arial"/>
                <w:sz w:val="20"/>
                <w:szCs w:val="20"/>
              </w:rPr>
              <w:t>38</w:t>
            </w:r>
            <w:r w:rsidR="004D3E66" w:rsidRPr="008F1B7C">
              <w:rPr>
                <w:rFonts w:ascii="Arial" w:hAnsi="Arial" w:cs="Arial"/>
                <w:sz w:val="20"/>
                <w:szCs w:val="20"/>
              </w:rPr>
              <w:t>6</w:t>
            </w:r>
            <w:r w:rsidRPr="008F1B7C">
              <w:rPr>
                <w:rFonts w:ascii="Arial" w:hAnsi="Arial" w:cs="Arial"/>
                <w:sz w:val="20"/>
                <w:szCs w:val="20"/>
              </w:rPr>
              <w:t>,000</w:t>
            </w:r>
          </w:p>
        </w:tc>
      </w:tr>
    </w:tbl>
    <w:p w14:paraId="03A4EF8A" w14:textId="37985163" w:rsidR="00A10FFA" w:rsidRPr="008F1B7C" w:rsidRDefault="00A10FFA" w:rsidP="00B308B7">
      <w:pPr>
        <w:spacing w:before="240"/>
      </w:pPr>
      <w:bookmarkStart w:id="78" w:name="_Hlk56676990"/>
      <w:r w:rsidRPr="008F1B7C">
        <w:t>There w</w:t>
      </w:r>
      <w:r w:rsidR="00AA3D84" w:rsidRPr="008F1B7C">
        <w:t>ould</w:t>
      </w:r>
      <w:r w:rsidRPr="008F1B7C">
        <w:t xml:space="preserve"> </w:t>
      </w:r>
      <w:r w:rsidR="009F3F8D" w:rsidRPr="008F1B7C">
        <w:t xml:space="preserve">also </w:t>
      </w:r>
      <w:r w:rsidRPr="008F1B7C">
        <w:t xml:space="preserve">be additional costs to APRA in accepting and analysing additional data, as well as publishing industry insights. These are estimated at </w:t>
      </w:r>
      <w:r w:rsidR="00AC7018" w:rsidRPr="008F1B7C">
        <w:t>$</w:t>
      </w:r>
      <w:r w:rsidR="00C01605" w:rsidRPr="008F1B7C">
        <w:t>2</w:t>
      </w:r>
      <w:r w:rsidR="00AC7018" w:rsidRPr="008F1B7C">
        <w:t xml:space="preserve"> million</w:t>
      </w:r>
      <w:r w:rsidR="009F3F8D" w:rsidRPr="008F1B7C">
        <w:t xml:space="preserve"> of</w:t>
      </w:r>
      <w:r w:rsidRPr="008F1B7C">
        <w:t xml:space="preserve"> </w:t>
      </w:r>
      <w:r w:rsidR="00461E91" w:rsidRPr="008F1B7C">
        <w:t>initial cost</w:t>
      </w:r>
      <w:r w:rsidRPr="008F1B7C">
        <w:t xml:space="preserve"> and </w:t>
      </w:r>
      <w:r w:rsidR="00AC7018" w:rsidRPr="008F1B7C">
        <w:t>$</w:t>
      </w:r>
      <w:r w:rsidR="00C01605" w:rsidRPr="008F1B7C">
        <w:t>4</w:t>
      </w:r>
      <w:r w:rsidR="00AC7018" w:rsidRPr="008F1B7C">
        <w:t>00,000</w:t>
      </w:r>
      <w:r w:rsidRPr="008F1B7C">
        <w:t xml:space="preserve"> </w:t>
      </w:r>
      <w:r w:rsidR="009F3F8D" w:rsidRPr="008F1B7C">
        <w:t>annually</w:t>
      </w:r>
      <w:r w:rsidR="00771319" w:rsidRPr="008F1B7C">
        <w:t>, an average cost of $560,000 per year over 10 years</w:t>
      </w:r>
      <w:r w:rsidRPr="008F1B7C">
        <w:t>.</w:t>
      </w:r>
    </w:p>
    <w:bookmarkEnd w:id="78"/>
    <w:p w14:paraId="5EEE6814" w14:textId="55F47F02" w:rsidR="001B1A2F" w:rsidRPr="008F1B7C" w:rsidRDefault="001B1A2F" w:rsidP="00FE7A17">
      <w:pPr>
        <w:rPr>
          <w:b/>
        </w:rPr>
      </w:pPr>
      <w:r w:rsidRPr="008F1B7C">
        <w:rPr>
          <w:b/>
        </w:rPr>
        <w:t>Net benefit</w:t>
      </w:r>
    </w:p>
    <w:p w14:paraId="666021FF" w14:textId="7F16647F" w:rsidR="00FE7A17" w:rsidRPr="008F1B7C" w:rsidRDefault="00FE7A17" w:rsidP="00FE7A17">
      <w:r w:rsidRPr="008F1B7C">
        <w:t xml:space="preserve">It is not possible to </w:t>
      </w:r>
      <w:r w:rsidR="004D3E66" w:rsidRPr="008F1B7C">
        <w:t>identify and quantify the impact of</w:t>
      </w:r>
      <w:r w:rsidRPr="008F1B7C">
        <w:t xml:space="preserve"> underperformance in the industry, or the improvements to member outcomes expected from </w:t>
      </w:r>
      <w:r w:rsidR="0058446C" w:rsidRPr="008F1B7C">
        <w:t>enhanced</w:t>
      </w:r>
      <w:r w:rsidRPr="008F1B7C">
        <w:t xml:space="preserve"> transparency, identifying </w:t>
      </w:r>
      <w:proofErr w:type="gramStart"/>
      <w:r w:rsidRPr="008F1B7C">
        <w:t>underperformance</w:t>
      </w:r>
      <w:proofErr w:type="gramEnd"/>
      <w:r w:rsidRPr="008F1B7C">
        <w:t xml:space="preserve"> and enabling increased supervisory scrutiny. RSE licensees provide a broad range of products and services and there is a lack of comprehensive data on the efficiency and performance of the industry.</w:t>
      </w:r>
      <w:r w:rsidR="00C1510F" w:rsidRPr="008F1B7C">
        <w:t xml:space="preserve"> </w:t>
      </w:r>
    </w:p>
    <w:p w14:paraId="0E9ADEC0" w14:textId="5C2BC6ED" w:rsidR="00FE7A17" w:rsidRPr="008F1B7C" w:rsidRDefault="00FE7A17" w:rsidP="00854866">
      <w:r w:rsidRPr="008F1B7C">
        <w:t xml:space="preserve">However, based on the experience of </w:t>
      </w:r>
      <w:proofErr w:type="spellStart"/>
      <w:r w:rsidRPr="008F1B7C">
        <w:t>MySuper</w:t>
      </w:r>
      <w:proofErr w:type="spellEnd"/>
      <w:r w:rsidRPr="008F1B7C">
        <w:t xml:space="preserve"> product heatmaps outlined above</w:t>
      </w:r>
      <w:r w:rsidR="0058446C" w:rsidRPr="008F1B7C">
        <w:t>,</w:t>
      </w:r>
      <w:r w:rsidRPr="008F1B7C">
        <w:t xml:space="preserve"> it is evident that an improvement in the transparency of industry performance will provide improvement</w:t>
      </w:r>
      <w:r w:rsidR="00D11F9B" w:rsidRPr="008F1B7C">
        <w:t>s</w:t>
      </w:r>
      <w:r w:rsidRPr="008F1B7C">
        <w:t xml:space="preserve"> in member outcomes.</w:t>
      </w:r>
      <w:r w:rsidR="004829FD" w:rsidRPr="00635054">
        <w:rPr>
          <w:rStyle w:val="FootnoteReference"/>
        </w:rPr>
        <w:footnoteReference w:id="25"/>
      </w:r>
      <w:r w:rsidRPr="00635054">
        <w:t xml:space="preserve"> </w:t>
      </w:r>
      <w:r w:rsidR="0058446C" w:rsidRPr="008F1B7C">
        <w:t>O</w:t>
      </w:r>
      <w:r w:rsidRPr="008F1B7C">
        <w:t>btaining more granular data to strengthen supervision</w:t>
      </w:r>
      <w:r w:rsidR="00896AE6" w:rsidRPr="008F1B7C">
        <w:t>,</w:t>
      </w:r>
      <w:r w:rsidRPr="008F1B7C">
        <w:t xml:space="preserve"> and identify where action should be taken on poor performing funds, will enable APRA to </w:t>
      </w:r>
      <w:r w:rsidR="0058446C" w:rsidRPr="008F1B7C">
        <w:t xml:space="preserve">ensure </w:t>
      </w:r>
      <w:r w:rsidRPr="008F1B7C">
        <w:t xml:space="preserve">RSE licensees reduce fees and make improvements to investment strategies. </w:t>
      </w:r>
      <w:r w:rsidR="004D3E66" w:rsidRPr="008F1B7C">
        <w:t xml:space="preserve">Internal modelling by APRA estimates the benefits from option 2 at least </w:t>
      </w:r>
      <w:r w:rsidR="004D3E66" w:rsidRPr="008F1B7C">
        <w:rPr>
          <w:b/>
        </w:rPr>
        <w:t>$1.</w:t>
      </w:r>
      <w:r w:rsidR="00A94407" w:rsidRPr="008F1B7C">
        <w:rPr>
          <w:b/>
        </w:rPr>
        <w:t>3</w:t>
      </w:r>
      <w:r w:rsidR="004D3E66" w:rsidRPr="008F1B7C">
        <w:rPr>
          <w:b/>
        </w:rPr>
        <w:t xml:space="preserve"> billion per annum</w:t>
      </w:r>
      <w:r w:rsidR="00A94407" w:rsidRPr="008F1B7C">
        <w:rPr>
          <w:b/>
        </w:rPr>
        <w:t xml:space="preserve"> </w:t>
      </w:r>
      <w:r w:rsidR="00A94407" w:rsidRPr="008F1B7C">
        <w:t>based on available data</w:t>
      </w:r>
      <w:r w:rsidR="00C765FC" w:rsidRPr="00635054">
        <w:rPr>
          <w:rStyle w:val="FootnoteReference"/>
        </w:rPr>
        <w:footnoteReference w:id="26"/>
      </w:r>
      <w:r w:rsidR="004D3E66" w:rsidRPr="00635054">
        <w:t xml:space="preserve">. </w:t>
      </w:r>
      <w:r w:rsidRPr="008F1B7C">
        <w:t xml:space="preserve">Therefore, the benefits of the enhanced data collection </w:t>
      </w:r>
      <w:r w:rsidR="00896AE6" w:rsidRPr="008F1B7C">
        <w:t xml:space="preserve">are expected </w:t>
      </w:r>
      <w:r w:rsidRPr="008F1B7C">
        <w:t>to</w:t>
      </w:r>
      <w:r w:rsidR="00896AE6" w:rsidRPr="008F1B7C">
        <w:t xml:space="preserve"> </w:t>
      </w:r>
      <w:r w:rsidRPr="008F1B7C">
        <w:t>outweigh the regulatory costs</w:t>
      </w:r>
      <w:r w:rsidR="00D11F9B" w:rsidRPr="008F1B7C">
        <w:t>, but not to the same extent as other options</w:t>
      </w:r>
      <w:r w:rsidRPr="008F1B7C">
        <w:t>.</w:t>
      </w:r>
    </w:p>
    <w:p w14:paraId="4D16F4E7" w14:textId="232F0D26" w:rsidR="001418CA" w:rsidRPr="008F1B7C" w:rsidRDefault="001418CA">
      <w:r w:rsidRPr="008F1B7C">
        <w:t xml:space="preserve">Although there </w:t>
      </w:r>
      <w:r w:rsidR="007A0114" w:rsidRPr="008F1B7C">
        <w:t xml:space="preserve">are </w:t>
      </w:r>
      <w:r w:rsidRPr="008F1B7C">
        <w:t xml:space="preserve">some advantages to </w:t>
      </w:r>
      <w:r w:rsidR="00B3124D" w:rsidRPr="008F1B7C">
        <w:t>O</w:t>
      </w:r>
      <w:r w:rsidRPr="008F1B7C">
        <w:t xml:space="preserve">ption 2, the total costs </w:t>
      </w:r>
      <w:r w:rsidR="0058446C" w:rsidRPr="008F1B7C">
        <w:t xml:space="preserve">are </w:t>
      </w:r>
      <w:proofErr w:type="gramStart"/>
      <w:r w:rsidR="0058446C" w:rsidRPr="008F1B7C">
        <w:t>significant</w:t>
      </w:r>
      <w:proofErr w:type="gramEnd"/>
      <w:r w:rsidR="0058446C" w:rsidRPr="008F1B7C">
        <w:t xml:space="preserve"> and </w:t>
      </w:r>
      <w:r w:rsidRPr="008F1B7C">
        <w:t xml:space="preserve">the </w:t>
      </w:r>
      <w:r w:rsidR="00D11F9B" w:rsidRPr="008F1B7C">
        <w:t>net</w:t>
      </w:r>
      <w:r w:rsidRPr="008F1B7C">
        <w:t xml:space="preserve"> benefits</w:t>
      </w:r>
      <w:r w:rsidR="00D11F9B" w:rsidRPr="008F1B7C">
        <w:t xml:space="preserve"> would be less than for other options</w:t>
      </w:r>
      <w:r w:rsidRPr="008F1B7C">
        <w:t xml:space="preserve">. </w:t>
      </w:r>
      <w:r w:rsidRPr="008F1B7C">
        <w:rPr>
          <w:b/>
        </w:rPr>
        <w:t>Therefore, there is</w:t>
      </w:r>
      <w:r w:rsidR="00FE7A17" w:rsidRPr="008F1B7C">
        <w:rPr>
          <w:b/>
        </w:rPr>
        <w:t xml:space="preserve"> </w:t>
      </w:r>
      <w:r w:rsidR="00D11F9B" w:rsidRPr="008F1B7C">
        <w:rPr>
          <w:b/>
        </w:rPr>
        <w:t>some</w:t>
      </w:r>
      <w:r w:rsidRPr="008F1B7C">
        <w:rPr>
          <w:b/>
        </w:rPr>
        <w:t xml:space="preserve"> perceived net benefit</w:t>
      </w:r>
      <w:r w:rsidR="00FE7A17" w:rsidRPr="008F1B7C">
        <w:rPr>
          <w:b/>
        </w:rPr>
        <w:t>.</w:t>
      </w:r>
    </w:p>
    <w:p w14:paraId="5DACFF98" w14:textId="7CC35A3B" w:rsidR="001418CA" w:rsidRPr="008F1B7C" w:rsidRDefault="001418CA" w:rsidP="009356A1">
      <w:pPr>
        <w:rPr>
          <w:b/>
        </w:rPr>
      </w:pPr>
      <w:bookmarkStart w:id="80" w:name="_Toc56693574"/>
      <w:bookmarkStart w:id="81" w:name="_Toc56678094"/>
      <w:r w:rsidRPr="008F1B7C">
        <w:rPr>
          <w:b/>
        </w:rPr>
        <w:t>Option 3</w:t>
      </w:r>
      <w:bookmarkEnd w:id="75"/>
      <w:bookmarkEnd w:id="76"/>
      <w:bookmarkEnd w:id="77"/>
      <w:r w:rsidRPr="008F1B7C">
        <w:rPr>
          <w:b/>
        </w:rPr>
        <w:t xml:space="preserve"> - </w:t>
      </w:r>
      <w:r w:rsidR="00D40150" w:rsidRPr="008F1B7C">
        <w:rPr>
          <w:b/>
        </w:rPr>
        <w:t>Introduce an enhanced data collection</w:t>
      </w:r>
      <w:bookmarkEnd w:id="80"/>
      <w:bookmarkEnd w:id="81"/>
    </w:p>
    <w:p w14:paraId="50D664F3" w14:textId="27B78CC7" w:rsidR="001418CA" w:rsidRPr="008F1B7C" w:rsidRDefault="001418CA">
      <w:pPr>
        <w:rPr>
          <w:rFonts w:ascii="Helvetica" w:hAnsi="Helvetica" w:cs="Helvetica"/>
          <w:color w:val="000000"/>
        </w:rPr>
      </w:pPr>
      <w:r w:rsidRPr="008F1B7C">
        <w:t xml:space="preserve">Option 3 involves the expansion of the </w:t>
      </w:r>
      <w:r w:rsidR="00F12182" w:rsidRPr="008F1B7C">
        <w:t xml:space="preserve">data </w:t>
      </w:r>
      <w:r w:rsidRPr="008F1B7C">
        <w:t>collection to all products and investment options and the introduction of ten new reporting standards</w:t>
      </w:r>
      <w:r w:rsidR="003D1A99" w:rsidRPr="008F1B7C">
        <w:t>, nine of which determine the data to be reported and one which contains the definitions</w:t>
      </w:r>
      <w:r w:rsidRPr="008F1B7C">
        <w:t>.</w:t>
      </w:r>
      <w:r w:rsidR="000A081B" w:rsidRPr="008F1B7C">
        <w:rPr>
          <w:rFonts w:ascii="Helvetica" w:hAnsi="Helvetica" w:cs="Helvetica"/>
          <w:color w:val="000000"/>
        </w:rPr>
        <w:t xml:space="preserve"> The proposals under </w:t>
      </w:r>
      <w:r w:rsidR="00B3124D" w:rsidRPr="008F1B7C">
        <w:rPr>
          <w:rFonts w:ascii="Helvetica" w:hAnsi="Helvetica" w:cs="Helvetica"/>
          <w:color w:val="000000"/>
        </w:rPr>
        <w:t>O</w:t>
      </w:r>
      <w:r w:rsidR="000A081B" w:rsidRPr="008F1B7C">
        <w:rPr>
          <w:rFonts w:ascii="Helvetica" w:hAnsi="Helvetica" w:cs="Helvetica"/>
          <w:color w:val="000000"/>
        </w:rPr>
        <w:t xml:space="preserve">ption 3 will facilitate performance assessments for </w:t>
      </w:r>
      <w:r w:rsidR="00DF4034" w:rsidRPr="008F1B7C">
        <w:rPr>
          <w:rFonts w:ascii="Helvetica" w:hAnsi="Helvetica" w:cs="Helvetica"/>
          <w:color w:val="000000"/>
        </w:rPr>
        <w:t>C</w:t>
      </w:r>
      <w:r w:rsidR="000A081B" w:rsidRPr="008F1B7C">
        <w:rPr>
          <w:rFonts w:ascii="Helvetica" w:hAnsi="Helvetica" w:cs="Helvetica"/>
          <w:color w:val="000000"/>
        </w:rPr>
        <w:t>hoice products</w:t>
      </w:r>
      <w:r w:rsidR="00571909" w:rsidRPr="008F1B7C">
        <w:rPr>
          <w:rFonts w:ascii="Helvetica" w:hAnsi="Helvetica" w:cs="Helvetica"/>
          <w:color w:val="000000"/>
        </w:rPr>
        <w:t xml:space="preserve"> and</w:t>
      </w:r>
      <w:r w:rsidR="000A081B" w:rsidRPr="008F1B7C">
        <w:rPr>
          <w:rFonts w:ascii="Helvetica" w:hAnsi="Helvetica" w:cs="Helvetica"/>
          <w:color w:val="000000"/>
        </w:rPr>
        <w:t xml:space="preserve"> </w:t>
      </w:r>
      <w:r w:rsidR="00571909" w:rsidRPr="008F1B7C">
        <w:rPr>
          <w:rFonts w:ascii="Helvetica" w:hAnsi="Helvetica" w:cs="Helvetica"/>
          <w:color w:val="000000"/>
        </w:rPr>
        <w:t>enhanced</w:t>
      </w:r>
      <w:r w:rsidR="000A081B" w:rsidRPr="008F1B7C">
        <w:rPr>
          <w:rFonts w:ascii="Helvetica" w:hAnsi="Helvetica" w:cs="Helvetica"/>
          <w:color w:val="000000"/>
        </w:rPr>
        <w:t xml:space="preserve"> performance assessment for </w:t>
      </w:r>
      <w:proofErr w:type="spellStart"/>
      <w:r w:rsidR="000A081B" w:rsidRPr="008F1B7C">
        <w:rPr>
          <w:rFonts w:ascii="Helvetica" w:hAnsi="Helvetica" w:cs="Helvetica"/>
          <w:color w:val="000000"/>
        </w:rPr>
        <w:t>MySuper</w:t>
      </w:r>
      <w:proofErr w:type="spellEnd"/>
      <w:r w:rsidR="000A081B" w:rsidRPr="008F1B7C">
        <w:rPr>
          <w:rFonts w:ascii="Helvetica" w:hAnsi="Helvetica" w:cs="Helvetica"/>
          <w:color w:val="000000"/>
        </w:rPr>
        <w:t xml:space="preserve"> products in key areas</w:t>
      </w:r>
      <w:r w:rsidR="00571909" w:rsidRPr="008F1B7C">
        <w:rPr>
          <w:rFonts w:ascii="Helvetica" w:hAnsi="Helvetica" w:cs="Helvetica"/>
          <w:color w:val="000000"/>
        </w:rPr>
        <w:t>.</w:t>
      </w:r>
      <w:r w:rsidR="001D1C18" w:rsidRPr="008F1B7C">
        <w:t xml:space="preserve"> </w:t>
      </w:r>
      <w:r w:rsidR="00B37CB0" w:rsidRPr="008F1B7C">
        <w:rPr>
          <w:rFonts w:ascii="Helvetica" w:hAnsi="Helvetica" w:cs="Helvetica"/>
          <w:color w:val="000000"/>
        </w:rPr>
        <w:t>T</w:t>
      </w:r>
      <w:r w:rsidR="00571909" w:rsidRPr="008F1B7C">
        <w:rPr>
          <w:rFonts w:ascii="Helvetica" w:hAnsi="Helvetica" w:cs="Helvetica"/>
          <w:color w:val="000000"/>
        </w:rPr>
        <w:t xml:space="preserve">he proposals under Option 3 </w:t>
      </w:r>
      <w:r w:rsidR="00B37CB0" w:rsidRPr="008F1B7C">
        <w:rPr>
          <w:rFonts w:ascii="Helvetica" w:hAnsi="Helvetica" w:cs="Helvetica"/>
          <w:color w:val="000000"/>
        </w:rPr>
        <w:t xml:space="preserve">also </w:t>
      </w:r>
      <w:r w:rsidR="00571909" w:rsidRPr="008F1B7C">
        <w:rPr>
          <w:rFonts w:ascii="Helvetica" w:hAnsi="Helvetica" w:cs="Helvetica"/>
          <w:color w:val="000000"/>
        </w:rPr>
        <w:t>include three additional topics</w:t>
      </w:r>
      <w:r w:rsidR="00DD5C67" w:rsidRPr="008F1B7C">
        <w:rPr>
          <w:rFonts w:ascii="Helvetica" w:hAnsi="Helvetica" w:cs="Helvetica"/>
          <w:color w:val="000000"/>
        </w:rPr>
        <w:t>:</w:t>
      </w:r>
      <w:r w:rsidR="00571909" w:rsidRPr="008F1B7C">
        <w:rPr>
          <w:rFonts w:ascii="Helvetica" w:hAnsi="Helvetica" w:cs="Helvetica"/>
          <w:color w:val="000000"/>
        </w:rPr>
        <w:t xml:space="preserve"> </w:t>
      </w:r>
      <w:r w:rsidR="00571909" w:rsidRPr="008F1B7C">
        <w:t xml:space="preserve">insurance, </w:t>
      </w:r>
      <w:proofErr w:type="gramStart"/>
      <w:r w:rsidR="00571909" w:rsidRPr="008F1B7C">
        <w:t>expenses</w:t>
      </w:r>
      <w:proofErr w:type="gramEnd"/>
      <w:r w:rsidR="00571909" w:rsidRPr="008F1B7C">
        <w:t xml:space="preserve"> and member </w:t>
      </w:r>
      <w:r w:rsidR="00B47AB0" w:rsidRPr="008F1B7C">
        <w:t>accounts</w:t>
      </w:r>
      <w:r w:rsidR="00571909" w:rsidRPr="008F1B7C">
        <w:rPr>
          <w:rFonts w:ascii="Helvetica" w:hAnsi="Helvetica" w:cs="Helvetica"/>
          <w:color w:val="000000"/>
        </w:rPr>
        <w:t>.</w:t>
      </w:r>
      <w:r w:rsidR="001D1C18" w:rsidRPr="008F1B7C">
        <w:rPr>
          <w:rFonts w:ascii="Helvetica" w:hAnsi="Helvetica" w:cs="Helvetica"/>
          <w:color w:val="000000"/>
        </w:rPr>
        <w:t xml:space="preserve"> </w:t>
      </w:r>
      <w:r w:rsidR="00571909" w:rsidRPr="008F1B7C">
        <w:rPr>
          <w:rFonts w:ascii="Helvetica" w:hAnsi="Helvetica" w:cs="Helvetica"/>
          <w:color w:val="000000"/>
        </w:rPr>
        <w:t xml:space="preserve">These proposals will facilitate </w:t>
      </w:r>
      <w:r w:rsidR="00432996" w:rsidRPr="008F1B7C">
        <w:rPr>
          <w:rFonts w:ascii="Helvetica" w:hAnsi="Helvetica" w:cs="Helvetica"/>
          <w:color w:val="000000"/>
        </w:rPr>
        <w:t xml:space="preserve">detailed </w:t>
      </w:r>
      <w:r w:rsidR="000A081B" w:rsidRPr="008F1B7C">
        <w:rPr>
          <w:rFonts w:ascii="Helvetica" w:hAnsi="Helvetica" w:cs="Helvetica"/>
          <w:color w:val="000000"/>
        </w:rPr>
        <w:t>assessment of how RSE licensees are spending members money</w:t>
      </w:r>
      <w:r w:rsidR="00571909" w:rsidRPr="008F1B7C">
        <w:rPr>
          <w:rFonts w:ascii="Helvetica" w:hAnsi="Helvetica" w:cs="Helvetica"/>
          <w:color w:val="000000"/>
        </w:rPr>
        <w:t>, more granular analysis of the membership of the fund, and enhanced assessment of insurance outcomes</w:t>
      </w:r>
      <w:r w:rsidR="000A081B" w:rsidRPr="008F1B7C">
        <w:rPr>
          <w:rFonts w:ascii="Helvetica" w:hAnsi="Helvetica" w:cs="Helvetica"/>
          <w:color w:val="000000"/>
        </w:rPr>
        <w:t>.</w:t>
      </w:r>
    </w:p>
    <w:p w14:paraId="339A4F80" w14:textId="13247F34" w:rsidR="002E165B" w:rsidRPr="008F1B7C" w:rsidRDefault="00FA5217" w:rsidP="00E11B9C">
      <w:pPr>
        <w:numPr>
          <w:ilvl w:val="0"/>
          <w:numId w:val="5"/>
        </w:numPr>
      </w:pPr>
      <w:r w:rsidRPr="008F1B7C">
        <w:t xml:space="preserve">The proposals under option 3 involve a </w:t>
      </w:r>
      <w:r w:rsidR="001D1C18" w:rsidRPr="008F1B7C">
        <w:t>re</w:t>
      </w:r>
      <w:r w:rsidR="00571909" w:rsidRPr="008F1B7C">
        <w:t xml:space="preserve">design </w:t>
      </w:r>
      <w:r w:rsidRPr="008F1B7C">
        <w:t xml:space="preserve">of </w:t>
      </w:r>
      <w:r w:rsidR="001D1C18" w:rsidRPr="008F1B7C">
        <w:t>the collection</w:t>
      </w:r>
      <w:r w:rsidR="002E165B" w:rsidRPr="008F1B7C">
        <w:t xml:space="preserve"> to collect data about all possible combinations of product</w:t>
      </w:r>
      <w:r w:rsidR="001D1C18" w:rsidRPr="008F1B7C">
        <w:t>s</w:t>
      </w:r>
      <w:r w:rsidR="002E165B" w:rsidRPr="008F1B7C">
        <w:t xml:space="preserve"> and </w:t>
      </w:r>
      <w:r w:rsidR="001D1C18" w:rsidRPr="008F1B7C">
        <w:t xml:space="preserve">investment </w:t>
      </w:r>
      <w:r w:rsidR="002E165B" w:rsidRPr="008F1B7C">
        <w:t>option</w:t>
      </w:r>
      <w:r w:rsidR="001D1C18" w:rsidRPr="008F1B7C">
        <w:t>s</w:t>
      </w:r>
      <w:r w:rsidR="002E165B" w:rsidRPr="008F1B7C">
        <w:t xml:space="preserve"> in a more efficient way</w:t>
      </w:r>
      <w:r w:rsidRPr="008F1B7C">
        <w:t>.</w:t>
      </w:r>
      <w:r w:rsidR="00571909" w:rsidRPr="008F1B7C">
        <w:t xml:space="preserve"> </w:t>
      </w:r>
      <w:r w:rsidRPr="008F1B7C">
        <w:t xml:space="preserve">Under the current </w:t>
      </w:r>
      <w:r w:rsidR="001D1C18" w:rsidRPr="008F1B7C">
        <w:t xml:space="preserve">reporting </w:t>
      </w:r>
      <w:r w:rsidRPr="008F1B7C">
        <w:t xml:space="preserve">form, RSE licensees would need to submit one </w:t>
      </w:r>
      <w:r w:rsidR="001D1C18" w:rsidRPr="008F1B7C">
        <w:t xml:space="preserve">reporting </w:t>
      </w:r>
      <w:r w:rsidRPr="008F1B7C">
        <w:t xml:space="preserve">form for each combination of product and option. Under </w:t>
      </w:r>
      <w:r w:rsidR="001D1C18" w:rsidRPr="008F1B7C">
        <w:t>option 3 proposals</w:t>
      </w:r>
      <w:r w:rsidRPr="008F1B7C">
        <w:t>, RSE lice</w:t>
      </w:r>
      <w:r w:rsidR="001D1C18" w:rsidRPr="008F1B7C">
        <w:t>n</w:t>
      </w:r>
      <w:r w:rsidRPr="008F1B7C">
        <w:t xml:space="preserve">sees </w:t>
      </w:r>
      <w:r w:rsidR="001D1C18" w:rsidRPr="008F1B7C">
        <w:t xml:space="preserve">would </w:t>
      </w:r>
      <w:r w:rsidRPr="008F1B7C">
        <w:t xml:space="preserve">submit </w:t>
      </w:r>
      <w:r w:rsidRPr="008F1B7C">
        <w:lastRenderedPageBreak/>
        <w:t xml:space="preserve">all data on one form, and only report each metric once unless it </w:t>
      </w:r>
      <w:r w:rsidR="001D1C18" w:rsidRPr="008F1B7C">
        <w:t>v</w:t>
      </w:r>
      <w:r w:rsidRPr="008F1B7C">
        <w:t>aries for different combinations of product, investment menu and investment option</w:t>
      </w:r>
      <w:r w:rsidR="002E165B" w:rsidRPr="00635054">
        <w:rPr>
          <w:rStyle w:val="FootnoteReference"/>
        </w:rPr>
        <w:footnoteReference w:id="27"/>
      </w:r>
      <w:r w:rsidRPr="00635054">
        <w:t xml:space="preserve">. </w:t>
      </w:r>
    </w:p>
    <w:p w14:paraId="74ED8A22" w14:textId="4047D4F0" w:rsidR="00460E28" w:rsidRPr="008F1B7C" w:rsidRDefault="00460E28" w:rsidP="00465EF9">
      <w:r w:rsidRPr="008F1B7C">
        <w:t>The dynamic collection design would enable APRA and other users of the data to combine the reported data to calculate outcomes for different types of representative members with different combinations of investment pathways, and to create tools which can display comparable outcomes for any prescribed parameters.</w:t>
      </w:r>
      <w:r w:rsidR="00465EF9" w:rsidRPr="008F1B7C">
        <w:t xml:space="preserve"> More granular fees and costs data will enable RSE licensees and APRA to focus in on where change is most needed</w:t>
      </w:r>
      <w:r w:rsidR="008B0DB3" w:rsidRPr="008F1B7C">
        <w:t>.</w:t>
      </w:r>
    </w:p>
    <w:p w14:paraId="42A691B1" w14:textId="5CA7E358" w:rsidR="003D1A99" w:rsidRPr="008F1B7C" w:rsidRDefault="003D1A99" w:rsidP="00E11B9C">
      <w:pPr>
        <w:spacing w:after="0"/>
      </w:pPr>
      <w:r w:rsidRPr="008F1B7C">
        <w:t xml:space="preserve">The proposed reporting standards </w:t>
      </w:r>
      <w:r w:rsidR="00CE7826" w:rsidRPr="008F1B7C">
        <w:t>are anticipated to</w:t>
      </w:r>
      <w:r w:rsidRPr="008F1B7C">
        <w:t xml:space="preserve"> replace </w:t>
      </w:r>
      <w:r w:rsidR="00C33677" w:rsidRPr="008F1B7C">
        <w:t>eight</w:t>
      </w:r>
      <w:r w:rsidRPr="008F1B7C">
        <w:t xml:space="preserve"> existing reporting standards</w:t>
      </w:r>
      <w:r w:rsidR="00C33677" w:rsidRPr="008F1B7C">
        <w:t>:</w:t>
      </w:r>
    </w:p>
    <w:p w14:paraId="6996A372" w14:textId="77777777" w:rsidR="00C33677" w:rsidRPr="008F1B7C" w:rsidRDefault="00C33677" w:rsidP="005139E3">
      <w:pPr>
        <w:pStyle w:val="ListParagraph"/>
        <w:numPr>
          <w:ilvl w:val="0"/>
          <w:numId w:val="26"/>
        </w:numPr>
      </w:pPr>
      <w:r w:rsidRPr="008F1B7C">
        <w:t>SRS 702.0 Investment Performance</w:t>
      </w:r>
    </w:p>
    <w:p w14:paraId="53093A7C" w14:textId="77777777" w:rsidR="00C33677" w:rsidRPr="008F1B7C" w:rsidRDefault="00C33677" w:rsidP="005139E3">
      <w:pPr>
        <w:pStyle w:val="ListParagraph"/>
        <w:numPr>
          <w:ilvl w:val="0"/>
          <w:numId w:val="26"/>
        </w:numPr>
      </w:pPr>
      <w:r w:rsidRPr="008F1B7C">
        <w:t>SRS 703.0 Fees Disclosed</w:t>
      </w:r>
    </w:p>
    <w:p w14:paraId="24157A5F" w14:textId="77777777" w:rsidR="00C33677" w:rsidRPr="008F1B7C" w:rsidRDefault="00C33677" w:rsidP="005139E3">
      <w:pPr>
        <w:pStyle w:val="ListParagraph"/>
        <w:numPr>
          <w:ilvl w:val="0"/>
          <w:numId w:val="26"/>
        </w:numPr>
      </w:pPr>
      <w:r w:rsidRPr="008F1B7C">
        <w:t>SRS 530.0 Investments</w:t>
      </w:r>
    </w:p>
    <w:p w14:paraId="67044163" w14:textId="77777777" w:rsidR="00C33677" w:rsidRPr="008F1B7C" w:rsidRDefault="00C33677" w:rsidP="005139E3">
      <w:pPr>
        <w:pStyle w:val="ListParagraph"/>
        <w:numPr>
          <w:ilvl w:val="0"/>
          <w:numId w:val="26"/>
        </w:numPr>
      </w:pPr>
      <w:r w:rsidRPr="008F1B7C">
        <w:t>SRS 533.0 Asset Allocation</w:t>
      </w:r>
    </w:p>
    <w:p w14:paraId="294D599E" w14:textId="77777777" w:rsidR="00C33677" w:rsidRPr="008F1B7C" w:rsidRDefault="00C33677" w:rsidP="005139E3">
      <w:pPr>
        <w:pStyle w:val="ListParagraph"/>
        <w:numPr>
          <w:ilvl w:val="0"/>
          <w:numId w:val="26"/>
        </w:numPr>
      </w:pPr>
      <w:r w:rsidRPr="008F1B7C">
        <w:t>SRS 534.0 Derivative Financial Instruments</w:t>
      </w:r>
    </w:p>
    <w:p w14:paraId="1773D665" w14:textId="5FC9CB86" w:rsidR="00C33677" w:rsidRPr="008F1B7C" w:rsidRDefault="00C33677" w:rsidP="005139E3">
      <w:pPr>
        <w:pStyle w:val="ListParagraph"/>
        <w:numPr>
          <w:ilvl w:val="0"/>
          <w:numId w:val="26"/>
        </w:numPr>
      </w:pPr>
      <w:r w:rsidRPr="008F1B7C">
        <w:t>SRS 250.0 Acquired Insurance</w:t>
      </w:r>
    </w:p>
    <w:p w14:paraId="51F4ABEB" w14:textId="77777777" w:rsidR="00C33677" w:rsidRPr="008F1B7C" w:rsidRDefault="00C33677" w:rsidP="005139E3">
      <w:pPr>
        <w:pStyle w:val="ListParagraph"/>
        <w:numPr>
          <w:ilvl w:val="0"/>
          <w:numId w:val="26"/>
        </w:numPr>
      </w:pPr>
      <w:r w:rsidRPr="008F1B7C">
        <w:t>SRS 610.0 Membership Profile</w:t>
      </w:r>
    </w:p>
    <w:p w14:paraId="08A01169" w14:textId="32743E4C" w:rsidR="00C33677" w:rsidRPr="008F1B7C" w:rsidRDefault="00C33677" w:rsidP="005139E3">
      <w:pPr>
        <w:pStyle w:val="ListParagraph"/>
        <w:numPr>
          <w:ilvl w:val="0"/>
          <w:numId w:val="26"/>
        </w:numPr>
      </w:pPr>
      <w:r w:rsidRPr="008F1B7C">
        <w:t>SRS 610.2 Membership Profile</w:t>
      </w:r>
    </w:p>
    <w:p w14:paraId="0F26E589" w14:textId="317DB888" w:rsidR="00970B11" w:rsidRPr="008F1B7C" w:rsidRDefault="00970B11">
      <w:r w:rsidRPr="008F1B7C">
        <w:t>Option 3 is the approach APRA proposed in its Discussion Paper</w:t>
      </w:r>
      <w:r w:rsidR="005675F5" w:rsidRPr="008F1B7C">
        <w:t xml:space="preserve"> and</w:t>
      </w:r>
      <w:r w:rsidR="00F12182" w:rsidRPr="008F1B7C">
        <w:t xml:space="preserve"> </w:t>
      </w:r>
      <w:r w:rsidRPr="008F1B7C">
        <w:t>Topic Paper</w:t>
      </w:r>
      <w:r w:rsidR="007433B7" w:rsidRPr="008F1B7C">
        <w:t>s</w:t>
      </w:r>
      <w:r w:rsidRPr="008F1B7C">
        <w:t xml:space="preserve"> and meets the required criteria for effective data </w:t>
      </w:r>
      <w:r w:rsidR="00DF4034" w:rsidRPr="008F1B7C">
        <w:t xml:space="preserve">collection </w:t>
      </w:r>
      <w:r w:rsidRPr="008F1B7C">
        <w:t>and reporting</w:t>
      </w:r>
      <w:r w:rsidR="00DF4034" w:rsidRPr="008F1B7C">
        <w:t>.</w:t>
      </w:r>
    </w:p>
    <w:p w14:paraId="4BEBAC59" w14:textId="17047CF9" w:rsidR="001418CA" w:rsidRPr="008F1B7C" w:rsidRDefault="002758C9">
      <w:r w:rsidRPr="008F1B7C">
        <w:rPr>
          <w:b/>
        </w:rPr>
        <w:t>B</w:t>
      </w:r>
      <w:r w:rsidR="001418CA" w:rsidRPr="008F1B7C">
        <w:rPr>
          <w:b/>
        </w:rPr>
        <w:t>enefits</w:t>
      </w:r>
    </w:p>
    <w:p w14:paraId="2B3FA5A7" w14:textId="704383AF" w:rsidR="001418CA" w:rsidRPr="008F1B7C" w:rsidRDefault="007C1DAD" w:rsidP="00E11B9C">
      <w:pPr>
        <w:pStyle w:val="ListParagraph"/>
        <w:numPr>
          <w:ilvl w:val="0"/>
          <w:numId w:val="12"/>
        </w:numPr>
        <w:jc w:val="left"/>
      </w:pPr>
      <w:r w:rsidRPr="008F1B7C">
        <w:t xml:space="preserve">Coverage issues </w:t>
      </w:r>
      <w:r w:rsidR="00BE229A" w:rsidRPr="008F1B7C">
        <w:t xml:space="preserve">would </w:t>
      </w:r>
      <w:r w:rsidRPr="008F1B7C">
        <w:t>be addressed, with full o</w:t>
      </w:r>
      <w:r w:rsidR="001418CA" w:rsidRPr="008F1B7C">
        <w:t xml:space="preserve">versight of </w:t>
      </w:r>
      <w:r w:rsidR="00693D1C" w:rsidRPr="008F1B7C">
        <w:t>all</w:t>
      </w:r>
      <w:r w:rsidR="001418CA" w:rsidRPr="008F1B7C">
        <w:t xml:space="preserve"> superannuation products, investment menus and investment options operated by RSE licensees, including </w:t>
      </w:r>
      <w:r w:rsidR="00883CFD" w:rsidRPr="008F1B7C">
        <w:t xml:space="preserve">the relationships between </w:t>
      </w:r>
      <w:r w:rsidR="005360B5" w:rsidRPr="008F1B7C">
        <w:t>them</w:t>
      </w:r>
      <w:r w:rsidR="00883CFD" w:rsidRPr="008F1B7C">
        <w:t xml:space="preserve">. This </w:t>
      </w:r>
      <w:r w:rsidR="00BE229A" w:rsidRPr="008F1B7C">
        <w:t xml:space="preserve">would </w:t>
      </w:r>
      <w:r w:rsidR="00883CFD" w:rsidRPr="008F1B7C">
        <w:t xml:space="preserve">allow assessment of </w:t>
      </w:r>
      <w:r w:rsidR="00DF4034" w:rsidRPr="008F1B7C">
        <w:t xml:space="preserve">a range of </w:t>
      </w:r>
      <w:r w:rsidR="005360B5" w:rsidRPr="008F1B7C">
        <w:t>possible</w:t>
      </w:r>
      <w:r w:rsidR="00883CFD" w:rsidRPr="008F1B7C">
        <w:t xml:space="preserve"> member experience through all combinations of products and options in addition to</w:t>
      </w:r>
      <w:r w:rsidR="005360B5" w:rsidRPr="008F1B7C">
        <w:t xml:space="preserve"> assessment of</w:t>
      </w:r>
      <w:r w:rsidR="00883CFD" w:rsidRPr="008F1B7C">
        <w:t xml:space="preserve"> </w:t>
      </w:r>
      <w:r w:rsidR="00DF4034" w:rsidRPr="008F1B7C">
        <w:t xml:space="preserve">a </w:t>
      </w:r>
      <w:r w:rsidR="00883CFD" w:rsidRPr="008F1B7C">
        <w:t>product</w:t>
      </w:r>
      <w:r w:rsidR="00DF4034" w:rsidRPr="008F1B7C">
        <w:t>’</w:t>
      </w:r>
      <w:r w:rsidR="00883CFD" w:rsidRPr="008F1B7C">
        <w:t xml:space="preserve">s </w:t>
      </w:r>
      <w:r w:rsidR="005360B5" w:rsidRPr="008F1B7C">
        <w:t xml:space="preserve">fees </w:t>
      </w:r>
      <w:r w:rsidR="00883CFD" w:rsidRPr="008F1B7C">
        <w:t>and investment option</w:t>
      </w:r>
      <w:r w:rsidR="005360B5" w:rsidRPr="008F1B7C">
        <w:t xml:space="preserve"> performance</w:t>
      </w:r>
      <w:r w:rsidR="00883CFD" w:rsidRPr="008F1B7C">
        <w:t xml:space="preserve"> in isolation.</w:t>
      </w:r>
      <w:r w:rsidR="004829FD" w:rsidRPr="008F1B7C">
        <w:t xml:space="preserve"> </w:t>
      </w:r>
      <w:r w:rsidR="00C93397" w:rsidRPr="008F1B7C">
        <w:t xml:space="preserve">APRA would be able to publish </w:t>
      </w:r>
      <w:r w:rsidR="00DF4034" w:rsidRPr="008F1B7C">
        <w:t xml:space="preserve">Choice </w:t>
      </w:r>
      <w:r w:rsidR="00C93397" w:rsidRPr="008F1B7C">
        <w:t>heatmaps using this data.</w:t>
      </w:r>
    </w:p>
    <w:p w14:paraId="4B602836" w14:textId="3862A848" w:rsidR="00DD512E" w:rsidRPr="008F1B7C" w:rsidRDefault="000A081B" w:rsidP="00E11B9C">
      <w:pPr>
        <w:pStyle w:val="ListParagraph"/>
        <w:numPr>
          <w:ilvl w:val="0"/>
          <w:numId w:val="12"/>
        </w:numPr>
        <w:jc w:val="left"/>
      </w:pPr>
      <w:r w:rsidRPr="008F1B7C">
        <w:t>M</w:t>
      </w:r>
      <w:r w:rsidR="00C43B75" w:rsidRPr="008F1B7C">
        <w:t>ore consistent and comparable reporting</w:t>
      </w:r>
      <w:r w:rsidR="00C43B75" w:rsidRPr="008F1B7C" w:rsidDel="00C43B75">
        <w:t xml:space="preserve"> </w:t>
      </w:r>
      <w:r w:rsidR="00DD512E" w:rsidRPr="008F1B7C">
        <w:t>o</w:t>
      </w:r>
      <w:r w:rsidR="00C43B75" w:rsidRPr="008F1B7C">
        <w:t>n</w:t>
      </w:r>
      <w:r w:rsidR="00DD512E" w:rsidRPr="008F1B7C">
        <w:t xml:space="preserve"> investment strategy and performance</w:t>
      </w:r>
      <w:r w:rsidR="002E6D45" w:rsidRPr="008F1B7C">
        <w:t xml:space="preserve"> and</w:t>
      </w:r>
      <w:r w:rsidR="00DD512E" w:rsidRPr="008F1B7C">
        <w:t xml:space="preserve"> fees and costs</w:t>
      </w:r>
      <w:r w:rsidR="00C43B75" w:rsidRPr="008F1B7C">
        <w:t xml:space="preserve"> by addressing current inconsistency in key definitions</w:t>
      </w:r>
      <w:r w:rsidR="002E6D45" w:rsidRPr="008F1B7C">
        <w:t xml:space="preserve"> would</w:t>
      </w:r>
      <w:r w:rsidR="00C43B75" w:rsidRPr="008F1B7C">
        <w:t xml:space="preserve"> </w:t>
      </w:r>
      <w:r w:rsidR="002E6D45" w:rsidRPr="008F1B7C">
        <w:t xml:space="preserve">enable </w:t>
      </w:r>
      <w:r w:rsidR="00C43B75" w:rsidRPr="008F1B7C">
        <w:t xml:space="preserve">all stakeholders to make more meaningful comparisons </w:t>
      </w:r>
      <w:r w:rsidR="00DF4034" w:rsidRPr="008F1B7C">
        <w:t>of</w:t>
      </w:r>
      <w:r w:rsidR="00C43B75" w:rsidRPr="008F1B7C">
        <w:t xml:space="preserve"> performance.</w:t>
      </w:r>
    </w:p>
    <w:p w14:paraId="23D53AEF" w14:textId="435A4003" w:rsidR="001418CA" w:rsidRPr="008F1B7C" w:rsidRDefault="001535BF" w:rsidP="00E11B9C">
      <w:pPr>
        <w:pStyle w:val="ListParagraph"/>
        <w:numPr>
          <w:ilvl w:val="0"/>
          <w:numId w:val="12"/>
        </w:numPr>
        <w:jc w:val="left"/>
      </w:pPr>
      <w:r w:rsidRPr="008F1B7C">
        <w:t>Enhance</w:t>
      </w:r>
      <w:r w:rsidR="000A081B" w:rsidRPr="008F1B7C">
        <w:t xml:space="preserve">d </w:t>
      </w:r>
      <w:r w:rsidR="001418CA" w:rsidRPr="008F1B7C">
        <w:t>granularity of asset class</w:t>
      </w:r>
      <w:r w:rsidR="00565560" w:rsidRPr="008F1B7C">
        <w:t xml:space="preserve"> classifications</w:t>
      </w:r>
      <w:r w:rsidR="001418CA" w:rsidRPr="008F1B7C">
        <w:t xml:space="preserve"> and characteristics, enabling more accurate and robust methodologies in benchmarking investment option performance and assessing risks and exposures</w:t>
      </w:r>
      <w:r w:rsidR="00CE7826" w:rsidRPr="008F1B7C">
        <w:t xml:space="preserve">, as well as reducing opportunities for </w:t>
      </w:r>
      <w:r w:rsidR="00C36AB3" w:rsidRPr="008F1B7C">
        <w:t xml:space="preserve">RSEs to </w:t>
      </w:r>
      <w:r w:rsidR="00D478F9" w:rsidRPr="008F1B7C">
        <w:t>manipulate their</w:t>
      </w:r>
      <w:r w:rsidR="00CE7826" w:rsidRPr="008F1B7C">
        <w:t xml:space="preserve"> performance test </w:t>
      </w:r>
      <w:r w:rsidR="00C36AB3" w:rsidRPr="008F1B7C">
        <w:t xml:space="preserve">outcomes through aggregate </w:t>
      </w:r>
      <w:r w:rsidR="00D34BC1" w:rsidRPr="008F1B7C">
        <w:t>reporting</w:t>
      </w:r>
      <w:r w:rsidR="001418CA" w:rsidRPr="008F1B7C">
        <w:t>.</w:t>
      </w:r>
    </w:p>
    <w:p w14:paraId="3EBE512E" w14:textId="4F5D72B5" w:rsidR="00571D9A" w:rsidRPr="008F1B7C" w:rsidRDefault="00571D9A" w:rsidP="00E11B9C">
      <w:pPr>
        <w:pStyle w:val="ListParagraph"/>
        <w:numPr>
          <w:ilvl w:val="0"/>
          <w:numId w:val="12"/>
        </w:numPr>
        <w:jc w:val="left"/>
      </w:pPr>
      <w:r w:rsidRPr="008F1B7C">
        <w:t xml:space="preserve">Enhanced reporting of insurance arrangements would </w:t>
      </w:r>
      <w:r w:rsidRPr="008F1B7C">
        <w:rPr>
          <w:rFonts w:ascii="Helvetica" w:hAnsi="Helvetica" w:cs="Helvetica"/>
        </w:rPr>
        <w:t>enable APRA to expand analysis and insights such as heatmaps and benchmarking to insurance.</w:t>
      </w:r>
    </w:p>
    <w:p w14:paraId="02EAE7E0" w14:textId="49DCA88B" w:rsidR="009D0BFA" w:rsidRPr="008F1B7C" w:rsidRDefault="00CC1551" w:rsidP="00E11B9C">
      <w:pPr>
        <w:pStyle w:val="ListParagraph"/>
        <w:numPr>
          <w:ilvl w:val="0"/>
          <w:numId w:val="12"/>
        </w:numPr>
        <w:jc w:val="left"/>
      </w:pPr>
      <w:r w:rsidRPr="008F1B7C">
        <w:t>Enhanced reporting of expenses using</w:t>
      </w:r>
      <w:r w:rsidR="000A081B" w:rsidRPr="008F1B7C">
        <w:t xml:space="preserve"> </w:t>
      </w:r>
      <w:r w:rsidR="00622782" w:rsidRPr="008F1B7C">
        <w:t>look</w:t>
      </w:r>
      <w:r w:rsidRPr="008F1B7C">
        <w:t>-</w:t>
      </w:r>
      <w:r w:rsidR="00622782" w:rsidRPr="008F1B7C">
        <w:t xml:space="preserve">through </w:t>
      </w:r>
      <w:r w:rsidR="00DF4034" w:rsidRPr="008F1B7C">
        <w:t xml:space="preserve">methods </w:t>
      </w:r>
      <w:r w:rsidR="00622782" w:rsidRPr="008F1B7C">
        <w:t>to</w:t>
      </w:r>
      <w:r w:rsidRPr="008F1B7C">
        <w:t xml:space="preserve"> report</w:t>
      </w:r>
      <w:r w:rsidR="00622782" w:rsidRPr="008F1B7C">
        <w:t xml:space="preserve"> the </w:t>
      </w:r>
      <w:r w:rsidRPr="008F1B7C">
        <w:t>purpose for which the</w:t>
      </w:r>
      <w:r w:rsidR="00622782" w:rsidRPr="008F1B7C">
        <w:t xml:space="preserve"> expense</w:t>
      </w:r>
      <w:r w:rsidRPr="008F1B7C">
        <w:t xml:space="preserve"> is used</w:t>
      </w:r>
      <w:r w:rsidR="000A081B" w:rsidRPr="008F1B7C">
        <w:t>. This would enable APRA to</w:t>
      </w:r>
      <w:r w:rsidR="005360B5" w:rsidRPr="008F1B7C" w:rsidDel="005360B5">
        <w:t xml:space="preserve"> </w:t>
      </w:r>
      <w:r w:rsidR="0069459C" w:rsidRPr="008F1B7C">
        <w:t xml:space="preserve">identify areas for </w:t>
      </w:r>
      <w:r w:rsidR="005360B5" w:rsidRPr="008F1B7C">
        <w:t>increased</w:t>
      </w:r>
      <w:r w:rsidR="00AE31A5" w:rsidRPr="008F1B7C">
        <w:t xml:space="preserve"> supervisory</w:t>
      </w:r>
      <w:r w:rsidR="005360B5" w:rsidRPr="008F1B7C">
        <w:t xml:space="preserve"> </w:t>
      </w:r>
      <w:proofErr w:type="gramStart"/>
      <w:r w:rsidR="005360B5" w:rsidRPr="008F1B7C">
        <w:t xml:space="preserve">scrutiny, </w:t>
      </w:r>
      <w:r w:rsidR="00432996" w:rsidRPr="008F1B7C">
        <w:t>and</w:t>
      </w:r>
      <w:proofErr w:type="gramEnd"/>
      <w:r w:rsidR="00432996" w:rsidRPr="008F1B7C">
        <w:t xml:space="preserve"> ensure</w:t>
      </w:r>
      <w:r w:rsidR="005360B5" w:rsidRPr="008F1B7C">
        <w:t xml:space="preserve"> RSE licensees reduce </w:t>
      </w:r>
      <w:r w:rsidR="00432996" w:rsidRPr="008F1B7C">
        <w:t xml:space="preserve">or cease </w:t>
      </w:r>
      <w:r w:rsidR="005360B5" w:rsidRPr="008F1B7C">
        <w:t xml:space="preserve">expenses which </w:t>
      </w:r>
      <w:r w:rsidR="00AE31A5" w:rsidRPr="008F1B7C">
        <w:t>may not be</w:t>
      </w:r>
      <w:r w:rsidR="005360B5" w:rsidRPr="008F1B7C">
        <w:t xml:space="preserve"> in members best interests</w:t>
      </w:r>
      <w:r w:rsidR="00643F0C" w:rsidRPr="008F1B7C">
        <w:t>.</w:t>
      </w:r>
    </w:p>
    <w:p w14:paraId="08CE243E" w14:textId="72640FB6" w:rsidR="00622782" w:rsidRPr="008F1B7C" w:rsidRDefault="00622782" w:rsidP="00E11B9C">
      <w:pPr>
        <w:pStyle w:val="ListParagraph"/>
        <w:numPr>
          <w:ilvl w:val="0"/>
          <w:numId w:val="12"/>
        </w:numPr>
        <w:jc w:val="left"/>
      </w:pPr>
      <w:r w:rsidRPr="008F1B7C">
        <w:t xml:space="preserve">The collection </w:t>
      </w:r>
      <w:r w:rsidR="005202AC" w:rsidRPr="008F1B7C">
        <w:t xml:space="preserve">would </w:t>
      </w:r>
      <w:r w:rsidR="00F04659" w:rsidRPr="008F1B7C">
        <w:t xml:space="preserve">remain </w:t>
      </w:r>
      <w:r w:rsidRPr="008F1B7C">
        <w:t xml:space="preserve">aligned with </w:t>
      </w:r>
      <w:r w:rsidR="0069459C" w:rsidRPr="008F1B7C">
        <w:t xml:space="preserve">fee and costs </w:t>
      </w:r>
      <w:r w:rsidRPr="008F1B7C">
        <w:t>disclosure requirements, removing duplicate and inconsistent data reporting of fees disclosed</w:t>
      </w:r>
      <w:r w:rsidR="00F04659" w:rsidRPr="008F1B7C">
        <w:t>.</w:t>
      </w:r>
      <w:r w:rsidR="00F04659" w:rsidRPr="008F1B7C" w:rsidDel="00CC1551">
        <w:t xml:space="preserve"> </w:t>
      </w:r>
    </w:p>
    <w:p w14:paraId="675103EA" w14:textId="313AB117" w:rsidR="00622782" w:rsidRPr="008F1B7C" w:rsidRDefault="00622782" w:rsidP="00E11B9C">
      <w:pPr>
        <w:pStyle w:val="ListParagraph"/>
        <w:numPr>
          <w:ilvl w:val="0"/>
          <w:numId w:val="12"/>
        </w:numPr>
        <w:jc w:val="left"/>
      </w:pPr>
      <w:r w:rsidRPr="008F1B7C">
        <w:lastRenderedPageBreak/>
        <w:t>The need for ad-hoc data collection</w:t>
      </w:r>
      <w:r w:rsidR="003F4911" w:rsidRPr="008F1B7C">
        <w:t>s</w:t>
      </w:r>
      <w:r w:rsidRPr="008F1B7C">
        <w:t xml:space="preserve"> to inform APRA’s supervisory activities and work to improve member outcomes would be substantively </w:t>
      </w:r>
      <w:r w:rsidR="0039325F" w:rsidRPr="008F1B7C">
        <w:t>reduced</w:t>
      </w:r>
      <w:r w:rsidRPr="008F1B7C">
        <w:t>.</w:t>
      </w:r>
    </w:p>
    <w:p w14:paraId="515AAE46" w14:textId="33A89BF8" w:rsidR="00C93397" w:rsidRPr="008F1B7C" w:rsidRDefault="00C93397" w:rsidP="00E11B9C">
      <w:pPr>
        <w:pStyle w:val="ListParagraph"/>
        <w:numPr>
          <w:ilvl w:val="0"/>
          <w:numId w:val="12"/>
        </w:numPr>
        <w:jc w:val="left"/>
      </w:pPr>
      <w:r w:rsidRPr="008F1B7C">
        <w:t xml:space="preserve">APRA would be able to expand current publications to cover all products and investment options, increasing transparency </w:t>
      </w:r>
      <w:r w:rsidR="003C72D1" w:rsidRPr="008F1B7C">
        <w:t>o</w:t>
      </w:r>
      <w:r w:rsidRPr="008F1B7C">
        <w:t>n the superannuation industry</w:t>
      </w:r>
      <w:r w:rsidR="003C72D1" w:rsidRPr="008F1B7C">
        <w:t xml:space="preserve"> and its outcomes/performance</w:t>
      </w:r>
      <w:r w:rsidRPr="008F1B7C">
        <w:t>.</w:t>
      </w:r>
    </w:p>
    <w:p w14:paraId="221A7124" w14:textId="03BBAAA3" w:rsidR="00560F2C" w:rsidRPr="008F1B7C" w:rsidRDefault="002758C9">
      <w:pPr>
        <w:rPr>
          <w:b/>
        </w:rPr>
      </w:pPr>
      <w:r w:rsidRPr="008F1B7C">
        <w:rPr>
          <w:b/>
        </w:rPr>
        <w:t>D</w:t>
      </w:r>
      <w:r w:rsidR="001418CA" w:rsidRPr="008F1B7C">
        <w:rPr>
          <w:b/>
        </w:rPr>
        <w:t>isadvantages</w:t>
      </w:r>
    </w:p>
    <w:p w14:paraId="65DB6D59" w14:textId="278E0486" w:rsidR="001418CA" w:rsidRPr="008F1B7C" w:rsidRDefault="001418CA" w:rsidP="005139E3">
      <w:pPr>
        <w:pStyle w:val="ListParagraph"/>
        <w:numPr>
          <w:ilvl w:val="0"/>
          <w:numId w:val="23"/>
        </w:numPr>
      </w:pPr>
      <w:r w:rsidRPr="008F1B7C">
        <w:t xml:space="preserve">The reporting </w:t>
      </w:r>
      <w:r w:rsidR="00B460E0" w:rsidRPr="008F1B7C">
        <w:t xml:space="preserve">costs </w:t>
      </w:r>
      <w:r w:rsidRPr="008F1B7C">
        <w:t xml:space="preserve">for superannuation entities </w:t>
      </w:r>
      <w:r w:rsidR="005202AC" w:rsidRPr="008F1B7C">
        <w:t xml:space="preserve">would </w:t>
      </w:r>
      <w:r w:rsidRPr="008F1B7C">
        <w:t>increase</w:t>
      </w:r>
      <w:r w:rsidR="00B460E0" w:rsidRPr="008F1B7C">
        <w:t>, with t</w:t>
      </w:r>
      <w:r w:rsidRPr="008F1B7C">
        <w:t>he</w:t>
      </w:r>
      <w:r w:rsidR="003F4911" w:rsidRPr="008F1B7C">
        <w:t>se</w:t>
      </w:r>
      <w:r w:rsidRPr="008F1B7C">
        <w:t xml:space="preserve"> cost</w:t>
      </w:r>
      <w:r w:rsidR="003F4911" w:rsidRPr="008F1B7C">
        <w:t>s</w:t>
      </w:r>
      <w:r w:rsidRPr="008F1B7C">
        <w:t xml:space="preserve"> ultimately passed onto members.</w:t>
      </w:r>
    </w:p>
    <w:p w14:paraId="1AAB8B42" w14:textId="78568EF3" w:rsidR="00883CFD" w:rsidRPr="008F1B7C" w:rsidRDefault="00883CFD" w:rsidP="005139E3">
      <w:pPr>
        <w:pStyle w:val="ListParagraph"/>
        <w:numPr>
          <w:ilvl w:val="0"/>
          <w:numId w:val="23"/>
        </w:numPr>
      </w:pPr>
      <w:r w:rsidRPr="008F1B7C">
        <w:t xml:space="preserve">The additional granularity means that in many cases, RSE licensees </w:t>
      </w:r>
      <w:r w:rsidR="005202AC" w:rsidRPr="008F1B7C">
        <w:t xml:space="preserve">would </w:t>
      </w:r>
      <w:r w:rsidRPr="008F1B7C">
        <w:t xml:space="preserve">need to </w:t>
      </w:r>
      <w:r w:rsidR="00A764A0" w:rsidRPr="008F1B7C">
        <w:t xml:space="preserve">implement practices to </w:t>
      </w:r>
      <w:r w:rsidRPr="008F1B7C">
        <w:t>re</w:t>
      </w:r>
      <w:r w:rsidR="00D34BC1" w:rsidRPr="008F1B7C">
        <w:t xml:space="preserve">view and </w:t>
      </w:r>
      <w:r w:rsidRPr="008F1B7C">
        <w:t>categori</w:t>
      </w:r>
      <w:r w:rsidR="005202AC" w:rsidRPr="008F1B7C">
        <w:t>s</w:t>
      </w:r>
      <w:r w:rsidRPr="008F1B7C">
        <w:t xml:space="preserve">e existing </w:t>
      </w:r>
      <w:r w:rsidR="00A764A0" w:rsidRPr="008F1B7C">
        <w:t xml:space="preserve">reporting </w:t>
      </w:r>
      <w:r w:rsidRPr="008F1B7C">
        <w:t>data for the first period</w:t>
      </w:r>
      <w:r w:rsidR="005202AC" w:rsidRPr="008F1B7C">
        <w:t>/</w:t>
      </w:r>
      <w:r w:rsidRPr="008F1B7C">
        <w:t xml:space="preserve">s </w:t>
      </w:r>
      <w:r w:rsidR="005202AC" w:rsidRPr="008F1B7C">
        <w:t xml:space="preserve">until such time as they put in place </w:t>
      </w:r>
      <w:r w:rsidR="00722266" w:rsidRPr="008F1B7C">
        <w:t>processes to capture these granular</w:t>
      </w:r>
      <w:r w:rsidRPr="008F1B7C">
        <w:t xml:space="preserve"> classifications.</w:t>
      </w:r>
    </w:p>
    <w:p w14:paraId="6C31AC38" w14:textId="6674400C" w:rsidR="00552CEA" w:rsidRPr="008F1B7C" w:rsidRDefault="00552CEA" w:rsidP="00B308B7">
      <w:r w:rsidRPr="008F1B7C">
        <w:t>The limitations of the existing reporting framework would be substantively addressed</w:t>
      </w:r>
      <w:r w:rsidR="003C72D1" w:rsidRPr="008F1B7C">
        <w:t>,</w:t>
      </w:r>
      <w:r w:rsidRPr="008F1B7C">
        <w:t xml:space="preserve"> with the significant gaps </w:t>
      </w:r>
      <w:r w:rsidR="003C72D1" w:rsidRPr="008F1B7C">
        <w:t xml:space="preserve">in current data </w:t>
      </w:r>
      <w:r w:rsidRPr="008F1B7C">
        <w:t xml:space="preserve">addressed and </w:t>
      </w:r>
      <w:r w:rsidR="00A764A0" w:rsidRPr="008F1B7C">
        <w:t xml:space="preserve">the </w:t>
      </w:r>
      <w:r w:rsidRPr="008F1B7C">
        <w:t xml:space="preserve">additional granularity needed </w:t>
      </w:r>
      <w:r w:rsidR="00A764A0" w:rsidRPr="008F1B7C">
        <w:t>achieved</w:t>
      </w:r>
      <w:r w:rsidRPr="008F1B7C">
        <w:t>. The data would enable deeper insights into aspects of the industry that are difficult to scrutinise under the current collections, putting APRA supervisors in a stronger position to hold RSE licensees to account for their decisions and the outcomes they deliver to all their members.</w:t>
      </w:r>
    </w:p>
    <w:p w14:paraId="2DFED71C" w14:textId="77777777" w:rsidR="001418CA" w:rsidRPr="008F1B7C" w:rsidRDefault="001418CA">
      <w:pPr>
        <w:rPr>
          <w:b/>
        </w:rPr>
      </w:pPr>
      <w:r w:rsidRPr="008F1B7C">
        <w:rPr>
          <w:b/>
        </w:rPr>
        <w:t>Regulatory costs</w:t>
      </w:r>
    </w:p>
    <w:p w14:paraId="35168639" w14:textId="37986D5C" w:rsidR="00A41B5A" w:rsidRPr="008F1B7C" w:rsidRDefault="001418CA">
      <w:r w:rsidRPr="008F1B7C">
        <w:t xml:space="preserve">Should </w:t>
      </w:r>
      <w:r w:rsidR="005202AC" w:rsidRPr="008F1B7C">
        <w:t xml:space="preserve">APRA </w:t>
      </w:r>
      <w:r w:rsidRPr="008F1B7C">
        <w:t xml:space="preserve">implement </w:t>
      </w:r>
      <w:r w:rsidR="00B3124D" w:rsidRPr="008F1B7C">
        <w:t>O</w:t>
      </w:r>
      <w:r w:rsidRPr="008F1B7C">
        <w:t xml:space="preserve">ption 3, additional regulatory costs would be imposed on </w:t>
      </w:r>
      <w:r w:rsidR="00B027A2" w:rsidRPr="008F1B7C">
        <w:t>RSE licensees</w:t>
      </w:r>
      <w:r w:rsidRPr="008F1B7C">
        <w:t xml:space="preserve">. </w:t>
      </w:r>
      <w:bookmarkStart w:id="82" w:name="_Hlk77944787"/>
      <w:r w:rsidRPr="008F1B7C">
        <w:t xml:space="preserve">As with </w:t>
      </w:r>
      <w:r w:rsidR="00B3124D" w:rsidRPr="008F1B7C">
        <w:t>O</w:t>
      </w:r>
      <w:r w:rsidRPr="008F1B7C">
        <w:t xml:space="preserve">ption 2, these costs are expected to include upfront implementation costs to understand the new requirements, </w:t>
      </w:r>
      <w:r w:rsidR="00A764A0" w:rsidRPr="008F1B7C">
        <w:t xml:space="preserve">identify and source </w:t>
      </w:r>
      <w:r w:rsidR="003C72D1" w:rsidRPr="008F1B7C">
        <w:t xml:space="preserve">additional </w:t>
      </w:r>
      <w:r w:rsidR="00A764A0" w:rsidRPr="008F1B7C">
        <w:t xml:space="preserve">data points and build and </w:t>
      </w:r>
      <w:r w:rsidRPr="008F1B7C">
        <w:t>update systems</w:t>
      </w:r>
      <w:r w:rsidR="00A764A0" w:rsidRPr="008F1B7C">
        <w:t xml:space="preserve"> to report data</w:t>
      </w:r>
      <w:r w:rsidRPr="008F1B7C">
        <w:t xml:space="preserve">, </w:t>
      </w:r>
      <w:r w:rsidR="00A764A0" w:rsidRPr="008F1B7C">
        <w:t xml:space="preserve">develop </w:t>
      </w:r>
      <w:r w:rsidRPr="008F1B7C">
        <w:t>policies</w:t>
      </w:r>
      <w:r w:rsidR="00A764A0" w:rsidRPr="008F1B7C">
        <w:t xml:space="preserve"> and procedures</w:t>
      </w:r>
      <w:r w:rsidRPr="008F1B7C">
        <w:t xml:space="preserve">, and train staff. </w:t>
      </w:r>
      <w:bookmarkEnd w:id="82"/>
      <w:r w:rsidR="007066C4" w:rsidRPr="008F1B7C">
        <w:t>There would also be ongoing costs to compile and report the data for the expanded population each quarter.</w:t>
      </w:r>
    </w:p>
    <w:p w14:paraId="039CCB7F" w14:textId="2BB6F4A4" w:rsidR="00A704B6" w:rsidRPr="008F1B7C" w:rsidRDefault="007066C4" w:rsidP="00A704B6">
      <w:r w:rsidRPr="008F1B7C">
        <w:t>G</w:t>
      </w:r>
      <w:r w:rsidR="001418CA" w:rsidRPr="008F1B7C">
        <w:t xml:space="preserve">iven the introduction of ten reporting standards </w:t>
      </w:r>
      <w:r w:rsidR="00BD69C0" w:rsidRPr="008F1B7C">
        <w:t xml:space="preserve">and the inclusion of additional </w:t>
      </w:r>
      <w:r w:rsidR="00D34BC1" w:rsidRPr="008F1B7C">
        <w:t xml:space="preserve">data </w:t>
      </w:r>
      <w:r w:rsidR="00BD69C0" w:rsidRPr="008F1B7C">
        <w:t>topics</w:t>
      </w:r>
      <w:r w:rsidR="001418CA" w:rsidRPr="008F1B7C">
        <w:t xml:space="preserve">, these costs </w:t>
      </w:r>
      <w:r w:rsidR="005202AC" w:rsidRPr="008F1B7C">
        <w:t xml:space="preserve">would </w:t>
      </w:r>
      <w:r w:rsidR="001418CA" w:rsidRPr="008F1B7C">
        <w:t xml:space="preserve">exceed those of </w:t>
      </w:r>
      <w:r w:rsidR="00B3124D" w:rsidRPr="008F1B7C">
        <w:t>O</w:t>
      </w:r>
      <w:r w:rsidR="001418CA" w:rsidRPr="008F1B7C">
        <w:t>ption 2.</w:t>
      </w:r>
    </w:p>
    <w:p w14:paraId="04DF368D" w14:textId="37AE3FDB" w:rsidR="009A58CE" w:rsidRPr="008F1B7C" w:rsidRDefault="001418CA">
      <w:r w:rsidRPr="008F1B7C">
        <w:t xml:space="preserve">Using the regulatory burden measurement framework, it has been estimated that </w:t>
      </w:r>
      <w:r w:rsidR="00B3124D" w:rsidRPr="008F1B7C">
        <w:t>O</w:t>
      </w:r>
      <w:r w:rsidRPr="008F1B7C">
        <w:t xml:space="preserve">ption 3 would increase compliance costs </w:t>
      </w:r>
      <w:r w:rsidR="00771319" w:rsidRPr="008F1B7C">
        <w:t xml:space="preserve">for the industry </w:t>
      </w:r>
      <w:r w:rsidRPr="008F1B7C">
        <w:t>by $</w:t>
      </w:r>
      <w:r w:rsidR="00A704B6" w:rsidRPr="008F1B7C">
        <w:t>111</w:t>
      </w:r>
      <w:r w:rsidR="00AD7D97" w:rsidRPr="008F1B7C">
        <w:t xml:space="preserve"> </w:t>
      </w:r>
      <w:r w:rsidRPr="008F1B7C">
        <w:t>million for first year and $</w:t>
      </w:r>
      <w:r w:rsidR="00F151C5" w:rsidRPr="008F1B7C">
        <w:t>4</w:t>
      </w:r>
      <w:r w:rsidR="00A704B6" w:rsidRPr="008F1B7C">
        <w:t>6</w:t>
      </w:r>
      <w:r w:rsidR="00AD7D97" w:rsidRPr="008F1B7C">
        <w:t xml:space="preserve"> </w:t>
      </w:r>
      <w:r w:rsidRPr="008F1B7C">
        <w:t>million per annum thereafter</w:t>
      </w:r>
      <w:r w:rsidR="005F2BBE" w:rsidRPr="008F1B7C">
        <w:t xml:space="preserve">. </w:t>
      </w:r>
      <w:r w:rsidR="00C337C0" w:rsidRPr="008F1B7C">
        <w:t>Over 10 years t</w:t>
      </w:r>
      <w:r w:rsidR="005F2BBE" w:rsidRPr="008F1B7C">
        <w:t>his represents</w:t>
      </w:r>
      <w:r w:rsidR="006D17EE" w:rsidRPr="008F1B7C">
        <w:t xml:space="preserve"> a</w:t>
      </w:r>
      <w:r w:rsidR="009A58CE" w:rsidRPr="008F1B7C">
        <w:t xml:space="preserve"> total</w:t>
      </w:r>
      <w:r w:rsidR="006D17EE" w:rsidRPr="008F1B7C">
        <w:t xml:space="preserve"> </w:t>
      </w:r>
      <w:r w:rsidR="009A58CE" w:rsidRPr="008F1B7C">
        <w:t>increase</w:t>
      </w:r>
      <w:r w:rsidR="006D17EE" w:rsidRPr="008F1B7C">
        <w:t xml:space="preserve"> of $52 million per year </w:t>
      </w:r>
      <w:r w:rsidR="006F5DC2" w:rsidRPr="008F1B7C">
        <w:t>or $511,000 per year per RSE licensee</w:t>
      </w:r>
      <w:r w:rsidR="005F2BBE" w:rsidRPr="008F1B7C">
        <w:t xml:space="preserve">, or $2.13 per member (based on </w:t>
      </w:r>
      <w:proofErr w:type="gramStart"/>
      <w:r w:rsidR="005F2BBE" w:rsidRPr="008F1B7C">
        <w:t>22.5 million member</w:t>
      </w:r>
      <w:proofErr w:type="gramEnd"/>
      <w:r w:rsidR="005F2BBE" w:rsidRPr="008F1B7C">
        <w:t xml:space="preserve"> accounts in APRA regulated funds at June 2020)</w:t>
      </w:r>
      <w:r w:rsidRPr="008F1B7C">
        <w:t>.</w:t>
      </w:r>
    </w:p>
    <w:p w14:paraId="0E07CF2D" w14:textId="32D49418" w:rsidR="001418CA" w:rsidRPr="008F1B7C" w:rsidRDefault="001418CA" w:rsidP="00E11B9C">
      <w:pPr>
        <w:keepNext/>
        <w:spacing w:after="0"/>
        <w:rPr>
          <w:rFonts w:ascii="Arial" w:eastAsiaTheme="minorEastAsia" w:hAnsi="Arial" w:cs="Arial"/>
        </w:rPr>
      </w:pPr>
      <w:r w:rsidRPr="008F1B7C">
        <w:rPr>
          <w:rFonts w:ascii="Arial" w:eastAsiaTheme="minorEastAsia" w:hAnsi="Arial" w:cs="Arial"/>
        </w:rPr>
        <w:t xml:space="preserve">Table 2: Regulatory burden estimate (RBE) table (see Appendix </w:t>
      </w:r>
      <w:r w:rsidR="00CB5BF6" w:rsidRPr="008F1B7C">
        <w:rPr>
          <w:rFonts w:ascii="Arial" w:eastAsiaTheme="minorEastAsia" w:hAnsi="Arial" w:cs="Arial"/>
        </w:rPr>
        <w:t>D</w:t>
      </w:r>
      <w:r w:rsidR="00437BC9" w:rsidRPr="008F1B7C">
        <w:rPr>
          <w:rFonts w:ascii="Arial" w:eastAsiaTheme="minorEastAsia" w:hAnsi="Arial" w:cs="Arial"/>
        </w:rPr>
        <w:t xml:space="preserve"> </w:t>
      </w:r>
      <w:r w:rsidRPr="008F1B7C">
        <w:rPr>
          <w:rFonts w:ascii="Arial" w:eastAsiaTheme="minorEastAsia" w:hAnsi="Arial" w:cs="Arial"/>
        </w:rPr>
        <w:t>for further detail)</w:t>
      </w:r>
    </w:p>
    <w:tbl>
      <w:tblPr>
        <w:tblStyle w:val="LightGrid-Accent2"/>
        <w:tblW w:w="936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Caption w:val="Regulatory burden estimate table"/>
        <w:tblDescription w:val="Template for the Regulatory burden estimate table"/>
      </w:tblPr>
      <w:tblGrid>
        <w:gridCol w:w="1871"/>
        <w:gridCol w:w="1272"/>
        <w:gridCol w:w="1418"/>
        <w:gridCol w:w="1277"/>
        <w:gridCol w:w="1761"/>
        <w:gridCol w:w="1761"/>
      </w:tblGrid>
      <w:tr w:rsidR="001418CA" w:rsidRPr="008F1B7C" w14:paraId="102D1F57" w14:textId="77777777" w:rsidTr="00FE7A1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60" w:type="dxa"/>
            <w:gridSpan w:val="6"/>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FFFFFF" w:themeFill="background1"/>
            <w:noWrap/>
            <w:hideMark/>
          </w:tcPr>
          <w:p w14:paraId="5CA3BA40" w14:textId="57441807" w:rsidR="001418CA" w:rsidRPr="008F1B7C" w:rsidRDefault="001418CA">
            <w:pPr>
              <w:spacing w:before="120" w:after="120"/>
              <w:rPr>
                <w:rFonts w:ascii="Arial" w:hAnsi="Arial" w:cs="Arial"/>
                <w:sz w:val="20"/>
                <w:szCs w:val="20"/>
              </w:rPr>
            </w:pPr>
            <w:bookmarkStart w:id="83" w:name="_Toc493588790"/>
            <w:r w:rsidRPr="008F1B7C">
              <w:rPr>
                <w:rFonts w:ascii="Arial" w:hAnsi="Arial" w:cs="Arial"/>
                <w:sz w:val="20"/>
                <w:szCs w:val="20"/>
              </w:rPr>
              <w:t>Average annual regulatory costs (</w:t>
            </w:r>
            <w:r w:rsidR="007066C4" w:rsidRPr="008F1B7C">
              <w:rPr>
                <w:rFonts w:ascii="Arial" w:hAnsi="Arial" w:cs="Arial"/>
                <w:sz w:val="20"/>
                <w:szCs w:val="20"/>
              </w:rPr>
              <w:t xml:space="preserve">change </w:t>
            </w:r>
            <w:r w:rsidRPr="008F1B7C">
              <w:rPr>
                <w:rFonts w:ascii="Arial" w:hAnsi="Arial" w:cs="Arial"/>
                <w:sz w:val="20"/>
                <w:szCs w:val="20"/>
              </w:rPr>
              <w:t>from business as usual)</w:t>
            </w:r>
          </w:p>
        </w:tc>
      </w:tr>
      <w:tr w:rsidR="001418CA" w:rsidRPr="008F1B7C" w14:paraId="59777F94" w14:textId="77777777" w:rsidTr="00FE7A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6" w:space="0" w:color="000000" w:themeColor="text1"/>
              <w:left w:val="single" w:sz="8" w:space="0" w:color="000000" w:themeColor="text1"/>
              <w:bottom w:val="single" w:sz="4" w:space="0" w:color="auto"/>
              <w:right w:val="single" w:sz="6" w:space="0" w:color="000000" w:themeColor="text1"/>
            </w:tcBorders>
            <w:shd w:val="clear" w:color="auto" w:fill="FFFFFF" w:themeFill="background1"/>
            <w:noWrap/>
            <w:hideMark/>
          </w:tcPr>
          <w:p w14:paraId="2E180A46" w14:textId="77777777" w:rsidR="001418CA" w:rsidRPr="008F1B7C" w:rsidRDefault="001418CA" w:rsidP="00D84488">
            <w:pPr>
              <w:spacing w:before="120" w:after="120"/>
              <w:rPr>
                <w:rFonts w:ascii="Arial" w:hAnsi="Arial" w:cs="Arial"/>
                <w:sz w:val="20"/>
                <w:szCs w:val="20"/>
              </w:rPr>
            </w:pPr>
            <w:r w:rsidRPr="008F1B7C">
              <w:rPr>
                <w:rFonts w:ascii="Arial" w:hAnsi="Arial" w:cs="Arial"/>
                <w:sz w:val="20"/>
                <w:szCs w:val="20"/>
              </w:rPr>
              <w:t xml:space="preserve">Change in costs </w:t>
            </w:r>
          </w:p>
        </w:tc>
        <w:tc>
          <w:tcPr>
            <w:tcW w:w="1272"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6B4EE5B6"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0"/>
                <w:szCs w:val="20"/>
              </w:rPr>
            </w:pPr>
            <w:r w:rsidRPr="008F1B7C">
              <w:rPr>
                <w:rFonts w:ascii="Arial" w:eastAsiaTheme="majorEastAsia" w:hAnsi="Arial" w:cs="Arial"/>
                <w:bCs/>
                <w:sz w:val="20"/>
                <w:szCs w:val="20"/>
              </w:rPr>
              <w:t>Business</w:t>
            </w:r>
          </w:p>
        </w:tc>
        <w:tc>
          <w:tcPr>
            <w:tcW w:w="1418"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4CCF5F7E"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8F1B7C">
              <w:rPr>
                <w:rFonts w:ascii="Arial" w:hAnsi="Arial" w:cs="Arial"/>
                <w:sz w:val="20"/>
                <w:szCs w:val="20"/>
              </w:rPr>
              <w:t>Community organisations</w:t>
            </w:r>
          </w:p>
        </w:tc>
        <w:tc>
          <w:tcPr>
            <w:tcW w:w="1277"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4A8F3FA9"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1B7C">
              <w:rPr>
                <w:rFonts w:ascii="Arial" w:hAnsi="Arial" w:cs="Arial"/>
                <w:sz w:val="20"/>
                <w:szCs w:val="20"/>
              </w:rPr>
              <w:t>Individuals</w:t>
            </w:r>
          </w:p>
        </w:tc>
        <w:tc>
          <w:tcPr>
            <w:tcW w:w="1761"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748A1CE5"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1B7C">
              <w:rPr>
                <w:rFonts w:ascii="Arial" w:hAnsi="Arial" w:cs="Arial"/>
                <w:sz w:val="20"/>
                <w:szCs w:val="20"/>
              </w:rPr>
              <w:t>Total change in costs</w:t>
            </w:r>
          </w:p>
        </w:tc>
        <w:tc>
          <w:tcPr>
            <w:tcW w:w="1761" w:type="dxa"/>
            <w:tcBorders>
              <w:top w:val="single" w:sz="6" w:space="0" w:color="000000" w:themeColor="text1"/>
              <w:left w:val="single" w:sz="6" w:space="0" w:color="000000" w:themeColor="text1"/>
              <w:bottom w:val="single" w:sz="4" w:space="0" w:color="000000" w:themeColor="text1"/>
              <w:right w:val="single" w:sz="8" w:space="0" w:color="000000" w:themeColor="text1"/>
            </w:tcBorders>
            <w:shd w:val="clear" w:color="auto" w:fill="FFFFFF" w:themeFill="background1"/>
            <w:hideMark/>
          </w:tcPr>
          <w:p w14:paraId="7183699C"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1B7C">
              <w:rPr>
                <w:rFonts w:ascii="Arial" w:hAnsi="Arial" w:cs="Arial"/>
                <w:sz w:val="20"/>
                <w:szCs w:val="20"/>
              </w:rPr>
              <w:t>Average cost per business</w:t>
            </w:r>
          </w:p>
        </w:tc>
      </w:tr>
      <w:tr w:rsidR="001418CA" w:rsidRPr="008F1B7C" w14:paraId="3CFE4B65" w14:textId="77777777" w:rsidTr="00FE7A1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8663EFC" w14:textId="77777777" w:rsidR="001418CA" w:rsidRPr="008F1B7C" w:rsidRDefault="001418CA" w:rsidP="00D84488">
            <w:pPr>
              <w:spacing w:before="120" w:after="120"/>
              <w:rPr>
                <w:rFonts w:ascii="Arial" w:hAnsi="Arial" w:cs="Arial"/>
                <w:sz w:val="20"/>
                <w:szCs w:val="20"/>
              </w:rPr>
            </w:pPr>
            <w:r w:rsidRPr="008F1B7C">
              <w:rPr>
                <w:rFonts w:ascii="Arial" w:hAnsi="Arial" w:cs="Arial"/>
                <w:sz w:val="20"/>
                <w:szCs w:val="20"/>
              </w:rPr>
              <w:t>Total, by sector</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8B2ACD" w14:textId="5503E547"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w:t>
            </w:r>
            <w:r w:rsidR="00ED170A" w:rsidRPr="008F1B7C">
              <w:rPr>
                <w:rFonts w:ascii="Arial" w:hAnsi="Arial" w:cs="Arial"/>
                <w:sz w:val="20"/>
                <w:szCs w:val="20"/>
              </w:rPr>
              <w:t>52</w:t>
            </w:r>
            <w:r w:rsidRPr="008F1B7C">
              <w:rPr>
                <w:rFonts w:ascii="Arial" w:hAnsi="Arial" w:cs="Arial"/>
                <w:sz w:val="20"/>
                <w:szCs w:val="20"/>
              </w:rPr>
              <w:t xml:space="preserve"> million</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F5F1D6" w14:textId="77777777"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44B5FC8" w14:textId="77777777"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$0</w:t>
            </w:r>
          </w:p>
        </w:tc>
        <w:tc>
          <w:tcPr>
            <w:tcW w:w="1761"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noWrap/>
            <w:hideMark/>
          </w:tcPr>
          <w:p w14:paraId="1AA6489C" w14:textId="117FC6E9"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w:t>
            </w:r>
            <w:r w:rsidR="00ED170A" w:rsidRPr="008F1B7C">
              <w:rPr>
                <w:rFonts w:ascii="Arial" w:hAnsi="Arial" w:cs="Arial"/>
                <w:sz w:val="20"/>
                <w:szCs w:val="20"/>
              </w:rPr>
              <w:t>52</w:t>
            </w:r>
            <w:r w:rsidRPr="008F1B7C">
              <w:rPr>
                <w:rFonts w:ascii="Arial" w:hAnsi="Arial" w:cs="Arial"/>
                <w:sz w:val="20"/>
                <w:szCs w:val="20"/>
              </w:rPr>
              <w:t xml:space="preserve"> million</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83C510D" w14:textId="5CFE48A4"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w:t>
            </w:r>
            <w:r w:rsidR="00D42174" w:rsidRPr="008F1B7C">
              <w:rPr>
                <w:rFonts w:ascii="Arial" w:hAnsi="Arial" w:cs="Arial"/>
                <w:sz w:val="20"/>
                <w:szCs w:val="20"/>
              </w:rPr>
              <w:t>51</w:t>
            </w:r>
            <w:r w:rsidR="00A704B6" w:rsidRPr="008F1B7C">
              <w:rPr>
                <w:rFonts w:ascii="Arial" w:hAnsi="Arial" w:cs="Arial"/>
                <w:sz w:val="20"/>
                <w:szCs w:val="20"/>
              </w:rPr>
              <w:t>1</w:t>
            </w:r>
            <w:r w:rsidRPr="008F1B7C">
              <w:rPr>
                <w:rFonts w:ascii="Arial" w:hAnsi="Arial" w:cs="Arial"/>
                <w:sz w:val="20"/>
                <w:szCs w:val="20"/>
              </w:rPr>
              <w:t>,000</w:t>
            </w:r>
          </w:p>
        </w:tc>
      </w:tr>
    </w:tbl>
    <w:p w14:paraId="10587588" w14:textId="098E6DB3" w:rsidR="00FE7A17" w:rsidRPr="008F1B7C" w:rsidRDefault="00FE7A17" w:rsidP="00B308B7">
      <w:pPr>
        <w:spacing w:before="240"/>
      </w:pPr>
      <w:r w:rsidRPr="008F1B7C">
        <w:t xml:space="preserve">There would be additional costs to APRA in accepting and analysing additional data, as well as publishing industry insights. These are estimated at $3 million </w:t>
      </w:r>
      <w:r w:rsidR="00A45D7C" w:rsidRPr="008F1B7C">
        <w:t>initial costs</w:t>
      </w:r>
      <w:r w:rsidRPr="008F1B7C">
        <w:t xml:space="preserve"> and $500,000 </w:t>
      </w:r>
      <w:r w:rsidR="00A45D7C" w:rsidRPr="008F1B7C">
        <w:t>annually</w:t>
      </w:r>
      <w:r w:rsidR="00771319" w:rsidRPr="008F1B7C">
        <w:t>, an average cost of $750,000 per year over 10 years</w:t>
      </w:r>
      <w:r w:rsidRPr="008F1B7C">
        <w:t>.</w:t>
      </w:r>
    </w:p>
    <w:p w14:paraId="2E1E68C5" w14:textId="42EE84D9" w:rsidR="007C7D26" w:rsidRPr="008F1B7C" w:rsidRDefault="007C7D26" w:rsidP="008F1B7C">
      <w:pPr>
        <w:jc w:val="both"/>
        <w:rPr>
          <w:b/>
        </w:rPr>
      </w:pPr>
      <w:bookmarkStart w:id="84" w:name="_Hlk56680017"/>
      <w:r w:rsidRPr="008F1B7C">
        <w:rPr>
          <w:b/>
        </w:rPr>
        <w:t>Net benefit</w:t>
      </w:r>
    </w:p>
    <w:p w14:paraId="222D4BF0" w14:textId="044D8302" w:rsidR="00EB252C" w:rsidRPr="008F1B7C" w:rsidRDefault="00EB252C" w:rsidP="00EB252C">
      <w:r w:rsidRPr="008F1B7C">
        <w:lastRenderedPageBreak/>
        <w:t xml:space="preserve">It is not possible to </w:t>
      </w:r>
      <w:r w:rsidR="00D34BC1" w:rsidRPr="008F1B7C">
        <w:t xml:space="preserve">identify and quantify the impact of </w:t>
      </w:r>
      <w:r w:rsidRPr="008F1B7C">
        <w:t xml:space="preserve">underperformance in the industry, or the improvements to member outcomes expected from </w:t>
      </w:r>
      <w:r w:rsidR="003C72D1" w:rsidRPr="008F1B7C">
        <w:t>enhanced</w:t>
      </w:r>
      <w:r w:rsidRPr="008F1B7C">
        <w:t xml:space="preserve"> transparency, identifying </w:t>
      </w:r>
      <w:proofErr w:type="gramStart"/>
      <w:r w:rsidRPr="008F1B7C">
        <w:t>underperformance</w:t>
      </w:r>
      <w:proofErr w:type="gramEnd"/>
      <w:r w:rsidRPr="008F1B7C">
        <w:t xml:space="preserve"> and enabling increased supervisory scrutiny. RSE licensees provide a broad range of products and services and there is a lack of comprehensive data on the efficiency and performance of the industry.</w:t>
      </w:r>
    </w:p>
    <w:p w14:paraId="742C4051" w14:textId="107E1D24" w:rsidR="00EB252C" w:rsidRPr="00635054" w:rsidRDefault="00EB252C" w:rsidP="00EB252C">
      <w:r w:rsidRPr="008F1B7C">
        <w:t xml:space="preserve">However, based on the experience of </w:t>
      </w:r>
      <w:proofErr w:type="spellStart"/>
      <w:r w:rsidRPr="008F1B7C">
        <w:t>MySuper</w:t>
      </w:r>
      <w:proofErr w:type="spellEnd"/>
      <w:r w:rsidRPr="008F1B7C">
        <w:t xml:space="preserve"> product heatmaps outlined above it is evident that an improvement in the transparency of industry performance </w:t>
      </w:r>
      <w:r w:rsidR="002E6D45" w:rsidRPr="008F1B7C">
        <w:t xml:space="preserve">would </w:t>
      </w:r>
      <w:r w:rsidRPr="008F1B7C">
        <w:t>provide a material improvement in member outcomes</w:t>
      </w:r>
      <w:r w:rsidR="004829FD" w:rsidRPr="00635054">
        <w:rPr>
          <w:rStyle w:val="FootnoteReference"/>
        </w:rPr>
        <w:footnoteReference w:id="28"/>
      </w:r>
      <w:r w:rsidR="002B291C" w:rsidRPr="00635054">
        <w:t>.</w:t>
      </w:r>
      <w:r w:rsidRPr="00635054">
        <w:t xml:space="preserve"> The benefits in obtaining more granular data to strengthen </w:t>
      </w:r>
      <w:proofErr w:type="gramStart"/>
      <w:r w:rsidRPr="00635054">
        <w:t>supervision</w:t>
      </w:r>
      <w:r w:rsidR="004B52E6" w:rsidRPr="008F1B7C">
        <w:t>,</w:t>
      </w:r>
      <w:r w:rsidRPr="008F1B7C">
        <w:t xml:space="preserve"> and</w:t>
      </w:r>
      <w:proofErr w:type="gramEnd"/>
      <w:r w:rsidRPr="008F1B7C">
        <w:t xml:space="preserve"> identify where action should be taken on poor performing funds, </w:t>
      </w:r>
      <w:r w:rsidR="002E6D45" w:rsidRPr="008F1B7C">
        <w:t xml:space="preserve">would </w:t>
      </w:r>
      <w:r w:rsidRPr="008F1B7C">
        <w:t xml:space="preserve">enable APRA to </w:t>
      </w:r>
      <w:r w:rsidR="00AB402F" w:rsidRPr="008F1B7C">
        <w:t>ensure</w:t>
      </w:r>
      <w:r w:rsidRPr="008F1B7C">
        <w:t xml:space="preserve"> RSE licensees reduce fees, make improvements to investment strategies, improve insurance arrangements and ensure expenditure is in members best interests.</w:t>
      </w:r>
      <w:r w:rsidR="00492EEE" w:rsidRPr="008F1B7C">
        <w:t xml:space="preserve"> </w:t>
      </w:r>
      <w:r w:rsidR="00592E75" w:rsidRPr="008F1B7C">
        <w:t xml:space="preserve">Internal modelling by APRA estimates the benefits from option 2 at least </w:t>
      </w:r>
      <w:r w:rsidR="00592E75" w:rsidRPr="008F1B7C">
        <w:rPr>
          <w:b/>
        </w:rPr>
        <w:t xml:space="preserve">$1.3 billion per annum </w:t>
      </w:r>
      <w:r w:rsidR="00592E75" w:rsidRPr="008F1B7C">
        <w:t>based on available data</w:t>
      </w:r>
      <w:r w:rsidR="00592E75" w:rsidRPr="008F1B7C">
        <w:rPr>
          <w:rStyle w:val="FootnoteReference"/>
        </w:rPr>
        <w:t xml:space="preserve"> </w:t>
      </w:r>
      <w:r w:rsidR="00AE3164" w:rsidRPr="00635054">
        <w:rPr>
          <w:rStyle w:val="FootnoteReference"/>
        </w:rPr>
        <w:footnoteReference w:id="29"/>
      </w:r>
      <w:r w:rsidR="00AE3164" w:rsidRPr="00635054">
        <w:t xml:space="preserve">. </w:t>
      </w:r>
    </w:p>
    <w:p w14:paraId="638A38E6" w14:textId="1493191A" w:rsidR="007066C4" w:rsidRPr="008F1B7C" w:rsidRDefault="00C765FC" w:rsidP="000B75B0">
      <w:pPr>
        <w:rPr>
          <w:rFonts w:ascii="Arial" w:hAnsi="Arial" w:cs="Arial"/>
        </w:rPr>
      </w:pPr>
      <w:r w:rsidRPr="008F1B7C">
        <w:rPr>
          <w:rFonts w:ascii="Arial" w:hAnsi="Arial" w:cs="Arial"/>
        </w:rPr>
        <w:t xml:space="preserve">Improved transparency on expenditure, and insurance; improved comparability and granularity of data; as well as including coverage of all fee and cost structures under Option 3 are expected to deliver additional benefits compared with Option 2. This data </w:t>
      </w:r>
      <w:r w:rsidR="002E6D45" w:rsidRPr="008F1B7C">
        <w:rPr>
          <w:rFonts w:ascii="Arial" w:hAnsi="Arial" w:cs="Arial"/>
        </w:rPr>
        <w:t>would</w:t>
      </w:r>
      <w:r w:rsidRPr="008F1B7C">
        <w:rPr>
          <w:rFonts w:ascii="Arial" w:hAnsi="Arial" w:cs="Arial"/>
        </w:rPr>
        <w:t xml:space="preserve"> enable APRA and other stakeholders to i</w:t>
      </w:r>
      <w:r w:rsidR="000B75B0" w:rsidRPr="008F1B7C">
        <w:rPr>
          <w:rFonts w:ascii="Arial" w:hAnsi="Arial" w:cs="Arial"/>
        </w:rPr>
        <w:t>dentif</w:t>
      </w:r>
      <w:r w:rsidRPr="008F1B7C">
        <w:rPr>
          <w:rFonts w:ascii="Arial" w:hAnsi="Arial" w:cs="Arial"/>
        </w:rPr>
        <w:t>y</w:t>
      </w:r>
      <w:r w:rsidR="000B75B0" w:rsidRPr="008F1B7C">
        <w:rPr>
          <w:rFonts w:ascii="Arial" w:hAnsi="Arial" w:cs="Arial"/>
        </w:rPr>
        <w:t xml:space="preserve"> </w:t>
      </w:r>
      <w:r w:rsidRPr="008F1B7C">
        <w:rPr>
          <w:rFonts w:ascii="Arial" w:hAnsi="Arial" w:cs="Arial"/>
        </w:rPr>
        <w:t xml:space="preserve">further </w:t>
      </w:r>
      <w:r w:rsidR="00EB252C" w:rsidRPr="008F1B7C">
        <w:rPr>
          <w:rFonts w:ascii="Arial" w:hAnsi="Arial" w:cs="Arial"/>
        </w:rPr>
        <w:t>areas</w:t>
      </w:r>
      <w:r w:rsidR="00854866" w:rsidRPr="008F1B7C">
        <w:rPr>
          <w:rFonts w:ascii="Arial" w:hAnsi="Arial" w:cs="Arial"/>
        </w:rPr>
        <w:t xml:space="preserve"> for </w:t>
      </w:r>
      <w:r w:rsidRPr="008F1B7C">
        <w:rPr>
          <w:rFonts w:ascii="Arial" w:hAnsi="Arial" w:cs="Arial"/>
        </w:rPr>
        <w:t xml:space="preserve">reduction in fees, expenses and insurance premiums which are not in the best financial interests of members. </w:t>
      </w:r>
      <w:r w:rsidR="007066C4" w:rsidRPr="008F1B7C">
        <w:rPr>
          <w:rFonts w:ascii="Arial" w:hAnsi="Arial" w:cs="Arial"/>
        </w:rPr>
        <w:t xml:space="preserve"> </w:t>
      </w:r>
      <w:r w:rsidRPr="008F1B7C">
        <w:rPr>
          <w:rFonts w:ascii="Arial" w:hAnsi="Arial" w:cs="Arial"/>
        </w:rPr>
        <w:t xml:space="preserve">Breakeven analysis shows that </w:t>
      </w:r>
      <w:r w:rsidR="00CC0D49" w:rsidRPr="008F1B7C">
        <w:rPr>
          <w:rFonts w:ascii="Arial" w:hAnsi="Arial" w:cs="Arial"/>
        </w:rPr>
        <w:t xml:space="preserve">the reductions needed to offset the additional costs of Option 3 are </w:t>
      </w:r>
      <w:r w:rsidR="00CC0D49" w:rsidRPr="008F1B7C">
        <w:t xml:space="preserve">just 0.11 percent of annual expenses and 0.15 per cent of annual insurance premiums. </w:t>
      </w:r>
      <w:r w:rsidR="00AE3164" w:rsidRPr="008F1B7C">
        <w:t>Therefore, the benefits of the enhanced data collection are expected to clearly outweigh the regulatory costs.</w:t>
      </w:r>
    </w:p>
    <w:p w14:paraId="5505D590" w14:textId="02E25CFE" w:rsidR="001418CA" w:rsidRPr="008F1B7C" w:rsidRDefault="001418CA">
      <w:r w:rsidRPr="008F1B7C">
        <w:t xml:space="preserve">Whilst the cost to implement </w:t>
      </w:r>
      <w:r w:rsidR="00BD3FC8" w:rsidRPr="008F1B7C">
        <w:t>O</w:t>
      </w:r>
      <w:r w:rsidRPr="008F1B7C">
        <w:t xml:space="preserve">ption 3 is higher than </w:t>
      </w:r>
      <w:r w:rsidR="00BD3FC8" w:rsidRPr="008F1B7C">
        <w:t>O</w:t>
      </w:r>
      <w:r w:rsidRPr="008F1B7C">
        <w:t>ption 2</w:t>
      </w:r>
      <w:r w:rsidR="00722266" w:rsidRPr="008F1B7C">
        <w:t>,</w:t>
      </w:r>
      <w:r w:rsidRPr="008F1B7C">
        <w:t xml:space="preserve"> the </w:t>
      </w:r>
      <w:r w:rsidR="007C7D26" w:rsidRPr="008F1B7C">
        <w:t xml:space="preserve">increased </w:t>
      </w:r>
      <w:r w:rsidR="00B15C2A" w:rsidRPr="008F1B7C">
        <w:t xml:space="preserve">expected </w:t>
      </w:r>
      <w:r w:rsidRPr="008F1B7C">
        <w:t xml:space="preserve">benefits it </w:t>
      </w:r>
      <w:r w:rsidR="005202AC" w:rsidRPr="008F1B7C">
        <w:t xml:space="preserve">would </w:t>
      </w:r>
      <w:r w:rsidRPr="008F1B7C">
        <w:t xml:space="preserve">bring to superannuation members and the industry </w:t>
      </w:r>
      <w:proofErr w:type="gramStart"/>
      <w:r w:rsidRPr="008F1B7C">
        <w:t xml:space="preserve">as a whole </w:t>
      </w:r>
      <w:r w:rsidR="00AB402F" w:rsidRPr="008F1B7C">
        <w:t>are</w:t>
      </w:r>
      <w:proofErr w:type="gramEnd"/>
      <w:r w:rsidR="00AB402F" w:rsidRPr="008F1B7C">
        <w:t xml:space="preserve"> expected to materially </w:t>
      </w:r>
      <w:r w:rsidRPr="008F1B7C">
        <w:t xml:space="preserve">outweigh the </w:t>
      </w:r>
      <w:r w:rsidR="007C7D26" w:rsidRPr="008F1B7C">
        <w:t xml:space="preserve">additional </w:t>
      </w:r>
      <w:r w:rsidRPr="008F1B7C">
        <w:t>costs</w:t>
      </w:r>
      <w:r w:rsidR="00854866" w:rsidRPr="008F1B7C">
        <w:t>.</w:t>
      </w:r>
      <w:r w:rsidR="007C7D26" w:rsidRPr="008F1B7C">
        <w:rPr>
          <w:b/>
        </w:rPr>
        <w:t xml:space="preserve"> Therefore, </w:t>
      </w:r>
      <w:r w:rsidR="00BD3FC8" w:rsidRPr="008F1B7C">
        <w:rPr>
          <w:b/>
        </w:rPr>
        <w:t>O</w:t>
      </w:r>
      <w:r w:rsidR="007C7D26" w:rsidRPr="008F1B7C">
        <w:rPr>
          <w:b/>
        </w:rPr>
        <w:t xml:space="preserve">ption 3 has a </w:t>
      </w:r>
      <w:r w:rsidR="00B90F32" w:rsidRPr="008F1B7C">
        <w:rPr>
          <w:b/>
        </w:rPr>
        <w:t xml:space="preserve">substantial </w:t>
      </w:r>
      <w:r w:rsidR="007C7D26" w:rsidRPr="008F1B7C">
        <w:rPr>
          <w:b/>
        </w:rPr>
        <w:t>net benefit.</w:t>
      </w:r>
    </w:p>
    <w:p w14:paraId="100282B8" w14:textId="6E745B63" w:rsidR="001418CA" w:rsidRPr="008F1B7C" w:rsidRDefault="001418CA" w:rsidP="009356A1">
      <w:bookmarkStart w:id="85" w:name="_Toc56693575"/>
      <w:bookmarkStart w:id="86" w:name="_Toc56678095"/>
      <w:bookmarkEnd w:id="84"/>
      <w:r w:rsidRPr="008F1B7C">
        <w:rPr>
          <w:b/>
        </w:rPr>
        <w:t xml:space="preserve">Option 4 - </w:t>
      </w:r>
      <w:r w:rsidR="00FE71D2" w:rsidRPr="008F1B7C">
        <w:rPr>
          <w:b/>
        </w:rPr>
        <w:t xml:space="preserve">Implement </w:t>
      </w:r>
      <w:r w:rsidR="00BD3FC8" w:rsidRPr="008F1B7C">
        <w:rPr>
          <w:b/>
        </w:rPr>
        <w:t>O</w:t>
      </w:r>
      <w:r w:rsidR="00FE71D2" w:rsidRPr="008F1B7C">
        <w:rPr>
          <w:b/>
        </w:rPr>
        <w:t>ption 3 with staged implementation</w:t>
      </w:r>
      <w:bookmarkEnd w:id="85"/>
      <w:bookmarkEnd w:id="86"/>
    </w:p>
    <w:p w14:paraId="5F710BE7" w14:textId="18B2B4A6" w:rsidR="001A0CCA" w:rsidRPr="008F1B7C" w:rsidRDefault="001418CA">
      <w:r w:rsidRPr="008F1B7C">
        <w:t xml:space="preserve">Option 4 involves </w:t>
      </w:r>
      <w:r w:rsidR="005202AC" w:rsidRPr="008F1B7C">
        <w:t xml:space="preserve">a staged </w:t>
      </w:r>
      <w:r w:rsidR="00B5529F" w:rsidRPr="008F1B7C">
        <w:t xml:space="preserve">implementation of </w:t>
      </w:r>
      <w:r w:rsidR="005202AC" w:rsidRPr="008F1B7C">
        <w:t xml:space="preserve">the reporting framework changes outlined in </w:t>
      </w:r>
      <w:r w:rsidR="00BD3FC8" w:rsidRPr="008F1B7C">
        <w:t>O</w:t>
      </w:r>
      <w:r w:rsidR="00B5529F" w:rsidRPr="008F1B7C">
        <w:t>ption 3</w:t>
      </w:r>
      <w:r w:rsidR="005202AC" w:rsidRPr="008F1B7C">
        <w:t>,</w:t>
      </w:r>
      <w:r w:rsidR="00B5529F" w:rsidRPr="008F1B7C">
        <w:t xml:space="preserve"> </w:t>
      </w:r>
      <w:r w:rsidR="00BF7F7C" w:rsidRPr="008F1B7C">
        <w:t>with full reporting to commence in 2022/23</w:t>
      </w:r>
      <w:r w:rsidRPr="008F1B7C">
        <w:t xml:space="preserve">. Therefore, the drivers for benefits and disadvantages </w:t>
      </w:r>
      <w:r w:rsidR="00BF7F7C" w:rsidRPr="008F1B7C">
        <w:t xml:space="preserve">are aligned to those in </w:t>
      </w:r>
      <w:r w:rsidR="00BD3FC8" w:rsidRPr="008F1B7C">
        <w:t>O</w:t>
      </w:r>
      <w:r w:rsidR="00BF7F7C" w:rsidRPr="008F1B7C">
        <w:t>ption 3</w:t>
      </w:r>
      <w:r w:rsidRPr="008F1B7C">
        <w:t>.</w:t>
      </w:r>
    </w:p>
    <w:p w14:paraId="09F2DB0C" w14:textId="77ABEF60" w:rsidR="007433B7" w:rsidRPr="008F1B7C" w:rsidRDefault="007433B7">
      <w:r w:rsidRPr="008F1B7C">
        <w:t xml:space="preserve">Option </w:t>
      </w:r>
      <w:r w:rsidR="004C08A5" w:rsidRPr="008F1B7C">
        <w:t>4</w:t>
      </w:r>
      <w:r w:rsidRPr="008F1B7C">
        <w:t xml:space="preserve"> is the approach APRA proposed in March 2021 </w:t>
      </w:r>
      <w:r w:rsidR="00220D5B" w:rsidRPr="008F1B7C">
        <w:t>in the</w:t>
      </w:r>
      <w:r w:rsidRPr="008F1B7C">
        <w:t xml:space="preserve"> Response Paper and meets the required criteria for effective data provision and reporting as outlined in the previous section.</w:t>
      </w:r>
    </w:p>
    <w:p w14:paraId="40459BDA" w14:textId="4E8D6D96" w:rsidR="00565560" w:rsidRPr="008F1B7C" w:rsidRDefault="00565560">
      <w:pPr>
        <w:rPr>
          <w:b/>
        </w:rPr>
      </w:pPr>
      <w:r w:rsidRPr="008F1B7C">
        <w:rPr>
          <w:b/>
        </w:rPr>
        <w:t>B</w:t>
      </w:r>
      <w:r w:rsidR="001418CA" w:rsidRPr="008F1B7C">
        <w:rPr>
          <w:b/>
        </w:rPr>
        <w:t>enefits</w:t>
      </w:r>
    </w:p>
    <w:p w14:paraId="4E375A9B" w14:textId="2B692A3C" w:rsidR="004C08A5" w:rsidRPr="008F1B7C" w:rsidRDefault="00565560" w:rsidP="00E11B9C">
      <w:pPr>
        <w:spacing w:after="0"/>
      </w:pPr>
      <w:r w:rsidRPr="008F1B7C">
        <w:t>Option 4 delivers the same benefits as</w:t>
      </w:r>
      <w:r w:rsidR="000840E1" w:rsidRPr="008F1B7C">
        <w:t xml:space="preserve"> </w:t>
      </w:r>
      <w:r w:rsidR="00BD3FC8" w:rsidRPr="008F1B7C">
        <w:t>O</w:t>
      </w:r>
      <w:r w:rsidR="000840E1" w:rsidRPr="008F1B7C">
        <w:t>ption 3</w:t>
      </w:r>
      <w:r w:rsidR="00F165BD" w:rsidRPr="008F1B7C">
        <w:t>.</w:t>
      </w:r>
      <w:r w:rsidR="007433B7" w:rsidRPr="008F1B7C">
        <w:t xml:space="preserve"> </w:t>
      </w:r>
      <w:r w:rsidR="00F165BD" w:rsidRPr="008F1B7C">
        <w:t xml:space="preserve">In addition to these benefits, under </w:t>
      </w:r>
      <w:r w:rsidR="00BD3FC8" w:rsidRPr="008F1B7C">
        <w:t>O</w:t>
      </w:r>
      <w:r w:rsidR="00F165BD" w:rsidRPr="008F1B7C">
        <w:t>ption 4</w:t>
      </w:r>
      <w:r w:rsidR="004C08A5" w:rsidRPr="008F1B7C">
        <w:t>:</w:t>
      </w:r>
    </w:p>
    <w:p w14:paraId="5C26B88F" w14:textId="5C501690" w:rsidR="00F165BD" w:rsidRPr="008F1B7C" w:rsidRDefault="004C08A5" w:rsidP="00E11B9C">
      <w:pPr>
        <w:pStyle w:val="ListParagraph"/>
        <w:numPr>
          <w:ilvl w:val="0"/>
          <w:numId w:val="24"/>
        </w:numPr>
        <w:jc w:val="left"/>
      </w:pPr>
      <w:r w:rsidRPr="008F1B7C">
        <w:t>T</w:t>
      </w:r>
      <w:r w:rsidR="00F165BD" w:rsidRPr="008F1B7C">
        <w:t xml:space="preserve">he need for RSE licensees </w:t>
      </w:r>
      <w:r w:rsidR="005202AC" w:rsidRPr="008F1B7C">
        <w:t>to re</w:t>
      </w:r>
      <w:r w:rsidR="00AB402F" w:rsidRPr="008F1B7C">
        <w:t>-</w:t>
      </w:r>
      <w:r w:rsidR="005202AC" w:rsidRPr="008F1B7C">
        <w:t>categorise</w:t>
      </w:r>
      <w:r w:rsidR="00F165BD" w:rsidRPr="008F1B7C">
        <w:t xml:space="preserve"> existing data for the initial reporting periods </w:t>
      </w:r>
      <w:r w:rsidR="002978D3" w:rsidRPr="008F1B7C">
        <w:t>would</w:t>
      </w:r>
      <w:r w:rsidR="00F165BD" w:rsidRPr="008F1B7C">
        <w:t xml:space="preserve"> be substantially reduced.</w:t>
      </w:r>
    </w:p>
    <w:p w14:paraId="5EBA0852" w14:textId="077E8CE6" w:rsidR="001418CA" w:rsidRPr="008F1B7C" w:rsidRDefault="00F165BD" w:rsidP="00E11B9C">
      <w:pPr>
        <w:pStyle w:val="ListParagraph"/>
        <w:numPr>
          <w:ilvl w:val="0"/>
          <w:numId w:val="24"/>
        </w:numPr>
        <w:jc w:val="left"/>
      </w:pPr>
      <w:r w:rsidRPr="008F1B7C">
        <w:t xml:space="preserve">The </w:t>
      </w:r>
      <w:r w:rsidR="001A0CCA" w:rsidRPr="008F1B7C">
        <w:t>burden for superannuation entities to develop and deliver full reporting in 2021</w:t>
      </w:r>
      <w:r w:rsidRPr="008F1B7C">
        <w:t xml:space="preserve"> </w:t>
      </w:r>
      <w:r w:rsidR="002978D3" w:rsidRPr="008F1B7C">
        <w:t xml:space="preserve">would </w:t>
      </w:r>
      <w:r w:rsidRPr="008F1B7C">
        <w:t xml:space="preserve">also </w:t>
      </w:r>
      <w:r w:rsidR="002978D3" w:rsidRPr="008F1B7C">
        <w:t xml:space="preserve">be </w:t>
      </w:r>
      <w:r w:rsidRPr="008F1B7C">
        <w:t>reduced overall</w:t>
      </w:r>
      <w:r w:rsidR="00AB402F" w:rsidRPr="008F1B7C">
        <w:t>,</w:t>
      </w:r>
      <w:r w:rsidRPr="008F1B7C">
        <w:t xml:space="preserve"> with the delayed introduction of new reporting for investments.</w:t>
      </w:r>
      <w:r w:rsidR="00560F2C" w:rsidRPr="008F1B7C">
        <w:t xml:space="preserve"> RSE licensees would be able to stagger the cost of implementation over </w:t>
      </w:r>
      <w:r w:rsidR="00560F2C" w:rsidRPr="008F1B7C">
        <w:lastRenderedPageBreak/>
        <w:t xml:space="preserve">a longer </w:t>
      </w:r>
      <w:proofErr w:type="gramStart"/>
      <w:r w:rsidR="00560F2C" w:rsidRPr="008F1B7C">
        <w:t>time period</w:t>
      </w:r>
      <w:proofErr w:type="gramEnd"/>
      <w:r w:rsidR="00560F2C" w:rsidRPr="008F1B7C">
        <w:t xml:space="preserve">. Staggering the </w:t>
      </w:r>
      <w:r w:rsidR="00A764A0" w:rsidRPr="008F1B7C">
        <w:t xml:space="preserve">implementation </w:t>
      </w:r>
      <w:r w:rsidR="00560F2C" w:rsidRPr="008F1B7C">
        <w:t>would free up resources to spend</w:t>
      </w:r>
      <w:r w:rsidR="00A764A0" w:rsidRPr="008F1B7C">
        <w:t xml:space="preserve"> time</w:t>
      </w:r>
      <w:r w:rsidR="00560F2C" w:rsidRPr="008F1B7C">
        <w:t xml:space="preserve"> on other initiatives, including those that would improve member outcomes.</w:t>
      </w:r>
    </w:p>
    <w:p w14:paraId="3202A713" w14:textId="2F3E0C93" w:rsidR="001418CA" w:rsidRPr="008F1B7C" w:rsidRDefault="005E6808">
      <w:r w:rsidRPr="008F1B7C">
        <w:rPr>
          <w:b/>
        </w:rPr>
        <w:t>D</w:t>
      </w:r>
      <w:r w:rsidR="001418CA" w:rsidRPr="008F1B7C">
        <w:rPr>
          <w:b/>
        </w:rPr>
        <w:t>isadvantages</w:t>
      </w:r>
    </w:p>
    <w:p w14:paraId="7EB42F0D" w14:textId="6A36AF7E" w:rsidR="00494603" w:rsidRPr="008F1B7C" w:rsidRDefault="00494603" w:rsidP="005139E3">
      <w:pPr>
        <w:pStyle w:val="ListParagraph"/>
        <w:numPr>
          <w:ilvl w:val="0"/>
          <w:numId w:val="24"/>
        </w:numPr>
      </w:pPr>
      <w:r w:rsidRPr="008F1B7C">
        <w:t xml:space="preserve">As per </w:t>
      </w:r>
      <w:r w:rsidR="00BD3FC8" w:rsidRPr="008F1B7C">
        <w:t>O</w:t>
      </w:r>
      <w:r w:rsidRPr="008F1B7C">
        <w:t xml:space="preserve">ption 3, the reporting </w:t>
      </w:r>
      <w:r w:rsidR="00B460E0" w:rsidRPr="008F1B7C">
        <w:t xml:space="preserve">costs </w:t>
      </w:r>
      <w:r w:rsidRPr="008F1B7C">
        <w:t xml:space="preserve">for superannuation entities </w:t>
      </w:r>
      <w:r w:rsidR="002E6D45" w:rsidRPr="008F1B7C">
        <w:t xml:space="preserve">would </w:t>
      </w:r>
      <w:r w:rsidRPr="008F1B7C">
        <w:t>increase, and th</w:t>
      </w:r>
      <w:r w:rsidR="00220D5B" w:rsidRPr="008F1B7C">
        <w:t>ese costs</w:t>
      </w:r>
      <w:r w:rsidRPr="008F1B7C">
        <w:t xml:space="preserve"> </w:t>
      </w:r>
      <w:r w:rsidR="002978D3" w:rsidRPr="008F1B7C">
        <w:t xml:space="preserve">would </w:t>
      </w:r>
      <w:r w:rsidRPr="008F1B7C">
        <w:t>ultimately be passed onto members.</w:t>
      </w:r>
    </w:p>
    <w:p w14:paraId="2AD04744" w14:textId="4EF765B1" w:rsidR="001418CA" w:rsidRPr="008F1B7C" w:rsidRDefault="00B460E0" w:rsidP="005139E3">
      <w:pPr>
        <w:pStyle w:val="ListParagraph"/>
        <w:numPr>
          <w:ilvl w:val="0"/>
          <w:numId w:val="24"/>
        </w:numPr>
      </w:pPr>
      <w:r w:rsidRPr="008F1B7C">
        <w:t xml:space="preserve">Under </w:t>
      </w:r>
      <w:r w:rsidR="00BD3FC8" w:rsidRPr="008F1B7C">
        <w:t>O</w:t>
      </w:r>
      <w:r w:rsidRPr="008F1B7C">
        <w:t xml:space="preserve">ption 4, while most data </w:t>
      </w:r>
      <w:r w:rsidR="002E6D45" w:rsidRPr="008F1B7C">
        <w:t xml:space="preserve">would </w:t>
      </w:r>
      <w:r w:rsidRPr="008F1B7C">
        <w:t xml:space="preserve">begin being reported in late 2021, </w:t>
      </w:r>
      <w:r w:rsidR="000840E1" w:rsidRPr="008F1B7C">
        <w:t xml:space="preserve">APRA and </w:t>
      </w:r>
      <w:r w:rsidR="00E95147" w:rsidRPr="008F1B7C">
        <w:t>other stakeholder</w:t>
      </w:r>
      <w:r w:rsidR="00AB402F" w:rsidRPr="008F1B7C">
        <w:t>s</w:t>
      </w:r>
      <w:r w:rsidR="000840E1" w:rsidRPr="008F1B7C">
        <w:t xml:space="preserve"> </w:t>
      </w:r>
      <w:r w:rsidR="002978D3" w:rsidRPr="008F1B7C">
        <w:t xml:space="preserve">would </w:t>
      </w:r>
      <w:r w:rsidR="000840E1" w:rsidRPr="008F1B7C">
        <w:t>not</w:t>
      </w:r>
      <w:r w:rsidR="00E95147" w:rsidRPr="008F1B7C">
        <w:t xml:space="preserve"> receive</w:t>
      </w:r>
      <w:r w:rsidR="000840E1" w:rsidRPr="008F1B7C">
        <w:t xml:space="preserve"> </w:t>
      </w:r>
      <w:r w:rsidR="00E95147" w:rsidRPr="008F1B7C">
        <w:t xml:space="preserve">the </w:t>
      </w:r>
      <w:r w:rsidR="000840E1" w:rsidRPr="008F1B7C">
        <w:t>full data until 2022/23.</w:t>
      </w:r>
    </w:p>
    <w:p w14:paraId="43A7837B" w14:textId="77777777" w:rsidR="001418CA" w:rsidRPr="008F1B7C" w:rsidRDefault="001418CA">
      <w:pPr>
        <w:rPr>
          <w:b/>
        </w:rPr>
      </w:pPr>
      <w:r w:rsidRPr="008F1B7C">
        <w:rPr>
          <w:b/>
        </w:rPr>
        <w:t>Regulatory costs</w:t>
      </w:r>
    </w:p>
    <w:p w14:paraId="77518CC5" w14:textId="02E65BE8" w:rsidR="00AD7D97" w:rsidRPr="008F1B7C" w:rsidRDefault="001418CA" w:rsidP="00AD7D97">
      <w:r w:rsidRPr="008F1B7C">
        <w:t xml:space="preserve">Should </w:t>
      </w:r>
      <w:r w:rsidR="002978D3" w:rsidRPr="008F1B7C">
        <w:t xml:space="preserve">APRA </w:t>
      </w:r>
      <w:r w:rsidRPr="008F1B7C">
        <w:t xml:space="preserve">implement </w:t>
      </w:r>
      <w:r w:rsidR="00277C51" w:rsidRPr="008F1B7C">
        <w:t>O</w:t>
      </w:r>
      <w:r w:rsidRPr="008F1B7C">
        <w:t>ption 4, additional regulatory costs would be imposed on</w:t>
      </w:r>
      <w:r w:rsidR="00B027A2" w:rsidRPr="008F1B7C">
        <w:t xml:space="preserve"> RSE licensees</w:t>
      </w:r>
      <w:r w:rsidRPr="008F1B7C">
        <w:t xml:space="preserve">. As with </w:t>
      </w:r>
      <w:r w:rsidR="00277C51" w:rsidRPr="008F1B7C">
        <w:t>O</w:t>
      </w:r>
      <w:r w:rsidRPr="008F1B7C">
        <w:t xml:space="preserve">ption 2 and </w:t>
      </w:r>
      <w:r w:rsidR="00277C51" w:rsidRPr="008F1B7C">
        <w:t>O</w:t>
      </w:r>
      <w:r w:rsidRPr="008F1B7C">
        <w:t xml:space="preserve">ption 3, these costs are expected to include upfront costs to understand the new requirements, update systems, policies, and train staff. </w:t>
      </w:r>
      <w:r w:rsidR="00AD7D97" w:rsidRPr="008F1B7C">
        <w:t>There would also be ongoing costs to compile and report the data for the expanded population each quarter.</w:t>
      </w:r>
    </w:p>
    <w:p w14:paraId="61E2131C" w14:textId="5A6093A5" w:rsidR="006D17EE" w:rsidRPr="008F1B7C" w:rsidRDefault="00AD7D97" w:rsidP="00AD7D97">
      <w:r w:rsidRPr="008F1B7C">
        <w:t xml:space="preserve">The upfront costs for </w:t>
      </w:r>
      <w:r w:rsidR="00277C51" w:rsidRPr="008F1B7C">
        <w:t>O</w:t>
      </w:r>
      <w:r w:rsidRPr="008F1B7C">
        <w:t>ption 4 would be split over two years, with some increase in costs to provide legal advice</w:t>
      </w:r>
      <w:r w:rsidR="006D17EE" w:rsidRPr="008F1B7C">
        <w:t>, project support</w:t>
      </w:r>
      <w:r w:rsidRPr="008F1B7C">
        <w:t xml:space="preserve"> and training over a longer period expected to be offset by the reduction in costs</w:t>
      </w:r>
      <w:r w:rsidR="006D17EE" w:rsidRPr="008F1B7C">
        <w:t xml:space="preserve"> delivered by:</w:t>
      </w:r>
    </w:p>
    <w:p w14:paraId="7064D12F" w14:textId="403C04B7" w:rsidR="006D17EE" w:rsidRPr="008F1B7C" w:rsidRDefault="006D17EE" w:rsidP="005139E3">
      <w:pPr>
        <w:pStyle w:val="ListParagraph"/>
        <w:numPr>
          <w:ilvl w:val="0"/>
          <w:numId w:val="21"/>
        </w:numPr>
      </w:pPr>
      <w:r w:rsidRPr="008F1B7C">
        <w:t>not having to</w:t>
      </w:r>
      <w:r w:rsidR="00AD7D97" w:rsidRPr="008F1B7C">
        <w:t xml:space="preserve"> re</w:t>
      </w:r>
      <w:r w:rsidR="00AB402F" w:rsidRPr="008F1B7C">
        <w:t>-</w:t>
      </w:r>
      <w:r w:rsidR="00AD7D97" w:rsidRPr="008F1B7C">
        <w:t xml:space="preserve">categorise expense data for prior periods, instead focusing on building processes to capture the new classifications going forward. </w:t>
      </w:r>
    </w:p>
    <w:p w14:paraId="221E07EB" w14:textId="5BC91E40" w:rsidR="00AD7D97" w:rsidRPr="008F1B7C" w:rsidRDefault="00AD7D97" w:rsidP="005139E3">
      <w:pPr>
        <w:pStyle w:val="ListParagraph"/>
        <w:numPr>
          <w:ilvl w:val="0"/>
          <w:numId w:val="21"/>
        </w:numPr>
      </w:pPr>
      <w:r w:rsidRPr="008F1B7C">
        <w:t>longer lead time to put in place downstream collection of asset allocation characteristics.</w:t>
      </w:r>
    </w:p>
    <w:p w14:paraId="79734251" w14:textId="4FE59578" w:rsidR="00D8645E" w:rsidRPr="008F1B7C" w:rsidRDefault="00D8645E" w:rsidP="00077132">
      <w:r w:rsidRPr="008F1B7C">
        <w:t xml:space="preserve">Using the regulatory burden measurement framework, it has been estimated that </w:t>
      </w:r>
      <w:r w:rsidR="00277C51" w:rsidRPr="008F1B7C">
        <w:t>O</w:t>
      </w:r>
      <w:r w:rsidRPr="008F1B7C">
        <w:t xml:space="preserve">ption </w:t>
      </w:r>
      <w:r w:rsidR="00AB402F" w:rsidRPr="008F1B7C">
        <w:t>4</w:t>
      </w:r>
      <w:r w:rsidRPr="008F1B7C">
        <w:t xml:space="preserve"> would increase compliance costs for the industry by $89 million in year one, $68 million in year two (deferred upfront costs of $22 million plus $46 million in ongoing costs) and $46 million per annum thereafter</w:t>
      </w:r>
      <w:r w:rsidR="00DD00EB" w:rsidRPr="008F1B7C">
        <w:t xml:space="preserve">. </w:t>
      </w:r>
      <w:r w:rsidR="00C337C0" w:rsidRPr="008F1B7C">
        <w:t>Over 10 years t</w:t>
      </w:r>
      <w:r w:rsidR="00DD00EB" w:rsidRPr="008F1B7C">
        <w:t xml:space="preserve">his represents </w:t>
      </w:r>
      <w:r w:rsidRPr="008F1B7C">
        <w:t>a</w:t>
      </w:r>
      <w:r w:rsidR="009A58CE" w:rsidRPr="008F1B7C">
        <w:t xml:space="preserve"> total</w:t>
      </w:r>
      <w:r w:rsidRPr="008F1B7C">
        <w:t xml:space="preserve"> </w:t>
      </w:r>
      <w:r w:rsidR="009A58CE" w:rsidRPr="008F1B7C">
        <w:t>increase</w:t>
      </w:r>
      <w:r w:rsidRPr="008F1B7C">
        <w:t xml:space="preserve"> of $52 million per year</w:t>
      </w:r>
      <w:r w:rsidR="00DD00EB" w:rsidRPr="008F1B7C">
        <w:t xml:space="preserve"> </w:t>
      </w:r>
      <w:r w:rsidR="006F5DC2" w:rsidRPr="008F1B7C">
        <w:t xml:space="preserve">or $511,000 per year per RSE </w:t>
      </w:r>
      <w:r w:rsidR="003730E0" w:rsidRPr="008F1B7C">
        <w:t>licensee</w:t>
      </w:r>
      <w:r w:rsidR="005F2BBE" w:rsidRPr="008F1B7C">
        <w:t xml:space="preserve">, or $2.13 per member (based on </w:t>
      </w:r>
      <w:proofErr w:type="gramStart"/>
      <w:r w:rsidR="005F2BBE" w:rsidRPr="008F1B7C">
        <w:t>22.5 million member</w:t>
      </w:r>
      <w:proofErr w:type="gramEnd"/>
      <w:r w:rsidR="005F2BBE" w:rsidRPr="008F1B7C">
        <w:t xml:space="preserve"> accounts in APRA regulated funds at June 2020)</w:t>
      </w:r>
      <w:r w:rsidRPr="008F1B7C">
        <w:t>.</w:t>
      </w:r>
    </w:p>
    <w:p w14:paraId="05BB6178" w14:textId="35A3EB1F" w:rsidR="001418CA" w:rsidRPr="008F1B7C" w:rsidRDefault="001418CA" w:rsidP="00B308B7">
      <w:pPr>
        <w:jc w:val="both"/>
        <w:rPr>
          <w:rFonts w:ascii="Arial" w:eastAsiaTheme="minorEastAsia" w:hAnsi="Arial" w:cs="Arial"/>
        </w:rPr>
      </w:pPr>
      <w:r w:rsidRPr="008F1B7C">
        <w:rPr>
          <w:rFonts w:ascii="Arial" w:eastAsiaTheme="minorEastAsia" w:hAnsi="Arial" w:cs="Arial"/>
        </w:rPr>
        <w:t xml:space="preserve">Table </w:t>
      </w:r>
      <w:r w:rsidR="004835E8" w:rsidRPr="008F1B7C">
        <w:rPr>
          <w:rFonts w:ascii="Arial" w:eastAsiaTheme="minorEastAsia" w:hAnsi="Arial" w:cs="Arial"/>
        </w:rPr>
        <w:t>3</w:t>
      </w:r>
      <w:r w:rsidRPr="008F1B7C">
        <w:rPr>
          <w:rFonts w:ascii="Arial" w:eastAsiaTheme="minorEastAsia" w:hAnsi="Arial" w:cs="Arial"/>
        </w:rPr>
        <w:t xml:space="preserve">: Regulatory burden estimate (RBE) table (see Appendix </w:t>
      </w:r>
      <w:r w:rsidR="00CB5BF6" w:rsidRPr="008F1B7C">
        <w:rPr>
          <w:rFonts w:ascii="Arial" w:eastAsiaTheme="minorEastAsia" w:hAnsi="Arial" w:cs="Arial"/>
        </w:rPr>
        <w:t>D</w:t>
      </w:r>
      <w:r w:rsidRPr="008F1B7C">
        <w:rPr>
          <w:rFonts w:ascii="Arial" w:eastAsiaTheme="minorEastAsia" w:hAnsi="Arial" w:cs="Arial"/>
        </w:rPr>
        <w:t xml:space="preserve"> for further detail)</w:t>
      </w:r>
    </w:p>
    <w:tbl>
      <w:tblPr>
        <w:tblStyle w:val="LightGrid-Accent2"/>
        <w:tblW w:w="936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Caption w:val="Regulatory burden estimate table"/>
        <w:tblDescription w:val="Template for the Regulatory burden estimate table"/>
      </w:tblPr>
      <w:tblGrid>
        <w:gridCol w:w="1871"/>
        <w:gridCol w:w="1413"/>
        <w:gridCol w:w="1277"/>
        <w:gridCol w:w="1277"/>
        <w:gridCol w:w="1761"/>
        <w:gridCol w:w="1761"/>
      </w:tblGrid>
      <w:tr w:rsidR="001418CA" w:rsidRPr="008F1B7C" w14:paraId="365EBD92" w14:textId="77777777" w:rsidTr="001418C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6"/>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FFFFFF" w:themeFill="background1"/>
            <w:noWrap/>
            <w:hideMark/>
          </w:tcPr>
          <w:p w14:paraId="0096DB11" w14:textId="43135AA9" w:rsidR="001418CA" w:rsidRPr="008F1B7C" w:rsidRDefault="001418CA">
            <w:pPr>
              <w:spacing w:before="120" w:after="120"/>
              <w:rPr>
                <w:rFonts w:ascii="Arial" w:hAnsi="Arial" w:cs="Arial"/>
                <w:sz w:val="20"/>
                <w:szCs w:val="20"/>
              </w:rPr>
            </w:pPr>
            <w:r w:rsidRPr="008F1B7C">
              <w:rPr>
                <w:rFonts w:ascii="Arial" w:hAnsi="Arial" w:cs="Arial"/>
                <w:sz w:val="20"/>
                <w:szCs w:val="20"/>
              </w:rPr>
              <w:t>Average annual regulatory costs (</w:t>
            </w:r>
            <w:r w:rsidR="007066C4" w:rsidRPr="008F1B7C">
              <w:rPr>
                <w:rFonts w:ascii="Arial" w:hAnsi="Arial" w:cs="Arial"/>
                <w:sz w:val="20"/>
                <w:szCs w:val="20"/>
              </w:rPr>
              <w:t xml:space="preserve">change </w:t>
            </w:r>
            <w:r w:rsidRPr="008F1B7C">
              <w:rPr>
                <w:rFonts w:ascii="Arial" w:hAnsi="Arial" w:cs="Arial"/>
                <w:sz w:val="20"/>
                <w:szCs w:val="20"/>
              </w:rPr>
              <w:t>from business as usual)</w:t>
            </w:r>
          </w:p>
        </w:tc>
      </w:tr>
      <w:tr w:rsidR="001418CA" w:rsidRPr="008F1B7C" w14:paraId="1C6932EF" w14:textId="77777777" w:rsidTr="001418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6" w:space="0" w:color="000000" w:themeColor="text1"/>
              <w:left w:val="single" w:sz="8" w:space="0" w:color="000000" w:themeColor="text1"/>
              <w:bottom w:val="single" w:sz="4" w:space="0" w:color="auto"/>
              <w:right w:val="single" w:sz="6" w:space="0" w:color="000000" w:themeColor="text1"/>
            </w:tcBorders>
            <w:shd w:val="clear" w:color="auto" w:fill="FFFFFF" w:themeFill="background1"/>
            <w:noWrap/>
            <w:hideMark/>
          </w:tcPr>
          <w:p w14:paraId="6B9B4BD3" w14:textId="77777777" w:rsidR="001418CA" w:rsidRPr="008F1B7C" w:rsidRDefault="001418CA" w:rsidP="00D84488">
            <w:pPr>
              <w:spacing w:before="120" w:after="120"/>
              <w:rPr>
                <w:rFonts w:ascii="Arial" w:hAnsi="Arial" w:cs="Arial"/>
                <w:sz w:val="20"/>
                <w:szCs w:val="20"/>
              </w:rPr>
            </w:pPr>
            <w:r w:rsidRPr="008F1B7C">
              <w:rPr>
                <w:rFonts w:ascii="Arial" w:hAnsi="Arial" w:cs="Arial"/>
                <w:sz w:val="20"/>
                <w:szCs w:val="20"/>
              </w:rPr>
              <w:t xml:space="preserve">Change in costs </w:t>
            </w:r>
          </w:p>
        </w:tc>
        <w:tc>
          <w:tcPr>
            <w:tcW w:w="1413"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3FB8D563"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0"/>
                <w:szCs w:val="20"/>
              </w:rPr>
            </w:pPr>
            <w:r w:rsidRPr="008F1B7C">
              <w:rPr>
                <w:rFonts w:ascii="Arial" w:eastAsiaTheme="majorEastAsia" w:hAnsi="Arial" w:cs="Arial"/>
                <w:bCs/>
                <w:sz w:val="20"/>
                <w:szCs w:val="20"/>
              </w:rPr>
              <w:t>Business</w:t>
            </w:r>
          </w:p>
        </w:tc>
        <w:tc>
          <w:tcPr>
            <w:tcW w:w="1276"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30DF1AFF"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0"/>
                <w:szCs w:val="20"/>
              </w:rPr>
            </w:pPr>
            <w:r w:rsidRPr="008F1B7C">
              <w:rPr>
                <w:rFonts w:ascii="Arial" w:hAnsi="Arial" w:cs="Arial"/>
                <w:sz w:val="20"/>
                <w:szCs w:val="20"/>
              </w:rPr>
              <w:t>Community organisations</w:t>
            </w:r>
          </w:p>
        </w:tc>
        <w:tc>
          <w:tcPr>
            <w:tcW w:w="1276"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7A1B6EEB"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1B7C">
              <w:rPr>
                <w:rFonts w:ascii="Arial" w:hAnsi="Arial" w:cs="Arial"/>
                <w:sz w:val="20"/>
                <w:szCs w:val="20"/>
              </w:rPr>
              <w:t>Individuals</w:t>
            </w:r>
          </w:p>
        </w:tc>
        <w:tc>
          <w:tcPr>
            <w:tcW w:w="1760" w:type="dxa"/>
            <w:tcBorders>
              <w:top w:val="single" w:sz="6" w:space="0" w:color="000000" w:themeColor="text1"/>
              <w:left w:val="single" w:sz="6" w:space="0" w:color="000000" w:themeColor="text1"/>
              <w:bottom w:val="single" w:sz="4" w:space="0" w:color="000000" w:themeColor="text1"/>
              <w:right w:val="single" w:sz="6" w:space="0" w:color="000000" w:themeColor="text1"/>
            </w:tcBorders>
            <w:shd w:val="clear" w:color="auto" w:fill="FFFFFF" w:themeFill="background1"/>
            <w:noWrap/>
            <w:hideMark/>
          </w:tcPr>
          <w:p w14:paraId="097B15C0"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1B7C">
              <w:rPr>
                <w:rFonts w:ascii="Arial" w:hAnsi="Arial" w:cs="Arial"/>
                <w:sz w:val="20"/>
                <w:szCs w:val="20"/>
              </w:rPr>
              <w:t>Total change in costs</w:t>
            </w:r>
          </w:p>
        </w:tc>
        <w:tc>
          <w:tcPr>
            <w:tcW w:w="1760" w:type="dxa"/>
            <w:tcBorders>
              <w:top w:val="single" w:sz="6" w:space="0" w:color="000000" w:themeColor="text1"/>
              <w:left w:val="single" w:sz="6" w:space="0" w:color="000000" w:themeColor="text1"/>
              <w:bottom w:val="single" w:sz="4" w:space="0" w:color="000000" w:themeColor="text1"/>
              <w:right w:val="single" w:sz="8" w:space="0" w:color="000000" w:themeColor="text1"/>
            </w:tcBorders>
            <w:shd w:val="clear" w:color="auto" w:fill="FFFFFF" w:themeFill="background1"/>
            <w:hideMark/>
          </w:tcPr>
          <w:p w14:paraId="51FE1B46" w14:textId="77777777" w:rsidR="001418CA" w:rsidRPr="008F1B7C" w:rsidRDefault="001418C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F1B7C">
              <w:rPr>
                <w:rFonts w:ascii="Arial" w:hAnsi="Arial" w:cs="Arial"/>
                <w:sz w:val="20"/>
                <w:szCs w:val="20"/>
              </w:rPr>
              <w:t>Average cost per business</w:t>
            </w:r>
          </w:p>
        </w:tc>
      </w:tr>
      <w:tr w:rsidR="001418CA" w:rsidRPr="008F1B7C" w14:paraId="4FCB7E2A" w14:textId="77777777" w:rsidTr="001418C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D3C0E3" w14:textId="77777777" w:rsidR="001418CA" w:rsidRPr="008F1B7C" w:rsidRDefault="001418CA" w:rsidP="00D84488">
            <w:pPr>
              <w:spacing w:before="120" w:after="120"/>
              <w:rPr>
                <w:rFonts w:ascii="Arial" w:hAnsi="Arial" w:cs="Arial"/>
                <w:sz w:val="20"/>
                <w:szCs w:val="20"/>
              </w:rPr>
            </w:pPr>
            <w:r w:rsidRPr="008F1B7C">
              <w:rPr>
                <w:rFonts w:ascii="Arial" w:hAnsi="Arial" w:cs="Arial"/>
                <w:sz w:val="20"/>
                <w:szCs w:val="20"/>
              </w:rPr>
              <w:t>Total, by sector</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9B7192" w14:textId="1C0CA360"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w:t>
            </w:r>
            <w:r w:rsidR="00490F33" w:rsidRPr="008F1B7C">
              <w:rPr>
                <w:rFonts w:ascii="Arial" w:hAnsi="Arial" w:cs="Arial"/>
                <w:sz w:val="20"/>
                <w:szCs w:val="20"/>
              </w:rPr>
              <w:t>52</w:t>
            </w:r>
            <w:r w:rsidRPr="008F1B7C">
              <w:rPr>
                <w:rFonts w:ascii="Arial" w:hAnsi="Arial" w:cs="Arial"/>
                <w:sz w:val="20"/>
                <w:szCs w:val="20"/>
              </w:rPr>
              <w:t xml:space="preserve"> million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60D536" w14:textId="77777777"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E07D77" w14:textId="77777777"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$0</w:t>
            </w:r>
          </w:p>
        </w:tc>
        <w:tc>
          <w:tcPr>
            <w:tcW w:w="1760"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noWrap/>
            <w:hideMark/>
          </w:tcPr>
          <w:p w14:paraId="363A1A05" w14:textId="2BE45392"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w:t>
            </w:r>
            <w:r w:rsidR="000C70AB" w:rsidRPr="008F1B7C">
              <w:rPr>
                <w:rFonts w:ascii="Arial" w:hAnsi="Arial" w:cs="Arial"/>
                <w:sz w:val="20"/>
                <w:szCs w:val="20"/>
              </w:rPr>
              <w:t>52</w:t>
            </w:r>
            <w:r w:rsidRPr="008F1B7C">
              <w:rPr>
                <w:rFonts w:ascii="Arial" w:hAnsi="Arial" w:cs="Arial"/>
                <w:sz w:val="20"/>
                <w:szCs w:val="20"/>
              </w:rPr>
              <w:t xml:space="preserve"> million</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E04F8D9" w14:textId="122B0F77" w:rsidR="001418CA" w:rsidRPr="008F1B7C" w:rsidRDefault="001418C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F1B7C">
              <w:rPr>
                <w:rFonts w:ascii="Arial" w:hAnsi="Arial" w:cs="Arial"/>
                <w:sz w:val="20"/>
                <w:szCs w:val="20"/>
              </w:rPr>
              <w:t>$</w:t>
            </w:r>
            <w:r w:rsidR="00490F33" w:rsidRPr="008F1B7C">
              <w:rPr>
                <w:rFonts w:ascii="Arial" w:hAnsi="Arial" w:cs="Arial"/>
                <w:sz w:val="20"/>
                <w:szCs w:val="20"/>
              </w:rPr>
              <w:t>51</w:t>
            </w:r>
            <w:r w:rsidR="00771319" w:rsidRPr="008F1B7C">
              <w:rPr>
                <w:rFonts w:ascii="Arial" w:hAnsi="Arial" w:cs="Arial"/>
                <w:sz w:val="20"/>
                <w:szCs w:val="20"/>
              </w:rPr>
              <w:t>1</w:t>
            </w:r>
            <w:r w:rsidR="006B544F" w:rsidRPr="008F1B7C">
              <w:rPr>
                <w:rFonts w:ascii="Arial" w:hAnsi="Arial" w:cs="Arial"/>
                <w:sz w:val="20"/>
                <w:szCs w:val="20"/>
              </w:rPr>
              <w:t>,000</w:t>
            </w:r>
          </w:p>
        </w:tc>
      </w:tr>
    </w:tbl>
    <w:p w14:paraId="543EB123" w14:textId="6C7FC586" w:rsidR="00367018" w:rsidRPr="008F1B7C" w:rsidRDefault="00FE7A17" w:rsidP="00B308B7">
      <w:pPr>
        <w:spacing w:before="240"/>
      </w:pPr>
      <w:r w:rsidRPr="008F1B7C">
        <w:t xml:space="preserve">There </w:t>
      </w:r>
      <w:r w:rsidR="002E6D45" w:rsidRPr="008F1B7C">
        <w:t xml:space="preserve">would </w:t>
      </w:r>
      <w:r w:rsidRPr="008F1B7C">
        <w:t>be additional costs to APRA in accepting and analysing additional data, as well as publishing industry insights. These are estimated at $</w:t>
      </w:r>
      <w:r w:rsidR="00C706D6" w:rsidRPr="008F1B7C">
        <w:t>3</w:t>
      </w:r>
      <w:r w:rsidRPr="008F1B7C">
        <w:t xml:space="preserve"> million </w:t>
      </w:r>
      <w:r w:rsidR="0012401F" w:rsidRPr="008F1B7C">
        <w:t>initial costs</w:t>
      </w:r>
      <w:r w:rsidRPr="008F1B7C">
        <w:t xml:space="preserve"> and $500,000 </w:t>
      </w:r>
      <w:r w:rsidR="0012401F" w:rsidRPr="008F1B7C">
        <w:t>annually</w:t>
      </w:r>
      <w:r w:rsidR="00A764A0" w:rsidRPr="008F1B7C">
        <w:t>, an average cost of $</w:t>
      </w:r>
      <w:r w:rsidR="00B90F32" w:rsidRPr="008F1B7C">
        <w:t>750</w:t>
      </w:r>
      <w:r w:rsidR="00A764A0" w:rsidRPr="008F1B7C">
        <w:t>,000 per year over 10 years</w:t>
      </w:r>
      <w:r w:rsidRPr="008F1B7C">
        <w:t>.</w:t>
      </w:r>
    </w:p>
    <w:p w14:paraId="100C198A" w14:textId="77777777" w:rsidR="00E261FD" w:rsidRPr="008F1B7C" w:rsidRDefault="00E261FD">
      <w:pPr>
        <w:jc w:val="both"/>
        <w:rPr>
          <w:b/>
        </w:rPr>
      </w:pPr>
      <w:r w:rsidRPr="008F1B7C">
        <w:rPr>
          <w:b/>
        </w:rPr>
        <w:br w:type="page"/>
      </w:r>
    </w:p>
    <w:p w14:paraId="08E7A474" w14:textId="54E27E17" w:rsidR="007C7D26" w:rsidRPr="008F1B7C" w:rsidRDefault="007C7D26">
      <w:pPr>
        <w:rPr>
          <w:b/>
        </w:rPr>
      </w:pPr>
      <w:r w:rsidRPr="008F1B7C">
        <w:rPr>
          <w:b/>
        </w:rPr>
        <w:lastRenderedPageBreak/>
        <w:t>Net benefit</w:t>
      </w:r>
    </w:p>
    <w:p w14:paraId="0A9BDABE" w14:textId="59019536" w:rsidR="00171196" w:rsidRPr="008F1B7C" w:rsidRDefault="00E81EB3">
      <w:r w:rsidRPr="008F1B7C">
        <w:t xml:space="preserve">The </w:t>
      </w:r>
      <w:r w:rsidR="001418CA" w:rsidRPr="008F1B7C">
        <w:t xml:space="preserve">benefits </w:t>
      </w:r>
      <w:r w:rsidR="00FE24AB" w:rsidRPr="008F1B7C">
        <w:t>outlined</w:t>
      </w:r>
      <w:r w:rsidRPr="008F1B7C">
        <w:t xml:space="preserve"> for </w:t>
      </w:r>
      <w:r w:rsidR="00277C51" w:rsidRPr="008F1B7C">
        <w:t>O</w:t>
      </w:r>
      <w:r w:rsidRPr="008F1B7C">
        <w:t>ption 3</w:t>
      </w:r>
      <w:r w:rsidR="00FE24AB" w:rsidRPr="008F1B7C">
        <w:t xml:space="preserve"> are also delivered under</w:t>
      </w:r>
      <w:r w:rsidR="001418CA" w:rsidRPr="008F1B7C">
        <w:t xml:space="preserve"> </w:t>
      </w:r>
      <w:r w:rsidR="00277C51" w:rsidRPr="008F1B7C">
        <w:t>O</w:t>
      </w:r>
      <w:r w:rsidR="001418CA" w:rsidRPr="008F1B7C">
        <w:t>ption 4</w:t>
      </w:r>
      <w:r w:rsidR="00FE24AB" w:rsidRPr="008F1B7C">
        <w:t xml:space="preserve">. In addition, </w:t>
      </w:r>
      <w:r w:rsidR="00277C51" w:rsidRPr="008F1B7C">
        <w:t>O</w:t>
      </w:r>
      <w:r w:rsidR="00FE24AB" w:rsidRPr="008F1B7C">
        <w:t>ption 4</w:t>
      </w:r>
      <w:r w:rsidR="001418CA" w:rsidRPr="008F1B7C">
        <w:t xml:space="preserve"> would provide </w:t>
      </w:r>
      <w:r w:rsidRPr="008F1B7C">
        <w:t>the benefit of easing the implementation burden of the new reporting standards on the superannuation industry</w:t>
      </w:r>
      <w:r w:rsidR="001418CA" w:rsidRPr="008F1B7C">
        <w:t xml:space="preserve">. </w:t>
      </w:r>
      <w:r w:rsidR="00C06572" w:rsidRPr="008F1B7C">
        <w:t xml:space="preserve">RSE licensees would be able to stagger the cost of implementation over a longer </w:t>
      </w:r>
      <w:proofErr w:type="gramStart"/>
      <w:r w:rsidR="00C06572" w:rsidRPr="008F1B7C">
        <w:t>time period</w:t>
      </w:r>
      <w:proofErr w:type="gramEnd"/>
      <w:r w:rsidR="00C06572" w:rsidRPr="008F1B7C">
        <w:t xml:space="preserve">. Staggering the spend would free up resources to spend on </w:t>
      </w:r>
      <w:r w:rsidR="00CD3910" w:rsidRPr="008F1B7C">
        <w:t xml:space="preserve">other </w:t>
      </w:r>
      <w:r w:rsidR="00401E20" w:rsidRPr="008F1B7C">
        <w:t>initiatives</w:t>
      </w:r>
      <w:r w:rsidR="00CD3910" w:rsidRPr="008F1B7C">
        <w:t>, including those that would</w:t>
      </w:r>
      <w:r w:rsidR="00401E20" w:rsidRPr="008F1B7C">
        <w:t xml:space="preserve"> improve</w:t>
      </w:r>
      <w:r w:rsidR="00C06572" w:rsidRPr="008F1B7C">
        <w:t xml:space="preserve"> member outcomes. </w:t>
      </w:r>
      <w:r w:rsidR="00401E20" w:rsidRPr="008F1B7C">
        <w:t xml:space="preserve">Although the regulatory costs are </w:t>
      </w:r>
      <w:proofErr w:type="gramStart"/>
      <w:r w:rsidR="00401E20" w:rsidRPr="008F1B7C">
        <w:t>similar to</w:t>
      </w:r>
      <w:proofErr w:type="gramEnd"/>
      <w:r w:rsidR="00401E20" w:rsidRPr="008F1B7C">
        <w:t xml:space="preserve"> </w:t>
      </w:r>
      <w:r w:rsidR="00277C51" w:rsidRPr="008F1B7C">
        <w:t>O</w:t>
      </w:r>
      <w:r w:rsidR="00401E20" w:rsidRPr="008F1B7C">
        <w:t xml:space="preserve">ption 3, the expected net benefit is therefore more than </w:t>
      </w:r>
      <w:r w:rsidR="00277C51" w:rsidRPr="008F1B7C">
        <w:t>O</w:t>
      </w:r>
      <w:r w:rsidR="00401E20" w:rsidRPr="008F1B7C">
        <w:t xml:space="preserve">ption 3. </w:t>
      </w:r>
      <w:r w:rsidR="001418CA" w:rsidRPr="008F1B7C">
        <w:rPr>
          <w:b/>
        </w:rPr>
        <w:t xml:space="preserve">Therefore, </w:t>
      </w:r>
      <w:r w:rsidR="00277C51" w:rsidRPr="008F1B7C">
        <w:rPr>
          <w:b/>
        </w:rPr>
        <w:t>O</w:t>
      </w:r>
      <w:r w:rsidRPr="008F1B7C">
        <w:rPr>
          <w:b/>
        </w:rPr>
        <w:t>ption 4</w:t>
      </w:r>
      <w:r w:rsidR="0091591A" w:rsidRPr="008F1B7C">
        <w:rPr>
          <w:b/>
        </w:rPr>
        <w:t xml:space="preserve"> </w:t>
      </w:r>
      <w:r w:rsidR="004E46EB" w:rsidRPr="008F1B7C">
        <w:rPr>
          <w:b/>
        </w:rPr>
        <w:t xml:space="preserve">has a similar </w:t>
      </w:r>
      <w:r w:rsidR="0059154A" w:rsidRPr="008F1B7C">
        <w:rPr>
          <w:b/>
        </w:rPr>
        <w:t xml:space="preserve">substantial </w:t>
      </w:r>
      <w:r w:rsidR="004E46EB" w:rsidRPr="008F1B7C">
        <w:rPr>
          <w:b/>
        </w:rPr>
        <w:t xml:space="preserve">net benefit to </w:t>
      </w:r>
      <w:r w:rsidR="00277C51" w:rsidRPr="008F1B7C">
        <w:rPr>
          <w:b/>
        </w:rPr>
        <w:t>O</w:t>
      </w:r>
      <w:r w:rsidR="004E46EB" w:rsidRPr="008F1B7C">
        <w:rPr>
          <w:b/>
        </w:rPr>
        <w:t xml:space="preserve">ption 3 </w:t>
      </w:r>
      <w:r w:rsidR="000B75B0" w:rsidRPr="008F1B7C">
        <w:rPr>
          <w:b/>
        </w:rPr>
        <w:t>with more manageable transition period for implementation</w:t>
      </w:r>
      <w:r w:rsidR="001418CA" w:rsidRPr="008F1B7C">
        <w:rPr>
          <w:b/>
        </w:rPr>
        <w:t>.</w:t>
      </w:r>
    </w:p>
    <w:p w14:paraId="5E7449FA" w14:textId="77777777" w:rsidR="001418CA" w:rsidRPr="008F1B7C" w:rsidRDefault="001418CA" w:rsidP="009356A1">
      <w:pPr>
        <w:pStyle w:val="Heading1"/>
      </w:pPr>
      <w:bookmarkStart w:id="87" w:name="_Toc56693576"/>
      <w:bookmarkStart w:id="88" w:name="_Toc56678096"/>
      <w:bookmarkStart w:id="89" w:name="_Toc75295631"/>
      <w:r w:rsidRPr="008F1B7C">
        <w:t>Consultation</w:t>
      </w:r>
      <w:bookmarkEnd w:id="83"/>
      <w:bookmarkEnd w:id="87"/>
      <w:bookmarkEnd w:id="88"/>
      <w:bookmarkEnd w:id="89"/>
    </w:p>
    <w:p w14:paraId="1382FC3C" w14:textId="540DFC36" w:rsidR="00623D3B" w:rsidRPr="008F1B7C" w:rsidRDefault="00623D3B" w:rsidP="009356A1">
      <w:pPr>
        <w:spacing w:before="240" w:after="0"/>
      </w:pPr>
      <w:r w:rsidRPr="008F1B7C">
        <w:t xml:space="preserve">APRA has developed the proposals and preferred option after extensive informal and formal consultation with </w:t>
      </w:r>
      <w:r w:rsidR="00505A75" w:rsidRPr="008F1B7C">
        <w:t>s</w:t>
      </w:r>
      <w:r w:rsidRPr="008F1B7C">
        <w:t xml:space="preserve">uperannuation entities, industry representative bodies, </w:t>
      </w:r>
      <w:r w:rsidR="00F3301E" w:rsidRPr="008F1B7C">
        <w:rPr>
          <w:rFonts w:ascii="Helvetica" w:hAnsi="Helvetica" w:cs="Helvetica"/>
          <w:color w:val="000000"/>
        </w:rPr>
        <w:t xml:space="preserve">the Australian </w:t>
      </w:r>
      <w:proofErr w:type="gramStart"/>
      <w:r w:rsidR="00F3301E" w:rsidRPr="008F1B7C">
        <w:rPr>
          <w:rFonts w:ascii="Helvetica" w:hAnsi="Helvetica" w:cs="Helvetica"/>
          <w:color w:val="000000"/>
        </w:rPr>
        <w:t>Securities</w:t>
      </w:r>
      <w:proofErr w:type="gramEnd"/>
      <w:r w:rsidR="00F3301E" w:rsidRPr="008F1B7C">
        <w:rPr>
          <w:rFonts w:ascii="Helvetica" w:hAnsi="Helvetica" w:cs="Helvetica"/>
          <w:color w:val="000000"/>
        </w:rPr>
        <w:t xml:space="preserve"> and Investments Commission (</w:t>
      </w:r>
      <w:r w:rsidRPr="008F1B7C">
        <w:t>ASIC</w:t>
      </w:r>
      <w:r w:rsidR="00F3301E" w:rsidRPr="008F1B7C">
        <w:t>)</w:t>
      </w:r>
      <w:r w:rsidRPr="008F1B7C">
        <w:t xml:space="preserve">, the </w:t>
      </w:r>
      <w:r w:rsidR="00F3301E" w:rsidRPr="008F1B7C">
        <w:t>Australian Bureau of Statistics (</w:t>
      </w:r>
      <w:r w:rsidRPr="008F1B7C">
        <w:t>ABS</w:t>
      </w:r>
      <w:r w:rsidR="00F3301E" w:rsidRPr="008F1B7C">
        <w:t>)</w:t>
      </w:r>
      <w:r w:rsidRPr="008F1B7C">
        <w:t xml:space="preserve"> and the </w:t>
      </w:r>
      <w:r w:rsidR="00F3301E" w:rsidRPr="008F1B7C">
        <w:rPr>
          <w:rFonts w:ascii="Helvetica" w:hAnsi="Helvetica" w:cs="Helvetica"/>
          <w:color w:val="000000"/>
        </w:rPr>
        <w:t>Australian Taxation Office (</w:t>
      </w:r>
      <w:r w:rsidRPr="008F1B7C">
        <w:t>ATO</w:t>
      </w:r>
      <w:r w:rsidR="00F3301E" w:rsidRPr="008F1B7C">
        <w:t>)</w:t>
      </w:r>
      <w:r w:rsidRPr="008F1B7C">
        <w:t>.</w:t>
      </w:r>
    </w:p>
    <w:p w14:paraId="23133914" w14:textId="19901BFF" w:rsidR="00623D3B" w:rsidRPr="008F1B7C" w:rsidRDefault="00623D3B" w:rsidP="009356A1">
      <w:pPr>
        <w:spacing w:before="240" w:after="0"/>
      </w:pPr>
      <w:bookmarkStart w:id="90" w:name="_Hlk73387240"/>
      <w:r w:rsidRPr="008F1B7C">
        <w:t>APRA’s formal public consultation on the specific proposals commenced i</w:t>
      </w:r>
      <w:r w:rsidRPr="008F1B7C">
        <w:rPr>
          <w:rFonts w:ascii="Helvetica" w:hAnsi="Helvetica"/>
        </w:rPr>
        <w:t xml:space="preserve">n November 2019. </w:t>
      </w:r>
      <w:r w:rsidR="00695ED2" w:rsidRPr="008F1B7C">
        <w:rPr>
          <w:rFonts w:ascii="Helvetica" w:hAnsi="Helvetica"/>
        </w:rPr>
        <w:t xml:space="preserve">This decision was informed using exploration of the problem statement and impact analysis which formed the basis for this RIS. </w:t>
      </w:r>
      <w:r w:rsidRPr="008F1B7C">
        <w:rPr>
          <w:rFonts w:ascii="Helvetica" w:hAnsi="Helvetica"/>
        </w:rPr>
        <w:t xml:space="preserve">APRA released a discussion paper outlining the scope, </w:t>
      </w:r>
      <w:proofErr w:type="gramStart"/>
      <w:r w:rsidRPr="008F1B7C">
        <w:rPr>
          <w:rFonts w:ascii="Helvetica" w:hAnsi="Helvetica"/>
        </w:rPr>
        <w:t>objectives</w:t>
      </w:r>
      <w:proofErr w:type="gramEnd"/>
      <w:r w:rsidRPr="008F1B7C">
        <w:rPr>
          <w:rFonts w:ascii="Helvetica" w:hAnsi="Helvetica"/>
        </w:rPr>
        <w:t xml:space="preserve"> and approach to the </w:t>
      </w:r>
      <w:r w:rsidR="002978D3" w:rsidRPr="008F1B7C">
        <w:rPr>
          <w:rFonts w:ascii="Helvetica" w:hAnsi="Helvetica"/>
        </w:rPr>
        <w:t>SDT project</w:t>
      </w:r>
      <w:r w:rsidRPr="008F1B7C">
        <w:rPr>
          <w:rFonts w:ascii="Helvetica" w:hAnsi="Helvetica"/>
        </w:rPr>
        <w:t>. Consultation on proposals under Phase 1 was done over three consultation periods supported by the release of consultation packages including topic papers, each covering a different aspect of the consultation. </w:t>
      </w:r>
      <w:r w:rsidRPr="008F1B7C">
        <w:t>The aim of this consultation was to obtain feedback on all aspects of the proposed changes from any interested stakeholders. APRA issued a media release</w:t>
      </w:r>
      <w:r w:rsidRPr="00635054">
        <w:rPr>
          <w:rStyle w:val="FootnoteReference"/>
        </w:rPr>
        <w:footnoteReference w:id="30"/>
      </w:r>
      <w:r w:rsidRPr="00635054">
        <w:t xml:space="preserve"> and sent an email to subscribers to its email alert service and to repr</w:t>
      </w:r>
      <w:r w:rsidRPr="008F1B7C">
        <w:t xml:space="preserve">esentatives from each </w:t>
      </w:r>
      <w:r w:rsidR="002978D3" w:rsidRPr="008F1B7C">
        <w:t>RSE licensee</w:t>
      </w:r>
      <w:r w:rsidRPr="008F1B7C">
        <w:t>.</w:t>
      </w:r>
      <w:bookmarkEnd w:id="90"/>
    </w:p>
    <w:p w14:paraId="51D6E967" w14:textId="0B7E9423" w:rsidR="00623D3B" w:rsidRPr="008F1B7C" w:rsidRDefault="00623D3B" w:rsidP="009356A1">
      <w:pPr>
        <w:spacing w:before="240" w:after="0"/>
      </w:pPr>
      <w:bookmarkStart w:id="91" w:name="_Hlk78815821"/>
      <w:r w:rsidRPr="008F1B7C">
        <w:t xml:space="preserve">Through the Phase 1 consultation process, APRA </w:t>
      </w:r>
      <w:r w:rsidR="00652AF3" w:rsidRPr="008F1B7C">
        <w:t xml:space="preserve">provided collection templates and </w:t>
      </w:r>
      <w:r w:rsidRPr="008F1B7C">
        <w:t>requested that entities submit pilot data</w:t>
      </w:r>
      <w:r w:rsidR="00652AF3" w:rsidRPr="008F1B7C">
        <w:t xml:space="preserve"> for the proposed collection</w:t>
      </w:r>
      <w:r w:rsidRPr="008F1B7C">
        <w:t xml:space="preserve"> to test and inform </w:t>
      </w:r>
      <w:r w:rsidR="00652AF3" w:rsidRPr="008F1B7C">
        <w:t xml:space="preserve">the availability of data and clarity of reporting </w:t>
      </w:r>
      <w:r w:rsidR="006635FB" w:rsidRPr="008F1B7C">
        <w:t>requirements</w:t>
      </w:r>
      <w:r w:rsidR="00652AF3" w:rsidRPr="008F1B7C">
        <w:t xml:space="preserve">. Issues identified through the pilot process resulted in refinement and clarification of reporting </w:t>
      </w:r>
      <w:r w:rsidR="006635FB" w:rsidRPr="008F1B7C">
        <w:t>requirements</w:t>
      </w:r>
      <w:r w:rsidRPr="008F1B7C">
        <w:t xml:space="preserve"> prior to finalising Phase 1 </w:t>
      </w:r>
      <w:r w:rsidR="00185C66" w:rsidRPr="008F1B7C">
        <w:t>data collection design to be reflected in finalised reporting standards</w:t>
      </w:r>
      <w:r w:rsidRPr="008F1B7C">
        <w:t>.</w:t>
      </w:r>
      <w:bookmarkEnd w:id="91"/>
      <w:r w:rsidRPr="008F1B7C">
        <w:t xml:space="preserve"> </w:t>
      </w:r>
      <w:proofErr w:type="gramStart"/>
      <w:r w:rsidRPr="008F1B7C">
        <w:t>Past experience</w:t>
      </w:r>
      <w:proofErr w:type="gramEnd"/>
      <w:r w:rsidR="00185C66" w:rsidRPr="008F1B7C">
        <w:t xml:space="preserve"> in data collection design and implementation</w:t>
      </w:r>
      <w:r w:rsidRPr="008F1B7C">
        <w:t xml:space="preserve"> has shown that the initial collection of data is where many implementation issues are </w:t>
      </w:r>
      <w:r w:rsidR="00154C9E" w:rsidRPr="008F1B7C">
        <w:t>identified</w:t>
      </w:r>
      <w:r w:rsidRPr="008F1B7C">
        <w:t>.  APRA has utilised pilot collections of data prior to the finalisation of reporting standards for other industries and these have proven to be useful in road-testing data items and definitions, refining discussion on proposed changes and assisting reporting entities in their implementation efforts.</w:t>
      </w:r>
    </w:p>
    <w:p w14:paraId="51D88FCD" w14:textId="504FDA83" w:rsidR="00623D3B" w:rsidRPr="008F1B7C" w:rsidRDefault="00623D3B" w:rsidP="009356A1">
      <w:pPr>
        <w:spacing w:before="240" w:after="0"/>
      </w:pPr>
      <w:r w:rsidRPr="008F1B7C">
        <w:t xml:space="preserve">Throughout the formal consultation period, APRA held </w:t>
      </w:r>
      <w:r w:rsidR="008D6ED6" w:rsidRPr="008F1B7C">
        <w:t>more than 20</w:t>
      </w:r>
      <w:r w:rsidRPr="008F1B7C">
        <w:t xml:space="preserve"> roundtable consultation sessions and working group meetings with industry, and informal meetings with RSE licensees. APRA released frequently asked questions (FAQs) and worked examples to address and provide clarification on issues raised by industry stakeholders.</w:t>
      </w:r>
    </w:p>
    <w:p w14:paraId="0EDDDC16" w14:textId="20D35191" w:rsidR="00185CBA" w:rsidRPr="008F1B7C" w:rsidRDefault="00185CBA" w:rsidP="00185CBA">
      <w:pPr>
        <w:spacing w:before="240" w:after="0"/>
        <w:rPr>
          <w:rFonts w:ascii="Helvetica" w:hAnsi="Helvetica" w:cs="Helvetica"/>
          <w:color w:val="000000"/>
        </w:rPr>
      </w:pPr>
      <w:bookmarkStart w:id="92" w:name="_Hlk78816290"/>
      <w:r w:rsidRPr="008F1B7C">
        <w:rPr>
          <w:rFonts w:ascii="Helvetica" w:hAnsi="Helvetica" w:cs="Helvetica"/>
          <w:color w:val="000000"/>
        </w:rPr>
        <w:t xml:space="preserve">APRA worked closely with other regulators, such as the ATO and ASIC to ensure changes to the superannuation data collection will also support their data needs in relation to superannuation, and to put in place data sharing arrangements to reduce burden on industry under the principle of ‘collect once and share’. </w:t>
      </w:r>
      <w:bookmarkEnd w:id="92"/>
      <w:r w:rsidRPr="008F1B7C">
        <w:rPr>
          <w:rFonts w:ascii="Helvetica" w:hAnsi="Helvetica" w:cs="Helvetica"/>
          <w:color w:val="000000"/>
        </w:rPr>
        <w:t xml:space="preserve">APRA also liaised with ASIC to ensure that the new reporting framework </w:t>
      </w:r>
      <w:r w:rsidR="00154C9E" w:rsidRPr="008F1B7C">
        <w:rPr>
          <w:rFonts w:ascii="Helvetica" w:hAnsi="Helvetica" w:cs="Helvetica"/>
          <w:color w:val="000000"/>
        </w:rPr>
        <w:t>aligns with the</w:t>
      </w:r>
      <w:r w:rsidRPr="008F1B7C">
        <w:rPr>
          <w:rFonts w:ascii="Helvetica" w:hAnsi="Helvetica" w:cs="Helvetica"/>
          <w:color w:val="000000"/>
        </w:rPr>
        <w:t xml:space="preserve"> fee and cost disclosure guidance provided in RG 97.</w:t>
      </w:r>
    </w:p>
    <w:p w14:paraId="33817F58" w14:textId="191EAEE8" w:rsidR="00623D3B" w:rsidRPr="008F1B7C" w:rsidRDefault="00623D3B" w:rsidP="009356A1">
      <w:pPr>
        <w:spacing w:before="240" w:after="0"/>
      </w:pPr>
      <w:r w:rsidRPr="008F1B7C">
        <w:lastRenderedPageBreak/>
        <w:t>On 7 November 2019</w:t>
      </w:r>
      <w:r w:rsidR="002978D3" w:rsidRPr="008F1B7C">
        <w:t>,</w:t>
      </w:r>
      <w:r w:rsidRPr="008F1B7C">
        <w:t xml:space="preserve"> APRA released the first consultation package on reporting requirements for the first phase of </w:t>
      </w:r>
      <w:r w:rsidR="00740C37" w:rsidRPr="008F1B7C">
        <w:t xml:space="preserve">the </w:t>
      </w:r>
      <w:r w:rsidRPr="008F1B7C">
        <w:t>SDT</w:t>
      </w:r>
      <w:r w:rsidR="00740C37" w:rsidRPr="008F1B7C">
        <w:t xml:space="preserve"> project</w:t>
      </w:r>
      <w:r w:rsidRPr="008F1B7C">
        <w:t>.</w:t>
      </w:r>
      <w:r w:rsidR="00522955" w:rsidRPr="008F1B7C">
        <w:t xml:space="preserve"> This </w:t>
      </w:r>
      <w:r w:rsidR="004F4B53" w:rsidRPr="008F1B7C">
        <w:t>covered</w:t>
      </w:r>
      <w:r w:rsidR="00522955" w:rsidRPr="008F1B7C">
        <w:t xml:space="preserve"> the topics of RSE structure and profile.</w:t>
      </w:r>
      <w:r w:rsidRPr="008F1B7C">
        <w:t xml:space="preserve"> Submissions on these proposals closed on 17 January 2020</w:t>
      </w:r>
      <w:r w:rsidRPr="00635054">
        <w:rPr>
          <w:rStyle w:val="FootnoteReference"/>
          <w:rFonts w:ascii="Arial" w:hAnsi="Arial"/>
        </w:rPr>
        <w:footnoteReference w:id="31"/>
      </w:r>
      <w:r w:rsidR="002978D3" w:rsidRPr="00635054">
        <w:t>.</w:t>
      </w:r>
    </w:p>
    <w:p w14:paraId="09FF2CF6" w14:textId="7AE3AFAE" w:rsidR="00623D3B" w:rsidRPr="008F1B7C" w:rsidRDefault="00623D3B" w:rsidP="009356A1">
      <w:pPr>
        <w:spacing w:before="240" w:after="0"/>
      </w:pPr>
      <w:r w:rsidRPr="008F1B7C">
        <w:t>On 19 December 2019</w:t>
      </w:r>
      <w:r w:rsidR="002978D3" w:rsidRPr="008F1B7C">
        <w:t>,</w:t>
      </w:r>
      <w:r w:rsidRPr="008F1B7C">
        <w:t xml:space="preserve"> APRA released a second consultation package on reporting requirements for the first phase of </w:t>
      </w:r>
      <w:r w:rsidR="00740C37" w:rsidRPr="008F1B7C">
        <w:t xml:space="preserve">the </w:t>
      </w:r>
      <w:r w:rsidRPr="008F1B7C">
        <w:t>SDT</w:t>
      </w:r>
      <w:r w:rsidR="00740C37" w:rsidRPr="008F1B7C">
        <w:t xml:space="preserve"> project</w:t>
      </w:r>
      <w:r w:rsidRPr="008F1B7C">
        <w:t xml:space="preserve">. This covered the topics of </w:t>
      </w:r>
      <w:r w:rsidR="00A51E54" w:rsidRPr="008F1B7C">
        <w:t>p</w:t>
      </w:r>
      <w:r w:rsidRPr="008F1B7C">
        <w:t xml:space="preserve">erformance and </w:t>
      </w:r>
      <w:r w:rsidR="00A51E54" w:rsidRPr="008F1B7C">
        <w:t>m</w:t>
      </w:r>
      <w:r w:rsidRPr="008F1B7C">
        <w:t xml:space="preserve">ember </w:t>
      </w:r>
      <w:r w:rsidR="00A51E54" w:rsidRPr="008F1B7C">
        <w:t>a</w:t>
      </w:r>
      <w:r w:rsidRPr="008F1B7C">
        <w:t>ccounts</w:t>
      </w:r>
      <w:r w:rsidR="00A51E54" w:rsidRPr="008F1B7C">
        <w:t>.</w:t>
      </w:r>
      <w:r w:rsidRPr="008F1B7C">
        <w:t xml:space="preserve"> Submissions on these proposals closed on 26 March 2020</w:t>
      </w:r>
      <w:r w:rsidRPr="00635054">
        <w:rPr>
          <w:rStyle w:val="FootnoteReference"/>
        </w:rPr>
        <w:footnoteReference w:id="32"/>
      </w:r>
      <w:r w:rsidR="002E28FA" w:rsidRPr="00635054">
        <w:t>.</w:t>
      </w:r>
    </w:p>
    <w:p w14:paraId="1D6C929D" w14:textId="47A919C2" w:rsidR="00623D3B" w:rsidRPr="008F1B7C" w:rsidRDefault="00623D3B">
      <w:pPr>
        <w:spacing w:before="240" w:after="0"/>
        <w:rPr>
          <w:rFonts w:ascii="Helvetica" w:hAnsi="Helvetica"/>
        </w:rPr>
      </w:pPr>
      <w:r w:rsidRPr="008F1B7C">
        <w:rPr>
          <w:rFonts w:ascii="Helvetica" w:hAnsi="Helvetica"/>
        </w:rPr>
        <w:t>On 28 August 2020, after a pause in the planned consultation timeline to allow industry to focus efforts on responding to the COVID-19 pandemic, APRA published the final consultation package on reporting requirements for the first phase of</w:t>
      </w:r>
      <w:r w:rsidR="00740C37" w:rsidRPr="008F1B7C">
        <w:rPr>
          <w:rFonts w:ascii="Helvetica" w:hAnsi="Helvetica"/>
        </w:rPr>
        <w:t xml:space="preserve"> the</w:t>
      </w:r>
      <w:r w:rsidRPr="008F1B7C">
        <w:rPr>
          <w:rFonts w:ascii="Helvetica" w:hAnsi="Helvetica"/>
        </w:rPr>
        <w:t xml:space="preserve"> SDT</w:t>
      </w:r>
      <w:r w:rsidR="00740C37" w:rsidRPr="008F1B7C">
        <w:rPr>
          <w:rFonts w:ascii="Helvetica" w:hAnsi="Helvetica"/>
        </w:rPr>
        <w:t xml:space="preserve"> project</w:t>
      </w:r>
      <w:r w:rsidRPr="008F1B7C">
        <w:rPr>
          <w:rFonts w:ascii="Helvetica" w:hAnsi="Helvetica"/>
        </w:rPr>
        <w:t xml:space="preserve">. This covered the topics of </w:t>
      </w:r>
      <w:r w:rsidR="00A51E54" w:rsidRPr="008F1B7C">
        <w:rPr>
          <w:rFonts w:ascii="Helvetica" w:hAnsi="Helvetica"/>
        </w:rPr>
        <w:t>a</w:t>
      </w:r>
      <w:r w:rsidRPr="008F1B7C">
        <w:rPr>
          <w:rFonts w:ascii="Helvetica" w:hAnsi="Helvetica"/>
        </w:rPr>
        <w:t xml:space="preserve">sset </w:t>
      </w:r>
      <w:r w:rsidR="00A51E54" w:rsidRPr="008F1B7C">
        <w:rPr>
          <w:rFonts w:ascii="Helvetica" w:hAnsi="Helvetica"/>
        </w:rPr>
        <w:t>a</w:t>
      </w:r>
      <w:r w:rsidRPr="008F1B7C">
        <w:rPr>
          <w:rFonts w:ascii="Helvetica" w:hAnsi="Helvetica"/>
        </w:rPr>
        <w:t xml:space="preserve">llocation, </w:t>
      </w:r>
      <w:r w:rsidR="00A51E54" w:rsidRPr="008F1B7C">
        <w:rPr>
          <w:rFonts w:ascii="Helvetica" w:hAnsi="Helvetica"/>
        </w:rPr>
        <w:t>i</w:t>
      </w:r>
      <w:r w:rsidRPr="008F1B7C">
        <w:rPr>
          <w:rFonts w:ascii="Helvetica" w:hAnsi="Helvetica"/>
        </w:rPr>
        <w:t xml:space="preserve">nsurance arrangements, </w:t>
      </w:r>
      <w:r w:rsidR="00A51E54" w:rsidRPr="008F1B7C">
        <w:rPr>
          <w:rFonts w:ascii="Helvetica" w:hAnsi="Helvetica"/>
        </w:rPr>
        <w:t>f</w:t>
      </w:r>
      <w:r w:rsidRPr="008F1B7C">
        <w:rPr>
          <w:rFonts w:ascii="Helvetica" w:hAnsi="Helvetica"/>
        </w:rPr>
        <w:t xml:space="preserve">ees and </w:t>
      </w:r>
      <w:r w:rsidR="00415955" w:rsidRPr="008F1B7C">
        <w:rPr>
          <w:rFonts w:ascii="Helvetica" w:hAnsi="Helvetica"/>
        </w:rPr>
        <w:t>c</w:t>
      </w:r>
      <w:r w:rsidRPr="008F1B7C">
        <w:rPr>
          <w:rFonts w:ascii="Helvetica" w:hAnsi="Helvetica"/>
        </w:rPr>
        <w:t xml:space="preserve">osts and </w:t>
      </w:r>
      <w:r w:rsidR="00A51E54" w:rsidRPr="008F1B7C">
        <w:rPr>
          <w:rFonts w:ascii="Helvetica" w:hAnsi="Helvetica"/>
        </w:rPr>
        <w:t>e</w:t>
      </w:r>
      <w:r w:rsidRPr="008F1B7C">
        <w:rPr>
          <w:rFonts w:ascii="Helvetica" w:hAnsi="Helvetica"/>
        </w:rPr>
        <w:t>xpenses. Submissions on these proposals closed on 13 November 2020</w:t>
      </w:r>
      <w:r w:rsidRPr="00635054">
        <w:rPr>
          <w:rStyle w:val="FootnoteReference"/>
          <w:rFonts w:ascii="Helvetica" w:hAnsi="Helvetica"/>
        </w:rPr>
        <w:footnoteReference w:id="33"/>
      </w:r>
      <w:r w:rsidR="002E28FA" w:rsidRPr="00635054">
        <w:rPr>
          <w:rFonts w:ascii="Helvetica" w:hAnsi="Helvetica"/>
        </w:rPr>
        <w:t>.</w:t>
      </w:r>
    </w:p>
    <w:p w14:paraId="226C9412" w14:textId="77777777" w:rsidR="00D348D5" w:rsidRPr="008F1B7C" w:rsidRDefault="00D348D5" w:rsidP="00D348D5">
      <w:pPr>
        <w:spacing w:before="240" w:after="0"/>
      </w:pPr>
      <w:r w:rsidRPr="008F1B7C">
        <w:t>To provide early visibility to industry and assist with the planning and commencement of work required to implement the reporting standards, APRA provided updated draft reporting standards and details of the staged implementation approach to the industry bodies in late December 2020.</w:t>
      </w:r>
    </w:p>
    <w:p w14:paraId="6941622E" w14:textId="3D4E02AA" w:rsidR="00623D3B" w:rsidRPr="008F1B7C" w:rsidRDefault="00623D3B" w:rsidP="009356A1">
      <w:pPr>
        <w:spacing w:before="240" w:after="0"/>
      </w:pPr>
      <w:r w:rsidRPr="008F1B7C">
        <w:t xml:space="preserve">APRA requested that respondents provided an assessment of the impact of the proposed changes and, specifically, the marginal compliance costs </w:t>
      </w:r>
      <w:r w:rsidR="002978D3" w:rsidRPr="008F1B7C">
        <w:t>RSE licensees</w:t>
      </w:r>
      <w:r w:rsidRPr="008F1B7C">
        <w:t xml:space="preserve"> are likely to </w:t>
      </w:r>
      <w:r w:rsidR="002978D3" w:rsidRPr="008F1B7C">
        <w:t>incur</w:t>
      </w:r>
      <w:r w:rsidRPr="008F1B7C">
        <w:t xml:space="preserve">. Respondents were also requested </w:t>
      </w:r>
      <w:r w:rsidR="00505A75" w:rsidRPr="008F1B7C">
        <w:t>to</w:t>
      </w:r>
      <w:r w:rsidRPr="008F1B7C">
        <w:t xml:space="preserve"> indicate whether there are any other </w:t>
      </w:r>
      <w:r w:rsidR="002978D3" w:rsidRPr="008F1B7C">
        <w:t xml:space="preserve">superannuation reporting </w:t>
      </w:r>
      <w:r w:rsidRPr="008F1B7C">
        <w:t>requirements that should be improved or removed to reduce compliance costs.</w:t>
      </w:r>
    </w:p>
    <w:p w14:paraId="0C60740D" w14:textId="4928ABF5" w:rsidR="00623D3B" w:rsidRPr="008F1B7C" w:rsidRDefault="00623D3B" w:rsidP="009356A1">
      <w:pPr>
        <w:spacing w:before="240" w:after="0"/>
      </w:pPr>
      <w:r w:rsidRPr="008F1B7C">
        <w:t xml:space="preserve">APRA also requested feedback </w:t>
      </w:r>
      <w:r w:rsidR="00DB3540" w:rsidRPr="008F1B7C">
        <w:t>from</w:t>
      </w:r>
      <w:r w:rsidRPr="008F1B7C">
        <w:t xml:space="preserve"> </w:t>
      </w:r>
      <w:r w:rsidR="00F3301E" w:rsidRPr="008F1B7C">
        <w:t>RSE licensees</w:t>
      </w:r>
      <w:r w:rsidRPr="008F1B7C">
        <w:t xml:space="preserve"> </w:t>
      </w:r>
      <w:r w:rsidR="00DB3540" w:rsidRPr="008F1B7C">
        <w:t xml:space="preserve">on </w:t>
      </w:r>
      <w:r w:rsidRPr="008F1B7C">
        <w:t>the concepts and definitions in the proposed data requirements. APRA sought suggestions for changes to definitions that will improve data quality and reduce reporting burden.</w:t>
      </w:r>
    </w:p>
    <w:p w14:paraId="6B50DB6E" w14:textId="047BF6F8" w:rsidR="00623D3B" w:rsidRPr="008F1B7C" w:rsidRDefault="00623D3B" w:rsidP="009356A1">
      <w:pPr>
        <w:spacing w:before="240" w:after="0"/>
      </w:pPr>
      <w:r w:rsidRPr="008F1B7C">
        <w:t xml:space="preserve">APRA received 35 submissions in response to </w:t>
      </w:r>
      <w:r w:rsidR="00DB3540" w:rsidRPr="008F1B7C">
        <w:t xml:space="preserve">the </w:t>
      </w:r>
      <w:r w:rsidR="000C7589" w:rsidRPr="008F1B7C">
        <w:t>consultation package and over 300 submissions of pilot data</w:t>
      </w:r>
      <w:r w:rsidRPr="008F1B7C">
        <w:t xml:space="preserve">. </w:t>
      </w:r>
      <w:r w:rsidR="00D348D5" w:rsidRPr="008F1B7C">
        <w:t xml:space="preserve">These have been valuable in assessing whether the data will meet the objectives of the SDT project, highlighting the practical issues that RSE licensees may experience in reporting and where additional guidance or improvements to definitions were required. </w:t>
      </w:r>
      <w:r w:rsidR="00F3301E" w:rsidRPr="008F1B7C">
        <w:t>Whilst n</w:t>
      </w:r>
      <w:r w:rsidRPr="008F1B7C">
        <w:t>o respondents provided the detailed breakdown on costs requested by APRA</w:t>
      </w:r>
      <w:r w:rsidR="00F3301E" w:rsidRPr="008F1B7C">
        <w:t>,</w:t>
      </w:r>
      <w:r w:rsidR="00D348D5" w:rsidRPr="008F1B7C">
        <w:t xml:space="preserve"> a few r</w:t>
      </w:r>
      <w:r w:rsidRPr="008F1B7C">
        <w:t>espondents did provide high-level estimates of costs.</w:t>
      </w:r>
    </w:p>
    <w:p w14:paraId="4F9F324F" w14:textId="7492CB2C" w:rsidR="009313E6" w:rsidRPr="008F1B7C" w:rsidRDefault="00623D3B" w:rsidP="009356A1">
      <w:pPr>
        <w:spacing w:before="240" w:after="0"/>
      </w:pPr>
      <w:r w:rsidRPr="008F1B7C">
        <w:t xml:space="preserve">Stakeholders supported the </w:t>
      </w:r>
      <w:r w:rsidR="00154C9E" w:rsidRPr="008F1B7C">
        <w:t xml:space="preserve">proposals overall and the </w:t>
      </w:r>
      <w:r w:rsidRPr="008F1B7C">
        <w:t xml:space="preserve">need to enhance the superannuation data collection as soon as possible. </w:t>
      </w:r>
      <w:r w:rsidR="009313E6" w:rsidRPr="008F1B7C">
        <w:t xml:space="preserve">Stakeholders particularly recognised the value in implementing consistent reporting and </w:t>
      </w:r>
      <w:r w:rsidR="00015C8A" w:rsidRPr="008F1B7C">
        <w:t>clear definitions</w:t>
      </w:r>
      <w:r w:rsidR="009313E6" w:rsidRPr="008F1B7C">
        <w:t xml:space="preserve"> across the industry to enable </w:t>
      </w:r>
      <w:r w:rsidR="00015C8A" w:rsidRPr="008F1B7C">
        <w:t xml:space="preserve">meaningful </w:t>
      </w:r>
      <w:r w:rsidR="009313E6" w:rsidRPr="008F1B7C">
        <w:t xml:space="preserve">comparison. </w:t>
      </w:r>
    </w:p>
    <w:p w14:paraId="6D98C159" w14:textId="6AA824F8" w:rsidR="00623D3B" w:rsidRPr="008F1B7C" w:rsidRDefault="00623D3B" w:rsidP="009356A1">
      <w:pPr>
        <w:spacing w:before="240" w:after="0"/>
      </w:pPr>
      <w:r w:rsidRPr="008F1B7C">
        <w:t>However, most stakeholders considered the proposed timeline for the new collections with data for the first reporting period to be submitted in September 2021 to be challenging. Stakeholders indicated that implementation of the new data collection involved significant technology and system effort and cost, primarily due to the volume of new data items and increased level of granularity of the data to be submitted</w:t>
      </w:r>
      <w:r w:rsidR="00DB2A24" w:rsidRPr="008F1B7C">
        <w:t>, as well as a need to engage third party providers to deliver components of the data collection required to be reported</w:t>
      </w:r>
      <w:r w:rsidRPr="008F1B7C">
        <w:t xml:space="preserve">. </w:t>
      </w:r>
      <w:bookmarkStart w:id="93" w:name="_Hlk73387361"/>
      <w:proofErr w:type="gramStart"/>
      <w:r w:rsidR="00C90F3D" w:rsidRPr="008F1B7C">
        <w:t>In light of</w:t>
      </w:r>
      <w:proofErr w:type="gramEnd"/>
      <w:r w:rsidR="00C90F3D" w:rsidRPr="008F1B7C">
        <w:t xml:space="preserve"> this feedback, </w:t>
      </w:r>
      <w:r w:rsidRPr="008F1B7C">
        <w:t>APRA recognise</w:t>
      </w:r>
      <w:r w:rsidR="00561EED" w:rsidRPr="008F1B7C">
        <w:t>d</w:t>
      </w:r>
      <w:r w:rsidRPr="008F1B7C">
        <w:t xml:space="preserve"> that some of the data being sought in Phase 1 of the SDT project could be progressed on a slower timeline or deferred to a later time or phase of the project, and a staged implementation timetable </w:t>
      </w:r>
      <w:r w:rsidR="00D348D5" w:rsidRPr="008F1B7C">
        <w:t xml:space="preserve">would assist </w:t>
      </w:r>
      <w:r w:rsidRPr="008F1B7C">
        <w:t>this.</w:t>
      </w:r>
      <w:bookmarkEnd w:id="93"/>
    </w:p>
    <w:p w14:paraId="308B5812" w14:textId="364739BC" w:rsidR="00032476" w:rsidRPr="008F1B7C" w:rsidRDefault="00032476" w:rsidP="009356A1">
      <w:pPr>
        <w:spacing w:before="240" w:after="0"/>
      </w:pPr>
      <w:bookmarkStart w:id="94" w:name="_Hlk80771633"/>
      <w:r w:rsidRPr="008F1B7C">
        <w:lastRenderedPageBreak/>
        <w:t xml:space="preserve">APRA consulted with RSE licensees </w:t>
      </w:r>
      <w:r w:rsidR="007B5568" w:rsidRPr="008F1B7C">
        <w:t xml:space="preserve">in </w:t>
      </w:r>
      <w:r w:rsidR="0098271F" w:rsidRPr="008F1B7C">
        <w:t>February</w:t>
      </w:r>
      <w:r w:rsidR="007B5568" w:rsidRPr="008F1B7C">
        <w:t xml:space="preserve"> 202</w:t>
      </w:r>
      <w:r w:rsidR="0098271F" w:rsidRPr="008F1B7C">
        <w:t>1</w:t>
      </w:r>
      <w:r w:rsidR="007B5568" w:rsidRPr="008F1B7C">
        <w:t xml:space="preserve"> </w:t>
      </w:r>
      <w:r w:rsidRPr="008F1B7C">
        <w:t xml:space="preserve">on costing estimates developed using the </w:t>
      </w:r>
      <w:r w:rsidR="007B5568" w:rsidRPr="008F1B7C">
        <w:t>regulatory burden measurement framework</w:t>
      </w:r>
      <w:bookmarkEnd w:id="94"/>
      <w:r w:rsidR="007B5568" w:rsidRPr="008F1B7C">
        <w:t>.</w:t>
      </w:r>
    </w:p>
    <w:p w14:paraId="6A2D959D" w14:textId="7C5052F4" w:rsidR="00E70B2C" w:rsidRPr="008F1B7C" w:rsidRDefault="00623D3B" w:rsidP="009356A1">
      <w:pPr>
        <w:spacing w:before="240" w:after="0"/>
      </w:pPr>
      <w:r w:rsidRPr="008F1B7C">
        <w:t xml:space="preserve">APRA considered the feedback received and responded with updates to the proposed reporting standards. </w:t>
      </w:r>
      <w:r w:rsidR="00561EED" w:rsidRPr="008F1B7C">
        <w:t>To address</w:t>
      </w:r>
      <w:r w:rsidRPr="008F1B7C">
        <w:t xml:space="preserve"> the key concerns related to the timeframe for implementation, APRA worked closely with industry, through the industry bodies, to develop a staged approach to implementation of the Phase 1 reporting standards.</w:t>
      </w:r>
    </w:p>
    <w:p w14:paraId="503E2621" w14:textId="25BC50F6" w:rsidR="008C2004" w:rsidRPr="008F1B7C" w:rsidRDefault="008C2004" w:rsidP="009356A1">
      <w:pPr>
        <w:spacing w:before="240" w:after="0"/>
      </w:pPr>
      <w:r w:rsidRPr="008F1B7C">
        <w:t xml:space="preserve">The </w:t>
      </w:r>
      <w:r w:rsidR="00F165BD" w:rsidRPr="008F1B7C">
        <w:t>updates to the reporting standards</w:t>
      </w:r>
      <w:r w:rsidRPr="008F1B7C">
        <w:t xml:space="preserve"> addressed the key concerns:</w:t>
      </w:r>
    </w:p>
    <w:p w14:paraId="447AC70E" w14:textId="77777777" w:rsidR="00E261FD" w:rsidRPr="008F1B7C" w:rsidRDefault="00E261FD" w:rsidP="009356A1">
      <w:pPr>
        <w:spacing w:before="240" w:after="0"/>
        <w:rPr>
          <w:rFonts w:ascii="Times New Roman" w:hAnsi="Times New Roman"/>
        </w:rPr>
      </w:pPr>
    </w:p>
    <w:tbl>
      <w:tblPr>
        <w:tblStyle w:val="TableGrid"/>
        <w:tblW w:w="0" w:type="auto"/>
        <w:tblLook w:val="04A0" w:firstRow="1" w:lastRow="0" w:firstColumn="1" w:lastColumn="0" w:noHBand="0" w:noVBand="1"/>
      </w:tblPr>
      <w:tblGrid>
        <w:gridCol w:w="1842"/>
        <w:gridCol w:w="5959"/>
      </w:tblGrid>
      <w:tr w:rsidR="008C2004" w:rsidRPr="008F1B7C" w14:paraId="7398FA15" w14:textId="77777777" w:rsidTr="00241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7B49AD3B" w14:textId="2B4F7304" w:rsidR="008C2004" w:rsidRPr="00241C08" w:rsidRDefault="008C2004" w:rsidP="00241C08">
            <w:pPr>
              <w:pStyle w:val="ListParagraph"/>
              <w:ind w:left="0"/>
            </w:pPr>
            <w:r w:rsidRPr="00241C08">
              <w:t>Concern</w:t>
            </w:r>
          </w:p>
        </w:tc>
        <w:tc>
          <w:tcPr>
            <w:tcW w:w="5959" w:type="dxa"/>
            <w:hideMark/>
          </w:tcPr>
          <w:p w14:paraId="5487AA31" w14:textId="21FC2025" w:rsidR="008C2004" w:rsidRPr="00241C08" w:rsidRDefault="008C2004" w:rsidP="00241C08">
            <w:pPr>
              <w:pStyle w:val="ListParagraph"/>
              <w:ind w:left="0"/>
              <w:cnfStyle w:val="100000000000" w:firstRow="1" w:lastRow="0" w:firstColumn="0" w:lastColumn="0" w:oddVBand="0" w:evenVBand="0" w:oddHBand="0" w:evenHBand="0" w:firstRowFirstColumn="0" w:firstRowLastColumn="0" w:lastRowFirstColumn="0" w:lastRowLastColumn="0"/>
            </w:pPr>
            <w:r w:rsidRPr="00241C08">
              <w:t>Response</w:t>
            </w:r>
          </w:p>
        </w:tc>
      </w:tr>
      <w:tr w:rsidR="008C2004" w:rsidRPr="008F1B7C" w14:paraId="32510F3E" w14:textId="77777777" w:rsidTr="00E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4EBEE121" w14:textId="5ADE54EB" w:rsidR="008C2004" w:rsidRPr="008F1B7C" w:rsidRDefault="008C2004">
            <w:r w:rsidRPr="008F1B7C">
              <w:t>Implementation timeline</w:t>
            </w:r>
          </w:p>
        </w:tc>
        <w:tc>
          <w:tcPr>
            <w:tcW w:w="5959" w:type="dxa"/>
            <w:hideMark/>
          </w:tcPr>
          <w:p w14:paraId="0BCF7F3D" w14:textId="1E6CA04D" w:rsidR="008C2004" w:rsidRPr="008F1B7C" w:rsidRDefault="008C2004">
            <w:pPr>
              <w:cnfStyle w:val="000000100000" w:firstRow="0" w:lastRow="0" w:firstColumn="0" w:lastColumn="0" w:oddVBand="0" w:evenVBand="0" w:oddHBand="1" w:evenHBand="0" w:firstRowFirstColumn="0" w:firstRowLastColumn="0" w:lastRowFirstColumn="0" w:lastRowLastColumn="0"/>
            </w:pPr>
            <w:r w:rsidRPr="008F1B7C">
              <w:t>APRA has adopted a staged implementation approach in four key areas</w:t>
            </w:r>
            <w:r w:rsidR="008F78B6" w:rsidRPr="008F1B7C">
              <w:t>.</w:t>
            </w:r>
          </w:p>
        </w:tc>
      </w:tr>
      <w:tr w:rsidR="008C2004" w:rsidRPr="008F1B7C" w14:paraId="55EFDD3F" w14:textId="77777777" w:rsidTr="00E11B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6AC28D52" w14:textId="053DCA18" w:rsidR="008C2004" w:rsidRPr="008F1B7C" w:rsidRDefault="008F78B6">
            <w:r w:rsidRPr="008F1B7C">
              <w:t xml:space="preserve">Granularity: </w:t>
            </w:r>
            <w:r w:rsidR="00826992" w:rsidRPr="008F1B7C">
              <w:t>Asset allocation classifications</w:t>
            </w:r>
          </w:p>
        </w:tc>
        <w:tc>
          <w:tcPr>
            <w:tcW w:w="5959" w:type="dxa"/>
          </w:tcPr>
          <w:p w14:paraId="1CC3326D" w14:textId="73A78EA3" w:rsidR="008C2004" w:rsidRPr="008F1B7C" w:rsidRDefault="00E54CE9" w:rsidP="009356A1">
            <w:pPr>
              <w:cnfStyle w:val="000000010000" w:firstRow="0" w:lastRow="0" w:firstColumn="0" w:lastColumn="0" w:oddVBand="0" w:evenVBand="0" w:oddHBand="0" w:evenHBand="1" w:firstRowFirstColumn="0" w:firstRowLastColumn="0" w:lastRowFirstColumn="0" w:lastRowLastColumn="0"/>
            </w:pPr>
            <w:r w:rsidRPr="008F1B7C">
              <w:t>APRA removed the requirement to report the asset classifications for each product / menu option combination</w:t>
            </w:r>
            <w:r w:rsidR="00A45201" w:rsidRPr="008F1B7C">
              <w:t>.</w:t>
            </w:r>
          </w:p>
          <w:p w14:paraId="58E4A08B" w14:textId="625BB7D0" w:rsidR="00E54CE9" w:rsidRPr="008F1B7C" w:rsidRDefault="00E54CE9">
            <w:pPr>
              <w:cnfStyle w:val="000000010000" w:firstRow="0" w:lastRow="0" w:firstColumn="0" w:lastColumn="0" w:oddVBand="0" w:evenVBand="0" w:oddHBand="0" w:evenHBand="1" w:firstRowFirstColumn="0" w:firstRowLastColumn="0" w:lastRowFirstColumn="0" w:lastRowLastColumn="0"/>
            </w:pPr>
            <w:r w:rsidRPr="008F1B7C">
              <w:t>APRA has put in place a two-year transition for reporting of the full detailed asset class classifications to be mandatory</w:t>
            </w:r>
            <w:r w:rsidR="00A45201" w:rsidRPr="008F1B7C">
              <w:t>.</w:t>
            </w:r>
          </w:p>
        </w:tc>
      </w:tr>
      <w:tr w:rsidR="00826992" w:rsidRPr="008F1B7C" w14:paraId="2900A096" w14:textId="77777777" w:rsidTr="00E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F7CD496" w14:textId="12B69162" w:rsidR="00826992" w:rsidRPr="008F1B7C" w:rsidRDefault="00826992">
            <w:r w:rsidRPr="008F1B7C">
              <w:t>Expenses look-through requirements</w:t>
            </w:r>
          </w:p>
        </w:tc>
        <w:tc>
          <w:tcPr>
            <w:tcW w:w="5959" w:type="dxa"/>
          </w:tcPr>
          <w:p w14:paraId="72F480DD" w14:textId="1574CD63" w:rsidR="00826992" w:rsidRPr="008F1B7C" w:rsidRDefault="00E54CE9" w:rsidP="009356A1">
            <w:pPr>
              <w:cnfStyle w:val="000000100000" w:firstRow="0" w:lastRow="0" w:firstColumn="0" w:lastColumn="0" w:oddVBand="0" w:evenVBand="0" w:oddHBand="1" w:evenHBand="0" w:firstRowFirstColumn="0" w:firstRowLastColumn="0" w:lastRowFirstColumn="0" w:lastRowLastColumn="0"/>
            </w:pPr>
            <w:r w:rsidRPr="008F1B7C">
              <w:t xml:space="preserve">APRA has put in place a temporary materiality threshold for reporting expenses to allow entities to put in place processes to capture </w:t>
            </w:r>
            <w:r w:rsidR="00561EED" w:rsidRPr="008F1B7C">
              <w:t xml:space="preserve">more granular </w:t>
            </w:r>
            <w:r w:rsidRPr="008F1B7C">
              <w:t>expense classifications</w:t>
            </w:r>
            <w:r w:rsidR="00A45201" w:rsidRPr="008F1B7C">
              <w:t>.</w:t>
            </w:r>
          </w:p>
        </w:tc>
      </w:tr>
      <w:tr w:rsidR="00826992" w:rsidRPr="008F1B7C" w14:paraId="00BC82A8" w14:textId="77777777" w:rsidTr="00E11B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30963B7" w14:textId="149F7668" w:rsidR="00826992" w:rsidRPr="008F1B7C" w:rsidRDefault="00826992">
            <w:r w:rsidRPr="008F1B7C">
              <w:t>Duplicate reporting</w:t>
            </w:r>
          </w:p>
        </w:tc>
        <w:tc>
          <w:tcPr>
            <w:tcW w:w="5959" w:type="dxa"/>
          </w:tcPr>
          <w:p w14:paraId="7A433E5E" w14:textId="448E4065" w:rsidR="00826992" w:rsidRPr="008F1B7C" w:rsidRDefault="00FC3956" w:rsidP="009356A1">
            <w:pPr>
              <w:cnfStyle w:val="000000010000" w:firstRow="0" w:lastRow="0" w:firstColumn="0" w:lastColumn="0" w:oddVBand="0" w:evenVBand="0" w:oddHBand="0" w:evenHBand="1" w:firstRowFirstColumn="0" w:firstRowLastColumn="0" w:lastRowFirstColumn="0" w:lastRowLastColumn="0"/>
            </w:pPr>
            <w:r w:rsidRPr="008F1B7C">
              <w:t>Due to the importance of the enhanced data collection, current reporting requirements will continue for an initial parallel collection period, primarily to enable APRA to assess data quality for the new collections. Once appropriate quality of reporting under the new framework is achieved, APRA will provide exemptions from reporting obligations and/or revoke reporting standards which require the same data that is to be submitted under the new data collection.</w:t>
            </w:r>
          </w:p>
        </w:tc>
      </w:tr>
      <w:tr w:rsidR="008C2004" w:rsidRPr="008F1B7C" w14:paraId="0643CBA2" w14:textId="77777777" w:rsidTr="00E11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6E07912D" w14:textId="35F2DFFA" w:rsidR="008C2004" w:rsidRPr="008F1B7C" w:rsidRDefault="00826992">
            <w:r w:rsidRPr="008F1B7C">
              <w:t>Data confidentiality</w:t>
            </w:r>
          </w:p>
        </w:tc>
        <w:tc>
          <w:tcPr>
            <w:tcW w:w="5959" w:type="dxa"/>
            <w:hideMark/>
          </w:tcPr>
          <w:p w14:paraId="33595CA4" w14:textId="0B76AB87" w:rsidR="008C2004" w:rsidRPr="008F1B7C" w:rsidRDefault="008C2004" w:rsidP="00D426A0">
            <w:pPr>
              <w:cnfStyle w:val="000000100000" w:firstRow="0" w:lastRow="0" w:firstColumn="0" w:lastColumn="0" w:oddVBand="0" w:evenVBand="0" w:oddHBand="1" w:evenHBand="0" w:firstRowFirstColumn="0" w:firstRowLastColumn="0" w:lastRowFirstColumn="0" w:lastRowLastColumn="0"/>
            </w:pPr>
            <w:r w:rsidRPr="008F1B7C">
              <w:t>APRA will undertake a separate consultation in late 2021 on proposals for publication of data reported under these reporting standards, including consulting on the confidentiality of the specific data items to be made public.</w:t>
            </w:r>
          </w:p>
        </w:tc>
      </w:tr>
    </w:tbl>
    <w:p w14:paraId="1427C85A" w14:textId="4BE993E2" w:rsidR="00617639" w:rsidRPr="008F1B7C" w:rsidRDefault="00095C9D" w:rsidP="00B308B7">
      <w:pPr>
        <w:spacing w:before="240"/>
      </w:pPr>
      <w:bookmarkStart w:id="95" w:name="_Hlk73387153"/>
      <w:r w:rsidRPr="008F1B7C">
        <w:t>A draft</w:t>
      </w:r>
      <w:r w:rsidR="00127656" w:rsidRPr="008F1B7C">
        <w:t xml:space="preserve"> RIS </w:t>
      </w:r>
      <w:r w:rsidRPr="008F1B7C">
        <w:t>(which was not formally assessed by the OBPR)</w:t>
      </w:r>
      <w:r w:rsidR="00127656" w:rsidRPr="008F1B7C">
        <w:t xml:space="preserve"> </w:t>
      </w:r>
      <w:r w:rsidRPr="008F1B7C">
        <w:t xml:space="preserve">was used to </w:t>
      </w:r>
      <w:r w:rsidR="00127656" w:rsidRPr="008F1B7C">
        <w:t>inform a decision t</w:t>
      </w:r>
      <w:r w:rsidR="00617639" w:rsidRPr="008F1B7C">
        <w:t xml:space="preserve">o release </w:t>
      </w:r>
      <w:r w:rsidR="00293D61" w:rsidRPr="008F1B7C">
        <w:t xml:space="preserve">APRA’s proposed response to submissions, including revisions to the </w:t>
      </w:r>
      <w:r w:rsidR="00617639" w:rsidRPr="008F1B7C">
        <w:t xml:space="preserve">proposed </w:t>
      </w:r>
      <w:r w:rsidR="00293D61" w:rsidRPr="008F1B7C">
        <w:t>reporting standards to address concerns, on 25 March 2021</w:t>
      </w:r>
      <w:bookmarkStart w:id="96" w:name="_Hlk73387414"/>
      <w:r w:rsidR="00293D61" w:rsidRPr="00635054">
        <w:rPr>
          <w:rStyle w:val="FootnoteReference"/>
        </w:rPr>
        <w:footnoteReference w:id="34"/>
      </w:r>
      <w:bookmarkEnd w:id="96"/>
      <w:r w:rsidR="004C023B" w:rsidRPr="00635054">
        <w:t>.</w:t>
      </w:r>
    </w:p>
    <w:p w14:paraId="0CC1B25F" w14:textId="251EDFA1" w:rsidR="009A70A8" w:rsidRPr="008F1B7C" w:rsidRDefault="009A70A8" w:rsidP="009A70A8">
      <w:pPr>
        <w:spacing w:before="240"/>
      </w:pPr>
      <w:r w:rsidRPr="008F1B7C">
        <w:t xml:space="preserve">APRA continued to work closely with industry </w:t>
      </w:r>
      <w:r w:rsidR="00652AF3" w:rsidRPr="008F1B7C">
        <w:t xml:space="preserve">from March 2021 – September 2021 </w:t>
      </w:r>
      <w:r w:rsidRPr="008F1B7C">
        <w:t xml:space="preserve">through workshops and </w:t>
      </w:r>
      <w:r w:rsidR="009313E6" w:rsidRPr="008F1B7C">
        <w:t xml:space="preserve">supporting </w:t>
      </w:r>
      <w:r w:rsidRPr="008F1B7C">
        <w:t xml:space="preserve">test submissions </w:t>
      </w:r>
      <w:r w:rsidR="00B46759" w:rsidRPr="008F1B7C">
        <w:t xml:space="preserve">of the proposed data </w:t>
      </w:r>
      <w:r w:rsidRPr="008F1B7C">
        <w:t>in the</w:t>
      </w:r>
      <w:r w:rsidR="00015C8A" w:rsidRPr="008F1B7C">
        <w:t xml:space="preserve"> reporting system (</w:t>
      </w:r>
      <w:r w:rsidRPr="008F1B7C">
        <w:t>APRA Connect</w:t>
      </w:r>
      <w:r w:rsidR="00015C8A" w:rsidRPr="008F1B7C">
        <w:t>)</w:t>
      </w:r>
      <w:r w:rsidRPr="008F1B7C">
        <w:t xml:space="preserve"> external test environment to ensure that the data is available and can be submitted. Where RSE licensees have identified specific challenges through this process, APRA </w:t>
      </w:r>
      <w:r w:rsidR="00B31DDB" w:rsidRPr="008F1B7C">
        <w:t xml:space="preserve">has </w:t>
      </w:r>
      <w:r w:rsidR="009313E6" w:rsidRPr="008F1B7C">
        <w:t>released</w:t>
      </w:r>
      <w:r w:rsidRPr="008F1B7C">
        <w:t xml:space="preserve"> clarifications,</w:t>
      </w:r>
      <w:r w:rsidR="00B31DDB" w:rsidRPr="008F1B7C">
        <w:t xml:space="preserve"> made updates to the proposed reporting standards</w:t>
      </w:r>
      <w:r w:rsidRPr="008F1B7C">
        <w:t xml:space="preserve"> and </w:t>
      </w:r>
      <w:r w:rsidR="00652AF3" w:rsidRPr="008F1B7C">
        <w:t xml:space="preserve">further </w:t>
      </w:r>
      <w:r w:rsidRPr="008F1B7C">
        <w:t>adjusted the staged implementation approach</w:t>
      </w:r>
      <w:r w:rsidR="00652AF3" w:rsidRPr="008F1B7C">
        <w:t xml:space="preserve"> to address these concerns by</w:t>
      </w:r>
      <w:r w:rsidRPr="008F1B7C">
        <w:t xml:space="preserve"> allowing </w:t>
      </w:r>
      <w:r w:rsidRPr="008F1B7C">
        <w:lastRenderedPageBreak/>
        <w:t xml:space="preserve">an additional month for reporting of initial </w:t>
      </w:r>
      <w:r w:rsidR="009302E5" w:rsidRPr="008F1B7C">
        <w:t>t</w:t>
      </w:r>
      <w:r w:rsidR="00015C8A" w:rsidRPr="008F1B7C">
        <w:t>rustee</w:t>
      </w:r>
      <w:r w:rsidR="001E35FE" w:rsidRPr="008F1B7C">
        <w:t>-</w:t>
      </w:r>
      <w:r w:rsidR="009302E5" w:rsidRPr="008F1B7C">
        <w:t>d</w:t>
      </w:r>
      <w:r w:rsidR="00015C8A" w:rsidRPr="008F1B7C">
        <w:t xml:space="preserve">irected </w:t>
      </w:r>
      <w:r w:rsidR="009302E5" w:rsidRPr="008F1B7C">
        <w:t>p</w:t>
      </w:r>
      <w:r w:rsidR="00015C8A" w:rsidRPr="008F1B7C">
        <w:t>roduct</w:t>
      </w:r>
      <w:r w:rsidRPr="008F1B7C">
        <w:t xml:space="preserve"> data, deferring </w:t>
      </w:r>
      <w:r w:rsidR="00652AF3" w:rsidRPr="008F1B7C">
        <w:t xml:space="preserve">the </w:t>
      </w:r>
      <w:r w:rsidRPr="008F1B7C">
        <w:t>collection of historical insurance data</w:t>
      </w:r>
      <w:r w:rsidR="00652AF3" w:rsidRPr="008F1B7C">
        <w:t xml:space="preserve"> until 2022</w:t>
      </w:r>
      <w:r w:rsidRPr="008F1B7C">
        <w:t xml:space="preserve"> and allowing reporting of expenses and detailed asset class classifications on a best endeavours basis</w:t>
      </w:r>
      <w:r w:rsidR="00652AF3" w:rsidRPr="008F1B7C">
        <w:t xml:space="preserve"> for the first year of reporting</w:t>
      </w:r>
      <w:r w:rsidRPr="008F1B7C">
        <w:t>.</w:t>
      </w:r>
    </w:p>
    <w:p w14:paraId="20587279" w14:textId="2C75D8D7" w:rsidR="00032476" w:rsidRPr="008F1B7C" w:rsidRDefault="00032476" w:rsidP="009A70A8">
      <w:pPr>
        <w:spacing w:before="240"/>
      </w:pPr>
      <w:r w:rsidRPr="008F1B7C">
        <w:t xml:space="preserve">APRA also requested updated costing estimates from a </w:t>
      </w:r>
      <w:r w:rsidR="007B5568" w:rsidRPr="008F1B7C">
        <w:t xml:space="preserve">representative </w:t>
      </w:r>
      <w:r w:rsidRPr="008F1B7C">
        <w:t>sample of entities</w:t>
      </w:r>
      <w:r w:rsidR="007B5568" w:rsidRPr="008F1B7C">
        <w:t xml:space="preserve"> following the updates to the reporting requirements. The costing estimates provided verified the estimates included in appendix </w:t>
      </w:r>
      <w:r w:rsidR="00CB5BF6" w:rsidRPr="008F1B7C">
        <w:t>D</w:t>
      </w:r>
      <w:r w:rsidR="007B5568" w:rsidRPr="008F1B7C">
        <w:t xml:space="preserve">. </w:t>
      </w:r>
      <w:r w:rsidRPr="008F1B7C">
        <w:t xml:space="preserve"> </w:t>
      </w:r>
    </w:p>
    <w:p w14:paraId="6B0B885D" w14:textId="1540C2A0" w:rsidR="00CF126C" w:rsidRPr="008F1B7C" w:rsidRDefault="00DB2A24" w:rsidP="00495666">
      <w:r w:rsidRPr="008F1B7C">
        <w:t xml:space="preserve">As part of a broader letter to industry </w:t>
      </w:r>
      <w:r w:rsidR="00CF126C" w:rsidRPr="008F1B7C">
        <w:t xml:space="preserve">released on </w:t>
      </w:r>
      <w:r w:rsidR="00561EED" w:rsidRPr="008F1B7C">
        <w:t>30</w:t>
      </w:r>
      <w:r w:rsidR="00CF126C" w:rsidRPr="008F1B7C">
        <w:t xml:space="preserve"> July 202</w:t>
      </w:r>
      <w:r w:rsidR="004C2EA6" w:rsidRPr="008F1B7C">
        <w:t>1</w:t>
      </w:r>
      <w:r w:rsidR="00561EED" w:rsidRPr="008F1B7C">
        <w:t>,</w:t>
      </w:r>
      <w:r w:rsidR="00CF126C" w:rsidRPr="008F1B7C">
        <w:t xml:space="preserve"> </w:t>
      </w:r>
      <w:r w:rsidRPr="008F1B7C">
        <w:t xml:space="preserve">APRA </w:t>
      </w:r>
      <w:r w:rsidR="0012401F" w:rsidRPr="008F1B7C">
        <w:t>confirmed the proposed reporting standards are informed by an interim RIS and that the reporting standards will be made final when APRA determines the reporting standards after finalising the RIS.</w:t>
      </w:r>
    </w:p>
    <w:p w14:paraId="7601623D" w14:textId="58743B7E" w:rsidR="00495666" w:rsidRPr="008F1B7C" w:rsidRDefault="00DB2A24" w:rsidP="00495666">
      <w:pPr>
        <w:rPr>
          <w:rFonts w:ascii="Arial" w:hAnsi="Arial" w:cs="Arial"/>
        </w:rPr>
      </w:pPr>
      <w:bookmarkStart w:id="97" w:name="_Hlk81204261"/>
      <w:r w:rsidRPr="008F1B7C">
        <w:t>APRA considers the</w:t>
      </w:r>
      <w:r w:rsidRPr="008F1B7C">
        <w:rPr>
          <w:rFonts w:ascii="Arial" w:hAnsi="Arial" w:cs="Arial"/>
        </w:rPr>
        <w:t xml:space="preserve"> </w:t>
      </w:r>
      <w:r w:rsidR="00495666" w:rsidRPr="008F1B7C">
        <w:rPr>
          <w:rFonts w:ascii="Arial" w:hAnsi="Arial" w:cs="Arial"/>
        </w:rPr>
        <w:t>final decision to regulate</w:t>
      </w:r>
      <w:r w:rsidR="00617639" w:rsidRPr="008F1B7C">
        <w:rPr>
          <w:rFonts w:ascii="Arial" w:hAnsi="Arial" w:cs="Arial"/>
        </w:rPr>
        <w:t xml:space="preserve"> </w:t>
      </w:r>
      <w:r w:rsidR="00495666" w:rsidRPr="008F1B7C">
        <w:rPr>
          <w:rFonts w:ascii="Arial" w:hAnsi="Arial" w:cs="Arial"/>
        </w:rPr>
        <w:t xml:space="preserve">will occur when the reporting standards are determined, which </w:t>
      </w:r>
      <w:r w:rsidR="00DA5BED" w:rsidRPr="008F1B7C">
        <w:rPr>
          <w:rFonts w:ascii="Arial" w:hAnsi="Arial" w:cs="Arial"/>
        </w:rPr>
        <w:t xml:space="preserve">represents </w:t>
      </w:r>
      <w:r w:rsidR="00495666" w:rsidRPr="008F1B7C">
        <w:rPr>
          <w:rFonts w:ascii="Arial" w:hAnsi="Arial" w:cs="Arial"/>
        </w:rPr>
        <w:t xml:space="preserve">the final decision point for </w:t>
      </w:r>
      <w:r w:rsidR="00DA5BED" w:rsidRPr="008F1B7C">
        <w:rPr>
          <w:rFonts w:ascii="Arial" w:hAnsi="Arial" w:cs="Arial"/>
        </w:rPr>
        <w:t xml:space="preserve">the first phase of the </w:t>
      </w:r>
      <w:r w:rsidR="00495666" w:rsidRPr="008F1B7C">
        <w:rPr>
          <w:rFonts w:ascii="Arial" w:hAnsi="Arial" w:cs="Arial"/>
        </w:rPr>
        <w:t xml:space="preserve">SDT </w:t>
      </w:r>
      <w:r w:rsidR="00DA5BED" w:rsidRPr="008F1B7C">
        <w:rPr>
          <w:rFonts w:ascii="Arial" w:hAnsi="Arial" w:cs="Arial"/>
        </w:rPr>
        <w:t>project</w:t>
      </w:r>
      <w:r w:rsidR="00495666" w:rsidRPr="008F1B7C">
        <w:rPr>
          <w:rFonts w:ascii="Arial" w:hAnsi="Arial" w:cs="Arial"/>
        </w:rPr>
        <w:t>.</w:t>
      </w:r>
      <w:r w:rsidRPr="008F1B7C">
        <w:rPr>
          <w:rFonts w:ascii="Arial" w:hAnsi="Arial" w:cs="Arial"/>
        </w:rPr>
        <w:t xml:space="preserve"> </w:t>
      </w:r>
      <w:r w:rsidR="00032476" w:rsidRPr="008F1B7C">
        <w:rPr>
          <w:rFonts w:ascii="Arial" w:hAnsi="Arial" w:cs="Arial"/>
        </w:rPr>
        <w:t>This decision will be supported by this RIS</w:t>
      </w:r>
      <w:r w:rsidR="00B46759" w:rsidRPr="008F1B7C">
        <w:rPr>
          <w:rFonts w:ascii="Arial" w:hAnsi="Arial" w:cs="Arial"/>
        </w:rPr>
        <w:t xml:space="preserve"> and will occur following formal assessment of the RIS by the OBPR</w:t>
      </w:r>
      <w:r w:rsidR="00032476" w:rsidRPr="008F1B7C">
        <w:rPr>
          <w:rFonts w:ascii="Arial" w:hAnsi="Arial" w:cs="Arial"/>
        </w:rPr>
        <w:t xml:space="preserve">. </w:t>
      </w:r>
      <w:r w:rsidR="00B46759" w:rsidRPr="008F1B7C">
        <w:rPr>
          <w:rFonts w:ascii="Arial" w:hAnsi="Arial" w:cs="Arial"/>
        </w:rPr>
        <w:t xml:space="preserve">Following determination of the reporting standards, </w:t>
      </w:r>
      <w:r w:rsidR="00617639" w:rsidRPr="008F1B7C">
        <w:rPr>
          <w:rFonts w:ascii="Arial" w:hAnsi="Arial" w:cs="Arial"/>
        </w:rPr>
        <w:t>A</w:t>
      </w:r>
      <w:r w:rsidR="005332C9" w:rsidRPr="008F1B7C">
        <w:rPr>
          <w:rFonts w:ascii="Arial" w:hAnsi="Arial" w:cs="Arial"/>
        </w:rPr>
        <w:t>PRA will</w:t>
      </w:r>
      <w:r w:rsidR="00617639" w:rsidRPr="008F1B7C">
        <w:rPr>
          <w:rFonts w:ascii="Arial" w:hAnsi="Arial" w:cs="Arial"/>
        </w:rPr>
        <w:t xml:space="preserve"> announce</w:t>
      </w:r>
      <w:r w:rsidR="005332C9" w:rsidRPr="008F1B7C">
        <w:rPr>
          <w:rFonts w:ascii="Arial" w:hAnsi="Arial" w:cs="Arial"/>
        </w:rPr>
        <w:t xml:space="preserve"> the finalisation of the reporting standards </w:t>
      </w:r>
      <w:r w:rsidR="00B46759" w:rsidRPr="008F1B7C">
        <w:rPr>
          <w:rFonts w:ascii="Arial" w:hAnsi="Arial" w:cs="Arial"/>
        </w:rPr>
        <w:t>to industry</w:t>
      </w:r>
      <w:r w:rsidR="00617639" w:rsidRPr="008F1B7C">
        <w:rPr>
          <w:rFonts w:ascii="Arial" w:hAnsi="Arial" w:cs="Arial"/>
        </w:rPr>
        <w:t>.</w:t>
      </w:r>
      <w:r w:rsidR="00B46759" w:rsidRPr="008F1B7C">
        <w:rPr>
          <w:rFonts w:ascii="Arial" w:hAnsi="Arial" w:cs="Arial"/>
        </w:rPr>
        <w:t xml:space="preserve"> </w:t>
      </w:r>
      <w:bookmarkEnd w:id="97"/>
    </w:p>
    <w:p w14:paraId="575A4CBF" w14:textId="4FC66EB7" w:rsidR="001418CA" w:rsidRPr="008F1B7C" w:rsidRDefault="001418CA" w:rsidP="009356A1">
      <w:pPr>
        <w:pStyle w:val="Heading1"/>
      </w:pPr>
      <w:bookmarkStart w:id="98" w:name="_Toc56693577"/>
      <w:bookmarkStart w:id="99" w:name="_Toc56678097"/>
      <w:bookmarkStart w:id="100" w:name="_Toc493588791"/>
      <w:bookmarkStart w:id="101" w:name="_Toc75295632"/>
      <w:bookmarkEnd w:id="95"/>
      <w:r w:rsidRPr="008F1B7C">
        <w:t>Option selection/Conclusion</w:t>
      </w:r>
      <w:bookmarkEnd w:id="98"/>
      <w:bookmarkEnd w:id="99"/>
      <w:bookmarkEnd w:id="100"/>
      <w:bookmarkEnd w:id="101"/>
    </w:p>
    <w:p w14:paraId="6B9BA06A" w14:textId="77777777" w:rsidR="00015C8A" w:rsidRPr="008F1B7C" w:rsidRDefault="001418CA" w:rsidP="00D84488">
      <w:r w:rsidRPr="008F1B7C">
        <w:t xml:space="preserve">The solution that most effectively addresses the problem </w:t>
      </w:r>
      <w:r w:rsidR="00DF7E44" w:rsidRPr="008F1B7C">
        <w:t xml:space="preserve">for </w:t>
      </w:r>
      <w:r w:rsidRPr="008F1B7C">
        <w:t xml:space="preserve">which </w:t>
      </w:r>
      <w:r w:rsidR="00DF7E44" w:rsidRPr="008F1B7C">
        <w:t>this</w:t>
      </w:r>
      <w:r w:rsidRPr="008F1B7C">
        <w:t xml:space="preserve"> RIS has been prepared is </w:t>
      </w:r>
      <w:r w:rsidR="00C72900" w:rsidRPr="008F1B7C">
        <w:rPr>
          <w:b/>
        </w:rPr>
        <w:t>O</w:t>
      </w:r>
      <w:r w:rsidRPr="008F1B7C">
        <w:rPr>
          <w:b/>
        </w:rPr>
        <w:t xml:space="preserve">ption </w:t>
      </w:r>
      <w:r w:rsidR="0061607E" w:rsidRPr="008F1B7C">
        <w:rPr>
          <w:b/>
        </w:rPr>
        <w:t>4</w:t>
      </w:r>
      <w:r w:rsidRPr="008F1B7C">
        <w:rPr>
          <w:b/>
        </w:rPr>
        <w:t xml:space="preserve"> </w:t>
      </w:r>
      <w:r w:rsidRPr="008F1B7C">
        <w:t>as the benefits it provides to members</w:t>
      </w:r>
      <w:r w:rsidR="00DF7E44" w:rsidRPr="008F1B7C">
        <w:t>, RSE licensees</w:t>
      </w:r>
      <w:r w:rsidR="00C72900" w:rsidRPr="008F1B7C">
        <w:t>, APRA</w:t>
      </w:r>
      <w:r w:rsidR="00DF7E44" w:rsidRPr="008F1B7C">
        <w:t xml:space="preserve"> and other stakeholders</w:t>
      </w:r>
      <w:r w:rsidRPr="008F1B7C">
        <w:t xml:space="preserve"> outweigh the costs identified and so delivers a perceived </w:t>
      </w:r>
      <w:r w:rsidR="00240B58" w:rsidRPr="008F1B7C">
        <w:t xml:space="preserve">positive </w:t>
      </w:r>
      <w:r w:rsidRPr="008F1B7C">
        <w:t>net benefit.</w:t>
      </w:r>
      <w:r w:rsidR="004F762C" w:rsidRPr="008F1B7C">
        <w:t xml:space="preserve"> </w:t>
      </w:r>
    </w:p>
    <w:p w14:paraId="3E3F21F7" w14:textId="6749254B" w:rsidR="001418CA" w:rsidRPr="008F1B7C" w:rsidRDefault="00214B13" w:rsidP="00D84488">
      <w:r w:rsidRPr="008F1B7C">
        <w:t>T</w:t>
      </w:r>
      <w:r w:rsidR="004F762C" w:rsidRPr="008F1B7C">
        <w:t xml:space="preserve">he additional cost of option 3 and 4 compared to option 2 </w:t>
      </w:r>
      <w:r w:rsidR="00015C8A" w:rsidRPr="008F1B7C">
        <w:t>is</w:t>
      </w:r>
      <w:r w:rsidR="004F762C" w:rsidRPr="008F1B7C">
        <w:t xml:space="preserve"> </w:t>
      </w:r>
      <w:r w:rsidR="008A2ECF" w:rsidRPr="008F1B7C">
        <w:t xml:space="preserve">largely </w:t>
      </w:r>
      <w:r w:rsidR="004F762C" w:rsidRPr="008F1B7C">
        <w:t xml:space="preserve">due to the inclusion of three additional </w:t>
      </w:r>
      <w:r w:rsidRPr="008F1B7C">
        <w:t xml:space="preserve">data </w:t>
      </w:r>
      <w:r w:rsidR="004F762C" w:rsidRPr="008F1B7C">
        <w:t xml:space="preserve">topics, however these are anticipated to deliver additional </w:t>
      </w:r>
      <w:r w:rsidR="006635FB" w:rsidRPr="008F1B7C">
        <w:t>benefits</w:t>
      </w:r>
      <w:r w:rsidR="004F762C" w:rsidRPr="008F1B7C">
        <w:t xml:space="preserve"> that far outweigh the difference in costs. Breakeven analysis shows that a 0.15 per cent reduction in total annual industry insurance premiums from removal or redesign of inappropriate insurance cover would recover the additional costs. Similarly, just a 0.11 per cent reduction in total annual industry expenses from the identification of expenditure which is not in members best financial interests would recover the additional costs. </w:t>
      </w:r>
    </w:p>
    <w:p w14:paraId="64B26C32" w14:textId="31D19C7C" w:rsidR="00CD43AC" w:rsidRPr="008F1B7C" w:rsidRDefault="00623D3B" w:rsidP="00B308B7">
      <w:pPr>
        <w:spacing w:before="240"/>
      </w:pPr>
      <w:r w:rsidRPr="008F1B7C">
        <w:t>The following table provides a summary of the costs and benefits of each option against the key criteria discussed in this RIS.</w:t>
      </w:r>
    </w:p>
    <w:tbl>
      <w:tblPr>
        <w:tblStyle w:val="TableGrid"/>
        <w:tblW w:w="9214" w:type="dxa"/>
        <w:tblLayout w:type="fixed"/>
        <w:tblLook w:val="04A0" w:firstRow="1" w:lastRow="0" w:firstColumn="1" w:lastColumn="0" w:noHBand="0" w:noVBand="1"/>
      </w:tblPr>
      <w:tblGrid>
        <w:gridCol w:w="3477"/>
        <w:gridCol w:w="1387"/>
        <w:gridCol w:w="1387"/>
        <w:gridCol w:w="1387"/>
        <w:gridCol w:w="1576"/>
      </w:tblGrid>
      <w:tr w:rsidR="00F314EB" w:rsidRPr="008F1B7C" w14:paraId="55188201" w14:textId="6FBFCE80" w:rsidTr="0017526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7" w:type="dxa"/>
            <w:vAlign w:val="center"/>
          </w:tcPr>
          <w:p w14:paraId="1F8FE712" w14:textId="28684CF6" w:rsidR="007C5AD6" w:rsidRPr="00207D5B" w:rsidRDefault="00D44B4E" w:rsidP="00B308B7">
            <w:pPr>
              <w:keepNext/>
              <w:keepLines/>
              <w:jc w:val="center"/>
              <w:rPr>
                <w:b/>
                <w:color w:val="FFFFFF" w:themeColor="background1"/>
              </w:rPr>
            </w:pPr>
            <w:bookmarkStart w:id="102" w:name="_Hlk71551186"/>
            <w:r w:rsidRPr="00207D5B">
              <w:rPr>
                <w:b/>
                <w:color w:val="FFFFFF" w:themeColor="background1"/>
              </w:rPr>
              <w:lastRenderedPageBreak/>
              <w:t>Criteria</w:t>
            </w:r>
          </w:p>
        </w:tc>
        <w:tc>
          <w:tcPr>
            <w:tcW w:w="1387" w:type="dxa"/>
            <w:vAlign w:val="center"/>
          </w:tcPr>
          <w:p w14:paraId="6EA05D60" w14:textId="2874C6BA" w:rsidR="007C5AD6" w:rsidRPr="00207D5B" w:rsidRDefault="007C5AD6" w:rsidP="00B308B7">
            <w:pPr>
              <w:keepNext/>
              <w:keepLines/>
              <w:jc w:val="center"/>
              <w:cnfStyle w:val="100000000000" w:firstRow="1" w:lastRow="0" w:firstColumn="0" w:lastColumn="0" w:oddVBand="0" w:evenVBand="0" w:oddHBand="0" w:evenHBand="0" w:firstRowFirstColumn="0" w:firstRowLastColumn="0" w:lastRowFirstColumn="0" w:lastRowLastColumn="0"/>
              <w:rPr>
                <w:b/>
                <w:color w:val="FFFFFF" w:themeColor="background1"/>
              </w:rPr>
            </w:pPr>
            <w:r w:rsidRPr="00207D5B">
              <w:rPr>
                <w:b/>
                <w:color w:val="FFFFFF" w:themeColor="background1"/>
              </w:rPr>
              <w:t>Option 1</w:t>
            </w:r>
          </w:p>
        </w:tc>
        <w:tc>
          <w:tcPr>
            <w:tcW w:w="1387" w:type="dxa"/>
            <w:vAlign w:val="center"/>
          </w:tcPr>
          <w:p w14:paraId="192B22CA" w14:textId="69BBD792" w:rsidR="007C5AD6" w:rsidRPr="00207D5B" w:rsidRDefault="00D40150" w:rsidP="00B308B7">
            <w:pPr>
              <w:keepNext/>
              <w:keepLines/>
              <w:jc w:val="center"/>
              <w:cnfStyle w:val="100000000000" w:firstRow="1" w:lastRow="0" w:firstColumn="0" w:lastColumn="0" w:oddVBand="0" w:evenVBand="0" w:oddHBand="0" w:evenHBand="0" w:firstRowFirstColumn="0" w:firstRowLastColumn="0" w:lastRowFirstColumn="0" w:lastRowLastColumn="0"/>
              <w:rPr>
                <w:b/>
                <w:color w:val="FFFFFF" w:themeColor="background1"/>
              </w:rPr>
            </w:pPr>
            <w:r w:rsidRPr="00207D5B">
              <w:rPr>
                <w:b/>
                <w:color w:val="FFFFFF" w:themeColor="background1"/>
              </w:rPr>
              <w:t>Option 2</w:t>
            </w:r>
          </w:p>
        </w:tc>
        <w:tc>
          <w:tcPr>
            <w:tcW w:w="1387" w:type="dxa"/>
            <w:vAlign w:val="center"/>
          </w:tcPr>
          <w:p w14:paraId="26E25D0D" w14:textId="01A6F1EC" w:rsidR="007C5AD6" w:rsidRPr="00207D5B" w:rsidRDefault="007C5AD6" w:rsidP="00B308B7">
            <w:pPr>
              <w:keepNext/>
              <w:keepLines/>
              <w:jc w:val="center"/>
              <w:cnfStyle w:val="100000000000" w:firstRow="1" w:lastRow="0" w:firstColumn="0" w:lastColumn="0" w:oddVBand="0" w:evenVBand="0" w:oddHBand="0" w:evenHBand="0" w:firstRowFirstColumn="0" w:firstRowLastColumn="0" w:lastRowFirstColumn="0" w:lastRowLastColumn="0"/>
              <w:rPr>
                <w:b/>
                <w:color w:val="FFFFFF" w:themeColor="background1"/>
              </w:rPr>
            </w:pPr>
            <w:r w:rsidRPr="00207D5B">
              <w:rPr>
                <w:b/>
                <w:color w:val="FFFFFF" w:themeColor="background1"/>
              </w:rPr>
              <w:t>Option 3</w:t>
            </w:r>
          </w:p>
        </w:tc>
        <w:tc>
          <w:tcPr>
            <w:tcW w:w="1576" w:type="dxa"/>
            <w:vAlign w:val="center"/>
          </w:tcPr>
          <w:p w14:paraId="40C9588B" w14:textId="77777777" w:rsidR="00DA5BED" w:rsidRPr="00207D5B" w:rsidRDefault="00DA5BED" w:rsidP="00B308B7">
            <w:pPr>
              <w:keepNext/>
              <w:keepLines/>
              <w:jc w:val="center"/>
              <w:cnfStyle w:val="100000000000" w:firstRow="1" w:lastRow="0" w:firstColumn="0" w:lastColumn="0" w:oddVBand="0" w:evenVBand="0" w:oddHBand="0" w:evenHBand="0" w:firstRowFirstColumn="0" w:firstRowLastColumn="0" w:lastRowFirstColumn="0" w:lastRowLastColumn="0"/>
              <w:rPr>
                <w:b/>
                <w:color w:val="FFFFFF" w:themeColor="background1"/>
              </w:rPr>
            </w:pPr>
          </w:p>
          <w:p w14:paraId="28791E6A" w14:textId="609B4C42" w:rsidR="007C5AD6" w:rsidRPr="00207D5B" w:rsidRDefault="007C5AD6" w:rsidP="00B308B7">
            <w:pPr>
              <w:keepNext/>
              <w:keepLines/>
              <w:jc w:val="center"/>
              <w:cnfStyle w:val="100000000000" w:firstRow="1" w:lastRow="0" w:firstColumn="0" w:lastColumn="0" w:oddVBand="0" w:evenVBand="0" w:oddHBand="0" w:evenHBand="0" w:firstRowFirstColumn="0" w:firstRowLastColumn="0" w:lastRowFirstColumn="0" w:lastRowLastColumn="0"/>
              <w:rPr>
                <w:b/>
                <w:color w:val="FFFFFF" w:themeColor="background1"/>
              </w:rPr>
            </w:pPr>
            <w:r w:rsidRPr="00207D5B">
              <w:rPr>
                <w:b/>
                <w:color w:val="FFFFFF" w:themeColor="background1"/>
              </w:rPr>
              <w:t>Option 4</w:t>
            </w:r>
          </w:p>
          <w:p w14:paraId="2C61F98A" w14:textId="61739096" w:rsidR="007C5AD6" w:rsidRPr="00207D5B" w:rsidRDefault="007C5AD6" w:rsidP="00B308B7">
            <w:pPr>
              <w:keepNext/>
              <w:keepLines/>
              <w:jc w:val="center"/>
              <w:cnfStyle w:val="100000000000" w:firstRow="1" w:lastRow="0" w:firstColumn="0" w:lastColumn="0" w:oddVBand="0" w:evenVBand="0" w:oddHBand="0" w:evenHBand="0" w:firstRowFirstColumn="0" w:firstRowLastColumn="0" w:lastRowFirstColumn="0" w:lastRowLastColumn="0"/>
              <w:rPr>
                <w:b/>
                <w:color w:val="FFFFFF" w:themeColor="background1"/>
              </w:rPr>
            </w:pPr>
          </w:p>
        </w:tc>
      </w:tr>
      <w:tr w:rsidR="00F314EB" w:rsidRPr="008F1B7C" w14:paraId="1A91F4BD" w14:textId="094218B0" w:rsidTr="001752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284048BD" w14:textId="77777777" w:rsidR="007C7648" w:rsidRPr="008F1B7C" w:rsidRDefault="007C7648" w:rsidP="00D84488">
            <w:pPr>
              <w:keepNext/>
              <w:keepLines/>
              <w:rPr>
                <w:b w:val="0"/>
                <w:sz w:val="20"/>
              </w:rPr>
            </w:pPr>
            <w:r w:rsidRPr="008F1B7C">
              <w:rPr>
                <w:sz w:val="20"/>
              </w:rPr>
              <w:t>Ongoing compliance costs</w:t>
            </w:r>
          </w:p>
        </w:tc>
        <w:tc>
          <w:tcPr>
            <w:tcW w:w="1387" w:type="dxa"/>
          </w:tcPr>
          <w:p w14:paraId="45335579" w14:textId="7C28895B" w:rsidR="007C7648" w:rsidRPr="008F1B7C" w:rsidRDefault="0023710F">
            <w:pPr>
              <w:keepNext/>
              <w:keepLines/>
              <w:cnfStyle w:val="000000100000" w:firstRow="0" w:lastRow="0" w:firstColumn="0" w:lastColumn="0" w:oddVBand="0" w:evenVBand="0" w:oddHBand="1" w:evenHBand="0" w:firstRowFirstColumn="0" w:firstRowLastColumn="0" w:lastRowFirstColumn="0" w:lastRowLastColumn="0"/>
              <w:rPr>
                <w:sz w:val="20"/>
              </w:rPr>
            </w:pPr>
            <w:r w:rsidRPr="008F1B7C">
              <w:rPr>
                <w:sz w:val="20"/>
              </w:rPr>
              <w:t>No change</w:t>
            </w:r>
          </w:p>
        </w:tc>
        <w:tc>
          <w:tcPr>
            <w:tcW w:w="1387" w:type="dxa"/>
          </w:tcPr>
          <w:p w14:paraId="5D62E27D" w14:textId="29B5E62E" w:rsidR="007C7648" w:rsidRPr="008F1B7C" w:rsidRDefault="007C7648">
            <w:pPr>
              <w:keepNext/>
              <w:keepLines/>
              <w:cnfStyle w:val="000000100000" w:firstRow="0" w:lastRow="0" w:firstColumn="0" w:lastColumn="0" w:oddVBand="0" w:evenVBand="0" w:oddHBand="1" w:evenHBand="0" w:firstRowFirstColumn="0" w:firstRowLastColumn="0" w:lastRowFirstColumn="0" w:lastRowLastColumn="0"/>
              <w:rPr>
                <w:sz w:val="20"/>
              </w:rPr>
            </w:pPr>
            <w:r w:rsidRPr="008F1B7C">
              <w:rPr>
                <w:sz w:val="20"/>
              </w:rPr>
              <w:t xml:space="preserve">Moderate net </w:t>
            </w:r>
            <w:r w:rsidR="0023710F" w:rsidRPr="008F1B7C">
              <w:rPr>
                <w:sz w:val="20"/>
              </w:rPr>
              <w:t xml:space="preserve">costs, </w:t>
            </w:r>
            <w:r w:rsidRPr="008F1B7C">
              <w:rPr>
                <w:sz w:val="20"/>
              </w:rPr>
              <w:t>disclosure regime will become out of step</w:t>
            </w:r>
          </w:p>
        </w:tc>
        <w:tc>
          <w:tcPr>
            <w:tcW w:w="1387" w:type="dxa"/>
          </w:tcPr>
          <w:p w14:paraId="3597C5F4" w14:textId="5EF68D22" w:rsidR="007C7648" w:rsidRPr="008F1B7C" w:rsidRDefault="0023710F">
            <w:pPr>
              <w:keepNext/>
              <w:keepLines/>
              <w:cnfStyle w:val="000000100000" w:firstRow="0" w:lastRow="0" w:firstColumn="0" w:lastColumn="0" w:oddVBand="0" w:evenVBand="0" w:oddHBand="1" w:evenHBand="0" w:firstRowFirstColumn="0" w:firstRowLastColumn="0" w:lastRowFirstColumn="0" w:lastRowLastColumn="0"/>
              <w:rPr>
                <w:sz w:val="20"/>
              </w:rPr>
            </w:pPr>
            <w:r w:rsidRPr="008F1B7C">
              <w:rPr>
                <w:sz w:val="20"/>
              </w:rPr>
              <w:t xml:space="preserve">Moderate net costs, </w:t>
            </w:r>
            <w:r w:rsidR="007C7648" w:rsidRPr="008F1B7C">
              <w:rPr>
                <w:sz w:val="20"/>
              </w:rPr>
              <w:t>will be consistent with disclosure regime</w:t>
            </w:r>
          </w:p>
        </w:tc>
        <w:tc>
          <w:tcPr>
            <w:tcW w:w="1576" w:type="dxa"/>
          </w:tcPr>
          <w:p w14:paraId="47B9D813" w14:textId="6618671B" w:rsidR="007C7648" w:rsidRPr="008F1B7C" w:rsidRDefault="0023710F">
            <w:pPr>
              <w:keepNext/>
              <w:keepLines/>
              <w:cnfStyle w:val="000000100000" w:firstRow="0" w:lastRow="0" w:firstColumn="0" w:lastColumn="0" w:oddVBand="0" w:evenVBand="0" w:oddHBand="1" w:evenHBand="0" w:firstRowFirstColumn="0" w:firstRowLastColumn="0" w:lastRowFirstColumn="0" w:lastRowLastColumn="0"/>
              <w:rPr>
                <w:sz w:val="20"/>
              </w:rPr>
            </w:pPr>
            <w:r w:rsidRPr="008F1B7C">
              <w:rPr>
                <w:sz w:val="20"/>
              </w:rPr>
              <w:t xml:space="preserve">Moderate net costs, </w:t>
            </w:r>
            <w:r w:rsidR="007C7648" w:rsidRPr="008F1B7C">
              <w:rPr>
                <w:sz w:val="20"/>
              </w:rPr>
              <w:t>will be consistent with disclosure regime</w:t>
            </w:r>
          </w:p>
        </w:tc>
      </w:tr>
      <w:tr w:rsidR="00F314EB" w:rsidRPr="008F1B7C" w14:paraId="4E1CFE30" w14:textId="3177F6F0" w:rsidTr="001752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6C66BAFE" w14:textId="62846959" w:rsidR="007C7648" w:rsidRPr="008F1B7C" w:rsidRDefault="007C7648" w:rsidP="00D84488">
            <w:pPr>
              <w:rPr>
                <w:b w:val="0"/>
                <w:sz w:val="20"/>
              </w:rPr>
            </w:pPr>
            <w:r w:rsidRPr="008F1B7C">
              <w:rPr>
                <w:sz w:val="20"/>
              </w:rPr>
              <w:t>Set-up costs including processes to capture new classifications</w:t>
            </w:r>
          </w:p>
        </w:tc>
        <w:tc>
          <w:tcPr>
            <w:tcW w:w="1387" w:type="dxa"/>
          </w:tcPr>
          <w:p w14:paraId="3C20954A" w14:textId="3A2A6377" w:rsidR="007C7648" w:rsidRPr="008F1B7C" w:rsidRDefault="007C7648">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 xml:space="preserve">No change </w:t>
            </w:r>
          </w:p>
        </w:tc>
        <w:tc>
          <w:tcPr>
            <w:tcW w:w="1387" w:type="dxa"/>
          </w:tcPr>
          <w:p w14:paraId="490C0AD4" w14:textId="0736AC5E" w:rsidR="007C7648" w:rsidRPr="008F1B7C" w:rsidRDefault="0023710F">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Moderate to s</w:t>
            </w:r>
            <w:r w:rsidR="007C7648" w:rsidRPr="008F1B7C">
              <w:rPr>
                <w:sz w:val="20"/>
              </w:rPr>
              <w:t xml:space="preserve">ubstantial costs for system set-up. Lower costs </w:t>
            </w:r>
            <w:r w:rsidRPr="008F1B7C">
              <w:rPr>
                <w:sz w:val="20"/>
              </w:rPr>
              <w:t xml:space="preserve">for </w:t>
            </w:r>
            <w:r w:rsidR="00F314EB" w:rsidRPr="008F1B7C">
              <w:rPr>
                <w:sz w:val="20"/>
              </w:rPr>
              <w:t>those 6</w:t>
            </w:r>
            <w:r w:rsidR="006971BD" w:rsidRPr="008F1B7C">
              <w:rPr>
                <w:sz w:val="20"/>
              </w:rPr>
              <w:t>5</w:t>
            </w:r>
            <w:r w:rsidR="00F314EB" w:rsidRPr="008F1B7C">
              <w:rPr>
                <w:sz w:val="20"/>
              </w:rPr>
              <w:t xml:space="preserve"> RSE licensees with </w:t>
            </w:r>
            <w:proofErr w:type="spellStart"/>
            <w:r w:rsidR="00F314EB" w:rsidRPr="008F1B7C">
              <w:rPr>
                <w:sz w:val="20"/>
              </w:rPr>
              <w:t>MySuper</w:t>
            </w:r>
            <w:proofErr w:type="spellEnd"/>
            <w:r w:rsidR="00F314EB" w:rsidRPr="008F1B7C">
              <w:rPr>
                <w:sz w:val="20"/>
              </w:rPr>
              <w:t xml:space="preserve"> products</w:t>
            </w:r>
          </w:p>
        </w:tc>
        <w:tc>
          <w:tcPr>
            <w:tcW w:w="1387" w:type="dxa"/>
          </w:tcPr>
          <w:p w14:paraId="6E0843C6" w14:textId="577F4759" w:rsidR="007C7648" w:rsidRPr="008F1B7C" w:rsidRDefault="007C7648">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Substantial costs for system set-up. Substantial costs for mapping classifications in implementation timeframe</w:t>
            </w:r>
          </w:p>
        </w:tc>
        <w:tc>
          <w:tcPr>
            <w:tcW w:w="1576" w:type="dxa"/>
          </w:tcPr>
          <w:p w14:paraId="624933AC" w14:textId="79DCDAFB" w:rsidR="007C7648" w:rsidRPr="008F1B7C" w:rsidRDefault="007C7648">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 xml:space="preserve">Substantial costs for system set-up. </w:t>
            </w:r>
            <w:r w:rsidR="00F314EB" w:rsidRPr="008F1B7C">
              <w:rPr>
                <w:sz w:val="20"/>
              </w:rPr>
              <w:t xml:space="preserve">Substantial (but lower than option 3) </w:t>
            </w:r>
            <w:r w:rsidRPr="008F1B7C">
              <w:rPr>
                <w:sz w:val="20"/>
              </w:rPr>
              <w:t>costs for putting in place processes to capture classifications</w:t>
            </w:r>
          </w:p>
        </w:tc>
      </w:tr>
      <w:tr w:rsidR="00F314EB" w:rsidRPr="008F1B7C" w14:paraId="7EB7A771" w14:textId="77777777" w:rsidTr="001752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209909E7" w14:textId="7BF7AC5A" w:rsidR="00624E36" w:rsidRPr="008F1B7C" w:rsidRDefault="002A3872" w:rsidP="00D84488">
            <w:pPr>
              <w:rPr>
                <w:sz w:val="20"/>
              </w:rPr>
            </w:pPr>
            <w:r w:rsidRPr="008F1B7C">
              <w:rPr>
                <w:sz w:val="20"/>
              </w:rPr>
              <w:t>APRA costs</w:t>
            </w:r>
          </w:p>
        </w:tc>
        <w:tc>
          <w:tcPr>
            <w:tcW w:w="1387" w:type="dxa"/>
          </w:tcPr>
          <w:p w14:paraId="2A1DB51E" w14:textId="28C9CC64" w:rsidR="00624E36" w:rsidRPr="008F1B7C" w:rsidRDefault="00624E36" w:rsidP="00303549">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No change</w:t>
            </w:r>
          </w:p>
        </w:tc>
        <w:tc>
          <w:tcPr>
            <w:tcW w:w="1387" w:type="dxa"/>
          </w:tcPr>
          <w:p w14:paraId="50B9FD57" w14:textId="74B63A99" w:rsidR="00624E36" w:rsidRPr="008F1B7C" w:rsidRDefault="00624E36" w:rsidP="00303549">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Moderate</w:t>
            </w:r>
          </w:p>
        </w:tc>
        <w:tc>
          <w:tcPr>
            <w:tcW w:w="1387" w:type="dxa"/>
          </w:tcPr>
          <w:p w14:paraId="0A38CA5A" w14:textId="679BFE97" w:rsidR="00624E36" w:rsidRPr="008F1B7C" w:rsidRDefault="002A3872" w:rsidP="00303549">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Moderate</w:t>
            </w:r>
          </w:p>
        </w:tc>
        <w:tc>
          <w:tcPr>
            <w:tcW w:w="1576" w:type="dxa"/>
          </w:tcPr>
          <w:p w14:paraId="3FB786B5" w14:textId="6682D778" w:rsidR="00624E36" w:rsidRPr="008F1B7C" w:rsidRDefault="002A3872" w:rsidP="00303549">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Moderate</w:t>
            </w:r>
          </w:p>
        </w:tc>
      </w:tr>
      <w:tr w:rsidR="00F314EB" w:rsidRPr="008F1B7C" w14:paraId="1BE46B07" w14:textId="51990B4F" w:rsidTr="001752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495049A2" w14:textId="28264D5F" w:rsidR="007C7648" w:rsidRPr="008F1B7C" w:rsidRDefault="007C7648" w:rsidP="00D84488">
            <w:pPr>
              <w:rPr>
                <w:b w:val="0"/>
                <w:sz w:val="20"/>
              </w:rPr>
            </w:pPr>
            <w:r w:rsidRPr="008F1B7C">
              <w:rPr>
                <w:sz w:val="20"/>
              </w:rPr>
              <w:t xml:space="preserve">Addresses </w:t>
            </w:r>
            <w:r w:rsidR="00CA7C90" w:rsidRPr="008F1B7C">
              <w:rPr>
                <w:sz w:val="20"/>
              </w:rPr>
              <w:t>coverage of products and options</w:t>
            </w:r>
          </w:p>
        </w:tc>
        <w:tc>
          <w:tcPr>
            <w:tcW w:w="1387" w:type="dxa"/>
          </w:tcPr>
          <w:p w14:paraId="2825AFA8" w14:textId="60B2DFE2" w:rsidR="007C7648" w:rsidRPr="008F1B7C" w:rsidRDefault="007C7648">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Does not meet criteria</w:t>
            </w:r>
          </w:p>
        </w:tc>
        <w:tc>
          <w:tcPr>
            <w:tcW w:w="1387" w:type="dxa"/>
          </w:tcPr>
          <w:p w14:paraId="48D097C6" w14:textId="4943CCD9" w:rsidR="007C7648" w:rsidRPr="008F1B7C" w:rsidRDefault="007C7648">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Meets criteria</w:t>
            </w:r>
            <w:r w:rsidR="002A3872" w:rsidRPr="008F1B7C">
              <w:rPr>
                <w:sz w:val="20"/>
              </w:rPr>
              <w:t xml:space="preserve"> with structural limitations</w:t>
            </w:r>
          </w:p>
        </w:tc>
        <w:tc>
          <w:tcPr>
            <w:tcW w:w="1387" w:type="dxa"/>
          </w:tcPr>
          <w:p w14:paraId="055B554F" w14:textId="2C6130FE" w:rsidR="007C7648" w:rsidRPr="008F1B7C" w:rsidRDefault="007C7648">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 xml:space="preserve">Meets criteria </w:t>
            </w:r>
          </w:p>
        </w:tc>
        <w:tc>
          <w:tcPr>
            <w:tcW w:w="1576" w:type="dxa"/>
          </w:tcPr>
          <w:p w14:paraId="7753AD70" w14:textId="49168250" w:rsidR="007C7648" w:rsidRPr="008F1B7C" w:rsidRDefault="007C7648">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Meets criteria</w:t>
            </w:r>
          </w:p>
        </w:tc>
      </w:tr>
      <w:tr w:rsidR="00F314EB" w:rsidRPr="008F1B7C" w14:paraId="092B56F3" w14:textId="77777777" w:rsidTr="001752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52622FE0" w14:textId="7F921CF6" w:rsidR="008F726B" w:rsidRPr="008F1B7C" w:rsidRDefault="008F726B">
            <w:pPr>
              <w:rPr>
                <w:b w:val="0"/>
                <w:sz w:val="20"/>
              </w:rPr>
            </w:pPr>
            <w:r w:rsidRPr="008F1B7C">
              <w:rPr>
                <w:sz w:val="20"/>
              </w:rPr>
              <w:t xml:space="preserve">Addresses limitations </w:t>
            </w:r>
            <w:r w:rsidR="00CD4B66" w:rsidRPr="008F1B7C">
              <w:rPr>
                <w:sz w:val="20"/>
              </w:rPr>
              <w:t xml:space="preserve">and inefficiency </w:t>
            </w:r>
            <w:r w:rsidRPr="008F1B7C">
              <w:rPr>
                <w:sz w:val="20"/>
              </w:rPr>
              <w:t xml:space="preserve">of </w:t>
            </w:r>
            <w:r w:rsidR="00CD4B66" w:rsidRPr="008F1B7C">
              <w:rPr>
                <w:sz w:val="20"/>
              </w:rPr>
              <w:t xml:space="preserve">applying </w:t>
            </w:r>
            <w:r w:rsidRPr="008F1B7C">
              <w:rPr>
                <w:sz w:val="20"/>
              </w:rPr>
              <w:t>existing reporting</w:t>
            </w:r>
            <w:r w:rsidR="003704D2" w:rsidRPr="008F1B7C">
              <w:rPr>
                <w:sz w:val="20"/>
              </w:rPr>
              <w:t xml:space="preserve"> </w:t>
            </w:r>
            <w:r w:rsidR="00CD4B66" w:rsidRPr="008F1B7C">
              <w:rPr>
                <w:sz w:val="20"/>
              </w:rPr>
              <w:t>to all products and options</w:t>
            </w:r>
          </w:p>
        </w:tc>
        <w:tc>
          <w:tcPr>
            <w:tcW w:w="1387" w:type="dxa"/>
          </w:tcPr>
          <w:p w14:paraId="1BD38FC0" w14:textId="236E0AC5" w:rsidR="008F726B" w:rsidRPr="008F1B7C" w:rsidRDefault="008F726B">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Does not meet criteria</w:t>
            </w:r>
          </w:p>
        </w:tc>
        <w:tc>
          <w:tcPr>
            <w:tcW w:w="1387" w:type="dxa"/>
          </w:tcPr>
          <w:p w14:paraId="1E3E7764" w14:textId="4F9FF5B7" w:rsidR="008F726B" w:rsidRPr="008F1B7C" w:rsidRDefault="008F726B">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Does not meet criteria</w:t>
            </w:r>
          </w:p>
        </w:tc>
        <w:tc>
          <w:tcPr>
            <w:tcW w:w="1387" w:type="dxa"/>
          </w:tcPr>
          <w:p w14:paraId="5D770B79" w14:textId="46A258A1" w:rsidR="008F726B" w:rsidRPr="008F1B7C" w:rsidRDefault="008F726B">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Meets criteria</w:t>
            </w:r>
          </w:p>
        </w:tc>
        <w:tc>
          <w:tcPr>
            <w:tcW w:w="1576" w:type="dxa"/>
          </w:tcPr>
          <w:p w14:paraId="3AFFFA1F" w14:textId="5D2EE896" w:rsidR="008F726B" w:rsidRPr="008F1B7C" w:rsidRDefault="008F726B">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Meets criteria on a staged timetable</w:t>
            </w:r>
          </w:p>
        </w:tc>
      </w:tr>
      <w:tr w:rsidR="00BD69C0" w:rsidRPr="008F1B7C" w14:paraId="7BEFFCA5" w14:textId="77777777" w:rsidTr="001752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6960A920" w14:textId="6C5CD95D" w:rsidR="00BD69C0" w:rsidRPr="008F1B7C" w:rsidRDefault="00BD69C0" w:rsidP="00BD69C0">
            <w:pPr>
              <w:rPr>
                <w:sz w:val="20"/>
              </w:rPr>
            </w:pPr>
            <w:r w:rsidRPr="008F1B7C">
              <w:rPr>
                <w:sz w:val="20"/>
              </w:rPr>
              <w:t>Addresses limitations of current insurance collection</w:t>
            </w:r>
          </w:p>
        </w:tc>
        <w:tc>
          <w:tcPr>
            <w:tcW w:w="1387" w:type="dxa"/>
          </w:tcPr>
          <w:p w14:paraId="3C451973" w14:textId="7A906DB1" w:rsidR="00BD69C0" w:rsidRPr="008F1B7C" w:rsidRDefault="00BD69C0" w:rsidP="00BD69C0">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Does not meet criteria</w:t>
            </w:r>
          </w:p>
        </w:tc>
        <w:tc>
          <w:tcPr>
            <w:tcW w:w="1387" w:type="dxa"/>
          </w:tcPr>
          <w:p w14:paraId="41EE2F0A" w14:textId="11CD189D" w:rsidR="00BD69C0" w:rsidRPr="008F1B7C" w:rsidRDefault="00BD69C0" w:rsidP="00BD69C0">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Does not meet criteria</w:t>
            </w:r>
          </w:p>
        </w:tc>
        <w:tc>
          <w:tcPr>
            <w:tcW w:w="1387" w:type="dxa"/>
          </w:tcPr>
          <w:p w14:paraId="698F5970" w14:textId="0435F583" w:rsidR="00BD69C0" w:rsidRPr="008F1B7C" w:rsidRDefault="00BD69C0" w:rsidP="00BD69C0">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Meets criteria</w:t>
            </w:r>
          </w:p>
        </w:tc>
        <w:tc>
          <w:tcPr>
            <w:tcW w:w="1576" w:type="dxa"/>
          </w:tcPr>
          <w:p w14:paraId="3B67107A" w14:textId="25185817" w:rsidR="00BD69C0" w:rsidRPr="008F1B7C" w:rsidRDefault="00BD69C0" w:rsidP="00BD69C0">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Meets criteria on a staged timetable</w:t>
            </w:r>
          </w:p>
        </w:tc>
      </w:tr>
      <w:tr w:rsidR="00F314EB" w:rsidRPr="008F1B7C" w14:paraId="104CFD1F" w14:textId="77777777" w:rsidTr="001752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12717A4C" w14:textId="3E662C52" w:rsidR="003704D2" w:rsidRPr="008F1B7C" w:rsidRDefault="003704D2" w:rsidP="003704D2">
            <w:pPr>
              <w:rPr>
                <w:sz w:val="20"/>
              </w:rPr>
            </w:pPr>
            <w:r w:rsidRPr="008F1B7C">
              <w:rPr>
                <w:sz w:val="20"/>
              </w:rPr>
              <w:t>Utilises APRA’s full look-through powers</w:t>
            </w:r>
            <w:r w:rsidR="00CD4B66" w:rsidRPr="008F1B7C">
              <w:rPr>
                <w:sz w:val="20"/>
              </w:rPr>
              <w:t xml:space="preserve"> to address limitations of reporting on expenses</w:t>
            </w:r>
          </w:p>
        </w:tc>
        <w:tc>
          <w:tcPr>
            <w:tcW w:w="1387" w:type="dxa"/>
          </w:tcPr>
          <w:p w14:paraId="266D8290" w14:textId="6B9DA2FF" w:rsidR="003704D2" w:rsidRPr="008F1B7C" w:rsidRDefault="003704D2" w:rsidP="003704D2">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Does not meet criteria</w:t>
            </w:r>
          </w:p>
        </w:tc>
        <w:tc>
          <w:tcPr>
            <w:tcW w:w="1387" w:type="dxa"/>
          </w:tcPr>
          <w:p w14:paraId="523696B1" w14:textId="19830F0B" w:rsidR="003704D2" w:rsidRPr="008F1B7C" w:rsidRDefault="003704D2" w:rsidP="003704D2">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Does not meet criteria</w:t>
            </w:r>
          </w:p>
        </w:tc>
        <w:tc>
          <w:tcPr>
            <w:tcW w:w="1387" w:type="dxa"/>
          </w:tcPr>
          <w:p w14:paraId="133FEFFA" w14:textId="53E4DCF5" w:rsidR="003704D2" w:rsidRPr="008F1B7C" w:rsidRDefault="003704D2" w:rsidP="003704D2">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Meets criteria</w:t>
            </w:r>
          </w:p>
        </w:tc>
        <w:tc>
          <w:tcPr>
            <w:tcW w:w="1576" w:type="dxa"/>
          </w:tcPr>
          <w:p w14:paraId="16E5FDF9" w14:textId="0DFD732E" w:rsidR="003704D2" w:rsidRPr="008F1B7C" w:rsidRDefault="003704D2" w:rsidP="003704D2">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Meets criteria on a staged timetable</w:t>
            </w:r>
          </w:p>
        </w:tc>
      </w:tr>
      <w:tr w:rsidR="00C82269" w:rsidRPr="008F1B7C" w14:paraId="28918501" w14:textId="77777777" w:rsidTr="001752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08A5E6CF" w14:textId="477FE281" w:rsidR="00C82269" w:rsidRPr="008F1B7C" w:rsidRDefault="00C82269" w:rsidP="00C82269">
            <w:pPr>
              <w:rPr>
                <w:sz w:val="20"/>
              </w:rPr>
            </w:pPr>
            <w:r w:rsidRPr="008F1B7C">
              <w:rPr>
                <w:sz w:val="20"/>
              </w:rPr>
              <w:t>Addresses limitations of current member accounts collection</w:t>
            </w:r>
          </w:p>
        </w:tc>
        <w:tc>
          <w:tcPr>
            <w:tcW w:w="1387" w:type="dxa"/>
          </w:tcPr>
          <w:p w14:paraId="5F944F37" w14:textId="31F8385B" w:rsidR="00C82269" w:rsidRPr="008F1B7C" w:rsidRDefault="00C82269" w:rsidP="00C82269">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Does not meet criteria</w:t>
            </w:r>
          </w:p>
        </w:tc>
        <w:tc>
          <w:tcPr>
            <w:tcW w:w="1387" w:type="dxa"/>
          </w:tcPr>
          <w:p w14:paraId="57AFDDC6" w14:textId="1A96D846" w:rsidR="00C82269" w:rsidRPr="008F1B7C" w:rsidRDefault="00C82269" w:rsidP="00C82269">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Does not meet criteria</w:t>
            </w:r>
          </w:p>
        </w:tc>
        <w:tc>
          <w:tcPr>
            <w:tcW w:w="1387" w:type="dxa"/>
          </w:tcPr>
          <w:p w14:paraId="10DBEB3F" w14:textId="27F3A769" w:rsidR="00C82269" w:rsidRPr="008F1B7C" w:rsidRDefault="00C82269" w:rsidP="00C82269">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Meets criteria</w:t>
            </w:r>
          </w:p>
        </w:tc>
        <w:tc>
          <w:tcPr>
            <w:tcW w:w="1576" w:type="dxa"/>
          </w:tcPr>
          <w:p w14:paraId="5FDC7C18" w14:textId="076F2D38" w:rsidR="00C82269" w:rsidRPr="008F1B7C" w:rsidRDefault="00C82269" w:rsidP="00C82269">
            <w:pPr>
              <w:cnfStyle w:val="000000010000" w:firstRow="0" w:lastRow="0" w:firstColumn="0" w:lastColumn="0" w:oddVBand="0" w:evenVBand="0" w:oddHBand="0" w:evenHBand="1" w:firstRowFirstColumn="0" w:firstRowLastColumn="0" w:lastRowFirstColumn="0" w:lastRowLastColumn="0"/>
              <w:rPr>
                <w:sz w:val="20"/>
              </w:rPr>
            </w:pPr>
            <w:r w:rsidRPr="008F1B7C">
              <w:rPr>
                <w:sz w:val="20"/>
              </w:rPr>
              <w:t>Meets criteria</w:t>
            </w:r>
          </w:p>
        </w:tc>
      </w:tr>
      <w:tr w:rsidR="00F314EB" w:rsidRPr="008F1B7C" w14:paraId="60C31E90" w14:textId="77777777" w:rsidTr="001752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242C133D" w14:textId="445D371C" w:rsidR="00BE54C6" w:rsidRPr="008F1B7C" w:rsidRDefault="00BE54C6" w:rsidP="00BE54C6">
            <w:pPr>
              <w:rPr>
                <w:sz w:val="20"/>
              </w:rPr>
            </w:pPr>
            <w:r w:rsidRPr="008F1B7C">
              <w:rPr>
                <w:sz w:val="20"/>
              </w:rPr>
              <w:t>Reduces need for ad-hoc collections</w:t>
            </w:r>
          </w:p>
        </w:tc>
        <w:tc>
          <w:tcPr>
            <w:tcW w:w="1387" w:type="dxa"/>
          </w:tcPr>
          <w:p w14:paraId="49EADA36" w14:textId="4F386CD3" w:rsidR="00BE54C6" w:rsidRPr="008F1B7C" w:rsidRDefault="00BE54C6" w:rsidP="00BE54C6">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Does not meet criteria</w:t>
            </w:r>
          </w:p>
        </w:tc>
        <w:tc>
          <w:tcPr>
            <w:tcW w:w="1387" w:type="dxa"/>
          </w:tcPr>
          <w:p w14:paraId="51C2154B" w14:textId="42B3AE92" w:rsidR="00BE54C6" w:rsidRPr="008F1B7C" w:rsidRDefault="00BE54C6" w:rsidP="00BE54C6">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Somewhat meets criteria</w:t>
            </w:r>
          </w:p>
        </w:tc>
        <w:tc>
          <w:tcPr>
            <w:tcW w:w="1387" w:type="dxa"/>
          </w:tcPr>
          <w:p w14:paraId="1DB7C99F" w14:textId="023D01AB" w:rsidR="00BE54C6" w:rsidRPr="008F1B7C" w:rsidRDefault="00BE54C6" w:rsidP="00BE54C6">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Meets criteria</w:t>
            </w:r>
          </w:p>
        </w:tc>
        <w:tc>
          <w:tcPr>
            <w:tcW w:w="1576" w:type="dxa"/>
          </w:tcPr>
          <w:p w14:paraId="2EBE9767" w14:textId="2FFF720C" w:rsidR="00BE54C6" w:rsidRPr="008F1B7C" w:rsidRDefault="00BE54C6" w:rsidP="00BE54C6">
            <w:pPr>
              <w:cnfStyle w:val="000000100000" w:firstRow="0" w:lastRow="0" w:firstColumn="0" w:lastColumn="0" w:oddVBand="0" w:evenVBand="0" w:oddHBand="1" w:evenHBand="0" w:firstRowFirstColumn="0" w:firstRowLastColumn="0" w:lastRowFirstColumn="0" w:lastRowLastColumn="0"/>
              <w:rPr>
                <w:sz w:val="20"/>
              </w:rPr>
            </w:pPr>
            <w:r w:rsidRPr="008F1B7C">
              <w:rPr>
                <w:sz w:val="20"/>
              </w:rPr>
              <w:t>Meets criteria</w:t>
            </w:r>
          </w:p>
        </w:tc>
      </w:tr>
      <w:tr w:rsidR="00F314EB" w:rsidRPr="008F1B7C" w14:paraId="58F87FF4" w14:textId="77777777" w:rsidTr="001752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77" w:type="dxa"/>
          </w:tcPr>
          <w:p w14:paraId="737685A4" w14:textId="3AE7D4DB" w:rsidR="00F314EB" w:rsidRPr="008F1B7C" w:rsidRDefault="00F314EB" w:rsidP="009C57EF">
            <w:pPr>
              <w:rPr>
                <w:sz w:val="20"/>
              </w:rPr>
            </w:pPr>
            <w:r w:rsidRPr="008F1B7C">
              <w:rPr>
                <w:sz w:val="20"/>
              </w:rPr>
              <w:t>Overall</w:t>
            </w:r>
          </w:p>
        </w:tc>
        <w:tc>
          <w:tcPr>
            <w:tcW w:w="1387" w:type="dxa"/>
          </w:tcPr>
          <w:p w14:paraId="24F1DC04" w14:textId="6ADDA727" w:rsidR="00F314EB" w:rsidRPr="008F1B7C" w:rsidRDefault="00F314EB" w:rsidP="009C57EF">
            <w:pPr>
              <w:cnfStyle w:val="000000010000" w:firstRow="0" w:lastRow="0" w:firstColumn="0" w:lastColumn="0" w:oddVBand="0" w:evenVBand="0" w:oddHBand="0" w:evenHBand="1" w:firstRowFirstColumn="0" w:firstRowLastColumn="0" w:lastRowFirstColumn="0" w:lastRowLastColumn="0"/>
              <w:rPr>
                <w:b/>
                <w:sz w:val="20"/>
              </w:rPr>
            </w:pPr>
            <w:r w:rsidRPr="008F1B7C">
              <w:rPr>
                <w:b/>
                <w:sz w:val="20"/>
              </w:rPr>
              <w:t>No net benefit</w:t>
            </w:r>
          </w:p>
        </w:tc>
        <w:tc>
          <w:tcPr>
            <w:tcW w:w="1387" w:type="dxa"/>
          </w:tcPr>
          <w:p w14:paraId="6D924D9B" w14:textId="15468E0C" w:rsidR="00F314EB" w:rsidRPr="008F1B7C" w:rsidRDefault="00C706D6" w:rsidP="009C57EF">
            <w:pPr>
              <w:cnfStyle w:val="000000010000" w:firstRow="0" w:lastRow="0" w:firstColumn="0" w:lastColumn="0" w:oddVBand="0" w:evenVBand="0" w:oddHBand="0" w:evenHBand="1" w:firstRowFirstColumn="0" w:firstRowLastColumn="0" w:lastRowFirstColumn="0" w:lastRowLastColumn="0"/>
              <w:rPr>
                <w:b/>
                <w:sz w:val="20"/>
              </w:rPr>
            </w:pPr>
            <w:r w:rsidRPr="008F1B7C">
              <w:rPr>
                <w:b/>
                <w:sz w:val="20"/>
              </w:rPr>
              <w:t xml:space="preserve">Some </w:t>
            </w:r>
            <w:r w:rsidR="00F314EB" w:rsidRPr="008F1B7C">
              <w:rPr>
                <w:b/>
                <w:sz w:val="20"/>
              </w:rPr>
              <w:t>net benefit</w:t>
            </w:r>
          </w:p>
        </w:tc>
        <w:tc>
          <w:tcPr>
            <w:tcW w:w="1387" w:type="dxa"/>
          </w:tcPr>
          <w:p w14:paraId="20B83071" w14:textId="640437F5" w:rsidR="00F314EB" w:rsidRPr="008F1B7C" w:rsidRDefault="00C706D6" w:rsidP="009C57EF">
            <w:pPr>
              <w:cnfStyle w:val="000000010000" w:firstRow="0" w:lastRow="0" w:firstColumn="0" w:lastColumn="0" w:oddVBand="0" w:evenVBand="0" w:oddHBand="0" w:evenHBand="1" w:firstRowFirstColumn="0" w:firstRowLastColumn="0" w:lastRowFirstColumn="0" w:lastRowLastColumn="0"/>
              <w:rPr>
                <w:b/>
                <w:sz w:val="20"/>
              </w:rPr>
            </w:pPr>
            <w:r w:rsidRPr="008F1B7C">
              <w:rPr>
                <w:b/>
                <w:sz w:val="20"/>
              </w:rPr>
              <w:t xml:space="preserve">Substantial </w:t>
            </w:r>
            <w:r w:rsidR="00F314EB" w:rsidRPr="008F1B7C">
              <w:rPr>
                <w:b/>
                <w:sz w:val="20"/>
              </w:rPr>
              <w:t>net benefit</w:t>
            </w:r>
          </w:p>
        </w:tc>
        <w:tc>
          <w:tcPr>
            <w:tcW w:w="1576" w:type="dxa"/>
          </w:tcPr>
          <w:p w14:paraId="55271FB7" w14:textId="10E38F25" w:rsidR="00F314EB" w:rsidRPr="008F1B7C" w:rsidRDefault="00C706D6" w:rsidP="009C57EF">
            <w:pPr>
              <w:cnfStyle w:val="000000010000" w:firstRow="0" w:lastRow="0" w:firstColumn="0" w:lastColumn="0" w:oddVBand="0" w:evenVBand="0" w:oddHBand="0" w:evenHBand="1" w:firstRowFirstColumn="0" w:firstRowLastColumn="0" w:lastRowFirstColumn="0" w:lastRowLastColumn="0"/>
              <w:rPr>
                <w:b/>
                <w:sz w:val="20"/>
              </w:rPr>
            </w:pPr>
            <w:r w:rsidRPr="008F1B7C">
              <w:rPr>
                <w:b/>
                <w:sz w:val="20"/>
              </w:rPr>
              <w:t xml:space="preserve">Substantial </w:t>
            </w:r>
            <w:r w:rsidR="00F314EB" w:rsidRPr="008F1B7C">
              <w:rPr>
                <w:b/>
                <w:sz w:val="20"/>
              </w:rPr>
              <w:t>net benefit</w:t>
            </w:r>
          </w:p>
        </w:tc>
      </w:tr>
    </w:tbl>
    <w:bookmarkEnd w:id="102"/>
    <w:p w14:paraId="1706CDC2" w14:textId="0E6C53DA" w:rsidR="001418CA" w:rsidRPr="008F1B7C" w:rsidRDefault="001418CA" w:rsidP="00B308B7">
      <w:pPr>
        <w:spacing w:before="240"/>
      </w:pPr>
      <w:r w:rsidRPr="008F1B7C">
        <w:t xml:space="preserve">This RIS has presented four options to address the problem – the </w:t>
      </w:r>
      <w:r w:rsidR="00AC2270" w:rsidRPr="008F1B7C">
        <w:t>significant</w:t>
      </w:r>
      <w:r w:rsidRPr="008F1B7C">
        <w:t xml:space="preserve"> gaps in coverage and quality that currently exist in the superannuation reporting framework. The merit of each option is outlined below, with the merits of </w:t>
      </w:r>
      <w:r w:rsidR="00B3124D" w:rsidRPr="008F1B7C">
        <w:t>O</w:t>
      </w:r>
      <w:r w:rsidRPr="008F1B7C">
        <w:t xml:space="preserve">ption </w:t>
      </w:r>
      <w:r w:rsidR="001F5F86" w:rsidRPr="008F1B7C">
        <w:t>4</w:t>
      </w:r>
      <w:r w:rsidRPr="008F1B7C">
        <w:t xml:space="preserve"> providing the rationale for it being the option selected.</w:t>
      </w:r>
    </w:p>
    <w:p w14:paraId="7B105AD3" w14:textId="3A2CF4A4" w:rsidR="001418CA" w:rsidRPr="008F1B7C" w:rsidRDefault="001418CA">
      <w:r w:rsidRPr="008F1B7C">
        <w:rPr>
          <w:b/>
        </w:rPr>
        <w:lastRenderedPageBreak/>
        <w:t>Option 1</w:t>
      </w:r>
      <w:r w:rsidRPr="008F1B7C">
        <w:t xml:space="preserve"> considered making no change to the current reporting framework. Inevitably, this option fails to deliver on any of the objectives identified in this RIS and would only serve to preserve the status quo.</w:t>
      </w:r>
    </w:p>
    <w:p w14:paraId="64112ADF" w14:textId="2845B25F" w:rsidR="00460E28" w:rsidRPr="008F1B7C" w:rsidRDefault="001418CA" w:rsidP="00460E28">
      <w:r w:rsidRPr="008F1B7C">
        <w:rPr>
          <w:b/>
        </w:rPr>
        <w:t>Option 2</w:t>
      </w:r>
      <w:r w:rsidRPr="008F1B7C">
        <w:t xml:space="preserve"> </w:t>
      </w:r>
      <w:r w:rsidR="008D11B4" w:rsidRPr="008F1B7C">
        <w:t xml:space="preserve">only partially solves the policy problem. Option 2 addresses the need for a complete picture of the Australian superannuation industry with respect to </w:t>
      </w:r>
      <w:r w:rsidR="00BC51B6" w:rsidRPr="008F1B7C">
        <w:t>product and</w:t>
      </w:r>
      <w:r w:rsidR="008D11B4" w:rsidRPr="008F1B7C">
        <w:t xml:space="preserve"> investment option coverage. It does not, however, address the insufficient granularity of the current reporting framework and </w:t>
      </w:r>
      <w:r w:rsidR="00BE229A" w:rsidRPr="008F1B7C">
        <w:t xml:space="preserve">would </w:t>
      </w:r>
      <w:r w:rsidR="008D11B4" w:rsidRPr="008F1B7C">
        <w:t>carry through the structural limitations, affecting APRA’s ability to effectively assess and supervise entities and address underperformance in member outcomes in retirement.</w:t>
      </w:r>
      <w:r w:rsidR="00460E28" w:rsidRPr="008F1B7C">
        <w:t xml:space="preserve"> As set out in the problem statement, data for </w:t>
      </w:r>
      <w:proofErr w:type="spellStart"/>
      <w:r w:rsidR="00460E28" w:rsidRPr="008F1B7C">
        <w:t>MySuper</w:t>
      </w:r>
      <w:proofErr w:type="spellEnd"/>
      <w:r w:rsidR="00460E28" w:rsidRPr="008F1B7C">
        <w:t xml:space="preserve"> products is limited in complexity by legislation and standardised measures are prescribed. Extending the existing reporting forms for reporting on choice products would be difficult, involve transformations</w:t>
      </w:r>
      <w:r w:rsidR="00214B13" w:rsidRPr="008F1B7C">
        <w:t xml:space="preserve"> of data</w:t>
      </w:r>
      <w:r w:rsidR="00460E28" w:rsidRPr="008F1B7C">
        <w:t xml:space="preserve"> that trustees would have to put in place, and would only capture a partial picture and be inefficient.</w:t>
      </w:r>
      <w:r w:rsidR="00214B13" w:rsidRPr="008F1B7C">
        <w:t xml:space="preserve"> Ad-hoc collections would be needed to supplement and provided deeper insights on </w:t>
      </w:r>
      <w:proofErr w:type="gramStart"/>
      <w:r w:rsidR="00214B13" w:rsidRPr="008F1B7C">
        <w:t>particular topic</w:t>
      </w:r>
      <w:proofErr w:type="gramEnd"/>
      <w:r w:rsidR="00214B13" w:rsidRPr="008F1B7C">
        <w:t xml:space="preserve"> areas.</w:t>
      </w:r>
      <w:r w:rsidR="00460E28" w:rsidRPr="008F1B7C">
        <w:t xml:space="preserve"> </w:t>
      </w:r>
    </w:p>
    <w:p w14:paraId="268BE9FC" w14:textId="77777777" w:rsidR="00460E28" w:rsidRPr="008F1B7C" w:rsidRDefault="001418CA" w:rsidP="00460E28">
      <w:r w:rsidRPr="008F1B7C">
        <w:rPr>
          <w:b/>
        </w:rPr>
        <w:t>Option 3</w:t>
      </w:r>
      <w:r w:rsidRPr="008F1B7C">
        <w:t xml:space="preserve"> addresses the </w:t>
      </w:r>
      <w:r w:rsidR="00D466BB" w:rsidRPr="008F1B7C">
        <w:t>policy problem</w:t>
      </w:r>
      <w:r w:rsidR="008D11B4" w:rsidRPr="008F1B7C">
        <w:t xml:space="preserve">. This option represents a change in reporting frameworks which addresses the need to measure outcomes delivered across all products and investment options offered by RSE licensees to a sufficient level of granularity. </w:t>
      </w:r>
      <w:r w:rsidR="00460E28" w:rsidRPr="008F1B7C">
        <w:t>The proposals under option 3 involve a redesign of the collection to collect data about all possible combinations of products and investment options in a more efficient way. The dynamic collection design would enable APRA and other users of the data to combine the reported data to calculate outcomes for different types of representative members with different combinations of investment pathways, and to create tools which can display comparable outcomes for any prescribed parameters.</w:t>
      </w:r>
    </w:p>
    <w:p w14:paraId="4BFC4C45" w14:textId="568AAC64" w:rsidR="00460E28" w:rsidRPr="008F1B7C" w:rsidRDefault="00460E28" w:rsidP="00460E28">
      <w:r w:rsidRPr="008F1B7C">
        <w:t xml:space="preserve">The proposals under Option 3 also include three additional topics insurance, </w:t>
      </w:r>
      <w:proofErr w:type="gramStart"/>
      <w:r w:rsidRPr="008F1B7C">
        <w:t>expenses</w:t>
      </w:r>
      <w:proofErr w:type="gramEnd"/>
      <w:r w:rsidRPr="008F1B7C">
        <w:t xml:space="preserve"> and member accounts. These proposals </w:t>
      </w:r>
      <w:r w:rsidR="002E6D45" w:rsidRPr="008F1B7C">
        <w:t>would</w:t>
      </w:r>
      <w:r w:rsidRPr="008F1B7C">
        <w:t xml:space="preserve"> facilitate detailed assessment of how RSE licensees are spending members money, more granular analysis of the membership of the fund, and enhanced assessment of insurance outcomes.</w:t>
      </w:r>
    </w:p>
    <w:p w14:paraId="2282EF61" w14:textId="1735D960" w:rsidR="005675F5" w:rsidRPr="008F1B7C" w:rsidRDefault="001418CA" w:rsidP="00185CBA">
      <w:r w:rsidRPr="008F1B7C">
        <w:t xml:space="preserve">The data collection under </w:t>
      </w:r>
      <w:r w:rsidR="00B3124D" w:rsidRPr="008F1B7C">
        <w:t>O</w:t>
      </w:r>
      <w:r w:rsidRPr="008F1B7C">
        <w:t xml:space="preserve">ption 3 </w:t>
      </w:r>
      <w:r w:rsidR="002E6D45" w:rsidRPr="008F1B7C">
        <w:t xml:space="preserve">would </w:t>
      </w:r>
      <w:r w:rsidRPr="008F1B7C">
        <w:t xml:space="preserve">provide APRA supervisors with </w:t>
      </w:r>
      <w:r w:rsidR="00185CBA" w:rsidRPr="008F1B7C">
        <w:t>consistent</w:t>
      </w:r>
      <w:r w:rsidR="00C3207D" w:rsidRPr="008F1B7C">
        <w:t>,</w:t>
      </w:r>
      <w:r w:rsidR="00185CBA" w:rsidRPr="008F1B7C">
        <w:t xml:space="preserve"> </w:t>
      </w:r>
      <w:proofErr w:type="gramStart"/>
      <w:r w:rsidR="00185CBA" w:rsidRPr="008F1B7C">
        <w:t>comparable</w:t>
      </w:r>
      <w:proofErr w:type="gramEnd"/>
      <w:r w:rsidRPr="008F1B7C">
        <w:t xml:space="preserve"> </w:t>
      </w:r>
      <w:r w:rsidR="00C3207D" w:rsidRPr="008F1B7C">
        <w:t xml:space="preserve">and more granular </w:t>
      </w:r>
      <w:r w:rsidRPr="008F1B7C">
        <w:t>information necessary to benchmark funds more accurately and make determinations on the quality of outcomes delivered to members.</w:t>
      </w:r>
      <w:r w:rsidR="00185CBA" w:rsidRPr="008F1B7C">
        <w:rPr>
          <w:rFonts w:ascii="Helvetica" w:hAnsi="Helvetica" w:cs="Helvetica"/>
          <w:color w:val="000000"/>
        </w:rPr>
        <w:t xml:space="preserve"> </w:t>
      </w:r>
      <w:r w:rsidR="00C3207D" w:rsidRPr="008F1B7C">
        <w:rPr>
          <w:rFonts w:ascii="Helvetica" w:hAnsi="Helvetica" w:cs="Helvetica"/>
          <w:color w:val="000000"/>
        </w:rPr>
        <w:t>This would</w:t>
      </w:r>
      <w:r w:rsidR="00185CBA" w:rsidRPr="008F1B7C">
        <w:rPr>
          <w:rFonts w:ascii="Helvetica" w:hAnsi="Helvetica" w:cs="Helvetica"/>
          <w:color w:val="000000"/>
        </w:rPr>
        <w:t xml:space="preserve"> enable APRA to</w:t>
      </w:r>
      <w:r w:rsidR="00185CBA" w:rsidRPr="008F1B7C">
        <w:t xml:space="preserve"> identify areas of the superannuation industry that are underperforming and increase supervisory </w:t>
      </w:r>
      <w:proofErr w:type="gramStart"/>
      <w:r w:rsidR="00185CBA" w:rsidRPr="008F1B7C">
        <w:t>intensity accordingly;</w:t>
      </w:r>
      <w:proofErr w:type="gramEnd"/>
      <w:r w:rsidR="00185CBA" w:rsidRPr="008F1B7C">
        <w:t xml:space="preserve"> and hold RSE licensees to account for their operations, including the outcomes they deliver to members and the way they spend members’ money.</w:t>
      </w:r>
    </w:p>
    <w:p w14:paraId="0CB3618A" w14:textId="319D20F3" w:rsidR="001418CA" w:rsidRPr="008F1B7C" w:rsidRDefault="001418CA">
      <w:r w:rsidRPr="008F1B7C">
        <w:rPr>
          <w:b/>
        </w:rPr>
        <w:t>Option 4</w:t>
      </w:r>
      <w:r w:rsidRPr="008F1B7C">
        <w:t xml:space="preserve"> </w:t>
      </w:r>
      <w:r w:rsidR="00C3207D" w:rsidRPr="008F1B7C">
        <w:t>addresses</w:t>
      </w:r>
      <w:r w:rsidR="008D11B4" w:rsidRPr="008F1B7C">
        <w:t xml:space="preserve"> </w:t>
      </w:r>
      <w:r w:rsidR="00EC7294" w:rsidRPr="008F1B7C">
        <w:t xml:space="preserve">the </w:t>
      </w:r>
      <w:r w:rsidR="008D11B4" w:rsidRPr="008F1B7C">
        <w:t xml:space="preserve">policy problem as outlined for </w:t>
      </w:r>
      <w:r w:rsidR="00B3124D" w:rsidRPr="008F1B7C">
        <w:t>O</w:t>
      </w:r>
      <w:r w:rsidR="008D11B4" w:rsidRPr="008F1B7C">
        <w:t>ption 3, with a more manageable transition period for implementation.</w:t>
      </w:r>
      <w:r w:rsidR="00C3207D" w:rsidRPr="008F1B7C">
        <w:t xml:space="preserve"> </w:t>
      </w:r>
      <w:r w:rsidR="008D11B4" w:rsidRPr="008F1B7C">
        <w:t>Option 4</w:t>
      </w:r>
      <w:r w:rsidR="00C733A3" w:rsidRPr="008F1B7C">
        <w:t xml:space="preserve"> </w:t>
      </w:r>
      <w:r w:rsidR="008D11B4" w:rsidRPr="008F1B7C">
        <w:t>r</w:t>
      </w:r>
      <w:r w:rsidR="00F833E2" w:rsidRPr="008F1B7C">
        <w:t xml:space="preserve">educes </w:t>
      </w:r>
      <w:r w:rsidR="00C733A3" w:rsidRPr="008F1B7C">
        <w:t xml:space="preserve">the implementation burden </w:t>
      </w:r>
      <w:r w:rsidR="00940784" w:rsidRPr="008F1B7C">
        <w:t>identified by stakeholders</w:t>
      </w:r>
      <w:r w:rsidR="004174BD" w:rsidRPr="008F1B7C">
        <w:t xml:space="preserve"> </w:t>
      </w:r>
      <w:r w:rsidR="008D11B4" w:rsidRPr="008F1B7C">
        <w:t xml:space="preserve">in </w:t>
      </w:r>
      <w:r w:rsidR="004174BD" w:rsidRPr="008F1B7C">
        <w:t>the consultation process</w:t>
      </w:r>
      <w:r w:rsidR="00C52C07" w:rsidRPr="008F1B7C">
        <w:t xml:space="preserve"> through the provision of a staged implementation</w:t>
      </w:r>
      <w:r w:rsidR="004174BD" w:rsidRPr="008F1B7C">
        <w:t>.</w:t>
      </w:r>
    </w:p>
    <w:p w14:paraId="1F55585C" w14:textId="7FE61DF6" w:rsidR="00BD69C0" w:rsidRPr="00635054" w:rsidRDefault="00BD69C0" w:rsidP="00BD69C0">
      <w:r w:rsidRPr="008F1B7C">
        <w:t xml:space="preserve">The performance test will apply to </w:t>
      </w:r>
      <w:proofErr w:type="spellStart"/>
      <w:r w:rsidRPr="008F1B7C">
        <w:t>MySuper</w:t>
      </w:r>
      <w:proofErr w:type="spellEnd"/>
      <w:r w:rsidRPr="008F1B7C">
        <w:t xml:space="preserve"> products in 2021 and </w:t>
      </w:r>
      <w:r w:rsidR="00466DFA" w:rsidRPr="008F1B7C">
        <w:t>t</w:t>
      </w:r>
      <w:r w:rsidRPr="008F1B7C">
        <w:t>rustee</w:t>
      </w:r>
      <w:r w:rsidR="001E35FE" w:rsidRPr="008F1B7C">
        <w:t>-</w:t>
      </w:r>
      <w:r w:rsidR="00466DFA" w:rsidRPr="008F1B7C">
        <w:t>d</w:t>
      </w:r>
      <w:r w:rsidRPr="008F1B7C">
        <w:t xml:space="preserve">irected </w:t>
      </w:r>
      <w:r w:rsidR="00466DFA" w:rsidRPr="008F1B7C">
        <w:t>p</w:t>
      </w:r>
      <w:r w:rsidRPr="008F1B7C">
        <w:t>roducts in 2022</w:t>
      </w:r>
      <w:r w:rsidR="006C52EF" w:rsidRPr="00635054">
        <w:rPr>
          <w:rStyle w:val="FootnoteReference"/>
        </w:rPr>
        <w:footnoteReference w:id="35"/>
      </w:r>
      <w:r w:rsidRPr="00635054">
        <w:t>. Over time, other investment options which are made available by the trustee will also be subject to annual performance tests.</w:t>
      </w:r>
      <w:r w:rsidRPr="00635054">
        <w:rPr>
          <w:rStyle w:val="FootnoteReference"/>
        </w:rPr>
        <w:footnoteReference w:id="36"/>
      </w:r>
    </w:p>
    <w:p w14:paraId="756C726A" w14:textId="3E6FF171" w:rsidR="008A2ECF" w:rsidRPr="008F1B7C" w:rsidRDefault="00BD69C0">
      <w:r w:rsidRPr="008F1B7C">
        <w:t xml:space="preserve">Under the staged implementation approach in option 4, RSE licensees </w:t>
      </w:r>
      <w:r w:rsidR="00D478F9" w:rsidRPr="008F1B7C">
        <w:t>would</w:t>
      </w:r>
      <w:r w:rsidRPr="008F1B7C">
        <w:t xml:space="preserve"> submit data for </w:t>
      </w:r>
      <w:proofErr w:type="spellStart"/>
      <w:r w:rsidRPr="008F1B7C">
        <w:t>MySuper</w:t>
      </w:r>
      <w:proofErr w:type="spellEnd"/>
      <w:r w:rsidRPr="008F1B7C">
        <w:t xml:space="preserve"> products on 30 September 2021 and</w:t>
      </w:r>
      <w:r w:rsidR="00D478F9" w:rsidRPr="008F1B7C">
        <w:t xml:space="preserve"> data</w:t>
      </w:r>
      <w:r w:rsidRPr="008F1B7C">
        <w:t xml:space="preserve"> for </w:t>
      </w:r>
      <w:r w:rsidR="00466DFA" w:rsidRPr="008F1B7C">
        <w:t>t</w:t>
      </w:r>
      <w:r w:rsidRPr="008F1B7C">
        <w:t>rustee</w:t>
      </w:r>
      <w:r w:rsidR="001E35FE" w:rsidRPr="008F1B7C">
        <w:t>-</w:t>
      </w:r>
      <w:r w:rsidR="00466DFA" w:rsidRPr="008F1B7C">
        <w:t>d</w:t>
      </w:r>
      <w:r w:rsidRPr="008F1B7C">
        <w:t xml:space="preserve">irected </w:t>
      </w:r>
      <w:r w:rsidR="00466DFA" w:rsidRPr="008F1B7C">
        <w:t>p</w:t>
      </w:r>
      <w:r w:rsidRPr="008F1B7C">
        <w:t xml:space="preserve">roducts on 28 </w:t>
      </w:r>
      <w:r w:rsidRPr="008F1B7C">
        <w:lastRenderedPageBreak/>
        <w:t xml:space="preserve">October 2021. Submission of data for all other investment options </w:t>
      </w:r>
      <w:r w:rsidR="00D478F9" w:rsidRPr="008F1B7C">
        <w:t>would be</w:t>
      </w:r>
      <w:r w:rsidRPr="008F1B7C">
        <w:t xml:space="preserve"> deferred until 28 July 2022. </w:t>
      </w:r>
    </w:p>
    <w:p w14:paraId="58B1A919" w14:textId="77777777" w:rsidR="001418CA" w:rsidRPr="008F1B7C" w:rsidRDefault="001418CA">
      <w:pPr>
        <w:rPr>
          <w:b/>
        </w:rPr>
      </w:pPr>
      <w:r w:rsidRPr="008F1B7C">
        <w:rPr>
          <w:b/>
        </w:rPr>
        <w:t>Implementation</w:t>
      </w:r>
    </w:p>
    <w:p w14:paraId="2ECB708A" w14:textId="683726F5" w:rsidR="00E70B2C" w:rsidRPr="008F1B7C" w:rsidRDefault="007F70F3" w:rsidP="005139E3">
      <w:pPr>
        <w:pStyle w:val="ListParagraph"/>
        <w:numPr>
          <w:ilvl w:val="0"/>
          <w:numId w:val="25"/>
        </w:numPr>
        <w:tabs>
          <w:tab w:val="clear" w:pos="425"/>
          <w:tab w:val="clear" w:pos="851"/>
        </w:tabs>
        <w:spacing w:before="240" w:after="0"/>
        <w:contextualSpacing w:val="0"/>
        <w:rPr>
          <w:rFonts w:ascii="Times New Roman" w:hAnsi="Times New Roman"/>
        </w:rPr>
      </w:pPr>
      <w:r w:rsidRPr="008F1B7C">
        <w:t>APRA will give effect to the proposed reporting requirements by determining the ten reporting standards under FSCODA</w:t>
      </w:r>
      <w:r w:rsidR="00C3207D" w:rsidRPr="008F1B7C">
        <w:t xml:space="preserve"> in </w:t>
      </w:r>
      <w:r w:rsidR="00780BE4" w:rsidRPr="008F1B7C">
        <w:t xml:space="preserve">early September </w:t>
      </w:r>
      <w:r w:rsidR="00C3207D" w:rsidRPr="008F1B7C">
        <w:t>2021</w:t>
      </w:r>
      <w:r w:rsidRPr="008F1B7C">
        <w:t>.</w:t>
      </w:r>
    </w:p>
    <w:p w14:paraId="3CEBDD79" w14:textId="4A81C422" w:rsidR="007F70F3" w:rsidRPr="008F1B7C" w:rsidRDefault="00E70B2C" w:rsidP="005139E3">
      <w:pPr>
        <w:pStyle w:val="ListParagraph"/>
        <w:numPr>
          <w:ilvl w:val="0"/>
          <w:numId w:val="25"/>
        </w:numPr>
        <w:tabs>
          <w:tab w:val="clear" w:pos="425"/>
          <w:tab w:val="clear" w:pos="851"/>
        </w:tabs>
        <w:spacing w:before="240" w:after="0"/>
        <w:contextualSpacing w:val="0"/>
      </w:pPr>
      <w:r w:rsidRPr="008F1B7C">
        <w:t xml:space="preserve">The first submission for these reporting standards will be due </w:t>
      </w:r>
      <w:r w:rsidR="006F405B" w:rsidRPr="008F1B7C">
        <w:t xml:space="preserve">by </w:t>
      </w:r>
      <w:r w:rsidRPr="008F1B7C">
        <w:t>30 September 2021 for</w:t>
      </w:r>
      <w:r w:rsidR="00EC7294" w:rsidRPr="008F1B7C">
        <w:t xml:space="preserve"> </w:t>
      </w:r>
      <w:r w:rsidR="006F405B" w:rsidRPr="008F1B7C">
        <w:t xml:space="preserve">data for </w:t>
      </w:r>
      <w:r w:rsidR="00EC7294" w:rsidRPr="008F1B7C">
        <w:t>the period ending</w:t>
      </w:r>
      <w:r w:rsidRPr="008F1B7C">
        <w:t xml:space="preserve"> 30 June 2021.</w:t>
      </w:r>
    </w:p>
    <w:p w14:paraId="6AB74461" w14:textId="6B1412E1" w:rsidR="007F70F3" w:rsidRPr="008F1B7C" w:rsidRDefault="007F70F3" w:rsidP="005139E3">
      <w:pPr>
        <w:pStyle w:val="ListParagraph"/>
        <w:numPr>
          <w:ilvl w:val="0"/>
          <w:numId w:val="25"/>
        </w:numPr>
        <w:tabs>
          <w:tab w:val="clear" w:pos="425"/>
          <w:tab w:val="clear" w:pos="851"/>
        </w:tabs>
        <w:spacing w:before="240" w:after="0"/>
        <w:contextualSpacing w:val="0"/>
      </w:pPr>
      <w:r w:rsidRPr="008F1B7C">
        <w:t xml:space="preserve">APRA has offered to discuss any difficulties in meeting the reporting requirements with impacted </w:t>
      </w:r>
      <w:r w:rsidR="00940784" w:rsidRPr="008F1B7C">
        <w:t>RSE licensees</w:t>
      </w:r>
      <w:r w:rsidRPr="008F1B7C">
        <w:t>.</w:t>
      </w:r>
    </w:p>
    <w:p w14:paraId="57EE5802" w14:textId="478637DA" w:rsidR="00E70B2C" w:rsidRPr="008F1B7C" w:rsidRDefault="00E70B2C" w:rsidP="005139E3">
      <w:pPr>
        <w:pStyle w:val="ListParagraph"/>
        <w:numPr>
          <w:ilvl w:val="0"/>
          <w:numId w:val="25"/>
        </w:numPr>
        <w:tabs>
          <w:tab w:val="clear" w:pos="425"/>
          <w:tab w:val="clear" w:pos="851"/>
        </w:tabs>
        <w:spacing w:before="240" w:after="0"/>
        <w:contextualSpacing w:val="0"/>
      </w:pPr>
      <w:r w:rsidRPr="008F1B7C">
        <w:t xml:space="preserve">APRA has put in place working groups with </w:t>
      </w:r>
      <w:r w:rsidR="00940784" w:rsidRPr="008F1B7C">
        <w:t>RSE licensees</w:t>
      </w:r>
      <w:r w:rsidRPr="008F1B7C">
        <w:t xml:space="preserve"> and service providers, with regular workshops scheduled </w:t>
      </w:r>
      <w:r w:rsidR="00130F17" w:rsidRPr="008F1B7C">
        <w:t>to understand potential implementation issues</w:t>
      </w:r>
      <w:r w:rsidR="005C012E" w:rsidRPr="008F1B7C">
        <w:t xml:space="preserve"> with the proposed data collection</w:t>
      </w:r>
      <w:r w:rsidR="00130F17" w:rsidRPr="008F1B7C">
        <w:t>.</w:t>
      </w:r>
    </w:p>
    <w:p w14:paraId="6DB32502" w14:textId="0E75666D" w:rsidR="00E70B2C" w:rsidRPr="008F1B7C" w:rsidRDefault="00E70B2C" w:rsidP="005139E3">
      <w:pPr>
        <w:pStyle w:val="ListParagraph"/>
        <w:numPr>
          <w:ilvl w:val="0"/>
          <w:numId w:val="25"/>
        </w:numPr>
        <w:tabs>
          <w:tab w:val="clear" w:pos="425"/>
          <w:tab w:val="clear" w:pos="851"/>
        </w:tabs>
        <w:spacing w:before="240" w:after="0"/>
        <w:contextualSpacing w:val="0"/>
      </w:pPr>
      <w:r w:rsidRPr="008F1B7C">
        <w:t xml:space="preserve">APRA will </w:t>
      </w:r>
      <w:r w:rsidR="006F405B" w:rsidRPr="008F1B7C">
        <w:t xml:space="preserve">continue to </w:t>
      </w:r>
      <w:r w:rsidRPr="008F1B7C">
        <w:t>publish FAQs to provide additional guidance on commonly asked questions about reporting under the reporting standards for Phase 1 of the SDT project. APRA intends to release FAQs on a regular schedule in the lead up to the first submission of data under the new reporting standards on 30 September 2021. The intention of these FAQs is to clarify reporting issues raised by RSE licensees which are relevant in helping to meet reporting obligations.</w:t>
      </w:r>
    </w:p>
    <w:p w14:paraId="13C738A6" w14:textId="517F9A0A" w:rsidR="007F70F3" w:rsidRPr="008F1B7C" w:rsidRDefault="007F70F3" w:rsidP="005139E3">
      <w:pPr>
        <w:pStyle w:val="ListParagraph"/>
        <w:numPr>
          <w:ilvl w:val="0"/>
          <w:numId w:val="25"/>
        </w:numPr>
        <w:tabs>
          <w:tab w:val="clear" w:pos="425"/>
          <w:tab w:val="clear" w:pos="851"/>
        </w:tabs>
        <w:spacing w:before="240" w:after="0"/>
        <w:contextualSpacing w:val="0"/>
      </w:pPr>
      <w:r w:rsidRPr="008F1B7C">
        <w:t xml:space="preserve">As delegated legislation, reporting standards impose enforceable obligations </w:t>
      </w:r>
      <w:r w:rsidR="00940784" w:rsidRPr="008F1B7C">
        <w:t>on RSE licensees</w:t>
      </w:r>
      <w:r w:rsidRPr="008F1B7C">
        <w:t xml:space="preserve">. APRA monitors ongoing compliance with its reporting framework as part of its supervisory activities. APRA has a range of remedial powers available for non-compliance with a reporting standard, including issuing a direction requiring compliance, </w:t>
      </w:r>
      <w:r w:rsidR="009342C5" w:rsidRPr="008F1B7C">
        <w:t xml:space="preserve">a </w:t>
      </w:r>
      <w:r w:rsidRPr="008F1B7C">
        <w:t xml:space="preserve">breach of which </w:t>
      </w:r>
      <w:r w:rsidR="009342C5" w:rsidRPr="008F1B7C">
        <w:t xml:space="preserve">would be </w:t>
      </w:r>
      <w:r w:rsidRPr="008F1B7C">
        <w:t>a criminal offence.</w:t>
      </w:r>
    </w:p>
    <w:p w14:paraId="5CD4F1FF" w14:textId="3893F803" w:rsidR="007F70F3" w:rsidRPr="008F1B7C" w:rsidRDefault="007F70F3" w:rsidP="005139E3">
      <w:pPr>
        <w:pStyle w:val="ListParagraph"/>
        <w:numPr>
          <w:ilvl w:val="0"/>
          <w:numId w:val="25"/>
        </w:numPr>
        <w:tabs>
          <w:tab w:val="clear" w:pos="425"/>
          <w:tab w:val="clear" w:pos="851"/>
        </w:tabs>
        <w:spacing w:before="240" w:after="0"/>
        <w:contextualSpacing w:val="0"/>
      </w:pPr>
      <w:r w:rsidRPr="008F1B7C">
        <w:t>APRA regularly reviews its prudential and reporting framework as part of APRA’s policy development process. Such reviews consider whether the requirements continue to reflect good practice or impose undue regulatory burden.</w:t>
      </w:r>
    </w:p>
    <w:p w14:paraId="7054BE97" w14:textId="640DC813" w:rsidR="007F70F3" w:rsidRPr="008F1B7C" w:rsidRDefault="007F70F3" w:rsidP="005139E3">
      <w:pPr>
        <w:pStyle w:val="ListParagraph"/>
        <w:numPr>
          <w:ilvl w:val="0"/>
          <w:numId w:val="25"/>
        </w:numPr>
        <w:tabs>
          <w:tab w:val="clear" w:pos="425"/>
          <w:tab w:val="clear" w:pos="851"/>
        </w:tabs>
        <w:spacing w:before="240" w:after="0"/>
        <w:contextualSpacing w:val="0"/>
      </w:pPr>
      <w:r w:rsidRPr="008F1B7C">
        <w:t xml:space="preserve">APRA will also </w:t>
      </w:r>
      <w:proofErr w:type="gramStart"/>
      <w:r w:rsidRPr="008F1B7C">
        <w:t>take action</w:t>
      </w:r>
      <w:proofErr w:type="gramEnd"/>
      <w:r w:rsidRPr="008F1B7C">
        <w:t xml:space="preserve"> within a shorter timeframe</w:t>
      </w:r>
      <w:r w:rsidR="00940784" w:rsidRPr="008F1B7C">
        <w:t xml:space="preserve"> than the regular reviews</w:t>
      </w:r>
      <w:r w:rsidRPr="008F1B7C">
        <w:t xml:space="preserve"> where there is a demonstrable need to amend a reporting requirement. Such a need could be identified through APRA’s ongoing engagement with superannuation entities as part of its supervisory activity, regular stakeholder surveys, or internally within APRA. Phase </w:t>
      </w:r>
      <w:r w:rsidR="00940784" w:rsidRPr="008F1B7C">
        <w:t xml:space="preserve">3 </w:t>
      </w:r>
      <w:r w:rsidRPr="008F1B7C">
        <w:t>of the SDT</w:t>
      </w:r>
      <w:r w:rsidR="00740C37" w:rsidRPr="008F1B7C">
        <w:t xml:space="preserve"> project</w:t>
      </w:r>
      <w:r w:rsidRPr="008F1B7C">
        <w:t xml:space="preserve"> will explicitly consider the quality and consistency of reporting implemented in Phase </w:t>
      </w:r>
      <w:r w:rsidR="00940784" w:rsidRPr="008F1B7C">
        <w:t>1</w:t>
      </w:r>
      <w:r w:rsidRPr="008F1B7C">
        <w:t>.</w:t>
      </w:r>
    </w:p>
    <w:p w14:paraId="26ACA5F6" w14:textId="7AA7C66C" w:rsidR="006C49DB" w:rsidRPr="008F1B7C" w:rsidRDefault="006C49DB" w:rsidP="00E11B9C">
      <w:pPr>
        <w:pStyle w:val="ListParagraph"/>
        <w:numPr>
          <w:ilvl w:val="0"/>
          <w:numId w:val="25"/>
        </w:numPr>
        <w:tabs>
          <w:tab w:val="clear" w:pos="425"/>
          <w:tab w:val="clear" w:pos="851"/>
        </w:tabs>
        <w:spacing w:before="240" w:after="0"/>
        <w:contextualSpacing w:val="0"/>
      </w:pPr>
      <w:r w:rsidRPr="008F1B7C">
        <w:br w:type="page"/>
      </w:r>
    </w:p>
    <w:p w14:paraId="3751F8F9" w14:textId="0F7466E7" w:rsidR="00BC64D0" w:rsidRPr="008F1B7C" w:rsidRDefault="00BC64D0" w:rsidP="00BC64D0">
      <w:pPr>
        <w:jc w:val="both"/>
        <w:rPr>
          <w:b/>
        </w:rPr>
      </w:pPr>
      <w:r w:rsidRPr="008F1B7C">
        <w:rPr>
          <w:b/>
        </w:rPr>
        <w:lastRenderedPageBreak/>
        <w:t>Appendix A: Summary of current and proposed reporting standards</w:t>
      </w:r>
    </w:p>
    <w:tbl>
      <w:tblPr>
        <w:tblStyle w:val="GridTable4-Accent1"/>
        <w:tblW w:w="9918" w:type="dxa"/>
        <w:tblLayout w:type="fixed"/>
        <w:tblLook w:val="04A0" w:firstRow="1" w:lastRow="0" w:firstColumn="1" w:lastColumn="0" w:noHBand="0" w:noVBand="1"/>
      </w:tblPr>
      <w:tblGrid>
        <w:gridCol w:w="1757"/>
        <w:gridCol w:w="1587"/>
        <w:gridCol w:w="1757"/>
        <w:gridCol w:w="1557"/>
        <w:gridCol w:w="1984"/>
        <w:gridCol w:w="1276"/>
      </w:tblGrid>
      <w:tr w:rsidR="00BC64D0" w:rsidRPr="008F1B7C" w14:paraId="1BC24F0E" w14:textId="77777777" w:rsidTr="00C57254">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0" w:type="dxa"/>
            <w:noWrap/>
            <w:hideMark/>
          </w:tcPr>
          <w:p w14:paraId="5EC92D64" w14:textId="77777777" w:rsidR="00BC64D0" w:rsidRPr="008F1B7C" w:rsidRDefault="00BC64D0" w:rsidP="0091762D">
            <w:pPr>
              <w:rPr>
                <w:rFonts w:asciiTheme="majorHAnsi" w:hAnsiTheme="majorHAnsi" w:cstheme="majorHAnsi"/>
                <w:color w:val="FFFFFF" w:themeColor="background1"/>
                <w:sz w:val="20"/>
                <w:szCs w:val="20"/>
              </w:rPr>
            </w:pPr>
          </w:p>
        </w:tc>
        <w:tc>
          <w:tcPr>
            <w:tcW w:w="0" w:type="dxa"/>
            <w:gridSpan w:val="5"/>
            <w:vAlign w:val="center"/>
          </w:tcPr>
          <w:p w14:paraId="66DF335C" w14:textId="77777777" w:rsidR="00BC64D0" w:rsidRPr="008F1B7C" w:rsidRDefault="00BC64D0" w:rsidP="009176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8F1B7C">
              <w:rPr>
                <w:rFonts w:asciiTheme="majorHAnsi" w:hAnsiTheme="majorHAnsi" w:cstheme="majorHAnsi"/>
                <w:color w:val="FFFFFF" w:themeColor="background1"/>
                <w:sz w:val="20"/>
                <w:szCs w:val="20"/>
              </w:rPr>
              <w:t>Reporting level</w:t>
            </w:r>
          </w:p>
        </w:tc>
      </w:tr>
      <w:tr w:rsidR="00BC64D0" w:rsidRPr="008F1B7C" w14:paraId="3F479F4C" w14:textId="77777777" w:rsidTr="00C57254">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0" w:type="dxa"/>
            <w:noWrap/>
          </w:tcPr>
          <w:p w14:paraId="085F7E84" w14:textId="77777777" w:rsidR="00BC64D0" w:rsidRPr="008F1B7C" w:rsidRDefault="00BC64D0" w:rsidP="0091762D">
            <w:pPr>
              <w:jc w:val="center"/>
              <w:rPr>
                <w:rFonts w:asciiTheme="majorHAnsi" w:hAnsiTheme="majorHAnsi" w:cstheme="majorHAnsi"/>
                <w:color w:val="FFFFFF" w:themeColor="background1"/>
                <w:sz w:val="20"/>
                <w:szCs w:val="20"/>
              </w:rPr>
            </w:pPr>
            <w:r w:rsidRPr="008F1B7C">
              <w:rPr>
                <w:rFonts w:asciiTheme="majorHAnsi" w:hAnsiTheme="majorHAnsi" w:cstheme="majorHAnsi"/>
                <w:color w:val="FFFFFF" w:themeColor="background1"/>
                <w:sz w:val="20"/>
                <w:szCs w:val="20"/>
              </w:rPr>
              <w:t>Topic</w:t>
            </w:r>
          </w:p>
        </w:tc>
        <w:tc>
          <w:tcPr>
            <w:tcW w:w="0" w:type="dxa"/>
            <w:vAlign w:val="center"/>
          </w:tcPr>
          <w:p w14:paraId="52854ACB" w14:textId="1741C4D8" w:rsidR="00BC64D0" w:rsidRPr="008F1B7C" w:rsidRDefault="00BC64D0" w:rsidP="009176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8F1B7C">
              <w:rPr>
                <w:rFonts w:asciiTheme="majorHAnsi" w:hAnsiTheme="majorHAnsi" w:cstheme="majorHAnsi"/>
                <w:b w:val="0"/>
                <w:bCs w:val="0"/>
                <w:color w:val="FFFFFF" w:themeColor="background1"/>
                <w:sz w:val="20"/>
                <w:szCs w:val="20"/>
              </w:rPr>
              <w:t>RSE</w:t>
            </w:r>
            <w:r w:rsidR="009302E5" w:rsidRPr="008F1B7C">
              <w:rPr>
                <w:rFonts w:asciiTheme="majorHAnsi" w:hAnsiTheme="majorHAnsi" w:cstheme="majorHAnsi"/>
                <w:b w:val="0"/>
                <w:bCs w:val="0"/>
                <w:color w:val="FFFFFF" w:themeColor="background1"/>
                <w:sz w:val="20"/>
                <w:szCs w:val="20"/>
              </w:rPr>
              <w:t xml:space="preserve"> licensee</w:t>
            </w:r>
          </w:p>
        </w:tc>
        <w:tc>
          <w:tcPr>
            <w:tcW w:w="0" w:type="dxa"/>
            <w:vAlign w:val="center"/>
          </w:tcPr>
          <w:p w14:paraId="5E933A77" w14:textId="77777777" w:rsidR="00BC64D0" w:rsidRPr="008F1B7C" w:rsidRDefault="00BC64D0" w:rsidP="009176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8F1B7C">
              <w:rPr>
                <w:rFonts w:asciiTheme="majorHAnsi" w:hAnsiTheme="majorHAnsi" w:cstheme="majorHAnsi"/>
                <w:b w:val="0"/>
                <w:bCs w:val="0"/>
                <w:color w:val="FFFFFF" w:themeColor="background1"/>
                <w:sz w:val="20"/>
                <w:szCs w:val="20"/>
              </w:rPr>
              <w:t>RSE</w:t>
            </w:r>
          </w:p>
        </w:tc>
        <w:tc>
          <w:tcPr>
            <w:tcW w:w="0" w:type="dxa"/>
            <w:vAlign w:val="center"/>
          </w:tcPr>
          <w:p w14:paraId="5136D693" w14:textId="77777777" w:rsidR="00BC64D0" w:rsidRPr="008F1B7C" w:rsidRDefault="00BC64D0" w:rsidP="009176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proofErr w:type="spellStart"/>
            <w:r w:rsidRPr="008F1B7C">
              <w:rPr>
                <w:rFonts w:asciiTheme="majorHAnsi" w:hAnsiTheme="majorHAnsi" w:cstheme="majorHAnsi"/>
                <w:b w:val="0"/>
                <w:bCs w:val="0"/>
                <w:color w:val="FFFFFF" w:themeColor="background1"/>
                <w:sz w:val="20"/>
                <w:szCs w:val="20"/>
              </w:rPr>
              <w:t>MySuper</w:t>
            </w:r>
            <w:proofErr w:type="spellEnd"/>
          </w:p>
          <w:p w14:paraId="3FD29C18" w14:textId="77777777" w:rsidR="00BC64D0" w:rsidRPr="008F1B7C" w:rsidRDefault="00BC64D0" w:rsidP="009176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8F1B7C">
              <w:rPr>
                <w:rFonts w:asciiTheme="majorHAnsi" w:hAnsiTheme="majorHAnsi" w:cstheme="majorHAnsi"/>
                <w:b w:val="0"/>
                <w:bCs w:val="0"/>
                <w:color w:val="FFFFFF" w:themeColor="background1"/>
                <w:sz w:val="20"/>
                <w:szCs w:val="20"/>
              </w:rPr>
              <w:t>Products</w:t>
            </w:r>
          </w:p>
        </w:tc>
        <w:tc>
          <w:tcPr>
            <w:tcW w:w="1984" w:type="dxa"/>
            <w:vAlign w:val="center"/>
          </w:tcPr>
          <w:p w14:paraId="0DBB24A1" w14:textId="77777777" w:rsidR="00BC64D0" w:rsidRPr="008F1B7C" w:rsidRDefault="00BC64D0" w:rsidP="009176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8F1B7C">
              <w:rPr>
                <w:rFonts w:asciiTheme="majorHAnsi" w:hAnsiTheme="majorHAnsi" w:cstheme="majorHAnsi"/>
                <w:b w:val="0"/>
                <w:bCs w:val="0"/>
                <w:color w:val="FFFFFF" w:themeColor="background1"/>
                <w:sz w:val="20"/>
                <w:szCs w:val="20"/>
              </w:rPr>
              <w:t>Choice Products</w:t>
            </w:r>
          </w:p>
        </w:tc>
        <w:tc>
          <w:tcPr>
            <w:tcW w:w="1276" w:type="dxa"/>
            <w:vAlign w:val="center"/>
          </w:tcPr>
          <w:p w14:paraId="5F78FB25" w14:textId="77777777" w:rsidR="00BC64D0" w:rsidRPr="008F1B7C" w:rsidRDefault="00BC64D0" w:rsidP="0091762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8F1B7C">
              <w:rPr>
                <w:rFonts w:asciiTheme="majorHAnsi" w:hAnsiTheme="majorHAnsi" w:cstheme="majorHAnsi"/>
                <w:b w:val="0"/>
                <w:bCs w:val="0"/>
                <w:color w:val="FFFFFF" w:themeColor="background1"/>
                <w:sz w:val="20"/>
                <w:szCs w:val="20"/>
              </w:rPr>
              <w:t>Defined benefit</w:t>
            </w:r>
          </w:p>
        </w:tc>
      </w:tr>
      <w:tr w:rsidR="00BC64D0" w:rsidRPr="008F1B7C" w14:paraId="441EAECA"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39B6ECD1"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Responsible persons</w:t>
            </w:r>
          </w:p>
        </w:tc>
        <w:tc>
          <w:tcPr>
            <w:tcW w:w="0" w:type="dxa"/>
            <w:shd w:val="clear" w:color="auto" w:fill="auto"/>
            <w:vAlign w:val="center"/>
          </w:tcPr>
          <w:p w14:paraId="39A7EF55"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520.0</w:t>
            </w:r>
          </w:p>
        </w:tc>
        <w:tc>
          <w:tcPr>
            <w:tcW w:w="0" w:type="dxa"/>
            <w:shd w:val="clear" w:color="auto" w:fill="auto"/>
            <w:vAlign w:val="center"/>
          </w:tcPr>
          <w:p w14:paraId="7A956ECF"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51C900B8"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272D870F"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18A319BA"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3BD27578"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auto"/>
            <w:noWrap/>
          </w:tcPr>
          <w:p w14:paraId="68245A64"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Structure and profile</w:t>
            </w:r>
          </w:p>
        </w:tc>
        <w:tc>
          <w:tcPr>
            <w:tcW w:w="1587" w:type="dxa"/>
            <w:shd w:val="clear" w:color="auto" w:fill="auto"/>
            <w:vAlign w:val="center"/>
          </w:tcPr>
          <w:p w14:paraId="55AC9474"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600.0</w:t>
            </w:r>
          </w:p>
        </w:tc>
        <w:tc>
          <w:tcPr>
            <w:tcW w:w="1757" w:type="dxa"/>
            <w:shd w:val="clear" w:color="auto" w:fill="auto"/>
            <w:vAlign w:val="center"/>
          </w:tcPr>
          <w:p w14:paraId="58C81615"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001.0</w:t>
            </w:r>
          </w:p>
        </w:tc>
        <w:tc>
          <w:tcPr>
            <w:tcW w:w="1557" w:type="dxa"/>
            <w:shd w:val="clear" w:color="auto" w:fill="auto"/>
            <w:vAlign w:val="center"/>
          </w:tcPr>
          <w:p w14:paraId="0F040BB5"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2941DDB2"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5EE2BF51"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1F3201BD"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13F15DC7" w14:textId="77777777" w:rsidR="00BC64D0" w:rsidRPr="008F1B7C" w:rsidRDefault="00BC64D0" w:rsidP="0091762D">
            <w:pPr>
              <w:rPr>
                <w:rFonts w:asciiTheme="majorHAnsi" w:hAnsiTheme="majorHAnsi" w:cstheme="majorHAnsi"/>
                <w:color w:val="000000"/>
                <w:sz w:val="18"/>
                <w:szCs w:val="20"/>
              </w:rPr>
            </w:pPr>
          </w:p>
        </w:tc>
        <w:tc>
          <w:tcPr>
            <w:tcW w:w="1587" w:type="dxa"/>
            <w:shd w:val="clear" w:color="auto" w:fill="auto"/>
            <w:vAlign w:val="center"/>
          </w:tcPr>
          <w:p w14:paraId="2DA76553"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09E6E651"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601.0</w:t>
            </w:r>
          </w:p>
          <w:p w14:paraId="7A1E57A3"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557" w:type="dxa"/>
            <w:shd w:val="clear" w:color="auto" w:fill="auto"/>
            <w:vAlign w:val="center"/>
          </w:tcPr>
          <w:p w14:paraId="7914FA7A" w14:textId="4AED79A7" w:rsidR="00BC64D0" w:rsidRPr="008F1B7C" w:rsidRDefault="00F903A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000000"/>
                <w:sz w:val="18"/>
                <w:szCs w:val="20"/>
              </w:rPr>
            </w:pPr>
            <w:r w:rsidRPr="008F1B7C">
              <w:rPr>
                <w:rFonts w:asciiTheme="majorHAnsi" w:hAnsiTheme="majorHAnsi" w:cstheme="majorHAnsi"/>
                <w:i/>
                <w:color w:val="000000"/>
                <w:sz w:val="18"/>
                <w:szCs w:val="20"/>
              </w:rPr>
              <w:t>List reported under SRS 601</w:t>
            </w:r>
            <w:r w:rsidR="004C2EA6" w:rsidRPr="008F1B7C">
              <w:rPr>
                <w:rFonts w:asciiTheme="majorHAnsi" w:hAnsiTheme="majorHAnsi" w:cstheme="majorHAnsi"/>
                <w:i/>
                <w:color w:val="000000"/>
                <w:sz w:val="18"/>
                <w:szCs w:val="20"/>
              </w:rPr>
              <w:t>.0</w:t>
            </w:r>
          </w:p>
        </w:tc>
        <w:tc>
          <w:tcPr>
            <w:tcW w:w="1984" w:type="dxa"/>
            <w:shd w:val="clear" w:color="auto" w:fill="auto"/>
            <w:vAlign w:val="center"/>
          </w:tcPr>
          <w:p w14:paraId="34DA1AAC" w14:textId="0333E1B0" w:rsidR="00BC64D0" w:rsidRPr="008F1B7C" w:rsidRDefault="00F903A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000000"/>
                <w:sz w:val="18"/>
                <w:szCs w:val="20"/>
              </w:rPr>
            </w:pPr>
            <w:r w:rsidRPr="008F1B7C">
              <w:rPr>
                <w:rFonts w:asciiTheme="majorHAnsi" w:hAnsiTheme="majorHAnsi" w:cstheme="majorHAnsi"/>
                <w:i/>
                <w:color w:val="000000"/>
                <w:sz w:val="18"/>
                <w:szCs w:val="20"/>
              </w:rPr>
              <w:t>List of select investment options reported under SRS 601</w:t>
            </w:r>
            <w:r w:rsidR="004C2EA6" w:rsidRPr="008F1B7C">
              <w:rPr>
                <w:rFonts w:asciiTheme="majorHAnsi" w:hAnsiTheme="majorHAnsi" w:cstheme="majorHAnsi"/>
                <w:i/>
                <w:color w:val="000000"/>
                <w:sz w:val="18"/>
                <w:szCs w:val="20"/>
              </w:rPr>
              <w:t>.0</w:t>
            </w:r>
          </w:p>
        </w:tc>
        <w:tc>
          <w:tcPr>
            <w:tcW w:w="1276" w:type="dxa"/>
            <w:shd w:val="clear" w:color="auto" w:fill="auto"/>
            <w:vAlign w:val="center"/>
          </w:tcPr>
          <w:p w14:paraId="2E3E182B"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0D17DC4A"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5C797A83" w14:textId="77777777" w:rsidR="00BC64D0" w:rsidRPr="008F1B7C" w:rsidRDefault="00BC64D0" w:rsidP="0091762D">
            <w:pPr>
              <w:rPr>
                <w:rFonts w:asciiTheme="majorHAnsi" w:hAnsiTheme="majorHAnsi" w:cstheme="majorHAnsi"/>
                <w:color w:val="000000"/>
                <w:sz w:val="18"/>
                <w:szCs w:val="20"/>
              </w:rPr>
            </w:pPr>
          </w:p>
        </w:tc>
        <w:tc>
          <w:tcPr>
            <w:tcW w:w="1587" w:type="dxa"/>
            <w:shd w:val="clear" w:color="auto" w:fill="auto"/>
            <w:vAlign w:val="center"/>
          </w:tcPr>
          <w:p w14:paraId="3B5DDF0A"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1B42483E"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Proposed </w:t>
            </w:r>
          </w:p>
          <w:p w14:paraId="58DA428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SRS 605.0</w:t>
            </w:r>
          </w:p>
        </w:tc>
        <w:tc>
          <w:tcPr>
            <w:tcW w:w="1557" w:type="dxa"/>
            <w:shd w:val="clear" w:color="auto" w:fill="auto"/>
            <w:vAlign w:val="center"/>
          </w:tcPr>
          <w:p w14:paraId="4837CE66" w14:textId="7AB8971C" w:rsidR="00BC64D0" w:rsidRPr="008F1B7C" w:rsidRDefault="00F903A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000000"/>
                <w:sz w:val="18"/>
                <w:szCs w:val="20"/>
              </w:rPr>
            </w:pPr>
            <w:r w:rsidRPr="008F1B7C">
              <w:rPr>
                <w:rFonts w:asciiTheme="majorHAnsi" w:hAnsiTheme="majorHAnsi" w:cstheme="majorHAnsi"/>
                <w:b/>
                <w:i/>
                <w:color w:val="000000"/>
                <w:sz w:val="18"/>
                <w:szCs w:val="20"/>
              </w:rPr>
              <w:t>List reported under SRS 605</w:t>
            </w:r>
            <w:r w:rsidR="004C2EA6" w:rsidRPr="008F1B7C">
              <w:rPr>
                <w:rFonts w:asciiTheme="majorHAnsi" w:hAnsiTheme="majorHAnsi" w:cstheme="majorHAnsi"/>
                <w:b/>
                <w:i/>
                <w:color w:val="000000"/>
                <w:sz w:val="18"/>
                <w:szCs w:val="20"/>
              </w:rPr>
              <w:t>.0</w:t>
            </w:r>
          </w:p>
        </w:tc>
        <w:tc>
          <w:tcPr>
            <w:tcW w:w="1984" w:type="dxa"/>
            <w:shd w:val="clear" w:color="auto" w:fill="auto"/>
            <w:vAlign w:val="center"/>
          </w:tcPr>
          <w:p w14:paraId="1FF5FB38" w14:textId="5E2DE3C6" w:rsidR="00BC64D0" w:rsidRPr="008F1B7C" w:rsidRDefault="00F903A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000000"/>
                <w:sz w:val="18"/>
                <w:szCs w:val="20"/>
              </w:rPr>
            </w:pPr>
            <w:r w:rsidRPr="008F1B7C">
              <w:rPr>
                <w:rFonts w:asciiTheme="majorHAnsi" w:hAnsiTheme="majorHAnsi" w:cstheme="majorHAnsi"/>
                <w:b/>
                <w:i/>
                <w:color w:val="000000"/>
                <w:sz w:val="18"/>
                <w:szCs w:val="20"/>
              </w:rPr>
              <w:t>List of all choice products, investment menus and investment options reported under SRS 605</w:t>
            </w:r>
            <w:r w:rsidR="004C2EA6" w:rsidRPr="008F1B7C">
              <w:rPr>
                <w:rFonts w:asciiTheme="majorHAnsi" w:hAnsiTheme="majorHAnsi" w:cstheme="majorHAnsi"/>
                <w:b/>
                <w:i/>
                <w:color w:val="000000"/>
                <w:sz w:val="18"/>
                <w:szCs w:val="20"/>
              </w:rPr>
              <w:t>.0</w:t>
            </w:r>
          </w:p>
        </w:tc>
        <w:tc>
          <w:tcPr>
            <w:tcW w:w="1276" w:type="dxa"/>
            <w:shd w:val="clear" w:color="auto" w:fill="auto"/>
            <w:vAlign w:val="center"/>
          </w:tcPr>
          <w:p w14:paraId="3AB356DB"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2DF786F4"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676AB65B"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Product relationships</w:t>
            </w:r>
          </w:p>
        </w:tc>
        <w:tc>
          <w:tcPr>
            <w:tcW w:w="0" w:type="dxa"/>
            <w:shd w:val="clear" w:color="auto" w:fill="auto"/>
            <w:vAlign w:val="center"/>
          </w:tcPr>
          <w:p w14:paraId="03E2B919"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2BE3A71C"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Proposed</w:t>
            </w:r>
          </w:p>
          <w:p w14:paraId="578EAB65"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b/>
                <w:color w:val="000000"/>
                <w:sz w:val="18"/>
                <w:szCs w:val="20"/>
              </w:rPr>
              <w:t>SRS 606.0</w:t>
            </w:r>
          </w:p>
        </w:tc>
        <w:tc>
          <w:tcPr>
            <w:tcW w:w="0" w:type="dxa"/>
            <w:shd w:val="clear" w:color="auto" w:fill="auto"/>
            <w:vAlign w:val="center"/>
          </w:tcPr>
          <w:p w14:paraId="175233CF"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479A582D"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0735973C"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0B2F539C"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C01144A"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Operational risk financial reserve</w:t>
            </w:r>
          </w:p>
        </w:tc>
        <w:tc>
          <w:tcPr>
            <w:tcW w:w="0" w:type="dxa"/>
            <w:shd w:val="clear" w:color="auto" w:fill="auto"/>
            <w:vAlign w:val="center"/>
          </w:tcPr>
          <w:p w14:paraId="2073FF9A"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114.0</w:t>
            </w:r>
          </w:p>
        </w:tc>
        <w:tc>
          <w:tcPr>
            <w:tcW w:w="0" w:type="dxa"/>
            <w:shd w:val="clear" w:color="auto" w:fill="auto"/>
            <w:vAlign w:val="center"/>
          </w:tcPr>
          <w:p w14:paraId="1D216A93"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114.1</w:t>
            </w:r>
          </w:p>
        </w:tc>
        <w:tc>
          <w:tcPr>
            <w:tcW w:w="0" w:type="dxa"/>
            <w:shd w:val="clear" w:color="auto" w:fill="auto"/>
            <w:vAlign w:val="center"/>
          </w:tcPr>
          <w:p w14:paraId="260242A6"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3FC3AB74"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5095501D"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60FA3C13"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auto"/>
            <w:noWrap/>
          </w:tcPr>
          <w:p w14:paraId="31A750CE"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Membership</w:t>
            </w:r>
          </w:p>
        </w:tc>
        <w:tc>
          <w:tcPr>
            <w:tcW w:w="1587" w:type="dxa"/>
            <w:shd w:val="clear" w:color="auto" w:fill="auto"/>
            <w:vAlign w:val="center"/>
          </w:tcPr>
          <w:p w14:paraId="7AD3AD19"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25A4961D"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610.0</w:t>
            </w:r>
          </w:p>
        </w:tc>
        <w:tc>
          <w:tcPr>
            <w:tcW w:w="1557" w:type="dxa"/>
            <w:shd w:val="clear" w:color="auto" w:fill="auto"/>
            <w:vAlign w:val="center"/>
          </w:tcPr>
          <w:p w14:paraId="361F9E18"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610.2</w:t>
            </w:r>
          </w:p>
        </w:tc>
        <w:tc>
          <w:tcPr>
            <w:tcW w:w="1984" w:type="dxa"/>
            <w:shd w:val="clear" w:color="auto" w:fill="auto"/>
            <w:vAlign w:val="center"/>
          </w:tcPr>
          <w:p w14:paraId="7600C419"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166FFAEE"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7519C134"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noWrap/>
          </w:tcPr>
          <w:p w14:paraId="7ADF86E8" w14:textId="77777777" w:rsidR="00BC64D0" w:rsidRPr="008F1B7C" w:rsidRDefault="00BC64D0" w:rsidP="0091762D">
            <w:pPr>
              <w:rPr>
                <w:rFonts w:asciiTheme="majorHAnsi" w:hAnsiTheme="majorHAnsi" w:cstheme="majorHAnsi"/>
                <w:color w:val="000000"/>
                <w:sz w:val="18"/>
                <w:szCs w:val="20"/>
              </w:rPr>
            </w:pPr>
          </w:p>
        </w:tc>
        <w:tc>
          <w:tcPr>
            <w:tcW w:w="0" w:type="dxa"/>
            <w:shd w:val="clear" w:color="auto" w:fill="auto"/>
            <w:vAlign w:val="center"/>
          </w:tcPr>
          <w:p w14:paraId="6C476299"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099E6C37"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610.1</w:t>
            </w:r>
          </w:p>
        </w:tc>
        <w:tc>
          <w:tcPr>
            <w:tcW w:w="0" w:type="dxa"/>
            <w:shd w:val="clear" w:color="auto" w:fill="auto"/>
            <w:vAlign w:val="center"/>
          </w:tcPr>
          <w:p w14:paraId="1DAA2B5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244E36CD"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679909C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39C96CF3"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7815EFE2" w14:textId="77777777" w:rsidR="00BC64D0" w:rsidRPr="008F1B7C" w:rsidRDefault="00BC64D0" w:rsidP="0091762D">
            <w:pPr>
              <w:rPr>
                <w:rFonts w:asciiTheme="majorHAnsi" w:hAnsiTheme="majorHAnsi" w:cstheme="majorHAnsi"/>
                <w:color w:val="000000"/>
                <w:sz w:val="18"/>
                <w:szCs w:val="20"/>
              </w:rPr>
            </w:pPr>
          </w:p>
        </w:tc>
        <w:tc>
          <w:tcPr>
            <w:tcW w:w="1587" w:type="dxa"/>
            <w:shd w:val="clear" w:color="auto" w:fill="auto"/>
            <w:vAlign w:val="center"/>
          </w:tcPr>
          <w:p w14:paraId="7CA0A503"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39E7644B"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610.2</w:t>
            </w:r>
          </w:p>
        </w:tc>
        <w:tc>
          <w:tcPr>
            <w:tcW w:w="1557" w:type="dxa"/>
            <w:shd w:val="clear" w:color="auto" w:fill="auto"/>
            <w:vAlign w:val="center"/>
          </w:tcPr>
          <w:p w14:paraId="7CFF62FD"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6C858AA1"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5A24331B"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4994DA4A"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7F656D75" w14:textId="77777777" w:rsidR="00BC64D0" w:rsidRPr="008F1B7C" w:rsidRDefault="00BC64D0" w:rsidP="0091762D">
            <w:pPr>
              <w:rPr>
                <w:rFonts w:asciiTheme="majorHAnsi" w:hAnsiTheme="majorHAnsi" w:cstheme="majorHAnsi"/>
                <w:color w:val="000000"/>
                <w:sz w:val="18"/>
                <w:szCs w:val="20"/>
              </w:rPr>
            </w:pPr>
          </w:p>
        </w:tc>
        <w:tc>
          <w:tcPr>
            <w:tcW w:w="1587" w:type="dxa"/>
            <w:shd w:val="clear" w:color="auto" w:fill="auto"/>
            <w:vAlign w:val="center"/>
          </w:tcPr>
          <w:p w14:paraId="712510C5"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36014BBB"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Proposed </w:t>
            </w:r>
          </w:p>
          <w:p w14:paraId="414F7C52"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SRS 611.0</w:t>
            </w:r>
          </w:p>
          <w:p w14:paraId="6AC309A4" w14:textId="59F124C3"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color w:val="000000"/>
                <w:sz w:val="18"/>
                <w:szCs w:val="20"/>
              </w:rPr>
              <w:t>(Enhanced granularity account balance and age)</w:t>
            </w:r>
          </w:p>
        </w:tc>
        <w:tc>
          <w:tcPr>
            <w:tcW w:w="1557" w:type="dxa"/>
            <w:shd w:val="clear" w:color="auto" w:fill="auto"/>
            <w:vAlign w:val="center"/>
          </w:tcPr>
          <w:p w14:paraId="73C9EF1B" w14:textId="77777777" w:rsidR="00B90F32" w:rsidRPr="008F1B7C" w:rsidRDefault="00B90F32" w:rsidP="00B90F3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Proposed </w:t>
            </w:r>
          </w:p>
          <w:p w14:paraId="5755C812" w14:textId="25A47000" w:rsidR="00BC64D0" w:rsidRPr="008F1B7C" w:rsidRDefault="00B90F32" w:rsidP="00B90F3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SRS 611.0</w:t>
            </w:r>
            <w:r w:rsidR="00463242" w:rsidRPr="008F1B7C">
              <w:rPr>
                <w:rFonts w:asciiTheme="majorHAnsi" w:hAnsiTheme="majorHAnsi" w:cstheme="majorHAnsi"/>
                <w:b/>
                <w:color w:val="000000"/>
                <w:sz w:val="18"/>
                <w:szCs w:val="20"/>
              </w:rPr>
              <w:t xml:space="preserve"> </w:t>
            </w:r>
            <w:r w:rsidR="00463242" w:rsidRPr="008F1B7C">
              <w:rPr>
                <w:rFonts w:asciiTheme="majorHAnsi" w:hAnsiTheme="majorHAnsi" w:cstheme="majorHAnsi"/>
                <w:color w:val="000000"/>
                <w:sz w:val="18"/>
                <w:szCs w:val="20"/>
              </w:rPr>
              <w:t>(Enhanced granularity account balance and age)</w:t>
            </w:r>
          </w:p>
        </w:tc>
        <w:tc>
          <w:tcPr>
            <w:tcW w:w="1984" w:type="dxa"/>
            <w:shd w:val="clear" w:color="auto" w:fill="auto"/>
            <w:vAlign w:val="center"/>
          </w:tcPr>
          <w:p w14:paraId="10E93F2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5F292C49"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3B455BDE"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6E8726B1"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Conditions of release</w:t>
            </w:r>
          </w:p>
        </w:tc>
        <w:tc>
          <w:tcPr>
            <w:tcW w:w="0" w:type="dxa"/>
            <w:shd w:val="clear" w:color="auto" w:fill="auto"/>
            <w:vAlign w:val="center"/>
          </w:tcPr>
          <w:p w14:paraId="51E43E06"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3C2C5169"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710.0</w:t>
            </w:r>
          </w:p>
        </w:tc>
        <w:tc>
          <w:tcPr>
            <w:tcW w:w="0" w:type="dxa"/>
            <w:shd w:val="clear" w:color="auto" w:fill="auto"/>
            <w:vAlign w:val="center"/>
          </w:tcPr>
          <w:p w14:paraId="0B3BEBD6"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14D3172F"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012D2086"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3A58D755"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auto"/>
            <w:noWrap/>
          </w:tcPr>
          <w:p w14:paraId="6EE22D69"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Statement of financial performance</w:t>
            </w:r>
          </w:p>
        </w:tc>
        <w:tc>
          <w:tcPr>
            <w:tcW w:w="1587" w:type="dxa"/>
            <w:shd w:val="clear" w:color="auto" w:fill="auto"/>
            <w:vAlign w:val="center"/>
          </w:tcPr>
          <w:p w14:paraId="75F511A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55B3EF7D"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330.0</w:t>
            </w:r>
          </w:p>
        </w:tc>
        <w:tc>
          <w:tcPr>
            <w:tcW w:w="1557" w:type="dxa"/>
            <w:shd w:val="clear" w:color="auto" w:fill="auto"/>
            <w:vAlign w:val="center"/>
          </w:tcPr>
          <w:p w14:paraId="72F77FE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330.2</w:t>
            </w:r>
          </w:p>
        </w:tc>
        <w:tc>
          <w:tcPr>
            <w:tcW w:w="1984" w:type="dxa"/>
            <w:shd w:val="clear" w:color="auto" w:fill="auto"/>
            <w:vAlign w:val="center"/>
          </w:tcPr>
          <w:p w14:paraId="1BF3880F"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68B75CB9"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330.1</w:t>
            </w:r>
          </w:p>
          <w:p w14:paraId="5D6D04AA"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6FCD8C2D"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7D49AF18" w14:textId="77777777" w:rsidR="00BC64D0" w:rsidRPr="008F1B7C" w:rsidRDefault="00BC64D0" w:rsidP="0091762D">
            <w:pPr>
              <w:rPr>
                <w:rFonts w:asciiTheme="majorHAnsi" w:hAnsiTheme="majorHAnsi" w:cstheme="majorHAnsi"/>
                <w:color w:val="000000"/>
                <w:sz w:val="18"/>
                <w:szCs w:val="20"/>
              </w:rPr>
            </w:pPr>
          </w:p>
        </w:tc>
        <w:tc>
          <w:tcPr>
            <w:tcW w:w="1587" w:type="dxa"/>
            <w:shd w:val="clear" w:color="auto" w:fill="auto"/>
            <w:vAlign w:val="center"/>
          </w:tcPr>
          <w:p w14:paraId="0ECF160C"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398D743F"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557" w:type="dxa"/>
            <w:shd w:val="clear" w:color="auto" w:fill="auto"/>
            <w:vAlign w:val="center"/>
          </w:tcPr>
          <w:p w14:paraId="02B15CF9"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694865E4"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1979C6D5"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160.1</w:t>
            </w:r>
          </w:p>
        </w:tc>
      </w:tr>
      <w:tr w:rsidR="00BC64D0" w:rsidRPr="008F1B7C" w14:paraId="199D7EF9"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auto"/>
            <w:noWrap/>
          </w:tcPr>
          <w:p w14:paraId="3B87A065"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Statement of financial position</w:t>
            </w:r>
          </w:p>
        </w:tc>
        <w:tc>
          <w:tcPr>
            <w:tcW w:w="0" w:type="dxa"/>
            <w:shd w:val="clear" w:color="auto" w:fill="auto"/>
            <w:vAlign w:val="center"/>
          </w:tcPr>
          <w:p w14:paraId="5D211AE1"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5A1121E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320.0</w:t>
            </w:r>
          </w:p>
        </w:tc>
        <w:tc>
          <w:tcPr>
            <w:tcW w:w="0" w:type="dxa"/>
            <w:shd w:val="clear" w:color="auto" w:fill="auto"/>
            <w:vAlign w:val="center"/>
          </w:tcPr>
          <w:p w14:paraId="5E4F420F"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21A625C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7E04CF9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320.1</w:t>
            </w:r>
          </w:p>
        </w:tc>
      </w:tr>
      <w:tr w:rsidR="00BC64D0" w:rsidRPr="008F1B7C" w14:paraId="1669F93D"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noWrap/>
          </w:tcPr>
          <w:p w14:paraId="4A1CCE21" w14:textId="77777777" w:rsidR="00BC64D0" w:rsidRPr="008F1B7C" w:rsidRDefault="00BC64D0" w:rsidP="0091762D">
            <w:pPr>
              <w:rPr>
                <w:rFonts w:asciiTheme="majorHAnsi" w:hAnsiTheme="majorHAnsi" w:cstheme="majorHAnsi"/>
                <w:color w:val="000000"/>
                <w:sz w:val="18"/>
                <w:szCs w:val="20"/>
              </w:rPr>
            </w:pPr>
          </w:p>
        </w:tc>
        <w:tc>
          <w:tcPr>
            <w:tcW w:w="0" w:type="dxa"/>
            <w:shd w:val="clear" w:color="auto" w:fill="auto"/>
            <w:vAlign w:val="center"/>
          </w:tcPr>
          <w:p w14:paraId="4E1CA041"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3B3CB667"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720.0 (ABS)</w:t>
            </w:r>
          </w:p>
        </w:tc>
        <w:tc>
          <w:tcPr>
            <w:tcW w:w="0" w:type="dxa"/>
            <w:shd w:val="clear" w:color="auto" w:fill="auto"/>
            <w:vAlign w:val="center"/>
          </w:tcPr>
          <w:p w14:paraId="232E70A0"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47A3707C"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641F0E06"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7E92980A"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auto"/>
            <w:noWrap/>
          </w:tcPr>
          <w:p w14:paraId="7A8B52B4"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Expenses and service providers</w:t>
            </w:r>
          </w:p>
        </w:tc>
        <w:tc>
          <w:tcPr>
            <w:tcW w:w="0" w:type="dxa"/>
            <w:shd w:val="clear" w:color="auto" w:fill="auto"/>
            <w:vAlign w:val="center"/>
          </w:tcPr>
          <w:p w14:paraId="4DF0B069"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4F2CFE7A"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331.0</w:t>
            </w:r>
          </w:p>
          <w:p w14:paraId="25AC9113" w14:textId="122F7BFB" w:rsidR="00402400" w:rsidRPr="008F1B7C" w:rsidRDefault="0040240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(Expense with each service provider)</w:t>
            </w:r>
          </w:p>
        </w:tc>
        <w:tc>
          <w:tcPr>
            <w:tcW w:w="0" w:type="dxa"/>
            <w:shd w:val="clear" w:color="auto" w:fill="auto"/>
            <w:vAlign w:val="center"/>
          </w:tcPr>
          <w:p w14:paraId="68465314"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6CEE038D"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020B1789"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74E074F7"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noWrap/>
          </w:tcPr>
          <w:p w14:paraId="58DFBD75" w14:textId="77777777" w:rsidR="00BC64D0" w:rsidRPr="008F1B7C" w:rsidRDefault="00BC64D0" w:rsidP="0091762D">
            <w:pPr>
              <w:rPr>
                <w:rFonts w:asciiTheme="majorHAnsi" w:hAnsiTheme="majorHAnsi" w:cstheme="majorHAnsi"/>
                <w:color w:val="000000"/>
                <w:sz w:val="18"/>
                <w:szCs w:val="20"/>
              </w:rPr>
            </w:pPr>
          </w:p>
        </w:tc>
        <w:tc>
          <w:tcPr>
            <w:tcW w:w="0" w:type="dxa"/>
            <w:shd w:val="clear" w:color="auto" w:fill="auto"/>
            <w:vAlign w:val="center"/>
          </w:tcPr>
          <w:p w14:paraId="1A740BCC"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70F53FDD"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Proposed </w:t>
            </w:r>
          </w:p>
          <w:p w14:paraId="0E35CA24"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SRS 332.0</w:t>
            </w:r>
          </w:p>
          <w:p w14:paraId="0B9FE851" w14:textId="08129979" w:rsidR="00402400" w:rsidRPr="008F1B7C" w:rsidRDefault="0040240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(All expenses with classifications)</w:t>
            </w:r>
          </w:p>
        </w:tc>
        <w:tc>
          <w:tcPr>
            <w:tcW w:w="0" w:type="dxa"/>
            <w:shd w:val="clear" w:color="auto" w:fill="auto"/>
            <w:vAlign w:val="center"/>
          </w:tcPr>
          <w:p w14:paraId="10A0159D"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6869E5A0"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419B10CE"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77ED0321"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61F42888"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Fees</w:t>
            </w:r>
          </w:p>
        </w:tc>
        <w:tc>
          <w:tcPr>
            <w:tcW w:w="0" w:type="dxa"/>
            <w:shd w:val="clear" w:color="auto" w:fill="auto"/>
            <w:vAlign w:val="center"/>
          </w:tcPr>
          <w:p w14:paraId="6EC3CC89"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688A8985" w14:textId="7769081D"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540</w:t>
            </w:r>
            <w:r w:rsidR="004C2EA6" w:rsidRPr="008F1B7C">
              <w:rPr>
                <w:rFonts w:asciiTheme="majorHAnsi" w:hAnsiTheme="majorHAnsi" w:cstheme="majorHAnsi"/>
                <w:color w:val="000000"/>
                <w:sz w:val="18"/>
                <w:szCs w:val="20"/>
              </w:rPr>
              <w:t>.0</w:t>
            </w:r>
          </w:p>
        </w:tc>
        <w:tc>
          <w:tcPr>
            <w:tcW w:w="0" w:type="dxa"/>
            <w:shd w:val="clear" w:color="auto" w:fill="auto"/>
            <w:vAlign w:val="center"/>
          </w:tcPr>
          <w:p w14:paraId="25CAA6EF"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6A72DCB6"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538A33AB"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7521A281" w14:textId="77777777" w:rsidTr="0079658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auto"/>
            <w:noWrap/>
            <w:hideMark/>
          </w:tcPr>
          <w:p w14:paraId="6A3E3950" w14:textId="77777777" w:rsidR="00463242" w:rsidRPr="008F1B7C" w:rsidRDefault="00463242"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Asset allocation</w:t>
            </w:r>
          </w:p>
        </w:tc>
        <w:tc>
          <w:tcPr>
            <w:tcW w:w="1587" w:type="dxa"/>
            <w:shd w:val="clear" w:color="auto" w:fill="auto"/>
            <w:vAlign w:val="center"/>
          </w:tcPr>
          <w:p w14:paraId="7029AD04"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09DF756E"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530.0</w:t>
            </w:r>
          </w:p>
        </w:tc>
        <w:tc>
          <w:tcPr>
            <w:tcW w:w="1557" w:type="dxa"/>
            <w:shd w:val="clear" w:color="auto" w:fill="auto"/>
            <w:vAlign w:val="center"/>
          </w:tcPr>
          <w:p w14:paraId="5CA8C3EB"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533.0</w:t>
            </w:r>
          </w:p>
        </w:tc>
        <w:tc>
          <w:tcPr>
            <w:tcW w:w="1984" w:type="dxa"/>
            <w:shd w:val="clear" w:color="auto" w:fill="auto"/>
            <w:vAlign w:val="center"/>
          </w:tcPr>
          <w:p w14:paraId="5170E8BC"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533.1 (Select investment options only)</w:t>
            </w:r>
          </w:p>
        </w:tc>
        <w:tc>
          <w:tcPr>
            <w:tcW w:w="1276" w:type="dxa"/>
            <w:shd w:val="clear" w:color="auto" w:fill="auto"/>
            <w:vAlign w:val="center"/>
          </w:tcPr>
          <w:p w14:paraId="739D5062"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06633678" w14:textId="77777777" w:rsidTr="00796584">
        <w:trPr>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052BA8ED" w14:textId="77777777" w:rsidR="00463242" w:rsidRPr="008F1B7C" w:rsidRDefault="00463242" w:rsidP="0091762D">
            <w:pPr>
              <w:rPr>
                <w:rFonts w:asciiTheme="majorHAnsi" w:hAnsiTheme="majorHAnsi" w:cstheme="majorHAnsi"/>
                <w:color w:val="000000"/>
                <w:sz w:val="18"/>
                <w:szCs w:val="20"/>
              </w:rPr>
            </w:pPr>
          </w:p>
        </w:tc>
        <w:tc>
          <w:tcPr>
            <w:tcW w:w="1587" w:type="dxa"/>
            <w:shd w:val="clear" w:color="auto" w:fill="auto"/>
            <w:vAlign w:val="center"/>
          </w:tcPr>
          <w:p w14:paraId="76FC312F"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638406F3"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Proposed SRS 550.0</w:t>
            </w:r>
          </w:p>
          <w:p w14:paraId="43F7D4E8" w14:textId="33C64302"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w:t>
            </w:r>
            <w:r w:rsidRPr="008F1B7C">
              <w:rPr>
                <w:rFonts w:asciiTheme="majorHAnsi" w:hAnsiTheme="majorHAnsi" w:cstheme="majorHAnsi"/>
                <w:color w:val="000000"/>
                <w:sz w:val="18"/>
                <w:szCs w:val="20"/>
              </w:rPr>
              <w:t>Enhanced granularity of asset class classifications)</w:t>
            </w:r>
          </w:p>
        </w:tc>
        <w:tc>
          <w:tcPr>
            <w:tcW w:w="1557" w:type="dxa"/>
            <w:shd w:val="clear" w:color="auto" w:fill="auto"/>
            <w:vAlign w:val="center"/>
          </w:tcPr>
          <w:p w14:paraId="6652CDF9"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Proposed SRS 550.0</w:t>
            </w:r>
          </w:p>
          <w:p w14:paraId="15AF9370" w14:textId="3EC51D1C"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w:t>
            </w:r>
            <w:r w:rsidRPr="008F1B7C">
              <w:rPr>
                <w:rFonts w:asciiTheme="majorHAnsi" w:hAnsiTheme="majorHAnsi" w:cstheme="majorHAnsi"/>
                <w:color w:val="000000"/>
                <w:sz w:val="18"/>
                <w:szCs w:val="20"/>
              </w:rPr>
              <w:t>Enhanced granularity of asset class classifications)</w:t>
            </w:r>
          </w:p>
        </w:tc>
        <w:tc>
          <w:tcPr>
            <w:tcW w:w="1984" w:type="dxa"/>
            <w:shd w:val="clear" w:color="auto" w:fill="auto"/>
            <w:vAlign w:val="center"/>
          </w:tcPr>
          <w:p w14:paraId="6A55E435"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Proposed SRS 550.0</w:t>
            </w:r>
          </w:p>
          <w:p w14:paraId="0BB7EA49" w14:textId="57450629"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color w:val="000000"/>
                <w:sz w:val="18"/>
                <w:szCs w:val="20"/>
              </w:rPr>
              <w:t>(All investment options,</w:t>
            </w:r>
            <w:r w:rsidRPr="008F1B7C">
              <w:rPr>
                <w:rFonts w:asciiTheme="majorHAnsi" w:hAnsiTheme="majorHAnsi" w:cstheme="majorHAnsi"/>
                <w:b/>
                <w:color w:val="000000"/>
                <w:sz w:val="18"/>
                <w:szCs w:val="20"/>
              </w:rPr>
              <w:t xml:space="preserve"> </w:t>
            </w:r>
            <w:r w:rsidRPr="008F1B7C">
              <w:rPr>
                <w:rFonts w:asciiTheme="majorHAnsi" w:hAnsiTheme="majorHAnsi" w:cstheme="majorHAnsi"/>
                <w:color w:val="000000"/>
                <w:sz w:val="18"/>
                <w:szCs w:val="20"/>
              </w:rPr>
              <w:t>Enhanced granularity of asset class classifications)</w:t>
            </w:r>
          </w:p>
        </w:tc>
        <w:tc>
          <w:tcPr>
            <w:tcW w:w="1276" w:type="dxa"/>
            <w:shd w:val="clear" w:color="auto" w:fill="auto"/>
            <w:vAlign w:val="center"/>
          </w:tcPr>
          <w:p w14:paraId="29A3A7A5"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682505A3" w14:textId="77777777" w:rsidTr="0079658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1D4B277F" w14:textId="77777777" w:rsidR="00463242" w:rsidRPr="008F1B7C" w:rsidRDefault="00463242" w:rsidP="0091762D">
            <w:pPr>
              <w:rPr>
                <w:rFonts w:asciiTheme="majorHAnsi" w:hAnsiTheme="majorHAnsi" w:cstheme="majorHAnsi"/>
                <w:color w:val="000000"/>
                <w:sz w:val="18"/>
                <w:szCs w:val="20"/>
              </w:rPr>
            </w:pPr>
          </w:p>
        </w:tc>
        <w:tc>
          <w:tcPr>
            <w:tcW w:w="1587" w:type="dxa"/>
            <w:shd w:val="clear" w:color="auto" w:fill="auto"/>
            <w:vAlign w:val="center"/>
          </w:tcPr>
          <w:p w14:paraId="6736F599"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4278CCD8" w14:textId="60A2B84B"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color w:val="000000"/>
                <w:sz w:val="18"/>
                <w:szCs w:val="20"/>
              </w:rPr>
              <w:t>SRS 531.0</w:t>
            </w:r>
          </w:p>
        </w:tc>
        <w:tc>
          <w:tcPr>
            <w:tcW w:w="1557" w:type="dxa"/>
            <w:shd w:val="clear" w:color="auto" w:fill="auto"/>
            <w:vAlign w:val="center"/>
          </w:tcPr>
          <w:p w14:paraId="2F574147"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8"/>
                <w:szCs w:val="20"/>
              </w:rPr>
            </w:pPr>
          </w:p>
        </w:tc>
        <w:tc>
          <w:tcPr>
            <w:tcW w:w="1984" w:type="dxa"/>
            <w:shd w:val="clear" w:color="auto" w:fill="auto"/>
            <w:vAlign w:val="center"/>
          </w:tcPr>
          <w:p w14:paraId="41700D38"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8"/>
                <w:szCs w:val="20"/>
              </w:rPr>
            </w:pPr>
          </w:p>
        </w:tc>
        <w:tc>
          <w:tcPr>
            <w:tcW w:w="1276" w:type="dxa"/>
            <w:shd w:val="clear" w:color="auto" w:fill="auto"/>
            <w:vAlign w:val="center"/>
          </w:tcPr>
          <w:p w14:paraId="02B801AD"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60A81159"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72D3EAF"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Investment Exposure Concentrations</w:t>
            </w:r>
          </w:p>
        </w:tc>
        <w:tc>
          <w:tcPr>
            <w:tcW w:w="0" w:type="dxa"/>
            <w:shd w:val="clear" w:color="auto" w:fill="auto"/>
            <w:vAlign w:val="center"/>
          </w:tcPr>
          <w:p w14:paraId="0DCA960B"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2FEAEF00"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532.0</w:t>
            </w:r>
          </w:p>
        </w:tc>
        <w:tc>
          <w:tcPr>
            <w:tcW w:w="0" w:type="dxa"/>
            <w:shd w:val="clear" w:color="auto" w:fill="auto"/>
            <w:vAlign w:val="center"/>
          </w:tcPr>
          <w:p w14:paraId="62DFA605"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38F0F18C"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0E6F58A3"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11B7AAC3"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auto"/>
            <w:noWrap/>
          </w:tcPr>
          <w:p w14:paraId="2AAE5CA6"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Repos and Stock lending</w:t>
            </w:r>
          </w:p>
        </w:tc>
        <w:tc>
          <w:tcPr>
            <w:tcW w:w="0" w:type="dxa"/>
            <w:shd w:val="clear" w:color="auto" w:fill="auto"/>
            <w:vAlign w:val="center"/>
          </w:tcPr>
          <w:p w14:paraId="7E25138F"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6F6C4B2F"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535.0</w:t>
            </w:r>
          </w:p>
        </w:tc>
        <w:tc>
          <w:tcPr>
            <w:tcW w:w="0" w:type="dxa"/>
            <w:shd w:val="clear" w:color="auto" w:fill="auto"/>
            <w:vAlign w:val="center"/>
          </w:tcPr>
          <w:p w14:paraId="288D3C31"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4D4AEFDA"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4EE0660C"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3FAD002B"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noWrap/>
          </w:tcPr>
          <w:p w14:paraId="4E1EAA7E" w14:textId="77777777" w:rsidR="00BC64D0" w:rsidRPr="008F1B7C" w:rsidRDefault="00BC64D0" w:rsidP="0091762D">
            <w:pPr>
              <w:rPr>
                <w:rFonts w:asciiTheme="majorHAnsi" w:hAnsiTheme="majorHAnsi" w:cstheme="majorHAnsi"/>
                <w:color w:val="000000"/>
                <w:sz w:val="18"/>
                <w:szCs w:val="20"/>
              </w:rPr>
            </w:pPr>
          </w:p>
        </w:tc>
        <w:tc>
          <w:tcPr>
            <w:tcW w:w="0" w:type="dxa"/>
            <w:shd w:val="clear" w:color="auto" w:fill="auto"/>
            <w:vAlign w:val="center"/>
          </w:tcPr>
          <w:p w14:paraId="097F91B2"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7E051F0B"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721.0 (ABS)</w:t>
            </w:r>
          </w:p>
        </w:tc>
        <w:tc>
          <w:tcPr>
            <w:tcW w:w="0" w:type="dxa"/>
            <w:shd w:val="clear" w:color="auto" w:fill="auto"/>
            <w:vAlign w:val="center"/>
          </w:tcPr>
          <w:p w14:paraId="2584F0D8"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78184E14"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57785DA2"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1DBC743A" w14:textId="77777777" w:rsidTr="0079658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auto"/>
            <w:noWrap/>
          </w:tcPr>
          <w:p w14:paraId="6AEC562C" w14:textId="77777777" w:rsidR="00463242" w:rsidRPr="008F1B7C" w:rsidRDefault="00463242"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Derivatives</w:t>
            </w:r>
          </w:p>
        </w:tc>
        <w:tc>
          <w:tcPr>
            <w:tcW w:w="1587" w:type="dxa"/>
            <w:shd w:val="clear" w:color="auto" w:fill="auto"/>
            <w:vAlign w:val="center"/>
          </w:tcPr>
          <w:p w14:paraId="07B2CD0D"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717110F6"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534.0</w:t>
            </w:r>
          </w:p>
        </w:tc>
        <w:tc>
          <w:tcPr>
            <w:tcW w:w="1557" w:type="dxa"/>
            <w:shd w:val="clear" w:color="auto" w:fill="auto"/>
            <w:vAlign w:val="center"/>
          </w:tcPr>
          <w:p w14:paraId="19A491C6"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59791BB1"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16282913"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4F361471" w14:textId="77777777" w:rsidTr="00796584">
        <w:trPr>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61C3A2FE" w14:textId="77777777" w:rsidR="00463242" w:rsidRPr="008F1B7C" w:rsidRDefault="00463242" w:rsidP="0091762D">
            <w:pPr>
              <w:rPr>
                <w:rFonts w:asciiTheme="majorHAnsi" w:hAnsiTheme="majorHAnsi" w:cstheme="majorHAnsi"/>
                <w:color w:val="000000"/>
                <w:sz w:val="18"/>
                <w:szCs w:val="20"/>
              </w:rPr>
            </w:pPr>
          </w:p>
        </w:tc>
        <w:tc>
          <w:tcPr>
            <w:tcW w:w="1587" w:type="dxa"/>
            <w:shd w:val="clear" w:color="auto" w:fill="auto"/>
            <w:vAlign w:val="center"/>
          </w:tcPr>
          <w:p w14:paraId="2950E6E2"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1FB62234"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722.0 (ABS)</w:t>
            </w:r>
          </w:p>
        </w:tc>
        <w:tc>
          <w:tcPr>
            <w:tcW w:w="1557" w:type="dxa"/>
            <w:shd w:val="clear" w:color="auto" w:fill="auto"/>
            <w:vAlign w:val="center"/>
          </w:tcPr>
          <w:p w14:paraId="294ADDEA"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38301640"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27D27097"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565EFDD8" w14:textId="77777777" w:rsidTr="0079658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68BB06BE" w14:textId="77777777" w:rsidR="00463242" w:rsidRPr="008F1B7C" w:rsidRDefault="00463242" w:rsidP="0091762D">
            <w:pPr>
              <w:rPr>
                <w:rFonts w:asciiTheme="majorHAnsi" w:hAnsiTheme="majorHAnsi" w:cstheme="majorHAnsi"/>
                <w:color w:val="000000"/>
                <w:sz w:val="18"/>
                <w:szCs w:val="20"/>
              </w:rPr>
            </w:pPr>
          </w:p>
        </w:tc>
        <w:tc>
          <w:tcPr>
            <w:tcW w:w="1587" w:type="dxa"/>
            <w:shd w:val="clear" w:color="auto" w:fill="auto"/>
            <w:vAlign w:val="center"/>
          </w:tcPr>
          <w:p w14:paraId="69FEA31A"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68C414DA"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Proposed SRS 550.0</w:t>
            </w:r>
          </w:p>
        </w:tc>
        <w:tc>
          <w:tcPr>
            <w:tcW w:w="1557" w:type="dxa"/>
            <w:shd w:val="clear" w:color="auto" w:fill="auto"/>
            <w:vAlign w:val="center"/>
          </w:tcPr>
          <w:p w14:paraId="4560EB6D"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32349495"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2634E5C2" w14:textId="77777777" w:rsidR="00463242" w:rsidRPr="008F1B7C" w:rsidRDefault="00463242"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4597A017" w14:textId="77777777" w:rsidTr="00796584">
        <w:trPr>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153D346B" w14:textId="77777777" w:rsidR="00463242" w:rsidRPr="008F1B7C" w:rsidRDefault="00463242" w:rsidP="0091762D">
            <w:pPr>
              <w:rPr>
                <w:rFonts w:asciiTheme="majorHAnsi" w:hAnsiTheme="majorHAnsi" w:cstheme="majorHAnsi"/>
                <w:color w:val="000000"/>
                <w:sz w:val="18"/>
                <w:szCs w:val="20"/>
              </w:rPr>
            </w:pPr>
          </w:p>
        </w:tc>
        <w:tc>
          <w:tcPr>
            <w:tcW w:w="1587" w:type="dxa"/>
            <w:shd w:val="clear" w:color="auto" w:fill="auto"/>
            <w:vAlign w:val="center"/>
          </w:tcPr>
          <w:p w14:paraId="6810A464"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617F8105"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722.0 (ABS)</w:t>
            </w:r>
          </w:p>
        </w:tc>
        <w:tc>
          <w:tcPr>
            <w:tcW w:w="1557" w:type="dxa"/>
            <w:shd w:val="clear" w:color="auto" w:fill="auto"/>
            <w:vAlign w:val="center"/>
          </w:tcPr>
          <w:p w14:paraId="73857DD9"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6339D049"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3BF8746F" w14:textId="77777777"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5DC079CC"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auto"/>
            <w:noWrap/>
            <w:hideMark/>
          </w:tcPr>
          <w:p w14:paraId="64E55D0F"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Fees and costs disclosed</w:t>
            </w:r>
          </w:p>
        </w:tc>
        <w:tc>
          <w:tcPr>
            <w:tcW w:w="0" w:type="dxa"/>
            <w:shd w:val="clear" w:color="auto" w:fill="auto"/>
            <w:vAlign w:val="center"/>
          </w:tcPr>
          <w:p w14:paraId="4E2FE5F6"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1E95DC38"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762E1F9D"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703.0</w:t>
            </w:r>
          </w:p>
        </w:tc>
        <w:tc>
          <w:tcPr>
            <w:tcW w:w="1984" w:type="dxa"/>
            <w:shd w:val="clear" w:color="auto" w:fill="auto"/>
            <w:vAlign w:val="center"/>
          </w:tcPr>
          <w:p w14:paraId="627FD0FB"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5C810C44"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3D3A77A2"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noWrap/>
          </w:tcPr>
          <w:p w14:paraId="3C0D72EF" w14:textId="77777777" w:rsidR="00BC64D0" w:rsidRPr="008F1B7C" w:rsidRDefault="00BC64D0" w:rsidP="0091762D">
            <w:pPr>
              <w:rPr>
                <w:rFonts w:asciiTheme="majorHAnsi" w:hAnsiTheme="majorHAnsi" w:cstheme="majorHAnsi"/>
                <w:color w:val="000000"/>
                <w:sz w:val="18"/>
                <w:szCs w:val="20"/>
              </w:rPr>
            </w:pPr>
          </w:p>
        </w:tc>
        <w:tc>
          <w:tcPr>
            <w:tcW w:w="0" w:type="dxa"/>
            <w:shd w:val="clear" w:color="auto" w:fill="auto"/>
            <w:vAlign w:val="center"/>
          </w:tcPr>
          <w:p w14:paraId="6AFEFCE9"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5339586D"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5A022915"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Proposed </w:t>
            </w:r>
          </w:p>
          <w:p w14:paraId="3E1C9B6C" w14:textId="3C109DC5"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SRS </w:t>
            </w:r>
            <w:r w:rsidR="001C6A03" w:rsidRPr="008F1B7C">
              <w:rPr>
                <w:rFonts w:asciiTheme="majorHAnsi" w:hAnsiTheme="majorHAnsi" w:cstheme="majorHAnsi"/>
                <w:b/>
                <w:color w:val="000000"/>
                <w:sz w:val="18"/>
                <w:szCs w:val="20"/>
              </w:rPr>
              <w:t>706</w:t>
            </w:r>
            <w:r w:rsidRPr="008F1B7C">
              <w:rPr>
                <w:rFonts w:asciiTheme="majorHAnsi" w:hAnsiTheme="majorHAnsi" w:cstheme="majorHAnsi"/>
                <w:b/>
                <w:color w:val="000000"/>
                <w:sz w:val="18"/>
                <w:szCs w:val="20"/>
              </w:rPr>
              <w:t>.0</w:t>
            </w:r>
          </w:p>
          <w:p w14:paraId="1FEF0284" w14:textId="0FF02908" w:rsidR="00463242" w:rsidRPr="008F1B7C" w:rsidRDefault="00463242"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(Aligned to new RG 97)</w:t>
            </w:r>
          </w:p>
        </w:tc>
        <w:tc>
          <w:tcPr>
            <w:tcW w:w="1984" w:type="dxa"/>
            <w:shd w:val="clear" w:color="auto" w:fill="auto"/>
            <w:vAlign w:val="center"/>
          </w:tcPr>
          <w:p w14:paraId="2F404D68"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Proposed </w:t>
            </w:r>
          </w:p>
          <w:p w14:paraId="50E6653F"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SRS 705.0</w:t>
            </w:r>
          </w:p>
        </w:tc>
        <w:tc>
          <w:tcPr>
            <w:tcW w:w="1276" w:type="dxa"/>
            <w:shd w:val="clear" w:color="auto" w:fill="auto"/>
            <w:vAlign w:val="center"/>
          </w:tcPr>
          <w:p w14:paraId="31C71341"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74452A30"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auto"/>
            <w:noWrap/>
            <w:hideMark/>
          </w:tcPr>
          <w:p w14:paraId="070C6596"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Investment performance and objectives</w:t>
            </w:r>
          </w:p>
        </w:tc>
        <w:tc>
          <w:tcPr>
            <w:tcW w:w="1587" w:type="dxa"/>
            <w:shd w:val="clear" w:color="auto" w:fill="auto"/>
            <w:vAlign w:val="center"/>
          </w:tcPr>
          <w:p w14:paraId="01A1D5E8" w14:textId="2DBD546F"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3897D16A"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557" w:type="dxa"/>
            <w:shd w:val="clear" w:color="auto" w:fill="auto"/>
            <w:vAlign w:val="center"/>
          </w:tcPr>
          <w:p w14:paraId="3349A8D3" w14:textId="535D0076" w:rsidR="00BC64D0" w:rsidRPr="008F1B7C" w:rsidRDefault="0040240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702.0</w:t>
            </w:r>
          </w:p>
        </w:tc>
        <w:tc>
          <w:tcPr>
            <w:tcW w:w="1984" w:type="dxa"/>
            <w:shd w:val="clear" w:color="auto" w:fill="auto"/>
            <w:vAlign w:val="center"/>
          </w:tcPr>
          <w:p w14:paraId="2BDE7960"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10E31FBC"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402400" w:rsidRPr="008F1B7C" w14:paraId="252AAD40"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295398E9" w14:textId="77777777" w:rsidR="00402400" w:rsidRPr="008F1B7C" w:rsidRDefault="00402400" w:rsidP="0091762D">
            <w:pPr>
              <w:rPr>
                <w:rFonts w:asciiTheme="majorHAnsi" w:hAnsiTheme="majorHAnsi" w:cstheme="majorHAnsi"/>
                <w:color w:val="000000"/>
                <w:sz w:val="18"/>
                <w:szCs w:val="20"/>
              </w:rPr>
            </w:pPr>
          </w:p>
        </w:tc>
        <w:tc>
          <w:tcPr>
            <w:tcW w:w="1587" w:type="dxa"/>
            <w:shd w:val="clear" w:color="auto" w:fill="auto"/>
            <w:vAlign w:val="center"/>
          </w:tcPr>
          <w:p w14:paraId="071DE81B" w14:textId="77777777" w:rsidR="00402400" w:rsidRPr="008F1B7C" w:rsidRDefault="0040240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215E15E6" w14:textId="77777777" w:rsidR="00402400" w:rsidRPr="008F1B7C" w:rsidRDefault="0040240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557" w:type="dxa"/>
            <w:shd w:val="clear" w:color="auto" w:fill="auto"/>
            <w:vAlign w:val="center"/>
          </w:tcPr>
          <w:p w14:paraId="3EF67E2C" w14:textId="77777777" w:rsidR="00402400" w:rsidRPr="008F1B7C" w:rsidRDefault="00402400" w:rsidP="0040240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Proposed </w:t>
            </w:r>
          </w:p>
          <w:p w14:paraId="3B486D18" w14:textId="77777777" w:rsidR="00402400" w:rsidRPr="008F1B7C" w:rsidRDefault="00402400" w:rsidP="0040240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SRS 705.0</w:t>
            </w:r>
          </w:p>
          <w:p w14:paraId="317AD3F9" w14:textId="10AFCE67" w:rsidR="00463242" w:rsidRPr="008F1B7C" w:rsidRDefault="00463242" w:rsidP="0040240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(Aligned to new RG 97)</w:t>
            </w:r>
          </w:p>
        </w:tc>
        <w:tc>
          <w:tcPr>
            <w:tcW w:w="1984" w:type="dxa"/>
            <w:shd w:val="clear" w:color="auto" w:fill="auto"/>
            <w:vAlign w:val="center"/>
          </w:tcPr>
          <w:p w14:paraId="3DC5AB87" w14:textId="77777777" w:rsidR="00402400" w:rsidRPr="008F1B7C" w:rsidRDefault="00402400" w:rsidP="0040240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Proposed </w:t>
            </w:r>
          </w:p>
          <w:p w14:paraId="3AD400DF" w14:textId="77777777" w:rsidR="00402400" w:rsidRPr="008F1B7C" w:rsidRDefault="00402400" w:rsidP="0040240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SRS 705.0</w:t>
            </w:r>
          </w:p>
          <w:p w14:paraId="5022D2DE" w14:textId="124C39A7" w:rsidR="00463242" w:rsidRPr="008F1B7C" w:rsidRDefault="00463242" w:rsidP="0040240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(Aligned to new RG 97)</w:t>
            </w:r>
          </w:p>
        </w:tc>
        <w:tc>
          <w:tcPr>
            <w:tcW w:w="1276" w:type="dxa"/>
            <w:shd w:val="clear" w:color="auto" w:fill="auto"/>
            <w:vAlign w:val="center"/>
          </w:tcPr>
          <w:p w14:paraId="63007F90" w14:textId="77777777" w:rsidR="00402400" w:rsidRPr="008F1B7C" w:rsidRDefault="0040240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402400" w:rsidRPr="008F1B7C" w14:paraId="5F7BBA3B"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4FAF6CC5" w14:textId="77777777" w:rsidR="00402400" w:rsidRPr="008F1B7C" w:rsidRDefault="00402400" w:rsidP="0091762D">
            <w:pPr>
              <w:rPr>
                <w:rFonts w:asciiTheme="majorHAnsi" w:hAnsiTheme="majorHAnsi" w:cstheme="majorHAnsi"/>
                <w:color w:val="000000"/>
                <w:sz w:val="18"/>
                <w:szCs w:val="20"/>
              </w:rPr>
            </w:pPr>
          </w:p>
        </w:tc>
        <w:tc>
          <w:tcPr>
            <w:tcW w:w="1587" w:type="dxa"/>
            <w:shd w:val="clear" w:color="auto" w:fill="auto"/>
            <w:vAlign w:val="center"/>
          </w:tcPr>
          <w:p w14:paraId="17EC9424" w14:textId="77777777" w:rsidR="00402400" w:rsidRPr="008F1B7C" w:rsidRDefault="0040240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69FBE2FF" w14:textId="77777777" w:rsidR="00402400" w:rsidRPr="008F1B7C" w:rsidRDefault="0040240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557" w:type="dxa"/>
            <w:shd w:val="clear" w:color="auto" w:fill="auto"/>
            <w:vAlign w:val="center"/>
          </w:tcPr>
          <w:p w14:paraId="7F403A22" w14:textId="09D6CA85" w:rsidR="00402400" w:rsidRPr="008F1B7C" w:rsidRDefault="0040240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700.0</w:t>
            </w:r>
          </w:p>
        </w:tc>
        <w:tc>
          <w:tcPr>
            <w:tcW w:w="1984" w:type="dxa"/>
            <w:shd w:val="clear" w:color="auto" w:fill="auto"/>
            <w:vAlign w:val="center"/>
          </w:tcPr>
          <w:p w14:paraId="5E0320F6" w14:textId="77777777" w:rsidR="00402400" w:rsidRPr="008F1B7C" w:rsidRDefault="0040240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39146BE3" w14:textId="77777777" w:rsidR="00402400" w:rsidRPr="008F1B7C" w:rsidRDefault="0040240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5AB45116"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1C706ACD" w14:textId="77777777" w:rsidR="00BC64D0" w:rsidRPr="008F1B7C" w:rsidRDefault="00BC64D0" w:rsidP="0091762D">
            <w:pPr>
              <w:rPr>
                <w:rFonts w:asciiTheme="majorHAnsi" w:hAnsiTheme="majorHAnsi" w:cstheme="majorHAnsi"/>
                <w:color w:val="000000"/>
                <w:sz w:val="18"/>
                <w:szCs w:val="20"/>
              </w:rPr>
            </w:pPr>
          </w:p>
        </w:tc>
        <w:tc>
          <w:tcPr>
            <w:tcW w:w="1587" w:type="dxa"/>
            <w:shd w:val="clear" w:color="auto" w:fill="auto"/>
            <w:vAlign w:val="center"/>
          </w:tcPr>
          <w:p w14:paraId="1FBDFB96"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56697D69"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557" w:type="dxa"/>
            <w:shd w:val="clear" w:color="auto" w:fill="auto"/>
            <w:vAlign w:val="center"/>
          </w:tcPr>
          <w:p w14:paraId="27FD0FC5"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 xml:space="preserve">Proposed </w:t>
            </w:r>
          </w:p>
          <w:p w14:paraId="3252BE40"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SRS 705.1</w:t>
            </w:r>
          </w:p>
        </w:tc>
        <w:tc>
          <w:tcPr>
            <w:tcW w:w="1984" w:type="dxa"/>
            <w:shd w:val="clear" w:color="auto" w:fill="auto"/>
            <w:vAlign w:val="center"/>
          </w:tcPr>
          <w:p w14:paraId="2B59743E"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Proposed SRS 705.1</w:t>
            </w:r>
          </w:p>
        </w:tc>
        <w:tc>
          <w:tcPr>
            <w:tcW w:w="1276" w:type="dxa"/>
            <w:shd w:val="clear" w:color="auto" w:fill="auto"/>
            <w:vAlign w:val="center"/>
          </w:tcPr>
          <w:p w14:paraId="21CD43F2" w14:textId="77777777" w:rsidR="00BC64D0" w:rsidRPr="008F1B7C" w:rsidRDefault="00BC64D0"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BC64D0" w:rsidRPr="008F1B7C" w14:paraId="331FC8D7"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52979F58" w14:textId="77777777" w:rsidR="00BC64D0" w:rsidRPr="008F1B7C" w:rsidRDefault="00BC64D0"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Defined benefit matters</w:t>
            </w:r>
          </w:p>
        </w:tc>
        <w:tc>
          <w:tcPr>
            <w:tcW w:w="0" w:type="dxa"/>
            <w:shd w:val="clear" w:color="auto" w:fill="auto"/>
            <w:vAlign w:val="center"/>
          </w:tcPr>
          <w:p w14:paraId="1DC8D175"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3C182ADA"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0630D3A0"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1A336038"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3FFEF592" w14:textId="77777777" w:rsidR="00BC64D0" w:rsidRPr="008F1B7C" w:rsidRDefault="00BC64D0"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160.0</w:t>
            </w:r>
          </w:p>
        </w:tc>
      </w:tr>
      <w:tr w:rsidR="00463242" w:rsidRPr="008F1B7C" w14:paraId="6926E778" w14:textId="77777777" w:rsidTr="00C57254">
        <w:trPr>
          <w:trHeight w:val="510"/>
        </w:trPr>
        <w:tc>
          <w:tcPr>
            <w:cnfStyle w:val="001000000000" w:firstRow="0" w:lastRow="0" w:firstColumn="1" w:lastColumn="0" w:oddVBand="0" w:evenVBand="0" w:oddHBand="0" w:evenHBand="0" w:firstRowFirstColumn="0" w:firstRowLastColumn="0" w:lastRowFirstColumn="0" w:lastRowLastColumn="0"/>
            <w:tcW w:w="1757" w:type="dxa"/>
            <w:vMerge w:val="restart"/>
            <w:shd w:val="clear" w:color="auto" w:fill="auto"/>
            <w:noWrap/>
          </w:tcPr>
          <w:p w14:paraId="6568C209" w14:textId="77777777" w:rsidR="00463242" w:rsidRPr="008F1B7C" w:rsidRDefault="00463242" w:rsidP="00463242">
            <w:pPr>
              <w:rPr>
                <w:rFonts w:asciiTheme="majorHAnsi" w:hAnsiTheme="majorHAnsi" w:cstheme="majorHAnsi"/>
                <w:color w:val="000000"/>
                <w:sz w:val="18"/>
                <w:szCs w:val="20"/>
              </w:rPr>
            </w:pPr>
            <w:r w:rsidRPr="008F1B7C">
              <w:rPr>
                <w:rFonts w:asciiTheme="majorHAnsi" w:hAnsiTheme="majorHAnsi" w:cstheme="majorHAnsi"/>
                <w:color w:val="000000"/>
                <w:sz w:val="18"/>
                <w:szCs w:val="20"/>
              </w:rPr>
              <w:t>Insurance</w:t>
            </w:r>
          </w:p>
        </w:tc>
        <w:tc>
          <w:tcPr>
            <w:tcW w:w="1587" w:type="dxa"/>
            <w:shd w:val="clear" w:color="auto" w:fill="auto"/>
            <w:vAlign w:val="center"/>
          </w:tcPr>
          <w:p w14:paraId="7EE8BC9D" w14:textId="7777777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2125C34D" w14:textId="3EB8FF83"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color w:val="000000"/>
                <w:sz w:val="18"/>
                <w:szCs w:val="20"/>
              </w:rPr>
              <w:t>SRS 250.0</w:t>
            </w:r>
          </w:p>
        </w:tc>
        <w:tc>
          <w:tcPr>
            <w:tcW w:w="1557" w:type="dxa"/>
            <w:shd w:val="clear" w:color="auto" w:fill="auto"/>
            <w:vAlign w:val="center"/>
          </w:tcPr>
          <w:p w14:paraId="40C236FE" w14:textId="5A2F2CF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703.0 (item 6)</w:t>
            </w:r>
          </w:p>
        </w:tc>
        <w:tc>
          <w:tcPr>
            <w:tcW w:w="1984" w:type="dxa"/>
            <w:shd w:val="clear" w:color="auto" w:fill="auto"/>
            <w:vAlign w:val="center"/>
          </w:tcPr>
          <w:p w14:paraId="75C475D4" w14:textId="7777777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0CE931C4" w14:textId="7777777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27549111"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noWrap/>
          </w:tcPr>
          <w:p w14:paraId="74006F9B" w14:textId="77777777" w:rsidR="00463242" w:rsidRPr="008F1B7C" w:rsidRDefault="00463242" w:rsidP="00463242">
            <w:pPr>
              <w:rPr>
                <w:rFonts w:asciiTheme="majorHAnsi" w:hAnsiTheme="majorHAnsi" w:cstheme="majorHAnsi"/>
                <w:color w:val="000000"/>
                <w:sz w:val="18"/>
                <w:szCs w:val="20"/>
              </w:rPr>
            </w:pPr>
          </w:p>
        </w:tc>
        <w:tc>
          <w:tcPr>
            <w:tcW w:w="1587" w:type="dxa"/>
            <w:shd w:val="clear" w:color="auto" w:fill="auto"/>
            <w:vAlign w:val="center"/>
          </w:tcPr>
          <w:p w14:paraId="4FC68E7C"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0F550A95"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161.0</w:t>
            </w:r>
          </w:p>
        </w:tc>
        <w:tc>
          <w:tcPr>
            <w:tcW w:w="1557" w:type="dxa"/>
            <w:shd w:val="clear" w:color="auto" w:fill="auto"/>
            <w:vAlign w:val="center"/>
          </w:tcPr>
          <w:p w14:paraId="4C83C04F"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757569CB"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34687B72"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28932D37" w14:textId="77777777" w:rsidTr="00402400">
        <w:trPr>
          <w:trHeight w:val="510"/>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noWrap/>
          </w:tcPr>
          <w:p w14:paraId="5E48C056" w14:textId="77777777" w:rsidR="00463242" w:rsidRPr="008F1B7C" w:rsidRDefault="00463242" w:rsidP="00463242">
            <w:pPr>
              <w:rPr>
                <w:rFonts w:asciiTheme="majorHAnsi" w:hAnsiTheme="majorHAnsi" w:cstheme="majorHAnsi"/>
                <w:color w:val="000000"/>
                <w:sz w:val="18"/>
                <w:szCs w:val="20"/>
              </w:rPr>
            </w:pPr>
          </w:p>
        </w:tc>
        <w:tc>
          <w:tcPr>
            <w:tcW w:w="1587" w:type="dxa"/>
            <w:shd w:val="clear" w:color="auto" w:fill="auto"/>
            <w:vAlign w:val="center"/>
          </w:tcPr>
          <w:p w14:paraId="280783AD" w14:textId="7777777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757" w:type="dxa"/>
            <w:shd w:val="clear" w:color="auto" w:fill="auto"/>
            <w:vAlign w:val="center"/>
          </w:tcPr>
          <w:p w14:paraId="4B37EB00" w14:textId="7777777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Proposed</w:t>
            </w:r>
          </w:p>
          <w:p w14:paraId="782E6257" w14:textId="7777777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SRS 251.0</w:t>
            </w:r>
          </w:p>
          <w:p w14:paraId="435354EC" w14:textId="08864EB5" w:rsidR="00C41AEA" w:rsidRPr="008F1B7C" w:rsidRDefault="00C41AEA"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(Enhanced data and classifications)</w:t>
            </w:r>
          </w:p>
        </w:tc>
        <w:tc>
          <w:tcPr>
            <w:tcW w:w="1557" w:type="dxa"/>
            <w:shd w:val="clear" w:color="auto" w:fill="auto"/>
            <w:vAlign w:val="center"/>
          </w:tcPr>
          <w:p w14:paraId="3A059A9D" w14:textId="7777777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8"/>
                <w:szCs w:val="20"/>
              </w:rPr>
            </w:pPr>
            <w:r w:rsidRPr="008F1B7C">
              <w:rPr>
                <w:rFonts w:asciiTheme="majorHAnsi" w:hAnsiTheme="majorHAnsi" w:cstheme="majorHAnsi"/>
                <w:b/>
                <w:color w:val="000000"/>
                <w:sz w:val="18"/>
                <w:szCs w:val="20"/>
              </w:rPr>
              <w:t>Proposed</w:t>
            </w:r>
          </w:p>
          <w:p w14:paraId="6EEDA9BD" w14:textId="38730B31"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b/>
                <w:color w:val="000000"/>
                <w:sz w:val="18"/>
                <w:szCs w:val="20"/>
              </w:rPr>
              <w:t>SRS 251.0</w:t>
            </w:r>
            <w:r w:rsidR="00C41AEA" w:rsidRPr="008F1B7C">
              <w:rPr>
                <w:rFonts w:asciiTheme="majorHAnsi" w:hAnsiTheme="majorHAnsi" w:cstheme="majorHAnsi"/>
                <w:b/>
                <w:color w:val="000000"/>
                <w:sz w:val="18"/>
                <w:szCs w:val="20"/>
              </w:rPr>
              <w:t xml:space="preserve"> </w:t>
            </w:r>
            <w:r w:rsidR="00C41AEA" w:rsidRPr="008F1B7C">
              <w:rPr>
                <w:rFonts w:asciiTheme="majorHAnsi" w:hAnsiTheme="majorHAnsi" w:cstheme="majorHAnsi"/>
                <w:color w:val="000000"/>
                <w:sz w:val="18"/>
                <w:szCs w:val="20"/>
              </w:rPr>
              <w:t>(Enhanced data and classifications)</w:t>
            </w:r>
          </w:p>
        </w:tc>
        <w:tc>
          <w:tcPr>
            <w:tcW w:w="1984" w:type="dxa"/>
            <w:shd w:val="clear" w:color="auto" w:fill="auto"/>
            <w:vAlign w:val="center"/>
          </w:tcPr>
          <w:p w14:paraId="2E95A6DB" w14:textId="7777777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3E2EE850" w14:textId="77777777" w:rsidR="00463242" w:rsidRPr="008F1B7C" w:rsidRDefault="00463242" w:rsidP="0046324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p>
        </w:tc>
      </w:tr>
      <w:tr w:rsidR="00463242" w:rsidRPr="008F1B7C" w14:paraId="26112CA5" w14:textId="77777777" w:rsidTr="00C5725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724E0C0B" w14:textId="77777777" w:rsidR="00463242" w:rsidRPr="008F1B7C" w:rsidRDefault="00463242" w:rsidP="00463242">
            <w:pPr>
              <w:rPr>
                <w:rFonts w:asciiTheme="majorHAnsi" w:hAnsiTheme="majorHAnsi" w:cstheme="majorHAnsi"/>
                <w:color w:val="000000"/>
                <w:sz w:val="18"/>
                <w:szCs w:val="20"/>
              </w:rPr>
            </w:pPr>
            <w:r w:rsidRPr="008F1B7C">
              <w:rPr>
                <w:rFonts w:asciiTheme="majorHAnsi" w:hAnsiTheme="majorHAnsi" w:cstheme="majorHAnsi"/>
                <w:color w:val="000000"/>
                <w:sz w:val="18"/>
                <w:szCs w:val="20"/>
              </w:rPr>
              <w:t>Wind up</w:t>
            </w:r>
          </w:p>
        </w:tc>
        <w:tc>
          <w:tcPr>
            <w:tcW w:w="0" w:type="dxa"/>
            <w:shd w:val="clear" w:color="auto" w:fill="auto"/>
            <w:vAlign w:val="center"/>
          </w:tcPr>
          <w:p w14:paraId="3730FE27"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0" w:type="dxa"/>
            <w:shd w:val="clear" w:color="auto" w:fill="auto"/>
            <w:vAlign w:val="center"/>
          </w:tcPr>
          <w:p w14:paraId="6D92F741"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SRS 602.0</w:t>
            </w:r>
          </w:p>
        </w:tc>
        <w:tc>
          <w:tcPr>
            <w:tcW w:w="0" w:type="dxa"/>
            <w:shd w:val="clear" w:color="auto" w:fill="auto"/>
            <w:vAlign w:val="center"/>
          </w:tcPr>
          <w:p w14:paraId="3A2477B1"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984" w:type="dxa"/>
            <w:shd w:val="clear" w:color="auto" w:fill="auto"/>
            <w:vAlign w:val="center"/>
          </w:tcPr>
          <w:p w14:paraId="24109D8A"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c>
          <w:tcPr>
            <w:tcW w:w="1276" w:type="dxa"/>
            <w:shd w:val="clear" w:color="auto" w:fill="auto"/>
            <w:vAlign w:val="center"/>
          </w:tcPr>
          <w:p w14:paraId="2C78819D" w14:textId="77777777" w:rsidR="00463242" w:rsidRPr="008F1B7C" w:rsidRDefault="00463242" w:rsidP="0046324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p>
        </w:tc>
      </w:tr>
    </w:tbl>
    <w:p w14:paraId="7BEA69CA" w14:textId="77777777" w:rsidR="00BC64D0" w:rsidRPr="008F1B7C" w:rsidRDefault="00BC64D0" w:rsidP="00BC64D0">
      <w:pPr>
        <w:jc w:val="both"/>
      </w:pPr>
    </w:p>
    <w:p w14:paraId="13A8D563" w14:textId="77777777" w:rsidR="00437E36" w:rsidRPr="00971E62" w:rsidRDefault="00437E36" w:rsidP="006C49DB">
      <w:pPr>
        <w:rPr>
          <w:b/>
          <w:color w:val="000000" w:themeColor="text1"/>
          <w:szCs w:val="24"/>
        </w:rPr>
        <w:sectPr w:rsidR="00437E36" w:rsidRPr="00971E6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pPr>
    </w:p>
    <w:p w14:paraId="0EED7962" w14:textId="6AB67612" w:rsidR="0016725F" w:rsidRPr="008F1B7C" w:rsidRDefault="0016725F" w:rsidP="00DA61A9">
      <w:pPr>
        <w:spacing w:after="0"/>
        <w:jc w:val="both"/>
        <w:rPr>
          <w:b/>
        </w:rPr>
      </w:pPr>
      <w:r w:rsidRPr="008F1B7C">
        <w:rPr>
          <w:b/>
        </w:rPr>
        <w:lastRenderedPageBreak/>
        <w:t>Appendix B: Key gaps and limitations in current superannuation data collection</w:t>
      </w:r>
    </w:p>
    <w:tbl>
      <w:tblPr>
        <w:tblStyle w:val="TableGrid"/>
        <w:tblW w:w="13608" w:type="dxa"/>
        <w:tblLook w:val="04A0" w:firstRow="1" w:lastRow="0" w:firstColumn="1" w:lastColumn="0" w:noHBand="0" w:noVBand="1"/>
      </w:tblPr>
      <w:tblGrid>
        <w:gridCol w:w="2539"/>
        <w:gridCol w:w="6108"/>
        <w:gridCol w:w="4961"/>
      </w:tblGrid>
      <w:tr w:rsidR="00A50392" w:rsidRPr="008F1B7C" w14:paraId="35B64FDC" w14:textId="77777777" w:rsidTr="00714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0C67F4DF" w14:textId="77777777" w:rsidR="00A50392" w:rsidRPr="008F1B7C" w:rsidRDefault="00A50392" w:rsidP="00A50392">
            <w:pPr>
              <w:rPr>
                <w:rFonts w:ascii="Arial" w:hAnsi="Arial"/>
                <w:color w:val="FFFFFF" w:themeColor="background1"/>
              </w:rPr>
            </w:pPr>
            <w:r w:rsidRPr="008F1B7C">
              <w:rPr>
                <w:rFonts w:ascii="Arial" w:hAnsi="Arial"/>
                <w:color w:val="FFFFFF" w:themeColor="background1"/>
              </w:rPr>
              <w:t>Existing Reporting Standard</w:t>
            </w:r>
          </w:p>
        </w:tc>
        <w:tc>
          <w:tcPr>
            <w:tcW w:w="6108" w:type="dxa"/>
          </w:tcPr>
          <w:p w14:paraId="0B29BBBF" w14:textId="77777777" w:rsidR="00A50392" w:rsidRPr="008F1B7C" w:rsidRDefault="00A50392" w:rsidP="00A50392">
            <w:pPr>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rPr>
            </w:pPr>
            <w:r w:rsidRPr="008F1B7C">
              <w:rPr>
                <w:rFonts w:ascii="Arial" w:hAnsi="Arial"/>
                <w:color w:val="FFFFFF" w:themeColor="background1"/>
              </w:rPr>
              <w:t>Gaps in current collection framework</w:t>
            </w:r>
          </w:p>
        </w:tc>
        <w:tc>
          <w:tcPr>
            <w:tcW w:w="4961" w:type="dxa"/>
          </w:tcPr>
          <w:p w14:paraId="5B1452B8" w14:textId="77777777" w:rsidR="00A50392" w:rsidRPr="008F1B7C" w:rsidRDefault="00A50392" w:rsidP="00A50392">
            <w:pPr>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rPr>
            </w:pPr>
            <w:r w:rsidRPr="008F1B7C">
              <w:rPr>
                <w:rFonts w:ascii="Arial" w:hAnsi="Arial"/>
                <w:color w:val="FFFFFF" w:themeColor="background1"/>
              </w:rPr>
              <w:t>New Reporting Standard</w:t>
            </w:r>
          </w:p>
        </w:tc>
      </w:tr>
      <w:tr w:rsidR="00A50392" w:rsidRPr="008F1B7C" w14:paraId="07F18253" w14:textId="77777777" w:rsidTr="0071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2E227DCB" w14:textId="77777777" w:rsidR="00A50392" w:rsidRPr="008F1B7C" w:rsidRDefault="00A50392" w:rsidP="00A50392">
            <w:pPr>
              <w:rPr>
                <w:rFonts w:ascii="Arial" w:hAnsi="Arial"/>
                <w:sz w:val="20"/>
              </w:rPr>
            </w:pPr>
            <w:r w:rsidRPr="008F1B7C">
              <w:rPr>
                <w:rFonts w:ascii="Arial" w:hAnsi="Arial"/>
                <w:sz w:val="20"/>
              </w:rPr>
              <w:t>SRS 250.0 Acquired Insurance.</w:t>
            </w:r>
          </w:p>
        </w:tc>
        <w:tc>
          <w:tcPr>
            <w:tcW w:w="6108" w:type="dxa"/>
          </w:tcPr>
          <w:p w14:paraId="7C40AA89" w14:textId="77777777" w:rsidR="00A50392" w:rsidRPr="00635054" w:rsidRDefault="00A50392" w:rsidP="00DA61A9">
            <w:pPr>
              <w:spacing w:after="0"/>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 xml:space="preserve">Details on the gaps are outlined in the </w:t>
            </w:r>
            <w:hyperlink r:id="rId19" w:history="1">
              <w:r w:rsidRPr="008F1B7C">
                <w:rPr>
                  <w:rFonts w:ascii="Arial" w:hAnsi="Arial"/>
                  <w:color w:val="0000FF"/>
                  <w:sz w:val="20"/>
                  <w:u w:val="single"/>
                </w:rPr>
                <w:t>topic paper</w:t>
              </w:r>
            </w:hyperlink>
            <w:r w:rsidRPr="00635054">
              <w:rPr>
                <w:rFonts w:ascii="Arial" w:hAnsi="Arial"/>
                <w:color w:val="000000"/>
                <w:sz w:val="20"/>
              </w:rPr>
              <w:t>:</w:t>
            </w:r>
          </w:p>
          <w:p w14:paraId="1292088E" w14:textId="7A7F9014"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Data on premiums is bundled, and claims are reported at the whole of fund level. Claims / premiums ratio</w:t>
            </w:r>
            <w:r w:rsidR="007A720D" w:rsidRPr="008F1B7C">
              <w:rPr>
                <w:rFonts w:ascii="Arial" w:hAnsi="Arial"/>
                <w:color w:val="000000"/>
                <w:sz w:val="20"/>
              </w:rPr>
              <w:t>s</w:t>
            </w:r>
            <w:r w:rsidRPr="008F1B7C">
              <w:rPr>
                <w:rFonts w:ascii="Arial" w:hAnsi="Arial"/>
                <w:color w:val="000000"/>
                <w:sz w:val="20"/>
              </w:rPr>
              <w:t xml:space="preserve"> cannot be calculated.</w:t>
            </w:r>
          </w:p>
          <w:p w14:paraId="075EE996" w14:textId="77777777" w:rsidR="00A50392" w:rsidRPr="008F1B7C" w:rsidRDefault="00A50392" w:rsidP="00A50392">
            <w:pPr>
              <w:tabs>
                <w:tab w:val="left" w:pos="187"/>
              </w:tabs>
              <w:ind w:left="187" w:hanging="187"/>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p>
          <w:p w14:paraId="5F33C33B" w14:textId="77777777"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Data on claims experience for TDP does not include details on assessment criteria applied at the time of the claim.</w:t>
            </w:r>
          </w:p>
        </w:tc>
        <w:tc>
          <w:tcPr>
            <w:tcW w:w="4961" w:type="dxa"/>
          </w:tcPr>
          <w:p w14:paraId="5FD5A0EC"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 xml:space="preserve">SRS 251.0 Insurance </w:t>
            </w:r>
          </w:p>
          <w:p w14:paraId="218B6C8E" w14:textId="77777777" w:rsidR="00A50392" w:rsidRPr="008F1B7C" w:rsidRDefault="00A50392" w:rsidP="0067712C">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 xml:space="preserve">(SRF 251.0 Insurance Arrangements; SRF 251.1 Insurance coverage and SRF 251.2 Insurance payments) </w:t>
            </w:r>
          </w:p>
          <w:p w14:paraId="7CD04FDC" w14:textId="77777777" w:rsidR="00A50392" w:rsidRPr="008F1B7C" w:rsidRDefault="00A50392" w:rsidP="0067712C">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Enhanced data to facilitate an improved understanding of the nature and value of insurance arrangements, as well as enhanced reporting on insurance experience.</w:t>
            </w:r>
          </w:p>
          <w:p w14:paraId="5E94A7AD"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b/>
                <w:color w:val="000000"/>
                <w:sz w:val="20"/>
              </w:rPr>
            </w:pPr>
          </w:p>
        </w:tc>
      </w:tr>
      <w:tr w:rsidR="00A50392" w:rsidRPr="008F1B7C" w14:paraId="33F9296A" w14:textId="77777777" w:rsidTr="007149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572161E6" w14:textId="77777777" w:rsidR="00A50392" w:rsidRPr="008F1B7C" w:rsidRDefault="00A50392" w:rsidP="00A50392">
            <w:pPr>
              <w:rPr>
                <w:rFonts w:ascii="Arial" w:hAnsi="Arial"/>
                <w:sz w:val="20"/>
              </w:rPr>
            </w:pPr>
            <w:r w:rsidRPr="008F1B7C">
              <w:rPr>
                <w:rFonts w:ascii="Arial" w:hAnsi="Arial"/>
                <w:sz w:val="20"/>
              </w:rPr>
              <w:t xml:space="preserve">SRS 703.0 Fees Disclosed </w:t>
            </w:r>
          </w:p>
        </w:tc>
        <w:tc>
          <w:tcPr>
            <w:tcW w:w="6108" w:type="dxa"/>
          </w:tcPr>
          <w:p w14:paraId="36B593CA" w14:textId="77777777" w:rsidR="00A50392" w:rsidRPr="00635054" w:rsidRDefault="00A50392" w:rsidP="00A50392">
            <w:pPr>
              <w:tabs>
                <w:tab w:val="left" w:pos="187"/>
              </w:tabs>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 xml:space="preserve">Details on the gaps are outlined in the </w:t>
            </w:r>
            <w:hyperlink r:id="rId20" w:history="1">
              <w:r w:rsidRPr="008F1B7C">
                <w:rPr>
                  <w:rFonts w:ascii="Arial" w:hAnsi="Arial"/>
                  <w:color w:val="0000FF"/>
                  <w:sz w:val="20"/>
                  <w:u w:val="single"/>
                </w:rPr>
                <w:t>topic paper</w:t>
              </w:r>
            </w:hyperlink>
            <w:r w:rsidRPr="00635054">
              <w:rPr>
                <w:rFonts w:ascii="Arial" w:hAnsi="Arial"/>
                <w:color w:val="000000"/>
                <w:sz w:val="20"/>
              </w:rPr>
              <w:t>:</w:t>
            </w:r>
          </w:p>
          <w:p w14:paraId="6EF3810D"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 xml:space="preserve">Collects sample premiums for policies providing default cover for representative </w:t>
            </w:r>
            <w:proofErr w:type="spellStart"/>
            <w:r w:rsidRPr="008F1B7C">
              <w:rPr>
                <w:rFonts w:ascii="Arial" w:hAnsi="Arial"/>
                <w:color w:val="000000"/>
                <w:sz w:val="20"/>
              </w:rPr>
              <w:t>MySuper</w:t>
            </w:r>
            <w:proofErr w:type="spellEnd"/>
            <w:r w:rsidRPr="008F1B7C">
              <w:rPr>
                <w:rFonts w:ascii="Arial" w:hAnsi="Arial"/>
                <w:color w:val="000000"/>
                <w:sz w:val="20"/>
              </w:rPr>
              <w:t xml:space="preserve"> members aged 30 and 50.</w:t>
            </w:r>
          </w:p>
          <w:p w14:paraId="0EAAB34E" w14:textId="77777777" w:rsidR="00A50392" w:rsidRPr="008F1B7C" w:rsidRDefault="00A50392" w:rsidP="00A50392">
            <w:pPr>
              <w:tabs>
                <w:tab w:val="left" w:pos="187"/>
                <w:tab w:val="left" w:pos="425"/>
              </w:tabs>
              <w:ind w:left="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p>
          <w:p w14:paraId="45AD7A3F" w14:textId="783BBB16"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 xml:space="preserve">Worker category is </w:t>
            </w:r>
            <w:r w:rsidR="007A720D" w:rsidRPr="008F1B7C">
              <w:rPr>
                <w:rFonts w:ascii="Arial" w:hAnsi="Arial"/>
                <w:color w:val="000000"/>
                <w:sz w:val="20"/>
              </w:rPr>
              <w:t>not defined</w:t>
            </w:r>
            <w:r w:rsidRPr="008F1B7C">
              <w:rPr>
                <w:rFonts w:ascii="Arial" w:hAnsi="Arial"/>
                <w:color w:val="000000"/>
                <w:sz w:val="20"/>
              </w:rPr>
              <w:t xml:space="preserve">, so </w:t>
            </w:r>
            <w:r w:rsidR="00B02462" w:rsidRPr="008F1B7C">
              <w:rPr>
                <w:rFonts w:ascii="Arial" w:hAnsi="Arial"/>
                <w:color w:val="000000"/>
                <w:sz w:val="20"/>
              </w:rPr>
              <w:t xml:space="preserve">default </w:t>
            </w:r>
            <w:r w:rsidRPr="008F1B7C">
              <w:rPr>
                <w:rFonts w:ascii="Arial" w:hAnsi="Arial"/>
                <w:color w:val="000000"/>
                <w:sz w:val="20"/>
              </w:rPr>
              <w:t xml:space="preserve">insurance </w:t>
            </w:r>
            <w:r w:rsidR="00B02462" w:rsidRPr="008F1B7C">
              <w:rPr>
                <w:rFonts w:ascii="Arial" w:hAnsi="Arial"/>
                <w:color w:val="000000"/>
                <w:sz w:val="20"/>
              </w:rPr>
              <w:t xml:space="preserve">design and cost </w:t>
            </w:r>
            <w:r w:rsidRPr="008F1B7C">
              <w:rPr>
                <w:rFonts w:ascii="Arial" w:hAnsi="Arial"/>
                <w:color w:val="000000"/>
                <w:sz w:val="20"/>
              </w:rPr>
              <w:t>data cannot be compared.</w:t>
            </w:r>
          </w:p>
          <w:p w14:paraId="2B37A498" w14:textId="77777777" w:rsidR="00A50392" w:rsidRPr="008F1B7C" w:rsidRDefault="00A50392" w:rsidP="00A50392">
            <w:pPr>
              <w:tabs>
                <w:tab w:val="left" w:pos="187"/>
                <w:tab w:val="left" w:pos="425"/>
              </w:tabs>
              <w:ind w:left="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p>
          <w:p w14:paraId="10B22FAB"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Discounted fee arrangements are not reported. Under these arrangements, members may pay significantly different premiums for the same insurance policy.</w:t>
            </w:r>
          </w:p>
        </w:tc>
        <w:tc>
          <w:tcPr>
            <w:tcW w:w="4961" w:type="dxa"/>
          </w:tcPr>
          <w:p w14:paraId="1EDB5B6F"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SRS 251.0 Insurance</w:t>
            </w:r>
          </w:p>
          <w:p w14:paraId="604F8086"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(SRF 251.3 Insurance Payments)</w:t>
            </w:r>
          </w:p>
          <w:p w14:paraId="294E1661" w14:textId="77777777" w:rsidR="00A50392" w:rsidRPr="008F1B7C" w:rsidRDefault="00A50392" w:rsidP="0067712C">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 xml:space="preserve">Expanded coverage to capture all premium rates which apply to default cover, and standardised reporting of worker categories to enable comparisons. </w:t>
            </w:r>
          </w:p>
          <w:p w14:paraId="33BD46A1"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p>
          <w:p w14:paraId="7F4B5B96" w14:textId="11FF0ED8" w:rsidR="00A50392" w:rsidRPr="008F1B7C" w:rsidRDefault="00A50392" w:rsidP="00DA61A9">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 xml:space="preserve">Enables analysis of default premiums </w:t>
            </w:r>
            <w:r w:rsidR="00465EF9" w:rsidRPr="008F1B7C">
              <w:rPr>
                <w:rFonts w:ascii="Arial" w:hAnsi="Arial"/>
                <w:color w:val="000000"/>
                <w:sz w:val="20"/>
              </w:rPr>
              <w:t>to better understand the member experience across a range of circumstances.</w:t>
            </w:r>
          </w:p>
          <w:p w14:paraId="0905862D"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p>
        </w:tc>
      </w:tr>
      <w:tr w:rsidR="00A50392" w:rsidRPr="008F1B7C" w14:paraId="79F4F117" w14:textId="77777777" w:rsidTr="0071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78B6A2C4" w14:textId="77777777" w:rsidR="00A50392" w:rsidRPr="008F1B7C" w:rsidRDefault="00A50392" w:rsidP="00A50392">
            <w:pPr>
              <w:rPr>
                <w:rFonts w:ascii="Arial" w:hAnsi="Arial"/>
                <w:b w:val="0"/>
                <w:sz w:val="20"/>
              </w:rPr>
            </w:pPr>
            <w:r w:rsidRPr="008F1B7C">
              <w:rPr>
                <w:rFonts w:ascii="Arial" w:hAnsi="Arial"/>
                <w:sz w:val="20"/>
              </w:rPr>
              <w:t xml:space="preserve">New reporting standard </w:t>
            </w:r>
          </w:p>
          <w:p w14:paraId="118F428D" w14:textId="77777777" w:rsidR="00A50392" w:rsidRPr="008F1B7C" w:rsidRDefault="00A50392" w:rsidP="00A50392">
            <w:pPr>
              <w:rPr>
                <w:rFonts w:ascii="Arial" w:hAnsi="Arial"/>
                <w:b w:val="0"/>
                <w:sz w:val="20"/>
              </w:rPr>
            </w:pPr>
            <w:r w:rsidRPr="008F1B7C">
              <w:rPr>
                <w:rFonts w:ascii="Arial" w:hAnsi="Arial"/>
                <w:b w:val="0"/>
                <w:sz w:val="20"/>
              </w:rPr>
              <w:t>(</w:t>
            </w:r>
            <w:proofErr w:type="gramStart"/>
            <w:r w:rsidRPr="008F1B7C">
              <w:rPr>
                <w:rFonts w:ascii="Arial" w:hAnsi="Arial"/>
                <w:b w:val="0"/>
                <w:sz w:val="20"/>
              </w:rPr>
              <w:t>some</w:t>
            </w:r>
            <w:proofErr w:type="gramEnd"/>
            <w:r w:rsidRPr="008F1B7C">
              <w:rPr>
                <w:rFonts w:ascii="Arial" w:hAnsi="Arial"/>
                <w:b w:val="0"/>
                <w:sz w:val="20"/>
              </w:rPr>
              <w:t xml:space="preserve"> overlap with:</w:t>
            </w:r>
          </w:p>
          <w:p w14:paraId="3FF8CCC0" w14:textId="77777777" w:rsidR="00A50392" w:rsidRPr="008F1B7C" w:rsidRDefault="00A50392" w:rsidP="00A50392">
            <w:pPr>
              <w:rPr>
                <w:rFonts w:ascii="Arial" w:hAnsi="Arial"/>
                <w:b w:val="0"/>
                <w:sz w:val="20"/>
              </w:rPr>
            </w:pPr>
            <w:r w:rsidRPr="008F1B7C">
              <w:rPr>
                <w:rFonts w:ascii="Arial" w:hAnsi="Arial"/>
                <w:b w:val="0"/>
                <w:sz w:val="20"/>
              </w:rPr>
              <w:t xml:space="preserve">SRS 330.0 Statement of Financial </w:t>
            </w:r>
            <w:proofErr w:type="gramStart"/>
            <w:r w:rsidRPr="008F1B7C">
              <w:rPr>
                <w:rFonts w:ascii="Arial" w:hAnsi="Arial"/>
                <w:b w:val="0"/>
                <w:sz w:val="20"/>
              </w:rPr>
              <w:t>Performance;</w:t>
            </w:r>
            <w:proofErr w:type="gramEnd"/>
          </w:p>
          <w:p w14:paraId="46D3BE10" w14:textId="77777777" w:rsidR="00A50392" w:rsidRPr="008F1B7C" w:rsidRDefault="00A50392" w:rsidP="00A50392">
            <w:pPr>
              <w:rPr>
                <w:rFonts w:ascii="Arial" w:hAnsi="Arial"/>
                <w:sz w:val="20"/>
              </w:rPr>
            </w:pPr>
            <w:r w:rsidRPr="008F1B7C">
              <w:rPr>
                <w:rFonts w:ascii="Arial" w:hAnsi="Arial"/>
                <w:b w:val="0"/>
                <w:sz w:val="20"/>
              </w:rPr>
              <w:t>SRS 331.0 Services</w:t>
            </w:r>
          </w:p>
        </w:tc>
        <w:tc>
          <w:tcPr>
            <w:tcW w:w="6108" w:type="dxa"/>
          </w:tcPr>
          <w:p w14:paraId="442F3D42" w14:textId="77777777" w:rsidR="00A50392" w:rsidRPr="00635054"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 xml:space="preserve">Details on the gaps are outlined in the </w:t>
            </w:r>
            <w:hyperlink r:id="rId21" w:history="1">
              <w:r w:rsidRPr="008F1B7C">
                <w:rPr>
                  <w:rFonts w:ascii="Arial" w:hAnsi="Arial"/>
                  <w:color w:val="0000FF"/>
                  <w:sz w:val="20"/>
                  <w:u w:val="single"/>
                </w:rPr>
                <w:t>topic paper</w:t>
              </w:r>
            </w:hyperlink>
            <w:r w:rsidRPr="00635054">
              <w:rPr>
                <w:rFonts w:ascii="Arial" w:hAnsi="Arial"/>
                <w:color w:val="000000"/>
                <w:sz w:val="20"/>
              </w:rPr>
              <w:t>:</w:t>
            </w:r>
          </w:p>
          <w:p w14:paraId="4129343E" w14:textId="77777777"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There is no meaningful and consistent classification of what members money is being spent on. Different entities structure their operations in different ways, so users cannot compare expenses.</w:t>
            </w:r>
          </w:p>
          <w:p w14:paraId="64C5F926"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p>
          <w:p w14:paraId="19F423B6" w14:textId="77777777"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Users cannot identify how much entities have spent for specific purposes, requiring ad hoc collection of data if thematic approaches are needed.</w:t>
            </w:r>
          </w:p>
        </w:tc>
        <w:tc>
          <w:tcPr>
            <w:tcW w:w="4961" w:type="dxa"/>
          </w:tcPr>
          <w:p w14:paraId="460ACF17"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SRS 332.0 Expenses</w:t>
            </w:r>
          </w:p>
          <w:p w14:paraId="34C61E4E" w14:textId="77777777" w:rsidR="0067712C" w:rsidRPr="008F1B7C" w:rsidRDefault="00A50392" w:rsidP="0067712C">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Introduces classifications to capture the purpose for which all expenses are used enabling transparency of what member’s money is being spent on and allowing benchmarking against peers.</w:t>
            </w:r>
          </w:p>
          <w:p w14:paraId="27B77442" w14:textId="6DBE3362" w:rsidR="00A50392" w:rsidRPr="008F1B7C" w:rsidRDefault="00A50392" w:rsidP="0067712C">
            <w:pPr>
              <w:tabs>
                <w:tab w:val="left" w:pos="187"/>
                <w:tab w:val="left" w:pos="425"/>
              </w:tabs>
              <w:ind w:left="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 xml:space="preserve"> </w:t>
            </w:r>
          </w:p>
          <w:p w14:paraId="43F3C5B8" w14:textId="77777777" w:rsidR="00A50392" w:rsidRPr="008F1B7C" w:rsidRDefault="00A50392" w:rsidP="0067712C">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b/>
                <w:color w:val="000000"/>
                <w:sz w:val="20"/>
              </w:rPr>
            </w:pPr>
            <w:r w:rsidRPr="008F1B7C">
              <w:rPr>
                <w:rFonts w:ascii="Arial" w:hAnsi="Arial"/>
                <w:color w:val="000000"/>
                <w:sz w:val="20"/>
              </w:rPr>
              <w:t>Enables consistent and comparable assessment of expenses across the superannuation industry.</w:t>
            </w:r>
          </w:p>
        </w:tc>
      </w:tr>
      <w:tr w:rsidR="00A50392" w:rsidRPr="008F1B7C" w14:paraId="6975D9DE" w14:textId="77777777" w:rsidTr="007149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44D209F9" w14:textId="77777777" w:rsidR="00A50392" w:rsidRPr="008F1B7C" w:rsidRDefault="00A50392" w:rsidP="00A50392">
            <w:pPr>
              <w:rPr>
                <w:rFonts w:ascii="Arial" w:hAnsi="Arial"/>
                <w:b w:val="0"/>
                <w:sz w:val="20"/>
              </w:rPr>
            </w:pPr>
            <w:bookmarkStart w:id="103" w:name="_Hlk80694459"/>
            <w:r w:rsidRPr="008F1B7C">
              <w:rPr>
                <w:rFonts w:ascii="Arial" w:hAnsi="Arial"/>
                <w:sz w:val="20"/>
              </w:rPr>
              <w:lastRenderedPageBreak/>
              <w:t>SRS 001.0 Profile and Structure (Baseline)</w:t>
            </w:r>
          </w:p>
          <w:bookmarkEnd w:id="103"/>
          <w:p w14:paraId="48D570CB" w14:textId="77777777" w:rsidR="00A50392" w:rsidRPr="008F1B7C" w:rsidRDefault="00A50392" w:rsidP="00A50392">
            <w:pPr>
              <w:rPr>
                <w:rFonts w:ascii="Arial" w:hAnsi="Arial"/>
                <w:b w:val="0"/>
                <w:sz w:val="20"/>
              </w:rPr>
            </w:pPr>
          </w:p>
          <w:p w14:paraId="3F5505B2" w14:textId="77777777" w:rsidR="00A50392" w:rsidRPr="008F1B7C" w:rsidRDefault="00A50392" w:rsidP="00A50392">
            <w:pPr>
              <w:rPr>
                <w:rFonts w:ascii="Arial" w:hAnsi="Arial"/>
                <w:sz w:val="20"/>
              </w:rPr>
            </w:pPr>
          </w:p>
          <w:p w14:paraId="3BC8515C" w14:textId="77777777" w:rsidR="00A50392" w:rsidRPr="008F1B7C" w:rsidRDefault="00A50392" w:rsidP="00A50392">
            <w:pPr>
              <w:rPr>
                <w:rFonts w:ascii="Arial" w:hAnsi="Arial"/>
                <w:sz w:val="20"/>
              </w:rPr>
            </w:pPr>
            <w:r w:rsidRPr="008F1B7C">
              <w:rPr>
                <w:rFonts w:ascii="Arial" w:hAnsi="Arial"/>
                <w:sz w:val="20"/>
              </w:rPr>
              <w:t>SRS 601.0 Profile and Structure (RSE)</w:t>
            </w:r>
          </w:p>
        </w:tc>
        <w:tc>
          <w:tcPr>
            <w:tcW w:w="6108" w:type="dxa"/>
          </w:tcPr>
          <w:p w14:paraId="0EE60C25"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 xml:space="preserve">Details on the gaps are outlined in the </w:t>
            </w:r>
            <w:hyperlink r:id="rId22" w:history="1">
              <w:r w:rsidRPr="008F1B7C">
                <w:rPr>
                  <w:rFonts w:ascii="Arial" w:hAnsi="Arial"/>
                  <w:color w:val="0000FF"/>
                  <w:sz w:val="20"/>
                  <w:u w:val="single"/>
                </w:rPr>
                <w:t>topic paper</w:t>
              </w:r>
            </w:hyperlink>
            <w:r w:rsidRPr="008F1B7C">
              <w:rPr>
                <w:rFonts w:ascii="Arial" w:hAnsi="Arial"/>
                <w:color w:val="000000"/>
                <w:sz w:val="20"/>
              </w:rPr>
              <w:t>:</w:t>
            </w:r>
          </w:p>
          <w:p w14:paraId="2255087F"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The population of Choice products is not reported. There is no record of how many products there are across the industry.</w:t>
            </w:r>
          </w:p>
          <w:p w14:paraId="3333A9C2" w14:textId="77777777" w:rsidR="00A50392" w:rsidRPr="008F1B7C" w:rsidRDefault="00A50392" w:rsidP="00A50392">
            <w:pPr>
              <w:tabs>
                <w:tab w:val="left" w:pos="187"/>
                <w:tab w:val="left" w:pos="425"/>
              </w:tabs>
              <w:ind w:left="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p>
          <w:p w14:paraId="6004451A"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The full population of investment options is not reported. There is no consistently calculated record of how many investment options there are across the industry.</w:t>
            </w:r>
          </w:p>
          <w:p w14:paraId="1EDBD72E" w14:textId="77777777" w:rsidR="00A50392" w:rsidRPr="008F1B7C" w:rsidRDefault="00A50392" w:rsidP="00A50392">
            <w:pPr>
              <w:tabs>
                <w:tab w:val="left" w:pos="187"/>
                <w:tab w:val="left" w:pos="425"/>
              </w:tabs>
              <w:ind w:left="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p>
          <w:p w14:paraId="72DAC64A" w14:textId="5EC14FFB"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 xml:space="preserve">There are not clear characteristics of investment options which are needed to interpret performance data about investment options, for example whether it is in the taxed or </w:t>
            </w:r>
            <w:r w:rsidR="006635FB" w:rsidRPr="008F1B7C">
              <w:rPr>
                <w:rFonts w:ascii="Arial" w:hAnsi="Arial"/>
                <w:color w:val="000000"/>
                <w:sz w:val="20"/>
              </w:rPr>
              <w:t>tax-free</w:t>
            </w:r>
            <w:r w:rsidRPr="008F1B7C">
              <w:rPr>
                <w:rFonts w:ascii="Arial" w:hAnsi="Arial"/>
                <w:color w:val="000000"/>
                <w:sz w:val="20"/>
              </w:rPr>
              <w:t xml:space="preserve"> phase.</w:t>
            </w:r>
          </w:p>
        </w:tc>
        <w:tc>
          <w:tcPr>
            <w:tcW w:w="4961" w:type="dxa"/>
          </w:tcPr>
          <w:p w14:paraId="4DF60921" w14:textId="77777777" w:rsidR="00A50392" w:rsidRPr="008F1B7C" w:rsidRDefault="00A50392" w:rsidP="0067712C">
            <w:pPr>
              <w:tabs>
                <w:tab w:val="left" w:pos="187"/>
                <w:tab w:val="left" w:pos="425"/>
              </w:tabs>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SRS 605.0 RSE Structure</w:t>
            </w:r>
          </w:p>
          <w:p w14:paraId="6866F6FB" w14:textId="77777777" w:rsidR="00A50392" w:rsidRPr="008F1B7C" w:rsidRDefault="00A50392" w:rsidP="0067712C">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Introduces full reporting on the population of superannuation products (</w:t>
            </w:r>
            <w:proofErr w:type="spellStart"/>
            <w:r w:rsidRPr="008F1B7C">
              <w:rPr>
                <w:rFonts w:ascii="Arial" w:hAnsi="Arial"/>
                <w:color w:val="000000"/>
                <w:sz w:val="20"/>
              </w:rPr>
              <w:t>MySuper</w:t>
            </w:r>
            <w:proofErr w:type="spellEnd"/>
            <w:r w:rsidRPr="008F1B7C">
              <w:rPr>
                <w:rFonts w:ascii="Arial" w:hAnsi="Arial"/>
                <w:color w:val="000000"/>
                <w:sz w:val="20"/>
              </w:rPr>
              <w:t xml:space="preserve"> and Choice), investment menus and their characteristics.</w:t>
            </w:r>
          </w:p>
          <w:p w14:paraId="442C23D3" w14:textId="77777777" w:rsidR="0067712C" w:rsidRPr="008F1B7C" w:rsidRDefault="0067712C" w:rsidP="0067712C">
            <w:pPr>
              <w:tabs>
                <w:tab w:val="left" w:pos="187"/>
                <w:tab w:val="left" w:pos="425"/>
              </w:tabs>
              <w:ind w:left="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p>
          <w:p w14:paraId="2A06FF1E" w14:textId="317D19A8" w:rsidR="0067712C" w:rsidRPr="008F1B7C" w:rsidRDefault="0067712C" w:rsidP="0067712C">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Support the collection of more granular and meaningful data through a foundational framework capturing the structure of each RSE, the products and investment options they offer and the relationships between them.</w:t>
            </w:r>
          </w:p>
        </w:tc>
      </w:tr>
      <w:tr w:rsidR="00A50392" w:rsidRPr="008F1B7C" w14:paraId="3154D1AC" w14:textId="77777777" w:rsidTr="0071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69340DC9" w14:textId="77777777" w:rsidR="00A50392" w:rsidRPr="008F1B7C" w:rsidRDefault="00A50392" w:rsidP="00A50392">
            <w:pPr>
              <w:rPr>
                <w:rFonts w:ascii="Arial" w:hAnsi="Arial"/>
                <w:sz w:val="20"/>
              </w:rPr>
            </w:pPr>
            <w:r w:rsidRPr="008F1B7C">
              <w:rPr>
                <w:rFonts w:ascii="Arial" w:hAnsi="Arial"/>
                <w:sz w:val="20"/>
              </w:rPr>
              <w:t>New reporting standard</w:t>
            </w:r>
          </w:p>
        </w:tc>
        <w:tc>
          <w:tcPr>
            <w:tcW w:w="6108" w:type="dxa"/>
          </w:tcPr>
          <w:p w14:paraId="0D01C6B1" w14:textId="77777777" w:rsidR="00A50392" w:rsidRPr="008F1B7C" w:rsidRDefault="00A50392" w:rsidP="00A50392">
            <w:pPr>
              <w:tabs>
                <w:tab w:val="left" w:pos="187"/>
              </w:tabs>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 xml:space="preserve">Details on the gaps are outlined in the </w:t>
            </w:r>
            <w:hyperlink r:id="rId23" w:history="1">
              <w:r w:rsidRPr="008F1B7C">
                <w:rPr>
                  <w:rFonts w:ascii="Arial" w:hAnsi="Arial"/>
                  <w:color w:val="0000FF"/>
                  <w:sz w:val="20"/>
                  <w:u w:val="single"/>
                </w:rPr>
                <w:t>topic paper</w:t>
              </w:r>
            </w:hyperlink>
            <w:r w:rsidRPr="008F1B7C">
              <w:rPr>
                <w:rFonts w:ascii="Arial" w:hAnsi="Arial"/>
                <w:color w:val="000000"/>
                <w:sz w:val="20"/>
              </w:rPr>
              <w:t>:</w:t>
            </w:r>
          </w:p>
          <w:p w14:paraId="0C139C37" w14:textId="77777777"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There is no reporting about how many members are in each product and option and what pathways members may take to invest in an investment option (which impacts the net return a member will receive)</w:t>
            </w:r>
          </w:p>
        </w:tc>
        <w:tc>
          <w:tcPr>
            <w:tcW w:w="4961" w:type="dxa"/>
          </w:tcPr>
          <w:p w14:paraId="675CAD44"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rPr>
            </w:pPr>
            <w:r w:rsidRPr="008F1B7C">
              <w:rPr>
                <w:rFonts w:ascii="Arial" w:hAnsi="Arial"/>
                <w:color w:val="000000"/>
                <w:sz w:val="20"/>
              </w:rPr>
              <w:t>SRS 606.0 RSE Profile</w:t>
            </w:r>
          </w:p>
          <w:p w14:paraId="051FD5AC" w14:textId="77777777" w:rsidR="00A50392" w:rsidRPr="008F1B7C" w:rsidRDefault="00A50392" w:rsidP="0067712C">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b/>
                <w:color w:val="000000"/>
                <w:sz w:val="20"/>
              </w:rPr>
            </w:pPr>
            <w:r w:rsidRPr="008F1B7C">
              <w:rPr>
                <w:rFonts w:ascii="Arial" w:hAnsi="Arial"/>
                <w:color w:val="000000"/>
                <w:sz w:val="20"/>
              </w:rPr>
              <w:t>Introduces reporting on the relationships between these superannuation products, investment menus and investment options including the number of members and member assets.</w:t>
            </w:r>
          </w:p>
        </w:tc>
      </w:tr>
      <w:tr w:rsidR="00A50392" w:rsidRPr="008F1B7C" w14:paraId="291DE5A9" w14:textId="77777777" w:rsidTr="0091728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1DFC7114" w14:textId="77777777" w:rsidR="00A50392" w:rsidRPr="008F1B7C" w:rsidRDefault="00A50392" w:rsidP="00A50392">
            <w:pPr>
              <w:rPr>
                <w:rFonts w:ascii="Arial" w:hAnsi="Arial"/>
                <w:sz w:val="20"/>
              </w:rPr>
            </w:pPr>
            <w:r w:rsidRPr="008F1B7C">
              <w:rPr>
                <w:rFonts w:ascii="Arial" w:hAnsi="Arial"/>
                <w:sz w:val="20"/>
              </w:rPr>
              <w:t>SRS 610.0 Membership Profile</w:t>
            </w:r>
          </w:p>
          <w:p w14:paraId="788ACB94" w14:textId="77777777" w:rsidR="00A50392" w:rsidRPr="008F1B7C" w:rsidRDefault="00A50392" w:rsidP="00A50392">
            <w:pPr>
              <w:rPr>
                <w:rFonts w:ascii="Arial" w:hAnsi="Arial"/>
                <w:b w:val="0"/>
                <w:sz w:val="20"/>
              </w:rPr>
            </w:pPr>
          </w:p>
          <w:p w14:paraId="7FB0D942" w14:textId="77777777" w:rsidR="00A50392" w:rsidRPr="008F1B7C" w:rsidRDefault="00A50392" w:rsidP="00A50392">
            <w:pPr>
              <w:rPr>
                <w:rFonts w:ascii="Arial" w:hAnsi="Arial"/>
                <w:sz w:val="20"/>
              </w:rPr>
            </w:pPr>
            <w:r w:rsidRPr="008F1B7C">
              <w:rPr>
                <w:rFonts w:ascii="Arial" w:hAnsi="Arial"/>
                <w:sz w:val="20"/>
              </w:rPr>
              <w:t>SRS 610.2 Membership Profile</w:t>
            </w:r>
          </w:p>
        </w:tc>
        <w:tc>
          <w:tcPr>
            <w:tcW w:w="0" w:type="dxa"/>
          </w:tcPr>
          <w:p w14:paraId="3E8BB9C7"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bookmarkStart w:id="104" w:name="_Hlk80188902"/>
            <w:r w:rsidRPr="008F1B7C">
              <w:rPr>
                <w:rFonts w:ascii="Arial" w:hAnsi="Arial"/>
                <w:color w:val="000000"/>
                <w:sz w:val="20"/>
              </w:rPr>
              <w:t xml:space="preserve">Details on the gaps are outlined in the </w:t>
            </w:r>
            <w:hyperlink r:id="rId24" w:history="1">
              <w:r w:rsidRPr="008F1B7C">
                <w:rPr>
                  <w:rFonts w:ascii="Arial" w:hAnsi="Arial"/>
                  <w:color w:val="0000FF"/>
                  <w:sz w:val="20"/>
                  <w:u w:val="single"/>
                </w:rPr>
                <w:t>topic paper</w:t>
              </w:r>
            </w:hyperlink>
            <w:r w:rsidRPr="008F1B7C">
              <w:rPr>
                <w:rFonts w:ascii="Arial" w:hAnsi="Arial"/>
                <w:color w:val="000000"/>
                <w:sz w:val="20"/>
              </w:rPr>
              <w:t>:</w:t>
            </w:r>
          </w:p>
          <w:p w14:paraId="1AC816FD"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Annual frequency means that ad-hoc data is required to monitor impacts of significant external events and / or legislative changes</w:t>
            </w:r>
          </w:p>
          <w:p w14:paraId="0926B504"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p>
          <w:p w14:paraId="2CFB0A69"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Different member characteristics are reported at an aggregated level so users cannot assess how these are dispersed among the demographics of the fund, for example inactive accounts</w:t>
            </w:r>
            <w:bookmarkEnd w:id="104"/>
          </w:p>
        </w:tc>
        <w:tc>
          <w:tcPr>
            <w:tcW w:w="0" w:type="dxa"/>
          </w:tcPr>
          <w:p w14:paraId="35CB1B36"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rPr>
            </w:pPr>
            <w:r w:rsidRPr="008F1B7C">
              <w:rPr>
                <w:rFonts w:ascii="Arial" w:hAnsi="Arial"/>
                <w:color w:val="000000"/>
                <w:sz w:val="20"/>
              </w:rPr>
              <w:t>SRS 611.0 Member Accounts</w:t>
            </w:r>
          </w:p>
          <w:p w14:paraId="621DB7B8" w14:textId="0A2982B5" w:rsidR="00A50392" w:rsidRPr="008F1B7C" w:rsidRDefault="00A50392" w:rsidP="0067712C">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b/>
                <w:color w:val="000000"/>
                <w:sz w:val="20"/>
              </w:rPr>
            </w:pPr>
            <w:r w:rsidRPr="008F1B7C">
              <w:rPr>
                <w:rFonts w:ascii="Arial" w:hAnsi="Arial"/>
                <w:color w:val="000000"/>
                <w:sz w:val="20"/>
              </w:rPr>
              <w:t xml:space="preserve">Efficient dynamic collection structure means that all combinations of member demographics </w:t>
            </w:r>
            <w:r w:rsidR="006635FB" w:rsidRPr="008F1B7C">
              <w:rPr>
                <w:rFonts w:ascii="Arial" w:hAnsi="Arial"/>
                <w:color w:val="000000"/>
                <w:sz w:val="20"/>
              </w:rPr>
              <w:t>and characteristics</w:t>
            </w:r>
            <w:r w:rsidRPr="008F1B7C">
              <w:rPr>
                <w:rFonts w:ascii="Arial" w:hAnsi="Arial"/>
                <w:color w:val="000000"/>
                <w:sz w:val="20"/>
              </w:rPr>
              <w:t xml:space="preserve"> are reported, with the frequency increased </w:t>
            </w:r>
            <w:proofErr w:type="gramStart"/>
            <w:r w:rsidRPr="008F1B7C">
              <w:rPr>
                <w:rFonts w:ascii="Arial" w:hAnsi="Arial"/>
                <w:color w:val="000000"/>
                <w:sz w:val="20"/>
              </w:rPr>
              <w:t>to</w:t>
            </w:r>
            <w:proofErr w:type="gramEnd"/>
            <w:r w:rsidRPr="008F1B7C">
              <w:rPr>
                <w:rFonts w:ascii="Arial" w:hAnsi="Arial"/>
                <w:color w:val="000000"/>
                <w:sz w:val="20"/>
              </w:rPr>
              <w:t xml:space="preserve"> quarterly. </w:t>
            </w:r>
          </w:p>
        </w:tc>
      </w:tr>
    </w:tbl>
    <w:p w14:paraId="7B0059BC" w14:textId="77777777" w:rsidR="00A50392" w:rsidRPr="008F1B7C" w:rsidRDefault="00A50392" w:rsidP="00A50392">
      <w:pPr>
        <w:jc w:val="both"/>
        <w:rPr>
          <w:rFonts w:ascii="Arial" w:hAnsi="Arial"/>
          <w:color w:val="000000"/>
        </w:rPr>
      </w:pPr>
    </w:p>
    <w:p w14:paraId="577F7D3A" w14:textId="77777777" w:rsidR="00A50392" w:rsidRPr="008F1B7C" w:rsidRDefault="00A50392" w:rsidP="00A50392">
      <w:pPr>
        <w:jc w:val="both"/>
        <w:rPr>
          <w:rFonts w:ascii="Arial" w:hAnsi="Arial"/>
          <w:color w:val="000000"/>
        </w:rPr>
      </w:pPr>
    </w:p>
    <w:tbl>
      <w:tblPr>
        <w:tblStyle w:val="TableGrid"/>
        <w:tblW w:w="13892" w:type="dxa"/>
        <w:tblLook w:val="04A0" w:firstRow="1" w:lastRow="0" w:firstColumn="1" w:lastColumn="0" w:noHBand="0" w:noVBand="1"/>
      </w:tblPr>
      <w:tblGrid>
        <w:gridCol w:w="2539"/>
        <w:gridCol w:w="6108"/>
        <w:gridCol w:w="5245"/>
      </w:tblGrid>
      <w:tr w:rsidR="00A50392" w:rsidRPr="008F1B7C" w14:paraId="59503492" w14:textId="77777777" w:rsidTr="00714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50F404B1" w14:textId="77777777" w:rsidR="00A50392" w:rsidRPr="008F1B7C" w:rsidRDefault="00A50392" w:rsidP="00A50392">
            <w:pPr>
              <w:rPr>
                <w:rFonts w:ascii="Arial" w:hAnsi="Arial"/>
                <w:color w:val="FFFFFF" w:themeColor="background1"/>
              </w:rPr>
            </w:pPr>
            <w:r w:rsidRPr="008F1B7C">
              <w:rPr>
                <w:rFonts w:ascii="Arial" w:hAnsi="Arial"/>
                <w:color w:val="FFFFFF" w:themeColor="background1"/>
              </w:rPr>
              <w:lastRenderedPageBreak/>
              <w:t>Existing Reporting Standard</w:t>
            </w:r>
          </w:p>
        </w:tc>
        <w:tc>
          <w:tcPr>
            <w:tcW w:w="6108" w:type="dxa"/>
          </w:tcPr>
          <w:p w14:paraId="3C64E659" w14:textId="2DA7A9A7" w:rsidR="00A50392" w:rsidRPr="008F1B7C" w:rsidRDefault="00A50392" w:rsidP="00A50392">
            <w:pPr>
              <w:cnfStyle w:val="100000000000" w:firstRow="1" w:lastRow="0" w:firstColumn="0" w:lastColumn="0" w:oddVBand="0" w:evenVBand="0" w:oddHBand="0" w:evenHBand="0" w:firstRowFirstColumn="0" w:firstRowLastColumn="0" w:lastRowFirstColumn="0" w:lastRowLastColumn="0"/>
              <w:rPr>
                <w:rFonts w:ascii="Arial" w:hAnsi="Arial"/>
                <w:color w:val="FFFFFF" w:themeColor="background1"/>
              </w:rPr>
            </w:pPr>
            <w:r w:rsidRPr="008F1B7C">
              <w:rPr>
                <w:rFonts w:ascii="Arial" w:hAnsi="Arial"/>
                <w:color w:val="FFFFFF" w:themeColor="background1"/>
              </w:rPr>
              <w:t>Gaps / challenge in extending to non-</w:t>
            </w:r>
            <w:proofErr w:type="spellStart"/>
            <w:r w:rsidRPr="008F1B7C">
              <w:rPr>
                <w:rFonts w:ascii="Arial" w:hAnsi="Arial"/>
                <w:color w:val="FFFFFF" w:themeColor="background1"/>
              </w:rPr>
              <w:t>MySuper</w:t>
            </w:r>
            <w:proofErr w:type="spellEnd"/>
            <w:r w:rsidR="00EF6A89" w:rsidRPr="008F1B7C">
              <w:rPr>
                <w:rFonts w:ascii="Arial" w:hAnsi="Arial"/>
                <w:color w:val="FFFFFF" w:themeColor="background1"/>
              </w:rPr>
              <w:t xml:space="preserve"> products</w:t>
            </w:r>
          </w:p>
        </w:tc>
        <w:tc>
          <w:tcPr>
            <w:tcW w:w="5245" w:type="dxa"/>
          </w:tcPr>
          <w:p w14:paraId="05E5BB54" w14:textId="77777777" w:rsidR="00A50392" w:rsidRPr="008F1B7C" w:rsidRDefault="00A50392" w:rsidP="00A50392">
            <w:pPr>
              <w:cnfStyle w:val="100000000000" w:firstRow="1" w:lastRow="0" w:firstColumn="0" w:lastColumn="0" w:oddVBand="0" w:evenVBand="0" w:oddHBand="0" w:evenHBand="0" w:firstRowFirstColumn="0" w:firstRowLastColumn="0" w:lastRowFirstColumn="0" w:lastRowLastColumn="0"/>
              <w:rPr>
                <w:rFonts w:ascii="Arial" w:hAnsi="Arial"/>
                <w:b/>
                <w:color w:val="FFFFFF" w:themeColor="background1"/>
              </w:rPr>
            </w:pPr>
            <w:r w:rsidRPr="008F1B7C">
              <w:rPr>
                <w:rFonts w:ascii="Arial" w:hAnsi="Arial"/>
                <w:color w:val="FFFFFF" w:themeColor="background1"/>
              </w:rPr>
              <w:t>New Reporting Standard</w:t>
            </w:r>
          </w:p>
        </w:tc>
      </w:tr>
      <w:tr w:rsidR="00A50392" w:rsidRPr="008F1B7C" w14:paraId="1EED6071" w14:textId="77777777" w:rsidTr="00B447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74FDA193" w14:textId="77777777" w:rsidR="00A50392" w:rsidRPr="008F1B7C" w:rsidRDefault="00A50392" w:rsidP="00A50392">
            <w:pPr>
              <w:rPr>
                <w:rFonts w:ascii="Arial" w:hAnsi="Arial"/>
                <w:sz w:val="20"/>
                <w:szCs w:val="20"/>
              </w:rPr>
            </w:pPr>
            <w:r w:rsidRPr="008F1B7C">
              <w:rPr>
                <w:rFonts w:ascii="Arial" w:hAnsi="Arial"/>
                <w:sz w:val="20"/>
                <w:szCs w:val="20"/>
              </w:rPr>
              <w:t>SRS 702.0 Investment Performance</w:t>
            </w:r>
          </w:p>
        </w:tc>
        <w:tc>
          <w:tcPr>
            <w:tcW w:w="0" w:type="dxa"/>
          </w:tcPr>
          <w:p w14:paraId="412C6AC1" w14:textId="2D463C46"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Details on the gaps are outlined in the </w:t>
            </w:r>
            <w:hyperlink r:id="rId25" w:history="1">
              <w:r w:rsidRPr="008F1B7C">
                <w:rPr>
                  <w:rFonts w:ascii="Arial" w:hAnsi="Arial"/>
                  <w:color w:val="0000FF"/>
                  <w:sz w:val="20"/>
                  <w:szCs w:val="20"/>
                  <w:u w:val="single"/>
                </w:rPr>
                <w:t>topic paper</w:t>
              </w:r>
            </w:hyperlink>
            <w:r w:rsidRPr="008F1B7C">
              <w:rPr>
                <w:rFonts w:ascii="Arial" w:hAnsi="Arial"/>
                <w:color w:val="000000"/>
                <w:sz w:val="20"/>
                <w:szCs w:val="20"/>
              </w:rPr>
              <w:t>:</w:t>
            </w:r>
          </w:p>
          <w:p w14:paraId="39752509" w14:textId="174D7E6E"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Representative member concept is not defined or meaningful for non </w:t>
            </w:r>
            <w:proofErr w:type="spellStart"/>
            <w:r w:rsidRPr="008F1B7C">
              <w:rPr>
                <w:rFonts w:ascii="Arial" w:hAnsi="Arial"/>
                <w:color w:val="000000"/>
                <w:sz w:val="20"/>
                <w:szCs w:val="20"/>
              </w:rPr>
              <w:t>MySuper</w:t>
            </w:r>
            <w:proofErr w:type="spellEnd"/>
            <w:r w:rsidR="00B546A1" w:rsidRPr="008F1B7C">
              <w:rPr>
                <w:rFonts w:ascii="Arial" w:hAnsi="Arial"/>
                <w:color w:val="000000"/>
                <w:sz w:val="20"/>
                <w:szCs w:val="20"/>
              </w:rPr>
              <w:t xml:space="preserve"> products</w:t>
            </w:r>
            <w:r w:rsidRPr="008F1B7C">
              <w:rPr>
                <w:rFonts w:ascii="Arial" w:hAnsi="Arial"/>
                <w:color w:val="000000"/>
                <w:sz w:val="20"/>
                <w:szCs w:val="20"/>
              </w:rPr>
              <w:t xml:space="preserve">. </w:t>
            </w:r>
          </w:p>
          <w:p w14:paraId="5CC01084" w14:textId="77777777" w:rsidR="00A50392" w:rsidRPr="008F1B7C" w:rsidRDefault="00A50392" w:rsidP="00EF6A89">
            <w:pPr>
              <w:tabs>
                <w:tab w:val="left" w:pos="187"/>
                <w:tab w:val="left" w:pos="425"/>
              </w:tabs>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p>
          <w:p w14:paraId="4F467BE8" w14:textId="1DB9281A"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Reporting the product / option combination would result in submission of hundreds of thousands of </w:t>
            </w:r>
            <w:r w:rsidR="00B546A1" w:rsidRPr="008F1B7C">
              <w:rPr>
                <w:rFonts w:ascii="Arial" w:hAnsi="Arial"/>
                <w:color w:val="000000"/>
                <w:sz w:val="20"/>
                <w:szCs w:val="20"/>
              </w:rPr>
              <w:t xml:space="preserve">reporting </w:t>
            </w:r>
            <w:r w:rsidRPr="008F1B7C">
              <w:rPr>
                <w:rFonts w:ascii="Arial" w:hAnsi="Arial"/>
                <w:color w:val="000000"/>
                <w:sz w:val="20"/>
                <w:szCs w:val="20"/>
              </w:rPr>
              <w:t xml:space="preserve">forms. </w:t>
            </w:r>
          </w:p>
          <w:p w14:paraId="770357EF"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p>
          <w:p w14:paraId="5651753E" w14:textId="77777777"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Classifications of fees and costs do not align to the updated RG 97 fee and cost categories.   </w:t>
            </w:r>
          </w:p>
        </w:tc>
        <w:tc>
          <w:tcPr>
            <w:tcW w:w="0" w:type="dxa"/>
          </w:tcPr>
          <w:p w14:paraId="0E0BAA76"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SRS 705.0 Components of net return</w:t>
            </w:r>
          </w:p>
          <w:p w14:paraId="72262C75" w14:textId="0EC62E9E" w:rsidR="00A50392" w:rsidRPr="008F1B7C" w:rsidRDefault="00A50392" w:rsidP="0067712C">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Consistently reported performance data on all superannuation products, investment menus and investment options</w:t>
            </w:r>
            <w:r w:rsidR="00EF6A89" w:rsidRPr="008F1B7C">
              <w:rPr>
                <w:rFonts w:ascii="Arial" w:hAnsi="Arial"/>
                <w:color w:val="000000"/>
                <w:sz w:val="20"/>
                <w:szCs w:val="20"/>
              </w:rPr>
              <w:t xml:space="preserve"> </w:t>
            </w:r>
            <w:r w:rsidR="00EF6A89" w:rsidRPr="008F1B7C">
              <w:rPr>
                <w:sz w:val="20"/>
                <w:szCs w:val="20"/>
              </w:rPr>
              <w:t>allow assessment of a range of possible member experience through all combinations of products and options</w:t>
            </w:r>
            <w:r w:rsidRPr="008F1B7C">
              <w:rPr>
                <w:rFonts w:ascii="Arial" w:hAnsi="Arial"/>
                <w:color w:val="000000"/>
                <w:sz w:val="20"/>
                <w:szCs w:val="20"/>
              </w:rPr>
              <w:t>.</w:t>
            </w:r>
          </w:p>
          <w:p w14:paraId="3D846C48"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p>
          <w:p w14:paraId="1C3ACFAA" w14:textId="560FBB3F" w:rsidR="00A50392" w:rsidRPr="008F1B7C" w:rsidRDefault="00A50392" w:rsidP="005D1110">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Redesigned </w:t>
            </w:r>
            <w:r w:rsidR="005D1110" w:rsidRPr="008F1B7C">
              <w:rPr>
                <w:rFonts w:ascii="Arial" w:hAnsi="Arial"/>
                <w:color w:val="000000"/>
                <w:sz w:val="20"/>
                <w:szCs w:val="20"/>
              </w:rPr>
              <w:t xml:space="preserve">dynamic </w:t>
            </w:r>
            <w:r w:rsidRPr="008F1B7C">
              <w:rPr>
                <w:rFonts w:ascii="Arial" w:hAnsi="Arial"/>
                <w:color w:val="000000"/>
                <w:sz w:val="20"/>
                <w:szCs w:val="20"/>
              </w:rPr>
              <w:t xml:space="preserve">collection </w:t>
            </w:r>
            <w:r w:rsidR="005D1110" w:rsidRPr="008F1B7C">
              <w:rPr>
                <w:rFonts w:ascii="Arial" w:hAnsi="Arial"/>
                <w:color w:val="000000"/>
                <w:sz w:val="20"/>
                <w:szCs w:val="20"/>
              </w:rPr>
              <w:t xml:space="preserve">one form per entity is submitted, if one element is the same for all combinations of product, </w:t>
            </w:r>
            <w:proofErr w:type="gramStart"/>
            <w:r w:rsidR="005D1110" w:rsidRPr="008F1B7C">
              <w:rPr>
                <w:rFonts w:ascii="Arial" w:hAnsi="Arial"/>
                <w:color w:val="000000"/>
                <w:sz w:val="20"/>
                <w:szCs w:val="20"/>
              </w:rPr>
              <w:t>menu</w:t>
            </w:r>
            <w:proofErr w:type="gramEnd"/>
            <w:r w:rsidR="005D1110" w:rsidRPr="008F1B7C">
              <w:rPr>
                <w:rFonts w:ascii="Arial" w:hAnsi="Arial"/>
                <w:color w:val="000000"/>
                <w:sz w:val="20"/>
                <w:szCs w:val="20"/>
              </w:rPr>
              <w:t xml:space="preserve"> and option it is only reported once. </w:t>
            </w:r>
          </w:p>
          <w:p w14:paraId="173D6781"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p>
          <w:p w14:paraId="26838761" w14:textId="316E503C" w:rsidR="00A50392" w:rsidRPr="008F1B7C" w:rsidRDefault="00A50392" w:rsidP="00A50392">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Classifications of fees and costs align to the updated RG 97 categories for consistency.   </w:t>
            </w:r>
          </w:p>
        </w:tc>
      </w:tr>
      <w:tr w:rsidR="00A50392" w:rsidRPr="008F1B7C" w14:paraId="7BE50CB4" w14:textId="77777777" w:rsidTr="007149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13999E7A" w14:textId="77777777" w:rsidR="00A50392" w:rsidRPr="008F1B7C" w:rsidRDefault="00A50392" w:rsidP="00A50392">
            <w:pPr>
              <w:rPr>
                <w:rFonts w:ascii="Arial" w:hAnsi="Arial"/>
                <w:sz w:val="20"/>
                <w:szCs w:val="20"/>
              </w:rPr>
            </w:pPr>
            <w:r w:rsidRPr="008F1B7C">
              <w:rPr>
                <w:rFonts w:ascii="Arial" w:hAnsi="Arial"/>
                <w:sz w:val="20"/>
                <w:szCs w:val="20"/>
              </w:rPr>
              <w:t>SRS 700.0 Product dashboard</w:t>
            </w:r>
          </w:p>
        </w:tc>
        <w:tc>
          <w:tcPr>
            <w:tcW w:w="6108" w:type="dxa"/>
          </w:tcPr>
          <w:p w14:paraId="0761767B" w14:textId="7F17511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Details on the gaps are outlined in the </w:t>
            </w:r>
            <w:hyperlink r:id="rId26" w:history="1">
              <w:r w:rsidRPr="008F1B7C">
                <w:rPr>
                  <w:rFonts w:ascii="Arial" w:hAnsi="Arial"/>
                  <w:color w:val="0000FF"/>
                  <w:sz w:val="20"/>
                  <w:szCs w:val="20"/>
                  <w:u w:val="single"/>
                </w:rPr>
                <w:t>topic paper</w:t>
              </w:r>
            </w:hyperlink>
            <w:r w:rsidRPr="008F1B7C">
              <w:rPr>
                <w:rFonts w:ascii="Arial" w:hAnsi="Arial"/>
                <w:color w:val="000000"/>
                <w:sz w:val="20"/>
                <w:szCs w:val="20"/>
              </w:rPr>
              <w:t>:</w:t>
            </w:r>
          </w:p>
          <w:p w14:paraId="5D9C1BDE"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There is no standardised risk measure for non </w:t>
            </w:r>
            <w:proofErr w:type="spellStart"/>
            <w:r w:rsidRPr="008F1B7C">
              <w:rPr>
                <w:rFonts w:ascii="Arial" w:hAnsi="Arial"/>
                <w:color w:val="000000"/>
                <w:sz w:val="20"/>
                <w:szCs w:val="20"/>
              </w:rPr>
              <w:t>MySuper</w:t>
            </w:r>
            <w:proofErr w:type="spellEnd"/>
          </w:p>
          <w:p w14:paraId="48E5FC8C" w14:textId="77777777" w:rsidR="00A50392" w:rsidRPr="008F1B7C" w:rsidRDefault="00A50392" w:rsidP="00A50392">
            <w:pPr>
              <w:tabs>
                <w:tab w:val="left" w:pos="187"/>
                <w:tab w:val="left" w:pos="425"/>
              </w:tabs>
              <w:ind w:left="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p>
          <w:p w14:paraId="3A166C17"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There is no prescribed return objective for non </w:t>
            </w:r>
            <w:proofErr w:type="spellStart"/>
            <w:r w:rsidRPr="008F1B7C">
              <w:rPr>
                <w:rFonts w:ascii="Arial" w:hAnsi="Arial"/>
                <w:color w:val="000000"/>
                <w:sz w:val="20"/>
                <w:szCs w:val="20"/>
              </w:rPr>
              <w:t>MySuper</w:t>
            </w:r>
            <w:proofErr w:type="spellEnd"/>
            <w:r w:rsidRPr="008F1B7C">
              <w:rPr>
                <w:rFonts w:ascii="Arial" w:hAnsi="Arial"/>
                <w:color w:val="000000"/>
                <w:sz w:val="20"/>
                <w:szCs w:val="20"/>
              </w:rPr>
              <w:t xml:space="preserve"> </w:t>
            </w:r>
          </w:p>
          <w:p w14:paraId="093D710C" w14:textId="77777777" w:rsidR="00A50392" w:rsidRPr="008F1B7C" w:rsidRDefault="00A50392" w:rsidP="00A50392">
            <w:pPr>
              <w:tabs>
                <w:tab w:val="left" w:pos="187"/>
                <w:tab w:val="left" w:pos="425"/>
              </w:tabs>
              <w:ind w:left="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p>
          <w:p w14:paraId="15267FCD"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There is no standardised reporting of net investment return for non </w:t>
            </w:r>
            <w:proofErr w:type="spellStart"/>
            <w:r w:rsidRPr="008F1B7C">
              <w:rPr>
                <w:rFonts w:ascii="Arial" w:hAnsi="Arial"/>
                <w:color w:val="000000"/>
                <w:sz w:val="20"/>
                <w:szCs w:val="20"/>
              </w:rPr>
              <w:t>MySuper</w:t>
            </w:r>
            <w:proofErr w:type="spellEnd"/>
          </w:p>
        </w:tc>
        <w:tc>
          <w:tcPr>
            <w:tcW w:w="5245" w:type="dxa"/>
          </w:tcPr>
          <w:p w14:paraId="010195EC"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SRS 705.1 Investment Performance and Objectives</w:t>
            </w:r>
          </w:p>
          <w:p w14:paraId="3C78A880" w14:textId="77777777" w:rsidR="00A50392" w:rsidRPr="008F1B7C" w:rsidRDefault="00A50392" w:rsidP="0067712C">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b/>
                <w:color w:val="000000"/>
                <w:sz w:val="20"/>
                <w:szCs w:val="20"/>
              </w:rPr>
            </w:pPr>
            <w:r w:rsidRPr="008F1B7C">
              <w:rPr>
                <w:rFonts w:ascii="Arial" w:hAnsi="Arial"/>
                <w:color w:val="000000"/>
                <w:sz w:val="20"/>
                <w:szCs w:val="20"/>
              </w:rPr>
              <w:t>Enhanced and consistently reported performance data for all investment options, including volatility measure, return objective and standardised net investment return.</w:t>
            </w:r>
          </w:p>
        </w:tc>
      </w:tr>
      <w:tr w:rsidR="00A50392" w:rsidRPr="008F1B7C" w14:paraId="279B824B" w14:textId="77777777" w:rsidTr="0071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1D254197" w14:textId="77777777" w:rsidR="00A50392" w:rsidRPr="008F1B7C" w:rsidRDefault="00A50392" w:rsidP="00A50392">
            <w:pPr>
              <w:rPr>
                <w:rFonts w:ascii="Arial" w:hAnsi="Arial"/>
                <w:sz w:val="20"/>
                <w:szCs w:val="20"/>
              </w:rPr>
            </w:pPr>
            <w:r w:rsidRPr="008F1B7C">
              <w:rPr>
                <w:rFonts w:ascii="Arial" w:hAnsi="Arial"/>
                <w:sz w:val="20"/>
                <w:szCs w:val="20"/>
              </w:rPr>
              <w:t>SRS 703.0 Fees Disclosed</w:t>
            </w:r>
          </w:p>
        </w:tc>
        <w:tc>
          <w:tcPr>
            <w:tcW w:w="6108" w:type="dxa"/>
          </w:tcPr>
          <w:p w14:paraId="3951FC6C" w14:textId="0443FF56"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Details on the gaps are outlined in the </w:t>
            </w:r>
            <w:hyperlink r:id="rId27" w:history="1">
              <w:r w:rsidRPr="008F1B7C">
                <w:rPr>
                  <w:rFonts w:ascii="Arial" w:hAnsi="Arial"/>
                  <w:color w:val="0000FF"/>
                  <w:sz w:val="20"/>
                  <w:szCs w:val="20"/>
                  <w:u w:val="single"/>
                </w:rPr>
                <w:t>topic paper</w:t>
              </w:r>
            </w:hyperlink>
            <w:r w:rsidRPr="008F1B7C">
              <w:rPr>
                <w:rFonts w:ascii="Arial" w:hAnsi="Arial"/>
                <w:color w:val="000000"/>
                <w:sz w:val="20"/>
                <w:szCs w:val="20"/>
              </w:rPr>
              <w:t>:</w:t>
            </w:r>
          </w:p>
          <w:p w14:paraId="4E77016E" w14:textId="77777777"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Representative member concept is not defined or meaningful for non </w:t>
            </w:r>
            <w:proofErr w:type="spellStart"/>
            <w:r w:rsidRPr="008F1B7C">
              <w:rPr>
                <w:rFonts w:ascii="Arial" w:hAnsi="Arial"/>
                <w:color w:val="000000"/>
                <w:sz w:val="20"/>
                <w:szCs w:val="20"/>
              </w:rPr>
              <w:t>MySuper</w:t>
            </w:r>
            <w:proofErr w:type="spellEnd"/>
            <w:r w:rsidRPr="008F1B7C">
              <w:rPr>
                <w:rFonts w:ascii="Arial" w:hAnsi="Arial"/>
                <w:color w:val="000000"/>
                <w:sz w:val="20"/>
                <w:szCs w:val="20"/>
              </w:rPr>
              <w:t xml:space="preserve">. </w:t>
            </w:r>
          </w:p>
          <w:p w14:paraId="467EB845" w14:textId="77777777" w:rsidR="00A50392" w:rsidRPr="008F1B7C" w:rsidRDefault="00A50392" w:rsidP="00A50392">
            <w:pPr>
              <w:tabs>
                <w:tab w:val="left" w:pos="187"/>
                <w:tab w:val="left" w:pos="425"/>
              </w:tabs>
              <w:ind w:left="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p>
          <w:p w14:paraId="06700AB5" w14:textId="77777777"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Fees for </w:t>
            </w:r>
            <w:proofErr w:type="spellStart"/>
            <w:r w:rsidRPr="008F1B7C">
              <w:rPr>
                <w:rFonts w:ascii="Arial" w:hAnsi="Arial"/>
                <w:color w:val="000000"/>
                <w:sz w:val="20"/>
                <w:szCs w:val="20"/>
              </w:rPr>
              <w:t>MySuper</w:t>
            </w:r>
            <w:proofErr w:type="spellEnd"/>
            <w:r w:rsidRPr="008F1B7C">
              <w:rPr>
                <w:rFonts w:ascii="Arial" w:hAnsi="Arial"/>
                <w:color w:val="000000"/>
                <w:sz w:val="20"/>
                <w:szCs w:val="20"/>
              </w:rPr>
              <w:t xml:space="preserve"> products can only be charged in a prescribed way. For non </w:t>
            </w:r>
            <w:proofErr w:type="spellStart"/>
            <w:r w:rsidRPr="008F1B7C">
              <w:rPr>
                <w:rFonts w:ascii="Arial" w:hAnsi="Arial"/>
                <w:color w:val="000000"/>
                <w:sz w:val="20"/>
                <w:szCs w:val="20"/>
              </w:rPr>
              <w:t>MySuper</w:t>
            </w:r>
            <w:proofErr w:type="spellEnd"/>
            <w:r w:rsidRPr="008F1B7C">
              <w:rPr>
                <w:rFonts w:ascii="Arial" w:hAnsi="Arial"/>
                <w:color w:val="000000"/>
                <w:sz w:val="20"/>
                <w:szCs w:val="20"/>
              </w:rPr>
              <w:t xml:space="preserve"> products this is not </w:t>
            </w:r>
            <w:proofErr w:type="gramStart"/>
            <w:r w:rsidRPr="008F1B7C">
              <w:rPr>
                <w:rFonts w:ascii="Arial" w:hAnsi="Arial"/>
                <w:color w:val="000000"/>
                <w:sz w:val="20"/>
                <w:szCs w:val="20"/>
              </w:rPr>
              <w:t>prescribed</w:t>
            </w:r>
            <w:proofErr w:type="gramEnd"/>
            <w:r w:rsidRPr="008F1B7C">
              <w:rPr>
                <w:rFonts w:ascii="Arial" w:hAnsi="Arial"/>
                <w:color w:val="000000"/>
                <w:sz w:val="20"/>
                <w:szCs w:val="20"/>
              </w:rPr>
              <w:t xml:space="preserve"> and fee tiers may apply.</w:t>
            </w:r>
          </w:p>
          <w:p w14:paraId="13577ADA" w14:textId="77777777" w:rsidR="00A50392" w:rsidRPr="008F1B7C" w:rsidRDefault="00A50392" w:rsidP="00A50392">
            <w:pPr>
              <w:tabs>
                <w:tab w:val="left" w:pos="187"/>
                <w:tab w:val="left" w:pos="425"/>
              </w:tabs>
              <w:ind w:left="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p>
          <w:p w14:paraId="1E10C069" w14:textId="77777777" w:rsidR="00A50392" w:rsidRPr="008F1B7C" w:rsidRDefault="00A50392" w:rsidP="005139E3">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Classifications of fees and costs do not align to the updated RG 97 fee and cost categories.   </w:t>
            </w:r>
          </w:p>
        </w:tc>
        <w:tc>
          <w:tcPr>
            <w:tcW w:w="5245" w:type="dxa"/>
          </w:tcPr>
          <w:p w14:paraId="03B22D00"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SRS 706.0 Fees and Costs</w:t>
            </w:r>
          </w:p>
          <w:p w14:paraId="5E7A6A9B" w14:textId="5114B71B" w:rsidR="00A50392" w:rsidRPr="008F1B7C" w:rsidRDefault="00A50392" w:rsidP="00A50392">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Consistently reported data on the disclosed fees and costs for members for all products, investment menus and options.</w:t>
            </w:r>
          </w:p>
          <w:p w14:paraId="1958B698" w14:textId="3BB5D977" w:rsidR="00A50392" w:rsidRPr="008F1B7C" w:rsidRDefault="00A50392" w:rsidP="0067712C">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Allows for different types of fees and tiers to be reported</w:t>
            </w:r>
            <w:r w:rsidR="00EF6A89" w:rsidRPr="008F1B7C">
              <w:rPr>
                <w:sz w:val="20"/>
                <w:szCs w:val="20"/>
              </w:rPr>
              <w:t xml:space="preserve"> to enable assessment of a range of possible member experience through all combinations of products and options</w:t>
            </w:r>
            <w:r w:rsidRPr="008F1B7C">
              <w:rPr>
                <w:rFonts w:ascii="Arial" w:hAnsi="Arial"/>
                <w:color w:val="000000"/>
                <w:sz w:val="20"/>
                <w:szCs w:val="20"/>
              </w:rPr>
              <w:t>.</w:t>
            </w:r>
          </w:p>
          <w:p w14:paraId="7B61A97A" w14:textId="77777777" w:rsidR="00A50392" w:rsidRPr="008F1B7C" w:rsidRDefault="00A50392" w:rsidP="00A50392">
            <w:pPr>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p>
          <w:p w14:paraId="6CAF995D" w14:textId="5D3A094F" w:rsidR="00A50392" w:rsidRPr="008F1B7C" w:rsidRDefault="0067712C" w:rsidP="0067712C">
            <w:pPr>
              <w:numPr>
                <w:ilvl w:val="0"/>
                <w:numId w:val="27"/>
              </w:numPr>
              <w:tabs>
                <w:tab w:val="left" w:pos="187"/>
                <w:tab w:val="left" w:pos="425"/>
              </w:tabs>
              <w:ind w:left="187" w:hanging="187"/>
              <w:contextualSpacing/>
              <w:cnfStyle w:val="000000100000" w:firstRow="0" w:lastRow="0" w:firstColumn="0" w:lastColumn="0" w:oddVBand="0" w:evenVBand="0" w:oddHBand="1" w:evenHBand="0"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Updated c</w:t>
            </w:r>
            <w:r w:rsidR="00A50392" w:rsidRPr="008F1B7C">
              <w:rPr>
                <w:rFonts w:ascii="Arial" w:hAnsi="Arial"/>
                <w:color w:val="000000"/>
                <w:sz w:val="20"/>
                <w:szCs w:val="20"/>
              </w:rPr>
              <w:t xml:space="preserve">lassifications of fees and costs </w:t>
            </w:r>
            <w:r w:rsidR="005D1110" w:rsidRPr="008F1B7C">
              <w:rPr>
                <w:rFonts w:ascii="Arial" w:hAnsi="Arial"/>
                <w:color w:val="000000"/>
                <w:sz w:val="20"/>
                <w:szCs w:val="20"/>
              </w:rPr>
              <w:t xml:space="preserve">to </w:t>
            </w:r>
            <w:r w:rsidR="00A50392" w:rsidRPr="008F1B7C">
              <w:rPr>
                <w:rFonts w:ascii="Arial" w:hAnsi="Arial"/>
                <w:color w:val="000000"/>
                <w:sz w:val="20"/>
                <w:szCs w:val="20"/>
              </w:rPr>
              <w:t xml:space="preserve">align to the updated RG 97 categories for consistency.   </w:t>
            </w:r>
          </w:p>
        </w:tc>
      </w:tr>
      <w:tr w:rsidR="00A50392" w:rsidRPr="008F1B7C" w14:paraId="62AB0F57" w14:textId="77777777" w:rsidTr="007149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9" w:type="dxa"/>
          </w:tcPr>
          <w:p w14:paraId="13E23451" w14:textId="77777777" w:rsidR="00A50392" w:rsidRPr="008F1B7C" w:rsidRDefault="00A50392" w:rsidP="00A50392">
            <w:pPr>
              <w:rPr>
                <w:rFonts w:ascii="Arial" w:hAnsi="Arial"/>
                <w:sz w:val="20"/>
                <w:szCs w:val="20"/>
              </w:rPr>
            </w:pPr>
            <w:r w:rsidRPr="008F1B7C">
              <w:rPr>
                <w:rFonts w:ascii="Arial" w:hAnsi="Arial"/>
                <w:sz w:val="20"/>
                <w:szCs w:val="20"/>
              </w:rPr>
              <w:lastRenderedPageBreak/>
              <w:t>SRS 530.0 Investments</w:t>
            </w:r>
          </w:p>
          <w:p w14:paraId="67FDBC53" w14:textId="77777777" w:rsidR="00A50392" w:rsidRPr="008F1B7C" w:rsidRDefault="00A50392" w:rsidP="00A50392">
            <w:pPr>
              <w:rPr>
                <w:rFonts w:ascii="Arial" w:hAnsi="Arial"/>
                <w:sz w:val="20"/>
                <w:szCs w:val="20"/>
              </w:rPr>
            </w:pPr>
            <w:r w:rsidRPr="008F1B7C">
              <w:rPr>
                <w:rFonts w:ascii="Arial" w:hAnsi="Arial"/>
                <w:sz w:val="20"/>
                <w:szCs w:val="20"/>
              </w:rPr>
              <w:t>SRS 533.0 Asset Allocation</w:t>
            </w:r>
          </w:p>
          <w:p w14:paraId="0C2E9F23" w14:textId="77777777" w:rsidR="00A50392" w:rsidRPr="008F1B7C" w:rsidRDefault="00A50392" w:rsidP="00A50392">
            <w:pPr>
              <w:rPr>
                <w:rFonts w:ascii="Arial" w:hAnsi="Arial"/>
                <w:sz w:val="20"/>
                <w:szCs w:val="20"/>
              </w:rPr>
            </w:pPr>
            <w:r w:rsidRPr="008F1B7C">
              <w:rPr>
                <w:rFonts w:ascii="Arial" w:hAnsi="Arial"/>
                <w:sz w:val="20"/>
                <w:szCs w:val="20"/>
              </w:rPr>
              <w:t>SRS 534.0 Derivative Financial Instruments</w:t>
            </w:r>
          </w:p>
        </w:tc>
        <w:tc>
          <w:tcPr>
            <w:tcW w:w="6108" w:type="dxa"/>
          </w:tcPr>
          <w:p w14:paraId="739BB32A"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Details on the gaps are outlined in the </w:t>
            </w:r>
            <w:hyperlink r:id="rId28" w:history="1">
              <w:r w:rsidRPr="008F1B7C">
                <w:rPr>
                  <w:rFonts w:ascii="Arial" w:hAnsi="Arial"/>
                  <w:color w:val="0000FF"/>
                  <w:sz w:val="20"/>
                  <w:szCs w:val="20"/>
                  <w:u w:val="single"/>
                </w:rPr>
                <w:t>topic paper</w:t>
              </w:r>
            </w:hyperlink>
            <w:r w:rsidRPr="008F1B7C">
              <w:rPr>
                <w:rFonts w:ascii="Arial" w:hAnsi="Arial"/>
                <w:color w:val="000000"/>
                <w:sz w:val="20"/>
                <w:szCs w:val="20"/>
              </w:rPr>
              <w:t>:</w:t>
            </w:r>
          </w:p>
          <w:p w14:paraId="12FCD260" w14:textId="0224ECC3"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Industry feedback that the strategic asset allocation classes could be improved. </w:t>
            </w:r>
          </w:p>
          <w:p w14:paraId="081F77F5" w14:textId="77777777" w:rsidR="00A50392" w:rsidRPr="008F1B7C" w:rsidRDefault="00A50392" w:rsidP="00A50392">
            <w:pPr>
              <w:tabs>
                <w:tab w:val="left" w:pos="187"/>
                <w:tab w:val="left" w:pos="425"/>
              </w:tabs>
              <w:ind w:left="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p>
          <w:p w14:paraId="3A49A5A1"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SRF 533.0 strategic asset allocation does not allow for assessment of the differing levels of risk within the same strategic allocation to an asset class.</w:t>
            </w:r>
          </w:p>
          <w:p w14:paraId="3663F119" w14:textId="77777777" w:rsidR="00A50392" w:rsidRPr="008F1B7C" w:rsidRDefault="00A50392" w:rsidP="00A50392">
            <w:pPr>
              <w:tabs>
                <w:tab w:val="left" w:pos="425"/>
                <w:tab w:val="left" w:pos="851"/>
              </w:tabs>
              <w:ind w:left="425"/>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p>
          <w:p w14:paraId="33251D3B" w14:textId="77777777" w:rsidR="00A50392" w:rsidRPr="008F1B7C" w:rsidRDefault="00A50392" w:rsidP="005139E3">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SRF 534.0 is collected on an annual basis and so does not provide a timely enough view of the exposures achieved through the derivative instruments directly held by the RSE.</w:t>
            </w:r>
          </w:p>
          <w:p w14:paraId="31DF2F69"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 </w:t>
            </w:r>
          </w:p>
        </w:tc>
        <w:tc>
          <w:tcPr>
            <w:tcW w:w="5245" w:type="dxa"/>
          </w:tcPr>
          <w:p w14:paraId="5A2A93DA" w14:textId="77777777" w:rsidR="00A50392" w:rsidRPr="008F1B7C" w:rsidRDefault="00A50392" w:rsidP="00A50392">
            <w:pPr>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 xml:space="preserve">SRS 550.0 Asset Allocation </w:t>
            </w:r>
          </w:p>
          <w:p w14:paraId="2688A191" w14:textId="77777777" w:rsidR="00A50392" w:rsidRPr="008F1B7C" w:rsidRDefault="00A50392" w:rsidP="0067712C">
            <w:pPr>
              <w:numPr>
                <w:ilvl w:val="0"/>
                <w:numId w:val="27"/>
              </w:numPr>
              <w:tabs>
                <w:tab w:val="left" w:pos="187"/>
                <w:tab w:val="left" w:pos="425"/>
              </w:tabs>
              <w:ind w:left="187" w:hanging="187"/>
              <w:contextualSpacing/>
              <w:cnfStyle w:val="000000010000" w:firstRow="0" w:lastRow="0" w:firstColumn="0" w:lastColumn="0" w:oddVBand="0" w:evenVBand="0" w:oddHBand="0" w:evenHBand="1" w:firstRowFirstColumn="0" w:firstRowLastColumn="0" w:lastRowFirstColumn="0" w:lastRowLastColumn="0"/>
              <w:rPr>
                <w:rFonts w:ascii="Arial" w:hAnsi="Arial"/>
                <w:color w:val="000000"/>
                <w:sz w:val="20"/>
                <w:szCs w:val="20"/>
              </w:rPr>
            </w:pPr>
            <w:r w:rsidRPr="008F1B7C">
              <w:rPr>
                <w:rFonts w:ascii="Arial" w:hAnsi="Arial"/>
                <w:color w:val="000000"/>
                <w:sz w:val="20"/>
                <w:szCs w:val="20"/>
              </w:rPr>
              <w:t>Enhanced data on investment strategies, to facilitate the assessment of investment performance and understanding of investment strategy and exposures to various asset classes for all investment options, and data on the investment exposures of the fund.</w:t>
            </w:r>
          </w:p>
        </w:tc>
      </w:tr>
    </w:tbl>
    <w:p w14:paraId="57786A60" w14:textId="77777777" w:rsidR="00A50392" w:rsidRPr="008F1B7C" w:rsidRDefault="00A50392" w:rsidP="00A50392">
      <w:pPr>
        <w:jc w:val="both"/>
        <w:rPr>
          <w:rFonts w:ascii="Arial" w:hAnsi="Arial"/>
          <w:color w:val="000000"/>
        </w:rPr>
      </w:pPr>
    </w:p>
    <w:tbl>
      <w:tblPr>
        <w:tblStyle w:val="TableGrid"/>
        <w:tblW w:w="13892" w:type="dxa"/>
        <w:tblLook w:val="04A0" w:firstRow="1" w:lastRow="0" w:firstColumn="1" w:lastColumn="0" w:noHBand="0" w:noVBand="1"/>
      </w:tblPr>
      <w:tblGrid>
        <w:gridCol w:w="13892"/>
      </w:tblGrid>
      <w:tr w:rsidR="00A50392" w:rsidRPr="008F1B7C" w14:paraId="295A9D4D" w14:textId="77777777" w:rsidTr="00714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4195C2AF" w14:textId="3ADCB0D3" w:rsidR="00A50392" w:rsidRPr="008F1B7C" w:rsidRDefault="00A50392" w:rsidP="00A50392">
            <w:pPr>
              <w:rPr>
                <w:rFonts w:ascii="Arial" w:hAnsi="Arial"/>
                <w:color w:val="FFFFFF" w:themeColor="background1"/>
              </w:rPr>
            </w:pPr>
            <w:r w:rsidRPr="008F1B7C">
              <w:rPr>
                <w:rFonts w:ascii="Arial" w:hAnsi="Arial"/>
                <w:color w:val="FFFFFF" w:themeColor="background1"/>
              </w:rPr>
              <w:t>Reporting standards to be replaced</w:t>
            </w:r>
            <w:r w:rsidR="0080590E" w:rsidRPr="008F1B7C">
              <w:rPr>
                <w:rFonts w:ascii="Arial" w:hAnsi="Arial"/>
                <w:color w:val="FFFFFF" w:themeColor="background1"/>
              </w:rPr>
              <w:t>*</w:t>
            </w:r>
          </w:p>
        </w:tc>
      </w:tr>
      <w:tr w:rsidR="00A50392" w:rsidRPr="008F1B7C" w14:paraId="0EBA87ED" w14:textId="77777777" w:rsidTr="0071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145151C4" w14:textId="77777777" w:rsidR="00A50392" w:rsidRPr="008F1B7C" w:rsidRDefault="00A50392" w:rsidP="00A50392">
            <w:pPr>
              <w:rPr>
                <w:rFonts w:ascii="Arial" w:hAnsi="Arial"/>
                <w:sz w:val="20"/>
                <w:szCs w:val="20"/>
              </w:rPr>
            </w:pPr>
            <w:bookmarkStart w:id="105" w:name="_Hlk80692891"/>
            <w:r w:rsidRPr="008F1B7C">
              <w:rPr>
                <w:rFonts w:ascii="Arial" w:hAnsi="Arial"/>
                <w:sz w:val="20"/>
                <w:szCs w:val="20"/>
              </w:rPr>
              <w:t>SRS 702.0 Investment Performance</w:t>
            </w:r>
          </w:p>
        </w:tc>
      </w:tr>
      <w:tr w:rsidR="00A50392" w:rsidRPr="008F1B7C" w14:paraId="2199C277" w14:textId="77777777" w:rsidTr="007149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24FD39A9" w14:textId="77777777" w:rsidR="00A50392" w:rsidRPr="008F1B7C" w:rsidRDefault="00A50392" w:rsidP="00A50392">
            <w:pPr>
              <w:rPr>
                <w:rFonts w:ascii="Arial" w:hAnsi="Arial"/>
                <w:sz w:val="20"/>
                <w:szCs w:val="20"/>
              </w:rPr>
            </w:pPr>
            <w:r w:rsidRPr="008F1B7C">
              <w:rPr>
                <w:rFonts w:ascii="Arial" w:hAnsi="Arial"/>
                <w:sz w:val="20"/>
                <w:szCs w:val="20"/>
              </w:rPr>
              <w:t>SRS 703.0 Fees Disclosed</w:t>
            </w:r>
          </w:p>
        </w:tc>
      </w:tr>
      <w:tr w:rsidR="00A50392" w:rsidRPr="008F1B7C" w14:paraId="0417713B" w14:textId="77777777" w:rsidTr="0071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22C6204E" w14:textId="77777777" w:rsidR="00A50392" w:rsidRPr="008F1B7C" w:rsidRDefault="00A50392" w:rsidP="00A50392">
            <w:pPr>
              <w:rPr>
                <w:rFonts w:ascii="Arial" w:hAnsi="Arial"/>
                <w:sz w:val="20"/>
                <w:szCs w:val="20"/>
              </w:rPr>
            </w:pPr>
            <w:r w:rsidRPr="008F1B7C">
              <w:rPr>
                <w:rFonts w:ascii="Arial" w:hAnsi="Arial"/>
                <w:sz w:val="20"/>
                <w:szCs w:val="20"/>
              </w:rPr>
              <w:t>SRS 530.0 Investments</w:t>
            </w:r>
          </w:p>
          <w:p w14:paraId="25D21858" w14:textId="77777777" w:rsidR="00A50392" w:rsidRPr="008F1B7C" w:rsidRDefault="00A50392" w:rsidP="00A50392">
            <w:pPr>
              <w:rPr>
                <w:rFonts w:ascii="Arial" w:hAnsi="Arial"/>
                <w:sz w:val="20"/>
                <w:szCs w:val="20"/>
              </w:rPr>
            </w:pPr>
            <w:r w:rsidRPr="008F1B7C">
              <w:rPr>
                <w:rFonts w:ascii="Arial" w:hAnsi="Arial"/>
                <w:sz w:val="20"/>
                <w:szCs w:val="20"/>
              </w:rPr>
              <w:t>SRS 533.0 Asset Allocation</w:t>
            </w:r>
          </w:p>
          <w:p w14:paraId="07FCB0CE" w14:textId="77777777" w:rsidR="00A50392" w:rsidRPr="008F1B7C" w:rsidRDefault="00A50392" w:rsidP="00A50392">
            <w:pPr>
              <w:rPr>
                <w:rFonts w:ascii="Arial" w:hAnsi="Arial"/>
                <w:sz w:val="20"/>
                <w:szCs w:val="20"/>
              </w:rPr>
            </w:pPr>
            <w:r w:rsidRPr="008F1B7C">
              <w:rPr>
                <w:rFonts w:ascii="Arial" w:hAnsi="Arial"/>
                <w:sz w:val="20"/>
                <w:szCs w:val="20"/>
              </w:rPr>
              <w:t>SRS 534.0 Derivative Financial Instruments</w:t>
            </w:r>
          </w:p>
        </w:tc>
      </w:tr>
      <w:tr w:rsidR="00A50392" w:rsidRPr="008F1B7C" w14:paraId="7A789E9D" w14:textId="77777777" w:rsidTr="007149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125FA639" w14:textId="72FCB6F0" w:rsidR="00A50392" w:rsidRPr="008F1B7C" w:rsidRDefault="00A50392" w:rsidP="00A50392">
            <w:pPr>
              <w:rPr>
                <w:rFonts w:ascii="Arial" w:hAnsi="Arial"/>
                <w:sz w:val="20"/>
                <w:szCs w:val="20"/>
              </w:rPr>
            </w:pPr>
            <w:r w:rsidRPr="008F1B7C">
              <w:rPr>
                <w:rFonts w:ascii="Arial" w:hAnsi="Arial"/>
                <w:sz w:val="20"/>
                <w:szCs w:val="20"/>
              </w:rPr>
              <w:t>SRS 250.0 Acquired Insurance</w:t>
            </w:r>
          </w:p>
        </w:tc>
      </w:tr>
      <w:tr w:rsidR="00A50392" w:rsidRPr="008F1B7C" w14:paraId="77B411E0" w14:textId="77777777" w:rsidTr="00714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0069D8F0" w14:textId="77777777" w:rsidR="00A50392" w:rsidRPr="008F1B7C" w:rsidRDefault="00A50392" w:rsidP="00A50392">
            <w:pPr>
              <w:rPr>
                <w:rFonts w:ascii="Arial" w:hAnsi="Arial"/>
                <w:sz w:val="20"/>
                <w:szCs w:val="20"/>
              </w:rPr>
            </w:pPr>
            <w:r w:rsidRPr="008F1B7C">
              <w:rPr>
                <w:rFonts w:ascii="Arial" w:hAnsi="Arial"/>
                <w:sz w:val="20"/>
                <w:szCs w:val="20"/>
              </w:rPr>
              <w:t>SRS 610.0 Membership Profile</w:t>
            </w:r>
          </w:p>
        </w:tc>
      </w:tr>
      <w:tr w:rsidR="00A50392" w:rsidRPr="008F1B7C" w14:paraId="0114AD3B" w14:textId="77777777" w:rsidTr="007149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2" w:type="dxa"/>
          </w:tcPr>
          <w:p w14:paraId="521EC266" w14:textId="77777777" w:rsidR="00A50392" w:rsidRPr="008F1B7C" w:rsidRDefault="00A50392" w:rsidP="00A50392">
            <w:pPr>
              <w:rPr>
                <w:rFonts w:ascii="Arial" w:hAnsi="Arial"/>
                <w:sz w:val="20"/>
                <w:szCs w:val="20"/>
              </w:rPr>
            </w:pPr>
            <w:r w:rsidRPr="008F1B7C">
              <w:rPr>
                <w:rFonts w:ascii="Arial" w:hAnsi="Arial"/>
                <w:sz w:val="20"/>
                <w:szCs w:val="20"/>
              </w:rPr>
              <w:t>SRS 610.2 Membership Profile</w:t>
            </w:r>
          </w:p>
        </w:tc>
      </w:tr>
    </w:tbl>
    <w:bookmarkEnd w:id="105"/>
    <w:p w14:paraId="114672AC" w14:textId="5D9BA83D" w:rsidR="00A50392" w:rsidRPr="008F1B7C" w:rsidRDefault="00A50392" w:rsidP="00A50392">
      <w:pPr>
        <w:jc w:val="both"/>
        <w:rPr>
          <w:rFonts w:ascii="Arial" w:hAnsi="Arial"/>
          <w:color w:val="000000"/>
          <w:sz w:val="20"/>
          <w:szCs w:val="20"/>
        </w:rPr>
      </w:pPr>
      <w:r w:rsidRPr="008F1B7C">
        <w:rPr>
          <w:rFonts w:ascii="Arial" w:hAnsi="Arial"/>
          <w:color w:val="000000"/>
          <w:sz w:val="20"/>
          <w:szCs w:val="20"/>
        </w:rPr>
        <w:t xml:space="preserve">* SRS 700.0 Product dashboard will be retained, as this standard sets out the methodology for calculating the prescribed metrics for the </w:t>
      </w:r>
      <w:proofErr w:type="spellStart"/>
      <w:r w:rsidR="006635FB" w:rsidRPr="008F1B7C">
        <w:rPr>
          <w:rFonts w:ascii="Arial" w:hAnsi="Arial"/>
          <w:color w:val="000000"/>
          <w:sz w:val="20"/>
          <w:szCs w:val="20"/>
        </w:rPr>
        <w:t>MySuper</w:t>
      </w:r>
      <w:proofErr w:type="spellEnd"/>
      <w:r w:rsidRPr="008F1B7C">
        <w:rPr>
          <w:rFonts w:ascii="Arial" w:hAnsi="Arial"/>
          <w:color w:val="000000"/>
          <w:sz w:val="20"/>
          <w:szCs w:val="20"/>
        </w:rPr>
        <w:t xml:space="preserve"> product dashboard.</w:t>
      </w:r>
    </w:p>
    <w:p w14:paraId="5777DDAF" w14:textId="2C807511" w:rsidR="0016725F" w:rsidRPr="008F1B7C" w:rsidRDefault="0016725F">
      <w:pPr>
        <w:jc w:val="both"/>
        <w:rPr>
          <w:b/>
        </w:rPr>
      </w:pPr>
      <w:r w:rsidRPr="008F1B7C">
        <w:rPr>
          <w:b/>
        </w:rPr>
        <w:br w:type="page"/>
      </w:r>
    </w:p>
    <w:p w14:paraId="4A681E85" w14:textId="51295C7F" w:rsidR="00696E4E" w:rsidRPr="008F1B7C" w:rsidRDefault="00696E4E" w:rsidP="00696E4E">
      <w:pPr>
        <w:jc w:val="both"/>
        <w:rPr>
          <w:b/>
        </w:rPr>
      </w:pPr>
      <w:r w:rsidRPr="008F1B7C">
        <w:rPr>
          <w:b/>
        </w:rPr>
        <w:lastRenderedPageBreak/>
        <w:t xml:space="preserve">Appendix </w:t>
      </w:r>
      <w:r w:rsidR="00CB5BF6" w:rsidRPr="008F1B7C">
        <w:rPr>
          <w:b/>
        </w:rPr>
        <w:t>C</w:t>
      </w:r>
      <w:r w:rsidRPr="008F1B7C">
        <w:rPr>
          <w:b/>
        </w:rPr>
        <w:t>: Comparison of reporting under each policy option</w:t>
      </w:r>
    </w:p>
    <w:tbl>
      <w:tblPr>
        <w:tblStyle w:val="GridTable4-Accent1"/>
        <w:tblW w:w="13745" w:type="dxa"/>
        <w:tblLayout w:type="fixed"/>
        <w:tblLook w:val="04A0" w:firstRow="1" w:lastRow="0" w:firstColumn="1" w:lastColumn="0" w:noHBand="0" w:noVBand="1"/>
      </w:tblPr>
      <w:tblGrid>
        <w:gridCol w:w="1980"/>
        <w:gridCol w:w="1947"/>
        <w:gridCol w:w="1963"/>
        <w:gridCol w:w="11"/>
        <w:gridCol w:w="1953"/>
        <w:gridCol w:w="1963"/>
        <w:gridCol w:w="6"/>
        <w:gridCol w:w="1958"/>
        <w:gridCol w:w="1964"/>
      </w:tblGrid>
      <w:tr w:rsidR="00696E4E" w:rsidRPr="008F1B7C" w14:paraId="00268AF2" w14:textId="77777777" w:rsidTr="0091762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745" w:type="dxa"/>
            <w:gridSpan w:val="9"/>
            <w:noWrap/>
          </w:tcPr>
          <w:p w14:paraId="1767B20E" w14:textId="77777777" w:rsidR="00696E4E" w:rsidRPr="008F1B7C" w:rsidRDefault="00696E4E" w:rsidP="0091762D">
            <w:pPr>
              <w:jc w:val="center"/>
              <w:rPr>
                <w:rFonts w:cstheme="minorHAnsi"/>
                <w:bCs w:val="0"/>
                <w:color w:val="FFFFFF" w:themeColor="background1"/>
                <w:sz w:val="20"/>
                <w:szCs w:val="20"/>
              </w:rPr>
            </w:pPr>
            <w:r w:rsidRPr="008F1B7C">
              <w:rPr>
                <w:rFonts w:cstheme="minorHAnsi"/>
                <w:color w:val="FFFFFF" w:themeColor="background1"/>
                <w:sz w:val="20"/>
                <w:szCs w:val="20"/>
              </w:rPr>
              <w:t xml:space="preserve">Reporting at </w:t>
            </w:r>
            <w:proofErr w:type="spellStart"/>
            <w:r w:rsidRPr="008F1B7C">
              <w:rPr>
                <w:rFonts w:cstheme="minorHAnsi"/>
                <w:color w:val="FFFFFF" w:themeColor="background1"/>
                <w:sz w:val="20"/>
                <w:szCs w:val="20"/>
              </w:rPr>
              <w:t>MySuper</w:t>
            </w:r>
            <w:proofErr w:type="spellEnd"/>
            <w:r w:rsidRPr="008F1B7C">
              <w:rPr>
                <w:rFonts w:cstheme="minorHAnsi"/>
                <w:color w:val="FFFFFF" w:themeColor="background1"/>
                <w:sz w:val="20"/>
                <w:szCs w:val="20"/>
              </w:rPr>
              <w:t xml:space="preserve"> product and Choice product level</w:t>
            </w:r>
          </w:p>
        </w:tc>
      </w:tr>
      <w:tr w:rsidR="00696E4E" w:rsidRPr="008F1B7C" w14:paraId="075FF9E1" w14:textId="77777777" w:rsidTr="00950B3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noWrap/>
          </w:tcPr>
          <w:p w14:paraId="61AD20CE" w14:textId="77777777" w:rsidR="00696E4E" w:rsidRPr="008F1B7C" w:rsidRDefault="00696E4E" w:rsidP="0091762D">
            <w:pPr>
              <w:jc w:val="center"/>
              <w:rPr>
                <w:rFonts w:cstheme="minorHAnsi"/>
                <w:b w:val="0"/>
                <w:bCs w:val="0"/>
                <w:color w:val="FFFFFF" w:themeColor="background1"/>
                <w:sz w:val="20"/>
                <w:szCs w:val="20"/>
              </w:rPr>
            </w:pPr>
          </w:p>
        </w:tc>
        <w:tc>
          <w:tcPr>
            <w:tcW w:w="3921" w:type="dxa"/>
            <w:gridSpan w:val="3"/>
          </w:tcPr>
          <w:p w14:paraId="49D07633" w14:textId="48D6AD9D"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0"/>
                <w:szCs w:val="20"/>
              </w:rPr>
            </w:pPr>
            <w:r w:rsidRPr="008F1B7C">
              <w:rPr>
                <w:rFonts w:cstheme="minorHAnsi"/>
                <w:b/>
                <w:color w:val="FFFFFF" w:themeColor="background1"/>
                <w:sz w:val="20"/>
                <w:szCs w:val="20"/>
              </w:rPr>
              <w:t>Option 1</w:t>
            </w:r>
          </w:p>
        </w:tc>
        <w:tc>
          <w:tcPr>
            <w:tcW w:w="3922" w:type="dxa"/>
            <w:gridSpan w:val="3"/>
          </w:tcPr>
          <w:p w14:paraId="5D5351F3"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0"/>
                <w:szCs w:val="20"/>
              </w:rPr>
            </w:pPr>
            <w:r w:rsidRPr="008F1B7C">
              <w:rPr>
                <w:rFonts w:cstheme="minorHAnsi"/>
                <w:b/>
                <w:color w:val="FFFFFF" w:themeColor="background1"/>
                <w:sz w:val="20"/>
                <w:szCs w:val="20"/>
              </w:rPr>
              <w:t>Option 2</w:t>
            </w:r>
          </w:p>
        </w:tc>
        <w:tc>
          <w:tcPr>
            <w:tcW w:w="3922" w:type="dxa"/>
            <w:gridSpan w:val="2"/>
          </w:tcPr>
          <w:p w14:paraId="607BC5CB" w14:textId="511E4B10"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0"/>
                <w:szCs w:val="20"/>
              </w:rPr>
            </w:pPr>
            <w:r w:rsidRPr="008F1B7C">
              <w:rPr>
                <w:rFonts w:cstheme="minorHAnsi"/>
                <w:b/>
                <w:color w:val="FFFFFF" w:themeColor="background1"/>
                <w:sz w:val="20"/>
                <w:szCs w:val="20"/>
              </w:rPr>
              <w:t>Option 3 and 4</w:t>
            </w:r>
          </w:p>
        </w:tc>
      </w:tr>
      <w:tr w:rsidR="00696E4E" w:rsidRPr="008F1B7C" w14:paraId="25FD483D" w14:textId="77777777" w:rsidTr="00950B38">
        <w:trPr>
          <w:trHeight w:val="255"/>
        </w:trPr>
        <w:tc>
          <w:tcPr>
            <w:cnfStyle w:val="001000000000" w:firstRow="0" w:lastRow="0" w:firstColumn="1" w:lastColumn="0" w:oddVBand="0" w:evenVBand="0" w:oddHBand="0" w:evenHBand="0" w:firstRowFirstColumn="0" w:firstRowLastColumn="0" w:lastRowFirstColumn="0" w:lastRowLastColumn="0"/>
            <w:tcW w:w="1980" w:type="dxa"/>
            <w:shd w:val="clear" w:color="auto" w:fill="012169" w:themeFill="text2"/>
            <w:noWrap/>
            <w:hideMark/>
          </w:tcPr>
          <w:p w14:paraId="0801ED41" w14:textId="123295BC" w:rsidR="00696E4E" w:rsidRPr="008F1B7C" w:rsidRDefault="00696E4E" w:rsidP="0091762D">
            <w:pPr>
              <w:jc w:val="center"/>
              <w:rPr>
                <w:rFonts w:cstheme="minorHAnsi"/>
                <w:bCs w:val="0"/>
                <w:color w:val="FFFFFF" w:themeColor="background1"/>
                <w:sz w:val="20"/>
                <w:szCs w:val="20"/>
              </w:rPr>
            </w:pPr>
            <w:r w:rsidRPr="008F1B7C">
              <w:rPr>
                <w:rFonts w:cstheme="minorHAnsi"/>
                <w:color w:val="FFFFFF" w:themeColor="background1"/>
                <w:sz w:val="20"/>
                <w:szCs w:val="20"/>
              </w:rPr>
              <w:t>Data</w:t>
            </w:r>
          </w:p>
        </w:tc>
        <w:tc>
          <w:tcPr>
            <w:tcW w:w="1947" w:type="dxa"/>
            <w:shd w:val="clear" w:color="auto" w:fill="012169" w:themeFill="text2"/>
          </w:tcPr>
          <w:p w14:paraId="4CF79926"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proofErr w:type="spellStart"/>
            <w:r w:rsidRPr="008F1B7C">
              <w:rPr>
                <w:rFonts w:cstheme="minorHAnsi"/>
                <w:b/>
                <w:bCs/>
                <w:color w:val="FFFFFF" w:themeColor="background1"/>
                <w:sz w:val="20"/>
                <w:szCs w:val="20"/>
              </w:rPr>
              <w:t>MySuper</w:t>
            </w:r>
            <w:proofErr w:type="spellEnd"/>
          </w:p>
          <w:p w14:paraId="51BB2C08"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8F1B7C">
              <w:rPr>
                <w:rFonts w:cstheme="minorHAnsi"/>
                <w:b/>
                <w:bCs/>
                <w:color w:val="FFFFFF" w:themeColor="background1"/>
                <w:sz w:val="20"/>
                <w:szCs w:val="20"/>
              </w:rPr>
              <w:t>Products</w:t>
            </w:r>
          </w:p>
        </w:tc>
        <w:tc>
          <w:tcPr>
            <w:tcW w:w="1963" w:type="dxa"/>
            <w:shd w:val="clear" w:color="auto" w:fill="012169" w:themeFill="text2"/>
          </w:tcPr>
          <w:p w14:paraId="149517F5"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8F1B7C">
              <w:rPr>
                <w:rFonts w:cstheme="minorHAnsi"/>
                <w:b/>
                <w:bCs/>
                <w:color w:val="FFFFFF" w:themeColor="background1"/>
                <w:sz w:val="20"/>
                <w:szCs w:val="20"/>
              </w:rPr>
              <w:t>Choice</w:t>
            </w:r>
          </w:p>
          <w:p w14:paraId="36C4DECE"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8F1B7C">
              <w:rPr>
                <w:rFonts w:cstheme="minorHAnsi"/>
                <w:b/>
                <w:bCs/>
                <w:color w:val="FFFFFF" w:themeColor="background1"/>
                <w:sz w:val="20"/>
                <w:szCs w:val="20"/>
              </w:rPr>
              <w:t>Products</w:t>
            </w:r>
          </w:p>
        </w:tc>
        <w:tc>
          <w:tcPr>
            <w:tcW w:w="1964" w:type="dxa"/>
            <w:gridSpan w:val="2"/>
            <w:shd w:val="clear" w:color="auto" w:fill="012169" w:themeFill="text2"/>
          </w:tcPr>
          <w:p w14:paraId="39A465A5"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proofErr w:type="spellStart"/>
            <w:r w:rsidRPr="008F1B7C">
              <w:rPr>
                <w:rFonts w:cstheme="minorHAnsi"/>
                <w:b/>
                <w:bCs/>
                <w:color w:val="FFFFFF" w:themeColor="background1"/>
                <w:sz w:val="20"/>
                <w:szCs w:val="20"/>
              </w:rPr>
              <w:t>MySuper</w:t>
            </w:r>
            <w:proofErr w:type="spellEnd"/>
          </w:p>
          <w:p w14:paraId="72DC387D"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8F1B7C">
              <w:rPr>
                <w:rFonts w:cstheme="minorHAnsi"/>
                <w:b/>
                <w:bCs/>
                <w:color w:val="FFFFFF" w:themeColor="background1"/>
                <w:sz w:val="20"/>
                <w:szCs w:val="20"/>
              </w:rPr>
              <w:t>Products</w:t>
            </w:r>
          </w:p>
        </w:tc>
        <w:tc>
          <w:tcPr>
            <w:tcW w:w="1963" w:type="dxa"/>
            <w:shd w:val="clear" w:color="auto" w:fill="012169" w:themeFill="text2"/>
          </w:tcPr>
          <w:p w14:paraId="0570138B"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8F1B7C">
              <w:rPr>
                <w:rFonts w:cstheme="minorHAnsi"/>
                <w:b/>
                <w:bCs/>
                <w:color w:val="FFFFFF" w:themeColor="background1"/>
                <w:sz w:val="20"/>
                <w:szCs w:val="20"/>
              </w:rPr>
              <w:t>Choice</w:t>
            </w:r>
          </w:p>
          <w:p w14:paraId="37AA5FFD"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8F1B7C">
              <w:rPr>
                <w:rFonts w:cstheme="minorHAnsi"/>
                <w:b/>
                <w:bCs/>
                <w:color w:val="FFFFFF" w:themeColor="background1"/>
                <w:sz w:val="20"/>
                <w:szCs w:val="20"/>
              </w:rPr>
              <w:t>Products</w:t>
            </w:r>
          </w:p>
        </w:tc>
        <w:tc>
          <w:tcPr>
            <w:tcW w:w="1964" w:type="dxa"/>
            <w:gridSpan w:val="2"/>
            <w:shd w:val="clear" w:color="auto" w:fill="012169" w:themeFill="text2"/>
            <w:hideMark/>
          </w:tcPr>
          <w:p w14:paraId="1E3131FF"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proofErr w:type="spellStart"/>
            <w:r w:rsidRPr="008F1B7C">
              <w:rPr>
                <w:rFonts w:cstheme="minorHAnsi"/>
                <w:b/>
                <w:bCs/>
                <w:color w:val="FFFFFF" w:themeColor="background1"/>
                <w:sz w:val="20"/>
                <w:szCs w:val="20"/>
              </w:rPr>
              <w:t>MySuper</w:t>
            </w:r>
            <w:proofErr w:type="spellEnd"/>
          </w:p>
          <w:p w14:paraId="6057C93E"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8F1B7C">
              <w:rPr>
                <w:rFonts w:cstheme="minorHAnsi"/>
                <w:b/>
                <w:bCs/>
                <w:color w:val="FFFFFF" w:themeColor="background1"/>
                <w:sz w:val="20"/>
                <w:szCs w:val="20"/>
              </w:rPr>
              <w:t>Products</w:t>
            </w:r>
          </w:p>
        </w:tc>
        <w:tc>
          <w:tcPr>
            <w:tcW w:w="1964" w:type="dxa"/>
            <w:shd w:val="clear" w:color="auto" w:fill="012169" w:themeFill="text2"/>
            <w:hideMark/>
          </w:tcPr>
          <w:p w14:paraId="22D045EA"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8F1B7C">
              <w:rPr>
                <w:rFonts w:cstheme="minorHAnsi"/>
                <w:b/>
                <w:bCs/>
                <w:color w:val="FFFFFF" w:themeColor="background1"/>
                <w:sz w:val="20"/>
                <w:szCs w:val="20"/>
              </w:rPr>
              <w:t>Choice</w:t>
            </w:r>
          </w:p>
          <w:p w14:paraId="2B16D52F"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b/>
                <w:bCs/>
                <w:color w:val="FFFFFF" w:themeColor="background1"/>
                <w:sz w:val="20"/>
                <w:szCs w:val="20"/>
              </w:rPr>
            </w:pPr>
            <w:r w:rsidRPr="008F1B7C">
              <w:rPr>
                <w:rFonts w:cstheme="minorHAnsi"/>
                <w:b/>
                <w:bCs/>
                <w:color w:val="FFFFFF" w:themeColor="background1"/>
                <w:sz w:val="20"/>
                <w:szCs w:val="20"/>
              </w:rPr>
              <w:t>Products</w:t>
            </w:r>
          </w:p>
        </w:tc>
      </w:tr>
      <w:tr w:rsidR="00696E4E" w:rsidRPr="008F1B7C" w14:paraId="049E71E0" w14:textId="77777777" w:rsidTr="00950B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0C90FAD" w14:textId="77777777" w:rsidR="00696E4E" w:rsidRPr="008F1B7C" w:rsidRDefault="00696E4E" w:rsidP="0091762D">
            <w:pPr>
              <w:rPr>
                <w:rFonts w:cstheme="minorHAnsi"/>
                <w:color w:val="000000"/>
                <w:sz w:val="18"/>
                <w:szCs w:val="20"/>
              </w:rPr>
            </w:pPr>
            <w:r w:rsidRPr="008F1B7C">
              <w:rPr>
                <w:rFonts w:cstheme="minorHAnsi"/>
                <w:color w:val="000000"/>
                <w:sz w:val="18"/>
                <w:szCs w:val="20"/>
              </w:rPr>
              <w:t>RSE Structure – list of all products, menus options and fee arrangements with characteristics</w:t>
            </w:r>
          </w:p>
        </w:tc>
        <w:tc>
          <w:tcPr>
            <w:tcW w:w="1947" w:type="dxa"/>
            <w:vAlign w:val="center"/>
          </w:tcPr>
          <w:p w14:paraId="3C6B0636"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c>
          <w:tcPr>
            <w:tcW w:w="1963" w:type="dxa"/>
            <w:vAlign w:val="center"/>
          </w:tcPr>
          <w:p w14:paraId="70DA1F74"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Limited coverage</w:t>
            </w:r>
          </w:p>
        </w:tc>
        <w:tc>
          <w:tcPr>
            <w:tcW w:w="1964" w:type="dxa"/>
            <w:gridSpan w:val="2"/>
            <w:vAlign w:val="center"/>
          </w:tcPr>
          <w:p w14:paraId="7AF5A8A3"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 change</w:t>
            </w:r>
          </w:p>
        </w:tc>
        <w:tc>
          <w:tcPr>
            <w:tcW w:w="1963" w:type="dxa"/>
            <w:vAlign w:val="center"/>
          </w:tcPr>
          <w:p w14:paraId="3D536D07"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Expanded coverage – options only</w:t>
            </w:r>
          </w:p>
        </w:tc>
        <w:tc>
          <w:tcPr>
            <w:tcW w:w="1964" w:type="dxa"/>
            <w:gridSpan w:val="2"/>
            <w:vAlign w:val="center"/>
            <w:hideMark/>
          </w:tcPr>
          <w:p w14:paraId="448A6A1A"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Enhanced</w:t>
            </w:r>
          </w:p>
        </w:tc>
        <w:tc>
          <w:tcPr>
            <w:tcW w:w="1964" w:type="dxa"/>
            <w:vAlign w:val="center"/>
            <w:hideMark/>
          </w:tcPr>
          <w:p w14:paraId="0D154901"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r>
      <w:tr w:rsidR="00696E4E" w:rsidRPr="008F1B7C" w14:paraId="2394D24A" w14:textId="77777777" w:rsidTr="00950B38">
        <w:trPr>
          <w:trHeight w:val="255"/>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D834EEE" w14:textId="77777777" w:rsidR="00696E4E" w:rsidRPr="008F1B7C" w:rsidRDefault="00696E4E" w:rsidP="0091762D">
            <w:pPr>
              <w:rPr>
                <w:rFonts w:cstheme="minorHAnsi"/>
                <w:color w:val="000000"/>
                <w:sz w:val="18"/>
                <w:szCs w:val="20"/>
              </w:rPr>
            </w:pPr>
            <w:r w:rsidRPr="008F1B7C">
              <w:rPr>
                <w:rFonts w:cstheme="minorHAnsi"/>
                <w:color w:val="000000"/>
                <w:sz w:val="18"/>
                <w:szCs w:val="20"/>
              </w:rPr>
              <w:t xml:space="preserve">RSE profile - Relationship between products, </w:t>
            </w:r>
            <w:proofErr w:type="gramStart"/>
            <w:r w:rsidRPr="008F1B7C">
              <w:rPr>
                <w:rFonts w:cstheme="minorHAnsi"/>
                <w:color w:val="000000"/>
                <w:sz w:val="18"/>
                <w:szCs w:val="20"/>
              </w:rPr>
              <w:t>menus</w:t>
            </w:r>
            <w:proofErr w:type="gramEnd"/>
            <w:r w:rsidRPr="008F1B7C">
              <w:rPr>
                <w:rFonts w:cstheme="minorHAnsi"/>
                <w:color w:val="000000"/>
                <w:sz w:val="18"/>
                <w:szCs w:val="20"/>
              </w:rPr>
              <w:t xml:space="preserve"> and options (including members and assets)</w:t>
            </w:r>
          </w:p>
        </w:tc>
        <w:tc>
          <w:tcPr>
            <w:tcW w:w="1947" w:type="dxa"/>
            <w:vAlign w:val="center"/>
          </w:tcPr>
          <w:p w14:paraId="4177CEE9"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c>
          <w:tcPr>
            <w:tcW w:w="1963" w:type="dxa"/>
            <w:vAlign w:val="center"/>
          </w:tcPr>
          <w:p w14:paraId="2C49A14E"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w:t>
            </w:r>
          </w:p>
        </w:tc>
        <w:tc>
          <w:tcPr>
            <w:tcW w:w="1964" w:type="dxa"/>
            <w:gridSpan w:val="2"/>
            <w:vAlign w:val="center"/>
          </w:tcPr>
          <w:p w14:paraId="1FBDECF4"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 change</w:t>
            </w:r>
          </w:p>
        </w:tc>
        <w:tc>
          <w:tcPr>
            <w:tcW w:w="1963" w:type="dxa"/>
            <w:vAlign w:val="center"/>
          </w:tcPr>
          <w:p w14:paraId="54380848"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w:t>
            </w:r>
          </w:p>
        </w:tc>
        <w:tc>
          <w:tcPr>
            <w:tcW w:w="1964" w:type="dxa"/>
            <w:gridSpan w:val="2"/>
            <w:vAlign w:val="center"/>
            <w:hideMark/>
          </w:tcPr>
          <w:p w14:paraId="04A2A27A"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Enhanced</w:t>
            </w:r>
          </w:p>
        </w:tc>
        <w:tc>
          <w:tcPr>
            <w:tcW w:w="1964" w:type="dxa"/>
            <w:vAlign w:val="center"/>
            <w:hideMark/>
          </w:tcPr>
          <w:p w14:paraId="6E3FE082"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r>
      <w:tr w:rsidR="00696E4E" w:rsidRPr="008F1B7C" w14:paraId="38769590" w14:textId="77777777" w:rsidTr="00950B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F542C7D" w14:textId="77777777" w:rsidR="00696E4E" w:rsidRPr="008F1B7C" w:rsidRDefault="00696E4E" w:rsidP="0091762D">
            <w:pPr>
              <w:rPr>
                <w:rFonts w:cstheme="minorHAnsi"/>
                <w:color w:val="000000"/>
                <w:sz w:val="18"/>
                <w:szCs w:val="20"/>
              </w:rPr>
            </w:pPr>
            <w:r w:rsidRPr="008F1B7C">
              <w:rPr>
                <w:rFonts w:cstheme="minorHAnsi"/>
                <w:color w:val="000000"/>
                <w:sz w:val="18"/>
                <w:szCs w:val="20"/>
              </w:rPr>
              <w:t>Components of net return</w:t>
            </w:r>
          </w:p>
        </w:tc>
        <w:tc>
          <w:tcPr>
            <w:tcW w:w="1947" w:type="dxa"/>
            <w:vAlign w:val="center"/>
          </w:tcPr>
          <w:p w14:paraId="7B3B7573"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c>
          <w:tcPr>
            <w:tcW w:w="1963" w:type="dxa"/>
            <w:vAlign w:val="center"/>
          </w:tcPr>
          <w:p w14:paraId="3315A5E7"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w:t>
            </w:r>
          </w:p>
        </w:tc>
        <w:tc>
          <w:tcPr>
            <w:tcW w:w="1964" w:type="dxa"/>
            <w:gridSpan w:val="2"/>
            <w:vAlign w:val="center"/>
          </w:tcPr>
          <w:p w14:paraId="608A62C3"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 change</w:t>
            </w:r>
          </w:p>
        </w:tc>
        <w:tc>
          <w:tcPr>
            <w:tcW w:w="1963" w:type="dxa"/>
            <w:vAlign w:val="center"/>
          </w:tcPr>
          <w:p w14:paraId="37FBB67F" w14:textId="5C41F00B"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r w:rsidR="000C3F7D" w:rsidRPr="008F1B7C">
              <w:rPr>
                <w:rFonts w:cstheme="minorHAnsi"/>
                <w:color w:val="000000"/>
                <w:sz w:val="18"/>
                <w:szCs w:val="20"/>
              </w:rPr>
              <w:t xml:space="preserve"> – representative member only</w:t>
            </w:r>
          </w:p>
        </w:tc>
        <w:tc>
          <w:tcPr>
            <w:tcW w:w="1964" w:type="dxa"/>
            <w:gridSpan w:val="2"/>
            <w:vAlign w:val="center"/>
            <w:hideMark/>
          </w:tcPr>
          <w:p w14:paraId="4E94EFF1"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Enhanced</w:t>
            </w:r>
          </w:p>
        </w:tc>
        <w:tc>
          <w:tcPr>
            <w:tcW w:w="1964" w:type="dxa"/>
            <w:vAlign w:val="center"/>
            <w:hideMark/>
          </w:tcPr>
          <w:p w14:paraId="42C5C72B"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r>
      <w:tr w:rsidR="00696E4E" w:rsidRPr="008F1B7C" w14:paraId="778A7F56" w14:textId="77777777" w:rsidTr="00950B38">
        <w:trPr>
          <w:trHeight w:val="51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8548017" w14:textId="77777777" w:rsidR="00696E4E" w:rsidRPr="008F1B7C" w:rsidRDefault="00696E4E" w:rsidP="0091762D">
            <w:pPr>
              <w:rPr>
                <w:rFonts w:cstheme="minorHAnsi"/>
                <w:color w:val="000000"/>
                <w:sz w:val="18"/>
                <w:szCs w:val="20"/>
              </w:rPr>
            </w:pPr>
            <w:r w:rsidRPr="008F1B7C">
              <w:rPr>
                <w:rFonts w:cstheme="minorHAnsi"/>
                <w:color w:val="000000"/>
                <w:sz w:val="18"/>
                <w:szCs w:val="20"/>
              </w:rPr>
              <w:t>Asset allocation</w:t>
            </w:r>
          </w:p>
        </w:tc>
        <w:tc>
          <w:tcPr>
            <w:tcW w:w="1947" w:type="dxa"/>
            <w:vAlign w:val="center"/>
          </w:tcPr>
          <w:p w14:paraId="1CC2D6D6"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c>
          <w:tcPr>
            <w:tcW w:w="1963" w:type="dxa"/>
            <w:vAlign w:val="center"/>
          </w:tcPr>
          <w:p w14:paraId="79B89978"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Limited coverage</w:t>
            </w:r>
          </w:p>
        </w:tc>
        <w:tc>
          <w:tcPr>
            <w:tcW w:w="1964" w:type="dxa"/>
            <w:gridSpan w:val="2"/>
            <w:vAlign w:val="center"/>
          </w:tcPr>
          <w:p w14:paraId="39E4869B"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 change</w:t>
            </w:r>
          </w:p>
        </w:tc>
        <w:tc>
          <w:tcPr>
            <w:tcW w:w="1963" w:type="dxa"/>
            <w:vAlign w:val="center"/>
          </w:tcPr>
          <w:p w14:paraId="0F0CC573"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c>
          <w:tcPr>
            <w:tcW w:w="1964" w:type="dxa"/>
            <w:gridSpan w:val="2"/>
            <w:vAlign w:val="center"/>
            <w:hideMark/>
          </w:tcPr>
          <w:p w14:paraId="77FF77C8"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Enhanced</w:t>
            </w:r>
          </w:p>
        </w:tc>
        <w:tc>
          <w:tcPr>
            <w:tcW w:w="1964" w:type="dxa"/>
            <w:vAlign w:val="center"/>
            <w:hideMark/>
          </w:tcPr>
          <w:p w14:paraId="1EA33DE7"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r>
      <w:tr w:rsidR="00696E4E" w:rsidRPr="008F1B7C" w14:paraId="0F29C75F" w14:textId="77777777" w:rsidTr="00950B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743FDD5" w14:textId="77777777" w:rsidR="00696E4E" w:rsidRPr="008F1B7C" w:rsidRDefault="00696E4E" w:rsidP="0091762D">
            <w:pPr>
              <w:rPr>
                <w:rFonts w:cstheme="minorHAnsi"/>
                <w:color w:val="000000"/>
                <w:sz w:val="18"/>
                <w:szCs w:val="20"/>
              </w:rPr>
            </w:pPr>
            <w:r w:rsidRPr="008F1B7C">
              <w:rPr>
                <w:rFonts w:cstheme="minorHAnsi"/>
                <w:color w:val="000000"/>
                <w:sz w:val="18"/>
                <w:szCs w:val="20"/>
              </w:rPr>
              <w:t>Fees and costs disclosed</w:t>
            </w:r>
          </w:p>
        </w:tc>
        <w:tc>
          <w:tcPr>
            <w:tcW w:w="1947" w:type="dxa"/>
            <w:vAlign w:val="center"/>
          </w:tcPr>
          <w:p w14:paraId="266D83F6"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p w14:paraId="526C34F4"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p>
        </w:tc>
        <w:tc>
          <w:tcPr>
            <w:tcW w:w="1963" w:type="dxa"/>
            <w:vAlign w:val="center"/>
          </w:tcPr>
          <w:p w14:paraId="1C386483"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w:t>
            </w:r>
          </w:p>
        </w:tc>
        <w:tc>
          <w:tcPr>
            <w:tcW w:w="1964" w:type="dxa"/>
            <w:gridSpan w:val="2"/>
            <w:vAlign w:val="center"/>
          </w:tcPr>
          <w:p w14:paraId="3A74B056"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 change</w:t>
            </w:r>
          </w:p>
        </w:tc>
        <w:tc>
          <w:tcPr>
            <w:tcW w:w="1963" w:type="dxa"/>
            <w:vAlign w:val="center"/>
          </w:tcPr>
          <w:p w14:paraId="299D964E" w14:textId="37B7E585"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 xml:space="preserve">Yes – representative </w:t>
            </w:r>
            <w:r w:rsidR="009A7B3C" w:rsidRPr="008F1B7C">
              <w:rPr>
                <w:rFonts w:cstheme="minorHAnsi"/>
                <w:color w:val="000000"/>
                <w:sz w:val="18"/>
                <w:szCs w:val="20"/>
              </w:rPr>
              <w:t xml:space="preserve">member </w:t>
            </w:r>
            <w:r w:rsidRPr="008F1B7C">
              <w:rPr>
                <w:rFonts w:cstheme="minorHAnsi"/>
                <w:color w:val="000000"/>
                <w:sz w:val="18"/>
                <w:szCs w:val="20"/>
              </w:rPr>
              <w:t>only</w:t>
            </w:r>
          </w:p>
        </w:tc>
        <w:tc>
          <w:tcPr>
            <w:tcW w:w="1964" w:type="dxa"/>
            <w:gridSpan w:val="2"/>
            <w:vAlign w:val="center"/>
            <w:hideMark/>
          </w:tcPr>
          <w:p w14:paraId="1D9BF79E"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Enhanced</w:t>
            </w:r>
          </w:p>
        </w:tc>
        <w:tc>
          <w:tcPr>
            <w:tcW w:w="1964" w:type="dxa"/>
            <w:vAlign w:val="center"/>
            <w:hideMark/>
          </w:tcPr>
          <w:p w14:paraId="0377349B"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r>
      <w:tr w:rsidR="00696E4E" w:rsidRPr="008F1B7C" w14:paraId="69B3C963" w14:textId="77777777" w:rsidTr="00950B38">
        <w:trPr>
          <w:trHeight w:val="51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0D24FAB" w14:textId="77777777" w:rsidR="00696E4E" w:rsidRPr="008F1B7C" w:rsidRDefault="00696E4E" w:rsidP="0091762D">
            <w:pPr>
              <w:rPr>
                <w:rFonts w:cstheme="minorHAnsi"/>
                <w:color w:val="000000"/>
                <w:sz w:val="18"/>
                <w:szCs w:val="20"/>
              </w:rPr>
            </w:pPr>
            <w:r w:rsidRPr="008F1B7C">
              <w:rPr>
                <w:rFonts w:cstheme="minorHAnsi"/>
                <w:color w:val="000000"/>
                <w:sz w:val="18"/>
                <w:szCs w:val="20"/>
              </w:rPr>
              <w:t>Investment performance and objectives</w:t>
            </w:r>
          </w:p>
        </w:tc>
        <w:tc>
          <w:tcPr>
            <w:tcW w:w="1947" w:type="dxa"/>
            <w:vAlign w:val="center"/>
          </w:tcPr>
          <w:p w14:paraId="2F4729E4"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p w14:paraId="581ED057"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w:t>
            </w:r>
            <w:proofErr w:type="gramStart"/>
            <w:r w:rsidRPr="008F1B7C">
              <w:rPr>
                <w:rFonts w:cstheme="minorHAnsi"/>
                <w:color w:val="000000"/>
                <w:sz w:val="18"/>
                <w:szCs w:val="20"/>
              </w:rPr>
              <w:t>product</w:t>
            </w:r>
            <w:proofErr w:type="gramEnd"/>
            <w:r w:rsidRPr="008F1B7C">
              <w:rPr>
                <w:rFonts w:cstheme="minorHAnsi"/>
                <w:color w:val="000000"/>
                <w:sz w:val="18"/>
                <w:szCs w:val="20"/>
              </w:rPr>
              <w:t xml:space="preserve"> dashboard)</w:t>
            </w:r>
          </w:p>
        </w:tc>
        <w:tc>
          <w:tcPr>
            <w:tcW w:w="1963" w:type="dxa"/>
            <w:vAlign w:val="center"/>
          </w:tcPr>
          <w:p w14:paraId="312B8282"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w:t>
            </w:r>
          </w:p>
        </w:tc>
        <w:tc>
          <w:tcPr>
            <w:tcW w:w="1964" w:type="dxa"/>
            <w:gridSpan w:val="2"/>
            <w:vAlign w:val="center"/>
          </w:tcPr>
          <w:p w14:paraId="6D3A7417"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 change</w:t>
            </w:r>
          </w:p>
        </w:tc>
        <w:tc>
          <w:tcPr>
            <w:tcW w:w="1963" w:type="dxa"/>
            <w:vAlign w:val="center"/>
          </w:tcPr>
          <w:p w14:paraId="76847F67"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No</w:t>
            </w:r>
          </w:p>
        </w:tc>
        <w:tc>
          <w:tcPr>
            <w:tcW w:w="1964" w:type="dxa"/>
            <w:gridSpan w:val="2"/>
            <w:vAlign w:val="center"/>
            <w:hideMark/>
          </w:tcPr>
          <w:p w14:paraId="541885BB"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Enhanced</w:t>
            </w:r>
          </w:p>
        </w:tc>
        <w:tc>
          <w:tcPr>
            <w:tcW w:w="1964" w:type="dxa"/>
            <w:vAlign w:val="center"/>
            <w:hideMark/>
          </w:tcPr>
          <w:p w14:paraId="4BCF45C1"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0"/>
              </w:rPr>
            </w:pPr>
            <w:r w:rsidRPr="008F1B7C">
              <w:rPr>
                <w:rFonts w:cstheme="minorHAnsi"/>
                <w:color w:val="000000"/>
                <w:sz w:val="18"/>
                <w:szCs w:val="20"/>
              </w:rPr>
              <w:t>Yes</w:t>
            </w:r>
          </w:p>
        </w:tc>
      </w:tr>
    </w:tbl>
    <w:p w14:paraId="3141D7B9" w14:textId="77777777" w:rsidR="00696E4E" w:rsidRPr="008F1B7C" w:rsidRDefault="00696E4E" w:rsidP="00696E4E">
      <w:pPr>
        <w:spacing w:after="0"/>
        <w:rPr>
          <w:b/>
        </w:rPr>
      </w:pPr>
    </w:p>
    <w:p w14:paraId="45FD983E" w14:textId="40CBC280" w:rsidR="00696E4E" w:rsidRPr="008F1B7C" w:rsidRDefault="00696E4E" w:rsidP="00696E4E">
      <w:pPr>
        <w:spacing w:after="0"/>
        <w:rPr>
          <w:b/>
        </w:rPr>
      </w:pPr>
    </w:p>
    <w:p w14:paraId="63F17394" w14:textId="40EBCEC1" w:rsidR="00BF4E15" w:rsidRPr="008F1B7C" w:rsidRDefault="00BF4E15" w:rsidP="00696E4E">
      <w:pPr>
        <w:spacing w:after="0"/>
        <w:rPr>
          <w:b/>
        </w:rPr>
      </w:pPr>
    </w:p>
    <w:p w14:paraId="3167A1B9" w14:textId="6FB4075A" w:rsidR="00BF4E15" w:rsidRPr="008F1B7C" w:rsidRDefault="00BF4E15" w:rsidP="00696E4E">
      <w:pPr>
        <w:spacing w:after="0"/>
        <w:rPr>
          <w:b/>
        </w:rPr>
      </w:pPr>
    </w:p>
    <w:p w14:paraId="688AFD08" w14:textId="30813403" w:rsidR="00C41AEA" w:rsidRPr="008F1B7C" w:rsidRDefault="00C41AEA">
      <w:pPr>
        <w:jc w:val="both"/>
        <w:rPr>
          <w:b/>
        </w:rPr>
      </w:pPr>
      <w:r w:rsidRPr="008F1B7C">
        <w:rPr>
          <w:b/>
        </w:rPr>
        <w:br w:type="page"/>
      </w:r>
    </w:p>
    <w:tbl>
      <w:tblPr>
        <w:tblStyle w:val="GridTable4-Accent1"/>
        <w:tblW w:w="13751" w:type="dxa"/>
        <w:tblLook w:val="04A0" w:firstRow="1" w:lastRow="0" w:firstColumn="1" w:lastColumn="0" w:noHBand="0" w:noVBand="1"/>
      </w:tblPr>
      <w:tblGrid>
        <w:gridCol w:w="4058"/>
        <w:gridCol w:w="2561"/>
        <w:gridCol w:w="2565"/>
        <w:gridCol w:w="4567"/>
      </w:tblGrid>
      <w:tr w:rsidR="00696E4E" w:rsidRPr="008F1B7C" w14:paraId="506AB21D" w14:textId="77777777" w:rsidTr="00950B38">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dxa"/>
            <w:gridSpan w:val="4"/>
            <w:noWrap/>
          </w:tcPr>
          <w:p w14:paraId="2CC659AB" w14:textId="77777777" w:rsidR="00696E4E" w:rsidRPr="008F1B7C" w:rsidRDefault="00696E4E" w:rsidP="0091762D">
            <w:pPr>
              <w:jc w:val="center"/>
              <w:rPr>
                <w:rFonts w:asciiTheme="majorHAnsi" w:hAnsiTheme="majorHAnsi" w:cstheme="majorHAnsi"/>
                <w:bCs w:val="0"/>
                <w:color w:val="FFFFFF" w:themeColor="background1"/>
                <w:sz w:val="20"/>
                <w:szCs w:val="20"/>
              </w:rPr>
            </w:pPr>
            <w:r w:rsidRPr="008F1B7C">
              <w:rPr>
                <w:rFonts w:asciiTheme="majorHAnsi" w:hAnsiTheme="majorHAnsi" w:cstheme="majorHAnsi"/>
                <w:color w:val="FFFFFF" w:themeColor="background1"/>
                <w:sz w:val="20"/>
                <w:szCs w:val="20"/>
              </w:rPr>
              <w:lastRenderedPageBreak/>
              <w:t>Reporting at the RSE level</w:t>
            </w:r>
          </w:p>
        </w:tc>
      </w:tr>
      <w:tr w:rsidR="00696E4E" w:rsidRPr="008F1B7C" w14:paraId="7FA397C4" w14:textId="77777777" w:rsidTr="00950B38">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dxa"/>
            <w:noWrap/>
          </w:tcPr>
          <w:p w14:paraId="283FD6D5" w14:textId="77777777" w:rsidR="00696E4E" w:rsidRPr="008F1B7C" w:rsidRDefault="00696E4E" w:rsidP="0091762D">
            <w:pPr>
              <w:jc w:val="center"/>
              <w:rPr>
                <w:rFonts w:asciiTheme="majorHAnsi" w:hAnsiTheme="majorHAnsi" w:cstheme="majorHAnsi"/>
                <w:color w:val="000000"/>
                <w:sz w:val="20"/>
                <w:szCs w:val="20"/>
              </w:rPr>
            </w:pPr>
            <w:r w:rsidRPr="008F1B7C">
              <w:rPr>
                <w:rFonts w:asciiTheme="majorHAnsi" w:hAnsiTheme="majorHAnsi" w:cstheme="majorHAnsi"/>
                <w:color w:val="FFFFFF" w:themeColor="background1"/>
                <w:sz w:val="20"/>
                <w:szCs w:val="20"/>
              </w:rPr>
              <w:t>Data</w:t>
            </w:r>
          </w:p>
        </w:tc>
        <w:tc>
          <w:tcPr>
            <w:tcW w:w="0" w:type="dxa"/>
          </w:tcPr>
          <w:p w14:paraId="34216A1E"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8F1B7C">
              <w:rPr>
                <w:rFonts w:asciiTheme="majorHAnsi" w:hAnsiTheme="majorHAnsi" w:cstheme="majorHAnsi"/>
                <w:color w:val="FFFFFF" w:themeColor="background1"/>
                <w:sz w:val="20"/>
                <w:szCs w:val="20"/>
              </w:rPr>
              <w:t>Option 1</w:t>
            </w:r>
          </w:p>
        </w:tc>
        <w:tc>
          <w:tcPr>
            <w:tcW w:w="0" w:type="dxa"/>
          </w:tcPr>
          <w:p w14:paraId="00F0D858"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8F1B7C">
              <w:rPr>
                <w:rFonts w:asciiTheme="majorHAnsi" w:hAnsiTheme="majorHAnsi" w:cstheme="majorHAnsi"/>
                <w:color w:val="FFFFFF" w:themeColor="background1"/>
                <w:sz w:val="20"/>
                <w:szCs w:val="20"/>
              </w:rPr>
              <w:t>Option 2</w:t>
            </w:r>
          </w:p>
        </w:tc>
        <w:tc>
          <w:tcPr>
            <w:tcW w:w="0" w:type="dxa"/>
          </w:tcPr>
          <w:p w14:paraId="32A85A79"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8F1B7C">
              <w:rPr>
                <w:rFonts w:asciiTheme="majorHAnsi" w:hAnsiTheme="majorHAnsi" w:cstheme="majorHAnsi"/>
                <w:color w:val="FFFFFF" w:themeColor="background1"/>
                <w:sz w:val="20"/>
                <w:szCs w:val="20"/>
              </w:rPr>
              <w:t>Option 3 and 4</w:t>
            </w:r>
          </w:p>
        </w:tc>
      </w:tr>
      <w:tr w:rsidR="00696E4E" w:rsidRPr="008F1B7C" w14:paraId="3DD41F9D" w14:textId="77777777" w:rsidTr="00950B38">
        <w:trPr>
          <w:trHeight w:val="567"/>
        </w:trPr>
        <w:tc>
          <w:tcPr>
            <w:cnfStyle w:val="001000000000" w:firstRow="0" w:lastRow="0" w:firstColumn="1" w:lastColumn="0" w:oddVBand="0" w:evenVBand="0" w:oddHBand="0" w:evenHBand="0" w:firstRowFirstColumn="0" w:firstRowLastColumn="0" w:lastRowFirstColumn="0" w:lastRowLastColumn="0"/>
            <w:tcW w:w="0" w:type="dxa"/>
            <w:noWrap/>
          </w:tcPr>
          <w:p w14:paraId="42022E4E" w14:textId="77777777" w:rsidR="00696E4E" w:rsidRPr="008F1B7C" w:rsidRDefault="00696E4E"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Investments (RSE)</w:t>
            </w:r>
          </w:p>
        </w:tc>
        <w:tc>
          <w:tcPr>
            <w:tcW w:w="0" w:type="dxa"/>
          </w:tcPr>
          <w:p w14:paraId="68B73E60"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Yes</w:t>
            </w:r>
          </w:p>
        </w:tc>
        <w:tc>
          <w:tcPr>
            <w:tcW w:w="0" w:type="dxa"/>
          </w:tcPr>
          <w:p w14:paraId="58E0D31F"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No change</w:t>
            </w:r>
          </w:p>
        </w:tc>
        <w:tc>
          <w:tcPr>
            <w:tcW w:w="0" w:type="dxa"/>
          </w:tcPr>
          <w:p w14:paraId="44103BD4" w14:textId="39A6F682" w:rsidR="00696E4E" w:rsidRPr="008F1B7C" w:rsidRDefault="00696E4E" w:rsidP="009176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 xml:space="preserve">Enhanced granularity of asset class classifications and derivatives information </w:t>
            </w:r>
          </w:p>
        </w:tc>
      </w:tr>
      <w:tr w:rsidR="00696E4E" w:rsidRPr="008F1B7C" w14:paraId="615F8D93" w14:textId="77777777" w:rsidTr="00950B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noWrap/>
          </w:tcPr>
          <w:p w14:paraId="0DCD9D95" w14:textId="77777777" w:rsidR="00696E4E" w:rsidRPr="008F1B7C" w:rsidRDefault="00696E4E"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 xml:space="preserve">Insurance claims and premiums (RSE and default for </w:t>
            </w:r>
            <w:proofErr w:type="spellStart"/>
            <w:r w:rsidRPr="008F1B7C">
              <w:rPr>
                <w:rFonts w:asciiTheme="majorHAnsi" w:hAnsiTheme="majorHAnsi" w:cstheme="majorHAnsi"/>
                <w:color w:val="000000"/>
                <w:sz w:val="18"/>
                <w:szCs w:val="20"/>
              </w:rPr>
              <w:t>MySuper</w:t>
            </w:r>
            <w:proofErr w:type="spellEnd"/>
            <w:r w:rsidRPr="008F1B7C">
              <w:rPr>
                <w:rFonts w:asciiTheme="majorHAnsi" w:hAnsiTheme="majorHAnsi" w:cstheme="majorHAnsi"/>
                <w:color w:val="000000"/>
                <w:sz w:val="18"/>
                <w:szCs w:val="20"/>
              </w:rPr>
              <w:t>)</w:t>
            </w:r>
          </w:p>
        </w:tc>
        <w:tc>
          <w:tcPr>
            <w:tcW w:w="0" w:type="dxa"/>
          </w:tcPr>
          <w:p w14:paraId="242324EA"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Yes</w:t>
            </w:r>
          </w:p>
        </w:tc>
        <w:tc>
          <w:tcPr>
            <w:tcW w:w="0" w:type="dxa"/>
          </w:tcPr>
          <w:p w14:paraId="734BD8EE"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No change</w:t>
            </w:r>
          </w:p>
        </w:tc>
        <w:tc>
          <w:tcPr>
            <w:tcW w:w="0" w:type="dxa"/>
          </w:tcPr>
          <w:p w14:paraId="3FCE1DF1" w14:textId="77777777" w:rsidR="00696E4E" w:rsidRPr="008F1B7C" w:rsidRDefault="00696E4E" w:rsidP="009176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Enhanced data on claims and premiums, addressing inconsistencies in classifications for default products and enhanced data on insurance coverage.</w:t>
            </w:r>
          </w:p>
        </w:tc>
      </w:tr>
      <w:tr w:rsidR="00696E4E" w:rsidRPr="008F1B7C" w14:paraId="1355411F" w14:textId="77777777" w:rsidTr="00950B38">
        <w:trPr>
          <w:trHeight w:val="567"/>
        </w:trPr>
        <w:tc>
          <w:tcPr>
            <w:cnfStyle w:val="001000000000" w:firstRow="0" w:lastRow="0" w:firstColumn="1" w:lastColumn="0" w:oddVBand="0" w:evenVBand="0" w:oddHBand="0" w:evenHBand="0" w:firstRowFirstColumn="0" w:firstRowLastColumn="0" w:lastRowFirstColumn="0" w:lastRowLastColumn="0"/>
            <w:tcW w:w="0" w:type="dxa"/>
            <w:noWrap/>
          </w:tcPr>
          <w:p w14:paraId="29C7373E" w14:textId="77777777" w:rsidR="00696E4E" w:rsidRPr="008F1B7C" w:rsidRDefault="00696E4E"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 xml:space="preserve">Membership profile (RSE and </w:t>
            </w:r>
            <w:proofErr w:type="spellStart"/>
            <w:r w:rsidRPr="008F1B7C">
              <w:rPr>
                <w:rFonts w:asciiTheme="majorHAnsi" w:hAnsiTheme="majorHAnsi" w:cstheme="majorHAnsi"/>
                <w:color w:val="000000"/>
                <w:sz w:val="18"/>
                <w:szCs w:val="20"/>
              </w:rPr>
              <w:t>MySuper</w:t>
            </w:r>
            <w:proofErr w:type="spellEnd"/>
            <w:r w:rsidRPr="008F1B7C">
              <w:rPr>
                <w:rFonts w:asciiTheme="majorHAnsi" w:hAnsiTheme="majorHAnsi" w:cstheme="majorHAnsi"/>
                <w:color w:val="000000"/>
                <w:sz w:val="18"/>
                <w:szCs w:val="20"/>
              </w:rPr>
              <w:t>)</w:t>
            </w:r>
          </w:p>
        </w:tc>
        <w:tc>
          <w:tcPr>
            <w:tcW w:w="0" w:type="dxa"/>
          </w:tcPr>
          <w:p w14:paraId="5A9EFC25"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Yes</w:t>
            </w:r>
          </w:p>
        </w:tc>
        <w:tc>
          <w:tcPr>
            <w:tcW w:w="0" w:type="dxa"/>
          </w:tcPr>
          <w:p w14:paraId="203C013E" w14:textId="77777777" w:rsidR="00696E4E" w:rsidRPr="008F1B7C" w:rsidRDefault="00696E4E" w:rsidP="0091762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No change</w:t>
            </w:r>
          </w:p>
        </w:tc>
        <w:tc>
          <w:tcPr>
            <w:tcW w:w="0" w:type="dxa"/>
          </w:tcPr>
          <w:p w14:paraId="39086D48" w14:textId="77777777" w:rsidR="00696E4E" w:rsidRPr="008F1B7C" w:rsidRDefault="00696E4E" w:rsidP="0091762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 xml:space="preserve">Enhanced granularity account balance and age. </w:t>
            </w:r>
          </w:p>
        </w:tc>
      </w:tr>
      <w:tr w:rsidR="00696E4E" w:rsidRPr="008F1B7C" w14:paraId="1E5B10EF" w14:textId="77777777" w:rsidTr="00950B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noWrap/>
            <w:hideMark/>
          </w:tcPr>
          <w:p w14:paraId="48AFED32" w14:textId="77777777" w:rsidR="00696E4E" w:rsidRPr="008F1B7C" w:rsidRDefault="00696E4E" w:rsidP="0091762D">
            <w:pPr>
              <w:rPr>
                <w:rFonts w:asciiTheme="majorHAnsi" w:hAnsiTheme="majorHAnsi" w:cstheme="majorHAnsi"/>
                <w:color w:val="000000"/>
                <w:sz w:val="18"/>
                <w:szCs w:val="20"/>
              </w:rPr>
            </w:pPr>
            <w:r w:rsidRPr="008F1B7C">
              <w:rPr>
                <w:rFonts w:asciiTheme="majorHAnsi" w:hAnsiTheme="majorHAnsi" w:cstheme="majorHAnsi"/>
                <w:color w:val="000000"/>
                <w:sz w:val="18"/>
                <w:szCs w:val="20"/>
              </w:rPr>
              <w:t>Expenses (RSE)</w:t>
            </w:r>
          </w:p>
        </w:tc>
        <w:tc>
          <w:tcPr>
            <w:tcW w:w="0" w:type="dxa"/>
            <w:hideMark/>
          </w:tcPr>
          <w:p w14:paraId="202B7414"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Yes</w:t>
            </w:r>
          </w:p>
        </w:tc>
        <w:tc>
          <w:tcPr>
            <w:tcW w:w="0" w:type="dxa"/>
            <w:hideMark/>
          </w:tcPr>
          <w:p w14:paraId="3E10DFBC" w14:textId="77777777" w:rsidR="00696E4E" w:rsidRPr="008F1B7C" w:rsidRDefault="00696E4E" w:rsidP="009176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No change</w:t>
            </w:r>
          </w:p>
        </w:tc>
        <w:tc>
          <w:tcPr>
            <w:tcW w:w="0" w:type="dxa"/>
            <w:hideMark/>
          </w:tcPr>
          <w:p w14:paraId="2863F92E" w14:textId="77777777" w:rsidR="00696E4E" w:rsidRPr="008F1B7C" w:rsidRDefault="00696E4E" w:rsidP="009176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20"/>
              </w:rPr>
            </w:pPr>
            <w:r w:rsidRPr="008F1B7C">
              <w:rPr>
                <w:rFonts w:asciiTheme="majorHAnsi" w:hAnsiTheme="majorHAnsi" w:cstheme="majorHAnsi"/>
                <w:color w:val="000000"/>
                <w:sz w:val="18"/>
                <w:szCs w:val="20"/>
              </w:rPr>
              <w:t xml:space="preserve">Enhanced categories on a look-through basis, with related providers identified. </w:t>
            </w:r>
          </w:p>
        </w:tc>
      </w:tr>
    </w:tbl>
    <w:p w14:paraId="26A575A5" w14:textId="77777777" w:rsidR="00696E4E" w:rsidRPr="008F1B7C" w:rsidRDefault="00696E4E" w:rsidP="00696E4E">
      <w:pPr>
        <w:jc w:val="both"/>
      </w:pPr>
    </w:p>
    <w:p w14:paraId="65C43720" w14:textId="77777777" w:rsidR="00437E36" w:rsidRPr="008F1B7C" w:rsidRDefault="00437E36" w:rsidP="006C49DB">
      <w:pPr>
        <w:rPr>
          <w:b/>
          <w:color w:val="000000" w:themeColor="text1"/>
          <w:szCs w:val="24"/>
          <w:u w:val="single"/>
        </w:rPr>
        <w:sectPr w:rsidR="00437E36" w:rsidRPr="008F1B7C" w:rsidSect="00437E36">
          <w:pgSz w:w="16838" w:h="11906" w:orient="landscape"/>
          <w:pgMar w:top="1440" w:right="1440" w:bottom="1440" w:left="1440" w:header="708" w:footer="708" w:gutter="0"/>
          <w:pgNumType w:start="1"/>
          <w:cols w:space="720"/>
          <w:docGrid w:linePitch="299"/>
        </w:sectPr>
      </w:pPr>
    </w:p>
    <w:p w14:paraId="6F352961" w14:textId="3ACE5FA9" w:rsidR="006C49DB" w:rsidRPr="008F1B7C" w:rsidRDefault="006C49DB" w:rsidP="006C49DB">
      <w:pPr>
        <w:rPr>
          <w:b/>
          <w:color w:val="000000" w:themeColor="text1"/>
          <w:szCs w:val="24"/>
          <w:u w:val="single"/>
        </w:rPr>
      </w:pPr>
      <w:r w:rsidRPr="008F1B7C">
        <w:rPr>
          <w:b/>
          <w:color w:val="000000" w:themeColor="text1"/>
          <w:szCs w:val="24"/>
          <w:u w:val="single"/>
        </w:rPr>
        <w:lastRenderedPageBreak/>
        <w:t xml:space="preserve">Appendix </w:t>
      </w:r>
      <w:r w:rsidR="00CB5BF6" w:rsidRPr="008F1B7C">
        <w:rPr>
          <w:b/>
          <w:color w:val="000000" w:themeColor="text1"/>
          <w:szCs w:val="24"/>
          <w:u w:val="single"/>
        </w:rPr>
        <w:t>D</w:t>
      </w:r>
      <w:r w:rsidRPr="008F1B7C">
        <w:rPr>
          <w:b/>
          <w:color w:val="000000" w:themeColor="text1"/>
          <w:szCs w:val="24"/>
          <w:u w:val="single"/>
        </w:rPr>
        <w:t>: Costing Methodology</w:t>
      </w:r>
    </w:p>
    <w:p w14:paraId="67877228" w14:textId="3F65C46B" w:rsidR="006F5DC2" w:rsidRPr="008F1B7C" w:rsidRDefault="00DC37A1" w:rsidP="00DC37A1">
      <w:r w:rsidRPr="008F1B7C">
        <w:t>RSE licensees will be subject to upfront regulatory costs to implement the reporting requirements, and ongoing costs to report the data five time</w:t>
      </w:r>
      <w:r w:rsidR="00662EC9" w:rsidRPr="008F1B7C">
        <w:t>s</w:t>
      </w:r>
      <w:r w:rsidRPr="008F1B7C">
        <w:t xml:space="preserve"> per year (each quarter, and for the annual submission). The costing estimates supplied indicate substantial difference based on the size and complexity or RSE licensee operations. </w:t>
      </w:r>
      <w:r w:rsidR="002A4395" w:rsidRPr="008F1B7C">
        <w:t>The costings have been estimated for</w:t>
      </w:r>
      <w:r w:rsidRPr="008F1B7C">
        <w:t xml:space="preserve"> </w:t>
      </w:r>
      <w:r w:rsidR="002A4395" w:rsidRPr="008F1B7C">
        <w:t xml:space="preserve">36 </w:t>
      </w:r>
      <w:r w:rsidRPr="008F1B7C">
        <w:t xml:space="preserve">low complexity </w:t>
      </w:r>
      <w:r w:rsidR="002A4395" w:rsidRPr="008F1B7C">
        <w:t>RSE licensees (</w:t>
      </w:r>
      <w:r w:rsidR="000F7CD0" w:rsidRPr="008F1B7C">
        <w:t xml:space="preserve">one RSE with </w:t>
      </w:r>
      <w:r w:rsidR="002A4395" w:rsidRPr="008F1B7C">
        <w:t>less than 15 investment option</w:t>
      </w:r>
      <w:r w:rsidR="00662EC9" w:rsidRPr="008F1B7C">
        <w:t>s</w:t>
      </w:r>
      <w:r w:rsidR="002A4395" w:rsidRPr="008F1B7C">
        <w:t>)</w:t>
      </w:r>
      <w:r w:rsidRPr="008F1B7C">
        <w:t xml:space="preserve">, </w:t>
      </w:r>
      <w:r w:rsidR="002A4395" w:rsidRPr="008F1B7C">
        <w:t>56</w:t>
      </w:r>
      <w:r w:rsidRPr="008F1B7C">
        <w:t xml:space="preserve"> medium complexity RSE licensees and </w:t>
      </w:r>
      <w:r w:rsidR="002A4395" w:rsidRPr="008F1B7C">
        <w:t>10</w:t>
      </w:r>
      <w:r w:rsidRPr="008F1B7C">
        <w:t xml:space="preserve"> </w:t>
      </w:r>
      <w:r w:rsidR="002A4395" w:rsidRPr="008F1B7C">
        <w:t>high</w:t>
      </w:r>
      <w:r w:rsidRPr="008F1B7C">
        <w:t xml:space="preserve"> </w:t>
      </w:r>
      <w:proofErr w:type="gramStart"/>
      <w:r w:rsidRPr="008F1B7C">
        <w:t>complexity</w:t>
      </w:r>
      <w:proofErr w:type="gramEnd"/>
      <w:r w:rsidRPr="008F1B7C">
        <w:t xml:space="preserve"> (</w:t>
      </w:r>
      <w:r w:rsidR="002A4395" w:rsidRPr="008F1B7C">
        <w:t>which have</w:t>
      </w:r>
      <w:r w:rsidRPr="008F1B7C">
        <w:t xml:space="preserve"> multiple RSEs </w:t>
      </w:r>
      <w:r w:rsidR="002A4395" w:rsidRPr="008F1B7C">
        <w:t xml:space="preserve">under their trusteeship </w:t>
      </w:r>
      <w:r w:rsidRPr="008F1B7C">
        <w:t xml:space="preserve">and </w:t>
      </w:r>
      <w:r w:rsidR="002A4395" w:rsidRPr="008F1B7C">
        <w:t>over 100 investment options</w:t>
      </w:r>
      <w:r w:rsidRPr="008F1B7C">
        <w:t>).</w:t>
      </w:r>
    </w:p>
    <w:p w14:paraId="252986CB" w14:textId="2AD4336A" w:rsidR="006F5DC2" w:rsidRPr="008F1B7C" w:rsidRDefault="006F5DC2" w:rsidP="006F5DC2">
      <w:r w:rsidRPr="008F1B7C">
        <w:rPr>
          <w:u w:val="single"/>
        </w:rPr>
        <w:t>Option 2</w:t>
      </w:r>
      <w:r w:rsidRPr="008F1B7C">
        <w:t>:</w:t>
      </w:r>
      <w:r w:rsidR="00A449E8" w:rsidRPr="008F1B7C">
        <w:t xml:space="preserve"> </w:t>
      </w:r>
      <w:r w:rsidRPr="008F1B7C">
        <w:t xml:space="preserve">Of the 102 RSE licensees, 65 have a </w:t>
      </w:r>
      <w:proofErr w:type="spellStart"/>
      <w:r w:rsidRPr="008F1B7C">
        <w:t>MySuper</w:t>
      </w:r>
      <w:proofErr w:type="spellEnd"/>
      <w:r w:rsidRPr="008F1B7C">
        <w:t xml:space="preserve"> product, and are subject to the reporting requirements outlined for </w:t>
      </w:r>
      <w:proofErr w:type="spellStart"/>
      <w:r w:rsidRPr="008F1B7C">
        <w:t>MySuper</w:t>
      </w:r>
      <w:proofErr w:type="spellEnd"/>
      <w:r w:rsidRPr="008F1B7C">
        <w:t xml:space="preserve"> in this option. Given the reporting standards used in </w:t>
      </w:r>
      <w:r w:rsidR="00B3124D" w:rsidRPr="008F1B7C">
        <w:t>O</w:t>
      </w:r>
      <w:r w:rsidRPr="008F1B7C">
        <w:t xml:space="preserve">ption 2 are currently in place for </w:t>
      </w:r>
      <w:proofErr w:type="spellStart"/>
      <w:r w:rsidRPr="008F1B7C">
        <w:t>MySuper</w:t>
      </w:r>
      <w:proofErr w:type="spellEnd"/>
      <w:r w:rsidRPr="008F1B7C">
        <w:t xml:space="preserve"> products, it is anticipated that the cost of expanding this collection to all other products and investment options is likely to be lower for those entities. For the remaining 37 RSE licensees, however, the cost will be higher. </w:t>
      </w:r>
    </w:p>
    <w:p w14:paraId="4524ECD7" w14:textId="0AEA163B" w:rsidR="006F5DC2" w:rsidRPr="008F1B7C" w:rsidRDefault="006F5DC2" w:rsidP="006F5DC2">
      <w:r w:rsidRPr="008F1B7C">
        <w:t>Over a ten-year period, APRA estimates that on average RSE licensees will be subject to approximately $137,000 per year in regulatory costs for low complexity RSE licensees, approximately $442,000 per year for medium complexity RSE licensees and approximately $955,000 per year for high complexity RSE licensees. Based on the current reporting population the average regulatory costs per RSE licensee would amount to $383,000 per year.</w:t>
      </w:r>
    </w:p>
    <w:p w14:paraId="3200FB48" w14:textId="121A6A62" w:rsidR="006F5DC2" w:rsidRPr="008F1B7C" w:rsidRDefault="006F5DC2" w:rsidP="006F5DC2">
      <w:r w:rsidRPr="008F1B7C">
        <w:rPr>
          <w:u w:val="single"/>
        </w:rPr>
        <w:t>Option 3:</w:t>
      </w:r>
      <w:r w:rsidR="00A449E8" w:rsidRPr="008F1B7C">
        <w:t xml:space="preserve"> </w:t>
      </w:r>
      <w:r w:rsidRPr="008F1B7C">
        <w:t>Over a ten-year period, APRA estimates that on average RSE licensees will be subject to approximately $160,000 per year in regulatory costs for low complexity RSE licensees, approximately $570,000 per year for medium complexity RSE licensees and approximately $1.45 million per year for high complexity RSE licensees. Based on the current reporting population the average regulatory costs per RSE licensee would amount to $511,000 per year.</w:t>
      </w:r>
    </w:p>
    <w:p w14:paraId="41FB23FE" w14:textId="0B0ABA9B" w:rsidR="006F5DC2" w:rsidRPr="008F1B7C" w:rsidRDefault="006F5DC2" w:rsidP="006F5DC2">
      <w:r w:rsidRPr="008F1B7C">
        <w:rPr>
          <w:u w:val="single"/>
        </w:rPr>
        <w:t>Option 4</w:t>
      </w:r>
      <w:r w:rsidRPr="008F1B7C">
        <w:t>:</w:t>
      </w:r>
      <w:r w:rsidR="00A449E8" w:rsidRPr="008F1B7C">
        <w:t xml:space="preserve"> </w:t>
      </w:r>
      <w:r w:rsidRPr="008F1B7C">
        <w:t>Over a ten-year period, APRA estimates that</w:t>
      </w:r>
      <w:r w:rsidR="00662EC9" w:rsidRPr="008F1B7C">
        <w:t>,</w:t>
      </w:r>
      <w:r w:rsidRPr="008F1B7C">
        <w:t xml:space="preserve"> in line with </w:t>
      </w:r>
      <w:r w:rsidR="00B3124D" w:rsidRPr="008F1B7C">
        <w:t>O</w:t>
      </w:r>
      <w:r w:rsidRPr="008F1B7C">
        <w:t>ption 3, on average RSE licensees will be subject to approximately $160,000 per year in regulatory costs for low complexity RSE licensees, approximately $570,000 per year for medium complexity RSE licensees and approximately $1.45 million per year for high complexity RSE licensees. Based on the current reporting population the average regulatory costs per RSE licensee would amount to $511,000 per year.</w:t>
      </w:r>
    </w:p>
    <w:p w14:paraId="4CFDF3FE" w14:textId="2ADCD37D" w:rsidR="00DC37A1" w:rsidRPr="008F1B7C" w:rsidRDefault="006F5DC2" w:rsidP="00DC37A1">
      <w:r w:rsidRPr="008F1B7C">
        <w:t xml:space="preserve">The costing inputs are based on </w:t>
      </w:r>
      <w:r w:rsidR="002A4395" w:rsidRPr="008F1B7C">
        <w:t>industry feedback</w:t>
      </w:r>
      <w:r w:rsidRPr="008F1B7C">
        <w:t xml:space="preserve"> including costing estimates provided by f</w:t>
      </w:r>
      <w:r w:rsidR="00797C4A" w:rsidRPr="008F1B7C">
        <w:t>our</w:t>
      </w:r>
      <w:r w:rsidRPr="008F1B7C">
        <w:t xml:space="preserve"> RSE licensees. </w:t>
      </w:r>
      <w:r w:rsidR="00A449E8" w:rsidRPr="008F1B7C">
        <w:t>T</w:t>
      </w:r>
      <w:r w:rsidR="002A4395" w:rsidRPr="008F1B7C">
        <w:t>he costing</w:t>
      </w:r>
      <w:r w:rsidR="00A449E8" w:rsidRPr="008F1B7C">
        <w:t xml:space="preserve"> assumptions</w:t>
      </w:r>
      <w:r w:rsidR="002A4395" w:rsidRPr="008F1B7C">
        <w:t xml:space="preserve"> </w:t>
      </w:r>
      <w:r w:rsidR="00A449E8" w:rsidRPr="008F1B7C">
        <w:t>are</w:t>
      </w:r>
      <w:r w:rsidR="002A4395" w:rsidRPr="008F1B7C">
        <w:t xml:space="preserve"> allocated to the following categories</w:t>
      </w:r>
      <w:r w:rsidR="00F36D76" w:rsidRPr="008F1B7C">
        <w:t>, with assumptions</w:t>
      </w:r>
      <w:r w:rsidR="00A449E8" w:rsidRPr="008F1B7C">
        <w:t xml:space="preserve"> for each option based on the RSE licensee complexity</w:t>
      </w:r>
      <w:r w:rsidR="00F36D76" w:rsidRPr="008F1B7C">
        <w:t xml:space="preserve"> set out in the detailed tables below</w:t>
      </w:r>
      <w:r w:rsidR="002A4395" w:rsidRPr="008F1B7C">
        <w:t>:</w:t>
      </w:r>
    </w:p>
    <w:p w14:paraId="6581509E" w14:textId="77777777" w:rsidR="006C49DB" w:rsidRPr="008F1B7C" w:rsidRDefault="006C49DB" w:rsidP="006C49DB">
      <w:pPr>
        <w:rPr>
          <w:rFonts w:eastAsia="Calibri"/>
          <w:b/>
          <w:color w:val="000000" w:themeColor="text1"/>
          <w:u w:val="single"/>
        </w:rPr>
      </w:pPr>
      <w:r w:rsidRPr="008F1B7C">
        <w:rPr>
          <w:rFonts w:eastAsia="Calibri"/>
          <w:b/>
          <w:color w:val="000000" w:themeColor="text1"/>
          <w:u w:val="single"/>
        </w:rPr>
        <w:t>Upfront costs</w:t>
      </w:r>
    </w:p>
    <w:p w14:paraId="35CB11A1" w14:textId="2E650C17" w:rsidR="00194B2E" w:rsidRPr="008F1B7C" w:rsidRDefault="00194B2E" w:rsidP="00B308B7">
      <w:pPr>
        <w:rPr>
          <w:rFonts w:eastAsia="Calibri"/>
          <w:color w:val="000000" w:themeColor="text1"/>
        </w:rPr>
      </w:pPr>
      <w:r w:rsidRPr="008F1B7C">
        <w:rPr>
          <w:rFonts w:eastAsia="Calibri"/>
          <w:i/>
          <w:color w:val="000000" w:themeColor="text1"/>
          <w:u w:val="single"/>
        </w:rPr>
        <w:t>Education</w:t>
      </w:r>
      <w:r w:rsidR="00A449E8" w:rsidRPr="008F1B7C">
        <w:rPr>
          <w:rFonts w:eastAsia="Calibri"/>
          <w:i/>
          <w:color w:val="000000" w:themeColor="text1"/>
          <w:u w:val="single"/>
        </w:rPr>
        <w:t xml:space="preserve">: </w:t>
      </w:r>
      <w:bookmarkStart w:id="106" w:name="_Hlk75255678"/>
      <w:r w:rsidR="00DD2866" w:rsidRPr="008F1B7C">
        <w:rPr>
          <w:rFonts w:eastAsia="Calibri"/>
          <w:color w:val="000000" w:themeColor="text1"/>
        </w:rPr>
        <w:t>Initial c</w:t>
      </w:r>
      <w:r w:rsidR="00ED39EE" w:rsidRPr="008F1B7C">
        <w:rPr>
          <w:rFonts w:eastAsia="Calibri"/>
          <w:color w:val="000000" w:themeColor="text1"/>
        </w:rPr>
        <w:t>osts associated with u</w:t>
      </w:r>
      <w:r w:rsidRPr="008F1B7C">
        <w:rPr>
          <w:rFonts w:eastAsia="Calibri"/>
          <w:color w:val="000000" w:themeColor="text1"/>
        </w:rPr>
        <w:t xml:space="preserve">nderstanding the </w:t>
      </w:r>
      <w:r w:rsidR="009C0E98" w:rsidRPr="008F1B7C">
        <w:rPr>
          <w:rFonts w:eastAsia="Calibri"/>
          <w:color w:val="000000" w:themeColor="text1"/>
        </w:rPr>
        <w:t xml:space="preserve">reporting standards </w:t>
      </w:r>
      <w:r w:rsidRPr="008F1B7C">
        <w:rPr>
          <w:rFonts w:eastAsia="Calibri"/>
          <w:color w:val="000000" w:themeColor="text1"/>
        </w:rPr>
        <w:t>requirements</w:t>
      </w:r>
      <w:r w:rsidR="00ED39EE" w:rsidRPr="008F1B7C">
        <w:rPr>
          <w:rFonts w:eastAsia="Calibri"/>
          <w:color w:val="000000" w:themeColor="text1"/>
        </w:rPr>
        <w:t>,</w:t>
      </w:r>
      <w:r w:rsidRPr="008F1B7C">
        <w:rPr>
          <w:rFonts w:eastAsia="Calibri"/>
          <w:color w:val="000000" w:themeColor="text1"/>
        </w:rPr>
        <w:t xml:space="preserve"> updating procedures to ensure compliance with </w:t>
      </w:r>
      <w:r w:rsidR="009C0E98" w:rsidRPr="008F1B7C">
        <w:rPr>
          <w:rFonts w:eastAsia="Calibri"/>
          <w:color w:val="000000" w:themeColor="text1"/>
        </w:rPr>
        <w:t xml:space="preserve">the reporting standards </w:t>
      </w:r>
      <w:r w:rsidRPr="008F1B7C">
        <w:rPr>
          <w:rFonts w:eastAsia="Calibri"/>
          <w:color w:val="000000" w:themeColor="text1"/>
        </w:rPr>
        <w:t>submission requirements</w:t>
      </w:r>
      <w:r w:rsidR="00ED39EE" w:rsidRPr="008F1B7C">
        <w:rPr>
          <w:rFonts w:eastAsia="Calibri"/>
          <w:color w:val="000000" w:themeColor="text1"/>
        </w:rPr>
        <w:t xml:space="preserve"> and training staff</w:t>
      </w:r>
      <w:bookmarkEnd w:id="106"/>
      <w:r w:rsidRPr="008F1B7C">
        <w:rPr>
          <w:rFonts w:eastAsia="Calibri"/>
          <w:color w:val="000000" w:themeColor="text1"/>
        </w:rPr>
        <w:t>.</w:t>
      </w:r>
    </w:p>
    <w:p w14:paraId="1A0B26B7" w14:textId="6F969CB0" w:rsidR="006C49DB" w:rsidRPr="008F1B7C" w:rsidRDefault="00194B2E" w:rsidP="00B308B7">
      <w:pPr>
        <w:pStyle w:val="Bullet"/>
        <w:numPr>
          <w:ilvl w:val="0"/>
          <w:numId w:val="0"/>
        </w:numPr>
        <w:tabs>
          <w:tab w:val="left" w:pos="720"/>
        </w:tabs>
        <w:spacing w:before="0" w:after="240"/>
        <w:rPr>
          <w:rFonts w:eastAsia="Calibri"/>
          <w:color w:val="000000" w:themeColor="text1"/>
          <w:sz w:val="22"/>
          <w:szCs w:val="22"/>
        </w:rPr>
      </w:pPr>
      <w:r w:rsidRPr="008F1B7C">
        <w:rPr>
          <w:rFonts w:eastAsia="Calibri"/>
          <w:i/>
          <w:color w:val="000000" w:themeColor="text1"/>
          <w:sz w:val="22"/>
          <w:szCs w:val="22"/>
          <w:u w:val="single"/>
        </w:rPr>
        <w:t>Record Keeping</w:t>
      </w:r>
      <w:r w:rsidR="00A449E8" w:rsidRPr="008F1B7C">
        <w:rPr>
          <w:rFonts w:eastAsia="Calibri"/>
          <w:color w:val="000000" w:themeColor="text1"/>
          <w:sz w:val="22"/>
          <w:szCs w:val="22"/>
        </w:rPr>
        <w:t xml:space="preserve">: </w:t>
      </w:r>
      <w:r w:rsidR="00DD2866" w:rsidRPr="008F1B7C">
        <w:rPr>
          <w:rFonts w:eastAsia="Calibri"/>
          <w:color w:val="000000" w:themeColor="text1"/>
          <w:sz w:val="22"/>
          <w:szCs w:val="22"/>
        </w:rPr>
        <w:t>Initial c</w:t>
      </w:r>
      <w:r w:rsidR="00ED39EE" w:rsidRPr="008F1B7C">
        <w:rPr>
          <w:rFonts w:eastAsia="Calibri"/>
          <w:color w:val="000000" w:themeColor="text1"/>
          <w:sz w:val="22"/>
          <w:szCs w:val="22"/>
        </w:rPr>
        <w:t>osts associated with u</w:t>
      </w:r>
      <w:r w:rsidR="00597627" w:rsidRPr="008F1B7C">
        <w:rPr>
          <w:rFonts w:eastAsia="Calibri"/>
          <w:color w:val="000000" w:themeColor="text1"/>
          <w:sz w:val="22"/>
          <w:szCs w:val="22"/>
        </w:rPr>
        <w:t xml:space="preserve">pdating the </w:t>
      </w:r>
      <w:r w:rsidR="00172414" w:rsidRPr="008F1B7C">
        <w:rPr>
          <w:rFonts w:eastAsia="Calibri"/>
          <w:color w:val="000000" w:themeColor="text1"/>
          <w:sz w:val="22"/>
          <w:szCs w:val="22"/>
        </w:rPr>
        <w:t>RSE licensee</w:t>
      </w:r>
      <w:r w:rsidR="00877891" w:rsidRPr="008F1B7C">
        <w:rPr>
          <w:rFonts w:eastAsia="Calibri"/>
          <w:color w:val="000000" w:themeColor="text1"/>
          <w:sz w:val="22"/>
          <w:szCs w:val="22"/>
        </w:rPr>
        <w:t>s’</w:t>
      </w:r>
      <w:r w:rsidR="00597627" w:rsidRPr="008F1B7C">
        <w:rPr>
          <w:rFonts w:eastAsia="Calibri"/>
          <w:color w:val="000000" w:themeColor="text1"/>
          <w:sz w:val="22"/>
          <w:szCs w:val="22"/>
        </w:rPr>
        <w:t xml:space="preserve"> internal record keeping processes to enable the </w:t>
      </w:r>
      <w:r w:rsidR="0043744B" w:rsidRPr="008F1B7C">
        <w:rPr>
          <w:rFonts w:eastAsia="Calibri"/>
          <w:color w:val="000000" w:themeColor="text1"/>
          <w:sz w:val="22"/>
          <w:szCs w:val="22"/>
        </w:rPr>
        <w:t xml:space="preserve">collation and </w:t>
      </w:r>
      <w:r w:rsidR="00597627" w:rsidRPr="008F1B7C">
        <w:rPr>
          <w:rFonts w:eastAsia="Calibri"/>
          <w:color w:val="000000" w:themeColor="text1"/>
          <w:sz w:val="22"/>
          <w:szCs w:val="22"/>
        </w:rPr>
        <w:t>submission of the reporting standards (internal administration)</w:t>
      </w:r>
      <w:r w:rsidR="006C49DB" w:rsidRPr="008F1B7C">
        <w:rPr>
          <w:rFonts w:eastAsia="Calibri"/>
          <w:color w:val="000000" w:themeColor="text1"/>
          <w:sz w:val="22"/>
          <w:szCs w:val="22"/>
        </w:rPr>
        <w:t>.</w:t>
      </w:r>
    </w:p>
    <w:p w14:paraId="788BFAE0" w14:textId="21B52BD8" w:rsidR="006C49DB" w:rsidRPr="008F1B7C" w:rsidRDefault="002D2DF9">
      <w:pPr>
        <w:rPr>
          <w:rFonts w:eastAsia="Calibri"/>
          <w:color w:val="000000" w:themeColor="text1"/>
        </w:rPr>
      </w:pPr>
      <w:r w:rsidRPr="008F1B7C">
        <w:rPr>
          <w:rFonts w:eastAsia="Calibri"/>
          <w:i/>
          <w:color w:val="000000" w:themeColor="text1"/>
          <w:u w:val="single"/>
        </w:rPr>
        <w:t>Purchasing</w:t>
      </w:r>
      <w:r w:rsidR="00A449E8" w:rsidRPr="008F1B7C">
        <w:rPr>
          <w:rFonts w:eastAsia="Calibri"/>
          <w:color w:val="000000" w:themeColor="text1"/>
        </w:rPr>
        <w:t xml:space="preserve">: </w:t>
      </w:r>
      <w:r w:rsidR="00B51658" w:rsidRPr="008F1B7C">
        <w:rPr>
          <w:rFonts w:eastAsia="Calibri"/>
          <w:color w:val="000000" w:themeColor="text1"/>
        </w:rPr>
        <w:t xml:space="preserve">Initial costs for </w:t>
      </w:r>
      <w:r w:rsidRPr="008F1B7C">
        <w:rPr>
          <w:rFonts w:eastAsia="Calibri"/>
          <w:color w:val="000000" w:themeColor="text1"/>
        </w:rPr>
        <w:t>additional data recording</w:t>
      </w:r>
      <w:r w:rsidR="00816B36" w:rsidRPr="008F1B7C">
        <w:rPr>
          <w:rFonts w:eastAsia="Calibri"/>
          <w:color w:val="000000" w:themeColor="text1"/>
        </w:rPr>
        <w:t xml:space="preserve"> and</w:t>
      </w:r>
      <w:r w:rsidRPr="008F1B7C">
        <w:rPr>
          <w:rFonts w:eastAsia="Calibri"/>
          <w:color w:val="000000" w:themeColor="text1"/>
        </w:rPr>
        <w:t xml:space="preserve"> reporting</w:t>
      </w:r>
      <w:r w:rsidR="0043744B" w:rsidRPr="008F1B7C">
        <w:rPr>
          <w:rFonts w:eastAsia="Calibri"/>
          <w:color w:val="000000" w:themeColor="text1"/>
        </w:rPr>
        <w:t xml:space="preserve"> </w:t>
      </w:r>
      <w:r w:rsidR="00597627" w:rsidRPr="008F1B7C">
        <w:rPr>
          <w:rFonts w:eastAsia="Calibri"/>
          <w:color w:val="000000" w:themeColor="text1"/>
        </w:rPr>
        <w:t>with external providers</w:t>
      </w:r>
      <w:r w:rsidR="00B51658" w:rsidRPr="008F1B7C">
        <w:rPr>
          <w:rFonts w:eastAsia="Calibri"/>
          <w:color w:val="000000" w:themeColor="text1"/>
        </w:rPr>
        <w:t xml:space="preserve"> (</w:t>
      </w:r>
      <w:proofErr w:type="gramStart"/>
      <w:r w:rsidR="00B51658" w:rsidRPr="008F1B7C">
        <w:rPr>
          <w:rFonts w:eastAsia="Calibri"/>
          <w:color w:val="000000" w:themeColor="text1"/>
        </w:rPr>
        <w:t>e.g.</w:t>
      </w:r>
      <w:proofErr w:type="gramEnd"/>
      <w:r w:rsidR="00B51658" w:rsidRPr="008F1B7C">
        <w:rPr>
          <w:rFonts w:eastAsia="Calibri"/>
          <w:color w:val="000000" w:themeColor="text1"/>
        </w:rPr>
        <w:t xml:space="preserve"> </w:t>
      </w:r>
      <w:r w:rsidRPr="008F1B7C">
        <w:rPr>
          <w:rFonts w:eastAsia="Calibri"/>
          <w:color w:val="000000" w:themeColor="text1"/>
        </w:rPr>
        <w:t>administrators</w:t>
      </w:r>
      <w:r w:rsidR="00597627" w:rsidRPr="008F1B7C">
        <w:rPr>
          <w:rFonts w:eastAsia="Calibri"/>
          <w:color w:val="000000" w:themeColor="text1"/>
        </w:rPr>
        <w:t xml:space="preserve"> or</w:t>
      </w:r>
      <w:r w:rsidRPr="008F1B7C">
        <w:rPr>
          <w:rFonts w:eastAsia="Calibri"/>
          <w:color w:val="000000" w:themeColor="text1"/>
        </w:rPr>
        <w:t xml:space="preserve"> custodians</w:t>
      </w:r>
      <w:r w:rsidR="00B51658" w:rsidRPr="008F1B7C">
        <w:rPr>
          <w:rFonts w:eastAsia="Calibri"/>
          <w:color w:val="000000" w:themeColor="text1"/>
        </w:rPr>
        <w:t>)</w:t>
      </w:r>
      <w:r w:rsidR="00597627" w:rsidRPr="008F1B7C">
        <w:rPr>
          <w:rFonts w:eastAsia="Calibri"/>
          <w:color w:val="000000" w:themeColor="text1"/>
        </w:rPr>
        <w:t>.</w:t>
      </w:r>
    </w:p>
    <w:p w14:paraId="680A918A" w14:textId="2D9432C4" w:rsidR="002D2DF9" w:rsidRPr="008F1B7C" w:rsidRDefault="00970F11" w:rsidP="00B308B7">
      <w:pPr>
        <w:rPr>
          <w:rFonts w:eastAsia="Calibri"/>
          <w:color w:val="000000" w:themeColor="text1"/>
        </w:rPr>
      </w:pPr>
      <w:r w:rsidRPr="008F1B7C">
        <w:rPr>
          <w:rFonts w:eastAsia="Calibri"/>
          <w:i/>
          <w:color w:val="000000" w:themeColor="text1"/>
          <w:u w:val="single"/>
        </w:rPr>
        <w:lastRenderedPageBreak/>
        <w:t>Publication and Documentation</w:t>
      </w:r>
      <w:r w:rsidRPr="008F1B7C">
        <w:rPr>
          <w:rFonts w:eastAsia="Calibri"/>
          <w:color w:val="000000" w:themeColor="text1"/>
        </w:rPr>
        <w:t>: Initial costs associated with implementing and completing the initial submission of data under the new reporting standards to APRA.</w:t>
      </w:r>
    </w:p>
    <w:p w14:paraId="5D929E2B" w14:textId="50AA264B" w:rsidR="00815855" w:rsidRPr="008F1B7C" w:rsidRDefault="00815855" w:rsidP="00B308B7">
      <w:pPr>
        <w:rPr>
          <w:rFonts w:eastAsia="Calibri"/>
          <w:color w:val="000000" w:themeColor="text1"/>
        </w:rPr>
      </w:pPr>
      <w:r w:rsidRPr="008F1B7C">
        <w:rPr>
          <w:rFonts w:eastAsia="Calibri"/>
          <w:i/>
          <w:color w:val="000000" w:themeColor="text1"/>
          <w:u w:val="single"/>
        </w:rPr>
        <w:t>Project Management</w:t>
      </w:r>
      <w:r w:rsidR="00CF3D27" w:rsidRPr="008F1B7C">
        <w:rPr>
          <w:rFonts w:eastAsia="Calibri"/>
          <w:i/>
          <w:color w:val="000000" w:themeColor="text1"/>
          <w:u w:val="single"/>
        </w:rPr>
        <w:t xml:space="preserve"> (Other)</w:t>
      </w:r>
      <w:r w:rsidR="00A449E8" w:rsidRPr="008F1B7C">
        <w:rPr>
          <w:rFonts w:eastAsia="Calibri"/>
          <w:color w:val="000000" w:themeColor="text1"/>
        </w:rPr>
        <w:t xml:space="preserve">: </w:t>
      </w:r>
      <w:r w:rsidRPr="008F1B7C">
        <w:rPr>
          <w:rFonts w:eastAsia="Calibri"/>
          <w:color w:val="000000" w:themeColor="text1"/>
        </w:rPr>
        <w:t>Initial project costs for implementing the new data collection.</w:t>
      </w:r>
    </w:p>
    <w:p w14:paraId="2D245A70" w14:textId="56AC0C53" w:rsidR="006C49DB" w:rsidRPr="008F1B7C" w:rsidRDefault="006C49DB" w:rsidP="00C93397">
      <w:pPr>
        <w:rPr>
          <w:rFonts w:eastAsia="Calibri"/>
          <w:b/>
          <w:color w:val="000000" w:themeColor="text1"/>
          <w:u w:val="single"/>
        </w:rPr>
      </w:pPr>
      <w:r w:rsidRPr="008F1B7C">
        <w:rPr>
          <w:rFonts w:eastAsia="Calibri"/>
          <w:b/>
          <w:color w:val="000000" w:themeColor="text1"/>
          <w:u w:val="single"/>
        </w:rPr>
        <w:t>Ongoing costs</w:t>
      </w:r>
    </w:p>
    <w:p w14:paraId="0492FEA6" w14:textId="333E83C1" w:rsidR="006C49DB" w:rsidRPr="008F1B7C" w:rsidRDefault="005438DD" w:rsidP="00B308B7">
      <w:pPr>
        <w:rPr>
          <w:rFonts w:eastAsia="Calibri"/>
          <w:color w:val="000000" w:themeColor="text1"/>
        </w:rPr>
      </w:pPr>
      <w:r w:rsidRPr="008F1B7C">
        <w:rPr>
          <w:rFonts w:eastAsia="Calibri"/>
          <w:i/>
          <w:iCs/>
          <w:color w:val="000000" w:themeColor="text1"/>
          <w:szCs w:val="24"/>
          <w:u w:val="single"/>
        </w:rPr>
        <w:t>Record Keeping</w:t>
      </w:r>
      <w:r w:rsidR="00A449E8" w:rsidRPr="008F1B7C">
        <w:rPr>
          <w:rFonts w:eastAsia="Calibri"/>
          <w:color w:val="000000" w:themeColor="text1"/>
        </w:rPr>
        <w:t xml:space="preserve">: </w:t>
      </w:r>
      <w:r w:rsidR="0028532F" w:rsidRPr="008F1B7C">
        <w:rPr>
          <w:rFonts w:eastAsia="Calibri"/>
          <w:color w:val="000000" w:themeColor="text1"/>
        </w:rPr>
        <w:t xml:space="preserve">Ongoing </w:t>
      </w:r>
      <w:r w:rsidR="002778A5" w:rsidRPr="008F1B7C">
        <w:rPr>
          <w:rFonts w:eastAsia="Calibri"/>
          <w:color w:val="000000" w:themeColor="text1"/>
        </w:rPr>
        <w:t xml:space="preserve">costs associated </w:t>
      </w:r>
      <w:r w:rsidR="00FF686A" w:rsidRPr="008F1B7C">
        <w:rPr>
          <w:rFonts w:eastAsia="Calibri"/>
          <w:color w:val="000000" w:themeColor="text1"/>
        </w:rPr>
        <w:t xml:space="preserve">the annual process to ensure that internal procedures are </w:t>
      </w:r>
      <w:proofErr w:type="gramStart"/>
      <w:r w:rsidR="00FF686A" w:rsidRPr="008F1B7C">
        <w:rPr>
          <w:rFonts w:eastAsia="Calibri"/>
          <w:color w:val="000000" w:themeColor="text1"/>
        </w:rPr>
        <w:t>compliant</w:t>
      </w:r>
      <w:proofErr w:type="gramEnd"/>
      <w:r w:rsidR="00FF686A" w:rsidRPr="008F1B7C">
        <w:rPr>
          <w:rFonts w:eastAsia="Calibri"/>
          <w:color w:val="000000" w:themeColor="text1"/>
        </w:rPr>
        <w:t xml:space="preserve"> and the</w:t>
      </w:r>
      <w:r w:rsidR="002778A5" w:rsidRPr="008F1B7C">
        <w:rPr>
          <w:rFonts w:eastAsia="Calibri"/>
          <w:color w:val="000000" w:themeColor="text1"/>
        </w:rPr>
        <w:t xml:space="preserve"> reporting standards submission requirements</w:t>
      </w:r>
      <w:r w:rsidR="00FF686A" w:rsidRPr="008F1B7C">
        <w:rPr>
          <w:rFonts w:eastAsia="Calibri"/>
          <w:color w:val="000000" w:themeColor="text1"/>
        </w:rPr>
        <w:t xml:space="preserve"> are met</w:t>
      </w:r>
      <w:r w:rsidR="001974C2" w:rsidRPr="008F1B7C">
        <w:rPr>
          <w:rFonts w:eastAsia="Calibri"/>
          <w:color w:val="000000" w:themeColor="text1"/>
        </w:rPr>
        <w:t xml:space="preserve"> and the </w:t>
      </w:r>
      <w:r w:rsidR="002778A5" w:rsidRPr="008F1B7C">
        <w:rPr>
          <w:rFonts w:eastAsia="Calibri"/>
          <w:color w:val="000000" w:themeColor="text1"/>
        </w:rPr>
        <w:t>training</w:t>
      </w:r>
      <w:r w:rsidR="00FF686A" w:rsidRPr="008F1B7C">
        <w:rPr>
          <w:rFonts w:eastAsia="Calibri"/>
          <w:color w:val="000000" w:themeColor="text1"/>
        </w:rPr>
        <w:t xml:space="preserve"> of new</w:t>
      </w:r>
      <w:r w:rsidR="002778A5" w:rsidRPr="008F1B7C">
        <w:rPr>
          <w:rFonts w:eastAsia="Calibri"/>
          <w:color w:val="000000" w:themeColor="text1"/>
        </w:rPr>
        <w:t xml:space="preserve"> staff</w:t>
      </w:r>
      <w:r w:rsidR="00FF686A" w:rsidRPr="008F1B7C">
        <w:rPr>
          <w:rFonts w:eastAsia="Calibri"/>
          <w:color w:val="000000" w:themeColor="text1"/>
        </w:rPr>
        <w:t>.</w:t>
      </w:r>
    </w:p>
    <w:p w14:paraId="4C645007" w14:textId="321F899A" w:rsidR="00B51658" w:rsidRPr="008F1B7C" w:rsidRDefault="00B51658">
      <w:pPr>
        <w:rPr>
          <w:rFonts w:eastAsia="Calibri"/>
          <w:color w:val="000000" w:themeColor="text1"/>
        </w:rPr>
      </w:pPr>
      <w:r w:rsidRPr="008F1B7C">
        <w:rPr>
          <w:rFonts w:eastAsia="Calibri"/>
          <w:i/>
          <w:color w:val="000000" w:themeColor="text1"/>
          <w:u w:val="single"/>
        </w:rPr>
        <w:t>Purchasing</w:t>
      </w:r>
      <w:r w:rsidR="00A449E8" w:rsidRPr="008F1B7C">
        <w:rPr>
          <w:rFonts w:eastAsia="Calibri"/>
          <w:color w:val="000000" w:themeColor="text1"/>
        </w:rPr>
        <w:t xml:space="preserve">: </w:t>
      </w:r>
      <w:r w:rsidRPr="008F1B7C">
        <w:rPr>
          <w:rFonts w:eastAsia="Calibri"/>
          <w:color w:val="000000" w:themeColor="text1"/>
        </w:rPr>
        <w:t>Ongoing costs for additional data recording</w:t>
      </w:r>
      <w:r w:rsidR="00816B36" w:rsidRPr="008F1B7C">
        <w:rPr>
          <w:rFonts w:eastAsia="Calibri"/>
          <w:color w:val="000000" w:themeColor="text1"/>
        </w:rPr>
        <w:t xml:space="preserve"> and</w:t>
      </w:r>
      <w:r w:rsidRPr="008F1B7C">
        <w:rPr>
          <w:rFonts w:eastAsia="Calibri"/>
          <w:color w:val="000000" w:themeColor="text1"/>
        </w:rPr>
        <w:t xml:space="preserve"> reporting</w:t>
      </w:r>
      <w:r w:rsidR="00816B36" w:rsidRPr="008F1B7C">
        <w:rPr>
          <w:rFonts w:eastAsia="Calibri"/>
          <w:color w:val="000000" w:themeColor="text1"/>
        </w:rPr>
        <w:t xml:space="preserve"> </w:t>
      </w:r>
      <w:r w:rsidRPr="008F1B7C">
        <w:rPr>
          <w:rFonts w:eastAsia="Calibri"/>
          <w:color w:val="000000" w:themeColor="text1"/>
        </w:rPr>
        <w:t>with external providers (</w:t>
      </w:r>
      <w:proofErr w:type="gramStart"/>
      <w:r w:rsidRPr="008F1B7C">
        <w:rPr>
          <w:rFonts w:eastAsia="Calibri"/>
          <w:color w:val="000000" w:themeColor="text1"/>
        </w:rPr>
        <w:t>e.g.</w:t>
      </w:r>
      <w:proofErr w:type="gramEnd"/>
      <w:r w:rsidRPr="008F1B7C">
        <w:rPr>
          <w:rFonts w:eastAsia="Calibri"/>
          <w:color w:val="000000" w:themeColor="text1"/>
        </w:rPr>
        <w:t xml:space="preserve"> administrators or custodians).</w:t>
      </w:r>
    </w:p>
    <w:p w14:paraId="07AC6EF1" w14:textId="589BF8F0" w:rsidR="00377112" w:rsidRPr="008F1B7C" w:rsidRDefault="00377112" w:rsidP="00B308B7">
      <w:pPr>
        <w:rPr>
          <w:rFonts w:eastAsia="Calibri"/>
          <w:color w:val="000000" w:themeColor="text1"/>
        </w:rPr>
      </w:pPr>
      <w:r w:rsidRPr="008F1B7C">
        <w:rPr>
          <w:rFonts w:eastAsia="Calibri"/>
          <w:i/>
          <w:color w:val="000000" w:themeColor="text1"/>
          <w:u w:val="single"/>
        </w:rPr>
        <w:t>Publication and Documentation</w:t>
      </w:r>
      <w:r w:rsidRPr="008F1B7C">
        <w:rPr>
          <w:rFonts w:eastAsia="Calibri"/>
          <w:color w:val="000000" w:themeColor="text1"/>
        </w:rPr>
        <w:t>: Costs associated with submitting data under the new reporting standards to APRA.</w:t>
      </w:r>
    </w:p>
    <w:p w14:paraId="163FD3B7" w14:textId="487BE95E" w:rsidR="006C49DB" w:rsidRPr="008F1B7C" w:rsidRDefault="000F7CD0" w:rsidP="00B308B7">
      <w:pPr>
        <w:rPr>
          <w:rFonts w:eastAsia="Calibri"/>
          <w:b/>
          <w:color w:val="000000" w:themeColor="text1"/>
          <w:u w:val="single"/>
        </w:rPr>
      </w:pPr>
      <w:r w:rsidRPr="008F1B7C">
        <w:rPr>
          <w:rFonts w:eastAsia="Calibri"/>
          <w:color w:val="000000" w:themeColor="text1"/>
        </w:rPr>
        <w:t xml:space="preserve"> </w:t>
      </w:r>
      <w:r w:rsidR="006C49DB" w:rsidRPr="008F1B7C">
        <w:rPr>
          <w:rFonts w:eastAsia="Calibri"/>
          <w:b/>
          <w:color w:val="000000" w:themeColor="text1"/>
          <w:u w:val="single"/>
        </w:rPr>
        <w:t>Individual costs</w:t>
      </w:r>
    </w:p>
    <w:p w14:paraId="29A9C9CE" w14:textId="0E62664E" w:rsidR="006C49DB" w:rsidRPr="008F1B7C" w:rsidRDefault="00CF3D27" w:rsidP="00B308B7">
      <w:pPr>
        <w:pStyle w:val="Bullet"/>
        <w:numPr>
          <w:ilvl w:val="0"/>
          <w:numId w:val="0"/>
        </w:numPr>
        <w:tabs>
          <w:tab w:val="left" w:pos="720"/>
        </w:tabs>
        <w:spacing w:before="0" w:after="240"/>
        <w:ind w:left="520" w:hanging="520"/>
        <w:rPr>
          <w:color w:val="000000" w:themeColor="text1"/>
          <w:sz w:val="22"/>
          <w:szCs w:val="22"/>
        </w:rPr>
      </w:pPr>
      <w:r w:rsidRPr="008F1B7C">
        <w:rPr>
          <w:color w:val="000000" w:themeColor="text1"/>
          <w:sz w:val="22"/>
          <w:szCs w:val="22"/>
        </w:rPr>
        <w:t>Not Applicable</w:t>
      </w:r>
      <w:r w:rsidR="006C49DB" w:rsidRPr="008F1B7C">
        <w:rPr>
          <w:color w:val="000000" w:themeColor="text1"/>
          <w:sz w:val="22"/>
          <w:szCs w:val="22"/>
        </w:rPr>
        <w:t xml:space="preserve"> – </w:t>
      </w:r>
      <w:r w:rsidR="006C49DB" w:rsidRPr="008F1B7C">
        <w:rPr>
          <w:rFonts w:eastAsia="Calibri"/>
          <w:color w:val="000000" w:themeColor="text1"/>
          <w:sz w:val="22"/>
          <w:szCs w:val="22"/>
        </w:rPr>
        <w:t>The data collection</w:t>
      </w:r>
      <w:r w:rsidR="006C49DB" w:rsidRPr="008F1B7C">
        <w:rPr>
          <w:color w:val="000000" w:themeColor="text1"/>
          <w:sz w:val="22"/>
          <w:szCs w:val="22"/>
        </w:rPr>
        <w:t xml:space="preserve"> applies to RSE licensees, individuals are not affected.</w:t>
      </w:r>
    </w:p>
    <w:p w14:paraId="0765FEFE" w14:textId="1A785F67" w:rsidR="006F5DC2" w:rsidRPr="008F1B7C" w:rsidRDefault="006F5DC2" w:rsidP="00DD00EB"/>
    <w:p w14:paraId="3E500655" w14:textId="77777777" w:rsidR="00DD00EB" w:rsidRPr="008F1B7C" w:rsidRDefault="00DD00EB" w:rsidP="009356A1">
      <w:pPr>
        <w:spacing w:after="0"/>
      </w:pPr>
    </w:p>
    <w:p w14:paraId="2DDF1109" w14:textId="0FA16944" w:rsidR="00DD00EB" w:rsidRPr="008F1B7C" w:rsidRDefault="00DD00EB" w:rsidP="009356A1">
      <w:pPr>
        <w:spacing w:after="0"/>
        <w:sectPr w:rsidR="00DD00EB" w:rsidRPr="008F1B7C" w:rsidSect="00BF4E15">
          <w:pgSz w:w="11906" w:h="16838"/>
          <w:pgMar w:top="1440" w:right="1440" w:bottom="1440" w:left="1440" w:header="708" w:footer="708" w:gutter="0"/>
          <w:pgNumType w:start="1"/>
          <w:cols w:space="720"/>
          <w:docGrid w:linePitch="299"/>
        </w:sectPr>
      </w:pPr>
    </w:p>
    <w:p w14:paraId="0BC8ECEC" w14:textId="3FAE4EA4" w:rsidR="00003C3D" w:rsidRPr="008F1B7C" w:rsidRDefault="00003C3D" w:rsidP="00077132">
      <w:pPr>
        <w:rPr>
          <w:b/>
        </w:rPr>
      </w:pPr>
      <w:r w:rsidRPr="008F1B7C">
        <w:rPr>
          <w:b/>
        </w:rPr>
        <w:lastRenderedPageBreak/>
        <w:t>Option 2 costing inputs</w:t>
      </w:r>
    </w:p>
    <w:tbl>
      <w:tblPr>
        <w:tblW w:w="8987" w:type="dxa"/>
        <w:tblInd w:w="-10" w:type="dxa"/>
        <w:tblCellMar>
          <w:left w:w="0" w:type="dxa"/>
          <w:right w:w="28" w:type="dxa"/>
        </w:tblCellMar>
        <w:tblLook w:val="04A0" w:firstRow="1" w:lastRow="0" w:firstColumn="1" w:lastColumn="0" w:noHBand="0" w:noVBand="1"/>
      </w:tblPr>
      <w:tblGrid>
        <w:gridCol w:w="2511"/>
        <w:gridCol w:w="1058"/>
        <w:gridCol w:w="400"/>
        <w:gridCol w:w="729"/>
        <w:gridCol w:w="330"/>
        <w:gridCol w:w="391"/>
        <w:gridCol w:w="666"/>
        <w:gridCol w:w="359"/>
        <w:gridCol w:w="26"/>
        <w:gridCol w:w="684"/>
        <w:gridCol w:w="469"/>
        <w:gridCol w:w="576"/>
        <w:gridCol w:w="827"/>
      </w:tblGrid>
      <w:tr w:rsidR="000773A4" w:rsidRPr="00996C9C" w14:paraId="11DA1773" w14:textId="77777777" w:rsidTr="000773A4">
        <w:trPr>
          <w:gridAfter w:val="2"/>
          <w:wAfter w:w="1397" w:type="dxa"/>
          <w:trHeight w:val="20"/>
        </w:trPr>
        <w:tc>
          <w:tcPr>
            <w:tcW w:w="2514" w:type="dxa"/>
            <w:vMerge w:val="restart"/>
            <w:tcBorders>
              <w:top w:val="single" w:sz="4" w:space="0" w:color="auto"/>
              <w:left w:val="single" w:sz="4" w:space="0" w:color="auto"/>
              <w:bottom w:val="nil"/>
              <w:right w:val="nil"/>
            </w:tcBorders>
            <w:shd w:val="clear" w:color="auto" w:fill="auto"/>
            <w:noWrap/>
            <w:vAlign w:val="center"/>
            <w:hideMark/>
          </w:tcPr>
          <w:p w14:paraId="4A10BE03" w14:textId="77777777" w:rsidR="000773A4" w:rsidRPr="00996C9C" w:rsidRDefault="000773A4" w:rsidP="007F628D">
            <w:pPr>
              <w:spacing w:after="0"/>
              <w:rPr>
                <w:rFonts w:ascii="Calibri" w:hAnsi="Calibri" w:cs="Calibri"/>
                <w:b/>
                <w:bCs/>
                <w:color w:val="000000"/>
                <w:sz w:val="16"/>
                <w:szCs w:val="16"/>
              </w:rPr>
            </w:pPr>
            <w:r w:rsidRPr="00996C9C">
              <w:rPr>
                <w:rFonts w:ascii="Calibri" w:hAnsi="Calibri" w:cs="Calibri"/>
                <w:b/>
                <w:bCs/>
                <w:color w:val="000000"/>
                <w:sz w:val="16"/>
                <w:szCs w:val="16"/>
              </w:rPr>
              <w:t>Average cost per business per year</w:t>
            </w:r>
          </w:p>
        </w:tc>
        <w:tc>
          <w:tcPr>
            <w:tcW w:w="2174" w:type="dxa"/>
            <w:gridSpan w:val="3"/>
            <w:tcBorders>
              <w:top w:val="single" w:sz="4" w:space="0" w:color="auto"/>
              <w:left w:val="nil"/>
              <w:bottom w:val="single" w:sz="4" w:space="0" w:color="auto"/>
              <w:right w:val="nil"/>
            </w:tcBorders>
            <w:shd w:val="clear" w:color="auto" w:fill="auto"/>
            <w:noWrap/>
            <w:vAlign w:val="bottom"/>
            <w:hideMark/>
          </w:tcPr>
          <w:p w14:paraId="7F56461D"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 xml:space="preserve">Total </w:t>
            </w:r>
            <w:proofErr w:type="spellStart"/>
            <w:r w:rsidRPr="00996C9C">
              <w:rPr>
                <w:rFonts w:ascii="Calibri" w:hAnsi="Calibri" w:cs="Calibri"/>
                <w:color w:val="000000"/>
                <w:sz w:val="16"/>
                <w:szCs w:val="16"/>
              </w:rPr>
              <w:t>up front</w:t>
            </w:r>
            <w:proofErr w:type="spellEnd"/>
            <w:r w:rsidRPr="00996C9C">
              <w:rPr>
                <w:rFonts w:ascii="Calibri" w:hAnsi="Calibri" w:cs="Calibri"/>
                <w:color w:val="000000"/>
                <w:sz w:val="16"/>
                <w:szCs w:val="16"/>
              </w:rPr>
              <w:t xml:space="preserve"> costs</w:t>
            </w:r>
          </w:p>
        </w:tc>
        <w:tc>
          <w:tcPr>
            <w:tcW w:w="1734" w:type="dxa"/>
            <w:gridSpan w:val="4"/>
            <w:tcBorders>
              <w:top w:val="single" w:sz="4" w:space="0" w:color="auto"/>
              <w:left w:val="nil"/>
              <w:bottom w:val="single" w:sz="4" w:space="0" w:color="auto"/>
              <w:right w:val="nil"/>
            </w:tcBorders>
            <w:shd w:val="clear" w:color="auto" w:fill="auto"/>
            <w:noWrap/>
            <w:vAlign w:val="bottom"/>
            <w:hideMark/>
          </w:tcPr>
          <w:p w14:paraId="2BCCBC40"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Ongoing costs</w:t>
            </w:r>
          </w:p>
        </w:tc>
        <w:tc>
          <w:tcPr>
            <w:tcW w:w="1168" w:type="dxa"/>
            <w:gridSpan w:val="3"/>
            <w:tcBorders>
              <w:top w:val="single" w:sz="4" w:space="0" w:color="auto"/>
              <w:left w:val="nil"/>
              <w:bottom w:val="nil"/>
              <w:right w:val="single" w:sz="4" w:space="0" w:color="auto"/>
            </w:tcBorders>
            <w:shd w:val="clear" w:color="auto" w:fill="auto"/>
            <w:noWrap/>
            <w:vAlign w:val="bottom"/>
            <w:hideMark/>
          </w:tcPr>
          <w:p w14:paraId="685EA483" w14:textId="77777777" w:rsidR="000773A4" w:rsidRPr="00996C9C" w:rsidRDefault="000773A4" w:rsidP="007F628D">
            <w:pPr>
              <w:spacing w:after="0"/>
              <w:jc w:val="center"/>
              <w:rPr>
                <w:rFonts w:ascii="Calibri" w:hAnsi="Calibri" w:cs="Calibri"/>
                <w:color w:val="000000"/>
                <w:sz w:val="16"/>
                <w:szCs w:val="16"/>
              </w:rPr>
            </w:pPr>
            <w:proofErr w:type="gramStart"/>
            <w:r w:rsidRPr="00996C9C">
              <w:rPr>
                <w:rFonts w:ascii="Calibri" w:hAnsi="Calibri" w:cs="Calibri"/>
                <w:color w:val="000000"/>
                <w:sz w:val="16"/>
                <w:szCs w:val="16"/>
              </w:rPr>
              <w:t>10 year</w:t>
            </w:r>
            <w:proofErr w:type="gramEnd"/>
            <w:r w:rsidRPr="00996C9C">
              <w:rPr>
                <w:rFonts w:ascii="Calibri" w:hAnsi="Calibri" w:cs="Calibri"/>
                <w:color w:val="000000"/>
                <w:sz w:val="16"/>
                <w:szCs w:val="16"/>
              </w:rPr>
              <w:t xml:space="preserve"> average</w:t>
            </w:r>
          </w:p>
        </w:tc>
      </w:tr>
      <w:tr w:rsidR="000773A4" w:rsidRPr="00996C9C" w14:paraId="597F3C9D" w14:textId="77777777" w:rsidTr="000773A4">
        <w:trPr>
          <w:gridAfter w:val="2"/>
          <w:wAfter w:w="1397" w:type="dxa"/>
          <w:trHeight w:val="20"/>
        </w:trPr>
        <w:tc>
          <w:tcPr>
            <w:tcW w:w="2514" w:type="dxa"/>
            <w:vMerge/>
            <w:tcBorders>
              <w:top w:val="single" w:sz="4" w:space="0" w:color="auto"/>
              <w:left w:val="single" w:sz="4" w:space="0" w:color="auto"/>
              <w:bottom w:val="nil"/>
              <w:right w:val="nil"/>
            </w:tcBorders>
            <w:vAlign w:val="center"/>
            <w:hideMark/>
          </w:tcPr>
          <w:p w14:paraId="76C252CB" w14:textId="77777777" w:rsidR="000773A4" w:rsidRPr="00996C9C" w:rsidRDefault="000773A4" w:rsidP="007F628D">
            <w:pPr>
              <w:spacing w:after="0"/>
              <w:rPr>
                <w:rFonts w:ascii="Calibri" w:hAnsi="Calibri" w:cs="Calibri"/>
                <w:b/>
                <w:bCs/>
                <w:color w:val="000000"/>
                <w:sz w:val="16"/>
                <w:szCs w:val="16"/>
              </w:rPr>
            </w:pPr>
          </w:p>
        </w:tc>
        <w:tc>
          <w:tcPr>
            <w:tcW w:w="1051" w:type="dxa"/>
            <w:tcBorders>
              <w:top w:val="nil"/>
              <w:left w:val="nil"/>
              <w:bottom w:val="single" w:sz="4" w:space="0" w:color="auto"/>
              <w:right w:val="nil"/>
            </w:tcBorders>
            <w:shd w:val="clear" w:color="000000" w:fill="FFFFFF"/>
            <w:vAlign w:val="center"/>
            <w:hideMark/>
          </w:tcPr>
          <w:p w14:paraId="17EF228B" w14:textId="77777777" w:rsidR="000773A4" w:rsidRPr="00996C9C" w:rsidRDefault="000773A4" w:rsidP="007F628D">
            <w:pPr>
              <w:spacing w:after="0"/>
              <w:jc w:val="center"/>
              <w:rPr>
                <w:rFonts w:ascii="Calibri" w:hAnsi="Calibri" w:cs="Calibri"/>
                <w:color w:val="000000"/>
                <w:sz w:val="16"/>
                <w:szCs w:val="16"/>
              </w:rPr>
            </w:pPr>
            <w:proofErr w:type="spellStart"/>
            <w:r w:rsidRPr="00996C9C">
              <w:rPr>
                <w:rFonts w:ascii="Calibri" w:hAnsi="Calibri" w:cs="Calibri"/>
                <w:color w:val="000000"/>
                <w:sz w:val="16"/>
                <w:szCs w:val="16"/>
              </w:rPr>
              <w:t>MySuper</w:t>
            </w:r>
            <w:proofErr w:type="spellEnd"/>
          </w:p>
          <w:p w14:paraId="4C0CFE72"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(65)</w:t>
            </w:r>
          </w:p>
        </w:tc>
        <w:tc>
          <w:tcPr>
            <w:tcW w:w="1123" w:type="dxa"/>
            <w:gridSpan w:val="2"/>
            <w:tcBorders>
              <w:top w:val="nil"/>
              <w:left w:val="nil"/>
              <w:bottom w:val="single" w:sz="4" w:space="0" w:color="auto"/>
              <w:right w:val="nil"/>
            </w:tcBorders>
            <w:shd w:val="clear" w:color="000000" w:fill="FFFFFF"/>
            <w:vAlign w:val="center"/>
            <w:hideMark/>
          </w:tcPr>
          <w:p w14:paraId="298A2DFD"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 xml:space="preserve">No </w:t>
            </w:r>
            <w:proofErr w:type="spellStart"/>
            <w:r w:rsidRPr="00996C9C">
              <w:rPr>
                <w:rFonts w:ascii="Calibri" w:hAnsi="Calibri" w:cs="Calibri"/>
                <w:color w:val="000000"/>
                <w:sz w:val="16"/>
                <w:szCs w:val="16"/>
              </w:rPr>
              <w:t>MySuper</w:t>
            </w:r>
            <w:proofErr w:type="spellEnd"/>
          </w:p>
          <w:p w14:paraId="3512FCD5"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(37)</w:t>
            </w:r>
          </w:p>
        </w:tc>
        <w:tc>
          <w:tcPr>
            <w:tcW w:w="715" w:type="dxa"/>
            <w:gridSpan w:val="2"/>
            <w:tcBorders>
              <w:top w:val="nil"/>
              <w:left w:val="nil"/>
              <w:bottom w:val="single" w:sz="4" w:space="0" w:color="auto"/>
              <w:right w:val="nil"/>
            </w:tcBorders>
            <w:shd w:val="clear" w:color="000000" w:fill="FFFFFF"/>
            <w:vAlign w:val="center"/>
            <w:hideMark/>
          </w:tcPr>
          <w:p w14:paraId="347A3A84" w14:textId="77777777" w:rsidR="000773A4" w:rsidRPr="00996C9C" w:rsidRDefault="000773A4" w:rsidP="007F628D">
            <w:pPr>
              <w:spacing w:after="0"/>
              <w:jc w:val="center"/>
              <w:rPr>
                <w:rFonts w:ascii="Calibri" w:hAnsi="Calibri" w:cs="Calibri"/>
                <w:color w:val="000000"/>
                <w:sz w:val="16"/>
                <w:szCs w:val="16"/>
              </w:rPr>
            </w:pPr>
            <w:proofErr w:type="spellStart"/>
            <w:r w:rsidRPr="00996C9C">
              <w:rPr>
                <w:rFonts w:ascii="Calibri" w:hAnsi="Calibri" w:cs="Calibri"/>
                <w:color w:val="000000"/>
                <w:sz w:val="16"/>
                <w:szCs w:val="16"/>
              </w:rPr>
              <w:t>MySuper</w:t>
            </w:r>
            <w:proofErr w:type="spellEnd"/>
          </w:p>
          <w:p w14:paraId="5023AA33"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(65)</w:t>
            </w:r>
          </w:p>
        </w:tc>
        <w:tc>
          <w:tcPr>
            <w:tcW w:w="1040" w:type="dxa"/>
            <w:gridSpan w:val="3"/>
            <w:tcBorders>
              <w:top w:val="nil"/>
              <w:left w:val="nil"/>
              <w:bottom w:val="single" w:sz="4" w:space="0" w:color="auto"/>
              <w:right w:val="nil"/>
            </w:tcBorders>
            <w:shd w:val="clear" w:color="000000" w:fill="FFFFFF"/>
            <w:vAlign w:val="center"/>
            <w:hideMark/>
          </w:tcPr>
          <w:p w14:paraId="034554FA"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 xml:space="preserve">No </w:t>
            </w:r>
            <w:proofErr w:type="spellStart"/>
            <w:r w:rsidRPr="00996C9C">
              <w:rPr>
                <w:rFonts w:ascii="Calibri" w:hAnsi="Calibri" w:cs="Calibri"/>
                <w:color w:val="000000"/>
                <w:sz w:val="16"/>
                <w:szCs w:val="16"/>
              </w:rPr>
              <w:t>MySuper</w:t>
            </w:r>
            <w:proofErr w:type="spellEnd"/>
            <w:r w:rsidRPr="00996C9C">
              <w:rPr>
                <w:rFonts w:ascii="Calibri" w:hAnsi="Calibri" w:cs="Calibri"/>
                <w:color w:val="000000"/>
                <w:sz w:val="16"/>
                <w:szCs w:val="16"/>
              </w:rPr>
              <w:t xml:space="preserve"> (37)</w:t>
            </w:r>
          </w:p>
        </w:tc>
        <w:tc>
          <w:tcPr>
            <w:tcW w:w="1147" w:type="dxa"/>
            <w:gridSpan w:val="2"/>
            <w:tcBorders>
              <w:top w:val="single" w:sz="4" w:space="0" w:color="auto"/>
              <w:left w:val="nil"/>
              <w:bottom w:val="single" w:sz="4" w:space="0" w:color="auto"/>
              <w:right w:val="single" w:sz="4" w:space="0" w:color="auto"/>
            </w:tcBorders>
            <w:shd w:val="clear" w:color="000000" w:fill="FFFFFF"/>
            <w:vAlign w:val="center"/>
            <w:hideMark/>
          </w:tcPr>
          <w:p w14:paraId="15D9A442"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All</w:t>
            </w:r>
          </w:p>
        </w:tc>
      </w:tr>
      <w:tr w:rsidR="000773A4" w:rsidRPr="00996C9C" w14:paraId="754B97C0" w14:textId="77777777" w:rsidTr="000773A4">
        <w:trPr>
          <w:gridAfter w:val="2"/>
          <w:wAfter w:w="1397" w:type="dxa"/>
          <w:trHeight w:val="20"/>
        </w:trPr>
        <w:tc>
          <w:tcPr>
            <w:tcW w:w="2514" w:type="dxa"/>
            <w:tcBorders>
              <w:top w:val="nil"/>
              <w:left w:val="single" w:sz="4" w:space="0" w:color="auto"/>
              <w:bottom w:val="nil"/>
              <w:right w:val="nil"/>
            </w:tcBorders>
            <w:shd w:val="clear" w:color="auto" w:fill="auto"/>
            <w:noWrap/>
            <w:vAlign w:val="bottom"/>
            <w:hideMark/>
          </w:tcPr>
          <w:p w14:paraId="01452C34"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color w:val="000000"/>
                <w:sz w:val="16"/>
                <w:szCs w:val="16"/>
              </w:rPr>
              <w:t>Low complexity (36)</w:t>
            </w:r>
          </w:p>
        </w:tc>
        <w:tc>
          <w:tcPr>
            <w:tcW w:w="1051" w:type="dxa"/>
            <w:tcBorders>
              <w:top w:val="nil"/>
              <w:left w:val="nil"/>
              <w:bottom w:val="nil"/>
              <w:right w:val="nil"/>
            </w:tcBorders>
            <w:shd w:val="clear" w:color="auto" w:fill="auto"/>
            <w:noWrap/>
            <w:vAlign w:val="bottom"/>
            <w:hideMark/>
          </w:tcPr>
          <w:p w14:paraId="55BD8036"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142,000</w:t>
            </w:r>
          </w:p>
        </w:tc>
        <w:tc>
          <w:tcPr>
            <w:tcW w:w="1123" w:type="dxa"/>
            <w:gridSpan w:val="2"/>
            <w:tcBorders>
              <w:top w:val="nil"/>
              <w:left w:val="nil"/>
              <w:bottom w:val="nil"/>
              <w:right w:val="nil"/>
            </w:tcBorders>
            <w:shd w:val="clear" w:color="auto" w:fill="auto"/>
            <w:noWrap/>
            <w:vAlign w:val="bottom"/>
            <w:hideMark/>
          </w:tcPr>
          <w:p w14:paraId="61EC6FBB"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167,000</w:t>
            </w:r>
          </w:p>
        </w:tc>
        <w:tc>
          <w:tcPr>
            <w:tcW w:w="715" w:type="dxa"/>
            <w:gridSpan w:val="2"/>
            <w:tcBorders>
              <w:top w:val="nil"/>
              <w:left w:val="nil"/>
              <w:bottom w:val="nil"/>
              <w:right w:val="nil"/>
            </w:tcBorders>
            <w:shd w:val="clear" w:color="auto" w:fill="auto"/>
            <w:noWrap/>
            <w:vAlign w:val="bottom"/>
            <w:hideMark/>
          </w:tcPr>
          <w:p w14:paraId="4687559D"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135,000</w:t>
            </w:r>
          </w:p>
        </w:tc>
        <w:tc>
          <w:tcPr>
            <w:tcW w:w="1040" w:type="dxa"/>
            <w:gridSpan w:val="3"/>
            <w:tcBorders>
              <w:top w:val="nil"/>
              <w:left w:val="nil"/>
              <w:bottom w:val="nil"/>
              <w:right w:val="nil"/>
            </w:tcBorders>
            <w:shd w:val="clear" w:color="auto" w:fill="auto"/>
            <w:noWrap/>
            <w:vAlign w:val="bottom"/>
            <w:hideMark/>
          </w:tcPr>
          <w:p w14:paraId="50EC4B77"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135,000</w:t>
            </w:r>
          </w:p>
        </w:tc>
        <w:tc>
          <w:tcPr>
            <w:tcW w:w="1147" w:type="dxa"/>
            <w:gridSpan w:val="2"/>
            <w:tcBorders>
              <w:top w:val="nil"/>
              <w:left w:val="nil"/>
              <w:bottom w:val="nil"/>
              <w:right w:val="single" w:sz="4" w:space="0" w:color="auto"/>
            </w:tcBorders>
            <w:shd w:val="clear" w:color="auto" w:fill="auto"/>
            <w:noWrap/>
            <w:vAlign w:val="bottom"/>
            <w:hideMark/>
          </w:tcPr>
          <w:p w14:paraId="1417EF7F"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137,000</w:t>
            </w:r>
          </w:p>
        </w:tc>
      </w:tr>
      <w:tr w:rsidR="000773A4" w:rsidRPr="00996C9C" w14:paraId="09BE9347" w14:textId="77777777" w:rsidTr="000773A4">
        <w:trPr>
          <w:gridAfter w:val="2"/>
          <w:wAfter w:w="1397" w:type="dxa"/>
          <w:trHeight w:val="20"/>
        </w:trPr>
        <w:tc>
          <w:tcPr>
            <w:tcW w:w="2514" w:type="dxa"/>
            <w:tcBorders>
              <w:top w:val="nil"/>
              <w:left w:val="single" w:sz="4" w:space="0" w:color="auto"/>
              <w:bottom w:val="nil"/>
              <w:right w:val="nil"/>
            </w:tcBorders>
            <w:shd w:val="clear" w:color="auto" w:fill="auto"/>
            <w:noWrap/>
            <w:vAlign w:val="bottom"/>
            <w:hideMark/>
          </w:tcPr>
          <w:p w14:paraId="70099EED"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color w:val="000000"/>
                <w:sz w:val="16"/>
                <w:szCs w:val="16"/>
              </w:rPr>
              <w:t>Medium complexity (56)</w:t>
            </w:r>
          </w:p>
        </w:tc>
        <w:tc>
          <w:tcPr>
            <w:tcW w:w="1051" w:type="dxa"/>
            <w:tcBorders>
              <w:top w:val="nil"/>
              <w:left w:val="nil"/>
              <w:bottom w:val="nil"/>
              <w:right w:val="nil"/>
            </w:tcBorders>
            <w:shd w:val="clear" w:color="auto" w:fill="auto"/>
            <w:noWrap/>
            <w:vAlign w:val="bottom"/>
            <w:hideMark/>
          </w:tcPr>
          <w:p w14:paraId="3C22E5CE"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404,000</w:t>
            </w:r>
          </w:p>
        </w:tc>
        <w:tc>
          <w:tcPr>
            <w:tcW w:w="1123" w:type="dxa"/>
            <w:gridSpan w:val="2"/>
            <w:tcBorders>
              <w:top w:val="nil"/>
              <w:left w:val="nil"/>
              <w:bottom w:val="nil"/>
              <w:right w:val="nil"/>
            </w:tcBorders>
            <w:shd w:val="clear" w:color="auto" w:fill="auto"/>
            <w:noWrap/>
            <w:vAlign w:val="bottom"/>
            <w:hideMark/>
          </w:tcPr>
          <w:p w14:paraId="21D6E57B"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501,000</w:t>
            </w:r>
          </w:p>
        </w:tc>
        <w:tc>
          <w:tcPr>
            <w:tcW w:w="715" w:type="dxa"/>
            <w:gridSpan w:val="2"/>
            <w:tcBorders>
              <w:top w:val="nil"/>
              <w:left w:val="nil"/>
              <w:bottom w:val="nil"/>
              <w:right w:val="nil"/>
            </w:tcBorders>
            <w:shd w:val="clear" w:color="auto" w:fill="auto"/>
            <w:noWrap/>
            <w:vAlign w:val="bottom"/>
            <w:hideMark/>
          </w:tcPr>
          <w:p w14:paraId="4C2E6AC3"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442,000</w:t>
            </w:r>
          </w:p>
        </w:tc>
        <w:tc>
          <w:tcPr>
            <w:tcW w:w="1040" w:type="dxa"/>
            <w:gridSpan w:val="3"/>
            <w:tcBorders>
              <w:top w:val="nil"/>
              <w:left w:val="nil"/>
              <w:bottom w:val="nil"/>
              <w:right w:val="nil"/>
            </w:tcBorders>
            <w:shd w:val="clear" w:color="auto" w:fill="auto"/>
            <w:noWrap/>
            <w:vAlign w:val="bottom"/>
            <w:hideMark/>
          </w:tcPr>
          <w:p w14:paraId="2BC294D5"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442,000</w:t>
            </w:r>
          </w:p>
        </w:tc>
        <w:tc>
          <w:tcPr>
            <w:tcW w:w="1147" w:type="dxa"/>
            <w:gridSpan w:val="2"/>
            <w:tcBorders>
              <w:top w:val="nil"/>
              <w:left w:val="nil"/>
              <w:bottom w:val="nil"/>
              <w:right w:val="single" w:sz="4" w:space="0" w:color="auto"/>
            </w:tcBorders>
            <w:shd w:val="clear" w:color="auto" w:fill="auto"/>
            <w:noWrap/>
            <w:vAlign w:val="bottom"/>
            <w:hideMark/>
          </w:tcPr>
          <w:p w14:paraId="62D4689F"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442,000</w:t>
            </w:r>
          </w:p>
        </w:tc>
      </w:tr>
      <w:tr w:rsidR="000773A4" w:rsidRPr="00996C9C" w14:paraId="0A06FE2A" w14:textId="77777777" w:rsidTr="000773A4">
        <w:trPr>
          <w:gridAfter w:val="2"/>
          <w:wAfter w:w="1397" w:type="dxa"/>
          <w:trHeight w:val="20"/>
        </w:trPr>
        <w:tc>
          <w:tcPr>
            <w:tcW w:w="2514" w:type="dxa"/>
            <w:tcBorders>
              <w:top w:val="nil"/>
              <w:left w:val="single" w:sz="4" w:space="0" w:color="auto"/>
              <w:bottom w:val="nil"/>
              <w:right w:val="nil"/>
            </w:tcBorders>
            <w:shd w:val="clear" w:color="auto" w:fill="auto"/>
            <w:noWrap/>
            <w:vAlign w:val="bottom"/>
            <w:hideMark/>
          </w:tcPr>
          <w:p w14:paraId="6F24B367"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color w:val="000000"/>
                <w:sz w:val="16"/>
                <w:szCs w:val="16"/>
              </w:rPr>
              <w:t>High complexity (10)</w:t>
            </w:r>
          </w:p>
        </w:tc>
        <w:tc>
          <w:tcPr>
            <w:tcW w:w="1051" w:type="dxa"/>
            <w:tcBorders>
              <w:top w:val="nil"/>
              <w:left w:val="nil"/>
              <w:bottom w:val="nil"/>
              <w:right w:val="nil"/>
            </w:tcBorders>
            <w:shd w:val="clear" w:color="auto" w:fill="auto"/>
            <w:noWrap/>
            <w:vAlign w:val="bottom"/>
            <w:hideMark/>
          </w:tcPr>
          <w:p w14:paraId="6E03617D"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2,914,000</w:t>
            </w:r>
          </w:p>
        </w:tc>
        <w:tc>
          <w:tcPr>
            <w:tcW w:w="1123" w:type="dxa"/>
            <w:gridSpan w:val="2"/>
            <w:tcBorders>
              <w:top w:val="nil"/>
              <w:left w:val="nil"/>
              <w:bottom w:val="nil"/>
              <w:right w:val="nil"/>
            </w:tcBorders>
            <w:shd w:val="clear" w:color="auto" w:fill="auto"/>
            <w:noWrap/>
            <w:vAlign w:val="bottom"/>
            <w:hideMark/>
          </w:tcPr>
          <w:p w14:paraId="12BFE7FB"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3,711,000</w:t>
            </w:r>
          </w:p>
        </w:tc>
        <w:tc>
          <w:tcPr>
            <w:tcW w:w="715" w:type="dxa"/>
            <w:gridSpan w:val="2"/>
            <w:tcBorders>
              <w:top w:val="nil"/>
              <w:left w:val="nil"/>
              <w:bottom w:val="nil"/>
              <w:right w:val="nil"/>
            </w:tcBorders>
            <w:shd w:val="clear" w:color="auto" w:fill="auto"/>
            <w:noWrap/>
            <w:vAlign w:val="bottom"/>
            <w:hideMark/>
          </w:tcPr>
          <w:p w14:paraId="67334D7D"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734,000</w:t>
            </w:r>
          </w:p>
        </w:tc>
        <w:tc>
          <w:tcPr>
            <w:tcW w:w="1040" w:type="dxa"/>
            <w:gridSpan w:val="3"/>
            <w:tcBorders>
              <w:top w:val="nil"/>
              <w:left w:val="nil"/>
              <w:bottom w:val="nil"/>
              <w:right w:val="nil"/>
            </w:tcBorders>
            <w:shd w:val="clear" w:color="auto" w:fill="auto"/>
            <w:noWrap/>
            <w:vAlign w:val="bottom"/>
            <w:hideMark/>
          </w:tcPr>
          <w:p w14:paraId="3630B54A"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734,000</w:t>
            </w:r>
          </w:p>
        </w:tc>
        <w:tc>
          <w:tcPr>
            <w:tcW w:w="1147" w:type="dxa"/>
            <w:gridSpan w:val="2"/>
            <w:tcBorders>
              <w:top w:val="nil"/>
              <w:left w:val="nil"/>
              <w:bottom w:val="nil"/>
              <w:right w:val="single" w:sz="4" w:space="0" w:color="auto"/>
            </w:tcBorders>
            <w:shd w:val="clear" w:color="auto" w:fill="auto"/>
            <w:noWrap/>
            <w:vAlign w:val="bottom"/>
            <w:hideMark/>
          </w:tcPr>
          <w:p w14:paraId="05A79B8C"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976,000</w:t>
            </w:r>
          </w:p>
        </w:tc>
      </w:tr>
      <w:tr w:rsidR="000773A4" w:rsidRPr="00996C9C" w14:paraId="5BE9C165" w14:textId="77777777" w:rsidTr="000773A4">
        <w:trPr>
          <w:gridAfter w:val="2"/>
          <w:wAfter w:w="1397" w:type="dxa"/>
          <w:trHeight w:val="20"/>
        </w:trPr>
        <w:tc>
          <w:tcPr>
            <w:tcW w:w="2514" w:type="dxa"/>
            <w:tcBorders>
              <w:top w:val="nil"/>
              <w:left w:val="single" w:sz="4" w:space="0" w:color="auto"/>
              <w:bottom w:val="single" w:sz="4" w:space="0" w:color="auto"/>
              <w:right w:val="nil"/>
            </w:tcBorders>
            <w:shd w:val="clear" w:color="auto" w:fill="auto"/>
            <w:noWrap/>
            <w:vAlign w:val="bottom"/>
            <w:hideMark/>
          </w:tcPr>
          <w:p w14:paraId="49513C7E" w14:textId="77777777" w:rsidR="000773A4" w:rsidRPr="00996C9C" w:rsidRDefault="000773A4" w:rsidP="007F628D">
            <w:pPr>
              <w:spacing w:after="0"/>
              <w:rPr>
                <w:rFonts w:ascii="Calibri" w:hAnsi="Calibri" w:cs="Calibri"/>
                <w:b/>
                <w:bCs/>
                <w:color w:val="000000"/>
                <w:sz w:val="16"/>
                <w:szCs w:val="16"/>
              </w:rPr>
            </w:pPr>
            <w:r w:rsidRPr="00996C9C">
              <w:rPr>
                <w:rFonts w:ascii="Calibri" w:hAnsi="Calibri" w:cs="Calibri"/>
                <w:b/>
                <w:bCs/>
                <w:color w:val="000000"/>
                <w:sz w:val="16"/>
                <w:szCs w:val="16"/>
              </w:rPr>
              <w:t>Average costs per entity</w:t>
            </w:r>
          </w:p>
        </w:tc>
        <w:tc>
          <w:tcPr>
            <w:tcW w:w="1051" w:type="dxa"/>
            <w:tcBorders>
              <w:top w:val="nil"/>
              <w:left w:val="nil"/>
              <w:bottom w:val="single" w:sz="4" w:space="0" w:color="auto"/>
              <w:right w:val="nil"/>
            </w:tcBorders>
            <w:shd w:val="clear" w:color="auto" w:fill="auto"/>
            <w:noWrap/>
            <w:vAlign w:val="bottom"/>
            <w:hideMark/>
          </w:tcPr>
          <w:p w14:paraId="4C8A8032" w14:textId="77777777" w:rsidR="000773A4" w:rsidRPr="00996C9C" w:rsidRDefault="000773A4" w:rsidP="007F628D">
            <w:pPr>
              <w:spacing w:after="0"/>
              <w:jc w:val="center"/>
              <w:rPr>
                <w:rFonts w:ascii="Calibri" w:hAnsi="Calibri" w:cs="Calibri"/>
                <w:b/>
                <w:bCs/>
                <w:color w:val="000000"/>
                <w:sz w:val="16"/>
                <w:szCs w:val="16"/>
              </w:rPr>
            </w:pPr>
            <w:r w:rsidRPr="00996C9C">
              <w:rPr>
                <w:rFonts w:ascii="Calibri" w:hAnsi="Calibri" w:cs="Calibri"/>
                <w:b/>
                <w:bCs/>
                <w:color w:val="000000"/>
                <w:sz w:val="16"/>
                <w:szCs w:val="16"/>
              </w:rPr>
              <w:t>569,000</w:t>
            </w:r>
          </w:p>
        </w:tc>
        <w:tc>
          <w:tcPr>
            <w:tcW w:w="1123" w:type="dxa"/>
            <w:gridSpan w:val="2"/>
            <w:tcBorders>
              <w:top w:val="nil"/>
              <w:left w:val="nil"/>
              <w:bottom w:val="single" w:sz="4" w:space="0" w:color="auto"/>
              <w:right w:val="nil"/>
            </w:tcBorders>
            <w:shd w:val="clear" w:color="auto" w:fill="auto"/>
            <w:noWrap/>
            <w:vAlign w:val="bottom"/>
            <w:hideMark/>
          </w:tcPr>
          <w:p w14:paraId="7864D082" w14:textId="77777777" w:rsidR="000773A4" w:rsidRPr="00996C9C" w:rsidRDefault="000773A4" w:rsidP="007F628D">
            <w:pPr>
              <w:spacing w:after="0"/>
              <w:jc w:val="center"/>
              <w:rPr>
                <w:rFonts w:ascii="Calibri" w:hAnsi="Calibri" w:cs="Calibri"/>
                <w:b/>
                <w:bCs/>
                <w:color w:val="000000"/>
                <w:sz w:val="16"/>
                <w:szCs w:val="16"/>
              </w:rPr>
            </w:pPr>
            <w:r w:rsidRPr="00996C9C">
              <w:rPr>
                <w:rFonts w:ascii="Calibri" w:hAnsi="Calibri" w:cs="Calibri"/>
                <w:b/>
                <w:bCs/>
                <w:color w:val="000000"/>
                <w:sz w:val="16"/>
                <w:szCs w:val="16"/>
              </w:rPr>
              <w:t>690,000</w:t>
            </w:r>
          </w:p>
        </w:tc>
        <w:tc>
          <w:tcPr>
            <w:tcW w:w="715" w:type="dxa"/>
            <w:gridSpan w:val="2"/>
            <w:tcBorders>
              <w:top w:val="nil"/>
              <w:left w:val="nil"/>
              <w:bottom w:val="single" w:sz="4" w:space="0" w:color="auto"/>
              <w:right w:val="nil"/>
            </w:tcBorders>
            <w:shd w:val="clear" w:color="auto" w:fill="auto"/>
            <w:noWrap/>
            <w:vAlign w:val="bottom"/>
            <w:hideMark/>
          </w:tcPr>
          <w:p w14:paraId="4E9FFCF8" w14:textId="77777777" w:rsidR="000773A4" w:rsidRPr="00996C9C" w:rsidRDefault="000773A4" w:rsidP="007F628D">
            <w:pPr>
              <w:spacing w:after="0"/>
              <w:jc w:val="center"/>
              <w:rPr>
                <w:rFonts w:ascii="Calibri" w:hAnsi="Calibri" w:cs="Calibri"/>
                <w:b/>
                <w:bCs/>
                <w:color w:val="000000"/>
                <w:sz w:val="16"/>
                <w:szCs w:val="16"/>
              </w:rPr>
            </w:pPr>
            <w:r w:rsidRPr="00996C9C">
              <w:rPr>
                <w:rFonts w:ascii="Calibri" w:hAnsi="Calibri" w:cs="Calibri"/>
                <w:b/>
                <w:bCs/>
                <w:color w:val="000000"/>
                <w:sz w:val="16"/>
                <w:szCs w:val="16"/>
              </w:rPr>
              <w:t>351,000</w:t>
            </w:r>
          </w:p>
        </w:tc>
        <w:tc>
          <w:tcPr>
            <w:tcW w:w="1040" w:type="dxa"/>
            <w:gridSpan w:val="3"/>
            <w:tcBorders>
              <w:top w:val="nil"/>
              <w:left w:val="nil"/>
              <w:bottom w:val="single" w:sz="4" w:space="0" w:color="auto"/>
              <w:right w:val="nil"/>
            </w:tcBorders>
            <w:shd w:val="clear" w:color="auto" w:fill="auto"/>
            <w:noWrap/>
            <w:vAlign w:val="bottom"/>
            <w:hideMark/>
          </w:tcPr>
          <w:p w14:paraId="6AB885BE" w14:textId="77777777" w:rsidR="000773A4" w:rsidRPr="00996C9C" w:rsidRDefault="000773A4" w:rsidP="007F628D">
            <w:pPr>
              <w:spacing w:after="0"/>
              <w:jc w:val="center"/>
              <w:rPr>
                <w:rFonts w:ascii="Calibri" w:hAnsi="Calibri" w:cs="Calibri"/>
                <w:b/>
                <w:bCs/>
                <w:color w:val="000000"/>
                <w:sz w:val="16"/>
                <w:szCs w:val="16"/>
              </w:rPr>
            </w:pPr>
            <w:r w:rsidRPr="00996C9C">
              <w:rPr>
                <w:rFonts w:ascii="Calibri" w:hAnsi="Calibri" w:cs="Calibri"/>
                <w:b/>
                <w:bCs/>
                <w:color w:val="000000"/>
                <w:sz w:val="16"/>
                <w:szCs w:val="16"/>
              </w:rPr>
              <w:t>390,000</w:t>
            </w:r>
          </w:p>
        </w:tc>
        <w:tc>
          <w:tcPr>
            <w:tcW w:w="1147" w:type="dxa"/>
            <w:gridSpan w:val="2"/>
            <w:tcBorders>
              <w:top w:val="nil"/>
              <w:left w:val="nil"/>
              <w:bottom w:val="single" w:sz="4" w:space="0" w:color="auto"/>
              <w:right w:val="single" w:sz="4" w:space="0" w:color="auto"/>
            </w:tcBorders>
            <w:shd w:val="clear" w:color="auto" w:fill="auto"/>
            <w:noWrap/>
            <w:vAlign w:val="bottom"/>
            <w:hideMark/>
          </w:tcPr>
          <w:p w14:paraId="43EFA716" w14:textId="77777777" w:rsidR="000773A4" w:rsidRPr="00996C9C" w:rsidRDefault="000773A4" w:rsidP="007F628D">
            <w:pPr>
              <w:spacing w:after="0"/>
              <w:jc w:val="center"/>
              <w:rPr>
                <w:rFonts w:ascii="Calibri" w:hAnsi="Calibri" w:cs="Calibri"/>
                <w:b/>
                <w:bCs/>
                <w:color w:val="000000"/>
                <w:sz w:val="16"/>
                <w:szCs w:val="16"/>
              </w:rPr>
            </w:pPr>
            <w:r w:rsidRPr="00996C9C">
              <w:rPr>
                <w:rFonts w:ascii="Calibri" w:hAnsi="Calibri" w:cs="Calibri"/>
                <w:b/>
                <w:bCs/>
                <w:color w:val="000000"/>
                <w:sz w:val="16"/>
                <w:szCs w:val="16"/>
              </w:rPr>
              <w:t>386,000</w:t>
            </w:r>
          </w:p>
        </w:tc>
      </w:tr>
      <w:tr w:rsidR="000773A4" w:rsidRPr="00710BC4" w14:paraId="188A2EE3"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01BC9F7F" w14:textId="77777777" w:rsidR="000773A4" w:rsidRDefault="000773A4" w:rsidP="007F628D">
            <w:pPr>
              <w:spacing w:after="0"/>
              <w:rPr>
                <w:rFonts w:ascii="Calibri" w:hAnsi="Calibri" w:cs="Calibri"/>
                <w:b/>
                <w:bCs/>
                <w:color w:val="000000"/>
                <w:sz w:val="16"/>
                <w:szCs w:val="16"/>
                <w:u w:val="single"/>
              </w:rPr>
            </w:pPr>
          </w:p>
          <w:p w14:paraId="3C3F7852" w14:textId="77777777" w:rsidR="000773A4" w:rsidRPr="00996C9C" w:rsidRDefault="000773A4" w:rsidP="007F628D">
            <w:pPr>
              <w:spacing w:after="0"/>
              <w:rPr>
                <w:rFonts w:ascii="Calibri" w:hAnsi="Calibri" w:cs="Calibri"/>
                <w:b/>
                <w:bCs/>
                <w:color w:val="000000"/>
                <w:sz w:val="16"/>
                <w:szCs w:val="16"/>
                <w:u w:val="single"/>
              </w:rPr>
            </w:pPr>
            <w:r w:rsidRPr="00996C9C">
              <w:rPr>
                <w:rFonts w:ascii="Calibri" w:hAnsi="Calibri" w:cs="Calibri"/>
                <w:b/>
                <w:bCs/>
                <w:color w:val="000000"/>
                <w:sz w:val="16"/>
                <w:szCs w:val="16"/>
                <w:u w:val="single"/>
              </w:rPr>
              <w:t xml:space="preserve">Option 2 </w:t>
            </w:r>
          </w:p>
        </w:tc>
        <w:tc>
          <w:tcPr>
            <w:tcW w:w="1052" w:type="dxa"/>
            <w:gridSpan w:val="2"/>
            <w:tcBorders>
              <w:top w:val="nil"/>
              <w:left w:val="nil"/>
              <w:bottom w:val="nil"/>
              <w:right w:val="nil"/>
            </w:tcBorders>
            <w:shd w:val="clear" w:color="000000" w:fill="FFFFFF"/>
            <w:noWrap/>
            <w:vAlign w:val="bottom"/>
            <w:hideMark/>
          </w:tcPr>
          <w:p w14:paraId="69F7A992" w14:textId="77777777" w:rsidR="000773A4" w:rsidRPr="00710BC4" w:rsidRDefault="000773A4" w:rsidP="007F628D">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1" w:type="dxa"/>
            <w:gridSpan w:val="2"/>
            <w:tcBorders>
              <w:top w:val="nil"/>
              <w:left w:val="nil"/>
              <w:bottom w:val="nil"/>
              <w:right w:val="nil"/>
            </w:tcBorders>
            <w:shd w:val="clear" w:color="000000" w:fill="FFFFFF"/>
            <w:noWrap/>
            <w:vAlign w:val="bottom"/>
            <w:hideMark/>
          </w:tcPr>
          <w:p w14:paraId="5D313754" w14:textId="77777777" w:rsidR="000773A4" w:rsidRPr="00710BC4" w:rsidRDefault="000773A4" w:rsidP="007F628D">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8" w:type="dxa"/>
            <w:gridSpan w:val="3"/>
            <w:tcBorders>
              <w:top w:val="nil"/>
              <w:left w:val="nil"/>
              <w:bottom w:val="nil"/>
              <w:right w:val="nil"/>
            </w:tcBorders>
            <w:shd w:val="clear" w:color="000000" w:fill="FFFFFF"/>
            <w:noWrap/>
            <w:vAlign w:val="bottom"/>
            <w:hideMark/>
          </w:tcPr>
          <w:p w14:paraId="442483EE" w14:textId="77777777" w:rsidR="000773A4" w:rsidRPr="00710BC4" w:rsidRDefault="000773A4" w:rsidP="007F628D">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43" w:type="dxa"/>
            <w:gridSpan w:val="2"/>
            <w:tcBorders>
              <w:top w:val="nil"/>
              <w:left w:val="nil"/>
              <w:bottom w:val="nil"/>
              <w:right w:val="nil"/>
            </w:tcBorders>
            <w:shd w:val="clear" w:color="000000" w:fill="FFFFFF"/>
            <w:noWrap/>
            <w:vAlign w:val="bottom"/>
            <w:hideMark/>
          </w:tcPr>
          <w:p w14:paraId="47E62950" w14:textId="77777777" w:rsidR="000773A4" w:rsidRPr="00710BC4" w:rsidRDefault="000773A4" w:rsidP="007F628D">
            <w:pPr>
              <w:spacing w:after="0"/>
              <w:rPr>
                <w:rFonts w:ascii="Calibri" w:hAnsi="Calibri" w:cs="Calibri"/>
                <w:color w:val="000000"/>
                <w:sz w:val="14"/>
                <w:szCs w:val="14"/>
              </w:rPr>
            </w:pPr>
            <w:r w:rsidRPr="00710BC4">
              <w:rPr>
                <w:rFonts w:ascii="Calibri" w:hAnsi="Calibri" w:cs="Calibri"/>
                <w:color w:val="000000"/>
                <w:sz w:val="14"/>
                <w:szCs w:val="14"/>
              </w:rPr>
              <w:t> </w:t>
            </w:r>
          </w:p>
        </w:tc>
        <w:tc>
          <w:tcPr>
            <w:tcW w:w="820" w:type="dxa"/>
            <w:tcBorders>
              <w:top w:val="nil"/>
              <w:left w:val="nil"/>
              <w:bottom w:val="nil"/>
              <w:right w:val="nil"/>
            </w:tcBorders>
            <w:shd w:val="clear" w:color="000000" w:fill="FFFFFF"/>
            <w:noWrap/>
            <w:vAlign w:val="bottom"/>
            <w:hideMark/>
          </w:tcPr>
          <w:p w14:paraId="63CBB275" w14:textId="77777777" w:rsidR="000773A4" w:rsidRPr="00710BC4" w:rsidRDefault="000773A4" w:rsidP="007F628D">
            <w:pPr>
              <w:spacing w:after="0"/>
              <w:rPr>
                <w:rFonts w:ascii="Calibri" w:hAnsi="Calibri" w:cs="Calibri"/>
                <w:color w:val="000000"/>
                <w:sz w:val="14"/>
                <w:szCs w:val="14"/>
              </w:rPr>
            </w:pPr>
            <w:r w:rsidRPr="00710BC4">
              <w:rPr>
                <w:rFonts w:ascii="Calibri" w:hAnsi="Calibri" w:cs="Calibri"/>
                <w:color w:val="000000"/>
                <w:sz w:val="14"/>
                <w:szCs w:val="14"/>
              </w:rPr>
              <w:t> </w:t>
            </w:r>
          </w:p>
        </w:tc>
      </w:tr>
      <w:tr w:rsidR="000773A4" w:rsidRPr="00996C9C" w14:paraId="07C9E591" w14:textId="77777777" w:rsidTr="000773A4">
        <w:trPr>
          <w:trHeight w:val="20"/>
        </w:trPr>
        <w:tc>
          <w:tcPr>
            <w:tcW w:w="8987" w:type="dxa"/>
            <w:gridSpan w:val="13"/>
            <w:tcBorders>
              <w:top w:val="nil"/>
              <w:left w:val="nil"/>
              <w:bottom w:val="nil"/>
              <w:right w:val="nil"/>
            </w:tcBorders>
            <w:shd w:val="clear" w:color="000000" w:fill="FFFFFF"/>
            <w:noWrap/>
            <w:vAlign w:val="bottom"/>
            <w:hideMark/>
          </w:tcPr>
          <w:p w14:paraId="08358206"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b/>
                <w:bCs/>
                <w:color w:val="000000"/>
                <w:sz w:val="16"/>
                <w:szCs w:val="16"/>
              </w:rPr>
              <w:t xml:space="preserve">Expand existing </w:t>
            </w:r>
            <w:proofErr w:type="spellStart"/>
            <w:r w:rsidRPr="00996C9C">
              <w:rPr>
                <w:rFonts w:ascii="Calibri" w:hAnsi="Calibri" w:cs="Calibri"/>
                <w:b/>
                <w:bCs/>
                <w:color w:val="000000"/>
                <w:sz w:val="16"/>
                <w:szCs w:val="16"/>
              </w:rPr>
              <w:t>MySuper</w:t>
            </w:r>
            <w:proofErr w:type="spellEnd"/>
            <w:r w:rsidRPr="00996C9C">
              <w:rPr>
                <w:rFonts w:ascii="Calibri" w:hAnsi="Calibri" w:cs="Calibri"/>
                <w:b/>
                <w:bCs/>
                <w:color w:val="000000"/>
                <w:sz w:val="16"/>
                <w:szCs w:val="16"/>
              </w:rPr>
              <w:t xml:space="preserve"> reporting standards to all products and investment options</w:t>
            </w:r>
          </w:p>
        </w:tc>
      </w:tr>
      <w:tr w:rsidR="000773A4" w:rsidRPr="00996C9C" w14:paraId="1571D2D0" w14:textId="77777777" w:rsidTr="000773A4">
        <w:trPr>
          <w:trHeight w:val="20"/>
        </w:trPr>
        <w:tc>
          <w:tcPr>
            <w:tcW w:w="3963" w:type="dxa"/>
            <w:gridSpan w:val="3"/>
            <w:tcBorders>
              <w:top w:val="single" w:sz="4" w:space="0" w:color="auto"/>
              <w:left w:val="single" w:sz="4" w:space="0" w:color="auto"/>
              <w:bottom w:val="nil"/>
              <w:right w:val="nil"/>
            </w:tcBorders>
            <w:shd w:val="clear" w:color="000000" w:fill="FFFFFF"/>
            <w:noWrap/>
            <w:vAlign w:val="bottom"/>
            <w:hideMark/>
          </w:tcPr>
          <w:p w14:paraId="6778A6CB" w14:textId="77777777" w:rsidR="000773A4" w:rsidRPr="00996C9C" w:rsidRDefault="000773A4" w:rsidP="007F628D">
            <w:pPr>
              <w:spacing w:after="0"/>
              <w:rPr>
                <w:rFonts w:ascii="Calibri" w:hAnsi="Calibri" w:cs="Calibri"/>
                <w:b/>
                <w:bCs/>
                <w:color w:val="000000"/>
                <w:sz w:val="16"/>
                <w:szCs w:val="16"/>
              </w:rPr>
            </w:pPr>
            <w:r w:rsidRPr="00996C9C">
              <w:rPr>
                <w:rFonts w:ascii="Calibri" w:hAnsi="Calibri" w:cs="Calibri"/>
                <w:b/>
                <w:bCs/>
                <w:color w:val="000000"/>
                <w:sz w:val="16"/>
                <w:szCs w:val="16"/>
              </w:rPr>
              <w:t xml:space="preserve">Start-up cost (over 1 year) (Low complexity 26 with </w:t>
            </w:r>
            <w:proofErr w:type="spellStart"/>
            <w:r w:rsidRPr="00996C9C">
              <w:rPr>
                <w:rFonts w:ascii="Calibri" w:hAnsi="Calibri" w:cs="Calibri"/>
                <w:b/>
                <w:bCs/>
                <w:color w:val="000000"/>
                <w:sz w:val="16"/>
                <w:szCs w:val="16"/>
              </w:rPr>
              <w:t>MySuper</w:t>
            </w:r>
            <w:proofErr w:type="spellEnd"/>
            <w:r w:rsidRPr="00996C9C">
              <w:rPr>
                <w:rFonts w:ascii="Calibri" w:hAnsi="Calibri" w:cs="Calibri"/>
                <w:b/>
                <w:bCs/>
                <w:color w:val="000000"/>
                <w:sz w:val="16"/>
                <w:szCs w:val="16"/>
              </w:rPr>
              <w:t xml:space="preserve">) </w:t>
            </w:r>
          </w:p>
        </w:tc>
        <w:tc>
          <w:tcPr>
            <w:tcW w:w="1052" w:type="dxa"/>
            <w:gridSpan w:val="2"/>
            <w:tcBorders>
              <w:top w:val="single" w:sz="4" w:space="0" w:color="auto"/>
              <w:left w:val="nil"/>
              <w:bottom w:val="single" w:sz="4" w:space="0" w:color="auto"/>
              <w:right w:val="nil"/>
            </w:tcBorders>
            <w:shd w:val="clear" w:color="000000" w:fill="FFFFFF"/>
            <w:vAlign w:val="bottom"/>
            <w:hideMark/>
          </w:tcPr>
          <w:p w14:paraId="1AA39FA7"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Education</w:t>
            </w:r>
          </w:p>
        </w:tc>
        <w:tc>
          <w:tcPr>
            <w:tcW w:w="1051" w:type="dxa"/>
            <w:gridSpan w:val="2"/>
            <w:tcBorders>
              <w:top w:val="single" w:sz="4" w:space="0" w:color="auto"/>
              <w:left w:val="nil"/>
              <w:bottom w:val="single" w:sz="4" w:space="0" w:color="auto"/>
              <w:right w:val="nil"/>
            </w:tcBorders>
            <w:shd w:val="clear" w:color="000000" w:fill="FFFFFF"/>
            <w:vAlign w:val="bottom"/>
            <w:hideMark/>
          </w:tcPr>
          <w:p w14:paraId="12307E58"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Record Keeping</w:t>
            </w:r>
          </w:p>
        </w:tc>
        <w:tc>
          <w:tcPr>
            <w:tcW w:w="1058" w:type="dxa"/>
            <w:gridSpan w:val="3"/>
            <w:tcBorders>
              <w:top w:val="single" w:sz="4" w:space="0" w:color="auto"/>
              <w:left w:val="nil"/>
              <w:bottom w:val="single" w:sz="4" w:space="0" w:color="auto"/>
              <w:right w:val="nil"/>
            </w:tcBorders>
            <w:shd w:val="clear" w:color="000000" w:fill="FFFFFF"/>
            <w:vAlign w:val="bottom"/>
            <w:hideMark/>
          </w:tcPr>
          <w:p w14:paraId="696BC40B"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Purchasing</w:t>
            </w:r>
          </w:p>
        </w:tc>
        <w:tc>
          <w:tcPr>
            <w:tcW w:w="1043" w:type="dxa"/>
            <w:gridSpan w:val="2"/>
            <w:tcBorders>
              <w:top w:val="single" w:sz="4" w:space="0" w:color="auto"/>
              <w:left w:val="nil"/>
              <w:bottom w:val="single" w:sz="4" w:space="0" w:color="auto"/>
              <w:right w:val="nil"/>
            </w:tcBorders>
            <w:shd w:val="clear" w:color="000000" w:fill="FFFFFF"/>
            <w:vAlign w:val="bottom"/>
            <w:hideMark/>
          </w:tcPr>
          <w:p w14:paraId="664CBE2C"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Publication and Documentation</w:t>
            </w:r>
          </w:p>
        </w:tc>
        <w:tc>
          <w:tcPr>
            <w:tcW w:w="820" w:type="dxa"/>
            <w:tcBorders>
              <w:top w:val="single" w:sz="4" w:space="0" w:color="auto"/>
              <w:left w:val="nil"/>
              <w:bottom w:val="single" w:sz="4" w:space="0" w:color="auto"/>
              <w:right w:val="single" w:sz="4" w:space="0" w:color="auto"/>
            </w:tcBorders>
            <w:shd w:val="clear" w:color="000000" w:fill="FFFFFF"/>
            <w:vAlign w:val="bottom"/>
            <w:hideMark/>
          </w:tcPr>
          <w:p w14:paraId="29289892" w14:textId="77777777" w:rsidR="000773A4" w:rsidRPr="00996C9C" w:rsidRDefault="000773A4" w:rsidP="007F628D">
            <w:pPr>
              <w:spacing w:after="0"/>
              <w:jc w:val="center"/>
              <w:rPr>
                <w:rFonts w:ascii="Calibri" w:hAnsi="Calibri" w:cs="Calibri"/>
                <w:color w:val="000000"/>
                <w:sz w:val="16"/>
                <w:szCs w:val="16"/>
              </w:rPr>
            </w:pPr>
            <w:r w:rsidRPr="00996C9C">
              <w:rPr>
                <w:rFonts w:ascii="Calibri" w:hAnsi="Calibri" w:cs="Calibri"/>
                <w:color w:val="000000"/>
                <w:sz w:val="16"/>
                <w:szCs w:val="16"/>
              </w:rPr>
              <w:t>Other</w:t>
            </w:r>
          </w:p>
        </w:tc>
      </w:tr>
      <w:tr w:rsidR="000773A4" w:rsidRPr="00996C9C" w14:paraId="2FCDD7AB"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4AB12AC3"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color w:val="000000"/>
                <w:sz w:val="16"/>
                <w:szCs w:val="16"/>
              </w:rPr>
              <w:t xml:space="preserve"> Number of businesses affected by activity</w:t>
            </w:r>
          </w:p>
        </w:tc>
        <w:tc>
          <w:tcPr>
            <w:tcW w:w="1052" w:type="dxa"/>
            <w:gridSpan w:val="2"/>
            <w:tcBorders>
              <w:top w:val="nil"/>
              <w:left w:val="nil"/>
              <w:bottom w:val="nil"/>
              <w:right w:val="nil"/>
            </w:tcBorders>
            <w:shd w:val="clear" w:color="000000" w:fill="FFFFFF"/>
            <w:noWrap/>
            <w:vAlign w:val="bottom"/>
            <w:hideMark/>
          </w:tcPr>
          <w:p w14:paraId="09C25355"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26</w:t>
            </w:r>
          </w:p>
        </w:tc>
        <w:tc>
          <w:tcPr>
            <w:tcW w:w="1051" w:type="dxa"/>
            <w:gridSpan w:val="2"/>
            <w:tcBorders>
              <w:top w:val="nil"/>
              <w:left w:val="nil"/>
              <w:bottom w:val="nil"/>
              <w:right w:val="nil"/>
            </w:tcBorders>
            <w:shd w:val="clear" w:color="000000" w:fill="FFFFFF"/>
            <w:noWrap/>
            <w:vAlign w:val="bottom"/>
            <w:hideMark/>
          </w:tcPr>
          <w:p w14:paraId="7F03AB35"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26</w:t>
            </w:r>
          </w:p>
        </w:tc>
        <w:tc>
          <w:tcPr>
            <w:tcW w:w="1058" w:type="dxa"/>
            <w:gridSpan w:val="3"/>
            <w:tcBorders>
              <w:top w:val="nil"/>
              <w:left w:val="nil"/>
              <w:bottom w:val="nil"/>
              <w:right w:val="nil"/>
            </w:tcBorders>
            <w:shd w:val="clear" w:color="000000" w:fill="FFFFFF"/>
            <w:noWrap/>
            <w:vAlign w:val="bottom"/>
            <w:hideMark/>
          </w:tcPr>
          <w:p w14:paraId="4ACC0D75"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26</w:t>
            </w:r>
          </w:p>
        </w:tc>
        <w:tc>
          <w:tcPr>
            <w:tcW w:w="1043" w:type="dxa"/>
            <w:gridSpan w:val="2"/>
            <w:tcBorders>
              <w:top w:val="nil"/>
              <w:left w:val="nil"/>
              <w:bottom w:val="nil"/>
              <w:right w:val="nil"/>
            </w:tcBorders>
            <w:shd w:val="clear" w:color="000000" w:fill="FFFFFF"/>
            <w:noWrap/>
            <w:vAlign w:val="bottom"/>
            <w:hideMark/>
          </w:tcPr>
          <w:p w14:paraId="112D2F6D"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26</w:t>
            </w:r>
          </w:p>
        </w:tc>
        <w:tc>
          <w:tcPr>
            <w:tcW w:w="820" w:type="dxa"/>
            <w:tcBorders>
              <w:top w:val="nil"/>
              <w:left w:val="nil"/>
              <w:bottom w:val="nil"/>
              <w:right w:val="single" w:sz="4" w:space="0" w:color="auto"/>
            </w:tcBorders>
            <w:shd w:val="clear" w:color="000000" w:fill="FFFFFF"/>
            <w:noWrap/>
            <w:vAlign w:val="bottom"/>
            <w:hideMark/>
          </w:tcPr>
          <w:p w14:paraId="0D812DFC"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26</w:t>
            </w:r>
          </w:p>
        </w:tc>
      </w:tr>
      <w:tr w:rsidR="000773A4" w:rsidRPr="00996C9C" w14:paraId="2A42FE0E"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06D77AAA"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color w:val="000000"/>
                <w:sz w:val="16"/>
                <w:szCs w:val="16"/>
              </w:rPr>
              <w:t xml:space="preserve"> Number of staff per business performing activity</w:t>
            </w:r>
          </w:p>
        </w:tc>
        <w:tc>
          <w:tcPr>
            <w:tcW w:w="1052" w:type="dxa"/>
            <w:gridSpan w:val="2"/>
            <w:tcBorders>
              <w:top w:val="nil"/>
              <w:left w:val="nil"/>
              <w:bottom w:val="nil"/>
              <w:right w:val="nil"/>
            </w:tcBorders>
            <w:shd w:val="clear" w:color="000000" w:fill="FFFFFF"/>
            <w:noWrap/>
            <w:vAlign w:val="bottom"/>
            <w:hideMark/>
          </w:tcPr>
          <w:p w14:paraId="1389806F"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w:t>
            </w:r>
          </w:p>
        </w:tc>
        <w:tc>
          <w:tcPr>
            <w:tcW w:w="1051" w:type="dxa"/>
            <w:gridSpan w:val="2"/>
            <w:tcBorders>
              <w:top w:val="nil"/>
              <w:left w:val="nil"/>
              <w:bottom w:val="nil"/>
              <w:right w:val="nil"/>
            </w:tcBorders>
            <w:shd w:val="clear" w:color="000000" w:fill="FFFFFF"/>
            <w:noWrap/>
            <w:vAlign w:val="bottom"/>
            <w:hideMark/>
          </w:tcPr>
          <w:p w14:paraId="1D10F067"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w:t>
            </w:r>
          </w:p>
        </w:tc>
        <w:tc>
          <w:tcPr>
            <w:tcW w:w="1058" w:type="dxa"/>
            <w:gridSpan w:val="3"/>
            <w:tcBorders>
              <w:top w:val="nil"/>
              <w:left w:val="nil"/>
              <w:bottom w:val="nil"/>
              <w:right w:val="nil"/>
            </w:tcBorders>
            <w:shd w:val="clear" w:color="000000" w:fill="FFFFFF"/>
            <w:noWrap/>
            <w:vAlign w:val="bottom"/>
            <w:hideMark/>
          </w:tcPr>
          <w:p w14:paraId="2DE35D3C" w14:textId="77777777" w:rsidR="000773A4" w:rsidRPr="00996C9C"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067C9B05"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w:t>
            </w:r>
          </w:p>
        </w:tc>
        <w:tc>
          <w:tcPr>
            <w:tcW w:w="820" w:type="dxa"/>
            <w:tcBorders>
              <w:top w:val="nil"/>
              <w:left w:val="nil"/>
              <w:bottom w:val="nil"/>
              <w:right w:val="single" w:sz="4" w:space="0" w:color="auto"/>
            </w:tcBorders>
            <w:shd w:val="clear" w:color="000000" w:fill="FFFFFF"/>
            <w:noWrap/>
            <w:vAlign w:val="bottom"/>
            <w:hideMark/>
          </w:tcPr>
          <w:p w14:paraId="7553C895"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1</w:t>
            </w:r>
          </w:p>
        </w:tc>
      </w:tr>
      <w:tr w:rsidR="000773A4" w:rsidRPr="00996C9C" w14:paraId="795F24EA"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671937B9"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color w:val="000000"/>
                <w:sz w:val="16"/>
                <w:szCs w:val="16"/>
              </w:rPr>
              <w:t xml:space="preserve"> Number of times activity performed per staff</w:t>
            </w:r>
          </w:p>
        </w:tc>
        <w:tc>
          <w:tcPr>
            <w:tcW w:w="1052" w:type="dxa"/>
            <w:gridSpan w:val="2"/>
            <w:tcBorders>
              <w:top w:val="nil"/>
              <w:left w:val="nil"/>
              <w:bottom w:val="nil"/>
              <w:right w:val="nil"/>
            </w:tcBorders>
            <w:shd w:val="clear" w:color="000000" w:fill="FFFFFF"/>
            <w:noWrap/>
            <w:vAlign w:val="bottom"/>
            <w:hideMark/>
          </w:tcPr>
          <w:p w14:paraId="4D7BAFD7"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1</w:t>
            </w:r>
          </w:p>
        </w:tc>
        <w:tc>
          <w:tcPr>
            <w:tcW w:w="1051" w:type="dxa"/>
            <w:gridSpan w:val="2"/>
            <w:tcBorders>
              <w:top w:val="nil"/>
              <w:left w:val="nil"/>
              <w:bottom w:val="nil"/>
              <w:right w:val="nil"/>
            </w:tcBorders>
            <w:shd w:val="clear" w:color="000000" w:fill="FFFFFF"/>
            <w:noWrap/>
            <w:vAlign w:val="bottom"/>
            <w:hideMark/>
          </w:tcPr>
          <w:p w14:paraId="1D1599B5"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1</w:t>
            </w:r>
          </w:p>
        </w:tc>
        <w:tc>
          <w:tcPr>
            <w:tcW w:w="1058" w:type="dxa"/>
            <w:gridSpan w:val="3"/>
            <w:tcBorders>
              <w:top w:val="nil"/>
              <w:left w:val="nil"/>
              <w:bottom w:val="nil"/>
              <w:right w:val="nil"/>
            </w:tcBorders>
            <w:shd w:val="clear" w:color="000000" w:fill="FFFFFF"/>
            <w:noWrap/>
            <w:vAlign w:val="bottom"/>
            <w:hideMark/>
          </w:tcPr>
          <w:p w14:paraId="60B67CFC" w14:textId="77777777" w:rsidR="000773A4" w:rsidRPr="00996C9C"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53E5AD48"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1</w:t>
            </w:r>
          </w:p>
        </w:tc>
        <w:tc>
          <w:tcPr>
            <w:tcW w:w="820" w:type="dxa"/>
            <w:tcBorders>
              <w:top w:val="nil"/>
              <w:left w:val="nil"/>
              <w:bottom w:val="nil"/>
              <w:right w:val="single" w:sz="4" w:space="0" w:color="auto"/>
            </w:tcBorders>
            <w:shd w:val="clear" w:color="000000" w:fill="FFFFFF"/>
            <w:noWrap/>
            <w:vAlign w:val="bottom"/>
            <w:hideMark/>
          </w:tcPr>
          <w:p w14:paraId="2D3585EA"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1</w:t>
            </w:r>
          </w:p>
        </w:tc>
      </w:tr>
      <w:tr w:rsidR="000773A4" w:rsidRPr="00996C9C" w14:paraId="26FB5ABD"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52182D14"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color w:val="000000"/>
                <w:sz w:val="16"/>
                <w:szCs w:val="16"/>
              </w:rPr>
              <w:t xml:space="preserve"> Avg. time of each staff to do activity (in hours)</w:t>
            </w:r>
          </w:p>
        </w:tc>
        <w:tc>
          <w:tcPr>
            <w:tcW w:w="1052" w:type="dxa"/>
            <w:gridSpan w:val="2"/>
            <w:tcBorders>
              <w:top w:val="nil"/>
              <w:left w:val="nil"/>
              <w:bottom w:val="nil"/>
              <w:right w:val="nil"/>
            </w:tcBorders>
            <w:shd w:val="clear" w:color="000000" w:fill="FFFFFF"/>
            <w:noWrap/>
            <w:vAlign w:val="bottom"/>
            <w:hideMark/>
          </w:tcPr>
          <w:p w14:paraId="04862CB7"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20</w:t>
            </w:r>
          </w:p>
        </w:tc>
        <w:tc>
          <w:tcPr>
            <w:tcW w:w="1051" w:type="dxa"/>
            <w:gridSpan w:val="2"/>
            <w:tcBorders>
              <w:top w:val="nil"/>
              <w:left w:val="nil"/>
              <w:bottom w:val="nil"/>
              <w:right w:val="nil"/>
            </w:tcBorders>
            <w:shd w:val="clear" w:color="000000" w:fill="FFFFFF"/>
            <w:noWrap/>
            <w:vAlign w:val="bottom"/>
            <w:hideMark/>
          </w:tcPr>
          <w:p w14:paraId="2A6E10CB"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100</w:t>
            </w:r>
          </w:p>
        </w:tc>
        <w:tc>
          <w:tcPr>
            <w:tcW w:w="1058" w:type="dxa"/>
            <w:gridSpan w:val="3"/>
            <w:tcBorders>
              <w:top w:val="nil"/>
              <w:left w:val="nil"/>
              <w:bottom w:val="nil"/>
              <w:right w:val="nil"/>
            </w:tcBorders>
            <w:shd w:val="clear" w:color="000000" w:fill="FFFFFF"/>
            <w:noWrap/>
            <w:vAlign w:val="bottom"/>
            <w:hideMark/>
          </w:tcPr>
          <w:p w14:paraId="5B870AF2" w14:textId="77777777" w:rsidR="000773A4" w:rsidRPr="00996C9C"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66BBBF87"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25</w:t>
            </w:r>
          </w:p>
        </w:tc>
        <w:tc>
          <w:tcPr>
            <w:tcW w:w="820" w:type="dxa"/>
            <w:tcBorders>
              <w:top w:val="nil"/>
              <w:left w:val="nil"/>
              <w:bottom w:val="nil"/>
              <w:right w:val="single" w:sz="4" w:space="0" w:color="auto"/>
            </w:tcBorders>
            <w:shd w:val="clear" w:color="000000" w:fill="FFFFFF"/>
            <w:noWrap/>
            <w:vAlign w:val="bottom"/>
            <w:hideMark/>
          </w:tcPr>
          <w:p w14:paraId="4BAF812C"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200</w:t>
            </w:r>
          </w:p>
        </w:tc>
      </w:tr>
      <w:tr w:rsidR="000773A4" w:rsidRPr="00996C9C" w14:paraId="6D1D287C" w14:textId="77777777" w:rsidTr="000773A4">
        <w:trPr>
          <w:trHeight w:val="20"/>
        </w:trPr>
        <w:tc>
          <w:tcPr>
            <w:tcW w:w="3963" w:type="dxa"/>
            <w:gridSpan w:val="3"/>
            <w:tcBorders>
              <w:top w:val="nil"/>
              <w:left w:val="single" w:sz="4" w:space="0" w:color="auto"/>
              <w:bottom w:val="single" w:sz="4" w:space="0" w:color="auto"/>
              <w:right w:val="nil"/>
            </w:tcBorders>
            <w:shd w:val="clear" w:color="000000" w:fill="FFFFFF"/>
            <w:noWrap/>
            <w:vAlign w:val="bottom"/>
            <w:hideMark/>
          </w:tcPr>
          <w:p w14:paraId="13D4D1C4"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color w:val="000000"/>
                <w:sz w:val="16"/>
                <w:szCs w:val="16"/>
              </w:rPr>
              <w:t xml:space="preserve"> Labour cost ($/hr) (wage + non-wage labour cost rate) </w:t>
            </w:r>
          </w:p>
        </w:tc>
        <w:tc>
          <w:tcPr>
            <w:tcW w:w="1052" w:type="dxa"/>
            <w:gridSpan w:val="2"/>
            <w:tcBorders>
              <w:top w:val="nil"/>
              <w:left w:val="nil"/>
              <w:bottom w:val="single" w:sz="4" w:space="0" w:color="auto"/>
              <w:right w:val="nil"/>
            </w:tcBorders>
            <w:shd w:val="clear" w:color="000000" w:fill="FFFFFF"/>
            <w:noWrap/>
            <w:vAlign w:val="bottom"/>
            <w:hideMark/>
          </w:tcPr>
          <w:p w14:paraId="667FFC28"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74</w:t>
            </w:r>
          </w:p>
        </w:tc>
        <w:tc>
          <w:tcPr>
            <w:tcW w:w="1051" w:type="dxa"/>
            <w:gridSpan w:val="2"/>
            <w:tcBorders>
              <w:top w:val="nil"/>
              <w:left w:val="nil"/>
              <w:bottom w:val="single" w:sz="4" w:space="0" w:color="auto"/>
              <w:right w:val="nil"/>
            </w:tcBorders>
            <w:shd w:val="clear" w:color="000000" w:fill="FFFFFF"/>
            <w:noWrap/>
            <w:vAlign w:val="bottom"/>
            <w:hideMark/>
          </w:tcPr>
          <w:p w14:paraId="56F96DF6"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82</w:t>
            </w:r>
          </w:p>
        </w:tc>
        <w:tc>
          <w:tcPr>
            <w:tcW w:w="1058" w:type="dxa"/>
            <w:gridSpan w:val="3"/>
            <w:tcBorders>
              <w:top w:val="nil"/>
              <w:left w:val="nil"/>
              <w:bottom w:val="single" w:sz="4" w:space="0" w:color="auto"/>
              <w:right w:val="nil"/>
            </w:tcBorders>
            <w:shd w:val="clear" w:color="000000" w:fill="FFFFFF"/>
            <w:noWrap/>
            <w:vAlign w:val="bottom"/>
            <w:hideMark/>
          </w:tcPr>
          <w:p w14:paraId="39FC51A1"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100,000</w:t>
            </w:r>
          </w:p>
        </w:tc>
        <w:tc>
          <w:tcPr>
            <w:tcW w:w="1043" w:type="dxa"/>
            <w:gridSpan w:val="2"/>
            <w:tcBorders>
              <w:top w:val="nil"/>
              <w:left w:val="nil"/>
              <w:bottom w:val="single" w:sz="4" w:space="0" w:color="auto"/>
              <w:right w:val="nil"/>
            </w:tcBorders>
            <w:shd w:val="clear" w:color="000000" w:fill="FFFFFF"/>
            <w:noWrap/>
            <w:vAlign w:val="bottom"/>
            <w:hideMark/>
          </w:tcPr>
          <w:p w14:paraId="1FD47079"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74</w:t>
            </w:r>
          </w:p>
        </w:tc>
        <w:tc>
          <w:tcPr>
            <w:tcW w:w="820" w:type="dxa"/>
            <w:tcBorders>
              <w:top w:val="nil"/>
              <w:left w:val="nil"/>
              <w:bottom w:val="single" w:sz="4" w:space="0" w:color="auto"/>
              <w:right w:val="single" w:sz="4" w:space="0" w:color="auto"/>
            </w:tcBorders>
            <w:shd w:val="clear" w:color="000000" w:fill="FFFFFF"/>
            <w:noWrap/>
            <w:vAlign w:val="bottom"/>
            <w:hideMark/>
          </w:tcPr>
          <w:p w14:paraId="33EB8369" w14:textId="77777777" w:rsidR="000773A4" w:rsidRPr="00996C9C" w:rsidRDefault="000773A4" w:rsidP="007F628D">
            <w:pPr>
              <w:spacing w:after="0"/>
              <w:jc w:val="right"/>
              <w:rPr>
                <w:rFonts w:ascii="Calibri" w:hAnsi="Calibri" w:cs="Calibri"/>
                <w:color w:val="000000"/>
                <w:sz w:val="16"/>
                <w:szCs w:val="16"/>
              </w:rPr>
            </w:pPr>
            <w:r w:rsidRPr="00996C9C">
              <w:rPr>
                <w:rFonts w:ascii="Calibri" w:hAnsi="Calibri" w:cs="Calibri"/>
                <w:color w:val="000000"/>
                <w:sz w:val="16"/>
                <w:szCs w:val="16"/>
              </w:rPr>
              <w:t>96</w:t>
            </w:r>
          </w:p>
        </w:tc>
      </w:tr>
      <w:tr w:rsidR="000773A4" w:rsidRPr="00996C9C" w14:paraId="2156A095"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12A718FB" w14:textId="77777777" w:rsidR="000773A4" w:rsidRPr="00996C9C" w:rsidRDefault="000773A4" w:rsidP="007F628D">
            <w:pPr>
              <w:spacing w:after="0"/>
              <w:rPr>
                <w:rFonts w:ascii="Calibri" w:hAnsi="Calibri" w:cs="Calibri"/>
                <w:color w:val="000000"/>
                <w:sz w:val="16"/>
                <w:szCs w:val="16"/>
              </w:rPr>
            </w:pPr>
            <w:r w:rsidRPr="00996C9C">
              <w:rPr>
                <w:rFonts w:ascii="Calibri" w:hAnsi="Calibri" w:cs="Calibri"/>
                <w:color w:val="000000"/>
                <w:sz w:val="16"/>
                <w:szCs w:val="16"/>
              </w:rPr>
              <w:t> </w:t>
            </w:r>
          </w:p>
        </w:tc>
        <w:tc>
          <w:tcPr>
            <w:tcW w:w="1052" w:type="dxa"/>
            <w:gridSpan w:val="2"/>
            <w:tcBorders>
              <w:top w:val="nil"/>
              <w:left w:val="nil"/>
              <w:bottom w:val="double" w:sz="6" w:space="0" w:color="auto"/>
              <w:right w:val="nil"/>
            </w:tcBorders>
            <w:shd w:val="clear" w:color="000000" w:fill="FFFFFF"/>
            <w:noWrap/>
            <w:vAlign w:val="bottom"/>
            <w:hideMark/>
          </w:tcPr>
          <w:p w14:paraId="2F761972" w14:textId="77777777" w:rsidR="000773A4" w:rsidRPr="00996C9C" w:rsidRDefault="000773A4" w:rsidP="007F628D">
            <w:pPr>
              <w:spacing w:after="0"/>
              <w:jc w:val="right"/>
              <w:rPr>
                <w:rFonts w:ascii="Calibri" w:hAnsi="Calibri" w:cs="Calibri"/>
                <w:b/>
                <w:bCs/>
                <w:color w:val="000000"/>
                <w:sz w:val="16"/>
                <w:szCs w:val="16"/>
              </w:rPr>
            </w:pPr>
            <w:r w:rsidRPr="00996C9C">
              <w:rPr>
                <w:rFonts w:ascii="Calibri" w:hAnsi="Calibri" w:cs="Calibri"/>
                <w:b/>
                <w:bCs/>
                <w:color w:val="000000"/>
                <w:sz w:val="16"/>
                <w:szCs w:val="16"/>
              </w:rPr>
              <w:t>76,440</w:t>
            </w:r>
          </w:p>
        </w:tc>
        <w:tc>
          <w:tcPr>
            <w:tcW w:w="1051" w:type="dxa"/>
            <w:gridSpan w:val="2"/>
            <w:tcBorders>
              <w:top w:val="nil"/>
              <w:left w:val="nil"/>
              <w:bottom w:val="double" w:sz="6" w:space="0" w:color="auto"/>
              <w:right w:val="nil"/>
            </w:tcBorders>
            <w:shd w:val="clear" w:color="000000" w:fill="FFFFFF"/>
            <w:noWrap/>
            <w:vAlign w:val="bottom"/>
            <w:hideMark/>
          </w:tcPr>
          <w:p w14:paraId="60BAF019" w14:textId="77777777" w:rsidR="000773A4" w:rsidRPr="00996C9C" w:rsidRDefault="000773A4" w:rsidP="007F628D">
            <w:pPr>
              <w:spacing w:after="0"/>
              <w:jc w:val="right"/>
              <w:rPr>
                <w:rFonts w:ascii="Calibri" w:hAnsi="Calibri" w:cs="Calibri"/>
                <w:b/>
                <w:bCs/>
                <w:color w:val="000000"/>
                <w:sz w:val="16"/>
                <w:szCs w:val="16"/>
              </w:rPr>
            </w:pPr>
            <w:r w:rsidRPr="00996C9C">
              <w:rPr>
                <w:rFonts w:ascii="Calibri" w:hAnsi="Calibri" w:cs="Calibri"/>
                <w:b/>
                <w:bCs/>
                <w:color w:val="000000"/>
                <w:sz w:val="16"/>
                <w:szCs w:val="16"/>
              </w:rPr>
              <w:t>427,700</w:t>
            </w:r>
          </w:p>
        </w:tc>
        <w:tc>
          <w:tcPr>
            <w:tcW w:w="1058" w:type="dxa"/>
            <w:gridSpan w:val="3"/>
            <w:tcBorders>
              <w:top w:val="nil"/>
              <w:left w:val="nil"/>
              <w:bottom w:val="double" w:sz="6" w:space="0" w:color="auto"/>
              <w:right w:val="nil"/>
            </w:tcBorders>
            <w:shd w:val="clear" w:color="000000" w:fill="FFFFFF"/>
            <w:noWrap/>
            <w:vAlign w:val="bottom"/>
            <w:hideMark/>
          </w:tcPr>
          <w:p w14:paraId="7E99C612" w14:textId="77777777" w:rsidR="000773A4" w:rsidRPr="00996C9C" w:rsidRDefault="000773A4" w:rsidP="007F628D">
            <w:pPr>
              <w:spacing w:after="0"/>
              <w:jc w:val="right"/>
              <w:rPr>
                <w:rFonts w:ascii="Calibri" w:hAnsi="Calibri" w:cs="Calibri"/>
                <w:b/>
                <w:bCs/>
                <w:color w:val="000000"/>
                <w:sz w:val="16"/>
                <w:szCs w:val="16"/>
              </w:rPr>
            </w:pPr>
            <w:r w:rsidRPr="00996C9C">
              <w:rPr>
                <w:rFonts w:ascii="Calibri" w:hAnsi="Calibri" w:cs="Calibri"/>
                <w:b/>
                <w:bCs/>
                <w:color w:val="000000"/>
                <w:sz w:val="16"/>
                <w:szCs w:val="16"/>
              </w:rPr>
              <w:t>2,600,000</w:t>
            </w:r>
          </w:p>
        </w:tc>
        <w:tc>
          <w:tcPr>
            <w:tcW w:w="1043" w:type="dxa"/>
            <w:gridSpan w:val="2"/>
            <w:tcBorders>
              <w:top w:val="nil"/>
              <w:left w:val="nil"/>
              <w:bottom w:val="double" w:sz="6" w:space="0" w:color="auto"/>
              <w:right w:val="nil"/>
            </w:tcBorders>
            <w:shd w:val="clear" w:color="000000" w:fill="FFFFFF"/>
            <w:noWrap/>
            <w:vAlign w:val="bottom"/>
            <w:hideMark/>
          </w:tcPr>
          <w:p w14:paraId="6C509C51" w14:textId="77777777" w:rsidR="000773A4" w:rsidRPr="00996C9C" w:rsidRDefault="000773A4" w:rsidP="007F628D">
            <w:pPr>
              <w:spacing w:after="0"/>
              <w:jc w:val="right"/>
              <w:rPr>
                <w:rFonts w:ascii="Calibri" w:hAnsi="Calibri" w:cs="Calibri"/>
                <w:b/>
                <w:bCs/>
                <w:color w:val="000000"/>
                <w:sz w:val="16"/>
                <w:szCs w:val="16"/>
              </w:rPr>
            </w:pPr>
            <w:r w:rsidRPr="00996C9C">
              <w:rPr>
                <w:rFonts w:ascii="Calibri" w:hAnsi="Calibri" w:cs="Calibri"/>
                <w:b/>
                <w:bCs/>
                <w:color w:val="000000"/>
                <w:sz w:val="16"/>
                <w:szCs w:val="16"/>
              </w:rPr>
              <w:t>95,550</w:t>
            </w:r>
          </w:p>
        </w:tc>
        <w:tc>
          <w:tcPr>
            <w:tcW w:w="820" w:type="dxa"/>
            <w:tcBorders>
              <w:top w:val="nil"/>
              <w:left w:val="nil"/>
              <w:bottom w:val="double" w:sz="6" w:space="0" w:color="auto"/>
              <w:right w:val="nil"/>
            </w:tcBorders>
            <w:shd w:val="clear" w:color="000000" w:fill="FFFFFF"/>
            <w:noWrap/>
            <w:vAlign w:val="bottom"/>
            <w:hideMark/>
          </w:tcPr>
          <w:p w14:paraId="6B89D253" w14:textId="77777777" w:rsidR="000773A4" w:rsidRPr="00996C9C" w:rsidRDefault="000773A4" w:rsidP="007F628D">
            <w:pPr>
              <w:spacing w:after="0"/>
              <w:jc w:val="right"/>
              <w:rPr>
                <w:rFonts w:ascii="Calibri" w:hAnsi="Calibri" w:cs="Calibri"/>
                <w:b/>
                <w:bCs/>
                <w:color w:val="000000"/>
                <w:sz w:val="16"/>
                <w:szCs w:val="16"/>
              </w:rPr>
            </w:pPr>
            <w:r w:rsidRPr="00996C9C">
              <w:rPr>
                <w:rFonts w:ascii="Calibri" w:hAnsi="Calibri" w:cs="Calibri"/>
                <w:b/>
                <w:bCs/>
                <w:color w:val="000000"/>
                <w:sz w:val="16"/>
                <w:szCs w:val="16"/>
              </w:rPr>
              <w:t>500,500</w:t>
            </w:r>
          </w:p>
        </w:tc>
      </w:tr>
      <w:tr w:rsidR="000773A4" w:rsidRPr="00710BC4" w14:paraId="3813EEA1"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135B334C"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2" w:type="dxa"/>
            <w:gridSpan w:val="2"/>
            <w:tcBorders>
              <w:top w:val="nil"/>
              <w:left w:val="nil"/>
              <w:bottom w:val="nil"/>
              <w:right w:val="nil"/>
            </w:tcBorders>
            <w:shd w:val="clear" w:color="000000" w:fill="FFFFFF"/>
            <w:noWrap/>
            <w:vAlign w:val="bottom"/>
            <w:hideMark/>
          </w:tcPr>
          <w:p w14:paraId="2CCBA2CF"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1" w:type="dxa"/>
            <w:gridSpan w:val="2"/>
            <w:tcBorders>
              <w:top w:val="nil"/>
              <w:left w:val="nil"/>
              <w:bottom w:val="nil"/>
              <w:right w:val="nil"/>
            </w:tcBorders>
            <w:shd w:val="clear" w:color="000000" w:fill="FFFFFF"/>
            <w:noWrap/>
            <w:vAlign w:val="bottom"/>
            <w:hideMark/>
          </w:tcPr>
          <w:p w14:paraId="1B319B85"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8" w:type="dxa"/>
            <w:gridSpan w:val="3"/>
            <w:tcBorders>
              <w:top w:val="nil"/>
              <w:left w:val="nil"/>
              <w:bottom w:val="nil"/>
              <w:right w:val="nil"/>
            </w:tcBorders>
            <w:shd w:val="clear" w:color="000000" w:fill="FFFFFF"/>
            <w:noWrap/>
            <w:vAlign w:val="bottom"/>
            <w:hideMark/>
          </w:tcPr>
          <w:p w14:paraId="5927F942"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43" w:type="dxa"/>
            <w:gridSpan w:val="2"/>
            <w:tcBorders>
              <w:top w:val="nil"/>
              <w:left w:val="nil"/>
              <w:bottom w:val="nil"/>
              <w:right w:val="nil"/>
            </w:tcBorders>
            <w:shd w:val="clear" w:color="000000" w:fill="FFFFFF"/>
            <w:noWrap/>
            <w:vAlign w:val="bottom"/>
            <w:hideMark/>
          </w:tcPr>
          <w:p w14:paraId="6D923ECD" w14:textId="77777777" w:rsidR="000773A4" w:rsidRPr="00710BC4" w:rsidRDefault="000773A4" w:rsidP="000773A4">
            <w:pPr>
              <w:spacing w:after="0"/>
              <w:jc w:val="right"/>
              <w:rPr>
                <w:rFonts w:ascii="Calibri" w:hAnsi="Calibri" w:cs="Calibri"/>
                <w:color w:val="000000"/>
                <w:sz w:val="14"/>
                <w:szCs w:val="14"/>
              </w:rPr>
            </w:pPr>
            <w:r w:rsidRPr="00710BC4">
              <w:rPr>
                <w:rFonts w:ascii="Calibri" w:hAnsi="Calibri" w:cs="Calibri"/>
                <w:color w:val="000000"/>
                <w:sz w:val="14"/>
                <w:szCs w:val="14"/>
              </w:rPr>
              <w:t> </w:t>
            </w:r>
          </w:p>
        </w:tc>
        <w:tc>
          <w:tcPr>
            <w:tcW w:w="820" w:type="dxa"/>
            <w:tcBorders>
              <w:top w:val="nil"/>
              <w:left w:val="nil"/>
              <w:bottom w:val="nil"/>
              <w:right w:val="nil"/>
            </w:tcBorders>
            <w:shd w:val="clear" w:color="000000" w:fill="FFFFFF"/>
            <w:noWrap/>
            <w:vAlign w:val="bottom"/>
            <w:hideMark/>
          </w:tcPr>
          <w:p w14:paraId="1E8038E8"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r>
      <w:tr w:rsidR="000773A4" w:rsidRPr="00050B4B" w14:paraId="57883A02" w14:textId="77777777" w:rsidTr="000773A4">
        <w:trPr>
          <w:trHeight w:val="20"/>
        </w:trPr>
        <w:tc>
          <w:tcPr>
            <w:tcW w:w="3963" w:type="dxa"/>
            <w:gridSpan w:val="3"/>
            <w:tcBorders>
              <w:top w:val="single" w:sz="4" w:space="0" w:color="auto"/>
              <w:left w:val="single" w:sz="4" w:space="0" w:color="auto"/>
              <w:bottom w:val="nil"/>
              <w:right w:val="nil"/>
            </w:tcBorders>
            <w:shd w:val="clear" w:color="000000" w:fill="FFFFFF"/>
            <w:noWrap/>
            <w:vAlign w:val="bottom"/>
            <w:hideMark/>
          </w:tcPr>
          <w:p w14:paraId="6FB661DD" w14:textId="77777777" w:rsidR="000773A4" w:rsidRPr="00050B4B" w:rsidRDefault="000773A4" w:rsidP="007F628D">
            <w:pPr>
              <w:spacing w:after="0"/>
              <w:rPr>
                <w:rFonts w:ascii="Calibri" w:hAnsi="Calibri" w:cs="Calibri"/>
                <w:b/>
                <w:bCs/>
                <w:color w:val="000000"/>
                <w:sz w:val="16"/>
                <w:szCs w:val="16"/>
              </w:rPr>
            </w:pPr>
            <w:r w:rsidRPr="00050B4B">
              <w:rPr>
                <w:rFonts w:ascii="Calibri" w:hAnsi="Calibri" w:cs="Calibri"/>
                <w:b/>
                <w:bCs/>
                <w:color w:val="000000"/>
                <w:sz w:val="16"/>
                <w:szCs w:val="16"/>
              </w:rPr>
              <w:t xml:space="preserve">Start-up cost (over 1 year) (Low complexity 10 with no </w:t>
            </w:r>
            <w:proofErr w:type="spellStart"/>
            <w:r w:rsidRPr="00050B4B">
              <w:rPr>
                <w:rFonts w:ascii="Calibri" w:hAnsi="Calibri" w:cs="Calibri"/>
                <w:b/>
                <w:bCs/>
                <w:color w:val="000000"/>
                <w:sz w:val="16"/>
                <w:szCs w:val="16"/>
              </w:rPr>
              <w:t>MySuper</w:t>
            </w:r>
            <w:proofErr w:type="spellEnd"/>
            <w:r w:rsidRPr="00050B4B">
              <w:rPr>
                <w:rFonts w:ascii="Calibri" w:hAnsi="Calibri" w:cs="Calibri"/>
                <w:b/>
                <w:bCs/>
                <w:color w:val="000000"/>
                <w:sz w:val="16"/>
                <w:szCs w:val="16"/>
              </w:rPr>
              <w:t xml:space="preserve">) </w:t>
            </w:r>
          </w:p>
        </w:tc>
        <w:tc>
          <w:tcPr>
            <w:tcW w:w="1052" w:type="dxa"/>
            <w:gridSpan w:val="2"/>
            <w:tcBorders>
              <w:top w:val="single" w:sz="4" w:space="0" w:color="auto"/>
              <w:left w:val="nil"/>
              <w:bottom w:val="single" w:sz="4" w:space="0" w:color="auto"/>
              <w:right w:val="nil"/>
            </w:tcBorders>
            <w:shd w:val="clear" w:color="000000" w:fill="FFFFFF"/>
            <w:vAlign w:val="bottom"/>
            <w:hideMark/>
          </w:tcPr>
          <w:p w14:paraId="42D55126" w14:textId="77777777" w:rsidR="000773A4" w:rsidRPr="00050B4B" w:rsidRDefault="000773A4" w:rsidP="007F628D">
            <w:pPr>
              <w:spacing w:after="0"/>
              <w:jc w:val="center"/>
              <w:rPr>
                <w:rFonts w:ascii="Calibri" w:hAnsi="Calibri" w:cs="Calibri"/>
                <w:color w:val="000000"/>
                <w:sz w:val="16"/>
                <w:szCs w:val="16"/>
              </w:rPr>
            </w:pPr>
            <w:r w:rsidRPr="00050B4B">
              <w:rPr>
                <w:rFonts w:ascii="Calibri" w:hAnsi="Calibri" w:cs="Calibri"/>
                <w:color w:val="000000"/>
                <w:sz w:val="16"/>
                <w:szCs w:val="16"/>
              </w:rPr>
              <w:t>Education</w:t>
            </w:r>
          </w:p>
        </w:tc>
        <w:tc>
          <w:tcPr>
            <w:tcW w:w="1051" w:type="dxa"/>
            <w:gridSpan w:val="2"/>
            <w:tcBorders>
              <w:top w:val="single" w:sz="4" w:space="0" w:color="auto"/>
              <w:left w:val="nil"/>
              <w:bottom w:val="single" w:sz="4" w:space="0" w:color="auto"/>
              <w:right w:val="nil"/>
            </w:tcBorders>
            <w:shd w:val="clear" w:color="000000" w:fill="FFFFFF"/>
            <w:vAlign w:val="bottom"/>
            <w:hideMark/>
          </w:tcPr>
          <w:p w14:paraId="0C96EE02" w14:textId="77777777" w:rsidR="000773A4" w:rsidRPr="00050B4B" w:rsidRDefault="000773A4" w:rsidP="007F628D">
            <w:pPr>
              <w:spacing w:after="0"/>
              <w:jc w:val="center"/>
              <w:rPr>
                <w:rFonts w:ascii="Calibri" w:hAnsi="Calibri" w:cs="Calibri"/>
                <w:color w:val="000000"/>
                <w:sz w:val="16"/>
                <w:szCs w:val="16"/>
              </w:rPr>
            </w:pPr>
            <w:r w:rsidRPr="00050B4B">
              <w:rPr>
                <w:rFonts w:ascii="Calibri" w:hAnsi="Calibri" w:cs="Calibri"/>
                <w:color w:val="000000"/>
                <w:sz w:val="16"/>
                <w:szCs w:val="16"/>
              </w:rPr>
              <w:t>Record Keeping</w:t>
            </w:r>
          </w:p>
        </w:tc>
        <w:tc>
          <w:tcPr>
            <w:tcW w:w="1058" w:type="dxa"/>
            <w:gridSpan w:val="3"/>
            <w:tcBorders>
              <w:top w:val="single" w:sz="4" w:space="0" w:color="auto"/>
              <w:left w:val="nil"/>
              <w:bottom w:val="single" w:sz="4" w:space="0" w:color="auto"/>
              <w:right w:val="nil"/>
            </w:tcBorders>
            <w:shd w:val="clear" w:color="000000" w:fill="FFFFFF"/>
            <w:vAlign w:val="bottom"/>
            <w:hideMark/>
          </w:tcPr>
          <w:p w14:paraId="153575FB" w14:textId="77777777" w:rsidR="000773A4" w:rsidRPr="00050B4B" w:rsidRDefault="000773A4" w:rsidP="007F628D">
            <w:pPr>
              <w:spacing w:after="0"/>
              <w:jc w:val="center"/>
              <w:rPr>
                <w:rFonts w:ascii="Calibri" w:hAnsi="Calibri" w:cs="Calibri"/>
                <w:color w:val="000000"/>
                <w:sz w:val="16"/>
                <w:szCs w:val="16"/>
              </w:rPr>
            </w:pPr>
            <w:r w:rsidRPr="00050B4B">
              <w:rPr>
                <w:rFonts w:ascii="Calibri" w:hAnsi="Calibri" w:cs="Calibri"/>
                <w:color w:val="000000"/>
                <w:sz w:val="16"/>
                <w:szCs w:val="16"/>
              </w:rPr>
              <w:t>Purchasing</w:t>
            </w:r>
          </w:p>
        </w:tc>
        <w:tc>
          <w:tcPr>
            <w:tcW w:w="1043" w:type="dxa"/>
            <w:gridSpan w:val="2"/>
            <w:tcBorders>
              <w:top w:val="single" w:sz="4" w:space="0" w:color="auto"/>
              <w:left w:val="nil"/>
              <w:bottom w:val="single" w:sz="4" w:space="0" w:color="auto"/>
              <w:right w:val="nil"/>
            </w:tcBorders>
            <w:shd w:val="clear" w:color="000000" w:fill="FFFFFF"/>
            <w:vAlign w:val="bottom"/>
            <w:hideMark/>
          </w:tcPr>
          <w:p w14:paraId="3EFBDAF3" w14:textId="77777777" w:rsidR="000773A4" w:rsidRPr="00050B4B" w:rsidRDefault="000773A4" w:rsidP="007F628D">
            <w:pPr>
              <w:spacing w:after="0"/>
              <w:jc w:val="center"/>
              <w:rPr>
                <w:rFonts w:ascii="Calibri" w:hAnsi="Calibri" w:cs="Calibri"/>
                <w:color w:val="000000"/>
                <w:sz w:val="16"/>
                <w:szCs w:val="16"/>
              </w:rPr>
            </w:pPr>
            <w:r w:rsidRPr="00050B4B">
              <w:rPr>
                <w:rFonts w:ascii="Calibri" w:hAnsi="Calibri" w:cs="Calibri"/>
                <w:color w:val="000000"/>
                <w:sz w:val="16"/>
                <w:szCs w:val="16"/>
              </w:rPr>
              <w:t>Publication and Documentation</w:t>
            </w:r>
          </w:p>
        </w:tc>
        <w:tc>
          <w:tcPr>
            <w:tcW w:w="820" w:type="dxa"/>
            <w:tcBorders>
              <w:top w:val="single" w:sz="4" w:space="0" w:color="auto"/>
              <w:left w:val="nil"/>
              <w:bottom w:val="single" w:sz="4" w:space="0" w:color="auto"/>
              <w:right w:val="single" w:sz="4" w:space="0" w:color="auto"/>
            </w:tcBorders>
            <w:shd w:val="clear" w:color="000000" w:fill="FFFFFF"/>
            <w:vAlign w:val="bottom"/>
            <w:hideMark/>
          </w:tcPr>
          <w:p w14:paraId="5F0B8207" w14:textId="77777777" w:rsidR="000773A4" w:rsidRPr="00050B4B" w:rsidRDefault="000773A4" w:rsidP="007F628D">
            <w:pPr>
              <w:spacing w:after="0"/>
              <w:jc w:val="center"/>
              <w:rPr>
                <w:rFonts w:ascii="Calibri" w:hAnsi="Calibri" w:cs="Calibri"/>
                <w:color w:val="000000"/>
                <w:sz w:val="16"/>
                <w:szCs w:val="16"/>
              </w:rPr>
            </w:pPr>
            <w:r w:rsidRPr="00050B4B">
              <w:rPr>
                <w:rFonts w:ascii="Calibri" w:hAnsi="Calibri" w:cs="Calibri"/>
                <w:color w:val="000000"/>
                <w:sz w:val="16"/>
                <w:szCs w:val="16"/>
              </w:rPr>
              <w:t>Other</w:t>
            </w:r>
          </w:p>
        </w:tc>
      </w:tr>
      <w:tr w:rsidR="000773A4" w:rsidRPr="00050B4B" w14:paraId="3AA2B7A1"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2026350C" w14:textId="77777777" w:rsidR="000773A4" w:rsidRPr="00050B4B" w:rsidRDefault="000773A4" w:rsidP="007F628D">
            <w:pPr>
              <w:spacing w:after="0"/>
              <w:rPr>
                <w:rFonts w:ascii="Calibri" w:hAnsi="Calibri" w:cs="Calibri"/>
                <w:color w:val="000000"/>
                <w:sz w:val="16"/>
                <w:szCs w:val="16"/>
              </w:rPr>
            </w:pPr>
            <w:r w:rsidRPr="00050B4B">
              <w:rPr>
                <w:rFonts w:ascii="Calibri" w:hAnsi="Calibri" w:cs="Calibri"/>
                <w:color w:val="000000"/>
                <w:sz w:val="16"/>
                <w:szCs w:val="16"/>
              </w:rPr>
              <w:t xml:space="preserve"> Number of businesses affected by activity </w:t>
            </w:r>
          </w:p>
        </w:tc>
        <w:tc>
          <w:tcPr>
            <w:tcW w:w="1052" w:type="dxa"/>
            <w:gridSpan w:val="2"/>
            <w:tcBorders>
              <w:top w:val="nil"/>
              <w:left w:val="nil"/>
              <w:bottom w:val="nil"/>
              <w:right w:val="nil"/>
            </w:tcBorders>
            <w:shd w:val="clear" w:color="000000" w:fill="FFFFFF"/>
            <w:noWrap/>
            <w:vAlign w:val="bottom"/>
            <w:hideMark/>
          </w:tcPr>
          <w:p w14:paraId="74CDCA6C"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10</w:t>
            </w:r>
          </w:p>
        </w:tc>
        <w:tc>
          <w:tcPr>
            <w:tcW w:w="1051" w:type="dxa"/>
            <w:gridSpan w:val="2"/>
            <w:tcBorders>
              <w:top w:val="nil"/>
              <w:left w:val="nil"/>
              <w:bottom w:val="nil"/>
              <w:right w:val="nil"/>
            </w:tcBorders>
            <w:shd w:val="clear" w:color="000000" w:fill="FFFFFF"/>
            <w:noWrap/>
            <w:vAlign w:val="bottom"/>
            <w:hideMark/>
          </w:tcPr>
          <w:p w14:paraId="15DB92DD"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10</w:t>
            </w:r>
          </w:p>
        </w:tc>
        <w:tc>
          <w:tcPr>
            <w:tcW w:w="1058" w:type="dxa"/>
            <w:gridSpan w:val="3"/>
            <w:tcBorders>
              <w:top w:val="nil"/>
              <w:left w:val="nil"/>
              <w:bottom w:val="nil"/>
              <w:right w:val="nil"/>
            </w:tcBorders>
            <w:shd w:val="clear" w:color="000000" w:fill="FFFFFF"/>
            <w:noWrap/>
            <w:vAlign w:val="bottom"/>
            <w:hideMark/>
          </w:tcPr>
          <w:p w14:paraId="239DE50E"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10</w:t>
            </w:r>
          </w:p>
        </w:tc>
        <w:tc>
          <w:tcPr>
            <w:tcW w:w="1043" w:type="dxa"/>
            <w:gridSpan w:val="2"/>
            <w:tcBorders>
              <w:top w:val="nil"/>
              <w:left w:val="nil"/>
              <w:bottom w:val="nil"/>
              <w:right w:val="nil"/>
            </w:tcBorders>
            <w:shd w:val="clear" w:color="000000" w:fill="FFFFFF"/>
            <w:noWrap/>
            <w:vAlign w:val="bottom"/>
            <w:hideMark/>
          </w:tcPr>
          <w:p w14:paraId="7B690979"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10</w:t>
            </w:r>
          </w:p>
        </w:tc>
        <w:tc>
          <w:tcPr>
            <w:tcW w:w="820" w:type="dxa"/>
            <w:tcBorders>
              <w:top w:val="nil"/>
              <w:left w:val="nil"/>
              <w:bottom w:val="nil"/>
              <w:right w:val="single" w:sz="4" w:space="0" w:color="auto"/>
            </w:tcBorders>
            <w:shd w:val="clear" w:color="000000" w:fill="FFFFFF"/>
            <w:noWrap/>
            <w:vAlign w:val="bottom"/>
            <w:hideMark/>
          </w:tcPr>
          <w:p w14:paraId="079D5A6D"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10</w:t>
            </w:r>
          </w:p>
        </w:tc>
      </w:tr>
      <w:tr w:rsidR="000773A4" w:rsidRPr="00050B4B" w14:paraId="78B35080"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0F6B5F87" w14:textId="77777777" w:rsidR="000773A4" w:rsidRPr="00050B4B" w:rsidRDefault="000773A4" w:rsidP="007F628D">
            <w:pPr>
              <w:spacing w:after="0"/>
              <w:rPr>
                <w:rFonts w:ascii="Calibri" w:hAnsi="Calibri" w:cs="Calibri"/>
                <w:color w:val="000000"/>
                <w:sz w:val="16"/>
                <w:szCs w:val="16"/>
              </w:rPr>
            </w:pPr>
            <w:r w:rsidRPr="00050B4B">
              <w:rPr>
                <w:rFonts w:ascii="Calibri" w:hAnsi="Calibri" w:cs="Calibri"/>
                <w:color w:val="000000"/>
                <w:sz w:val="16"/>
                <w:szCs w:val="16"/>
              </w:rPr>
              <w:t xml:space="preserve"> Number of staff per business performing activity</w:t>
            </w:r>
          </w:p>
        </w:tc>
        <w:tc>
          <w:tcPr>
            <w:tcW w:w="1052" w:type="dxa"/>
            <w:gridSpan w:val="2"/>
            <w:tcBorders>
              <w:top w:val="nil"/>
              <w:left w:val="nil"/>
              <w:bottom w:val="nil"/>
              <w:right w:val="nil"/>
            </w:tcBorders>
            <w:shd w:val="clear" w:color="000000" w:fill="FFFFFF"/>
            <w:noWrap/>
            <w:vAlign w:val="bottom"/>
            <w:hideMark/>
          </w:tcPr>
          <w:p w14:paraId="253C6ED3"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2</w:t>
            </w:r>
          </w:p>
        </w:tc>
        <w:tc>
          <w:tcPr>
            <w:tcW w:w="1051" w:type="dxa"/>
            <w:gridSpan w:val="2"/>
            <w:tcBorders>
              <w:top w:val="nil"/>
              <w:left w:val="nil"/>
              <w:bottom w:val="nil"/>
              <w:right w:val="nil"/>
            </w:tcBorders>
            <w:shd w:val="clear" w:color="000000" w:fill="FFFFFF"/>
            <w:noWrap/>
            <w:vAlign w:val="bottom"/>
            <w:hideMark/>
          </w:tcPr>
          <w:p w14:paraId="1A7451A6"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2</w:t>
            </w:r>
          </w:p>
        </w:tc>
        <w:tc>
          <w:tcPr>
            <w:tcW w:w="1058" w:type="dxa"/>
            <w:gridSpan w:val="3"/>
            <w:tcBorders>
              <w:top w:val="nil"/>
              <w:left w:val="nil"/>
              <w:bottom w:val="nil"/>
              <w:right w:val="nil"/>
            </w:tcBorders>
            <w:shd w:val="clear" w:color="000000" w:fill="FFFFFF"/>
            <w:noWrap/>
            <w:vAlign w:val="bottom"/>
            <w:hideMark/>
          </w:tcPr>
          <w:p w14:paraId="7B6CFB3C" w14:textId="77777777" w:rsidR="000773A4" w:rsidRPr="00050B4B"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1EEF13E7"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2</w:t>
            </w:r>
          </w:p>
        </w:tc>
        <w:tc>
          <w:tcPr>
            <w:tcW w:w="820" w:type="dxa"/>
            <w:tcBorders>
              <w:top w:val="nil"/>
              <w:left w:val="nil"/>
              <w:bottom w:val="nil"/>
              <w:right w:val="single" w:sz="4" w:space="0" w:color="auto"/>
            </w:tcBorders>
            <w:shd w:val="clear" w:color="000000" w:fill="FFFFFF"/>
            <w:noWrap/>
            <w:vAlign w:val="bottom"/>
            <w:hideMark/>
          </w:tcPr>
          <w:p w14:paraId="54DB35FF"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w:t>
            </w:r>
          </w:p>
        </w:tc>
      </w:tr>
      <w:tr w:rsidR="000773A4" w:rsidRPr="00050B4B" w14:paraId="44AB675C"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122428AD" w14:textId="77777777" w:rsidR="000773A4" w:rsidRPr="00050B4B" w:rsidRDefault="000773A4" w:rsidP="007F628D">
            <w:pPr>
              <w:spacing w:after="0"/>
              <w:rPr>
                <w:rFonts w:ascii="Calibri" w:hAnsi="Calibri" w:cs="Calibri"/>
                <w:color w:val="000000"/>
                <w:sz w:val="16"/>
                <w:szCs w:val="16"/>
              </w:rPr>
            </w:pPr>
            <w:r w:rsidRPr="00050B4B">
              <w:rPr>
                <w:rFonts w:ascii="Calibri" w:hAnsi="Calibri" w:cs="Calibri"/>
                <w:color w:val="000000"/>
                <w:sz w:val="16"/>
                <w:szCs w:val="16"/>
              </w:rPr>
              <w:t xml:space="preserve"> Number of times activity performed per staff</w:t>
            </w:r>
          </w:p>
        </w:tc>
        <w:tc>
          <w:tcPr>
            <w:tcW w:w="1052" w:type="dxa"/>
            <w:gridSpan w:val="2"/>
            <w:tcBorders>
              <w:top w:val="nil"/>
              <w:left w:val="nil"/>
              <w:bottom w:val="nil"/>
              <w:right w:val="nil"/>
            </w:tcBorders>
            <w:shd w:val="clear" w:color="000000" w:fill="FFFFFF"/>
            <w:noWrap/>
            <w:vAlign w:val="bottom"/>
            <w:hideMark/>
          </w:tcPr>
          <w:p w14:paraId="1039372A"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w:t>
            </w:r>
          </w:p>
        </w:tc>
        <w:tc>
          <w:tcPr>
            <w:tcW w:w="1051" w:type="dxa"/>
            <w:gridSpan w:val="2"/>
            <w:tcBorders>
              <w:top w:val="nil"/>
              <w:left w:val="nil"/>
              <w:bottom w:val="nil"/>
              <w:right w:val="nil"/>
            </w:tcBorders>
            <w:shd w:val="clear" w:color="000000" w:fill="FFFFFF"/>
            <w:noWrap/>
            <w:vAlign w:val="bottom"/>
            <w:hideMark/>
          </w:tcPr>
          <w:p w14:paraId="7E05F037"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w:t>
            </w:r>
          </w:p>
        </w:tc>
        <w:tc>
          <w:tcPr>
            <w:tcW w:w="1058" w:type="dxa"/>
            <w:gridSpan w:val="3"/>
            <w:tcBorders>
              <w:top w:val="nil"/>
              <w:left w:val="nil"/>
              <w:bottom w:val="nil"/>
              <w:right w:val="nil"/>
            </w:tcBorders>
            <w:shd w:val="clear" w:color="000000" w:fill="FFFFFF"/>
            <w:noWrap/>
            <w:vAlign w:val="bottom"/>
            <w:hideMark/>
          </w:tcPr>
          <w:p w14:paraId="44DD6365" w14:textId="77777777" w:rsidR="000773A4" w:rsidRPr="00050B4B"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7C3AE571"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w:t>
            </w:r>
          </w:p>
        </w:tc>
        <w:tc>
          <w:tcPr>
            <w:tcW w:w="820" w:type="dxa"/>
            <w:tcBorders>
              <w:top w:val="nil"/>
              <w:left w:val="nil"/>
              <w:bottom w:val="nil"/>
              <w:right w:val="single" w:sz="4" w:space="0" w:color="auto"/>
            </w:tcBorders>
            <w:shd w:val="clear" w:color="000000" w:fill="FFFFFF"/>
            <w:noWrap/>
            <w:vAlign w:val="bottom"/>
            <w:hideMark/>
          </w:tcPr>
          <w:p w14:paraId="7A811263"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w:t>
            </w:r>
          </w:p>
        </w:tc>
      </w:tr>
      <w:tr w:rsidR="000773A4" w:rsidRPr="00050B4B" w14:paraId="08D615BF"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7EA916F3" w14:textId="77777777" w:rsidR="000773A4" w:rsidRPr="00050B4B" w:rsidRDefault="000773A4" w:rsidP="007F628D">
            <w:pPr>
              <w:spacing w:after="0"/>
              <w:rPr>
                <w:rFonts w:ascii="Calibri" w:hAnsi="Calibri" w:cs="Calibri"/>
                <w:color w:val="000000"/>
                <w:sz w:val="16"/>
                <w:szCs w:val="16"/>
              </w:rPr>
            </w:pPr>
            <w:r w:rsidRPr="00050B4B">
              <w:rPr>
                <w:rFonts w:ascii="Calibri" w:hAnsi="Calibri" w:cs="Calibri"/>
                <w:color w:val="000000"/>
                <w:sz w:val="16"/>
                <w:szCs w:val="16"/>
              </w:rPr>
              <w:t xml:space="preserve"> Avg. time of each staff to do activity (in hours)</w:t>
            </w:r>
          </w:p>
        </w:tc>
        <w:tc>
          <w:tcPr>
            <w:tcW w:w="1052" w:type="dxa"/>
            <w:gridSpan w:val="2"/>
            <w:tcBorders>
              <w:top w:val="nil"/>
              <w:left w:val="nil"/>
              <w:bottom w:val="nil"/>
              <w:right w:val="nil"/>
            </w:tcBorders>
            <w:shd w:val="clear" w:color="000000" w:fill="FFFFFF"/>
            <w:noWrap/>
            <w:vAlign w:val="bottom"/>
            <w:hideMark/>
          </w:tcPr>
          <w:p w14:paraId="37E26303"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25</w:t>
            </w:r>
          </w:p>
        </w:tc>
        <w:tc>
          <w:tcPr>
            <w:tcW w:w="1051" w:type="dxa"/>
            <w:gridSpan w:val="2"/>
            <w:tcBorders>
              <w:top w:val="nil"/>
              <w:left w:val="nil"/>
              <w:bottom w:val="nil"/>
              <w:right w:val="nil"/>
            </w:tcBorders>
            <w:shd w:val="clear" w:color="000000" w:fill="FFFFFF"/>
            <w:noWrap/>
            <w:vAlign w:val="bottom"/>
            <w:hideMark/>
          </w:tcPr>
          <w:p w14:paraId="02FD31F3"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150</w:t>
            </w:r>
          </w:p>
        </w:tc>
        <w:tc>
          <w:tcPr>
            <w:tcW w:w="1058" w:type="dxa"/>
            <w:gridSpan w:val="3"/>
            <w:tcBorders>
              <w:top w:val="nil"/>
              <w:left w:val="nil"/>
              <w:bottom w:val="nil"/>
              <w:right w:val="nil"/>
            </w:tcBorders>
            <w:shd w:val="clear" w:color="000000" w:fill="FFFFFF"/>
            <w:noWrap/>
            <w:vAlign w:val="bottom"/>
            <w:hideMark/>
          </w:tcPr>
          <w:p w14:paraId="4671F22C" w14:textId="77777777" w:rsidR="000773A4" w:rsidRPr="00050B4B"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1C6452FD"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30</w:t>
            </w:r>
          </w:p>
        </w:tc>
        <w:tc>
          <w:tcPr>
            <w:tcW w:w="820" w:type="dxa"/>
            <w:tcBorders>
              <w:top w:val="nil"/>
              <w:left w:val="nil"/>
              <w:bottom w:val="nil"/>
              <w:right w:val="single" w:sz="4" w:space="0" w:color="auto"/>
            </w:tcBorders>
            <w:shd w:val="clear" w:color="000000" w:fill="FFFFFF"/>
            <w:noWrap/>
            <w:vAlign w:val="bottom"/>
            <w:hideMark/>
          </w:tcPr>
          <w:p w14:paraId="4FD06596"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250</w:t>
            </w:r>
          </w:p>
        </w:tc>
      </w:tr>
      <w:tr w:rsidR="000773A4" w:rsidRPr="00050B4B" w14:paraId="1D0FA669" w14:textId="77777777" w:rsidTr="000773A4">
        <w:trPr>
          <w:trHeight w:val="20"/>
        </w:trPr>
        <w:tc>
          <w:tcPr>
            <w:tcW w:w="3963" w:type="dxa"/>
            <w:gridSpan w:val="3"/>
            <w:tcBorders>
              <w:top w:val="nil"/>
              <w:left w:val="single" w:sz="4" w:space="0" w:color="auto"/>
              <w:bottom w:val="single" w:sz="4" w:space="0" w:color="auto"/>
              <w:right w:val="nil"/>
            </w:tcBorders>
            <w:shd w:val="clear" w:color="000000" w:fill="FFFFFF"/>
            <w:noWrap/>
            <w:vAlign w:val="bottom"/>
            <w:hideMark/>
          </w:tcPr>
          <w:p w14:paraId="180CE33B" w14:textId="77777777" w:rsidR="000773A4" w:rsidRPr="00050B4B" w:rsidRDefault="000773A4" w:rsidP="007F628D">
            <w:pPr>
              <w:spacing w:after="0"/>
              <w:rPr>
                <w:rFonts w:ascii="Calibri" w:hAnsi="Calibri" w:cs="Calibri"/>
                <w:color w:val="000000"/>
                <w:sz w:val="16"/>
                <w:szCs w:val="16"/>
              </w:rPr>
            </w:pPr>
            <w:r w:rsidRPr="00050B4B">
              <w:rPr>
                <w:rFonts w:ascii="Calibri" w:hAnsi="Calibri" w:cs="Calibri"/>
                <w:color w:val="000000"/>
                <w:sz w:val="16"/>
                <w:szCs w:val="16"/>
              </w:rPr>
              <w:t xml:space="preserve"> Labour cost ($/hr) (wage + non-wage labour cost rate) </w:t>
            </w:r>
          </w:p>
        </w:tc>
        <w:tc>
          <w:tcPr>
            <w:tcW w:w="1052" w:type="dxa"/>
            <w:gridSpan w:val="2"/>
            <w:tcBorders>
              <w:top w:val="nil"/>
              <w:left w:val="nil"/>
              <w:bottom w:val="single" w:sz="4" w:space="0" w:color="auto"/>
              <w:right w:val="nil"/>
            </w:tcBorders>
            <w:shd w:val="clear" w:color="000000" w:fill="FFFFFF"/>
            <w:noWrap/>
            <w:vAlign w:val="bottom"/>
            <w:hideMark/>
          </w:tcPr>
          <w:p w14:paraId="417613AB"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74</w:t>
            </w:r>
          </w:p>
        </w:tc>
        <w:tc>
          <w:tcPr>
            <w:tcW w:w="1051" w:type="dxa"/>
            <w:gridSpan w:val="2"/>
            <w:tcBorders>
              <w:top w:val="nil"/>
              <w:left w:val="nil"/>
              <w:bottom w:val="single" w:sz="4" w:space="0" w:color="auto"/>
              <w:right w:val="nil"/>
            </w:tcBorders>
            <w:shd w:val="clear" w:color="000000" w:fill="FFFFFF"/>
            <w:noWrap/>
            <w:vAlign w:val="bottom"/>
            <w:hideMark/>
          </w:tcPr>
          <w:p w14:paraId="69DD5AAA"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82</w:t>
            </w:r>
          </w:p>
        </w:tc>
        <w:tc>
          <w:tcPr>
            <w:tcW w:w="1058" w:type="dxa"/>
            <w:gridSpan w:val="3"/>
            <w:tcBorders>
              <w:top w:val="nil"/>
              <w:left w:val="nil"/>
              <w:bottom w:val="single" w:sz="4" w:space="0" w:color="auto"/>
              <w:right w:val="nil"/>
            </w:tcBorders>
            <w:shd w:val="clear" w:color="000000" w:fill="FFFFFF"/>
            <w:noWrap/>
            <w:vAlign w:val="bottom"/>
            <w:hideMark/>
          </w:tcPr>
          <w:p w14:paraId="6BEC19E6"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110,000</w:t>
            </w:r>
          </w:p>
        </w:tc>
        <w:tc>
          <w:tcPr>
            <w:tcW w:w="1043" w:type="dxa"/>
            <w:gridSpan w:val="2"/>
            <w:tcBorders>
              <w:top w:val="nil"/>
              <w:left w:val="nil"/>
              <w:bottom w:val="single" w:sz="4" w:space="0" w:color="auto"/>
              <w:right w:val="nil"/>
            </w:tcBorders>
            <w:shd w:val="clear" w:color="000000" w:fill="FFFFFF"/>
            <w:noWrap/>
            <w:vAlign w:val="bottom"/>
            <w:hideMark/>
          </w:tcPr>
          <w:p w14:paraId="5BAA8D35"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74</w:t>
            </w:r>
          </w:p>
        </w:tc>
        <w:tc>
          <w:tcPr>
            <w:tcW w:w="820" w:type="dxa"/>
            <w:tcBorders>
              <w:top w:val="nil"/>
              <w:left w:val="nil"/>
              <w:bottom w:val="single" w:sz="4" w:space="0" w:color="auto"/>
              <w:right w:val="single" w:sz="4" w:space="0" w:color="auto"/>
            </w:tcBorders>
            <w:shd w:val="clear" w:color="000000" w:fill="FFFFFF"/>
            <w:noWrap/>
            <w:vAlign w:val="bottom"/>
            <w:hideMark/>
          </w:tcPr>
          <w:p w14:paraId="38F7FF73" w14:textId="77777777" w:rsidR="000773A4" w:rsidRPr="00050B4B" w:rsidRDefault="000773A4" w:rsidP="007F628D">
            <w:pPr>
              <w:spacing w:after="0"/>
              <w:jc w:val="right"/>
              <w:rPr>
                <w:rFonts w:ascii="Calibri" w:hAnsi="Calibri" w:cs="Calibri"/>
                <w:color w:val="000000"/>
                <w:sz w:val="16"/>
                <w:szCs w:val="16"/>
              </w:rPr>
            </w:pPr>
            <w:r w:rsidRPr="00050B4B">
              <w:rPr>
                <w:rFonts w:ascii="Calibri" w:hAnsi="Calibri" w:cs="Calibri"/>
                <w:color w:val="000000"/>
                <w:sz w:val="16"/>
                <w:szCs w:val="16"/>
              </w:rPr>
              <w:t>96</w:t>
            </w:r>
          </w:p>
        </w:tc>
      </w:tr>
      <w:tr w:rsidR="000773A4" w:rsidRPr="00050B4B" w14:paraId="00939ECB"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7C6FD67E" w14:textId="77777777" w:rsidR="000773A4" w:rsidRPr="00050B4B" w:rsidRDefault="000773A4" w:rsidP="007F628D">
            <w:pPr>
              <w:spacing w:after="0"/>
              <w:rPr>
                <w:rFonts w:ascii="Calibri" w:hAnsi="Calibri" w:cs="Calibri"/>
                <w:color w:val="000000"/>
                <w:sz w:val="16"/>
                <w:szCs w:val="16"/>
              </w:rPr>
            </w:pPr>
            <w:r w:rsidRPr="00050B4B">
              <w:rPr>
                <w:rFonts w:ascii="Calibri" w:hAnsi="Calibri" w:cs="Calibri"/>
                <w:color w:val="000000"/>
                <w:sz w:val="16"/>
                <w:szCs w:val="16"/>
              </w:rPr>
              <w:t> </w:t>
            </w:r>
          </w:p>
        </w:tc>
        <w:tc>
          <w:tcPr>
            <w:tcW w:w="1052" w:type="dxa"/>
            <w:gridSpan w:val="2"/>
            <w:tcBorders>
              <w:top w:val="nil"/>
              <w:left w:val="nil"/>
              <w:bottom w:val="double" w:sz="6" w:space="0" w:color="auto"/>
              <w:right w:val="nil"/>
            </w:tcBorders>
            <w:shd w:val="clear" w:color="000000" w:fill="FFFFFF"/>
            <w:noWrap/>
            <w:vAlign w:val="bottom"/>
            <w:hideMark/>
          </w:tcPr>
          <w:p w14:paraId="6984A37F" w14:textId="77777777" w:rsidR="000773A4" w:rsidRPr="00050B4B" w:rsidRDefault="000773A4" w:rsidP="007F628D">
            <w:pPr>
              <w:spacing w:after="0"/>
              <w:jc w:val="right"/>
              <w:rPr>
                <w:rFonts w:ascii="Calibri" w:hAnsi="Calibri" w:cs="Calibri"/>
                <w:b/>
                <w:bCs/>
                <w:color w:val="000000"/>
                <w:sz w:val="16"/>
                <w:szCs w:val="16"/>
              </w:rPr>
            </w:pPr>
            <w:r w:rsidRPr="00050B4B">
              <w:rPr>
                <w:rFonts w:ascii="Calibri" w:hAnsi="Calibri" w:cs="Calibri"/>
                <w:b/>
                <w:bCs/>
                <w:color w:val="000000"/>
                <w:sz w:val="16"/>
                <w:szCs w:val="16"/>
              </w:rPr>
              <w:t>36,750</w:t>
            </w:r>
          </w:p>
        </w:tc>
        <w:tc>
          <w:tcPr>
            <w:tcW w:w="1051" w:type="dxa"/>
            <w:gridSpan w:val="2"/>
            <w:tcBorders>
              <w:top w:val="nil"/>
              <w:left w:val="nil"/>
              <w:bottom w:val="double" w:sz="6" w:space="0" w:color="auto"/>
              <w:right w:val="nil"/>
            </w:tcBorders>
            <w:shd w:val="clear" w:color="000000" w:fill="FFFFFF"/>
            <w:noWrap/>
            <w:vAlign w:val="bottom"/>
            <w:hideMark/>
          </w:tcPr>
          <w:p w14:paraId="20812591" w14:textId="77777777" w:rsidR="000773A4" w:rsidRPr="00050B4B" w:rsidRDefault="000773A4" w:rsidP="007F628D">
            <w:pPr>
              <w:spacing w:after="0"/>
              <w:jc w:val="right"/>
              <w:rPr>
                <w:rFonts w:ascii="Calibri" w:hAnsi="Calibri" w:cs="Calibri"/>
                <w:b/>
                <w:bCs/>
                <w:color w:val="000000"/>
                <w:sz w:val="16"/>
                <w:szCs w:val="16"/>
              </w:rPr>
            </w:pPr>
            <w:r w:rsidRPr="00050B4B">
              <w:rPr>
                <w:rFonts w:ascii="Calibri" w:hAnsi="Calibri" w:cs="Calibri"/>
                <w:b/>
                <w:bCs/>
                <w:color w:val="000000"/>
                <w:sz w:val="16"/>
                <w:szCs w:val="16"/>
              </w:rPr>
              <w:t>246,750</w:t>
            </w:r>
          </w:p>
        </w:tc>
        <w:tc>
          <w:tcPr>
            <w:tcW w:w="1058" w:type="dxa"/>
            <w:gridSpan w:val="3"/>
            <w:tcBorders>
              <w:top w:val="nil"/>
              <w:left w:val="nil"/>
              <w:bottom w:val="double" w:sz="6" w:space="0" w:color="auto"/>
              <w:right w:val="nil"/>
            </w:tcBorders>
            <w:shd w:val="clear" w:color="000000" w:fill="FFFFFF"/>
            <w:noWrap/>
            <w:vAlign w:val="bottom"/>
            <w:hideMark/>
          </w:tcPr>
          <w:p w14:paraId="158AEAC5" w14:textId="77777777" w:rsidR="000773A4" w:rsidRPr="00050B4B" w:rsidRDefault="000773A4" w:rsidP="007F628D">
            <w:pPr>
              <w:spacing w:after="0"/>
              <w:jc w:val="right"/>
              <w:rPr>
                <w:rFonts w:ascii="Calibri" w:hAnsi="Calibri" w:cs="Calibri"/>
                <w:b/>
                <w:bCs/>
                <w:color w:val="000000"/>
                <w:sz w:val="16"/>
                <w:szCs w:val="16"/>
              </w:rPr>
            </w:pPr>
            <w:r w:rsidRPr="00050B4B">
              <w:rPr>
                <w:rFonts w:ascii="Calibri" w:hAnsi="Calibri" w:cs="Calibri"/>
                <w:b/>
                <w:bCs/>
                <w:color w:val="000000"/>
                <w:sz w:val="16"/>
                <w:szCs w:val="16"/>
              </w:rPr>
              <w:t>1,100,000</w:t>
            </w:r>
          </w:p>
        </w:tc>
        <w:tc>
          <w:tcPr>
            <w:tcW w:w="1043" w:type="dxa"/>
            <w:gridSpan w:val="2"/>
            <w:tcBorders>
              <w:top w:val="nil"/>
              <w:left w:val="nil"/>
              <w:bottom w:val="double" w:sz="6" w:space="0" w:color="auto"/>
              <w:right w:val="nil"/>
            </w:tcBorders>
            <w:shd w:val="clear" w:color="000000" w:fill="FFFFFF"/>
            <w:noWrap/>
            <w:vAlign w:val="bottom"/>
            <w:hideMark/>
          </w:tcPr>
          <w:p w14:paraId="0D5D38CC" w14:textId="77777777" w:rsidR="000773A4" w:rsidRPr="00050B4B" w:rsidRDefault="000773A4" w:rsidP="007F628D">
            <w:pPr>
              <w:spacing w:after="0"/>
              <w:jc w:val="right"/>
              <w:rPr>
                <w:rFonts w:ascii="Calibri" w:hAnsi="Calibri" w:cs="Calibri"/>
                <w:b/>
                <w:bCs/>
                <w:color w:val="000000"/>
                <w:sz w:val="16"/>
                <w:szCs w:val="16"/>
              </w:rPr>
            </w:pPr>
            <w:r w:rsidRPr="00050B4B">
              <w:rPr>
                <w:rFonts w:ascii="Calibri" w:hAnsi="Calibri" w:cs="Calibri"/>
                <w:b/>
                <w:bCs/>
                <w:color w:val="000000"/>
                <w:sz w:val="16"/>
                <w:szCs w:val="16"/>
              </w:rPr>
              <w:t>44,100</w:t>
            </w:r>
          </w:p>
        </w:tc>
        <w:tc>
          <w:tcPr>
            <w:tcW w:w="820" w:type="dxa"/>
            <w:tcBorders>
              <w:top w:val="nil"/>
              <w:left w:val="nil"/>
              <w:bottom w:val="double" w:sz="6" w:space="0" w:color="auto"/>
              <w:right w:val="nil"/>
            </w:tcBorders>
            <w:shd w:val="clear" w:color="000000" w:fill="FFFFFF"/>
            <w:noWrap/>
            <w:vAlign w:val="bottom"/>
            <w:hideMark/>
          </w:tcPr>
          <w:p w14:paraId="4C58AA8C" w14:textId="77777777" w:rsidR="000773A4" w:rsidRPr="00050B4B" w:rsidRDefault="000773A4" w:rsidP="007F628D">
            <w:pPr>
              <w:spacing w:after="0"/>
              <w:jc w:val="right"/>
              <w:rPr>
                <w:rFonts w:ascii="Calibri" w:hAnsi="Calibri" w:cs="Calibri"/>
                <w:b/>
                <w:bCs/>
                <w:color w:val="000000"/>
                <w:sz w:val="16"/>
                <w:szCs w:val="16"/>
              </w:rPr>
            </w:pPr>
            <w:r w:rsidRPr="00050B4B">
              <w:rPr>
                <w:rFonts w:ascii="Calibri" w:hAnsi="Calibri" w:cs="Calibri"/>
                <w:b/>
                <w:bCs/>
                <w:color w:val="000000"/>
                <w:sz w:val="16"/>
                <w:szCs w:val="16"/>
              </w:rPr>
              <w:t>240,625</w:t>
            </w:r>
          </w:p>
        </w:tc>
      </w:tr>
      <w:tr w:rsidR="000773A4" w:rsidRPr="00710BC4" w14:paraId="16CA723E"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3A3F94BC"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2" w:type="dxa"/>
            <w:gridSpan w:val="2"/>
            <w:tcBorders>
              <w:top w:val="nil"/>
              <w:left w:val="nil"/>
              <w:bottom w:val="nil"/>
              <w:right w:val="nil"/>
            </w:tcBorders>
            <w:shd w:val="clear" w:color="000000" w:fill="FFFFFF"/>
            <w:noWrap/>
            <w:vAlign w:val="bottom"/>
            <w:hideMark/>
          </w:tcPr>
          <w:p w14:paraId="3439B29C"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1" w:type="dxa"/>
            <w:gridSpan w:val="2"/>
            <w:tcBorders>
              <w:top w:val="nil"/>
              <w:left w:val="nil"/>
              <w:bottom w:val="nil"/>
              <w:right w:val="nil"/>
            </w:tcBorders>
            <w:shd w:val="clear" w:color="000000" w:fill="FFFFFF"/>
            <w:noWrap/>
            <w:vAlign w:val="bottom"/>
            <w:hideMark/>
          </w:tcPr>
          <w:p w14:paraId="2485E676"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8" w:type="dxa"/>
            <w:gridSpan w:val="3"/>
            <w:tcBorders>
              <w:top w:val="nil"/>
              <w:left w:val="nil"/>
              <w:bottom w:val="nil"/>
              <w:right w:val="nil"/>
            </w:tcBorders>
            <w:shd w:val="clear" w:color="000000" w:fill="FFFFFF"/>
            <w:noWrap/>
            <w:vAlign w:val="bottom"/>
            <w:hideMark/>
          </w:tcPr>
          <w:p w14:paraId="3FE703E6"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43" w:type="dxa"/>
            <w:gridSpan w:val="2"/>
            <w:tcBorders>
              <w:top w:val="nil"/>
              <w:left w:val="nil"/>
              <w:bottom w:val="nil"/>
              <w:right w:val="nil"/>
            </w:tcBorders>
            <w:shd w:val="clear" w:color="000000" w:fill="FFFFFF"/>
            <w:noWrap/>
            <w:vAlign w:val="bottom"/>
            <w:hideMark/>
          </w:tcPr>
          <w:p w14:paraId="1C8D6FE4" w14:textId="77777777" w:rsidR="000773A4" w:rsidRPr="00710BC4" w:rsidRDefault="000773A4" w:rsidP="000773A4">
            <w:pPr>
              <w:spacing w:after="0"/>
              <w:jc w:val="right"/>
              <w:rPr>
                <w:rFonts w:ascii="Calibri" w:hAnsi="Calibri" w:cs="Calibri"/>
                <w:color w:val="000000"/>
                <w:sz w:val="14"/>
                <w:szCs w:val="14"/>
              </w:rPr>
            </w:pPr>
            <w:r w:rsidRPr="00710BC4">
              <w:rPr>
                <w:rFonts w:ascii="Calibri" w:hAnsi="Calibri" w:cs="Calibri"/>
                <w:color w:val="000000"/>
                <w:sz w:val="14"/>
                <w:szCs w:val="14"/>
              </w:rPr>
              <w:t> </w:t>
            </w:r>
          </w:p>
        </w:tc>
        <w:tc>
          <w:tcPr>
            <w:tcW w:w="820" w:type="dxa"/>
            <w:tcBorders>
              <w:top w:val="nil"/>
              <w:left w:val="nil"/>
              <w:bottom w:val="nil"/>
              <w:right w:val="nil"/>
            </w:tcBorders>
            <w:shd w:val="clear" w:color="000000" w:fill="FFFFFF"/>
            <w:noWrap/>
            <w:vAlign w:val="bottom"/>
            <w:hideMark/>
          </w:tcPr>
          <w:p w14:paraId="790A2F6D"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r>
      <w:tr w:rsidR="000773A4" w:rsidRPr="002A706E" w14:paraId="33BAB978" w14:textId="77777777" w:rsidTr="000773A4">
        <w:trPr>
          <w:trHeight w:val="20"/>
        </w:trPr>
        <w:tc>
          <w:tcPr>
            <w:tcW w:w="3963" w:type="dxa"/>
            <w:gridSpan w:val="3"/>
            <w:tcBorders>
              <w:top w:val="single" w:sz="4" w:space="0" w:color="auto"/>
              <w:left w:val="single" w:sz="4" w:space="0" w:color="auto"/>
              <w:bottom w:val="nil"/>
              <w:right w:val="nil"/>
            </w:tcBorders>
            <w:shd w:val="clear" w:color="000000" w:fill="FFFFFF"/>
            <w:noWrap/>
            <w:vAlign w:val="bottom"/>
            <w:hideMark/>
          </w:tcPr>
          <w:p w14:paraId="6F8D81EC" w14:textId="77777777" w:rsidR="000773A4" w:rsidRPr="002A706E" w:rsidRDefault="000773A4" w:rsidP="007F628D">
            <w:pPr>
              <w:spacing w:after="0"/>
              <w:rPr>
                <w:rFonts w:ascii="Calibri" w:hAnsi="Calibri" w:cs="Calibri"/>
                <w:b/>
                <w:bCs/>
                <w:color w:val="000000"/>
                <w:sz w:val="16"/>
                <w:szCs w:val="16"/>
              </w:rPr>
            </w:pPr>
            <w:r w:rsidRPr="002A706E">
              <w:rPr>
                <w:rFonts w:ascii="Calibri" w:hAnsi="Calibri" w:cs="Calibri"/>
                <w:b/>
                <w:bCs/>
                <w:color w:val="000000"/>
                <w:sz w:val="16"/>
                <w:szCs w:val="16"/>
              </w:rPr>
              <w:t xml:space="preserve"> Start-up cost (over 1 year) (Medium 32 with </w:t>
            </w:r>
            <w:proofErr w:type="spellStart"/>
            <w:r w:rsidRPr="002A706E">
              <w:rPr>
                <w:rFonts w:ascii="Calibri" w:hAnsi="Calibri" w:cs="Calibri"/>
                <w:b/>
                <w:bCs/>
                <w:color w:val="000000"/>
                <w:sz w:val="16"/>
                <w:szCs w:val="16"/>
              </w:rPr>
              <w:t>MySuper</w:t>
            </w:r>
            <w:proofErr w:type="spellEnd"/>
            <w:r w:rsidRPr="002A706E">
              <w:rPr>
                <w:rFonts w:ascii="Calibri" w:hAnsi="Calibri" w:cs="Calibri"/>
                <w:b/>
                <w:bCs/>
                <w:color w:val="000000"/>
                <w:sz w:val="16"/>
                <w:szCs w:val="16"/>
              </w:rPr>
              <w:t xml:space="preserve">) </w:t>
            </w:r>
          </w:p>
        </w:tc>
        <w:tc>
          <w:tcPr>
            <w:tcW w:w="1052" w:type="dxa"/>
            <w:gridSpan w:val="2"/>
            <w:tcBorders>
              <w:top w:val="single" w:sz="4" w:space="0" w:color="auto"/>
              <w:left w:val="nil"/>
              <w:bottom w:val="single" w:sz="4" w:space="0" w:color="auto"/>
              <w:right w:val="nil"/>
            </w:tcBorders>
            <w:shd w:val="clear" w:color="000000" w:fill="FFFFFF"/>
            <w:vAlign w:val="bottom"/>
            <w:hideMark/>
          </w:tcPr>
          <w:p w14:paraId="22BE2CED"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Education</w:t>
            </w:r>
          </w:p>
        </w:tc>
        <w:tc>
          <w:tcPr>
            <w:tcW w:w="1051" w:type="dxa"/>
            <w:gridSpan w:val="2"/>
            <w:tcBorders>
              <w:top w:val="single" w:sz="4" w:space="0" w:color="auto"/>
              <w:left w:val="nil"/>
              <w:bottom w:val="single" w:sz="4" w:space="0" w:color="auto"/>
              <w:right w:val="nil"/>
            </w:tcBorders>
            <w:shd w:val="clear" w:color="000000" w:fill="FFFFFF"/>
            <w:vAlign w:val="bottom"/>
            <w:hideMark/>
          </w:tcPr>
          <w:p w14:paraId="74CE530A"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Record Keeping</w:t>
            </w:r>
          </w:p>
        </w:tc>
        <w:tc>
          <w:tcPr>
            <w:tcW w:w="1058" w:type="dxa"/>
            <w:gridSpan w:val="3"/>
            <w:tcBorders>
              <w:top w:val="single" w:sz="4" w:space="0" w:color="auto"/>
              <w:left w:val="nil"/>
              <w:bottom w:val="single" w:sz="4" w:space="0" w:color="auto"/>
              <w:right w:val="nil"/>
            </w:tcBorders>
            <w:shd w:val="clear" w:color="000000" w:fill="FFFFFF"/>
            <w:vAlign w:val="bottom"/>
            <w:hideMark/>
          </w:tcPr>
          <w:p w14:paraId="2A54A9C2"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Purchasing</w:t>
            </w:r>
          </w:p>
        </w:tc>
        <w:tc>
          <w:tcPr>
            <w:tcW w:w="1043" w:type="dxa"/>
            <w:gridSpan w:val="2"/>
            <w:tcBorders>
              <w:top w:val="single" w:sz="4" w:space="0" w:color="auto"/>
              <w:left w:val="nil"/>
              <w:bottom w:val="single" w:sz="4" w:space="0" w:color="auto"/>
              <w:right w:val="nil"/>
            </w:tcBorders>
            <w:shd w:val="clear" w:color="000000" w:fill="FFFFFF"/>
            <w:vAlign w:val="bottom"/>
            <w:hideMark/>
          </w:tcPr>
          <w:p w14:paraId="0D014C86"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Publication and Documentation</w:t>
            </w:r>
          </w:p>
        </w:tc>
        <w:tc>
          <w:tcPr>
            <w:tcW w:w="820" w:type="dxa"/>
            <w:tcBorders>
              <w:top w:val="single" w:sz="4" w:space="0" w:color="auto"/>
              <w:left w:val="nil"/>
              <w:bottom w:val="single" w:sz="4" w:space="0" w:color="auto"/>
              <w:right w:val="single" w:sz="4" w:space="0" w:color="auto"/>
            </w:tcBorders>
            <w:shd w:val="clear" w:color="000000" w:fill="FFFFFF"/>
            <w:vAlign w:val="bottom"/>
            <w:hideMark/>
          </w:tcPr>
          <w:p w14:paraId="05E16A61"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Other</w:t>
            </w:r>
          </w:p>
        </w:tc>
      </w:tr>
      <w:tr w:rsidR="000773A4" w:rsidRPr="002A706E" w14:paraId="5D5302CD"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1D6A0D35"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Number of businesses affected by activity</w:t>
            </w:r>
          </w:p>
        </w:tc>
        <w:tc>
          <w:tcPr>
            <w:tcW w:w="1052" w:type="dxa"/>
            <w:gridSpan w:val="2"/>
            <w:tcBorders>
              <w:top w:val="nil"/>
              <w:left w:val="nil"/>
              <w:bottom w:val="nil"/>
              <w:right w:val="nil"/>
            </w:tcBorders>
            <w:shd w:val="clear" w:color="000000" w:fill="FFFFFF"/>
            <w:noWrap/>
            <w:vAlign w:val="bottom"/>
            <w:hideMark/>
          </w:tcPr>
          <w:p w14:paraId="08897137"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32</w:t>
            </w:r>
          </w:p>
        </w:tc>
        <w:tc>
          <w:tcPr>
            <w:tcW w:w="1051" w:type="dxa"/>
            <w:gridSpan w:val="2"/>
            <w:tcBorders>
              <w:top w:val="nil"/>
              <w:left w:val="nil"/>
              <w:bottom w:val="nil"/>
              <w:right w:val="nil"/>
            </w:tcBorders>
            <w:shd w:val="clear" w:color="000000" w:fill="FFFFFF"/>
            <w:noWrap/>
            <w:vAlign w:val="bottom"/>
            <w:hideMark/>
          </w:tcPr>
          <w:p w14:paraId="1BC8FEFC"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32</w:t>
            </w:r>
          </w:p>
        </w:tc>
        <w:tc>
          <w:tcPr>
            <w:tcW w:w="1058" w:type="dxa"/>
            <w:gridSpan w:val="3"/>
            <w:tcBorders>
              <w:top w:val="nil"/>
              <w:left w:val="nil"/>
              <w:bottom w:val="nil"/>
              <w:right w:val="nil"/>
            </w:tcBorders>
            <w:shd w:val="clear" w:color="000000" w:fill="FFFFFF"/>
            <w:noWrap/>
            <w:vAlign w:val="bottom"/>
            <w:hideMark/>
          </w:tcPr>
          <w:p w14:paraId="08EABF46"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32</w:t>
            </w:r>
          </w:p>
        </w:tc>
        <w:tc>
          <w:tcPr>
            <w:tcW w:w="1043" w:type="dxa"/>
            <w:gridSpan w:val="2"/>
            <w:tcBorders>
              <w:top w:val="nil"/>
              <w:left w:val="nil"/>
              <w:bottom w:val="nil"/>
              <w:right w:val="nil"/>
            </w:tcBorders>
            <w:shd w:val="clear" w:color="000000" w:fill="FFFFFF"/>
            <w:noWrap/>
            <w:vAlign w:val="bottom"/>
            <w:hideMark/>
          </w:tcPr>
          <w:p w14:paraId="30B89CF9"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32</w:t>
            </w:r>
          </w:p>
        </w:tc>
        <w:tc>
          <w:tcPr>
            <w:tcW w:w="820" w:type="dxa"/>
            <w:tcBorders>
              <w:top w:val="nil"/>
              <w:left w:val="nil"/>
              <w:bottom w:val="nil"/>
              <w:right w:val="single" w:sz="4" w:space="0" w:color="auto"/>
            </w:tcBorders>
            <w:shd w:val="clear" w:color="000000" w:fill="FFFFFF"/>
            <w:noWrap/>
            <w:vAlign w:val="bottom"/>
            <w:hideMark/>
          </w:tcPr>
          <w:p w14:paraId="356ACD4E"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32</w:t>
            </w:r>
          </w:p>
        </w:tc>
      </w:tr>
      <w:tr w:rsidR="000773A4" w:rsidRPr="002A706E" w14:paraId="773842AE"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549F47AA"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Number of staff per business performing activity</w:t>
            </w:r>
          </w:p>
        </w:tc>
        <w:tc>
          <w:tcPr>
            <w:tcW w:w="1052" w:type="dxa"/>
            <w:gridSpan w:val="2"/>
            <w:tcBorders>
              <w:top w:val="nil"/>
              <w:left w:val="nil"/>
              <w:bottom w:val="nil"/>
              <w:right w:val="nil"/>
            </w:tcBorders>
            <w:shd w:val="clear" w:color="000000" w:fill="FFFFFF"/>
            <w:noWrap/>
            <w:vAlign w:val="bottom"/>
            <w:hideMark/>
          </w:tcPr>
          <w:p w14:paraId="7D8D32C0"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4</w:t>
            </w:r>
          </w:p>
        </w:tc>
        <w:tc>
          <w:tcPr>
            <w:tcW w:w="1051" w:type="dxa"/>
            <w:gridSpan w:val="2"/>
            <w:tcBorders>
              <w:top w:val="nil"/>
              <w:left w:val="nil"/>
              <w:bottom w:val="nil"/>
              <w:right w:val="nil"/>
            </w:tcBorders>
            <w:shd w:val="clear" w:color="000000" w:fill="FFFFFF"/>
            <w:noWrap/>
            <w:vAlign w:val="bottom"/>
            <w:hideMark/>
          </w:tcPr>
          <w:p w14:paraId="2CE0E277"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3</w:t>
            </w:r>
          </w:p>
        </w:tc>
        <w:tc>
          <w:tcPr>
            <w:tcW w:w="1058" w:type="dxa"/>
            <w:gridSpan w:val="3"/>
            <w:tcBorders>
              <w:top w:val="nil"/>
              <w:left w:val="nil"/>
              <w:bottom w:val="nil"/>
              <w:right w:val="nil"/>
            </w:tcBorders>
            <w:shd w:val="clear" w:color="000000" w:fill="FFFFFF"/>
            <w:noWrap/>
            <w:vAlign w:val="bottom"/>
            <w:hideMark/>
          </w:tcPr>
          <w:p w14:paraId="4A5CCCAA" w14:textId="77777777" w:rsidR="000773A4" w:rsidRPr="002A706E"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65248300"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w:t>
            </w:r>
          </w:p>
        </w:tc>
        <w:tc>
          <w:tcPr>
            <w:tcW w:w="820" w:type="dxa"/>
            <w:tcBorders>
              <w:top w:val="nil"/>
              <w:left w:val="nil"/>
              <w:bottom w:val="nil"/>
              <w:right w:val="single" w:sz="4" w:space="0" w:color="auto"/>
            </w:tcBorders>
            <w:shd w:val="clear" w:color="000000" w:fill="FFFFFF"/>
            <w:noWrap/>
            <w:vAlign w:val="bottom"/>
            <w:hideMark/>
          </w:tcPr>
          <w:p w14:paraId="44C290C2"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w:t>
            </w:r>
          </w:p>
        </w:tc>
      </w:tr>
      <w:tr w:rsidR="000773A4" w:rsidRPr="002A706E" w14:paraId="5244E36C"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4463161B"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Number of times activity performed per staff</w:t>
            </w:r>
          </w:p>
        </w:tc>
        <w:tc>
          <w:tcPr>
            <w:tcW w:w="1052" w:type="dxa"/>
            <w:gridSpan w:val="2"/>
            <w:tcBorders>
              <w:top w:val="nil"/>
              <w:left w:val="nil"/>
              <w:bottom w:val="nil"/>
              <w:right w:val="nil"/>
            </w:tcBorders>
            <w:shd w:val="clear" w:color="000000" w:fill="FFFFFF"/>
            <w:noWrap/>
            <w:vAlign w:val="bottom"/>
            <w:hideMark/>
          </w:tcPr>
          <w:p w14:paraId="2853DE41"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w:t>
            </w:r>
          </w:p>
        </w:tc>
        <w:tc>
          <w:tcPr>
            <w:tcW w:w="1051" w:type="dxa"/>
            <w:gridSpan w:val="2"/>
            <w:tcBorders>
              <w:top w:val="nil"/>
              <w:left w:val="nil"/>
              <w:bottom w:val="nil"/>
              <w:right w:val="nil"/>
            </w:tcBorders>
            <w:shd w:val="clear" w:color="000000" w:fill="FFFFFF"/>
            <w:noWrap/>
            <w:vAlign w:val="bottom"/>
            <w:hideMark/>
          </w:tcPr>
          <w:p w14:paraId="3482324A"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w:t>
            </w:r>
          </w:p>
        </w:tc>
        <w:tc>
          <w:tcPr>
            <w:tcW w:w="1058" w:type="dxa"/>
            <w:gridSpan w:val="3"/>
            <w:tcBorders>
              <w:top w:val="nil"/>
              <w:left w:val="nil"/>
              <w:bottom w:val="nil"/>
              <w:right w:val="nil"/>
            </w:tcBorders>
            <w:shd w:val="clear" w:color="000000" w:fill="FFFFFF"/>
            <w:noWrap/>
            <w:vAlign w:val="bottom"/>
            <w:hideMark/>
          </w:tcPr>
          <w:p w14:paraId="01D01016" w14:textId="77777777" w:rsidR="000773A4" w:rsidRPr="002A706E"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2605CF3F"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w:t>
            </w:r>
          </w:p>
        </w:tc>
        <w:tc>
          <w:tcPr>
            <w:tcW w:w="820" w:type="dxa"/>
            <w:tcBorders>
              <w:top w:val="nil"/>
              <w:left w:val="nil"/>
              <w:bottom w:val="nil"/>
              <w:right w:val="single" w:sz="4" w:space="0" w:color="auto"/>
            </w:tcBorders>
            <w:shd w:val="clear" w:color="000000" w:fill="FFFFFF"/>
            <w:noWrap/>
            <w:vAlign w:val="bottom"/>
            <w:hideMark/>
          </w:tcPr>
          <w:p w14:paraId="47EC60A8"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w:t>
            </w:r>
          </w:p>
        </w:tc>
      </w:tr>
      <w:tr w:rsidR="000773A4" w:rsidRPr="002A706E" w14:paraId="74CB4620"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37D590A2"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Avg. time of each staff to do activity (in hours)</w:t>
            </w:r>
          </w:p>
        </w:tc>
        <w:tc>
          <w:tcPr>
            <w:tcW w:w="1052" w:type="dxa"/>
            <w:gridSpan w:val="2"/>
            <w:tcBorders>
              <w:top w:val="nil"/>
              <w:left w:val="nil"/>
              <w:bottom w:val="nil"/>
              <w:right w:val="nil"/>
            </w:tcBorders>
            <w:shd w:val="clear" w:color="000000" w:fill="FFFFFF"/>
            <w:noWrap/>
            <w:vAlign w:val="bottom"/>
            <w:hideMark/>
          </w:tcPr>
          <w:p w14:paraId="171A6DFF"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20</w:t>
            </w:r>
          </w:p>
        </w:tc>
        <w:tc>
          <w:tcPr>
            <w:tcW w:w="1051" w:type="dxa"/>
            <w:gridSpan w:val="2"/>
            <w:tcBorders>
              <w:top w:val="nil"/>
              <w:left w:val="nil"/>
              <w:bottom w:val="nil"/>
              <w:right w:val="nil"/>
            </w:tcBorders>
            <w:shd w:val="clear" w:color="000000" w:fill="FFFFFF"/>
            <w:noWrap/>
            <w:vAlign w:val="bottom"/>
            <w:hideMark/>
          </w:tcPr>
          <w:p w14:paraId="6BFA8CA0"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400</w:t>
            </w:r>
          </w:p>
        </w:tc>
        <w:tc>
          <w:tcPr>
            <w:tcW w:w="1058" w:type="dxa"/>
            <w:gridSpan w:val="3"/>
            <w:tcBorders>
              <w:top w:val="nil"/>
              <w:left w:val="nil"/>
              <w:bottom w:val="nil"/>
              <w:right w:val="nil"/>
            </w:tcBorders>
            <w:shd w:val="clear" w:color="000000" w:fill="FFFFFF"/>
            <w:noWrap/>
            <w:vAlign w:val="bottom"/>
            <w:hideMark/>
          </w:tcPr>
          <w:p w14:paraId="05F1D0C9" w14:textId="77777777" w:rsidR="000773A4" w:rsidRPr="002A706E"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28E36FD6"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150</w:t>
            </w:r>
          </w:p>
        </w:tc>
        <w:tc>
          <w:tcPr>
            <w:tcW w:w="820" w:type="dxa"/>
            <w:tcBorders>
              <w:top w:val="nil"/>
              <w:left w:val="nil"/>
              <w:bottom w:val="nil"/>
              <w:right w:val="single" w:sz="4" w:space="0" w:color="auto"/>
            </w:tcBorders>
            <w:shd w:val="clear" w:color="000000" w:fill="FFFFFF"/>
            <w:noWrap/>
            <w:vAlign w:val="bottom"/>
            <w:hideMark/>
          </w:tcPr>
          <w:p w14:paraId="38461CCA"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400</w:t>
            </w:r>
          </w:p>
        </w:tc>
      </w:tr>
      <w:tr w:rsidR="000773A4" w:rsidRPr="002A706E" w14:paraId="08F68721" w14:textId="77777777" w:rsidTr="000773A4">
        <w:trPr>
          <w:trHeight w:val="20"/>
        </w:trPr>
        <w:tc>
          <w:tcPr>
            <w:tcW w:w="3963" w:type="dxa"/>
            <w:gridSpan w:val="3"/>
            <w:tcBorders>
              <w:top w:val="nil"/>
              <w:left w:val="single" w:sz="4" w:space="0" w:color="auto"/>
              <w:bottom w:val="single" w:sz="4" w:space="0" w:color="auto"/>
              <w:right w:val="nil"/>
            </w:tcBorders>
            <w:shd w:val="clear" w:color="000000" w:fill="FFFFFF"/>
            <w:noWrap/>
            <w:vAlign w:val="bottom"/>
            <w:hideMark/>
          </w:tcPr>
          <w:p w14:paraId="354E242D"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Labour cost ($/hr) (wage + non-wage labour cost rate) </w:t>
            </w:r>
          </w:p>
        </w:tc>
        <w:tc>
          <w:tcPr>
            <w:tcW w:w="1052" w:type="dxa"/>
            <w:gridSpan w:val="2"/>
            <w:tcBorders>
              <w:top w:val="nil"/>
              <w:left w:val="nil"/>
              <w:bottom w:val="single" w:sz="4" w:space="0" w:color="auto"/>
              <w:right w:val="nil"/>
            </w:tcBorders>
            <w:shd w:val="clear" w:color="000000" w:fill="FFFFFF"/>
            <w:noWrap/>
            <w:vAlign w:val="bottom"/>
            <w:hideMark/>
          </w:tcPr>
          <w:p w14:paraId="11CE9137"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74</w:t>
            </w:r>
          </w:p>
        </w:tc>
        <w:tc>
          <w:tcPr>
            <w:tcW w:w="1051" w:type="dxa"/>
            <w:gridSpan w:val="2"/>
            <w:tcBorders>
              <w:top w:val="nil"/>
              <w:left w:val="nil"/>
              <w:bottom w:val="single" w:sz="4" w:space="0" w:color="auto"/>
              <w:right w:val="nil"/>
            </w:tcBorders>
            <w:shd w:val="clear" w:color="000000" w:fill="FFFFFF"/>
            <w:noWrap/>
            <w:vAlign w:val="bottom"/>
            <w:hideMark/>
          </w:tcPr>
          <w:p w14:paraId="3CA5ADAB"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82</w:t>
            </w:r>
          </w:p>
        </w:tc>
        <w:tc>
          <w:tcPr>
            <w:tcW w:w="1058" w:type="dxa"/>
            <w:gridSpan w:val="3"/>
            <w:tcBorders>
              <w:top w:val="nil"/>
              <w:left w:val="nil"/>
              <w:bottom w:val="single" w:sz="4" w:space="0" w:color="auto"/>
              <w:right w:val="nil"/>
            </w:tcBorders>
            <w:shd w:val="clear" w:color="000000" w:fill="FFFFFF"/>
            <w:noWrap/>
            <w:vAlign w:val="bottom"/>
            <w:hideMark/>
          </w:tcPr>
          <w:p w14:paraId="3B0445EC"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200,000</w:t>
            </w:r>
          </w:p>
        </w:tc>
        <w:tc>
          <w:tcPr>
            <w:tcW w:w="1043" w:type="dxa"/>
            <w:gridSpan w:val="2"/>
            <w:tcBorders>
              <w:top w:val="nil"/>
              <w:left w:val="nil"/>
              <w:bottom w:val="single" w:sz="4" w:space="0" w:color="auto"/>
              <w:right w:val="nil"/>
            </w:tcBorders>
            <w:shd w:val="clear" w:color="000000" w:fill="FFFFFF"/>
            <w:noWrap/>
            <w:vAlign w:val="bottom"/>
            <w:hideMark/>
          </w:tcPr>
          <w:p w14:paraId="2DFB4F8B"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74</w:t>
            </w:r>
          </w:p>
        </w:tc>
        <w:tc>
          <w:tcPr>
            <w:tcW w:w="820" w:type="dxa"/>
            <w:tcBorders>
              <w:top w:val="nil"/>
              <w:left w:val="nil"/>
              <w:bottom w:val="single" w:sz="4" w:space="0" w:color="auto"/>
              <w:right w:val="single" w:sz="4" w:space="0" w:color="auto"/>
            </w:tcBorders>
            <w:shd w:val="clear" w:color="000000" w:fill="FFFFFF"/>
            <w:noWrap/>
            <w:vAlign w:val="bottom"/>
            <w:hideMark/>
          </w:tcPr>
          <w:p w14:paraId="1D27550D"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96</w:t>
            </w:r>
          </w:p>
        </w:tc>
      </w:tr>
      <w:tr w:rsidR="000773A4" w:rsidRPr="002A706E" w14:paraId="7FDF2872"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74AAA153"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w:t>
            </w:r>
          </w:p>
        </w:tc>
        <w:tc>
          <w:tcPr>
            <w:tcW w:w="1052" w:type="dxa"/>
            <w:gridSpan w:val="2"/>
            <w:tcBorders>
              <w:top w:val="nil"/>
              <w:left w:val="nil"/>
              <w:bottom w:val="double" w:sz="6" w:space="0" w:color="auto"/>
              <w:right w:val="nil"/>
            </w:tcBorders>
            <w:shd w:val="clear" w:color="000000" w:fill="FFFFFF"/>
            <w:noWrap/>
            <w:vAlign w:val="bottom"/>
            <w:hideMark/>
          </w:tcPr>
          <w:p w14:paraId="50FBF107"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188,160</w:t>
            </w:r>
          </w:p>
        </w:tc>
        <w:tc>
          <w:tcPr>
            <w:tcW w:w="1051" w:type="dxa"/>
            <w:gridSpan w:val="2"/>
            <w:tcBorders>
              <w:top w:val="nil"/>
              <w:left w:val="nil"/>
              <w:bottom w:val="double" w:sz="6" w:space="0" w:color="auto"/>
              <w:right w:val="nil"/>
            </w:tcBorders>
            <w:shd w:val="clear" w:color="000000" w:fill="FFFFFF"/>
            <w:noWrap/>
            <w:vAlign w:val="bottom"/>
            <w:hideMark/>
          </w:tcPr>
          <w:p w14:paraId="6C5A6764"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3,158,400</w:t>
            </w:r>
          </w:p>
        </w:tc>
        <w:tc>
          <w:tcPr>
            <w:tcW w:w="1058" w:type="dxa"/>
            <w:gridSpan w:val="3"/>
            <w:tcBorders>
              <w:top w:val="nil"/>
              <w:left w:val="nil"/>
              <w:bottom w:val="double" w:sz="6" w:space="0" w:color="auto"/>
              <w:right w:val="nil"/>
            </w:tcBorders>
            <w:shd w:val="clear" w:color="000000" w:fill="FFFFFF"/>
            <w:noWrap/>
            <w:vAlign w:val="bottom"/>
            <w:hideMark/>
          </w:tcPr>
          <w:p w14:paraId="633D5CF7"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6,400,000</w:t>
            </w:r>
          </w:p>
        </w:tc>
        <w:tc>
          <w:tcPr>
            <w:tcW w:w="1043" w:type="dxa"/>
            <w:gridSpan w:val="2"/>
            <w:tcBorders>
              <w:top w:val="nil"/>
              <w:left w:val="nil"/>
              <w:bottom w:val="double" w:sz="6" w:space="0" w:color="auto"/>
              <w:right w:val="nil"/>
            </w:tcBorders>
            <w:shd w:val="clear" w:color="000000" w:fill="FFFFFF"/>
            <w:noWrap/>
            <w:vAlign w:val="bottom"/>
            <w:hideMark/>
          </w:tcPr>
          <w:p w14:paraId="44245077"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705,600</w:t>
            </w:r>
          </w:p>
        </w:tc>
        <w:tc>
          <w:tcPr>
            <w:tcW w:w="820" w:type="dxa"/>
            <w:tcBorders>
              <w:top w:val="nil"/>
              <w:left w:val="nil"/>
              <w:bottom w:val="double" w:sz="6" w:space="0" w:color="auto"/>
              <w:right w:val="nil"/>
            </w:tcBorders>
            <w:shd w:val="clear" w:color="000000" w:fill="FFFFFF"/>
            <w:noWrap/>
            <w:vAlign w:val="bottom"/>
            <w:hideMark/>
          </w:tcPr>
          <w:p w14:paraId="402FABD0"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2,464,000</w:t>
            </w:r>
          </w:p>
        </w:tc>
      </w:tr>
      <w:tr w:rsidR="000773A4" w:rsidRPr="00710BC4" w14:paraId="3B486CB4"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2F1F8E1C"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2" w:type="dxa"/>
            <w:gridSpan w:val="2"/>
            <w:tcBorders>
              <w:top w:val="nil"/>
              <w:left w:val="nil"/>
              <w:bottom w:val="nil"/>
              <w:right w:val="nil"/>
            </w:tcBorders>
            <w:shd w:val="clear" w:color="000000" w:fill="FFFFFF"/>
            <w:noWrap/>
            <w:vAlign w:val="bottom"/>
            <w:hideMark/>
          </w:tcPr>
          <w:p w14:paraId="689B82D7"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1" w:type="dxa"/>
            <w:gridSpan w:val="2"/>
            <w:tcBorders>
              <w:top w:val="nil"/>
              <w:left w:val="nil"/>
              <w:bottom w:val="nil"/>
              <w:right w:val="nil"/>
            </w:tcBorders>
            <w:shd w:val="clear" w:color="000000" w:fill="FFFFFF"/>
            <w:noWrap/>
            <w:vAlign w:val="bottom"/>
            <w:hideMark/>
          </w:tcPr>
          <w:p w14:paraId="30F75490"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8" w:type="dxa"/>
            <w:gridSpan w:val="3"/>
            <w:tcBorders>
              <w:top w:val="nil"/>
              <w:left w:val="nil"/>
              <w:bottom w:val="nil"/>
              <w:right w:val="nil"/>
            </w:tcBorders>
            <w:shd w:val="clear" w:color="000000" w:fill="FFFFFF"/>
            <w:noWrap/>
            <w:vAlign w:val="bottom"/>
            <w:hideMark/>
          </w:tcPr>
          <w:p w14:paraId="1B73E5B7"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43" w:type="dxa"/>
            <w:gridSpan w:val="2"/>
            <w:tcBorders>
              <w:top w:val="nil"/>
              <w:left w:val="nil"/>
              <w:bottom w:val="nil"/>
              <w:right w:val="nil"/>
            </w:tcBorders>
            <w:shd w:val="clear" w:color="000000" w:fill="FFFFFF"/>
            <w:noWrap/>
            <w:vAlign w:val="bottom"/>
            <w:hideMark/>
          </w:tcPr>
          <w:p w14:paraId="4840694F" w14:textId="77777777" w:rsidR="000773A4" w:rsidRPr="00710BC4" w:rsidRDefault="000773A4" w:rsidP="000773A4">
            <w:pPr>
              <w:spacing w:after="0"/>
              <w:jc w:val="right"/>
              <w:rPr>
                <w:rFonts w:ascii="Calibri" w:hAnsi="Calibri" w:cs="Calibri"/>
                <w:color w:val="000000"/>
                <w:sz w:val="14"/>
                <w:szCs w:val="14"/>
              </w:rPr>
            </w:pPr>
            <w:r w:rsidRPr="00710BC4">
              <w:rPr>
                <w:rFonts w:ascii="Calibri" w:hAnsi="Calibri" w:cs="Calibri"/>
                <w:color w:val="000000"/>
                <w:sz w:val="14"/>
                <w:szCs w:val="14"/>
              </w:rPr>
              <w:t> </w:t>
            </w:r>
          </w:p>
        </w:tc>
        <w:tc>
          <w:tcPr>
            <w:tcW w:w="820" w:type="dxa"/>
            <w:tcBorders>
              <w:top w:val="nil"/>
              <w:left w:val="nil"/>
              <w:bottom w:val="nil"/>
              <w:right w:val="nil"/>
            </w:tcBorders>
            <w:shd w:val="clear" w:color="000000" w:fill="FFFFFF"/>
            <w:noWrap/>
            <w:vAlign w:val="bottom"/>
            <w:hideMark/>
          </w:tcPr>
          <w:p w14:paraId="6A14CEA5"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r>
      <w:tr w:rsidR="000773A4" w:rsidRPr="002A706E" w14:paraId="6E353B03" w14:textId="77777777" w:rsidTr="000773A4">
        <w:trPr>
          <w:trHeight w:val="20"/>
        </w:trPr>
        <w:tc>
          <w:tcPr>
            <w:tcW w:w="3963" w:type="dxa"/>
            <w:gridSpan w:val="3"/>
            <w:tcBorders>
              <w:top w:val="single" w:sz="4" w:space="0" w:color="auto"/>
              <w:left w:val="single" w:sz="4" w:space="0" w:color="auto"/>
              <w:bottom w:val="nil"/>
              <w:right w:val="nil"/>
            </w:tcBorders>
            <w:shd w:val="clear" w:color="000000" w:fill="FFFFFF"/>
            <w:noWrap/>
            <w:vAlign w:val="bottom"/>
            <w:hideMark/>
          </w:tcPr>
          <w:p w14:paraId="647F0A48" w14:textId="77777777" w:rsidR="000773A4" w:rsidRPr="002A706E" w:rsidRDefault="000773A4" w:rsidP="007F628D">
            <w:pPr>
              <w:spacing w:after="0"/>
              <w:rPr>
                <w:rFonts w:ascii="Calibri" w:hAnsi="Calibri" w:cs="Calibri"/>
                <w:b/>
                <w:bCs/>
                <w:color w:val="000000"/>
                <w:sz w:val="16"/>
                <w:szCs w:val="16"/>
              </w:rPr>
            </w:pPr>
            <w:r w:rsidRPr="002A706E">
              <w:rPr>
                <w:rFonts w:ascii="Calibri" w:hAnsi="Calibri" w:cs="Calibri"/>
                <w:b/>
                <w:bCs/>
                <w:color w:val="000000"/>
                <w:sz w:val="16"/>
                <w:szCs w:val="16"/>
              </w:rPr>
              <w:t xml:space="preserve"> Start-up cost (over 1 year) (Medium 24 with no </w:t>
            </w:r>
            <w:proofErr w:type="spellStart"/>
            <w:r w:rsidRPr="002A706E">
              <w:rPr>
                <w:rFonts w:ascii="Calibri" w:hAnsi="Calibri" w:cs="Calibri"/>
                <w:b/>
                <w:bCs/>
                <w:color w:val="000000"/>
                <w:sz w:val="16"/>
                <w:szCs w:val="16"/>
              </w:rPr>
              <w:t>MySuper</w:t>
            </w:r>
            <w:proofErr w:type="spellEnd"/>
            <w:r w:rsidRPr="002A706E">
              <w:rPr>
                <w:rFonts w:ascii="Calibri" w:hAnsi="Calibri" w:cs="Calibri"/>
                <w:b/>
                <w:bCs/>
                <w:color w:val="000000"/>
                <w:sz w:val="16"/>
                <w:szCs w:val="16"/>
              </w:rPr>
              <w:t xml:space="preserve">) </w:t>
            </w:r>
          </w:p>
        </w:tc>
        <w:tc>
          <w:tcPr>
            <w:tcW w:w="1052" w:type="dxa"/>
            <w:gridSpan w:val="2"/>
            <w:tcBorders>
              <w:top w:val="single" w:sz="4" w:space="0" w:color="auto"/>
              <w:left w:val="nil"/>
              <w:bottom w:val="single" w:sz="4" w:space="0" w:color="auto"/>
              <w:right w:val="nil"/>
            </w:tcBorders>
            <w:shd w:val="clear" w:color="000000" w:fill="FFFFFF"/>
            <w:vAlign w:val="bottom"/>
            <w:hideMark/>
          </w:tcPr>
          <w:p w14:paraId="78BA64A3"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Education</w:t>
            </w:r>
          </w:p>
        </w:tc>
        <w:tc>
          <w:tcPr>
            <w:tcW w:w="1051" w:type="dxa"/>
            <w:gridSpan w:val="2"/>
            <w:tcBorders>
              <w:top w:val="single" w:sz="4" w:space="0" w:color="auto"/>
              <w:left w:val="nil"/>
              <w:bottom w:val="single" w:sz="4" w:space="0" w:color="auto"/>
              <w:right w:val="nil"/>
            </w:tcBorders>
            <w:shd w:val="clear" w:color="000000" w:fill="FFFFFF"/>
            <w:vAlign w:val="bottom"/>
            <w:hideMark/>
          </w:tcPr>
          <w:p w14:paraId="21B3C46B"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Record Keeping</w:t>
            </w:r>
          </w:p>
        </w:tc>
        <w:tc>
          <w:tcPr>
            <w:tcW w:w="1058" w:type="dxa"/>
            <w:gridSpan w:val="3"/>
            <w:tcBorders>
              <w:top w:val="single" w:sz="4" w:space="0" w:color="auto"/>
              <w:left w:val="nil"/>
              <w:bottom w:val="single" w:sz="4" w:space="0" w:color="auto"/>
              <w:right w:val="nil"/>
            </w:tcBorders>
            <w:shd w:val="clear" w:color="000000" w:fill="FFFFFF"/>
            <w:vAlign w:val="bottom"/>
            <w:hideMark/>
          </w:tcPr>
          <w:p w14:paraId="0882F273"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Purchasing</w:t>
            </w:r>
          </w:p>
        </w:tc>
        <w:tc>
          <w:tcPr>
            <w:tcW w:w="1043" w:type="dxa"/>
            <w:gridSpan w:val="2"/>
            <w:tcBorders>
              <w:top w:val="single" w:sz="4" w:space="0" w:color="auto"/>
              <w:left w:val="nil"/>
              <w:bottom w:val="single" w:sz="4" w:space="0" w:color="auto"/>
              <w:right w:val="nil"/>
            </w:tcBorders>
            <w:shd w:val="clear" w:color="000000" w:fill="FFFFFF"/>
            <w:vAlign w:val="bottom"/>
            <w:hideMark/>
          </w:tcPr>
          <w:p w14:paraId="229BD463"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Publication and Documentation</w:t>
            </w:r>
          </w:p>
        </w:tc>
        <w:tc>
          <w:tcPr>
            <w:tcW w:w="820" w:type="dxa"/>
            <w:tcBorders>
              <w:top w:val="single" w:sz="4" w:space="0" w:color="auto"/>
              <w:left w:val="nil"/>
              <w:bottom w:val="single" w:sz="4" w:space="0" w:color="auto"/>
              <w:right w:val="single" w:sz="4" w:space="0" w:color="auto"/>
            </w:tcBorders>
            <w:shd w:val="clear" w:color="000000" w:fill="FFFFFF"/>
            <w:vAlign w:val="bottom"/>
            <w:hideMark/>
          </w:tcPr>
          <w:p w14:paraId="4F2F8CB1"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Other</w:t>
            </w:r>
          </w:p>
        </w:tc>
      </w:tr>
      <w:tr w:rsidR="000773A4" w:rsidRPr="002A706E" w14:paraId="0A58596C"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0B25E4B2"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Number of businesses affected by activity</w:t>
            </w:r>
          </w:p>
        </w:tc>
        <w:tc>
          <w:tcPr>
            <w:tcW w:w="1052" w:type="dxa"/>
            <w:gridSpan w:val="2"/>
            <w:tcBorders>
              <w:top w:val="nil"/>
              <w:left w:val="nil"/>
              <w:bottom w:val="nil"/>
              <w:right w:val="nil"/>
            </w:tcBorders>
            <w:shd w:val="clear" w:color="000000" w:fill="FFFFFF"/>
            <w:noWrap/>
            <w:vAlign w:val="bottom"/>
            <w:hideMark/>
          </w:tcPr>
          <w:p w14:paraId="47C324DB"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24</w:t>
            </w:r>
          </w:p>
        </w:tc>
        <w:tc>
          <w:tcPr>
            <w:tcW w:w="1051" w:type="dxa"/>
            <w:gridSpan w:val="2"/>
            <w:tcBorders>
              <w:top w:val="nil"/>
              <w:left w:val="nil"/>
              <w:bottom w:val="nil"/>
              <w:right w:val="nil"/>
            </w:tcBorders>
            <w:shd w:val="clear" w:color="000000" w:fill="FFFFFF"/>
            <w:noWrap/>
            <w:vAlign w:val="bottom"/>
            <w:hideMark/>
          </w:tcPr>
          <w:p w14:paraId="2469B522"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24</w:t>
            </w:r>
          </w:p>
        </w:tc>
        <w:tc>
          <w:tcPr>
            <w:tcW w:w="1058" w:type="dxa"/>
            <w:gridSpan w:val="3"/>
            <w:tcBorders>
              <w:top w:val="nil"/>
              <w:left w:val="nil"/>
              <w:bottom w:val="nil"/>
              <w:right w:val="nil"/>
            </w:tcBorders>
            <w:shd w:val="clear" w:color="000000" w:fill="FFFFFF"/>
            <w:noWrap/>
            <w:vAlign w:val="bottom"/>
            <w:hideMark/>
          </w:tcPr>
          <w:p w14:paraId="0656AF73"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24</w:t>
            </w:r>
          </w:p>
        </w:tc>
        <w:tc>
          <w:tcPr>
            <w:tcW w:w="1043" w:type="dxa"/>
            <w:gridSpan w:val="2"/>
            <w:tcBorders>
              <w:top w:val="nil"/>
              <w:left w:val="nil"/>
              <w:bottom w:val="nil"/>
              <w:right w:val="nil"/>
            </w:tcBorders>
            <w:shd w:val="clear" w:color="000000" w:fill="FFFFFF"/>
            <w:noWrap/>
            <w:vAlign w:val="bottom"/>
            <w:hideMark/>
          </w:tcPr>
          <w:p w14:paraId="469576F0"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24</w:t>
            </w:r>
          </w:p>
        </w:tc>
        <w:tc>
          <w:tcPr>
            <w:tcW w:w="820" w:type="dxa"/>
            <w:tcBorders>
              <w:top w:val="nil"/>
              <w:left w:val="nil"/>
              <w:bottom w:val="nil"/>
              <w:right w:val="single" w:sz="4" w:space="0" w:color="auto"/>
            </w:tcBorders>
            <w:shd w:val="clear" w:color="000000" w:fill="FFFFFF"/>
            <w:noWrap/>
            <w:vAlign w:val="bottom"/>
            <w:hideMark/>
          </w:tcPr>
          <w:p w14:paraId="6F00BCD0"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24</w:t>
            </w:r>
          </w:p>
        </w:tc>
      </w:tr>
      <w:tr w:rsidR="000773A4" w:rsidRPr="002A706E" w14:paraId="0D1829B2"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7A6B4066"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Number of staff per business performing activity </w:t>
            </w:r>
          </w:p>
        </w:tc>
        <w:tc>
          <w:tcPr>
            <w:tcW w:w="1052" w:type="dxa"/>
            <w:gridSpan w:val="2"/>
            <w:tcBorders>
              <w:top w:val="nil"/>
              <w:left w:val="nil"/>
              <w:bottom w:val="nil"/>
              <w:right w:val="nil"/>
            </w:tcBorders>
            <w:shd w:val="clear" w:color="000000" w:fill="FFFFFF"/>
            <w:noWrap/>
            <w:vAlign w:val="bottom"/>
            <w:hideMark/>
          </w:tcPr>
          <w:p w14:paraId="7F9283C9"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4</w:t>
            </w:r>
          </w:p>
        </w:tc>
        <w:tc>
          <w:tcPr>
            <w:tcW w:w="1051" w:type="dxa"/>
            <w:gridSpan w:val="2"/>
            <w:tcBorders>
              <w:top w:val="nil"/>
              <w:left w:val="nil"/>
              <w:bottom w:val="nil"/>
              <w:right w:val="nil"/>
            </w:tcBorders>
            <w:shd w:val="clear" w:color="000000" w:fill="FFFFFF"/>
            <w:noWrap/>
            <w:vAlign w:val="bottom"/>
            <w:hideMark/>
          </w:tcPr>
          <w:p w14:paraId="32D6A43D"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4</w:t>
            </w:r>
          </w:p>
        </w:tc>
        <w:tc>
          <w:tcPr>
            <w:tcW w:w="1058" w:type="dxa"/>
            <w:gridSpan w:val="3"/>
            <w:tcBorders>
              <w:top w:val="nil"/>
              <w:left w:val="nil"/>
              <w:bottom w:val="nil"/>
              <w:right w:val="nil"/>
            </w:tcBorders>
            <w:shd w:val="clear" w:color="000000" w:fill="FFFFFF"/>
            <w:noWrap/>
            <w:vAlign w:val="bottom"/>
            <w:hideMark/>
          </w:tcPr>
          <w:p w14:paraId="6F67997D" w14:textId="77777777" w:rsidR="000773A4" w:rsidRPr="002A706E"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74784EBD"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w:t>
            </w:r>
          </w:p>
        </w:tc>
        <w:tc>
          <w:tcPr>
            <w:tcW w:w="820" w:type="dxa"/>
            <w:tcBorders>
              <w:top w:val="nil"/>
              <w:left w:val="nil"/>
              <w:bottom w:val="nil"/>
              <w:right w:val="single" w:sz="4" w:space="0" w:color="auto"/>
            </w:tcBorders>
            <w:shd w:val="clear" w:color="000000" w:fill="FFFFFF"/>
            <w:noWrap/>
            <w:vAlign w:val="bottom"/>
            <w:hideMark/>
          </w:tcPr>
          <w:p w14:paraId="46718C17"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w:t>
            </w:r>
          </w:p>
        </w:tc>
      </w:tr>
      <w:tr w:rsidR="000773A4" w:rsidRPr="002A706E" w14:paraId="602D4156"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7304553F"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Number of times activity performed per staff</w:t>
            </w:r>
          </w:p>
        </w:tc>
        <w:tc>
          <w:tcPr>
            <w:tcW w:w="1052" w:type="dxa"/>
            <w:gridSpan w:val="2"/>
            <w:tcBorders>
              <w:top w:val="nil"/>
              <w:left w:val="nil"/>
              <w:bottom w:val="nil"/>
              <w:right w:val="nil"/>
            </w:tcBorders>
            <w:shd w:val="clear" w:color="000000" w:fill="FFFFFF"/>
            <w:noWrap/>
            <w:vAlign w:val="bottom"/>
            <w:hideMark/>
          </w:tcPr>
          <w:p w14:paraId="08474BF3"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w:t>
            </w:r>
          </w:p>
        </w:tc>
        <w:tc>
          <w:tcPr>
            <w:tcW w:w="1051" w:type="dxa"/>
            <w:gridSpan w:val="2"/>
            <w:tcBorders>
              <w:top w:val="nil"/>
              <w:left w:val="nil"/>
              <w:bottom w:val="nil"/>
              <w:right w:val="nil"/>
            </w:tcBorders>
            <w:shd w:val="clear" w:color="000000" w:fill="FFFFFF"/>
            <w:noWrap/>
            <w:vAlign w:val="bottom"/>
            <w:hideMark/>
          </w:tcPr>
          <w:p w14:paraId="323958B5"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w:t>
            </w:r>
          </w:p>
        </w:tc>
        <w:tc>
          <w:tcPr>
            <w:tcW w:w="1058" w:type="dxa"/>
            <w:gridSpan w:val="3"/>
            <w:tcBorders>
              <w:top w:val="nil"/>
              <w:left w:val="nil"/>
              <w:bottom w:val="nil"/>
              <w:right w:val="nil"/>
            </w:tcBorders>
            <w:shd w:val="clear" w:color="000000" w:fill="FFFFFF"/>
            <w:noWrap/>
            <w:vAlign w:val="bottom"/>
            <w:hideMark/>
          </w:tcPr>
          <w:p w14:paraId="5D0CF0C4" w14:textId="77777777" w:rsidR="000773A4" w:rsidRPr="002A706E"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547D8750"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w:t>
            </w:r>
          </w:p>
        </w:tc>
        <w:tc>
          <w:tcPr>
            <w:tcW w:w="820" w:type="dxa"/>
            <w:tcBorders>
              <w:top w:val="nil"/>
              <w:left w:val="nil"/>
              <w:bottom w:val="nil"/>
              <w:right w:val="single" w:sz="4" w:space="0" w:color="auto"/>
            </w:tcBorders>
            <w:shd w:val="clear" w:color="000000" w:fill="FFFFFF"/>
            <w:noWrap/>
            <w:vAlign w:val="bottom"/>
            <w:hideMark/>
          </w:tcPr>
          <w:p w14:paraId="6EBCE86B"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w:t>
            </w:r>
          </w:p>
        </w:tc>
      </w:tr>
      <w:tr w:rsidR="000773A4" w:rsidRPr="002A706E" w14:paraId="36659745"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433072CF"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Avg. time of each staff to do activity (in hours) </w:t>
            </w:r>
          </w:p>
        </w:tc>
        <w:tc>
          <w:tcPr>
            <w:tcW w:w="1052" w:type="dxa"/>
            <w:gridSpan w:val="2"/>
            <w:tcBorders>
              <w:top w:val="nil"/>
              <w:left w:val="nil"/>
              <w:bottom w:val="nil"/>
              <w:right w:val="nil"/>
            </w:tcBorders>
            <w:shd w:val="clear" w:color="000000" w:fill="FFFFFF"/>
            <w:noWrap/>
            <w:vAlign w:val="bottom"/>
            <w:hideMark/>
          </w:tcPr>
          <w:p w14:paraId="34B13EA0"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70</w:t>
            </w:r>
          </w:p>
        </w:tc>
        <w:tc>
          <w:tcPr>
            <w:tcW w:w="1051" w:type="dxa"/>
            <w:gridSpan w:val="2"/>
            <w:tcBorders>
              <w:top w:val="nil"/>
              <w:left w:val="nil"/>
              <w:bottom w:val="nil"/>
              <w:right w:val="nil"/>
            </w:tcBorders>
            <w:shd w:val="clear" w:color="000000" w:fill="FFFFFF"/>
            <w:noWrap/>
            <w:vAlign w:val="bottom"/>
            <w:hideMark/>
          </w:tcPr>
          <w:p w14:paraId="0EBC4849"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400</w:t>
            </w:r>
          </w:p>
        </w:tc>
        <w:tc>
          <w:tcPr>
            <w:tcW w:w="1058" w:type="dxa"/>
            <w:gridSpan w:val="3"/>
            <w:tcBorders>
              <w:top w:val="nil"/>
              <w:left w:val="nil"/>
              <w:bottom w:val="nil"/>
              <w:right w:val="nil"/>
            </w:tcBorders>
            <w:shd w:val="clear" w:color="000000" w:fill="FFFFFF"/>
            <w:noWrap/>
            <w:vAlign w:val="bottom"/>
            <w:hideMark/>
          </w:tcPr>
          <w:p w14:paraId="682DC8EC" w14:textId="77777777" w:rsidR="000773A4" w:rsidRPr="002A706E"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3F81EC9C"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150</w:t>
            </w:r>
          </w:p>
        </w:tc>
        <w:tc>
          <w:tcPr>
            <w:tcW w:w="820" w:type="dxa"/>
            <w:tcBorders>
              <w:top w:val="nil"/>
              <w:left w:val="nil"/>
              <w:bottom w:val="nil"/>
              <w:right w:val="single" w:sz="4" w:space="0" w:color="auto"/>
            </w:tcBorders>
            <w:shd w:val="clear" w:color="000000" w:fill="FFFFFF"/>
            <w:noWrap/>
            <w:vAlign w:val="bottom"/>
            <w:hideMark/>
          </w:tcPr>
          <w:p w14:paraId="765F0592"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400</w:t>
            </w:r>
          </w:p>
        </w:tc>
      </w:tr>
      <w:tr w:rsidR="000773A4" w:rsidRPr="002A706E" w14:paraId="162104DA" w14:textId="77777777" w:rsidTr="000773A4">
        <w:trPr>
          <w:trHeight w:val="20"/>
        </w:trPr>
        <w:tc>
          <w:tcPr>
            <w:tcW w:w="3963" w:type="dxa"/>
            <w:gridSpan w:val="3"/>
            <w:tcBorders>
              <w:top w:val="nil"/>
              <w:left w:val="single" w:sz="4" w:space="0" w:color="auto"/>
              <w:bottom w:val="single" w:sz="4" w:space="0" w:color="auto"/>
              <w:right w:val="nil"/>
            </w:tcBorders>
            <w:shd w:val="clear" w:color="000000" w:fill="FFFFFF"/>
            <w:noWrap/>
            <w:vAlign w:val="bottom"/>
            <w:hideMark/>
          </w:tcPr>
          <w:p w14:paraId="7268F4D3"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Labour cost ($/hr) (wage + non-wage labour cost rate) </w:t>
            </w:r>
          </w:p>
        </w:tc>
        <w:tc>
          <w:tcPr>
            <w:tcW w:w="1052" w:type="dxa"/>
            <w:gridSpan w:val="2"/>
            <w:tcBorders>
              <w:top w:val="nil"/>
              <w:left w:val="nil"/>
              <w:bottom w:val="single" w:sz="4" w:space="0" w:color="auto"/>
              <w:right w:val="nil"/>
            </w:tcBorders>
            <w:shd w:val="clear" w:color="000000" w:fill="FFFFFF"/>
            <w:noWrap/>
            <w:vAlign w:val="bottom"/>
            <w:hideMark/>
          </w:tcPr>
          <w:p w14:paraId="3F853CC9"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74</w:t>
            </w:r>
          </w:p>
        </w:tc>
        <w:tc>
          <w:tcPr>
            <w:tcW w:w="1051" w:type="dxa"/>
            <w:gridSpan w:val="2"/>
            <w:tcBorders>
              <w:top w:val="nil"/>
              <w:left w:val="nil"/>
              <w:bottom w:val="single" w:sz="4" w:space="0" w:color="auto"/>
              <w:right w:val="nil"/>
            </w:tcBorders>
            <w:shd w:val="clear" w:color="000000" w:fill="FFFFFF"/>
            <w:noWrap/>
            <w:vAlign w:val="bottom"/>
            <w:hideMark/>
          </w:tcPr>
          <w:p w14:paraId="7579C7DA"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82</w:t>
            </w:r>
          </w:p>
        </w:tc>
        <w:tc>
          <w:tcPr>
            <w:tcW w:w="1058" w:type="dxa"/>
            <w:gridSpan w:val="3"/>
            <w:tcBorders>
              <w:top w:val="nil"/>
              <w:left w:val="nil"/>
              <w:bottom w:val="single" w:sz="4" w:space="0" w:color="auto"/>
              <w:right w:val="nil"/>
            </w:tcBorders>
            <w:shd w:val="clear" w:color="000000" w:fill="FFFFFF"/>
            <w:noWrap/>
            <w:vAlign w:val="bottom"/>
            <w:hideMark/>
          </w:tcPr>
          <w:p w14:paraId="5BF4F86B"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250,000</w:t>
            </w:r>
          </w:p>
        </w:tc>
        <w:tc>
          <w:tcPr>
            <w:tcW w:w="1043" w:type="dxa"/>
            <w:gridSpan w:val="2"/>
            <w:tcBorders>
              <w:top w:val="nil"/>
              <w:left w:val="nil"/>
              <w:bottom w:val="single" w:sz="4" w:space="0" w:color="auto"/>
              <w:right w:val="nil"/>
            </w:tcBorders>
            <w:shd w:val="clear" w:color="000000" w:fill="FFFFFF"/>
            <w:noWrap/>
            <w:vAlign w:val="bottom"/>
            <w:hideMark/>
          </w:tcPr>
          <w:p w14:paraId="5FEB1562"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74</w:t>
            </w:r>
          </w:p>
        </w:tc>
        <w:tc>
          <w:tcPr>
            <w:tcW w:w="820" w:type="dxa"/>
            <w:tcBorders>
              <w:top w:val="nil"/>
              <w:left w:val="nil"/>
              <w:bottom w:val="single" w:sz="4" w:space="0" w:color="auto"/>
              <w:right w:val="single" w:sz="4" w:space="0" w:color="auto"/>
            </w:tcBorders>
            <w:shd w:val="clear" w:color="000000" w:fill="FFFFFF"/>
            <w:noWrap/>
            <w:vAlign w:val="bottom"/>
            <w:hideMark/>
          </w:tcPr>
          <w:p w14:paraId="58A03BBF"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96</w:t>
            </w:r>
          </w:p>
        </w:tc>
      </w:tr>
      <w:tr w:rsidR="000773A4" w:rsidRPr="002A706E" w14:paraId="4149C932"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0BC3D958"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w:t>
            </w:r>
          </w:p>
        </w:tc>
        <w:tc>
          <w:tcPr>
            <w:tcW w:w="1052" w:type="dxa"/>
            <w:gridSpan w:val="2"/>
            <w:tcBorders>
              <w:top w:val="nil"/>
              <w:left w:val="nil"/>
              <w:bottom w:val="double" w:sz="6" w:space="0" w:color="auto"/>
              <w:right w:val="nil"/>
            </w:tcBorders>
            <w:shd w:val="clear" w:color="000000" w:fill="FFFFFF"/>
            <w:noWrap/>
            <w:vAlign w:val="bottom"/>
            <w:hideMark/>
          </w:tcPr>
          <w:p w14:paraId="7375B6A5"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493,920</w:t>
            </w:r>
          </w:p>
        </w:tc>
        <w:tc>
          <w:tcPr>
            <w:tcW w:w="1051" w:type="dxa"/>
            <w:gridSpan w:val="2"/>
            <w:tcBorders>
              <w:top w:val="nil"/>
              <w:left w:val="nil"/>
              <w:bottom w:val="double" w:sz="6" w:space="0" w:color="auto"/>
              <w:right w:val="nil"/>
            </w:tcBorders>
            <w:shd w:val="clear" w:color="000000" w:fill="FFFFFF"/>
            <w:noWrap/>
            <w:vAlign w:val="bottom"/>
            <w:hideMark/>
          </w:tcPr>
          <w:p w14:paraId="05ECC232"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3,158,400</w:t>
            </w:r>
          </w:p>
        </w:tc>
        <w:tc>
          <w:tcPr>
            <w:tcW w:w="1058" w:type="dxa"/>
            <w:gridSpan w:val="3"/>
            <w:tcBorders>
              <w:top w:val="nil"/>
              <w:left w:val="nil"/>
              <w:bottom w:val="double" w:sz="6" w:space="0" w:color="auto"/>
              <w:right w:val="nil"/>
            </w:tcBorders>
            <w:shd w:val="clear" w:color="000000" w:fill="FFFFFF"/>
            <w:noWrap/>
            <w:vAlign w:val="bottom"/>
            <w:hideMark/>
          </w:tcPr>
          <w:p w14:paraId="66E29B27"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6,000,000</w:t>
            </w:r>
          </w:p>
        </w:tc>
        <w:tc>
          <w:tcPr>
            <w:tcW w:w="1043" w:type="dxa"/>
            <w:gridSpan w:val="2"/>
            <w:tcBorders>
              <w:top w:val="nil"/>
              <w:left w:val="nil"/>
              <w:bottom w:val="double" w:sz="6" w:space="0" w:color="auto"/>
              <w:right w:val="nil"/>
            </w:tcBorders>
            <w:shd w:val="clear" w:color="000000" w:fill="FFFFFF"/>
            <w:noWrap/>
            <w:vAlign w:val="bottom"/>
            <w:hideMark/>
          </w:tcPr>
          <w:p w14:paraId="1E6720B4"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529,200</w:t>
            </w:r>
          </w:p>
        </w:tc>
        <w:tc>
          <w:tcPr>
            <w:tcW w:w="820" w:type="dxa"/>
            <w:tcBorders>
              <w:top w:val="nil"/>
              <w:left w:val="nil"/>
              <w:bottom w:val="double" w:sz="6" w:space="0" w:color="auto"/>
              <w:right w:val="nil"/>
            </w:tcBorders>
            <w:shd w:val="clear" w:color="000000" w:fill="FFFFFF"/>
            <w:noWrap/>
            <w:vAlign w:val="bottom"/>
            <w:hideMark/>
          </w:tcPr>
          <w:p w14:paraId="755E64B1"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1,848,000</w:t>
            </w:r>
          </w:p>
        </w:tc>
      </w:tr>
      <w:tr w:rsidR="000773A4" w:rsidRPr="00710BC4" w14:paraId="2DC7DFE7"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46B85669"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2" w:type="dxa"/>
            <w:gridSpan w:val="2"/>
            <w:tcBorders>
              <w:top w:val="nil"/>
              <w:left w:val="nil"/>
              <w:bottom w:val="nil"/>
              <w:right w:val="nil"/>
            </w:tcBorders>
            <w:shd w:val="clear" w:color="000000" w:fill="FFFFFF"/>
            <w:noWrap/>
            <w:vAlign w:val="bottom"/>
            <w:hideMark/>
          </w:tcPr>
          <w:p w14:paraId="28D7CC6B"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1" w:type="dxa"/>
            <w:gridSpan w:val="2"/>
            <w:tcBorders>
              <w:top w:val="nil"/>
              <w:left w:val="nil"/>
              <w:bottom w:val="nil"/>
              <w:right w:val="nil"/>
            </w:tcBorders>
            <w:shd w:val="clear" w:color="000000" w:fill="FFFFFF"/>
            <w:noWrap/>
            <w:vAlign w:val="bottom"/>
            <w:hideMark/>
          </w:tcPr>
          <w:p w14:paraId="79C9E947"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8" w:type="dxa"/>
            <w:gridSpan w:val="3"/>
            <w:tcBorders>
              <w:top w:val="nil"/>
              <w:left w:val="nil"/>
              <w:bottom w:val="nil"/>
              <w:right w:val="nil"/>
            </w:tcBorders>
            <w:shd w:val="clear" w:color="000000" w:fill="FFFFFF"/>
            <w:noWrap/>
            <w:vAlign w:val="bottom"/>
            <w:hideMark/>
          </w:tcPr>
          <w:p w14:paraId="520742C7"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43" w:type="dxa"/>
            <w:gridSpan w:val="2"/>
            <w:tcBorders>
              <w:top w:val="nil"/>
              <w:left w:val="nil"/>
              <w:bottom w:val="nil"/>
              <w:right w:val="nil"/>
            </w:tcBorders>
            <w:shd w:val="clear" w:color="000000" w:fill="FFFFFF"/>
            <w:noWrap/>
            <w:vAlign w:val="bottom"/>
            <w:hideMark/>
          </w:tcPr>
          <w:p w14:paraId="7B999B0A" w14:textId="77777777" w:rsidR="000773A4" w:rsidRPr="00710BC4" w:rsidRDefault="000773A4" w:rsidP="000773A4">
            <w:pPr>
              <w:spacing w:after="0"/>
              <w:jc w:val="right"/>
              <w:rPr>
                <w:rFonts w:ascii="Calibri" w:hAnsi="Calibri" w:cs="Calibri"/>
                <w:color w:val="000000"/>
                <w:sz w:val="14"/>
                <w:szCs w:val="14"/>
              </w:rPr>
            </w:pPr>
            <w:r w:rsidRPr="00710BC4">
              <w:rPr>
                <w:rFonts w:ascii="Calibri" w:hAnsi="Calibri" w:cs="Calibri"/>
                <w:color w:val="000000"/>
                <w:sz w:val="14"/>
                <w:szCs w:val="14"/>
              </w:rPr>
              <w:t> </w:t>
            </w:r>
          </w:p>
        </w:tc>
        <w:tc>
          <w:tcPr>
            <w:tcW w:w="820" w:type="dxa"/>
            <w:tcBorders>
              <w:top w:val="nil"/>
              <w:left w:val="nil"/>
              <w:bottom w:val="nil"/>
              <w:right w:val="nil"/>
            </w:tcBorders>
            <w:shd w:val="clear" w:color="000000" w:fill="FFFFFF"/>
            <w:noWrap/>
            <w:vAlign w:val="bottom"/>
            <w:hideMark/>
          </w:tcPr>
          <w:p w14:paraId="4EDDCB2A"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r>
      <w:tr w:rsidR="000773A4" w:rsidRPr="002A706E" w14:paraId="6CCBC6C3" w14:textId="77777777" w:rsidTr="000773A4">
        <w:trPr>
          <w:trHeight w:val="20"/>
        </w:trPr>
        <w:tc>
          <w:tcPr>
            <w:tcW w:w="3963" w:type="dxa"/>
            <w:gridSpan w:val="3"/>
            <w:tcBorders>
              <w:top w:val="single" w:sz="4" w:space="0" w:color="auto"/>
              <w:left w:val="single" w:sz="4" w:space="0" w:color="auto"/>
              <w:bottom w:val="nil"/>
              <w:right w:val="nil"/>
            </w:tcBorders>
            <w:shd w:val="clear" w:color="000000" w:fill="FFFFFF"/>
            <w:noWrap/>
            <w:vAlign w:val="bottom"/>
            <w:hideMark/>
          </w:tcPr>
          <w:p w14:paraId="67E56BFE" w14:textId="77777777" w:rsidR="000773A4" w:rsidRPr="002A706E" w:rsidRDefault="000773A4" w:rsidP="007F628D">
            <w:pPr>
              <w:spacing w:after="0"/>
              <w:rPr>
                <w:rFonts w:ascii="Calibri" w:hAnsi="Calibri" w:cs="Calibri"/>
                <w:b/>
                <w:bCs/>
                <w:color w:val="000000"/>
                <w:sz w:val="16"/>
                <w:szCs w:val="16"/>
              </w:rPr>
            </w:pPr>
            <w:r w:rsidRPr="002A706E">
              <w:rPr>
                <w:rFonts w:ascii="Calibri" w:hAnsi="Calibri" w:cs="Calibri"/>
                <w:b/>
                <w:bCs/>
                <w:color w:val="000000"/>
                <w:sz w:val="16"/>
                <w:szCs w:val="16"/>
              </w:rPr>
              <w:t xml:space="preserve"> Start-up cost (over 1 year) (Complex 7 with </w:t>
            </w:r>
            <w:proofErr w:type="spellStart"/>
            <w:r w:rsidRPr="002A706E">
              <w:rPr>
                <w:rFonts w:ascii="Calibri" w:hAnsi="Calibri" w:cs="Calibri"/>
                <w:b/>
                <w:bCs/>
                <w:color w:val="000000"/>
                <w:sz w:val="16"/>
                <w:szCs w:val="16"/>
              </w:rPr>
              <w:t>MySuper</w:t>
            </w:r>
            <w:proofErr w:type="spellEnd"/>
            <w:r w:rsidRPr="002A706E">
              <w:rPr>
                <w:rFonts w:ascii="Calibri" w:hAnsi="Calibri" w:cs="Calibri"/>
                <w:b/>
                <w:bCs/>
                <w:color w:val="000000"/>
                <w:sz w:val="16"/>
                <w:szCs w:val="16"/>
              </w:rPr>
              <w:t xml:space="preserve">) </w:t>
            </w:r>
          </w:p>
        </w:tc>
        <w:tc>
          <w:tcPr>
            <w:tcW w:w="1052" w:type="dxa"/>
            <w:gridSpan w:val="2"/>
            <w:tcBorders>
              <w:top w:val="single" w:sz="4" w:space="0" w:color="auto"/>
              <w:left w:val="nil"/>
              <w:bottom w:val="single" w:sz="4" w:space="0" w:color="auto"/>
              <w:right w:val="nil"/>
            </w:tcBorders>
            <w:shd w:val="clear" w:color="000000" w:fill="FFFFFF"/>
            <w:vAlign w:val="bottom"/>
            <w:hideMark/>
          </w:tcPr>
          <w:p w14:paraId="676CEFA0"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Education</w:t>
            </w:r>
          </w:p>
        </w:tc>
        <w:tc>
          <w:tcPr>
            <w:tcW w:w="1051" w:type="dxa"/>
            <w:gridSpan w:val="2"/>
            <w:tcBorders>
              <w:top w:val="single" w:sz="4" w:space="0" w:color="auto"/>
              <w:left w:val="nil"/>
              <w:bottom w:val="single" w:sz="4" w:space="0" w:color="auto"/>
              <w:right w:val="nil"/>
            </w:tcBorders>
            <w:shd w:val="clear" w:color="000000" w:fill="FFFFFF"/>
            <w:vAlign w:val="bottom"/>
            <w:hideMark/>
          </w:tcPr>
          <w:p w14:paraId="5931ACBB"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Record Keeping</w:t>
            </w:r>
          </w:p>
        </w:tc>
        <w:tc>
          <w:tcPr>
            <w:tcW w:w="1058" w:type="dxa"/>
            <w:gridSpan w:val="3"/>
            <w:tcBorders>
              <w:top w:val="single" w:sz="4" w:space="0" w:color="auto"/>
              <w:left w:val="nil"/>
              <w:bottom w:val="single" w:sz="4" w:space="0" w:color="auto"/>
              <w:right w:val="nil"/>
            </w:tcBorders>
            <w:shd w:val="clear" w:color="000000" w:fill="FFFFFF"/>
            <w:vAlign w:val="bottom"/>
            <w:hideMark/>
          </w:tcPr>
          <w:p w14:paraId="61BC7971"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Purchasing</w:t>
            </w:r>
          </w:p>
        </w:tc>
        <w:tc>
          <w:tcPr>
            <w:tcW w:w="1043" w:type="dxa"/>
            <w:gridSpan w:val="2"/>
            <w:tcBorders>
              <w:top w:val="single" w:sz="4" w:space="0" w:color="auto"/>
              <w:left w:val="nil"/>
              <w:bottom w:val="single" w:sz="4" w:space="0" w:color="auto"/>
              <w:right w:val="nil"/>
            </w:tcBorders>
            <w:shd w:val="clear" w:color="000000" w:fill="FFFFFF"/>
            <w:vAlign w:val="bottom"/>
            <w:hideMark/>
          </w:tcPr>
          <w:p w14:paraId="168BD964"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Publication and Documentation</w:t>
            </w:r>
          </w:p>
        </w:tc>
        <w:tc>
          <w:tcPr>
            <w:tcW w:w="820" w:type="dxa"/>
            <w:tcBorders>
              <w:top w:val="single" w:sz="4" w:space="0" w:color="auto"/>
              <w:left w:val="nil"/>
              <w:bottom w:val="single" w:sz="4" w:space="0" w:color="auto"/>
              <w:right w:val="single" w:sz="4" w:space="0" w:color="auto"/>
            </w:tcBorders>
            <w:shd w:val="clear" w:color="000000" w:fill="FFFFFF"/>
            <w:vAlign w:val="bottom"/>
            <w:hideMark/>
          </w:tcPr>
          <w:p w14:paraId="0E1F960A" w14:textId="77777777" w:rsidR="000773A4" w:rsidRPr="002A706E" w:rsidRDefault="000773A4" w:rsidP="007F628D">
            <w:pPr>
              <w:spacing w:after="0"/>
              <w:jc w:val="center"/>
              <w:rPr>
                <w:rFonts w:ascii="Calibri" w:hAnsi="Calibri" w:cs="Calibri"/>
                <w:color w:val="000000"/>
                <w:sz w:val="16"/>
                <w:szCs w:val="16"/>
              </w:rPr>
            </w:pPr>
            <w:r w:rsidRPr="002A706E">
              <w:rPr>
                <w:rFonts w:ascii="Calibri" w:hAnsi="Calibri" w:cs="Calibri"/>
                <w:color w:val="000000"/>
                <w:sz w:val="16"/>
                <w:szCs w:val="16"/>
              </w:rPr>
              <w:t>Other</w:t>
            </w:r>
          </w:p>
        </w:tc>
      </w:tr>
      <w:tr w:rsidR="000773A4" w:rsidRPr="002A706E" w14:paraId="3165D263"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60950B78"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Number of businesses affected by activity</w:t>
            </w:r>
          </w:p>
        </w:tc>
        <w:tc>
          <w:tcPr>
            <w:tcW w:w="1052" w:type="dxa"/>
            <w:gridSpan w:val="2"/>
            <w:tcBorders>
              <w:top w:val="nil"/>
              <w:left w:val="nil"/>
              <w:bottom w:val="nil"/>
              <w:right w:val="nil"/>
            </w:tcBorders>
            <w:shd w:val="clear" w:color="000000" w:fill="FFFFFF"/>
            <w:noWrap/>
            <w:vAlign w:val="bottom"/>
            <w:hideMark/>
          </w:tcPr>
          <w:p w14:paraId="50E5D256"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w:t>
            </w:r>
          </w:p>
        </w:tc>
        <w:tc>
          <w:tcPr>
            <w:tcW w:w="1051" w:type="dxa"/>
            <w:gridSpan w:val="2"/>
            <w:tcBorders>
              <w:top w:val="nil"/>
              <w:left w:val="nil"/>
              <w:bottom w:val="nil"/>
              <w:right w:val="nil"/>
            </w:tcBorders>
            <w:shd w:val="clear" w:color="000000" w:fill="FFFFFF"/>
            <w:noWrap/>
            <w:vAlign w:val="bottom"/>
            <w:hideMark/>
          </w:tcPr>
          <w:p w14:paraId="1BC2FB9F"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w:t>
            </w:r>
          </w:p>
        </w:tc>
        <w:tc>
          <w:tcPr>
            <w:tcW w:w="1058" w:type="dxa"/>
            <w:gridSpan w:val="3"/>
            <w:tcBorders>
              <w:top w:val="nil"/>
              <w:left w:val="nil"/>
              <w:bottom w:val="nil"/>
              <w:right w:val="nil"/>
            </w:tcBorders>
            <w:shd w:val="clear" w:color="000000" w:fill="FFFFFF"/>
            <w:noWrap/>
            <w:vAlign w:val="bottom"/>
            <w:hideMark/>
          </w:tcPr>
          <w:p w14:paraId="223BB617"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w:t>
            </w:r>
          </w:p>
        </w:tc>
        <w:tc>
          <w:tcPr>
            <w:tcW w:w="1043" w:type="dxa"/>
            <w:gridSpan w:val="2"/>
            <w:tcBorders>
              <w:top w:val="nil"/>
              <w:left w:val="nil"/>
              <w:bottom w:val="nil"/>
              <w:right w:val="nil"/>
            </w:tcBorders>
            <w:shd w:val="clear" w:color="000000" w:fill="FFFFFF"/>
            <w:noWrap/>
            <w:vAlign w:val="bottom"/>
            <w:hideMark/>
          </w:tcPr>
          <w:p w14:paraId="67C55417"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w:t>
            </w:r>
          </w:p>
        </w:tc>
        <w:tc>
          <w:tcPr>
            <w:tcW w:w="820" w:type="dxa"/>
            <w:tcBorders>
              <w:top w:val="nil"/>
              <w:left w:val="nil"/>
              <w:bottom w:val="nil"/>
              <w:right w:val="single" w:sz="4" w:space="0" w:color="auto"/>
            </w:tcBorders>
            <w:shd w:val="clear" w:color="000000" w:fill="FFFFFF"/>
            <w:noWrap/>
            <w:vAlign w:val="bottom"/>
            <w:hideMark/>
          </w:tcPr>
          <w:p w14:paraId="1837D7FD"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w:t>
            </w:r>
          </w:p>
        </w:tc>
      </w:tr>
      <w:tr w:rsidR="000773A4" w:rsidRPr="002A706E" w14:paraId="15EE3ED9"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2A44F2C3"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Number of staff per business performing activity </w:t>
            </w:r>
          </w:p>
        </w:tc>
        <w:tc>
          <w:tcPr>
            <w:tcW w:w="1052" w:type="dxa"/>
            <w:gridSpan w:val="2"/>
            <w:tcBorders>
              <w:top w:val="nil"/>
              <w:left w:val="nil"/>
              <w:bottom w:val="nil"/>
              <w:right w:val="nil"/>
            </w:tcBorders>
            <w:shd w:val="clear" w:color="000000" w:fill="FFFFFF"/>
            <w:noWrap/>
            <w:vAlign w:val="bottom"/>
            <w:hideMark/>
          </w:tcPr>
          <w:p w14:paraId="3221F1AA"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10</w:t>
            </w:r>
          </w:p>
        </w:tc>
        <w:tc>
          <w:tcPr>
            <w:tcW w:w="1051" w:type="dxa"/>
            <w:gridSpan w:val="2"/>
            <w:tcBorders>
              <w:top w:val="nil"/>
              <w:left w:val="nil"/>
              <w:bottom w:val="nil"/>
              <w:right w:val="nil"/>
            </w:tcBorders>
            <w:shd w:val="clear" w:color="000000" w:fill="FFFFFF"/>
            <w:noWrap/>
            <w:vAlign w:val="bottom"/>
            <w:hideMark/>
          </w:tcPr>
          <w:p w14:paraId="5B40E3E4"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10</w:t>
            </w:r>
          </w:p>
        </w:tc>
        <w:tc>
          <w:tcPr>
            <w:tcW w:w="1058" w:type="dxa"/>
            <w:gridSpan w:val="3"/>
            <w:tcBorders>
              <w:top w:val="nil"/>
              <w:left w:val="nil"/>
              <w:bottom w:val="nil"/>
              <w:right w:val="nil"/>
            </w:tcBorders>
            <w:shd w:val="clear" w:color="000000" w:fill="FFFFFF"/>
            <w:noWrap/>
            <w:vAlign w:val="bottom"/>
            <w:hideMark/>
          </w:tcPr>
          <w:p w14:paraId="63739990" w14:textId="77777777" w:rsidR="000773A4" w:rsidRPr="002A706E"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64D70D31"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10</w:t>
            </w:r>
          </w:p>
        </w:tc>
        <w:tc>
          <w:tcPr>
            <w:tcW w:w="820" w:type="dxa"/>
            <w:tcBorders>
              <w:top w:val="nil"/>
              <w:left w:val="nil"/>
              <w:bottom w:val="nil"/>
              <w:right w:val="single" w:sz="4" w:space="0" w:color="auto"/>
            </w:tcBorders>
            <w:shd w:val="clear" w:color="000000" w:fill="FFFFFF"/>
            <w:noWrap/>
            <w:vAlign w:val="bottom"/>
            <w:hideMark/>
          </w:tcPr>
          <w:p w14:paraId="2921EF83"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4</w:t>
            </w:r>
          </w:p>
        </w:tc>
      </w:tr>
      <w:tr w:rsidR="000773A4" w:rsidRPr="002A706E" w14:paraId="0F94E5CC"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6FEDBE88"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Number of times activity performed per staff </w:t>
            </w:r>
          </w:p>
        </w:tc>
        <w:tc>
          <w:tcPr>
            <w:tcW w:w="1052" w:type="dxa"/>
            <w:gridSpan w:val="2"/>
            <w:tcBorders>
              <w:top w:val="nil"/>
              <w:left w:val="nil"/>
              <w:bottom w:val="nil"/>
              <w:right w:val="nil"/>
            </w:tcBorders>
            <w:shd w:val="clear" w:color="000000" w:fill="FFFFFF"/>
            <w:noWrap/>
            <w:vAlign w:val="bottom"/>
            <w:hideMark/>
          </w:tcPr>
          <w:p w14:paraId="0EB34DFD"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5</w:t>
            </w:r>
          </w:p>
        </w:tc>
        <w:tc>
          <w:tcPr>
            <w:tcW w:w="1051" w:type="dxa"/>
            <w:gridSpan w:val="2"/>
            <w:tcBorders>
              <w:top w:val="nil"/>
              <w:left w:val="nil"/>
              <w:bottom w:val="nil"/>
              <w:right w:val="nil"/>
            </w:tcBorders>
            <w:shd w:val="clear" w:color="000000" w:fill="FFFFFF"/>
            <w:noWrap/>
            <w:vAlign w:val="bottom"/>
            <w:hideMark/>
          </w:tcPr>
          <w:p w14:paraId="0FC389A7"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w:t>
            </w:r>
          </w:p>
        </w:tc>
        <w:tc>
          <w:tcPr>
            <w:tcW w:w="1058" w:type="dxa"/>
            <w:gridSpan w:val="3"/>
            <w:tcBorders>
              <w:top w:val="nil"/>
              <w:left w:val="nil"/>
              <w:bottom w:val="nil"/>
              <w:right w:val="nil"/>
            </w:tcBorders>
            <w:shd w:val="clear" w:color="000000" w:fill="FFFFFF"/>
            <w:noWrap/>
            <w:vAlign w:val="bottom"/>
            <w:hideMark/>
          </w:tcPr>
          <w:p w14:paraId="5B847B9F" w14:textId="77777777" w:rsidR="000773A4" w:rsidRPr="002A706E"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04876632"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5</w:t>
            </w:r>
          </w:p>
        </w:tc>
        <w:tc>
          <w:tcPr>
            <w:tcW w:w="820" w:type="dxa"/>
            <w:tcBorders>
              <w:top w:val="nil"/>
              <w:left w:val="nil"/>
              <w:bottom w:val="nil"/>
              <w:right w:val="single" w:sz="4" w:space="0" w:color="auto"/>
            </w:tcBorders>
            <w:shd w:val="clear" w:color="000000" w:fill="FFFFFF"/>
            <w:noWrap/>
            <w:vAlign w:val="bottom"/>
            <w:hideMark/>
          </w:tcPr>
          <w:p w14:paraId="59684110"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5</w:t>
            </w:r>
          </w:p>
        </w:tc>
      </w:tr>
      <w:tr w:rsidR="000773A4" w:rsidRPr="002A706E" w14:paraId="693638CC"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5E40748F"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Avg. time of each staff to do activity (in hours)</w:t>
            </w:r>
          </w:p>
        </w:tc>
        <w:tc>
          <w:tcPr>
            <w:tcW w:w="1052" w:type="dxa"/>
            <w:gridSpan w:val="2"/>
            <w:tcBorders>
              <w:top w:val="nil"/>
              <w:left w:val="nil"/>
              <w:bottom w:val="nil"/>
              <w:right w:val="nil"/>
            </w:tcBorders>
            <w:shd w:val="clear" w:color="000000" w:fill="FFFFFF"/>
            <w:noWrap/>
            <w:vAlign w:val="bottom"/>
            <w:hideMark/>
          </w:tcPr>
          <w:p w14:paraId="69C48DA7"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70</w:t>
            </w:r>
          </w:p>
        </w:tc>
        <w:tc>
          <w:tcPr>
            <w:tcW w:w="1051" w:type="dxa"/>
            <w:gridSpan w:val="2"/>
            <w:tcBorders>
              <w:top w:val="nil"/>
              <w:left w:val="nil"/>
              <w:bottom w:val="nil"/>
              <w:right w:val="nil"/>
            </w:tcBorders>
            <w:shd w:val="clear" w:color="000000" w:fill="FFFFFF"/>
            <w:noWrap/>
            <w:vAlign w:val="bottom"/>
            <w:hideMark/>
          </w:tcPr>
          <w:p w14:paraId="347B3B9A"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150</w:t>
            </w:r>
          </w:p>
        </w:tc>
        <w:tc>
          <w:tcPr>
            <w:tcW w:w="1058" w:type="dxa"/>
            <w:gridSpan w:val="3"/>
            <w:tcBorders>
              <w:top w:val="nil"/>
              <w:left w:val="nil"/>
              <w:bottom w:val="nil"/>
              <w:right w:val="nil"/>
            </w:tcBorders>
            <w:shd w:val="clear" w:color="000000" w:fill="FFFFFF"/>
            <w:noWrap/>
            <w:vAlign w:val="bottom"/>
            <w:hideMark/>
          </w:tcPr>
          <w:p w14:paraId="76AA470D" w14:textId="77777777" w:rsidR="000773A4" w:rsidRPr="002A706E"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7D74C231"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150</w:t>
            </w:r>
          </w:p>
        </w:tc>
        <w:tc>
          <w:tcPr>
            <w:tcW w:w="820" w:type="dxa"/>
            <w:tcBorders>
              <w:top w:val="nil"/>
              <w:left w:val="nil"/>
              <w:bottom w:val="nil"/>
              <w:right w:val="single" w:sz="4" w:space="0" w:color="auto"/>
            </w:tcBorders>
            <w:shd w:val="clear" w:color="000000" w:fill="FFFFFF"/>
            <w:noWrap/>
            <w:vAlign w:val="bottom"/>
            <w:hideMark/>
          </w:tcPr>
          <w:p w14:paraId="034AD767"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900</w:t>
            </w:r>
          </w:p>
        </w:tc>
      </w:tr>
      <w:tr w:rsidR="000773A4" w:rsidRPr="002A706E" w14:paraId="3A781992" w14:textId="77777777" w:rsidTr="000773A4">
        <w:trPr>
          <w:trHeight w:val="20"/>
        </w:trPr>
        <w:tc>
          <w:tcPr>
            <w:tcW w:w="3963" w:type="dxa"/>
            <w:gridSpan w:val="3"/>
            <w:tcBorders>
              <w:top w:val="nil"/>
              <w:left w:val="single" w:sz="4" w:space="0" w:color="auto"/>
              <w:bottom w:val="single" w:sz="4" w:space="0" w:color="auto"/>
              <w:right w:val="nil"/>
            </w:tcBorders>
            <w:shd w:val="clear" w:color="000000" w:fill="FFFFFF"/>
            <w:noWrap/>
            <w:vAlign w:val="bottom"/>
            <w:hideMark/>
          </w:tcPr>
          <w:p w14:paraId="602DD4A8"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xml:space="preserve"> Labour cost ($/hr) (wage + non-wage labour cost rate) </w:t>
            </w:r>
          </w:p>
        </w:tc>
        <w:tc>
          <w:tcPr>
            <w:tcW w:w="1052" w:type="dxa"/>
            <w:gridSpan w:val="2"/>
            <w:tcBorders>
              <w:top w:val="nil"/>
              <w:left w:val="nil"/>
              <w:bottom w:val="single" w:sz="4" w:space="0" w:color="auto"/>
              <w:right w:val="nil"/>
            </w:tcBorders>
            <w:shd w:val="clear" w:color="000000" w:fill="FFFFFF"/>
            <w:noWrap/>
            <w:vAlign w:val="bottom"/>
            <w:hideMark/>
          </w:tcPr>
          <w:p w14:paraId="59442D1C"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74</w:t>
            </w:r>
          </w:p>
        </w:tc>
        <w:tc>
          <w:tcPr>
            <w:tcW w:w="1051" w:type="dxa"/>
            <w:gridSpan w:val="2"/>
            <w:tcBorders>
              <w:top w:val="nil"/>
              <w:left w:val="nil"/>
              <w:bottom w:val="single" w:sz="4" w:space="0" w:color="auto"/>
              <w:right w:val="nil"/>
            </w:tcBorders>
            <w:shd w:val="clear" w:color="000000" w:fill="FFFFFF"/>
            <w:noWrap/>
            <w:vAlign w:val="bottom"/>
            <w:hideMark/>
          </w:tcPr>
          <w:p w14:paraId="27838395"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82</w:t>
            </w:r>
          </w:p>
        </w:tc>
        <w:tc>
          <w:tcPr>
            <w:tcW w:w="1058" w:type="dxa"/>
            <w:gridSpan w:val="3"/>
            <w:tcBorders>
              <w:top w:val="nil"/>
              <w:left w:val="nil"/>
              <w:bottom w:val="single" w:sz="4" w:space="0" w:color="auto"/>
              <w:right w:val="nil"/>
            </w:tcBorders>
            <w:shd w:val="clear" w:color="000000" w:fill="FFFFFF"/>
            <w:noWrap/>
            <w:vAlign w:val="bottom"/>
            <w:hideMark/>
          </w:tcPr>
          <w:p w14:paraId="7B5BC0FE"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250,000</w:t>
            </w:r>
          </w:p>
        </w:tc>
        <w:tc>
          <w:tcPr>
            <w:tcW w:w="1043" w:type="dxa"/>
            <w:gridSpan w:val="2"/>
            <w:tcBorders>
              <w:top w:val="nil"/>
              <w:left w:val="nil"/>
              <w:bottom w:val="single" w:sz="4" w:space="0" w:color="auto"/>
              <w:right w:val="nil"/>
            </w:tcBorders>
            <w:shd w:val="clear" w:color="000000" w:fill="FFFFFF"/>
            <w:noWrap/>
            <w:vAlign w:val="bottom"/>
            <w:hideMark/>
          </w:tcPr>
          <w:p w14:paraId="0A07D6A0"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74</w:t>
            </w:r>
          </w:p>
        </w:tc>
        <w:tc>
          <w:tcPr>
            <w:tcW w:w="820" w:type="dxa"/>
            <w:tcBorders>
              <w:top w:val="nil"/>
              <w:left w:val="nil"/>
              <w:bottom w:val="single" w:sz="4" w:space="0" w:color="auto"/>
              <w:right w:val="single" w:sz="4" w:space="0" w:color="auto"/>
            </w:tcBorders>
            <w:shd w:val="clear" w:color="000000" w:fill="FFFFFF"/>
            <w:noWrap/>
            <w:vAlign w:val="bottom"/>
            <w:hideMark/>
          </w:tcPr>
          <w:p w14:paraId="69C15F76" w14:textId="77777777" w:rsidR="000773A4" w:rsidRPr="002A706E" w:rsidRDefault="000773A4" w:rsidP="007F628D">
            <w:pPr>
              <w:spacing w:after="0"/>
              <w:jc w:val="right"/>
              <w:rPr>
                <w:rFonts w:ascii="Calibri" w:hAnsi="Calibri" w:cs="Calibri"/>
                <w:color w:val="000000"/>
                <w:sz w:val="16"/>
                <w:szCs w:val="16"/>
              </w:rPr>
            </w:pPr>
            <w:r w:rsidRPr="002A706E">
              <w:rPr>
                <w:rFonts w:ascii="Calibri" w:hAnsi="Calibri" w:cs="Calibri"/>
                <w:color w:val="000000"/>
                <w:sz w:val="16"/>
                <w:szCs w:val="16"/>
              </w:rPr>
              <w:t>96</w:t>
            </w:r>
          </w:p>
        </w:tc>
      </w:tr>
      <w:tr w:rsidR="000773A4" w:rsidRPr="002A706E" w14:paraId="4739F507"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2C79B881" w14:textId="77777777" w:rsidR="000773A4" w:rsidRPr="002A706E" w:rsidRDefault="000773A4" w:rsidP="007F628D">
            <w:pPr>
              <w:spacing w:after="0"/>
              <w:rPr>
                <w:rFonts w:ascii="Calibri" w:hAnsi="Calibri" w:cs="Calibri"/>
                <w:color w:val="000000"/>
                <w:sz w:val="16"/>
                <w:szCs w:val="16"/>
              </w:rPr>
            </w:pPr>
            <w:r w:rsidRPr="002A706E">
              <w:rPr>
                <w:rFonts w:ascii="Calibri" w:hAnsi="Calibri" w:cs="Calibri"/>
                <w:color w:val="000000"/>
                <w:sz w:val="16"/>
                <w:szCs w:val="16"/>
              </w:rPr>
              <w:t> </w:t>
            </w:r>
          </w:p>
        </w:tc>
        <w:tc>
          <w:tcPr>
            <w:tcW w:w="1052" w:type="dxa"/>
            <w:gridSpan w:val="2"/>
            <w:tcBorders>
              <w:top w:val="nil"/>
              <w:left w:val="nil"/>
              <w:bottom w:val="double" w:sz="6" w:space="0" w:color="auto"/>
              <w:right w:val="nil"/>
            </w:tcBorders>
            <w:shd w:val="clear" w:color="000000" w:fill="FFFFFF"/>
            <w:noWrap/>
            <w:vAlign w:val="bottom"/>
            <w:hideMark/>
          </w:tcPr>
          <w:p w14:paraId="54A7E4C2"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1,800,750</w:t>
            </w:r>
          </w:p>
        </w:tc>
        <w:tc>
          <w:tcPr>
            <w:tcW w:w="1051" w:type="dxa"/>
            <w:gridSpan w:val="2"/>
            <w:tcBorders>
              <w:top w:val="nil"/>
              <w:left w:val="nil"/>
              <w:bottom w:val="double" w:sz="6" w:space="0" w:color="auto"/>
              <w:right w:val="nil"/>
            </w:tcBorders>
            <w:shd w:val="clear" w:color="000000" w:fill="FFFFFF"/>
            <w:noWrap/>
            <w:vAlign w:val="bottom"/>
            <w:hideMark/>
          </w:tcPr>
          <w:p w14:paraId="47FFD3A6"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863,625</w:t>
            </w:r>
          </w:p>
        </w:tc>
        <w:tc>
          <w:tcPr>
            <w:tcW w:w="1058" w:type="dxa"/>
            <w:gridSpan w:val="3"/>
            <w:tcBorders>
              <w:top w:val="nil"/>
              <w:left w:val="nil"/>
              <w:bottom w:val="double" w:sz="6" w:space="0" w:color="auto"/>
              <w:right w:val="nil"/>
            </w:tcBorders>
            <w:shd w:val="clear" w:color="000000" w:fill="FFFFFF"/>
            <w:noWrap/>
            <w:vAlign w:val="bottom"/>
            <w:hideMark/>
          </w:tcPr>
          <w:p w14:paraId="3C6753BB"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1,750,000</w:t>
            </w:r>
          </w:p>
        </w:tc>
        <w:tc>
          <w:tcPr>
            <w:tcW w:w="1043" w:type="dxa"/>
            <w:gridSpan w:val="2"/>
            <w:tcBorders>
              <w:top w:val="nil"/>
              <w:left w:val="nil"/>
              <w:bottom w:val="double" w:sz="6" w:space="0" w:color="auto"/>
              <w:right w:val="nil"/>
            </w:tcBorders>
            <w:shd w:val="clear" w:color="000000" w:fill="FFFFFF"/>
            <w:noWrap/>
            <w:vAlign w:val="bottom"/>
            <w:hideMark/>
          </w:tcPr>
          <w:p w14:paraId="63041143"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3,858,750</w:t>
            </w:r>
          </w:p>
        </w:tc>
        <w:tc>
          <w:tcPr>
            <w:tcW w:w="820" w:type="dxa"/>
            <w:tcBorders>
              <w:top w:val="nil"/>
              <w:left w:val="nil"/>
              <w:bottom w:val="double" w:sz="6" w:space="0" w:color="auto"/>
              <w:right w:val="nil"/>
            </w:tcBorders>
            <w:shd w:val="clear" w:color="000000" w:fill="FFFFFF"/>
            <w:noWrap/>
            <w:vAlign w:val="bottom"/>
            <w:hideMark/>
          </w:tcPr>
          <w:p w14:paraId="2E17197F" w14:textId="77777777" w:rsidR="000773A4" w:rsidRPr="002A706E" w:rsidRDefault="000773A4" w:rsidP="007F628D">
            <w:pPr>
              <w:spacing w:after="0"/>
              <w:jc w:val="right"/>
              <w:rPr>
                <w:rFonts w:ascii="Calibri" w:hAnsi="Calibri" w:cs="Calibri"/>
                <w:b/>
                <w:bCs/>
                <w:color w:val="000000"/>
                <w:sz w:val="16"/>
                <w:szCs w:val="16"/>
              </w:rPr>
            </w:pPr>
            <w:r w:rsidRPr="002A706E">
              <w:rPr>
                <w:rFonts w:ascii="Calibri" w:hAnsi="Calibri" w:cs="Calibri"/>
                <w:b/>
                <w:bCs/>
                <w:color w:val="000000"/>
                <w:sz w:val="16"/>
                <w:szCs w:val="16"/>
              </w:rPr>
              <w:t>12,127,500</w:t>
            </w:r>
          </w:p>
        </w:tc>
      </w:tr>
      <w:tr w:rsidR="000773A4" w:rsidRPr="00710BC4" w14:paraId="40F322F7"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1579E9DC"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2" w:type="dxa"/>
            <w:gridSpan w:val="2"/>
            <w:tcBorders>
              <w:top w:val="nil"/>
              <w:left w:val="nil"/>
              <w:bottom w:val="nil"/>
              <w:right w:val="nil"/>
            </w:tcBorders>
            <w:shd w:val="clear" w:color="000000" w:fill="FFFFFF"/>
            <w:noWrap/>
            <w:vAlign w:val="bottom"/>
            <w:hideMark/>
          </w:tcPr>
          <w:p w14:paraId="010D4803"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1" w:type="dxa"/>
            <w:gridSpan w:val="2"/>
            <w:tcBorders>
              <w:top w:val="nil"/>
              <w:left w:val="nil"/>
              <w:bottom w:val="nil"/>
              <w:right w:val="nil"/>
            </w:tcBorders>
            <w:shd w:val="clear" w:color="000000" w:fill="FFFFFF"/>
            <w:noWrap/>
            <w:vAlign w:val="bottom"/>
            <w:hideMark/>
          </w:tcPr>
          <w:p w14:paraId="75903935"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58" w:type="dxa"/>
            <w:gridSpan w:val="3"/>
            <w:tcBorders>
              <w:top w:val="nil"/>
              <w:left w:val="nil"/>
              <w:bottom w:val="nil"/>
              <w:right w:val="nil"/>
            </w:tcBorders>
            <w:shd w:val="clear" w:color="000000" w:fill="FFFFFF"/>
            <w:noWrap/>
            <w:vAlign w:val="bottom"/>
            <w:hideMark/>
          </w:tcPr>
          <w:p w14:paraId="38EFA735"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c>
          <w:tcPr>
            <w:tcW w:w="1043" w:type="dxa"/>
            <w:gridSpan w:val="2"/>
            <w:tcBorders>
              <w:top w:val="nil"/>
              <w:left w:val="nil"/>
              <w:bottom w:val="nil"/>
              <w:right w:val="nil"/>
            </w:tcBorders>
            <w:shd w:val="clear" w:color="000000" w:fill="FFFFFF"/>
            <w:noWrap/>
            <w:vAlign w:val="bottom"/>
            <w:hideMark/>
          </w:tcPr>
          <w:p w14:paraId="5CEE727F" w14:textId="77777777" w:rsidR="000773A4" w:rsidRPr="00710BC4" w:rsidRDefault="000773A4" w:rsidP="000773A4">
            <w:pPr>
              <w:spacing w:after="0"/>
              <w:jc w:val="right"/>
              <w:rPr>
                <w:rFonts w:ascii="Calibri" w:hAnsi="Calibri" w:cs="Calibri"/>
                <w:color w:val="000000"/>
                <w:sz w:val="14"/>
                <w:szCs w:val="14"/>
              </w:rPr>
            </w:pPr>
            <w:r w:rsidRPr="00710BC4">
              <w:rPr>
                <w:rFonts w:ascii="Calibri" w:hAnsi="Calibri" w:cs="Calibri"/>
                <w:color w:val="000000"/>
                <w:sz w:val="14"/>
                <w:szCs w:val="14"/>
              </w:rPr>
              <w:t> </w:t>
            </w:r>
          </w:p>
        </w:tc>
        <w:tc>
          <w:tcPr>
            <w:tcW w:w="820" w:type="dxa"/>
            <w:tcBorders>
              <w:top w:val="nil"/>
              <w:left w:val="nil"/>
              <w:bottom w:val="nil"/>
              <w:right w:val="nil"/>
            </w:tcBorders>
            <w:shd w:val="clear" w:color="000000" w:fill="FFFFFF"/>
            <w:noWrap/>
            <w:vAlign w:val="bottom"/>
            <w:hideMark/>
          </w:tcPr>
          <w:p w14:paraId="42AB4E99" w14:textId="77777777" w:rsidR="000773A4" w:rsidRPr="00710BC4" w:rsidRDefault="000773A4" w:rsidP="000773A4">
            <w:pPr>
              <w:spacing w:after="0"/>
              <w:rPr>
                <w:rFonts w:ascii="Calibri" w:hAnsi="Calibri" w:cs="Calibri"/>
                <w:color w:val="000000"/>
                <w:sz w:val="14"/>
                <w:szCs w:val="14"/>
              </w:rPr>
            </w:pPr>
            <w:r w:rsidRPr="00710BC4">
              <w:rPr>
                <w:rFonts w:ascii="Calibri" w:hAnsi="Calibri" w:cs="Calibri"/>
                <w:color w:val="000000"/>
                <w:sz w:val="14"/>
                <w:szCs w:val="14"/>
              </w:rPr>
              <w:t> </w:t>
            </w:r>
          </w:p>
        </w:tc>
      </w:tr>
      <w:tr w:rsidR="000773A4" w:rsidRPr="005B5CE3" w14:paraId="687DE793" w14:textId="77777777" w:rsidTr="000773A4">
        <w:trPr>
          <w:trHeight w:val="20"/>
        </w:trPr>
        <w:tc>
          <w:tcPr>
            <w:tcW w:w="3963" w:type="dxa"/>
            <w:gridSpan w:val="3"/>
            <w:tcBorders>
              <w:top w:val="single" w:sz="4" w:space="0" w:color="auto"/>
              <w:left w:val="single" w:sz="4" w:space="0" w:color="auto"/>
              <w:bottom w:val="nil"/>
              <w:right w:val="nil"/>
            </w:tcBorders>
            <w:shd w:val="clear" w:color="000000" w:fill="FFFFFF"/>
            <w:noWrap/>
            <w:vAlign w:val="bottom"/>
            <w:hideMark/>
          </w:tcPr>
          <w:p w14:paraId="4A914056"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xml:space="preserve"> Start-up cost (over 1 year) (Complex 3 with no </w:t>
            </w:r>
            <w:proofErr w:type="spellStart"/>
            <w:r w:rsidRPr="005B5CE3">
              <w:rPr>
                <w:rFonts w:ascii="Calibri" w:hAnsi="Calibri" w:cs="Calibri"/>
                <w:b/>
                <w:bCs/>
                <w:color w:val="000000"/>
                <w:sz w:val="16"/>
                <w:szCs w:val="16"/>
              </w:rPr>
              <w:t>MySuper</w:t>
            </w:r>
            <w:proofErr w:type="spellEnd"/>
            <w:r w:rsidRPr="005B5CE3">
              <w:rPr>
                <w:rFonts w:ascii="Calibri" w:hAnsi="Calibri" w:cs="Calibri"/>
                <w:b/>
                <w:bCs/>
                <w:color w:val="000000"/>
                <w:sz w:val="16"/>
                <w:szCs w:val="16"/>
              </w:rPr>
              <w:t xml:space="preserve">) </w:t>
            </w:r>
          </w:p>
        </w:tc>
        <w:tc>
          <w:tcPr>
            <w:tcW w:w="1052" w:type="dxa"/>
            <w:gridSpan w:val="2"/>
            <w:tcBorders>
              <w:top w:val="single" w:sz="4" w:space="0" w:color="auto"/>
              <w:left w:val="nil"/>
              <w:bottom w:val="single" w:sz="4" w:space="0" w:color="auto"/>
              <w:right w:val="nil"/>
            </w:tcBorders>
            <w:shd w:val="clear" w:color="000000" w:fill="FFFFFF"/>
            <w:vAlign w:val="bottom"/>
            <w:hideMark/>
          </w:tcPr>
          <w:p w14:paraId="415DFE94"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Education</w:t>
            </w:r>
          </w:p>
        </w:tc>
        <w:tc>
          <w:tcPr>
            <w:tcW w:w="1051" w:type="dxa"/>
            <w:gridSpan w:val="2"/>
            <w:tcBorders>
              <w:top w:val="single" w:sz="4" w:space="0" w:color="auto"/>
              <w:left w:val="nil"/>
              <w:bottom w:val="single" w:sz="4" w:space="0" w:color="auto"/>
              <w:right w:val="nil"/>
            </w:tcBorders>
            <w:shd w:val="clear" w:color="000000" w:fill="FFFFFF"/>
            <w:vAlign w:val="bottom"/>
            <w:hideMark/>
          </w:tcPr>
          <w:p w14:paraId="4DFC5DB7"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Record Keeping</w:t>
            </w:r>
          </w:p>
        </w:tc>
        <w:tc>
          <w:tcPr>
            <w:tcW w:w="1058" w:type="dxa"/>
            <w:gridSpan w:val="3"/>
            <w:tcBorders>
              <w:top w:val="single" w:sz="4" w:space="0" w:color="auto"/>
              <w:left w:val="nil"/>
              <w:bottom w:val="single" w:sz="4" w:space="0" w:color="auto"/>
              <w:right w:val="nil"/>
            </w:tcBorders>
            <w:shd w:val="clear" w:color="000000" w:fill="FFFFFF"/>
            <w:vAlign w:val="bottom"/>
            <w:hideMark/>
          </w:tcPr>
          <w:p w14:paraId="65A4092C"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Purchasing</w:t>
            </w:r>
          </w:p>
        </w:tc>
        <w:tc>
          <w:tcPr>
            <w:tcW w:w="1043" w:type="dxa"/>
            <w:gridSpan w:val="2"/>
            <w:tcBorders>
              <w:top w:val="single" w:sz="4" w:space="0" w:color="auto"/>
              <w:left w:val="nil"/>
              <w:bottom w:val="single" w:sz="4" w:space="0" w:color="auto"/>
              <w:right w:val="nil"/>
            </w:tcBorders>
            <w:shd w:val="clear" w:color="000000" w:fill="FFFFFF"/>
            <w:vAlign w:val="bottom"/>
            <w:hideMark/>
          </w:tcPr>
          <w:p w14:paraId="6100D910"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Publication and Documentation</w:t>
            </w:r>
          </w:p>
        </w:tc>
        <w:tc>
          <w:tcPr>
            <w:tcW w:w="820" w:type="dxa"/>
            <w:tcBorders>
              <w:top w:val="single" w:sz="4" w:space="0" w:color="auto"/>
              <w:left w:val="nil"/>
              <w:bottom w:val="single" w:sz="4" w:space="0" w:color="auto"/>
              <w:right w:val="single" w:sz="4" w:space="0" w:color="auto"/>
            </w:tcBorders>
            <w:shd w:val="clear" w:color="000000" w:fill="FFFFFF"/>
            <w:vAlign w:val="bottom"/>
            <w:hideMark/>
          </w:tcPr>
          <w:p w14:paraId="78943338"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Other</w:t>
            </w:r>
          </w:p>
        </w:tc>
      </w:tr>
      <w:tr w:rsidR="000773A4" w:rsidRPr="005B5CE3" w14:paraId="692BB77A"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4129D289"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 Number of businesses affected by activity </w:t>
            </w:r>
          </w:p>
        </w:tc>
        <w:tc>
          <w:tcPr>
            <w:tcW w:w="1052" w:type="dxa"/>
            <w:gridSpan w:val="2"/>
            <w:tcBorders>
              <w:top w:val="nil"/>
              <w:left w:val="nil"/>
              <w:bottom w:val="nil"/>
              <w:right w:val="nil"/>
            </w:tcBorders>
            <w:shd w:val="clear" w:color="000000" w:fill="FFFFFF"/>
            <w:noWrap/>
            <w:vAlign w:val="bottom"/>
            <w:hideMark/>
          </w:tcPr>
          <w:p w14:paraId="7C7EAD54"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w:t>
            </w:r>
          </w:p>
        </w:tc>
        <w:tc>
          <w:tcPr>
            <w:tcW w:w="1051" w:type="dxa"/>
            <w:gridSpan w:val="2"/>
            <w:tcBorders>
              <w:top w:val="nil"/>
              <w:left w:val="nil"/>
              <w:bottom w:val="nil"/>
              <w:right w:val="nil"/>
            </w:tcBorders>
            <w:shd w:val="clear" w:color="000000" w:fill="FFFFFF"/>
            <w:noWrap/>
            <w:vAlign w:val="bottom"/>
            <w:hideMark/>
          </w:tcPr>
          <w:p w14:paraId="22CC6E5F"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w:t>
            </w:r>
          </w:p>
        </w:tc>
        <w:tc>
          <w:tcPr>
            <w:tcW w:w="1058" w:type="dxa"/>
            <w:gridSpan w:val="3"/>
            <w:tcBorders>
              <w:top w:val="nil"/>
              <w:left w:val="nil"/>
              <w:bottom w:val="nil"/>
              <w:right w:val="nil"/>
            </w:tcBorders>
            <w:shd w:val="clear" w:color="000000" w:fill="FFFFFF"/>
            <w:noWrap/>
            <w:vAlign w:val="bottom"/>
            <w:hideMark/>
          </w:tcPr>
          <w:p w14:paraId="17B2F9E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w:t>
            </w:r>
          </w:p>
        </w:tc>
        <w:tc>
          <w:tcPr>
            <w:tcW w:w="1043" w:type="dxa"/>
            <w:gridSpan w:val="2"/>
            <w:tcBorders>
              <w:top w:val="nil"/>
              <w:left w:val="nil"/>
              <w:bottom w:val="nil"/>
              <w:right w:val="nil"/>
            </w:tcBorders>
            <w:shd w:val="clear" w:color="000000" w:fill="FFFFFF"/>
            <w:noWrap/>
            <w:vAlign w:val="bottom"/>
            <w:hideMark/>
          </w:tcPr>
          <w:p w14:paraId="482A8A2E"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w:t>
            </w:r>
          </w:p>
        </w:tc>
        <w:tc>
          <w:tcPr>
            <w:tcW w:w="820" w:type="dxa"/>
            <w:tcBorders>
              <w:top w:val="nil"/>
              <w:left w:val="nil"/>
              <w:bottom w:val="nil"/>
              <w:right w:val="single" w:sz="4" w:space="0" w:color="auto"/>
            </w:tcBorders>
            <w:shd w:val="clear" w:color="000000" w:fill="FFFFFF"/>
            <w:noWrap/>
            <w:vAlign w:val="bottom"/>
            <w:hideMark/>
          </w:tcPr>
          <w:p w14:paraId="2303F070"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w:t>
            </w:r>
          </w:p>
        </w:tc>
      </w:tr>
      <w:tr w:rsidR="000773A4" w:rsidRPr="005B5CE3" w14:paraId="0D31A973"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4D2AA567"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 Number of staff per business performing activity</w:t>
            </w:r>
          </w:p>
        </w:tc>
        <w:tc>
          <w:tcPr>
            <w:tcW w:w="1052" w:type="dxa"/>
            <w:gridSpan w:val="2"/>
            <w:tcBorders>
              <w:top w:val="nil"/>
              <w:left w:val="nil"/>
              <w:bottom w:val="nil"/>
              <w:right w:val="nil"/>
            </w:tcBorders>
            <w:shd w:val="clear" w:color="000000" w:fill="FFFFFF"/>
            <w:noWrap/>
            <w:vAlign w:val="bottom"/>
            <w:hideMark/>
          </w:tcPr>
          <w:p w14:paraId="78183156"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15</w:t>
            </w:r>
          </w:p>
        </w:tc>
        <w:tc>
          <w:tcPr>
            <w:tcW w:w="1051" w:type="dxa"/>
            <w:gridSpan w:val="2"/>
            <w:tcBorders>
              <w:top w:val="nil"/>
              <w:left w:val="nil"/>
              <w:bottom w:val="nil"/>
              <w:right w:val="nil"/>
            </w:tcBorders>
            <w:shd w:val="clear" w:color="000000" w:fill="FFFFFF"/>
            <w:noWrap/>
            <w:vAlign w:val="bottom"/>
            <w:hideMark/>
          </w:tcPr>
          <w:p w14:paraId="5329B70A"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12</w:t>
            </w:r>
          </w:p>
        </w:tc>
        <w:tc>
          <w:tcPr>
            <w:tcW w:w="1058" w:type="dxa"/>
            <w:gridSpan w:val="3"/>
            <w:tcBorders>
              <w:top w:val="nil"/>
              <w:left w:val="nil"/>
              <w:bottom w:val="nil"/>
              <w:right w:val="nil"/>
            </w:tcBorders>
            <w:shd w:val="clear" w:color="000000" w:fill="FFFFFF"/>
            <w:noWrap/>
            <w:vAlign w:val="bottom"/>
            <w:hideMark/>
          </w:tcPr>
          <w:p w14:paraId="025FCBC9" w14:textId="77777777" w:rsidR="000773A4" w:rsidRPr="005B5CE3"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301986A2"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12</w:t>
            </w:r>
          </w:p>
        </w:tc>
        <w:tc>
          <w:tcPr>
            <w:tcW w:w="820" w:type="dxa"/>
            <w:tcBorders>
              <w:top w:val="nil"/>
              <w:left w:val="nil"/>
              <w:bottom w:val="nil"/>
              <w:right w:val="single" w:sz="4" w:space="0" w:color="auto"/>
            </w:tcBorders>
            <w:shd w:val="clear" w:color="000000" w:fill="FFFFFF"/>
            <w:noWrap/>
            <w:vAlign w:val="bottom"/>
            <w:hideMark/>
          </w:tcPr>
          <w:p w14:paraId="5E4EB990"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r>
      <w:tr w:rsidR="000773A4" w:rsidRPr="005B5CE3" w14:paraId="34005626"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453E55FA"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 Number of times activity performed per staff</w:t>
            </w:r>
          </w:p>
        </w:tc>
        <w:tc>
          <w:tcPr>
            <w:tcW w:w="1052" w:type="dxa"/>
            <w:gridSpan w:val="2"/>
            <w:tcBorders>
              <w:top w:val="nil"/>
              <w:left w:val="nil"/>
              <w:bottom w:val="nil"/>
              <w:right w:val="nil"/>
            </w:tcBorders>
            <w:shd w:val="clear" w:color="000000" w:fill="FFFFFF"/>
            <w:noWrap/>
            <w:vAlign w:val="bottom"/>
            <w:hideMark/>
          </w:tcPr>
          <w:p w14:paraId="03753051"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1051" w:type="dxa"/>
            <w:gridSpan w:val="2"/>
            <w:tcBorders>
              <w:top w:val="nil"/>
              <w:left w:val="nil"/>
              <w:bottom w:val="nil"/>
              <w:right w:val="nil"/>
            </w:tcBorders>
            <w:shd w:val="clear" w:color="000000" w:fill="FFFFFF"/>
            <w:noWrap/>
            <w:vAlign w:val="bottom"/>
            <w:hideMark/>
          </w:tcPr>
          <w:p w14:paraId="41CB3465"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w:t>
            </w:r>
          </w:p>
        </w:tc>
        <w:tc>
          <w:tcPr>
            <w:tcW w:w="1058" w:type="dxa"/>
            <w:gridSpan w:val="3"/>
            <w:tcBorders>
              <w:top w:val="nil"/>
              <w:left w:val="nil"/>
              <w:bottom w:val="nil"/>
              <w:right w:val="nil"/>
            </w:tcBorders>
            <w:shd w:val="clear" w:color="000000" w:fill="FFFFFF"/>
            <w:noWrap/>
            <w:vAlign w:val="bottom"/>
            <w:hideMark/>
          </w:tcPr>
          <w:p w14:paraId="2BA5DD89" w14:textId="77777777" w:rsidR="000773A4" w:rsidRPr="005B5CE3"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15309841"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820" w:type="dxa"/>
            <w:tcBorders>
              <w:top w:val="nil"/>
              <w:left w:val="nil"/>
              <w:bottom w:val="nil"/>
              <w:right w:val="single" w:sz="4" w:space="0" w:color="auto"/>
            </w:tcBorders>
            <w:shd w:val="clear" w:color="000000" w:fill="FFFFFF"/>
            <w:noWrap/>
            <w:vAlign w:val="bottom"/>
            <w:hideMark/>
          </w:tcPr>
          <w:p w14:paraId="044DB408"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r>
      <w:tr w:rsidR="000773A4" w:rsidRPr="005B5CE3" w14:paraId="258E8EA9" w14:textId="77777777" w:rsidTr="000773A4">
        <w:trPr>
          <w:trHeight w:val="20"/>
        </w:trPr>
        <w:tc>
          <w:tcPr>
            <w:tcW w:w="3963" w:type="dxa"/>
            <w:gridSpan w:val="3"/>
            <w:tcBorders>
              <w:top w:val="nil"/>
              <w:left w:val="single" w:sz="4" w:space="0" w:color="auto"/>
              <w:bottom w:val="nil"/>
              <w:right w:val="nil"/>
            </w:tcBorders>
            <w:shd w:val="clear" w:color="000000" w:fill="FFFFFF"/>
            <w:noWrap/>
            <w:vAlign w:val="bottom"/>
            <w:hideMark/>
          </w:tcPr>
          <w:p w14:paraId="0BF5AEF9"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 Avg. time of each staff to do activity (in hours)</w:t>
            </w:r>
          </w:p>
        </w:tc>
        <w:tc>
          <w:tcPr>
            <w:tcW w:w="1052" w:type="dxa"/>
            <w:gridSpan w:val="2"/>
            <w:tcBorders>
              <w:top w:val="nil"/>
              <w:left w:val="nil"/>
              <w:bottom w:val="nil"/>
              <w:right w:val="nil"/>
            </w:tcBorders>
            <w:shd w:val="clear" w:color="000000" w:fill="FFFFFF"/>
            <w:noWrap/>
            <w:vAlign w:val="bottom"/>
            <w:hideMark/>
          </w:tcPr>
          <w:p w14:paraId="6B463EA7"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70</w:t>
            </w:r>
          </w:p>
        </w:tc>
        <w:tc>
          <w:tcPr>
            <w:tcW w:w="1051" w:type="dxa"/>
            <w:gridSpan w:val="2"/>
            <w:tcBorders>
              <w:top w:val="nil"/>
              <w:left w:val="nil"/>
              <w:bottom w:val="nil"/>
              <w:right w:val="nil"/>
            </w:tcBorders>
            <w:shd w:val="clear" w:color="000000" w:fill="FFFFFF"/>
            <w:noWrap/>
            <w:vAlign w:val="bottom"/>
            <w:hideMark/>
          </w:tcPr>
          <w:p w14:paraId="00DE6F5A"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150</w:t>
            </w:r>
          </w:p>
        </w:tc>
        <w:tc>
          <w:tcPr>
            <w:tcW w:w="1058" w:type="dxa"/>
            <w:gridSpan w:val="3"/>
            <w:tcBorders>
              <w:top w:val="nil"/>
              <w:left w:val="nil"/>
              <w:bottom w:val="nil"/>
              <w:right w:val="nil"/>
            </w:tcBorders>
            <w:shd w:val="clear" w:color="000000" w:fill="FFFFFF"/>
            <w:noWrap/>
            <w:vAlign w:val="bottom"/>
            <w:hideMark/>
          </w:tcPr>
          <w:p w14:paraId="70628BB6" w14:textId="77777777" w:rsidR="000773A4" w:rsidRPr="005B5CE3" w:rsidRDefault="000773A4" w:rsidP="007F628D">
            <w:pPr>
              <w:spacing w:after="0"/>
              <w:jc w:val="right"/>
              <w:rPr>
                <w:rFonts w:ascii="Calibri" w:hAnsi="Calibri" w:cs="Calibri"/>
                <w:color w:val="000000"/>
                <w:sz w:val="16"/>
                <w:szCs w:val="16"/>
              </w:rPr>
            </w:pPr>
          </w:p>
        </w:tc>
        <w:tc>
          <w:tcPr>
            <w:tcW w:w="1043" w:type="dxa"/>
            <w:gridSpan w:val="2"/>
            <w:tcBorders>
              <w:top w:val="nil"/>
              <w:left w:val="nil"/>
              <w:bottom w:val="nil"/>
              <w:right w:val="nil"/>
            </w:tcBorders>
            <w:shd w:val="clear" w:color="000000" w:fill="FFFFFF"/>
            <w:noWrap/>
            <w:vAlign w:val="bottom"/>
            <w:hideMark/>
          </w:tcPr>
          <w:p w14:paraId="0F96B1EB"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150</w:t>
            </w:r>
          </w:p>
        </w:tc>
        <w:tc>
          <w:tcPr>
            <w:tcW w:w="820" w:type="dxa"/>
            <w:tcBorders>
              <w:top w:val="nil"/>
              <w:left w:val="nil"/>
              <w:bottom w:val="nil"/>
              <w:right w:val="single" w:sz="4" w:space="0" w:color="auto"/>
            </w:tcBorders>
            <w:shd w:val="clear" w:color="000000" w:fill="FFFFFF"/>
            <w:noWrap/>
            <w:vAlign w:val="bottom"/>
            <w:hideMark/>
          </w:tcPr>
          <w:p w14:paraId="2334397F"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900</w:t>
            </w:r>
          </w:p>
        </w:tc>
      </w:tr>
      <w:tr w:rsidR="000773A4" w:rsidRPr="005B5CE3" w14:paraId="6A6DBB72" w14:textId="77777777" w:rsidTr="000773A4">
        <w:trPr>
          <w:trHeight w:val="20"/>
        </w:trPr>
        <w:tc>
          <w:tcPr>
            <w:tcW w:w="3963" w:type="dxa"/>
            <w:gridSpan w:val="3"/>
            <w:tcBorders>
              <w:top w:val="nil"/>
              <w:left w:val="single" w:sz="4" w:space="0" w:color="auto"/>
              <w:bottom w:val="single" w:sz="4" w:space="0" w:color="auto"/>
              <w:right w:val="nil"/>
            </w:tcBorders>
            <w:shd w:val="clear" w:color="000000" w:fill="FFFFFF"/>
            <w:noWrap/>
            <w:vAlign w:val="bottom"/>
            <w:hideMark/>
          </w:tcPr>
          <w:p w14:paraId="6903B4D8"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 Labour cost ($/hr) (wage + non-wage labour cost rate) </w:t>
            </w:r>
          </w:p>
        </w:tc>
        <w:tc>
          <w:tcPr>
            <w:tcW w:w="1052" w:type="dxa"/>
            <w:gridSpan w:val="2"/>
            <w:tcBorders>
              <w:top w:val="nil"/>
              <w:left w:val="nil"/>
              <w:bottom w:val="single" w:sz="4" w:space="0" w:color="auto"/>
              <w:right w:val="nil"/>
            </w:tcBorders>
            <w:shd w:val="clear" w:color="000000" w:fill="FFFFFF"/>
            <w:noWrap/>
            <w:vAlign w:val="bottom"/>
            <w:hideMark/>
          </w:tcPr>
          <w:p w14:paraId="4E3DBF4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74</w:t>
            </w:r>
          </w:p>
        </w:tc>
        <w:tc>
          <w:tcPr>
            <w:tcW w:w="1051" w:type="dxa"/>
            <w:gridSpan w:val="2"/>
            <w:tcBorders>
              <w:top w:val="nil"/>
              <w:left w:val="nil"/>
              <w:bottom w:val="single" w:sz="4" w:space="0" w:color="auto"/>
              <w:right w:val="nil"/>
            </w:tcBorders>
            <w:shd w:val="clear" w:color="000000" w:fill="FFFFFF"/>
            <w:noWrap/>
            <w:vAlign w:val="bottom"/>
            <w:hideMark/>
          </w:tcPr>
          <w:p w14:paraId="31E0B7FA"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82</w:t>
            </w:r>
          </w:p>
        </w:tc>
        <w:tc>
          <w:tcPr>
            <w:tcW w:w="1058" w:type="dxa"/>
            <w:gridSpan w:val="3"/>
            <w:tcBorders>
              <w:top w:val="nil"/>
              <w:left w:val="nil"/>
              <w:bottom w:val="single" w:sz="4" w:space="0" w:color="auto"/>
              <w:right w:val="nil"/>
            </w:tcBorders>
            <w:shd w:val="clear" w:color="000000" w:fill="FFFFFF"/>
            <w:noWrap/>
            <w:vAlign w:val="bottom"/>
            <w:hideMark/>
          </w:tcPr>
          <w:p w14:paraId="14FEC4D8"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350,000</w:t>
            </w:r>
          </w:p>
        </w:tc>
        <w:tc>
          <w:tcPr>
            <w:tcW w:w="1043" w:type="dxa"/>
            <w:gridSpan w:val="2"/>
            <w:tcBorders>
              <w:top w:val="nil"/>
              <w:left w:val="nil"/>
              <w:bottom w:val="single" w:sz="4" w:space="0" w:color="auto"/>
              <w:right w:val="nil"/>
            </w:tcBorders>
            <w:shd w:val="clear" w:color="000000" w:fill="FFFFFF"/>
            <w:noWrap/>
            <w:vAlign w:val="bottom"/>
            <w:hideMark/>
          </w:tcPr>
          <w:p w14:paraId="0CD24FD7"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74</w:t>
            </w:r>
          </w:p>
        </w:tc>
        <w:tc>
          <w:tcPr>
            <w:tcW w:w="820" w:type="dxa"/>
            <w:tcBorders>
              <w:top w:val="nil"/>
              <w:left w:val="nil"/>
              <w:bottom w:val="single" w:sz="4" w:space="0" w:color="auto"/>
              <w:right w:val="single" w:sz="4" w:space="0" w:color="auto"/>
            </w:tcBorders>
            <w:shd w:val="clear" w:color="000000" w:fill="FFFFFF"/>
            <w:noWrap/>
            <w:vAlign w:val="bottom"/>
            <w:hideMark/>
          </w:tcPr>
          <w:p w14:paraId="7B4D9583"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96</w:t>
            </w:r>
          </w:p>
        </w:tc>
      </w:tr>
      <w:tr w:rsidR="000773A4" w:rsidRPr="005B5CE3" w14:paraId="1BA53A9F" w14:textId="77777777" w:rsidTr="000773A4">
        <w:trPr>
          <w:trHeight w:val="20"/>
        </w:trPr>
        <w:tc>
          <w:tcPr>
            <w:tcW w:w="3963" w:type="dxa"/>
            <w:gridSpan w:val="3"/>
            <w:tcBorders>
              <w:top w:val="nil"/>
              <w:left w:val="nil"/>
              <w:bottom w:val="nil"/>
              <w:right w:val="nil"/>
            </w:tcBorders>
            <w:shd w:val="clear" w:color="000000" w:fill="FFFFFF"/>
            <w:noWrap/>
            <w:vAlign w:val="bottom"/>
            <w:hideMark/>
          </w:tcPr>
          <w:p w14:paraId="0EBD042C"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052" w:type="dxa"/>
            <w:gridSpan w:val="2"/>
            <w:tcBorders>
              <w:top w:val="nil"/>
              <w:left w:val="nil"/>
              <w:bottom w:val="double" w:sz="6" w:space="0" w:color="auto"/>
              <w:right w:val="nil"/>
            </w:tcBorders>
            <w:shd w:val="clear" w:color="000000" w:fill="FFFFFF"/>
            <w:noWrap/>
            <w:vAlign w:val="bottom"/>
            <w:hideMark/>
          </w:tcPr>
          <w:p w14:paraId="0455B3DA"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1,157,625</w:t>
            </w:r>
          </w:p>
        </w:tc>
        <w:tc>
          <w:tcPr>
            <w:tcW w:w="1051" w:type="dxa"/>
            <w:gridSpan w:val="2"/>
            <w:tcBorders>
              <w:top w:val="nil"/>
              <w:left w:val="nil"/>
              <w:bottom w:val="double" w:sz="6" w:space="0" w:color="auto"/>
              <w:right w:val="nil"/>
            </w:tcBorders>
            <w:shd w:val="clear" w:color="000000" w:fill="FFFFFF"/>
            <w:noWrap/>
            <w:vAlign w:val="bottom"/>
            <w:hideMark/>
          </w:tcPr>
          <w:p w14:paraId="66E15795"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444,150</w:t>
            </w:r>
          </w:p>
        </w:tc>
        <w:tc>
          <w:tcPr>
            <w:tcW w:w="1058" w:type="dxa"/>
            <w:gridSpan w:val="3"/>
            <w:tcBorders>
              <w:top w:val="nil"/>
              <w:left w:val="nil"/>
              <w:bottom w:val="double" w:sz="6" w:space="0" w:color="auto"/>
              <w:right w:val="nil"/>
            </w:tcBorders>
            <w:shd w:val="clear" w:color="000000" w:fill="FFFFFF"/>
            <w:noWrap/>
            <w:vAlign w:val="bottom"/>
            <w:hideMark/>
          </w:tcPr>
          <w:p w14:paraId="6DE9E178"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1,050,000</w:t>
            </w:r>
          </w:p>
        </w:tc>
        <w:tc>
          <w:tcPr>
            <w:tcW w:w="1043" w:type="dxa"/>
            <w:gridSpan w:val="2"/>
            <w:tcBorders>
              <w:top w:val="nil"/>
              <w:left w:val="nil"/>
              <w:bottom w:val="double" w:sz="6" w:space="0" w:color="auto"/>
              <w:right w:val="nil"/>
            </w:tcBorders>
            <w:shd w:val="clear" w:color="000000" w:fill="FFFFFF"/>
            <w:noWrap/>
            <w:vAlign w:val="bottom"/>
            <w:hideMark/>
          </w:tcPr>
          <w:p w14:paraId="407B997A"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1,984,500</w:t>
            </w:r>
          </w:p>
        </w:tc>
        <w:tc>
          <w:tcPr>
            <w:tcW w:w="820" w:type="dxa"/>
            <w:tcBorders>
              <w:top w:val="nil"/>
              <w:left w:val="nil"/>
              <w:bottom w:val="double" w:sz="6" w:space="0" w:color="auto"/>
              <w:right w:val="nil"/>
            </w:tcBorders>
            <w:shd w:val="clear" w:color="000000" w:fill="FFFFFF"/>
            <w:noWrap/>
            <w:vAlign w:val="bottom"/>
            <w:hideMark/>
          </w:tcPr>
          <w:p w14:paraId="60BBB1EA"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6,496,875</w:t>
            </w:r>
          </w:p>
        </w:tc>
      </w:tr>
    </w:tbl>
    <w:p w14:paraId="02943CE1" w14:textId="4FB8DB29" w:rsidR="00940BA7" w:rsidRPr="008F1B7C" w:rsidRDefault="00940BA7" w:rsidP="00077132">
      <w:r w:rsidRPr="008F1B7C">
        <w:br w:type="page"/>
      </w:r>
    </w:p>
    <w:tbl>
      <w:tblPr>
        <w:tblW w:w="9082" w:type="dxa"/>
        <w:tblLayout w:type="fixed"/>
        <w:tblCellMar>
          <w:left w:w="0" w:type="dxa"/>
          <w:right w:w="28" w:type="dxa"/>
        </w:tblCellMar>
        <w:tblLook w:val="04A0" w:firstRow="1" w:lastRow="0" w:firstColumn="1" w:lastColumn="0" w:noHBand="0" w:noVBand="1"/>
      </w:tblPr>
      <w:tblGrid>
        <w:gridCol w:w="3969"/>
        <w:gridCol w:w="1109"/>
        <w:gridCol w:w="1109"/>
        <w:gridCol w:w="901"/>
        <w:gridCol w:w="1134"/>
        <w:gridCol w:w="850"/>
        <w:gridCol w:w="10"/>
      </w:tblGrid>
      <w:tr w:rsidR="000773A4" w:rsidRPr="005B5CE3" w14:paraId="6EC82264"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6D2898AB" w14:textId="77777777" w:rsidR="000773A4" w:rsidRPr="005B5CE3" w:rsidRDefault="000773A4" w:rsidP="007F628D">
            <w:pPr>
              <w:spacing w:after="0"/>
              <w:rPr>
                <w:rFonts w:ascii="Calibri" w:hAnsi="Calibri" w:cs="Calibri"/>
                <w:b/>
                <w:bCs/>
                <w:color w:val="000000"/>
                <w:sz w:val="16"/>
                <w:szCs w:val="16"/>
                <w:u w:val="single"/>
              </w:rPr>
            </w:pPr>
            <w:r w:rsidRPr="005B5CE3">
              <w:rPr>
                <w:rFonts w:ascii="Calibri" w:hAnsi="Calibri" w:cs="Calibri"/>
                <w:b/>
                <w:bCs/>
                <w:color w:val="000000"/>
                <w:sz w:val="16"/>
                <w:szCs w:val="16"/>
                <w:u w:val="single"/>
              </w:rPr>
              <w:lastRenderedPageBreak/>
              <w:t xml:space="preserve">Option 2 </w:t>
            </w:r>
          </w:p>
        </w:tc>
        <w:tc>
          <w:tcPr>
            <w:tcW w:w="1109" w:type="dxa"/>
            <w:tcBorders>
              <w:top w:val="nil"/>
              <w:left w:val="nil"/>
              <w:bottom w:val="nil"/>
              <w:right w:val="nil"/>
            </w:tcBorders>
            <w:shd w:val="clear" w:color="000000" w:fill="FFFFFF"/>
            <w:noWrap/>
            <w:vAlign w:val="bottom"/>
            <w:hideMark/>
          </w:tcPr>
          <w:p w14:paraId="4975D5C7"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w:t>
            </w:r>
          </w:p>
        </w:tc>
        <w:tc>
          <w:tcPr>
            <w:tcW w:w="1109" w:type="dxa"/>
            <w:tcBorders>
              <w:top w:val="nil"/>
              <w:left w:val="nil"/>
              <w:bottom w:val="nil"/>
              <w:right w:val="nil"/>
            </w:tcBorders>
            <w:shd w:val="clear" w:color="000000" w:fill="FFFFFF"/>
            <w:noWrap/>
            <w:vAlign w:val="bottom"/>
            <w:hideMark/>
          </w:tcPr>
          <w:p w14:paraId="4896FE4C"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w:t>
            </w:r>
          </w:p>
        </w:tc>
        <w:tc>
          <w:tcPr>
            <w:tcW w:w="901" w:type="dxa"/>
            <w:tcBorders>
              <w:top w:val="nil"/>
              <w:left w:val="nil"/>
              <w:bottom w:val="nil"/>
              <w:right w:val="nil"/>
            </w:tcBorders>
            <w:shd w:val="clear" w:color="000000" w:fill="FFFFFF"/>
            <w:noWrap/>
            <w:vAlign w:val="bottom"/>
            <w:hideMark/>
          </w:tcPr>
          <w:p w14:paraId="63A67CA1"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w:t>
            </w:r>
          </w:p>
        </w:tc>
        <w:tc>
          <w:tcPr>
            <w:tcW w:w="1134" w:type="dxa"/>
            <w:tcBorders>
              <w:top w:val="nil"/>
              <w:left w:val="nil"/>
              <w:bottom w:val="nil"/>
              <w:right w:val="nil"/>
            </w:tcBorders>
            <w:shd w:val="clear" w:color="000000" w:fill="FFFFFF"/>
            <w:noWrap/>
            <w:vAlign w:val="bottom"/>
            <w:hideMark/>
          </w:tcPr>
          <w:p w14:paraId="05081039"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 </w:t>
            </w:r>
          </w:p>
        </w:tc>
        <w:tc>
          <w:tcPr>
            <w:tcW w:w="850" w:type="dxa"/>
            <w:tcBorders>
              <w:top w:val="nil"/>
              <w:left w:val="nil"/>
              <w:bottom w:val="nil"/>
              <w:right w:val="nil"/>
            </w:tcBorders>
            <w:shd w:val="clear" w:color="000000" w:fill="FFFFFF"/>
            <w:noWrap/>
            <w:vAlign w:val="bottom"/>
            <w:hideMark/>
          </w:tcPr>
          <w:p w14:paraId="2163051E"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w:t>
            </w:r>
          </w:p>
        </w:tc>
      </w:tr>
      <w:tr w:rsidR="000773A4" w:rsidRPr="005B5CE3" w14:paraId="35DC51FC" w14:textId="77777777" w:rsidTr="000773A4">
        <w:trPr>
          <w:trHeight w:val="20"/>
        </w:trPr>
        <w:tc>
          <w:tcPr>
            <w:tcW w:w="9082" w:type="dxa"/>
            <w:gridSpan w:val="7"/>
            <w:tcBorders>
              <w:top w:val="nil"/>
              <w:left w:val="nil"/>
              <w:bottom w:val="nil"/>
              <w:right w:val="nil"/>
            </w:tcBorders>
            <w:shd w:val="clear" w:color="000000" w:fill="FFFFFF"/>
            <w:noWrap/>
            <w:vAlign w:val="bottom"/>
            <w:hideMark/>
          </w:tcPr>
          <w:p w14:paraId="0EDC5602"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b/>
                <w:bCs/>
                <w:color w:val="000000"/>
                <w:sz w:val="16"/>
                <w:szCs w:val="16"/>
              </w:rPr>
              <w:t xml:space="preserve">Expand existing </w:t>
            </w:r>
            <w:proofErr w:type="spellStart"/>
            <w:r w:rsidRPr="005B5CE3">
              <w:rPr>
                <w:rFonts w:ascii="Calibri" w:hAnsi="Calibri" w:cs="Calibri"/>
                <w:b/>
                <w:bCs/>
                <w:color w:val="000000"/>
                <w:sz w:val="16"/>
                <w:szCs w:val="16"/>
              </w:rPr>
              <w:t>MySuper</w:t>
            </w:r>
            <w:proofErr w:type="spellEnd"/>
            <w:r w:rsidRPr="005B5CE3">
              <w:rPr>
                <w:rFonts w:ascii="Calibri" w:hAnsi="Calibri" w:cs="Calibri"/>
                <w:b/>
                <w:bCs/>
                <w:color w:val="000000"/>
                <w:sz w:val="16"/>
                <w:szCs w:val="16"/>
              </w:rPr>
              <w:t xml:space="preserve"> reporting standards to all products and investment options </w:t>
            </w:r>
          </w:p>
        </w:tc>
      </w:tr>
      <w:tr w:rsidR="000773A4" w:rsidRPr="005B5CE3" w14:paraId="125DA760" w14:textId="77777777" w:rsidTr="000773A4">
        <w:trPr>
          <w:gridAfter w:val="1"/>
          <w:wAfter w:w="10" w:type="dxa"/>
          <w:trHeight w:val="20"/>
        </w:trPr>
        <w:tc>
          <w:tcPr>
            <w:tcW w:w="3969" w:type="dxa"/>
            <w:tcBorders>
              <w:top w:val="single" w:sz="4" w:space="0" w:color="auto"/>
              <w:left w:val="single" w:sz="4" w:space="0" w:color="auto"/>
              <w:bottom w:val="nil"/>
              <w:right w:val="nil"/>
            </w:tcBorders>
            <w:shd w:val="clear" w:color="000000" w:fill="FFFFFF"/>
            <w:noWrap/>
            <w:vAlign w:val="bottom"/>
            <w:hideMark/>
          </w:tcPr>
          <w:p w14:paraId="6042006B"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xml:space="preserve">Ongoing Cost (over 9 years) (Low complexity 26 with </w:t>
            </w:r>
            <w:proofErr w:type="spellStart"/>
            <w:r w:rsidRPr="005B5CE3">
              <w:rPr>
                <w:rFonts w:ascii="Calibri" w:hAnsi="Calibri" w:cs="Calibri"/>
                <w:b/>
                <w:bCs/>
                <w:color w:val="000000"/>
                <w:sz w:val="16"/>
                <w:szCs w:val="16"/>
              </w:rPr>
              <w:t>MySuper</w:t>
            </w:r>
            <w:proofErr w:type="spellEnd"/>
            <w:r w:rsidRPr="005B5CE3">
              <w:rPr>
                <w:rFonts w:ascii="Calibri" w:hAnsi="Calibri" w:cs="Calibri"/>
                <w:b/>
                <w:bCs/>
                <w:color w:val="000000"/>
                <w:sz w:val="16"/>
                <w:szCs w:val="16"/>
              </w:rPr>
              <w:t xml:space="preserve">) </w:t>
            </w:r>
          </w:p>
        </w:tc>
        <w:tc>
          <w:tcPr>
            <w:tcW w:w="1109" w:type="dxa"/>
            <w:tcBorders>
              <w:top w:val="single" w:sz="4" w:space="0" w:color="auto"/>
              <w:left w:val="nil"/>
              <w:bottom w:val="single" w:sz="4" w:space="0" w:color="auto"/>
              <w:right w:val="nil"/>
            </w:tcBorders>
            <w:shd w:val="clear" w:color="000000" w:fill="FFFFFF"/>
            <w:vAlign w:val="bottom"/>
            <w:hideMark/>
          </w:tcPr>
          <w:p w14:paraId="5F16FAD6"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Education</w:t>
            </w:r>
          </w:p>
        </w:tc>
        <w:tc>
          <w:tcPr>
            <w:tcW w:w="1109" w:type="dxa"/>
            <w:tcBorders>
              <w:top w:val="single" w:sz="4" w:space="0" w:color="auto"/>
              <w:left w:val="nil"/>
              <w:bottom w:val="single" w:sz="4" w:space="0" w:color="auto"/>
              <w:right w:val="nil"/>
            </w:tcBorders>
            <w:shd w:val="clear" w:color="000000" w:fill="FFFFFF"/>
            <w:vAlign w:val="bottom"/>
            <w:hideMark/>
          </w:tcPr>
          <w:p w14:paraId="0FA1C826"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Record Keeping</w:t>
            </w:r>
          </w:p>
        </w:tc>
        <w:tc>
          <w:tcPr>
            <w:tcW w:w="901" w:type="dxa"/>
            <w:tcBorders>
              <w:top w:val="single" w:sz="4" w:space="0" w:color="auto"/>
              <w:left w:val="nil"/>
              <w:bottom w:val="single" w:sz="4" w:space="0" w:color="auto"/>
              <w:right w:val="nil"/>
            </w:tcBorders>
            <w:shd w:val="clear" w:color="000000" w:fill="FFFFFF"/>
            <w:vAlign w:val="bottom"/>
            <w:hideMark/>
          </w:tcPr>
          <w:p w14:paraId="4C881C91"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Purchasing</w:t>
            </w:r>
          </w:p>
        </w:tc>
        <w:tc>
          <w:tcPr>
            <w:tcW w:w="1134" w:type="dxa"/>
            <w:tcBorders>
              <w:top w:val="single" w:sz="4" w:space="0" w:color="auto"/>
              <w:left w:val="nil"/>
              <w:bottom w:val="single" w:sz="4" w:space="0" w:color="auto"/>
              <w:right w:val="nil"/>
            </w:tcBorders>
            <w:shd w:val="clear" w:color="000000" w:fill="FFFFFF"/>
            <w:vAlign w:val="bottom"/>
            <w:hideMark/>
          </w:tcPr>
          <w:p w14:paraId="1CBCBA73"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Publication and Documentation</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0F49841B"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Other</w:t>
            </w:r>
          </w:p>
        </w:tc>
      </w:tr>
      <w:tr w:rsidR="000773A4" w:rsidRPr="005B5CE3" w14:paraId="7CB7029E"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2DEABDC1"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businesses affected by activity</w:t>
            </w:r>
          </w:p>
        </w:tc>
        <w:tc>
          <w:tcPr>
            <w:tcW w:w="1109" w:type="dxa"/>
            <w:tcBorders>
              <w:top w:val="nil"/>
              <w:left w:val="nil"/>
              <w:bottom w:val="nil"/>
              <w:right w:val="nil"/>
            </w:tcBorders>
            <w:shd w:val="clear" w:color="000000" w:fill="FFFFFF"/>
            <w:noWrap/>
            <w:vAlign w:val="bottom"/>
            <w:hideMark/>
          </w:tcPr>
          <w:p w14:paraId="217E7194"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0AD7F3CA"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26</w:t>
            </w:r>
          </w:p>
        </w:tc>
        <w:tc>
          <w:tcPr>
            <w:tcW w:w="901" w:type="dxa"/>
            <w:tcBorders>
              <w:top w:val="nil"/>
              <w:left w:val="nil"/>
              <w:bottom w:val="nil"/>
              <w:right w:val="nil"/>
            </w:tcBorders>
            <w:shd w:val="clear" w:color="000000" w:fill="FFFFFF"/>
            <w:noWrap/>
            <w:vAlign w:val="bottom"/>
            <w:hideMark/>
          </w:tcPr>
          <w:p w14:paraId="19B048A1"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26</w:t>
            </w:r>
          </w:p>
        </w:tc>
        <w:tc>
          <w:tcPr>
            <w:tcW w:w="1134" w:type="dxa"/>
            <w:tcBorders>
              <w:top w:val="nil"/>
              <w:left w:val="nil"/>
              <w:bottom w:val="nil"/>
              <w:right w:val="nil"/>
            </w:tcBorders>
            <w:shd w:val="clear" w:color="000000" w:fill="FFFFFF"/>
            <w:noWrap/>
            <w:vAlign w:val="bottom"/>
            <w:hideMark/>
          </w:tcPr>
          <w:p w14:paraId="1ADEFD77"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26</w:t>
            </w:r>
          </w:p>
        </w:tc>
        <w:tc>
          <w:tcPr>
            <w:tcW w:w="850" w:type="dxa"/>
            <w:tcBorders>
              <w:top w:val="nil"/>
              <w:left w:val="nil"/>
              <w:bottom w:val="nil"/>
              <w:right w:val="single" w:sz="4" w:space="0" w:color="auto"/>
            </w:tcBorders>
            <w:shd w:val="clear" w:color="000000" w:fill="FFFFFF"/>
            <w:noWrap/>
            <w:vAlign w:val="bottom"/>
            <w:hideMark/>
          </w:tcPr>
          <w:p w14:paraId="77AE81D0"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0F1E00DB"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13EC638F"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staff per business performing activity</w:t>
            </w:r>
          </w:p>
        </w:tc>
        <w:tc>
          <w:tcPr>
            <w:tcW w:w="1109" w:type="dxa"/>
            <w:tcBorders>
              <w:top w:val="nil"/>
              <w:left w:val="nil"/>
              <w:bottom w:val="nil"/>
              <w:right w:val="nil"/>
            </w:tcBorders>
            <w:shd w:val="clear" w:color="000000" w:fill="FFFFFF"/>
            <w:noWrap/>
            <w:vAlign w:val="bottom"/>
            <w:hideMark/>
          </w:tcPr>
          <w:p w14:paraId="6EB417AC"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0DFD2091"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w:t>
            </w:r>
          </w:p>
        </w:tc>
        <w:tc>
          <w:tcPr>
            <w:tcW w:w="901" w:type="dxa"/>
            <w:tcBorders>
              <w:top w:val="nil"/>
              <w:left w:val="nil"/>
              <w:bottom w:val="nil"/>
              <w:right w:val="nil"/>
            </w:tcBorders>
            <w:shd w:val="clear" w:color="000000" w:fill="FFFFFF"/>
            <w:noWrap/>
            <w:vAlign w:val="bottom"/>
            <w:hideMark/>
          </w:tcPr>
          <w:p w14:paraId="42D7108D"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4FA2BBB3"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w:t>
            </w:r>
          </w:p>
        </w:tc>
        <w:tc>
          <w:tcPr>
            <w:tcW w:w="850" w:type="dxa"/>
            <w:tcBorders>
              <w:top w:val="nil"/>
              <w:left w:val="nil"/>
              <w:bottom w:val="nil"/>
              <w:right w:val="single" w:sz="4" w:space="0" w:color="auto"/>
            </w:tcBorders>
            <w:shd w:val="clear" w:color="000000" w:fill="FFFFFF"/>
            <w:noWrap/>
            <w:vAlign w:val="bottom"/>
            <w:hideMark/>
          </w:tcPr>
          <w:p w14:paraId="3107B0FF"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17DA3E08"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0D137959"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times activity performed per staff</w:t>
            </w:r>
          </w:p>
        </w:tc>
        <w:tc>
          <w:tcPr>
            <w:tcW w:w="1109" w:type="dxa"/>
            <w:tcBorders>
              <w:top w:val="nil"/>
              <w:left w:val="nil"/>
              <w:bottom w:val="nil"/>
              <w:right w:val="nil"/>
            </w:tcBorders>
            <w:shd w:val="clear" w:color="000000" w:fill="FFFFFF"/>
            <w:noWrap/>
            <w:vAlign w:val="bottom"/>
            <w:hideMark/>
          </w:tcPr>
          <w:p w14:paraId="3F23101E"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3F2E1EFF"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901" w:type="dxa"/>
            <w:tcBorders>
              <w:top w:val="nil"/>
              <w:left w:val="nil"/>
              <w:bottom w:val="nil"/>
              <w:right w:val="nil"/>
            </w:tcBorders>
            <w:shd w:val="clear" w:color="000000" w:fill="FFFFFF"/>
            <w:noWrap/>
            <w:vAlign w:val="bottom"/>
            <w:hideMark/>
          </w:tcPr>
          <w:p w14:paraId="6767FD24"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1B674C7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850" w:type="dxa"/>
            <w:tcBorders>
              <w:top w:val="nil"/>
              <w:left w:val="nil"/>
              <w:bottom w:val="nil"/>
              <w:right w:val="single" w:sz="4" w:space="0" w:color="auto"/>
            </w:tcBorders>
            <w:shd w:val="clear" w:color="000000" w:fill="FFFFFF"/>
            <w:noWrap/>
            <w:vAlign w:val="bottom"/>
            <w:hideMark/>
          </w:tcPr>
          <w:p w14:paraId="64EDF4EE"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2487226D"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2A8A7E24"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Avg. time of each staff to do activity (in hours)</w:t>
            </w:r>
          </w:p>
        </w:tc>
        <w:tc>
          <w:tcPr>
            <w:tcW w:w="1109" w:type="dxa"/>
            <w:tcBorders>
              <w:top w:val="nil"/>
              <w:left w:val="nil"/>
              <w:bottom w:val="nil"/>
              <w:right w:val="nil"/>
            </w:tcBorders>
            <w:shd w:val="clear" w:color="000000" w:fill="FFFFFF"/>
            <w:noWrap/>
            <w:vAlign w:val="bottom"/>
            <w:hideMark/>
          </w:tcPr>
          <w:p w14:paraId="1E15FEA0"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4CD607E8"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45</w:t>
            </w:r>
          </w:p>
        </w:tc>
        <w:tc>
          <w:tcPr>
            <w:tcW w:w="901" w:type="dxa"/>
            <w:tcBorders>
              <w:top w:val="nil"/>
              <w:left w:val="nil"/>
              <w:bottom w:val="nil"/>
              <w:right w:val="nil"/>
            </w:tcBorders>
            <w:shd w:val="clear" w:color="000000" w:fill="FFFFFF"/>
            <w:noWrap/>
            <w:vAlign w:val="bottom"/>
            <w:hideMark/>
          </w:tcPr>
          <w:p w14:paraId="49FA2992"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1D199B29"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45</w:t>
            </w:r>
          </w:p>
        </w:tc>
        <w:tc>
          <w:tcPr>
            <w:tcW w:w="850" w:type="dxa"/>
            <w:tcBorders>
              <w:top w:val="nil"/>
              <w:left w:val="nil"/>
              <w:bottom w:val="nil"/>
              <w:right w:val="single" w:sz="4" w:space="0" w:color="auto"/>
            </w:tcBorders>
            <w:shd w:val="clear" w:color="000000" w:fill="FFFFFF"/>
            <w:noWrap/>
            <w:vAlign w:val="bottom"/>
            <w:hideMark/>
          </w:tcPr>
          <w:p w14:paraId="7A62348E"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07DD8E4A" w14:textId="77777777" w:rsidTr="000773A4">
        <w:trPr>
          <w:gridAfter w:val="1"/>
          <w:wAfter w:w="10" w:type="dxa"/>
          <w:trHeight w:val="20"/>
        </w:trPr>
        <w:tc>
          <w:tcPr>
            <w:tcW w:w="3969" w:type="dxa"/>
            <w:tcBorders>
              <w:top w:val="nil"/>
              <w:left w:val="single" w:sz="4" w:space="0" w:color="auto"/>
              <w:bottom w:val="single" w:sz="4" w:space="0" w:color="auto"/>
              <w:right w:val="nil"/>
            </w:tcBorders>
            <w:shd w:val="clear" w:color="000000" w:fill="FFFFFF"/>
            <w:noWrap/>
            <w:vAlign w:val="bottom"/>
            <w:hideMark/>
          </w:tcPr>
          <w:p w14:paraId="6F40665E"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Labour cost ($/hr) (wage + non-wage labour cost rate)</w:t>
            </w:r>
          </w:p>
        </w:tc>
        <w:tc>
          <w:tcPr>
            <w:tcW w:w="1109" w:type="dxa"/>
            <w:tcBorders>
              <w:top w:val="nil"/>
              <w:left w:val="nil"/>
              <w:bottom w:val="single" w:sz="4" w:space="0" w:color="auto"/>
              <w:right w:val="nil"/>
            </w:tcBorders>
            <w:shd w:val="clear" w:color="000000" w:fill="FFFFFF"/>
            <w:noWrap/>
            <w:vAlign w:val="bottom"/>
            <w:hideMark/>
          </w:tcPr>
          <w:p w14:paraId="14A41BE3"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single" w:sz="4" w:space="0" w:color="auto"/>
              <w:right w:val="nil"/>
            </w:tcBorders>
            <w:shd w:val="clear" w:color="000000" w:fill="FFFFFF"/>
            <w:noWrap/>
            <w:vAlign w:val="bottom"/>
            <w:hideMark/>
          </w:tcPr>
          <w:p w14:paraId="76CE9121"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82</w:t>
            </w:r>
          </w:p>
        </w:tc>
        <w:tc>
          <w:tcPr>
            <w:tcW w:w="901" w:type="dxa"/>
            <w:tcBorders>
              <w:top w:val="nil"/>
              <w:left w:val="nil"/>
              <w:bottom w:val="single" w:sz="4" w:space="0" w:color="auto"/>
              <w:right w:val="nil"/>
            </w:tcBorders>
            <w:shd w:val="clear" w:color="000000" w:fill="FFFFFF"/>
            <w:noWrap/>
            <w:vAlign w:val="bottom"/>
            <w:hideMark/>
          </w:tcPr>
          <w:p w14:paraId="6DA28BA2"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100,000</w:t>
            </w:r>
          </w:p>
        </w:tc>
        <w:tc>
          <w:tcPr>
            <w:tcW w:w="1134" w:type="dxa"/>
            <w:tcBorders>
              <w:top w:val="nil"/>
              <w:left w:val="nil"/>
              <w:bottom w:val="single" w:sz="4" w:space="0" w:color="auto"/>
              <w:right w:val="nil"/>
            </w:tcBorders>
            <w:shd w:val="clear" w:color="000000" w:fill="FFFFFF"/>
            <w:noWrap/>
            <w:vAlign w:val="bottom"/>
            <w:hideMark/>
          </w:tcPr>
          <w:p w14:paraId="0FD3AE61"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74</w:t>
            </w:r>
          </w:p>
        </w:tc>
        <w:tc>
          <w:tcPr>
            <w:tcW w:w="850" w:type="dxa"/>
            <w:tcBorders>
              <w:top w:val="nil"/>
              <w:left w:val="nil"/>
              <w:bottom w:val="single" w:sz="4" w:space="0" w:color="auto"/>
              <w:right w:val="single" w:sz="4" w:space="0" w:color="auto"/>
            </w:tcBorders>
            <w:shd w:val="clear" w:color="000000" w:fill="FFFFFF"/>
            <w:noWrap/>
            <w:vAlign w:val="bottom"/>
            <w:hideMark/>
          </w:tcPr>
          <w:p w14:paraId="46D581B3"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2644D915"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59A873B0"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double" w:sz="6" w:space="0" w:color="auto"/>
              <w:right w:val="nil"/>
            </w:tcBorders>
            <w:shd w:val="clear" w:color="000000" w:fill="FFFFFF"/>
            <w:noWrap/>
            <w:vAlign w:val="bottom"/>
            <w:hideMark/>
          </w:tcPr>
          <w:p w14:paraId="2E6B19BB"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w:t>
            </w:r>
          </w:p>
        </w:tc>
        <w:tc>
          <w:tcPr>
            <w:tcW w:w="1109" w:type="dxa"/>
            <w:tcBorders>
              <w:top w:val="nil"/>
              <w:left w:val="nil"/>
              <w:bottom w:val="double" w:sz="6" w:space="0" w:color="auto"/>
              <w:right w:val="nil"/>
            </w:tcBorders>
            <w:shd w:val="clear" w:color="000000" w:fill="FFFFFF"/>
            <w:noWrap/>
            <w:vAlign w:val="bottom"/>
            <w:hideMark/>
          </w:tcPr>
          <w:p w14:paraId="5DC6D8E6"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481,163</w:t>
            </w:r>
          </w:p>
        </w:tc>
        <w:tc>
          <w:tcPr>
            <w:tcW w:w="901" w:type="dxa"/>
            <w:tcBorders>
              <w:top w:val="nil"/>
              <w:left w:val="nil"/>
              <w:bottom w:val="double" w:sz="6" w:space="0" w:color="auto"/>
              <w:right w:val="nil"/>
            </w:tcBorders>
            <w:shd w:val="clear" w:color="000000" w:fill="FFFFFF"/>
            <w:noWrap/>
            <w:vAlign w:val="bottom"/>
            <w:hideMark/>
          </w:tcPr>
          <w:p w14:paraId="307BD1B6"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2,600,000</w:t>
            </w:r>
          </w:p>
        </w:tc>
        <w:tc>
          <w:tcPr>
            <w:tcW w:w="1134" w:type="dxa"/>
            <w:tcBorders>
              <w:top w:val="nil"/>
              <w:left w:val="nil"/>
              <w:bottom w:val="double" w:sz="6" w:space="0" w:color="auto"/>
              <w:right w:val="nil"/>
            </w:tcBorders>
            <w:shd w:val="clear" w:color="000000" w:fill="FFFFFF"/>
            <w:noWrap/>
            <w:vAlign w:val="bottom"/>
            <w:hideMark/>
          </w:tcPr>
          <w:p w14:paraId="19290B03"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429,975</w:t>
            </w:r>
          </w:p>
        </w:tc>
        <w:tc>
          <w:tcPr>
            <w:tcW w:w="850" w:type="dxa"/>
            <w:tcBorders>
              <w:top w:val="nil"/>
              <w:left w:val="nil"/>
              <w:bottom w:val="double" w:sz="6" w:space="0" w:color="auto"/>
              <w:right w:val="nil"/>
            </w:tcBorders>
            <w:shd w:val="clear" w:color="000000" w:fill="FFFFFF"/>
            <w:noWrap/>
            <w:vAlign w:val="bottom"/>
            <w:hideMark/>
          </w:tcPr>
          <w:p w14:paraId="5698280A" w14:textId="77777777" w:rsidR="000773A4" w:rsidRPr="005B5CE3" w:rsidRDefault="000773A4" w:rsidP="007F628D">
            <w:pPr>
              <w:spacing w:after="0"/>
              <w:jc w:val="right"/>
              <w:rPr>
                <w:rFonts w:ascii="Calibri" w:hAnsi="Calibri" w:cs="Calibri"/>
                <w:b/>
                <w:bCs/>
                <w:color w:val="000000"/>
                <w:sz w:val="16"/>
                <w:szCs w:val="16"/>
              </w:rPr>
            </w:pPr>
          </w:p>
        </w:tc>
      </w:tr>
      <w:tr w:rsidR="000773A4" w:rsidRPr="005B5CE3" w14:paraId="7418A5B4"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3A48BF1D" w14:textId="77777777" w:rsidR="000773A4" w:rsidRPr="005B5CE3" w:rsidRDefault="000773A4" w:rsidP="007F628D">
            <w:pPr>
              <w:spacing w:after="0"/>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13D89620"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nil"/>
              <w:right w:val="nil"/>
            </w:tcBorders>
            <w:shd w:val="clear" w:color="000000" w:fill="FFFFFF"/>
            <w:noWrap/>
            <w:vAlign w:val="bottom"/>
            <w:hideMark/>
          </w:tcPr>
          <w:p w14:paraId="77041440"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901" w:type="dxa"/>
            <w:tcBorders>
              <w:top w:val="nil"/>
              <w:left w:val="nil"/>
              <w:bottom w:val="nil"/>
              <w:right w:val="nil"/>
            </w:tcBorders>
            <w:shd w:val="clear" w:color="000000" w:fill="FFFFFF"/>
            <w:noWrap/>
            <w:vAlign w:val="bottom"/>
            <w:hideMark/>
          </w:tcPr>
          <w:p w14:paraId="7289D827"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34" w:type="dxa"/>
            <w:tcBorders>
              <w:top w:val="nil"/>
              <w:left w:val="nil"/>
              <w:bottom w:val="nil"/>
              <w:right w:val="nil"/>
            </w:tcBorders>
            <w:shd w:val="clear" w:color="000000" w:fill="FFFFFF"/>
            <w:noWrap/>
            <w:vAlign w:val="bottom"/>
            <w:hideMark/>
          </w:tcPr>
          <w:p w14:paraId="2D364894"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 </w:t>
            </w:r>
          </w:p>
        </w:tc>
        <w:tc>
          <w:tcPr>
            <w:tcW w:w="850" w:type="dxa"/>
            <w:tcBorders>
              <w:top w:val="nil"/>
              <w:left w:val="nil"/>
              <w:bottom w:val="nil"/>
              <w:right w:val="nil"/>
            </w:tcBorders>
            <w:shd w:val="clear" w:color="000000" w:fill="FFFFFF"/>
            <w:noWrap/>
            <w:vAlign w:val="bottom"/>
            <w:hideMark/>
          </w:tcPr>
          <w:p w14:paraId="168B2BB6"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r>
      <w:tr w:rsidR="000773A4" w:rsidRPr="005B5CE3" w14:paraId="39C9E9B2" w14:textId="77777777" w:rsidTr="000773A4">
        <w:trPr>
          <w:gridAfter w:val="1"/>
          <w:wAfter w:w="10" w:type="dxa"/>
          <w:trHeight w:val="20"/>
        </w:trPr>
        <w:tc>
          <w:tcPr>
            <w:tcW w:w="3969" w:type="dxa"/>
            <w:tcBorders>
              <w:top w:val="single" w:sz="4" w:space="0" w:color="auto"/>
              <w:left w:val="single" w:sz="4" w:space="0" w:color="auto"/>
              <w:bottom w:val="nil"/>
              <w:right w:val="nil"/>
            </w:tcBorders>
            <w:shd w:val="clear" w:color="000000" w:fill="FFFFFF"/>
            <w:noWrap/>
            <w:vAlign w:val="bottom"/>
            <w:hideMark/>
          </w:tcPr>
          <w:p w14:paraId="7099DA42"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xml:space="preserve">Ongoing Cost (over 9 years) (Low complexity 9 with no </w:t>
            </w:r>
            <w:proofErr w:type="spellStart"/>
            <w:r w:rsidRPr="005B5CE3">
              <w:rPr>
                <w:rFonts w:ascii="Calibri" w:hAnsi="Calibri" w:cs="Calibri"/>
                <w:b/>
                <w:bCs/>
                <w:color w:val="000000"/>
                <w:sz w:val="16"/>
                <w:szCs w:val="16"/>
              </w:rPr>
              <w:t>MySuper</w:t>
            </w:r>
            <w:proofErr w:type="spellEnd"/>
            <w:r w:rsidRPr="005B5CE3">
              <w:rPr>
                <w:rFonts w:ascii="Calibri" w:hAnsi="Calibri" w:cs="Calibri"/>
                <w:b/>
                <w:bCs/>
                <w:color w:val="000000"/>
                <w:sz w:val="16"/>
                <w:szCs w:val="16"/>
              </w:rPr>
              <w:t xml:space="preserve">) </w:t>
            </w:r>
          </w:p>
        </w:tc>
        <w:tc>
          <w:tcPr>
            <w:tcW w:w="1109" w:type="dxa"/>
            <w:tcBorders>
              <w:top w:val="single" w:sz="4" w:space="0" w:color="auto"/>
              <w:left w:val="nil"/>
              <w:bottom w:val="single" w:sz="4" w:space="0" w:color="auto"/>
              <w:right w:val="nil"/>
            </w:tcBorders>
            <w:shd w:val="clear" w:color="000000" w:fill="FFFFFF"/>
            <w:vAlign w:val="bottom"/>
            <w:hideMark/>
          </w:tcPr>
          <w:p w14:paraId="5956F728"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Education</w:t>
            </w:r>
          </w:p>
        </w:tc>
        <w:tc>
          <w:tcPr>
            <w:tcW w:w="1109" w:type="dxa"/>
            <w:tcBorders>
              <w:top w:val="single" w:sz="4" w:space="0" w:color="auto"/>
              <w:left w:val="nil"/>
              <w:bottom w:val="single" w:sz="4" w:space="0" w:color="auto"/>
              <w:right w:val="nil"/>
            </w:tcBorders>
            <w:shd w:val="clear" w:color="000000" w:fill="FFFFFF"/>
            <w:vAlign w:val="bottom"/>
            <w:hideMark/>
          </w:tcPr>
          <w:p w14:paraId="7854A9FF"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Record Keeping</w:t>
            </w:r>
          </w:p>
        </w:tc>
        <w:tc>
          <w:tcPr>
            <w:tcW w:w="901" w:type="dxa"/>
            <w:tcBorders>
              <w:top w:val="single" w:sz="4" w:space="0" w:color="auto"/>
              <w:left w:val="nil"/>
              <w:bottom w:val="single" w:sz="4" w:space="0" w:color="auto"/>
              <w:right w:val="nil"/>
            </w:tcBorders>
            <w:shd w:val="clear" w:color="000000" w:fill="FFFFFF"/>
            <w:vAlign w:val="bottom"/>
            <w:hideMark/>
          </w:tcPr>
          <w:p w14:paraId="630A8E20"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Purchasing</w:t>
            </w:r>
          </w:p>
        </w:tc>
        <w:tc>
          <w:tcPr>
            <w:tcW w:w="1134" w:type="dxa"/>
            <w:tcBorders>
              <w:top w:val="single" w:sz="4" w:space="0" w:color="auto"/>
              <w:left w:val="nil"/>
              <w:bottom w:val="single" w:sz="4" w:space="0" w:color="auto"/>
              <w:right w:val="nil"/>
            </w:tcBorders>
            <w:shd w:val="clear" w:color="000000" w:fill="FFFFFF"/>
            <w:vAlign w:val="bottom"/>
            <w:hideMark/>
          </w:tcPr>
          <w:p w14:paraId="26FB5072"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Publication and Documentation</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1249F1B2"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Other</w:t>
            </w:r>
          </w:p>
        </w:tc>
      </w:tr>
      <w:tr w:rsidR="000773A4" w:rsidRPr="005B5CE3" w14:paraId="40DDAAF9"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121715B4"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businesses affected by activity</w:t>
            </w:r>
          </w:p>
        </w:tc>
        <w:tc>
          <w:tcPr>
            <w:tcW w:w="1109" w:type="dxa"/>
            <w:tcBorders>
              <w:top w:val="nil"/>
              <w:left w:val="nil"/>
              <w:bottom w:val="nil"/>
              <w:right w:val="nil"/>
            </w:tcBorders>
            <w:shd w:val="clear" w:color="000000" w:fill="FFFFFF"/>
            <w:noWrap/>
            <w:vAlign w:val="bottom"/>
            <w:hideMark/>
          </w:tcPr>
          <w:p w14:paraId="1AA84B2C"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455893FA"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9</w:t>
            </w:r>
          </w:p>
        </w:tc>
        <w:tc>
          <w:tcPr>
            <w:tcW w:w="901" w:type="dxa"/>
            <w:tcBorders>
              <w:top w:val="nil"/>
              <w:left w:val="nil"/>
              <w:bottom w:val="nil"/>
              <w:right w:val="nil"/>
            </w:tcBorders>
            <w:shd w:val="clear" w:color="000000" w:fill="FFFFFF"/>
            <w:noWrap/>
            <w:vAlign w:val="bottom"/>
            <w:hideMark/>
          </w:tcPr>
          <w:p w14:paraId="7231B21D"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9</w:t>
            </w:r>
          </w:p>
        </w:tc>
        <w:tc>
          <w:tcPr>
            <w:tcW w:w="1134" w:type="dxa"/>
            <w:tcBorders>
              <w:top w:val="nil"/>
              <w:left w:val="nil"/>
              <w:bottom w:val="nil"/>
              <w:right w:val="nil"/>
            </w:tcBorders>
            <w:shd w:val="clear" w:color="000000" w:fill="FFFFFF"/>
            <w:noWrap/>
            <w:vAlign w:val="bottom"/>
            <w:hideMark/>
          </w:tcPr>
          <w:p w14:paraId="778AE9A2"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9</w:t>
            </w:r>
          </w:p>
        </w:tc>
        <w:tc>
          <w:tcPr>
            <w:tcW w:w="850" w:type="dxa"/>
            <w:tcBorders>
              <w:top w:val="nil"/>
              <w:left w:val="nil"/>
              <w:bottom w:val="nil"/>
              <w:right w:val="single" w:sz="4" w:space="0" w:color="auto"/>
            </w:tcBorders>
            <w:shd w:val="clear" w:color="000000" w:fill="FFFFFF"/>
            <w:noWrap/>
            <w:vAlign w:val="bottom"/>
            <w:hideMark/>
          </w:tcPr>
          <w:p w14:paraId="2731E9A8"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35ECFC9F"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12F4DD3D"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staff per business performing activity</w:t>
            </w:r>
          </w:p>
        </w:tc>
        <w:tc>
          <w:tcPr>
            <w:tcW w:w="1109" w:type="dxa"/>
            <w:tcBorders>
              <w:top w:val="nil"/>
              <w:left w:val="nil"/>
              <w:bottom w:val="nil"/>
              <w:right w:val="nil"/>
            </w:tcBorders>
            <w:shd w:val="clear" w:color="000000" w:fill="FFFFFF"/>
            <w:noWrap/>
            <w:vAlign w:val="bottom"/>
            <w:hideMark/>
          </w:tcPr>
          <w:p w14:paraId="56D82B46"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3E010C86"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w:t>
            </w:r>
          </w:p>
        </w:tc>
        <w:tc>
          <w:tcPr>
            <w:tcW w:w="901" w:type="dxa"/>
            <w:tcBorders>
              <w:top w:val="nil"/>
              <w:left w:val="nil"/>
              <w:bottom w:val="nil"/>
              <w:right w:val="nil"/>
            </w:tcBorders>
            <w:shd w:val="clear" w:color="000000" w:fill="FFFFFF"/>
            <w:noWrap/>
            <w:vAlign w:val="bottom"/>
            <w:hideMark/>
          </w:tcPr>
          <w:p w14:paraId="494A4054"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4092B394"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w:t>
            </w:r>
          </w:p>
        </w:tc>
        <w:tc>
          <w:tcPr>
            <w:tcW w:w="850" w:type="dxa"/>
            <w:tcBorders>
              <w:top w:val="nil"/>
              <w:left w:val="nil"/>
              <w:bottom w:val="nil"/>
              <w:right w:val="single" w:sz="4" w:space="0" w:color="auto"/>
            </w:tcBorders>
            <w:shd w:val="clear" w:color="000000" w:fill="FFFFFF"/>
            <w:noWrap/>
            <w:vAlign w:val="bottom"/>
            <w:hideMark/>
          </w:tcPr>
          <w:p w14:paraId="56FFFF2B"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71465D81"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5FA43E18"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Number of times activity performed per staff </w:t>
            </w:r>
          </w:p>
        </w:tc>
        <w:tc>
          <w:tcPr>
            <w:tcW w:w="1109" w:type="dxa"/>
            <w:tcBorders>
              <w:top w:val="nil"/>
              <w:left w:val="nil"/>
              <w:bottom w:val="nil"/>
              <w:right w:val="nil"/>
            </w:tcBorders>
            <w:shd w:val="clear" w:color="000000" w:fill="FFFFFF"/>
            <w:noWrap/>
            <w:vAlign w:val="bottom"/>
            <w:hideMark/>
          </w:tcPr>
          <w:p w14:paraId="3AEF12DC"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00B34A3B"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901" w:type="dxa"/>
            <w:tcBorders>
              <w:top w:val="nil"/>
              <w:left w:val="nil"/>
              <w:bottom w:val="nil"/>
              <w:right w:val="nil"/>
            </w:tcBorders>
            <w:shd w:val="clear" w:color="000000" w:fill="FFFFFF"/>
            <w:noWrap/>
            <w:vAlign w:val="bottom"/>
            <w:hideMark/>
          </w:tcPr>
          <w:p w14:paraId="793377C5"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4686C591"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850" w:type="dxa"/>
            <w:tcBorders>
              <w:top w:val="nil"/>
              <w:left w:val="nil"/>
              <w:bottom w:val="nil"/>
              <w:right w:val="single" w:sz="4" w:space="0" w:color="auto"/>
            </w:tcBorders>
            <w:shd w:val="clear" w:color="000000" w:fill="FFFFFF"/>
            <w:noWrap/>
            <w:vAlign w:val="bottom"/>
            <w:hideMark/>
          </w:tcPr>
          <w:p w14:paraId="3B561A93"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592EF0F0"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337E117B"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Avg. time of each staff to do activity (in hours)</w:t>
            </w:r>
          </w:p>
        </w:tc>
        <w:tc>
          <w:tcPr>
            <w:tcW w:w="1109" w:type="dxa"/>
            <w:tcBorders>
              <w:top w:val="nil"/>
              <w:left w:val="nil"/>
              <w:bottom w:val="nil"/>
              <w:right w:val="nil"/>
            </w:tcBorders>
            <w:shd w:val="clear" w:color="000000" w:fill="FFFFFF"/>
            <w:noWrap/>
            <w:vAlign w:val="bottom"/>
            <w:hideMark/>
          </w:tcPr>
          <w:p w14:paraId="067159A7"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45891776"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45</w:t>
            </w:r>
          </w:p>
        </w:tc>
        <w:tc>
          <w:tcPr>
            <w:tcW w:w="901" w:type="dxa"/>
            <w:tcBorders>
              <w:top w:val="nil"/>
              <w:left w:val="nil"/>
              <w:bottom w:val="nil"/>
              <w:right w:val="nil"/>
            </w:tcBorders>
            <w:shd w:val="clear" w:color="000000" w:fill="FFFFFF"/>
            <w:noWrap/>
            <w:vAlign w:val="bottom"/>
            <w:hideMark/>
          </w:tcPr>
          <w:p w14:paraId="3755E1C2"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74C2ABC9"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45</w:t>
            </w:r>
          </w:p>
        </w:tc>
        <w:tc>
          <w:tcPr>
            <w:tcW w:w="850" w:type="dxa"/>
            <w:tcBorders>
              <w:top w:val="nil"/>
              <w:left w:val="nil"/>
              <w:bottom w:val="nil"/>
              <w:right w:val="single" w:sz="4" w:space="0" w:color="auto"/>
            </w:tcBorders>
            <w:shd w:val="clear" w:color="000000" w:fill="FFFFFF"/>
            <w:noWrap/>
            <w:vAlign w:val="bottom"/>
            <w:hideMark/>
          </w:tcPr>
          <w:p w14:paraId="6B4535D4"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07F5E103" w14:textId="77777777" w:rsidTr="000773A4">
        <w:trPr>
          <w:gridAfter w:val="1"/>
          <w:wAfter w:w="10" w:type="dxa"/>
          <w:trHeight w:val="20"/>
        </w:trPr>
        <w:tc>
          <w:tcPr>
            <w:tcW w:w="3969" w:type="dxa"/>
            <w:tcBorders>
              <w:top w:val="nil"/>
              <w:left w:val="single" w:sz="4" w:space="0" w:color="auto"/>
              <w:bottom w:val="single" w:sz="4" w:space="0" w:color="auto"/>
              <w:right w:val="nil"/>
            </w:tcBorders>
            <w:shd w:val="clear" w:color="000000" w:fill="FFFFFF"/>
            <w:noWrap/>
            <w:vAlign w:val="bottom"/>
            <w:hideMark/>
          </w:tcPr>
          <w:p w14:paraId="78DE08D1"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Labour cost ($/hr) (wage + non-wage labour cost rate) </w:t>
            </w:r>
          </w:p>
        </w:tc>
        <w:tc>
          <w:tcPr>
            <w:tcW w:w="1109" w:type="dxa"/>
            <w:tcBorders>
              <w:top w:val="nil"/>
              <w:left w:val="nil"/>
              <w:bottom w:val="single" w:sz="4" w:space="0" w:color="auto"/>
              <w:right w:val="nil"/>
            </w:tcBorders>
            <w:shd w:val="clear" w:color="000000" w:fill="FFFFFF"/>
            <w:noWrap/>
            <w:vAlign w:val="bottom"/>
            <w:hideMark/>
          </w:tcPr>
          <w:p w14:paraId="79052DC3"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single" w:sz="4" w:space="0" w:color="auto"/>
              <w:right w:val="nil"/>
            </w:tcBorders>
            <w:shd w:val="clear" w:color="000000" w:fill="FFFFFF"/>
            <w:noWrap/>
            <w:vAlign w:val="bottom"/>
            <w:hideMark/>
          </w:tcPr>
          <w:p w14:paraId="56B98B26"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82</w:t>
            </w:r>
          </w:p>
        </w:tc>
        <w:tc>
          <w:tcPr>
            <w:tcW w:w="901" w:type="dxa"/>
            <w:tcBorders>
              <w:top w:val="nil"/>
              <w:left w:val="nil"/>
              <w:bottom w:val="single" w:sz="4" w:space="0" w:color="auto"/>
              <w:right w:val="nil"/>
            </w:tcBorders>
            <w:shd w:val="clear" w:color="000000" w:fill="FFFFFF"/>
            <w:noWrap/>
            <w:vAlign w:val="bottom"/>
            <w:hideMark/>
          </w:tcPr>
          <w:p w14:paraId="271C0DA5"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100,000</w:t>
            </w:r>
          </w:p>
        </w:tc>
        <w:tc>
          <w:tcPr>
            <w:tcW w:w="1134" w:type="dxa"/>
            <w:tcBorders>
              <w:top w:val="nil"/>
              <w:left w:val="nil"/>
              <w:bottom w:val="single" w:sz="4" w:space="0" w:color="auto"/>
              <w:right w:val="nil"/>
            </w:tcBorders>
            <w:shd w:val="clear" w:color="000000" w:fill="FFFFFF"/>
            <w:noWrap/>
            <w:vAlign w:val="bottom"/>
            <w:hideMark/>
          </w:tcPr>
          <w:p w14:paraId="7A442870"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74</w:t>
            </w:r>
          </w:p>
        </w:tc>
        <w:tc>
          <w:tcPr>
            <w:tcW w:w="850" w:type="dxa"/>
            <w:tcBorders>
              <w:top w:val="nil"/>
              <w:left w:val="nil"/>
              <w:bottom w:val="single" w:sz="4" w:space="0" w:color="auto"/>
              <w:right w:val="single" w:sz="4" w:space="0" w:color="auto"/>
            </w:tcBorders>
            <w:shd w:val="clear" w:color="000000" w:fill="FFFFFF"/>
            <w:noWrap/>
            <w:vAlign w:val="bottom"/>
            <w:hideMark/>
          </w:tcPr>
          <w:p w14:paraId="23D0450E"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3BECB40D"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7EC5E908" w14:textId="77777777" w:rsidR="000773A4" w:rsidRPr="005B5CE3" w:rsidRDefault="000773A4" w:rsidP="007F628D">
            <w:pPr>
              <w:spacing w:after="0"/>
              <w:rPr>
                <w:rFonts w:ascii="Calibri" w:hAnsi="Calibri" w:cs="Calibri"/>
                <w:color w:val="000000"/>
                <w:sz w:val="16"/>
                <w:szCs w:val="16"/>
              </w:rPr>
            </w:pPr>
          </w:p>
        </w:tc>
        <w:tc>
          <w:tcPr>
            <w:tcW w:w="1109" w:type="dxa"/>
            <w:tcBorders>
              <w:top w:val="nil"/>
              <w:left w:val="nil"/>
              <w:bottom w:val="double" w:sz="6" w:space="0" w:color="auto"/>
              <w:right w:val="nil"/>
            </w:tcBorders>
            <w:shd w:val="clear" w:color="000000" w:fill="FFFFFF"/>
            <w:noWrap/>
            <w:vAlign w:val="bottom"/>
            <w:hideMark/>
          </w:tcPr>
          <w:p w14:paraId="0989D9E9"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w:t>
            </w:r>
          </w:p>
        </w:tc>
        <w:tc>
          <w:tcPr>
            <w:tcW w:w="1109" w:type="dxa"/>
            <w:tcBorders>
              <w:top w:val="nil"/>
              <w:left w:val="nil"/>
              <w:bottom w:val="double" w:sz="6" w:space="0" w:color="auto"/>
              <w:right w:val="nil"/>
            </w:tcBorders>
            <w:shd w:val="clear" w:color="000000" w:fill="FFFFFF"/>
            <w:noWrap/>
            <w:vAlign w:val="bottom"/>
            <w:hideMark/>
          </w:tcPr>
          <w:p w14:paraId="087978D2"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166,556</w:t>
            </w:r>
          </w:p>
        </w:tc>
        <w:tc>
          <w:tcPr>
            <w:tcW w:w="901" w:type="dxa"/>
            <w:tcBorders>
              <w:top w:val="nil"/>
              <w:left w:val="nil"/>
              <w:bottom w:val="double" w:sz="6" w:space="0" w:color="auto"/>
              <w:right w:val="nil"/>
            </w:tcBorders>
            <w:shd w:val="clear" w:color="000000" w:fill="FFFFFF"/>
            <w:noWrap/>
            <w:vAlign w:val="bottom"/>
            <w:hideMark/>
          </w:tcPr>
          <w:p w14:paraId="371CB41B"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900,000</w:t>
            </w:r>
          </w:p>
        </w:tc>
        <w:tc>
          <w:tcPr>
            <w:tcW w:w="1134" w:type="dxa"/>
            <w:tcBorders>
              <w:top w:val="nil"/>
              <w:left w:val="nil"/>
              <w:bottom w:val="double" w:sz="6" w:space="0" w:color="auto"/>
              <w:right w:val="nil"/>
            </w:tcBorders>
            <w:shd w:val="clear" w:color="000000" w:fill="FFFFFF"/>
            <w:noWrap/>
            <w:vAlign w:val="bottom"/>
            <w:hideMark/>
          </w:tcPr>
          <w:p w14:paraId="633642E7"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148,838</w:t>
            </w:r>
          </w:p>
        </w:tc>
        <w:tc>
          <w:tcPr>
            <w:tcW w:w="850" w:type="dxa"/>
            <w:tcBorders>
              <w:top w:val="nil"/>
              <w:left w:val="nil"/>
              <w:bottom w:val="double" w:sz="6" w:space="0" w:color="auto"/>
              <w:right w:val="nil"/>
            </w:tcBorders>
            <w:shd w:val="clear" w:color="000000" w:fill="FFFFFF"/>
            <w:noWrap/>
            <w:vAlign w:val="bottom"/>
            <w:hideMark/>
          </w:tcPr>
          <w:p w14:paraId="33B1829E"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w:t>
            </w:r>
          </w:p>
        </w:tc>
      </w:tr>
      <w:tr w:rsidR="000773A4" w:rsidRPr="005B5CE3" w14:paraId="113B2632" w14:textId="77777777" w:rsidTr="000773A4">
        <w:trPr>
          <w:gridAfter w:val="1"/>
          <w:wAfter w:w="10" w:type="dxa"/>
          <w:trHeight w:val="20"/>
        </w:trPr>
        <w:tc>
          <w:tcPr>
            <w:tcW w:w="3969" w:type="dxa"/>
            <w:tcBorders>
              <w:top w:val="nil"/>
              <w:left w:val="nil"/>
              <w:bottom w:val="nil"/>
              <w:right w:val="nil"/>
            </w:tcBorders>
            <w:shd w:val="clear" w:color="auto" w:fill="auto"/>
            <w:noWrap/>
            <w:vAlign w:val="bottom"/>
            <w:hideMark/>
          </w:tcPr>
          <w:p w14:paraId="02C42999" w14:textId="77777777" w:rsidR="000773A4" w:rsidRPr="005B5CE3" w:rsidRDefault="000773A4" w:rsidP="007F628D">
            <w:pPr>
              <w:spacing w:after="0"/>
              <w:rPr>
                <w:rFonts w:ascii="Calibri" w:hAnsi="Calibri" w:cs="Calibri"/>
                <w:b/>
                <w:bCs/>
                <w:color w:val="000000"/>
                <w:sz w:val="16"/>
                <w:szCs w:val="16"/>
              </w:rPr>
            </w:pPr>
          </w:p>
        </w:tc>
        <w:tc>
          <w:tcPr>
            <w:tcW w:w="1109" w:type="dxa"/>
            <w:tcBorders>
              <w:top w:val="nil"/>
              <w:left w:val="nil"/>
              <w:bottom w:val="nil"/>
              <w:right w:val="nil"/>
            </w:tcBorders>
            <w:shd w:val="clear" w:color="auto" w:fill="auto"/>
            <w:noWrap/>
            <w:vAlign w:val="bottom"/>
            <w:hideMark/>
          </w:tcPr>
          <w:p w14:paraId="3A7C8203" w14:textId="77777777" w:rsidR="000773A4" w:rsidRPr="005B5CE3" w:rsidRDefault="000773A4" w:rsidP="007F628D">
            <w:pPr>
              <w:spacing w:after="0"/>
              <w:rPr>
                <w:rFonts w:ascii="Calibri" w:hAnsi="Calibri" w:cs="Calibri"/>
                <w:sz w:val="16"/>
                <w:szCs w:val="16"/>
              </w:rPr>
            </w:pPr>
          </w:p>
        </w:tc>
        <w:tc>
          <w:tcPr>
            <w:tcW w:w="1109" w:type="dxa"/>
            <w:tcBorders>
              <w:top w:val="nil"/>
              <w:left w:val="nil"/>
              <w:bottom w:val="nil"/>
              <w:right w:val="nil"/>
            </w:tcBorders>
            <w:shd w:val="clear" w:color="auto" w:fill="auto"/>
            <w:noWrap/>
            <w:vAlign w:val="bottom"/>
            <w:hideMark/>
          </w:tcPr>
          <w:p w14:paraId="5594861B" w14:textId="77777777" w:rsidR="000773A4" w:rsidRPr="005B5CE3" w:rsidRDefault="000773A4" w:rsidP="007F628D">
            <w:pPr>
              <w:spacing w:after="0"/>
              <w:rPr>
                <w:rFonts w:ascii="Calibri" w:hAnsi="Calibri" w:cs="Calibri"/>
                <w:sz w:val="16"/>
                <w:szCs w:val="16"/>
              </w:rPr>
            </w:pPr>
          </w:p>
        </w:tc>
        <w:tc>
          <w:tcPr>
            <w:tcW w:w="901" w:type="dxa"/>
            <w:tcBorders>
              <w:top w:val="nil"/>
              <w:left w:val="nil"/>
              <w:bottom w:val="nil"/>
              <w:right w:val="nil"/>
            </w:tcBorders>
            <w:shd w:val="clear" w:color="auto" w:fill="auto"/>
            <w:noWrap/>
            <w:vAlign w:val="bottom"/>
            <w:hideMark/>
          </w:tcPr>
          <w:p w14:paraId="3DE9A28F" w14:textId="77777777" w:rsidR="000773A4" w:rsidRPr="005B5CE3" w:rsidRDefault="000773A4" w:rsidP="007F628D">
            <w:pPr>
              <w:spacing w:after="0"/>
              <w:rPr>
                <w:rFonts w:ascii="Calibri" w:hAnsi="Calibri" w:cs="Calibri"/>
                <w:sz w:val="16"/>
                <w:szCs w:val="16"/>
              </w:rPr>
            </w:pPr>
          </w:p>
        </w:tc>
        <w:tc>
          <w:tcPr>
            <w:tcW w:w="1134" w:type="dxa"/>
            <w:tcBorders>
              <w:top w:val="nil"/>
              <w:left w:val="nil"/>
              <w:bottom w:val="nil"/>
              <w:right w:val="nil"/>
            </w:tcBorders>
            <w:shd w:val="clear" w:color="auto" w:fill="auto"/>
            <w:noWrap/>
            <w:vAlign w:val="bottom"/>
            <w:hideMark/>
          </w:tcPr>
          <w:p w14:paraId="470E1F3E" w14:textId="77777777" w:rsidR="000773A4" w:rsidRPr="005B5CE3" w:rsidRDefault="000773A4" w:rsidP="007F628D">
            <w:pPr>
              <w:spacing w:after="0"/>
              <w:jc w:val="right"/>
              <w:rPr>
                <w:rFonts w:ascii="Calibri" w:hAnsi="Calibri" w:cs="Calibri"/>
                <w:sz w:val="16"/>
                <w:szCs w:val="16"/>
              </w:rPr>
            </w:pPr>
          </w:p>
        </w:tc>
        <w:tc>
          <w:tcPr>
            <w:tcW w:w="850" w:type="dxa"/>
            <w:tcBorders>
              <w:top w:val="nil"/>
              <w:left w:val="nil"/>
              <w:bottom w:val="nil"/>
              <w:right w:val="nil"/>
            </w:tcBorders>
            <w:shd w:val="clear" w:color="auto" w:fill="auto"/>
            <w:noWrap/>
            <w:vAlign w:val="bottom"/>
            <w:hideMark/>
          </w:tcPr>
          <w:p w14:paraId="03D15875" w14:textId="77777777" w:rsidR="000773A4" w:rsidRPr="005B5CE3" w:rsidRDefault="000773A4" w:rsidP="007F628D">
            <w:pPr>
              <w:spacing w:after="0"/>
              <w:rPr>
                <w:rFonts w:ascii="Calibri" w:hAnsi="Calibri" w:cs="Calibri"/>
                <w:sz w:val="16"/>
                <w:szCs w:val="16"/>
              </w:rPr>
            </w:pPr>
          </w:p>
        </w:tc>
      </w:tr>
      <w:tr w:rsidR="000773A4" w:rsidRPr="005B5CE3" w14:paraId="46119C25" w14:textId="77777777" w:rsidTr="000773A4">
        <w:trPr>
          <w:gridAfter w:val="1"/>
          <w:wAfter w:w="10" w:type="dxa"/>
          <w:trHeight w:val="20"/>
        </w:trPr>
        <w:tc>
          <w:tcPr>
            <w:tcW w:w="3969" w:type="dxa"/>
            <w:tcBorders>
              <w:top w:val="single" w:sz="4" w:space="0" w:color="auto"/>
              <w:left w:val="single" w:sz="4" w:space="0" w:color="auto"/>
              <w:bottom w:val="nil"/>
              <w:right w:val="nil"/>
            </w:tcBorders>
            <w:shd w:val="clear" w:color="000000" w:fill="FFFFFF"/>
            <w:noWrap/>
            <w:vAlign w:val="bottom"/>
            <w:hideMark/>
          </w:tcPr>
          <w:p w14:paraId="25350DA7"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xml:space="preserve"> Ongoing Cost (over 9 years) (Medium 32 with </w:t>
            </w:r>
            <w:proofErr w:type="spellStart"/>
            <w:r w:rsidRPr="005B5CE3">
              <w:rPr>
                <w:rFonts w:ascii="Calibri" w:hAnsi="Calibri" w:cs="Calibri"/>
                <w:b/>
                <w:bCs/>
                <w:color w:val="000000"/>
                <w:sz w:val="16"/>
                <w:szCs w:val="16"/>
              </w:rPr>
              <w:t>MySuper</w:t>
            </w:r>
            <w:proofErr w:type="spellEnd"/>
            <w:r w:rsidRPr="005B5CE3">
              <w:rPr>
                <w:rFonts w:ascii="Calibri" w:hAnsi="Calibri" w:cs="Calibri"/>
                <w:b/>
                <w:bCs/>
                <w:color w:val="000000"/>
                <w:sz w:val="16"/>
                <w:szCs w:val="16"/>
              </w:rPr>
              <w:t xml:space="preserve">) </w:t>
            </w:r>
          </w:p>
        </w:tc>
        <w:tc>
          <w:tcPr>
            <w:tcW w:w="1109" w:type="dxa"/>
            <w:tcBorders>
              <w:top w:val="single" w:sz="4" w:space="0" w:color="auto"/>
              <w:left w:val="nil"/>
              <w:bottom w:val="single" w:sz="4" w:space="0" w:color="auto"/>
              <w:right w:val="nil"/>
            </w:tcBorders>
            <w:shd w:val="clear" w:color="000000" w:fill="FFFFFF"/>
            <w:vAlign w:val="bottom"/>
            <w:hideMark/>
          </w:tcPr>
          <w:p w14:paraId="7F599010"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Education</w:t>
            </w:r>
          </w:p>
        </w:tc>
        <w:tc>
          <w:tcPr>
            <w:tcW w:w="1109" w:type="dxa"/>
            <w:tcBorders>
              <w:top w:val="single" w:sz="4" w:space="0" w:color="auto"/>
              <w:left w:val="nil"/>
              <w:bottom w:val="single" w:sz="4" w:space="0" w:color="auto"/>
              <w:right w:val="nil"/>
            </w:tcBorders>
            <w:shd w:val="clear" w:color="000000" w:fill="FFFFFF"/>
            <w:vAlign w:val="bottom"/>
            <w:hideMark/>
          </w:tcPr>
          <w:p w14:paraId="29F8B232"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Record Keeping</w:t>
            </w:r>
          </w:p>
        </w:tc>
        <w:tc>
          <w:tcPr>
            <w:tcW w:w="901" w:type="dxa"/>
            <w:tcBorders>
              <w:top w:val="single" w:sz="4" w:space="0" w:color="auto"/>
              <w:left w:val="nil"/>
              <w:bottom w:val="single" w:sz="4" w:space="0" w:color="auto"/>
              <w:right w:val="nil"/>
            </w:tcBorders>
            <w:shd w:val="clear" w:color="000000" w:fill="FFFFFF"/>
            <w:vAlign w:val="bottom"/>
            <w:hideMark/>
          </w:tcPr>
          <w:p w14:paraId="44D8EFB8"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Purchasing</w:t>
            </w:r>
          </w:p>
        </w:tc>
        <w:tc>
          <w:tcPr>
            <w:tcW w:w="1134" w:type="dxa"/>
            <w:tcBorders>
              <w:top w:val="single" w:sz="4" w:space="0" w:color="auto"/>
              <w:left w:val="nil"/>
              <w:bottom w:val="single" w:sz="4" w:space="0" w:color="auto"/>
              <w:right w:val="nil"/>
            </w:tcBorders>
            <w:shd w:val="clear" w:color="000000" w:fill="FFFFFF"/>
            <w:vAlign w:val="bottom"/>
            <w:hideMark/>
          </w:tcPr>
          <w:p w14:paraId="51715197"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Publication and Documentation</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0353EF57"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Other</w:t>
            </w:r>
          </w:p>
        </w:tc>
      </w:tr>
      <w:tr w:rsidR="000773A4" w:rsidRPr="005B5CE3" w14:paraId="73D57706"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2CA0127C"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Number of businesses affected by activity </w:t>
            </w:r>
          </w:p>
        </w:tc>
        <w:tc>
          <w:tcPr>
            <w:tcW w:w="1109" w:type="dxa"/>
            <w:tcBorders>
              <w:top w:val="nil"/>
              <w:left w:val="nil"/>
              <w:bottom w:val="nil"/>
              <w:right w:val="nil"/>
            </w:tcBorders>
            <w:shd w:val="clear" w:color="000000" w:fill="FFFFFF"/>
            <w:noWrap/>
            <w:vAlign w:val="bottom"/>
            <w:hideMark/>
          </w:tcPr>
          <w:p w14:paraId="13F1DDC4"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40D55CF4"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32</w:t>
            </w:r>
          </w:p>
        </w:tc>
        <w:tc>
          <w:tcPr>
            <w:tcW w:w="901" w:type="dxa"/>
            <w:tcBorders>
              <w:top w:val="nil"/>
              <w:left w:val="nil"/>
              <w:bottom w:val="nil"/>
              <w:right w:val="nil"/>
            </w:tcBorders>
            <w:shd w:val="clear" w:color="000000" w:fill="FFFFFF"/>
            <w:noWrap/>
            <w:vAlign w:val="bottom"/>
            <w:hideMark/>
          </w:tcPr>
          <w:p w14:paraId="545BD1AF"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32</w:t>
            </w:r>
          </w:p>
        </w:tc>
        <w:tc>
          <w:tcPr>
            <w:tcW w:w="1134" w:type="dxa"/>
            <w:tcBorders>
              <w:top w:val="nil"/>
              <w:left w:val="nil"/>
              <w:bottom w:val="nil"/>
              <w:right w:val="nil"/>
            </w:tcBorders>
            <w:shd w:val="clear" w:color="000000" w:fill="FFFFFF"/>
            <w:noWrap/>
            <w:vAlign w:val="bottom"/>
            <w:hideMark/>
          </w:tcPr>
          <w:p w14:paraId="618806A1"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32</w:t>
            </w:r>
          </w:p>
        </w:tc>
        <w:tc>
          <w:tcPr>
            <w:tcW w:w="850" w:type="dxa"/>
            <w:tcBorders>
              <w:top w:val="nil"/>
              <w:left w:val="nil"/>
              <w:bottom w:val="nil"/>
              <w:right w:val="single" w:sz="4" w:space="0" w:color="auto"/>
            </w:tcBorders>
            <w:shd w:val="clear" w:color="000000" w:fill="FFFFFF"/>
            <w:noWrap/>
            <w:vAlign w:val="bottom"/>
            <w:hideMark/>
          </w:tcPr>
          <w:p w14:paraId="3A734972"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647D06CC"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5F440E80"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Number of staff per business performing activity </w:t>
            </w:r>
          </w:p>
        </w:tc>
        <w:tc>
          <w:tcPr>
            <w:tcW w:w="1109" w:type="dxa"/>
            <w:tcBorders>
              <w:top w:val="nil"/>
              <w:left w:val="nil"/>
              <w:bottom w:val="nil"/>
              <w:right w:val="nil"/>
            </w:tcBorders>
            <w:shd w:val="clear" w:color="000000" w:fill="FFFFFF"/>
            <w:noWrap/>
            <w:vAlign w:val="bottom"/>
            <w:hideMark/>
          </w:tcPr>
          <w:p w14:paraId="50ED1EF0"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33C8C03E"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901" w:type="dxa"/>
            <w:tcBorders>
              <w:top w:val="nil"/>
              <w:left w:val="nil"/>
              <w:bottom w:val="nil"/>
              <w:right w:val="nil"/>
            </w:tcBorders>
            <w:shd w:val="clear" w:color="000000" w:fill="FFFFFF"/>
            <w:noWrap/>
            <w:vAlign w:val="bottom"/>
            <w:hideMark/>
          </w:tcPr>
          <w:p w14:paraId="3783E94F"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5A9A4CE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850" w:type="dxa"/>
            <w:tcBorders>
              <w:top w:val="nil"/>
              <w:left w:val="nil"/>
              <w:bottom w:val="nil"/>
              <w:right w:val="single" w:sz="4" w:space="0" w:color="auto"/>
            </w:tcBorders>
            <w:shd w:val="clear" w:color="000000" w:fill="FFFFFF"/>
            <w:noWrap/>
            <w:vAlign w:val="bottom"/>
            <w:hideMark/>
          </w:tcPr>
          <w:p w14:paraId="6C85CFAD"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771EAEB1"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2B7AB021"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Number of times activity performed per staff </w:t>
            </w:r>
          </w:p>
        </w:tc>
        <w:tc>
          <w:tcPr>
            <w:tcW w:w="1109" w:type="dxa"/>
            <w:tcBorders>
              <w:top w:val="nil"/>
              <w:left w:val="nil"/>
              <w:bottom w:val="nil"/>
              <w:right w:val="nil"/>
            </w:tcBorders>
            <w:shd w:val="clear" w:color="000000" w:fill="FFFFFF"/>
            <w:noWrap/>
            <w:vAlign w:val="bottom"/>
            <w:hideMark/>
          </w:tcPr>
          <w:p w14:paraId="1CC3AAAC"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1977434E"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901" w:type="dxa"/>
            <w:tcBorders>
              <w:top w:val="nil"/>
              <w:left w:val="nil"/>
              <w:bottom w:val="nil"/>
              <w:right w:val="nil"/>
            </w:tcBorders>
            <w:shd w:val="clear" w:color="000000" w:fill="FFFFFF"/>
            <w:noWrap/>
            <w:vAlign w:val="bottom"/>
            <w:hideMark/>
          </w:tcPr>
          <w:p w14:paraId="0F5DD15E"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1D35C84F"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850" w:type="dxa"/>
            <w:tcBorders>
              <w:top w:val="nil"/>
              <w:left w:val="nil"/>
              <w:bottom w:val="nil"/>
              <w:right w:val="single" w:sz="4" w:space="0" w:color="auto"/>
            </w:tcBorders>
            <w:shd w:val="clear" w:color="000000" w:fill="FFFFFF"/>
            <w:noWrap/>
            <w:vAlign w:val="bottom"/>
            <w:hideMark/>
          </w:tcPr>
          <w:p w14:paraId="33524B47"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5BE8EF5E"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6F20BC93"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Avg. time of each staff to do activity (in hours)</w:t>
            </w:r>
          </w:p>
        </w:tc>
        <w:tc>
          <w:tcPr>
            <w:tcW w:w="1109" w:type="dxa"/>
            <w:tcBorders>
              <w:top w:val="nil"/>
              <w:left w:val="nil"/>
              <w:bottom w:val="nil"/>
              <w:right w:val="nil"/>
            </w:tcBorders>
            <w:shd w:val="clear" w:color="000000" w:fill="FFFFFF"/>
            <w:noWrap/>
            <w:vAlign w:val="bottom"/>
            <w:hideMark/>
          </w:tcPr>
          <w:p w14:paraId="55EF5268"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59393520"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75</w:t>
            </w:r>
          </w:p>
        </w:tc>
        <w:tc>
          <w:tcPr>
            <w:tcW w:w="901" w:type="dxa"/>
            <w:tcBorders>
              <w:top w:val="nil"/>
              <w:left w:val="nil"/>
              <w:bottom w:val="nil"/>
              <w:right w:val="nil"/>
            </w:tcBorders>
            <w:shd w:val="clear" w:color="000000" w:fill="FFFFFF"/>
            <w:noWrap/>
            <w:vAlign w:val="bottom"/>
            <w:hideMark/>
          </w:tcPr>
          <w:p w14:paraId="02B7E232"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636D5C46"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75</w:t>
            </w:r>
          </w:p>
        </w:tc>
        <w:tc>
          <w:tcPr>
            <w:tcW w:w="850" w:type="dxa"/>
            <w:tcBorders>
              <w:top w:val="nil"/>
              <w:left w:val="nil"/>
              <w:bottom w:val="nil"/>
              <w:right w:val="single" w:sz="4" w:space="0" w:color="auto"/>
            </w:tcBorders>
            <w:shd w:val="clear" w:color="000000" w:fill="FFFFFF"/>
            <w:noWrap/>
            <w:vAlign w:val="bottom"/>
            <w:hideMark/>
          </w:tcPr>
          <w:p w14:paraId="7579C78A"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3102D4FF" w14:textId="77777777" w:rsidTr="000773A4">
        <w:trPr>
          <w:gridAfter w:val="1"/>
          <w:wAfter w:w="10" w:type="dxa"/>
          <w:trHeight w:val="20"/>
        </w:trPr>
        <w:tc>
          <w:tcPr>
            <w:tcW w:w="3969" w:type="dxa"/>
            <w:tcBorders>
              <w:top w:val="nil"/>
              <w:left w:val="single" w:sz="4" w:space="0" w:color="auto"/>
              <w:bottom w:val="single" w:sz="4" w:space="0" w:color="auto"/>
              <w:right w:val="nil"/>
            </w:tcBorders>
            <w:shd w:val="clear" w:color="000000" w:fill="FFFFFF"/>
            <w:noWrap/>
            <w:vAlign w:val="bottom"/>
            <w:hideMark/>
          </w:tcPr>
          <w:p w14:paraId="1233DB44"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Labour cost ($/hr) (wage + non-wage labour cost rate)</w:t>
            </w:r>
          </w:p>
        </w:tc>
        <w:tc>
          <w:tcPr>
            <w:tcW w:w="1109" w:type="dxa"/>
            <w:tcBorders>
              <w:top w:val="nil"/>
              <w:left w:val="nil"/>
              <w:bottom w:val="single" w:sz="4" w:space="0" w:color="auto"/>
              <w:right w:val="nil"/>
            </w:tcBorders>
            <w:shd w:val="clear" w:color="000000" w:fill="FFFFFF"/>
            <w:noWrap/>
            <w:vAlign w:val="bottom"/>
            <w:hideMark/>
          </w:tcPr>
          <w:p w14:paraId="6A6F8BAE"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single" w:sz="4" w:space="0" w:color="auto"/>
              <w:right w:val="nil"/>
            </w:tcBorders>
            <w:shd w:val="clear" w:color="000000" w:fill="FFFFFF"/>
            <w:noWrap/>
            <w:vAlign w:val="bottom"/>
            <w:hideMark/>
          </w:tcPr>
          <w:p w14:paraId="544E7318"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82</w:t>
            </w:r>
          </w:p>
        </w:tc>
        <w:tc>
          <w:tcPr>
            <w:tcW w:w="901" w:type="dxa"/>
            <w:tcBorders>
              <w:top w:val="nil"/>
              <w:left w:val="nil"/>
              <w:bottom w:val="single" w:sz="4" w:space="0" w:color="auto"/>
              <w:right w:val="nil"/>
            </w:tcBorders>
            <w:shd w:val="clear" w:color="000000" w:fill="FFFFFF"/>
            <w:noWrap/>
            <w:vAlign w:val="bottom"/>
            <w:hideMark/>
          </w:tcPr>
          <w:p w14:paraId="60A2343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150,000</w:t>
            </w:r>
          </w:p>
        </w:tc>
        <w:tc>
          <w:tcPr>
            <w:tcW w:w="1134" w:type="dxa"/>
            <w:tcBorders>
              <w:top w:val="nil"/>
              <w:left w:val="nil"/>
              <w:bottom w:val="single" w:sz="4" w:space="0" w:color="auto"/>
              <w:right w:val="nil"/>
            </w:tcBorders>
            <w:shd w:val="clear" w:color="000000" w:fill="FFFFFF"/>
            <w:noWrap/>
            <w:vAlign w:val="bottom"/>
            <w:hideMark/>
          </w:tcPr>
          <w:p w14:paraId="49BADDCE"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74</w:t>
            </w:r>
          </w:p>
        </w:tc>
        <w:tc>
          <w:tcPr>
            <w:tcW w:w="850" w:type="dxa"/>
            <w:tcBorders>
              <w:top w:val="nil"/>
              <w:left w:val="nil"/>
              <w:bottom w:val="single" w:sz="4" w:space="0" w:color="auto"/>
              <w:right w:val="single" w:sz="4" w:space="0" w:color="auto"/>
            </w:tcBorders>
            <w:shd w:val="clear" w:color="000000" w:fill="FFFFFF"/>
            <w:noWrap/>
            <w:vAlign w:val="bottom"/>
            <w:hideMark/>
          </w:tcPr>
          <w:p w14:paraId="20DBF2EB"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0279F40F"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54B21A3F"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double" w:sz="6" w:space="0" w:color="auto"/>
              <w:right w:val="nil"/>
            </w:tcBorders>
            <w:shd w:val="clear" w:color="000000" w:fill="FFFFFF"/>
            <w:noWrap/>
            <w:vAlign w:val="bottom"/>
            <w:hideMark/>
          </w:tcPr>
          <w:p w14:paraId="4FA5B409"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w:t>
            </w:r>
          </w:p>
        </w:tc>
        <w:tc>
          <w:tcPr>
            <w:tcW w:w="1109" w:type="dxa"/>
            <w:tcBorders>
              <w:top w:val="nil"/>
              <w:left w:val="nil"/>
              <w:bottom w:val="double" w:sz="6" w:space="0" w:color="auto"/>
              <w:right w:val="nil"/>
            </w:tcBorders>
            <w:shd w:val="clear" w:color="000000" w:fill="FFFFFF"/>
            <w:noWrap/>
            <w:vAlign w:val="bottom"/>
            <w:hideMark/>
          </w:tcPr>
          <w:p w14:paraId="22F88C3F"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4,935,000</w:t>
            </w:r>
          </w:p>
        </w:tc>
        <w:tc>
          <w:tcPr>
            <w:tcW w:w="901" w:type="dxa"/>
            <w:tcBorders>
              <w:top w:val="nil"/>
              <w:left w:val="nil"/>
              <w:bottom w:val="double" w:sz="6" w:space="0" w:color="auto"/>
              <w:right w:val="nil"/>
            </w:tcBorders>
            <w:shd w:val="clear" w:color="000000" w:fill="FFFFFF"/>
            <w:noWrap/>
            <w:vAlign w:val="bottom"/>
            <w:hideMark/>
          </w:tcPr>
          <w:p w14:paraId="34291199"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4,800,000</w:t>
            </w:r>
          </w:p>
        </w:tc>
        <w:tc>
          <w:tcPr>
            <w:tcW w:w="1134" w:type="dxa"/>
            <w:tcBorders>
              <w:top w:val="nil"/>
              <w:left w:val="nil"/>
              <w:bottom w:val="double" w:sz="6" w:space="0" w:color="auto"/>
              <w:right w:val="nil"/>
            </w:tcBorders>
            <w:shd w:val="clear" w:color="000000" w:fill="FFFFFF"/>
            <w:noWrap/>
            <w:vAlign w:val="bottom"/>
            <w:hideMark/>
          </w:tcPr>
          <w:p w14:paraId="2694E3B7"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4,410,000</w:t>
            </w:r>
          </w:p>
        </w:tc>
        <w:tc>
          <w:tcPr>
            <w:tcW w:w="850" w:type="dxa"/>
            <w:tcBorders>
              <w:top w:val="nil"/>
              <w:left w:val="nil"/>
              <w:bottom w:val="double" w:sz="6" w:space="0" w:color="auto"/>
              <w:right w:val="nil"/>
            </w:tcBorders>
            <w:shd w:val="clear" w:color="000000" w:fill="FFFFFF"/>
            <w:noWrap/>
            <w:vAlign w:val="bottom"/>
            <w:hideMark/>
          </w:tcPr>
          <w:p w14:paraId="38F0A1BF" w14:textId="77777777" w:rsidR="000773A4" w:rsidRPr="005B5CE3" w:rsidRDefault="000773A4" w:rsidP="007F628D">
            <w:pPr>
              <w:spacing w:after="0"/>
              <w:jc w:val="right"/>
              <w:rPr>
                <w:rFonts w:ascii="Calibri" w:hAnsi="Calibri" w:cs="Calibri"/>
                <w:b/>
                <w:bCs/>
                <w:color w:val="000000"/>
                <w:sz w:val="16"/>
                <w:szCs w:val="16"/>
              </w:rPr>
            </w:pPr>
          </w:p>
        </w:tc>
      </w:tr>
      <w:tr w:rsidR="000773A4" w:rsidRPr="005B5CE3" w14:paraId="784F5F90"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1B94847F"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nil"/>
              <w:right w:val="nil"/>
            </w:tcBorders>
            <w:shd w:val="clear" w:color="000000" w:fill="FFFFFF"/>
            <w:noWrap/>
            <w:vAlign w:val="bottom"/>
            <w:hideMark/>
          </w:tcPr>
          <w:p w14:paraId="2BABB396"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nil"/>
              <w:right w:val="nil"/>
            </w:tcBorders>
            <w:shd w:val="clear" w:color="000000" w:fill="FFFFFF"/>
            <w:noWrap/>
            <w:vAlign w:val="bottom"/>
            <w:hideMark/>
          </w:tcPr>
          <w:p w14:paraId="75155BDA"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901" w:type="dxa"/>
            <w:tcBorders>
              <w:top w:val="nil"/>
              <w:left w:val="nil"/>
              <w:bottom w:val="nil"/>
              <w:right w:val="nil"/>
            </w:tcBorders>
            <w:shd w:val="clear" w:color="000000" w:fill="FFFFFF"/>
            <w:noWrap/>
            <w:vAlign w:val="bottom"/>
            <w:hideMark/>
          </w:tcPr>
          <w:p w14:paraId="4F71BCA5"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34" w:type="dxa"/>
            <w:tcBorders>
              <w:top w:val="nil"/>
              <w:left w:val="nil"/>
              <w:bottom w:val="nil"/>
              <w:right w:val="nil"/>
            </w:tcBorders>
            <w:shd w:val="clear" w:color="000000" w:fill="FFFFFF"/>
            <w:noWrap/>
            <w:vAlign w:val="bottom"/>
            <w:hideMark/>
          </w:tcPr>
          <w:p w14:paraId="595EE8E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 </w:t>
            </w:r>
          </w:p>
        </w:tc>
        <w:tc>
          <w:tcPr>
            <w:tcW w:w="850" w:type="dxa"/>
            <w:tcBorders>
              <w:top w:val="nil"/>
              <w:left w:val="nil"/>
              <w:bottom w:val="nil"/>
              <w:right w:val="nil"/>
            </w:tcBorders>
            <w:shd w:val="clear" w:color="000000" w:fill="FFFFFF"/>
            <w:noWrap/>
            <w:vAlign w:val="bottom"/>
            <w:hideMark/>
          </w:tcPr>
          <w:p w14:paraId="291A7D8D"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r>
      <w:tr w:rsidR="000773A4" w:rsidRPr="005B5CE3" w14:paraId="49745125" w14:textId="77777777" w:rsidTr="000773A4">
        <w:trPr>
          <w:gridAfter w:val="1"/>
          <w:wAfter w:w="10" w:type="dxa"/>
          <w:trHeight w:val="20"/>
        </w:trPr>
        <w:tc>
          <w:tcPr>
            <w:tcW w:w="3969" w:type="dxa"/>
            <w:tcBorders>
              <w:top w:val="single" w:sz="4" w:space="0" w:color="auto"/>
              <w:left w:val="single" w:sz="4" w:space="0" w:color="auto"/>
              <w:bottom w:val="nil"/>
              <w:right w:val="nil"/>
            </w:tcBorders>
            <w:shd w:val="clear" w:color="000000" w:fill="FFFFFF"/>
            <w:noWrap/>
            <w:vAlign w:val="bottom"/>
            <w:hideMark/>
          </w:tcPr>
          <w:p w14:paraId="1812133F"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xml:space="preserve"> Ongoing Cost (over 9 years) (Medium 24 with no </w:t>
            </w:r>
            <w:proofErr w:type="spellStart"/>
            <w:r w:rsidRPr="005B5CE3">
              <w:rPr>
                <w:rFonts w:ascii="Calibri" w:hAnsi="Calibri" w:cs="Calibri"/>
                <w:b/>
                <w:bCs/>
                <w:color w:val="000000"/>
                <w:sz w:val="16"/>
                <w:szCs w:val="16"/>
              </w:rPr>
              <w:t>MySuper</w:t>
            </w:r>
            <w:proofErr w:type="spellEnd"/>
            <w:r w:rsidRPr="005B5CE3">
              <w:rPr>
                <w:rFonts w:ascii="Calibri" w:hAnsi="Calibri" w:cs="Calibri"/>
                <w:b/>
                <w:bCs/>
                <w:color w:val="000000"/>
                <w:sz w:val="16"/>
                <w:szCs w:val="16"/>
              </w:rPr>
              <w:t xml:space="preserve">) </w:t>
            </w:r>
          </w:p>
        </w:tc>
        <w:tc>
          <w:tcPr>
            <w:tcW w:w="1109" w:type="dxa"/>
            <w:tcBorders>
              <w:top w:val="single" w:sz="4" w:space="0" w:color="auto"/>
              <w:left w:val="nil"/>
              <w:bottom w:val="single" w:sz="4" w:space="0" w:color="auto"/>
              <w:right w:val="nil"/>
            </w:tcBorders>
            <w:shd w:val="clear" w:color="000000" w:fill="FFFFFF"/>
            <w:vAlign w:val="bottom"/>
            <w:hideMark/>
          </w:tcPr>
          <w:p w14:paraId="08791C26"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Education</w:t>
            </w:r>
          </w:p>
        </w:tc>
        <w:tc>
          <w:tcPr>
            <w:tcW w:w="1109" w:type="dxa"/>
            <w:tcBorders>
              <w:top w:val="single" w:sz="4" w:space="0" w:color="auto"/>
              <w:left w:val="nil"/>
              <w:bottom w:val="single" w:sz="4" w:space="0" w:color="auto"/>
              <w:right w:val="nil"/>
            </w:tcBorders>
            <w:shd w:val="clear" w:color="000000" w:fill="FFFFFF"/>
            <w:vAlign w:val="bottom"/>
            <w:hideMark/>
          </w:tcPr>
          <w:p w14:paraId="2939A37D"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Record Keeping</w:t>
            </w:r>
          </w:p>
        </w:tc>
        <w:tc>
          <w:tcPr>
            <w:tcW w:w="901" w:type="dxa"/>
            <w:tcBorders>
              <w:top w:val="single" w:sz="4" w:space="0" w:color="auto"/>
              <w:left w:val="nil"/>
              <w:bottom w:val="single" w:sz="4" w:space="0" w:color="auto"/>
              <w:right w:val="nil"/>
            </w:tcBorders>
            <w:shd w:val="clear" w:color="000000" w:fill="FFFFFF"/>
            <w:vAlign w:val="bottom"/>
            <w:hideMark/>
          </w:tcPr>
          <w:p w14:paraId="2341C967"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Purchasing</w:t>
            </w:r>
          </w:p>
        </w:tc>
        <w:tc>
          <w:tcPr>
            <w:tcW w:w="1134" w:type="dxa"/>
            <w:tcBorders>
              <w:top w:val="single" w:sz="4" w:space="0" w:color="auto"/>
              <w:left w:val="nil"/>
              <w:bottom w:val="single" w:sz="4" w:space="0" w:color="auto"/>
              <w:right w:val="nil"/>
            </w:tcBorders>
            <w:shd w:val="clear" w:color="000000" w:fill="FFFFFF"/>
            <w:vAlign w:val="bottom"/>
            <w:hideMark/>
          </w:tcPr>
          <w:p w14:paraId="2DD849D6"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Publication and Documentation</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5D957347"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Other</w:t>
            </w:r>
          </w:p>
        </w:tc>
      </w:tr>
      <w:tr w:rsidR="000773A4" w:rsidRPr="005B5CE3" w14:paraId="586E6EA2"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0E59D6EE"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Number of businesses affected by activity </w:t>
            </w:r>
          </w:p>
        </w:tc>
        <w:tc>
          <w:tcPr>
            <w:tcW w:w="1109" w:type="dxa"/>
            <w:tcBorders>
              <w:top w:val="nil"/>
              <w:left w:val="nil"/>
              <w:bottom w:val="nil"/>
              <w:right w:val="nil"/>
            </w:tcBorders>
            <w:shd w:val="clear" w:color="000000" w:fill="FFFFFF"/>
            <w:noWrap/>
            <w:vAlign w:val="bottom"/>
            <w:hideMark/>
          </w:tcPr>
          <w:p w14:paraId="27971DD0"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6B5F74A0"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24</w:t>
            </w:r>
          </w:p>
        </w:tc>
        <w:tc>
          <w:tcPr>
            <w:tcW w:w="901" w:type="dxa"/>
            <w:tcBorders>
              <w:top w:val="nil"/>
              <w:left w:val="nil"/>
              <w:bottom w:val="nil"/>
              <w:right w:val="nil"/>
            </w:tcBorders>
            <w:shd w:val="clear" w:color="000000" w:fill="FFFFFF"/>
            <w:noWrap/>
            <w:vAlign w:val="bottom"/>
            <w:hideMark/>
          </w:tcPr>
          <w:p w14:paraId="480A0394"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24</w:t>
            </w:r>
          </w:p>
        </w:tc>
        <w:tc>
          <w:tcPr>
            <w:tcW w:w="1134" w:type="dxa"/>
            <w:tcBorders>
              <w:top w:val="nil"/>
              <w:left w:val="nil"/>
              <w:bottom w:val="nil"/>
              <w:right w:val="nil"/>
            </w:tcBorders>
            <w:shd w:val="clear" w:color="000000" w:fill="FFFFFF"/>
            <w:noWrap/>
            <w:vAlign w:val="bottom"/>
            <w:hideMark/>
          </w:tcPr>
          <w:p w14:paraId="43381C82"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24</w:t>
            </w:r>
          </w:p>
        </w:tc>
        <w:tc>
          <w:tcPr>
            <w:tcW w:w="850" w:type="dxa"/>
            <w:tcBorders>
              <w:top w:val="nil"/>
              <w:left w:val="nil"/>
              <w:bottom w:val="nil"/>
              <w:right w:val="single" w:sz="4" w:space="0" w:color="auto"/>
            </w:tcBorders>
            <w:shd w:val="clear" w:color="000000" w:fill="FFFFFF"/>
            <w:noWrap/>
            <w:vAlign w:val="bottom"/>
            <w:hideMark/>
          </w:tcPr>
          <w:p w14:paraId="5AAA759A"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2E8FF10D"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1F9726F4"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staff per business performing activity</w:t>
            </w:r>
          </w:p>
        </w:tc>
        <w:tc>
          <w:tcPr>
            <w:tcW w:w="1109" w:type="dxa"/>
            <w:tcBorders>
              <w:top w:val="nil"/>
              <w:left w:val="nil"/>
              <w:bottom w:val="nil"/>
              <w:right w:val="nil"/>
            </w:tcBorders>
            <w:shd w:val="clear" w:color="000000" w:fill="FFFFFF"/>
            <w:noWrap/>
            <w:vAlign w:val="bottom"/>
            <w:hideMark/>
          </w:tcPr>
          <w:p w14:paraId="04BE19EA"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0BF4CD20"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901" w:type="dxa"/>
            <w:tcBorders>
              <w:top w:val="nil"/>
              <w:left w:val="nil"/>
              <w:bottom w:val="nil"/>
              <w:right w:val="nil"/>
            </w:tcBorders>
            <w:shd w:val="clear" w:color="000000" w:fill="FFFFFF"/>
            <w:noWrap/>
            <w:vAlign w:val="bottom"/>
            <w:hideMark/>
          </w:tcPr>
          <w:p w14:paraId="496DF10F"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19C59B47"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850" w:type="dxa"/>
            <w:tcBorders>
              <w:top w:val="nil"/>
              <w:left w:val="nil"/>
              <w:bottom w:val="nil"/>
              <w:right w:val="single" w:sz="4" w:space="0" w:color="auto"/>
            </w:tcBorders>
            <w:shd w:val="clear" w:color="000000" w:fill="FFFFFF"/>
            <w:noWrap/>
            <w:vAlign w:val="bottom"/>
            <w:hideMark/>
          </w:tcPr>
          <w:p w14:paraId="4CE2A991"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5DD6ECCB"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631F3D3D"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times activity performed per staff</w:t>
            </w:r>
          </w:p>
        </w:tc>
        <w:tc>
          <w:tcPr>
            <w:tcW w:w="1109" w:type="dxa"/>
            <w:tcBorders>
              <w:top w:val="nil"/>
              <w:left w:val="nil"/>
              <w:bottom w:val="nil"/>
              <w:right w:val="nil"/>
            </w:tcBorders>
            <w:shd w:val="clear" w:color="000000" w:fill="FFFFFF"/>
            <w:noWrap/>
            <w:vAlign w:val="bottom"/>
            <w:hideMark/>
          </w:tcPr>
          <w:p w14:paraId="407D2BDF"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1D08D445"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901" w:type="dxa"/>
            <w:tcBorders>
              <w:top w:val="nil"/>
              <w:left w:val="nil"/>
              <w:bottom w:val="nil"/>
              <w:right w:val="nil"/>
            </w:tcBorders>
            <w:shd w:val="clear" w:color="000000" w:fill="FFFFFF"/>
            <w:noWrap/>
            <w:vAlign w:val="bottom"/>
            <w:hideMark/>
          </w:tcPr>
          <w:p w14:paraId="76C40EC4"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5A775BC7"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850" w:type="dxa"/>
            <w:tcBorders>
              <w:top w:val="nil"/>
              <w:left w:val="nil"/>
              <w:bottom w:val="nil"/>
              <w:right w:val="single" w:sz="4" w:space="0" w:color="auto"/>
            </w:tcBorders>
            <w:shd w:val="clear" w:color="000000" w:fill="FFFFFF"/>
            <w:noWrap/>
            <w:vAlign w:val="bottom"/>
            <w:hideMark/>
          </w:tcPr>
          <w:p w14:paraId="3008D4C2"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3A5A23AA"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19470B2E"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Avg. time of each staff to do activity (in hours)</w:t>
            </w:r>
          </w:p>
        </w:tc>
        <w:tc>
          <w:tcPr>
            <w:tcW w:w="1109" w:type="dxa"/>
            <w:tcBorders>
              <w:top w:val="nil"/>
              <w:left w:val="nil"/>
              <w:bottom w:val="nil"/>
              <w:right w:val="nil"/>
            </w:tcBorders>
            <w:shd w:val="clear" w:color="000000" w:fill="FFFFFF"/>
            <w:noWrap/>
            <w:vAlign w:val="bottom"/>
            <w:hideMark/>
          </w:tcPr>
          <w:p w14:paraId="5584989C"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5ADF7BA7"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75</w:t>
            </w:r>
          </w:p>
        </w:tc>
        <w:tc>
          <w:tcPr>
            <w:tcW w:w="901" w:type="dxa"/>
            <w:tcBorders>
              <w:top w:val="nil"/>
              <w:left w:val="nil"/>
              <w:bottom w:val="nil"/>
              <w:right w:val="nil"/>
            </w:tcBorders>
            <w:shd w:val="clear" w:color="000000" w:fill="FFFFFF"/>
            <w:noWrap/>
            <w:vAlign w:val="bottom"/>
            <w:hideMark/>
          </w:tcPr>
          <w:p w14:paraId="4A978D7C"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331BA364"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75</w:t>
            </w:r>
          </w:p>
        </w:tc>
        <w:tc>
          <w:tcPr>
            <w:tcW w:w="850" w:type="dxa"/>
            <w:tcBorders>
              <w:top w:val="nil"/>
              <w:left w:val="nil"/>
              <w:bottom w:val="nil"/>
              <w:right w:val="single" w:sz="4" w:space="0" w:color="auto"/>
            </w:tcBorders>
            <w:shd w:val="clear" w:color="000000" w:fill="FFFFFF"/>
            <w:noWrap/>
            <w:vAlign w:val="bottom"/>
            <w:hideMark/>
          </w:tcPr>
          <w:p w14:paraId="465808E5"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52CB29FD" w14:textId="77777777" w:rsidTr="000773A4">
        <w:trPr>
          <w:gridAfter w:val="1"/>
          <w:wAfter w:w="10" w:type="dxa"/>
          <w:trHeight w:val="20"/>
        </w:trPr>
        <w:tc>
          <w:tcPr>
            <w:tcW w:w="3969" w:type="dxa"/>
            <w:tcBorders>
              <w:top w:val="nil"/>
              <w:left w:val="single" w:sz="4" w:space="0" w:color="auto"/>
              <w:bottom w:val="single" w:sz="4" w:space="0" w:color="auto"/>
              <w:right w:val="nil"/>
            </w:tcBorders>
            <w:shd w:val="clear" w:color="000000" w:fill="FFFFFF"/>
            <w:noWrap/>
            <w:vAlign w:val="bottom"/>
            <w:hideMark/>
          </w:tcPr>
          <w:p w14:paraId="2F170EDE"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Labour cost ($/hr) (wage + non-wage labour cost rate) </w:t>
            </w:r>
          </w:p>
        </w:tc>
        <w:tc>
          <w:tcPr>
            <w:tcW w:w="1109" w:type="dxa"/>
            <w:tcBorders>
              <w:top w:val="nil"/>
              <w:left w:val="nil"/>
              <w:bottom w:val="single" w:sz="4" w:space="0" w:color="auto"/>
              <w:right w:val="nil"/>
            </w:tcBorders>
            <w:shd w:val="clear" w:color="000000" w:fill="FFFFFF"/>
            <w:noWrap/>
            <w:vAlign w:val="bottom"/>
            <w:hideMark/>
          </w:tcPr>
          <w:p w14:paraId="22A239E2"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single" w:sz="4" w:space="0" w:color="auto"/>
              <w:right w:val="nil"/>
            </w:tcBorders>
            <w:shd w:val="clear" w:color="000000" w:fill="FFFFFF"/>
            <w:noWrap/>
            <w:vAlign w:val="bottom"/>
            <w:hideMark/>
          </w:tcPr>
          <w:p w14:paraId="449367C5"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82</w:t>
            </w:r>
          </w:p>
        </w:tc>
        <w:tc>
          <w:tcPr>
            <w:tcW w:w="901" w:type="dxa"/>
            <w:tcBorders>
              <w:top w:val="nil"/>
              <w:left w:val="nil"/>
              <w:bottom w:val="single" w:sz="4" w:space="0" w:color="auto"/>
              <w:right w:val="nil"/>
            </w:tcBorders>
            <w:shd w:val="clear" w:color="000000" w:fill="FFFFFF"/>
            <w:noWrap/>
            <w:vAlign w:val="bottom"/>
            <w:hideMark/>
          </w:tcPr>
          <w:p w14:paraId="6600D425"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150,000</w:t>
            </w:r>
          </w:p>
        </w:tc>
        <w:tc>
          <w:tcPr>
            <w:tcW w:w="1134" w:type="dxa"/>
            <w:tcBorders>
              <w:top w:val="nil"/>
              <w:left w:val="nil"/>
              <w:bottom w:val="single" w:sz="4" w:space="0" w:color="auto"/>
              <w:right w:val="nil"/>
            </w:tcBorders>
            <w:shd w:val="clear" w:color="000000" w:fill="FFFFFF"/>
            <w:noWrap/>
            <w:vAlign w:val="bottom"/>
            <w:hideMark/>
          </w:tcPr>
          <w:p w14:paraId="48D778A4"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74</w:t>
            </w:r>
          </w:p>
        </w:tc>
        <w:tc>
          <w:tcPr>
            <w:tcW w:w="850" w:type="dxa"/>
            <w:tcBorders>
              <w:top w:val="nil"/>
              <w:left w:val="nil"/>
              <w:bottom w:val="single" w:sz="4" w:space="0" w:color="auto"/>
              <w:right w:val="single" w:sz="4" w:space="0" w:color="auto"/>
            </w:tcBorders>
            <w:shd w:val="clear" w:color="000000" w:fill="FFFFFF"/>
            <w:noWrap/>
            <w:vAlign w:val="bottom"/>
            <w:hideMark/>
          </w:tcPr>
          <w:p w14:paraId="0D3C0652"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60ED1A29"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5716C393"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double" w:sz="6" w:space="0" w:color="auto"/>
              <w:right w:val="nil"/>
            </w:tcBorders>
            <w:shd w:val="clear" w:color="000000" w:fill="FFFFFF"/>
            <w:noWrap/>
            <w:vAlign w:val="bottom"/>
            <w:hideMark/>
          </w:tcPr>
          <w:p w14:paraId="1F59B120"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w:t>
            </w:r>
          </w:p>
        </w:tc>
        <w:tc>
          <w:tcPr>
            <w:tcW w:w="1109" w:type="dxa"/>
            <w:tcBorders>
              <w:top w:val="nil"/>
              <w:left w:val="nil"/>
              <w:bottom w:val="double" w:sz="6" w:space="0" w:color="auto"/>
              <w:right w:val="nil"/>
            </w:tcBorders>
            <w:shd w:val="clear" w:color="000000" w:fill="FFFFFF"/>
            <w:noWrap/>
            <w:vAlign w:val="bottom"/>
            <w:hideMark/>
          </w:tcPr>
          <w:p w14:paraId="4EECE07B"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3,701,250</w:t>
            </w:r>
          </w:p>
        </w:tc>
        <w:tc>
          <w:tcPr>
            <w:tcW w:w="901" w:type="dxa"/>
            <w:tcBorders>
              <w:top w:val="nil"/>
              <w:left w:val="nil"/>
              <w:bottom w:val="double" w:sz="6" w:space="0" w:color="auto"/>
              <w:right w:val="nil"/>
            </w:tcBorders>
            <w:shd w:val="clear" w:color="000000" w:fill="FFFFFF"/>
            <w:noWrap/>
            <w:vAlign w:val="bottom"/>
            <w:hideMark/>
          </w:tcPr>
          <w:p w14:paraId="706CAFF0"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3,600,000</w:t>
            </w:r>
          </w:p>
        </w:tc>
        <w:tc>
          <w:tcPr>
            <w:tcW w:w="1134" w:type="dxa"/>
            <w:tcBorders>
              <w:top w:val="nil"/>
              <w:left w:val="nil"/>
              <w:bottom w:val="double" w:sz="6" w:space="0" w:color="auto"/>
              <w:right w:val="nil"/>
            </w:tcBorders>
            <w:shd w:val="clear" w:color="000000" w:fill="FFFFFF"/>
            <w:noWrap/>
            <w:vAlign w:val="bottom"/>
            <w:hideMark/>
          </w:tcPr>
          <w:p w14:paraId="14A6818D"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3,307,500</w:t>
            </w:r>
          </w:p>
        </w:tc>
        <w:tc>
          <w:tcPr>
            <w:tcW w:w="850" w:type="dxa"/>
            <w:tcBorders>
              <w:top w:val="nil"/>
              <w:left w:val="nil"/>
              <w:bottom w:val="double" w:sz="6" w:space="0" w:color="auto"/>
              <w:right w:val="nil"/>
            </w:tcBorders>
            <w:shd w:val="clear" w:color="000000" w:fill="FFFFFF"/>
            <w:noWrap/>
            <w:vAlign w:val="bottom"/>
            <w:hideMark/>
          </w:tcPr>
          <w:p w14:paraId="52C4BF56"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w:t>
            </w:r>
          </w:p>
        </w:tc>
      </w:tr>
      <w:tr w:rsidR="000773A4" w:rsidRPr="005B5CE3" w14:paraId="2C781B74" w14:textId="77777777" w:rsidTr="000773A4">
        <w:trPr>
          <w:gridAfter w:val="1"/>
          <w:wAfter w:w="10" w:type="dxa"/>
          <w:trHeight w:val="20"/>
        </w:trPr>
        <w:tc>
          <w:tcPr>
            <w:tcW w:w="3969" w:type="dxa"/>
            <w:tcBorders>
              <w:top w:val="nil"/>
              <w:left w:val="nil"/>
              <w:bottom w:val="nil"/>
              <w:right w:val="nil"/>
            </w:tcBorders>
            <w:shd w:val="clear" w:color="auto" w:fill="auto"/>
            <w:noWrap/>
            <w:vAlign w:val="bottom"/>
            <w:hideMark/>
          </w:tcPr>
          <w:p w14:paraId="03118186" w14:textId="77777777" w:rsidR="000773A4" w:rsidRPr="005B5CE3" w:rsidRDefault="000773A4" w:rsidP="007F628D">
            <w:pPr>
              <w:spacing w:after="0"/>
              <w:rPr>
                <w:rFonts w:ascii="Calibri" w:hAnsi="Calibri" w:cs="Calibri"/>
                <w:b/>
                <w:bCs/>
                <w:color w:val="000000"/>
                <w:sz w:val="16"/>
                <w:szCs w:val="16"/>
              </w:rPr>
            </w:pPr>
          </w:p>
        </w:tc>
        <w:tc>
          <w:tcPr>
            <w:tcW w:w="1109" w:type="dxa"/>
            <w:tcBorders>
              <w:top w:val="nil"/>
              <w:left w:val="nil"/>
              <w:bottom w:val="nil"/>
              <w:right w:val="nil"/>
            </w:tcBorders>
            <w:shd w:val="clear" w:color="auto" w:fill="auto"/>
            <w:noWrap/>
            <w:vAlign w:val="bottom"/>
            <w:hideMark/>
          </w:tcPr>
          <w:p w14:paraId="51A29100" w14:textId="77777777" w:rsidR="000773A4" w:rsidRPr="005B5CE3" w:rsidRDefault="000773A4" w:rsidP="007F628D">
            <w:pPr>
              <w:spacing w:after="0"/>
              <w:rPr>
                <w:rFonts w:ascii="Calibri" w:hAnsi="Calibri" w:cs="Calibri"/>
                <w:sz w:val="16"/>
                <w:szCs w:val="16"/>
              </w:rPr>
            </w:pPr>
          </w:p>
        </w:tc>
        <w:tc>
          <w:tcPr>
            <w:tcW w:w="1109" w:type="dxa"/>
            <w:tcBorders>
              <w:top w:val="nil"/>
              <w:left w:val="nil"/>
              <w:bottom w:val="nil"/>
              <w:right w:val="nil"/>
            </w:tcBorders>
            <w:shd w:val="clear" w:color="auto" w:fill="auto"/>
            <w:noWrap/>
            <w:vAlign w:val="bottom"/>
            <w:hideMark/>
          </w:tcPr>
          <w:p w14:paraId="64A183FE" w14:textId="77777777" w:rsidR="000773A4" w:rsidRPr="005B5CE3" w:rsidRDefault="000773A4" w:rsidP="007F628D">
            <w:pPr>
              <w:spacing w:after="0"/>
              <w:rPr>
                <w:rFonts w:ascii="Calibri" w:hAnsi="Calibri" w:cs="Calibri"/>
                <w:sz w:val="16"/>
                <w:szCs w:val="16"/>
              </w:rPr>
            </w:pPr>
          </w:p>
        </w:tc>
        <w:tc>
          <w:tcPr>
            <w:tcW w:w="901" w:type="dxa"/>
            <w:tcBorders>
              <w:top w:val="nil"/>
              <w:left w:val="nil"/>
              <w:bottom w:val="nil"/>
              <w:right w:val="nil"/>
            </w:tcBorders>
            <w:shd w:val="clear" w:color="auto" w:fill="auto"/>
            <w:noWrap/>
            <w:vAlign w:val="bottom"/>
            <w:hideMark/>
          </w:tcPr>
          <w:p w14:paraId="235193B2" w14:textId="77777777" w:rsidR="000773A4" w:rsidRPr="005B5CE3" w:rsidRDefault="000773A4" w:rsidP="007F628D">
            <w:pPr>
              <w:spacing w:after="0"/>
              <w:rPr>
                <w:rFonts w:ascii="Calibri" w:hAnsi="Calibri" w:cs="Calibri"/>
                <w:sz w:val="16"/>
                <w:szCs w:val="16"/>
              </w:rPr>
            </w:pPr>
          </w:p>
        </w:tc>
        <w:tc>
          <w:tcPr>
            <w:tcW w:w="1134" w:type="dxa"/>
            <w:tcBorders>
              <w:top w:val="nil"/>
              <w:left w:val="nil"/>
              <w:bottom w:val="nil"/>
              <w:right w:val="nil"/>
            </w:tcBorders>
            <w:shd w:val="clear" w:color="auto" w:fill="auto"/>
            <w:noWrap/>
            <w:vAlign w:val="bottom"/>
            <w:hideMark/>
          </w:tcPr>
          <w:p w14:paraId="0B9BE723" w14:textId="77777777" w:rsidR="000773A4" w:rsidRPr="005B5CE3" w:rsidRDefault="000773A4" w:rsidP="007F628D">
            <w:pPr>
              <w:spacing w:after="0"/>
              <w:jc w:val="right"/>
              <w:rPr>
                <w:rFonts w:ascii="Calibri" w:hAnsi="Calibri" w:cs="Calibri"/>
                <w:sz w:val="16"/>
                <w:szCs w:val="16"/>
              </w:rPr>
            </w:pPr>
          </w:p>
        </w:tc>
        <w:tc>
          <w:tcPr>
            <w:tcW w:w="850" w:type="dxa"/>
            <w:tcBorders>
              <w:top w:val="nil"/>
              <w:left w:val="nil"/>
              <w:bottom w:val="nil"/>
              <w:right w:val="nil"/>
            </w:tcBorders>
            <w:shd w:val="clear" w:color="auto" w:fill="auto"/>
            <w:noWrap/>
            <w:vAlign w:val="bottom"/>
            <w:hideMark/>
          </w:tcPr>
          <w:p w14:paraId="76FEEA86" w14:textId="77777777" w:rsidR="000773A4" w:rsidRPr="005B5CE3" w:rsidRDefault="000773A4" w:rsidP="007F628D">
            <w:pPr>
              <w:spacing w:after="0"/>
              <w:rPr>
                <w:rFonts w:ascii="Calibri" w:hAnsi="Calibri" w:cs="Calibri"/>
                <w:sz w:val="16"/>
                <w:szCs w:val="16"/>
              </w:rPr>
            </w:pPr>
          </w:p>
        </w:tc>
      </w:tr>
      <w:tr w:rsidR="000773A4" w:rsidRPr="005B5CE3" w14:paraId="14960042" w14:textId="77777777" w:rsidTr="000773A4">
        <w:trPr>
          <w:gridAfter w:val="1"/>
          <w:wAfter w:w="10" w:type="dxa"/>
          <w:trHeight w:val="20"/>
        </w:trPr>
        <w:tc>
          <w:tcPr>
            <w:tcW w:w="3969" w:type="dxa"/>
            <w:tcBorders>
              <w:top w:val="single" w:sz="4" w:space="0" w:color="auto"/>
              <w:left w:val="single" w:sz="4" w:space="0" w:color="auto"/>
              <w:bottom w:val="nil"/>
              <w:right w:val="nil"/>
            </w:tcBorders>
            <w:shd w:val="clear" w:color="000000" w:fill="FFFFFF"/>
            <w:noWrap/>
            <w:vAlign w:val="bottom"/>
            <w:hideMark/>
          </w:tcPr>
          <w:p w14:paraId="16C205E3"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xml:space="preserve">Ongoing Cost (over 9 years) (Complex 7 with </w:t>
            </w:r>
            <w:proofErr w:type="spellStart"/>
            <w:r w:rsidRPr="005B5CE3">
              <w:rPr>
                <w:rFonts w:ascii="Calibri" w:hAnsi="Calibri" w:cs="Calibri"/>
                <w:b/>
                <w:bCs/>
                <w:color w:val="000000"/>
                <w:sz w:val="16"/>
                <w:szCs w:val="16"/>
              </w:rPr>
              <w:t>MySuper</w:t>
            </w:r>
            <w:proofErr w:type="spellEnd"/>
            <w:r w:rsidRPr="005B5CE3">
              <w:rPr>
                <w:rFonts w:ascii="Calibri" w:hAnsi="Calibri" w:cs="Calibri"/>
                <w:b/>
                <w:bCs/>
                <w:color w:val="000000"/>
                <w:sz w:val="16"/>
                <w:szCs w:val="16"/>
              </w:rPr>
              <w:t xml:space="preserve">) </w:t>
            </w:r>
          </w:p>
        </w:tc>
        <w:tc>
          <w:tcPr>
            <w:tcW w:w="1109" w:type="dxa"/>
            <w:tcBorders>
              <w:top w:val="single" w:sz="4" w:space="0" w:color="auto"/>
              <w:left w:val="nil"/>
              <w:bottom w:val="single" w:sz="4" w:space="0" w:color="auto"/>
              <w:right w:val="nil"/>
            </w:tcBorders>
            <w:shd w:val="clear" w:color="000000" w:fill="FFFFFF"/>
            <w:vAlign w:val="bottom"/>
            <w:hideMark/>
          </w:tcPr>
          <w:p w14:paraId="2C6899A7"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Education</w:t>
            </w:r>
          </w:p>
        </w:tc>
        <w:tc>
          <w:tcPr>
            <w:tcW w:w="1109" w:type="dxa"/>
            <w:tcBorders>
              <w:top w:val="single" w:sz="4" w:space="0" w:color="auto"/>
              <w:left w:val="nil"/>
              <w:bottom w:val="single" w:sz="4" w:space="0" w:color="auto"/>
              <w:right w:val="nil"/>
            </w:tcBorders>
            <w:shd w:val="clear" w:color="000000" w:fill="FFFFFF"/>
            <w:vAlign w:val="bottom"/>
            <w:hideMark/>
          </w:tcPr>
          <w:p w14:paraId="43DB5A62"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Record Keeping</w:t>
            </w:r>
          </w:p>
        </w:tc>
        <w:tc>
          <w:tcPr>
            <w:tcW w:w="901" w:type="dxa"/>
            <w:tcBorders>
              <w:top w:val="single" w:sz="4" w:space="0" w:color="auto"/>
              <w:left w:val="nil"/>
              <w:bottom w:val="single" w:sz="4" w:space="0" w:color="auto"/>
              <w:right w:val="nil"/>
            </w:tcBorders>
            <w:shd w:val="clear" w:color="000000" w:fill="FFFFFF"/>
            <w:vAlign w:val="bottom"/>
            <w:hideMark/>
          </w:tcPr>
          <w:p w14:paraId="51273CB7"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Purchasing</w:t>
            </w:r>
          </w:p>
        </w:tc>
        <w:tc>
          <w:tcPr>
            <w:tcW w:w="1134" w:type="dxa"/>
            <w:tcBorders>
              <w:top w:val="single" w:sz="4" w:space="0" w:color="auto"/>
              <w:left w:val="nil"/>
              <w:bottom w:val="single" w:sz="4" w:space="0" w:color="auto"/>
              <w:right w:val="nil"/>
            </w:tcBorders>
            <w:shd w:val="clear" w:color="000000" w:fill="FFFFFF"/>
            <w:vAlign w:val="bottom"/>
            <w:hideMark/>
          </w:tcPr>
          <w:p w14:paraId="69510D86"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Publication and Documentation</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6580ADBC" w14:textId="77777777" w:rsidR="000773A4" w:rsidRPr="005B5CE3" w:rsidRDefault="000773A4" w:rsidP="007F628D">
            <w:pPr>
              <w:spacing w:after="0"/>
              <w:jc w:val="center"/>
              <w:rPr>
                <w:rFonts w:ascii="Calibri" w:hAnsi="Calibri" w:cs="Calibri"/>
                <w:color w:val="000000"/>
                <w:sz w:val="16"/>
                <w:szCs w:val="16"/>
              </w:rPr>
            </w:pPr>
            <w:r w:rsidRPr="005B5CE3">
              <w:rPr>
                <w:rFonts w:ascii="Calibri" w:hAnsi="Calibri" w:cs="Calibri"/>
                <w:color w:val="000000"/>
                <w:sz w:val="16"/>
                <w:szCs w:val="16"/>
              </w:rPr>
              <w:t>Other</w:t>
            </w:r>
          </w:p>
        </w:tc>
      </w:tr>
      <w:tr w:rsidR="000773A4" w:rsidRPr="005B5CE3" w14:paraId="0FA7D84B"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59949A39"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Number of businesses affected by activity </w:t>
            </w:r>
          </w:p>
        </w:tc>
        <w:tc>
          <w:tcPr>
            <w:tcW w:w="1109" w:type="dxa"/>
            <w:tcBorders>
              <w:top w:val="nil"/>
              <w:left w:val="nil"/>
              <w:bottom w:val="nil"/>
              <w:right w:val="nil"/>
            </w:tcBorders>
            <w:shd w:val="clear" w:color="000000" w:fill="FFFFFF"/>
            <w:noWrap/>
            <w:vAlign w:val="bottom"/>
            <w:hideMark/>
          </w:tcPr>
          <w:p w14:paraId="34ED6A07"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130968E9"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w:t>
            </w:r>
          </w:p>
        </w:tc>
        <w:tc>
          <w:tcPr>
            <w:tcW w:w="901" w:type="dxa"/>
            <w:tcBorders>
              <w:top w:val="nil"/>
              <w:left w:val="nil"/>
              <w:bottom w:val="nil"/>
              <w:right w:val="nil"/>
            </w:tcBorders>
            <w:shd w:val="clear" w:color="000000" w:fill="FFFFFF"/>
            <w:noWrap/>
            <w:vAlign w:val="bottom"/>
            <w:hideMark/>
          </w:tcPr>
          <w:p w14:paraId="6B0A685E"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w:t>
            </w:r>
          </w:p>
        </w:tc>
        <w:tc>
          <w:tcPr>
            <w:tcW w:w="1134" w:type="dxa"/>
            <w:tcBorders>
              <w:top w:val="nil"/>
              <w:left w:val="nil"/>
              <w:bottom w:val="nil"/>
              <w:right w:val="nil"/>
            </w:tcBorders>
            <w:shd w:val="clear" w:color="000000" w:fill="FFFFFF"/>
            <w:noWrap/>
            <w:vAlign w:val="bottom"/>
            <w:hideMark/>
          </w:tcPr>
          <w:p w14:paraId="0952C10F"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w:t>
            </w:r>
          </w:p>
        </w:tc>
        <w:tc>
          <w:tcPr>
            <w:tcW w:w="850" w:type="dxa"/>
            <w:tcBorders>
              <w:top w:val="nil"/>
              <w:left w:val="nil"/>
              <w:bottom w:val="nil"/>
              <w:right w:val="single" w:sz="4" w:space="0" w:color="auto"/>
            </w:tcBorders>
            <w:shd w:val="clear" w:color="000000" w:fill="FFFFFF"/>
            <w:noWrap/>
            <w:vAlign w:val="bottom"/>
            <w:hideMark/>
          </w:tcPr>
          <w:p w14:paraId="46C506EF"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064308BD"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35216414"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Number of staff per business performing activity </w:t>
            </w:r>
          </w:p>
        </w:tc>
        <w:tc>
          <w:tcPr>
            <w:tcW w:w="1109" w:type="dxa"/>
            <w:tcBorders>
              <w:top w:val="nil"/>
              <w:left w:val="nil"/>
              <w:bottom w:val="nil"/>
              <w:right w:val="nil"/>
            </w:tcBorders>
            <w:shd w:val="clear" w:color="000000" w:fill="FFFFFF"/>
            <w:noWrap/>
            <w:vAlign w:val="bottom"/>
            <w:hideMark/>
          </w:tcPr>
          <w:p w14:paraId="5D091AE5"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4159B5E8"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10</w:t>
            </w:r>
          </w:p>
        </w:tc>
        <w:tc>
          <w:tcPr>
            <w:tcW w:w="901" w:type="dxa"/>
            <w:tcBorders>
              <w:top w:val="nil"/>
              <w:left w:val="nil"/>
              <w:bottom w:val="nil"/>
              <w:right w:val="nil"/>
            </w:tcBorders>
            <w:shd w:val="clear" w:color="000000" w:fill="FFFFFF"/>
            <w:noWrap/>
            <w:vAlign w:val="bottom"/>
            <w:hideMark/>
          </w:tcPr>
          <w:p w14:paraId="29A462A5"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226913DB"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10</w:t>
            </w:r>
          </w:p>
        </w:tc>
        <w:tc>
          <w:tcPr>
            <w:tcW w:w="850" w:type="dxa"/>
            <w:tcBorders>
              <w:top w:val="nil"/>
              <w:left w:val="nil"/>
              <w:bottom w:val="nil"/>
              <w:right w:val="single" w:sz="4" w:space="0" w:color="auto"/>
            </w:tcBorders>
            <w:shd w:val="clear" w:color="000000" w:fill="FFFFFF"/>
            <w:noWrap/>
            <w:vAlign w:val="bottom"/>
            <w:hideMark/>
          </w:tcPr>
          <w:p w14:paraId="342B9013"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50A08B23"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54B2FA59"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times activity performed per staff</w:t>
            </w:r>
          </w:p>
        </w:tc>
        <w:tc>
          <w:tcPr>
            <w:tcW w:w="1109" w:type="dxa"/>
            <w:tcBorders>
              <w:top w:val="nil"/>
              <w:left w:val="nil"/>
              <w:bottom w:val="nil"/>
              <w:right w:val="nil"/>
            </w:tcBorders>
            <w:shd w:val="clear" w:color="000000" w:fill="FFFFFF"/>
            <w:noWrap/>
            <w:vAlign w:val="bottom"/>
            <w:hideMark/>
          </w:tcPr>
          <w:p w14:paraId="713B114E"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0213C989"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901" w:type="dxa"/>
            <w:tcBorders>
              <w:top w:val="nil"/>
              <w:left w:val="nil"/>
              <w:bottom w:val="nil"/>
              <w:right w:val="nil"/>
            </w:tcBorders>
            <w:shd w:val="clear" w:color="000000" w:fill="FFFFFF"/>
            <w:noWrap/>
            <w:vAlign w:val="bottom"/>
            <w:hideMark/>
          </w:tcPr>
          <w:p w14:paraId="4C274B56"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1A81EF6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850" w:type="dxa"/>
            <w:tcBorders>
              <w:top w:val="nil"/>
              <w:left w:val="nil"/>
              <w:bottom w:val="nil"/>
              <w:right w:val="single" w:sz="4" w:space="0" w:color="auto"/>
            </w:tcBorders>
            <w:shd w:val="clear" w:color="000000" w:fill="FFFFFF"/>
            <w:noWrap/>
            <w:vAlign w:val="bottom"/>
            <w:hideMark/>
          </w:tcPr>
          <w:p w14:paraId="05CAD02A"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6A377A84"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3A069A2D"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Avg. time of each staff to do activity (in hours) </w:t>
            </w:r>
          </w:p>
        </w:tc>
        <w:tc>
          <w:tcPr>
            <w:tcW w:w="1109" w:type="dxa"/>
            <w:tcBorders>
              <w:top w:val="nil"/>
              <w:left w:val="nil"/>
              <w:bottom w:val="nil"/>
              <w:right w:val="nil"/>
            </w:tcBorders>
            <w:shd w:val="clear" w:color="000000" w:fill="FFFFFF"/>
            <w:noWrap/>
            <w:vAlign w:val="bottom"/>
            <w:hideMark/>
          </w:tcPr>
          <w:p w14:paraId="2A558FBC"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2F77DB8A"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75</w:t>
            </w:r>
          </w:p>
        </w:tc>
        <w:tc>
          <w:tcPr>
            <w:tcW w:w="901" w:type="dxa"/>
            <w:tcBorders>
              <w:top w:val="nil"/>
              <w:left w:val="nil"/>
              <w:bottom w:val="nil"/>
              <w:right w:val="nil"/>
            </w:tcBorders>
            <w:shd w:val="clear" w:color="000000" w:fill="FFFFFF"/>
            <w:noWrap/>
            <w:vAlign w:val="bottom"/>
            <w:hideMark/>
          </w:tcPr>
          <w:p w14:paraId="242E1879"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176D9D8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75</w:t>
            </w:r>
          </w:p>
        </w:tc>
        <w:tc>
          <w:tcPr>
            <w:tcW w:w="850" w:type="dxa"/>
            <w:tcBorders>
              <w:top w:val="nil"/>
              <w:left w:val="nil"/>
              <w:bottom w:val="nil"/>
              <w:right w:val="single" w:sz="4" w:space="0" w:color="auto"/>
            </w:tcBorders>
            <w:shd w:val="clear" w:color="000000" w:fill="FFFFFF"/>
            <w:noWrap/>
            <w:vAlign w:val="bottom"/>
            <w:hideMark/>
          </w:tcPr>
          <w:p w14:paraId="6341B130"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3375B4D4" w14:textId="77777777" w:rsidTr="000773A4">
        <w:trPr>
          <w:gridAfter w:val="1"/>
          <w:wAfter w:w="10" w:type="dxa"/>
          <w:trHeight w:val="20"/>
        </w:trPr>
        <w:tc>
          <w:tcPr>
            <w:tcW w:w="3969" w:type="dxa"/>
            <w:tcBorders>
              <w:top w:val="nil"/>
              <w:left w:val="single" w:sz="4" w:space="0" w:color="auto"/>
              <w:bottom w:val="single" w:sz="4" w:space="0" w:color="auto"/>
              <w:right w:val="nil"/>
            </w:tcBorders>
            <w:shd w:val="clear" w:color="000000" w:fill="FFFFFF"/>
            <w:noWrap/>
            <w:vAlign w:val="bottom"/>
            <w:hideMark/>
          </w:tcPr>
          <w:p w14:paraId="6D64125C"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Labour cost ($/hr) (wage + non-wage labour cost rate) </w:t>
            </w:r>
          </w:p>
        </w:tc>
        <w:tc>
          <w:tcPr>
            <w:tcW w:w="1109" w:type="dxa"/>
            <w:tcBorders>
              <w:top w:val="nil"/>
              <w:left w:val="nil"/>
              <w:bottom w:val="single" w:sz="4" w:space="0" w:color="auto"/>
              <w:right w:val="nil"/>
            </w:tcBorders>
            <w:shd w:val="clear" w:color="000000" w:fill="FFFFFF"/>
            <w:noWrap/>
            <w:vAlign w:val="bottom"/>
            <w:hideMark/>
          </w:tcPr>
          <w:p w14:paraId="33214FA7"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single" w:sz="4" w:space="0" w:color="auto"/>
              <w:right w:val="nil"/>
            </w:tcBorders>
            <w:shd w:val="clear" w:color="000000" w:fill="FFFFFF"/>
            <w:noWrap/>
            <w:vAlign w:val="bottom"/>
            <w:hideMark/>
          </w:tcPr>
          <w:p w14:paraId="1FF999CE"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82</w:t>
            </w:r>
          </w:p>
        </w:tc>
        <w:tc>
          <w:tcPr>
            <w:tcW w:w="901" w:type="dxa"/>
            <w:tcBorders>
              <w:top w:val="nil"/>
              <w:left w:val="nil"/>
              <w:bottom w:val="single" w:sz="4" w:space="0" w:color="auto"/>
              <w:right w:val="nil"/>
            </w:tcBorders>
            <w:shd w:val="clear" w:color="000000" w:fill="FFFFFF"/>
            <w:noWrap/>
            <w:vAlign w:val="bottom"/>
            <w:hideMark/>
          </w:tcPr>
          <w:p w14:paraId="458E2909"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150,000</w:t>
            </w:r>
          </w:p>
        </w:tc>
        <w:tc>
          <w:tcPr>
            <w:tcW w:w="1134" w:type="dxa"/>
            <w:tcBorders>
              <w:top w:val="nil"/>
              <w:left w:val="nil"/>
              <w:bottom w:val="single" w:sz="4" w:space="0" w:color="auto"/>
              <w:right w:val="nil"/>
            </w:tcBorders>
            <w:shd w:val="clear" w:color="000000" w:fill="FFFFFF"/>
            <w:noWrap/>
            <w:vAlign w:val="bottom"/>
            <w:hideMark/>
          </w:tcPr>
          <w:p w14:paraId="79C916C2"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74</w:t>
            </w:r>
          </w:p>
        </w:tc>
        <w:tc>
          <w:tcPr>
            <w:tcW w:w="850" w:type="dxa"/>
            <w:tcBorders>
              <w:top w:val="nil"/>
              <w:left w:val="nil"/>
              <w:bottom w:val="single" w:sz="4" w:space="0" w:color="auto"/>
              <w:right w:val="single" w:sz="4" w:space="0" w:color="auto"/>
            </w:tcBorders>
            <w:shd w:val="clear" w:color="000000" w:fill="FFFFFF"/>
            <w:noWrap/>
            <w:vAlign w:val="bottom"/>
            <w:hideMark/>
          </w:tcPr>
          <w:p w14:paraId="327AFE2C"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605F59CA"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45A6F07F"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double" w:sz="6" w:space="0" w:color="auto"/>
              <w:right w:val="nil"/>
            </w:tcBorders>
            <w:shd w:val="clear" w:color="000000" w:fill="FFFFFF"/>
            <w:noWrap/>
            <w:vAlign w:val="bottom"/>
            <w:hideMark/>
          </w:tcPr>
          <w:p w14:paraId="30651CEB"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w:t>
            </w:r>
          </w:p>
        </w:tc>
        <w:tc>
          <w:tcPr>
            <w:tcW w:w="1109" w:type="dxa"/>
            <w:tcBorders>
              <w:top w:val="nil"/>
              <w:left w:val="nil"/>
              <w:bottom w:val="double" w:sz="6" w:space="0" w:color="auto"/>
              <w:right w:val="nil"/>
            </w:tcBorders>
            <w:shd w:val="clear" w:color="000000" w:fill="FFFFFF"/>
            <w:noWrap/>
            <w:vAlign w:val="bottom"/>
            <w:hideMark/>
          </w:tcPr>
          <w:p w14:paraId="3213229D"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2,159,063</w:t>
            </w:r>
          </w:p>
        </w:tc>
        <w:tc>
          <w:tcPr>
            <w:tcW w:w="901" w:type="dxa"/>
            <w:tcBorders>
              <w:top w:val="nil"/>
              <w:left w:val="nil"/>
              <w:bottom w:val="double" w:sz="6" w:space="0" w:color="auto"/>
              <w:right w:val="nil"/>
            </w:tcBorders>
            <w:shd w:val="clear" w:color="000000" w:fill="FFFFFF"/>
            <w:noWrap/>
            <w:vAlign w:val="bottom"/>
            <w:hideMark/>
          </w:tcPr>
          <w:p w14:paraId="2323A034"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1,050,000</w:t>
            </w:r>
          </w:p>
        </w:tc>
        <w:tc>
          <w:tcPr>
            <w:tcW w:w="1134" w:type="dxa"/>
            <w:tcBorders>
              <w:top w:val="nil"/>
              <w:left w:val="nil"/>
              <w:bottom w:val="double" w:sz="6" w:space="0" w:color="auto"/>
              <w:right w:val="nil"/>
            </w:tcBorders>
            <w:shd w:val="clear" w:color="000000" w:fill="FFFFFF"/>
            <w:noWrap/>
            <w:vAlign w:val="bottom"/>
            <w:hideMark/>
          </w:tcPr>
          <w:p w14:paraId="28C5A317"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1,929,375</w:t>
            </w:r>
          </w:p>
        </w:tc>
        <w:tc>
          <w:tcPr>
            <w:tcW w:w="850" w:type="dxa"/>
            <w:tcBorders>
              <w:top w:val="nil"/>
              <w:left w:val="nil"/>
              <w:bottom w:val="double" w:sz="6" w:space="0" w:color="auto"/>
              <w:right w:val="nil"/>
            </w:tcBorders>
            <w:shd w:val="clear" w:color="000000" w:fill="FFFFFF"/>
            <w:noWrap/>
            <w:vAlign w:val="bottom"/>
            <w:hideMark/>
          </w:tcPr>
          <w:p w14:paraId="410E65AC" w14:textId="77777777" w:rsidR="000773A4" w:rsidRPr="005B5CE3" w:rsidRDefault="000773A4" w:rsidP="007F628D">
            <w:pPr>
              <w:spacing w:after="0"/>
              <w:jc w:val="right"/>
              <w:rPr>
                <w:rFonts w:ascii="Calibri" w:hAnsi="Calibri" w:cs="Calibri"/>
                <w:b/>
                <w:bCs/>
                <w:color w:val="000000"/>
                <w:sz w:val="16"/>
                <w:szCs w:val="16"/>
              </w:rPr>
            </w:pPr>
          </w:p>
        </w:tc>
      </w:tr>
      <w:tr w:rsidR="000773A4" w:rsidRPr="005B5CE3" w14:paraId="4245CA86"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45048036"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nil"/>
              <w:right w:val="nil"/>
            </w:tcBorders>
            <w:shd w:val="clear" w:color="000000" w:fill="FFFFFF"/>
            <w:noWrap/>
            <w:vAlign w:val="bottom"/>
            <w:hideMark/>
          </w:tcPr>
          <w:p w14:paraId="58B76BB0"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nil"/>
              <w:right w:val="nil"/>
            </w:tcBorders>
            <w:shd w:val="clear" w:color="000000" w:fill="FFFFFF"/>
            <w:noWrap/>
            <w:vAlign w:val="bottom"/>
            <w:hideMark/>
          </w:tcPr>
          <w:p w14:paraId="0FAB1123"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901" w:type="dxa"/>
            <w:tcBorders>
              <w:top w:val="nil"/>
              <w:left w:val="nil"/>
              <w:bottom w:val="nil"/>
              <w:right w:val="nil"/>
            </w:tcBorders>
            <w:shd w:val="clear" w:color="000000" w:fill="FFFFFF"/>
            <w:noWrap/>
            <w:vAlign w:val="bottom"/>
            <w:hideMark/>
          </w:tcPr>
          <w:p w14:paraId="30BD2928"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34" w:type="dxa"/>
            <w:tcBorders>
              <w:top w:val="nil"/>
              <w:left w:val="nil"/>
              <w:bottom w:val="nil"/>
              <w:right w:val="nil"/>
            </w:tcBorders>
            <w:shd w:val="clear" w:color="000000" w:fill="FFFFFF"/>
            <w:noWrap/>
            <w:vAlign w:val="bottom"/>
            <w:hideMark/>
          </w:tcPr>
          <w:p w14:paraId="63E0BB45"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 </w:t>
            </w:r>
          </w:p>
        </w:tc>
        <w:tc>
          <w:tcPr>
            <w:tcW w:w="850" w:type="dxa"/>
            <w:tcBorders>
              <w:top w:val="nil"/>
              <w:left w:val="nil"/>
              <w:bottom w:val="nil"/>
              <w:right w:val="nil"/>
            </w:tcBorders>
            <w:shd w:val="clear" w:color="000000" w:fill="FFFFFF"/>
            <w:noWrap/>
            <w:vAlign w:val="bottom"/>
            <w:hideMark/>
          </w:tcPr>
          <w:p w14:paraId="3F7D3ACE"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r>
      <w:tr w:rsidR="000773A4" w:rsidRPr="005B5CE3" w14:paraId="4895D6C0" w14:textId="77777777" w:rsidTr="000773A4">
        <w:trPr>
          <w:gridAfter w:val="1"/>
          <w:wAfter w:w="10" w:type="dxa"/>
          <w:trHeight w:val="20"/>
        </w:trPr>
        <w:tc>
          <w:tcPr>
            <w:tcW w:w="3969" w:type="dxa"/>
            <w:tcBorders>
              <w:top w:val="single" w:sz="4" w:space="0" w:color="auto"/>
              <w:left w:val="single" w:sz="4" w:space="0" w:color="auto"/>
              <w:bottom w:val="nil"/>
              <w:right w:val="nil"/>
            </w:tcBorders>
            <w:shd w:val="clear" w:color="000000" w:fill="FFFFFF"/>
            <w:noWrap/>
            <w:vAlign w:val="bottom"/>
            <w:hideMark/>
          </w:tcPr>
          <w:p w14:paraId="0A7760C8" w14:textId="77777777" w:rsidR="000773A4" w:rsidRPr="005B5CE3" w:rsidRDefault="000773A4" w:rsidP="007F628D">
            <w:pPr>
              <w:spacing w:after="0"/>
              <w:rPr>
                <w:rFonts w:ascii="Calibri" w:hAnsi="Calibri" w:cs="Calibri"/>
                <w:b/>
                <w:bCs/>
                <w:color w:val="000000"/>
                <w:sz w:val="16"/>
                <w:szCs w:val="16"/>
              </w:rPr>
            </w:pPr>
            <w:r w:rsidRPr="005B5CE3">
              <w:rPr>
                <w:rFonts w:ascii="Calibri" w:hAnsi="Calibri" w:cs="Calibri"/>
                <w:b/>
                <w:bCs/>
                <w:color w:val="000000"/>
                <w:sz w:val="16"/>
                <w:szCs w:val="16"/>
              </w:rPr>
              <w:t xml:space="preserve">Ongoing Cost (over 9 years) (Complex 3 with no </w:t>
            </w:r>
            <w:proofErr w:type="spellStart"/>
            <w:r w:rsidRPr="005B5CE3">
              <w:rPr>
                <w:rFonts w:ascii="Calibri" w:hAnsi="Calibri" w:cs="Calibri"/>
                <w:b/>
                <w:bCs/>
                <w:color w:val="000000"/>
                <w:sz w:val="16"/>
                <w:szCs w:val="16"/>
              </w:rPr>
              <w:t>MySuper</w:t>
            </w:r>
            <w:proofErr w:type="spellEnd"/>
            <w:r w:rsidRPr="005B5CE3">
              <w:rPr>
                <w:rFonts w:ascii="Calibri" w:hAnsi="Calibri" w:cs="Calibri"/>
                <w:b/>
                <w:bCs/>
                <w:color w:val="000000"/>
                <w:sz w:val="16"/>
                <w:szCs w:val="16"/>
              </w:rPr>
              <w:t xml:space="preserve">) </w:t>
            </w:r>
          </w:p>
        </w:tc>
        <w:tc>
          <w:tcPr>
            <w:tcW w:w="1109" w:type="dxa"/>
            <w:tcBorders>
              <w:top w:val="single" w:sz="4" w:space="0" w:color="auto"/>
              <w:left w:val="nil"/>
              <w:bottom w:val="single" w:sz="4" w:space="0" w:color="auto"/>
              <w:right w:val="nil"/>
            </w:tcBorders>
            <w:shd w:val="clear" w:color="000000" w:fill="FFFFFF"/>
            <w:vAlign w:val="bottom"/>
            <w:hideMark/>
          </w:tcPr>
          <w:p w14:paraId="20C893ED"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Education</w:t>
            </w:r>
          </w:p>
        </w:tc>
        <w:tc>
          <w:tcPr>
            <w:tcW w:w="1109" w:type="dxa"/>
            <w:tcBorders>
              <w:top w:val="single" w:sz="4" w:space="0" w:color="auto"/>
              <w:left w:val="nil"/>
              <w:bottom w:val="single" w:sz="4" w:space="0" w:color="auto"/>
              <w:right w:val="nil"/>
            </w:tcBorders>
            <w:shd w:val="clear" w:color="000000" w:fill="FFFFFF"/>
            <w:vAlign w:val="bottom"/>
            <w:hideMark/>
          </w:tcPr>
          <w:p w14:paraId="49DFB893"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Record Keeping</w:t>
            </w:r>
          </w:p>
        </w:tc>
        <w:tc>
          <w:tcPr>
            <w:tcW w:w="901" w:type="dxa"/>
            <w:tcBorders>
              <w:top w:val="single" w:sz="4" w:space="0" w:color="auto"/>
              <w:left w:val="nil"/>
              <w:bottom w:val="single" w:sz="4" w:space="0" w:color="auto"/>
              <w:right w:val="nil"/>
            </w:tcBorders>
            <w:shd w:val="clear" w:color="000000" w:fill="FFFFFF"/>
            <w:vAlign w:val="bottom"/>
            <w:hideMark/>
          </w:tcPr>
          <w:p w14:paraId="26B8B233"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Purchasing</w:t>
            </w:r>
          </w:p>
        </w:tc>
        <w:tc>
          <w:tcPr>
            <w:tcW w:w="1134" w:type="dxa"/>
            <w:tcBorders>
              <w:top w:val="single" w:sz="4" w:space="0" w:color="auto"/>
              <w:left w:val="nil"/>
              <w:bottom w:val="single" w:sz="4" w:space="0" w:color="auto"/>
              <w:right w:val="nil"/>
            </w:tcBorders>
            <w:shd w:val="clear" w:color="000000" w:fill="FFFFFF"/>
            <w:vAlign w:val="bottom"/>
            <w:hideMark/>
          </w:tcPr>
          <w:p w14:paraId="16991D5B"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Publication and Documentation</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0B07E2D6"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Other</w:t>
            </w:r>
          </w:p>
        </w:tc>
      </w:tr>
      <w:tr w:rsidR="000773A4" w:rsidRPr="005B5CE3" w14:paraId="71C52AC8"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375C67A1"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Number of businesses affected by activity </w:t>
            </w:r>
          </w:p>
        </w:tc>
        <w:tc>
          <w:tcPr>
            <w:tcW w:w="1109" w:type="dxa"/>
            <w:tcBorders>
              <w:top w:val="nil"/>
              <w:left w:val="nil"/>
              <w:bottom w:val="nil"/>
              <w:right w:val="nil"/>
            </w:tcBorders>
            <w:shd w:val="clear" w:color="000000" w:fill="FFFFFF"/>
            <w:noWrap/>
            <w:vAlign w:val="bottom"/>
            <w:hideMark/>
          </w:tcPr>
          <w:p w14:paraId="6F006A32"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7DF6F0C7"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w:t>
            </w:r>
          </w:p>
        </w:tc>
        <w:tc>
          <w:tcPr>
            <w:tcW w:w="901" w:type="dxa"/>
            <w:tcBorders>
              <w:top w:val="nil"/>
              <w:left w:val="nil"/>
              <w:bottom w:val="nil"/>
              <w:right w:val="nil"/>
            </w:tcBorders>
            <w:shd w:val="clear" w:color="000000" w:fill="FFFFFF"/>
            <w:noWrap/>
            <w:vAlign w:val="bottom"/>
            <w:hideMark/>
          </w:tcPr>
          <w:p w14:paraId="058002CD"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w:t>
            </w:r>
          </w:p>
        </w:tc>
        <w:tc>
          <w:tcPr>
            <w:tcW w:w="1134" w:type="dxa"/>
            <w:tcBorders>
              <w:top w:val="nil"/>
              <w:left w:val="nil"/>
              <w:bottom w:val="nil"/>
              <w:right w:val="nil"/>
            </w:tcBorders>
            <w:shd w:val="clear" w:color="000000" w:fill="FFFFFF"/>
            <w:noWrap/>
            <w:vAlign w:val="bottom"/>
            <w:hideMark/>
          </w:tcPr>
          <w:p w14:paraId="1AF8135E"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3</w:t>
            </w:r>
          </w:p>
        </w:tc>
        <w:tc>
          <w:tcPr>
            <w:tcW w:w="850" w:type="dxa"/>
            <w:tcBorders>
              <w:top w:val="nil"/>
              <w:left w:val="nil"/>
              <w:bottom w:val="nil"/>
              <w:right w:val="single" w:sz="4" w:space="0" w:color="auto"/>
            </w:tcBorders>
            <w:shd w:val="clear" w:color="000000" w:fill="FFFFFF"/>
            <w:noWrap/>
            <w:vAlign w:val="bottom"/>
            <w:hideMark/>
          </w:tcPr>
          <w:p w14:paraId="3A0BCD06"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13DA7852"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34071F10"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staff per business performing activity</w:t>
            </w:r>
          </w:p>
        </w:tc>
        <w:tc>
          <w:tcPr>
            <w:tcW w:w="1109" w:type="dxa"/>
            <w:tcBorders>
              <w:top w:val="nil"/>
              <w:left w:val="nil"/>
              <w:bottom w:val="nil"/>
              <w:right w:val="nil"/>
            </w:tcBorders>
            <w:shd w:val="clear" w:color="000000" w:fill="FFFFFF"/>
            <w:noWrap/>
            <w:vAlign w:val="bottom"/>
            <w:hideMark/>
          </w:tcPr>
          <w:p w14:paraId="103F6B94"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6C0EBA2B"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10</w:t>
            </w:r>
          </w:p>
        </w:tc>
        <w:tc>
          <w:tcPr>
            <w:tcW w:w="901" w:type="dxa"/>
            <w:tcBorders>
              <w:top w:val="nil"/>
              <w:left w:val="nil"/>
              <w:bottom w:val="nil"/>
              <w:right w:val="nil"/>
            </w:tcBorders>
            <w:shd w:val="clear" w:color="000000" w:fill="FFFFFF"/>
            <w:noWrap/>
            <w:vAlign w:val="bottom"/>
            <w:hideMark/>
          </w:tcPr>
          <w:p w14:paraId="0C0906AD"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5151C27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10</w:t>
            </w:r>
          </w:p>
        </w:tc>
        <w:tc>
          <w:tcPr>
            <w:tcW w:w="850" w:type="dxa"/>
            <w:tcBorders>
              <w:top w:val="nil"/>
              <w:left w:val="nil"/>
              <w:bottom w:val="nil"/>
              <w:right w:val="single" w:sz="4" w:space="0" w:color="auto"/>
            </w:tcBorders>
            <w:shd w:val="clear" w:color="000000" w:fill="FFFFFF"/>
            <w:noWrap/>
            <w:vAlign w:val="bottom"/>
            <w:hideMark/>
          </w:tcPr>
          <w:p w14:paraId="489EEC42"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6ABFE7D4"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3F469B2F"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Number of times activity performed per staff</w:t>
            </w:r>
          </w:p>
        </w:tc>
        <w:tc>
          <w:tcPr>
            <w:tcW w:w="1109" w:type="dxa"/>
            <w:tcBorders>
              <w:top w:val="nil"/>
              <w:left w:val="nil"/>
              <w:bottom w:val="nil"/>
              <w:right w:val="nil"/>
            </w:tcBorders>
            <w:shd w:val="clear" w:color="000000" w:fill="FFFFFF"/>
            <w:noWrap/>
            <w:vAlign w:val="bottom"/>
            <w:hideMark/>
          </w:tcPr>
          <w:p w14:paraId="12BC3929"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59E9A0A0"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901" w:type="dxa"/>
            <w:tcBorders>
              <w:top w:val="nil"/>
              <w:left w:val="nil"/>
              <w:bottom w:val="nil"/>
              <w:right w:val="nil"/>
            </w:tcBorders>
            <w:shd w:val="clear" w:color="000000" w:fill="FFFFFF"/>
            <w:noWrap/>
            <w:vAlign w:val="bottom"/>
            <w:hideMark/>
          </w:tcPr>
          <w:p w14:paraId="72C405F2"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6524FD5D"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5</w:t>
            </w:r>
          </w:p>
        </w:tc>
        <w:tc>
          <w:tcPr>
            <w:tcW w:w="850" w:type="dxa"/>
            <w:tcBorders>
              <w:top w:val="nil"/>
              <w:left w:val="nil"/>
              <w:bottom w:val="nil"/>
              <w:right w:val="single" w:sz="4" w:space="0" w:color="auto"/>
            </w:tcBorders>
            <w:shd w:val="clear" w:color="000000" w:fill="FFFFFF"/>
            <w:noWrap/>
            <w:vAlign w:val="bottom"/>
            <w:hideMark/>
          </w:tcPr>
          <w:p w14:paraId="5718BAB7"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4F675D7E" w14:textId="77777777" w:rsidTr="000773A4">
        <w:trPr>
          <w:gridAfter w:val="1"/>
          <w:wAfter w:w="10" w:type="dxa"/>
          <w:trHeight w:val="20"/>
        </w:trPr>
        <w:tc>
          <w:tcPr>
            <w:tcW w:w="3969" w:type="dxa"/>
            <w:tcBorders>
              <w:top w:val="nil"/>
              <w:left w:val="single" w:sz="4" w:space="0" w:color="auto"/>
              <w:bottom w:val="nil"/>
              <w:right w:val="nil"/>
            </w:tcBorders>
            <w:shd w:val="clear" w:color="000000" w:fill="FFFFFF"/>
            <w:noWrap/>
            <w:vAlign w:val="bottom"/>
            <w:hideMark/>
          </w:tcPr>
          <w:p w14:paraId="5F2D98B0"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Avg. time of each staff to do activity (in hours) </w:t>
            </w:r>
          </w:p>
        </w:tc>
        <w:tc>
          <w:tcPr>
            <w:tcW w:w="1109" w:type="dxa"/>
            <w:tcBorders>
              <w:top w:val="nil"/>
              <w:left w:val="nil"/>
              <w:bottom w:val="nil"/>
              <w:right w:val="nil"/>
            </w:tcBorders>
            <w:shd w:val="clear" w:color="000000" w:fill="FFFFFF"/>
            <w:noWrap/>
            <w:vAlign w:val="bottom"/>
            <w:hideMark/>
          </w:tcPr>
          <w:p w14:paraId="73478E9F"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nil"/>
              <w:right w:val="nil"/>
            </w:tcBorders>
            <w:shd w:val="clear" w:color="000000" w:fill="FFFFFF"/>
            <w:noWrap/>
            <w:vAlign w:val="bottom"/>
            <w:hideMark/>
          </w:tcPr>
          <w:p w14:paraId="1B375F2D"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75</w:t>
            </w:r>
          </w:p>
        </w:tc>
        <w:tc>
          <w:tcPr>
            <w:tcW w:w="901" w:type="dxa"/>
            <w:tcBorders>
              <w:top w:val="nil"/>
              <w:left w:val="nil"/>
              <w:bottom w:val="nil"/>
              <w:right w:val="nil"/>
            </w:tcBorders>
            <w:shd w:val="clear" w:color="000000" w:fill="FFFFFF"/>
            <w:noWrap/>
            <w:vAlign w:val="bottom"/>
            <w:hideMark/>
          </w:tcPr>
          <w:p w14:paraId="364B0D1A" w14:textId="77777777" w:rsidR="000773A4" w:rsidRPr="005B5CE3" w:rsidRDefault="000773A4" w:rsidP="007F628D">
            <w:pPr>
              <w:spacing w:after="0"/>
              <w:jc w:val="right"/>
              <w:rPr>
                <w:rFonts w:ascii="Calibri" w:hAnsi="Calibri" w:cs="Calibri"/>
                <w:color w:val="000000"/>
                <w:sz w:val="16"/>
                <w:szCs w:val="16"/>
              </w:rPr>
            </w:pPr>
          </w:p>
        </w:tc>
        <w:tc>
          <w:tcPr>
            <w:tcW w:w="1134" w:type="dxa"/>
            <w:tcBorders>
              <w:top w:val="nil"/>
              <w:left w:val="nil"/>
              <w:bottom w:val="nil"/>
              <w:right w:val="nil"/>
            </w:tcBorders>
            <w:shd w:val="clear" w:color="000000" w:fill="FFFFFF"/>
            <w:noWrap/>
            <w:vAlign w:val="bottom"/>
            <w:hideMark/>
          </w:tcPr>
          <w:p w14:paraId="78426A6B"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75</w:t>
            </w:r>
          </w:p>
        </w:tc>
        <w:tc>
          <w:tcPr>
            <w:tcW w:w="850" w:type="dxa"/>
            <w:tcBorders>
              <w:top w:val="nil"/>
              <w:left w:val="nil"/>
              <w:bottom w:val="nil"/>
              <w:right w:val="single" w:sz="4" w:space="0" w:color="auto"/>
            </w:tcBorders>
            <w:shd w:val="clear" w:color="000000" w:fill="FFFFFF"/>
            <w:noWrap/>
            <w:vAlign w:val="bottom"/>
            <w:hideMark/>
          </w:tcPr>
          <w:p w14:paraId="26F9921E"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5060BB2F" w14:textId="77777777" w:rsidTr="000773A4">
        <w:trPr>
          <w:gridAfter w:val="1"/>
          <w:wAfter w:w="10" w:type="dxa"/>
          <w:trHeight w:val="20"/>
        </w:trPr>
        <w:tc>
          <w:tcPr>
            <w:tcW w:w="3969" w:type="dxa"/>
            <w:tcBorders>
              <w:top w:val="nil"/>
              <w:left w:val="single" w:sz="4" w:space="0" w:color="auto"/>
              <w:bottom w:val="single" w:sz="4" w:space="0" w:color="auto"/>
              <w:right w:val="nil"/>
            </w:tcBorders>
            <w:shd w:val="clear" w:color="000000" w:fill="FFFFFF"/>
            <w:noWrap/>
            <w:vAlign w:val="bottom"/>
            <w:hideMark/>
          </w:tcPr>
          <w:p w14:paraId="4B7A8762"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xml:space="preserve">Labour cost ($/hr) (wage + non-wage labour cost rate) </w:t>
            </w:r>
          </w:p>
        </w:tc>
        <w:tc>
          <w:tcPr>
            <w:tcW w:w="1109" w:type="dxa"/>
            <w:tcBorders>
              <w:top w:val="nil"/>
              <w:left w:val="nil"/>
              <w:bottom w:val="single" w:sz="4" w:space="0" w:color="auto"/>
              <w:right w:val="nil"/>
            </w:tcBorders>
            <w:shd w:val="clear" w:color="000000" w:fill="FFFFFF"/>
            <w:noWrap/>
            <w:vAlign w:val="bottom"/>
            <w:hideMark/>
          </w:tcPr>
          <w:p w14:paraId="36A8A7EC" w14:textId="77777777" w:rsidR="000773A4" w:rsidRPr="005B5CE3" w:rsidRDefault="000773A4" w:rsidP="007F628D">
            <w:pPr>
              <w:spacing w:after="0"/>
              <w:jc w:val="right"/>
              <w:rPr>
                <w:rFonts w:ascii="Calibri" w:hAnsi="Calibri" w:cs="Calibri"/>
                <w:color w:val="000000"/>
                <w:sz w:val="16"/>
                <w:szCs w:val="16"/>
              </w:rPr>
            </w:pPr>
          </w:p>
        </w:tc>
        <w:tc>
          <w:tcPr>
            <w:tcW w:w="1109" w:type="dxa"/>
            <w:tcBorders>
              <w:top w:val="nil"/>
              <w:left w:val="nil"/>
              <w:bottom w:val="single" w:sz="4" w:space="0" w:color="auto"/>
              <w:right w:val="nil"/>
            </w:tcBorders>
            <w:shd w:val="clear" w:color="000000" w:fill="FFFFFF"/>
            <w:noWrap/>
            <w:vAlign w:val="bottom"/>
            <w:hideMark/>
          </w:tcPr>
          <w:p w14:paraId="7F3EE318"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82</w:t>
            </w:r>
          </w:p>
        </w:tc>
        <w:tc>
          <w:tcPr>
            <w:tcW w:w="901" w:type="dxa"/>
            <w:tcBorders>
              <w:top w:val="nil"/>
              <w:left w:val="nil"/>
              <w:bottom w:val="single" w:sz="4" w:space="0" w:color="auto"/>
              <w:right w:val="nil"/>
            </w:tcBorders>
            <w:shd w:val="clear" w:color="000000" w:fill="FFFFFF"/>
            <w:noWrap/>
            <w:vAlign w:val="bottom"/>
            <w:hideMark/>
          </w:tcPr>
          <w:p w14:paraId="2A9B122C"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150,000</w:t>
            </w:r>
          </w:p>
        </w:tc>
        <w:tc>
          <w:tcPr>
            <w:tcW w:w="1134" w:type="dxa"/>
            <w:tcBorders>
              <w:top w:val="nil"/>
              <w:left w:val="nil"/>
              <w:bottom w:val="single" w:sz="4" w:space="0" w:color="auto"/>
              <w:right w:val="nil"/>
            </w:tcBorders>
            <w:shd w:val="clear" w:color="000000" w:fill="FFFFFF"/>
            <w:noWrap/>
            <w:vAlign w:val="bottom"/>
            <w:hideMark/>
          </w:tcPr>
          <w:p w14:paraId="1A14DE9B" w14:textId="77777777" w:rsidR="000773A4" w:rsidRPr="005B5CE3" w:rsidRDefault="000773A4" w:rsidP="007F628D">
            <w:pPr>
              <w:spacing w:after="0"/>
              <w:jc w:val="right"/>
              <w:rPr>
                <w:rFonts w:ascii="Calibri" w:hAnsi="Calibri" w:cs="Calibri"/>
                <w:color w:val="000000"/>
                <w:sz w:val="16"/>
                <w:szCs w:val="16"/>
              </w:rPr>
            </w:pPr>
            <w:r w:rsidRPr="005B5CE3">
              <w:rPr>
                <w:rFonts w:ascii="Calibri" w:hAnsi="Calibri" w:cs="Calibri"/>
                <w:color w:val="000000"/>
                <w:sz w:val="16"/>
                <w:szCs w:val="16"/>
              </w:rPr>
              <w:t>74</w:t>
            </w:r>
          </w:p>
        </w:tc>
        <w:tc>
          <w:tcPr>
            <w:tcW w:w="850" w:type="dxa"/>
            <w:tcBorders>
              <w:top w:val="nil"/>
              <w:left w:val="nil"/>
              <w:bottom w:val="single" w:sz="4" w:space="0" w:color="auto"/>
              <w:right w:val="single" w:sz="4" w:space="0" w:color="auto"/>
            </w:tcBorders>
            <w:shd w:val="clear" w:color="000000" w:fill="FFFFFF"/>
            <w:noWrap/>
            <w:vAlign w:val="bottom"/>
            <w:hideMark/>
          </w:tcPr>
          <w:p w14:paraId="2DAC91C3" w14:textId="77777777" w:rsidR="000773A4" w:rsidRPr="005B5CE3" w:rsidRDefault="000773A4" w:rsidP="007F628D">
            <w:pPr>
              <w:spacing w:after="0"/>
              <w:jc w:val="right"/>
              <w:rPr>
                <w:rFonts w:ascii="Calibri" w:hAnsi="Calibri" w:cs="Calibri"/>
                <w:color w:val="000000"/>
                <w:sz w:val="16"/>
                <w:szCs w:val="16"/>
              </w:rPr>
            </w:pPr>
          </w:p>
        </w:tc>
      </w:tr>
      <w:tr w:rsidR="000773A4" w:rsidRPr="005B5CE3" w14:paraId="6A5A114A" w14:textId="77777777" w:rsidTr="000773A4">
        <w:trPr>
          <w:gridAfter w:val="1"/>
          <w:wAfter w:w="10" w:type="dxa"/>
          <w:trHeight w:val="20"/>
        </w:trPr>
        <w:tc>
          <w:tcPr>
            <w:tcW w:w="3969" w:type="dxa"/>
            <w:tcBorders>
              <w:top w:val="nil"/>
              <w:left w:val="nil"/>
              <w:bottom w:val="nil"/>
              <w:right w:val="nil"/>
            </w:tcBorders>
            <w:shd w:val="clear" w:color="000000" w:fill="FFFFFF"/>
            <w:noWrap/>
            <w:vAlign w:val="bottom"/>
            <w:hideMark/>
          </w:tcPr>
          <w:p w14:paraId="29F9CFA5" w14:textId="77777777" w:rsidR="000773A4" w:rsidRPr="005B5CE3" w:rsidRDefault="000773A4" w:rsidP="007F628D">
            <w:pPr>
              <w:spacing w:after="0"/>
              <w:rPr>
                <w:rFonts w:ascii="Calibri" w:hAnsi="Calibri" w:cs="Calibri"/>
                <w:color w:val="000000"/>
                <w:sz w:val="16"/>
                <w:szCs w:val="16"/>
              </w:rPr>
            </w:pPr>
            <w:r w:rsidRPr="005B5CE3">
              <w:rPr>
                <w:rFonts w:ascii="Calibri" w:hAnsi="Calibri" w:cs="Calibri"/>
                <w:color w:val="000000"/>
                <w:sz w:val="16"/>
                <w:szCs w:val="16"/>
              </w:rPr>
              <w:t> </w:t>
            </w:r>
          </w:p>
        </w:tc>
        <w:tc>
          <w:tcPr>
            <w:tcW w:w="1109" w:type="dxa"/>
            <w:tcBorders>
              <w:top w:val="nil"/>
              <w:left w:val="nil"/>
              <w:bottom w:val="double" w:sz="6" w:space="0" w:color="auto"/>
              <w:right w:val="nil"/>
            </w:tcBorders>
            <w:shd w:val="clear" w:color="000000" w:fill="FFFFFF"/>
            <w:noWrap/>
            <w:vAlign w:val="bottom"/>
            <w:hideMark/>
          </w:tcPr>
          <w:p w14:paraId="6F9FB10C"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w:t>
            </w:r>
          </w:p>
        </w:tc>
        <w:tc>
          <w:tcPr>
            <w:tcW w:w="1109" w:type="dxa"/>
            <w:tcBorders>
              <w:top w:val="nil"/>
              <w:left w:val="nil"/>
              <w:bottom w:val="double" w:sz="6" w:space="0" w:color="auto"/>
              <w:right w:val="nil"/>
            </w:tcBorders>
            <w:shd w:val="clear" w:color="000000" w:fill="FFFFFF"/>
            <w:noWrap/>
            <w:vAlign w:val="bottom"/>
            <w:hideMark/>
          </w:tcPr>
          <w:p w14:paraId="5C581DD5"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925,313</w:t>
            </w:r>
          </w:p>
        </w:tc>
        <w:tc>
          <w:tcPr>
            <w:tcW w:w="901" w:type="dxa"/>
            <w:tcBorders>
              <w:top w:val="nil"/>
              <w:left w:val="nil"/>
              <w:bottom w:val="double" w:sz="6" w:space="0" w:color="auto"/>
              <w:right w:val="nil"/>
            </w:tcBorders>
            <w:shd w:val="clear" w:color="000000" w:fill="FFFFFF"/>
            <w:noWrap/>
            <w:vAlign w:val="bottom"/>
            <w:hideMark/>
          </w:tcPr>
          <w:p w14:paraId="3B7D539D"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450,000</w:t>
            </w:r>
          </w:p>
        </w:tc>
        <w:tc>
          <w:tcPr>
            <w:tcW w:w="1134" w:type="dxa"/>
            <w:tcBorders>
              <w:top w:val="nil"/>
              <w:left w:val="nil"/>
              <w:bottom w:val="double" w:sz="6" w:space="0" w:color="auto"/>
              <w:right w:val="nil"/>
            </w:tcBorders>
            <w:shd w:val="clear" w:color="000000" w:fill="FFFFFF"/>
            <w:noWrap/>
            <w:vAlign w:val="bottom"/>
            <w:hideMark/>
          </w:tcPr>
          <w:p w14:paraId="51FD82B4"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826,875</w:t>
            </w:r>
          </w:p>
        </w:tc>
        <w:tc>
          <w:tcPr>
            <w:tcW w:w="850" w:type="dxa"/>
            <w:tcBorders>
              <w:top w:val="nil"/>
              <w:left w:val="nil"/>
              <w:bottom w:val="double" w:sz="6" w:space="0" w:color="auto"/>
              <w:right w:val="nil"/>
            </w:tcBorders>
            <w:shd w:val="clear" w:color="000000" w:fill="FFFFFF"/>
            <w:noWrap/>
            <w:vAlign w:val="bottom"/>
            <w:hideMark/>
          </w:tcPr>
          <w:p w14:paraId="058C16F9" w14:textId="77777777" w:rsidR="000773A4" w:rsidRPr="005B5CE3" w:rsidRDefault="000773A4" w:rsidP="007F628D">
            <w:pPr>
              <w:spacing w:after="0"/>
              <w:jc w:val="right"/>
              <w:rPr>
                <w:rFonts w:ascii="Calibri" w:hAnsi="Calibri" w:cs="Calibri"/>
                <w:b/>
                <w:bCs/>
                <w:color w:val="000000"/>
                <w:sz w:val="16"/>
                <w:szCs w:val="16"/>
              </w:rPr>
            </w:pPr>
            <w:r w:rsidRPr="005B5CE3">
              <w:rPr>
                <w:rFonts w:ascii="Calibri" w:hAnsi="Calibri" w:cs="Calibri"/>
                <w:b/>
                <w:bCs/>
                <w:color w:val="000000"/>
                <w:sz w:val="16"/>
                <w:szCs w:val="16"/>
              </w:rPr>
              <w:t>-</w:t>
            </w:r>
          </w:p>
        </w:tc>
      </w:tr>
    </w:tbl>
    <w:p w14:paraId="6AD58001" w14:textId="77777777" w:rsidR="00003C3D" w:rsidRPr="008F1B7C" w:rsidRDefault="00003C3D" w:rsidP="00601368"/>
    <w:p w14:paraId="78308274" w14:textId="7A87C102" w:rsidR="00601368" w:rsidRPr="008F1B7C" w:rsidRDefault="00601368" w:rsidP="00601368"/>
    <w:p w14:paraId="6A90576F" w14:textId="058C1372" w:rsidR="00940BA7" w:rsidRPr="008F1B7C" w:rsidRDefault="00940BA7" w:rsidP="00077132">
      <w:r w:rsidRPr="008F1B7C">
        <w:br w:type="page"/>
      </w:r>
    </w:p>
    <w:p w14:paraId="0E1EBE2A" w14:textId="4665C3BC" w:rsidR="00003C3D" w:rsidRPr="008F1B7C" w:rsidRDefault="00003C3D" w:rsidP="00601368">
      <w:pPr>
        <w:rPr>
          <w:b/>
        </w:rPr>
      </w:pPr>
      <w:r w:rsidRPr="008F1B7C">
        <w:rPr>
          <w:b/>
        </w:rPr>
        <w:lastRenderedPageBreak/>
        <w:t>Option 3 and 4 costing inputs</w:t>
      </w:r>
    </w:p>
    <w:tbl>
      <w:tblPr>
        <w:tblW w:w="8930" w:type="dxa"/>
        <w:tblInd w:w="-10" w:type="dxa"/>
        <w:tblLayout w:type="fixed"/>
        <w:tblCellMar>
          <w:left w:w="0" w:type="dxa"/>
          <w:right w:w="0" w:type="dxa"/>
        </w:tblCellMar>
        <w:tblLook w:val="04A0" w:firstRow="1" w:lastRow="0" w:firstColumn="1" w:lastColumn="0" w:noHBand="0" w:noVBand="1"/>
      </w:tblPr>
      <w:tblGrid>
        <w:gridCol w:w="10"/>
        <w:gridCol w:w="2405"/>
        <w:gridCol w:w="992"/>
        <w:gridCol w:w="562"/>
        <w:gridCol w:w="430"/>
        <w:gridCol w:w="420"/>
        <w:gridCol w:w="289"/>
        <w:gridCol w:w="547"/>
        <w:gridCol w:w="1127"/>
        <w:gridCol w:w="1127"/>
        <w:gridCol w:w="1021"/>
      </w:tblGrid>
      <w:tr w:rsidR="0055655D" w:rsidRPr="00173F81" w14:paraId="0A240EDC" w14:textId="77777777" w:rsidTr="00DC35A2">
        <w:trPr>
          <w:gridBefore w:val="1"/>
          <w:gridAfter w:val="4"/>
          <w:wBefore w:w="10" w:type="dxa"/>
          <w:wAfter w:w="3822" w:type="dxa"/>
          <w:trHeight w:val="20"/>
        </w:trPr>
        <w:tc>
          <w:tcPr>
            <w:tcW w:w="2405" w:type="dxa"/>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center"/>
            <w:hideMark/>
          </w:tcPr>
          <w:p w14:paraId="3BEC711E" w14:textId="77777777" w:rsidR="0055655D" w:rsidRPr="0055655D" w:rsidRDefault="0055655D" w:rsidP="007F628D">
            <w:pPr>
              <w:spacing w:after="0"/>
              <w:rPr>
                <w:rFonts w:ascii="Calibri" w:hAnsi="Calibri" w:cs="Calibri"/>
                <w:b/>
                <w:bCs/>
                <w:color w:val="000000"/>
                <w:sz w:val="16"/>
                <w:szCs w:val="16"/>
              </w:rPr>
            </w:pPr>
            <w:r w:rsidRPr="0055655D">
              <w:rPr>
                <w:rFonts w:ascii="Calibri" w:hAnsi="Calibri" w:cs="Calibri"/>
                <w:b/>
                <w:bCs/>
                <w:color w:val="000000"/>
                <w:sz w:val="16"/>
                <w:szCs w:val="16"/>
              </w:rPr>
              <w:t>Average cost per business per year</w:t>
            </w:r>
          </w:p>
        </w:tc>
        <w:tc>
          <w:tcPr>
            <w:tcW w:w="992"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8BC710C"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 xml:space="preserve">Total </w:t>
            </w:r>
            <w:proofErr w:type="spellStart"/>
            <w:r w:rsidRPr="0055655D">
              <w:rPr>
                <w:rFonts w:ascii="Calibri" w:hAnsi="Calibri" w:cs="Calibri"/>
                <w:color w:val="000000"/>
                <w:sz w:val="16"/>
                <w:szCs w:val="16"/>
              </w:rPr>
              <w:t>up front</w:t>
            </w:r>
            <w:proofErr w:type="spellEnd"/>
            <w:r w:rsidRPr="0055655D">
              <w:rPr>
                <w:rFonts w:ascii="Calibri" w:hAnsi="Calibri" w:cs="Calibri"/>
                <w:color w:val="000000"/>
                <w:sz w:val="16"/>
                <w:szCs w:val="16"/>
              </w:rPr>
              <w:t xml:space="preserve"> costs</w:t>
            </w:r>
          </w:p>
        </w:tc>
        <w:tc>
          <w:tcPr>
            <w:tcW w:w="992"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049E1CD"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Ongoing costs</w:t>
            </w:r>
          </w:p>
        </w:tc>
        <w:tc>
          <w:tcPr>
            <w:tcW w:w="70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86CD5" w14:textId="77777777" w:rsidR="0055655D" w:rsidRPr="0055655D" w:rsidRDefault="0055655D" w:rsidP="007F628D">
            <w:pPr>
              <w:spacing w:after="0"/>
              <w:jc w:val="center"/>
              <w:rPr>
                <w:rFonts w:ascii="Calibri" w:hAnsi="Calibri" w:cs="Calibri"/>
                <w:color w:val="000000"/>
                <w:sz w:val="16"/>
                <w:szCs w:val="16"/>
              </w:rPr>
            </w:pPr>
            <w:proofErr w:type="gramStart"/>
            <w:r w:rsidRPr="0055655D">
              <w:rPr>
                <w:rFonts w:ascii="Calibri" w:hAnsi="Calibri" w:cs="Calibri"/>
                <w:color w:val="000000"/>
                <w:sz w:val="16"/>
                <w:szCs w:val="16"/>
              </w:rPr>
              <w:t>10 year</w:t>
            </w:r>
            <w:proofErr w:type="gramEnd"/>
            <w:r w:rsidRPr="0055655D">
              <w:rPr>
                <w:rFonts w:ascii="Calibri" w:hAnsi="Calibri" w:cs="Calibri"/>
                <w:color w:val="000000"/>
                <w:sz w:val="16"/>
                <w:szCs w:val="16"/>
              </w:rPr>
              <w:t xml:space="preserve"> average</w:t>
            </w:r>
          </w:p>
        </w:tc>
      </w:tr>
      <w:tr w:rsidR="0055655D" w:rsidRPr="00173F81" w14:paraId="3659C6D2" w14:textId="77777777" w:rsidTr="00DC35A2">
        <w:trPr>
          <w:gridBefore w:val="1"/>
          <w:gridAfter w:val="4"/>
          <w:wBefore w:w="10" w:type="dxa"/>
          <w:wAfter w:w="3822" w:type="dxa"/>
          <w:trHeight w:val="20"/>
        </w:trPr>
        <w:tc>
          <w:tcPr>
            <w:tcW w:w="2405" w:type="dxa"/>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45ABB7B" w14:textId="77777777" w:rsidR="0055655D" w:rsidRPr="0055655D" w:rsidRDefault="0055655D" w:rsidP="007F628D">
            <w:pPr>
              <w:spacing w:after="0"/>
              <w:rPr>
                <w:rFonts w:ascii="Calibri" w:hAnsi="Calibri" w:cs="Calibri"/>
                <w:color w:val="000000"/>
                <w:sz w:val="16"/>
                <w:szCs w:val="16"/>
              </w:rPr>
            </w:pPr>
            <w:r w:rsidRPr="0055655D">
              <w:rPr>
                <w:rFonts w:ascii="Calibri" w:hAnsi="Calibri" w:cs="Calibri"/>
                <w:color w:val="000000"/>
                <w:sz w:val="16"/>
                <w:szCs w:val="16"/>
              </w:rPr>
              <w:t>Low complexity (36)</w:t>
            </w: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47D721F1"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258,000</w:t>
            </w:r>
          </w:p>
        </w:tc>
        <w:tc>
          <w:tcPr>
            <w:tcW w:w="99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33E0699"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152,000</w:t>
            </w:r>
          </w:p>
        </w:tc>
        <w:tc>
          <w:tcPr>
            <w:tcW w:w="709" w:type="dxa"/>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D8FF294"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162,000</w:t>
            </w:r>
          </w:p>
        </w:tc>
      </w:tr>
      <w:tr w:rsidR="0055655D" w:rsidRPr="00173F81" w14:paraId="525139EC" w14:textId="77777777" w:rsidTr="00DC35A2">
        <w:trPr>
          <w:gridBefore w:val="1"/>
          <w:gridAfter w:val="4"/>
          <w:wBefore w:w="10" w:type="dxa"/>
          <w:wAfter w:w="3822" w:type="dxa"/>
          <w:trHeight w:val="20"/>
        </w:trPr>
        <w:tc>
          <w:tcPr>
            <w:tcW w:w="2405" w:type="dxa"/>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D2D42D4" w14:textId="77777777" w:rsidR="0055655D" w:rsidRPr="0055655D" w:rsidRDefault="0055655D" w:rsidP="007F628D">
            <w:pPr>
              <w:spacing w:after="0"/>
              <w:rPr>
                <w:rFonts w:ascii="Calibri" w:hAnsi="Calibri" w:cs="Calibri"/>
                <w:color w:val="000000"/>
                <w:sz w:val="16"/>
                <w:szCs w:val="16"/>
              </w:rPr>
            </w:pPr>
            <w:r w:rsidRPr="0055655D">
              <w:rPr>
                <w:rFonts w:ascii="Calibri" w:hAnsi="Calibri" w:cs="Calibri"/>
                <w:color w:val="000000"/>
                <w:sz w:val="16"/>
                <w:szCs w:val="16"/>
              </w:rPr>
              <w:t>Medium complexity (56)</w:t>
            </w: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3C697F01"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622,000</w:t>
            </w:r>
          </w:p>
        </w:tc>
        <w:tc>
          <w:tcPr>
            <w:tcW w:w="99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63A27D9"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562,000</w:t>
            </w:r>
          </w:p>
        </w:tc>
        <w:tc>
          <w:tcPr>
            <w:tcW w:w="709" w:type="dxa"/>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0178B8B"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568,000</w:t>
            </w:r>
          </w:p>
        </w:tc>
      </w:tr>
      <w:tr w:rsidR="0055655D" w:rsidRPr="00173F81" w14:paraId="5FFED545" w14:textId="77777777" w:rsidTr="00DC35A2">
        <w:trPr>
          <w:gridBefore w:val="1"/>
          <w:gridAfter w:val="4"/>
          <w:wBefore w:w="10" w:type="dxa"/>
          <w:wAfter w:w="3822" w:type="dxa"/>
          <w:trHeight w:val="20"/>
        </w:trPr>
        <w:tc>
          <w:tcPr>
            <w:tcW w:w="2405" w:type="dxa"/>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1127F844" w14:textId="77777777" w:rsidR="0055655D" w:rsidRPr="0055655D" w:rsidRDefault="0055655D" w:rsidP="007F628D">
            <w:pPr>
              <w:spacing w:after="0"/>
              <w:rPr>
                <w:rFonts w:ascii="Calibri" w:hAnsi="Calibri" w:cs="Calibri"/>
                <w:color w:val="000000"/>
                <w:sz w:val="16"/>
                <w:szCs w:val="16"/>
              </w:rPr>
            </w:pPr>
            <w:r w:rsidRPr="0055655D">
              <w:rPr>
                <w:rFonts w:ascii="Calibri" w:hAnsi="Calibri" w:cs="Calibri"/>
                <w:color w:val="000000"/>
                <w:sz w:val="16"/>
                <w:szCs w:val="16"/>
              </w:rPr>
              <w:t>High complexity (10)</w:t>
            </w: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456C00E6"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6,658,000</w:t>
            </w:r>
          </w:p>
        </w:tc>
        <w:tc>
          <w:tcPr>
            <w:tcW w:w="99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B6B5A3C"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870,000</w:t>
            </w:r>
          </w:p>
        </w:tc>
        <w:tc>
          <w:tcPr>
            <w:tcW w:w="709" w:type="dxa"/>
            <w:gridSpan w:val="2"/>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071921A" w14:textId="77777777" w:rsidR="0055655D" w:rsidRPr="0055655D" w:rsidRDefault="0055655D" w:rsidP="007F628D">
            <w:pPr>
              <w:spacing w:after="0"/>
              <w:jc w:val="center"/>
              <w:rPr>
                <w:rFonts w:ascii="Calibri" w:hAnsi="Calibri" w:cs="Calibri"/>
                <w:color w:val="000000"/>
                <w:sz w:val="16"/>
                <w:szCs w:val="16"/>
              </w:rPr>
            </w:pPr>
            <w:r w:rsidRPr="0055655D">
              <w:rPr>
                <w:rFonts w:ascii="Calibri" w:hAnsi="Calibri" w:cs="Calibri"/>
                <w:color w:val="000000"/>
                <w:sz w:val="16"/>
                <w:szCs w:val="16"/>
              </w:rPr>
              <w:t>1,449,000</w:t>
            </w:r>
          </w:p>
        </w:tc>
      </w:tr>
      <w:tr w:rsidR="0055655D" w:rsidRPr="00173F81" w14:paraId="7095BA9D" w14:textId="77777777" w:rsidTr="00DC35A2">
        <w:trPr>
          <w:gridBefore w:val="1"/>
          <w:gridAfter w:val="4"/>
          <w:wBefore w:w="10" w:type="dxa"/>
          <w:wAfter w:w="3822" w:type="dxa"/>
          <w:trHeight w:val="20"/>
        </w:trPr>
        <w:tc>
          <w:tcPr>
            <w:tcW w:w="2405"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4E48B280" w14:textId="77777777" w:rsidR="0055655D" w:rsidRPr="0055655D" w:rsidRDefault="0055655D" w:rsidP="007F628D">
            <w:pPr>
              <w:spacing w:after="0"/>
              <w:rPr>
                <w:rFonts w:ascii="Calibri" w:hAnsi="Calibri" w:cs="Calibri"/>
                <w:b/>
                <w:bCs/>
                <w:color w:val="000000"/>
                <w:sz w:val="16"/>
                <w:szCs w:val="16"/>
              </w:rPr>
            </w:pPr>
            <w:r w:rsidRPr="0055655D">
              <w:rPr>
                <w:rFonts w:ascii="Calibri" w:hAnsi="Calibri" w:cs="Calibri"/>
                <w:b/>
                <w:bCs/>
                <w:color w:val="000000"/>
                <w:sz w:val="16"/>
                <w:szCs w:val="16"/>
              </w:rPr>
              <w:t>Average costs per entity</w:t>
            </w:r>
          </w:p>
        </w:tc>
        <w:tc>
          <w:tcPr>
            <w:tcW w:w="992"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5F4AAB2" w14:textId="77777777" w:rsidR="0055655D" w:rsidRPr="0055655D" w:rsidRDefault="0055655D" w:rsidP="007F628D">
            <w:pPr>
              <w:spacing w:after="0"/>
              <w:jc w:val="center"/>
              <w:rPr>
                <w:rFonts w:ascii="Calibri" w:hAnsi="Calibri" w:cs="Calibri"/>
                <w:b/>
                <w:bCs/>
                <w:color w:val="000000"/>
                <w:sz w:val="16"/>
                <w:szCs w:val="16"/>
              </w:rPr>
            </w:pPr>
            <w:r w:rsidRPr="0055655D">
              <w:rPr>
                <w:rFonts w:ascii="Calibri" w:hAnsi="Calibri" w:cs="Calibri"/>
                <w:b/>
                <w:bCs/>
                <w:color w:val="000000"/>
                <w:sz w:val="16"/>
                <w:szCs w:val="16"/>
              </w:rPr>
              <w:t>1,086,000</w:t>
            </w:r>
          </w:p>
        </w:tc>
        <w:tc>
          <w:tcPr>
            <w:tcW w:w="992" w:type="dxa"/>
            <w:gridSpan w:val="2"/>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6455278" w14:textId="77777777" w:rsidR="0055655D" w:rsidRPr="0055655D" w:rsidRDefault="0055655D" w:rsidP="007F628D">
            <w:pPr>
              <w:spacing w:after="0"/>
              <w:jc w:val="center"/>
              <w:rPr>
                <w:rFonts w:ascii="Calibri" w:hAnsi="Calibri" w:cs="Calibri"/>
                <w:b/>
                <w:bCs/>
                <w:color w:val="000000"/>
                <w:sz w:val="16"/>
                <w:szCs w:val="16"/>
              </w:rPr>
            </w:pPr>
            <w:r w:rsidRPr="0055655D">
              <w:rPr>
                <w:rFonts w:ascii="Calibri" w:hAnsi="Calibri" w:cs="Calibri"/>
                <w:b/>
                <w:bCs/>
                <w:color w:val="000000"/>
                <w:sz w:val="16"/>
                <w:szCs w:val="16"/>
              </w:rPr>
              <w:t>447,000</w:t>
            </w:r>
          </w:p>
        </w:tc>
        <w:tc>
          <w:tcPr>
            <w:tcW w:w="70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799D56" w14:textId="77777777" w:rsidR="0055655D" w:rsidRPr="0055655D" w:rsidRDefault="0055655D" w:rsidP="007F628D">
            <w:pPr>
              <w:spacing w:after="0"/>
              <w:jc w:val="center"/>
              <w:rPr>
                <w:rFonts w:ascii="Calibri" w:hAnsi="Calibri" w:cs="Calibri"/>
                <w:b/>
                <w:bCs/>
                <w:color w:val="000000"/>
                <w:sz w:val="16"/>
                <w:szCs w:val="16"/>
              </w:rPr>
            </w:pPr>
            <w:r w:rsidRPr="0055655D">
              <w:rPr>
                <w:rFonts w:ascii="Calibri" w:hAnsi="Calibri" w:cs="Calibri"/>
                <w:b/>
                <w:bCs/>
                <w:color w:val="000000"/>
                <w:sz w:val="16"/>
                <w:szCs w:val="16"/>
              </w:rPr>
              <w:t>511,000</w:t>
            </w:r>
          </w:p>
        </w:tc>
      </w:tr>
      <w:tr w:rsidR="00F672D2" w:rsidRPr="002636E1" w14:paraId="7D8D4A8A"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36CDBA34" w14:textId="77777777" w:rsidR="00F672D2" w:rsidRDefault="00F672D2" w:rsidP="007F628D">
            <w:pPr>
              <w:spacing w:after="0"/>
              <w:rPr>
                <w:rFonts w:ascii="Calibri" w:hAnsi="Calibri" w:cs="Calibri"/>
                <w:b/>
                <w:bCs/>
                <w:color w:val="000000"/>
                <w:sz w:val="16"/>
                <w:szCs w:val="16"/>
                <w:u w:val="single"/>
              </w:rPr>
            </w:pPr>
          </w:p>
          <w:p w14:paraId="0D6D2C89" w14:textId="77777777" w:rsidR="00F672D2" w:rsidRPr="002636E1" w:rsidRDefault="00F672D2" w:rsidP="007F628D">
            <w:pPr>
              <w:spacing w:after="0"/>
              <w:rPr>
                <w:rFonts w:ascii="Calibri" w:hAnsi="Calibri" w:cs="Calibri"/>
                <w:b/>
                <w:bCs/>
                <w:color w:val="000000"/>
                <w:sz w:val="16"/>
                <w:szCs w:val="16"/>
                <w:u w:val="single"/>
              </w:rPr>
            </w:pPr>
            <w:r w:rsidRPr="002636E1">
              <w:rPr>
                <w:rFonts w:ascii="Calibri" w:hAnsi="Calibri" w:cs="Calibri"/>
                <w:b/>
                <w:bCs/>
                <w:color w:val="000000"/>
                <w:sz w:val="16"/>
                <w:szCs w:val="16"/>
                <w:u w:val="single"/>
              </w:rPr>
              <w:t xml:space="preserve">Option 3 and 4 </w:t>
            </w:r>
          </w:p>
        </w:tc>
        <w:tc>
          <w:tcPr>
            <w:tcW w:w="850" w:type="dxa"/>
            <w:gridSpan w:val="2"/>
            <w:tcBorders>
              <w:top w:val="nil"/>
              <w:left w:val="nil"/>
              <w:bottom w:val="nil"/>
              <w:right w:val="nil"/>
            </w:tcBorders>
            <w:shd w:val="clear" w:color="000000" w:fill="FFFFFF"/>
            <w:noWrap/>
            <w:vAlign w:val="bottom"/>
            <w:hideMark/>
          </w:tcPr>
          <w:p w14:paraId="30522B2F"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36" w:type="dxa"/>
            <w:gridSpan w:val="2"/>
            <w:tcBorders>
              <w:top w:val="nil"/>
              <w:left w:val="nil"/>
              <w:bottom w:val="nil"/>
              <w:right w:val="nil"/>
            </w:tcBorders>
            <w:shd w:val="clear" w:color="000000" w:fill="FFFFFF"/>
            <w:noWrap/>
            <w:vAlign w:val="bottom"/>
            <w:hideMark/>
          </w:tcPr>
          <w:p w14:paraId="5B4F7261"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1127" w:type="dxa"/>
            <w:tcBorders>
              <w:top w:val="nil"/>
              <w:left w:val="nil"/>
              <w:bottom w:val="nil"/>
              <w:right w:val="nil"/>
            </w:tcBorders>
            <w:shd w:val="clear" w:color="000000" w:fill="FFFFFF"/>
            <w:noWrap/>
            <w:vAlign w:val="bottom"/>
            <w:hideMark/>
          </w:tcPr>
          <w:p w14:paraId="11E3D7F2"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1127" w:type="dxa"/>
            <w:tcBorders>
              <w:top w:val="nil"/>
              <w:left w:val="nil"/>
              <w:bottom w:val="nil"/>
              <w:right w:val="nil"/>
            </w:tcBorders>
            <w:shd w:val="clear" w:color="000000" w:fill="FFFFFF"/>
            <w:noWrap/>
            <w:vAlign w:val="bottom"/>
            <w:hideMark/>
          </w:tcPr>
          <w:p w14:paraId="6CE0172F"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1021" w:type="dxa"/>
            <w:tcBorders>
              <w:top w:val="nil"/>
              <w:left w:val="nil"/>
              <w:bottom w:val="nil"/>
              <w:right w:val="nil"/>
            </w:tcBorders>
            <w:shd w:val="clear" w:color="000000" w:fill="FFFFFF"/>
            <w:noWrap/>
            <w:vAlign w:val="bottom"/>
            <w:hideMark/>
          </w:tcPr>
          <w:p w14:paraId="6BE64FB9"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r>
      <w:tr w:rsidR="00F672D2" w:rsidRPr="002636E1" w14:paraId="611451EB"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30718459" w14:textId="77777777" w:rsidR="00F672D2" w:rsidRPr="002636E1" w:rsidRDefault="00F672D2" w:rsidP="007F628D">
            <w:pPr>
              <w:spacing w:after="0"/>
              <w:rPr>
                <w:rFonts w:ascii="Calibri" w:hAnsi="Calibri" w:cs="Calibri"/>
                <w:b/>
                <w:bCs/>
                <w:color w:val="000000"/>
                <w:sz w:val="16"/>
                <w:szCs w:val="16"/>
              </w:rPr>
            </w:pPr>
            <w:r w:rsidRPr="002636E1">
              <w:rPr>
                <w:rFonts w:ascii="Calibri" w:hAnsi="Calibri" w:cs="Calibri"/>
                <w:b/>
                <w:bCs/>
                <w:color w:val="000000"/>
                <w:sz w:val="16"/>
                <w:szCs w:val="16"/>
              </w:rPr>
              <w:t xml:space="preserve">Introduce an enhanced data collection </w:t>
            </w:r>
          </w:p>
          <w:p w14:paraId="0DEF19AF" w14:textId="77777777" w:rsidR="00F672D2" w:rsidRPr="002636E1" w:rsidRDefault="00F672D2" w:rsidP="007F628D">
            <w:pPr>
              <w:spacing w:after="0"/>
              <w:rPr>
                <w:rFonts w:ascii="Calibri" w:hAnsi="Calibri" w:cs="Calibri"/>
                <w:b/>
                <w:bCs/>
                <w:color w:val="000000"/>
                <w:sz w:val="16"/>
                <w:szCs w:val="16"/>
              </w:rPr>
            </w:pPr>
          </w:p>
        </w:tc>
        <w:tc>
          <w:tcPr>
            <w:tcW w:w="850" w:type="dxa"/>
            <w:gridSpan w:val="2"/>
            <w:tcBorders>
              <w:top w:val="nil"/>
              <w:left w:val="nil"/>
              <w:bottom w:val="nil"/>
              <w:right w:val="nil"/>
            </w:tcBorders>
            <w:shd w:val="clear" w:color="000000" w:fill="FFFFFF"/>
            <w:noWrap/>
            <w:vAlign w:val="bottom"/>
            <w:hideMark/>
          </w:tcPr>
          <w:p w14:paraId="28B90FC3"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36" w:type="dxa"/>
            <w:gridSpan w:val="2"/>
            <w:tcBorders>
              <w:top w:val="nil"/>
              <w:left w:val="nil"/>
              <w:bottom w:val="nil"/>
              <w:right w:val="nil"/>
            </w:tcBorders>
            <w:shd w:val="clear" w:color="000000" w:fill="FFFFFF"/>
            <w:noWrap/>
            <w:vAlign w:val="bottom"/>
            <w:hideMark/>
          </w:tcPr>
          <w:p w14:paraId="5E9E86BA"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1127" w:type="dxa"/>
            <w:tcBorders>
              <w:top w:val="nil"/>
              <w:left w:val="nil"/>
              <w:bottom w:val="nil"/>
              <w:right w:val="nil"/>
            </w:tcBorders>
            <w:shd w:val="clear" w:color="000000" w:fill="FFFFFF"/>
            <w:noWrap/>
            <w:vAlign w:val="bottom"/>
            <w:hideMark/>
          </w:tcPr>
          <w:p w14:paraId="02A37414"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1127" w:type="dxa"/>
            <w:tcBorders>
              <w:top w:val="nil"/>
              <w:left w:val="nil"/>
              <w:bottom w:val="nil"/>
              <w:right w:val="nil"/>
            </w:tcBorders>
            <w:shd w:val="clear" w:color="000000" w:fill="FFFFFF"/>
            <w:noWrap/>
            <w:vAlign w:val="bottom"/>
            <w:hideMark/>
          </w:tcPr>
          <w:p w14:paraId="53A8C2F6"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1021" w:type="dxa"/>
            <w:tcBorders>
              <w:top w:val="nil"/>
              <w:left w:val="nil"/>
              <w:bottom w:val="nil"/>
              <w:right w:val="nil"/>
            </w:tcBorders>
            <w:shd w:val="clear" w:color="000000" w:fill="FFFFFF"/>
            <w:noWrap/>
            <w:vAlign w:val="bottom"/>
            <w:hideMark/>
          </w:tcPr>
          <w:p w14:paraId="0C4C2AD8"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r>
      <w:tr w:rsidR="00F672D2" w:rsidRPr="002636E1" w14:paraId="66DB8155" w14:textId="77777777" w:rsidTr="00DC35A2">
        <w:tblPrEx>
          <w:tblCellMar>
            <w:right w:w="28" w:type="dxa"/>
          </w:tblCellMar>
        </w:tblPrEx>
        <w:trPr>
          <w:trHeight w:val="20"/>
        </w:trPr>
        <w:tc>
          <w:tcPr>
            <w:tcW w:w="3969" w:type="dxa"/>
            <w:gridSpan w:val="4"/>
            <w:tcBorders>
              <w:top w:val="single" w:sz="4" w:space="0" w:color="auto"/>
              <w:left w:val="single" w:sz="4" w:space="0" w:color="auto"/>
              <w:bottom w:val="nil"/>
              <w:right w:val="nil"/>
            </w:tcBorders>
            <w:shd w:val="clear" w:color="000000" w:fill="FFFFFF"/>
            <w:noWrap/>
            <w:vAlign w:val="bottom"/>
            <w:hideMark/>
          </w:tcPr>
          <w:p w14:paraId="6397A013" w14:textId="77777777" w:rsidR="00F672D2" w:rsidRPr="002636E1" w:rsidRDefault="00F672D2" w:rsidP="007F628D">
            <w:pPr>
              <w:spacing w:after="0"/>
              <w:rPr>
                <w:rFonts w:ascii="Calibri" w:hAnsi="Calibri" w:cs="Calibri"/>
                <w:b/>
                <w:bCs/>
                <w:color w:val="000000"/>
                <w:sz w:val="16"/>
                <w:szCs w:val="16"/>
              </w:rPr>
            </w:pPr>
            <w:r w:rsidRPr="002636E1">
              <w:rPr>
                <w:rFonts w:ascii="Calibri" w:hAnsi="Calibri" w:cs="Calibri"/>
                <w:b/>
                <w:bCs/>
                <w:color w:val="000000"/>
                <w:sz w:val="16"/>
                <w:szCs w:val="16"/>
              </w:rPr>
              <w:t xml:space="preserve">Start-up cost (over 1 year) (Low complexity 36) </w:t>
            </w:r>
          </w:p>
        </w:tc>
        <w:tc>
          <w:tcPr>
            <w:tcW w:w="850" w:type="dxa"/>
            <w:gridSpan w:val="2"/>
            <w:tcBorders>
              <w:top w:val="single" w:sz="4" w:space="0" w:color="auto"/>
              <w:left w:val="nil"/>
              <w:bottom w:val="single" w:sz="4" w:space="0" w:color="auto"/>
              <w:right w:val="nil"/>
            </w:tcBorders>
            <w:shd w:val="clear" w:color="000000" w:fill="FFFFFF"/>
            <w:vAlign w:val="bottom"/>
            <w:hideMark/>
          </w:tcPr>
          <w:p w14:paraId="4AE4F4D5"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Education</w:t>
            </w:r>
          </w:p>
        </w:tc>
        <w:tc>
          <w:tcPr>
            <w:tcW w:w="836" w:type="dxa"/>
            <w:gridSpan w:val="2"/>
            <w:tcBorders>
              <w:top w:val="single" w:sz="4" w:space="0" w:color="auto"/>
              <w:left w:val="nil"/>
              <w:bottom w:val="single" w:sz="4" w:space="0" w:color="auto"/>
              <w:right w:val="nil"/>
            </w:tcBorders>
            <w:shd w:val="clear" w:color="000000" w:fill="FFFFFF"/>
            <w:vAlign w:val="bottom"/>
            <w:hideMark/>
          </w:tcPr>
          <w:p w14:paraId="4C9179DA"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Record Keeping</w:t>
            </w:r>
          </w:p>
        </w:tc>
        <w:tc>
          <w:tcPr>
            <w:tcW w:w="1127" w:type="dxa"/>
            <w:tcBorders>
              <w:top w:val="single" w:sz="4" w:space="0" w:color="auto"/>
              <w:left w:val="nil"/>
              <w:bottom w:val="single" w:sz="4" w:space="0" w:color="auto"/>
              <w:right w:val="nil"/>
            </w:tcBorders>
            <w:shd w:val="clear" w:color="000000" w:fill="FFFFFF"/>
            <w:vAlign w:val="bottom"/>
            <w:hideMark/>
          </w:tcPr>
          <w:p w14:paraId="03FC7E4F"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Purchasing</w:t>
            </w:r>
          </w:p>
        </w:tc>
        <w:tc>
          <w:tcPr>
            <w:tcW w:w="1127" w:type="dxa"/>
            <w:tcBorders>
              <w:top w:val="single" w:sz="4" w:space="0" w:color="auto"/>
              <w:left w:val="nil"/>
              <w:bottom w:val="single" w:sz="4" w:space="0" w:color="auto"/>
              <w:right w:val="nil"/>
            </w:tcBorders>
            <w:shd w:val="clear" w:color="000000" w:fill="FFFFFF"/>
            <w:vAlign w:val="bottom"/>
            <w:hideMark/>
          </w:tcPr>
          <w:p w14:paraId="08865593"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Publication and Documentation</w:t>
            </w:r>
          </w:p>
        </w:tc>
        <w:tc>
          <w:tcPr>
            <w:tcW w:w="1021" w:type="dxa"/>
            <w:tcBorders>
              <w:top w:val="single" w:sz="4" w:space="0" w:color="auto"/>
              <w:left w:val="nil"/>
              <w:bottom w:val="single" w:sz="4" w:space="0" w:color="auto"/>
              <w:right w:val="single" w:sz="4" w:space="0" w:color="auto"/>
            </w:tcBorders>
            <w:shd w:val="clear" w:color="000000" w:fill="FFFFFF"/>
            <w:vAlign w:val="bottom"/>
            <w:hideMark/>
          </w:tcPr>
          <w:p w14:paraId="248D96B6"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Other</w:t>
            </w:r>
          </w:p>
        </w:tc>
      </w:tr>
      <w:tr w:rsidR="00F672D2" w:rsidRPr="002636E1" w14:paraId="45CEB4E1"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0DFD8315"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Number of businesses affected by activity</w:t>
            </w:r>
          </w:p>
        </w:tc>
        <w:tc>
          <w:tcPr>
            <w:tcW w:w="850" w:type="dxa"/>
            <w:gridSpan w:val="2"/>
            <w:tcBorders>
              <w:top w:val="nil"/>
              <w:left w:val="nil"/>
              <w:bottom w:val="nil"/>
              <w:right w:val="nil"/>
            </w:tcBorders>
            <w:shd w:val="clear" w:color="000000" w:fill="FFFFFF"/>
            <w:noWrap/>
            <w:vAlign w:val="bottom"/>
            <w:hideMark/>
          </w:tcPr>
          <w:p w14:paraId="519A710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36</w:t>
            </w:r>
          </w:p>
        </w:tc>
        <w:tc>
          <w:tcPr>
            <w:tcW w:w="836" w:type="dxa"/>
            <w:gridSpan w:val="2"/>
            <w:tcBorders>
              <w:top w:val="nil"/>
              <w:left w:val="nil"/>
              <w:bottom w:val="nil"/>
              <w:right w:val="nil"/>
            </w:tcBorders>
            <w:shd w:val="clear" w:color="000000" w:fill="FFFFFF"/>
            <w:noWrap/>
            <w:vAlign w:val="bottom"/>
            <w:hideMark/>
          </w:tcPr>
          <w:p w14:paraId="2CEE0BEE"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36</w:t>
            </w:r>
          </w:p>
        </w:tc>
        <w:tc>
          <w:tcPr>
            <w:tcW w:w="1127" w:type="dxa"/>
            <w:tcBorders>
              <w:top w:val="nil"/>
              <w:left w:val="nil"/>
              <w:bottom w:val="nil"/>
              <w:right w:val="nil"/>
            </w:tcBorders>
            <w:shd w:val="clear" w:color="000000" w:fill="FFFFFF"/>
            <w:noWrap/>
            <w:vAlign w:val="bottom"/>
            <w:hideMark/>
          </w:tcPr>
          <w:p w14:paraId="434C77C3"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36</w:t>
            </w:r>
          </w:p>
        </w:tc>
        <w:tc>
          <w:tcPr>
            <w:tcW w:w="1127" w:type="dxa"/>
            <w:tcBorders>
              <w:top w:val="nil"/>
              <w:left w:val="nil"/>
              <w:bottom w:val="nil"/>
              <w:right w:val="nil"/>
            </w:tcBorders>
            <w:shd w:val="clear" w:color="000000" w:fill="FFFFFF"/>
            <w:noWrap/>
            <w:vAlign w:val="bottom"/>
            <w:hideMark/>
          </w:tcPr>
          <w:p w14:paraId="679B468F"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36</w:t>
            </w:r>
          </w:p>
        </w:tc>
        <w:tc>
          <w:tcPr>
            <w:tcW w:w="1021" w:type="dxa"/>
            <w:tcBorders>
              <w:top w:val="nil"/>
              <w:left w:val="nil"/>
              <w:bottom w:val="nil"/>
              <w:right w:val="single" w:sz="4" w:space="0" w:color="auto"/>
            </w:tcBorders>
            <w:shd w:val="clear" w:color="000000" w:fill="FFFFFF"/>
            <w:noWrap/>
            <w:vAlign w:val="bottom"/>
            <w:hideMark/>
          </w:tcPr>
          <w:p w14:paraId="4AEECA2B"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36</w:t>
            </w:r>
          </w:p>
        </w:tc>
      </w:tr>
      <w:tr w:rsidR="00F672D2" w:rsidRPr="002636E1" w14:paraId="60088541"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25FDECBD"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Number of staff per business performing activity</w:t>
            </w:r>
          </w:p>
        </w:tc>
        <w:tc>
          <w:tcPr>
            <w:tcW w:w="850" w:type="dxa"/>
            <w:gridSpan w:val="2"/>
            <w:tcBorders>
              <w:top w:val="nil"/>
              <w:left w:val="nil"/>
              <w:bottom w:val="nil"/>
              <w:right w:val="nil"/>
            </w:tcBorders>
            <w:shd w:val="clear" w:color="000000" w:fill="FFFFFF"/>
            <w:noWrap/>
            <w:vAlign w:val="bottom"/>
            <w:hideMark/>
          </w:tcPr>
          <w:p w14:paraId="196FCFB3"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2</w:t>
            </w:r>
          </w:p>
        </w:tc>
        <w:tc>
          <w:tcPr>
            <w:tcW w:w="836" w:type="dxa"/>
            <w:gridSpan w:val="2"/>
            <w:tcBorders>
              <w:top w:val="nil"/>
              <w:left w:val="nil"/>
              <w:bottom w:val="nil"/>
              <w:right w:val="nil"/>
            </w:tcBorders>
            <w:shd w:val="clear" w:color="000000" w:fill="FFFFFF"/>
            <w:noWrap/>
            <w:vAlign w:val="bottom"/>
            <w:hideMark/>
          </w:tcPr>
          <w:p w14:paraId="717FD2F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1127" w:type="dxa"/>
            <w:tcBorders>
              <w:top w:val="nil"/>
              <w:left w:val="nil"/>
              <w:bottom w:val="nil"/>
              <w:right w:val="nil"/>
            </w:tcBorders>
            <w:shd w:val="clear" w:color="000000" w:fill="FFFFFF"/>
            <w:noWrap/>
            <w:vAlign w:val="bottom"/>
            <w:hideMark/>
          </w:tcPr>
          <w:p w14:paraId="4FCDAF90"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20D51323"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1021" w:type="dxa"/>
            <w:tcBorders>
              <w:top w:val="nil"/>
              <w:left w:val="nil"/>
              <w:bottom w:val="nil"/>
              <w:right w:val="single" w:sz="4" w:space="0" w:color="auto"/>
            </w:tcBorders>
            <w:shd w:val="clear" w:color="000000" w:fill="FFFFFF"/>
            <w:noWrap/>
            <w:vAlign w:val="bottom"/>
            <w:hideMark/>
          </w:tcPr>
          <w:p w14:paraId="294BE7CE"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r>
      <w:tr w:rsidR="00F672D2" w:rsidRPr="002636E1" w14:paraId="65CBD5D1"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41ECEA07"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Number of times activity performed per staff</w:t>
            </w:r>
          </w:p>
        </w:tc>
        <w:tc>
          <w:tcPr>
            <w:tcW w:w="850" w:type="dxa"/>
            <w:gridSpan w:val="2"/>
            <w:tcBorders>
              <w:top w:val="nil"/>
              <w:left w:val="nil"/>
              <w:bottom w:val="nil"/>
              <w:right w:val="nil"/>
            </w:tcBorders>
            <w:shd w:val="clear" w:color="000000" w:fill="FFFFFF"/>
            <w:noWrap/>
            <w:vAlign w:val="bottom"/>
            <w:hideMark/>
          </w:tcPr>
          <w:p w14:paraId="38DAD919"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836" w:type="dxa"/>
            <w:gridSpan w:val="2"/>
            <w:tcBorders>
              <w:top w:val="nil"/>
              <w:left w:val="nil"/>
              <w:bottom w:val="nil"/>
              <w:right w:val="nil"/>
            </w:tcBorders>
            <w:shd w:val="clear" w:color="000000" w:fill="FFFFFF"/>
            <w:noWrap/>
            <w:vAlign w:val="bottom"/>
            <w:hideMark/>
          </w:tcPr>
          <w:p w14:paraId="3EC763A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1127" w:type="dxa"/>
            <w:tcBorders>
              <w:top w:val="nil"/>
              <w:left w:val="nil"/>
              <w:bottom w:val="nil"/>
              <w:right w:val="nil"/>
            </w:tcBorders>
            <w:shd w:val="clear" w:color="000000" w:fill="FFFFFF"/>
            <w:noWrap/>
            <w:vAlign w:val="bottom"/>
            <w:hideMark/>
          </w:tcPr>
          <w:p w14:paraId="0246FA21"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77F66C26"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1021" w:type="dxa"/>
            <w:tcBorders>
              <w:top w:val="nil"/>
              <w:left w:val="nil"/>
              <w:bottom w:val="nil"/>
              <w:right w:val="single" w:sz="4" w:space="0" w:color="auto"/>
            </w:tcBorders>
            <w:shd w:val="clear" w:color="000000" w:fill="FFFFFF"/>
            <w:noWrap/>
            <w:vAlign w:val="bottom"/>
            <w:hideMark/>
          </w:tcPr>
          <w:p w14:paraId="439FD56F"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r>
      <w:tr w:rsidR="00F672D2" w:rsidRPr="002636E1" w14:paraId="2FE91563"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57D6B29A"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Avg. time of each staff to do activity (in hours)</w:t>
            </w:r>
          </w:p>
        </w:tc>
        <w:tc>
          <w:tcPr>
            <w:tcW w:w="850" w:type="dxa"/>
            <w:gridSpan w:val="2"/>
            <w:tcBorders>
              <w:top w:val="nil"/>
              <w:left w:val="nil"/>
              <w:bottom w:val="nil"/>
              <w:right w:val="nil"/>
            </w:tcBorders>
            <w:shd w:val="clear" w:color="000000" w:fill="FFFFFF"/>
            <w:noWrap/>
            <w:vAlign w:val="bottom"/>
            <w:hideMark/>
          </w:tcPr>
          <w:p w14:paraId="628EAB90"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150</w:t>
            </w:r>
          </w:p>
        </w:tc>
        <w:tc>
          <w:tcPr>
            <w:tcW w:w="836" w:type="dxa"/>
            <w:gridSpan w:val="2"/>
            <w:tcBorders>
              <w:top w:val="nil"/>
              <w:left w:val="nil"/>
              <w:bottom w:val="nil"/>
              <w:right w:val="nil"/>
            </w:tcBorders>
            <w:shd w:val="clear" w:color="000000" w:fill="FFFFFF"/>
            <w:noWrap/>
            <w:vAlign w:val="bottom"/>
            <w:hideMark/>
          </w:tcPr>
          <w:p w14:paraId="1658A98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225</w:t>
            </w:r>
          </w:p>
        </w:tc>
        <w:tc>
          <w:tcPr>
            <w:tcW w:w="1127" w:type="dxa"/>
            <w:tcBorders>
              <w:top w:val="nil"/>
              <w:left w:val="nil"/>
              <w:bottom w:val="nil"/>
              <w:right w:val="nil"/>
            </w:tcBorders>
            <w:shd w:val="clear" w:color="000000" w:fill="FFFFFF"/>
            <w:noWrap/>
            <w:vAlign w:val="bottom"/>
            <w:hideMark/>
          </w:tcPr>
          <w:p w14:paraId="626D51D3"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16E8F00F"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400</w:t>
            </w:r>
          </w:p>
        </w:tc>
        <w:tc>
          <w:tcPr>
            <w:tcW w:w="1021" w:type="dxa"/>
            <w:tcBorders>
              <w:top w:val="nil"/>
              <w:left w:val="nil"/>
              <w:bottom w:val="nil"/>
              <w:right w:val="single" w:sz="4" w:space="0" w:color="auto"/>
            </w:tcBorders>
            <w:shd w:val="clear" w:color="000000" w:fill="FFFFFF"/>
            <w:noWrap/>
            <w:vAlign w:val="bottom"/>
            <w:hideMark/>
          </w:tcPr>
          <w:p w14:paraId="014E3237"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400</w:t>
            </w:r>
          </w:p>
        </w:tc>
      </w:tr>
      <w:tr w:rsidR="00F672D2" w:rsidRPr="002636E1" w14:paraId="0B9CD292" w14:textId="77777777" w:rsidTr="00DC35A2">
        <w:tblPrEx>
          <w:tblCellMar>
            <w:right w:w="28" w:type="dxa"/>
          </w:tblCellMar>
        </w:tblPrEx>
        <w:trPr>
          <w:trHeight w:val="20"/>
        </w:trPr>
        <w:tc>
          <w:tcPr>
            <w:tcW w:w="3969" w:type="dxa"/>
            <w:gridSpan w:val="4"/>
            <w:tcBorders>
              <w:top w:val="nil"/>
              <w:left w:val="single" w:sz="4" w:space="0" w:color="auto"/>
              <w:bottom w:val="single" w:sz="4" w:space="0" w:color="auto"/>
              <w:right w:val="nil"/>
            </w:tcBorders>
            <w:shd w:val="clear" w:color="000000" w:fill="FFFFFF"/>
            <w:noWrap/>
            <w:vAlign w:val="bottom"/>
            <w:hideMark/>
          </w:tcPr>
          <w:p w14:paraId="1BE653A8"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Labour cost ($/hr) (wage + non-wage labour cost rate)</w:t>
            </w:r>
          </w:p>
        </w:tc>
        <w:tc>
          <w:tcPr>
            <w:tcW w:w="850" w:type="dxa"/>
            <w:gridSpan w:val="2"/>
            <w:tcBorders>
              <w:top w:val="nil"/>
              <w:left w:val="nil"/>
              <w:bottom w:val="single" w:sz="4" w:space="0" w:color="auto"/>
              <w:right w:val="nil"/>
            </w:tcBorders>
            <w:shd w:val="clear" w:color="000000" w:fill="FFFFFF"/>
            <w:noWrap/>
            <w:vAlign w:val="bottom"/>
            <w:hideMark/>
          </w:tcPr>
          <w:p w14:paraId="6E24071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74</w:t>
            </w:r>
          </w:p>
        </w:tc>
        <w:tc>
          <w:tcPr>
            <w:tcW w:w="836" w:type="dxa"/>
            <w:gridSpan w:val="2"/>
            <w:tcBorders>
              <w:top w:val="nil"/>
              <w:left w:val="nil"/>
              <w:bottom w:val="single" w:sz="4" w:space="0" w:color="auto"/>
              <w:right w:val="nil"/>
            </w:tcBorders>
            <w:shd w:val="clear" w:color="000000" w:fill="FFFFFF"/>
            <w:noWrap/>
            <w:vAlign w:val="bottom"/>
            <w:hideMark/>
          </w:tcPr>
          <w:p w14:paraId="7731089B"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82</w:t>
            </w:r>
          </w:p>
        </w:tc>
        <w:tc>
          <w:tcPr>
            <w:tcW w:w="1127" w:type="dxa"/>
            <w:tcBorders>
              <w:top w:val="nil"/>
              <w:left w:val="nil"/>
              <w:bottom w:val="single" w:sz="4" w:space="0" w:color="auto"/>
              <w:right w:val="nil"/>
            </w:tcBorders>
            <w:shd w:val="clear" w:color="000000" w:fill="FFFFFF"/>
            <w:noWrap/>
            <w:vAlign w:val="bottom"/>
            <w:hideMark/>
          </w:tcPr>
          <w:p w14:paraId="2F2425A9"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150,000</w:t>
            </w:r>
          </w:p>
        </w:tc>
        <w:tc>
          <w:tcPr>
            <w:tcW w:w="1127" w:type="dxa"/>
            <w:tcBorders>
              <w:top w:val="nil"/>
              <w:left w:val="nil"/>
              <w:bottom w:val="single" w:sz="4" w:space="0" w:color="auto"/>
              <w:right w:val="nil"/>
            </w:tcBorders>
            <w:shd w:val="clear" w:color="000000" w:fill="FFFFFF"/>
            <w:noWrap/>
            <w:vAlign w:val="bottom"/>
            <w:hideMark/>
          </w:tcPr>
          <w:p w14:paraId="18C587E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74</w:t>
            </w:r>
          </w:p>
        </w:tc>
        <w:tc>
          <w:tcPr>
            <w:tcW w:w="1021" w:type="dxa"/>
            <w:tcBorders>
              <w:top w:val="nil"/>
              <w:left w:val="nil"/>
              <w:bottom w:val="single" w:sz="4" w:space="0" w:color="auto"/>
              <w:right w:val="single" w:sz="4" w:space="0" w:color="auto"/>
            </w:tcBorders>
            <w:shd w:val="clear" w:color="000000" w:fill="FFFFFF"/>
            <w:noWrap/>
            <w:vAlign w:val="bottom"/>
            <w:hideMark/>
          </w:tcPr>
          <w:p w14:paraId="6CFB9C0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96</w:t>
            </w:r>
          </w:p>
        </w:tc>
      </w:tr>
      <w:tr w:rsidR="00F672D2" w:rsidRPr="002636E1" w14:paraId="2F5CF275"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1A46D66D"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double" w:sz="6" w:space="0" w:color="auto"/>
              <w:right w:val="nil"/>
            </w:tcBorders>
            <w:shd w:val="clear" w:color="000000" w:fill="FFFFFF"/>
            <w:noWrap/>
            <w:vAlign w:val="bottom"/>
            <w:hideMark/>
          </w:tcPr>
          <w:p w14:paraId="2A9CCD98"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793,800</w:t>
            </w:r>
          </w:p>
        </w:tc>
        <w:tc>
          <w:tcPr>
            <w:tcW w:w="836" w:type="dxa"/>
            <w:gridSpan w:val="2"/>
            <w:tcBorders>
              <w:top w:val="nil"/>
              <w:left w:val="nil"/>
              <w:bottom w:val="double" w:sz="6" w:space="0" w:color="auto"/>
              <w:right w:val="nil"/>
            </w:tcBorders>
            <w:shd w:val="clear" w:color="000000" w:fill="FFFFFF"/>
            <w:noWrap/>
            <w:vAlign w:val="bottom"/>
            <w:hideMark/>
          </w:tcPr>
          <w:p w14:paraId="5C880A52"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666,225</w:t>
            </w:r>
          </w:p>
        </w:tc>
        <w:tc>
          <w:tcPr>
            <w:tcW w:w="1127" w:type="dxa"/>
            <w:tcBorders>
              <w:top w:val="nil"/>
              <w:left w:val="nil"/>
              <w:bottom w:val="double" w:sz="6" w:space="0" w:color="auto"/>
              <w:right w:val="nil"/>
            </w:tcBorders>
            <w:shd w:val="clear" w:color="000000" w:fill="FFFFFF"/>
            <w:noWrap/>
            <w:vAlign w:val="bottom"/>
            <w:hideMark/>
          </w:tcPr>
          <w:p w14:paraId="6A00DE47"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5,400,000</w:t>
            </w:r>
          </w:p>
        </w:tc>
        <w:tc>
          <w:tcPr>
            <w:tcW w:w="1127" w:type="dxa"/>
            <w:tcBorders>
              <w:top w:val="nil"/>
              <w:left w:val="nil"/>
              <w:bottom w:val="double" w:sz="6" w:space="0" w:color="auto"/>
              <w:right w:val="nil"/>
            </w:tcBorders>
            <w:shd w:val="clear" w:color="000000" w:fill="FFFFFF"/>
            <w:noWrap/>
            <w:vAlign w:val="bottom"/>
            <w:hideMark/>
          </w:tcPr>
          <w:p w14:paraId="3E5C389D"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1,058,400</w:t>
            </w:r>
          </w:p>
        </w:tc>
        <w:tc>
          <w:tcPr>
            <w:tcW w:w="1021" w:type="dxa"/>
            <w:tcBorders>
              <w:top w:val="nil"/>
              <w:left w:val="nil"/>
              <w:bottom w:val="double" w:sz="6" w:space="0" w:color="auto"/>
              <w:right w:val="nil"/>
            </w:tcBorders>
            <w:shd w:val="clear" w:color="000000" w:fill="FFFFFF"/>
            <w:noWrap/>
            <w:vAlign w:val="bottom"/>
            <w:hideMark/>
          </w:tcPr>
          <w:p w14:paraId="72F4AB4F"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1,386,000</w:t>
            </w:r>
          </w:p>
        </w:tc>
      </w:tr>
      <w:tr w:rsidR="00F672D2" w:rsidRPr="002636E1" w14:paraId="5D36500C"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1BCE369E"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nil"/>
              <w:right w:val="nil"/>
            </w:tcBorders>
            <w:shd w:val="clear" w:color="000000" w:fill="FFFFFF"/>
            <w:noWrap/>
            <w:vAlign w:val="bottom"/>
            <w:hideMark/>
          </w:tcPr>
          <w:p w14:paraId="51120325"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3B0F81AD"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5CEE9E84"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49441188" w14:textId="77777777" w:rsidR="00F672D2" w:rsidRPr="002636E1" w:rsidRDefault="00F672D2" w:rsidP="007F628D">
            <w:pPr>
              <w:spacing w:after="0"/>
              <w:jc w:val="right"/>
              <w:rPr>
                <w:rFonts w:ascii="Calibri" w:hAnsi="Calibri" w:cs="Calibri"/>
                <w:color w:val="000000"/>
                <w:sz w:val="16"/>
                <w:szCs w:val="16"/>
              </w:rPr>
            </w:pPr>
          </w:p>
        </w:tc>
        <w:tc>
          <w:tcPr>
            <w:tcW w:w="1021" w:type="dxa"/>
            <w:tcBorders>
              <w:top w:val="nil"/>
              <w:left w:val="nil"/>
              <w:bottom w:val="nil"/>
              <w:right w:val="nil"/>
            </w:tcBorders>
            <w:shd w:val="clear" w:color="000000" w:fill="FFFFFF"/>
            <w:noWrap/>
            <w:vAlign w:val="bottom"/>
            <w:hideMark/>
          </w:tcPr>
          <w:p w14:paraId="5361779B"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6F934057" w14:textId="77777777" w:rsidTr="00DC35A2">
        <w:tblPrEx>
          <w:tblCellMar>
            <w:right w:w="28" w:type="dxa"/>
          </w:tblCellMar>
        </w:tblPrEx>
        <w:trPr>
          <w:trHeight w:val="20"/>
        </w:trPr>
        <w:tc>
          <w:tcPr>
            <w:tcW w:w="3969" w:type="dxa"/>
            <w:gridSpan w:val="4"/>
            <w:tcBorders>
              <w:top w:val="single" w:sz="4" w:space="0" w:color="auto"/>
              <w:left w:val="single" w:sz="4" w:space="0" w:color="auto"/>
              <w:bottom w:val="nil"/>
              <w:right w:val="nil"/>
            </w:tcBorders>
            <w:shd w:val="clear" w:color="000000" w:fill="FFFFFF"/>
            <w:noWrap/>
            <w:vAlign w:val="bottom"/>
            <w:hideMark/>
          </w:tcPr>
          <w:p w14:paraId="07A9B4EE" w14:textId="77777777" w:rsidR="00F672D2" w:rsidRPr="002636E1" w:rsidRDefault="00F672D2" w:rsidP="007F628D">
            <w:pPr>
              <w:spacing w:after="0"/>
              <w:rPr>
                <w:rFonts w:ascii="Calibri" w:hAnsi="Calibri" w:cs="Calibri"/>
                <w:b/>
                <w:bCs/>
                <w:color w:val="000000"/>
                <w:sz w:val="16"/>
                <w:szCs w:val="16"/>
              </w:rPr>
            </w:pPr>
            <w:r w:rsidRPr="002636E1">
              <w:rPr>
                <w:rFonts w:ascii="Calibri" w:hAnsi="Calibri" w:cs="Calibri"/>
                <w:b/>
                <w:bCs/>
                <w:color w:val="000000"/>
                <w:sz w:val="16"/>
                <w:szCs w:val="16"/>
              </w:rPr>
              <w:t xml:space="preserve"> Start-up cost (over 1 year) (Medium 56) </w:t>
            </w:r>
          </w:p>
        </w:tc>
        <w:tc>
          <w:tcPr>
            <w:tcW w:w="850" w:type="dxa"/>
            <w:gridSpan w:val="2"/>
            <w:tcBorders>
              <w:top w:val="single" w:sz="4" w:space="0" w:color="auto"/>
              <w:left w:val="nil"/>
              <w:bottom w:val="single" w:sz="4" w:space="0" w:color="auto"/>
              <w:right w:val="nil"/>
            </w:tcBorders>
            <w:shd w:val="clear" w:color="000000" w:fill="FFFFFF"/>
            <w:vAlign w:val="bottom"/>
            <w:hideMark/>
          </w:tcPr>
          <w:p w14:paraId="148EB667"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Education</w:t>
            </w:r>
          </w:p>
        </w:tc>
        <w:tc>
          <w:tcPr>
            <w:tcW w:w="836" w:type="dxa"/>
            <w:gridSpan w:val="2"/>
            <w:tcBorders>
              <w:top w:val="single" w:sz="4" w:space="0" w:color="auto"/>
              <w:left w:val="nil"/>
              <w:bottom w:val="single" w:sz="4" w:space="0" w:color="auto"/>
              <w:right w:val="nil"/>
            </w:tcBorders>
            <w:shd w:val="clear" w:color="000000" w:fill="FFFFFF"/>
            <w:vAlign w:val="bottom"/>
            <w:hideMark/>
          </w:tcPr>
          <w:p w14:paraId="41F839C7"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Record Keeping</w:t>
            </w:r>
          </w:p>
        </w:tc>
        <w:tc>
          <w:tcPr>
            <w:tcW w:w="1127" w:type="dxa"/>
            <w:tcBorders>
              <w:top w:val="single" w:sz="4" w:space="0" w:color="auto"/>
              <w:left w:val="nil"/>
              <w:bottom w:val="single" w:sz="4" w:space="0" w:color="auto"/>
              <w:right w:val="nil"/>
            </w:tcBorders>
            <w:shd w:val="clear" w:color="000000" w:fill="FFFFFF"/>
            <w:vAlign w:val="bottom"/>
            <w:hideMark/>
          </w:tcPr>
          <w:p w14:paraId="6ACD4F26"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Purchasing</w:t>
            </w:r>
          </w:p>
        </w:tc>
        <w:tc>
          <w:tcPr>
            <w:tcW w:w="1127" w:type="dxa"/>
            <w:tcBorders>
              <w:top w:val="single" w:sz="4" w:space="0" w:color="auto"/>
              <w:left w:val="nil"/>
              <w:bottom w:val="single" w:sz="4" w:space="0" w:color="auto"/>
              <w:right w:val="nil"/>
            </w:tcBorders>
            <w:shd w:val="clear" w:color="000000" w:fill="FFFFFF"/>
            <w:vAlign w:val="bottom"/>
            <w:hideMark/>
          </w:tcPr>
          <w:p w14:paraId="6162460F"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Publication and Documentation</w:t>
            </w:r>
          </w:p>
        </w:tc>
        <w:tc>
          <w:tcPr>
            <w:tcW w:w="1021" w:type="dxa"/>
            <w:tcBorders>
              <w:top w:val="single" w:sz="4" w:space="0" w:color="auto"/>
              <w:left w:val="nil"/>
              <w:bottom w:val="single" w:sz="4" w:space="0" w:color="auto"/>
              <w:right w:val="single" w:sz="4" w:space="0" w:color="auto"/>
            </w:tcBorders>
            <w:shd w:val="clear" w:color="000000" w:fill="FFFFFF"/>
            <w:vAlign w:val="bottom"/>
            <w:hideMark/>
          </w:tcPr>
          <w:p w14:paraId="1226A4F7" w14:textId="77777777" w:rsidR="00F672D2" w:rsidRPr="002636E1" w:rsidRDefault="00F672D2" w:rsidP="007F628D">
            <w:pPr>
              <w:spacing w:after="0"/>
              <w:jc w:val="center"/>
              <w:rPr>
                <w:rFonts w:ascii="Calibri" w:hAnsi="Calibri" w:cs="Calibri"/>
                <w:color w:val="000000"/>
                <w:sz w:val="16"/>
                <w:szCs w:val="16"/>
              </w:rPr>
            </w:pPr>
            <w:r w:rsidRPr="002636E1">
              <w:rPr>
                <w:rFonts w:ascii="Calibri" w:hAnsi="Calibri" w:cs="Calibri"/>
                <w:color w:val="000000"/>
                <w:sz w:val="16"/>
                <w:szCs w:val="16"/>
              </w:rPr>
              <w:t>Other</w:t>
            </w:r>
          </w:p>
        </w:tc>
      </w:tr>
      <w:tr w:rsidR="00F672D2" w:rsidRPr="002636E1" w14:paraId="57E0DC2E"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7F1834AD"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businesses affected by activity </w:t>
            </w:r>
          </w:p>
        </w:tc>
        <w:tc>
          <w:tcPr>
            <w:tcW w:w="850" w:type="dxa"/>
            <w:gridSpan w:val="2"/>
            <w:tcBorders>
              <w:top w:val="nil"/>
              <w:left w:val="nil"/>
              <w:bottom w:val="nil"/>
              <w:right w:val="nil"/>
            </w:tcBorders>
            <w:shd w:val="clear" w:color="000000" w:fill="FFFFFF"/>
            <w:noWrap/>
            <w:vAlign w:val="bottom"/>
            <w:hideMark/>
          </w:tcPr>
          <w:p w14:paraId="5EA9C06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56</w:t>
            </w:r>
          </w:p>
        </w:tc>
        <w:tc>
          <w:tcPr>
            <w:tcW w:w="836" w:type="dxa"/>
            <w:gridSpan w:val="2"/>
            <w:tcBorders>
              <w:top w:val="nil"/>
              <w:left w:val="nil"/>
              <w:bottom w:val="nil"/>
              <w:right w:val="nil"/>
            </w:tcBorders>
            <w:shd w:val="clear" w:color="000000" w:fill="FFFFFF"/>
            <w:noWrap/>
            <w:vAlign w:val="bottom"/>
            <w:hideMark/>
          </w:tcPr>
          <w:p w14:paraId="31478E2E"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56</w:t>
            </w:r>
          </w:p>
        </w:tc>
        <w:tc>
          <w:tcPr>
            <w:tcW w:w="1127" w:type="dxa"/>
            <w:tcBorders>
              <w:top w:val="nil"/>
              <w:left w:val="nil"/>
              <w:bottom w:val="nil"/>
              <w:right w:val="nil"/>
            </w:tcBorders>
            <w:shd w:val="clear" w:color="000000" w:fill="FFFFFF"/>
            <w:noWrap/>
            <w:vAlign w:val="bottom"/>
            <w:hideMark/>
          </w:tcPr>
          <w:p w14:paraId="2126553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56</w:t>
            </w:r>
          </w:p>
        </w:tc>
        <w:tc>
          <w:tcPr>
            <w:tcW w:w="1127" w:type="dxa"/>
            <w:tcBorders>
              <w:top w:val="nil"/>
              <w:left w:val="nil"/>
              <w:bottom w:val="nil"/>
              <w:right w:val="nil"/>
            </w:tcBorders>
            <w:shd w:val="clear" w:color="000000" w:fill="FFFFFF"/>
            <w:noWrap/>
            <w:vAlign w:val="bottom"/>
            <w:hideMark/>
          </w:tcPr>
          <w:p w14:paraId="56A055BB"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56</w:t>
            </w:r>
          </w:p>
        </w:tc>
        <w:tc>
          <w:tcPr>
            <w:tcW w:w="1021" w:type="dxa"/>
            <w:tcBorders>
              <w:top w:val="nil"/>
              <w:left w:val="nil"/>
              <w:bottom w:val="nil"/>
              <w:right w:val="single" w:sz="4" w:space="0" w:color="auto"/>
            </w:tcBorders>
            <w:shd w:val="clear" w:color="000000" w:fill="FFFFFF"/>
            <w:noWrap/>
            <w:vAlign w:val="bottom"/>
            <w:hideMark/>
          </w:tcPr>
          <w:p w14:paraId="6005C19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56</w:t>
            </w:r>
          </w:p>
        </w:tc>
      </w:tr>
      <w:tr w:rsidR="00F672D2" w:rsidRPr="002636E1" w14:paraId="3723F0CD"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686BA321"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staff per business performing activity </w:t>
            </w:r>
          </w:p>
        </w:tc>
        <w:tc>
          <w:tcPr>
            <w:tcW w:w="850" w:type="dxa"/>
            <w:gridSpan w:val="2"/>
            <w:tcBorders>
              <w:top w:val="nil"/>
              <w:left w:val="nil"/>
              <w:bottom w:val="nil"/>
              <w:right w:val="nil"/>
            </w:tcBorders>
            <w:shd w:val="clear" w:color="000000" w:fill="FFFFFF"/>
            <w:noWrap/>
            <w:vAlign w:val="bottom"/>
            <w:hideMark/>
          </w:tcPr>
          <w:p w14:paraId="045E21B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836" w:type="dxa"/>
            <w:gridSpan w:val="2"/>
            <w:tcBorders>
              <w:top w:val="nil"/>
              <w:left w:val="nil"/>
              <w:bottom w:val="nil"/>
              <w:right w:val="nil"/>
            </w:tcBorders>
            <w:shd w:val="clear" w:color="000000" w:fill="FFFFFF"/>
            <w:noWrap/>
            <w:vAlign w:val="bottom"/>
            <w:hideMark/>
          </w:tcPr>
          <w:p w14:paraId="2A3F9B6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w:t>
            </w:r>
          </w:p>
        </w:tc>
        <w:tc>
          <w:tcPr>
            <w:tcW w:w="1127" w:type="dxa"/>
            <w:tcBorders>
              <w:top w:val="nil"/>
              <w:left w:val="nil"/>
              <w:bottom w:val="nil"/>
              <w:right w:val="nil"/>
            </w:tcBorders>
            <w:shd w:val="clear" w:color="000000" w:fill="FFFFFF"/>
            <w:noWrap/>
            <w:vAlign w:val="bottom"/>
            <w:hideMark/>
          </w:tcPr>
          <w:p w14:paraId="6539B447"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71C5FD47"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w:t>
            </w:r>
          </w:p>
        </w:tc>
        <w:tc>
          <w:tcPr>
            <w:tcW w:w="1021" w:type="dxa"/>
            <w:tcBorders>
              <w:top w:val="nil"/>
              <w:left w:val="nil"/>
              <w:bottom w:val="nil"/>
              <w:right w:val="single" w:sz="4" w:space="0" w:color="auto"/>
            </w:tcBorders>
            <w:shd w:val="clear" w:color="000000" w:fill="FFFFFF"/>
            <w:noWrap/>
            <w:vAlign w:val="bottom"/>
            <w:hideMark/>
          </w:tcPr>
          <w:p w14:paraId="539285C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r>
      <w:tr w:rsidR="00F672D2" w:rsidRPr="002636E1" w14:paraId="38ADF0A6"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78D9AE74"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times activity performed per staff </w:t>
            </w:r>
          </w:p>
        </w:tc>
        <w:tc>
          <w:tcPr>
            <w:tcW w:w="850" w:type="dxa"/>
            <w:gridSpan w:val="2"/>
            <w:tcBorders>
              <w:top w:val="nil"/>
              <w:left w:val="nil"/>
              <w:bottom w:val="nil"/>
              <w:right w:val="nil"/>
            </w:tcBorders>
            <w:shd w:val="clear" w:color="000000" w:fill="FFFFFF"/>
            <w:noWrap/>
            <w:vAlign w:val="bottom"/>
            <w:hideMark/>
          </w:tcPr>
          <w:p w14:paraId="52068B0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836" w:type="dxa"/>
            <w:gridSpan w:val="2"/>
            <w:tcBorders>
              <w:top w:val="nil"/>
              <w:left w:val="nil"/>
              <w:bottom w:val="nil"/>
              <w:right w:val="nil"/>
            </w:tcBorders>
            <w:shd w:val="clear" w:color="000000" w:fill="FFFFFF"/>
            <w:noWrap/>
            <w:vAlign w:val="bottom"/>
            <w:hideMark/>
          </w:tcPr>
          <w:p w14:paraId="600F90BC"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1127" w:type="dxa"/>
            <w:tcBorders>
              <w:top w:val="nil"/>
              <w:left w:val="nil"/>
              <w:bottom w:val="nil"/>
              <w:right w:val="nil"/>
            </w:tcBorders>
            <w:shd w:val="clear" w:color="000000" w:fill="FFFFFF"/>
            <w:noWrap/>
            <w:vAlign w:val="bottom"/>
            <w:hideMark/>
          </w:tcPr>
          <w:p w14:paraId="5030614D"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6B119B1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1021" w:type="dxa"/>
            <w:tcBorders>
              <w:top w:val="nil"/>
              <w:left w:val="nil"/>
              <w:bottom w:val="nil"/>
              <w:right w:val="single" w:sz="4" w:space="0" w:color="auto"/>
            </w:tcBorders>
            <w:shd w:val="clear" w:color="000000" w:fill="FFFFFF"/>
            <w:noWrap/>
            <w:vAlign w:val="bottom"/>
            <w:hideMark/>
          </w:tcPr>
          <w:p w14:paraId="1D78A71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2</w:t>
            </w:r>
          </w:p>
        </w:tc>
      </w:tr>
      <w:tr w:rsidR="00F672D2" w:rsidRPr="002636E1" w14:paraId="3303FFF4"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03F5CFFF"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Avg. time of each staff to do activity (in hours)</w:t>
            </w:r>
          </w:p>
        </w:tc>
        <w:tc>
          <w:tcPr>
            <w:tcW w:w="850" w:type="dxa"/>
            <w:gridSpan w:val="2"/>
            <w:tcBorders>
              <w:top w:val="nil"/>
              <w:left w:val="nil"/>
              <w:bottom w:val="nil"/>
              <w:right w:val="nil"/>
            </w:tcBorders>
            <w:shd w:val="clear" w:color="000000" w:fill="FFFFFF"/>
            <w:noWrap/>
            <w:vAlign w:val="bottom"/>
            <w:hideMark/>
          </w:tcPr>
          <w:p w14:paraId="08392C40"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150</w:t>
            </w:r>
          </w:p>
        </w:tc>
        <w:tc>
          <w:tcPr>
            <w:tcW w:w="836" w:type="dxa"/>
            <w:gridSpan w:val="2"/>
            <w:tcBorders>
              <w:top w:val="nil"/>
              <w:left w:val="nil"/>
              <w:bottom w:val="nil"/>
              <w:right w:val="nil"/>
            </w:tcBorders>
            <w:shd w:val="clear" w:color="000000" w:fill="FFFFFF"/>
            <w:noWrap/>
            <w:vAlign w:val="bottom"/>
            <w:hideMark/>
          </w:tcPr>
          <w:p w14:paraId="14635916"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225</w:t>
            </w:r>
          </w:p>
        </w:tc>
        <w:tc>
          <w:tcPr>
            <w:tcW w:w="1127" w:type="dxa"/>
            <w:tcBorders>
              <w:top w:val="nil"/>
              <w:left w:val="nil"/>
              <w:bottom w:val="nil"/>
              <w:right w:val="nil"/>
            </w:tcBorders>
            <w:shd w:val="clear" w:color="000000" w:fill="FFFFFF"/>
            <w:noWrap/>
            <w:vAlign w:val="bottom"/>
            <w:hideMark/>
          </w:tcPr>
          <w:p w14:paraId="425D5F8F"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1327BE2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400</w:t>
            </w:r>
          </w:p>
        </w:tc>
        <w:tc>
          <w:tcPr>
            <w:tcW w:w="1021" w:type="dxa"/>
            <w:tcBorders>
              <w:top w:val="nil"/>
              <w:left w:val="nil"/>
              <w:bottom w:val="nil"/>
              <w:right w:val="single" w:sz="4" w:space="0" w:color="auto"/>
            </w:tcBorders>
            <w:shd w:val="clear" w:color="000000" w:fill="FFFFFF"/>
            <w:noWrap/>
            <w:vAlign w:val="bottom"/>
            <w:hideMark/>
          </w:tcPr>
          <w:p w14:paraId="76B5AEE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900</w:t>
            </w:r>
          </w:p>
        </w:tc>
      </w:tr>
      <w:tr w:rsidR="00F672D2" w:rsidRPr="002636E1" w14:paraId="450B2CD6" w14:textId="77777777" w:rsidTr="00DC35A2">
        <w:tblPrEx>
          <w:tblCellMar>
            <w:right w:w="28" w:type="dxa"/>
          </w:tblCellMar>
        </w:tblPrEx>
        <w:trPr>
          <w:trHeight w:val="20"/>
        </w:trPr>
        <w:tc>
          <w:tcPr>
            <w:tcW w:w="3969" w:type="dxa"/>
            <w:gridSpan w:val="4"/>
            <w:tcBorders>
              <w:top w:val="nil"/>
              <w:left w:val="single" w:sz="4" w:space="0" w:color="auto"/>
              <w:bottom w:val="single" w:sz="4" w:space="0" w:color="auto"/>
              <w:right w:val="nil"/>
            </w:tcBorders>
            <w:shd w:val="clear" w:color="000000" w:fill="FFFFFF"/>
            <w:noWrap/>
            <w:vAlign w:val="bottom"/>
            <w:hideMark/>
          </w:tcPr>
          <w:p w14:paraId="3B7F0F47"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Labour cost ($/hr) (wage + non-wage labour cost rate) </w:t>
            </w:r>
          </w:p>
        </w:tc>
        <w:tc>
          <w:tcPr>
            <w:tcW w:w="850" w:type="dxa"/>
            <w:gridSpan w:val="2"/>
            <w:tcBorders>
              <w:top w:val="nil"/>
              <w:left w:val="nil"/>
              <w:bottom w:val="single" w:sz="4" w:space="0" w:color="auto"/>
              <w:right w:val="nil"/>
            </w:tcBorders>
            <w:shd w:val="clear" w:color="000000" w:fill="FFFFFF"/>
            <w:noWrap/>
            <w:vAlign w:val="bottom"/>
            <w:hideMark/>
          </w:tcPr>
          <w:p w14:paraId="1479F64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74</w:t>
            </w:r>
          </w:p>
        </w:tc>
        <w:tc>
          <w:tcPr>
            <w:tcW w:w="836" w:type="dxa"/>
            <w:gridSpan w:val="2"/>
            <w:tcBorders>
              <w:top w:val="nil"/>
              <w:left w:val="nil"/>
              <w:bottom w:val="single" w:sz="4" w:space="0" w:color="auto"/>
              <w:right w:val="nil"/>
            </w:tcBorders>
            <w:shd w:val="clear" w:color="000000" w:fill="FFFFFF"/>
            <w:noWrap/>
            <w:vAlign w:val="bottom"/>
            <w:hideMark/>
          </w:tcPr>
          <w:p w14:paraId="25E8DED3"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82</w:t>
            </w:r>
          </w:p>
        </w:tc>
        <w:tc>
          <w:tcPr>
            <w:tcW w:w="1127" w:type="dxa"/>
            <w:tcBorders>
              <w:top w:val="nil"/>
              <w:left w:val="nil"/>
              <w:bottom w:val="single" w:sz="4" w:space="0" w:color="auto"/>
              <w:right w:val="nil"/>
            </w:tcBorders>
            <w:shd w:val="clear" w:color="000000" w:fill="FFFFFF"/>
            <w:noWrap/>
            <w:vAlign w:val="bottom"/>
            <w:hideMark/>
          </w:tcPr>
          <w:p w14:paraId="71B91BDE"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250,000</w:t>
            </w:r>
          </w:p>
        </w:tc>
        <w:tc>
          <w:tcPr>
            <w:tcW w:w="1127" w:type="dxa"/>
            <w:tcBorders>
              <w:top w:val="nil"/>
              <w:left w:val="nil"/>
              <w:bottom w:val="single" w:sz="4" w:space="0" w:color="auto"/>
              <w:right w:val="nil"/>
            </w:tcBorders>
            <w:shd w:val="clear" w:color="000000" w:fill="FFFFFF"/>
            <w:noWrap/>
            <w:vAlign w:val="bottom"/>
            <w:hideMark/>
          </w:tcPr>
          <w:p w14:paraId="656EFDF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74</w:t>
            </w:r>
          </w:p>
        </w:tc>
        <w:tc>
          <w:tcPr>
            <w:tcW w:w="1021" w:type="dxa"/>
            <w:tcBorders>
              <w:top w:val="nil"/>
              <w:left w:val="nil"/>
              <w:bottom w:val="single" w:sz="4" w:space="0" w:color="auto"/>
              <w:right w:val="single" w:sz="4" w:space="0" w:color="auto"/>
            </w:tcBorders>
            <w:shd w:val="clear" w:color="000000" w:fill="FFFFFF"/>
            <w:noWrap/>
            <w:vAlign w:val="bottom"/>
            <w:hideMark/>
          </w:tcPr>
          <w:p w14:paraId="6E1209B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96</w:t>
            </w:r>
          </w:p>
        </w:tc>
      </w:tr>
      <w:tr w:rsidR="00F672D2" w:rsidRPr="002636E1" w14:paraId="0A665B81"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58C3DDB1"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double" w:sz="6" w:space="0" w:color="auto"/>
              <w:right w:val="nil"/>
            </w:tcBorders>
            <w:shd w:val="clear" w:color="000000" w:fill="FFFFFF"/>
            <w:noWrap/>
            <w:vAlign w:val="bottom"/>
            <w:hideMark/>
          </w:tcPr>
          <w:p w14:paraId="6D1CA1DF"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3,087,000</w:t>
            </w:r>
          </w:p>
        </w:tc>
        <w:tc>
          <w:tcPr>
            <w:tcW w:w="836" w:type="dxa"/>
            <w:gridSpan w:val="2"/>
            <w:tcBorders>
              <w:top w:val="nil"/>
              <w:left w:val="nil"/>
              <w:bottom w:val="double" w:sz="6" w:space="0" w:color="auto"/>
              <w:right w:val="nil"/>
            </w:tcBorders>
            <w:shd w:val="clear" w:color="000000" w:fill="FFFFFF"/>
            <w:noWrap/>
            <w:vAlign w:val="bottom"/>
            <w:hideMark/>
          </w:tcPr>
          <w:p w14:paraId="7E7AC84B"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3,109,050</w:t>
            </w:r>
          </w:p>
        </w:tc>
        <w:tc>
          <w:tcPr>
            <w:tcW w:w="1127" w:type="dxa"/>
            <w:tcBorders>
              <w:top w:val="nil"/>
              <w:left w:val="nil"/>
              <w:bottom w:val="double" w:sz="6" w:space="0" w:color="auto"/>
              <w:right w:val="nil"/>
            </w:tcBorders>
            <w:shd w:val="clear" w:color="000000" w:fill="FFFFFF"/>
            <w:noWrap/>
            <w:vAlign w:val="bottom"/>
            <w:hideMark/>
          </w:tcPr>
          <w:p w14:paraId="4762CED2"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14,000,000</w:t>
            </w:r>
          </w:p>
        </w:tc>
        <w:tc>
          <w:tcPr>
            <w:tcW w:w="1127" w:type="dxa"/>
            <w:tcBorders>
              <w:top w:val="nil"/>
              <w:left w:val="nil"/>
              <w:bottom w:val="double" w:sz="6" w:space="0" w:color="auto"/>
              <w:right w:val="nil"/>
            </w:tcBorders>
            <w:shd w:val="clear" w:color="000000" w:fill="FFFFFF"/>
            <w:noWrap/>
            <w:vAlign w:val="bottom"/>
            <w:hideMark/>
          </w:tcPr>
          <w:p w14:paraId="34A52595"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4,939,200</w:t>
            </w:r>
          </w:p>
        </w:tc>
        <w:tc>
          <w:tcPr>
            <w:tcW w:w="1021" w:type="dxa"/>
            <w:tcBorders>
              <w:top w:val="nil"/>
              <w:left w:val="nil"/>
              <w:bottom w:val="double" w:sz="6" w:space="0" w:color="auto"/>
              <w:right w:val="nil"/>
            </w:tcBorders>
            <w:shd w:val="clear" w:color="000000" w:fill="FFFFFF"/>
            <w:noWrap/>
            <w:vAlign w:val="bottom"/>
            <w:hideMark/>
          </w:tcPr>
          <w:p w14:paraId="3E9F900F"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9,702,000</w:t>
            </w:r>
          </w:p>
        </w:tc>
      </w:tr>
      <w:tr w:rsidR="00F672D2" w:rsidRPr="002636E1" w14:paraId="48D6C684"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13D1255B"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nil"/>
              <w:right w:val="nil"/>
            </w:tcBorders>
            <w:shd w:val="clear" w:color="000000" w:fill="FFFFFF"/>
            <w:noWrap/>
            <w:vAlign w:val="bottom"/>
            <w:hideMark/>
          </w:tcPr>
          <w:p w14:paraId="5992BE18"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6D9374BC"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4CF23E37"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0449AFCE" w14:textId="77777777" w:rsidR="00F672D2" w:rsidRPr="002636E1" w:rsidRDefault="00F672D2" w:rsidP="007F628D">
            <w:pPr>
              <w:spacing w:after="0"/>
              <w:jc w:val="right"/>
              <w:rPr>
                <w:rFonts w:ascii="Calibri" w:hAnsi="Calibri" w:cs="Calibri"/>
                <w:color w:val="000000"/>
                <w:sz w:val="16"/>
                <w:szCs w:val="16"/>
              </w:rPr>
            </w:pPr>
          </w:p>
        </w:tc>
        <w:tc>
          <w:tcPr>
            <w:tcW w:w="1021" w:type="dxa"/>
            <w:tcBorders>
              <w:top w:val="nil"/>
              <w:left w:val="nil"/>
              <w:bottom w:val="nil"/>
              <w:right w:val="nil"/>
            </w:tcBorders>
            <w:shd w:val="clear" w:color="000000" w:fill="FFFFFF"/>
            <w:noWrap/>
            <w:vAlign w:val="bottom"/>
            <w:hideMark/>
          </w:tcPr>
          <w:p w14:paraId="19EA33ED"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07FB9DB0" w14:textId="77777777" w:rsidTr="00DC35A2">
        <w:tblPrEx>
          <w:tblCellMar>
            <w:right w:w="28" w:type="dxa"/>
          </w:tblCellMar>
        </w:tblPrEx>
        <w:trPr>
          <w:trHeight w:val="20"/>
        </w:trPr>
        <w:tc>
          <w:tcPr>
            <w:tcW w:w="3969" w:type="dxa"/>
            <w:gridSpan w:val="4"/>
            <w:tcBorders>
              <w:top w:val="single" w:sz="4" w:space="0" w:color="auto"/>
              <w:left w:val="single" w:sz="4" w:space="0" w:color="auto"/>
              <w:bottom w:val="nil"/>
              <w:right w:val="nil"/>
            </w:tcBorders>
            <w:shd w:val="clear" w:color="000000" w:fill="FFFFFF"/>
            <w:noWrap/>
            <w:vAlign w:val="bottom"/>
            <w:hideMark/>
          </w:tcPr>
          <w:p w14:paraId="728A915D" w14:textId="77777777" w:rsidR="00F672D2" w:rsidRPr="002636E1" w:rsidRDefault="00F672D2" w:rsidP="007F628D">
            <w:pPr>
              <w:spacing w:after="0"/>
              <w:rPr>
                <w:rFonts w:ascii="Calibri" w:hAnsi="Calibri" w:cs="Calibri"/>
                <w:b/>
                <w:bCs/>
                <w:color w:val="000000"/>
                <w:sz w:val="16"/>
                <w:szCs w:val="16"/>
              </w:rPr>
            </w:pPr>
            <w:r w:rsidRPr="002636E1">
              <w:rPr>
                <w:rFonts w:ascii="Calibri" w:hAnsi="Calibri" w:cs="Calibri"/>
                <w:b/>
                <w:bCs/>
                <w:color w:val="000000"/>
                <w:sz w:val="16"/>
                <w:szCs w:val="16"/>
              </w:rPr>
              <w:t xml:space="preserve"> Start-up cost (over 1 year) (Complex 10) </w:t>
            </w:r>
          </w:p>
        </w:tc>
        <w:tc>
          <w:tcPr>
            <w:tcW w:w="850" w:type="dxa"/>
            <w:gridSpan w:val="2"/>
            <w:tcBorders>
              <w:top w:val="single" w:sz="4" w:space="0" w:color="auto"/>
              <w:left w:val="nil"/>
              <w:bottom w:val="single" w:sz="4" w:space="0" w:color="auto"/>
              <w:right w:val="nil"/>
            </w:tcBorders>
            <w:shd w:val="clear" w:color="000000" w:fill="FFFFFF"/>
            <w:vAlign w:val="bottom"/>
            <w:hideMark/>
          </w:tcPr>
          <w:p w14:paraId="48F78DB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Education</w:t>
            </w:r>
          </w:p>
        </w:tc>
        <w:tc>
          <w:tcPr>
            <w:tcW w:w="836" w:type="dxa"/>
            <w:gridSpan w:val="2"/>
            <w:tcBorders>
              <w:top w:val="single" w:sz="4" w:space="0" w:color="auto"/>
              <w:left w:val="nil"/>
              <w:bottom w:val="single" w:sz="4" w:space="0" w:color="auto"/>
              <w:right w:val="nil"/>
            </w:tcBorders>
            <w:shd w:val="clear" w:color="000000" w:fill="FFFFFF"/>
            <w:vAlign w:val="bottom"/>
            <w:hideMark/>
          </w:tcPr>
          <w:p w14:paraId="5C04020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Record Keeping</w:t>
            </w:r>
          </w:p>
        </w:tc>
        <w:tc>
          <w:tcPr>
            <w:tcW w:w="1127" w:type="dxa"/>
            <w:tcBorders>
              <w:top w:val="single" w:sz="4" w:space="0" w:color="auto"/>
              <w:left w:val="nil"/>
              <w:bottom w:val="single" w:sz="4" w:space="0" w:color="auto"/>
              <w:right w:val="nil"/>
            </w:tcBorders>
            <w:shd w:val="clear" w:color="000000" w:fill="FFFFFF"/>
            <w:vAlign w:val="bottom"/>
            <w:hideMark/>
          </w:tcPr>
          <w:p w14:paraId="20CF16B2"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Purchasing</w:t>
            </w:r>
          </w:p>
        </w:tc>
        <w:tc>
          <w:tcPr>
            <w:tcW w:w="1127" w:type="dxa"/>
            <w:tcBorders>
              <w:top w:val="single" w:sz="4" w:space="0" w:color="auto"/>
              <w:left w:val="nil"/>
              <w:bottom w:val="single" w:sz="4" w:space="0" w:color="auto"/>
              <w:right w:val="nil"/>
            </w:tcBorders>
            <w:shd w:val="clear" w:color="000000" w:fill="FFFFFF"/>
            <w:vAlign w:val="bottom"/>
            <w:hideMark/>
          </w:tcPr>
          <w:p w14:paraId="43A6751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Publication and Documentation</w:t>
            </w:r>
          </w:p>
        </w:tc>
        <w:tc>
          <w:tcPr>
            <w:tcW w:w="1021" w:type="dxa"/>
            <w:tcBorders>
              <w:top w:val="single" w:sz="4" w:space="0" w:color="auto"/>
              <w:left w:val="nil"/>
              <w:bottom w:val="single" w:sz="4" w:space="0" w:color="auto"/>
              <w:right w:val="single" w:sz="4" w:space="0" w:color="auto"/>
            </w:tcBorders>
            <w:shd w:val="clear" w:color="000000" w:fill="FFFFFF"/>
            <w:vAlign w:val="bottom"/>
            <w:hideMark/>
          </w:tcPr>
          <w:p w14:paraId="63E5F52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Other</w:t>
            </w:r>
          </w:p>
        </w:tc>
      </w:tr>
      <w:tr w:rsidR="00F672D2" w:rsidRPr="002636E1" w14:paraId="058615BC"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5ADD1059"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businesses affected by activity </w:t>
            </w:r>
          </w:p>
        </w:tc>
        <w:tc>
          <w:tcPr>
            <w:tcW w:w="850" w:type="dxa"/>
            <w:gridSpan w:val="2"/>
            <w:tcBorders>
              <w:top w:val="nil"/>
              <w:left w:val="nil"/>
              <w:bottom w:val="nil"/>
              <w:right w:val="nil"/>
            </w:tcBorders>
            <w:shd w:val="clear" w:color="000000" w:fill="FFFFFF"/>
            <w:noWrap/>
            <w:vAlign w:val="bottom"/>
            <w:hideMark/>
          </w:tcPr>
          <w:p w14:paraId="6DC91500"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c>
          <w:tcPr>
            <w:tcW w:w="836" w:type="dxa"/>
            <w:gridSpan w:val="2"/>
            <w:tcBorders>
              <w:top w:val="nil"/>
              <w:left w:val="nil"/>
              <w:bottom w:val="nil"/>
              <w:right w:val="nil"/>
            </w:tcBorders>
            <w:shd w:val="clear" w:color="000000" w:fill="FFFFFF"/>
            <w:noWrap/>
            <w:vAlign w:val="bottom"/>
            <w:hideMark/>
          </w:tcPr>
          <w:p w14:paraId="563785B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c>
          <w:tcPr>
            <w:tcW w:w="1127" w:type="dxa"/>
            <w:tcBorders>
              <w:top w:val="nil"/>
              <w:left w:val="nil"/>
              <w:bottom w:val="nil"/>
              <w:right w:val="nil"/>
            </w:tcBorders>
            <w:shd w:val="clear" w:color="000000" w:fill="FFFFFF"/>
            <w:noWrap/>
            <w:vAlign w:val="bottom"/>
            <w:hideMark/>
          </w:tcPr>
          <w:p w14:paraId="2B112907"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c>
          <w:tcPr>
            <w:tcW w:w="1127" w:type="dxa"/>
            <w:tcBorders>
              <w:top w:val="nil"/>
              <w:left w:val="nil"/>
              <w:bottom w:val="nil"/>
              <w:right w:val="nil"/>
            </w:tcBorders>
            <w:shd w:val="clear" w:color="000000" w:fill="FFFFFF"/>
            <w:noWrap/>
            <w:vAlign w:val="bottom"/>
            <w:hideMark/>
          </w:tcPr>
          <w:p w14:paraId="4C5FB4D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c>
          <w:tcPr>
            <w:tcW w:w="1021" w:type="dxa"/>
            <w:tcBorders>
              <w:top w:val="nil"/>
              <w:left w:val="nil"/>
              <w:bottom w:val="nil"/>
              <w:right w:val="single" w:sz="4" w:space="0" w:color="auto"/>
            </w:tcBorders>
            <w:shd w:val="clear" w:color="000000" w:fill="FFFFFF"/>
            <w:noWrap/>
            <w:vAlign w:val="bottom"/>
            <w:hideMark/>
          </w:tcPr>
          <w:p w14:paraId="0EA9073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r>
      <w:tr w:rsidR="00F672D2" w:rsidRPr="002636E1" w14:paraId="48ED73E5"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03FC777C"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Number of staff per business performing activity</w:t>
            </w:r>
          </w:p>
        </w:tc>
        <w:tc>
          <w:tcPr>
            <w:tcW w:w="850" w:type="dxa"/>
            <w:gridSpan w:val="2"/>
            <w:tcBorders>
              <w:top w:val="nil"/>
              <w:left w:val="nil"/>
              <w:bottom w:val="nil"/>
              <w:right w:val="nil"/>
            </w:tcBorders>
            <w:shd w:val="clear" w:color="000000" w:fill="FFFFFF"/>
            <w:noWrap/>
            <w:vAlign w:val="bottom"/>
            <w:hideMark/>
          </w:tcPr>
          <w:p w14:paraId="07808DA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30</w:t>
            </w:r>
          </w:p>
        </w:tc>
        <w:tc>
          <w:tcPr>
            <w:tcW w:w="836" w:type="dxa"/>
            <w:gridSpan w:val="2"/>
            <w:tcBorders>
              <w:top w:val="nil"/>
              <w:left w:val="nil"/>
              <w:bottom w:val="nil"/>
              <w:right w:val="nil"/>
            </w:tcBorders>
            <w:shd w:val="clear" w:color="000000" w:fill="FFFFFF"/>
            <w:noWrap/>
            <w:vAlign w:val="bottom"/>
            <w:hideMark/>
          </w:tcPr>
          <w:p w14:paraId="69C68BE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15</w:t>
            </w:r>
          </w:p>
        </w:tc>
        <w:tc>
          <w:tcPr>
            <w:tcW w:w="1127" w:type="dxa"/>
            <w:tcBorders>
              <w:top w:val="nil"/>
              <w:left w:val="nil"/>
              <w:bottom w:val="nil"/>
              <w:right w:val="nil"/>
            </w:tcBorders>
            <w:shd w:val="clear" w:color="000000" w:fill="FFFFFF"/>
            <w:noWrap/>
            <w:vAlign w:val="bottom"/>
            <w:hideMark/>
          </w:tcPr>
          <w:p w14:paraId="00F19654"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4F20C897"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c>
          <w:tcPr>
            <w:tcW w:w="1021" w:type="dxa"/>
            <w:tcBorders>
              <w:top w:val="nil"/>
              <w:left w:val="nil"/>
              <w:bottom w:val="nil"/>
              <w:right w:val="single" w:sz="4" w:space="0" w:color="auto"/>
            </w:tcBorders>
            <w:shd w:val="clear" w:color="000000" w:fill="FFFFFF"/>
            <w:noWrap/>
            <w:vAlign w:val="bottom"/>
            <w:hideMark/>
          </w:tcPr>
          <w:p w14:paraId="37BC2BE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r>
      <w:tr w:rsidR="00F672D2" w:rsidRPr="002636E1" w14:paraId="678588BC"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5883E165"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times activity performed per staff </w:t>
            </w:r>
          </w:p>
        </w:tc>
        <w:tc>
          <w:tcPr>
            <w:tcW w:w="850" w:type="dxa"/>
            <w:gridSpan w:val="2"/>
            <w:tcBorders>
              <w:top w:val="nil"/>
              <w:left w:val="nil"/>
              <w:bottom w:val="nil"/>
              <w:right w:val="nil"/>
            </w:tcBorders>
            <w:shd w:val="clear" w:color="000000" w:fill="FFFFFF"/>
            <w:noWrap/>
            <w:vAlign w:val="bottom"/>
            <w:hideMark/>
          </w:tcPr>
          <w:p w14:paraId="566ACB4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836" w:type="dxa"/>
            <w:gridSpan w:val="2"/>
            <w:tcBorders>
              <w:top w:val="nil"/>
              <w:left w:val="nil"/>
              <w:bottom w:val="nil"/>
              <w:right w:val="nil"/>
            </w:tcBorders>
            <w:shd w:val="clear" w:color="000000" w:fill="FFFFFF"/>
            <w:noWrap/>
            <w:vAlign w:val="bottom"/>
            <w:hideMark/>
          </w:tcPr>
          <w:p w14:paraId="5A05A96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1127" w:type="dxa"/>
            <w:tcBorders>
              <w:top w:val="nil"/>
              <w:left w:val="nil"/>
              <w:bottom w:val="nil"/>
              <w:right w:val="nil"/>
            </w:tcBorders>
            <w:shd w:val="clear" w:color="000000" w:fill="FFFFFF"/>
            <w:noWrap/>
            <w:vAlign w:val="bottom"/>
            <w:hideMark/>
          </w:tcPr>
          <w:p w14:paraId="2641A8BE"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3FF35B50"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1021" w:type="dxa"/>
            <w:tcBorders>
              <w:top w:val="nil"/>
              <w:left w:val="nil"/>
              <w:bottom w:val="nil"/>
              <w:right w:val="single" w:sz="4" w:space="0" w:color="auto"/>
            </w:tcBorders>
            <w:shd w:val="clear" w:color="000000" w:fill="FFFFFF"/>
            <w:noWrap/>
            <w:vAlign w:val="bottom"/>
            <w:hideMark/>
          </w:tcPr>
          <w:p w14:paraId="7602E12E"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r>
      <w:tr w:rsidR="00F672D2" w:rsidRPr="002636E1" w14:paraId="7A5F7597"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08DB8B36"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Avg. time of each staff to do activity (in hours)</w:t>
            </w:r>
          </w:p>
        </w:tc>
        <w:tc>
          <w:tcPr>
            <w:tcW w:w="850" w:type="dxa"/>
            <w:gridSpan w:val="2"/>
            <w:tcBorders>
              <w:top w:val="nil"/>
              <w:left w:val="nil"/>
              <w:bottom w:val="nil"/>
              <w:right w:val="nil"/>
            </w:tcBorders>
            <w:shd w:val="clear" w:color="000000" w:fill="FFFFFF"/>
            <w:noWrap/>
            <w:vAlign w:val="bottom"/>
            <w:hideMark/>
          </w:tcPr>
          <w:p w14:paraId="69785435"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900</w:t>
            </w:r>
          </w:p>
        </w:tc>
        <w:tc>
          <w:tcPr>
            <w:tcW w:w="836" w:type="dxa"/>
            <w:gridSpan w:val="2"/>
            <w:tcBorders>
              <w:top w:val="nil"/>
              <w:left w:val="nil"/>
              <w:bottom w:val="nil"/>
              <w:right w:val="nil"/>
            </w:tcBorders>
            <w:shd w:val="clear" w:color="000000" w:fill="FFFFFF"/>
            <w:noWrap/>
            <w:vAlign w:val="bottom"/>
            <w:hideMark/>
          </w:tcPr>
          <w:p w14:paraId="48435AEE"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900</w:t>
            </w:r>
          </w:p>
        </w:tc>
        <w:tc>
          <w:tcPr>
            <w:tcW w:w="1127" w:type="dxa"/>
            <w:tcBorders>
              <w:top w:val="nil"/>
              <w:left w:val="nil"/>
              <w:bottom w:val="nil"/>
              <w:right w:val="nil"/>
            </w:tcBorders>
            <w:shd w:val="clear" w:color="000000" w:fill="FFFFFF"/>
            <w:noWrap/>
            <w:vAlign w:val="bottom"/>
            <w:hideMark/>
          </w:tcPr>
          <w:p w14:paraId="5B0448F5"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4E6FB97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900</w:t>
            </w:r>
          </w:p>
        </w:tc>
        <w:tc>
          <w:tcPr>
            <w:tcW w:w="1021" w:type="dxa"/>
            <w:tcBorders>
              <w:top w:val="nil"/>
              <w:left w:val="nil"/>
              <w:bottom w:val="nil"/>
              <w:right w:val="single" w:sz="4" w:space="0" w:color="auto"/>
            </w:tcBorders>
            <w:shd w:val="clear" w:color="000000" w:fill="FFFFFF"/>
            <w:noWrap/>
            <w:vAlign w:val="bottom"/>
            <w:hideMark/>
          </w:tcPr>
          <w:p w14:paraId="2F2A071B"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1,976</w:t>
            </w:r>
          </w:p>
        </w:tc>
      </w:tr>
      <w:tr w:rsidR="00F672D2" w:rsidRPr="002636E1" w14:paraId="1A9239F3" w14:textId="77777777" w:rsidTr="00DC35A2">
        <w:tblPrEx>
          <w:tblCellMar>
            <w:right w:w="28" w:type="dxa"/>
          </w:tblCellMar>
        </w:tblPrEx>
        <w:trPr>
          <w:trHeight w:val="20"/>
        </w:trPr>
        <w:tc>
          <w:tcPr>
            <w:tcW w:w="3969" w:type="dxa"/>
            <w:gridSpan w:val="4"/>
            <w:tcBorders>
              <w:top w:val="nil"/>
              <w:left w:val="single" w:sz="4" w:space="0" w:color="auto"/>
              <w:bottom w:val="single" w:sz="4" w:space="0" w:color="auto"/>
              <w:right w:val="nil"/>
            </w:tcBorders>
            <w:shd w:val="clear" w:color="000000" w:fill="FFFFFF"/>
            <w:noWrap/>
            <w:vAlign w:val="bottom"/>
            <w:hideMark/>
          </w:tcPr>
          <w:p w14:paraId="3B2F1971"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Labour cost ($/hr) (wage + non-wage labour cost rate) </w:t>
            </w:r>
          </w:p>
        </w:tc>
        <w:tc>
          <w:tcPr>
            <w:tcW w:w="850" w:type="dxa"/>
            <w:gridSpan w:val="2"/>
            <w:tcBorders>
              <w:top w:val="nil"/>
              <w:left w:val="nil"/>
              <w:bottom w:val="single" w:sz="4" w:space="0" w:color="auto"/>
              <w:right w:val="nil"/>
            </w:tcBorders>
            <w:shd w:val="clear" w:color="000000" w:fill="FFFFFF"/>
            <w:noWrap/>
            <w:vAlign w:val="bottom"/>
            <w:hideMark/>
          </w:tcPr>
          <w:p w14:paraId="18EFD9FF"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74</w:t>
            </w:r>
          </w:p>
        </w:tc>
        <w:tc>
          <w:tcPr>
            <w:tcW w:w="836" w:type="dxa"/>
            <w:gridSpan w:val="2"/>
            <w:tcBorders>
              <w:top w:val="nil"/>
              <w:left w:val="nil"/>
              <w:bottom w:val="single" w:sz="4" w:space="0" w:color="auto"/>
              <w:right w:val="nil"/>
            </w:tcBorders>
            <w:shd w:val="clear" w:color="000000" w:fill="FFFFFF"/>
            <w:noWrap/>
            <w:vAlign w:val="bottom"/>
            <w:hideMark/>
          </w:tcPr>
          <w:p w14:paraId="448ACC3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82</w:t>
            </w:r>
          </w:p>
        </w:tc>
        <w:tc>
          <w:tcPr>
            <w:tcW w:w="1127" w:type="dxa"/>
            <w:tcBorders>
              <w:top w:val="nil"/>
              <w:left w:val="nil"/>
              <w:bottom w:val="single" w:sz="4" w:space="0" w:color="auto"/>
              <w:right w:val="nil"/>
            </w:tcBorders>
            <w:shd w:val="clear" w:color="000000" w:fill="FFFFFF"/>
            <w:noWrap/>
            <w:vAlign w:val="bottom"/>
            <w:hideMark/>
          </w:tcPr>
          <w:p w14:paraId="1BC9969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1,000,000</w:t>
            </w:r>
          </w:p>
        </w:tc>
        <w:tc>
          <w:tcPr>
            <w:tcW w:w="1127" w:type="dxa"/>
            <w:tcBorders>
              <w:top w:val="nil"/>
              <w:left w:val="nil"/>
              <w:bottom w:val="single" w:sz="4" w:space="0" w:color="auto"/>
              <w:right w:val="nil"/>
            </w:tcBorders>
            <w:shd w:val="clear" w:color="000000" w:fill="FFFFFF"/>
            <w:noWrap/>
            <w:vAlign w:val="bottom"/>
            <w:hideMark/>
          </w:tcPr>
          <w:p w14:paraId="1FA26683"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74</w:t>
            </w:r>
          </w:p>
        </w:tc>
        <w:tc>
          <w:tcPr>
            <w:tcW w:w="1021" w:type="dxa"/>
            <w:tcBorders>
              <w:top w:val="nil"/>
              <w:left w:val="nil"/>
              <w:bottom w:val="single" w:sz="4" w:space="0" w:color="auto"/>
              <w:right w:val="single" w:sz="4" w:space="0" w:color="auto"/>
            </w:tcBorders>
            <w:shd w:val="clear" w:color="000000" w:fill="FFFFFF"/>
            <w:noWrap/>
            <w:vAlign w:val="bottom"/>
            <w:hideMark/>
          </w:tcPr>
          <w:p w14:paraId="344372A7"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96</w:t>
            </w:r>
          </w:p>
        </w:tc>
      </w:tr>
      <w:tr w:rsidR="00F672D2" w:rsidRPr="002636E1" w14:paraId="73662010"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76C5EB7A"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double" w:sz="6" w:space="0" w:color="auto"/>
              <w:right w:val="nil"/>
            </w:tcBorders>
            <w:shd w:val="clear" w:color="000000" w:fill="FFFFFF"/>
            <w:noWrap/>
            <w:vAlign w:val="bottom"/>
            <w:hideMark/>
          </w:tcPr>
          <w:p w14:paraId="21E79D1C"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19,845,000</w:t>
            </w:r>
          </w:p>
        </w:tc>
        <w:tc>
          <w:tcPr>
            <w:tcW w:w="836" w:type="dxa"/>
            <w:gridSpan w:val="2"/>
            <w:tcBorders>
              <w:top w:val="nil"/>
              <w:left w:val="nil"/>
              <w:bottom w:val="double" w:sz="6" w:space="0" w:color="auto"/>
              <w:right w:val="nil"/>
            </w:tcBorders>
            <w:shd w:val="clear" w:color="000000" w:fill="FFFFFF"/>
            <w:noWrap/>
            <w:vAlign w:val="bottom"/>
            <w:hideMark/>
          </w:tcPr>
          <w:p w14:paraId="4D830354"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11,103,750</w:t>
            </w:r>
          </w:p>
        </w:tc>
        <w:tc>
          <w:tcPr>
            <w:tcW w:w="1127" w:type="dxa"/>
            <w:tcBorders>
              <w:top w:val="nil"/>
              <w:left w:val="nil"/>
              <w:bottom w:val="double" w:sz="6" w:space="0" w:color="auto"/>
              <w:right w:val="nil"/>
            </w:tcBorders>
            <w:shd w:val="clear" w:color="000000" w:fill="FFFFFF"/>
            <w:noWrap/>
            <w:vAlign w:val="bottom"/>
            <w:hideMark/>
          </w:tcPr>
          <w:p w14:paraId="36238449"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10,000,000</w:t>
            </w:r>
          </w:p>
        </w:tc>
        <w:tc>
          <w:tcPr>
            <w:tcW w:w="1127" w:type="dxa"/>
            <w:tcBorders>
              <w:top w:val="nil"/>
              <w:left w:val="nil"/>
              <w:bottom w:val="double" w:sz="6" w:space="0" w:color="auto"/>
              <w:right w:val="nil"/>
            </w:tcBorders>
            <w:shd w:val="clear" w:color="000000" w:fill="FFFFFF"/>
            <w:noWrap/>
            <w:vAlign w:val="bottom"/>
            <w:hideMark/>
          </w:tcPr>
          <w:p w14:paraId="0B96A509"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6,615,000</w:t>
            </w:r>
          </w:p>
        </w:tc>
        <w:tc>
          <w:tcPr>
            <w:tcW w:w="1021" w:type="dxa"/>
            <w:tcBorders>
              <w:top w:val="nil"/>
              <w:left w:val="nil"/>
              <w:bottom w:val="double" w:sz="6" w:space="0" w:color="auto"/>
              <w:right w:val="nil"/>
            </w:tcBorders>
            <w:shd w:val="clear" w:color="000000" w:fill="FFFFFF"/>
            <w:noWrap/>
            <w:vAlign w:val="bottom"/>
            <w:hideMark/>
          </w:tcPr>
          <w:p w14:paraId="2D460CCF"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19,019,000</w:t>
            </w:r>
          </w:p>
        </w:tc>
      </w:tr>
      <w:tr w:rsidR="00F672D2" w:rsidRPr="002636E1" w14:paraId="6D92DE9C"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2FE8EEDD"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nil"/>
              <w:right w:val="nil"/>
            </w:tcBorders>
            <w:shd w:val="clear" w:color="000000" w:fill="FFFFFF"/>
            <w:noWrap/>
            <w:vAlign w:val="bottom"/>
            <w:hideMark/>
          </w:tcPr>
          <w:p w14:paraId="1620613D"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733F298A"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59297ECE"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27F27F6D" w14:textId="77777777" w:rsidR="00F672D2" w:rsidRPr="002636E1" w:rsidRDefault="00F672D2" w:rsidP="007F628D">
            <w:pPr>
              <w:spacing w:after="0"/>
              <w:jc w:val="right"/>
              <w:rPr>
                <w:rFonts w:ascii="Calibri" w:hAnsi="Calibri" w:cs="Calibri"/>
                <w:color w:val="000000"/>
                <w:sz w:val="16"/>
                <w:szCs w:val="16"/>
              </w:rPr>
            </w:pPr>
          </w:p>
        </w:tc>
        <w:tc>
          <w:tcPr>
            <w:tcW w:w="1021" w:type="dxa"/>
            <w:tcBorders>
              <w:top w:val="nil"/>
              <w:left w:val="nil"/>
              <w:bottom w:val="nil"/>
              <w:right w:val="nil"/>
            </w:tcBorders>
            <w:shd w:val="clear" w:color="000000" w:fill="FFFFFF"/>
            <w:noWrap/>
            <w:vAlign w:val="bottom"/>
            <w:hideMark/>
          </w:tcPr>
          <w:p w14:paraId="1D0F433B"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20ECC9F1" w14:textId="77777777" w:rsidTr="00DC35A2">
        <w:tblPrEx>
          <w:tblCellMar>
            <w:right w:w="28" w:type="dxa"/>
          </w:tblCellMar>
        </w:tblPrEx>
        <w:trPr>
          <w:trHeight w:val="20"/>
        </w:trPr>
        <w:tc>
          <w:tcPr>
            <w:tcW w:w="3969" w:type="dxa"/>
            <w:gridSpan w:val="4"/>
            <w:tcBorders>
              <w:top w:val="single" w:sz="4" w:space="0" w:color="auto"/>
              <w:left w:val="single" w:sz="4" w:space="0" w:color="auto"/>
              <w:bottom w:val="nil"/>
              <w:right w:val="nil"/>
            </w:tcBorders>
            <w:shd w:val="clear" w:color="000000" w:fill="FFFFFF"/>
            <w:noWrap/>
            <w:vAlign w:val="bottom"/>
            <w:hideMark/>
          </w:tcPr>
          <w:p w14:paraId="3672FF02" w14:textId="77777777" w:rsidR="00F672D2" w:rsidRPr="002636E1" w:rsidRDefault="00F672D2" w:rsidP="007F628D">
            <w:pPr>
              <w:spacing w:after="0"/>
              <w:rPr>
                <w:rFonts w:ascii="Calibri" w:hAnsi="Calibri" w:cs="Calibri"/>
                <w:b/>
                <w:bCs/>
                <w:color w:val="000000"/>
                <w:sz w:val="16"/>
                <w:szCs w:val="16"/>
              </w:rPr>
            </w:pPr>
            <w:r w:rsidRPr="002636E1">
              <w:rPr>
                <w:rFonts w:ascii="Calibri" w:hAnsi="Calibri" w:cs="Calibri"/>
                <w:b/>
                <w:bCs/>
                <w:color w:val="000000"/>
                <w:sz w:val="16"/>
                <w:szCs w:val="16"/>
              </w:rPr>
              <w:t xml:space="preserve">Ongoing Cost (over 9 years) (Low complexity 36) </w:t>
            </w:r>
          </w:p>
        </w:tc>
        <w:tc>
          <w:tcPr>
            <w:tcW w:w="850" w:type="dxa"/>
            <w:gridSpan w:val="2"/>
            <w:tcBorders>
              <w:top w:val="single" w:sz="4" w:space="0" w:color="auto"/>
              <w:left w:val="nil"/>
              <w:bottom w:val="single" w:sz="4" w:space="0" w:color="auto"/>
              <w:right w:val="nil"/>
            </w:tcBorders>
            <w:shd w:val="clear" w:color="000000" w:fill="FFFFFF"/>
            <w:vAlign w:val="bottom"/>
            <w:hideMark/>
          </w:tcPr>
          <w:p w14:paraId="74ADBEC6"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Education</w:t>
            </w:r>
          </w:p>
        </w:tc>
        <w:tc>
          <w:tcPr>
            <w:tcW w:w="836" w:type="dxa"/>
            <w:gridSpan w:val="2"/>
            <w:tcBorders>
              <w:top w:val="single" w:sz="4" w:space="0" w:color="auto"/>
              <w:left w:val="nil"/>
              <w:bottom w:val="single" w:sz="4" w:space="0" w:color="auto"/>
              <w:right w:val="nil"/>
            </w:tcBorders>
            <w:shd w:val="clear" w:color="000000" w:fill="FFFFFF"/>
            <w:vAlign w:val="bottom"/>
            <w:hideMark/>
          </w:tcPr>
          <w:p w14:paraId="487CA3F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Record Keeping</w:t>
            </w:r>
          </w:p>
        </w:tc>
        <w:tc>
          <w:tcPr>
            <w:tcW w:w="1127" w:type="dxa"/>
            <w:tcBorders>
              <w:top w:val="single" w:sz="4" w:space="0" w:color="auto"/>
              <w:left w:val="nil"/>
              <w:bottom w:val="single" w:sz="4" w:space="0" w:color="auto"/>
              <w:right w:val="nil"/>
            </w:tcBorders>
            <w:shd w:val="clear" w:color="000000" w:fill="FFFFFF"/>
            <w:vAlign w:val="bottom"/>
            <w:hideMark/>
          </w:tcPr>
          <w:p w14:paraId="70AB4C9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Purchasing</w:t>
            </w:r>
          </w:p>
        </w:tc>
        <w:tc>
          <w:tcPr>
            <w:tcW w:w="1127" w:type="dxa"/>
            <w:tcBorders>
              <w:top w:val="single" w:sz="4" w:space="0" w:color="auto"/>
              <w:left w:val="nil"/>
              <w:bottom w:val="single" w:sz="4" w:space="0" w:color="auto"/>
              <w:right w:val="nil"/>
            </w:tcBorders>
            <w:shd w:val="clear" w:color="000000" w:fill="FFFFFF"/>
            <w:vAlign w:val="bottom"/>
            <w:hideMark/>
          </w:tcPr>
          <w:p w14:paraId="76A715F9"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Publication and Documentation</w:t>
            </w:r>
          </w:p>
        </w:tc>
        <w:tc>
          <w:tcPr>
            <w:tcW w:w="1021" w:type="dxa"/>
            <w:tcBorders>
              <w:top w:val="single" w:sz="4" w:space="0" w:color="auto"/>
              <w:left w:val="nil"/>
              <w:bottom w:val="single" w:sz="4" w:space="0" w:color="auto"/>
              <w:right w:val="single" w:sz="4" w:space="0" w:color="auto"/>
            </w:tcBorders>
            <w:shd w:val="clear" w:color="000000" w:fill="FFFFFF"/>
            <w:vAlign w:val="bottom"/>
            <w:hideMark/>
          </w:tcPr>
          <w:p w14:paraId="0302E3E0"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Other</w:t>
            </w:r>
          </w:p>
        </w:tc>
      </w:tr>
      <w:tr w:rsidR="00F672D2" w:rsidRPr="002636E1" w14:paraId="6479161C"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370BD38F"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businesses affected by activity </w:t>
            </w:r>
          </w:p>
        </w:tc>
        <w:tc>
          <w:tcPr>
            <w:tcW w:w="850" w:type="dxa"/>
            <w:gridSpan w:val="2"/>
            <w:tcBorders>
              <w:top w:val="nil"/>
              <w:left w:val="nil"/>
              <w:bottom w:val="nil"/>
              <w:right w:val="nil"/>
            </w:tcBorders>
            <w:shd w:val="clear" w:color="000000" w:fill="FFFFFF"/>
            <w:noWrap/>
            <w:vAlign w:val="bottom"/>
            <w:hideMark/>
          </w:tcPr>
          <w:p w14:paraId="5BBFD77C"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69BA9546"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36</w:t>
            </w:r>
          </w:p>
        </w:tc>
        <w:tc>
          <w:tcPr>
            <w:tcW w:w="1127" w:type="dxa"/>
            <w:tcBorders>
              <w:top w:val="nil"/>
              <w:left w:val="nil"/>
              <w:bottom w:val="nil"/>
              <w:right w:val="nil"/>
            </w:tcBorders>
            <w:shd w:val="clear" w:color="000000" w:fill="FFFFFF"/>
            <w:noWrap/>
            <w:vAlign w:val="bottom"/>
            <w:hideMark/>
          </w:tcPr>
          <w:p w14:paraId="35FD877B"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36</w:t>
            </w:r>
          </w:p>
        </w:tc>
        <w:tc>
          <w:tcPr>
            <w:tcW w:w="1127" w:type="dxa"/>
            <w:tcBorders>
              <w:top w:val="nil"/>
              <w:left w:val="nil"/>
              <w:bottom w:val="nil"/>
              <w:right w:val="nil"/>
            </w:tcBorders>
            <w:shd w:val="clear" w:color="000000" w:fill="FFFFFF"/>
            <w:noWrap/>
            <w:vAlign w:val="bottom"/>
            <w:hideMark/>
          </w:tcPr>
          <w:p w14:paraId="5A43467C"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36</w:t>
            </w:r>
          </w:p>
        </w:tc>
        <w:tc>
          <w:tcPr>
            <w:tcW w:w="1021" w:type="dxa"/>
            <w:tcBorders>
              <w:top w:val="nil"/>
              <w:left w:val="nil"/>
              <w:bottom w:val="nil"/>
              <w:right w:val="single" w:sz="4" w:space="0" w:color="auto"/>
            </w:tcBorders>
            <w:shd w:val="clear" w:color="000000" w:fill="FFFFFF"/>
            <w:noWrap/>
            <w:vAlign w:val="bottom"/>
            <w:hideMark/>
          </w:tcPr>
          <w:p w14:paraId="61F3E3DA"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5AB91C46"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145209F0"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Number of staff per business performing activity</w:t>
            </w:r>
          </w:p>
        </w:tc>
        <w:tc>
          <w:tcPr>
            <w:tcW w:w="850" w:type="dxa"/>
            <w:gridSpan w:val="2"/>
            <w:tcBorders>
              <w:top w:val="nil"/>
              <w:left w:val="nil"/>
              <w:bottom w:val="nil"/>
              <w:right w:val="nil"/>
            </w:tcBorders>
            <w:shd w:val="clear" w:color="000000" w:fill="FFFFFF"/>
            <w:noWrap/>
            <w:vAlign w:val="bottom"/>
            <w:hideMark/>
          </w:tcPr>
          <w:p w14:paraId="2A5406E5"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74993656"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w:t>
            </w:r>
          </w:p>
        </w:tc>
        <w:tc>
          <w:tcPr>
            <w:tcW w:w="1127" w:type="dxa"/>
            <w:tcBorders>
              <w:top w:val="nil"/>
              <w:left w:val="nil"/>
              <w:bottom w:val="nil"/>
              <w:right w:val="nil"/>
            </w:tcBorders>
            <w:shd w:val="clear" w:color="000000" w:fill="FFFFFF"/>
            <w:noWrap/>
            <w:vAlign w:val="bottom"/>
            <w:hideMark/>
          </w:tcPr>
          <w:p w14:paraId="34C67575"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3C94D8D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2</w:t>
            </w:r>
          </w:p>
        </w:tc>
        <w:tc>
          <w:tcPr>
            <w:tcW w:w="1021" w:type="dxa"/>
            <w:tcBorders>
              <w:top w:val="nil"/>
              <w:left w:val="nil"/>
              <w:bottom w:val="nil"/>
              <w:right w:val="single" w:sz="4" w:space="0" w:color="auto"/>
            </w:tcBorders>
            <w:shd w:val="clear" w:color="000000" w:fill="FFFFFF"/>
            <w:noWrap/>
            <w:vAlign w:val="bottom"/>
            <w:hideMark/>
          </w:tcPr>
          <w:p w14:paraId="35500ABF"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6C61C429"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0A7E8FEF"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Number of times activity performed per staff</w:t>
            </w:r>
          </w:p>
        </w:tc>
        <w:tc>
          <w:tcPr>
            <w:tcW w:w="850" w:type="dxa"/>
            <w:gridSpan w:val="2"/>
            <w:tcBorders>
              <w:top w:val="nil"/>
              <w:left w:val="nil"/>
              <w:bottom w:val="nil"/>
              <w:right w:val="nil"/>
            </w:tcBorders>
            <w:shd w:val="clear" w:color="000000" w:fill="FFFFFF"/>
            <w:noWrap/>
            <w:vAlign w:val="bottom"/>
            <w:hideMark/>
          </w:tcPr>
          <w:p w14:paraId="346489E2"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100A7693"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1127" w:type="dxa"/>
            <w:tcBorders>
              <w:top w:val="nil"/>
              <w:left w:val="nil"/>
              <w:bottom w:val="nil"/>
              <w:right w:val="nil"/>
            </w:tcBorders>
            <w:shd w:val="clear" w:color="000000" w:fill="FFFFFF"/>
            <w:noWrap/>
            <w:vAlign w:val="bottom"/>
            <w:hideMark/>
          </w:tcPr>
          <w:p w14:paraId="7C73A636"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7BBC6A63"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1021" w:type="dxa"/>
            <w:tcBorders>
              <w:top w:val="nil"/>
              <w:left w:val="nil"/>
              <w:bottom w:val="nil"/>
              <w:right w:val="single" w:sz="4" w:space="0" w:color="auto"/>
            </w:tcBorders>
            <w:shd w:val="clear" w:color="000000" w:fill="FFFFFF"/>
            <w:noWrap/>
            <w:vAlign w:val="bottom"/>
            <w:hideMark/>
          </w:tcPr>
          <w:p w14:paraId="064A5313"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62F37F51"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7DAF44F0"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Avg. time of each staff to do activity (in hours) </w:t>
            </w:r>
          </w:p>
        </w:tc>
        <w:tc>
          <w:tcPr>
            <w:tcW w:w="850" w:type="dxa"/>
            <w:gridSpan w:val="2"/>
            <w:tcBorders>
              <w:top w:val="nil"/>
              <w:left w:val="nil"/>
              <w:bottom w:val="nil"/>
              <w:right w:val="nil"/>
            </w:tcBorders>
            <w:shd w:val="clear" w:color="000000" w:fill="FFFFFF"/>
            <w:noWrap/>
            <w:vAlign w:val="bottom"/>
            <w:hideMark/>
          </w:tcPr>
          <w:p w14:paraId="47F4A8B1"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0FF871BC"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45</w:t>
            </w:r>
          </w:p>
        </w:tc>
        <w:tc>
          <w:tcPr>
            <w:tcW w:w="1127" w:type="dxa"/>
            <w:tcBorders>
              <w:top w:val="nil"/>
              <w:left w:val="nil"/>
              <w:bottom w:val="nil"/>
              <w:right w:val="nil"/>
            </w:tcBorders>
            <w:shd w:val="clear" w:color="000000" w:fill="FFFFFF"/>
            <w:noWrap/>
            <w:vAlign w:val="bottom"/>
            <w:hideMark/>
          </w:tcPr>
          <w:p w14:paraId="492FEE32"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4ED1D725"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45</w:t>
            </w:r>
          </w:p>
        </w:tc>
        <w:tc>
          <w:tcPr>
            <w:tcW w:w="1021" w:type="dxa"/>
            <w:tcBorders>
              <w:top w:val="nil"/>
              <w:left w:val="nil"/>
              <w:bottom w:val="nil"/>
              <w:right w:val="single" w:sz="4" w:space="0" w:color="auto"/>
            </w:tcBorders>
            <w:shd w:val="clear" w:color="000000" w:fill="FFFFFF"/>
            <w:noWrap/>
            <w:vAlign w:val="bottom"/>
            <w:hideMark/>
          </w:tcPr>
          <w:p w14:paraId="63377E41"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676AF53D" w14:textId="77777777" w:rsidTr="00DC35A2">
        <w:tblPrEx>
          <w:tblCellMar>
            <w:right w:w="28" w:type="dxa"/>
          </w:tblCellMar>
        </w:tblPrEx>
        <w:trPr>
          <w:trHeight w:val="20"/>
        </w:trPr>
        <w:tc>
          <w:tcPr>
            <w:tcW w:w="3969" w:type="dxa"/>
            <w:gridSpan w:val="4"/>
            <w:tcBorders>
              <w:top w:val="nil"/>
              <w:left w:val="single" w:sz="4" w:space="0" w:color="auto"/>
              <w:bottom w:val="single" w:sz="4" w:space="0" w:color="auto"/>
              <w:right w:val="nil"/>
            </w:tcBorders>
            <w:shd w:val="clear" w:color="000000" w:fill="FFFFFF"/>
            <w:noWrap/>
            <w:vAlign w:val="bottom"/>
            <w:hideMark/>
          </w:tcPr>
          <w:p w14:paraId="3268425C"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Labour cost ($/hr) (wage + non-wage labour cost rate) </w:t>
            </w:r>
          </w:p>
        </w:tc>
        <w:tc>
          <w:tcPr>
            <w:tcW w:w="850" w:type="dxa"/>
            <w:gridSpan w:val="2"/>
            <w:tcBorders>
              <w:top w:val="nil"/>
              <w:left w:val="nil"/>
              <w:bottom w:val="single" w:sz="4" w:space="0" w:color="auto"/>
              <w:right w:val="nil"/>
            </w:tcBorders>
            <w:shd w:val="clear" w:color="000000" w:fill="FFFFFF"/>
            <w:noWrap/>
            <w:vAlign w:val="bottom"/>
            <w:hideMark/>
          </w:tcPr>
          <w:p w14:paraId="64C68788"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single" w:sz="4" w:space="0" w:color="auto"/>
              <w:right w:val="nil"/>
            </w:tcBorders>
            <w:shd w:val="clear" w:color="000000" w:fill="FFFFFF"/>
            <w:noWrap/>
            <w:vAlign w:val="bottom"/>
            <w:hideMark/>
          </w:tcPr>
          <w:p w14:paraId="2F4A4A8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82</w:t>
            </w:r>
          </w:p>
        </w:tc>
        <w:tc>
          <w:tcPr>
            <w:tcW w:w="1127" w:type="dxa"/>
            <w:tcBorders>
              <w:top w:val="nil"/>
              <w:left w:val="nil"/>
              <w:bottom w:val="single" w:sz="4" w:space="0" w:color="auto"/>
              <w:right w:val="nil"/>
            </w:tcBorders>
            <w:shd w:val="clear" w:color="000000" w:fill="FFFFFF"/>
            <w:noWrap/>
            <w:vAlign w:val="bottom"/>
            <w:hideMark/>
          </w:tcPr>
          <w:p w14:paraId="50198930"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100,000</w:t>
            </w:r>
          </w:p>
        </w:tc>
        <w:tc>
          <w:tcPr>
            <w:tcW w:w="1127" w:type="dxa"/>
            <w:tcBorders>
              <w:top w:val="nil"/>
              <w:left w:val="nil"/>
              <w:bottom w:val="single" w:sz="4" w:space="0" w:color="auto"/>
              <w:right w:val="nil"/>
            </w:tcBorders>
            <w:shd w:val="clear" w:color="000000" w:fill="FFFFFF"/>
            <w:noWrap/>
            <w:vAlign w:val="bottom"/>
            <w:hideMark/>
          </w:tcPr>
          <w:p w14:paraId="7EB0CB1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74</w:t>
            </w:r>
          </w:p>
        </w:tc>
        <w:tc>
          <w:tcPr>
            <w:tcW w:w="1021" w:type="dxa"/>
            <w:tcBorders>
              <w:top w:val="nil"/>
              <w:left w:val="nil"/>
              <w:bottom w:val="single" w:sz="4" w:space="0" w:color="auto"/>
              <w:right w:val="single" w:sz="4" w:space="0" w:color="auto"/>
            </w:tcBorders>
            <w:shd w:val="clear" w:color="000000" w:fill="FFFFFF"/>
            <w:noWrap/>
            <w:vAlign w:val="bottom"/>
            <w:hideMark/>
          </w:tcPr>
          <w:p w14:paraId="5F6CAE63"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1E3CBF77"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0D4F06DF"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double" w:sz="6" w:space="0" w:color="auto"/>
              <w:right w:val="nil"/>
            </w:tcBorders>
            <w:shd w:val="clear" w:color="000000" w:fill="FFFFFF"/>
            <w:noWrap/>
            <w:vAlign w:val="bottom"/>
            <w:hideMark/>
          </w:tcPr>
          <w:p w14:paraId="2BC74718"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w:t>
            </w:r>
          </w:p>
        </w:tc>
        <w:tc>
          <w:tcPr>
            <w:tcW w:w="836" w:type="dxa"/>
            <w:gridSpan w:val="2"/>
            <w:tcBorders>
              <w:top w:val="nil"/>
              <w:left w:val="nil"/>
              <w:bottom w:val="double" w:sz="6" w:space="0" w:color="auto"/>
              <w:right w:val="nil"/>
            </w:tcBorders>
            <w:shd w:val="clear" w:color="000000" w:fill="FFFFFF"/>
            <w:noWrap/>
            <w:vAlign w:val="bottom"/>
            <w:hideMark/>
          </w:tcPr>
          <w:p w14:paraId="16FF3265"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666,225</w:t>
            </w:r>
          </w:p>
        </w:tc>
        <w:tc>
          <w:tcPr>
            <w:tcW w:w="1127" w:type="dxa"/>
            <w:tcBorders>
              <w:top w:val="nil"/>
              <w:left w:val="nil"/>
              <w:bottom w:val="double" w:sz="6" w:space="0" w:color="auto"/>
              <w:right w:val="nil"/>
            </w:tcBorders>
            <w:shd w:val="clear" w:color="000000" w:fill="FFFFFF"/>
            <w:noWrap/>
            <w:vAlign w:val="bottom"/>
            <w:hideMark/>
          </w:tcPr>
          <w:p w14:paraId="573D1BE4"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3,600,000</w:t>
            </w:r>
          </w:p>
        </w:tc>
        <w:tc>
          <w:tcPr>
            <w:tcW w:w="1127" w:type="dxa"/>
            <w:tcBorders>
              <w:top w:val="nil"/>
              <w:left w:val="nil"/>
              <w:bottom w:val="double" w:sz="6" w:space="0" w:color="auto"/>
              <w:right w:val="nil"/>
            </w:tcBorders>
            <w:shd w:val="clear" w:color="000000" w:fill="FFFFFF"/>
            <w:noWrap/>
            <w:vAlign w:val="bottom"/>
            <w:hideMark/>
          </w:tcPr>
          <w:p w14:paraId="5E63D371"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1,190,700</w:t>
            </w:r>
          </w:p>
        </w:tc>
        <w:tc>
          <w:tcPr>
            <w:tcW w:w="1021" w:type="dxa"/>
            <w:tcBorders>
              <w:top w:val="nil"/>
              <w:left w:val="nil"/>
              <w:bottom w:val="double" w:sz="6" w:space="0" w:color="auto"/>
              <w:right w:val="nil"/>
            </w:tcBorders>
            <w:shd w:val="clear" w:color="000000" w:fill="FFFFFF"/>
            <w:noWrap/>
            <w:vAlign w:val="bottom"/>
            <w:hideMark/>
          </w:tcPr>
          <w:p w14:paraId="36B3792F" w14:textId="77777777" w:rsidR="00F672D2" w:rsidRPr="002636E1" w:rsidRDefault="00F672D2" w:rsidP="007F628D">
            <w:pPr>
              <w:spacing w:after="0"/>
              <w:jc w:val="right"/>
              <w:rPr>
                <w:rFonts w:ascii="Calibri" w:hAnsi="Calibri" w:cs="Calibri"/>
                <w:b/>
                <w:bCs/>
                <w:color w:val="000000"/>
                <w:sz w:val="16"/>
                <w:szCs w:val="16"/>
              </w:rPr>
            </w:pPr>
          </w:p>
        </w:tc>
      </w:tr>
      <w:tr w:rsidR="00F672D2" w:rsidRPr="002636E1" w14:paraId="671CA586"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1B8A0556"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nil"/>
              <w:right w:val="nil"/>
            </w:tcBorders>
            <w:shd w:val="clear" w:color="000000" w:fill="FFFFFF"/>
            <w:noWrap/>
            <w:vAlign w:val="bottom"/>
            <w:hideMark/>
          </w:tcPr>
          <w:p w14:paraId="18FB6433"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7F3FB597"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4A26637B"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3DC348D0" w14:textId="77777777" w:rsidR="00F672D2" w:rsidRPr="002636E1" w:rsidRDefault="00F672D2" w:rsidP="007F628D">
            <w:pPr>
              <w:spacing w:after="0"/>
              <w:jc w:val="right"/>
              <w:rPr>
                <w:rFonts w:ascii="Calibri" w:hAnsi="Calibri" w:cs="Calibri"/>
                <w:color w:val="000000"/>
                <w:sz w:val="16"/>
                <w:szCs w:val="16"/>
              </w:rPr>
            </w:pPr>
          </w:p>
        </w:tc>
        <w:tc>
          <w:tcPr>
            <w:tcW w:w="1021" w:type="dxa"/>
            <w:tcBorders>
              <w:top w:val="nil"/>
              <w:left w:val="nil"/>
              <w:bottom w:val="nil"/>
              <w:right w:val="nil"/>
            </w:tcBorders>
            <w:shd w:val="clear" w:color="000000" w:fill="FFFFFF"/>
            <w:noWrap/>
            <w:vAlign w:val="bottom"/>
            <w:hideMark/>
          </w:tcPr>
          <w:p w14:paraId="07CD3952"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57E4F40E" w14:textId="77777777" w:rsidTr="00DC35A2">
        <w:tblPrEx>
          <w:tblCellMar>
            <w:right w:w="28" w:type="dxa"/>
          </w:tblCellMar>
        </w:tblPrEx>
        <w:trPr>
          <w:trHeight w:val="20"/>
        </w:trPr>
        <w:tc>
          <w:tcPr>
            <w:tcW w:w="3969" w:type="dxa"/>
            <w:gridSpan w:val="4"/>
            <w:tcBorders>
              <w:top w:val="single" w:sz="4" w:space="0" w:color="auto"/>
              <w:left w:val="single" w:sz="4" w:space="0" w:color="auto"/>
              <w:bottom w:val="nil"/>
              <w:right w:val="nil"/>
            </w:tcBorders>
            <w:shd w:val="clear" w:color="000000" w:fill="FFFFFF"/>
            <w:noWrap/>
            <w:vAlign w:val="bottom"/>
            <w:hideMark/>
          </w:tcPr>
          <w:p w14:paraId="5107025C" w14:textId="77777777" w:rsidR="00F672D2" w:rsidRPr="002636E1" w:rsidRDefault="00F672D2" w:rsidP="007F628D">
            <w:pPr>
              <w:spacing w:after="0"/>
              <w:rPr>
                <w:rFonts w:ascii="Calibri" w:hAnsi="Calibri" w:cs="Calibri"/>
                <w:b/>
                <w:bCs/>
                <w:color w:val="000000"/>
                <w:sz w:val="16"/>
                <w:szCs w:val="16"/>
              </w:rPr>
            </w:pPr>
            <w:r w:rsidRPr="002636E1">
              <w:rPr>
                <w:rFonts w:ascii="Calibri" w:hAnsi="Calibri" w:cs="Calibri"/>
                <w:b/>
                <w:bCs/>
                <w:color w:val="000000"/>
                <w:sz w:val="16"/>
                <w:szCs w:val="16"/>
              </w:rPr>
              <w:t xml:space="preserve">Ongoing Cost (over 9 years) (Medium 56) </w:t>
            </w:r>
          </w:p>
        </w:tc>
        <w:tc>
          <w:tcPr>
            <w:tcW w:w="850" w:type="dxa"/>
            <w:gridSpan w:val="2"/>
            <w:tcBorders>
              <w:top w:val="single" w:sz="4" w:space="0" w:color="auto"/>
              <w:left w:val="nil"/>
              <w:bottom w:val="single" w:sz="4" w:space="0" w:color="auto"/>
              <w:right w:val="nil"/>
            </w:tcBorders>
            <w:shd w:val="clear" w:color="000000" w:fill="FFFFFF"/>
            <w:vAlign w:val="bottom"/>
            <w:hideMark/>
          </w:tcPr>
          <w:p w14:paraId="14F266DB"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Education</w:t>
            </w:r>
          </w:p>
        </w:tc>
        <w:tc>
          <w:tcPr>
            <w:tcW w:w="836" w:type="dxa"/>
            <w:gridSpan w:val="2"/>
            <w:tcBorders>
              <w:top w:val="single" w:sz="4" w:space="0" w:color="auto"/>
              <w:left w:val="nil"/>
              <w:bottom w:val="single" w:sz="4" w:space="0" w:color="auto"/>
              <w:right w:val="nil"/>
            </w:tcBorders>
            <w:shd w:val="clear" w:color="000000" w:fill="FFFFFF"/>
            <w:vAlign w:val="bottom"/>
            <w:hideMark/>
          </w:tcPr>
          <w:p w14:paraId="32609476"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Record Keeping</w:t>
            </w:r>
          </w:p>
        </w:tc>
        <w:tc>
          <w:tcPr>
            <w:tcW w:w="1127" w:type="dxa"/>
            <w:tcBorders>
              <w:top w:val="single" w:sz="4" w:space="0" w:color="auto"/>
              <w:left w:val="nil"/>
              <w:bottom w:val="single" w:sz="4" w:space="0" w:color="auto"/>
              <w:right w:val="nil"/>
            </w:tcBorders>
            <w:shd w:val="clear" w:color="000000" w:fill="FFFFFF"/>
            <w:vAlign w:val="bottom"/>
            <w:hideMark/>
          </w:tcPr>
          <w:p w14:paraId="3E2C2F7C"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Purchasing</w:t>
            </w:r>
          </w:p>
        </w:tc>
        <w:tc>
          <w:tcPr>
            <w:tcW w:w="1127" w:type="dxa"/>
            <w:tcBorders>
              <w:top w:val="single" w:sz="4" w:space="0" w:color="auto"/>
              <w:left w:val="nil"/>
              <w:bottom w:val="single" w:sz="4" w:space="0" w:color="auto"/>
              <w:right w:val="nil"/>
            </w:tcBorders>
            <w:shd w:val="clear" w:color="000000" w:fill="FFFFFF"/>
            <w:vAlign w:val="bottom"/>
            <w:hideMark/>
          </w:tcPr>
          <w:p w14:paraId="40267FD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Publication and Documentation</w:t>
            </w:r>
          </w:p>
        </w:tc>
        <w:tc>
          <w:tcPr>
            <w:tcW w:w="1021" w:type="dxa"/>
            <w:tcBorders>
              <w:top w:val="single" w:sz="4" w:space="0" w:color="auto"/>
              <w:left w:val="nil"/>
              <w:bottom w:val="single" w:sz="4" w:space="0" w:color="auto"/>
              <w:right w:val="single" w:sz="4" w:space="0" w:color="auto"/>
            </w:tcBorders>
            <w:shd w:val="clear" w:color="000000" w:fill="FFFFFF"/>
            <w:vAlign w:val="bottom"/>
            <w:hideMark/>
          </w:tcPr>
          <w:p w14:paraId="200416A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Other</w:t>
            </w:r>
          </w:p>
        </w:tc>
      </w:tr>
      <w:tr w:rsidR="00F672D2" w:rsidRPr="002636E1" w14:paraId="1FDCF7AF"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0573A790"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businesses affected by activity </w:t>
            </w:r>
          </w:p>
        </w:tc>
        <w:tc>
          <w:tcPr>
            <w:tcW w:w="850" w:type="dxa"/>
            <w:gridSpan w:val="2"/>
            <w:tcBorders>
              <w:top w:val="nil"/>
              <w:left w:val="nil"/>
              <w:bottom w:val="nil"/>
              <w:right w:val="nil"/>
            </w:tcBorders>
            <w:shd w:val="clear" w:color="000000" w:fill="FFFFFF"/>
            <w:noWrap/>
            <w:vAlign w:val="bottom"/>
            <w:hideMark/>
          </w:tcPr>
          <w:p w14:paraId="40EFF70F"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50E5D9AF"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56</w:t>
            </w:r>
          </w:p>
        </w:tc>
        <w:tc>
          <w:tcPr>
            <w:tcW w:w="1127" w:type="dxa"/>
            <w:tcBorders>
              <w:top w:val="nil"/>
              <w:left w:val="nil"/>
              <w:bottom w:val="nil"/>
              <w:right w:val="nil"/>
            </w:tcBorders>
            <w:shd w:val="clear" w:color="000000" w:fill="FFFFFF"/>
            <w:noWrap/>
            <w:vAlign w:val="bottom"/>
            <w:hideMark/>
          </w:tcPr>
          <w:p w14:paraId="1CDCE33F"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56</w:t>
            </w:r>
          </w:p>
        </w:tc>
        <w:tc>
          <w:tcPr>
            <w:tcW w:w="1127" w:type="dxa"/>
            <w:tcBorders>
              <w:top w:val="nil"/>
              <w:left w:val="nil"/>
              <w:bottom w:val="nil"/>
              <w:right w:val="nil"/>
            </w:tcBorders>
            <w:shd w:val="clear" w:color="000000" w:fill="FFFFFF"/>
            <w:noWrap/>
            <w:vAlign w:val="bottom"/>
            <w:hideMark/>
          </w:tcPr>
          <w:p w14:paraId="6106A51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56</w:t>
            </w:r>
          </w:p>
        </w:tc>
        <w:tc>
          <w:tcPr>
            <w:tcW w:w="1021" w:type="dxa"/>
            <w:tcBorders>
              <w:top w:val="nil"/>
              <w:left w:val="nil"/>
              <w:bottom w:val="nil"/>
              <w:right w:val="single" w:sz="4" w:space="0" w:color="auto"/>
            </w:tcBorders>
            <w:shd w:val="clear" w:color="000000" w:fill="FFFFFF"/>
            <w:noWrap/>
            <w:vAlign w:val="bottom"/>
            <w:hideMark/>
          </w:tcPr>
          <w:p w14:paraId="56F8BFA5"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1E951669"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7B16A6C6"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staff per business performing activity </w:t>
            </w:r>
          </w:p>
        </w:tc>
        <w:tc>
          <w:tcPr>
            <w:tcW w:w="850" w:type="dxa"/>
            <w:gridSpan w:val="2"/>
            <w:tcBorders>
              <w:top w:val="nil"/>
              <w:left w:val="nil"/>
              <w:bottom w:val="nil"/>
              <w:right w:val="nil"/>
            </w:tcBorders>
            <w:shd w:val="clear" w:color="000000" w:fill="FFFFFF"/>
            <w:noWrap/>
            <w:vAlign w:val="bottom"/>
            <w:hideMark/>
          </w:tcPr>
          <w:p w14:paraId="2F08EE98"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04B61005"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1127" w:type="dxa"/>
            <w:tcBorders>
              <w:top w:val="nil"/>
              <w:left w:val="nil"/>
              <w:bottom w:val="nil"/>
              <w:right w:val="nil"/>
            </w:tcBorders>
            <w:shd w:val="clear" w:color="000000" w:fill="FFFFFF"/>
            <w:noWrap/>
            <w:vAlign w:val="bottom"/>
            <w:hideMark/>
          </w:tcPr>
          <w:p w14:paraId="57913847"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7928D8E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1021" w:type="dxa"/>
            <w:tcBorders>
              <w:top w:val="nil"/>
              <w:left w:val="nil"/>
              <w:bottom w:val="nil"/>
              <w:right w:val="single" w:sz="4" w:space="0" w:color="auto"/>
            </w:tcBorders>
            <w:shd w:val="clear" w:color="000000" w:fill="FFFFFF"/>
            <w:noWrap/>
            <w:vAlign w:val="bottom"/>
            <w:hideMark/>
          </w:tcPr>
          <w:p w14:paraId="2F16F3D6"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4F491348"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5889806D"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times activity performed per staff </w:t>
            </w:r>
          </w:p>
        </w:tc>
        <w:tc>
          <w:tcPr>
            <w:tcW w:w="850" w:type="dxa"/>
            <w:gridSpan w:val="2"/>
            <w:tcBorders>
              <w:top w:val="nil"/>
              <w:left w:val="nil"/>
              <w:bottom w:val="nil"/>
              <w:right w:val="nil"/>
            </w:tcBorders>
            <w:shd w:val="clear" w:color="000000" w:fill="FFFFFF"/>
            <w:noWrap/>
            <w:vAlign w:val="bottom"/>
            <w:hideMark/>
          </w:tcPr>
          <w:p w14:paraId="2E10BDF9"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5354D445"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1127" w:type="dxa"/>
            <w:tcBorders>
              <w:top w:val="nil"/>
              <w:left w:val="nil"/>
              <w:bottom w:val="nil"/>
              <w:right w:val="nil"/>
            </w:tcBorders>
            <w:shd w:val="clear" w:color="000000" w:fill="FFFFFF"/>
            <w:noWrap/>
            <w:vAlign w:val="bottom"/>
            <w:hideMark/>
          </w:tcPr>
          <w:p w14:paraId="78603A99"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1EB4F020"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1021" w:type="dxa"/>
            <w:tcBorders>
              <w:top w:val="nil"/>
              <w:left w:val="nil"/>
              <w:bottom w:val="nil"/>
              <w:right w:val="single" w:sz="4" w:space="0" w:color="auto"/>
            </w:tcBorders>
            <w:shd w:val="clear" w:color="000000" w:fill="FFFFFF"/>
            <w:noWrap/>
            <w:vAlign w:val="bottom"/>
            <w:hideMark/>
          </w:tcPr>
          <w:p w14:paraId="1E6CCEDF"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24096E0F"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41759BEE"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Avg. time of each staff to do activity (in hours)</w:t>
            </w:r>
          </w:p>
        </w:tc>
        <w:tc>
          <w:tcPr>
            <w:tcW w:w="850" w:type="dxa"/>
            <w:gridSpan w:val="2"/>
            <w:tcBorders>
              <w:top w:val="nil"/>
              <w:left w:val="nil"/>
              <w:bottom w:val="nil"/>
              <w:right w:val="nil"/>
            </w:tcBorders>
            <w:shd w:val="clear" w:color="000000" w:fill="FFFFFF"/>
            <w:noWrap/>
            <w:vAlign w:val="bottom"/>
            <w:hideMark/>
          </w:tcPr>
          <w:p w14:paraId="57EBCD14"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0C276D62"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80</w:t>
            </w:r>
          </w:p>
        </w:tc>
        <w:tc>
          <w:tcPr>
            <w:tcW w:w="1127" w:type="dxa"/>
            <w:tcBorders>
              <w:top w:val="nil"/>
              <w:left w:val="nil"/>
              <w:bottom w:val="nil"/>
              <w:right w:val="nil"/>
            </w:tcBorders>
            <w:shd w:val="clear" w:color="000000" w:fill="FFFFFF"/>
            <w:noWrap/>
            <w:vAlign w:val="bottom"/>
            <w:hideMark/>
          </w:tcPr>
          <w:p w14:paraId="5F9BF867"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7D958345"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80</w:t>
            </w:r>
          </w:p>
        </w:tc>
        <w:tc>
          <w:tcPr>
            <w:tcW w:w="1021" w:type="dxa"/>
            <w:tcBorders>
              <w:top w:val="nil"/>
              <w:left w:val="nil"/>
              <w:bottom w:val="nil"/>
              <w:right w:val="single" w:sz="4" w:space="0" w:color="auto"/>
            </w:tcBorders>
            <w:shd w:val="clear" w:color="000000" w:fill="FFFFFF"/>
            <w:noWrap/>
            <w:vAlign w:val="bottom"/>
            <w:hideMark/>
          </w:tcPr>
          <w:p w14:paraId="6BD9F7EF"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1951B219" w14:textId="77777777" w:rsidTr="00DC35A2">
        <w:tblPrEx>
          <w:tblCellMar>
            <w:right w:w="28" w:type="dxa"/>
          </w:tblCellMar>
        </w:tblPrEx>
        <w:trPr>
          <w:trHeight w:val="20"/>
        </w:trPr>
        <w:tc>
          <w:tcPr>
            <w:tcW w:w="3969" w:type="dxa"/>
            <w:gridSpan w:val="4"/>
            <w:tcBorders>
              <w:top w:val="nil"/>
              <w:left w:val="single" w:sz="4" w:space="0" w:color="auto"/>
              <w:bottom w:val="single" w:sz="4" w:space="0" w:color="auto"/>
              <w:right w:val="nil"/>
            </w:tcBorders>
            <w:shd w:val="clear" w:color="000000" w:fill="FFFFFF"/>
            <w:noWrap/>
            <w:vAlign w:val="bottom"/>
            <w:hideMark/>
          </w:tcPr>
          <w:p w14:paraId="18CFEE06"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Labour cost ($/hr) (wage + non-wage labour cost rate) </w:t>
            </w:r>
          </w:p>
        </w:tc>
        <w:tc>
          <w:tcPr>
            <w:tcW w:w="850" w:type="dxa"/>
            <w:gridSpan w:val="2"/>
            <w:tcBorders>
              <w:top w:val="nil"/>
              <w:left w:val="nil"/>
              <w:bottom w:val="single" w:sz="4" w:space="0" w:color="auto"/>
              <w:right w:val="nil"/>
            </w:tcBorders>
            <w:shd w:val="clear" w:color="000000" w:fill="FFFFFF"/>
            <w:noWrap/>
            <w:vAlign w:val="bottom"/>
            <w:hideMark/>
          </w:tcPr>
          <w:p w14:paraId="7BEB14F9"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single" w:sz="4" w:space="0" w:color="auto"/>
              <w:right w:val="nil"/>
            </w:tcBorders>
            <w:shd w:val="clear" w:color="000000" w:fill="FFFFFF"/>
            <w:noWrap/>
            <w:vAlign w:val="bottom"/>
            <w:hideMark/>
          </w:tcPr>
          <w:p w14:paraId="04908886"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82</w:t>
            </w:r>
          </w:p>
        </w:tc>
        <w:tc>
          <w:tcPr>
            <w:tcW w:w="1127" w:type="dxa"/>
            <w:tcBorders>
              <w:top w:val="nil"/>
              <w:left w:val="nil"/>
              <w:bottom w:val="single" w:sz="4" w:space="0" w:color="auto"/>
              <w:right w:val="nil"/>
            </w:tcBorders>
            <w:shd w:val="clear" w:color="000000" w:fill="FFFFFF"/>
            <w:noWrap/>
            <w:vAlign w:val="bottom"/>
            <w:hideMark/>
          </w:tcPr>
          <w:p w14:paraId="37D23E1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250,000</w:t>
            </w:r>
          </w:p>
        </w:tc>
        <w:tc>
          <w:tcPr>
            <w:tcW w:w="1127" w:type="dxa"/>
            <w:tcBorders>
              <w:top w:val="nil"/>
              <w:left w:val="nil"/>
              <w:bottom w:val="single" w:sz="4" w:space="0" w:color="auto"/>
              <w:right w:val="nil"/>
            </w:tcBorders>
            <w:shd w:val="clear" w:color="000000" w:fill="FFFFFF"/>
            <w:noWrap/>
            <w:vAlign w:val="bottom"/>
            <w:hideMark/>
          </w:tcPr>
          <w:p w14:paraId="17A4E827"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74</w:t>
            </w:r>
          </w:p>
        </w:tc>
        <w:tc>
          <w:tcPr>
            <w:tcW w:w="1021" w:type="dxa"/>
            <w:tcBorders>
              <w:top w:val="nil"/>
              <w:left w:val="nil"/>
              <w:bottom w:val="single" w:sz="4" w:space="0" w:color="auto"/>
              <w:right w:val="single" w:sz="4" w:space="0" w:color="auto"/>
            </w:tcBorders>
            <w:shd w:val="clear" w:color="000000" w:fill="FFFFFF"/>
            <w:noWrap/>
            <w:vAlign w:val="bottom"/>
            <w:hideMark/>
          </w:tcPr>
          <w:p w14:paraId="2C6AD3F2"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709DAE62"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6E2A31FC"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double" w:sz="6" w:space="0" w:color="auto"/>
              <w:right w:val="nil"/>
            </w:tcBorders>
            <w:shd w:val="clear" w:color="000000" w:fill="FFFFFF"/>
            <w:noWrap/>
            <w:vAlign w:val="bottom"/>
            <w:hideMark/>
          </w:tcPr>
          <w:p w14:paraId="63CC86A2"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w:t>
            </w:r>
          </w:p>
        </w:tc>
        <w:tc>
          <w:tcPr>
            <w:tcW w:w="836" w:type="dxa"/>
            <w:gridSpan w:val="2"/>
            <w:tcBorders>
              <w:top w:val="nil"/>
              <w:left w:val="nil"/>
              <w:bottom w:val="double" w:sz="6" w:space="0" w:color="auto"/>
              <w:right w:val="nil"/>
            </w:tcBorders>
            <w:shd w:val="clear" w:color="000000" w:fill="FFFFFF"/>
            <w:noWrap/>
            <w:vAlign w:val="bottom"/>
            <w:hideMark/>
          </w:tcPr>
          <w:p w14:paraId="3855D8E2"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9,212,000</w:t>
            </w:r>
          </w:p>
        </w:tc>
        <w:tc>
          <w:tcPr>
            <w:tcW w:w="1127" w:type="dxa"/>
            <w:tcBorders>
              <w:top w:val="nil"/>
              <w:left w:val="nil"/>
              <w:bottom w:val="double" w:sz="6" w:space="0" w:color="auto"/>
              <w:right w:val="nil"/>
            </w:tcBorders>
            <w:shd w:val="clear" w:color="000000" w:fill="FFFFFF"/>
            <w:noWrap/>
            <w:vAlign w:val="bottom"/>
            <w:hideMark/>
          </w:tcPr>
          <w:p w14:paraId="506E1C62"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14,000,000</w:t>
            </w:r>
          </w:p>
        </w:tc>
        <w:tc>
          <w:tcPr>
            <w:tcW w:w="1127" w:type="dxa"/>
            <w:tcBorders>
              <w:top w:val="nil"/>
              <w:left w:val="nil"/>
              <w:bottom w:val="double" w:sz="6" w:space="0" w:color="auto"/>
              <w:right w:val="nil"/>
            </w:tcBorders>
            <w:shd w:val="clear" w:color="000000" w:fill="FFFFFF"/>
            <w:noWrap/>
            <w:vAlign w:val="bottom"/>
            <w:hideMark/>
          </w:tcPr>
          <w:p w14:paraId="2B43C3FA"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8,232,000</w:t>
            </w:r>
          </w:p>
        </w:tc>
        <w:tc>
          <w:tcPr>
            <w:tcW w:w="1021" w:type="dxa"/>
            <w:tcBorders>
              <w:top w:val="nil"/>
              <w:left w:val="nil"/>
              <w:bottom w:val="double" w:sz="6" w:space="0" w:color="auto"/>
              <w:right w:val="nil"/>
            </w:tcBorders>
            <w:shd w:val="clear" w:color="000000" w:fill="FFFFFF"/>
            <w:noWrap/>
            <w:vAlign w:val="bottom"/>
            <w:hideMark/>
          </w:tcPr>
          <w:p w14:paraId="61C228A2" w14:textId="77777777" w:rsidR="00F672D2" w:rsidRPr="002636E1" w:rsidRDefault="00F672D2" w:rsidP="007F628D">
            <w:pPr>
              <w:spacing w:after="0"/>
              <w:jc w:val="right"/>
              <w:rPr>
                <w:rFonts w:ascii="Calibri" w:hAnsi="Calibri" w:cs="Calibri"/>
                <w:b/>
                <w:bCs/>
                <w:color w:val="000000"/>
                <w:sz w:val="16"/>
                <w:szCs w:val="16"/>
              </w:rPr>
            </w:pPr>
          </w:p>
        </w:tc>
      </w:tr>
      <w:tr w:rsidR="00F672D2" w:rsidRPr="002636E1" w14:paraId="4F825643"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6C37D624"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nil"/>
              <w:right w:val="nil"/>
            </w:tcBorders>
            <w:shd w:val="clear" w:color="000000" w:fill="FFFFFF"/>
            <w:noWrap/>
            <w:vAlign w:val="bottom"/>
            <w:hideMark/>
          </w:tcPr>
          <w:p w14:paraId="351F1CB0"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059C5E4A"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5AD9E1E5"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73BC040D" w14:textId="77777777" w:rsidR="00F672D2" w:rsidRPr="002636E1" w:rsidRDefault="00F672D2" w:rsidP="007F628D">
            <w:pPr>
              <w:spacing w:after="0"/>
              <w:jc w:val="right"/>
              <w:rPr>
                <w:rFonts w:ascii="Calibri" w:hAnsi="Calibri" w:cs="Calibri"/>
                <w:color w:val="000000"/>
                <w:sz w:val="16"/>
                <w:szCs w:val="16"/>
              </w:rPr>
            </w:pPr>
          </w:p>
        </w:tc>
        <w:tc>
          <w:tcPr>
            <w:tcW w:w="1021" w:type="dxa"/>
            <w:tcBorders>
              <w:top w:val="nil"/>
              <w:left w:val="nil"/>
              <w:bottom w:val="nil"/>
              <w:right w:val="nil"/>
            </w:tcBorders>
            <w:shd w:val="clear" w:color="000000" w:fill="FFFFFF"/>
            <w:noWrap/>
            <w:vAlign w:val="bottom"/>
            <w:hideMark/>
          </w:tcPr>
          <w:p w14:paraId="0EF45C37"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6C181A62" w14:textId="77777777" w:rsidTr="00DC35A2">
        <w:tblPrEx>
          <w:tblCellMar>
            <w:right w:w="28" w:type="dxa"/>
          </w:tblCellMar>
        </w:tblPrEx>
        <w:trPr>
          <w:trHeight w:val="20"/>
        </w:trPr>
        <w:tc>
          <w:tcPr>
            <w:tcW w:w="3969" w:type="dxa"/>
            <w:gridSpan w:val="4"/>
            <w:tcBorders>
              <w:top w:val="single" w:sz="4" w:space="0" w:color="auto"/>
              <w:left w:val="single" w:sz="4" w:space="0" w:color="auto"/>
              <w:bottom w:val="nil"/>
              <w:right w:val="nil"/>
            </w:tcBorders>
            <w:shd w:val="clear" w:color="000000" w:fill="FFFFFF"/>
            <w:noWrap/>
            <w:vAlign w:val="bottom"/>
            <w:hideMark/>
          </w:tcPr>
          <w:p w14:paraId="56342F97" w14:textId="77777777" w:rsidR="00F672D2" w:rsidRPr="002636E1" w:rsidRDefault="00F672D2" w:rsidP="007F628D">
            <w:pPr>
              <w:spacing w:after="0"/>
              <w:rPr>
                <w:rFonts w:ascii="Calibri" w:hAnsi="Calibri" w:cs="Calibri"/>
                <w:b/>
                <w:bCs/>
                <w:color w:val="000000"/>
                <w:sz w:val="16"/>
                <w:szCs w:val="16"/>
              </w:rPr>
            </w:pPr>
            <w:r w:rsidRPr="002636E1">
              <w:rPr>
                <w:rFonts w:ascii="Calibri" w:hAnsi="Calibri" w:cs="Calibri"/>
                <w:b/>
                <w:bCs/>
                <w:color w:val="000000"/>
                <w:sz w:val="16"/>
                <w:szCs w:val="16"/>
              </w:rPr>
              <w:t xml:space="preserve">Ongoing Cost (over 9 years) (Complex 10) </w:t>
            </w:r>
          </w:p>
        </w:tc>
        <w:tc>
          <w:tcPr>
            <w:tcW w:w="850" w:type="dxa"/>
            <w:gridSpan w:val="2"/>
            <w:tcBorders>
              <w:top w:val="single" w:sz="4" w:space="0" w:color="auto"/>
              <w:left w:val="nil"/>
              <w:bottom w:val="single" w:sz="4" w:space="0" w:color="auto"/>
              <w:right w:val="nil"/>
            </w:tcBorders>
            <w:shd w:val="clear" w:color="000000" w:fill="FFFFFF"/>
            <w:vAlign w:val="bottom"/>
            <w:hideMark/>
          </w:tcPr>
          <w:p w14:paraId="2B12993C"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Education</w:t>
            </w:r>
          </w:p>
        </w:tc>
        <w:tc>
          <w:tcPr>
            <w:tcW w:w="836" w:type="dxa"/>
            <w:gridSpan w:val="2"/>
            <w:tcBorders>
              <w:top w:val="single" w:sz="4" w:space="0" w:color="auto"/>
              <w:left w:val="nil"/>
              <w:bottom w:val="single" w:sz="4" w:space="0" w:color="auto"/>
              <w:right w:val="nil"/>
            </w:tcBorders>
            <w:shd w:val="clear" w:color="000000" w:fill="FFFFFF"/>
            <w:vAlign w:val="bottom"/>
            <w:hideMark/>
          </w:tcPr>
          <w:p w14:paraId="038D636C"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Record Keeping</w:t>
            </w:r>
          </w:p>
        </w:tc>
        <w:tc>
          <w:tcPr>
            <w:tcW w:w="1127" w:type="dxa"/>
            <w:tcBorders>
              <w:top w:val="single" w:sz="4" w:space="0" w:color="auto"/>
              <w:left w:val="nil"/>
              <w:bottom w:val="single" w:sz="4" w:space="0" w:color="auto"/>
              <w:right w:val="nil"/>
            </w:tcBorders>
            <w:shd w:val="clear" w:color="000000" w:fill="FFFFFF"/>
            <w:vAlign w:val="bottom"/>
            <w:hideMark/>
          </w:tcPr>
          <w:p w14:paraId="622BEACB"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Purchasing</w:t>
            </w:r>
          </w:p>
        </w:tc>
        <w:tc>
          <w:tcPr>
            <w:tcW w:w="1127" w:type="dxa"/>
            <w:tcBorders>
              <w:top w:val="single" w:sz="4" w:space="0" w:color="auto"/>
              <w:left w:val="nil"/>
              <w:bottom w:val="single" w:sz="4" w:space="0" w:color="auto"/>
              <w:right w:val="nil"/>
            </w:tcBorders>
            <w:shd w:val="clear" w:color="000000" w:fill="FFFFFF"/>
            <w:vAlign w:val="bottom"/>
            <w:hideMark/>
          </w:tcPr>
          <w:p w14:paraId="49DB4F4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Publication and Documentation</w:t>
            </w:r>
          </w:p>
        </w:tc>
        <w:tc>
          <w:tcPr>
            <w:tcW w:w="1021" w:type="dxa"/>
            <w:tcBorders>
              <w:top w:val="single" w:sz="4" w:space="0" w:color="auto"/>
              <w:left w:val="nil"/>
              <w:bottom w:val="single" w:sz="4" w:space="0" w:color="auto"/>
              <w:right w:val="single" w:sz="4" w:space="0" w:color="auto"/>
            </w:tcBorders>
            <w:shd w:val="clear" w:color="000000" w:fill="FFFFFF"/>
            <w:vAlign w:val="bottom"/>
            <w:hideMark/>
          </w:tcPr>
          <w:p w14:paraId="7D7E29D7"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Other</w:t>
            </w:r>
          </w:p>
        </w:tc>
      </w:tr>
      <w:tr w:rsidR="00F672D2" w:rsidRPr="002636E1" w14:paraId="5719B829"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73B91669"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businesses affected by activity </w:t>
            </w:r>
          </w:p>
        </w:tc>
        <w:tc>
          <w:tcPr>
            <w:tcW w:w="850" w:type="dxa"/>
            <w:gridSpan w:val="2"/>
            <w:tcBorders>
              <w:top w:val="nil"/>
              <w:left w:val="nil"/>
              <w:bottom w:val="nil"/>
              <w:right w:val="nil"/>
            </w:tcBorders>
            <w:shd w:val="clear" w:color="000000" w:fill="FFFFFF"/>
            <w:noWrap/>
            <w:vAlign w:val="bottom"/>
            <w:hideMark/>
          </w:tcPr>
          <w:p w14:paraId="1E9DC13E"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250B2E2F"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c>
          <w:tcPr>
            <w:tcW w:w="1127" w:type="dxa"/>
            <w:tcBorders>
              <w:top w:val="nil"/>
              <w:left w:val="nil"/>
              <w:bottom w:val="nil"/>
              <w:right w:val="nil"/>
            </w:tcBorders>
            <w:shd w:val="clear" w:color="000000" w:fill="FFFFFF"/>
            <w:noWrap/>
            <w:vAlign w:val="bottom"/>
            <w:hideMark/>
          </w:tcPr>
          <w:p w14:paraId="38F77F91"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c>
          <w:tcPr>
            <w:tcW w:w="1127" w:type="dxa"/>
            <w:tcBorders>
              <w:top w:val="nil"/>
              <w:left w:val="nil"/>
              <w:bottom w:val="nil"/>
              <w:right w:val="nil"/>
            </w:tcBorders>
            <w:shd w:val="clear" w:color="000000" w:fill="FFFFFF"/>
            <w:noWrap/>
            <w:vAlign w:val="bottom"/>
            <w:hideMark/>
          </w:tcPr>
          <w:p w14:paraId="09E5A3E3"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10</w:t>
            </w:r>
          </w:p>
        </w:tc>
        <w:tc>
          <w:tcPr>
            <w:tcW w:w="1021" w:type="dxa"/>
            <w:tcBorders>
              <w:top w:val="nil"/>
              <w:left w:val="nil"/>
              <w:bottom w:val="nil"/>
              <w:right w:val="single" w:sz="4" w:space="0" w:color="auto"/>
            </w:tcBorders>
            <w:shd w:val="clear" w:color="000000" w:fill="FFFFFF"/>
            <w:noWrap/>
            <w:vAlign w:val="bottom"/>
            <w:hideMark/>
          </w:tcPr>
          <w:p w14:paraId="49CCF682"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1EF80B93"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10BADC0F"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Number of staff per business performing activity</w:t>
            </w:r>
          </w:p>
        </w:tc>
        <w:tc>
          <w:tcPr>
            <w:tcW w:w="850" w:type="dxa"/>
            <w:gridSpan w:val="2"/>
            <w:tcBorders>
              <w:top w:val="nil"/>
              <w:left w:val="nil"/>
              <w:bottom w:val="nil"/>
              <w:right w:val="nil"/>
            </w:tcBorders>
            <w:shd w:val="clear" w:color="000000" w:fill="FFFFFF"/>
            <w:noWrap/>
            <w:vAlign w:val="bottom"/>
            <w:hideMark/>
          </w:tcPr>
          <w:p w14:paraId="6B98D2C9"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60DB50B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1127" w:type="dxa"/>
            <w:tcBorders>
              <w:top w:val="nil"/>
              <w:left w:val="nil"/>
              <w:bottom w:val="nil"/>
              <w:right w:val="nil"/>
            </w:tcBorders>
            <w:shd w:val="clear" w:color="000000" w:fill="FFFFFF"/>
            <w:noWrap/>
            <w:vAlign w:val="bottom"/>
            <w:hideMark/>
          </w:tcPr>
          <w:p w14:paraId="58B48BAB"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215EFD62"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w:t>
            </w:r>
          </w:p>
        </w:tc>
        <w:tc>
          <w:tcPr>
            <w:tcW w:w="1021" w:type="dxa"/>
            <w:tcBorders>
              <w:top w:val="nil"/>
              <w:left w:val="nil"/>
              <w:bottom w:val="nil"/>
              <w:right w:val="single" w:sz="4" w:space="0" w:color="auto"/>
            </w:tcBorders>
            <w:shd w:val="clear" w:color="000000" w:fill="FFFFFF"/>
            <w:noWrap/>
            <w:vAlign w:val="bottom"/>
            <w:hideMark/>
          </w:tcPr>
          <w:p w14:paraId="542B5F68"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520A14D7"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2CE0C45F"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Number of times activity performed per staff </w:t>
            </w:r>
          </w:p>
        </w:tc>
        <w:tc>
          <w:tcPr>
            <w:tcW w:w="850" w:type="dxa"/>
            <w:gridSpan w:val="2"/>
            <w:tcBorders>
              <w:top w:val="nil"/>
              <w:left w:val="nil"/>
              <w:bottom w:val="nil"/>
              <w:right w:val="nil"/>
            </w:tcBorders>
            <w:shd w:val="clear" w:color="000000" w:fill="FFFFFF"/>
            <w:noWrap/>
            <w:vAlign w:val="bottom"/>
            <w:hideMark/>
          </w:tcPr>
          <w:p w14:paraId="45DA2C4E"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5DE2843A"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1127" w:type="dxa"/>
            <w:tcBorders>
              <w:top w:val="nil"/>
              <w:left w:val="nil"/>
              <w:bottom w:val="nil"/>
              <w:right w:val="nil"/>
            </w:tcBorders>
            <w:shd w:val="clear" w:color="000000" w:fill="FFFFFF"/>
            <w:noWrap/>
            <w:vAlign w:val="bottom"/>
            <w:hideMark/>
          </w:tcPr>
          <w:p w14:paraId="55F78162"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132B5E0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w:t>
            </w:r>
          </w:p>
        </w:tc>
        <w:tc>
          <w:tcPr>
            <w:tcW w:w="1021" w:type="dxa"/>
            <w:tcBorders>
              <w:top w:val="nil"/>
              <w:left w:val="nil"/>
              <w:bottom w:val="nil"/>
              <w:right w:val="single" w:sz="4" w:space="0" w:color="auto"/>
            </w:tcBorders>
            <w:shd w:val="clear" w:color="000000" w:fill="FFFFFF"/>
            <w:noWrap/>
            <w:vAlign w:val="bottom"/>
            <w:hideMark/>
          </w:tcPr>
          <w:p w14:paraId="01C3DD36"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59828916" w14:textId="77777777" w:rsidTr="00DC35A2">
        <w:tblPrEx>
          <w:tblCellMar>
            <w:right w:w="28" w:type="dxa"/>
          </w:tblCellMar>
        </w:tblPrEx>
        <w:trPr>
          <w:trHeight w:val="20"/>
        </w:trPr>
        <w:tc>
          <w:tcPr>
            <w:tcW w:w="3969" w:type="dxa"/>
            <w:gridSpan w:val="4"/>
            <w:tcBorders>
              <w:top w:val="nil"/>
              <w:left w:val="single" w:sz="4" w:space="0" w:color="auto"/>
              <w:bottom w:val="nil"/>
              <w:right w:val="nil"/>
            </w:tcBorders>
            <w:shd w:val="clear" w:color="000000" w:fill="FFFFFF"/>
            <w:noWrap/>
            <w:vAlign w:val="bottom"/>
            <w:hideMark/>
          </w:tcPr>
          <w:p w14:paraId="67CE6D19"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Avg. time of each staff to do activity (in hours) </w:t>
            </w:r>
          </w:p>
        </w:tc>
        <w:tc>
          <w:tcPr>
            <w:tcW w:w="850" w:type="dxa"/>
            <w:gridSpan w:val="2"/>
            <w:tcBorders>
              <w:top w:val="nil"/>
              <w:left w:val="nil"/>
              <w:bottom w:val="nil"/>
              <w:right w:val="nil"/>
            </w:tcBorders>
            <w:shd w:val="clear" w:color="000000" w:fill="FFFFFF"/>
            <w:noWrap/>
            <w:vAlign w:val="bottom"/>
            <w:hideMark/>
          </w:tcPr>
          <w:p w14:paraId="753C45A0"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nil"/>
              <w:right w:val="nil"/>
            </w:tcBorders>
            <w:shd w:val="clear" w:color="000000" w:fill="FFFFFF"/>
            <w:noWrap/>
            <w:vAlign w:val="bottom"/>
            <w:hideMark/>
          </w:tcPr>
          <w:p w14:paraId="2447FA65"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80</w:t>
            </w:r>
          </w:p>
        </w:tc>
        <w:tc>
          <w:tcPr>
            <w:tcW w:w="1127" w:type="dxa"/>
            <w:tcBorders>
              <w:top w:val="nil"/>
              <w:left w:val="nil"/>
              <w:bottom w:val="nil"/>
              <w:right w:val="nil"/>
            </w:tcBorders>
            <w:shd w:val="clear" w:color="000000" w:fill="FFFFFF"/>
            <w:noWrap/>
            <w:vAlign w:val="bottom"/>
            <w:hideMark/>
          </w:tcPr>
          <w:p w14:paraId="785DC47D" w14:textId="77777777" w:rsidR="00F672D2" w:rsidRPr="002636E1" w:rsidRDefault="00F672D2" w:rsidP="007F628D">
            <w:pPr>
              <w:spacing w:after="0"/>
              <w:jc w:val="right"/>
              <w:rPr>
                <w:rFonts w:ascii="Calibri" w:hAnsi="Calibri" w:cs="Calibri"/>
                <w:color w:val="000000"/>
                <w:sz w:val="16"/>
                <w:szCs w:val="16"/>
              </w:rPr>
            </w:pPr>
          </w:p>
        </w:tc>
        <w:tc>
          <w:tcPr>
            <w:tcW w:w="1127" w:type="dxa"/>
            <w:tcBorders>
              <w:top w:val="nil"/>
              <w:left w:val="nil"/>
              <w:bottom w:val="nil"/>
              <w:right w:val="nil"/>
            </w:tcBorders>
            <w:shd w:val="clear" w:color="000000" w:fill="FFFFFF"/>
            <w:noWrap/>
            <w:vAlign w:val="bottom"/>
            <w:hideMark/>
          </w:tcPr>
          <w:p w14:paraId="4047DA68"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80</w:t>
            </w:r>
          </w:p>
        </w:tc>
        <w:tc>
          <w:tcPr>
            <w:tcW w:w="1021" w:type="dxa"/>
            <w:tcBorders>
              <w:top w:val="nil"/>
              <w:left w:val="nil"/>
              <w:bottom w:val="nil"/>
              <w:right w:val="single" w:sz="4" w:space="0" w:color="auto"/>
            </w:tcBorders>
            <w:shd w:val="clear" w:color="000000" w:fill="FFFFFF"/>
            <w:noWrap/>
            <w:vAlign w:val="bottom"/>
            <w:hideMark/>
          </w:tcPr>
          <w:p w14:paraId="1F92B04F"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1A0A61AB" w14:textId="77777777" w:rsidTr="00DC35A2">
        <w:tblPrEx>
          <w:tblCellMar>
            <w:right w:w="28" w:type="dxa"/>
          </w:tblCellMar>
        </w:tblPrEx>
        <w:trPr>
          <w:trHeight w:val="20"/>
        </w:trPr>
        <w:tc>
          <w:tcPr>
            <w:tcW w:w="3969" w:type="dxa"/>
            <w:gridSpan w:val="4"/>
            <w:tcBorders>
              <w:top w:val="nil"/>
              <w:left w:val="single" w:sz="4" w:space="0" w:color="auto"/>
              <w:bottom w:val="single" w:sz="4" w:space="0" w:color="auto"/>
              <w:right w:val="nil"/>
            </w:tcBorders>
            <w:shd w:val="clear" w:color="000000" w:fill="FFFFFF"/>
            <w:noWrap/>
            <w:vAlign w:val="bottom"/>
            <w:hideMark/>
          </w:tcPr>
          <w:p w14:paraId="7FD1E848"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xml:space="preserve">Labour cost ($/hr) (wage + non-wage labour cost rate) </w:t>
            </w:r>
          </w:p>
        </w:tc>
        <w:tc>
          <w:tcPr>
            <w:tcW w:w="850" w:type="dxa"/>
            <w:gridSpan w:val="2"/>
            <w:tcBorders>
              <w:top w:val="nil"/>
              <w:left w:val="nil"/>
              <w:bottom w:val="single" w:sz="4" w:space="0" w:color="auto"/>
              <w:right w:val="nil"/>
            </w:tcBorders>
            <w:shd w:val="clear" w:color="000000" w:fill="FFFFFF"/>
            <w:noWrap/>
            <w:vAlign w:val="bottom"/>
            <w:hideMark/>
          </w:tcPr>
          <w:p w14:paraId="32C90373" w14:textId="77777777" w:rsidR="00F672D2" w:rsidRPr="002636E1" w:rsidRDefault="00F672D2" w:rsidP="007F628D">
            <w:pPr>
              <w:spacing w:after="0"/>
              <w:jc w:val="right"/>
              <w:rPr>
                <w:rFonts w:ascii="Calibri" w:hAnsi="Calibri" w:cs="Calibri"/>
                <w:color w:val="000000"/>
                <w:sz w:val="16"/>
                <w:szCs w:val="16"/>
              </w:rPr>
            </w:pPr>
          </w:p>
        </w:tc>
        <w:tc>
          <w:tcPr>
            <w:tcW w:w="836" w:type="dxa"/>
            <w:gridSpan w:val="2"/>
            <w:tcBorders>
              <w:top w:val="nil"/>
              <w:left w:val="nil"/>
              <w:bottom w:val="single" w:sz="4" w:space="0" w:color="auto"/>
              <w:right w:val="nil"/>
            </w:tcBorders>
            <w:shd w:val="clear" w:color="000000" w:fill="FFFFFF"/>
            <w:noWrap/>
            <w:vAlign w:val="bottom"/>
            <w:hideMark/>
          </w:tcPr>
          <w:p w14:paraId="64961ED4"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82</w:t>
            </w:r>
          </w:p>
        </w:tc>
        <w:tc>
          <w:tcPr>
            <w:tcW w:w="1127" w:type="dxa"/>
            <w:tcBorders>
              <w:top w:val="nil"/>
              <w:left w:val="nil"/>
              <w:bottom w:val="single" w:sz="4" w:space="0" w:color="auto"/>
              <w:right w:val="nil"/>
            </w:tcBorders>
            <w:shd w:val="clear" w:color="000000" w:fill="FFFFFF"/>
            <w:noWrap/>
            <w:vAlign w:val="bottom"/>
            <w:hideMark/>
          </w:tcPr>
          <w:p w14:paraId="6E2992DD"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500,000</w:t>
            </w:r>
          </w:p>
        </w:tc>
        <w:tc>
          <w:tcPr>
            <w:tcW w:w="1127" w:type="dxa"/>
            <w:tcBorders>
              <w:top w:val="nil"/>
              <w:left w:val="nil"/>
              <w:bottom w:val="single" w:sz="4" w:space="0" w:color="auto"/>
              <w:right w:val="nil"/>
            </w:tcBorders>
            <w:shd w:val="clear" w:color="000000" w:fill="FFFFFF"/>
            <w:noWrap/>
            <w:vAlign w:val="bottom"/>
            <w:hideMark/>
          </w:tcPr>
          <w:p w14:paraId="4BF41F0C" w14:textId="77777777" w:rsidR="00F672D2" w:rsidRPr="002636E1" w:rsidRDefault="00F672D2" w:rsidP="007F628D">
            <w:pPr>
              <w:spacing w:after="0"/>
              <w:jc w:val="right"/>
              <w:rPr>
                <w:rFonts w:ascii="Calibri" w:hAnsi="Calibri" w:cs="Calibri"/>
                <w:color w:val="000000"/>
                <w:sz w:val="16"/>
                <w:szCs w:val="16"/>
              </w:rPr>
            </w:pPr>
            <w:r w:rsidRPr="002636E1">
              <w:rPr>
                <w:rFonts w:ascii="Calibri" w:hAnsi="Calibri" w:cs="Calibri"/>
                <w:color w:val="000000"/>
                <w:sz w:val="16"/>
                <w:szCs w:val="16"/>
              </w:rPr>
              <w:t>74</w:t>
            </w:r>
          </w:p>
        </w:tc>
        <w:tc>
          <w:tcPr>
            <w:tcW w:w="1021" w:type="dxa"/>
            <w:tcBorders>
              <w:top w:val="nil"/>
              <w:left w:val="nil"/>
              <w:bottom w:val="single" w:sz="4" w:space="0" w:color="auto"/>
              <w:right w:val="single" w:sz="4" w:space="0" w:color="auto"/>
            </w:tcBorders>
            <w:shd w:val="clear" w:color="000000" w:fill="FFFFFF"/>
            <w:noWrap/>
            <w:vAlign w:val="bottom"/>
            <w:hideMark/>
          </w:tcPr>
          <w:p w14:paraId="6F57E573" w14:textId="77777777" w:rsidR="00F672D2" w:rsidRPr="002636E1" w:rsidRDefault="00F672D2" w:rsidP="007F628D">
            <w:pPr>
              <w:spacing w:after="0"/>
              <w:jc w:val="right"/>
              <w:rPr>
                <w:rFonts w:ascii="Calibri" w:hAnsi="Calibri" w:cs="Calibri"/>
                <w:color w:val="000000"/>
                <w:sz w:val="16"/>
                <w:szCs w:val="16"/>
              </w:rPr>
            </w:pPr>
          </w:p>
        </w:tc>
      </w:tr>
      <w:tr w:rsidR="00F672D2" w:rsidRPr="002636E1" w14:paraId="1EAD939C" w14:textId="77777777" w:rsidTr="00DC35A2">
        <w:tblPrEx>
          <w:tblCellMar>
            <w:right w:w="28" w:type="dxa"/>
          </w:tblCellMar>
        </w:tblPrEx>
        <w:trPr>
          <w:trHeight w:val="20"/>
        </w:trPr>
        <w:tc>
          <w:tcPr>
            <w:tcW w:w="3969" w:type="dxa"/>
            <w:gridSpan w:val="4"/>
            <w:tcBorders>
              <w:top w:val="nil"/>
              <w:left w:val="nil"/>
              <w:bottom w:val="nil"/>
              <w:right w:val="nil"/>
            </w:tcBorders>
            <w:shd w:val="clear" w:color="000000" w:fill="FFFFFF"/>
            <w:noWrap/>
            <w:vAlign w:val="bottom"/>
            <w:hideMark/>
          </w:tcPr>
          <w:p w14:paraId="1B519E63" w14:textId="77777777" w:rsidR="00F672D2" w:rsidRPr="002636E1" w:rsidRDefault="00F672D2" w:rsidP="007F628D">
            <w:pPr>
              <w:spacing w:after="0"/>
              <w:rPr>
                <w:rFonts w:ascii="Calibri" w:hAnsi="Calibri" w:cs="Calibri"/>
                <w:color w:val="000000"/>
                <w:sz w:val="16"/>
                <w:szCs w:val="16"/>
              </w:rPr>
            </w:pPr>
            <w:r w:rsidRPr="002636E1">
              <w:rPr>
                <w:rFonts w:ascii="Calibri" w:hAnsi="Calibri" w:cs="Calibri"/>
                <w:color w:val="000000"/>
                <w:sz w:val="16"/>
                <w:szCs w:val="16"/>
              </w:rPr>
              <w:t> </w:t>
            </w:r>
          </w:p>
        </w:tc>
        <w:tc>
          <w:tcPr>
            <w:tcW w:w="850" w:type="dxa"/>
            <w:gridSpan w:val="2"/>
            <w:tcBorders>
              <w:top w:val="nil"/>
              <w:left w:val="nil"/>
              <w:bottom w:val="double" w:sz="6" w:space="0" w:color="auto"/>
              <w:right w:val="nil"/>
            </w:tcBorders>
            <w:shd w:val="clear" w:color="000000" w:fill="FFFFFF"/>
            <w:noWrap/>
            <w:vAlign w:val="bottom"/>
            <w:hideMark/>
          </w:tcPr>
          <w:p w14:paraId="2535F776"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w:t>
            </w:r>
          </w:p>
        </w:tc>
        <w:tc>
          <w:tcPr>
            <w:tcW w:w="836" w:type="dxa"/>
            <w:gridSpan w:val="2"/>
            <w:tcBorders>
              <w:top w:val="nil"/>
              <w:left w:val="nil"/>
              <w:bottom w:val="double" w:sz="6" w:space="0" w:color="auto"/>
              <w:right w:val="nil"/>
            </w:tcBorders>
            <w:shd w:val="clear" w:color="000000" w:fill="FFFFFF"/>
            <w:noWrap/>
            <w:vAlign w:val="bottom"/>
            <w:hideMark/>
          </w:tcPr>
          <w:p w14:paraId="226325E3"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1,645,000</w:t>
            </w:r>
          </w:p>
        </w:tc>
        <w:tc>
          <w:tcPr>
            <w:tcW w:w="1127" w:type="dxa"/>
            <w:tcBorders>
              <w:top w:val="nil"/>
              <w:left w:val="nil"/>
              <w:bottom w:val="double" w:sz="6" w:space="0" w:color="auto"/>
              <w:right w:val="nil"/>
            </w:tcBorders>
            <w:shd w:val="clear" w:color="000000" w:fill="FFFFFF"/>
            <w:noWrap/>
            <w:vAlign w:val="bottom"/>
            <w:hideMark/>
          </w:tcPr>
          <w:p w14:paraId="50B13BE6"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5,000,000</w:t>
            </w:r>
          </w:p>
        </w:tc>
        <w:tc>
          <w:tcPr>
            <w:tcW w:w="1127" w:type="dxa"/>
            <w:tcBorders>
              <w:top w:val="nil"/>
              <w:left w:val="nil"/>
              <w:bottom w:val="double" w:sz="6" w:space="0" w:color="auto"/>
              <w:right w:val="nil"/>
            </w:tcBorders>
            <w:shd w:val="clear" w:color="000000" w:fill="FFFFFF"/>
            <w:noWrap/>
            <w:vAlign w:val="bottom"/>
            <w:hideMark/>
          </w:tcPr>
          <w:p w14:paraId="3A53B681"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2,058,000</w:t>
            </w:r>
          </w:p>
        </w:tc>
        <w:tc>
          <w:tcPr>
            <w:tcW w:w="1021" w:type="dxa"/>
            <w:tcBorders>
              <w:top w:val="nil"/>
              <w:left w:val="nil"/>
              <w:bottom w:val="double" w:sz="6" w:space="0" w:color="auto"/>
              <w:right w:val="nil"/>
            </w:tcBorders>
            <w:shd w:val="clear" w:color="000000" w:fill="FFFFFF"/>
            <w:noWrap/>
            <w:vAlign w:val="bottom"/>
            <w:hideMark/>
          </w:tcPr>
          <w:p w14:paraId="388D456F" w14:textId="77777777" w:rsidR="00F672D2" w:rsidRPr="002636E1" w:rsidRDefault="00F672D2" w:rsidP="007F628D">
            <w:pPr>
              <w:spacing w:after="0"/>
              <w:jc w:val="right"/>
              <w:rPr>
                <w:rFonts w:ascii="Calibri" w:hAnsi="Calibri" w:cs="Calibri"/>
                <w:b/>
                <w:bCs/>
                <w:color w:val="000000"/>
                <w:sz w:val="16"/>
                <w:szCs w:val="16"/>
              </w:rPr>
            </w:pPr>
            <w:r w:rsidRPr="002636E1">
              <w:rPr>
                <w:rFonts w:ascii="Calibri" w:hAnsi="Calibri" w:cs="Calibri"/>
                <w:b/>
                <w:bCs/>
                <w:color w:val="000000"/>
                <w:sz w:val="16"/>
                <w:szCs w:val="16"/>
              </w:rPr>
              <w:t>-</w:t>
            </w:r>
          </w:p>
        </w:tc>
      </w:tr>
    </w:tbl>
    <w:p w14:paraId="560F637E" w14:textId="094BAA37" w:rsidR="00E401CE" w:rsidRPr="008F1B7C" w:rsidRDefault="00E401CE" w:rsidP="00B447D6"/>
    <w:p w14:paraId="18631ACD" w14:textId="0AA18F3E" w:rsidR="00070FBB" w:rsidRPr="008F1B7C" w:rsidRDefault="00E401CE" w:rsidP="00912E29">
      <w:pPr>
        <w:rPr>
          <w:b/>
        </w:rPr>
      </w:pPr>
      <w:r w:rsidRPr="008F1B7C">
        <w:rPr>
          <w:b/>
        </w:rPr>
        <w:lastRenderedPageBreak/>
        <w:t xml:space="preserve">Appendix </w:t>
      </w:r>
      <w:r w:rsidR="00CB5BF6" w:rsidRPr="008F1B7C">
        <w:rPr>
          <w:b/>
        </w:rPr>
        <w:t>E</w:t>
      </w:r>
      <w:r w:rsidRPr="008F1B7C">
        <w:rPr>
          <w:b/>
        </w:rPr>
        <w:t xml:space="preserve"> </w:t>
      </w:r>
      <w:r w:rsidR="000959D3" w:rsidRPr="008F1B7C">
        <w:rPr>
          <w:b/>
        </w:rPr>
        <w:t>–</w:t>
      </w:r>
      <w:r w:rsidR="00F27135" w:rsidRPr="008F1B7C">
        <w:rPr>
          <w:b/>
        </w:rPr>
        <w:t xml:space="preserve"> </w:t>
      </w:r>
      <w:r w:rsidR="008D69E7" w:rsidRPr="008F1B7C">
        <w:rPr>
          <w:b/>
        </w:rPr>
        <w:t>A</w:t>
      </w:r>
      <w:r w:rsidR="000959D3" w:rsidRPr="008F1B7C">
        <w:rPr>
          <w:b/>
        </w:rPr>
        <w:t>nticipated</w:t>
      </w:r>
      <w:r w:rsidR="008D69E7" w:rsidRPr="008F1B7C">
        <w:rPr>
          <w:b/>
        </w:rPr>
        <w:t xml:space="preserve"> B</w:t>
      </w:r>
      <w:r w:rsidR="000959D3" w:rsidRPr="008F1B7C">
        <w:rPr>
          <w:b/>
        </w:rPr>
        <w:t>enefits</w:t>
      </w:r>
    </w:p>
    <w:p w14:paraId="7A8BD6BC" w14:textId="0AE8B093" w:rsidR="0058200E" w:rsidRPr="008F1B7C" w:rsidRDefault="0058200E" w:rsidP="0058200E">
      <w:pPr>
        <w:rPr>
          <w:b/>
          <w:u w:val="single"/>
        </w:rPr>
      </w:pPr>
      <w:r w:rsidRPr="008F1B7C">
        <w:rPr>
          <w:b/>
          <w:u w:val="single"/>
        </w:rPr>
        <w:t xml:space="preserve">Expanding coverage of member outcomes data </w:t>
      </w:r>
      <w:proofErr w:type="gramStart"/>
      <w:r w:rsidRPr="008F1B7C">
        <w:rPr>
          <w:b/>
          <w:u w:val="single"/>
        </w:rPr>
        <w:t>to Choice</w:t>
      </w:r>
      <w:proofErr w:type="gramEnd"/>
      <w:r w:rsidRPr="008F1B7C">
        <w:rPr>
          <w:b/>
          <w:u w:val="single"/>
        </w:rPr>
        <w:t xml:space="preserve"> products: Investment performance and administration fees</w:t>
      </w:r>
    </w:p>
    <w:p w14:paraId="2C1CC487" w14:textId="77777777" w:rsidR="0058200E" w:rsidRPr="008F1B7C" w:rsidRDefault="0058200E" w:rsidP="0058200E">
      <w:pPr>
        <w:spacing w:after="0"/>
        <w:rPr>
          <w:b/>
          <w:sz w:val="18"/>
        </w:rPr>
      </w:pPr>
    </w:p>
    <w:p w14:paraId="528F2E63" w14:textId="25B58126" w:rsidR="0058200E" w:rsidRPr="008F1B7C" w:rsidRDefault="0058200E" w:rsidP="00B447D6">
      <w:pPr>
        <w:spacing w:after="0"/>
        <w:rPr>
          <w:b/>
          <w:sz w:val="18"/>
        </w:rPr>
      </w:pPr>
      <w:r w:rsidRPr="008F1B7C">
        <w:rPr>
          <w:b/>
          <w:sz w:val="18"/>
        </w:rPr>
        <w:t>Table 1: Estimated benefits from addressing underperformance in Choice products</w:t>
      </w:r>
    </w:p>
    <w:tbl>
      <w:tblPr>
        <w:tblW w:w="9498" w:type="dxa"/>
        <w:tblLayout w:type="fixed"/>
        <w:tblCellMar>
          <w:left w:w="0" w:type="dxa"/>
          <w:right w:w="0" w:type="dxa"/>
        </w:tblCellMar>
        <w:tblLook w:val="04A0" w:firstRow="1" w:lastRow="0" w:firstColumn="1" w:lastColumn="0" w:noHBand="0" w:noVBand="1"/>
      </w:tblPr>
      <w:tblGrid>
        <w:gridCol w:w="4395"/>
        <w:gridCol w:w="2268"/>
        <w:gridCol w:w="1417"/>
        <w:gridCol w:w="1418"/>
      </w:tblGrid>
      <w:tr w:rsidR="00EB650F" w:rsidRPr="00C56132" w14:paraId="7DE74574" w14:textId="77777777" w:rsidTr="00A22E9D">
        <w:trPr>
          <w:trHeight w:val="20"/>
        </w:trPr>
        <w:tc>
          <w:tcPr>
            <w:tcW w:w="4395" w:type="dxa"/>
            <w:shd w:val="clear" w:color="000000" w:fill="FFFFFF"/>
            <w:noWrap/>
            <w:tcMar>
              <w:top w:w="15" w:type="dxa"/>
              <w:left w:w="15" w:type="dxa"/>
              <w:bottom w:w="0" w:type="dxa"/>
              <w:right w:w="15" w:type="dxa"/>
            </w:tcMar>
            <w:vAlign w:val="bottom"/>
            <w:hideMark/>
          </w:tcPr>
          <w:p w14:paraId="0CF40793" w14:textId="77777777" w:rsidR="00EB650F" w:rsidRPr="004C122A" w:rsidRDefault="00EB650F" w:rsidP="007F628D">
            <w:pPr>
              <w:spacing w:after="0"/>
              <w:rPr>
                <w:rFonts w:ascii="Calibri" w:hAnsi="Calibri" w:cs="Calibri"/>
                <w:color w:val="000000"/>
                <w:sz w:val="16"/>
                <w:szCs w:val="16"/>
              </w:rPr>
            </w:pPr>
            <w:r w:rsidRPr="004C122A">
              <w:rPr>
                <w:rFonts w:ascii="Calibri" w:hAnsi="Calibri" w:cs="Calibri"/>
                <w:color w:val="000000"/>
                <w:sz w:val="16"/>
                <w:szCs w:val="16"/>
              </w:rPr>
              <w:t> </w:t>
            </w:r>
          </w:p>
        </w:tc>
        <w:tc>
          <w:tcPr>
            <w:tcW w:w="2268" w:type="dxa"/>
            <w:shd w:val="clear" w:color="000000" w:fill="FFFFFF"/>
            <w:noWrap/>
            <w:tcMar>
              <w:top w:w="15" w:type="dxa"/>
              <w:left w:w="15" w:type="dxa"/>
              <w:bottom w:w="0" w:type="dxa"/>
              <w:right w:w="15" w:type="dxa"/>
            </w:tcMar>
            <w:vAlign w:val="bottom"/>
            <w:hideMark/>
          </w:tcPr>
          <w:p w14:paraId="08D34788" w14:textId="77777777" w:rsidR="00EB650F" w:rsidRPr="004C122A" w:rsidRDefault="00EB650F" w:rsidP="007F628D">
            <w:pPr>
              <w:spacing w:after="0"/>
              <w:rPr>
                <w:rFonts w:ascii="Calibri" w:hAnsi="Calibri" w:cs="Calibri"/>
                <w:color w:val="000000"/>
                <w:sz w:val="16"/>
                <w:szCs w:val="16"/>
              </w:rPr>
            </w:pPr>
            <w:r w:rsidRPr="004C122A">
              <w:rPr>
                <w:rFonts w:ascii="Calibri" w:hAnsi="Calibri" w:cs="Calibri"/>
                <w:color w:val="000000"/>
                <w:sz w:val="16"/>
                <w:szCs w:val="16"/>
              </w:rPr>
              <w:t> </w:t>
            </w:r>
          </w:p>
        </w:tc>
        <w:tc>
          <w:tcPr>
            <w:tcW w:w="1417" w:type="dxa"/>
            <w:shd w:val="clear" w:color="000000" w:fill="FFFFFF"/>
            <w:tcMar>
              <w:top w:w="15" w:type="dxa"/>
              <w:left w:w="15" w:type="dxa"/>
              <w:bottom w:w="0" w:type="dxa"/>
              <w:right w:w="15" w:type="dxa"/>
            </w:tcMar>
            <w:vAlign w:val="bottom"/>
            <w:hideMark/>
          </w:tcPr>
          <w:p w14:paraId="2C6BD791" w14:textId="77777777" w:rsidR="00EB650F" w:rsidRPr="004C122A" w:rsidRDefault="00EB650F" w:rsidP="007F628D">
            <w:pPr>
              <w:spacing w:after="0"/>
              <w:jc w:val="center"/>
              <w:rPr>
                <w:rFonts w:ascii="Calibri" w:hAnsi="Calibri" w:cs="Calibri"/>
                <w:b/>
                <w:bCs/>
                <w:color w:val="000000"/>
                <w:sz w:val="16"/>
                <w:szCs w:val="16"/>
              </w:rPr>
            </w:pPr>
            <w:r w:rsidRPr="004C122A">
              <w:rPr>
                <w:rFonts w:ascii="Calibri" w:hAnsi="Calibri" w:cs="Calibri"/>
                <w:b/>
                <w:bCs/>
                <w:color w:val="000000"/>
                <w:sz w:val="16"/>
                <w:szCs w:val="16"/>
              </w:rPr>
              <w:t>Underperforming investment options</w:t>
            </w:r>
          </w:p>
        </w:tc>
        <w:tc>
          <w:tcPr>
            <w:tcW w:w="1418" w:type="dxa"/>
            <w:shd w:val="clear" w:color="000000" w:fill="FFFFFF"/>
            <w:tcMar>
              <w:top w:w="15" w:type="dxa"/>
              <w:left w:w="15" w:type="dxa"/>
              <w:bottom w:w="0" w:type="dxa"/>
              <w:right w:w="15" w:type="dxa"/>
            </w:tcMar>
            <w:vAlign w:val="bottom"/>
            <w:hideMark/>
          </w:tcPr>
          <w:p w14:paraId="4039A121" w14:textId="77777777" w:rsidR="00EB650F" w:rsidRPr="004C122A" w:rsidRDefault="00EB650F" w:rsidP="007F628D">
            <w:pPr>
              <w:spacing w:after="0"/>
              <w:jc w:val="center"/>
              <w:rPr>
                <w:rFonts w:ascii="Calibri" w:hAnsi="Calibri" w:cs="Calibri"/>
                <w:b/>
                <w:bCs/>
                <w:color w:val="000000"/>
                <w:sz w:val="16"/>
                <w:szCs w:val="16"/>
              </w:rPr>
            </w:pPr>
            <w:r w:rsidRPr="004C122A">
              <w:rPr>
                <w:rFonts w:ascii="Calibri" w:hAnsi="Calibri" w:cs="Calibri"/>
                <w:b/>
                <w:bCs/>
                <w:color w:val="000000"/>
                <w:sz w:val="16"/>
                <w:szCs w:val="16"/>
              </w:rPr>
              <w:t>High administration fees</w:t>
            </w:r>
          </w:p>
        </w:tc>
      </w:tr>
      <w:tr w:rsidR="00EB650F" w:rsidRPr="00C56132" w14:paraId="63609EAE" w14:textId="77777777" w:rsidTr="00A22E9D">
        <w:trPr>
          <w:trHeight w:val="20"/>
        </w:trPr>
        <w:tc>
          <w:tcPr>
            <w:tcW w:w="4395" w:type="dxa"/>
            <w:shd w:val="clear" w:color="000000" w:fill="FFFFFF"/>
            <w:noWrap/>
            <w:tcMar>
              <w:top w:w="15" w:type="dxa"/>
              <w:left w:w="15" w:type="dxa"/>
              <w:bottom w:w="0" w:type="dxa"/>
              <w:right w:w="15" w:type="dxa"/>
            </w:tcMar>
            <w:vAlign w:val="bottom"/>
            <w:hideMark/>
          </w:tcPr>
          <w:p w14:paraId="2C606482" w14:textId="77777777" w:rsidR="00EB650F" w:rsidRPr="004C122A" w:rsidRDefault="00EB650F" w:rsidP="007F628D">
            <w:pPr>
              <w:spacing w:after="0"/>
              <w:rPr>
                <w:rFonts w:ascii="Calibri" w:hAnsi="Calibri" w:cs="Calibri"/>
                <w:i/>
                <w:iCs/>
                <w:color w:val="000000"/>
                <w:sz w:val="16"/>
                <w:szCs w:val="16"/>
              </w:rPr>
            </w:pPr>
            <w:r w:rsidRPr="004C122A">
              <w:rPr>
                <w:rFonts w:ascii="Calibri" w:hAnsi="Calibri" w:cs="Calibri"/>
                <w:i/>
                <w:iCs/>
                <w:color w:val="000000"/>
                <w:sz w:val="16"/>
                <w:szCs w:val="16"/>
              </w:rPr>
              <w:t>Estimated proportion of choice assets (%)</w:t>
            </w:r>
          </w:p>
        </w:tc>
        <w:tc>
          <w:tcPr>
            <w:tcW w:w="2268" w:type="dxa"/>
            <w:shd w:val="clear" w:color="000000" w:fill="FFFFFF"/>
            <w:noWrap/>
            <w:tcMar>
              <w:top w:w="15" w:type="dxa"/>
              <w:left w:w="15" w:type="dxa"/>
              <w:bottom w:w="0" w:type="dxa"/>
              <w:right w:w="15" w:type="dxa"/>
            </w:tcMar>
            <w:vAlign w:val="bottom"/>
            <w:hideMark/>
          </w:tcPr>
          <w:p w14:paraId="08FCA253" w14:textId="77777777" w:rsidR="00EB650F" w:rsidRPr="004C122A" w:rsidRDefault="00EB650F" w:rsidP="007F628D">
            <w:pPr>
              <w:spacing w:after="0"/>
              <w:rPr>
                <w:rFonts w:ascii="Calibri" w:hAnsi="Calibri" w:cs="Calibri"/>
                <w:color w:val="000000"/>
                <w:sz w:val="16"/>
                <w:szCs w:val="16"/>
              </w:rPr>
            </w:pPr>
            <w:r w:rsidRPr="004C122A">
              <w:rPr>
                <w:rFonts w:ascii="Calibri" w:hAnsi="Calibri" w:cs="Calibri"/>
                <w:color w:val="000000"/>
                <w:sz w:val="16"/>
                <w:szCs w:val="16"/>
              </w:rPr>
              <w:t> </w:t>
            </w:r>
          </w:p>
        </w:tc>
        <w:tc>
          <w:tcPr>
            <w:tcW w:w="1417" w:type="dxa"/>
            <w:shd w:val="clear" w:color="000000" w:fill="FFFFFF"/>
            <w:noWrap/>
            <w:tcMar>
              <w:top w:w="15" w:type="dxa"/>
              <w:left w:w="15" w:type="dxa"/>
              <w:bottom w:w="0" w:type="dxa"/>
              <w:right w:w="15" w:type="dxa"/>
            </w:tcMar>
            <w:vAlign w:val="bottom"/>
            <w:hideMark/>
          </w:tcPr>
          <w:p w14:paraId="5EEC0E7C"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15%</w:t>
            </w:r>
          </w:p>
        </w:tc>
        <w:tc>
          <w:tcPr>
            <w:tcW w:w="1418" w:type="dxa"/>
            <w:shd w:val="clear" w:color="000000" w:fill="FFFFFF"/>
            <w:noWrap/>
            <w:tcMar>
              <w:top w:w="15" w:type="dxa"/>
              <w:left w:w="15" w:type="dxa"/>
              <w:bottom w:w="0" w:type="dxa"/>
              <w:right w:w="15" w:type="dxa"/>
            </w:tcMar>
            <w:vAlign w:val="bottom"/>
            <w:hideMark/>
          </w:tcPr>
          <w:p w14:paraId="20F49E10"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14%</w:t>
            </w:r>
          </w:p>
        </w:tc>
      </w:tr>
      <w:tr w:rsidR="00EB650F" w:rsidRPr="00C56132" w14:paraId="08D7BD65" w14:textId="77777777" w:rsidTr="00A22E9D">
        <w:trPr>
          <w:trHeight w:val="20"/>
        </w:trPr>
        <w:tc>
          <w:tcPr>
            <w:tcW w:w="4395" w:type="dxa"/>
            <w:shd w:val="clear" w:color="000000" w:fill="FFFFFF"/>
            <w:noWrap/>
            <w:tcMar>
              <w:top w:w="15" w:type="dxa"/>
              <w:left w:w="15" w:type="dxa"/>
              <w:bottom w:w="0" w:type="dxa"/>
              <w:right w:w="15" w:type="dxa"/>
            </w:tcMar>
            <w:vAlign w:val="bottom"/>
            <w:hideMark/>
          </w:tcPr>
          <w:p w14:paraId="0CB4755F" w14:textId="77777777" w:rsidR="00EB650F" w:rsidRPr="004C122A" w:rsidRDefault="00EB650F" w:rsidP="007F628D">
            <w:pPr>
              <w:spacing w:after="0"/>
              <w:rPr>
                <w:rFonts w:ascii="Calibri" w:hAnsi="Calibri" w:cs="Calibri"/>
                <w:i/>
                <w:iCs/>
                <w:color w:val="000000"/>
                <w:sz w:val="16"/>
                <w:szCs w:val="16"/>
              </w:rPr>
            </w:pPr>
            <w:r w:rsidRPr="004C122A">
              <w:rPr>
                <w:rFonts w:ascii="Calibri" w:hAnsi="Calibri" w:cs="Calibri"/>
                <w:i/>
                <w:iCs/>
                <w:color w:val="000000"/>
                <w:sz w:val="16"/>
                <w:szCs w:val="16"/>
              </w:rPr>
              <w:t>Estimated underperforming choice assets ($ millions)</w:t>
            </w:r>
          </w:p>
        </w:tc>
        <w:tc>
          <w:tcPr>
            <w:tcW w:w="2268" w:type="dxa"/>
            <w:shd w:val="clear" w:color="000000" w:fill="FFFFFF"/>
            <w:noWrap/>
            <w:tcMar>
              <w:top w:w="15" w:type="dxa"/>
              <w:left w:w="15" w:type="dxa"/>
              <w:bottom w:w="0" w:type="dxa"/>
              <w:right w:w="15" w:type="dxa"/>
            </w:tcMar>
            <w:vAlign w:val="bottom"/>
            <w:hideMark/>
          </w:tcPr>
          <w:p w14:paraId="0207702B" w14:textId="77777777" w:rsidR="00EB650F" w:rsidRPr="004C122A" w:rsidRDefault="00EB650F" w:rsidP="007F628D">
            <w:pPr>
              <w:spacing w:after="0"/>
              <w:rPr>
                <w:rFonts w:ascii="Calibri" w:hAnsi="Calibri" w:cs="Calibri"/>
                <w:color w:val="000000"/>
                <w:sz w:val="16"/>
                <w:szCs w:val="16"/>
              </w:rPr>
            </w:pPr>
            <w:r w:rsidRPr="004C122A">
              <w:rPr>
                <w:rFonts w:ascii="Calibri" w:hAnsi="Calibri" w:cs="Calibri"/>
                <w:color w:val="000000"/>
                <w:sz w:val="16"/>
                <w:szCs w:val="16"/>
              </w:rPr>
              <w:t> </w:t>
            </w:r>
          </w:p>
        </w:tc>
        <w:tc>
          <w:tcPr>
            <w:tcW w:w="1417" w:type="dxa"/>
            <w:shd w:val="clear" w:color="000000" w:fill="FFFFFF"/>
            <w:noWrap/>
            <w:tcMar>
              <w:top w:w="15" w:type="dxa"/>
              <w:left w:w="15" w:type="dxa"/>
              <w:bottom w:w="0" w:type="dxa"/>
              <w:right w:w="15" w:type="dxa"/>
            </w:tcMar>
            <w:vAlign w:val="bottom"/>
            <w:hideMark/>
          </w:tcPr>
          <w:p w14:paraId="7266CD00"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129,000</w:t>
            </w:r>
          </w:p>
        </w:tc>
        <w:tc>
          <w:tcPr>
            <w:tcW w:w="1418" w:type="dxa"/>
            <w:shd w:val="clear" w:color="000000" w:fill="FFFFFF"/>
            <w:noWrap/>
            <w:tcMar>
              <w:top w:w="15" w:type="dxa"/>
              <w:left w:w="15" w:type="dxa"/>
              <w:bottom w:w="0" w:type="dxa"/>
              <w:right w:w="15" w:type="dxa"/>
            </w:tcMar>
            <w:vAlign w:val="bottom"/>
            <w:hideMark/>
          </w:tcPr>
          <w:p w14:paraId="6CD37FB9"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116,000</w:t>
            </w:r>
          </w:p>
        </w:tc>
      </w:tr>
      <w:tr w:rsidR="00EB650F" w:rsidRPr="00C56132" w14:paraId="7CAEC250" w14:textId="77777777" w:rsidTr="00A22E9D">
        <w:trPr>
          <w:trHeight w:val="20"/>
        </w:trPr>
        <w:tc>
          <w:tcPr>
            <w:tcW w:w="4395" w:type="dxa"/>
            <w:shd w:val="clear" w:color="000000" w:fill="FFFFFF"/>
            <w:noWrap/>
            <w:tcMar>
              <w:top w:w="15" w:type="dxa"/>
              <w:left w:w="15" w:type="dxa"/>
              <w:bottom w:w="0" w:type="dxa"/>
              <w:right w:w="15" w:type="dxa"/>
            </w:tcMar>
            <w:vAlign w:val="bottom"/>
            <w:hideMark/>
          </w:tcPr>
          <w:p w14:paraId="57896F6E" w14:textId="77777777" w:rsidR="00EB650F" w:rsidRPr="004C122A" w:rsidRDefault="00EB650F" w:rsidP="007F628D">
            <w:pPr>
              <w:spacing w:after="0"/>
              <w:rPr>
                <w:rFonts w:ascii="Calibri" w:hAnsi="Calibri" w:cs="Calibri"/>
                <w:i/>
                <w:iCs/>
                <w:color w:val="000000"/>
                <w:sz w:val="16"/>
                <w:szCs w:val="16"/>
              </w:rPr>
            </w:pPr>
            <w:r w:rsidRPr="004C122A">
              <w:rPr>
                <w:rFonts w:ascii="Calibri" w:hAnsi="Calibri" w:cs="Calibri"/>
                <w:i/>
                <w:iCs/>
                <w:color w:val="000000"/>
                <w:sz w:val="16"/>
                <w:szCs w:val="16"/>
              </w:rPr>
              <w:t>Estimated benefit from addressing underperformance ($ millions)</w:t>
            </w:r>
          </w:p>
        </w:tc>
        <w:tc>
          <w:tcPr>
            <w:tcW w:w="2268" w:type="dxa"/>
            <w:shd w:val="clear" w:color="000000" w:fill="FFFFFF"/>
            <w:noWrap/>
            <w:tcMar>
              <w:top w:w="15" w:type="dxa"/>
              <w:left w:w="15" w:type="dxa"/>
              <w:bottom w:w="0" w:type="dxa"/>
              <w:right w:w="15" w:type="dxa"/>
            </w:tcMar>
            <w:vAlign w:val="bottom"/>
            <w:hideMark/>
          </w:tcPr>
          <w:p w14:paraId="4E84C173" w14:textId="77777777" w:rsidR="00EB650F" w:rsidRPr="004C122A" w:rsidRDefault="00EB650F" w:rsidP="007F628D">
            <w:pPr>
              <w:spacing w:after="0"/>
              <w:rPr>
                <w:rFonts w:ascii="Calibri" w:hAnsi="Calibri" w:cs="Calibri"/>
                <w:color w:val="000000"/>
                <w:sz w:val="16"/>
                <w:szCs w:val="16"/>
              </w:rPr>
            </w:pPr>
            <w:r w:rsidRPr="004C122A">
              <w:rPr>
                <w:rFonts w:ascii="Calibri" w:hAnsi="Calibri" w:cs="Calibri"/>
                <w:color w:val="000000"/>
                <w:sz w:val="16"/>
                <w:szCs w:val="16"/>
              </w:rPr>
              <w:t> </w:t>
            </w:r>
          </w:p>
        </w:tc>
        <w:tc>
          <w:tcPr>
            <w:tcW w:w="1417" w:type="dxa"/>
            <w:shd w:val="clear" w:color="000000" w:fill="FFFFFF"/>
            <w:noWrap/>
            <w:tcMar>
              <w:top w:w="15" w:type="dxa"/>
              <w:left w:w="15" w:type="dxa"/>
              <w:bottom w:w="0" w:type="dxa"/>
              <w:right w:w="15" w:type="dxa"/>
            </w:tcMar>
            <w:vAlign w:val="bottom"/>
            <w:hideMark/>
          </w:tcPr>
          <w:p w14:paraId="55FE4798"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610</w:t>
            </w:r>
          </w:p>
        </w:tc>
        <w:tc>
          <w:tcPr>
            <w:tcW w:w="1418" w:type="dxa"/>
            <w:shd w:val="clear" w:color="000000" w:fill="FFFFFF"/>
            <w:noWrap/>
            <w:tcMar>
              <w:top w:w="15" w:type="dxa"/>
              <w:left w:w="15" w:type="dxa"/>
              <w:bottom w:w="0" w:type="dxa"/>
              <w:right w:w="15" w:type="dxa"/>
            </w:tcMar>
            <w:vAlign w:val="bottom"/>
            <w:hideMark/>
          </w:tcPr>
          <w:p w14:paraId="170D84DD"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670</w:t>
            </w:r>
          </w:p>
        </w:tc>
      </w:tr>
      <w:tr w:rsidR="00EB650F" w:rsidRPr="00C56132" w14:paraId="0F8E38D7" w14:textId="77777777" w:rsidTr="00A22E9D">
        <w:trPr>
          <w:trHeight w:val="20"/>
        </w:trPr>
        <w:tc>
          <w:tcPr>
            <w:tcW w:w="4395" w:type="dxa"/>
            <w:vMerge w:val="restart"/>
            <w:shd w:val="clear" w:color="000000" w:fill="FFFFFF"/>
            <w:tcMar>
              <w:top w:w="15" w:type="dxa"/>
              <w:left w:w="315" w:type="dxa"/>
              <w:bottom w:w="0" w:type="dxa"/>
              <w:right w:w="15" w:type="dxa"/>
            </w:tcMar>
            <w:hideMark/>
          </w:tcPr>
          <w:p w14:paraId="57616176" w14:textId="77777777" w:rsidR="00EB650F" w:rsidRPr="004C122A" w:rsidRDefault="00EB650F" w:rsidP="0089741B">
            <w:pPr>
              <w:spacing w:after="0"/>
              <w:ind w:left="-315"/>
              <w:rPr>
                <w:rFonts w:ascii="Calibri" w:hAnsi="Calibri" w:cs="Calibri"/>
                <w:i/>
                <w:iCs/>
                <w:color w:val="000000"/>
                <w:sz w:val="16"/>
                <w:szCs w:val="16"/>
              </w:rPr>
            </w:pPr>
            <w:r w:rsidRPr="004C122A">
              <w:rPr>
                <w:rFonts w:ascii="Calibri" w:hAnsi="Calibri" w:cs="Calibri"/>
                <w:i/>
                <w:iCs/>
                <w:color w:val="000000"/>
                <w:sz w:val="16"/>
                <w:szCs w:val="16"/>
              </w:rPr>
              <w:t>Percentage improvement to underperforming assets needed to offset costs (%)</w:t>
            </w:r>
          </w:p>
        </w:tc>
        <w:tc>
          <w:tcPr>
            <w:tcW w:w="2268" w:type="dxa"/>
            <w:shd w:val="clear" w:color="000000" w:fill="FFFFFF"/>
            <w:noWrap/>
            <w:tcMar>
              <w:top w:w="15" w:type="dxa"/>
              <w:left w:w="15" w:type="dxa"/>
              <w:bottom w:w="0" w:type="dxa"/>
              <w:right w:w="15" w:type="dxa"/>
            </w:tcMar>
            <w:vAlign w:val="bottom"/>
            <w:hideMark/>
          </w:tcPr>
          <w:p w14:paraId="4DE4C302" w14:textId="77777777" w:rsidR="00EB650F" w:rsidRPr="004C122A" w:rsidRDefault="00EB650F" w:rsidP="007F628D">
            <w:pPr>
              <w:spacing w:after="0"/>
              <w:jc w:val="right"/>
              <w:rPr>
                <w:rFonts w:ascii="Calibri" w:hAnsi="Calibri" w:cs="Calibri"/>
                <w:i/>
                <w:iCs/>
                <w:color w:val="000000"/>
                <w:sz w:val="16"/>
                <w:szCs w:val="16"/>
              </w:rPr>
            </w:pPr>
            <w:r w:rsidRPr="004C122A">
              <w:rPr>
                <w:rFonts w:ascii="Calibri" w:hAnsi="Calibri" w:cs="Calibri"/>
                <w:i/>
                <w:iCs/>
                <w:color w:val="000000"/>
                <w:sz w:val="16"/>
                <w:szCs w:val="16"/>
              </w:rPr>
              <w:t>Option 2</w:t>
            </w:r>
          </w:p>
        </w:tc>
        <w:tc>
          <w:tcPr>
            <w:tcW w:w="1417" w:type="dxa"/>
            <w:shd w:val="clear" w:color="000000" w:fill="FFFFFF"/>
            <w:noWrap/>
            <w:tcMar>
              <w:top w:w="15" w:type="dxa"/>
              <w:left w:w="15" w:type="dxa"/>
              <w:bottom w:w="0" w:type="dxa"/>
              <w:right w:w="15" w:type="dxa"/>
            </w:tcMar>
            <w:vAlign w:val="bottom"/>
            <w:hideMark/>
          </w:tcPr>
          <w:p w14:paraId="5C1A0715"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0.03</w:t>
            </w:r>
          </w:p>
        </w:tc>
        <w:tc>
          <w:tcPr>
            <w:tcW w:w="1418" w:type="dxa"/>
            <w:shd w:val="clear" w:color="000000" w:fill="FFFFFF"/>
            <w:noWrap/>
            <w:tcMar>
              <w:top w:w="15" w:type="dxa"/>
              <w:left w:w="15" w:type="dxa"/>
              <w:bottom w:w="0" w:type="dxa"/>
              <w:right w:w="15" w:type="dxa"/>
            </w:tcMar>
            <w:vAlign w:val="bottom"/>
            <w:hideMark/>
          </w:tcPr>
          <w:p w14:paraId="6D8E84EC"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0.03</w:t>
            </w:r>
          </w:p>
        </w:tc>
      </w:tr>
      <w:tr w:rsidR="00EB650F" w:rsidRPr="00C56132" w14:paraId="2B988289" w14:textId="77777777" w:rsidTr="00A22E9D">
        <w:trPr>
          <w:trHeight w:val="20"/>
        </w:trPr>
        <w:tc>
          <w:tcPr>
            <w:tcW w:w="4395" w:type="dxa"/>
            <w:vMerge/>
            <w:vAlign w:val="center"/>
            <w:hideMark/>
          </w:tcPr>
          <w:p w14:paraId="5E27412F" w14:textId="77777777" w:rsidR="00EB650F" w:rsidRPr="004C122A" w:rsidRDefault="00EB650F" w:rsidP="007F628D">
            <w:pPr>
              <w:spacing w:after="0"/>
              <w:rPr>
                <w:rFonts w:ascii="Calibri" w:hAnsi="Calibri" w:cs="Calibri"/>
                <w:i/>
                <w:iCs/>
                <w:color w:val="000000"/>
                <w:sz w:val="16"/>
                <w:szCs w:val="16"/>
              </w:rPr>
            </w:pPr>
          </w:p>
        </w:tc>
        <w:tc>
          <w:tcPr>
            <w:tcW w:w="2268" w:type="dxa"/>
            <w:shd w:val="clear" w:color="000000" w:fill="FFFFFF"/>
            <w:noWrap/>
            <w:tcMar>
              <w:top w:w="15" w:type="dxa"/>
              <w:left w:w="15" w:type="dxa"/>
              <w:bottom w:w="0" w:type="dxa"/>
              <w:right w:w="15" w:type="dxa"/>
            </w:tcMar>
            <w:vAlign w:val="bottom"/>
            <w:hideMark/>
          </w:tcPr>
          <w:p w14:paraId="22FC80F1" w14:textId="77777777" w:rsidR="00EB650F" w:rsidRPr="004C122A" w:rsidRDefault="00EB650F" w:rsidP="007F628D">
            <w:pPr>
              <w:spacing w:after="0"/>
              <w:jc w:val="right"/>
              <w:rPr>
                <w:rFonts w:ascii="Calibri" w:hAnsi="Calibri" w:cs="Calibri"/>
                <w:i/>
                <w:iCs/>
                <w:color w:val="000000"/>
                <w:sz w:val="16"/>
                <w:szCs w:val="16"/>
              </w:rPr>
            </w:pPr>
            <w:r w:rsidRPr="004C122A">
              <w:rPr>
                <w:rFonts w:ascii="Calibri" w:hAnsi="Calibri" w:cs="Calibri"/>
                <w:i/>
                <w:iCs/>
                <w:color w:val="000000"/>
                <w:sz w:val="16"/>
                <w:szCs w:val="16"/>
              </w:rPr>
              <w:t>Option 3 or 4</w:t>
            </w:r>
          </w:p>
        </w:tc>
        <w:tc>
          <w:tcPr>
            <w:tcW w:w="1417" w:type="dxa"/>
            <w:shd w:val="clear" w:color="000000" w:fill="FFFFFF"/>
            <w:noWrap/>
            <w:tcMar>
              <w:top w:w="15" w:type="dxa"/>
              <w:left w:w="15" w:type="dxa"/>
              <w:bottom w:w="0" w:type="dxa"/>
              <w:right w:w="15" w:type="dxa"/>
            </w:tcMar>
            <w:vAlign w:val="bottom"/>
            <w:hideMark/>
          </w:tcPr>
          <w:p w14:paraId="4BEB615C"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0.04</w:t>
            </w:r>
          </w:p>
        </w:tc>
        <w:tc>
          <w:tcPr>
            <w:tcW w:w="1418" w:type="dxa"/>
            <w:shd w:val="clear" w:color="000000" w:fill="FFFFFF"/>
            <w:noWrap/>
            <w:tcMar>
              <w:top w:w="15" w:type="dxa"/>
              <w:left w:w="15" w:type="dxa"/>
              <w:bottom w:w="0" w:type="dxa"/>
              <w:right w:w="15" w:type="dxa"/>
            </w:tcMar>
            <w:vAlign w:val="bottom"/>
            <w:hideMark/>
          </w:tcPr>
          <w:p w14:paraId="2002EF06"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0.04</w:t>
            </w:r>
          </w:p>
        </w:tc>
      </w:tr>
      <w:tr w:rsidR="00EB650F" w:rsidRPr="00C56132" w14:paraId="40183D4B" w14:textId="77777777" w:rsidTr="00A22E9D">
        <w:trPr>
          <w:trHeight w:val="20"/>
        </w:trPr>
        <w:tc>
          <w:tcPr>
            <w:tcW w:w="4395" w:type="dxa"/>
            <w:vMerge/>
            <w:vAlign w:val="center"/>
            <w:hideMark/>
          </w:tcPr>
          <w:p w14:paraId="14D494F1" w14:textId="77777777" w:rsidR="00EB650F" w:rsidRPr="004C122A" w:rsidRDefault="00EB650F" w:rsidP="007F628D">
            <w:pPr>
              <w:spacing w:after="0"/>
              <w:rPr>
                <w:rFonts w:ascii="Calibri" w:hAnsi="Calibri" w:cs="Calibri"/>
                <w:i/>
                <w:iCs/>
                <w:color w:val="000000"/>
                <w:sz w:val="16"/>
                <w:szCs w:val="16"/>
              </w:rPr>
            </w:pPr>
          </w:p>
        </w:tc>
        <w:tc>
          <w:tcPr>
            <w:tcW w:w="2268" w:type="dxa"/>
            <w:shd w:val="clear" w:color="000000" w:fill="FFFFFF"/>
            <w:noWrap/>
            <w:tcMar>
              <w:top w:w="15" w:type="dxa"/>
              <w:left w:w="15" w:type="dxa"/>
              <w:bottom w:w="0" w:type="dxa"/>
              <w:right w:w="15" w:type="dxa"/>
            </w:tcMar>
            <w:vAlign w:val="bottom"/>
            <w:hideMark/>
          </w:tcPr>
          <w:p w14:paraId="3A62ACDB" w14:textId="77777777" w:rsidR="00EB650F" w:rsidRPr="004C122A" w:rsidRDefault="00EB650F" w:rsidP="007F628D">
            <w:pPr>
              <w:spacing w:after="0"/>
              <w:jc w:val="right"/>
              <w:rPr>
                <w:rFonts w:ascii="Calibri" w:hAnsi="Calibri" w:cs="Calibri"/>
                <w:i/>
                <w:iCs/>
                <w:color w:val="000000"/>
                <w:sz w:val="16"/>
                <w:szCs w:val="16"/>
              </w:rPr>
            </w:pPr>
            <w:r w:rsidRPr="004C122A">
              <w:rPr>
                <w:rFonts w:ascii="Calibri" w:hAnsi="Calibri" w:cs="Calibri"/>
                <w:i/>
                <w:iCs/>
                <w:color w:val="000000"/>
                <w:sz w:val="16"/>
                <w:szCs w:val="16"/>
              </w:rPr>
              <w:t>Incremental cost of option 3 and 4</w:t>
            </w:r>
          </w:p>
        </w:tc>
        <w:tc>
          <w:tcPr>
            <w:tcW w:w="1417" w:type="dxa"/>
            <w:shd w:val="clear" w:color="000000" w:fill="FFFFFF"/>
            <w:noWrap/>
            <w:tcMar>
              <w:top w:w="15" w:type="dxa"/>
              <w:left w:w="15" w:type="dxa"/>
              <w:bottom w:w="0" w:type="dxa"/>
              <w:right w:w="15" w:type="dxa"/>
            </w:tcMar>
            <w:vAlign w:val="bottom"/>
            <w:hideMark/>
          </w:tcPr>
          <w:p w14:paraId="768E1616"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0.01</w:t>
            </w:r>
          </w:p>
        </w:tc>
        <w:tc>
          <w:tcPr>
            <w:tcW w:w="1418" w:type="dxa"/>
            <w:shd w:val="clear" w:color="000000" w:fill="FFFFFF"/>
            <w:noWrap/>
            <w:tcMar>
              <w:top w:w="15" w:type="dxa"/>
              <w:left w:w="15" w:type="dxa"/>
              <w:bottom w:w="0" w:type="dxa"/>
              <w:right w:w="15" w:type="dxa"/>
            </w:tcMar>
            <w:vAlign w:val="bottom"/>
            <w:hideMark/>
          </w:tcPr>
          <w:p w14:paraId="43F2439A"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0.01</w:t>
            </w:r>
          </w:p>
        </w:tc>
      </w:tr>
      <w:tr w:rsidR="00EB650F" w:rsidRPr="00C56132" w14:paraId="76498655" w14:textId="77777777" w:rsidTr="00A22E9D">
        <w:trPr>
          <w:trHeight w:val="20"/>
        </w:trPr>
        <w:tc>
          <w:tcPr>
            <w:tcW w:w="4395" w:type="dxa"/>
            <w:shd w:val="clear" w:color="000000" w:fill="FFFFFF"/>
            <w:noWrap/>
            <w:tcMar>
              <w:top w:w="15" w:type="dxa"/>
              <w:left w:w="15" w:type="dxa"/>
              <w:bottom w:w="0" w:type="dxa"/>
              <w:right w:w="15" w:type="dxa"/>
            </w:tcMar>
            <w:vAlign w:val="bottom"/>
            <w:hideMark/>
          </w:tcPr>
          <w:p w14:paraId="7CF4319F" w14:textId="77777777" w:rsidR="00EB650F" w:rsidRPr="004C122A" w:rsidRDefault="00EB650F" w:rsidP="007F628D">
            <w:pPr>
              <w:spacing w:after="0"/>
              <w:rPr>
                <w:rFonts w:ascii="Calibri" w:hAnsi="Calibri" w:cs="Calibri"/>
                <w:i/>
                <w:iCs/>
                <w:color w:val="000000"/>
                <w:sz w:val="16"/>
                <w:szCs w:val="16"/>
              </w:rPr>
            </w:pPr>
            <w:r w:rsidRPr="004C122A">
              <w:rPr>
                <w:rFonts w:ascii="Calibri" w:hAnsi="Calibri" w:cs="Calibri"/>
                <w:i/>
                <w:iCs/>
                <w:color w:val="000000"/>
                <w:sz w:val="16"/>
                <w:szCs w:val="16"/>
              </w:rPr>
              <w:t>Total choice assets ($ millions)</w:t>
            </w:r>
          </w:p>
        </w:tc>
        <w:tc>
          <w:tcPr>
            <w:tcW w:w="2268" w:type="dxa"/>
            <w:shd w:val="clear" w:color="000000" w:fill="FFFFFF"/>
            <w:noWrap/>
            <w:tcMar>
              <w:top w:w="15" w:type="dxa"/>
              <w:left w:w="15" w:type="dxa"/>
              <w:bottom w:w="0" w:type="dxa"/>
              <w:right w:w="15" w:type="dxa"/>
            </w:tcMar>
            <w:vAlign w:val="bottom"/>
            <w:hideMark/>
          </w:tcPr>
          <w:p w14:paraId="3F2096A0" w14:textId="77777777" w:rsidR="00EB650F" w:rsidRPr="004C122A" w:rsidRDefault="00EB650F" w:rsidP="007F628D">
            <w:pPr>
              <w:spacing w:after="0"/>
              <w:rPr>
                <w:rFonts w:ascii="Calibri" w:hAnsi="Calibri" w:cs="Calibri"/>
                <w:color w:val="000000"/>
                <w:sz w:val="16"/>
                <w:szCs w:val="16"/>
              </w:rPr>
            </w:pPr>
            <w:r w:rsidRPr="004C122A">
              <w:rPr>
                <w:rFonts w:ascii="Calibri" w:hAnsi="Calibri" w:cs="Calibri"/>
                <w:color w:val="000000"/>
                <w:sz w:val="16"/>
                <w:szCs w:val="16"/>
              </w:rPr>
              <w:t> </w:t>
            </w:r>
          </w:p>
        </w:tc>
        <w:tc>
          <w:tcPr>
            <w:tcW w:w="1417" w:type="dxa"/>
            <w:shd w:val="clear" w:color="000000" w:fill="FFFFFF"/>
            <w:noWrap/>
            <w:tcMar>
              <w:top w:w="15" w:type="dxa"/>
              <w:left w:w="15" w:type="dxa"/>
              <w:bottom w:w="0" w:type="dxa"/>
              <w:right w:w="15" w:type="dxa"/>
            </w:tcMar>
            <w:vAlign w:val="bottom"/>
            <w:hideMark/>
          </w:tcPr>
          <w:p w14:paraId="603F4753"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859,000</w:t>
            </w:r>
          </w:p>
        </w:tc>
        <w:tc>
          <w:tcPr>
            <w:tcW w:w="1418" w:type="dxa"/>
            <w:shd w:val="clear" w:color="000000" w:fill="FFFFFF"/>
            <w:noWrap/>
            <w:tcMar>
              <w:top w:w="15" w:type="dxa"/>
              <w:left w:w="15" w:type="dxa"/>
              <w:bottom w:w="0" w:type="dxa"/>
              <w:right w:w="15" w:type="dxa"/>
            </w:tcMar>
            <w:vAlign w:val="bottom"/>
            <w:hideMark/>
          </w:tcPr>
          <w:p w14:paraId="76A014C3" w14:textId="77777777" w:rsidR="00EB650F" w:rsidRPr="004C122A" w:rsidRDefault="00EB650F" w:rsidP="007F628D">
            <w:pPr>
              <w:spacing w:after="0"/>
              <w:jc w:val="center"/>
              <w:rPr>
                <w:rFonts w:ascii="Calibri" w:hAnsi="Calibri" w:cs="Calibri"/>
                <w:color w:val="000000"/>
                <w:sz w:val="16"/>
                <w:szCs w:val="16"/>
              </w:rPr>
            </w:pPr>
            <w:r w:rsidRPr="004C122A">
              <w:rPr>
                <w:rFonts w:ascii="Calibri" w:hAnsi="Calibri" w:cs="Calibri"/>
                <w:color w:val="000000"/>
                <w:sz w:val="16"/>
                <w:szCs w:val="16"/>
              </w:rPr>
              <w:t>859,000</w:t>
            </w:r>
          </w:p>
        </w:tc>
      </w:tr>
    </w:tbl>
    <w:p w14:paraId="1A00BD67" w14:textId="77777777" w:rsidR="00EB650F" w:rsidRDefault="00EB650F" w:rsidP="00EB650F">
      <w:pPr>
        <w:spacing w:after="0"/>
        <w:rPr>
          <w:b/>
          <w:u w:val="single"/>
        </w:rPr>
      </w:pPr>
    </w:p>
    <w:p w14:paraId="7E2B79F7" w14:textId="2A9E67CC" w:rsidR="00912E29" w:rsidRPr="008F1B7C" w:rsidRDefault="00A47906" w:rsidP="00912E29">
      <w:pPr>
        <w:rPr>
          <w:b/>
          <w:u w:val="single"/>
        </w:rPr>
      </w:pPr>
      <w:r w:rsidRPr="008F1B7C">
        <w:rPr>
          <w:b/>
          <w:u w:val="single"/>
        </w:rPr>
        <w:t>Investment performance</w:t>
      </w:r>
    </w:p>
    <w:p w14:paraId="3FB33CF0" w14:textId="1063D0A1" w:rsidR="004F09B8" w:rsidRPr="008F1B7C" w:rsidRDefault="004F09B8" w:rsidP="00E90371">
      <w:r w:rsidRPr="008F1B7C">
        <w:t>Benefits from identifying underperforming options are anticipated to include:</w:t>
      </w:r>
    </w:p>
    <w:p w14:paraId="67803C9E" w14:textId="37AF30D5" w:rsidR="004F09B8" w:rsidRPr="008F1B7C" w:rsidRDefault="004F09B8" w:rsidP="005139E3">
      <w:pPr>
        <w:pStyle w:val="ListParagraph"/>
        <w:numPr>
          <w:ilvl w:val="0"/>
          <w:numId w:val="28"/>
        </w:numPr>
      </w:pPr>
      <w:r w:rsidRPr="008F1B7C">
        <w:rPr>
          <w:color w:val="auto"/>
        </w:rPr>
        <w:t>Encouraging RSE licensees to improve performance of net investment returns (for example, b</w:t>
      </w:r>
      <w:r w:rsidR="007A4307" w:rsidRPr="008F1B7C">
        <w:rPr>
          <w:color w:val="auto"/>
        </w:rPr>
        <w:t>y</w:t>
      </w:r>
      <w:r w:rsidRPr="008F1B7C">
        <w:rPr>
          <w:color w:val="auto"/>
        </w:rPr>
        <w:t xml:space="preserve"> lowering investment fees and costs)</w:t>
      </w:r>
      <w:r w:rsidR="005F32D8" w:rsidRPr="008F1B7C">
        <w:rPr>
          <w:color w:val="auto"/>
        </w:rPr>
        <w:t>.</w:t>
      </w:r>
      <w:r w:rsidRPr="008F1B7C">
        <w:rPr>
          <w:color w:val="auto"/>
        </w:rPr>
        <w:t xml:space="preserve"> </w:t>
      </w:r>
    </w:p>
    <w:p w14:paraId="60477306" w14:textId="56F13225" w:rsidR="004F09B8" w:rsidRPr="008F1B7C" w:rsidRDefault="004F09B8" w:rsidP="005139E3">
      <w:pPr>
        <w:pStyle w:val="ListParagraph"/>
        <w:numPr>
          <w:ilvl w:val="0"/>
          <w:numId w:val="28"/>
        </w:numPr>
      </w:pPr>
      <w:r w:rsidRPr="008F1B7C">
        <w:rPr>
          <w:color w:val="auto"/>
        </w:rPr>
        <w:t xml:space="preserve">Preventing members from investing in underperforming </w:t>
      </w:r>
      <w:proofErr w:type="gramStart"/>
      <w:r w:rsidRPr="008F1B7C">
        <w:rPr>
          <w:color w:val="auto"/>
        </w:rPr>
        <w:t>options</w:t>
      </w:r>
      <w:r w:rsidR="00AA3792" w:rsidRPr="008F1B7C">
        <w:rPr>
          <w:color w:val="auto"/>
        </w:rPr>
        <w:t xml:space="preserve">  (</w:t>
      </w:r>
      <w:proofErr w:type="gramEnd"/>
      <w:r w:rsidR="00AA3792" w:rsidRPr="008F1B7C">
        <w:rPr>
          <w:color w:val="auto"/>
        </w:rPr>
        <w:t>for example, through the outcomes of the performance test)</w:t>
      </w:r>
      <w:r w:rsidR="005F32D8" w:rsidRPr="008F1B7C">
        <w:rPr>
          <w:color w:val="auto"/>
        </w:rPr>
        <w:t>.</w:t>
      </w:r>
    </w:p>
    <w:p w14:paraId="378AE58C" w14:textId="187D5FE2" w:rsidR="004F09B8" w:rsidRPr="008F1B7C" w:rsidRDefault="004F09B8" w:rsidP="005139E3">
      <w:pPr>
        <w:pStyle w:val="ListParagraph"/>
        <w:numPr>
          <w:ilvl w:val="0"/>
          <w:numId w:val="28"/>
        </w:numPr>
      </w:pPr>
      <w:r w:rsidRPr="008F1B7C">
        <w:rPr>
          <w:color w:val="auto"/>
        </w:rPr>
        <w:t xml:space="preserve">Encouraging members to </w:t>
      </w:r>
      <w:r w:rsidR="00F81B88" w:rsidRPr="008F1B7C">
        <w:rPr>
          <w:color w:val="auto"/>
        </w:rPr>
        <w:t xml:space="preserve">consider </w:t>
      </w:r>
      <w:r w:rsidRPr="008F1B7C">
        <w:rPr>
          <w:color w:val="auto"/>
        </w:rPr>
        <w:t>mov</w:t>
      </w:r>
      <w:r w:rsidR="00F81B88" w:rsidRPr="008F1B7C">
        <w:rPr>
          <w:color w:val="auto"/>
        </w:rPr>
        <w:t>ing</w:t>
      </w:r>
      <w:r w:rsidRPr="008F1B7C">
        <w:rPr>
          <w:color w:val="auto"/>
        </w:rPr>
        <w:t xml:space="preserve"> assets from underperforming options to better performing </w:t>
      </w:r>
      <w:proofErr w:type="gramStart"/>
      <w:r w:rsidRPr="008F1B7C">
        <w:rPr>
          <w:color w:val="auto"/>
        </w:rPr>
        <w:t>options</w:t>
      </w:r>
      <w:r w:rsidR="00AA3792" w:rsidRPr="008F1B7C">
        <w:rPr>
          <w:color w:val="auto"/>
        </w:rPr>
        <w:t xml:space="preserve">  (</w:t>
      </w:r>
      <w:proofErr w:type="gramEnd"/>
      <w:r w:rsidR="00AA3792" w:rsidRPr="008F1B7C">
        <w:rPr>
          <w:color w:val="auto"/>
        </w:rPr>
        <w:t>for example, through the outcomes of the performance test)</w:t>
      </w:r>
      <w:r w:rsidRPr="008F1B7C">
        <w:rPr>
          <w:color w:val="auto"/>
        </w:rPr>
        <w:t xml:space="preserve">. </w:t>
      </w:r>
    </w:p>
    <w:p w14:paraId="159D6DEF" w14:textId="60EB6FE6" w:rsidR="00BD7F9D" w:rsidRPr="008F1B7C" w:rsidRDefault="00BD7F9D" w:rsidP="00E90371">
      <w:r w:rsidRPr="008F1B7C">
        <w:t xml:space="preserve">Under option 3 and 4, </w:t>
      </w:r>
      <w:r w:rsidR="00807A26" w:rsidRPr="008F1B7C">
        <w:t>enhanced granularity of asset class classifications and characteristics is also anticipated to enable more accurate and robust methodologies in benchmarking investment option performance and assessing risks and exposures, as well as reducing opportunities for RSEs to manipulate their performance test outcomes through aggregate reporting.</w:t>
      </w:r>
    </w:p>
    <w:p w14:paraId="229E87C4" w14:textId="77777777" w:rsidR="00531675" w:rsidRDefault="00531675" w:rsidP="00E90371">
      <w:r w:rsidRPr="008F1B7C">
        <w:rPr>
          <w:noProof/>
          <w:lang w:eastAsia="en-AU"/>
        </w:rPr>
        <mc:AlternateContent>
          <mc:Choice Requires="wps">
            <w:drawing>
              <wp:inline distT="0" distB="0" distL="0" distR="0" wp14:anchorId="6D0B9FDA" wp14:editId="0785B0A7">
                <wp:extent cx="5700395" cy="2686050"/>
                <wp:effectExtent l="0" t="0" r="14605" b="19050"/>
                <wp:docPr id="217" name="Text Box 2" descr="Investment performance outcomes and data limitations: highlights from Productivity Commissio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2686050"/>
                        </a:xfrm>
                        <a:prstGeom prst="rect">
                          <a:avLst/>
                        </a:prstGeom>
                        <a:solidFill>
                          <a:schemeClr val="accent4">
                            <a:lumMod val="20000"/>
                            <a:lumOff val="80000"/>
                          </a:schemeClr>
                        </a:solidFill>
                        <a:ln w="9525">
                          <a:solidFill>
                            <a:srgbClr val="000000"/>
                          </a:solidFill>
                          <a:miter lim="800000"/>
                          <a:headEnd/>
                          <a:tailEnd/>
                        </a:ln>
                      </wps:spPr>
                      <wps:txbx>
                        <w:txbxContent>
                          <w:p w14:paraId="218BBABA" w14:textId="77777777" w:rsidR="00531675" w:rsidRPr="00884ADF" w:rsidRDefault="00531675" w:rsidP="00531675">
                            <w:pPr>
                              <w:pStyle w:val="BodyText"/>
                              <w:rPr>
                                <w:b/>
                              </w:rPr>
                            </w:pPr>
                            <w:r>
                              <w:rPr>
                                <w:b/>
                              </w:rPr>
                              <w:t>Investment performance</w:t>
                            </w:r>
                            <w:r w:rsidRPr="00884ADF">
                              <w:rPr>
                                <w:b/>
                              </w:rPr>
                              <w:t xml:space="preserve"> </w:t>
                            </w:r>
                            <w:r>
                              <w:rPr>
                                <w:b/>
                              </w:rPr>
                              <w:t xml:space="preserve">outcomes and data limitations: </w:t>
                            </w:r>
                            <w:r w:rsidRPr="00884ADF">
                              <w:rPr>
                                <w:b/>
                              </w:rPr>
                              <w:t xml:space="preserve">highlights from </w:t>
                            </w:r>
                            <w:r>
                              <w:rPr>
                                <w:b/>
                              </w:rPr>
                              <w:t>P</w:t>
                            </w:r>
                            <w:r w:rsidRPr="00884ADF">
                              <w:rPr>
                                <w:b/>
                              </w:rPr>
                              <w:t xml:space="preserve">roductivity </w:t>
                            </w:r>
                            <w:r>
                              <w:rPr>
                                <w:b/>
                              </w:rPr>
                              <w:t>C</w:t>
                            </w:r>
                            <w:r w:rsidRPr="00884ADF">
                              <w:rPr>
                                <w:b/>
                              </w:rPr>
                              <w:t xml:space="preserve">ommission report </w:t>
                            </w:r>
                          </w:p>
                          <w:p w14:paraId="088723C7" w14:textId="77777777" w:rsidR="00531675" w:rsidRDefault="00531675" w:rsidP="00531675">
                            <w:r>
                              <w:t>The productivity commission found ‘about 36 per cent of the choice investment options (accounting for 15 per cent of assets with data available, or $24.2 billion) delivered returns more than 25 basis points below their tailored benchmark.’ p148</w:t>
                            </w:r>
                          </w:p>
                          <w:p w14:paraId="4374313B" w14:textId="77777777" w:rsidR="00531675" w:rsidRDefault="00531675" w:rsidP="00531675">
                            <w:r>
                              <w:t>‘</w:t>
                            </w:r>
                            <w:r w:rsidRPr="004767A5">
                              <w:t>Scaling up these results to the entire choice segment would suggest that at least $150 billion in assets (or 15 per cent of choice assets) are in underperforming investment options. While data are not available for the rest of the choice segment, to the extent that the SuperRatings dataset is more likely to capture relatively good options, the percentage assets in underperforming options is likely to be an underestimate.</w:t>
                            </w:r>
                            <w:r>
                              <w:t>’ p150</w:t>
                            </w:r>
                          </w:p>
                          <w:p w14:paraId="5B917727" w14:textId="77777777" w:rsidR="00531675" w:rsidRDefault="00531675" w:rsidP="00531675">
                            <w:r>
                              <w:t>‘This is likely to be a conservative estimate of underperformance in the whole choice segment, as our data disappointingly only cover about 16 per cent of assets in the segment — a chasm of selection bias.’</w:t>
                            </w:r>
                            <w:r w:rsidRPr="00912E29">
                              <w:t xml:space="preserve"> </w:t>
                            </w:r>
                            <w:r>
                              <w:t>p13</w:t>
                            </w:r>
                          </w:p>
                          <w:p w14:paraId="76950162" w14:textId="77777777" w:rsidR="00531675" w:rsidRDefault="00531675" w:rsidP="00531675"/>
                        </w:txbxContent>
                      </wps:txbx>
                      <wps:bodyPr rot="0" vert="horz" wrap="square" lIns="91440" tIns="45720" rIns="91440" bIns="45720" anchor="t" anchorCtr="0">
                        <a:noAutofit/>
                      </wps:bodyPr>
                    </wps:wsp>
                  </a:graphicData>
                </a:graphic>
              </wp:inline>
            </w:drawing>
          </mc:Choice>
          <mc:Fallback>
            <w:pict>
              <v:shapetype w14:anchorId="6D0B9FDA" id="_x0000_t202" coordsize="21600,21600" o:spt="202" path="m,l,21600r21600,l21600,xe">
                <v:stroke joinstyle="miter"/>
                <v:path gradientshapeok="t" o:connecttype="rect"/>
              </v:shapetype>
              <v:shape id="Text Box 2" o:spid="_x0000_s1026" type="#_x0000_t202" alt="Investment performance outcomes and data limitations: highlights from Productivity Commission report" style="width:448.8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" fillcolor="#eaecee [663]">
                <v:textbox>
                  <w:txbxContent>
                    <w:p w14:paraId="218BBABA" w14:textId="77777777" w:rsidR="00531675" w:rsidRPr="00884ADF" w:rsidRDefault="00531675" w:rsidP="00531675">
                      <w:pPr>
                        <w:pStyle w:val="BodyText"/>
                        <w:rPr>
                          <w:b/>
                        </w:rPr>
                      </w:pPr>
                      <w:r>
                        <w:rPr>
                          <w:b/>
                        </w:rPr>
                        <w:t>Investment performance</w:t>
                      </w:r>
                      <w:r w:rsidRPr="00884ADF">
                        <w:rPr>
                          <w:b/>
                        </w:rPr>
                        <w:t xml:space="preserve"> </w:t>
                      </w:r>
                      <w:r>
                        <w:rPr>
                          <w:b/>
                        </w:rPr>
                        <w:t xml:space="preserve">outcomes and data limitations: </w:t>
                      </w:r>
                      <w:r w:rsidRPr="00884ADF">
                        <w:rPr>
                          <w:b/>
                        </w:rPr>
                        <w:t xml:space="preserve">highlights from </w:t>
                      </w:r>
                      <w:r>
                        <w:rPr>
                          <w:b/>
                        </w:rPr>
                        <w:t>P</w:t>
                      </w:r>
                      <w:r w:rsidRPr="00884ADF">
                        <w:rPr>
                          <w:b/>
                        </w:rPr>
                        <w:t xml:space="preserve">roductivity </w:t>
                      </w:r>
                      <w:r>
                        <w:rPr>
                          <w:b/>
                        </w:rPr>
                        <w:t>C</w:t>
                      </w:r>
                      <w:r w:rsidRPr="00884ADF">
                        <w:rPr>
                          <w:b/>
                        </w:rPr>
                        <w:t xml:space="preserve">ommission report </w:t>
                      </w:r>
                    </w:p>
                    <w:p w14:paraId="088723C7" w14:textId="77777777" w:rsidR="00531675" w:rsidRDefault="00531675" w:rsidP="00531675">
                      <w:r>
                        <w:t>The productivity commission found ‘about 36 per cent of the choice investment options (accounting for 15 per cent of assets with data available, or $24.2 billion) delivered returns more than 25 basis points below their tailored benchmark.’ p148</w:t>
                      </w:r>
                    </w:p>
                    <w:p w14:paraId="4374313B" w14:textId="77777777" w:rsidR="00531675" w:rsidRDefault="00531675" w:rsidP="00531675">
                      <w:r>
                        <w:t>‘</w:t>
                      </w:r>
                      <w:r w:rsidRPr="004767A5">
                        <w:t>Scaling up these results to the entire choice segment would suggest that at least $150 billion in assets (or 15 per cent of choice assets) are in underperforming investment options. While data are not available for the rest of the choice segment, to the extent that the SuperRatings dataset is more likely to capture relatively good options, the percentage assets in underperforming options is likely to be an underestimate.</w:t>
                      </w:r>
                      <w:r>
                        <w:t>’ p150</w:t>
                      </w:r>
                    </w:p>
                    <w:p w14:paraId="5B917727" w14:textId="77777777" w:rsidR="00531675" w:rsidRDefault="00531675" w:rsidP="00531675">
                      <w:r>
                        <w:t>‘This is likely to be a conservative estimate of underperformance in the whole choice segment, as our data disappointingly only cover about 16 per cent of assets in the segment — a chasm of selection bias.’</w:t>
                      </w:r>
                      <w:r w:rsidRPr="00912E29">
                        <w:t xml:space="preserve"> </w:t>
                      </w:r>
                      <w:r>
                        <w:t>p13</w:t>
                      </w:r>
                    </w:p>
                    <w:p w14:paraId="76950162" w14:textId="77777777" w:rsidR="00531675" w:rsidRDefault="00531675" w:rsidP="00531675"/>
                  </w:txbxContent>
                </v:textbox>
                <w10:anchorlock/>
              </v:shape>
            </w:pict>
          </mc:Fallback>
        </mc:AlternateContent>
      </w:r>
    </w:p>
    <w:p w14:paraId="0A7F0824" w14:textId="2AD759D8" w:rsidR="00E90371" w:rsidRPr="008F1B7C" w:rsidRDefault="00E90371" w:rsidP="00E90371">
      <w:r w:rsidRPr="008F1B7C">
        <w:lastRenderedPageBreak/>
        <w:t xml:space="preserve">Across the entire industry, </w:t>
      </w:r>
      <w:r w:rsidR="002F7DA7" w:rsidRPr="008F1B7C">
        <w:t>T</w:t>
      </w:r>
      <w:r w:rsidRPr="008F1B7C">
        <w:t>reasury analysis estimated the cost of underperformance is at least $10.7 billion over 10 years</w:t>
      </w:r>
      <w:r w:rsidR="0027436F" w:rsidRPr="008F1B7C">
        <w:rPr>
          <w:rStyle w:val="FootnoteReference"/>
        </w:rPr>
        <w:footnoteReference w:id="37"/>
      </w:r>
      <w:r w:rsidRPr="008F1B7C">
        <w:t xml:space="preserve">. Treasury estimates that holding funds to account for underperformance </w:t>
      </w:r>
      <w:r w:rsidR="007D470E" w:rsidRPr="008F1B7C">
        <w:t xml:space="preserve">through the </w:t>
      </w:r>
      <w:r w:rsidR="007D470E" w:rsidRPr="008F1B7C">
        <w:rPr>
          <w:rFonts w:cs="Arial"/>
          <w:color w:val="000000"/>
        </w:rPr>
        <w:t xml:space="preserve">performance test introduced as part of the YFYS </w:t>
      </w:r>
      <w:r w:rsidR="00F82A1E" w:rsidRPr="008F1B7C">
        <w:rPr>
          <w:rFonts w:cs="Arial"/>
          <w:color w:val="000000"/>
        </w:rPr>
        <w:t>Act</w:t>
      </w:r>
      <w:r w:rsidR="007D470E" w:rsidRPr="008F1B7C">
        <w:rPr>
          <w:rFonts w:cs="Arial"/>
          <w:color w:val="000000"/>
        </w:rPr>
        <w:t xml:space="preserve"> </w:t>
      </w:r>
      <w:r w:rsidRPr="008F1B7C">
        <w:t>will deliver this benefit to members over 10 years. Until APRA collects data on the performance of all choice products and inves</w:t>
      </w:r>
      <w:r w:rsidR="00F27135" w:rsidRPr="008F1B7C">
        <w:t>t</w:t>
      </w:r>
      <w:r w:rsidRPr="008F1B7C">
        <w:t>m</w:t>
      </w:r>
      <w:r w:rsidR="00F27135" w:rsidRPr="008F1B7C">
        <w:t>en</w:t>
      </w:r>
      <w:r w:rsidRPr="008F1B7C">
        <w:t>t options the total cost of underperformance cannot be accurately quantified.</w:t>
      </w:r>
    </w:p>
    <w:p w14:paraId="0DC2677A" w14:textId="30880156" w:rsidR="00BF3EE8" w:rsidRPr="008F1B7C" w:rsidRDefault="00BF3EE8" w:rsidP="00BF3EE8">
      <w:r w:rsidRPr="008F1B7C">
        <w:t xml:space="preserve">APRA estimates that 15 per cent of choice assets, representing $129 billion are in underperforming options with the quantum of underperformance ranging from 0.25 per cent below the benchmark return to more than 2.0 per cent below the benchmark return. Using 0.50 per cent as an estimate of underperformance, APRA analysis based on available sample data shows that addressing the underperformance of these choice products or members moving to products which are not underperforming would represent a minimum saving of </w:t>
      </w:r>
      <w:r w:rsidRPr="008F1B7C">
        <w:rPr>
          <w:b/>
        </w:rPr>
        <w:t>$600 million per year</w:t>
      </w:r>
      <w:r w:rsidRPr="008F1B7C">
        <w:t>.</w:t>
      </w:r>
    </w:p>
    <w:p w14:paraId="4DBE9CB9" w14:textId="77777777" w:rsidR="00662EA4" w:rsidRPr="008F1B7C" w:rsidRDefault="00662EA4" w:rsidP="00912E29">
      <w:bookmarkStart w:id="107" w:name="_Hlk81556377"/>
      <w:r w:rsidRPr="008F1B7C">
        <w:t>Given these estimated savings are much larger than the</w:t>
      </w:r>
      <w:r w:rsidR="005D5D0E" w:rsidRPr="008F1B7C">
        <w:t xml:space="preserve"> </w:t>
      </w:r>
      <w:r w:rsidR="000D362F" w:rsidRPr="008F1B7C">
        <w:t>$5</w:t>
      </w:r>
      <w:r w:rsidR="000F1A1E" w:rsidRPr="008F1B7C">
        <w:t>2</w:t>
      </w:r>
      <w:r w:rsidR="000D362F" w:rsidRPr="008F1B7C">
        <w:t xml:space="preserve"> million in average annual </w:t>
      </w:r>
      <w:r w:rsidR="005D5D0E" w:rsidRPr="008F1B7C">
        <w:t xml:space="preserve">regulatory costs </w:t>
      </w:r>
      <w:r w:rsidR="00FC5644" w:rsidRPr="008F1B7C">
        <w:t>under option 3 or 4</w:t>
      </w:r>
      <w:r w:rsidRPr="008F1B7C">
        <w:t>, smaller incremental improvements could cover the regulatory costs:</w:t>
      </w:r>
    </w:p>
    <w:bookmarkEnd w:id="107"/>
    <w:p w14:paraId="2EC8804A" w14:textId="4D83B5DE" w:rsidR="00FB499F" w:rsidRPr="008F1B7C" w:rsidRDefault="005D5D0E" w:rsidP="007A4307">
      <w:pPr>
        <w:pStyle w:val="ListParagraph"/>
        <w:numPr>
          <w:ilvl w:val="0"/>
          <w:numId w:val="28"/>
        </w:numPr>
      </w:pPr>
      <w:r w:rsidRPr="008F1B7C">
        <w:t xml:space="preserve">if just </w:t>
      </w:r>
      <w:r w:rsidR="004767A5" w:rsidRPr="008F1B7C">
        <w:t>$</w:t>
      </w:r>
      <w:r w:rsidR="000D362F" w:rsidRPr="008F1B7C">
        <w:t>10</w:t>
      </w:r>
      <w:r w:rsidR="004767A5" w:rsidRPr="008F1B7C">
        <w:t xml:space="preserve"> billion</w:t>
      </w:r>
      <w:r w:rsidR="00604F2A" w:rsidRPr="008F1B7C">
        <w:t xml:space="preserve"> (</w:t>
      </w:r>
      <w:r w:rsidR="00582045" w:rsidRPr="008F1B7C">
        <w:t>7.8</w:t>
      </w:r>
      <w:r w:rsidR="00604F2A" w:rsidRPr="008F1B7C">
        <w:t xml:space="preserve"> per cent</w:t>
      </w:r>
      <w:r w:rsidRPr="008F1B7C">
        <w:t xml:space="preserve"> of </w:t>
      </w:r>
      <w:r w:rsidR="00604F2A" w:rsidRPr="008F1B7C">
        <w:t xml:space="preserve">total </w:t>
      </w:r>
      <w:r w:rsidRPr="008F1B7C">
        <w:t>assets</w:t>
      </w:r>
      <w:r w:rsidR="00604F2A" w:rsidRPr="008F1B7C">
        <w:t xml:space="preserve"> in underperforming options)</w:t>
      </w:r>
      <w:r w:rsidRPr="008F1B7C">
        <w:t xml:space="preserve"> were moved from underperforming options to equivalent options </w:t>
      </w:r>
      <w:r w:rsidR="000D362F" w:rsidRPr="008F1B7C">
        <w:t xml:space="preserve">with performance of an additional 50 basis </w:t>
      </w:r>
      <w:proofErr w:type="gramStart"/>
      <w:r w:rsidR="000D362F" w:rsidRPr="008F1B7C">
        <w:t>points</w:t>
      </w:r>
      <w:r w:rsidR="00FB499F" w:rsidRPr="008F1B7C">
        <w:t>;</w:t>
      </w:r>
      <w:proofErr w:type="gramEnd"/>
    </w:p>
    <w:p w14:paraId="42F5D985" w14:textId="1D25768E" w:rsidR="00FB499F" w:rsidRPr="008F1B7C" w:rsidRDefault="00FB499F" w:rsidP="00912E29">
      <w:pPr>
        <w:pStyle w:val="ListParagraph"/>
        <w:numPr>
          <w:ilvl w:val="0"/>
          <w:numId w:val="28"/>
        </w:numPr>
      </w:pPr>
      <w:r w:rsidRPr="008F1B7C">
        <w:t>i</w:t>
      </w:r>
      <w:r w:rsidR="007A4307" w:rsidRPr="008F1B7C">
        <w:t xml:space="preserve">f all underperforming </w:t>
      </w:r>
      <w:r w:rsidR="00FC5644" w:rsidRPr="008F1B7C">
        <w:t>options</w:t>
      </w:r>
      <w:r w:rsidR="007A4307" w:rsidRPr="008F1B7C">
        <w:t xml:space="preserve"> </w:t>
      </w:r>
      <w:r w:rsidR="00C114B5" w:rsidRPr="008F1B7C">
        <w:t xml:space="preserve">improved their performance against benchmark returns </w:t>
      </w:r>
      <w:r w:rsidR="007A4307" w:rsidRPr="008F1B7C">
        <w:t>by 0.04 per cent</w:t>
      </w:r>
      <w:r w:rsidR="00662EA4" w:rsidRPr="008F1B7C">
        <w:t xml:space="preserve"> (rather than 0.50 per cent)</w:t>
      </w:r>
      <w:r w:rsidR="007A4307" w:rsidRPr="008F1B7C">
        <w:t>, for example through reduction of investment fees</w:t>
      </w:r>
      <w:r w:rsidRPr="008F1B7C">
        <w:t xml:space="preserve">; or </w:t>
      </w:r>
    </w:p>
    <w:p w14:paraId="51E89690" w14:textId="2524DCF4" w:rsidR="004F09B8" w:rsidRPr="008F1B7C" w:rsidRDefault="00FB499F" w:rsidP="00912E29">
      <w:pPr>
        <w:pStyle w:val="ListParagraph"/>
        <w:numPr>
          <w:ilvl w:val="0"/>
          <w:numId w:val="28"/>
        </w:numPr>
      </w:pPr>
      <w:r w:rsidRPr="008F1B7C">
        <w:t>i</w:t>
      </w:r>
      <w:r w:rsidR="004F09B8" w:rsidRPr="008F1B7C">
        <w:t xml:space="preserve">f all underperforming </w:t>
      </w:r>
      <w:r w:rsidR="00FC5644" w:rsidRPr="008F1B7C">
        <w:t>options</w:t>
      </w:r>
      <w:r w:rsidR="004F09B8" w:rsidRPr="008F1B7C">
        <w:t xml:space="preserve"> </w:t>
      </w:r>
      <w:r w:rsidR="00C114B5" w:rsidRPr="008F1B7C">
        <w:t>improved their performance against benchmark returns</w:t>
      </w:r>
      <w:r w:rsidR="004F09B8" w:rsidRPr="008F1B7C">
        <w:t xml:space="preserve"> by 0.</w:t>
      </w:r>
      <w:r w:rsidR="007A4307" w:rsidRPr="008F1B7C">
        <w:t>0</w:t>
      </w:r>
      <w:r w:rsidR="00604F2A" w:rsidRPr="008F1B7C">
        <w:t>1</w:t>
      </w:r>
      <w:r w:rsidR="007A4307" w:rsidRPr="008F1B7C">
        <w:t xml:space="preserve"> per cent, for example through reduction of investment fees, </w:t>
      </w:r>
      <w:r w:rsidR="00F37B22" w:rsidRPr="008F1B7C">
        <w:t xml:space="preserve">the benefit </w:t>
      </w:r>
      <w:r w:rsidR="007A4307" w:rsidRPr="008F1B7C">
        <w:t xml:space="preserve">would </w:t>
      </w:r>
      <w:r w:rsidR="00F27135" w:rsidRPr="008F1B7C">
        <w:t>offset</w:t>
      </w:r>
      <w:r w:rsidR="007A4307" w:rsidRPr="008F1B7C">
        <w:t xml:space="preserve"> the difference in total regulatory costs between option 2 and option 3 and 4 of $</w:t>
      </w:r>
      <w:r w:rsidR="00604F2A" w:rsidRPr="008F1B7C">
        <w:t>12</w:t>
      </w:r>
      <w:r w:rsidR="007A4307" w:rsidRPr="008F1B7C">
        <w:t xml:space="preserve"> million per </w:t>
      </w:r>
      <w:r w:rsidR="00604F2A" w:rsidRPr="008F1B7C">
        <w:t>annum.</w:t>
      </w:r>
    </w:p>
    <w:p w14:paraId="586FD8B4" w14:textId="05B30F86" w:rsidR="00912E29" w:rsidRPr="008F1B7C" w:rsidRDefault="00A47906" w:rsidP="00912E29">
      <w:pPr>
        <w:rPr>
          <w:b/>
          <w:u w:val="single"/>
        </w:rPr>
      </w:pPr>
      <w:r w:rsidRPr="008F1B7C">
        <w:rPr>
          <w:b/>
          <w:u w:val="single"/>
        </w:rPr>
        <w:t>Administration fees</w:t>
      </w:r>
    </w:p>
    <w:p w14:paraId="4D0D0EF4" w14:textId="1FDD80B1" w:rsidR="004F09B8" w:rsidRPr="008F1B7C" w:rsidRDefault="004F09B8" w:rsidP="004F09B8">
      <w:r w:rsidRPr="008F1B7C">
        <w:t>Benefits from identifying high administration fees (relative to peers) are anticipated to include:</w:t>
      </w:r>
    </w:p>
    <w:p w14:paraId="090392EA" w14:textId="6AB65AE0" w:rsidR="004F09B8" w:rsidRPr="008F1B7C" w:rsidRDefault="004F09B8" w:rsidP="005139E3">
      <w:pPr>
        <w:pStyle w:val="ListParagraph"/>
        <w:numPr>
          <w:ilvl w:val="0"/>
          <w:numId w:val="28"/>
        </w:numPr>
        <w:rPr>
          <w:color w:val="auto"/>
        </w:rPr>
      </w:pPr>
      <w:r w:rsidRPr="008F1B7C">
        <w:rPr>
          <w:color w:val="auto"/>
        </w:rPr>
        <w:t>Encouraging RSE licensees to improve reduce administration fees and costs</w:t>
      </w:r>
      <w:r w:rsidR="008B0DB3" w:rsidRPr="008F1B7C">
        <w:rPr>
          <w:color w:val="auto"/>
        </w:rPr>
        <w:t>.</w:t>
      </w:r>
      <w:r w:rsidRPr="008F1B7C">
        <w:rPr>
          <w:color w:val="auto"/>
        </w:rPr>
        <w:t xml:space="preserve"> </w:t>
      </w:r>
    </w:p>
    <w:p w14:paraId="6927E08A" w14:textId="70C932B7" w:rsidR="004F09B8" w:rsidRPr="008F1B7C" w:rsidRDefault="004F09B8" w:rsidP="005139E3">
      <w:pPr>
        <w:pStyle w:val="ListParagraph"/>
        <w:numPr>
          <w:ilvl w:val="0"/>
          <w:numId w:val="28"/>
        </w:numPr>
        <w:rPr>
          <w:color w:val="auto"/>
        </w:rPr>
      </w:pPr>
      <w:bookmarkStart w:id="108" w:name="_Hlk81501751"/>
      <w:r w:rsidRPr="008F1B7C">
        <w:rPr>
          <w:color w:val="auto"/>
        </w:rPr>
        <w:t xml:space="preserve">Preventing members from </w:t>
      </w:r>
      <w:r w:rsidR="00264823" w:rsidRPr="008F1B7C">
        <w:rPr>
          <w:color w:val="auto"/>
        </w:rPr>
        <w:t>joining high fee products</w:t>
      </w:r>
      <w:r w:rsidR="00E00517" w:rsidRPr="008F1B7C">
        <w:rPr>
          <w:color w:val="auto"/>
        </w:rPr>
        <w:t xml:space="preserve"> (for example, through the outcomes of the performance test)</w:t>
      </w:r>
      <w:r w:rsidR="008B0DB3" w:rsidRPr="008F1B7C">
        <w:rPr>
          <w:color w:val="auto"/>
        </w:rPr>
        <w:t>.</w:t>
      </w:r>
    </w:p>
    <w:p w14:paraId="39DDFD8D" w14:textId="71AB9388" w:rsidR="004F09B8" w:rsidRPr="008F1B7C" w:rsidRDefault="004F09B8" w:rsidP="005139E3">
      <w:pPr>
        <w:pStyle w:val="ListParagraph"/>
        <w:numPr>
          <w:ilvl w:val="0"/>
          <w:numId w:val="28"/>
        </w:numPr>
        <w:rPr>
          <w:color w:val="auto"/>
        </w:rPr>
      </w:pPr>
      <w:r w:rsidRPr="008F1B7C">
        <w:rPr>
          <w:color w:val="auto"/>
        </w:rPr>
        <w:t xml:space="preserve">Encouraging members to </w:t>
      </w:r>
      <w:r w:rsidR="00F81B88" w:rsidRPr="008F1B7C">
        <w:rPr>
          <w:color w:val="auto"/>
        </w:rPr>
        <w:t xml:space="preserve">consider </w:t>
      </w:r>
      <w:r w:rsidRPr="008F1B7C">
        <w:rPr>
          <w:color w:val="auto"/>
        </w:rPr>
        <w:t>mov</w:t>
      </w:r>
      <w:r w:rsidR="00F81B88" w:rsidRPr="008F1B7C">
        <w:rPr>
          <w:color w:val="auto"/>
        </w:rPr>
        <w:t>ing</w:t>
      </w:r>
      <w:r w:rsidRPr="008F1B7C">
        <w:rPr>
          <w:color w:val="auto"/>
        </w:rPr>
        <w:t xml:space="preserve"> assets from </w:t>
      </w:r>
      <w:r w:rsidR="00264823" w:rsidRPr="008F1B7C">
        <w:rPr>
          <w:color w:val="auto"/>
        </w:rPr>
        <w:t xml:space="preserve">high fee products </w:t>
      </w:r>
      <w:bookmarkEnd w:id="108"/>
      <w:r w:rsidR="00264823" w:rsidRPr="008F1B7C">
        <w:rPr>
          <w:color w:val="auto"/>
        </w:rPr>
        <w:t xml:space="preserve">to </w:t>
      </w:r>
      <w:r w:rsidR="00F81B88" w:rsidRPr="008F1B7C">
        <w:rPr>
          <w:color w:val="auto"/>
        </w:rPr>
        <w:t>lower fee products</w:t>
      </w:r>
      <w:r w:rsidR="00E00517" w:rsidRPr="008F1B7C">
        <w:rPr>
          <w:color w:val="auto"/>
        </w:rPr>
        <w:t xml:space="preserve"> (for example, through the outcomes of the performance test)</w:t>
      </w:r>
      <w:r w:rsidR="008B0DB3" w:rsidRPr="008F1B7C">
        <w:rPr>
          <w:color w:val="auto"/>
        </w:rPr>
        <w:t>.</w:t>
      </w:r>
    </w:p>
    <w:p w14:paraId="6C908B49" w14:textId="03C18824" w:rsidR="00912E29" w:rsidRPr="008F1B7C" w:rsidRDefault="00ED6A73" w:rsidP="00912E29">
      <w:r w:rsidRPr="008F1B7C">
        <w:t xml:space="preserve">Under Option 3 and 4, the fee and cost data would be anticipated to enable identification of additional poor outcomes resulting from the impact of differing fee structures on different member cohorts. These would not be identified under the representative member approach to reporting under option 2. </w:t>
      </w:r>
    </w:p>
    <w:p w14:paraId="2B3B36FE" w14:textId="77777777" w:rsidR="00531675" w:rsidRDefault="00531675" w:rsidP="006C66B2">
      <w:pPr>
        <w:pStyle w:val="BodyText"/>
      </w:pPr>
      <w:r w:rsidRPr="008F1B7C">
        <w:rPr>
          <w:noProof/>
          <w:lang w:eastAsia="en-AU"/>
        </w:rPr>
        <w:lastRenderedPageBreak/>
        <mc:AlternateContent>
          <mc:Choice Requires="wps">
            <w:drawing>
              <wp:inline distT="0" distB="0" distL="0" distR="0" wp14:anchorId="43BF0206" wp14:editId="3D02E5D7">
                <wp:extent cx="5690870" cy="3133725"/>
                <wp:effectExtent l="0" t="0" r="24130" b="28575"/>
                <wp:docPr id="5" name="Text Box 2" descr="Administration fees outcomes and data limitations: highlights from Productivity Commission repor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133725"/>
                        </a:xfrm>
                        <a:prstGeom prst="rect">
                          <a:avLst/>
                        </a:prstGeom>
                        <a:solidFill>
                          <a:schemeClr val="accent4">
                            <a:lumMod val="20000"/>
                            <a:lumOff val="80000"/>
                          </a:schemeClr>
                        </a:solidFill>
                        <a:ln w="9525">
                          <a:solidFill>
                            <a:srgbClr val="000000"/>
                          </a:solidFill>
                          <a:miter lim="800000"/>
                          <a:headEnd/>
                          <a:tailEnd/>
                        </a:ln>
                      </wps:spPr>
                      <wps:txbx>
                        <w:txbxContent>
                          <w:p w14:paraId="40B5B129" w14:textId="77777777" w:rsidR="00531675" w:rsidRPr="00884ADF" w:rsidRDefault="00531675" w:rsidP="00531675">
                            <w:pPr>
                              <w:pStyle w:val="BodyText"/>
                              <w:rPr>
                                <w:b/>
                              </w:rPr>
                            </w:pPr>
                            <w:r>
                              <w:rPr>
                                <w:b/>
                              </w:rPr>
                              <w:t>Administration fees</w:t>
                            </w:r>
                            <w:r w:rsidRPr="00884ADF">
                              <w:rPr>
                                <w:b/>
                              </w:rPr>
                              <w:t xml:space="preserve"> </w:t>
                            </w:r>
                            <w:r>
                              <w:rPr>
                                <w:b/>
                              </w:rPr>
                              <w:t xml:space="preserve">outcomes and data limitations: </w:t>
                            </w:r>
                            <w:r w:rsidRPr="00884ADF">
                              <w:rPr>
                                <w:b/>
                              </w:rPr>
                              <w:t xml:space="preserve">highlights from </w:t>
                            </w:r>
                            <w:r>
                              <w:rPr>
                                <w:b/>
                              </w:rPr>
                              <w:t>P</w:t>
                            </w:r>
                            <w:r w:rsidRPr="00884ADF">
                              <w:rPr>
                                <w:b/>
                              </w:rPr>
                              <w:t xml:space="preserve">roductivity </w:t>
                            </w:r>
                            <w:r>
                              <w:rPr>
                                <w:b/>
                              </w:rPr>
                              <w:t>C</w:t>
                            </w:r>
                            <w:r w:rsidRPr="00884ADF">
                              <w:rPr>
                                <w:b/>
                              </w:rPr>
                              <w:t xml:space="preserve">ommission report </w:t>
                            </w:r>
                          </w:p>
                          <w:p w14:paraId="155A4C90" w14:textId="77777777" w:rsidR="00531675" w:rsidRDefault="00531675" w:rsidP="00531675">
                            <w:r>
                              <w:t>‘Nevertheless, a tail of high fee products remains entrenched. Annual fees exceed 1.5 per cent of balances for an estimated 4 million member accounts (holding about $275 billion). Almost all of these accounts are in choice products offered by retail funds. While some may be receiving exceptional investment returns or member services, the evidence indicates that funds that charge higher fees tend to deliver lower returns, once both investment and administration fees have been netted off. High fees also persist over time.’ p15</w:t>
                            </w:r>
                          </w:p>
                          <w:p w14:paraId="4437DB8C" w14:textId="77777777" w:rsidR="00531675" w:rsidRDefault="00531675" w:rsidP="00531675">
                            <w:r>
                              <w:t>‘Analysing fees is bedevilled by significant gaps and inconsistencies in how funds report data on fees and costs, despite regulator endeavour to fix this. This lack of transparency harms members by making fee comparability difficult at best, and renders cost based competition largely elusive.’ p16</w:t>
                            </w:r>
                          </w:p>
                          <w:p w14:paraId="2DEE5C48" w14:textId="77777777" w:rsidR="00531675" w:rsidRDefault="00531675" w:rsidP="00531675">
                            <w:r>
                              <w:t>‘Products in the higher</w:t>
                            </w:r>
                            <w:r>
                              <w:noBreakHyphen/>
                              <w:t>fee tail generally have high administration and investment fees relative to other products. That said, the relative difference is greater for administration fees..’ p179</w:t>
                            </w:r>
                          </w:p>
                          <w:p w14:paraId="2C570881" w14:textId="77777777" w:rsidR="00531675" w:rsidRDefault="00531675" w:rsidP="00531675"/>
                        </w:txbxContent>
                      </wps:txbx>
                      <wps:bodyPr rot="0" vert="horz" wrap="square" lIns="91440" tIns="45720" rIns="91440" bIns="45720" anchor="t" anchorCtr="0">
                        <a:noAutofit/>
                      </wps:bodyPr>
                    </wps:wsp>
                  </a:graphicData>
                </a:graphic>
              </wp:inline>
            </w:drawing>
          </mc:Choice>
          <mc:Fallback>
            <w:pict>
              <v:shape w14:anchorId="43BF0206" id="_x0000_s1027" type="#_x0000_t202" alt="Administration fees outcomes and data limitations: highlights from Productivity Commission report " style="width:448.1pt;height:2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" fillcolor="#eaecee [663]">
                <v:textbox>
                  <w:txbxContent>
                    <w:p w14:paraId="40B5B129" w14:textId="77777777" w:rsidR="00531675" w:rsidRPr="00884ADF" w:rsidRDefault="00531675" w:rsidP="00531675">
                      <w:pPr>
                        <w:pStyle w:val="BodyText"/>
                        <w:rPr>
                          <w:b/>
                        </w:rPr>
                      </w:pPr>
                      <w:r>
                        <w:rPr>
                          <w:b/>
                        </w:rPr>
                        <w:t>Administration fees</w:t>
                      </w:r>
                      <w:r w:rsidRPr="00884ADF">
                        <w:rPr>
                          <w:b/>
                        </w:rPr>
                        <w:t xml:space="preserve"> </w:t>
                      </w:r>
                      <w:r>
                        <w:rPr>
                          <w:b/>
                        </w:rPr>
                        <w:t xml:space="preserve">outcomes and data limitations: </w:t>
                      </w:r>
                      <w:r w:rsidRPr="00884ADF">
                        <w:rPr>
                          <w:b/>
                        </w:rPr>
                        <w:t xml:space="preserve">highlights from </w:t>
                      </w:r>
                      <w:r>
                        <w:rPr>
                          <w:b/>
                        </w:rPr>
                        <w:t>P</w:t>
                      </w:r>
                      <w:r w:rsidRPr="00884ADF">
                        <w:rPr>
                          <w:b/>
                        </w:rPr>
                        <w:t xml:space="preserve">roductivity </w:t>
                      </w:r>
                      <w:r>
                        <w:rPr>
                          <w:b/>
                        </w:rPr>
                        <w:t>C</w:t>
                      </w:r>
                      <w:r w:rsidRPr="00884ADF">
                        <w:rPr>
                          <w:b/>
                        </w:rPr>
                        <w:t xml:space="preserve">ommission report </w:t>
                      </w:r>
                    </w:p>
                    <w:p w14:paraId="155A4C90" w14:textId="77777777" w:rsidR="00531675" w:rsidRDefault="00531675" w:rsidP="00531675">
                      <w:r>
                        <w:t>‘Nevertheless, a tail of high fee products remains entrenched. Annual fees exceed 1.5 per cent of balances for an estimated 4 million member accounts (holding about $275 billion). Almost all of these accounts are in choice products offered by retail funds. While some may be receiving exceptional investment returns or member services, the evidence indicates that funds that charge higher fees tend to deliver lower returns, once both investment and administration fees have been netted off. High fees also persist over time.’ p15</w:t>
                      </w:r>
                    </w:p>
                    <w:p w14:paraId="4437DB8C" w14:textId="77777777" w:rsidR="00531675" w:rsidRDefault="00531675" w:rsidP="00531675">
                      <w:r>
                        <w:t>‘Analysing fees is bedevilled by significant gaps and inconsistencies in how funds report data on fees and costs, despite regulator endeavour to fix this. This lack of transparency harms members by making fee comparability difficult at best, and renders cost based competition largely elusive.’ p16</w:t>
                      </w:r>
                    </w:p>
                    <w:p w14:paraId="2DEE5C48" w14:textId="77777777" w:rsidR="00531675" w:rsidRDefault="00531675" w:rsidP="00531675">
                      <w:r>
                        <w:t>‘Products in the higher</w:t>
                      </w:r>
                      <w:r>
                        <w:noBreakHyphen/>
                        <w:t>fee tail generally have high administration and investment fees relative to other products. That said, the relative difference is greater for administration fees..’ p179</w:t>
                      </w:r>
                    </w:p>
                    <w:p w14:paraId="2C570881" w14:textId="77777777" w:rsidR="00531675" w:rsidRDefault="00531675" w:rsidP="00531675"/>
                  </w:txbxContent>
                </v:textbox>
                <w10:anchorlock/>
              </v:shape>
            </w:pict>
          </mc:Fallback>
        </mc:AlternateContent>
      </w:r>
    </w:p>
    <w:p w14:paraId="654082E6" w14:textId="36CB2AF1" w:rsidR="00ED6A73" w:rsidRPr="008F1B7C" w:rsidRDefault="00FB499F" w:rsidP="006C66B2">
      <w:pPr>
        <w:pStyle w:val="BodyText"/>
      </w:pPr>
      <w:r w:rsidRPr="008F1B7C">
        <w:t>From preliminary analysis that APRA has done using an external data source on a sample of choice products, APRA has observed that c</w:t>
      </w:r>
      <w:r w:rsidR="00084D18" w:rsidRPr="008F1B7C">
        <w:t xml:space="preserve">hoice products have a higher median fee, and the variation in administration fees for Choice products is much wider than for </w:t>
      </w:r>
      <w:proofErr w:type="spellStart"/>
      <w:r w:rsidR="00084D18" w:rsidRPr="008F1B7C">
        <w:t>MySuper</w:t>
      </w:r>
      <w:proofErr w:type="spellEnd"/>
      <w:r w:rsidR="00084D18" w:rsidRPr="008F1B7C">
        <w:t xml:space="preserve"> products. An estimated $116 billion in assets are in Choice products with administration fees equivalent to more than 0.75 per cent for a $50,000 balance, compared to the median </w:t>
      </w:r>
      <w:proofErr w:type="spellStart"/>
      <w:r w:rsidR="00084D18" w:rsidRPr="008F1B7C">
        <w:t>MySuper</w:t>
      </w:r>
      <w:proofErr w:type="spellEnd"/>
      <w:r w:rsidR="00084D18" w:rsidRPr="008F1B7C">
        <w:t xml:space="preserve"> administration fee of 0.44</w:t>
      </w:r>
      <w:r w:rsidRPr="008F1B7C">
        <w:t xml:space="preserve"> per cent</w:t>
      </w:r>
      <w:r w:rsidR="00084D18" w:rsidRPr="008F1B7C">
        <w:t xml:space="preserve"> for a $50,000 balance. The benefits from benchmarking and making public administration fees for Choice products are therefore anticipated to be higher</w:t>
      </w:r>
      <w:r w:rsidR="006C66B2" w:rsidRPr="008F1B7C">
        <w:t xml:space="preserve">. If RSE licensees reduced fees for those products to the median administration fee for a </w:t>
      </w:r>
      <w:proofErr w:type="spellStart"/>
      <w:r w:rsidR="006C66B2" w:rsidRPr="008F1B7C">
        <w:t>MySuper</w:t>
      </w:r>
      <w:proofErr w:type="spellEnd"/>
      <w:r w:rsidR="006C66B2" w:rsidRPr="008F1B7C">
        <w:t xml:space="preserve"> product, or members in these products moved to equivalent products with the median administration fee for a </w:t>
      </w:r>
      <w:proofErr w:type="spellStart"/>
      <w:r w:rsidR="006C66B2" w:rsidRPr="008F1B7C">
        <w:t>MySuper</w:t>
      </w:r>
      <w:proofErr w:type="spellEnd"/>
      <w:r w:rsidR="006C66B2" w:rsidRPr="008F1B7C">
        <w:t xml:space="preserve"> product, APRA estimates this would represent a minimum saving of at least </w:t>
      </w:r>
      <w:r w:rsidR="006C66B2" w:rsidRPr="008F1B7C">
        <w:rPr>
          <w:b/>
        </w:rPr>
        <w:t xml:space="preserve">$670 million per year </w:t>
      </w:r>
      <w:r w:rsidR="006C66B2" w:rsidRPr="008F1B7C">
        <w:t>based on available data.</w:t>
      </w:r>
    </w:p>
    <w:p w14:paraId="713290A0" w14:textId="77777777" w:rsidR="00FB499F" w:rsidRPr="008F1B7C" w:rsidRDefault="00FB499F" w:rsidP="006C66B2">
      <w:r w:rsidRPr="008F1B7C">
        <w:t>Given these estimated savings are much larger than the $52 million in average annual regulatory costs under option 3 or 4, smaller incremental improvements could cover the regulatory costs:</w:t>
      </w:r>
    </w:p>
    <w:p w14:paraId="4A3C4137" w14:textId="553741E8" w:rsidR="00FB499F" w:rsidRPr="008F1B7C" w:rsidRDefault="00ED6A73" w:rsidP="00E17B01">
      <w:pPr>
        <w:pStyle w:val="BodyText"/>
        <w:numPr>
          <w:ilvl w:val="0"/>
          <w:numId w:val="28"/>
        </w:numPr>
      </w:pPr>
      <w:r w:rsidRPr="008F1B7C">
        <w:t xml:space="preserve">Just an </w:t>
      </w:r>
      <w:r w:rsidR="00753FEF" w:rsidRPr="008F1B7C">
        <w:t>0.0</w:t>
      </w:r>
      <w:r w:rsidR="0035621F" w:rsidRPr="008F1B7C">
        <w:t>4</w:t>
      </w:r>
      <w:r w:rsidRPr="008F1B7C">
        <w:t xml:space="preserve"> per cent decrease in total administration fees which are more than </w:t>
      </w:r>
      <w:r w:rsidR="003B1FBE" w:rsidRPr="008F1B7C">
        <w:t>0.75</w:t>
      </w:r>
      <w:r w:rsidR="009D3680" w:rsidRPr="008F1B7C">
        <w:t xml:space="preserve"> per cent</w:t>
      </w:r>
      <w:r w:rsidRPr="008F1B7C">
        <w:t xml:space="preserve"> </w:t>
      </w:r>
      <w:r w:rsidR="003B1FBE" w:rsidRPr="008F1B7C">
        <w:t>of member balances</w:t>
      </w:r>
      <w:r w:rsidRPr="008F1B7C">
        <w:t xml:space="preserve"> would deliver an annual saving to members which would </w:t>
      </w:r>
      <w:r w:rsidR="00F27135" w:rsidRPr="008F1B7C">
        <w:t>offset</w:t>
      </w:r>
      <w:r w:rsidRPr="008F1B7C">
        <w:t xml:space="preserve"> the total regulatory costs </w:t>
      </w:r>
      <w:r w:rsidR="0035621F" w:rsidRPr="008F1B7C">
        <w:t>of option 3 and 4 of $52 million per annum over 10 years</w:t>
      </w:r>
      <w:r w:rsidRPr="008F1B7C">
        <w:t xml:space="preserve">.    </w:t>
      </w:r>
    </w:p>
    <w:p w14:paraId="5B437F68" w14:textId="1E6C4DBD" w:rsidR="0035621F" w:rsidRPr="008F1B7C" w:rsidRDefault="0035621F" w:rsidP="00E17B01">
      <w:pPr>
        <w:pStyle w:val="BodyText"/>
        <w:numPr>
          <w:ilvl w:val="0"/>
          <w:numId w:val="28"/>
        </w:numPr>
      </w:pPr>
      <w:r w:rsidRPr="008F1B7C">
        <w:t xml:space="preserve">Just an 0.01 per cent decrease in total administration fees which are more than </w:t>
      </w:r>
      <w:r w:rsidR="003B1FBE" w:rsidRPr="008F1B7C">
        <w:t>0.75 per cent of member balances</w:t>
      </w:r>
      <w:r w:rsidRPr="008F1B7C">
        <w:t xml:space="preserve"> would offset the difference in total regulatory costs between option 2 and option 3 and 4 of $12 million per annum over 10 years.</w:t>
      </w:r>
    </w:p>
    <w:p w14:paraId="5D1E1671" w14:textId="2B63D5FC" w:rsidR="00B551AF" w:rsidRDefault="00B551AF" w:rsidP="006C66B2">
      <w:pPr>
        <w:rPr>
          <w:b/>
        </w:rPr>
      </w:pPr>
    </w:p>
    <w:p w14:paraId="3014E570" w14:textId="2CB2B8B4" w:rsidR="00531675" w:rsidRDefault="00531675" w:rsidP="006C66B2">
      <w:pPr>
        <w:rPr>
          <w:b/>
        </w:rPr>
      </w:pPr>
    </w:p>
    <w:p w14:paraId="5F64A203" w14:textId="32A83803" w:rsidR="00531675" w:rsidRDefault="00531675" w:rsidP="006C66B2">
      <w:pPr>
        <w:rPr>
          <w:b/>
        </w:rPr>
      </w:pPr>
    </w:p>
    <w:p w14:paraId="7A79ACA5" w14:textId="77777777" w:rsidR="00531675" w:rsidRPr="00971E62" w:rsidRDefault="00531675" w:rsidP="006C66B2">
      <w:pPr>
        <w:rPr>
          <w:b/>
        </w:rPr>
      </w:pPr>
    </w:p>
    <w:p w14:paraId="21483F91" w14:textId="77777777" w:rsidR="00B551AF" w:rsidRPr="00971E62" w:rsidRDefault="00B551AF" w:rsidP="006C66B2">
      <w:pPr>
        <w:rPr>
          <w:b/>
        </w:rPr>
      </w:pPr>
    </w:p>
    <w:p w14:paraId="7B41AFAC" w14:textId="664FDFC4" w:rsidR="0058200E" w:rsidRPr="008F1B7C" w:rsidRDefault="0058200E" w:rsidP="006C66B2">
      <w:pPr>
        <w:rPr>
          <w:b/>
          <w:u w:val="single"/>
        </w:rPr>
      </w:pPr>
      <w:r w:rsidRPr="008F1B7C">
        <w:rPr>
          <w:b/>
          <w:u w:val="single"/>
        </w:rPr>
        <w:t>Additional topics in option 3 and 4: Expenses and insurance</w:t>
      </w:r>
    </w:p>
    <w:p w14:paraId="66401E00" w14:textId="4CB0475C" w:rsidR="0058200E" w:rsidRPr="008F1B7C" w:rsidRDefault="0058200E" w:rsidP="006C66B2">
      <w:pPr>
        <w:spacing w:after="0"/>
        <w:rPr>
          <w:b/>
          <w:sz w:val="18"/>
        </w:rPr>
      </w:pPr>
      <w:r w:rsidRPr="008F1B7C">
        <w:rPr>
          <w:b/>
          <w:sz w:val="18"/>
        </w:rPr>
        <w:t xml:space="preserve">Table 2: </w:t>
      </w:r>
      <w:r w:rsidR="00F27135" w:rsidRPr="008F1B7C">
        <w:rPr>
          <w:b/>
          <w:sz w:val="18"/>
        </w:rPr>
        <w:t>Break even</w:t>
      </w:r>
      <w:r w:rsidRPr="008F1B7C">
        <w:rPr>
          <w:b/>
          <w:sz w:val="18"/>
        </w:rPr>
        <w:t xml:space="preserve"> analysis from addressing inappropriate expenditure and insurance arrangements </w:t>
      </w:r>
    </w:p>
    <w:tbl>
      <w:tblPr>
        <w:tblW w:w="8648" w:type="dxa"/>
        <w:tblLayout w:type="fixed"/>
        <w:tblCellMar>
          <w:left w:w="0" w:type="dxa"/>
          <w:right w:w="0" w:type="dxa"/>
        </w:tblCellMar>
        <w:tblLook w:val="04A0" w:firstRow="1" w:lastRow="0" w:firstColumn="1" w:lastColumn="0" w:noHBand="0" w:noVBand="1"/>
      </w:tblPr>
      <w:tblGrid>
        <w:gridCol w:w="3969"/>
        <w:gridCol w:w="2410"/>
        <w:gridCol w:w="851"/>
        <w:gridCol w:w="1418"/>
      </w:tblGrid>
      <w:tr w:rsidR="00CA54C9" w:rsidRPr="004C122A" w14:paraId="52C5E730" w14:textId="77777777" w:rsidTr="007F628D">
        <w:trPr>
          <w:trHeight w:val="285"/>
        </w:trPr>
        <w:tc>
          <w:tcPr>
            <w:tcW w:w="3969" w:type="dxa"/>
            <w:tcBorders>
              <w:top w:val="nil"/>
              <w:left w:val="nil"/>
              <w:bottom w:val="nil"/>
              <w:right w:val="nil"/>
            </w:tcBorders>
            <w:shd w:val="clear" w:color="000000" w:fill="FFFFFF"/>
            <w:noWrap/>
            <w:tcMar>
              <w:top w:w="15" w:type="dxa"/>
              <w:left w:w="15" w:type="dxa"/>
              <w:bottom w:w="0" w:type="dxa"/>
              <w:right w:w="15" w:type="dxa"/>
            </w:tcMar>
            <w:vAlign w:val="bottom"/>
          </w:tcPr>
          <w:p w14:paraId="0640340F" w14:textId="77777777" w:rsidR="00CA54C9" w:rsidRPr="004C122A" w:rsidRDefault="00CA54C9" w:rsidP="007F628D">
            <w:pPr>
              <w:spacing w:after="0"/>
              <w:rPr>
                <w:rFonts w:ascii="Calibri" w:hAnsi="Calibri" w:cs="Calibri"/>
                <w:i/>
                <w:iCs/>
                <w:color w:val="000000"/>
                <w:sz w:val="16"/>
                <w:szCs w:val="16"/>
              </w:rPr>
            </w:pPr>
          </w:p>
        </w:tc>
        <w:tc>
          <w:tcPr>
            <w:tcW w:w="2410" w:type="dxa"/>
            <w:tcBorders>
              <w:top w:val="nil"/>
              <w:left w:val="nil"/>
              <w:bottom w:val="nil"/>
              <w:right w:val="nil"/>
            </w:tcBorders>
            <w:shd w:val="clear" w:color="000000" w:fill="FFFFFF"/>
            <w:noWrap/>
            <w:tcMar>
              <w:top w:w="15" w:type="dxa"/>
              <w:left w:w="15" w:type="dxa"/>
              <w:bottom w:w="0" w:type="dxa"/>
              <w:right w:w="15" w:type="dxa"/>
            </w:tcMar>
            <w:vAlign w:val="bottom"/>
          </w:tcPr>
          <w:p w14:paraId="6819C58A" w14:textId="77777777" w:rsidR="00CA54C9" w:rsidRPr="004C122A" w:rsidRDefault="00CA54C9" w:rsidP="007F628D">
            <w:pPr>
              <w:spacing w:after="0"/>
              <w:rPr>
                <w:rFonts w:ascii="Calibri" w:hAnsi="Calibri" w:cs="Calibri"/>
                <w:color w:val="000000"/>
                <w:sz w:val="16"/>
                <w:szCs w:val="16"/>
              </w:rPr>
            </w:pPr>
          </w:p>
        </w:tc>
        <w:tc>
          <w:tcPr>
            <w:tcW w:w="851" w:type="dxa"/>
            <w:tcBorders>
              <w:top w:val="nil"/>
              <w:left w:val="nil"/>
              <w:bottom w:val="nil"/>
              <w:right w:val="nil"/>
            </w:tcBorders>
            <w:shd w:val="clear" w:color="000000" w:fill="FFFFFF"/>
            <w:noWrap/>
            <w:tcMar>
              <w:top w:w="15" w:type="dxa"/>
              <w:left w:w="15" w:type="dxa"/>
              <w:bottom w:w="0" w:type="dxa"/>
              <w:right w:w="15" w:type="dxa"/>
            </w:tcMar>
            <w:vAlign w:val="bottom"/>
          </w:tcPr>
          <w:p w14:paraId="3FBC31C6" w14:textId="77777777" w:rsidR="00CA54C9" w:rsidRPr="004C122A" w:rsidRDefault="00CA54C9" w:rsidP="007F628D">
            <w:pPr>
              <w:spacing w:after="0"/>
              <w:jc w:val="center"/>
              <w:rPr>
                <w:rFonts w:ascii="Calibri" w:hAnsi="Calibri" w:cs="Calibri"/>
                <w:color w:val="000000"/>
                <w:sz w:val="16"/>
                <w:szCs w:val="16"/>
              </w:rPr>
            </w:pPr>
            <w:r w:rsidRPr="00B7348A">
              <w:rPr>
                <w:rFonts w:ascii="Calibri" w:hAnsi="Calibri" w:cs="Calibri"/>
                <w:b/>
                <w:bCs/>
                <w:color w:val="000000"/>
                <w:sz w:val="16"/>
                <w:szCs w:val="16"/>
              </w:rPr>
              <w:t>Expenses</w:t>
            </w:r>
          </w:p>
        </w:tc>
        <w:tc>
          <w:tcPr>
            <w:tcW w:w="1418" w:type="dxa"/>
            <w:tcBorders>
              <w:top w:val="nil"/>
              <w:left w:val="nil"/>
              <w:bottom w:val="nil"/>
              <w:right w:val="nil"/>
            </w:tcBorders>
            <w:shd w:val="clear" w:color="000000" w:fill="FFFFFF"/>
            <w:noWrap/>
            <w:tcMar>
              <w:top w:w="15" w:type="dxa"/>
              <w:left w:w="15" w:type="dxa"/>
              <w:bottom w:w="0" w:type="dxa"/>
              <w:right w:w="15" w:type="dxa"/>
            </w:tcMar>
            <w:vAlign w:val="bottom"/>
          </w:tcPr>
          <w:p w14:paraId="31CE4F53" w14:textId="77777777" w:rsidR="00CA54C9" w:rsidRPr="004C122A" w:rsidRDefault="00CA54C9" w:rsidP="007F628D">
            <w:pPr>
              <w:spacing w:after="0"/>
              <w:jc w:val="center"/>
              <w:rPr>
                <w:rFonts w:ascii="Calibri" w:hAnsi="Calibri" w:cs="Calibri"/>
                <w:color w:val="000000"/>
                <w:sz w:val="16"/>
                <w:szCs w:val="16"/>
              </w:rPr>
            </w:pPr>
            <w:r w:rsidRPr="00B7348A">
              <w:rPr>
                <w:rFonts w:ascii="Calibri" w:hAnsi="Calibri" w:cs="Calibri"/>
                <w:b/>
                <w:bCs/>
                <w:color w:val="000000"/>
                <w:sz w:val="16"/>
                <w:szCs w:val="16"/>
              </w:rPr>
              <w:t>Insurance premiums</w:t>
            </w:r>
          </w:p>
        </w:tc>
      </w:tr>
      <w:tr w:rsidR="00CA54C9" w:rsidRPr="004C122A" w14:paraId="0AD7A662" w14:textId="77777777" w:rsidTr="0089741B">
        <w:trPr>
          <w:trHeight w:val="170"/>
        </w:trPr>
        <w:tc>
          <w:tcPr>
            <w:tcW w:w="3969"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42F395" w14:textId="77777777" w:rsidR="00CA54C9" w:rsidRPr="004C122A" w:rsidRDefault="00CA54C9" w:rsidP="007F628D">
            <w:pPr>
              <w:spacing w:after="0"/>
              <w:contextualSpacing/>
              <w:rPr>
                <w:rFonts w:ascii="Calibri" w:hAnsi="Calibri" w:cs="Calibri"/>
                <w:i/>
                <w:iCs/>
                <w:color w:val="000000"/>
                <w:sz w:val="16"/>
                <w:szCs w:val="16"/>
              </w:rPr>
            </w:pPr>
            <w:r w:rsidRPr="004C122A">
              <w:rPr>
                <w:rFonts w:ascii="Calibri" w:hAnsi="Calibri" w:cs="Calibri"/>
                <w:i/>
                <w:iCs/>
                <w:color w:val="000000"/>
                <w:sz w:val="16"/>
                <w:szCs w:val="16"/>
              </w:rPr>
              <w:t>Annual expense (year ending June 2020) ($ millions)</w:t>
            </w:r>
          </w:p>
        </w:tc>
        <w:tc>
          <w:tcPr>
            <w:tcW w:w="241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87581E" w14:textId="77777777" w:rsidR="00CA54C9" w:rsidRPr="004C122A" w:rsidRDefault="00CA54C9" w:rsidP="007F628D">
            <w:pPr>
              <w:spacing w:after="0"/>
              <w:contextualSpacing/>
              <w:rPr>
                <w:rFonts w:ascii="Calibri" w:hAnsi="Calibri" w:cs="Calibri"/>
                <w:color w:val="000000"/>
                <w:sz w:val="16"/>
                <w:szCs w:val="16"/>
              </w:rPr>
            </w:pPr>
            <w:r w:rsidRPr="004C122A">
              <w:rPr>
                <w:rFonts w:ascii="Calibri" w:hAnsi="Calibri" w:cs="Calibri"/>
                <w:color w:val="000000"/>
                <w:sz w:val="16"/>
                <w:szCs w:val="16"/>
              </w:rPr>
              <w:t> </w:t>
            </w:r>
          </w:p>
        </w:tc>
        <w:tc>
          <w:tcPr>
            <w:tcW w:w="851" w:type="dxa"/>
            <w:tcBorders>
              <w:top w:val="nil"/>
              <w:left w:val="nil"/>
              <w:bottom w:val="nil"/>
              <w:right w:val="nil"/>
            </w:tcBorders>
            <w:shd w:val="clear" w:color="000000" w:fill="FFFFFF"/>
            <w:noWrap/>
            <w:tcMar>
              <w:top w:w="15" w:type="dxa"/>
              <w:left w:w="15" w:type="dxa"/>
              <w:bottom w:w="0" w:type="dxa"/>
              <w:right w:w="15" w:type="dxa"/>
            </w:tcMar>
            <w:vAlign w:val="bottom"/>
          </w:tcPr>
          <w:p w14:paraId="4F4C718E"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11,300</w:t>
            </w:r>
          </w:p>
        </w:tc>
        <w:tc>
          <w:tcPr>
            <w:tcW w:w="1418" w:type="dxa"/>
            <w:tcBorders>
              <w:top w:val="nil"/>
              <w:left w:val="nil"/>
              <w:bottom w:val="nil"/>
              <w:right w:val="nil"/>
            </w:tcBorders>
            <w:shd w:val="clear" w:color="000000" w:fill="FFFFFF"/>
            <w:noWrap/>
            <w:tcMar>
              <w:top w:w="15" w:type="dxa"/>
              <w:left w:w="15" w:type="dxa"/>
              <w:bottom w:w="0" w:type="dxa"/>
              <w:right w:w="15" w:type="dxa"/>
            </w:tcMar>
            <w:vAlign w:val="bottom"/>
          </w:tcPr>
          <w:p w14:paraId="42AD3BB0"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8,400</w:t>
            </w:r>
          </w:p>
        </w:tc>
      </w:tr>
      <w:tr w:rsidR="00CA54C9" w:rsidRPr="004C122A" w14:paraId="786EFC3A" w14:textId="77777777" w:rsidTr="0089741B">
        <w:trPr>
          <w:trHeight w:val="170"/>
        </w:trPr>
        <w:tc>
          <w:tcPr>
            <w:tcW w:w="3969"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16B01B" w14:textId="77777777" w:rsidR="00CA54C9" w:rsidRPr="004C122A" w:rsidRDefault="00CA54C9" w:rsidP="007F628D">
            <w:pPr>
              <w:spacing w:after="0"/>
              <w:contextualSpacing/>
              <w:rPr>
                <w:rFonts w:ascii="Calibri" w:hAnsi="Calibri" w:cs="Calibri"/>
                <w:i/>
                <w:iCs/>
                <w:color w:val="000000"/>
                <w:sz w:val="16"/>
                <w:szCs w:val="16"/>
              </w:rPr>
            </w:pPr>
            <w:r w:rsidRPr="004C122A">
              <w:rPr>
                <w:rFonts w:ascii="Calibri" w:hAnsi="Calibri" w:cs="Calibri"/>
                <w:i/>
                <w:iCs/>
                <w:color w:val="000000"/>
                <w:sz w:val="16"/>
                <w:szCs w:val="16"/>
              </w:rPr>
              <w:t>Percentage reduction in expense needed to offset costs (%)</w:t>
            </w:r>
          </w:p>
        </w:tc>
        <w:tc>
          <w:tcPr>
            <w:tcW w:w="241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6EBF9F" w14:textId="77777777" w:rsidR="00CA54C9" w:rsidRPr="004C122A" w:rsidRDefault="00CA54C9" w:rsidP="007F628D">
            <w:pPr>
              <w:spacing w:after="0"/>
              <w:contextualSpacing/>
              <w:rPr>
                <w:rFonts w:ascii="Calibri" w:hAnsi="Calibri" w:cs="Calibri"/>
                <w:color w:val="000000"/>
                <w:sz w:val="16"/>
                <w:szCs w:val="16"/>
              </w:rPr>
            </w:pPr>
            <w:r w:rsidRPr="004C122A">
              <w:rPr>
                <w:rFonts w:ascii="Calibri" w:hAnsi="Calibri" w:cs="Calibri"/>
                <w:color w:val="000000"/>
                <w:sz w:val="16"/>
                <w:szCs w:val="16"/>
              </w:rPr>
              <w:t> </w:t>
            </w:r>
            <w:r w:rsidRPr="004C122A">
              <w:rPr>
                <w:rFonts w:ascii="Calibri" w:hAnsi="Calibri" w:cs="Calibri"/>
                <w:i/>
                <w:iCs/>
                <w:color w:val="000000"/>
                <w:sz w:val="16"/>
                <w:szCs w:val="16"/>
              </w:rPr>
              <w:t>Option 2</w:t>
            </w:r>
          </w:p>
        </w:tc>
        <w:tc>
          <w:tcPr>
            <w:tcW w:w="851" w:type="dxa"/>
            <w:tcBorders>
              <w:top w:val="nil"/>
              <w:left w:val="nil"/>
              <w:bottom w:val="nil"/>
              <w:right w:val="nil"/>
            </w:tcBorders>
            <w:shd w:val="clear" w:color="000000" w:fill="FFFFFF"/>
            <w:noWrap/>
            <w:tcMar>
              <w:top w:w="15" w:type="dxa"/>
              <w:left w:w="15" w:type="dxa"/>
              <w:bottom w:w="0" w:type="dxa"/>
              <w:right w:w="15" w:type="dxa"/>
            </w:tcMar>
            <w:vAlign w:val="bottom"/>
          </w:tcPr>
          <w:p w14:paraId="0EB9F900"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0.35</w:t>
            </w:r>
          </w:p>
        </w:tc>
        <w:tc>
          <w:tcPr>
            <w:tcW w:w="1418" w:type="dxa"/>
            <w:tcBorders>
              <w:top w:val="nil"/>
              <w:left w:val="nil"/>
              <w:bottom w:val="nil"/>
              <w:right w:val="nil"/>
            </w:tcBorders>
            <w:shd w:val="clear" w:color="000000" w:fill="FFFFFF"/>
            <w:noWrap/>
            <w:tcMar>
              <w:top w:w="15" w:type="dxa"/>
              <w:left w:w="15" w:type="dxa"/>
              <w:bottom w:w="0" w:type="dxa"/>
              <w:right w:w="15" w:type="dxa"/>
            </w:tcMar>
            <w:vAlign w:val="bottom"/>
          </w:tcPr>
          <w:p w14:paraId="0F923E5C"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0.47</w:t>
            </w:r>
          </w:p>
        </w:tc>
      </w:tr>
      <w:tr w:rsidR="00CA54C9" w:rsidRPr="004C122A" w14:paraId="1855998B" w14:textId="77777777" w:rsidTr="0089741B">
        <w:trPr>
          <w:trHeight w:val="170"/>
        </w:trPr>
        <w:tc>
          <w:tcPr>
            <w:tcW w:w="3969" w:type="dxa"/>
            <w:tcBorders>
              <w:top w:val="nil"/>
              <w:left w:val="nil"/>
              <w:bottom w:val="nil"/>
              <w:right w:val="nil"/>
            </w:tcBorders>
            <w:shd w:val="clear" w:color="000000" w:fill="FFFFFF"/>
            <w:noWrap/>
            <w:tcMar>
              <w:top w:w="15" w:type="dxa"/>
              <w:left w:w="15" w:type="dxa"/>
              <w:bottom w:w="0" w:type="dxa"/>
              <w:right w:w="15" w:type="dxa"/>
            </w:tcMar>
            <w:vAlign w:val="bottom"/>
          </w:tcPr>
          <w:p w14:paraId="54CF2EBC" w14:textId="77777777" w:rsidR="00CA54C9" w:rsidRPr="004C122A" w:rsidRDefault="00CA54C9" w:rsidP="007F628D">
            <w:pPr>
              <w:spacing w:after="0"/>
              <w:contextualSpacing/>
              <w:rPr>
                <w:rFonts w:ascii="Calibri" w:hAnsi="Calibri" w:cs="Calibri"/>
                <w:i/>
                <w:iCs/>
                <w:color w:val="000000"/>
                <w:sz w:val="16"/>
                <w:szCs w:val="16"/>
              </w:rPr>
            </w:pPr>
          </w:p>
        </w:tc>
        <w:tc>
          <w:tcPr>
            <w:tcW w:w="2410" w:type="dxa"/>
            <w:tcBorders>
              <w:top w:val="nil"/>
              <w:left w:val="nil"/>
              <w:bottom w:val="nil"/>
              <w:right w:val="nil"/>
            </w:tcBorders>
            <w:shd w:val="clear" w:color="000000" w:fill="FFFFFF"/>
            <w:noWrap/>
            <w:tcMar>
              <w:top w:w="15" w:type="dxa"/>
              <w:left w:w="15" w:type="dxa"/>
              <w:bottom w:w="0" w:type="dxa"/>
              <w:right w:w="15" w:type="dxa"/>
            </w:tcMar>
            <w:vAlign w:val="bottom"/>
          </w:tcPr>
          <w:p w14:paraId="2B40D144" w14:textId="77777777" w:rsidR="00CA54C9" w:rsidRPr="004C122A" w:rsidRDefault="00CA54C9" w:rsidP="007F628D">
            <w:pPr>
              <w:spacing w:after="0"/>
              <w:contextualSpacing/>
              <w:rPr>
                <w:rFonts w:ascii="Calibri" w:hAnsi="Calibri" w:cs="Calibri"/>
                <w:color w:val="000000"/>
                <w:sz w:val="16"/>
                <w:szCs w:val="16"/>
              </w:rPr>
            </w:pPr>
            <w:r w:rsidRPr="004C122A">
              <w:rPr>
                <w:rFonts w:ascii="Calibri" w:hAnsi="Calibri" w:cs="Calibri"/>
                <w:i/>
                <w:iCs/>
                <w:color w:val="000000"/>
                <w:sz w:val="16"/>
                <w:szCs w:val="16"/>
              </w:rPr>
              <w:t>Option 3 or 4</w:t>
            </w:r>
          </w:p>
        </w:tc>
        <w:tc>
          <w:tcPr>
            <w:tcW w:w="851" w:type="dxa"/>
            <w:tcBorders>
              <w:top w:val="nil"/>
              <w:left w:val="nil"/>
              <w:bottom w:val="nil"/>
              <w:right w:val="nil"/>
            </w:tcBorders>
            <w:shd w:val="clear" w:color="000000" w:fill="FFFFFF"/>
            <w:noWrap/>
            <w:tcMar>
              <w:top w:w="15" w:type="dxa"/>
              <w:left w:w="15" w:type="dxa"/>
              <w:bottom w:w="0" w:type="dxa"/>
              <w:right w:w="15" w:type="dxa"/>
            </w:tcMar>
            <w:vAlign w:val="bottom"/>
          </w:tcPr>
          <w:p w14:paraId="70A8F7EA"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0.46</w:t>
            </w:r>
          </w:p>
        </w:tc>
        <w:tc>
          <w:tcPr>
            <w:tcW w:w="1418" w:type="dxa"/>
            <w:tcBorders>
              <w:top w:val="nil"/>
              <w:left w:val="nil"/>
              <w:bottom w:val="nil"/>
              <w:right w:val="nil"/>
            </w:tcBorders>
            <w:shd w:val="clear" w:color="000000" w:fill="FFFFFF"/>
            <w:noWrap/>
            <w:tcMar>
              <w:top w:w="15" w:type="dxa"/>
              <w:left w:w="15" w:type="dxa"/>
              <w:bottom w:w="0" w:type="dxa"/>
              <w:right w:w="15" w:type="dxa"/>
            </w:tcMar>
            <w:vAlign w:val="bottom"/>
          </w:tcPr>
          <w:p w14:paraId="1D3BC086"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0.62</w:t>
            </w:r>
          </w:p>
        </w:tc>
      </w:tr>
      <w:tr w:rsidR="00CA54C9" w:rsidRPr="004C122A" w14:paraId="04650456" w14:textId="77777777" w:rsidTr="0089741B">
        <w:trPr>
          <w:trHeight w:val="170"/>
        </w:trPr>
        <w:tc>
          <w:tcPr>
            <w:tcW w:w="3969" w:type="dxa"/>
            <w:tcBorders>
              <w:top w:val="nil"/>
              <w:left w:val="nil"/>
              <w:bottom w:val="nil"/>
              <w:right w:val="nil"/>
            </w:tcBorders>
            <w:shd w:val="clear" w:color="000000" w:fill="FFFFFF"/>
            <w:noWrap/>
            <w:tcMar>
              <w:top w:w="15" w:type="dxa"/>
              <w:left w:w="15" w:type="dxa"/>
              <w:bottom w:w="0" w:type="dxa"/>
              <w:right w:w="15" w:type="dxa"/>
            </w:tcMar>
            <w:vAlign w:val="bottom"/>
          </w:tcPr>
          <w:p w14:paraId="26F01A34" w14:textId="77777777" w:rsidR="00CA54C9" w:rsidRPr="004C122A" w:rsidRDefault="00CA54C9" w:rsidP="007F628D">
            <w:pPr>
              <w:spacing w:after="0"/>
              <w:contextualSpacing/>
              <w:rPr>
                <w:rFonts w:ascii="Calibri" w:hAnsi="Calibri" w:cs="Calibri"/>
                <w:i/>
                <w:iCs/>
                <w:color w:val="000000"/>
                <w:sz w:val="16"/>
                <w:szCs w:val="16"/>
              </w:rPr>
            </w:pPr>
          </w:p>
        </w:tc>
        <w:tc>
          <w:tcPr>
            <w:tcW w:w="2410" w:type="dxa"/>
            <w:tcBorders>
              <w:top w:val="nil"/>
              <w:left w:val="nil"/>
              <w:bottom w:val="nil"/>
              <w:right w:val="nil"/>
            </w:tcBorders>
            <w:shd w:val="clear" w:color="000000" w:fill="FFFFFF"/>
            <w:noWrap/>
            <w:tcMar>
              <w:top w:w="15" w:type="dxa"/>
              <w:left w:w="15" w:type="dxa"/>
              <w:bottom w:w="0" w:type="dxa"/>
              <w:right w:w="15" w:type="dxa"/>
            </w:tcMar>
            <w:vAlign w:val="bottom"/>
          </w:tcPr>
          <w:p w14:paraId="6429F2E9" w14:textId="77777777" w:rsidR="00CA54C9" w:rsidRPr="004C122A" w:rsidRDefault="00CA54C9" w:rsidP="007F628D">
            <w:pPr>
              <w:spacing w:after="0"/>
              <w:contextualSpacing/>
              <w:rPr>
                <w:rFonts w:ascii="Calibri" w:hAnsi="Calibri" w:cs="Calibri"/>
                <w:i/>
                <w:iCs/>
                <w:color w:val="000000"/>
                <w:sz w:val="16"/>
                <w:szCs w:val="16"/>
              </w:rPr>
            </w:pPr>
            <w:r w:rsidRPr="004C122A">
              <w:rPr>
                <w:rFonts w:ascii="Calibri" w:hAnsi="Calibri" w:cs="Calibri"/>
                <w:i/>
                <w:iCs/>
                <w:color w:val="000000"/>
                <w:sz w:val="16"/>
                <w:szCs w:val="16"/>
              </w:rPr>
              <w:t>Incremental cost of option 3 and 4</w:t>
            </w:r>
          </w:p>
        </w:tc>
        <w:tc>
          <w:tcPr>
            <w:tcW w:w="851" w:type="dxa"/>
            <w:tcBorders>
              <w:top w:val="nil"/>
              <w:left w:val="nil"/>
              <w:bottom w:val="nil"/>
              <w:right w:val="nil"/>
            </w:tcBorders>
            <w:shd w:val="clear" w:color="000000" w:fill="FFFFFF"/>
            <w:noWrap/>
            <w:tcMar>
              <w:top w:w="15" w:type="dxa"/>
              <w:left w:w="15" w:type="dxa"/>
              <w:bottom w:w="0" w:type="dxa"/>
              <w:right w:w="15" w:type="dxa"/>
            </w:tcMar>
            <w:vAlign w:val="bottom"/>
          </w:tcPr>
          <w:p w14:paraId="3858D36D"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0.11</w:t>
            </w:r>
          </w:p>
        </w:tc>
        <w:tc>
          <w:tcPr>
            <w:tcW w:w="1418" w:type="dxa"/>
            <w:tcBorders>
              <w:top w:val="nil"/>
              <w:left w:val="nil"/>
              <w:bottom w:val="nil"/>
              <w:right w:val="nil"/>
            </w:tcBorders>
            <w:shd w:val="clear" w:color="000000" w:fill="FFFFFF"/>
            <w:noWrap/>
            <w:tcMar>
              <w:top w:w="15" w:type="dxa"/>
              <w:left w:w="15" w:type="dxa"/>
              <w:bottom w:w="0" w:type="dxa"/>
              <w:right w:w="15" w:type="dxa"/>
            </w:tcMar>
            <w:vAlign w:val="bottom"/>
          </w:tcPr>
          <w:p w14:paraId="42B3BCF6"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0.15</w:t>
            </w:r>
          </w:p>
        </w:tc>
      </w:tr>
      <w:tr w:rsidR="00CA54C9" w:rsidRPr="004C122A" w14:paraId="7E3EC4AA" w14:textId="77777777" w:rsidTr="0089741B">
        <w:trPr>
          <w:trHeight w:val="170"/>
        </w:trPr>
        <w:tc>
          <w:tcPr>
            <w:tcW w:w="3969" w:type="dxa"/>
            <w:tcBorders>
              <w:top w:val="nil"/>
              <w:left w:val="nil"/>
              <w:bottom w:val="nil"/>
              <w:right w:val="nil"/>
            </w:tcBorders>
            <w:shd w:val="clear" w:color="000000" w:fill="FFFFFF"/>
            <w:noWrap/>
            <w:tcMar>
              <w:top w:w="15" w:type="dxa"/>
              <w:left w:w="15" w:type="dxa"/>
              <w:bottom w:w="0" w:type="dxa"/>
              <w:right w:w="15" w:type="dxa"/>
            </w:tcMar>
            <w:vAlign w:val="bottom"/>
          </w:tcPr>
          <w:p w14:paraId="3263F7FD" w14:textId="77777777" w:rsidR="00CA54C9" w:rsidRPr="004C122A" w:rsidRDefault="00CA54C9" w:rsidP="007F628D">
            <w:pPr>
              <w:spacing w:after="0"/>
              <w:contextualSpacing/>
              <w:rPr>
                <w:rFonts w:ascii="Calibri" w:hAnsi="Calibri" w:cs="Calibri"/>
                <w:i/>
                <w:iCs/>
                <w:color w:val="000000"/>
                <w:sz w:val="16"/>
                <w:szCs w:val="16"/>
              </w:rPr>
            </w:pPr>
            <w:r w:rsidRPr="004C122A">
              <w:rPr>
                <w:rFonts w:ascii="Calibri" w:hAnsi="Calibri" w:cs="Calibri"/>
                <w:i/>
                <w:iCs/>
                <w:color w:val="000000"/>
                <w:sz w:val="16"/>
                <w:szCs w:val="16"/>
              </w:rPr>
              <w:t>Total assets ($ millions)</w:t>
            </w:r>
          </w:p>
        </w:tc>
        <w:tc>
          <w:tcPr>
            <w:tcW w:w="2410" w:type="dxa"/>
            <w:tcBorders>
              <w:top w:val="nil"/>
              <w:left w:val="nil"/>
              <w:bottom w:val="nil"/>
              <w:right w:val="nil"/>
            </w:tcBorders>
            <w:shd w:val="clear" w:color="000000" w:fill="FFFFFF"/>
            <w:noWrap/>
            <w:tcMar>
              <w:top w:w="15" w:type="dxa"/>
              <w:left w:w="15" w:type="dxa"/>
              <w:bottom w:w="0" w:type="dxa"/>
              <w:right w:w="15" w:type="dxa"/>
            </w:tcMar>
            <w:vAlign w:val="bottom"/>
          </w:tcPr>
          <w:p w14:paraId="402D66D9" w14:textId="77777777" w:rsidR="00CA54C9" w:rsidRPr="004C122A" w:rsidRDefault="00CA54C9" w:rsidP="007F628D">
            <w:pPr>
              <w:spacing w:after="0"/>
              <w:contextualSpacing/>
              <w:rPr>
                <w:rFonts w:ascii="Calibri" w:hAnsi="Calibri" w:cs="Calibri"/>
                <w:i/>
                <w:iCs/>
                <w:color w:val="000000"/>
                <w:sz w:val="16"/>
                <w:szCs w:val="16"/>
              </w:rPr>
            </w:pPr>
          </w:p>
        </w:tc>
        <w:tc>
          <w:tcPr>
            <w:tcW w:w="851" w:type="dxa"/>
            <w:tcBorders>
              <w:top w:val="nil"/>
              <w:left w:val="nil"/>
              <w:bottom w:val="nil"/>
              <w:right w:val="nil"/>
            </w:tcBorders>
            <w:shd w:val="clear" w:color="000000" w:fill="FFFFFF"/>
            <w:noWrap/>
            <w:tcMar>
              <w:top w:w="15" w:type="dxa"/>
              <w:left w:w="15" w:type="dxa"/>
              <w:bottom w:w="0" w:type="dxa"/>
              <w:right w:w="15" w:type="dxa"/>
            </w:tcMar>
            <w:vAlign w:val="bottom"/>
          </w:tcPr>
          <w:p w14:paraId="28CF66AE"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2,076,000</w:t>
            </w:r>
          </w:p>
        </w:tc>
        <w:tc>
          <w:tcPr>
            <w:tcW w:w="1418" w:type="dxa"/>
            <w:tcBorders>
              <w:top w:val="nil"/>
              <w:left w:val="nil"/>
              <w:bottom w:val="nil"/>
              <w:right w:val="nil"/>
            </w:tcBorders>
            <w:shd w:val="clear" w:color="000000" w:fill="FFFFFF"/>
            <w:noWrap/>
            <w:tcMar>
              <w:top w:w="15" w:type="dxa"/>
              <w:left w:w="15" w:type="dxa"/>
              <w:bottom w:w="0" w:type="dxa"/>
              <w:right w:w="15" w:type="dxa"/>
            </w:tcMar>
            <w:vAlign w:val="bottom"/>
          </w:tcPr>
          <w:p w14:paraId="37A2DE81" w14:textId="77777777" w:rsidR="00CA54C9" w:rsidRPr="004C122A" w:rsidRDefault="00CA54C9" w:rsidP="007F628D">
            <w:pPr>
              <w:spacing w:after="0"/>
              <w:contextualSpacing/>
              <w:jc w:val="center"/>
              <w:rPr>
                <w:rFonts w:ascii="Calibri" w:hAnsi="Calibri" w:cs="Calibri"/>
                <w:color w:val="000000"/>
                <w:sz w:val="16"/>
                <w:szCs w:val="16"/>
              </w:rPr>
            </w:pPr>
            <w:r w:rsidRPr="004C122A">
              <w:rPr>
                <w:rFonts w:ascii="Calibri" w:hAnsi="Calibri" w:cs="Calibri"/>
                <w:color w:val="000000"/>
                <w:sz w:val="16"/>
                <w:szCs w:val="16"/>
              </w:rPr>
              <w:t>2,076,000</w:t>
            </w:r>
          </w:p>
        </w:tc>
      </w:tr>
    </w:tbl>
    <w:p w14:paraId="37F250E5" w14:textId="77777777" w:rsidR="00CA54C9" w:rsidRDefault="00CA54C9" w:rsidP="00CA54C9">
      <w:pPr>
        <w:spacing w:after="0"/>
        <w:rPr>
          <w:b/>
          <w:u w:val="single"/>
        </w:rPr>
      </w:pPr>
    </w:p>
    <w:p w14:paraId="2BA06695" w14:textId="07A09EA2" w:rsidR="00912E29" w:rsidRPr="008F1B7C" w:rsidRDefault="00A47906" w:rsidP="00BF4E15">
      <w:pPr>
        <w:rPr>
          <w:b/>
          <w:u w:val="single"/>
        </w:rPr>
      </w:pPr>
      <w:r w:rsidRPr="008F1B7C">
        <w:rPr>
          <w:b/>
          <w:u w:val="single"/>
        </w:rPr>
        <w:t>Expenses</w:t>
      </w:r>
    </w:p>
    <w:p w14:paraId="7BC8678E" w14:textId="32633588" w:rsidR="0074467D" w:rsidRPr="008F1B7C" w:rsidRDefault="0074467D" w:rsidP="0074467D">
      <w:pPr>
        <w:pStyle w:val="BodyText"/>
      </w:pPr>
      <w:r w:rsidRPr="008F1B7C">
        <w:t xml:space="preserve">The enhanced data on expenses under option 3 and 4 would be anticipated to enable </w:t>
      </w:r>
      <w:proofErr w:type="spellStart"/>
      <w:r w:rsidR="00926D2B" w:rsidRPr="008F1B7C">
        <w:t>enahanced</w:t>
      </w:r>
      <w:proofErr w:type="spellEnd"/>
      <w:r w:rsidR="00926D2B" w:rsidRPr="008F1B7C">
        <w:t xml:space="preserve"> </w:t>
      </w:r>
      <w:r w:rsidR="00926D2B" w:rsidRPr="008F1B7C">
        <w:rPr>
          <w:rFonts w:cs="Arial"/>
          <w:color w:val="000000"/>
        </w:rPr>
        <w:t>transparency on</w:t>
      </w:r>
      <w:r w:rsidR="00341564" w:rsidRPr="008F1B7C">
        <w:rPr>
          <w:rFonts w:cs="Arial"/>
          <w:color w:val="000000"/>
        </w:rPr>
        <w:t xml:space="preserve"> profit attributable to superannuation entities expenses</w:t>
      </w:r>
      <w:r w:rsidR="00926D2B" w:rsidRPr="008F1B7C">
        <w:rPr>
          <w:rFonts w:cs="Arial"/>
          <w:color w:val="000000"/>
        </w:rPr>
        <w:t xml:space="preserve"> and</w:t>
      </w:r>
      <w:r w:rsidR="00341564" w:rsidRPr="008F1B7C">
        <w:t xml:space="preserve"> </w:t>
      </w:r>
      <w:r w:rsidRPr="008F1B7C">
        <w:t xml:space="preserve">benchmarking of expenditure for different </w:t>
      </w:r>
      <w:proofErr w:type="gramStart"/>
      <w:r w:rsidRPr="008F1B7C">
        <w:t>purposes, and</w:t>
      </w:r>
      <w:proofErr w:type="gramEnd"/>
      <w:r w:rsidRPr="008F1B7C">
        <w:t xml:space="preserve"> increased supervisory scrutiny of RSE licensee expenditure. </w:t>
      </w:r>
      <w:r w:rsidR="00BD7F9D" w:rsidRPr="008F1B7C">
        <w:t>Anticipated benefits include RSE licensees reducing or ceasing expenses which may not be in members best interests.</w:t>
      </w:r>
    </w:p>
    <w:p w14:paraId="2A2A7988" w14:textId="77777777" w:rsidR="00531675" w:rsidRDefault="003A3695" w:rsidP="00A47906">
      <w:pPr>
        <w:pStyle w:val="BodyText"/>
      </w:pPr>
      <w:r w:rsidRPr="008F1B7C">
        <w:rPr>
          <w:noProof/>
          <w:lang w:eastAsia="en-AU"/>
        </w:rPr>
        <mc:AlternateContent>
          <mc:Choice Requires="wps">
            <w:drawing>
              <wp:inline distT="0" distB="0" distL="0" distR="0" wp14:anchorId="0A201293" wp14:editId="7C156E71">
                <wp:extent cx="5715000" cy="2238375"/>
                <wp:effectExtent l="0" t="0" r="19050" b="28575"/>
                <wp:docPr id="8" name="Text Box 2" descr="Expenses outcomes and data limitations: highlights from Productivity Commission repor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38375"/>
                        </a:xfrm>
                        <a:prstGeom prst="rect">
                          <a:avLst/>
                        </a:prstGeom>
                        <a:solidFill>
                          <a:schemeClr val="accent4">
                            <a:lumMod val="20000"/>
                            <a:lumOff val="80000"/>
                          </a:schemeClr>
                        </a:solidFill>
                        <a:ln w="9525">
                          <a:solidFill>
                            <a:srgbClr val="000000"/>
                          </a:solidFill>
                          <a:miter lim="800000"/>
                          <a:headEnd/>
                          <a:tailEnd/>
                        </a:ln>
                      </wps:spPr>
                      <wps:txbx>
                        <w:txbxContent>
                          <w:p w14:paraId="254F5FAD" w14:textId="77777777" w:rsidR="003A3695" w:rsidRPr="00884ADF" w:rsidRDefault="003A3695" w:rsidP="003A3695">
                            <w:pPr>
                              <w:pStyle w:val="BodyText"/>
                              <w:rPr>
                                <w:b/>
                              </w:rPr>
                            </w:pPr>
                            <w:r>
                              <w:rPr>
                                <w:b/>
                              </w:rPr>
                              <w:t>Expenses</w:t>
                            </w:r>
                            <w:r w:rsidRPr="00884ADF">
                              <w:rPr>
                                <w:b/>
                              </w:rPr>
                              <w:t xml:space="preserve"> </w:t>
                            </w:r>
                            <w:r>
                              <w:rPr>
                                <w:b/>
                              </w:rPr>
                              <w:t xml:space="preserve">outcomes and data limitations: </w:t>
                            </w:r>
                            <w:r w:rsidRPr="00884ADF">
                              <w:rPr>
                                <w:b/>
                              </w:rPr>
                              <w:t xml:space="preserve">highlights from </w:t>
                            </w:r>
                            <w:r>
                              <w:rPr>
                                <w:b/>
                              </w:rPr>
                              <w:t>P</w:t>
                            </w:r>
                            <w:r w:rsidRPr="00884ADF">
                              <w:rPr>
                                <w:b/>
                              </w:rPr>
                              <w:t xml:space="preserve">roductivity </w:t>
                            </w:r>
                            <w:r>
                              <w:rPr>
                                <w:b/>
                              </w:rPr>
                              <w:t>C</w:t>
                            </w:r>
                            <w:r w:rsidRPr="00884ADF">
                              <w:rPr>
                                <w:b/>
                              </w:rPr>
                              <w:t xml:space="preserve">ommission report </w:t>
                            </w:r>
                          </w:p>
                          <w:p w14:paraId="711642A4" w14:textId="77777777" w:rsidR="003A3695" w:rsidRDefault="003A3695" w:rsidP="003A3695">
                            <w:pPr>
                              <w:pStyle w:val="BodyText"/>
                              <w:rPr>
                                <w:rFonts w:ascii="Times New Roman" w:hAnsi="Times New Roman"/>
                              </w:rPr>
                            </w:pPr>
                            <w:r>
                              <w:t>‘Despite the regulatory protections in place, trustees’ use of related parties is clearly too often not in the best interests of members. Vertical integration is contributing to inefficiency in the system. Regulatory protections need to be further strengthened to ensure that members are not disadvantaged if their fund chooses to use related</w:t>
                            </w:r>
                            <w:r>
                              <w:noBreakHyphen/>
                              <w:t>party service providers...</w:t>
                            </w:r>
                          </w:p>
                          <w:p w14:paraId="7E0782C3" w14:textId="77777777" w:rsidR="003A3695" w:rsidRDefault="003A3695" w:rsidP="003A3695">
                            <w:pPr>
                              <w:pStyle w:val="BodyText"/>
                            </w:pPr>
                            <w:r>
                              <w:t>Data limitations relating to these arrangements are, of themselves, a red flag. The inability to examine investment management expenses is particularly problematic given they represent around 30 per cent funds’ reported expenses, and of member fees. Deficiencies in the information reported should be addressed...’ p349</w:t>
                            </w:r>
                          </w:p>
                          <w:p w14:paraId="01307658" w14:textId="77777777" w:rsidR="003A3695" w:rsidRDefault="003A3695" w:rsidP="003A3695"/>
                        </w:txbxContent>
                      </wps:txbx>
                      <wps:bodyPr rot="0" vert="horz" wrap="square" lIns="91440" tIns="45720" rIns="91440" bIns="45720" anchor="t" anchorCtr="0">
                        <a:noAutofit/>
                      </wps:bodyPr>
                    </wps:wsp>
                  </a:graphicData>
                </a:graphic>
              </wp:inline>
            </w:drawing>
          </mc:Choice>
          <mc:Fallback>
            <w:pict>
              <v:shape w14:anchorId="0A201293" id="_x0000_s1028" type="#_x0000_t202" alt="Expenses outcomes and data limitations: highlights from Productivity Commission report " style="width:450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" fillcolor="#eaecee [663]">
                <v:textbox>
                  <w:txbxContent>
                    <w:p w14:paraId="254F5FAD" w14:textId="77777777" w:rsidR="003A3695" w:rsidRPr="00884ADF" w:rsidRDefault="003A3695" w:rsidP="003A3695">
                      <w:pPr>
                        <w:pStyle w:val="BodyText"/>
                        <w:rPr>
                          <w:b/>
                        </w:rPr>
                      </w:pPr>
                      <w:r>
                        <w:rPr>
                          <w:b/>
                        </w:rPr>
                        <w:t>Expenses</w:t>
                      </w:r>
                      <w:r w:rsidRPr="00884ADF">
                        <w:rPr>
                          <w:b/>
                        </w:rPr>
                        <w:t xml:space="preserve"> </w:t>
                      </w:r>
                      <w:r>
                        <w:rPr>
                          <w:b/>
                        </w:rPr>
                        <w:t xml:space="preserve">outcomes and data limitations: </w:t>
                      </w:r>
                      <w:r w:rsidRPr="00884ADF">
                        <w:rPr>
                          <w:b/>
                        </w:rPr>
                        <w:t xml:space="preserve">highlights from </w:t>
                      </w:r>
                      <w:r>
                        <w:rPr>
                          <w:b/>
                        </w:rPr>
                        <w:t>P</w:t>
                      </w:r>
                      <w:r w:rsidRPr="00884ADF">
                        <w:rPr>
                          <w:b/>
                        </w:rPr>
                        <w:t xml:space="preserve">roductivity </w:t>
                      </w:r>
                      <w:r>
                        <w:rPr>
                          <w:b/>
                        </w:rPr>
                        <w:t>C</w:t>
                      </w:r>
                      <w:r w:rsidRPr="00884ADF">
                        <w:rPr>
                          <w:b/>
                        </w:rPr>
                        <w:t xml:space="preserve">ommission report </w:t>
                      </w:r>
                    </w:p>
                    <w:p w14:paraId="711642A4" w14:textId="77777777" w:rsidR="003A3695" w:rsidRDefault="003A3695" w:rsidP="003A3695">
                      <w:pPr>
                        <w:pStyle w:val="BodyText"/>
                        <w:rPr>
                          <w:rFonts w:ascii="Times New Roman" w:hAnsi="Times New Roman"/>
                        </w:rPr>
                      </w:pPr>
                      <w:r>
                        <w:t>‘Despite the regulatory protections in place, trustees’ use of related parties is clearly too often not in the best interests of members. Vertical integration is contributing to inefficiency in the system. Regulatory protections need to be further strengthened to ensure that members are not disadvantaged if their fund chooses to use related</w:t>
                      </w:r>
                      <w:r>
                        <w:noBreakHyphen/>
                        <w:t>party service providers...</w:t>
                      </w:r>
                    </w:p>
                    <w:p w14:paraId="7E0782C3" w14:textId="77777777" w:rsidR="003A3695" w:rsidRDefault="003A3695" w:rsidP="003A3695">
                      <w:pPr>
                        <w:pStyle w:val="BodyText"/>
                      </w:pPr>
                      <w:r>
                        <w:t>Data limitations relating to these arrangements are, of themselves, a red flag. The inability to examine investment management expenses is particularly problematic given they represent around 30 per cent funds’ reported expenses, and of member fees. Deficiencies in the information reported should be addressed...’ p349</w:t>
                      </w:r>
                    </w:p>
                    <w:p w14:paraId="01307658" w14:textId="77777777" w:rsidR="003A3695" w:rsidRDefault="003A3695" w:rsidP="003A3695"/>
                  </w:txbxContent>
                </v:textbox>
                <w10:anchorlock/>
              </v:shape>
            </w:pict>
          </mc:Fallback>
        </mc:AlternateContent>
      </w:r>
    </w:p>
    <w:p w14:paraId="12EA497C" w14:textId="070D7412" w:rsidR="00ED6A73" w:rsidRPr="008F1B7C" w:rsidRDefault="00ED6A73" w:rsidP="00A47906">
      <w:pPr>
        <w:pStyle w:val="BodyText"/>
      </w:pPr>
      <w:r w:rsidRPr="008F1B7C">
        <w:t xml:space="preserve">Total </w:t>
      </w:r>
      <w:r w:rsidR="0083627A" w:rsidRPr="008F1B7C">
        <w:t xml:space="preserve">annual </w:t>
      </w:r>
      <w:r w:rsidRPr="008F1B7C">
        <w:t>expenses for the industry are $</w:t>
      </w:r>
      <w:r w:rsidR="0069402A" w:rsidRPr="008F1B7C">
        <w:t>11</w:t>
      </w:r>
      <w:r w:rsidR="007A4090" w:rsidRPr="008F1B7C">
        <w:t>.3 billion</w:t>
      </w:r>
      <w:r w:rsidRPr="008F1B7C">
        <w:t xml:space="preserve">. </w:t>
      </w:r>
      <w:r w:rsidR="00761A4A" w:rsidRPr="008F1B7C">
        <w:t>Assuming that the savings from a reduction in expenses which are not in the best financial interests of members is passed on to members:</w:t>
      </w:r>
    </w:p>
    <w:p w14:paraId="7AAFC90A" w14:textId="214587EA" w:rsidR="00761A4A" w:rsidRPr="008F1B7C" w:rsidRDefault="00761A4A" w:rsidP="005139E3">
      <w:pPr>
        <w:pStyle w:val="BodyText"/>
        <w:numPr>
          <w:ilvl w:val="0"/>
          <w:numId w:val="30"/>
        </w:numPr>
      </w:pPr>
      <w:r w:rsidRPr="008F1B7C">
        <w:t xml:space="preserve">Just an 0.46 per cent decrease in total industry expenses which are not in the best financial interests of members would deliver an annual saving to members which would </w:t>
      </w:r>
      <w:r w:rsidR="00F27135" w:rsidRPr="008F1B7C">
        <w:t>offset</w:t>
      </w:r>
      <w:r w:rsidRPr="008F1B7C">
        <w:t xml:space="preserve"> the total regulatory costs of $52 million per annum.</w:t>
      </w:r>
    </w:p>
    <w:p w14:paraId="17304794" w14:textId="359FBC05" w:rsidR="00ED6A73" w:rsidRPr="008F1B7C" w:rsidRDefault="00ED6A73" w:rsidP="005139E3">
      <w:pPr>
        <w:pStyle w:val="BodyText"/>
        <w:numPr>
          <w:ilvl w:val="0"/>
          <w:numId w:val="30"/>
        </w:numPr>
      </w:pPr>
      <w:r w:rsidRPr="008F1B7C">
        <w:t xml:space="preserve">Just an </w:t>
      </w:r>
      <w:r w:rsidR="00761A4A" w:rsidRPr="008F1B7C">
        <w:t>0.11</w:t>
      </w:r>
      <w:r w:rsidRPr="008F1B7C">
        <w:t xml:space="preserve"> per cent decrease in total industry expenses </w:t>
      </w:r>
      <w:r w:rsidR="00761A4A" w:rsidRPr="008F1B7C">
        <w:t xml:space="preserve">which are not in the best financial interests of members </w:t>
      </w:r>
      <w:r w:rsidRPr="008F1B7C">
        <w:t xml:space="preserve">would deliver an annual saving to members which would </w:t>
      </w:r>
      <w:r w:rsidR="00F27135" w:rsidRPr="008F1B7C">
        <w:t>offset</w:t>
      </w:r>
      <w:r w:rsidRPr="008F1B7C">
        <w:t xml:space="preserve"> the difference in total regulatory costs between option 2 and option 3 </w:t>
      </w:r>
      <w:r w:rsidR="00761A4A" w:rsidRPr="008F1B7C">
        <w:t>or</w:t>
      </w:r>
      <w:r w:rsidRPr="008F1B7C">
        <w:t xml:space="preserve"> 4 of $</w:t>
      </w:r>
      <w:r w:rsidR="00761A4A" w:rsidRPr="008F1B7C">
        <w:t>12.4</w:t>
      </w:r>
      <w:r w:rsidRPr="008F1B7C">
        <w:t xml:space="preserve"> million per year over 10 years.    </w:t>
      </w:r>
    </w:p>
    <w:p w14:paraId="5CA402ED" w14:textId="7E901630" w:rsidR="00A47906" w:rsidRPr="008F1B7C" w:rsidRDefault="00A47906" w:rsidP="00BF4E15">
      <w:pPr>
        <w:rPr>
          <w:b/>
          <w:u w:val="single"/>
        </w:rPr>
      </w:pPr>
      <w:r w:rsidRPr="008F1B7C">
        <w:rPr>
          <w:b/>
          <w:u w:val="single"/>
        </w:rPr>
        <w:t>Insurance</w:t>
      </w:r>
    </w:p>
    <w:p w14:paraId="1E619EE5" w14:textId="28AB4912" w:rsidR="0069402A" w:rsidRPr="008F1B7C" w:rsidRDefault="0069402A" w:rsidP="0069402A">
      <w:r w:rsidRPr="008F1B7C">
        <w:t xml:space="preserve">Enhanced insurance data under option 3 and 4 is anticipated to </w:t>
      </w:r>
      <w:r w:rsidR="001F69F4" w:rsidRPr="008F1B7C">
        <w:t xml:space="preserve">lead to </w:t>
      </w:r>
      <w:r w:rsidRPr="008F1B7C">
        <w:t>identification of variation in default cover and premiums across funds which is unlikely to be explained by differences in the risk profile of different member cohorts, an indication of inappropriate cross subsidisation.</w:t>
      </w:r>
      <w:r w:rsidR="008D631C" w:rsidRPr="008F1B7C">
        <w:t xml:space="preserve"> </w:t>
      </w:r>
      <w:r w:rsidR="00BD7F9D" w:rsidRPr="008F1B7C">
        <w:t xml:space="preserve">The data would also enable benchmarking of premiums and claims experience. </w:t>
      </w:r>
    </w:p>
    <w:p w14:paraId="212C3387" w14:textId="2630EAF0" w:rsidR="008C2BE2" w:rsidRPr="008F1B7C" w:rsidRDefault="0069402A" w:rsidP="00FB4F6C">
      <w:r w:rsidRPr="008F1B7C">
        <w:lastRenderedPageBreak/>
        <w:t>While government policy has addressed undue erosion of account balances for specific member cohorts (low balance and inactive)</w:t>
      </w:r>
      <w:r w:rsidR="007B6FFC" w:rsidRPr="008F1B7C">
        <w:rPr>
          <w:rStyle w:val="FootnoteReference"/>
        </w:rPr>
        <w:footnoteReference w:id="38"/>
      </w:r>
      <w:r w:rsidRPr="008F1B7C">
        <w:t xml:space="preserve"> and will reduce the number of duplicate accounts which result in ‘zombie cover’ going forward</w:t>
      </w:r>
      <w:r w:rsidR="00B42B28" w:rsidRPr="008F1B7C">
        <w:rPr>
          <w:rStyle w:val="FootnoteReference"/>
        </w:rPr>
        <w:footnoteReference w:id="39"/>
      </w:r>
      <w:r w:rsidRPr="008F1B7C">
        <w:t xml:space="preserve">, more granular and comparable data </w:t>
      </w:r>
      <w:r w:rsidR="00BE229A" w:rsidRPr="008F1B7C">
        <w:t xml:space="preserve">would </w:t>
      </w:r>
      <w:r w:rsidRPr="008F1B7C">
        <w:t>enable better understanding and benchmarking of claims experience and insurance design. This data would enable</w:t>
      </w:r>
      <w:r w:rsidR="008C2BE2" w:rsidRPr="008F1B7C">
        <w:t xml:space="preserve"> </w:t>
      </w:r>
      <w:r w:rsidRPr="008F1B7C">
        <w:t xml:space="preserve">supervisory attention </w:t>
      </w:r>
      <w:r w:rsidR="008C2BE2" w:rsidRPr="008F1B7C">
        <w:t>to ensure RSE licensees are acting in their members’ best financial interests and that insurance does not inappropriately erode their members’ balances.</w:t>
      </w:r>
      <w:r w:rsidRPr="008F1B7C">
        <w:t xml:space="preserve"> The anticipated benefits include:</w:t>
      </w:r>
    </w:p>
    <w:p w14:paraId="32232251" w14:textId="7D3577C0" w:rsidR="00641C9B" w:rsidRPr="008F1B7C" w:rsidRDefault="008C2BE2" w:rsidP="005139E3">
      <w:pPr>
        <w:pStyle w:val="ListParagraph"/>
        <w:numPr>
          <w:ilvl w:val="0"/>
          <w:numId w:val="29"/>
        </w:numPr>
      </w:pPr>
      <w:r w:rsidRPr="008F1B7C">
        <w:t>Encourag</w:t>
      </w:r>
      <w:r w:rsidR="00F27135" w:rsidRPr="008F1B7C">
        <w:t>ing</w:t>
      </w:r>
      <w:r w:rsidRPr="008F1B7C">
        <w:t xml:space="preserve"> RSE </w:t>
      </w:r>
      <w:r w:rsidR="006635FB" w:rsidRPr="008F1B7C">
        <w:t>licensees</w:t>
      </w:r>
      <w:r w:rsidRPr="008F1B7C">
        <w:t xml:space="preserve"> to seek improved data on their members to tailor insurance design to be appropriate to members</w:t>
      </w:r>
      <w:r w:rsidR="00641C9B" w:rsidRPr="008F1B7C">
        <w:t xml:space="preserve">. Improved design means members have cover appropriate for their circumstances, and premiums do not inappropriately erode </w:t>
      </w:r>
      <w:r w:rsidR="009705FD" w:rsidRPr="008F1B7C">
        <w:t>member</w:t>
      </w:r>
      <w:r w:rsidR="00641C9B" w:rsidRPr="008F1B7C">
        <w:t xml:space="preserve"> balance</w:t>
      </w:r>
      <w:r w:rsidR="009705FD" w:rsidRPr="008F1B7C">
        <w:t>s</w:t>
      </w:r>
      <w:r w:rsidR="00F27135" w:rsidRPr="008F1B7C">
        <w:t>.</w:t>
      </w:r>
    </w:p>
    <w:p w14:paraId="5EEF0611" w14:textId="4D900332" w:rsidR="00641C9B" w:rsidRPr="008F1B7C" w:rsidRDefault="00AA3792" w:rsidP="005139E3">
      <w:pPr>
        <w:pStyle w:val="ListParagraph"/>
        <w:numPr>
          <w:ilvl w:val="0"/>
          <w:numId w:val="29"/>
        </w:numPr>
      </w:pPr>
      <w:r w:rsidRPr="008F1B7C">
        <w:t xml:space="preserve">Encouraging RSE licensees to </w:t>
      </w:r>
      <w:bookmarkStart w:id="109" w:name="_Hlk81501611"/>
      <w:r w:rsidRPr="008F1B7C">
        <w:t>r</w:t>
      </w:r>
      <w:r w:rsidR="00641C9B" w:rsidRPr="008F1B7C">
        <w:t>educ</w:t>
      </w:r>
      <w:r w:rsidRPr="008F1B7C">
        <w:t>e</w:t>
      </w:r>
      <w:r w:rsidR="00641C9B" w:rsidRPr="008F1B7C">
        <w:t xml:space="preserve"> inappropriate cross subsidisation</w:t>
      </w:r>
      <w:bookmarkEnd w:id="109"/>
      <w:r w:rsidR="00641C9B" w:rsidRPr="008F1B7C">
        <w:t xml:space="preserve">, which may not reduce total premiums for the industry, but </w:t>
      </w:r>
      <w:r w:rsidR="00BE229A" w:rsidRPr="008F1B7C">
        <w:t xml:space="preserve">would </w:t>
      </w:r>
      <w:r w:rsidR="00641C9B" w:rsidRPr="008F1B7C">
        <w:t xml:space="preserve">improve equitable outcomes for individual members.  </w:t>
      </w:r>
    </w:p>
    <w:p w14:paraId="7D8233E3" w14:textId="77777777" w:rsidR="00531675" w:rsidRDefault="00BB25AC" w:rsidP="00B447D6">
      <w:r w:rsidRPr="008F1B7C">
        <w:rPr>
          <w:noProof/>
          <w:lang w:eastAsia="en-AU"/>
        </w:rPr>
        <mc:AlternateContent>
          <mc:Choice Requires="wps">
            <w:drawing>
              <wp:inline distT="0" distB="0" distL="0" distR="0" wp14:anchorId="75CFA0BD" wp14:editId="2DB0B2AC">
                <wp:extent cx="5715000" cy="4133850"/>
                <wp:effectExtent l="0" t="0" r="19050" b="19050"/>
                <wp:docPr id="9" name="Text Box 2" descr="Insurance outcomes and data limitations: highlights from Productivity Commission repor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33850"/>
                        </a:xfrm>
                        <a:prstGeom prst="rect">
                          <a:avLst/>
                        </a:prstGeom>
                        <a:solidFill>
                          <a:schemeClr val="accent4">
                            <a:lumMod val="20000"/>
                            <a:lumOff val="80000"/>
                          </a:schemeClr>
                        </a:solidFill>
                        <a:ln w="9525">
                          <a:solidFill>
                            <a:srgbClr val="000000"/>
                          </a:solidFill>
                          <a:miter lim="800000"/>
                          <a:headEnd/>
                          <a:tailEnd/>
                        </a:ln>
                      </wps:spPr>
                      <wps:txbx>
                        <w:txbxContent>
                          <w:p w14:paraId="652E17BF" w14:textId="77777777" w:rsidR="00BB25AC" w:rsidRPr="00917284" w:rsidRDefault="00BB25AC" w:rsidP="00BB25AC">
                            <w:pPr>
                              <w:pStyle w:val="BodyText"/>
                              <w:rPr>
                                <w:b/>
                              </w:rPr>
                            </w:pPr>
                            <w:r w:rsidRPr="00917284">
                              <w:rPr>
                                <w:b/>
                              </w:rPr>
                              <w:t>Insura</w:t>
                            </w:r>
                            <w:r>
                              <w:rPr>
                                <w:b/>
                              </w:rPr>
                              <w:t>n</w:t>
                            </w:r>
                            <w:r w:rsidRPr="00917284">
                              <w:rPr>
                                <w:b/>
                              </w:rPr>
                              <w:t xml:space="preserve">ce </w:t>
                            </w:r>
                            <w:r>
                              <w:rPr>
                                <w:b/>
                              </w:rPr>
                              <w:t xml:space="preserve">outcomes and data limitations: </w:t>
                            </w:r>
                            <w:r w:rsidRPr="00917284">
                              <w:rPr>
                                <w:b/>
                              </w:rPr>
                              <w:t xml:space="preserve">highlights from </w:t>
                            </w:r>
                            <w:r>
                              <w:rPr>
                                <w:b/>
                              </w:rPr>
                              <w:t>P</w:t>
                            </w:r>
                            <w:r w:rsidRPr="00917284">
                              <w:rPr>
                                <w:b/>
                              </w:rPr>
                              <w:t xml:space="preserve">roductivity </w:t>
                            </w:r>
                            <w:r>
                              <w:rPr>
                                <w:b/>
                              </w:rPr>
                              <w:t>C</w:t>
                            </w:r>
                            <w:r w:rsidRPr="00AE3164">
                              <w:rPr>
                                <w:b/>
                              </w:rPr>
                              <w:t>ommission</w:t>
                            </w:r>
                            <w:r w:rsidRPr="00917284">
                              <w:rPr>
                                <w:b/>
                              </w:rPr>
                              <w:t xml:space="preserve"> report </w:t>
                            </w:r>
                          </w:p>
                          <w:p w14:paraId="3451F74B" w14:textId="77777777" w:rsidR="00BB25AC" w:rsidRDefault="00BB25AC" w:rsidP="00BB25AC">
                            <w:pPr>
                              <w:pStyle w:val="BodyText"/>
                            </w:pPr>
                            <w:r>
                              <w:t>‘</w:t>
                            </w:r>
                            <w:r w:rsidRPr="00626187">
                              <w:t xml:space="preserve">The default premiums that members pay vary widely — while the average hovers around $300 per year, premiums can be as high as $2000 per year </w:t>
                            </w:r>
                            <w:r>
                              <w:t>…</w:t>
                            </w:r>
                            <w:r w:rsidRPr="00626187">
                              <w:t xml:space="preserve"> One key factor is age — p</w:t>
                            </w:r>
                            <w:r w:rsidRPr="00A23B75">
                              <w:t>remiums tend to increase by age (reflecting increasing risk), but then decrease again at older ages as funds reduce the default levels of cover. But there are also other reasons why default premiums differ. …</w:t>
                            </w:r>
                            <w:r w:rsidRPr="00F66F65">
                              <w:t>To some extent, the variation in types and levels of cover and unit prices can be expected to reflect differences in member cohort characteristics and preferences (such as occupational risk, income levels and financial/familial obligations). Nonetheless, the wide disparity in premiums across offerings suggests that there may be other factors at play. Given the limitations in the data about their members that funds can and do collect, it is implausible that the wide observed variation in default cover and premiums across funds is fully explained by these cohort differences.</w:t>
                            </w:r>
                            <w:r>
                              <w:t>’</w:t>
                            </w:r>
                            <w:r w:rsidRPr="00F66F65">
                              <w:t xml:space="preserve"> </w:t>
                            </w:r>
                            <w:r>
                              <w:t>p</w:t>
                            </w:r>
                            <w:r w:rsidRPr="001E435C">
                              <w:t>370</w:t>
                            </w:r>
                            <w:r w:rsidRPr="00854C04">
                              <w:t xml:space="preserve"> </w:t>
                            </w:r>
                          </w:p>
                          <w:p w14:paraId="4788CA38" w14:textId="77777777" w:rsidR="00BB25AC" w:rsidRPr="00884335" w:rsidRDefault="00BB25AC" w:rsidP="00BB25AC">
                            <w:r>
                              <w:t>‘</w:t>
                            </w:r>
                            <w:r w:rsidRPr="00884335">
                              <w:t>Cross subsidisation is an essential feature of group insurance. A key reason that group insurance is relatively cheap is that risk factors that are costly to collect information on can be averaged across the population without the risk of adverse selection occurring.</w:t>
                            </w:r>
                            <w:r>
                              <w:t xml:space="preserve"> … </w:t>
                            </w:r>
                            <w:r w:rsidRPr="00884335">
                              <w:t>The question then is one of appropriate versus inappropriate cross subsidisation.</w:t>
                            </w:r>
                            <w:r>
                              <w:t>’ p</w:t>
                            </w:r>
                            <w:r w:rsidRPr="00884335">
                              <w:t>389</w:t>
                            </w:r>
                          </w:p>
                          <w:p w14:paraId="65C2953E" w14:textId="77777777" w:rsidR="00BB25AC" w:rsidRDefault="00BB25AC" w:rsidP="00BB25AC">
                            <w:pPr>
                              <w:pStyle w:val="BodyText"/>
                            </w:pPr>
                            <w:r>
                              <w:t>‘This complexity and lack of product comparability could act as a constraint to product switching by members. Switching may also be constrained where a preferred insurance product in an existing fund dissuades a member from rolling over their balance to another fund that offers other advantages, such as better returns.’ p</w:t>
                            </w:r>
                            <w:r w:rsidRPr="00B847D9">
                              <w:t>394</w:t>
                            </w:r>
                          </w:p>
                        </w:txbxContent>
                      </wps:txbx>
                      <wps:bodyPr rot="0" vert="horz" wrap="square" lIns="91440" tIns="45720" rIns="91440" bIns="45720" anchor="t" anchorCtr="0">
                        <a:noAutofit/>
                      </wps:bodyPr>
                    </wps:wsp>
                  </a:graphicData>
                </a:graphic>
              </wp:inline>
            </w:drawing>
          </mc:Choice>
          <mc:Fallback>
            <w:pict>
              <v:shape w14:anchorId="75CFA0BD" id="_x0000_s1029" type="#_x0000_t202" alt="Insurance outcomes and data limitations: highlights from Productivity Commission report " style="width:450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" fillcolor="#eaecee [663]">
                <v:textbox>
                  <w:txbxContent>
                    <w:p w14:paraId="652E17BF" w14:textId="77777777" w:rsidR="00BB25AC" w:rsidRPr="00917284" w:rsidRDefault="00BB25AC" w:rsidP="00BB25AC">
                      <w:pPr>
                        <w:pStyle w:val="BodyText"/>
                        <w:rPr>
                          <w:b/>
                        </w:rPr>
                      </w:pPr>
                      <w:r w:rsidRPr="00917284">
                        <w:rPr>
                          <w:b/>
                        </w:rPr>
                        <w:t>Insura</w:t>
                      </w:r>
                      <w:r>
                        <w:rPr>
                          <w:b/>
                        </w:rPr>
                        <w:t>n</w:t>
                      </w:r>
                      <w:r w:rsidRPr="00917284">
                        <w:rPr>
                          <w:b/>
                        </w:rPr>
                        <w:t xml:space="preserve">ce </w:t>
                      </w:r>
                      <w:r>
                        <w:rPr>
                          <w:b/>
                        </w:rPr>
                        <w:t xml:space="preserve">outcomes and data limitations: </w:t>
                      </w:r>
                      <w:r w:rsidRPr="00917284">
                        <w:rPr>
                          <w:b/>
                        </w:rPr>
                        <w:t xml:space="preserve">highlights from </w:t>
                      </w:r>
                      <w:r>
                        <w:rPr>
                          <w:b/>
                        </w:rPr>
                        <w:t>P</w:t>
                      </w:r>
                      <w:r w:rsidRPr="00917284">
                        <w:rPr>
                          <w:b/>
                        </w:rPr>
                        <w:t xml:space="preserve">roductivity </w:t>
                      </w:r>
                      <w:r>
                        <w:rPr>
                          <w:b/>
                        </w:rPr>
                        <w:t>C</w:t>
                      </w:r>
                      <w:r w:rsidRPr="00AE3164">
                        <w:rPr>
                          <w:b/>
                        </w:rPr>
                        <w:t>ommission</w:t>
                      </w:r>
                      <w:r w:rsidRPr="00917284">
                        <w:rPr>
                          <w:b/>
                        </w:rPr>
                        <w:t xml:space="preserve"> report </w:t>
                      </w:r>
                    </w:p>
                    <w:p w14:paraId="3451F74B" w14:textId="77777777" w:rsidR="00BB25AC" w:rsidRDefault="00BB25AC" w:rsidP="00BB25AC">
                      <w:pPr>
                        <w:pStyle w:val="BodyText"/>
                      </w:pPr>
                      <w:r>
                        <w:t>‘</w:t>
                      </w:r>
                      <w:r w:rsidRPr="00626187">
                        <w:t xml:space="preserve">The default premiums that members pay vary widely — while the average hovers around $300 per year, premiums can be as high as $2000 per year </w:t>
                      </w:r>
                      <w:r>
                        <w:t>…</w:t>
                      </w:r>
                      <w:r w:rsidRPr="00626187">
                        <w:t xml:space="preserve"> One key factor is age — p</w:t>
                      </w:r>
                      <w:r w:rsidRPr="00A23B75">
                        <w:t>remiums tend to increase by age (reflecting increasing risk), but then decrease again at older ages as funds reduce the default levels of cover. But there are also other reasons why default premiums differ. …</w:t>
                      </w:r>
                      <w:r w:rsidRPr="00F66F65">
                        <w:t>To some extent, the variation in types and levels of cover and unit prices can be expected to reflect differences in member cohort characteristics and preferences (such as occupational risk, income levels and financial/familial obligations). Nonetheless, the wide disparity in premiums across offerings suggests that there may be other factors at play. Given the limitations in the data about their members that funds can and do collect, it is implausible that the wide observed variation in default cover and premiums across funds is fully explained by these cohort differences.</w:t>
                      </w:r>
                      <w:r>
                        <w:t>’</w:t>
                      </w:r>
                      <w:r w:rsidRPr="00F66F65">
                        <w:t xml:space="preserve"> </w:t>
                      </w:r>
                      <w:r>
                        <w:t>p</w:t>
                      </w:r>
                      <w:r w:rsidRPr="001E435C">
                        <w:t>370</w:t>
                      </w:r>
                      <w:r w:rsidRPr="00854C04">
                        <w:t xml:space="preserve"> </w:t>
                      </w:r>
                    </w:p>
                    <w:p w14:paraId="4788CA38" w14:textId="77777777" w:rsidR="00BB25AC" w:rsidRPr="00884335" w:rsidRDefault="00BB25AC" w:rsidP="00BB25AC">
                      <w:r>
                        <w:t>‘</w:t>
                      </w:r>
                      <w:r w:rsidRPr="00884335">
                        <w:t>Cross subsidisation is an essential feature of group insurance. A key reason that group insurance is relatively cheap is that risk factors that are costly to collect information on can be averaged across the population without the risk of adverse selection occurring.</w:t>
                      </w:r>
                      <w:r>
                        <w:t xml:space="preserve"> … </w:t>
                      </w:r>
                      <w:r w:rsidRPr="00884335">
                        <w:t>The question then is one of appropriate versus inappropriate cross subsidisation.</w:t>
                      </w:r>
                      <w:r>
                        <w:t>’ p</w:t>
                      </w:r>
                      <w:r w:rsidRPr="00884335">
                        <w:t>389</w:t>
                      </w:r>
                    </w:p>
                    <w:p w14:paraId="65C2953E" w14:textId="77777777" w:rsidR="00BB25AC" w:rsidRDefault="00BB25AC" w:rsidP="00BB25AC">
                      <w:pPr>
                        <w:pStyle w:val="BodyText"/>
                      </w:pPr>
                      <w:r>
                        <w:t>‘This complexity and lack of product comparability could act as a constraint to product switching by members. Switching may also be constrained where a preferred insurance product in an existing fund dissuades a member from rolling over their balance to another fund that offers other advantages, such as better returns.’ p</w:t>
                      </w:r>
                      <w:r w:rsidRPr="00B847D9">
                        <w:t>394</w:t>
                      </w:r>
                    </w:p>
                  </w:txbxContent>
                </v:textbox>
                <w10:anchorlock/>
              </v:shape>
            </w:pict>
          </mc:Fallback>
        </mc:AlternateContent>
      </w:r>
    </w:p>
    <w:p w14:paraId="15C91D84" w14:textId="19B98724" w:rsidR="00641C9B" w:rsidRPr="008F1B7C" w:rsidRDefault="00641C9B" w:rsidP="00B447D6">
      <w:r w:rsidRPr="008F1B7C">
        <w:t xml:space="preserve">Total </w:t>
      </w:r>
      <w:r w:rsidR="0083627A" w:rsidRPr="008F1B7C">
        <w:t xml:space="preserve">annual </w:t>
      </w:r>
      <w:r w:rsidR="00661544" w:rsidRPr="008F1B7C">
        <w:t xml:space="preserve">insurance </w:t>
      </w:r>
      <w:r w:rsidRPr="008F1B7C">
        <w:t>premiums for the industry are $</w:t>
      </w:r>
      <w:r w:rsidR="0069402A" w:rsidRPr="008F1B7C">
        <w:t>8.4 billion</w:t>
      </w:r>
      <w:r w:rsidRPr="008F1B7C">
        <w:t xml:space="preserve"> – while premiums cannot be looked at in isolation,</w:t>
      </w:r>
      <w:r w:rsidR="006B499E" w:rsidRPr="008F1B7C">
        <w:t xml:space="preserve"> comparable data would </w:t>
      </w:r>
      <w:r w:rsidR="006635FB" w:rsidRPr="008F1B7C">
        <w:t>enable</w:t>
      </w:r>
      <w:r w:rsidRPr="008F1B7C">
        <w:t xml:space="preserve"> </w:t>
      </w:r>
      <w:r w:rsidR="006B499E" w:rsidRPr="008F1B7C">
        <w:t>potential</w:t>
      </w:r>
      <w:r w:rsidRPr="008F1B7C">
        <w:t xml:space="preserve"> reduction</w:t>
      </w:r>
      <w:r w:rsidR="006B499E" w:rsidRPr="008F1B7C">
        <w:t>s</w:t>
      </w:r>
      <w:r w:rsidRPr="008F1B7C">
        <w:t xml:space="preserve"> in premiums </w:t>
      </w:r>
      <w:r w:rsidR="006B499E" w:rsidRPr="008F1B7C">
        <w:t xml:space="preserve">from identifying </w:t>
      </w:r>
      <w:r w:rsidR="0069402A" w:rsidRPr="008F1B7C">
        <w:t xml:space="preserve">inappropriate </w:t>
      </w:r>
      <w:r w:rsidRPr="008F1B7C">
        <w:t xml:space="preserve">cover </w:t>
      </w:r>
      <w:r w:rsidR="006B499E" w:rsidRPr="008F1B7C">
        <w:t xml:space="preserve">which RSE licensees could address through either removing or redesigning </w:t>
      </w:r>
      <w:r w:rsidR="001C3603" w:rsidRPr="008F1B7C">
        <w:t xml:space="preserve">default </w:t>
      </w:r>
      <w:r w:rsidR="006B499E" w:rsidRPr="008F1B7C">
        <w:t>cover</w:t>
      </w:r>
      <w:r w:rsidR="001C3603" w:rsidRPr="008F1B7C">
        <w:t>:</w:t>
      </w:r>
      <w:r w:rsidR="006B499E" w:rsidRPr="008F1B7C">
        <w:t xml:space="preserve"> </w:t>
      </w:r>
    </w:p>
    <w:p w14:paraId="76518307" w14:textId="4E33E7B9" w:rsidR="006B499E" w:rsidRPr="008F1B7C" w:rsidRDefault="006B499E" w:rsidP="005139E3">
      <w:pPr>
        <w:pStyle w:val="BodyText"/>
        <w:numPr>
          <w:ilvl w:val="0"/>
          <w:numId w:val="30"/>
        </w:numPr>
      </w:pPr>
      <w:r w:rsidRPr="008F1B7C">
        <w:lastRenderedPageBreak/>
        <w:t>Just an 0.</w:t>
      </w:r>
      <w:r w:rsidR="001C3603" w:rsidRPr="008F1B7C">
        <w:t>62</w:t>
      </w:r>
      <w:r w:rsidRPr="008F1B7C">
        <w:t xml:space="preserve"> per cent decrease in total industry </w:t>
      </w:r>
      <w:r w:rsidR="001C3603" w:rsidRPr="008F1B7C">
        <w:t>premiums</w:t>
      </w:r>
      <w:r w:rsidRPr="008F1B7C">
        <w:t xml:space="preserve"> which are not in the best financial interests of members would deliver an annual saving to members which would offset the total regulatory costs of $52 million per annum.</w:t>
      </w:r>
    </w:p>
    <w:p w14:paraId="301CA47F" w14:textId="5903C0CD" w:rsidR="006B499E" w:rsidRPr="008F1B7C" w:rsidRDefault="006B499E" w:rsidP="005139E3">
      <w:pPr>
        <w:pStyle w:val="BodyText"/>
        <w:numPr>
          <w:ilvl w:val="0"/>
          <w:numId w:val="30"/>
        </w:numPr>
      </w:pPr>
      <w:r w:rsidRPr="008F1B7C">
        <w:t>Just an 0.</w:t>
      </w:r>
      <w:r w:rsidR="001C3603" w:rsidRPr="008F1B7C">
        <w:t>15</w:t>
      </w:r>
      <w:r w:rsidRPr="008F1B7C">
        <w:t xml:space="preserve"> per cent decrease in total industry </w:t>
      </w:r>
      <w:r w:rsidR="001C3603" w:rsidRPr="008F1B7C">
        <w:t>premiums</w:t>
      </w:r>
      <w:r w:rsidRPr="008F1B7C">
        <w:t xml:space="preserve"> which are not in the best financial interests of members would deliver an annual saving to members which would offset the difference in total regulatory costs between option 2 and option 3 or 4 of $12.4 million per year over 10 years.    </w:t>
      </w:r>
    </w:p>
    <w:p w14:paraId="2D9DC246" w14:textId="77777777" w:rsidR="00ED6A73" w:rsidRPr="00626187" w:rsidRDefault="00ED6A73" w:rsidP="0066437E"/>
    <w:sectPr w:rsidR="00ED6A73" w:rsidRPr="00626187" w:rsidSect="00DD00EB">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9A61" w14:textId="77777777" w:rsidR="00142E56" w:rsidRPr="000D4EDE" w:rsidRDefault="00142E56" w:rsidP="000D4EDE">
      <w:r>
        <w:separator/>
      </w:r>
    </w:p>
  </w:endnote>
  <w:endnote w:type="continuationSeparator" w:id="0">
    <w:p w14:paraId="4B600713" w14:textId="77777777" w:rsidR="00142E56" w:rsidRPr="000D4EDE" w:rsidRDefault="00142E56" w:rsidP="000D4EDE">
      <w:r>
        <w:continuationSeparator/>
      </w:r>
    </w:p>
  </w:endnote>
  <w:endnote w:type="continuationNotice" w:id="1">
    <w:p w14:paraId="13C1F234" w14:textId="77777777" w:rsidR="00142E56" w:rsidRDefault="00142E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C989" w14:textId="77777777" w:rsidR="007C4B60" w:rsidRDefault="007C4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7201" w14:textId="77777777" w:rsidR="007C4B60" w:rsidRDefault="007C4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276E" w14:textId="77777777" w:rsidR="007C4B60" w:rsidRDefault="007C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A3C4" w14:textId="77777777" w:rsidR="00142E56" w:rsidRPr="000D4EDE" w:rsidRDefault="00142E56" w:rsidP="000D4EDE">
      <w:r>
        <w:separator/>
      </w:r>
    </w:p>
  </w:footnote>
  <w:footnote w:type="continuationSeparator" w:id="0">
    <w:p w14:paraId="663263C9" w14:textId="77777777" w:rsidR="00142E56" w:rsidRPr="000D4EDE" w:rsidRDefault="00142E56" w:rsidP="000D4EDE">
      <w:r>
        <w:continuationSeparator/>
      </w:r>
    </w:p>
  </w:footnote>
  <w:footnote w:type="continuationNotice" w:id="1">
    <w:p w14:paraId="2CA769E6" w14:textId="77777777" w:rsidR="00142E56" w:rsidRDefault="00142E56">
      <w:pPr>
        <w:spacing w:after="0"/>
      </w:pPr>
    </w:p>
  </w:footnote>
  <w:footnote w:id="2">
    <w:p w14:paraId="5A6A932E" w14:textId="67D727E5" w:rsidR="00A734C5" w:rsidRDefault="00A734C5">
      <w:pPr>
        <w:pStyle w:val="FootnoteText"/>
      </w:pPr>
      <w:r>
        <w:rPr>
          <w:rStyle w:val="FootnoteReference"/>
        </w:rPr>
        <w:footnoteRef/>
      </w:r>
      <w:r>
        <w:t xml:space="preserve"> $1.3 trillion at June 2011 Source:</w:t>
      </w:r>
      <w:r w:rsidRPr="00C171A7">
        <w:t xml:space="preserve"> </w:t>
      </w:r>
      <w:r w:rsidRPr="00E11B9C">
        <w:t>Annual superannuation bulletin statistics June 2004 to June 2019</w:t>
      </w:r>
      <w:r>
        <w:t xml:space="preserve">; $3.1 trillion at March 2021 Source: APRA </w:t>
      </w:r>
      <w:r w:rsidRPr="00B6767A">
        <w:t>Quarterly superannuation performance statistics</w:t>
      </w:r>
      <w:r>
        <w:t xml:space="preserve"> March 2021.</w:t>
      </w:r>
    </w:p>
  </w:footnote>
  <w:footnote w:id="3">
    <w:p w14:paraId="06682134" w14:textId="21BE5984" w:rsidR="00A734C5" w:rsidRDefault="00A734C5">
      <w:pPr>
        <w:pStyle w:val="FootnoteText"/>
      </w:pPr>
      <w:r>
        <w:rPr>
          <w:rStyle w:val="FootnoteReference"/>
        </w:rPr>
        <w:footnoteRef/>
      </w:r>
      <w:r>
        <w:t xml:space="preserve"> </w:t>
      </w:r>
      <w:r w:rsidRPr="000C2D94">
        <w:rPr>
          <w:i/>
          <w:iCs/>
        </w:rPr>
        <w:t>Financial Sector (Collection of Data) Act 2001</w:t>
      </w:r>
      <w:r>
        <w:rPr>
          <w:i/>
          <w:iCs/>
        </w:rPr>
        <w:t xml:space="preserve"> </w:t>
      </w:r>
      <w:r w:rsidRPr="000C2D94">
        <w:t>(FSCODA)</w:t>
      </w:r>
      <w:r>
        <w:t>.</w:t>
      </w:r>
    </w:p>
  </w:footnote>
  <w:footnote w:id="4">
    <w:p w14:paraId="58C90EED" w14:textId="2698D1BD" w:rsidR="00A734C5" w:rsidRDefault="00A734C5" w:rsidP="00E11B9C">
      <w:pPr>
        <w:pStyle w:val="FootnoteText"/>
        <w:spacing w:after="0"/>
      </w:pPr>
      <w:r>
        <w:rPr>
          <w:rStyle w:val="FootnoteReference"/>
        </w:rPr>
        <w:footnoteRef/>
      </w:r>
      <w:r>
        <w:t xml:space="preserve"> See Appendix A: Summary of current and proposed reporting.</w:t>
      </w:r>
    </w:p>
  </w:footnote>
  <w:footnote w:id="5">
    <w:p w14:paraId="2E51E124" w14:textId="79961CB0" w:rsidR="00A734C5" w:rsidRDefault="00A734C5">
      <w:pPr>
        <w:pStyle w:val="FootnoteText"/>
      </w:pPr>
      <w:r>
        <w:rPr>
          <w:rStyle w:val="FootnoteReference"/>
        </w:rPr>
        <w:footnoteRef/>
      </w:r>
      <w:r>
        <w:t xml:space="preserve"> </w:t>
      </w:r>
      <w:r w:rsidRPr="000E4A94">
        <w:rPr>
          <w:rFonts w:ascii="Arial" w:hAnsi="Arial" w:cs="Arial"/>
        </w:rPr>
        <w:t>Outside of the default MySuper products, the ‘</w:t>
      </w:r>
      <w:r>
        <w:rPr>
          <w:rFonts w:ascii="Arial" w:hAnsi="Arial" w:cs="Arial"/>
        </w:rPr>
        <w:t>C</w:t>
      </w:r>
      <w:r w:rsidRPr="000E4A94">
        <w:rPr>
          <w:rFonts w:ascii="Arial" w:hAnsi="Arial" w:cs="Arial"/>
        </w:rPr>
        <w:t>hoice’ segment represents around a third of all superannuation members, with $900 billion in assets.</w:t>
      </w:r>
    </w:p>
  </w:footnote>
  <w:footnote w:id="6">
    <w:p w14:paraId="280EFA4E" w14:textId="7F3E683E" w:rsidR="00A734C5" w:rsidRPr="006F76D3" w:rsidRDefault="00A734C5">
      <w:pPr>
        <w:pStyle w:val="FootnoteText"/>
        <w:rPr>
          <w:rFonts w:cstheme="minorHAnsi"/>
          <w:szCs w:val="18"/>
        </w:rPr>
      </w:pPr>
      <w:r w:rsidRPr="006F76D3">
        <w:rPr>
          <w:rStyle w:val="FootnoteReference"/>
          <w:rFonts w:cstheme="minorHAnsi"/>
          <w:szCs w:val="18"/>
        </w:rPr>
        <w:footnoteRef/>
      </w:r>
      <w:r w:rsidRPr="006F76D3">
        <w:rPr>
          <w:rFonts w:cstheme="minorHAnsi"/>
          <w:szCs w:val="18"/>
        </w:rPr>
        <w:t xml:space="preserve"> Australian Government, </w:t>
      </w:r>
      <w:r w:rsidRPr="006F76D3">
        <w:rPr>
          <w:rFonts w:cstheme="minorHAnsi"/>
          <w:i/>
          <w:szCs w:val="18"/>
        </w:rPr>
        <w:t>Financial System Inquiry Final Report</w:t>
      </w:r>
      <w:r w:rsidRPr="006F76D3">
        <w:rPr>
          <w:rFonts w:cstheme="minorHAnsi"/>
          <w:szCs w:val="18"/>
        </w:rPr>
        <w:t>, published online, November 2014.</w:t>
      </w:r>
    </w:p>
  </w:footnote>
  <w:footnote w:id="7">
    <w:p w14:paraId="2E62431E" w14:textId="0B4240D1" w:rsidR="00A734C5" w:rsidRPr="00EB7C83" w:rsidRDefault="00A734C5">
      <w:pPr>
        <w:pStyle w:val="FootnoteText"/>
        <w:rPr>
          <w:rFonts w:cstheme="minorHAnsi"/>
          <w:szCs w:val="18"/>
        </w:rPr>
      </w:pPr>
      <w:r w:rsidRPr="006F76D3">
        <w:rPr>
          <w:rStyle w:val="FootnoteReference"/>
          <w:rFonts w:cstheme="minorHAnsi"/>
          <w:szCs w:val="18"/>
        </w:rPr>
        <w:footnoteRef/>
      </w:r>
      <w:r w:rsidRPr="006F76D3">
        <w:rPr>
          <w:rFonts w:cstheme="minorHAnsi"/>
          <w:szCs w:val="18"/>
        </w:rPr>
        <w:t xml:space="preserve"> </w:t>
      </w:r>
      <w:r w:rsidRPr="006F76D3">
        <w:rPr>
          <w:rFonts w:eastAsia="Calibri" w:cstheme="minorHAnsi"/>
          <w:szCs w:val="18"/>
        </w:rPr>
        <w:t xml:space="preserve">Productivity Commission, </w:t>
      </w:r>
      <w:r w:rsidRPr="006F76D3">
        <w:rPr>
          <w:rFonts w:eastAsia="Calibri" w:cstheme="minorHAnsi"/>
          <w:i/>
          <w:szCs w:val="18"/>
        </w:rPr>
        <w:t>Superannuation: Assessing Efficiency and Competitiveness, Inquiry Report</w:t>
      </w:r>
      <w:r w:rsidRPr="006F76D3">
        <w:rPr>
          <w:rFonts w:eastAsia="Calibri" w:cstheme="minorHAnsi"/>
          <w:szCs w:val="18"/>
        </w:rPr>
        <w:t>, published online, 2018, pp 23, 30, 247.</w:t>
      </w:r>
    </w:p>
  </w:footnote>
  <w:footnote w:id="8">
    <w:p w14:paraId="56469323" w14:textId="0F99C37A" w:rsidR="00A734C5" w:rsidRDefault="00A734C5">
      <w:pPr>
        <w:pStyle w:val="FootnoteText"/>
      </w:pPr>
      <w:r w:rsidRPr="006F76D3">
        <w:rPr>
          <w:rStyle w:val="FootnoteReference"/>
          <w:rFonts w:cstheme="minorHAnsi"/>
          <w:szCs w:val="18"/>
        </w:rPr>
        <w:footnoteRef/>
      </w:r>
      <w:r w:rsidRPr="006F76D3">
        <w:rPr>
          <w:rFonts w:cstheme="minorHAnsi"/>
          <w:szCs w:val="18"/>
        </w:rPr>
        <w:t xml:space="preserve"> </w:t>
      </w:r>
      <w:r w:rsidRPr="006F76D3">
        <w:rPr>
          <w:rFonts w:eastAsia="Calibri" w:cstheme="minorHAnsi"/>
          <w:szCs w:val="18"/>
        </w:rPr>
        <w:t xml:space="preserve">Productivity Commission, </w:t>
      </w:r>
      <w:r w:rsidRPr="006F76D3">
        <w:rPr>
          <w:rFonts w:eastAsia="Calibri" w:cstheme="minorHAnsi"/>
          <w:i/>
          <w:szCs w:val="18"/>
        </w:rPr>
        <w:t>Superannuation: Assessing Efficiency and Competitiveness, Inquiry Report</w:t>
      </w:r>
      <w:r w:rsidRPr="006F76D3">
        <w:rPr>
          <w:rFonts w:eastAsia="Calibri" w:cstheme="minorHAnsi"/>
          <w:szCs w:val="18"/>
        </w:rPr>
        <w:t xml:space="preserve">, published online, 2018, p </w:t>
      </w:r>
      <w:bookmarkStart w:id="17" w:name="_Hlk78816450"/>
      <w:r w:rsidRPr="006F76D3">
        <w:rPr>
          <w:rFonts w:eastAsia="Calibri" w:cstheme="minorHAnsi"/>
          <w:szCs w:val="18"/>
        </w:rPr>
        <w:t>576</w:t>
      </w:r>
      <w:bookmarkEnd w:id="17"/>
      <w:r w:rsidRPr="006F76D3">
        <w:rPr>
          <w:rFonts w:eastAsia="Calibri" w:cstheme="minorHAnsi"/>
          <w:szCs w:val="18"/>
        </w:rPr>
        <w:t>.</w:t>
      </w:r>
    </w:p>
  </w:footnote>
  <w:footnote w:id="9">
    <w:p w14:paraId="5182B816" w14:textId="3654B220" w:rsidR="00A734C5" w:rsidRDefault="00A734C5">
      <w:pPr>
        <w:pStyle w:val="FootnoteText"/>
      </w:pPr>
      <w:r>
        <w:rPr>
          <w:rStyle w:val="FootnoteReference"/>
        </w:rPr>
        <w:footnoteRef/>
      </w:r>
      <w:r>
        <w:t xml:space="preserve"> Capability review of APRA, 2019, recommendation 5.2 p 109.</w:t>
      </w:r>
    </w:p>
  </w:footnote>
  <w:footnote w:id="10">
    <w:p w14:paraId="4F8172D9" w14:textId="77777777" w:rsidR="00A734C5" w:rsidRPr="00EB7C83" w:rsidRDefault="00A734C5" w:rsidP="00274850">
      <w:pPr>
        <w:pStyle w:val="FootnoteText"/>
        <w:rPr>
          <w:rFonts w:cstheme="minorHAnsi"/>
          <w:szCs w:val="18"/>
        </w:rPr>
      </w:pPr>
      <w:r w:rsidRPr="006F76D3">
        <w:rPr>
          <w:rStyle w:val="FootnoteReference"/>
          <w:rFonts w:cstheme="minorHAnsi"/>
          <w:szCs w:val="18"/>
        </w:rPr>
        <w:footnoteRef/>
      </w:r>
      <w:r w:rsidRPr="006F76D3">
        <w:rPr>
          <w:rFonts w:cstheme="minorHAnsi"/>
          <w:szCs w:val="18"/>
        </w:rPr>
        <w:t xml:space="preserve"> </w:t>
      </w:r>
      <w:r w:rsidRPr="006F76D3">
        <w:rPr>
          <w:rFonts w:eastAsia="Calibri" w:cstheme="minorHAnsi"/>
          <w:szCs w:val="18"/>
        </w:rPr>
        <w:t xml:space="preserve">Productivity Commission, </w:t>
      </w:r>
      <w:r w:rsidRPr="006F76D3">
        <w:rPr>
          <w:rFonts w:eastAsia="Calibri" w:cstheme="minorHAnsi"/>
          <w:i/>
          <w:szCs w:val="18"/>
        </w:rPr>
        <w:t>Superannuation: Assessing Efficiency and Competitiveness, Inquiry Report</w:t>
      </w:r>
      <w:r w:rsidRPr="006F76D3">
        <w:rPr>
          <w:rFonts w:eastAsia="Calibri" w:cstheme="minorHAnsi"/>
          <w:szCs w:val="18"/>
        </w:rPr>
        <w:t xml:space="preserve">, published online, 2018, pp </w:t>
      </w:r>
      <w:r>
        <w:rPr>
          <w:rFonts w:eastAsia="Calibri" w:cstheme="minorHAnsi"/>
          <w:szCs w:val="18"/>
        </w:rPr>
        <w:t>19, 363, 396</w:t>
      </w:r>
      <w:r w:rsidRPr="006F76D3">
        <w:rPr>
          <w:rFonts w:eastAsia="Calibri" w:cstheme="minorHAnsi"/>
          <w:szCs w:val="18"/>
        </w:rPr>
        <w:t>.</w:t>
      </w:r>
    </w:p>
  </w:footnote>
  <w:footnote w:id="11">
    <w:p w14:paraId="341FCCCC" w14:textId="77777777" w:rsidR="00A734C5" w:rsidRDefault="00A734C5" w:rsidP="00274850">
      <w:pPr>
        <w:pStyle w:val="FootnoteText"/>
      </w:pPr>
      <w:r>
        <w:rPr>
          <w:rStyle w:val="FootnoteReference"/>
        </w:rPr>
        <w:footnoteRef/>
      </w:r>
      <w:r>
        <w:t xml:space="preserve"> Treasury Laws Amendment (Putting Members’ Interests First) Act 2019.</w:t>
      </w:r>
    </w:p>
  </w:footnote>
  <w:footnote w:id="12">
    <w:p w14:paraId="00B0087C" w14:textId="44225F06" w:rsidR="00A734C5" w:rsidRDefault="00A734C5" w:rsidP="00F66D7E">
      <w:pPr>
        <w:pStyle w:val="FootnoteText"/>
      </w:pPr>
      <w:r>
        <w:rPr>
          <w:rStyle w:val="FootnoteReference"/>
        </w:rPr>
        <w:footnoteRef/>
      </w:r>
      <w:r>
        <w:t xml:space="preserve"> See Appendix C: Comparison of reporting under each policy option.</w:t>
      </w:r>
    </w:p>
  </w:footnote>
  <w:footnote w:id="13">
    <w:p w14:paraId="6E227AF2" w14:textId="4C5DB345" w:rsidR="00A734C5" w:rsidRDefault="00A734C5" w:rsidP="00E945CA">
      <w:pPr>
        <w:pStyle w:val="FootnoteText"/>
      </w:pPr>
      <w:r>
        <w:rPr>
          <w:rStyle w:val="FootnoteReference"/>
        </w:rPr>
        <w:footnoteRef/>
      </w:r>
      <w:r>
        <w:t xml:space="preserve"> </w:t>
      </w:r>
      <w:r w:rsidRPr="00F01E86">
        <w:t>Funds may also have defined benefit products for employees of particular employers, which are generally closed to new members. Members in these defined benefit products represent just 3 per cent of members and around 15</w:t>
      </w:r>
      <w:r>
        <w:t xml:space="preserve"> per cent</w:t>
      </w:r>
      <w:r w:rsidRPr="00F01E86">
        <w:t xml:space="preserve"> of assets.</w:t>
      </w:r>
      <w:r>
        <w:t xml:space="preserve"> Outcomes for these members are defined by the plan rules.</w:t>
      </w:r>
    </w:p>
  </w:footnote>
  <w:footnote w:id="14">
    <w:p w14:paraId="3F7F0B0F" w14:textId="3747A409" w:rsidR="00A734C5" w:rsidRDefault="00A734C5">
      <w:pPr>
        <w:pStyle w:val="FootnoteText"/>
      </w:pPr>
      <w:r>
        <w:rPr>
          <w:rStyle w:val="FootnoteReference"/>
        </w:rPr>
        <w:footnoteRef/>
      </w:r>
      <w:r>
        <w:t xml:space="preserve"> </w:t>
      </w:r>
      <w:r w:rsidRPr="00917284">
        <w:rPr>
          <w:i/>
        </w:rPr>
        <w:t>Corporations Act 2001 s1017A</w:t>
      </w:r>
      <w:r>
        <w:rPr>
          <w:i/>
        </w:rPr>
        <w:t>.</w:t>
      </w:r>
    </w:p>
  </w:footnote>
  <w:footnote w:id="15">
    <w:p w14:paraId="5F575DCA" w14:textId="07F94114" w:rsidR="00A734C5" w:rsidRDefault="00A734C5">
      <w:pPr>
        <w:pStyle w:val="FootnoteText"/>
      </w:pPr>
      <w:r>
        <w:rPr>
          <w:rStyle w:val="FootnoteReference"/>
        </w:rPr>
        <w:footnoteRef/>
      </w:r>
      <w:r>
        <w:t xml:space="preserve"> </w:t>
      </w:r>
      <w:r w:rsidRPr="00917284">
        <w:rPr>
          <w:i/>
        </w:rPr>
        <w:t>Superannuation Legislation Amendment (MySuper Core Provisions) Act 2012, Division 5 – Fee rules for MySuper products</w:t>
      </w:r>
      <w:r>
        <w:rPr>
          <w:i/>
        </w:rPr>
        <w:t>.</w:t>
      </w:r>
    </w:p>
  </w:footnote>
  <w:footnote w:id="16">
    <w:p w14:paraId="62FE5042" w14:textId="044AF585" w:rsidR="00A734C5" w:rsidRDefault="00A734C5">
      <w:pPr>
        <w:pStyle w:val="FootnoteText"/>
      </w:pPr>
      <w:r>
        <w:rPr>
          <w:rStyle w:val="FootnoteReference"/>
        </w:rPr>
        <w:footnoteRef/>
      </w:r>
      <w:r>
        <w:t xml:space="preserve"> </w:t>
      </w:r>
      <w:r>
        <w:rPr>
          <w:rFonts w:ascii="Arial" w:hAnsi="Arial" w:cs="Arial"/>
          <w:color w:val="313131"/>
          <w:shd w:val="clear" w:color="auto" w:fill="FFFFFF"/>
        </w:rPr>
        <w:t>Stronger Super was the government’s response to reforms arising from the Review into the governance, efficiency, structure and operation of Australia’s superannuation system (Super System Review).</w:t>
      </w:r>
    </w:p>
  </w:footnote>
  <w:footnote w:id="17">
    <w:p w14:paraId="0E0CA0E8" w14:textId="6D7E0F5D" w:rsidR="00A734C5" w:rsidRDefault="00A734C5">
      <w:pPr>
        <w:pStyle w:val="FootnoteText"/>
      </w:pPr>
      <w:r>
        <w:rPr>
          <w:rStyle w:val="FootnoteReference"/>
        </w:rPr>
        <w:footnoteRef/>
      </w:r>
      <w:r>
        <w:t xml:space="preserve"> Under the current reporting framework, </w:t>
      </w:r>
      <w:r w:rsidRPr="000C32B3">
        <w:t>5 forms collect aggregate information about the</w:t>
      </w:r>
      <w:r>
        <w:t xml:space="preserve"> 106</w:t>
      </w:r>
      <w:r w:rsidRPr="000C32B3">
        <w:t xml:space="preserve"> RSE licensees (Operational Risk Financial Requirement, Profile and structure)</w:t>
      </w:r>
      <w:r>
        <w:t>;</w:t>
      </w:r>
      <w:r w:rsidRPr="000C32B3">
        <w:t xml:space="preserve"> 21 forms collect aggregate information about the 160 RSEs these RSE licensees have trusteeship over</w:t>
      </w:r>
      <w:r>
        <w:t>;</w:t>
      </w:r>
      <w:r w:rsidRPr="000C32B3">
        <w:t xml:space="preserve"> 6 forms collect data aggregate data </w:t>
      </w:r>
      <w:r>
        <w:t xml:space="preserve">about the </w:t>
      </w:r>
      <w:r w:rsidRPr="000C32B3">
        <w:t>70 MySuper products and their investment options</w:t>
      </w:r>
      <w:r>
        <w:t xml:space="preserve"> (</w:t>
      </w:r>
      <w:r w:rsidRPr="000C32B3">
        <w:t>membership</w:t>
      </w:r>
      <w:r>
        <w:t>,</w:t>
      </w:r>
      <w:r w:rsidRPr="000C32B3">
        <w:t xml:space="preserve"> asset allocation, representative member data on performance and disclosure data about fees and costs</w:t>
      </w:r>
      <w:r>
        <w:t>); o</w:t>
      </w:r>
      <w:r w:rsidRPr="000C32B3">
        <w:t xml:space="preserve">ne form collects information on asset allocation for select </w:t>
      </w:r>
      <w:r>
        <w:t>C</w:t>
      </w:r>
      <w:r w:rsidRPr="000C32B3">
        <w:t>hoice investment options, covering 1</w:t>
      </w:r>
      <w:r>
        <w:t>,</w:t>
      </w:r>
      <w:r w:rsidRPr="000C32B3">
        <w:t xml:space="preserve">046 </w:t>
      </w:r>
      <w:r>
        <w:t>investment options out of the more than</w:t>
      </w:r>
      <w:r w:rsidRPr="000C32B3">
        <w:t xml:space="preserve"> 4</w:t>
      </w:r>
      <w:r>
        <w:t>0,</w:t>
      </w:r>
      <w:r w:rsidRPr="000C32B3">
        <w:t>000 investment options</w:t>
      </w:r>
      <w:r>
        <w:t xml:space="preserve"> in the industry;</w:t>
      </w:r>
      <w:r w:rsidRPr="000C32B3">
        <w:t xml:space="preserve"> 4 forms collect aggregate information about defined benefit funds or sub funds</w:t>
      </w:r>
      <w:r>
        <w:t>; and</w:t>
      </w:r>
      <w:r w:rsidRPr="000C32B3">
        <w:t xml:space="preserve"> 2 forms collect aggregate information about Small APRA </w:t>
      </w:r>
      <w:r>
        <w:t>F</w:t>
      </w:r>
      <w:r w:rsidRPr="000C32B3">
        <w:t xml:space="preserve">unds from the </w:t>
      </w:r>
      <w:r>
        <w:t>3</w:t>
      </w:r>
      <w:r w:rsidRPr="000C32B3">
        <w:t xml:space="preserve"> RSE licensees of Small APRA Funds. </w:t>
      </w:r>
    </w:p>
  </w:footnote>
  <w:footnote w:id="18">
    <w:p w14:paraId="6A482238" w14:textId="65F3C1D8" w:rsidR="00A734C5" w:rsidRDefault="00A734C5">
      <w:pPr>
        <w:pStyle w:val="FootnoteText"/>
      </w:pPr>
      <w:r>
        <w:rPr>
          <w:rStyle w:val="FootnoteReference"/>
        </w:rPr>
        <w:footnoteRef/>
      </w:r>
      <w:r>
        <w:t xml:space="preserve"> Trustee-directed products h</w:t>
      </w:r>
      <w:r w:rsidRPr="00E92A8D">
        <w:t>as the meaning given by subregulation 9AB.2(2) of Superannuation Industry (Supervision) Regulations 1994.</w:t>
      </w:r>
    </w:p>
  </w:footnote>
  <w:footnote w:id="19">
    <w:p w14:paraId="1E9FA5FA" w14:textId="77777777" w:rsidR="00A734C5" w:rsidRDefault="00A734C5" w:rsidP="00A851EF">
      <w:pPr>
        <w:pStyle w:val="FootnoteText"/>
      </w:pPr>
      <w:r>
        <w:rPr>
          <w:rStyle w:val="FootnoteReference"/>
        </w:rPr>
        <w:footnoteRef/>
      </w:r>
      <w:r>
        <w:t xml:space="preserve"> </w:t>
      </w:r>
      <w:hyperlink r:id="rId1" w:history="1">
        <w:r w:rsidRPr="00DF57A9">
          <w:rPr>
            <w:rStyle w:val="Hyperlink"/>
          </w:rPr>
          <w:t>https://treasury.gov.au/sites/default/files/2020-10/p2020super.docx</w:t>
        </w:r>
      </w:hyperlink>
      <w:r>
        <w:t xml:space="preserve"> </w:t>
      </w:r>
    </w:p>
  </w:footnote>
  <w:footnote w:id="20">
    <w:p w14:paraId="2B176FF8" w14:textId="77777777" w:rsidR="00A734C5" w:rsidRDefault="00A734C5" w:rsidP="00791B65">
      <w:pPr>
        <w:pStyle w:val="FootnoteText"/>
      </w:pPr>
      <w:r>
        <w:rPr>
          <w:rStyle w:val="FootnoteReference"/>
        </w:rPr>
        <w:footnoteRef/>
      </w:r>
      <w:r>
        <w:t xml:space="preserve"> </w:t>
      </w:r>
      <w:hyperlink r:id="rId2" w:anchor=":~:text=%20Prudential%20Standard%20SPS%20515%20Strategic%20Planning%20and,strategic%20and%20business%20planning.%20Its%20objective%20is%20to" w:history="1">
        <w:r>
          <w:rPr>
            <w:rStyle w:val="Hyperlink"/>
          </w:rPr>
          <w:t>SPS_515_strategic_planning_and_member_outcomes_december_2018.pdf (apra.gov.au)</w:t>
        </w:r>
      </w:hyperlink>
    </w:p>
  </w:footnote>
  <w:footnote w:id="21">
    <w:p w14:paraId="5AFB1248" w14:textId="77777777" w:rsidR="00A734C5" w:rsidRDefault="00A734C5" w:rsidP="00FC6D1D">
      <w:pPr>
        <w:pStyle w:val="FootnoteText"/>
      </w:pPr>
      <w:r>
        <w:rPr>
          <w:rStyle w:val="FootnoteReference"/>
        </w:rPr>
        <w:footnoteRef/>
      </w:r>
      <w:r>
        <w:t xml:space="preserve"> </w:t>
      </w:r>
      <w:r w:rsidRPr="009E0F15">
        <w:t>Schedule 2A</w:t>
      </w:r>
      <w:r>
        <w:t xml:space="preserve"> of </w:t>
      </w:r>
      <w:r w:rsidRPr="00CC2F75">
        <w:t>Superannuation Industry (Supervision) Regulations 1994</w:t>
      </w:r>
      <w:r>
        <w:t>, S</w:t>
      </w:r>
      <w:r w:rsidRPr="009E0F15">
        <w:t xml:space="preserve">ubsection 60E(2) of </w:t>
      </w:r>
      <w:r w:rsidRPr="00CC2F75">
        <w:t xml:space="preserve">Superannuation Industry (Supervision) </w:t>
      </w:r>
      <w:r>
        <w:t>Act</w:t>
      </w:r>
    </w:p>
  </w:footnote>
  <w:footnote w:id="22">
    <w:p w14:paraId="7F1DB19C" w14:textId="1AB59AC7" w:rsidR="00A734C5" w:rsidRDefault="00A734C5">
      <w:pPr>
        <w:pStyle w:val="FootnoteText"/>
      </w:pPr>
      <w:r>
        <w:rPr>
          <w:rStyle w:val="FootnoteReference"/>
        </w:rPr>
        <w:footnoteRef/>
      </w:r>
      <w:r>
        <w:t xml:space="preserve"> </w:t>
      </w:r>
      <w:hyperlink r:id="rId3" w:history="1">
        <w:r>
          <w:rPr>
            <w:rStyle w:val="Hyperlink"/>
          </w:rPr>
          <w:t>MySuper Product Heatmap - Insights Paper (apra.gov.au)</w:t>
        </w:r>
      </w:hyperlink>
    </w:p>
  </w:footnote>
  <w:footnote w:id="23">
    <w:p w14:paraId="7E1674BC" w14:textId="5E1CA39A" w:rsidR="00A734C5" w:rsidRDefault="00A734C5" w:rsidP="008B1490">
      <w:pPr>
        <w:pStyle w:val="FootnoteText"/>
      </w:pPr>
      <w:r>
        <w:rPr>
          <w:rStyle w:val="FootnoteReference"/>
        </w:rPr>
        <w:footnoteRef/>
      </w:r>
      <w:r>
        <w:t xml:space="preserve"> </w:t>
      </w:r>
      <w:r>
        <w:rPr>
          <w:rFonts w:ascii="Helvetica" w:hAnsi="Helvetica" w:cs="Helvetica"/>
          <w:color w:val="000000"/>
        </w:rPr>
        <w:t>In the existing superannuation data collection, data items related to fee and cost disclosure definitions are collected for MySuper products via "SRS 700.0 Product Dashboard", "SRS 702.0 Investment Performance" and "SRS 703.0 Fees Disclosed".</w:t>
      </w:r>
    </w:p>
  </w:footnote>
  <w:footnote w:id="24">
    <w:p w14:paraId="5CDDF42E" w14:textId="35A46D12" w:rsidR="00A734C5" w:rsidRDefault="00A734C5">
      <w:pPr>
        <w:pStyle w:val="FootnoteText"/>
      </w:pPr>
      <w:r>
        <w:rPr>
          <w:rStyle w:val="FootnoteReference"/>
        </w:rPr>
        <w:footnoteRef/>
      </w:r>
      <w:r>
        <w:t xml:space="preserve"> </w:t>
      </w:r>
      <w:hyperlink r:id="rId4" w:history="1">
        <w:r>
          <w:rPr>
            <w:rStyle w:val="Hyperlink"/>
          </w:rPr>
          <w:t>20-323MR ASIC report explores how to measure ‘value for money’ in default insurance in superannuation | ASIC - Australian Securities and Investments Commission</w:t>
        </w:r>
      </w:hyperlink>
    </w:p>
  </w:footnote>
  <w:footnote w:id="25">
    <w:p w14:paraId="6C5A4717" w14:textId="34A77B98" w:rsidR="00A734C5" w:rsidRDefault="00A734C5">
      <w:pPr>
        <w:pStyle w:val="FootnoteText"/>
      </w:pPr>
      <w:r>
        <w:rPr>
          <w:rStyle w:val="FootnoteReference"/>
        </w:rPr>
        <w:footnoteRef/>
      </w:r>
      <w:r>
        <w:t xml:space="preserve"> </w:t>
      </w:r>
      <w:bookmarkStart w:id="79" w:name="_Hlk78817033"/>
      <w:r w:rsidRPr="004829FD">
        <w:t>As</w:t>
      </w:r>
      <w:r>
        <w:t xml:space="preserve"> noted above</w:t>
      </w:r>
      <w:r w:rsidRPr="004829FD">
        <w:t xml:space="preserve">, </w:t>
      </w:r>
      <w:r>
        <w:t xml:space="preserve">since the first </w:t>
      </w:r>
      <w:r w:rsidRPr="004829FD">
        <w:t xml:space="preserve">publication of performance assessments in the MySuper product heatmap, an estimated $408m annual saving in total fees and costs has been achieved </w:t>
      </w:r>
      <w:r>
        <w:t>for MySuper products</w:t>
      </w:r>
      <w:r w:rsidRPr="004829FD">
        <w:t>.</w:t>
      </w:r>
      <w:bookmarkEnd w:id="79"/>
    </w:p>
  </w:footnote>
  <w:footnote w:id="26">
    <w:p w14:paraId="59F699CE" w14:textId="77777777" w:rsidR="00A734C5" w:rsidRDefault="00A734C5" w:rsidP="00C765FC">
      <w:pPr>
        <w:pStyle w:val="FootnoteText"/>
      </w:pPr>
      <w:r>
        <w:rPr>
          <w:rStyle w:val="FootnoteReference"/>
        </w:rPr>
        <w:footnoteRef/>
      </w:r>
      <w:r>
        <w:t xml:space="preserve"> See Appendix E: Anticipated Benefits</w:t>
      </w:r>
    </w:p>
  </w:footnote>
  <w:footnote w:id="27">
    <w:p w14:paraId="6D699457" w14:textId="7457921E" w:rsidR="00A734C5" w:rsidRDefault="00A734C5">
      <w:pPr>
        <w:pStyle w:val="FootnoteText"/>
      </w:pPr>
      <w:r>
        <w:rPr>
          <w:rStyle w:val="FootnoteReference"/>
        </w:rPr>
        <w:footnoteRef/>
      </w:r>
      <w:r>
        <w:t xml:space="preserve"> </w:t>
      </w:r>
      <w:r w:rsidRPr="002E165B">
        <w:t>For example</w:t>
      </w:r>
      <w:r>
        <w:t>,</w:t>
      </w:r>
      <w:r w:rsidRPr="002E165B">
        <w:t xml:space="preserve"> the gross investment return would be reported only once for each investment option. If fees or tax for that option vary for members in different products, the RSE licensee would report different fees and tax that apply to those combinations. For RSE licensees with simple products, reporting is simple and many fields will be blank. For RSE licensees with complex products and fee pricing</w:t>
      </w:r>
      <w:r>
        <w:t>,</w:t>
      </w:r>
      <w:r w:rsidRPr="002E165B">
        <w:t xml:space="preserve"> reporting </w:t>
      </w:r>
      <w:r>
        <w:t>would</w:t>
      </w:r>
      <w:r w:rsidRPr="002E165B">
        <w:t xml:space="preserve"> be more complex, but it is important to shine a light on these arrangements</w:t>
      </w:r>
      <w:r>
        <w:t>, to enable</w:t>
      </w:r>
      <w:r w:rsidRPr="002E165B">
        <w:t xml:space="preserve"> </w:t>
      </w:r>
      <w:r>
        <w:t xml:space="preserve">APRA and other users of the data </w:t>
      </w:r>
      <w:r w:rsidRPr="002E165B">
        <w:t>to compare different products.</w:t>
      </w:r>
    </w:p>
  </w:footnote>
  <w:footnote w:id="28">
    <w:p w14:paraId="4352AF1C" w14:textId="5A30F61B" w:rsidR="00A734C5" w:rsidRDefault="00A734C5">
      <w:pPr>
        <w:pStyle w:val="FootnoteText"/>
      </w:pPr>
      <w:r>
        <w:rPr>
          <w:rStyle w:val="FootnoteReference"/>
        </w:rPr>
        <w:footnoteRef/>
      </w:r>
      <w:r>
        <w:t xml:space="preserve"> </w:t>
      </w:r>
      <w:r w:rsidRPr="004829FD">
        <w:t xml:space="preserve">As an example, since </w:t>
      </w:r>
      <w:r>
        <w:t xml:space="preserve">in the year since the first </w:t>
      </w:r>
      <w:r w:rsidRPr="004829FD">
        <w:t xml:space="preserve">publication of performance assessments in the MySuper product heatmap, an estimated $408m annual saving in total fees and costs has been achieved </w:t>
      </w:r>
      <w:r>
        <w:t xml:space="preserve">for MySuper products </w:t>
      </w:r>
      <w:r w:rsidRPr="004829FD">
        <w:t>(</w:t>
      </w:r>
      <w:r>
        <w:t>which represent</w:t>
      </w:r>
      <w:r w:rsidRPr="004829FD">
        <w:t xml:space="preserve"> assets of over $800 billion).</w:t>
      </w:r>
    </w:p>
  </w:footnote>
  <w:footnote w:id="29">
    <w:p w14:paraId="11BCCC91" w14:textId="77777777" w:rsidR="00A734C5" w:rsidRDefault="00A734C5" w:rsidP="00AE3164">
      <w:pPr>
        <w:pStyle w:val="FootnoteText"/>
      </w:pPr>
      <w:r>
        <w:rPr>
          <w:rStyle w:val="FootnoteReference"/>
        </w:rPr>
        <w:footnoteRef/>
      </w:r>
      <w:r>
        <w:t xml:space="preserve"> See Appendix E: Anticipated Benefits</w:t>
      </w:r>
    </w:p>
  </w:footnote>
  <w:footnote w:id="30">
    <w:p w14:paraId="0F52153C" w14:textId="72B9785D" w:rsidR="00A734C5" w:rsidRPr="00603AD4" w:rsidRDefault="00A734C5" w:rsidP="00623D3B">
      <w:pPr>
        <w:pStyle w:val="FootnoteText"/>
        <w:ind w:left="567" w:hanging="567"/>
      </w:pPr>
      <w:r>
        <w:rPr>
          <w:rStyle w:val="FootnoteReference"/>
        </w:rPr>
        <w:footnoteRef/>
      </w:r>
      <w:r>
        <w:t xml:space="preserve"> </w:t>
      </w:r>
      <w:r>
        <w:rPr>
          <w:rFonts w:ascii="Helvetica" w:hAnsi="Helvetica"/>
          <w:color w:val="000000"/>
        </w:rPr>
        <w:t>Media release: </w:t>
      </w:r>
      <w:hyperlink r:id="rId5" w:tooltip="APRA’s Superannuation Data Transformation to enhance industry transparency and accountability" w:history="1">
        <w:r>
          <w:rPr>
            <w:rStyle w:val="Hyperlink"/>
            <w:rFonts w:ascii="Helvetica" w:hAnsi="Helvetica"/>
            <w:color w:val="0A417A"/>
          </w:rPr>
          <w:t>APRA’s Superannuation Data Transformation to enhance industry transparency and accountability</w:t>
        </w:r>
      </w:hyperlink>
    </w:p>
  </w:footnote>
  <w:footnote w:id="31">
    <w:p w14:paraId="5B056634" w14:textId="77777777" w:rsidR="00A734C5" w:rsidRDefault="00A734C5" w:rsidP="00623D3B">
      <w:pPr>
        <w:pStyle w:val="FootnoteText"/>
      </w:pPr>
      <w:r>
        <w:rPr>
          <w:rStyle w:val="FootnoteReference"/>
        </w:rPr>
        <w:footnoteRef/>
      </w:r>
      <w:r>
        <w:t xml:space="preserve"> </w:t>
      </w:r>
      <w:hyperlink r:id="rId6" w:tooltip="Phase 1 – RSE Structure and Profile" w:history="1">
        <w:r w:rsidRPr="00EF6C69">
          <w:rPr>
            <w:rStyle w:val="Hyperlink"/>
            <w:rFonts w:ascii="Helvetica" w:hAnsi="Helvetica"/>
            <w:color w:val="0A417A"/>
          </w:rPr>
          <w:t>Phase 1 – RSE Structure and Profile</w:t>
        </w:r>
      </w:hyperlink>
    </w:p>
  </w:footnote>
  <w:footnote w:id="32">
    <w:p w14:paraId="792EB6B3" w14:textId="77777777" w:rsidR="00A734C5" w:rsidRDefault="00A734C5" w:rsidP="00623D3B">
      <w:pPr>
        <w:pStyle w:val="FootnoteText"/>
      </w:pPr>
      <w:r>
        <w:rPr>
          <w:rStyle w:val="FootnoteReference"/>
        </w:rPr>
        <w:footnoteRef/>
      </w:r>
      <w:r>
        <w:t xml:space="preserve"> </w:t>
      </w:r>
      <w:hyperlink r:id="rId7" w:history="1">
        <w:r>
          <w:rPr>
            <w:rStyle w:val="Hyperlink"/>
            <w:rFonts w:ascii="Helvetica" w:hAnsi="Helvetica"/>
            <w:color w:val="0A417A"/>
          </w:rPr>
          <w:t>Phase 1 – Performance and Member Accounts</w:t>
        </w:r>
      </w:hyperlink>
    </w:p>
  </w:footnote>
  <w:footnote w:id="33">
    <w:p w14:paraId="1023DAC1" w14:textId="77777777" w:rsidR="00A734C5" w:rsidRDefault="00A734C5" w:rsidP="00623D3B">
      <w:pPr>
        <w:pStyle w:val="FootnoteText"/>
      </w:pPr>
      <w:r>
        <w:rPr>
          <w:rStyle w:val="FootnoteReference"/>
        </w:rPr>
        <w:footnoteRef/>
      </w:r>
      <w:r>
        <w:t xml:space="preserve"> </w:t>
      </w:r>
      <w:hyperlink r:id="rId8" w:tooltip="Phase 1 - Expenses, Asset Allocation, Insurance Arrangements and Fees and Costs" w:history="1">
        <w:r>
          <w:rPr>
            <w:rStyle w:val="Hyperlink"/>
            <w:rFonts w:ascii="Helvetica" w:hAnsi="Helvetica"/>
            <w:color w:val="0A417A"/>
          </w:rPr>
          <w:t>Phase 1 - Expenses, Asset Allocation, Insurance Arrangements and Fees and Costs</w:t>
        </w:r>
      </w:hyperlink>
    </w:p>
  </w:footnote>
  <w:footnote w:id="34">
    <w:p w14:paraId="6A3C4BDE" w14:textId="4B4A0DB5" w:rsidR="00A734C5" w:rsidRPr="004A5F86" w:rsidRDefault="00A734C5" w:rsidP="00293D61">
      <w:pPr>
        <w:pStyle w:val="FootnoteText"/>
        <w:ind w:left="567" w:hanging="567"/>
      </w:pPr>
      <w:r>
        <w:rPr>
          <w:rStyle w:val="FootnoteReference"/>
        </w:rPr>
        <w:footnoteRef/>
      </w:r>
      <w:r>
        <w:t xml:space="preserve"> </w:t>
      </w:r>
      <w:r>
        <w:tab/>
      </w:r>
      <w:hyperlink r:id="rId9" w:history="1">
        <w:r w:rsidRPr="00DF1E5C">
          <w:rPr>
            <w:rStyle w:val="Hyperlink"/>
          </w:rPr>
          <w:t>Response Paper - Superannuation Data Transformation Project Phase 1 PDF 773.72 KB</w:t>
        </w:r>
      </w:hyperlink>
      <w:r>
        <w:t xml:space="preserve">, APRA website. </w:t>
      </w:r>
    </w:p>
  </w:footnote>
  <w:footnote w:id="35">
    <w:p w14:paraId="35F3732C" w14:textId="71FDEA9F" w:rsidR="00A734C5" w:rsidRDefault="00A734C5">
      <w:pPr>
        <w:pStyle w:val="FootnoteText"/>
      </w:pPr>
      <w:r>
        <w:rPr>
          <w:rStyle w:val="FootnoteReference"/>
        </w:rPr>
        <w:footnoteRef/>
      </w:r>
      <w:r>
        <w:t xml:space="preserve"> Treasury Laws Amendment (Your Future, Your Super) Act 2021.</w:t>
      </w:r>
    </w:p>
  </w:footnote>
  <w:footnote w:id="36">
    <w:p w14:paraId="12D14FA1" w14:textId="77777777" w:rsidR="00A734C5" w:rsidRDefault="00A734C5" w:rsidP="00BD69C0">
      <w:pPr>
        <w:pStyle w:val="FootnoteText"/>
      </w:pPr>
      <w:r>
        <w:rPr>
          <w:rStyle w:val="FootnoteReference"/>
        </w:rPr>
        <w:footnoteRef/>
      </w:r>
      <w:r>
        <w:t xml:space="preserve"> </w:t>
      </w:r>
      <w:hyperlink r:id="rId10" w:history="1">
        <w:r w:rsidRPr="00DF57A9">
          <w:rPr>
            <w:rStyle w:val="Hyperlink"/>
          </w:rPr>
          <w:t>https://treasury.gov.au/sites/default/files/2020-10/p2020super.docx</w:t>
        </w:r>
      </w:hyperlink>
      <w:r>
        <w:t xml:space="preserve"> </w:t>
      </w:r>
    </w:p>
  </w:footnote>
  <w:footnote w:id="37">
    <w:p w14:paraId="64AD58FC" w14:textId="39E0D319" w:rsidR="00A734C5" w:rsidRDefault="00A734C5">
      <w:pPr>
        <w:pStyle w:val="FootnoteText"/>
      </w:pPr>
      <w:r>
        <w:rPr>
          <w:rStyle w:val="FootnoteReference"/>
        </w:rPr>
        <w:footnoteRef/>
      </w:r>
      <w:r>
        <w:t xml:space="preserve"> </w:t>
      </w:r>
      <w:r w:rsidRPr="0027436F">
        <w:t>https://treasury.gov.au/publication/p2020-super</w:t>
      </w:r>
    </w:p>
  </w:footnote>
  <w:footnote w:id="38">
    <w:p w14:paraId="220DBFBB" w14:textId="766C8B71" w:rsidR="00A734C5" w:rsidRDefault="00A734C5">
      <w:pPr>
        <w:pStyle w:val="FootnoteText"/>
      </w:pPr>
      <w:r>
        <w:rPr>
          <w:rStyle w:val="FootnoteReference"/>
        </w:rPr>
        <w:footnoteRef/>
      </w:r>
      <w:r>
        <w:t xml:space="preserve"> Treasury Laws Amendment (Protecting Your Superannuation Package) Act 2019.</w:t>
      </w:r>
    </w:p>
  </w:footnote>
  <w:footnote w:id="39">
    <w:p w14:paraId="5EA3BB58" w14:textId="30E904DE" w:rsidR="00A734C5" w:rsidRDefault="00A734C5">
      <w:pPr>
        <w:pStyle w:val="FootnoteText"/>
      </w:pPr>
      <w:r>
        <w:rPr>
          <w:rStyle w:val="FootnoteReference"/>
        </w:rPr>
        <w:footnoteRef/>
      </w:r>
      <w:r>
        <w:t xml:space="preserve"> Treasury Laws Amendment (Your Future, Your Super) Act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6EE7" w14:textId="77777777" w:rsidR="007C4B60" w:rsidRDefault="007C4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ED1D" w14:textId="77777777" w:rsidR="007C4B60" w:rsidRDefault="007C4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CEC8" w14:textId="77777777" w:rsidR="007C4B60" w:rsidRDefault="007C4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C45898"/>
    <w:multiLevelType w:val="hybridMultilevel"/>
    <w:tmpl w:val="EBD290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CC3AFA"/>
    <w:multiLevelType w:val="hybridMultilevel"/>
    <w:tmpl w:val="15EC4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0D91384B"/>
    <w:multiLevelType w:val="hybridMultilevel"/>
    <w:tmpl w:val="CA7A4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1874D2"/>
    <w:multiLevelType w:val="hybridMultilevel"/>
    <w:tmpl w:val="00E48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BBF7C10"/>
    <w:multiLevelType w:val="hybridMultilevel"/>
    <w:tmpl w:val="9D9C0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8D2640"/>
    <w:multiLevelType w:val="hybridMultilevel"/>
    <w:tmpl w:val="17B62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30863CA5"/>
    <w:multiLevelType w:val="hybridMultilevel"/>
    <w:tmpl w:val="9150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A73FEA"/>
    <w:multiLevelType w:val="hybridMultilevel"/>
    <w:tmpl w:val="8870C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78770B"/>
    <w:multiLevelType w:val="hybridMultilevel"/>
    <w:tmpl w:val="71040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7762CC7"/>
    <w:multiLevelType w:val="hybridMultilevel"/>
    <w:tmpl w:val="228839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9C7638"/>
    <w:multiLevelType w:val="hybridMultilevel"/>
    <w:tmpl w:val="2586E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547EDD"/>
    <w:multiLevelType w:val="hybridMultilevel"/>
    <w:tmpl w:val="66B21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9E164E"/>
    <w:multiLevelType w:val="hybridMultilevel"/>
    <w:tmpl w:val="8A02F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B0449B"/>
    <w:multiLevelType w:val="hybridMultilevel"/>
    <w:tmpl w:val="5A7A9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6FF30DB"/>
    <w:multiLevelType w:val="hybridMultilevel"/>
    <w:tmpl w:val="04441DCE"/>
    <w:lvl w:ilvl="0" w:tplc="0C09001B">
      <w:start w:val="1"/>
      <w:numFmt w:val="lowerRoman"/>
      <w:lvlText w:val="%1."/>
      <w:lvlJc w:val="righ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3" w15:restartNumberingAfterBreak="0">
    <w:nsid w:val="5BE06FE3"/>
    <w:multiLevelType w:val="hybridMultilevel"/>
    <w:tmpl w:val="629A3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293774"/>
    <w:multiLevelType w:val="hybridMultilevel"/>
    <w:tmpl w:val="51F45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0BF3DCB"/>
    <w:multiLevelType w:val="hybridMultilevel"/>
    <w:tmpl w:val="A9E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96152A"/>
    <w:multiLevelType w:val="hybridMultilevel"/>
    <w:tmpl w:val="5DE0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B904D3"/>
    <w:multiLevelType w:val="hybridMultilevel"/>
    <w:tmpl w:val="5EF42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A43C0B"/>
    <w:multiLevelType w:val="multilevel"/>
    <w:tmpl w:val="EB2C916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2F91AD2"/>
    <w:multiLevelType w:val="hybridMultilevel"/>
    <w:tmpl w:val="CB4CD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95200CB"/>
    <w:multiLevelType w:val="hybridMultilevel"/>
    <w:tmpl w:val="272C4E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1"/>
  </w:num>
  <w:num w:numId="5">
    <w:abstractNumId w:val="29"/>
  </w:num>
  <w:num w:numId="6">
    <w:abstractNumId w:val="15"/>
  </w:num>
  <w:num w:numId="7">
    <w:abstractNumId w:val="11"/>
  </w:num>
  <w:num w:numId="8">
    <w:abstractNumId w:val="5"/>
  </w:num>
  <w:num w:numId="9">
    <w:abstractNumId w:val="3"/>
  </w:num>
  <w:num w:numId="10">
    <w:abstractNumId w:val="6"/>
  </w:num>
  <w:num w:numId="11">
    <w:abstractNumId w:val="2"/>
  </w:num>
  <w:num w:numId="12">
    <w:abstractNumId w:val="30"/>
  </w:num>
  <w:num w:numId="13">
    <w:abstractNumId w:val="31"/>
  </w:num>
  <w:num w:numId="14">
    <w:abstractNumId w:val="22"/>
  </w:num>
  <w:num w:numId="15">
    <w:abstractNumId w:val="16"/>
  </w:num>
  <w:num w:numId="16">
    <w:abstractNumId w:val="7"/>
  </w:num>
  <w:num w:numId="17">
    <w:abstractNumId w:val="13"/>
  </w:num>
  <w:num w:numId="18">
    <w:abstractNumId w:val="19"/>
  </w:num>
  <w:num w:numId="19">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5"/>
  </w:num>
  <w:num w:numId="23">
    <w:abstractNumId w:val="20"/>
  </w:num>
  <w:num w:numId="24">
    <w:abstractNumId w:val="23"/>
  </w:num>
  <w:num w:numId="25">
    <w:abstractNumId w:val="17"/>
  </w:num>
  <w:num w:numId="26">
    <w:abstractNumId w:val="12"/>
  </w:num>
  <w:num w:numId="27">
    <w:abstractNumId w:val="18"/>
  </w:num>
  <w:num w:numId="28">
    <w:abstractNumId w:val="9"/>
  </w:num>
  <w:num w:numId="29">
    <w:abstractNumId w:val="26"/>
  </w:num>
  <w:num w:numId="30">
    <w:abstractNumId w:val="14"/>
  </w:num>
  <w:num w:numId="31">
    <w:abstractNumId w:val="10"/>
  </w:num>
  <w:num w:numId="32">
    <w:abstractNumId w:val="8"/>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formatting="1" w:enforcement="0"/>
  <w:styleLockTheme/>
  <w:styleLockQFSet/>
  <w:defaultTabStop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9C"/>
    <w:rsid w:val="0000028C"/>
    <w:rsid w:val="00000914"/>
    <w:rsid w:val="0000117F"/>
    <w:rsid w:val="00001E97"/>
    <w:rsid w:val="00003C3D"/>
    <w:rsid w:val="000044AA"/>
    <w:rsid w:val="00004ED1"/>
    <w:rsid w:val="00005D98"/>
    <w:rsid w:val="00005F96"/>
    <w:rsid w:val="00007262"/>
    <w:rsid w:val="00007504"/>
    <w:rsid w:val="0000799C"/>
    <w:rsid w:val="00010A33"/>
    <w:rsid w:val="00011C96"/>
    <w:rsid w:val="0001297F"/>
    <w:rsid w:val="00013E5B"/>
    <w:rsid w:val="000141B9"/>
    <w:rsid w:val="00014708"/>
    <w:rsid w:val="00015C8A"/>
    <w:rsid w:val="00016BAE"/>
    <w:rsid w:val="00020FF0"/>
    <w:rsid w:val="00021B78"/>
    <w:rsid w:val="00026DA5"/>
    <w:rsid w:val="000272A0"/>
    <w:rsid w:val="000272BA"/>
    <w:rsid w:val="00031240"/>
    <w:rsid w:val="00031FDD"/>
    <w:rsid w:val="00032299"/>
    <w:rsid w:val="00032476"/>
    <w:rsid w:val="00032FD5"/>
    <w:rsid w:val="00033367"/>
    <w:rsid w:val="00034A19"/>
    <w:rsid w:val="00035ABB"/>
    <w:rsid w:val="00036011"/>
    <w:rsid w:val="00036CB0"/>
    <w:rsid w:val="00036F9E"/>
    <w:rsid w:val="00040A1B"/>
    <w:rsid w:val="000413B3"/>
    <w:rsid w:val="0004301B"/>
    <w:rsid w:val="0004351C"/>
    <w:rsid w:val="0004363B"/>
    <w:rsid w:val="000453D9"/>
    <w:rsid w:val="00045C72"/>
    <w:rsid w:val="000477DE"/>
    <w:rsid w:val="000500C3"/>
    <w:rsid w:val="000506E2"/>
    <w:rsid w:val="00050905"/>
    <w:rsid w:val="00050B3C"/>
    <w:rsid w:val="00050C36"/>
    <w:rsid w:val="00051030"/>
    <w:rsid w:val="00051C24"/>
    <w:rsid w:val="000540E5"/>
    <w:rsid w:val="000549F0"/>
    <w:rsid w:val="0005524C"/>
    <w:rsid w:val="000573E5"/>
    <w:rsid w:val="000575E5"/>
    <w:rsid w:val="00057B71"/>
    <w:rsid w:val="00057F05"/>
    <w:rsid w:val="0006008C"/>
    <w:rsid w:val="00061454"/>
    <w:rsid w:val="0006177A"/>
    <w:rsid w:val="00061CCF"/>
    <w:rsid w:val="000623AF"/>
    <w:rsid w:val="000634E5"/>
    <w:rsid w:val="0006557E"/>
    <w:rsid w:val="00065CF8"/>
    <w:rsid w:val="0006648F"/>
    <w:rsid w:val="00070FBB"/>
    <w:rsid w:val="0007202C"/>
    <w:rsid w:val="00072B30"/>
    <w:rsid w:val="0007319C"/>
    <w:rsid w:val="000732AA"/>
    <w:rsid w:val="00073FC8"/>
    <w:rsid w:val="00074E55"/>
    <w:rsid w:val="000767DD"/>
    <w:rsid w:val="00076848"/>
    <w:rsid w:val="00077132"/>
    <w:rsid w:val="000773A4"/>
    <w:rsid w:val="0008011A"/>
    <w:rsid w:val="00080944"/>
    <w:rsid w:val="00080C32"/>
    <w:rsid w:val="0008175E"/>
    <w:rsid w:val="000835F7"/>
    <w:rsid w:val="000840E1"/>
    <w:rsid w:val="000842C9"/>
    <w:rsid w:val="00084C91"/>
    <w:rsid w:val="00084D18"/>
    <w:rsid w:val="00084F8B"/>
    <w:rsid w:val="000851D0"/>
    <w:rsid w:val="000865C9"/>
    <w:rsid w:val="00086694"/>
    <w:rsid w:val="00086D07"/>
    <w:rsid w:val="00086F71"/>
    <w:rsid w:val="000905A9"/>
    <w:rsid w:val="00090FA8"/>
    <w:rsid w:val="000936B0"/>
    <w:rsid w:val="00093915"/>
    <w:rsid w:val="000949AD"/>
    <w:rsid w:val="00094F75"/>
    <w:rsid w:val="00095109"/>
    <w:rsid w:val="000951EA"/>
    <w:rsid w:val="000959D3"/>
    <w:rsid w:val="00095C9D"/>
    <w:rsid w:val="00096B0F"/>
    <w:rsid w:val="00097B2C"/>
    <w:rsid w:val="000A081B"/>
    <w:rsid w:val="000A08A4"/>
    <w:rsid w:val="000A1D63"/>
    <w:rsid w:val="000A3645"/>
    <w:rsid w:val="000A4480"/>
    <w:rsid w:val="000A490E"/>
    <w:rsid w:val="000A56D2"/>
    <w:rsid w:val="000A59AB"/>
    <w:rsid w:val="000A65BE"/>
    <w:rsid w:val="000A683C"/>
    <w:rsid w:val="000A6E75"/>
    <w:rsid w:val="000B04C5"/>
    <w:rsid w:val="000B0B78"/>
    <w:rsid w:val="000B3FE3"/>
    <w:rsid w:val="000B63CA"/>
    <w:rsid w:val="000B752A"/>
    <w:rsid w:val="000B75B0"/>
    <w:rsid w:val="000B7832"/>
    <w:rsid w:val="000B7B3E"/>
    <w:rsid w:val="000C14D9"/>
    <w:rsid w:val="000C15C7"/>
    <w:rsid w:val="000C2D94"/>
    <w:rsid w:val="000C2EA4"/>
    <w:rsid w:val="000C32B3"/>
    <w:rsid w:val="000C386C"/>
    <w:rsid w:val="000C3F7D"/>
    <w:rsid w:val="000C4FD9"/>
    <w:rsid w:val="000C5384"/>
    <w:rsid w:val="000C5EE3"/>
    <w:rsid w:val="000C70AB"/>
    <w:rsid w:val="000C7589"/>
    <w:rsid w:val="000C785B"/>
    <w:rsid w:val="000D1A19"/>
    <w:rsid w:val="000D362F"/>
    <w:rsid w:val="000D39A2"/>
    <w:rsid w:val="000D4324"/>
    <w:rsid w:val="000D4737"/>
    <w:rsid w:val="000D4EDE"/>
    <w:rsid w:val="000D5DF8"/>
    <w:rsid w:val="000D5E08"/>
    <w:rsid w:val="000D6331"/>
    <w:rsid w:val="000D67C4"/>
    <w:rsid w:val="000D6D17"/>
    <w:rsid w:val="000D73BD"/>
    <w:rsid w:val="000E222B"/>
    <w:rsid w:val="000E2460"/>
    <w:rsid w:val="000E39F4"/>
    <w:rsid w:val="000E43AC"/>
    <w:rsid w:val="000E6E37"/>
    <w:rsid w:val="000F0E6F"/>
    <w:rsid w:val="000F17DB"/>
    <w:rsid w:val="000F1A1E"/>
    <w:rsid w:val="000F24E3"/>
    <w:rsid w:val="000F2DA2"/>
    <w:rsid w:val="000F3230"/>
    <w:rsid w:val="000F6922"/>
    <w:rsid w:val="000F7CD0"/>
    <w:rsid w:val="00100F23"/>
    <w:rsid w:val="001018A5"/>
    <w:rsid w:val="00101A31"/>
    <w:rsid w:val="00101C2B"/>
    <w:rsid w:val="001022E9"/>
    <w:rsid w:val="00102AE0"/>
    <w:rsid w:val="00102E66"/>
    <w:rsid w:val="00104750"/>
    <w:rsid w:val="00104FDF"/>
    <w:rsid w:val="00105AEC"/>
    <w:rsid w:val="00106002"/>
    <w:rsid w:val="00106D79"/>
    <w:rsid w:val="00106F56"/>
    <w:rsid w:val="0011216B"/>
    <w:rsid w:val="00112E31"/>
    <w:rsid w:val="0011438B"/>
    <w:rsid w:val="00115A39"/>
    <w:rsid w:val="0011667E"/>
    <w:rsid w:val="00117479"/>
    <w:rsid w:val="001176BC"/>
    <w:rsid w:val="00121DD3"/>
    <w:rsid w:val="00123576"/>
    <w:rsid w:val="0012401F"/>
    <w:rsid w:val="001241CB"/>
    <w:rsid w:val="00124B21"/>
    <w:rsid w:val="00124E1F"/>
    <w:rsid w:val="00125FF5"/>
    <w:rsid w:val="00127656"/>
    <w:rsid w:val="00127CFD"/>
    <w:rsid w:val="001304F5"/>
    <w:rsid w:val="00130F17"/>
    <w:rsid w:val="001327B8"/>
    <w:rsid w:val="00133DA0"/>
    <w:rsid w:val="0013471B"/>
    <w:rsid w:val="001352D4"/>
    <w:rsid w:val="0013568E"/>
    <w:rsid w:val="00136614"/>
    <w:rsid w:val="00137FAF"/>
    <w:rsid w:val="0014056D"/>
    <w:rsid w:val="00140B9E"/>
    <w:rsid w:val="0014126B"/>
    <w:rsid w:val="001418CA"/>
    <w:rsid w:val="00142E56"/>
    <w:rsid w:val="00146176"/>
    <w:rsid w:val="001478D1"/>
    <w:rsid w:val="00147F9B"/>
    <w:rsid w:val="0015179B"/>
    <w:rsid w:val="00151E92"/>
    <w:rsid w:val="001535BF"/>
    <w:rsid w:val="00153D8B"/>
    <w:rsid w:val="0015449C"/>
    <w:rsid w:val="00154C9E"/>
    <w:rsid w:val="00155024"/>
    <w:rsid w:val="00155789"/>
    <w:rsid w:val="001564C9"/>
    <w:rsid w:val="00157B44"/>
    <w:rsid w:val="00157C98"/>
    <w:rsid w:val="0016019B"/>
    <w:rsid w:val="0016199C"/>
    <w:rsid w:val="00161AF0"/>
    <w:rsid w:val="00161F65"/>
    <w:rsid w:val="00162B22"/>
    <w:rsid w:val="00163FC0"/>
    <w:rsid w:val="00164A0E"/>
    <w:rsid w:val="001653B6"/>
    <w:rsid w:val="00165BC1"/>
    <w:rsid w:val="00165BF6"/>
    <w:rsid w:val="0016721D"/>
    <w:rsid w:val="0016725F"/>
    <w:rsid w:val="00167304"/>
    <w:rsid w:val="00170684"/>
    <w:rsid w:val="00171196"/>
    <w:rsid w:val="00171671"/>
    <w:rsid w:val="001716D3"/>
    <w:rsid w:val="00172050"/>
    <w:rsid w:val="00172414"/>
    <w:rsid w:val="0017369C"/>
    <w:rsid w:val="00173818"/>
    <w:rsid w:val="0017445A"/>
    <w:rsid w:val="00174B0F"/>
    <w:rsid w:val="00174CEF"/>
    <w:rsid w:val="00175269"/>
    <w:rsid w:val="0017760A"/>
    <w:rsid w:val="00177A8C"/>
    <w:rsid w:val="0018097F"/>
    <w:rsid w:val="0018235E"/>
    <w:rsid w:val="0018242B"/>
    <w:rsid w:val="00182544"/>
    <w:rsid w:val="00182D6B"/>
    <w:rsid w:val="00182FFE"/>
    <w:rsid w:val="00183DA3"/>
    <w:rsid w:val="00184187"/>
    <w:rsid w:val="0018591B"/>
    <w:rsid w:val="00185C66"/>
    <w:rsid w:val="00185CBA"/>
    <w:rsid w:val="00190AFA"/>
    <w:rsid w:val="0019367D"/>
    <w:rsid w:val="00193FF8"/>
    <w:rsid w:val="00194B2E"/>
    <w:rsid w:val="00195D98"/>
    <w:rsid w:val="00195F71"/>
    <w:rsid w:val="00196F71"/>
    <w:rsid w:val="001973C1"/>
    <w:rsid w:val="001974C2"/>
    <w:rsid w:val="0019784C"/>
    <w:rsid w:val="001A0CCA"/>
    <w:rsid w:val="001A38B1"/>
    <w:rsid w:val="001A49C7"/>
    <w:rsid w:val="001A4EA4"/>
    <w:rsid w:val="001A5307"/>
    <w:rsid w:val="001A62A7"/>
    <w:rsid w:val="001A664F"/>
    <w:rsid w:val="001A78A6"/>
    <w:rsid w:val="001B02E5"/>
    <w:rsid w:val="001B1837"/>
    <w:rsid w:val="001B1A2F"/>
    <w:rsid w:val="001B1B79"/>
    <w:rsid w:val="001B1C36"/>
    <w:rsid w:val="001B1D24"/>
    <w:rsid w:val="001B2A7D"/>
    <w:rsid w:val="001B2DB7"/>
    <w:rsid w:val="001B3A9F"/>
    <w:rsid w:val="001B579D"/>
    <w:rsid w:val="001B7237"/>
    <w:rsid w:val="001C0505"/>
    <w:rsid w:val="001C221B"/>
    <w:rsid w:val="001C2A08"/>
    <w:rsid w:val="001C3603"/>
    <w:rsid w:val="001C46D1"/>
    <w:rsid w:val="001C5891"/>
    <w:rsid w:val="001C6A03"/>
    <w:rsid w:val="001C7B47"/>
    <w:rsid w:val="001D0B4E"/>
    <w:rsid w:val="001D0C02"/>
    <w:rsid w:val="001D1C18"/>
    <w:rsid w:val="001D3D43"/>
    <w:rsid w:val="001D52BE"/>
    <w:rsid w:val="001D68FB"/>
    <w:rsid w:val="001D75E9"/>
    <w:rsid w:val="001E05AE"/>
    <w:rsid w:val="001E0F51"/>
    <w:rsid w:val="001E15E4"/>
    <w:rsid w:val="001E1DD8"/>
    <w:rsid w:val="001E35FE"/>
    <w:rsid w:val="001E45BE"/>
    <w:rsid w:val="001E5354"/>
    <w:rsid w:val="001E55BF"/>
    <w:rsid w:val="001F1F08"/>
    <w:rsid w:val="001F20A2"/>
    <w:rsid w:val="001F58BB"/>
    <w:rsid w:val="001F5F86"/>
    <w:rsid w:val="001F69F4"/>
    <w:rsid w:val="001F6E1A"/>
    <w:rsid w:val="001F72D8"/>
    <w:rsid w:val="001F780A"/>
    <w:rsid w:val="001F7917"/>
    <w:rsid w:val="001F79D0"/>
    <w:rsid w:val="002001FF"/>
    <w:rsid w:val="00200613"/>
    <w:rsid w:val="00202814"/>
    <w:rsid w:val="00202B0A"/>
    <w:rsid w:val="00202CC3"/>
    <w:rsid w:val="0020449F"/>
    <w:rsid w:val="002062EB"/>
    <w:rsid w:val="00207CA7"/>
    <w:rsid w:val="00207D5B"/>
    <w:rsid w:val="00207F00"/>
    <w:rsid w:val="0021124F"/>
    <w:rsid w:val="00211C49"/>
    <w:rsid w:val="002129D1"/>
    <w:rsid w:val="00213104"/>
    <w:rsid w:val="002134FC"/>
    <w:rsid w:val="00214883"/>
    <w:rsid w:val="00214B13"/>
    <w:rsid w:val="00214BA9"/>
    <w:rsid w:val="002156F6"/>
    <w:rsid w:val="00220550"/>
    <w:rsid w:val="00220A03"/>
    <w:rsid w:val="00220D5B"/>
    <w:rsid w:val="00222A83"/>
    <w:rsid w:val="002230F4"/>
    <w:rsid w:val="0022372B"/>
    <w:rsid w:val="00224BBA"/>
    <w:rsid w:val="00226C05"/>
    <w:rsid w:val="002300FD"/>
    <w:rsid w:val="002301A2"/>
    <w:rsid w:val="002306D9"/>
    <w:rsid w:val="00230E94"/>
    <w:rsid w:val="00231ACE"/>
    <w:rsid w:val="00231E6C"/>
    <w:rsid w:val="00233A42"/>
    <w:rsid w:val="00234471"/>
    <w:rsid w:val="00236C2D"/>
    <w:rsid w:val="0023710F"/>
    <w:rsid w:val="002374B7"/>
    <w:rsid w:val="00240126"/>
    <w:rsid w:val="002407B3"/>
    <w:rsid w:val="00240B58"/>
    <w:rsid w:val="00240DA3"/>
    <w:rsid w:val="00241C08"/>
    <w:rsid w:val="00241D16"/>
    <w:rsid w:val="00242384"/>
    <w:rsid w:val="00242C42"/>
    <w:rsid w:val="00242D3E"/>
    <w:rsid w:val="0024304D"/>
    <w:rsid w:val="00243262"/>
    <w:rsid w:val="00244826"/>
    <w:rsid w:val="002475AD"/>
    <w:rsid w:val="00247ACA"/>
    <w:rsid w:val="0025221B"/>
    <w:rsid w:val="002527F5"/>
    <w:rsid w:val="00252E6A"/>
    <w:rsid w:val="00253119"/>
    <w:rsid w:val="002549CF"/>
    <w:rsid w:val="00254F7B"/>
    <w:rsid w:val="00255A20"/>
    <w:rsid w:val="002565DB"/>
    <w:rsid w:val="00257034"/>
    <w:rsid w:val="0025782A"/>
    <w:rsid w:val="00261689"/>
    <w:rsid w:val="00261DBA"/>
    <w:rsid w:val="00263414"/>
    <w:rsid w:val="00264823"/>
    <w:rsid w:val="00264D76"/>
    <w:rsid w:val="00265B10"/>
    <w:rsid w:val="002661A6"/>
    <w:rsid w:val="00266475"/>
    <w:rsid w:val="002669EC"/>
    <w:rsid w:val="00266C23"/>
    <w:rsid w:val="00266DF7"/>
    <w:rsid w:val="0027021E"/>
    <w:rsid w:val="00271255"/>
    <w:rsid w:val="002714DD"/>
    <w:rsid w:val="00271F7C"/>
    <w:rsid w:val="00272117"/>
    <w:rsid w:val="00274047"/>
    <w:rsid w:val="0027436F"/>
    <w:rsid w:val="00274850"/>
    <w:rsid w:val="002758C9"/>
    <w:rsid w:val="00277356"/>
    <w:rsid w:val="00277499"/>
    <w:rsid w:val="002778A5"/>
    <w:rsid w:val="00277C51"/>
    <w:rsid w:val="00277C9E"/>
    <w:rsid w:val="00277D6C"/>
    <w:rsid w:val="00277EFD"/>
    <w:rsid w:val="00280748"/>
    <w:rsid w:val="00280D2C"/>
    <w:rsid w:val="00282E5C"/>
    <w:rsid w:val="0028532F"/>
    <w:rsid w:val="00286EAD"/>
    <w:rsid w:val="002871B7"/>
    <w:rsid w:val="0029152D"/>
    <w:rsid w:val="002924F0"/>
    <w:rsid w:val="00292631"/>
    <w:rsid w:val="00292A60"/>
    <w:rsid w:val="002937FB"/>
    <w:rsid w:val="0029389B"/>
    <w:rsid w:val="00293D61"/>
    <w:rsid w:val="00293D70"/>
    <w:rsid w:val="00296257"/>
    <w:rsid w:val="002978D3"/>
    <w:rsid w:val="00297EB8"/>
    <w:rsid w:val="002A05BC"/>
    <w:rsid w:val="002A0CBD"/>
    <w:rsid w:val="002A0F57"/>
    <w:rsid w:val="002A145C"/>
    <w:rsid w:val="002A1893"/>
    <w:rsid w:val="002A1894"/>
    <w:rsid w:val="002A2188"/>
    <w:rsid w:val="002A307D"/>
    <w:rsid w:val="002A34CE"/>
    <w:rsid w:val="002A36F2"/>
    <w:rsid w:val="002A3872"/>
    <w:rsid w:val="002A4395"/>
    <w:rsid w:val="002A46E0"/>
    <w:rsid w:val="002A471C"/>
    <w:rsid w:val="002A6D4B"/>
    <w:rsid w:val="002A6DE6"/>
    <w:rsid w:val="002A7D14"/>
    <w:rsid w:val="002B0913"/>
    <w:rsid w:val="002B0D74"/>
    <w:rsid w:val="002B136E"/>
    <w:rsid w:val="002B19E9"/>
    <w:rsid w:val="002B1DE2"/>
    <w:rsid w:val="002B28E4"/>
    <w:rsid w:val="002B291C"/>
    <w:rsid w:val="002B47A7"/>
    <w:rsid w:val="002B5832"/>
    <w:rsid w:val="002B5CF5"/>
    <w:rsid w:val="002B5F20"/>
    <w:rsid w:val="002B66DD"/>
    <w:rsid w:val="002B7504"/>
    <w:rsid w:val="002B79BB"/>
    <w:rsid w:val="002C0B8A"/>
    <w:rsid w:val="002C0D97"/>
    <w:rsid w:val="002C1053"/>
    <w:rsid w:val="002C13BF"/>
    <w:rsid w:val="002C2098"/>
    <w:rsid w:val="002C4805"/>
    <w:rsid w:val="002C653E"/>
    <w:rsid w:val="002C66D1"/>
    <w:rsid w:val="002C7065"/>
    <w:rsid w:val="002C7F4A"/>
    <w:rsid w:val="002D0687"/>
    <w:rsid w:val="002D070D"/>
    <w:rsid w:val="002D2804"/>
    <w:rsid w:val="002D2DF9"/>
    <w:rsid w:val="002D4B6C"/>
    <w:rsid w:val="002D4E53"/>
    <w:rsid w:val="002D5274"/>
    <w:rsid w:val="002D548C"/>
    <w:rsid w:val="002D675F"/>
    <w:rsid w:val="002E01FC"/>
    <w:rsid w:val="002E0DB6"/>
    <w:rsid w:val="002E165B"/>
    <w:rsid w:val="002E1BFF"/>
    <w:rsid w:val="002E1EE3"/>
    <w:rsid w:val="002E28FA"/>
    <w:rsid w:val="002E5515"/>
    <w:rsid w:val="002E6410"/>
    <w:rsid w:val="002E6D45"/>
    <w:rsid w:val="002F0135"/>
    <w:rsid w:val="002F0C2C"/>
    <w:rsid w:val="002F16B9"/>
    <w:rsid w:val="002F1B99"/>
    <w:rsid w:val="002F2710"/>
    <w:rsid w:val="002F2A43"/>
    <w:rsid w:val="002F2C2D"/>
    <w:rsid w:val="002F3295"/>
    <w:rsid w:val="002F6DE9"/>
    <w:rsid w:val="002F702F"/>
    <w:rsid w:val="002F70E8"/>
    <w:rsid w:val="002F7DA7"/>
    <w:rsid w:val="00300655"/>
    <w:rsid w:val="0030256D"/>
    <w:rsid w:val="00302817"/>
    <w:rsid w:val="00303549"/>
    <w:rsid w:val="00303D18"/>
    <w:rsid w:val="00304305"/>
    <w:rsid w:val="00304E5B"/>
    <w:rsid w:val="00307ADD"/>
    <w:rsid w:val="00307E55"/>
    <w:rsid w:val="00310607"/>
    <w:rsid w:val="00312A66"/>
    <w:rsid w:val="003130CA"/>
    <w:rsid w:val="00313142"/>
    <w:rsid w:val="00313EA5"/>
    <w:rsid w:val="00314512"/>
    <w:rsid w:val="00315C80"/>
    <w:rsid w:val="00315D14"/>
    <w:rsid w:val="0031622D"/>
    <w:rsid w:val="0031766C"/>
    <w:rsid w:val="0032180D"/>
    <w:rsid w:val="00321BA1"/>
    <w:rsid w:val="00322A4E"/>
    <w:rsid w:val="00323085"/>
    <w:rsid w:val="0032333E"/>
    <w:rsid w:val="003306A5"/>
    <w:rsid w:val="0033219A"/>
    <w:rsid w:val="003327BA"/>
    <w:rsid w:val="00333D8E"/>
    <w:rsid w:val="00334010"/>
    <w:rsid w:val="0034082A"/>
    <w:rsid w:val="00341564"/>
    <w:rsid w:val="00341B6A"/>
    <w:rsid w:val="00342324"/>
    <w:rsid w:val="003444F3"/>
    <w:rsid w:val="003457E9"/>
    <w:rsid w:val="00345B23"/>
    <w:rsid w:val="0034692C"/>
    <w:rsid w:val="00347306"/>
    <w:rsid w:val="00347892"/>
    <w:rsid w:val="0035064E"/>
    <w:rsid w:val="00351847"/>
    <w:rsid w:val="0035283D"/>
    <w:rsid w:val="00352F05"/>
    <w:rsid w:val="00353967"/>
    <w:rsid w:val="00355D40"/>
    <w:rsid w:val="0035621F"/>
    <w:rsid w:val="0036117D"/>
    <w:rsid w:val="00361DB9"/>
    <w:rsid w:val="0036262C"/>
    <w:rsid w:val="00362DF7"/>
    <w:rsid w:val="00364381"/>
    <w:rsid w:val="0036507A"/>
    <w:rsid w:val="00367018"/>
    <w:rsid w:val="00370166"/>
    <w:rsid w:val="003704D2"/>
    <w:rsid w:val="00371AAC"/>
    <w:rsid w:val="00371F54"/>
    <w:rsid w:val="00372ED7"/>
    <w:rsid w:val="003730E0"/>
    <w:rsid w:val="0037402E"/>
    <w:rsid w:val="00376E71"/>
    <w:rsid w:val="00377112"/>
    <w:rsid w:val="0037770C"/>
    <w:rsid w:val="00377933"/>
    <w:rsid w:val="00377C8B"/>
    <w:rsid w:val="003837D0"/>
    <w:rsid w:val="00383A95"/>
    <w:rsid w:val="00384E38"/>
    <w:rsid w:val="00385CA0"/>
    <w:rsid w:val="00385D30"/>
    <w:rsid w:val="0038752E"/>
    <w:rsid w:val="00391863"/>
    <w:rsid w:val="0039325F"/>
    <w:rsid w:val="00393B15"/>
    <w:rsid w:val="00393B29"/>
    <w:rsid w:val="00394093"/>
    <w:rsid w:val="00394710"/>
    <w:rsid w:val="0039626F"/>
    <w:rsid w:val="003968E6"/>
    <w:rsid w:val="00396B0D"/>
    <w:rsid w:val="0039708F"/>
    <w:rsid w:val="00397925"/>
    <w:rsid w:val="00397C0D"/>
    <w:rsid w:val="003A13F5"/>
    <w:rsid w:val="003A204F"/>
    <w:rsid w:val="003A2289"/>
    <w:rsid w:val="003A2733"/>
    <w:rsid w:val="003A277E"/>
    <w:rsid w:val="003A3021"/>
    <w:rsid w:val="003A3695"/>
    <w:rsid w:val="003A56B5"/>
    <w:rsid w:val="003A60FC"/>
    <w:rsid w:val="003A627E"/>
    <w:rsid w:val="003A709A"/>
    <w:rsid w:val="003A716D"/>
    <w:rsid w:val="003A79EE"/>
    <w:rsid w:val="003B1548"/>
    <w:rsid w:val="003B1FBE"/>
    <w:rsid w:val="003B2781"/>
    <w:rsid w:val="003B2C8F"/>
    <w:rsid w:val="003B4111"/>
    <w:rsid w:val="003B43D9"/>
    <w:rsid w:val="003B6313"/>
    <w:rsid w:val="003B6729"/>
    <w:rsid w:val="003B6E16"/>
    <w:rsid w:val="003B6F7A"/>
    <w:rsid w:val="003B720F"/>
    <w:rsid w:val="003B7403"/>
    <w:rsid w:val="003B7675"/>
    <w:rsid w:val="003C00DE"/>
    <w:rsid w:val="003C180A"/>
    <w:rsid w:val="003C1E25"/>
    <w:rsid w:val="003C1ECD"/>
    <w:rsid w:val="003C28DE"/>
    <w:rsid w:val="003C3818"/>
    <w:rsid w:val="003C65F0"/>
    <w:rsid w:val="003C72D1"/>
    <w:rsid w:val="003D1A99"/>
    <w:rsid w:val="003D1C5B"/>
    <w:rsid w:val="003D27CB"/>
    <w:rsid w:val="003D329D"/>
    <w:rsid w:val="003D7881"/>
    <w:rsid w:val="003E00E4"/>
    <w:rsid w:val="003E0104"/>
    <w:rsid w:val="003E1CA0"/>
    <w:rsid w:val="003E5475"/>
    <w:rsid w:val="003E6BF6"/>
    <w:rsid w:val="003E6FA5"/>
    <w:rsid w:val="003E7859"/>
    <w:rsid w:val="003F00DA"/>
    <w:rsid w:val="003F0F0D"/>
    <w:rsid w:val="003F3D49"/>
    <w:rsid w:val="003F4911"/>
    <w:rsid w:val="003F63EB"/>
    <w:rsid w:val="003F65FD"/>
    <w:rsid w:val="0040173E"/>
    <w:rsid w:val="00401E20"/>
    <w:rsid w:val="004022AC"/>
    <w:rsid w:val="00402400"/>
    <w:rsid w:val="00405D77"/>
    <w:rsid w:val="00406553"/>
    <w:rsid w:val="00406916"/>
    <w:rsid w:val="00407679"/>
    <w:rsid w:val="0041058D"/>
    <w:rsid w:val="00411AA3"/>
    <w:rsid w:val="00411DC7"/>
    <w:rsid w:val="00414A19"/>
    <w:rsid w:val="00415955"/>
    <w:rsid w:val="00415DD5"/>
    <w:rsid w:val="00417166"/>
    <w:rsid w:val="004174BD"/>
    <w:rsid w:val="00422D3D"/>
    <w:rsid w:val="00423263"/>
    <w:rsid w:val="004237ED"/>
    <w:rsid w:val="00424214"/>
    <w:rsid w:val="00424412"/>
    <w:rsid w:val="004312A8"/>
    <w:rsid w:val="00431934"/>
    <w:rsid w:val="00432581"/>
    <w:rsid w:val="00432996"/>
    <w:rsid w:val="00432DE3"/>
    <w:rsid w:val="0043467D"/>
    <w:rsid w:val="004347CA"/>
    <w:rsid w:val="00435339"/>
    <w:rsid w:val="004372EE"/>
    <w:rsid w:val="0043744B"/>
    <w:rsid w:val="0043753A"/>
    <w:rsid w:val="00437BC9"/>
    <w:rsid w:val="00437E36"/>
    <w:rsid w:val="00437FF8"/>
    <w:rsid w:val="004410DC"/>
    <w:rsid w:val="0044344F"/>
    <w:rsid w:val="00443D50"/>
    <w:rsid w:val="00444236"/>
    <w:rsid w:val="0044447D"/>
    <w:rsid w:val="004503F5"/>
    <w:rsid w:val="00450C67"/>
    <w:rsid w:val="00451187"/>
    <w:rsid w:val="00452D29"/>
    <w:rsid w:val="00454E8B"/>
    <w:rsid w:val="0045510C"/>
    <w:rsid w:val="004551DA"/>
    <w:rsid w:val="00455A4C"/>
    <w:rsid w:val="00457884"/>
    <w:rsid w:val="0046001E"/>
    <w:rsid w:val="004606E1"/>
    <w:rsid w:val="00460CF7"/>
    <w:rsid w:val="00460E28"/>
    <w:rsid w:val="00461E91"/>
    <w:rsid w:val="004627EF"/>
    <w:rsid w:val="00462C5D"/>
    <w:rsid w:val="00463242"/>
    <w:rsid w:val="00463381"/>
    <w:rsid w:val="00463FA8"/>
    <w:rsid w:val="00465EF9"/>
    <w:rsid w:val="00466648"/>
    <w:rsid w:val="00466DFA"/>
    <w:rsid w:val="004672B9"/>
    <w:rsid w:val="00467C37"/>
    <w:rsid w:val="00472CBC"/>
    <w:rsid w:val="0047396C"/>
    <w:rsid w:val="00476190"/>
    <w:rsid w:val="004765B3"/>
    <w:rsid w:val="004767A5"/>
    <w:rsid w:val="0047737C"/>
    <w:rsid w:val="004813BE"/>
    <w:rsid w:val="00482957"/>
    <w:rsid w:val="004829FD"/>
    <w:rsid w:val="00482DBD"/>
    <w:rsid w:val="004835E8"/>
    <w:rsid w:val="00483B62"/>
    <w:rsid w:val="00484180"/>
    <w:rsid w:val="004843AE"/>
    <w:rsid w:val="004843CA"/>
    <w:rsid w:val="0048445E"/>
    <w:rsid w:val="00486AB0"/>
    <w:rsid w:val="00486DE4"/>
    <w:rsid w:val="00487265"/>
    <w:rsid w:val="00487E69"/>
    <w:rsid w:val="00490F33"/>
    <w:rsid w:val="0049119A"/>
    <w:rsid w:val="00492EEE"/>
    <w:rsid w:val="00493DAA"/>
    <w:rsid w:val="00494335"/>
    <w:rsid w:val="00494603"/>
    <w:rsid w:val="00495666"/>
    <w:rsid w:val="00495A4C"/>
    <w:rsid w:val="004967A1"/>
    <w:rsid w:val="00496C6D"/>
    <w:rsid w:val="004A070B"/>
    <w:rsid w:val="004A0744"/>
    <w:rsid w:val="004A1051"/>
    <w:rsid w:val="004A2765"/>
    <w:rsid w:val="004A3D4A"/>
    <w:rsid w:val="004A5F1D"/>
    <w:rsid w:val="004A6C48"/>
    <w:rsid w:val="004B107C"/>
    <w:rsid w:val="004B1B3D"/>
    <w:rsid w:val="004B4E32"/>
    <w:rsid w:val="004B52E6"/>
    <w:rsid w:val="004B582D"/>
    <w:rsid w:val="004B584E"/>
    <w:rsid w:val="004B6235"/>
    <w:rsid w:val="004B6408"/>
    <w:rsid w:val="004B7F97"/>
    <w:rsid w:val="004C004F"/>
    <w:rsid w:val="004C023B"/>
    <w:rsid w:val="004C08A5"/>
    <w:rsid w:val="004C102E"/>
    <w:rsid w:val="004C1106"/>
    <w:rsid w:val="004C1906"/>
    <w:rsid w:val="004C1A67"/>
    <w:rsid w:val="004C2EA6"/>
    <w:rsid w:val="004C4393"/>
    <w:rsid w:val="004C4984"/>
    <w:rsid w:val="004C5257"/>
    <w:rsid w:val="004C6375"/>
    <w:rsid w:val="004C6D4B"/>
    <w:rsid w:val="004C766B"/>
    <w:rsid w:val="004D0264"/>
    <w:rsid w:val="004D3175"/>
    <w:rsid w:val="004D33E3"/>
    <w:rsid w:val="004D344C"/>
    <w:rsid w:val="004D3E66"/>
    <w:rsid w:val="004D76C1"/>
    <w:rsid w:val="004D7C22"/>
    <w:rsid w:val="004E0094"/>
    <w:rsid w:val="004E054B"/>
    <w:rsid w:val="004E2269"/>
    <w:rsid w:val="004E3611"/>
    <w:rsid w:val="004E3845"/>
    <w:rsid w:val="004E451A"/>
    <w:rsid w:val="004E46EB"/>
    <w:rsid w:val="004E4772"/>
    <w:rsid w:val="004E5D1E"/>
    <w:rsid w:val="004E68C8"/>
    <w:rsid w:val="004E7779"/>
    <w:rsid w:val="004F0897"/>
    <w:rsid w:val="004F0911"/>
    <w:rsid w:val="004F09B8"/>
    <w:rsid w:val="004F19FD"/>
    <w:rsid w:val="004F1B89"/>
    <w:rsid w:val="004F3339"/>
    <w:rsid w:val="004F3937"/>
    <w:rsid w:val="004F4B53"/>
    <w:rsid w:val="004F5335"/>
    <w:rsid w:val="004F58C3"/>
    <w:rsid w:val="004F72A2"/>
    <w:rsid w:val="004F762C"/>
    <w:rsid w:val="004F78E5"/>
    <w:rsid w:val="005026D4"/>
    <w:rsid w:val="00503A51"/>
    <w:rsid w:val="00503AD1"/>
    <w:rsid w:val="00503C68"/>
    <w:rsid w:val="00504794"/>
    <w:rsid w:val="00505A75"/>
    <w:rsid w:val="00506774"/>
    <w:rsid w:val="00510972"/>
    <w:rsid w:val="00512309"/>
    <w:rsid w:val="0051270F"/>
    <w:rsid w:val="005139E3"/>
    <w:rsid w:val="005168B8"/>
    <w:rsid w:val="00517CDD"/>
    <w:rsid w:val="005202AC"/>
    <w:rsid w:val="00520472"/>
    <w:rsid w:val="00522955"/>
    <w:rsid w:val="005235CC"/>
    <w:rsid w:val="00525853"/>
    <w:rsid w:val="0052697E"/>
    <w:rsid w:val="00526AF5"/>
    <w:rsid w:val="00527D32"/>
    <w:rsid w:val="0053019F"/>
    <w:rsid w:val="00531675"/>
    <w:rsid w:val="00531DFD"/>
    <w:rsid w:val="005322EA"/>
    <w:rsid w:val="00532EF0"/>
    <w:rsid w:val="005332C9"/>
    <w:rsid w:val="00534B03"/>
    <w:rsid w:val="005360B5"/>
    <w:rsid w:val="00536C8E"/>
    <w:rsid w:val="00536E9F"/>
    <w:rsid w:val="00541451"/>
    <w:rsid w:val="00541D54"/>
    <w:rsid w:val="00542522"/>
    <w:rsid w:val="00542F59"/>
    <w:rsid w:val="005438DD"/>
    <w:rsid w:val="00543CD7"/>
    <w:rsid w:val="00543EF4"/>
    <w:rsid w:val="0054423D"/>
    <w:rsid w:val="0054526E"/>
    <w:rsid w:val="00545C17"/>
    <w:rsid w:val="00545CE1"/>
    <w:rsid w:val="00547694"/>
    <w:rsid w:val="005476B5"/>
    <w:rsid w:val="00552CEA"/>
    <w:rsid w:val="00552FE0"/>
    <w:rsid w:val="005549D7"/>
    <w:rsid w:val="00555E9D"/>
    <w:rsid w:val="00555F3E"/>
    <w:rsid w:val="0055655D"/>
    <w:rsid w:val="005602DA"/>
    <w:rsid w:val="00560DD7"/>
    <w:rsid w:val="00560F2C"/>
    <w:rsid w:val="00561215"/>
    <w:rsid w:val="00561EED"/>
    <w:rsid w:val="00562087"/>
    <w:rsid w:val="005652BA"/>
    <w:rsid w:val="00565560"/>
    <w:rsid w:val="005675F5"/>
    <w:rsid w:val="00567689"/>
    <w:rsid w:val="005678FC"/>
    <w:rsid w:val="00570CBA"/>
    <w:rsid w:val="00571274"/>
    <w:rsid w:val="0057138A"/>
    <w:rsid w:val="00571909"/>
    <w:rsid w:val="00571D9A"/>
    <w:rsid w:val="00573327"/>
    <w:rsid w:val="005740E3"/>
    <w:rsid w:val="00575150"/>
    <w:rsid w:val="00575C28"/>
    <w:rsid w:val="005763E0"/>
    <w:rsid w:val="00576C30"/>
    <w:rsid w:val="005807A7"/>
    <w:rsid w:val="00581F9B"/>
    <w:rsid w:val="0058200E"/>
    <w:rsid w:val="00582045"/>
    <w:rsid w:val="0058234A"/>
    <w:rsid w:val="00582A63"/>
    <w:rsid w:val="0058384A"/>
    <w:rsid w:val="005838D5"/>
    <w:rsid w:val="00583A0B"/>
    <w:rsid w:val="00583A17"/>
    <w:rsid w:val="005841A1"/>
    <w:rsid w:val="0058446C"/>
    <w:rsid w:val="00585EB8"/>
    <w:rsid w:val="0058733E"/>
    <w:rsid w:val="0059154A"/>
    <w:rsid w:val="00591C91"/>
    <w:rsid w:val="005924E6"/>
    <w:rsid w:val="00592E75"/>
    <w:rsid w:val="00592F64"/>
    <w:rsid w:val="00593496"/>
    <w:rsid w:val="005967AD"/>
    <w:rsid w:val="005969A9"/>
    <w:rsid w:val="00597627"/>
    <w:rsid w:val="00597D60"/>
    <w:rsid w:val="005A044B"/>
    <w:rsid w:val="005A088A"/>
    <w:rsid w:val="005A0CF9"/>
    <w:rsid w:val="005A3F63"/>
    <w:rsid w:val="005A4BE8"/>
    <w:rsid w:val="005A59D0"/>
    <w:rsid w:val="005A72E0"/>
    <w:rsid w:val="005B073E"/>
    <w:rsid w:val="005B227F"/>
    <w:rsid w:val="005B3273"/>
    <w:rsid w:val="005B3714"/>
    <w:rsid w:val="005B395C"/>
    <w:rsid w:val="005B6F56"/>
    <w:rsid w:val="005B7801"/>
    <w:rsid w:val="005C012E"/>
    <w:rsid w:val="005C09D1"/>
    <w:rsid w:val="005C22FD"/>
    <w:rsid w:val="005C24D8"/>
    <w:rsid w:val="005C3114"/>
    <w:rsid w:val="005C3CB1"/>
    <w:rsid w:val="005C5891"/>
    <w:rsid w:val="005C58D4"/>
    <w:rsid w:val="005C78A2"/>
    <w:rsid w:val="005C7A3A"/>
    <w:rsid w:val="005D04CC"/>
    <w:rsid w:val="005D1110"/>
    <w:rsid w:val="005D1BCB"/>
    <w:rsid w:val="005D5D0E"/>
    <w:rsid w:val="005D5FAE"/>
    <w:rsid w:val="005D62B2"/>
    <w:rsid w:val="005E00F6"/>
    <w:rsid w:val="005E49E0"/>
    <w:rsid w:val="005E4BC9"/>
    <w:rsid w:val="005E5EC8"/>
    <w:rsid w:val="005E63D1"/>
    <w:rsid w:val="005E6808"/>
    <w:rsid w:val="005F023B"/>
    <w:rsid w:val="005F23F5"/>
    <w:rsid w:val="005F267F"/>
    <w:rsid w:val="005F29B7"/>
    <w:rsid w:val="005F2BBE"/>
    <w:rsid w:val="005F32D8"/>
    <w:rsid w:val="005F3CFC"/>
    <w:rsid w:val="005F3ED9"/>
    <w:rsid w:val="005F4253"/>
    <w:rsid w:val="005F51C8"/>
    <w:rsid w:val="00600559"/>
    <w:rsid w:val="00601368"/>
    <w:rsid w:val="00601826"/>
    <w:rsid w:val="00602188"/>
    <w:rsid w:val="00604F2A"/>
    <w:rsid w:val="00605302"/>
    <w:rsid w:val="00605C72"/>
    <w:rsid w:val="00606EB5"/>
    <w:rsid w:val="00606FC5"/>
    <w:rsid w:val="00606FC8"/>
    <w:rsid w:val="006075FE"/>
    <w:rsid w:val="00607770"/>
    <w:rsid w:val="0061029C"/>
    <w:rsid w:val="00612D83"/>
    <w:rsid w:val="00614C95"/>
    <w:rsid w:val="0061607E"/>
    <w:rsid w:val="00616122"/>
    <w:rsid w:val="006168D4"/>
    <w:rsid w:val="00616C90"/>
    <w:rsid w:val="0061701A"/>
    <w:rsid w:val="00617639"/>
    <w:rsid w:val="00617FDA"/>
    <w:rsid w:val="00620865"/>
    <w:rsid w:val="0062116F"/>
    <w:rsid w:val="006219DA"/>
    <w:rsid w:val="00621DFF"/>
    <w:rsid w:val="00622782"/>
    <w:rsid w:val="00623438"/>
    <w:rsid w:val="00623D3B"/>
    <w:rsid w:val="00623FD7"/>
    <w:rsid w:val="006243AF"/>
    <w:rsid w:val="00624E36"/>
    <w:rsid w:val="00626087"/>
    <w:rsid w:val="00626187"/>
    <w:rsid w:val="0062772F"/>
    <w:rsid w:val="0063090E"/>
    <w:rsid w:val="00630D81"/>
    <w:rsid w:val="006329E9"/>
    <w:rsid w:val="00634A49"/>
    <w:rsid w:val="00634E4C"/>
    <w:rsid w:val="00635054"/>
    <w:rsid w:val="00635C0D"/>
    <w:rsid w:val="00636B8B"/>
    <w:rsid w:val="00641533"/>
    <w:rsid w:val="00641C9B"/>
    <w:rsid w:val="00641EAA"/>
    <w:rsid w:val="00641F92"/>
    <w:rsid w:val="006427FE"/>
    <w:rsid w:val="00643F0C"/>
    <w:rsid w:val="0064650F"/>
    <w:rsid w:val="00646C3A"/>
    <w:rsid w:val="006506C1"/>
    <w:rsid w:val="00650E9E"/>
    <w:rsid w:val="0065149F"/>
    <w:rsid w:val="006516D7"/>
    <w:rsid w:val="00652AF3"/>
    <w:rsid w:val="00652CCF"/>
    <w:rsid w:val="00653E01"/>
    <w:rsid w:val="0065431F"/>
    <w:rsid w:val="00655A6A"/>
    <w:rsid w:val="00656E27"/>
    <w:rsid w:val="00657459"/>
    <w:rsid w:val="0065747A"/>
    <w:rsid w:val="006606FB"/>
    <w:rsid w:val="0066082C"/>
    <w:rsid w:val="00661544"/>
    <w:rsid w:val="00662E28"/>
    <w:rsid w:val="00662EA4"/>
    <w:rsid w:val="00662EC9"/>
    <w:rsid w:val="0066300F"/>
    <w:rsid w:val="006635FB"/>
    <w:rsid w:val="00663F14"/>
    <w:rsid w:val="0066437E"/>
    <w:rsid w:val="00665FEA"/>
    <w:rsid w:val="0066674D"/>
    <w:rsid w:val="00666A78"/>
    <w:rsid w:val="00667107"/>
    <w:rsid w:val="006679A8"/>
    <w:rsid w:val="00671C7A"/>
    <w:rsid w:val="00675230"/>
    <w:rsid w:val="0067582C"/>
    <w:rsid w:val="00675FC5"/>
    <w:rsid w:val="00676475"/>
    <w:rsid w:val="00676C12"/>
    <w:rsid w:val="0067712C"/>
    <w:rsid w:val="006808F2"/>
    <w:rsid w:val="006813DB"/>
    <w:rsid w:val="006819B7"/>
    <w:rsid w:val="00681CEE"/>
    <w:rsid w:val="00682462"/>
    <w:rsid w:val="00683758"/>
    <w:rsid w:val="00685CA7"/>
    <w:rsid w:val="00686E70"/>
    <w:rsid w:val="00687DBA"/>
    <w:rsid w:val="00691584"/>
    <w:rsid w:val="00691E77"/>
    <w:rsid w:val="006933A0"/>
    <w:rsid w:val="00693415"/>
    <w:rsid w:val="0069375D"/>
    <w:rsid w:val="00693D1C"/>
    <w:rsid w:val="0069402A"/>
    <w:rsid w:val="0069407C"/>
    <w:rsid w:val="00694223"/>
    <w:rsid w:val="0069459C"/>
    <w:rsid w:val="006949DE"/>
    <w:rsid w:val="0069574E"/>
    <w:rsid w:val="006957E7"/>
    <w:rsid w:val="00695ED2"/>
    <w:rsid w:val="006969C0"/>
    <w:rsid w:val="00696E4E"/>
    <w:rsid w:val="006971BD"/>
    <w:rsid w:val="00697EFF"/>
    <w:rsid w:val="006A0669"/>
    <w:rsid w:val="006A084D"/>
    <w:rsid w:val="006A0BA3"/>
    <w:rsid w:val="006A128B"/>
    <w:rsid w:val="006A1700"/>
    <w:rsid w:val="006A1921"/>
    <w:rsid w:val="006A1F04"/>
    <w:rsid w:val="006A2303"/>
    <w:rsid w:val="006A2C82"/>
    <w:rsid w:val="006A3AA3"/>
    <w:rsid w:val="006A3BB1"/>
    <w:rsid w:val="006A5100"/>
    <w:rsid w:val="006B02B9"/>
    <w:rsid w:val="006B191E"/>
    <w:rsid w:val="006B38B8"/>
    <w:rsid w:val="006B43F9"/>
    <w:rsid w:val="006B499E"/>
    <w:rsid w:val="006B544F"/>
    <w:rsid w:val="006B75D0"/>
    <w:rsid w:val="006C05C6"/>
    <w:rsid w:val="006C066A"/>
    <w:rsid w:val="006C098D"/>
    <w:rsid w:val="006C47DF"/>
    <w:rsid w:val="006C49DB"/>
    <w:rsid w:val="006C4D28"/>
    <w:rsid w:val="006C52EF"/>
    <w:rsid w:val="006C5DE9"/>
    <w:rsid w:val="006C5E7E"/>
    <w:rsid w:val="006C66B2"/>
    <w:rsid w:val="006C6C7A"/>
    <w:rsid w:val="006D09A0"/>
    <w:rsid w:val="006D0CEE"/>
    <w:rsid w:val="006D17EE"/>
    <w:rsid w:val="006D1969"/>
    <w:rsid w:val="006D2386"/>
    <w:rsid w:val="006D2A45"/>
    <w:rsid w:val="006D315C"/>
    <w:rsid w:val="006D34AC"/>
    <w:rsid w:val="006D3872"/>
    <w:rsid w:val="006D3E7A"/>
    <w:rsid w:val="006D71B8"/>
    <w:rsid w:val="006E0596"/>
    <w:rsid w:val="006E062F"/>
    <w:rsid w:val="006E1CED"/>
    <w:rsid w:val="006E4229"/>
    <w:rsid w:val="006E4272"/>
    <w:rsid w:val="006E438C"/>
    <w:rsid w:val="006E621B"/>
    <w:rsid w:val="006E72ED"/>
    <w:rsid w:val="006E7654"/>
    <w:rsid w:val="006F134E"/>
    <w:rsid w:val="006F145A"/>
    <w:rsid w:val="006F1BCE"/>
    <w:rsid w:val="006F27CB"/>
    <w:rsid w:val="006F3040"/>
    <w:rsid w:val="006F359B"/>
    <w:rsid w:val="006F405B"/>
    <w:rsid w:val="006F54C0"/>
    <w:rsid w:val="006F54D7"/>
    <w:rsid w:val="006F5865"/>
    <w:rsid w:val="006F5DC2"/>
    <w:rsid w:val="006F76D3"/>
    <w:rsid w:val="00700B98"/>
    <w:rsid w:val="00701CC7"/>
    <w:rsid w:val="00701EC6"/>
    <w:rsid w:val="007038EA"/>
    <w:rsid w:val="0070612B"/>
    <w:rsid w:val="00706179"/>
    <w:rsid w:val="007066C4"/>
    <w:rsid w:val="007067AB"/>
    <w:rsid w:val="00706D4A"/>
    <w:rsid w:val="00706F80"/>
    <w:rsid w:val="00710EC2"/>
    <w:rsid w:val="00712D00"/>
    <w:rsid w:val="00713C5C"/>
    <w:rsid w:val="0071402B"/>
    <w:rsid w:val="0071474B"/>
    <w:rsid w:val="00714956"/>
    <w:rsid w:val="00714F78"/>
    <w:rsid w:val="007152B0"/>
    <w:rsid w:val="007169AB"/>
    <w:rsid w:val="007170F7"/>
    <w:rsid w:val="00717589"/>
    <w:rsid w:val="00717F30"/>
    <w:rsid w:val="00720C9C"/>
    <w:rsid w:val="007212A8"/>
    <w:rsid w:val="00722266"/>
    <w:rsid w:val="00722613"/>
    <w:rsid w:val="007227EC"/>
    <w:rsid w:val="00722F9F"/>
    <w:rsid w:val="00724095"/>
    <w:rsid w:val="007253B8"/>
    <w:rsid w:val="007267E0"/>
    <w:rsid w:val="007270C7"/>
    <w:rsid w:val="00733E4B"/>
    <w:rsid w:val="00736E7D"/>
    <w:rsid w:val="00737E48"/>
    <w:rsid w:val="00740C37"/>
    <w:rsid w:val="00740EEF"/>
    <w:rsid w:val="00740FBE"/>
    <w:rsid w:val="00741775"/>
    <w:rsid w:val="007433B7"/>
    <w:rsid w:val="0074467D"/>
    <w:rsid w:val="0074541B"/>
    <w:rsid w:val="007509A6"/>
    <w:rsid w:val="00752724"/>
    <w:rsid w:val="00753F83"/>
    <w:rsid w:val="00753FEF"/>
    <w:rsid w:val="007541B0"/>
    <w:rsid w:val="0075421A"/>
    <w:rsid w:val="0075469B"/>
    <w:rsid w:val="00754AE0"/>
    <w:rsid w:val="00755163"/>
    <w:rsid w:val="007554DD"/>
    <w:rsid w:val="00755855"/>
    <w:rsid w:val="00756A33"/>
    <w:rsid w:val="00756AAB"/>
    <w:rsid w:val="00757F63"/>
    <w:rsid w:val="00760101"/>
    <w:rsid w:val="007608BC"/>
    <w:rsid w:val="00760FE1"/>
    <w:rsid w:val="00761A4A"/>
    <w:rsid w:val="00764445"/>
    <w:rsid w:val="007645AE"/>
    <w:rsid w:val="00764992"/>
    <w:rsid w:val="00765749"/>
    <w:rsid w:val="00767006"/>
    <w:rsid w:val="00767D84"/>
    <w:rsid w:val="00770BAA"/>
    <w:rsid w:val="00771319"/>
    <w:rsid w:val="00772052"/>
    <w:rsid w:val="00775AA0"/>
    <w:rsid w:val="007762FC"/>
    <w:rsid w:val="007770FA"/>
    <w:rsid w:val="00777D2B"/>
    <w:rsid w:val="00780BB9"/>
    <w:rsid w:val="00780BE4"/>
    <w:rsid w:val="00780F72"/>
    <w:rsid w:val="0078132B"/>
    <w:rsid w:val="00782CC1"/>
    <w:rsid w:val="0078501D"/>
    <w:rsid w:val="0078516E"/>
    <w:rsid w:val="0078523D"/>
    <w:rsid w:val="00791738"/>
    <w:rsid w:val="00791780"/>
    <w:rsid w:val="00791B65"/>
    <w:rsid w:val="00792BC1"/>
    <w:rsid w:val="00792D37"/>
    <w:rsid w:val="00796584"/>
    <w:rsid w:val="00797703"/>
    <w:rsid w:val="00797C4A"/>
    <w:rsid w:val="007A0114"/>
    <w:rsid w:val="007A0701"/>
    <w:rsid w:val="007A0EB7"/>
    <w:rsid w:val="007A1076"/>
    <w:rsid w:val="007A1263"/>
    <w:rsid w:val="007A1B1E"/>
    <w:rsid w:val="007A4090"/>
    <w:rsid w:val="007A4307"/>
    <w:rsid w:val="007A4555"/>
    <w:rsid w:val="007A4D14"/>
    <w:rsid w:val="007A62F9"/>
    <w:rsid w:val="007A720D"/>
    <w:rsid w:val="007B0BB4"/>
    <w:rsid w:val="007B0BBD"/>
    <w:rsid w:val="007B20D3"/>
    <w:rsid w:val="007B2329"/>
    <w:rsid w:val="007B31BA"/>
    <w:rsid w:val="007B422B"/>
    <w:rsid w:val="007B4D44"/>
    <w:rsid w:val="007B54E8"/>
    <w:rsid w:val="007B5568"/>
    <w:rsid w:val="007B5971"/>
    <w:rsid w:val="007B679B"/>
    <w:rsid w:val="007B6871"/>
    <w:rsid w:val="007B6C18"/>
    <w:rsid w:val="007B6FFC"/>
    <w:rsid w:val="007B7899"/>
    <w:rsid w:val="007C08B1"/>
    <w:rsid w:val="007C0D51"/>
    <w:rsid w:val="007C1DAD"/>
    <w:rsid w:val="007C2A70"/>
    <w:rsid w:val="007C2CC2"/>
    <w:rsid w:val="007C31E0"/>
    <w:rsid w:val="007C38BD"/>
    <w:rsid w:val="007C4B60"/>
    <w:rsid w:val="007C51E1"/>
    <w:rsid w:val="007C5AD6"/>
    <w:rsid w:val="007C6A06"/>
    <w:rsid w:val="007C701D"/>
    <w:rsid w:val="007C7648"/>
    <w:rsid w:val="007C79AA"/>
    <w:rsid w:val="007C7BE0"/>
    <w:rsid w:val="007C7D26"/>
    <w:rsid w:val="007D31DA"/>
    <w:rsid w:val="007D3412"/>
    <w:rsid w:val="007D3854"/>
    <w:rsid w:val="007D3A04"/>
    <w:rsid w:val="007D3A26"/>
    <w:rsid w:val="007D470E"/>
    <w:rsid w:val="007D499C"/>
    <w:rsid w:val="007D4DBB"/>
    <w:rsid w:val="007D5ED0"/>
    <w:rsid w:val="007D6466"/>
    <w:rsid w:val="007D72C5"/>
    <w:rsid w:val="007E0313"/>
    <w:rsid w:val="007E0361"/>
    <w:rsid w:val="007E525D"/>
    <w:rsid w:val="007E5413"/>
    <w:rsid w:val="007E79EE"/>
    <w:rsid w:val="007F0323"/>
    <w:rsid w:val="007F1037"/>
    <w:rsid w:val="007F379E"/>
    <w:rsid w:val="007F38A2"/>
    <w:rsid w:val="007F471C"/>
    <w:rsid w:val="007F4BBF"/>
    <w:rsid w:val="007F59D8"/>
    <w:rsid w:val="007F5F17"/>
    <w:rsid w:val="007F6F35"/>
    <w:rsid w:val="007F70F3"/>
    <w:rsid w:val="00800C90"/>
    <w:rsid w:val="00801CF3"/>
    <w:rsid w:val="008050FB"/>
    <w:rsid w:val="008056E0"/>
    <w:rsid w:val="0080590E"/>
    <w:rsid w:val="00805F1B"/>
    <w:rsid w:val="00807775"/>
    <w:rsid w:val="00807A26"/>
    <w:rsid w:val="008125F8"/>
    <w:rsid w:val="008135D9"/>
    <w:rsid w:val="00813E29"/>
    <w:rsid w:val="00815855"/>
    <w:rsid w:val="00816104"/>
    <w:rsid w:val="00816B36"/>
    <w:rsid w:val="00820277"/>
    <w:rsid w:val="008208A8"/>
    <w:rsid w:val="00826012"/>
    <w:rsid w:val="00826271"/>
    <w:rsid w:val="00826992"/>
    <w:rsid w:val="00827EEB"/>
    <w:rsid w:val="00830C74"/>
    <w:rsid w:val="00831F5A"/>
    <w:rsid w:val="00832904"/>
    <w:rsid w:val="00834CE0"/>
    <w:rsid w:val="008350B0"/>
    <w:rsid w:val="0083627A"/>
    <w:rsid w:val="0084110F"/>
    <w:rsid w:val="00843866"/>
    <w:rsid w:val="008442FC"/>
    <w:rsid w:val="008449C7"/>
    <w:rsid w:val="00844B1D"/>
    <w:rsid w:val="00844F5C"/>
    <w:rsid w:val="008450AF"/>
    <w:rsid w:val="00845843"/>
    <w:rsid w:val="00845DBA"/>
    <w:rsid w:val="00845E59"/>
    <w:rsid w:val="00846D34"/>
    <w:rsid w:val="00846EF8"/>
    <w:rsid w:val="0085125F"/>
    <w:rsid w:val="00854866"/>
    <w:rsid w:val="00854C04"/>
    <w:rsid w:val="00855615"/>
    <w:rsid w:val="00857EE9"/>
    <w:rsid w:val="00861B21"/>
    <w:rsid w:val="00863020"/>
    <w:rsid w:val="008637EC"/>
    <w:rsid w:val="00866208"/>
    <w:rsid w:val="0087013E"/>
    <w:rsid w:val="0087097B"/>
    <w:rsid w:val="00870BC6"/>
    <w:rsid w:val="00873AEF"/>
    <w:rsid w:val="008751CA"/>
    <w:rsid w:val="00875DAD"/>
    <w:rsid w:val="0087622A"/>
    <w:rsid w:val="00876F24"/>
    <w:rsid w:val="008772DF"/>
    <w:rsid w:val="00877891"/>
    <w:rsid w:val="00877B84"/>
    <w:rsid w:val="00877E5F"/>
    <w:rsid w:val="0088036D"/>
    <w:rsid w:val="00881155"/>
    <w:rsid w:val="00881BCE"/>
    <w:rsid w:val="00881CD8"/>
    <w:rsid w:val="00882892"/>
    <w:rsid w:val="00883CFD"/>
    <w:rsid w:val="00885A14"/>
    <w:rsid w:val="0088689B"/>
    <w:rsid w:val="008872E7"/>
    <w:rsid w:val="00890FA0"/>
    <w:rsid w:val="00891B4E"/>
    <w:rsid w:val="008943A9"/>
    <w:rsid w:val="008947BF"/>
    <w:rsid w:val="00894FE4"/>
    <w:rsid w:val="00896AE6"/>
    <w:rsid w:val="0089741B"/>
    <w:rsid w:val="008A0CBE"/>
    <w:rsid w:val="008A10B4"/>
    <w:rsid w:val="008A1CA8"/>
    <w:rsid w:val="008A214D"/>
    <w:rsid w:val="008A2255"/>
    <w:rsid w:val="008A2ECF"/>
    <w:rsid w:val="008A571A"/>
    <w:rsid w:val="008A5786"/>
    <w:rsid w:val="008A621D"/>
    <w:rsid w:val="008A72D2"/>
    <w:rsid w:val="008A74A3"/>
    <w:rsid w:val="008A76C6"/>
    <w:rsid w:val="008A7EFE"/>
    <w:rsid w:val="008B0746"/>
    <w:rsid w:val="008B0DB3"/>
    <w:rsid w:val="008B11A7"/>
    <w:rsid w:val="008B1490"/>
    <w:rsid w:val="008B1E45"/>
    <w:rsid w:val="008B264E"/>
    <w:rsid w:val="008B342E"/>
    <w:rsid w:val="008B4FBA"/>
    <w:rsid w:val="008B594F"/>
    <w:rsid w:val="008B6868"/>
    <w:rsid w:val="008B6D24"/>
    <w:rsid w:val="008B7ABE"/>
    <w:rsid w:val="008C2004"/>
    <w:rsid w:val="008C28BC"/>
    <w:rsid w:val="008C2BE2"/>
    <w:rsid w:val="008C34F7"/>
    <w:rsid w:val="008C6A43"/>
    <w:rsid w:val="008D080C"/>
    <w:rsid w:val="008D0975"/>
    <w:rsid w:val="008D11B4"/>
    <w:rsid w:val="008D1867"/>
    <w:rsid w:val="008D2320"/>
    <w:rsid w:val="008D55D3"/>
    <w:rsid w:val="008D631C"/>
    <w:rsid w:val="008D6437"/>
    <w:rsid w:val="008D69E7"/>
    <w:rsid w:val="008D6ED6"/>
    <w:rsid w:val="008D6EDF"/>
    <w:rsid w:val="008E0C6F"/>
    <w:rsid w:val="008E21BC"/>
    <w:rsid w:val="008E3CAF"/>
    <w:rsid w:val="008E3EF5"/>
    <w:rsid w:val="008E433C"/>
    <w:rsid w:val="008E44AA"/>
    <w:rsid w:val="008E4F33"/>
    <w:rsid w:val="008E6F70"/>
    <w:rsid w:val="008F1B7C"/>
    <w:rsid w:val="008F33B5"/>
    <w:rsid w:val="008F726B"/>
    <w:rsid w:val="008F78B6"/>
    <w:rsid w:val="008F7F56"/>
    <w:rsid w:val="00901414"/>
    <w:rsid w:val="009022B0"/>
    <w:rsid w:val="0090274F"/>
    <w:rsid w:val="00905D03"/>
    <w:rsid w:val="00906799"/>
    <w:rsid w:val="009068FC"/>
    <w:rsid w:val="00906989"/>
    <w:rsid w:val="00907690"/>
    <w:rsid w:val="009104C7"/>
    <w:rsid w:val="009108EE"/>
    <w:rsid w:val="00912572"/>
    <w:rsid w:val="00912E29"/>
    <w:rsid w:val="00913066"/>
    <w:rsid w:val="00914490"/>
    <w:rsid w:val="0091591A"/>
    <w:rsid w:val="00917284"/>
    <w:rsid w:val="0091762D"/>
    <w:rsid w:val="00922193"/>
    <w:rsid w:val="00924152"/>
    <w:rsid w:val="00924925"/>
    <w:rsid w:val="00925794"/>
    <w:rsid w:val="009262E3"/>
    <w:rsid w:val="00926D2B"/>
    <w:rsid w:val="009302E5"/>
    <w:rsid w:val="00930F0D"/>
    <w:rsid w:val="009313E6"/>
    <w:rsid w:val="00931447"/>
    <w:rsid w:val="00931644"/>
    <w:rsid w:val="0093194D"/>
    <w:rsid w:val="00931F5F"/>
    <w:rsid w:val="009323CD"/>
    <w:rsid w:val="009330E2"/>
    <w:rsid w:val="00933361"/>
    <w:rsid w:val="00933ADD"/>
    <w:rsid w:val="009342C5"/>
    <w:rsid w:val="00934C3F"/>
    <w:rsid w:val="009356A1"/>
    <w:rsid w:val="00937BD9"/>
    <w:rsid w:val="00940702"/>
    <w:rsid w:val="00940784"/>
    <w:rsid w:val="00940B86"/>
    <w:rsid w:val="00940BA7"/>
    <w:rsid w:val="009417AE"/>
    <w:rsid w:val="0094181D"/>
    <w:rsid w:val="009431ED"/>
    <w:rsid w:val="00944233"/>
    <w:rsid w:val="00945B3F"/>
    <w:rsid w:val="0094678C"/>
    <w:rsid w:val="0094700C"/>
    <w:rsid w:val="00947CD9"/>
    <w:rsid w:val="00950B38"/>
    <w:rsid w:val="00950DCB"/>
    <w:rsid w:val="009510BD"/>
    <w:rsid w:val="00952D47"/>
    <w:rsid w:val="00952D4C"/>
    <w:rsid w:val="0095340E"/>
    <w:rsid w:val="0095403A"/>
    <w:rsid w:val="00955BF8"/>
    <w:rsid w:val="00955FA1"/>
    <w:rsid w:val="00956A60"/>
    <w:rsid w:val="009579DB"/>
    <w:rsid w:val="00957D48"/>
    <w:rsid w:val="00960246"/>
    <w:rsid w:val="009614AA"/>
    <w:rsid w:val="009618E1"/>
    <w:rsid w:val="0096453C"/>
    <w:rsid w:val="0096466D"/>
    <w:rsid w:val="00967384"/>
    <w:rsid w:val="009705FD"/>
    <w:rsid w:val="00970AEF"/>
    <w:rsid w:val="00970B11"/>
    <w:rsid w:val="00970F11"/>
    <w:rsid w:val="00971E62"/>
    <w:rsid w:val="00971F62"/>
    <w:rsid w:val="009720E1"/>
    <w:rsid w:val="00974F0E"/>
    <w:rsid w:val="00975CD7"/>
    <w:rsid w:val="00977E27"/>
    <w:rsid w:val="00980138"/>
    <w:rsid w:val="00980CA1"/>
    <w:rsid w:val="0098271F"/>
    <w:rsid w:val="00984BD1"/>
    <w:rsid w:val="00984BFC"/>
    <w:rsid w:val="00984D26"/>
    <w:rsid w:val="00985E70"/>
    <w:rsid w:val="009863F4"/>
    <w:rsid w:val="00986CB5"/>
    <w:rsid w:val="00986E0A"/>
    <w:rsid w:val="0098783B"/>
    <w:rsid w:val="009928D2"/>
    <w:rsid w:val="00993C2B"/>
    <w:rsid w:val="00995C98"/>
    <w:rsid w:val="0099615F"/>
    <w:rsid w:val="009979F4"/>
    <w:rsid w:val="00997D23"/>
    <w:rsid w:val="00997E7B"/>
    <w:rsid w:val="009A0139"/>
    <w:rsid w:val="009A07D3"/>
    <w:rsid w:val="009A0A1C"/>
    <w:rsid w:val="009A1BD1"/>
    <w:rsid w:val="009A22E1"/>
    <w:rsid w:val="009A246D"/>
    <w:rsid w:val="009A45B2"/>
    <w:rsid w:val="009A4D18"/>
    <w:rsid w:val="009A4E1A"/>
    <w:rsid w:val="009A50E0"/>
    <w:rsid w:val="009A5585"/>
    <w:rsid w:val="009A58CE"/>
    <w:rsid w:val="009A59D5"/>
    <w:rsid w:val="009A63AC"/>
    <w:rsid w:val="009A67E7"/>
    <w:rsid w:val="009A70A8"/>
    <w:rsid w:val="009A7B3C"/>
    <w:rsid w:val="009A7C52"/>
    <w:rsid w:val="009B03FC"/>
    <w:rsid w:val="009B2CB7"/>
    <w:rsid w:val="009B3161"/>
    <w:rsid w:val="009B4228"/>
    <w:rsid w:val="009B4865"/>
    <w:rsid w:val="009B4D16"/>
    <w:rsid w:val="009B4E87"/>
    <w:rsid w:val="009B5476"/>
    <w:rsid w:val="009B73A4"/>
    <w:rsid w:val="009C0E98"/>
    <w:rsid w:val="009C2198"/>
    <w:rsid w:val="009C46EF"/>
    <w:rsid w:val="009C5551"/>
    <w:rsid w:val="009C57EF"/>
    <w:rsid w:val="009D0BFA"/>
    <w:rsid w:val="009D213D"/>
    <w:rsid w:val="009D2DDD"/>
    <w:rsid w:val="009D3680"/>
    <w:rsid w:val="009D3BD0"/>
    <w:rsid w:val="009D4D81"/>
    <w:rsid w:val="009D582B"/>
    <w:rsid w:val="009D5D3D"/>
    <w:rsid w:val="009D700F"/>
    <w:rsid w:val="009E0C10"/>
    <w:rsid w:val="009E0F15"/>
    <w:rsid w:val="009E1D5F"/>
    <w:rsid w:val="009E1DBE"/>
    <w:rsid w:val="009E2600"/>
    <w:rsid w:val="009E4116"/>
    <w:rsid w:val="009E529F"/>
    <w:rsid w:val="009F047C"/>
    <w:rsid w:val="009F3F8D"/>
    <w:rsid w:val="009F43E2"/>
    <w:rsid w:val="009F6B2B"/>
    <w:rsid w:val="009F777F"/>
    <w:rsid w:val="00A00148"/>
    <w:rsid w:val="00A01A32"/>
    <w:rsid w:val="00A05EC9"/>
    <w:rsid w:val="00A073FF"/>
    <w:rsid w:val="00A10593"/>
    <w:rsid w:val="00A10DA6"/>
    <w:rsid w:val="00A10FFA"/>
    <w:rsid w:val="00A11621"/>
    <w:rsid w:val="00A13EF8"/>
    <w:rsid w:val="00A151E9"/>
    <w:rsid w:val="00A15DBB"/>
    <w:rsid w:val="00A22DB3"/>
    <w:rsid w:val="00A22E9D"/>
    <w:rsid w:val="00A23B75"/>
    <w:rsid w:val="00A244D7"/>
    <w:rsid w:val="00A259F2"/>
    <w:rsid w:val="00A26F0B"/>
    <w:rsid w:val="00A27354"/>
    <w:rsid w:val="00A27549"/>
    <w:rsid w:val="00A2758A"/>
    <w:rsid w:val="00A310ED"/>
    <w:rsid w:val="00A3244A"/>
    <w:rsid w:val="00A33802"/>
    <w:rsid w:val="00A3483D"/>
    <w:rsid w:val="00A34ADD"/>
    <w:rsid w:val="00A35D37"/>
    <w:rsid w:val="00A366D1"/>
    <w:rsid w:val="00A37162"/>
    <w:rsid w:val="00A37E51"/>
    <w:rsid w:val="00A404AB"/>
    <w:rsid w:val="00A405D4"/>
    <w:rsid w:val="00A40B05"/>
    <w:rsid w:val="00A41AF9"/>
    <w:rsid w:val="00A41B5A"/>
    <w:rsid w:val="00A42163"/>
    <w:rsid w:val="00A4362B"/>
    <w:rsid w:val="00A449E8"/>
    <w:rsid w:val="00A45201"/>
    <w:rsid w:val="00A45D7C"/>
    <w:rsid w:val="00A464A6"/>
    <w:rsid w:val="00A47906"/>
    <w:rsid w:val="00A50392"/>
    <w:rsid w:val="00A51E2D"/>
    <w:rsid w:val="00A51E54"/>
    <w:rsid w:val="00A51FA4"/>
    <w:rsid w:val="00A52AE6"/>
    <w:rsid w:val="00A5319F"/>
    <w:rsid w:val="00A533A9"/>
    <w:rsid w:val="00A53690"/>
    <w:rsid w:val="00A541E8"/>
    <w:rsid w:val="00A550E2"/>
    <w:rsid w:val="00A562AD"/>
    <w:rsid w:val="00A56715"/>
    <w:rsid w:val="00A5706F"/>
    <w:rsid w:val="00A571B7"/>
    <w:rsid w:val="00A5785F"/>
    <w:rsid w:val="00A614B7"/>
    <w:rsid w:val="00A62D31"/>
    <w:rsid w:val="00A63380"/>
    <w:rsid w:val="00A63E28"/>
    <w:rsid w:val="00A64BF0"/>
    <w:rsid w:val="00A704B6"/>
    <w:rsid w:val="00A70F56"/>
    <w:rsid w:val="00A71269"/>
    <w:rsid w:val="00A734C5"/>
    <w:rsid w:val="00A7482A"/>
    <w:rsid w:val="00A754D5"/>
    <w:rsid w:val="00A75AB0"/>
    <w:rsid w:val="00A764A0"/>
    <w:rsid w:val="00A774E8"/>
    <w:rsid w:val="00A77FCC"/>
    <w:rsid w:val="00A8129D"/>
    <w:rsid w:val="00A81B4D"/>
    <w:rsid w:val="00A81EA5"/>
    <w:rsid w:val="00A82188"/>
    <w:rsid w:val="00A82550"/>
    <w:rsid w:val="00A8457C"/>
    <w:rsid w:val="00A84615"/>
    <w:rsid w:val="00A851EF"/>
    <w:rsid w:val="00A865C7"/>
    <w:rsid w:val="00A86C12"/>
    <w:rsid w:val="00A909CC"/>
    <w:rsid w:val="00A91D66"/>
    <w:rsid w:val="00A94132"/>
    <w:rsid w:val="00A94407"/>
    <w:rsid w:val="00A9615D"/>
    <w:rsid w:val="00A964A5"/>
    <w:rsid w:val="00A9653C"/>
    <w:rsid w:val="00A96754"/>
    <w:rsid w:val="00A968D0"/>
    <w:rsid w:val="00A96C32"/>
    <w:rsid w:val="00A976A1"/>
    <w:rsid w:val="00A97D01"/>
    <w:rsid w:val="00A97E3B"/>
    <w:rsid w:val="00AA00CB"/>
    <w:rsid w:val="00AA1196"/>
    <w:rsid w:val="00AA14ED"/>
    <w:rsid w:val="00AA20A1"/>
    <w:rsid w:val="00AA3596"/>
    <w:rsid w:val="00AA3792"/>
    <w:rsid w:val="00AA3D84"/>
    <w:rsid w:val="00AA41F2"/>
    <w:rsid w:val="00AA5175"/>
    <w:rsid w:val="00AA5CB3"/>
    <w:rsid w:val="00AA5E1E"/>
    <w:rsid w:val="00AA6BA5"/>
    <w:rsid w:val="00AB039E"/>
    <w:rsid w:val="00AB16CF"/>
    <w:rsid w:val="00AB1BD9"/>
    <w:rsid w:val="00AB2F8F"/>
    <w:rsid w:val="00AB402F"/>
    <w:rsid w:val="00AB4206"/>
    <w:rsid w:val="00AB4A41"/>
    <w:rsid w:val="00AB4D8B"/>
    <w:rsid w:val="00AB53FB"/>
    <w:rsid w:val="00AB6B8E"/>
    <w:rsid w:val="00AB76D7"/>
    <w:rsid w:val="00AB7FB7"/>
    <w:rsid w:val="00AC2270"/>
    <w:rsid w:val="00AC24BB"/>
    <w:rsid w:val="00AC2F37"/>
    <w:rsid w:val="00AC352E"/>
    <w:rsid w:val="00AC4034"/>
    <w:rsid w:val="00AC4EB7"/>
    <w:rsid w:val="00AC7018"/>
    <w:rsid w:val="00AC7E54"/>
    <w:rsid w:val="00AD111A"/>
    <w:rsid w:val="00AD13CD"/>
    <w:rsid w:val="00AD213F"/>
    <w:rsid w:val="00AD3CA1"/>
    <w:rsid w:val="00AD4056"/>
    <w:rsid w:val="00AD7D97"/>
    <w:rsid w:val="00AE0CD7"/>
    <w:rsid w:val="00AE22E6"/>
    <w:rsid w:val="00AE266F"/>
    <w:rsid w:val="00AE3164"/>
    <w:rsid w:val="00AE31A5"/>
    <w:rsid w:val="00AE3E75"/>
    <w:rsid w:val="00AE4224"/>
    <w:rsid w:val="00AE6A4E"/>
    <w:rsid w:val="00AE7B98"/>
    <w:rsid w:val="00AF129F"/>
    <w:rsid w:val="00AF72C1"/>
    <w:rsid w:val="00AF74D1"/>
    <w:rsid w:val="00B01B71"/>
    <w:rsid w:val="00B02462"/>
    <w:rsid w:val="00B027A2"/>
    <w:rsid w:val="00B027C4"/>
    <w:rsid w:val="00B02B83"/>
    <w:rsid w:val="00B037E0"/>
    <w:rsid w:val="00B03980"/>
    <w:rsid w:val="00B03C78"/>
    <w:rsid w:val="00B0488A"/>
    <w:rsid w:val="00B051E9"/>
    <w:rsid w:val="00B053A3"/>
    <w:rsid w:val="00B0592B"/>
    <w:rsid w:val="00B06988"/>
    <w:rsid w:val="00B06D83"/>
    <w:rsid w:val="00B072BA"/>
    <w:rsid w:val="00B103C1"/>
    <w:rsid w:val="00B12DC9"/>
    <w:rsid w:val="00B134ED"/>
    <w:rsid w:val="00B13F84"/>
    <w:rsid w:val="00B14604"/>
    <w:rsid w:val="00B14C1A"/>
    <w:rsid w:val="00B15749"/>
    <w:rsid w:val="00B15ABA"/>
    <w:rsid w:val="00B15C2A"/>
    <w:rsid w:val="00B15D97"/>
    <w:rsid w:val="00B20FA0"/>
    <w:rsid w:val="00B2123D"/>
    <w:rsid w:val="00B22951"/>
    <w:rsid w:val="00B23D6E"/>
    <w:rsid w:val="00B241B1"/>
    <w:rsid w:val="00B24A87"/>
    <w:rsid w:val="00B24AE2"/>
    <w:rsid w:val="00B24DD4"/>
    <w:rsid w:val="00B2606F"/>
    <w:rsid w:val="00B2639F"/>
    <w:rsid w:val="00B27283"/>
    <w:rsid w:val="00B2740F"/>
    <w:rsid w:val="00B307F5"/>
    <w:rsid w:val="00B308B7"/>
    <w:rsid w:val="00B30C8A"/>
    <w:rsid w:val="00B3124D"/>
    <w:rsid w:val="00B31DDB"/>
    <w:rsid w:val="00B327B5"/>
    <w:rsid w:val="00B34322"/>
    <w:rsid w:val="00B34339"/>
    <w:rsid w:val="00B34F1B"/>
    <w:rsid w:val="00B37AC8"/>
    <w:rsid w:val="00B37CB0"/>
    <w:rsid w:val="00B40B7D"/>
    <w:rsid w:val="00B41A94"/>
    <w:rsid w:val="00B41B89"/>
    <w:rsid w:val="00B41FF4"/>
    <w:rsid w:val="00B42B28"/>
    <w:rsid w:val="00B42B2F"/>
    <w:rsid w:val="00B42F44"/>
    <w:rsid w:val="00B43109"/>
    <w:rsid w:val="00B447D6"/>
    <w:rsid w:val="00B44900"/>
    <w:rsid w:val="00B4574F"/>
    <w:rsid w:val="00B460E0"/>
    <w:rsid w:val="00B46178"/>
    <w:rsid w:val="00B46759"/>
    <w:rsid w:val="00B467F6"/>
    <w:rsid w:val="00B472E1"/>
    <w:rsid w:val="00B47AB0"/>
    <w:rsid w:val="00B50D09"/>
    <w:rsid w:val="00B51658"/>
    <w:rsid w:val="00B52821"/>
    <w:rsid w:val="00B53258"/>
    <w:rsid w:val="00B546A1"/>
    <w:rsid w:val="00B551AF"/>
    <w:rsid w:val="00B5529F"/>
    <w:rsid w:val="00B56C63"/>
    <w:rsid w:val="00B63B27"/>
    <w:rsid w:val="00B64315"/>
    <w:rsid w:val="00B64B98"/>
    <w:rsid w:val="00B660D9"/>
    <w:rsid w:val="00B664C7"/>
    <w:rsid w:val="00B66E03"/>
    <w:rsid w:val="00B6767A"/>
    <w:rsid w:val="00B67C8D"/>
    <w:rsid w:val="00B7000C"/>
    <w:rsid w:val="00B71170"/>
    <w:rsid w:val="00B716DF"/>
    <w:rsid w:val="00B73362"/>
    <w:rsid w:val="00B73781"/>
    <w:rsid w:val="00B76763"/>
    <w:rsid w:val="00B77C22"/>
    <w:rsid w:val="00B80118"/>
    <w:rsid w:val="00B8019C"/>
    <w:rsid w:val="00B805E7"/>
    <w:rsid w:val="00B80BCE"/>
    <w:rsid w:val="00B81524"/>
    <w:rsid w:val="00B81740"/>
    <w:rsid w:val="00B82011"/>
    <w:rsid w:val="00B83542"/>
    <w:rsid w:val="00B84D5D"/>
    <w:rsid w:val="00B8504B"/>
    <w:rsid w:val="00B850AD"/>
    <w:rsid w:val="00B8513E"/>
    <w:rsid w:val="00B85D7B"/>
    <w:rsid w:val="00B900EA"/>
    <w:rsid w:val="00B9031F"/>
    <w:rsid w:val="00B90F32"/>
    <w:rsid w:val="00B91069"/>
    <w:rsid w:val="00B91BBE"/>
    <w:rsid w:val="00B92842"/>
    <w:rsid w:val="00BA2713"/>
    <w:rsid w:val="00BA2941"/>
    <w:rsid w:val="00BA3B14"/>
    <w:rsid w:val="00BA4C61"/>
    <w:rsid w:val="00BA627A"/>
    <w:rsid w:val="00BA6835"/>
    <w:rsid w:val="00BA6A81"/>
    <w:rsid w:val="00BA6B1C"/>
    <w:rsid w:val="00BB0775"/>
    <w:rsid w:val="00BB1EB5"/>
    <w:rsid w:val="00BB22FA"/>
    <w:rsid w:val="00BB25AC"/>
    <w:rsid w:val="00BB2DA8"/>
    <w:rsid w:val="00BB387C"/>
    <w:rsid w:val="00BB4FB7"/>
    <w:rsid w:val="00BB6F11"/>
    <w:rsid w:val="00BB7A88"/>
    <w:rsid w:val="00BC0616"/>
    <w:rsid w:val="00BC10C8"/>
    <w:rsid w:val="00BC29F2"/>
    <w:rsid w:val="00BC2BB1"/>
    <w:rsid w:val="00BC4310"/>
    <w:rsid w:val="00BC51B6"/>
    <w:rsid w:val="00BC54E2"/>
    <w:rsid w:val="00BC64D0"/>
    <w:rsid w:val="00BD02E2"/>
    <w:rsid w:val="00BD12A1"/>
    <w:rsid w:val="00BD1D09"/>
    <w:rsid w:val="00BD3094"/>
    <w:rsid w:val="00BD3CE1"/>
    <w:rsid w:val="00BD3FC8"/>
    <w:rsid w:val="00BD423F"/>
    <w:rsid w:val="00BD4B1B"/>
    <w:rsid w:val="00BD5BE3"/>
    <w:rsid w:val="00BD69C0"/>
    <w:rsid w:val="00BD7B83"/>
    <w:rsid w:val="00BD7BF1"/>
    <w:rsid w:val="00BD7F9D"/>
    <w:rsid w:val="00BE229A"/>
    <w:rsid w:val="00BE234D"/>
    <w:rsid w:val="00BE31BD"/>
    <w:rsid w:val="00BE44C7"/>
    <w:rsid w:val="00BE4832"/>
    <w:rsid w:val="00BE54C6"/>
    <w:rsid w:val="00BE683C"/>
    <w:rsid w:val="00BE6BDB"/>
    <w:rsid w:val="00BF05EA"/>
    <w:rsid w:val="00BF15C6"/>
    <w:rsid w:val="00BF1793"/>
    <w:rsid w:val="00BF17C6"/>
    <w:rsid w:val="00BF25E8"/>
    <w:rsid w:val="00BF3EE8"/>
    <w:rsid w:val="00BF494D"/>
    <w:rsid w:val="00BF4E15"/>
    <w:rsid w:val="00BF501A"/>
    <w:rsid w:val="00BF6F09"/>
    <w:rsid w:val="00BF77FC"/>
    <w:rsid w:val="00BF7F7C"/>
    <w:rsid w:val="00C00802"/>
    <w:rsid w:val="00C00FDA"/>
    <w:rsid w:val="00C01605"/>
    <w:rsid w:val="00C02352"/>
    <w:rsid w:val="00C02DC9"/>
    <w:rsid w:val="00C02EB9"/>
    <w:rsid w:val="00C033CB"/>
    <w:rsid w:val="00C0373C"/>
    <w:rsid w:val="00C03C75"/>
    <w:rsid w:val="00C04E4B"/>
    <w:rsid w:val="00C063BA"/>
    <w:rsid w:val="00C06572"/>
    <w:rsid w:val="00C114B5"/>
    <w:rsid w:val="00C11531"/>
    <w:rsid w:val="00C11999"/>
    <w:rsid w:val="00C11B56"/>
    <w:rsid w:val="00C11EC6"/>
    <w:rsid w:val="00C1411B"/>
    <w:rsid w:val="00C14507"/>
    <w:rsid w:val="00C14885"/>
    <w:rsid w:val="00C14B45"/>
    <w:rsid w:val="00C14C04"/>
    <w:rsid w:val="00C1510F"/>
    <w:rsid w:val="00C1529E"/>
    <w:rsid w:val="00C16045"/>
    <w:rsid w:val="00C1631B"/>
    <w:rsid w:val="00C1659F"/>
    <w:rsid w:val="00C171A7"/>
    <w:rsid w:val="00C17602"/>
    <w:rsid w:val="00C21DEA"/>
    <w:rsid w:val="00C21E27"/>
    <w:rsid w:val="00C22E8B"/>
    <w:rsid w:val="00C2332A"/>
    <w:rsid w:val="00C23AB2"/>
    <w:rsid w:val="00C23C7C"/>
    <w:rsid w:val="00C24738"/>
    <w:rsid w:val="00C24A14"/>
    <w:rsid w:val="00C24C4B"/>
    <w:rsid w:val="00C257A7"/>
    <w:rsid w:val="00C3207D"/>
    <w:rsid w:val="00C32791"/>
    <w:rsid w:val="00C327FD"/>
    <w:rsid w:val="00C32ABB"/>
    <w:rsid w:val="00C33677"/>
    <w:rsid w:val="00C337C0"/>
    <w:rsid w:val="00C341F6"/>
    <w:rsid w:val="00C356F6"/>
    <w:rsid w:val="00C36AB3"/>
    <w:rsid w:val="00C400D3"/>
    <w:rsid w:val="00C41AEA"/>
    <w:rsid w:val="00C41D5E"/>
    <w:rsid w:val="00C41E25"/>
    <w:rsid w:val="00C42EA5"/>
    <w:rsid w:val="00C436C2"/>
    <w:rsid w:val="00C43B75"/>
    <w:rsid w:val="00C4419C"/>
    <w:rsid w:val="00C442A3"/>
    <w:rsid w:val="00C4609D"/>
    <w:rsid w:val="00C477F8"/>
    <w:rsid w:val="00C505D1"/>
    <w:rsid w:val="00C52C07"/>
    <w:rsid w:val="00C53016"/>
    <w:rsid w:val="00C54166"/>
    <w:rsid w:val="00C571AE"/>
    <w:rsid w:val="00C57254"/>
    <w:rsid w:val="00C57DC4"/>
    <w:rsid w:val="00C57F7F"/>
    <w:rsid w:val="00C60775"/>
    <w:rsid w:val="00C60F2B"/>
    <w:rsid w:val="00C62BF5"/>
    <w:rsid w:val="00C636DA"/>
    <w:rsid w:val="00C64470"/>
    <w:rsid w:val="00C649BA"/>
    <w:rsid w:val="00C659B8"/>
    <w:rsid w:val="00C67E22"/>
    <w:rsid w:val="00C70264"/>
    <w:rsid w:val="00C706D6"/>
    <w:rsid w:val="00C72271"/>
    <w:rsid w:val="00C7268E"/>
    <w:rsid w:val="00C72900"/>
    <w:rsid w:val="00C72A17"/>
    <w:rsid w:val="00C733A3"/>
    <w:rsid w:val="00C74DA2"/>
    <w:rsid w:val="00C765FC"/>
    <w:rsid w:val="00C8093B"/>
    <w:rsid w:val="00C80AA1"/>
    <w:rsid w:val="00C81356"/>
    <w:rsid w:val="00C813CD"/>
    <w:rsid w:val="00C82269"/>
    <w:rsid w:val="00C82398"/>
    <w:rsid w:val="00C8270C"/>
    <w:rsid w:val="00C85041"/>
    <w:rsid w:val="00C858D9"/>
    <w:rsid w:val="00C85A1F"/>
    <w:rsid w:val="00C86777"/>
    <w:rsid w:val="00C87DA0"/>
    <w:rsid w:val="00C90F3D"/>
    <w:rsid w:val="00C9271D"/>
    <w:rsid w:val="00C93397"/>
    <w:rsid w:val="00C97BDA"/>
    <w:rsid w:val="00C97FB2"/>
    <w:rsid w:val="00CA04E3"/>
    <w:rsid w:val="00CA0C09"/>
    <w:rsid w:val="00CA0F4D"/>
    <w:rsid w:val="00CA1147"/>
    <w:rsid w:val="00CA2586"/>
    <w:rsid w:val="00CA35DC"/>
    <w:rsid w:val="00CA4E4D"/>
    <w:rsid w:val="00CA54C9"/>
    <w:rsid w:val="00CA5AAB"/>
    <w:rsid w:val="00CA6570"/>
    <w:rsid w:val="00CA6FF9"/>
    <w:rsid w:val="00CA7BD0"/>
    <w:rsid w:val="00CA7C90"/>
    <w:rsid w:val="00CB245A"/>
    <w:rsid w:val="00CB283E"/>
    <w:rsid w:val="00CB4238"/>
    <w:rsid w:val="00CB50EF"/>
    <w:rsid w:val="00CB5938"/>
    <w:rsid w:val="00CB5B27"/>
    <w:rsid w:val="00CB5BF6"/>
    <w:rsid w:val="00CB5CD7"/>
    <w:rsid w:val="00CB684F"/>
    <w:rsid w:val="00CB719F"/>
    <w:rsid w:val="00CC0CE3"/>
    <w:rsid w:val="00CC0D49"/>
    <w:rsid w:val="00CC13F5"/>
    <w:rsid w:val="00CC1551"/>
    <w:rsid w:val="00CC1A64"/>
    <w:rsid w:val="00CC2F75"/>
    <w:rsid w:val="00CC34EB"/>
    <w:rsid w:val="00CC433A"/>
    <w:rsid w:val="00CC439A"/>
    <w:rsid w:val="00CC5A07"/>
    <w:rsid w:val="00CC5F85"/>
    <w:rsid w:val="00CC66EA"/>
    <w:rsid w:val="00CD043C"/>
    <w:rsid w:val="00CD287F"/>
    <w:rsid w:val="00CD2A49"/>
    <w:rsid w:val="00CD3910"/>
    <w:rsid w:val="00CD3C17"/>
    <w:rsid w:val="00CD436F"/>
    <w:rsid w:val="00CD43AC"/>
    <w:rsid w:val="00CD4A91"/>
    <w:rsid w:val="00CD4B66"/>
    <w:rsid w:val="00CD5304"/>
    <w:rsid w:val="00CD5DC6"/>
    <w:rsid w:val="00CE1F9C"/>
    <w:rsid w:val="00CE2821"/>
    <w:rsid w:val="00CE2D66"/>
    <w:rsid w:val="00CE2E48"/>
    <w:rsid w:val="00CE36E0"/>
    <w:rsid w:val="00CE392F"/>
    <w:rsid w:val="00CE4413"/>
    <w:rsid w:val="00CE5265"/>
    <w:rsid w:val="00CE6FF9"/>
    <w:rsid w:val="00CE7826"/>
    <w:rsid w:val="00CF0184"/>
    <w:rsid w:val="00CF0519"/>
    <w:rsid w:val="00CF126C"/>
    <w:rsid w:val="00CF2AF2"/>
    <w:rsid w:val="00CF3AE6"/>
    <w:rsid w:val="00CF3D27"/>
    <w:rsid w:val="00CF55F6"/>
    <w:rsid w:val="00CF59E0"/>
    <w:rsid w:val="00CF6672"/>
    <w:rsid w:val="00CF6814"/>
    <w:rsid w:val="00D00CF7"/>
    <w:rsid w:val="00D00FE6"/>
    <w:rsid w:val="00D01FD2"/>
    <w:rsid w:val="00D021F7"/>
    <w:rsid w:val="00D028A3"/>
    <w:rsid w:val="00D06416"/>
    <w:rsid w:val="00D069C7"/>
    <w:rsid w:val="00D07112"/>
    <w:rsid w:val="00D07504"/>
    <w:rsid w:val="00D078A2"/>
    <w:rsid w:val="00D07FA1"/>
    <w:rsid w:val="00D11F9B"/>
    <w:rsid w:val="00D12603"/>
    <w:rsid w:val="00D12903"/>
    <w:rsid w:val="00D1316E"/>
    <w:rsid w:val="00D136FB"/>
    <w:rsid w:val="00D15E4C"/>
    <w:rsid w:val="00D15EFD"/>
    <w:rsid w:val="00D178AD"/>
    <w:rsid w:val="00D21123"/>
    <w:rsid w:val="00D23029"/>
    <w:rsid w:val="00D23C41"/>
    <w:rsid w:val="00D2516E"/>
    <w:rsid w:val="00D25205"/>
    <w:rsid w:val="00D2622B"/>
    <w:rsid w:val="00D26BB7"/>
    <w:rsid w:val="00D26ED1"/>
    <w:rsid w:val="00D31289"/>
    <w:rsid w:val="00D3198C"/>
    <w:rsid w:val="00D31CD7"/>
    <w:rsid w:val="00D337F6"/>
    <w:rsid w:val="00D348D5"/>
    <w:rsid w:val="00D34BC1"/>
    <w:rsid w:val="00D34E3D"/>
    <w:rsid w:val="00D367EB"/>
    <w:rsid w:val="00D36C91"/>
    <w:rsid w:val="00D40150"/>
    <w:rsid w:val="00D41871"/>
    <w:rsid w:val="00D42174"/>
    <w:rsid w:val="00D4263C"/>
    <w:rsid w:val="00D426A0"/>
    <w:rsid w:val="00D44062"/>
    <w:rsid w:val="00D44772"/>
    <w:rsid w:val="00D44B4E"/>
    <w:rsid w:val="00D45954"/>
    <w:rsid w:val="00D45F1B"/>
    <w:rsid w:val="00D461C2"/>
    <w:rsid w:val="00D466BB"/>
    <w:rsid w:val="00D478F9"/>
    <w:rsid w:val="00D50D36"/>
    <w:rsid w:val="00D54FD4"/>
    <w:rsid w:val="00D5646F"/>
    <w:rsid w:val="00D60DA2"/>
    <w:rsid w:val="00D61AAE"/>
    <w:rsid w:val="00D61E79"/>
    <w:rsid w:val="00D627ED"/>
    <w:rsid w:val="00D62E1F"/>
    <w:rsid w:val="00D649D1"/>
    <w:rsid w:val="00D64CB8"/>
    <w:rsid w:val="00D64E6D"/>
    <w:rsid w:val="00D66EAD"/>
    <w:rsid w:val="00D71836"/>
    <w:rsid w:val="00D720AE"/>
    <w:rsid w:val="00D72BC8"/>
    <w:rsid w:val="00D72FD8"/>
    <w:rsid w:val="00D73A8F"/>
    <w:rsid w:val="00D7439D"/>
    <w:rsid w:val="00D76C8A"/>
    <w:rsid w:val="00D76E4C"/>
    <w:rsid w:val="00D7732D"/>
    <w:rsid w:val="00D773C2"/>
    <w:rsid w:val="00D80FA8"/>
    <w:rsid w:val="00D82A14"/>
    <w:rsid w:val="00D83360"/>
    <w:rsid w:val="00D84488"/>
    <w:rsid w:val="00D84B05"/>
    <w:rsid w:val="00D8645E"/>
    <w:rsid w:val="00D87B42"/>
    <w:rsid w:val="00D90CDF"/>
    <w:rsid w:val="00D90E73"/>
    <w:rsid w:val="00D91302"/>
    <w:rsid w:val="00D91815"/>
    <w:rsid w:val="00D92A45"/>
    <w:rsid w:val="00D94660"/>
    <w:rsid w:val="00D95817"/>
    <w:rsid w:val="00D95997"/>
    <w:rsid w:val="00D9697A"/>
    <w:rsid w:val="00D96994"/>
    <w:rsid w:val="00D9717C"/>
    <w:rsid w:val="00DA1210"/>
    <w:rsid w:val="00DA1C6B"/>
    <w:rsid w:val="00DA3023"/>
    <w:rsid w:val="00DA47B8"/>
    <w:rsid w:val="00DA4C48"/>
    <w:rsid w:val="00DA5BED"/>
    <w:rsid w:val="00DA61A9"/>
    <w:rsid w:val="00DA64B8"/>
    <w:rsid w:val="00DA727D"/>
    <w:rsid w:val="00DA72E4"/>
    <w:rsid w:val="00DA7F3D"/>
    <w:rsid w:val="00DB1A93"/>
    <w:rsid w:val="00DB2772"/>
    <w:rsid w:val="00DB2A24"/>
    <w:rsid w:val="00DB3540"/>
    <w:rsid w:val="00DB3891"/>
    <w:rsid w:val="00DB4D70"/>
    <w:rsid w:val="00DB505E"/>
    <w:rsid w:val="00DB52B1"/>
    <w:rsid w:val="00DB5377"/>
    <w:rsid w:val="00DB53A7"/>
    <w:rsid w:val="00DB6020"/>
    <w:rsid w:val="00DB62D7"/>
    <w:rsid w:val="00DB785C"/>
    <w:rsid w:val="00DB7B17"/>
    <w:rsid w:val="00DC0B2E"/>
    <w:rsid w:val="00DC35A2"/>
    <w:rsid w:val="00DC37A1"/>
    <w:rsid w:val="00DC62E8"/>
    <w:rsid w:val="00DC70A1"/>
    <w:rsid w:val="00DC7BF9"/>
    <w:rsid w:val="00DC7E1F"/>
    <w:rsid w:val="00DD00EB"/>
    <w:rsid w:val="00DD1631"/>
    <w:rsid w:val="00DD170F"/>
    <w:rsid w:val="00DD214B"/>
    <w:rsid w:val="00DD2866"/>
    <w:rsid w:val="00DD512E"/>
    <w:rsid w:val="00DD5C67"/>
    <w:rsid w:val="00DD696E"/>
    <w:rsid w:val="00DD7B5C"/>
    <w:rsid w:val="00DE0A8A"/>
    <w:rsid w:val="00DE0A98"/>
    <w:rsid w:val="00DE13D6"/>
    <w:rsid w:val="00DE145F"/>
    <w:rsid w:val="00DE1E8F"/>
    <w:rsid w:val="00DE48D7"/>
    <w:rsid w:val="00DE4A03"/>
    <w:rsid w:val="00DE50DA"/>
    <w:rsid w:val="00DE696C"/>
    <w:rsid w:val="00DE6F6E"/>
    <w:rsid w:val="00DE7139"/>
    <w:rsid w:val="00DF155B"/>
    <w:rsid w:val="00DF2F8B"/>
    <w:rsid w:val="00DF4034"/>
    <w:rsid w:val="00DF59D2"/>
    <w:rsid w:val="00DF6513"/>
    <w:rsid w:val="00DF6837"/>
    <w:rsid w:val="00DF68E4"/>
    <w:rsid w:val="00DF6E54"/>
    <w:rsid w:val="00DF7E44"/>
    <w:rsid w:val="00E00517"/>
    <w:rsid w:val="00E016B0"/>
    <w:rsid w:val="00E023E8"/>
    <w:rsid w:val="00E02BA5"/>
    <w:rsid w:val="00E03339"/>
    <w:rsid w:val="00E04228"/>
    <w:rsid w:val="00E04457"/>
    <w:rsid w:val="00E04BBC"/>
    <w:rsid w:val="00E07506"/>
    <w:rsid w:val="00E10450"/>
    <w:rsid w:val="00E1138B"/>
    <w:rsid w:val="00E11B9C"/>
    <w:rsid w:val="00E11BF9"/>
    <w:rsid w:val="00E11E9F"/>
    <w:rsid w:val="00E137FE"/>
    <w:rsid w:val="00E1478E"/>
    <w:rsid w:val="00E14A38"/>
    <w:rsid w:val="00E15025"/>
    <w:rsid w:val="00E159D7"/>
    <w:rsid w:val="00E16ED8"/>
    <w:rsid w:val="00E1706F"/>
    <w:rsid w:val="00E17389"/>
    <w:rsid w:val="00E17B01"/>
    <w:rsid w:val="00E17B72"/>
    <w:rsid w:val="00E20828"/>
    <w:rsid w:val="00E2111C"/>
    <w:rsid w:val="00E213AB"/>
    <w:rsid w:val="00E21653"/>
    <w:rsid w:val="00E21C9B"/>
    <w:rsid w:val="00E2414E"/>
    <w:rsid w:val="00E25B12"/>
    <w:rsid w:val="00E261FD"/>
    <w:rsid w:val="00E26830"/>
    <w:rsid w:val="00E26B66"/>
    <w:rsid w:val="00E26FAF"/>
    <w:rsid w:val="00E27BD5"/>
    <w:rsid w:val="00E27EB5"/>
    <w:rsid w:val="00E30CFB"/>
    <w:rsid w:val="00E320CD"/>
    <w:rsid w:val="00E367F8"/>
    <w:rsid w:val="00E37419"/>
    <w:rsid w:val="00E375E6"/>
    <w:rsid w:val="00E401CE"/>
    <w:rsid w:val="00E40408"/>
    <w:rsid w:val="00E40B36"/>
    <w:rsid w:val="00E4376B"/>
    <w:rsid w:val="00E46526"/>
    <w:rsid w:val="00E5016D"/>
    <w:rsid w:val="00E51672"/>
    <w:rsid w:val="00E51B17"/>
    <w:rsid w:val="00E522FC"/>
    <w:rsid w:val="00E54CE9"/>
    <w:rsid w:val="00E54D65"/>
    <w:rsid w:val="00E55181"/>
    <w:rsid w:val="00E55EE5"/>
    <w:rsid w:val="00E602DE"/>
    <w:rsid w:val="00E61547"/>
    <w:rsid w:val="00E61784"/>
    <w:rsid w:val="00E6241F"/>
    <w:rsid w:val="00E625B3"/>
    <w:rsid w:val="00E6418D"/>
    <w:rsid w:val="00E64743"/>
    <w:rsid w:val="00E6590C"/>
    <w:rsid w:val="00E665B9"/>
    <w:rsid w:val="00E6749E"/>
    <w:rsid w:val="00E70B2C"/>
    <w:rsid w:val="00E710DF"/>
    <w:rsid w:val="00E71A47"/>
    <w:rsid w:val="00E71BE9"/>
    <w:rsid w:val="00E7257D"/>
    <w:rsid w:val="00E728CB"/>
    <w:rsid w:val="00E7336F"/>
    <w:rsid w:val="00E74B46"/>
    <w:rsid w:val="00E74F3B"/>
    <w:rsid w:val="00E76262"/>
    <w:rsid w:val="00E813B0"/>
    <w:rsid w:val="00E81EB3"/>
    <w:rsid w:val="00E82B92"/>
    <w:rsid w:val="00E838FB"/>
    <w:rsid w:val="00E83E44"/>
    <w:rsid w:val="00E84A6B"/>
    <w:rsid w:val="00E90371"/>
    <w:rsid w:val="00E92385"/>
    <w:rsid w:val="00E92895"/>
    <w:rsid w:val="00E92A8D"/>
    <w:rsid w:val="00E93F74"/>
    <w:rsid w:val="00E945CA"/>
    <w:rsid w:val="00E95147"/>
    <w:rsid w:val="00E95DC4"/>
    <w:rsid w:val="00E96DEA"/>
    <w:rsid w:val="00EA0ADB"/>
    <w:rsid w:val="00EA1585"/>
    <w:rsid w:val="00EA48AE"/>
    <w:rsid w:val="00EA49B4"/>
    <w:rsid w:val="00EB0503"/>
    <w:rsid w:val="00EB065D"/>
    <w:rsid w:val="00EB09E2"/>
    <w:rsid w:val="00EB0AFA"/>
    <w:rsid w:val="00EB1755"/>
    <w:rsid w:val="00EB24B4"/>
    <w:rsid w:val="00EB252C"/>
    <w:rsid w:val="00EB608B"/>
    <w:rsid w:val="00EB650F"/>
    <w:rsid w:val="00EB73EA"/>
    <w:rsid w:val="00EB74A5"/>
    <w:rsid w:val="00EB7C83"/>
    <w:rsid w:val="00EB7F79"/>
    <w:rsid w:val="00EC1CC6"/>
    <w:rsid w:val="00EC7294"/>
    <w:rsid w:val="00ED170A"/>
    <w:rsid w:val="00ED26C4"/>
    <w:rsid w:val="00ED2F36"/>
    <w:rsid w:val="00ED3483"/>
    <w:rsid w:val="00ED39EE"/>
    <w:rsid w:val="00ED560D"/>
    <w:rsid w:val="00ED6A73"/>
    <w:rsid w:val="00ED6B35"/>
    <w:rsid w:val="00EE0126"/>
    <w:rsid w:val="00EE0C89"/>
    <w:rsid w:val="00EE4123"/>
    <w:rsid w:val="00EE4595"/>
    <w:rsid w:val="00EE47FE"/>
    <w:rsid w:val="00EE50C6"/>
    <w:rsid w:val="00EE5D41"/>
    <w:rsid w:val="00EE766D"/>
    <w:rsid w:val="00EF2A15"/>
    <w:rsid w:val="00EF2A3F"/>
    <w:rsid w:val="00EF5BFD"/>
    <w:rsid w:val="00EF5F83"/>
    <w:rsid w:val="00EF6A89"/>
    <w:rsid w:val="00EF7B33"/>
    <w:rsid w:val="00F00470"/>
    <w:rsid w:val="00F01C6F"/>
    <w:rsid w:val="00F01E86"/>
    <w:rsid w:val="00F0211F"/>
    <w:rsid w:val="00F02146"/>
    <w:rsid w:val="00F02E93"/>
    <w:rsid w:val="00F03145"/>
    <w:rsid w:val="00F042D7"/>
    <w:rsid w:val="00F04659"/>
    <w:rsid w:val="00F04687"/>
    <w:rsid w:val="00F0509B"/>
    <w:rsid w:val="00F060E6"/>
    <w:rsid w:val="00F06B59"/>
    <w:rsid w:val="00F06EE2"/>
    <w:rsid w:val="00F074DC"/>
    <w:rsid w:val="00F07653"/>
    <w:rsid w:val="00F10930"/>
    <w:rsid w:val="00F10F5E"/>
    <w:rsid w:val="00F119D9"/>
    <w:rsid w:val="00F11E1E"/>
    <w:rsid w:val="00F12182"/>
    <w:rsid w:val="00F143A4"/>
    <w:rsid w:val="00F151C5"/>
    <w:rsid w:val="00F15632"/>
    <w:rsid w:val="00F161EB"/>
    <w:rsid w:val="00F165BD"/>
    <w:rsid w:val="00F16B61"/>
    <w:rsid w:val="00F17535"/>
    <w:rsid w:val="00F20949"/>
    <w:rsid w:val="00F215B7"/>
    <w:rsid w:val="00F217E2"/>
    <w:rsid w:val="00F226F9"/>
    <w:rsid w:val="00F2290E"/>
    <w:rsid w:val="00F24679"/>
    <w:rsid w:val="00F24F8F"/>
    <w:rsid w:val="00F253E1"/>
    <w:rsid w:val="00F26822"/>
    <w:rsid w:val="00F27135"/>
    <w:rsid w:val="00F303B2"/>
    <w:rsid w:val="00F307E0"/>
    <w:rsid w:val="00F30AEE"/>
    <w:rsid w:val="00F314EB"/>
    <w:rsid w:val="00F3301E"/>
    <w:rsid w:val="00F33F42"/>
    <w:rsid w:val="00F34D63"/>
    <w:rsid w:val="00F36D76"/>
    <w:rsid w:val="00F3708D"/>
    <w:rsid w:val="00F37B22"/>
    <w:rsid w:val="00F40CF7"/>
    <w:rsid w:val="00F40E24"/>
    <w:rsid w:val="00F449AB"/>
    <w:rsid w:val="00F4697E"/>
    <w:rsid w:val="00F50819"/>
    <w:rsid w:val="00F50946"/>
    <w:rsid w:val="00F50B55"/>
    <w:rsid w:val="00F51747"/>
    <w:rsid w:val="00F54EE7"/>
    <w:rsid w:val="00F54F64"/>
    <w:rsid w:val="00F57DD9"/>
    <w:rsid w:val="00F57F7A"/>
    <w:rsid w:val="00F602EB"/>
    <w:rsid w:val="00F60CFF"/>
    <w:rsid w:val="00F61383"/>
    <w:rsid w:val="00F62210"/>
    <w:rsid w:val="00F62C6E"/>
    <w:rsid w:val="00F62D33"/>
    <w:rsid w:val="00F62D99"/>
    <w:rsid w:val="00F64AB3"/>
    <w:rsid w:val="00F6570B"/>
    <w:rsid w:val="00F6644E"/>
    <w:rsid w:val="00F66C57"/>
    <w:rsid w:val="00F66D7E"/>
    <w:rsid w:val="00F66E60"/>
    <w:rsid w:val="00F66F65"/>
    <w:rsid w:val="00F67263"/>
    <w:rsid w:val="00F672D2"/>
    <w:rsid w:val="00F67615"/>
    <w:rsid w:val="00F70EF4"/>
    <w:rsid w:val="00F7510E"/>
    <w:rsid w:val="00F75335"/>
    <w:rsid w:val="00F764BA"/>
    <w:rsid w:val="00F76C98"/>
    <w:rsid w:val="00F76D49"/>
    <w:rsid w:val="00F7786F"/>
    <w:rsid w:val="00F77B49"/>
    <w:rsid w:val="00F804CD"/>
    <w:rsid w:val="00F80750"/>
    <w:rsid w:val="00F8149F"/>
    <w:rsid w:val="00F81B88"/>
    <w:rsid w:val="00F81C62"/>
    <w:rsid w:val="00F81C88"/>
    <w:rsid w:val="00F82A02"/>
    <w:rsid w:val="00F82A1E"/>
    <w:rsid w:val="00F833AF"/>
    <w:rsid w:val="00F833E2"/>
    <w:rsid w:val="00F84463"/>
    <w:rsid w:val="00F85479"/>
    <w:rsid w:val="00F85C7E"/>
    <w:rsid w:val="00F85F59"/>
    <w:rsid w:val="00F86538"/>
    <w:rsid w:val="00F86717"/>
    <w:rsid w:val="00F86DD4"/>
    <w:rsid w:val="00F903A2"/>
    <w:rsid w:val="00F92AA1"/>
    <w:rsid w:val="00F9351A"/>
    <w:rsid w:val="00F94768"/>
    <w:rsid w:val="00F9523A"/>
    <w:rsid w:val="00F97C7A"/>
    <w:rsid w:val="00FA03F5"/>
    <w:rsid w:val="00FA223C"/>
    <w:rsid w:val="00FA2909"/>
    <w:rsid w:val="00FA2AFA"/>
    <w:rsid w:val="00FA3CEC"/>
    <w:rsid w:val="00FA4766"/>
    <w:rsid w:val="00FA5217"/>
    <w:rsid w:val="00FA6631"/>
    <w:rsid w:val="00FA6EAD"/>
    <w:rsid w:val="00FA7152"/>
    <w:rsid w:val="00FB0879"/>
    <w:rsid w:val="00FB0E06"/>
    <w:rsid w:val="00FB1623"/>
    <w:rsid w:val="00FB1957"/>
    <w:rsid w:val="00FB1CDE"/>
    <w:rsid w:val="00FB2394"/>
    <w:rsid w:val="00FB499F"/>
    <w:rsid w:val="00FB4CF2"/>
    <w:rsid w:val="00FB4F6C"/>
    <w:rsid w:val="00FC0F49"/>
    <w:rsid w:val="00FC3956"/>
    <w:rsid w:val="00FC4845"/>
    <w:rsid w:val="00FC504B"/>
    <w:rsid w:val="00FC5644"/>
    <w:rsid w:val="00FC6386"/>
    <w:rsid w:val="00FC647F"/>
    <w:rsid w:val="00FC6B03"/>
    <w:rsid w:val="00FC6D1D"/>
    <w:rsid w:val="00FC7027"/>
    <w:rsid w:val="00FC7121"/>
    <w:rsid w:val="00FD06D5"/>
    <w:rsid w:val="00FD0EC2"/>
    <w:rsid w:val="00FD28FF"/>
    <w:rsid w:val="00FD3B7B"/>
    <w:rsid w:val="00FD6836"/>
    <w:rsid w:val="00FD68A1"/>
    <w:rsid w:val="00FD6BEA"/>
    <w:rsid w:val="00FD79CA"/>
    <w:rsid w:val="00FD7FC5"/>
    <w:rsid w:val="00FE24AB"/>
    <w:rsid w:val="00FE2AEA"/>
    <w:rsid w:val="00FE3349"/>
    <w:rsid w:val="00FE36F7"/>
    <w:rsid w:val="00FE4153"/>
    <w:rsid w:val="00FE419E"/>
    <w:rsid w:val="00FE4882"/>
    <w:rsid w:val="00FE52BA"/>
    <w:rsid w:val="00FE6B8F"/>
    <w:rsid w:val="00FE71D2"/>
    <w:rsid w:val="00FE7A17"/>
    <w:rsid w:val="00FF10C1"/>
    <w:rsid w:val="00FF1E63"/>
    <w:rsid w:val="00FF1E9C"/>
    <w:rsid w:val="00FF20FE"/>
    <w:rsid w:val="00FF2484"/>
    <w:rsid w:val="00FF2781"/>
    <w:rsid w:val="00FF2948"/>
    <w:rsid w:val="00FF368A"/>
    <w:rsid w:val="00FF4201"/>
    <w:rsid w:val="00FF4322"/>
    <w:rsid w:val="00FF465F"/>
    <w:rsid w:val="00FF4E4F"/>
    <w:rsid w:val="00FF67A6"/>
    <w:rsid w:val="00FF686A"/>
    <w:rsid w:val="00FF7AD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DC13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4"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iPriority="0"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qFormat="1"/>
    <w:lsdException w:name="Closing" w:semiHidden="1" w:unhideWhenUsed="1"/>
    <w:lsdException w:name="Signature" w:semiHidden="1" w:uiPriority="29"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023E8"/>
    <w:pPr>
      <w:jc w:val="left"/>
    </w:pPr>
    <w:rPr>
      <w:rFonts w:asciiTheme="minorHAnsi" w:hAnsiTheme="minorHAnsi"/>
      <w:color w:val="auto"/>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16"/>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0"/>
    <w:qFormat/>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0"/>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B0592B"/>
    <w:pPr>
      <w:tabs>
        <w:tab w:val="left" w:pos="851"/>
        <w:tab w:val="right" w:pos="9027"/>
      </w:tabs>
      <w:ind w:left="851" w:hanging="851"/>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7013E"/>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eastAsiaTheme="minorEastAsia"/>
      <w:i/>
      <w:iCs/>
      <w:color w:val="012169" w:themeColor="accent1"/>
    </w:rPr>
  </w:style>
  <w:style w:type="paragraph" w:styleId="BodyText">
    <w:name w:val="Body Text"/>
    <w:basedOn w:val="Normal"/>
    <w:link w:val="BodyTextChar"/>
    <w:unhideWhenUsed/>
    <w:qFormat/>
    <w:locked/>
    <w:rsid w:val="00F80750"/>
  </w:style>
  <w:style w:type="character" w:customStyle="1" w:styleId="BodyTextChar">
    <w:name w:val="Body Text Char"/>
    <w:basedOn w:val="DefaultParagraphFont"/>
    <w:link w:val="BodyText"/>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pPr>
  </w:style>
  <w:style w:type="paragraph" w:customStyle="1" w:styleId="Postscript">
    <w:name w:val="Postscript"/>
    <w:basedOn w:val="Normal"/>
    <w:uiPriority w:val="19"/>
    <w:qFormat/>
    <w:rsid w:val="00B40B7D"/>
    <w:rPr>
      <w:sz w:val="20"/>
    </w:rPr>
  </w:style>
  <w:style w:type="paragraph" w:styleId="Revision">
    <w:name w:val="Revision"/>
    <w:hidden/>
    <w:uiPriority w:val="99"/>
    <w:semiHidden/>
    <w:rsid w:val="00693D1C"/>
    <w:pPr>
      <w:spacing w:after="0"/>
      <w:jc w:val="left"/>
    </w:pPr>
    <w:rPr>
      <w:rFonts w:asciiTheme="minorHAnsi" w:hAnsiTheme="minorHAnsi"/>
      <w:color w:val="auto"/>
    </w:rPr>
  </w:style>
  <w:style w:type="table" w:styleId="GridTable1Light">
    <w:name w:val="Grid Table 1 Light"/>
    <w:basedOn w:val="TableNormal"/>
    <w:uiPriority w:val="46"/>
    <w:locked/>
    <w:rsid w:val="00CD436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ocument-linklabel">
    <w:name w:val="document-link__label"/>
    <w:basedOn w:val="DefaultParagraphFont"/>
    <w:rsid w:val="00C171A7"/>
  </w:style>
  <w:style w:type="character" w:customStyle="1" w:styleId="BulletChar">
    <w:name w:val="Bullet Char"/>
    <w:aliases w:val="b Char,b + line Char Char,b Char Char"/>
    <w:basedOn w:val="DefaultParagraphFont"/>
    <w:link w:val="Bullet"/>
    <w:locked/>
    <w:rsid w:val="006C49DB"/>
    <w:rPr>
      <w:sz w:val="24"/>
      <w:szCs w:val="23"/>
    </w:rPr>
  </w:style>
  <w:style w:type="paragraph" w:customStyle="1" w:styleId="Bullet">
    <w:name w:val="Bullet"/>
    <w:aliases w:val="b,b1,b + line,Body,level 1"/>
    <w:basedOn w:val="Normal"/>
    <w:link w:val="BulletChar"/>
    <w:qFormat/>
    <w:rsid w:val="006C49DB"/>
    <w:pPr>
      <w:numPr>
        <w:numId w:val="19"/>
      </w:numPr>
      <w:spacing w:before="240" w:after="120"/>
    </w:pPr>
    <w:rPr>
      <w:rFonts w:ascii="Arial" w:hAnsi="Arial"/>
      <w:color w:val="000000"/>
      <w:sz w:val="24"/>
      <w:szCs w:val="23"/>
    </w:rPr>
  </w:style>
  <w:style w:type="paragraph" w:customStyle="1" w:styleId="Dash">
    <w:name w:val="Dash"/>
    <w:basedOn w:val="Normal"/>
    <w:rsid w:val="006C49DB"/>
    <w:pPr>
      <w:numPr>
        <w:ilvl w:val="1"/>
        <w:numId w:val="20"/>
      </w:numPr>
      <w:spacing w:before="240" w:after="120"/>
    </w:pPr>
    <w:rPr>
      <w:rFonts w:ascii="Times New Roman" w:eastAsia="Times New Roman" w:hAnsi="Times New Roman" w:cs="Times New Roman"/>
      <w:sz w:val="24"/>
      <w:szCs w:val="23"/>
      <w:lang w:eastAsia="en-AU"/>
    </w:rPr>
  </w:style>
  <w:style w:type="paragraph" w:customStyle="1" w:styleId="DoubleDot">
    <w:name w:val="Double Dot"/>
    <w:basedOn w:val="Normal"/>
    <w:rsid w:val="006C49DB"/>
    <w:pPr>
      <w:numPr>
        <w:ilvl w:val="2"/>
        <w:numId w:val="20"/>
      </w:numPr>
      <w:spacing w:before="240" w:after="120"/>
    </w:pPr>
    <w:rPr>
      <w:rFonts w:ascii="Times New Roman" w:eastAsia="Times New Roman" w:hAnsi="Times New Roman" w:cs="Times New Roman"/>
      <w:sz w:val="24"/>
      <w:szCs w:val="23"/>
      <w:lang w:eastAsia="en-AU"/>
    </w:rPr>
  </w:style>
  <w:style w:type="table" w:styleId="PlainTable1">
    <w:name w:val="Plain Table 1"/>
    <w:basedOn w:val="TableNormal"/>
    <w:uiPriority w:val="41"/>
    <w:locked/>
    <w:rsid w:val="00582A6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locked/>
    <w:rsid w:val="00FC7121"/>
    <w:pPr>
      <w:spacing w:after="0"/>
    </w:pPr>
    <w:tblPr>
      <w:tblStyleRowBandSize w:val="1"/>
      <w:tblStyleColBandSize w:val="1"/>
      <w:tblBorders>
        <w:top w:val="single" w:sz="4" w:space="0" w:color="0E57FC" w:themeColor="accent1" w:themeTint="99"/>
        <w:left w:val="single" w:sz="4" w:space="0" w:color="0E57FC" w:themeColor="accent1" w:themeTint="99"/>
        <w:bottom w:val="single" w:sz="4" w:space="0" w:color="0E57FC" w:themeColor="accent1" w:themeTint="99"/>
        <w:right w:val="single" w:sz="4" w:space="0" w:color="0E57FC" w:themeColor="accent1" w:themeTint="99"/>
        <w:insideH w:val="single" w:sz="4" w:space="0" w:color="0E57FC" w:themeColor="accent1" w:themeTint="99"/>
        <w:insideV w:val="single" w:sz="4" w:space="0" w:color="0E57FC" w:themeColor="accent1" w:themeTint="99"/>
      </w:tblBorders>
    </w:tblPr>
    <w:tblStylePr w:type="firstRow">
      <w:rPr>
        <w:b/>
        <w:bCs/>
        <w:color w:val="FFFFFF" w:themeColor="background1"/>
      </w:rPr>
      <w:tblPr/>
      <w:tcPr>
        <w:tcBorders>
          <w:top w:val="single" w:sz="4" w:space="0" w:color="012169" w:themeColor="accent1"/>
          <w:left w:val="single" w:sz="4" w:space="0" w:color="012169" w:themeColor="accent1"/>
          <w:bottom w:val="single" w:sz="4" w:space="0" w:color="012169" w:themeColor="accent1"/>
          <w:right w:val="single" w:sz="4" w:space="0" w:color="012169" w:themeColor="accent1"/>
          <w:insideH w:val="nil"/>
          <w:insideV w:val="nil"/>
        </w:tcBorders>
        <w:shd w:val="clear" w:color="auto" w:fill="012169" w:themeFill="accent1"/>
      </w:tcPr>
    </w:tblStylePr>
    <w:tblStylePr w:type="lastRow">
      <w:rPr>
        <w:b/>
        <w:bCs/>
      </w:rPr>
      <w:tblPr/>
      <w:tcPr>
        <w:tcBorders>
          <w:top w:val="double" w:sz="4" w:space="0" w:color="012169" w:themeColor="accent1"/>
        </w:tcBorders>
      </w:tcPr>
    </w:tblStylePr>
    <w:tblStylePr w:type="firstCol">
      <w:rPr>
        <w:b/>
        <w:bCs/>
      </w:rPr>
    </w:tblStylePr>
    <w:tblStylePr w:type="lastCol">
      <w:rPr>
        <w:b/>
        <w:bCs/>
      </w:rPr>
    </w:tblStylePr>
    <w:tblStylePr w:type="band1Vert">
      <w:tblPr/>
      <w:tcPr>
        <w:shd w:val="clear" w:color="auto" w:fill="AEC7FE" w:themeFill="accent1" w:themeFillTint="33"/>
      </w:tcPr>
    </w:tblStylePr>
    <w:tblStylePr w:type="band1Horz">
      <w:tblPr/>
      <w:tcPr>
        <w:shd w:val="clear" w:color="auto" w:fill="AEC7FE" w:themeFill="accent1" w:themeFillTint="33"/>
      </w:tcPr>
    </w:tblStylePr>
  </w:style>
  <w:style w:type="character" w:customStyle="1" w:styleId="UnresolvedMention1">
    <w:name w:val="Unresolved Mention1"/>
    <w:basedOn w:val="DefaultParagraphFont"/>
    <w:uiPriority w:val="99"/>
    <w:semiHidden/>
    <w:unhideWhenUsed/>
    <w:locked/>
    <w:rsid w:val="00A52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266">
      <w:bodyDiv w:val="1"/>
      <w:marLeft w:val="0"/>
      <w:marRight w:val="0"/>
      <w:marTop w:val="0"/>
      <w:marBottom w:val="0"/>
      <w:divBdr>
        <w:top w:val="none" w:sz="0" w:space="0" w:color="auto"/>
        <w:left w:val="none" w:sz="0" w:space="0" w:color="auto"/>
        <w:bottom w:val="none" w:sz="0" w:space="0" w:color="auto"/>
        <w:right w:val="none" w:sz="0" w:space="0" w:color="auto"/>
      </w:divBdr>
    </w:div>
    <w:div w:id="21175678">
      <w:bodyDiv w:val="1"/>
      <w:marLeft w:val="0"/>
      <w:marRight w:val="0"/>
      <w:marTop w:val="0"/>
      <w:marBottom w:val="0"/>
      <w:divBdr>
        <w:top w:val="none" w:sz="0" w:space="0" w:color="auto"/>
        <w:left w:val="none" w:sz="0" w:space="0" w:color="auto"/>
        <w:bottom w:val="none" w:sz="0" w:space="0" w:color="auto"/>
        <w:right w:val="none" w:sz="0" w:space="0" w:color="auto"/>
      </w:divBdr>
    </w:div>
    <w:div w:id="25915077">
      <w:bodyDiv w:val="1"/>
      <w:marLeft w:val="0"/>
      <w:marRight w:val="0"/>
      <w:marTop w:val="0"/>
      <w:marBottom w:val="0"/>
      <w:divBdr>
        <w:top w:val="none" w:sz="0" w:space="0" w:color="auto"/>
        <w:left w:val="none" w:sz="0" w:space="0" w:color="auto"/>
        <w:bottom w:val="none" w:sz="0" w:space="0" w:color="auto"/>
        <w:right w:val="none" w:sz="0" w:space="0" w:color="auto"/>
      </w:divBdr>
    </w:div>
    <w:div w:id="115608161">
      <w:bodyDiv w:val="1"/>
      <w:marLeft w:val="0"/>
      <w:marRight w:val="0"/>
      <w:marTop w:val="0"/>
      <w:marBottom w:val="0"/>
      <w:divBdr>
        <w:top w:val="none" w:sz="0" w:space="0" w:color="auto"/>
        <w:left w:val="none" w:sz="0" w:space="0" w:color="auto"/>
        <w:bottom w:val="none" w:sz="0" w:space="0" w:color="auto"/>
        <w:right w:val="none" w:sz="0" w:space="0" w:color="auto"/>
      </w:divBdr>
    </w:div>
    <w:div w:id="120152827">
      <w:bodyDiv w:val="1"/>
      <w:marLeft w:val="0"/>
      <w:marRight w:val="0"/>
      <w:marTop w:val="0"/>
      <w:marBottom w:val="0"/>
      <w:divBdr>
        <w:top w:val="none" w:sz="0" w:space="0" w:color="auto"/>
        <w:left w:val="none" w:sz="0" w:space="0" w:color="auto"/>
        <w:bottom w:val="none" w:sz="0" w:space="0" w:color="auto"/>
        <w:right w:val="none" w:sz="0" w:space="0" w:color="auto"/>
      </w:divBdr>
      <w:divsChild>
        <w:div w:id="1180658369">
          <w:marLeft w:val="0"/>
          <w:marRight w:val="0"/>
          <w:marTop w:val="0"/>
          <w:marBottom w:val="0"/>
          <w:divBdr>
            <w:top w:val="none" w:sz="0" w:space="0" w:color="auto"/>
            <w:left w:val="none" w:sz="0" w:space="0" w:color="auto"/>
            <w:bottom w:val="none" w:sz="0" w:space="0" w:color="auto"/>
            <w:right w:val="none" w:sz="0" w:space="0" w:color="auto"/>
          </w:divBdr>
          <w:divsChild>
            <w:div w:id="2021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38158017">
      <w:bodyDiv w:val="1"/>
      <w:marLeft w:val="0"/>
      <w:marRight w:val="0"/>
      <w:marTop w:val="0"/>
      <w:marBottom w:val="0"/>
      <w:divBdr>
        <w:top w:val="none" w:sz="0" w:space="0" w:color="auto"/>
        <w:left w:val="none" w:sz="0" w:space="0" w:color="auto"/>
        <w:bottom w:val="none" w:sz="0" w:space="0" w:color="auto"/>
        <w:right w:val="none" w:sz="0" w:space="0" w:color="auto"/>
      </w:divBdr>
    </w:div>
    <w:div w:id="208147090">
      <w:bodyDiv w:val="1"/>
      <w:marLeft w:val="0"/>
      <w:marRight w:val="0"/>
      <w:marTop w:val="0"/>
      <w:marBottom w:val="0"/>
      <w:divBdr>
        <w:top w:val="none" w:sz="0" w:space="0" w:color="auto"/>
        <w:left w:val="none" w:sz="0" w:space="0" w:color="auto"/>
        <w:bottom w:val="none" w:sz="0" w:space="0" w:color="auto"/>
        <w:right w:val="none" w:sz="0" w:space="0" w:color="auto"/>
      </w:divBdr>
    </w:div>
    <w:div w:id="224146822">
      <w:bodyDiv w:val="1"/>
      <w:marLeft w:val="0"/>
      <w:marRight w:val="0"/>
      <w:marTop w:val="0"/>
      <w:marBottom w:val="0"/>
      <w:divBdr>
        <w:top w:val="none" w:sz="0" w:space="0" w:color="auto"/>
        <w:left w:val="none" w:sz="0" w:space="0" w:color="auto"/>
        <w:bottom w:val="none" w:sz="0" w:space="0" w:color="auto"/>
        <w:right w:val="none" w:sz="0" w:space="0" w:color="auto"/>
      </w:divBdr>
    </w:div>
    <w:div w:id="241374777">
      <w:bodyDiv w:val="1"/>
      <w:marLeft w:val="0"/>
      <w:marRight w:val="0"/>
      <w:marTop w:val="0"/>
      <w:marBottom w:val="0"/>
      <w:divBdr>
        <w:top w:val="none" w:sz="0" w:space="0" w:color="auto"/>
        <w:left w:val="none" w:sz="0" w:space="0" w:color="auto"/>
        <w:bottom w:val="none" w:sz="0" w:space="0" w:color="auto"/>
        <w:right w:val="none" w:sz="0" w:space="0" w:color="auto"/>
      </w:divBdr>
    </w:div>
    <w:div w:id="279145082">
      <w:bodyDiv w:val="1"/>
      <w:marLeft w:val="0"/>
      <w:marRight w:val="0"/>
      <w:marTop w:val="0"/>
      <w:marBottom w:val="0"/>
      <w:divBdr>
        <w:top w:val="none" w:sz="0" w:space="0" w:color="auto"/>
        <w:left w:val="none" w:sz="0" w:space="0" w:color="auto"/>
        <w:bottom w:val="none" w:sz="0" w:space="0" w:color="auto"/>
        <w:right w:val="none" w:sz="0" w:space="0" w:color="auto"/>
      </w:divBdr>
    </w:div>
    <w:div w:id="327946130">
      <w:bodyDiv w:val="1"/>
      <w:marLeft w:val="0"/>
      <w:marRight w:val="0"/>
      <w:marTop w:val="0"/>
      <w:marBottom w:val="0"/>
      <w:divBdr>
        <w:top w:val="none" w:sz="0" w:space="0" w:color="auto"/>
        <w:left w:val="none" w:sz="0" w:space="0" w:color="auto"/>
        <w:bottom w:val="none" w:sz="0" w:space="0" w:color="auto"/>
        <w:right w:val="none" w:sz="0" w:space="0" w:color="auto"/>
      </w:divBdr>
    </w:div>
    <w:div w:id="391582208">
      <w:bodyDiv w:val="1"/>
      <w:marLeft w:val="0"/>
      <w:marRight w:val="0"/>
      <w:marTop w:val="0"/>
      <w:marBottom w:val="0"/>
      <w:divBdr>
        <w:top w:val="none" w:sz="0" w:space="0" w:color="auto"/>
        <w:left w:val="none" w:sz="0" w:space="0" w:color="auto"/>
        <w:bottom w:val="none" w:sz="0" w:space="0" w:color="auto"/>
        <w:right w:val="none" w:sz="0" w:space="0" w:color="auto"/>
      </w:divBdr>
    </w:div>
    <w:div w:id="438573232">
      <w:bodyDiv w:val="1"/>
      <w:marLeft w:val="0"/>
      <w:marRight w:val="0"/>
      <w:marTop w:val="0"/>
      <w:marBottom w:val="0"/>
      <w:divBdr>
        <w:top w:val="none" w:sz="0" w:space="0" w:color="auto"/>
        <w:left w:val="none" w:sz="0" w:space="0" w:color="auto"/>
        <w:bottom w:val="none" w:sz="0" w:space="0" w:color="auto"/>
        <w:right w:val="none" w:sz="0" w:space="0" w:color="auto"/>
      </w:divBdr>
    </w:div>
    <w:div w:id="616062842">
      <w:bodyDiv w:val="1"/>
      <w:marLeft w:val="0"/>
      <w:marRight w:val="0"/>
      <w:marTop w:val="0"/>
      <w:marBottom w:val="0"/>
      <w:divBdr>
        <w:top w:val="none" w:sz="0" w:space="0" w:color="auto"/>
        <w:left w:val="none" w:sz="0" w:space="0" w:color="auto"/>
        <w:bottom w:val="none" w:sz="0" w:space="0" w:color="auto"/>
        <w:right w:val="none" w:sz="0" w:space="0" w:color="auto"/>
      </w:divBdr>
    </w:div>
    <w:div w:id="624506794">
      <w:bodyDiv w:val="1"/>
      <w:marLeft w:val="0"/>
      <w:marRight w:val="0"/>
      <w:marTop w:val="0"/>
      <w:marBottom w:val="0"/>
      <w:divBdr>
        <w:top w:val="none" w:sz="0" w:space="0" w:color="auto"/>
        <w:left w:val="none" w:sz="0" w:space="0" w:color="auto"/>
        <w:bottom w:val="none" w:sz="0" w:space="0" w:color="auto"/>
        <w:right w:val="none" w:sz="0" w:space="0" w:color="auto"/>
      </w:divBdr>
    </w:div>
    <w:div w:id="693460981">
      <w:bodyDiv w:val="1"/>
      <w:marLeft w:val="0"/>
      <w:marRight w:val="0"/>
      <w:marTop w:val="0"/>
      <w:marBottom w:val="0"/>
      <w:divBdr>
        <w:top w:val="none" w:sz="0" w:space="0" w:color="auto"/>
        <w:left w:val="none" w:sz="0" w:space="0" w:color="auto"/>
        <w:bottom w:val="none" w:sz="0" w:space="0" w:color="auto"/>
        <w:right w:val="none" w:sz="0" w:space="0" w:color="auto"/>
      </w:divBdr>
    </w:div>
    <w:div w:id="704527565">
      <w:bodyDiv w:val="1"/>
      <w:marLeft w:val="0"/>
      <w:marRight w:val="0"/>
      <w:marTop w:val="0"/>
      <w:marBottom w:val="0"/>
      <w:divBdr>
        <w:top w:val="none" w:sz="0" w:space="0" w:color="auto"/>
        <w:left w:val="none" w:sz="0" w:space="0" w:color="auto"/>
        <w:bottom w:val="none" w:sz="0" w:space="0" w:color="auto"/>
        <w:right w:val="none" w:sz="0" w:space="0" w:color="auto"/>
      </w:divBdr>
    </w:div>
    <w:div w:id="736393490">
      <w:bodyDiv w:val="1"/>
      <w:marLeft w:val="0"/>
      <w:marRight w:val="0"/>
      <w:marTop w:val="0"/>
      <w:marBottom w:val="0"/>
      <w:divBdr>
        <w:top w:val="none" w:sz="0" w:space="0" w:color="auto"/>
        <w:left w:val="none" w:sz="0" w:space="0" w:color="auto"/>
        <w:bottom w:val="none" w:sz="0" w:space="0" w:color="auto"/>
        <w:right w:val="none" w:sz="0" w:space="0" w:color="auto"/>
      </w:divBdr>
    </w:div>
    <w:div w:id="73840814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46793529">
      <w:bodyDiv w:val="1"/>
      <w:marLeft w:val="0"/>
      <w:marRight w:val="0"/>
      <w:marTop w:val="0"/>
      <w:marBottom w:val="0"/>
      <w:divBdr>
        <w:top w:val="none" w:sz="0" w:space="0" w:color="auto"/>
        <w:left w:val="none" w:sz="0" w:space="0" w:color="auto"/>
        <w:bottom w:val="none" w:sz="0" w:space="0" w:color="auto"/>
        <w:right w:val="none" w:sz="0" w:space="0" w:color="auto"/>
      </w:divBdr>
    </w:div>
    <w:div w:id="850536170">
      <w:bodyDiv w:val="1"/>
      <w:marLeft w:val="0"/>
      <w:marRight w:val="0"/>
      <w:marTop w:val="0"/>
      <w:marBottom w:val="0"/>
      <w:divBdr>
        <w:top w:val="none" w:sz="0" w:space="0" w:color="auto"/>
        <w:left w:val="none" w:sz="0" w:space="0" w:color="auto"/>
        <w:bottom w:val="none" w:sz="0" w:space="0" w:color="auto"/>
        <w:right w:val="none" w:sz="0" w:space="0" w:color="auto"/>
      </w:divBdr>
    </w:div>
    <w:div w:id="858279765">
      <w:bodyDiv w:val="1"/>
      <w:marLeft w:val="0"/>
      <w:marRight w:val="0"/>
      <w:marTop w:val="0"/>
      <w:marBottom w:val="0"/>
      <w:divBdr>
        <w:top w:val="none" w:sz="0" w:space="0" w:color="auto"/>
        <w:left w:val="none" w:sz="0" w:space="0" w:color="auto"/>
        <w:bottom w:val="none" w:sz="0" w:space="0" w:color="auto"/>
        <w:right w:val="none" w:sz="0" w:space="0" w:color="auto"/>
      </w:divBdr>
    </w:div>
    <w:div w:id="888223034">
      <w:bodyDiv w:val="1"/>
      <w:marLeft w:val="0"/>
      <w:marRight w:val="0"/>
      <w:marTop w:val="0"/>
      <w:marBottom w:val="0"/>
      <w:divBdr>
        <w:top w:val="none" w:sz="0" w:space="0" w:color="auto"/>
        <w:left w:val="none" w:sz="0" w:space="0" w:color="auto"/>
        <w:bottom w:val="none" w:sz="0" w:space="0" w:color="auto"/>
        <w:right w:val="none" w:sz="0" w:space="0" w:color="auto"/>
      </w:divBdr>
    </w:div>
    <w:div w:id="998967755">
      <w:bodyDiv w:val="1"/>
      <w:marLeft w:val="0"/>
      <w:marRight w:val="0"/>
      <w:marTop w:val="0"/>
      <w:marBottom w:val="0"/>
      <w:divBdr>
        <w:top w:val="none" w:sz="0" w:space="0" w:color="auto"/>
        <w:left w:val="none" w:sz="0" w:space="0" w:color="auto"/>
        <w:bottom w:val="none" w:sz="0" w:space="0" w:color="auto"/>
        <w:right w:val="none" w:sz="0" w:space="0" w:color="auto"/>
      </w:divBdr>
    </w:div>
    <w:div w:id="1042822052">
      <w:bodyDiv w:val="1"/>
      <w:marLeft w:val="0"/>
      <w:marRight w:val="0"/>
      <w:marTop w:val="0"/>
      <w:marBottom w:val="0"/>
      <w:divBdr>
        <w:top w:val="none" w:sz="0" w:space="0" w:color="auto"/>
        <w:left w:val="none" w:sz="0" w:space="0" w:color="auto"/>
        <w:bottom w:val="none" w:sz="0" w:space="0" w:color="auto"/>
        <w:right w:val="none" w:sz="0" w:space="0" w:color="auto"/>
      </w:divBdr>
    </w:div>
    <w:div w:id="1043020482">
      <w:bodyDiv w:val="1"/>
      <w:marLeft w:val="0"/>
      <w:marRight w:val="0"/>
      <w:marTop w:val="0"/>
      <w:marBottom w:val="0"/>
      <w:divBdr>
        <w:top w:val="none" w:sz="0" w:space="0" w:color="auto"/>
        <w:left w:val="none" w:sz="0" w:space="0" w:color="auto"/>
        <w:bottom w:val="none" w:sz="0" w:space="0" w:color="auto"/>
        <w:right w:val="none" w:sz="0" w:space="0" w:color="auto"/>
      </w:divBdr>
    </w:div>
    <w:div w:id="1060906985">
      <w:bodyDiv w:val="1"/>
      <w:marLeft w:val="0"/>
      <w:marRight w:val="0"/>
      <w:marTop w:val="0"/>
      <w:marBottom w:val="0"/>
      <w:divBdr>
        <w:top w:val="none" w:sz="0" w:space="0" w:color="auto"/>
        <w:left w:val="none" w:sz="0" w:space="0" w:color="auto"/>
        <w:bottom w:val="none" w:sz="0" w:space="0" w:color="auto"/>
        <w:right w:val="none" w:sz="0" w:space="0" w:color="auto"/>
      </w:divBdr>
    </w:div>
    <w:div w:id="1105425351">
      <w:bodyDiv w:val="1"/>
      <w:marLeft w:val="0"/>
      <w:marRight w:val="0"/>
      <w:marTop w:val="0"/>
      <w:marBottom w:val="0"/>
      <w:divBdr>
        <w:top w:val="none" w:sz="0" w:space="0" w:color="auto"/>
        <w:left w:val="none" w:sz="0" w:space="0" w:color="auto"/>
        <w:bottom w:val="none" w:sz="0" w:space="0" w:color="auto"/>
        <w:right w:val="none" w:sz="0" w:space="0" w:color="auto"/>
      </w:divBdr>
    </w:div>
    <w:div w:id="1116414314">
      <w:bodyDiv w:val="1"/>
      <w:marLeft w:val="0"/>
      <w:marRight w:val="0"/>
      <w:marTop w:val="0"/>
      <w:marBottom w:val="0"/>
      <w:divBdr>
        <w:top w:val="none" w:sz="0" w:space="0" w:color="auto"/>
        <w:left w:val="none" w:sz="0" w:space="0" w:color="auto"/>
        <w:bottom w:val="none" w:sz="0" w:space="0" w:color="auto"/>
        <w:right w:val="none" w:sz="0" w:space="0" w:color="auto"/>
      </w:divBdr>
    </w:div>
    <w:div w:id="1123500421">
      <w:bodyDiv w:val="1"/>
      <w:marLeft w:val="0"/>
      <w:marRight w:val="0"/>
      <w:marTop w:val="0"/>
      <w:marBottom w:val="0"/>
      <w:divBdr>
        <w:top w:val="none" w:sz="0" w:space="0" w:color="auto"/>
        <w:left w:val="none" w:sz="0" w:space="0" w:color="auto"/>
        <w:bottom w:val="none" w:sz="0" w:space="0" w:color="auto"/>
        <w:right w:val="none" w:sz="0" w:space="0" w:color="auto"/>
      </w:divBdr>
    </w:div>
    <w:div w:id="1147475457">
      <w:bodyDiv w:val="1"/>
      <w:marLeft w:val="0"/>
      <w:marRight w:val="0"/>
      <w:marTop w:val="0"/>
      <w:marBottom w:val="0"/>
      <w:divBdr>
        <w:top w:val="none" w:sz="0" w:space="0" w:color="auto"/>
        <w:left w:val="none" w:sz="0" w:space="0" w:color="auto"/>
        <w:bottom w:val="none" w:sz="0" w:space="0" w:color="auto"/>
        <w:right w:val="none" w:sz="0" w:space="0" w:color="auto"/>
      </w:divBdr>
    </w:div>
    <w:div w:id="1225409392">
      <w:bodyDiv w:val="1"/>
      <w:marLeft w:val="0"/>
      <w:marRight w:val="0"/>
      <w:marTop w:val="0"/>
      <w:marBottom w:val="0"/>
      <w:divBdr>
        <w:top w:val="none" w:sz="0" w:space="0" w:color="auto"/>
        <w:left w:val="none" w:sz="0" w:space="0" w:color="auto"/>
        <w:bottom w:val="none" w:sz="0" w:space="0" w:color="auto"/>
        <w:right w:val="none" w:sz="0" w:space="0" w:color="auto"/>
      </w:divBdr>
    </w:div>
    <w:div w:id="1238129976">
      <w:bodyDiv w:val="1"/>
      <w:marLeft w:val="0"/>
      <w:marRight w:val="0"/>
      <w:marTop w:val="0"/>
      <w:marBottom w:val="0"/>
      <w:divBdr>
        <w:top w:val="none" w:sz="0" w:space="0" w:color="auto"/>
        <w:left w:val="none" w:sz="0" w:space="0" w:color="auto"/>
        <w:bottom w:val="none" w:sz="0" w:space="0" w:color="auto"/>
        <w:right w:val="none" w:sz="0" w:space="0" w:color="auto"/>
      </w:divBdr>
    </w:div>
    <w:div w:id="1251425871">
      <w:bodyDiv w:val="1"/>
      <w:marLeft w:val="0"/>
      <w:marRight w:val="0"/>
      <w:marTop w:val="0"/>
      <w:marBottom w:val="0"/>
      <w:divBdr>
        <w:top w:val="none" w:sz="0" w:space="0" w:color="auto"/>
        <w:left w:val="none" w:sz="0" w:space="0" w:color="auto"/>
        <w:bottom w:val="none" w:sz="0" w:space="0" w:color="auto"/>
        <w:right w:val="none" w:sz="0" w:space="0" w:color="auto"/>
      </w:divBdr>
    </w:div>
    <w:div w:id="1309020950">
      <w:bodyDiv w:val="1"/>
      <w:marLeft w:val="0"/>
      <w:marRight w:val="0"/>
      <w:marTop w:val="0"/>
      <w:marBottom w:val="0"/>
      <w:divBdr>
        <w:top w:val="none" w:sz="0" w:space="0" w:color="auto"/>
        <w:left w:val="none" w:sz="0" w:space="0" w:color="auto"/>
        <w:bottom w:val="none" w:sz="0" w:space="0" w:color="auto"/>
        <w:right w:val="none" w:sz="0" w:space="0" w:color="auto"/>
      </w:divBdr>
    </w:div>
    <w:div w:id="1429235154">
      <w:bodyDiv w:val="1"/>
      <w:marLeft w:val="0"/>
      <w:marRight w:val="0"/>
      <w:marTop w:val="0"/>
      <w:marBottom w:val="0"/>
      <w:divBdr>
        <w:top w:val="none" w:sz="0" w:space="0" w:color="auto"/>
        <w:left w:val="none" w:sz="0" w:space="0" w:color="auto"/>
        <w:bottom w:val="none" w:sz="0" w:space="0" w:color="auto"/>
        <w:right w:val="none" w:sz="0" w:space="0" w:color="auto"/>
      </w:divBdr>
    </w:div>
    <w:div w:id="1467166523">
      <w:bodyDiv w:val="1"/>
      <w:marLeft w:val="0"/>
      <w:marRight w:val="0"/>
      <w:marTop w:val="0"/>
      <w:marBottom w:val="0"/>
      <w:divBdr>
        <w:top w:val="none" w:sz="0" w:space="0" w:color="auto"/>
        <w:left w:val="none" w:sz="0" w:space="0" w:color="auto"/>
        <w:bottom w:val="none" w:sz="0" w:space="0" w:color="auto"/>
        <w:right w:val="none" w:sz="0" w:space="0" w:color="auto"/>
      </w:divBdr>
    </w:div>
    <w:div w:id="1470439120">
      <w:bodyDiv w:val="1"/>
      <w:marLeft w:val="0"/>
      <w:marRight w:val="0"/>
      <w:marTop w:val="0"/>
      <w:marBottom w:val="0"/>
      <w:divBdr>
        <w:top w:val="none" w:sz="0" w:space="0" w:color="auto"/>
        <w:left w:val="none" w:sz="0" w:space="0" w:color="auto"/>
        <w:bottom w:val="none" w:sz="0" w:space="0" w:color="auto"/>
        <w:right w:val="none" w:sz="0" w:space="0" w:color="auto"/>
      </w:divBdr>
    </w:div>
    <w:div w:id="1518226189">
      <w:bodyDiv w:val="1"/>
      <w:marLeft w:val="0"/>
      <w:marRight w:val="0"/>
      <w:marTop w:val="0"/>
      <w:marBottom w:val="0"/>
      <w:divBdr>
        <w:top w:val="none" w:sz="0" w:space="0" w:color="auto"/>
        <w:left w:val="none" w:sz="0" w:space="0" w:color="auto"/>
        <w:bottom w:val="none" w:sz="0" w:space="0" w:color="auto"/>
        <w:right w:val="none" w:sz="0" w:space="0" w:color="auto"/>
      </w:divBdr>
    </w:div>
    <w:div w:id="157620830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9851497">
      <w:bodyDiv w:val="1"/>
      <w:marLeft w:val="0"/>
      <w:marRight w:val="0"/>
      <w:marTop w:val="0"/>
      <w:marBottom w:val="0"/>
      <w:divBdr>
        <w:top w:val="none" w:sz="0" w:space="0" w:color="auto"/>
        <w:left w:val="none" w:sz="0" w:space="0" w:color="auto"/>
        <w:bottom w:val="none" w:sz="0" w:space="0" w:color="auto"/>
        <w:right w:val="none" w:sz="0" w:space="0" w:color="auto"/>
      </w:divBdr>
    </w:div>
    <w:div w:id="1731884412">
      <w:bodyDiv w:val="1"/>
      <w:marLeft w:val="0"/>
      <w:marRight w:val="0"/>
      <w:marTop w:val="0"/>
      <w:marBottom w:val="0"/>
      <w:divBdr>
        <w:top w:val="none" w:sz="0" w:space="0" w:color="auto"/>
        <w:left w:val="none" w:sz="0" w:space="0" w:color="auto"/>
        <w:bottom w:val="none" w:sz="0" w:space="0" w:color="auto"/>
        <w:right w:val="none" w:sz="0" w:space="0" w:color="auto"/>
      </w:divBdr>
    </w:div>
    <w:div w:id="1753433326">
      <w:bodyDiv w:val="1"/>
      <w:marLeft w:val="0"/>
      <w:marRight w:val="0"/>
      <w:marTop w:val="0"/>
      <w:marBottom w:val="0"/>
      <w:divBdr>
        <w:top w:val="none" w:sz="0" w:space="0" w:color="auto"/>
        <w:left w:val="none" w:sz="0" w:space="0" w:color="auto"/>
        <w:bottom w:val="none" w:sz="0" w:space="0" w:color="auto"/>
        <w:right w:val="none" w:sz="0" w:space="0" w:color="auto"/>
      </w:divBdr>
    </w:div>
    <w:div w:id="1815176445">
      <w:bodyDiv w:val="1"/>
      <w:marLeft w:val="0"/>
      <w:marRight w:val="0"/>
      <w:marTop w:val="0"/>
      <w:marBottom w:val="0"/>
      <w:divBdr>
        <w:top w:val="none" w:sz="0" w:space="0" w:color="auto"/>
        <w:left w:val="none" w:sz="0" w:space="0" w:color="auto"/>
        <w:bottom w:val="none" w:sz="0" w:space="0" w:color="auto"/>
        <w:right w:val="none" w:sz="0" w:space="0" w:color="auto"/>
      </w:divBdr>
    </w:div>
    <w:div w:id="1817838690">
      <w:bodyDiv w:val="1"/>
      <w:marLeft w:val="0"/>
      <w:marRight w:val="0"/>
      <w:marTop w:val="0"/>
      <w:marBottom w:val="0"/>
      <w:divBdr>
        <w:top w:val="none" w:sz="0" w:space="0" w:color="auto"/>
        <w:left w:val="none" w:sz="0" w:space="0" w:color="auto"/>
        <w:bottom w:val="none" w:sz="0" w:space="0" w:color="auto"/>
        <w:right w:val="none" w:sz="0" w:space="0" w:color="auto"/>
      </w:divBdr>
    </w:div>
    <w:div w:id="1854757936">
      <w:bodyDiv w:val="1"/>
      <w:marLeft w:val="0"/>
      <w:marRight w:val="0"/>
      <w:marTop w:val="0"/>
      <w:marBottom w:val="0"/>
      <w:divBdr>
        <w:top w:val="none" w:sz="0" w:space="0" w:color="auto"/>
        <w:left w:val="none" w:sz="0" w:space="0" w:color="auto"/>
        <w:bottom w:val="none" w:sz="0" w:space="0" w:color="auto"/>
        <w:right w:val="none" w:sz="0" w:space="0" w:color="auto"/>
      </w:divBdr>
    </w:div>
    <w:div w:id="1903757669">
      <w:bodyDiv w:val="1"/>
      <w:marLeft w:val="0"/>
      <w:marRight w:val="0"/>
      <w:marTop w:val="0"/>
      <w:marBottom w:val="0"/>
      <w:divBdr>
        <w:top w:val="none" w:sz="0" w:space="0" w:color="auto"/>
        <w:left w:val="none" w:sz="0" w:space="0" w:color="auto"/>
        <w:bottom w:val="none" w:sz="0" w:space="0" w:color="auto"/>
        <w:right w:val="none" w:sz="0" w:space="0" w:color="auto"/>
      </w:divBdr>
    </w:div>
    <w:div w:id="19094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apra.gov.au/topic-paper-2-performance" TargetMode="External"/><Relationship Id="rId3" Type="http://schemas.openxmlformats.org/officeDocument/2006/relationships/customXml" Target="../customXml/item3.xml"/><Relationship Id="rId21" Type="http://schemas.openxmlformats.org/officeDocument/2006/relationships/hyperlink" Target="https://www.apra.gov.au/topic-paper-4-expense-reportin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apra.gov.au/topic-paper-2-performan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pra.gov.au/topic-paper-6-insurance-arrange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pra.gov.au/topic-paper-3-member-account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pra.gov.au/topic-paper-1-rse-structure-and-profile" TargetMode="External"/><Relationship Id="rId28" Type="http://schemas.openxmlformats.org/officeDocument/2006/relationships/hyperlink" Target="https://www.apra.gov.au/topic-paper-5-asset-allocation" TargetMode="External"/><Relationship Id="rId10" Type="http://schemas.openxmlformats.org/officeDocument/2006/relationships/webSettings" Target="webSettings.xml"/><Relationship Id="rId19" Type="http://schemas.openxmlformats.org/officeDocument/2006/relationships/hyperlink" Target="https://www.apra.gov.au/topic-paper-6-insurance-arrangemen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apra.gov.au/topic-paper-1-rse-structure-and-profile" TargetMode="External"/><Relationship Id="rId27" Type="http://schemas.openxmlformats.org/officeDocument/2006/relationships/hyperlink" Target="https://www.apra.gov.au/topic-paper-7-fees-and-costs-disclosed"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pra.gov.au/phase-1-expenses-asset-allocation-insurance-arrangements-and-fees-and-costs" TargetMode="External"/><Relationship Id="rId3" Type="http://schemas.openxmlformats.org/officeDocument/2006/relationships/hyperlink" Target="https://www.apra.gov.au/sites/default/files/2020-12/MySuper%20Heatmap%20-%20Insights%20Paper%202020_0.pdf" TargetMode="External"/><Relationship Id="rId7" Type="http://schemas.openxmlformats.org/officeDocument/2006/relationships/hyperlink" Target="https://www.apra.gov.au/phase-1-%E2%80%93-performance-and-member-accounts" TargetMode="External"/><Relationship Id="rId2" Type="http://schemas.openxmlformats.org/officeDocument/2006/relationships/hyperlink" Target="https://www.apra.gov.au/sites/default/files/sps_515_strategic_planning_and_member_outcomes_december_2018.pdf" TargetMode="External"/><Relationship Id="rId1" Type="http://schemas.openxmlformats.org/officeDocument/2006/relationships/hyperlink" Target="https://treasury.gov.au/sites/default/files/2020-10/p2020super.docx" TargetMode="External"/><Relationship Id="rId6" Type="http://schemas.openxmlformats.org/officeDocument/2006/relationships/hyperlink" Target="https://www.apra.gov.au/phase-1-%E2%80%93-rse-structure-and-profile" TargetMode="External"/><Relationship Id="rId5" Type="http://schemas.openxmlformats.org/officeDocument/2006/relationships/hyperlink" Target="https://www.apra.gov.au/news-and-publications/apra%E2%80%99s-superannuation-data-transformation-to-enhance-industry-transparency" TargetMode="External"/><Relationship Id="rId10" Type="http://schemas.openxmlformats.org/officeDocument/2006/relationships/hyperlink" Target="https://treasury.gov.au/sites/default/files/2020-10/p2020super.docx" TargetMode="External"/><Relationship Id="rId4" Type="http://schemas.openxmlformats.org/officeDocument/2006/relationships/hyperlink" Target="https://asic.gov.au/about-asic/news-centre/find-a-media-release/2020-releases/20-323mr-asic-report-explores-how-to-measure-value-for-money-in-default-insurance-in-superannuation/" TargetMode="External"/><Relationship Id="rId9" Type="http://schemas.openxmlformats.org/officeDocument/2006/relationships/hyperlink" Target="https://www.apra.gov.au/sites/default/files/2021-03/Response%20Paper%20-%20Superannuation%20Data%20Transformation%20Project%20Phase%201_0.pdf"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10</Value>
      <Value>134</Value>
      <Value>435</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Regulation Impact Statement (RIS) for FSCOD RS determination No 18-20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5JENXJJSCC7A-445999044-11843</_dlc_DocId>
    <_dlc_DocIdUrl xmlns="814d62cb-2db6-4c25-ab62-b9075facbc11">
      <Url>https://im/teams/LEGAL/_layouts/15/DocIdRedir.aspx?ID=5JENXJJSCC7A-445999044-11843</Url>
      <Description>5JENXJJSCC7A-445999044-11843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4D69D-49E4-45B5-A044-9C6679642AE6}">
  <ds:schemaRefs>
    <ds:schemaRef ds:uri="http://schemas.openxmlformats.org/officeDocument/2006/bibliography"/>
  </ds:schemaRefs>
</ds:datastoreItem>
</file>

<file path=customXml/itemProps2.xml><?xml version="1.0" encoding="utf-8"?>
<ds:datastoreItem xmlns:ds="http://schemas.openxmlformats.org/officeDocument/2006/customXml" ds:itemID="{7E392012-16E4-407A-8294-BB0AD05A90CC}">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814d62cb-2db6-4c25-ab62-b9075facbc11"/>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1239DF4-9CE4-4CA1-A604-27C25169A95F}">
  <ds:schemaRefs>
    <ds:schemaRef ds:uri="http://schemas.microsoft.com/sharepoint/v3/contenttype/forms"/>
  </ds:schemaRefs>
</ds:datastoreItem>
</file>

<file path=customXml/itemProps4.xml><?xml version="1.0" encoding="utf-8"?>
<ds:datastoreItem xmlns:ds="http://schemas.openxmlformats.org/officeDocument/2006/customXml" ds:itemID="{23078A6A-2774-41AA-BD31-514A7C17B800}">
  <ds:schemaRefs>
    <ds:schemaRef ds:uri="http://schemas.microsoft.com/sharepoint/events"/>
  </ds:schemaRefs>
</ds:datastoreItem>
</file>

<file path=customXml/itemProps5.xml><?xml version="1.0" encoding="utf-8"?>
<ds:datastoreItem xmlns:ds="http://schemas.openxmlformats.org/officeDocument/2006/customXml" ds:itemID="{1F832B38-03AD-4CBF-A13B-A34FB307E035}">
  <ds:schemaRefs>
    <ds:schemaRef ds:uri="Microsoft.SharePoint.Taxonomy.ContentTypeSync"/>
  </ds:schemaRefs>
</ds:datastoreItem>
</file>

<file path=customXml/itemProps6.xml><?xml version="1.0" encoding="utf-8"?>
<ds:datastoreItem xmlns:ds="http://schemas.openxmlformats.org/officeDocument/2006/customXml" ds:itemID="{FE6BBEEE-6A4F-4764-8B18-EA26F978B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15903</Words>
  <Characters>89188</Characters>
  <Application>Microsoft Office Word</Application>
  <DocSecurity>0</DocSecurity>
  <Lines>3063</Lines>
  <Paragraphs>1420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 - FSCOD RS determination No 18-20 of 2022</dc:title>
  <dc:subject/>
  <dc:creator/>
  <cp:keywords>[SEC=OFFICIAL]</cp:keywords>
  <dc:description/>
  <cp:lastModifiedBy/>
  <cp:revision>1</cp:revision>
  <dcterms:created xsi:type="dcterms:W3CDTF">2022-10-19T00:44:00Z</dcterms:created>
  <dcterms:modified xsi:type="dcterms:W3CDTF">2022-10-19T00:56:00Z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F09BEB2BE4AB4C98928468B71CAC8008</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2022-10-19T00:56:04Z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ABBFF5E2-9674-55C9-B08D-C9980002FD58</vt:lpwstr>
  </property>
  <property fmtid="{D5CDD505-2E9C-101B-9397-08002B2CF9AE}" pid="20" name="PMUuidVer">
    <vt:lpwstr>2022.1</vt:lpwstr>
  </property>
  <property fmtid="{D5CDD505-2E9C-101B-9397-08002B2CF9AE}" pid="21" name="PM_Hash_Version">
    <vt:lpwstr>2018.0</vt:lpwstr>
  </property>
  <property fmtid="{D5CDD505-2E9C-101B-9397-08002B2CF9AE}" pid="22" name="MSIP_Label_c0129afb-6481-4f92-bc9f-5a4a6346364d_SetDate">
    <vt:lpwstr>2022-10-19T00:43:42Z</vt:lpwstr>
  </property>
  <property fmtid="{D5CDD505-2E9C-101B-9397-08002B2CF9AE}" pid="23" name="PM_Hash_Salt_Prev">
    <vt:lpwstr>50EE64D86355E8C9062E5BD33F4B9579</vt:lpwstr>
  </property>
  <property fmtid="{D5CDD505-2E9C-101B-9397-08002B2CF9AE}" pid="24" name="PM_Hash_Salt">
    <vt:lpwstr>02C0D6D3DA2DA7F07760C813EB295B90</vt:lpwstr>
  </property>
  <property fmtid="{D5CDD505-2E9C-101B-9397-08002B2CF9AE}" pid="25" name="PM_Hash_SHA1">
    <vt:lpwstr>BCEC85D33C0E9092FE597166CF4F24B5CE60E065</vt:lpwstr>
  </property>
  <property fmtid="{D5CDD505-2E9C-101B-9397-08002B2CF9AE}" pid="26" name="PM_OriginatorUserAccountName_SHA256">
    <vt:lpwstr>6E3018F28A186D2E5FF5207C041E7A82E907C3008E071057026A53705873B72E</vt:lpwstr>
  </property>
  <property fmtid="{D5CDD505-2E9C-101B-9397-08002B2CF9AE}" pid="27" name="PM_OriginatorDomainName_SHA256">
    <vt:lpwstr>ECBDE2B44A971754412B3FB70606937A119CC0D4B6C1B658A40FBD41C30BE3EC</vt:lpwstr>
  </property>
  <property fmtid="{D5CDD505-2E9C-101B-9397-08002B2CF9AE}" pid="28" name="MSIP_Label_c0129afb-6481-4f92-bc9f-5a4a6346364d_Name">
    <vt:lpwstr>OFFICIAL</vt:lpwstr>
  </property>
  <property fmtid="{D5CDD505-2E9C-101B-9397-08002B2CF9AE}" pid="29" name="MSIP_Label_c0129afb-6481-4f92-bc9f-5a4a6346364d_SiteId">
    <vt:lpwstr>c05e3ffd-b491-4431-9809-e61d4dc78816</vt:lpwstr>
  </property>
  <property fmtid="{D5CDD505-2E9C-101B-9397-08002B2CF9AE}" pid="30" name="MSIP_Label_c0129afb-6481-4f92-bc9f-5a4a6346364d_Enabled">
    <vt:lpwstr>true</vt:lpwstr>
  </property>
  <property fmtid="{D5CDD505-2E9C-101B-9397-08002B2CF9AE}" pid="31" name="PM_MinimumSecurityClassification">
    <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ContentTypeId">
    <vt:lpwstr>0x0101008CA7A4F8331B45C7B0D3158B4994D0CA0200577EC0F5A1FBFC498F9A8436B963F8A6</vt:lpwstr>
  </property>
  <property fmtid="{D5CDD505-2E9C-101B-9397-08002B2CF9AE}" pid="35" name="IsLocked">
    <vt:lpwstr>Yes</vt:lpwstr>
  </property>
  <property fmtid="{D5CDD505-2E9C-101B-9397-08002B2CF9AE}" pid="3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7" name="RecordPoint_WorkflowType">
    <vt:lpwstr>ActiveSubmitStub</vt:lpwstr>
  </property>
  <property fmtid="{D5CDD505-2E9C-101B-9397-08002B2CF9AE}" pid="38" name="IT system type">
    <vt:lpwstr/>
  </property>
  <property fmtid="{D5CDD505-2E9C-101B-9397-08002B2CF9AE}" pid="39" name="APRACategory">
    <vt:lpwstr/>
  </property>
  <property fmtid="{D5CDD505-2E9C-101B-9397-08002B2CF9AE}" pid="40" name="APRAPRSG">
    <vt:lpwstr/>
  </property>
  <property fmtid="{D5CDD505-2E9C-101B-9397-08002B2CF9AE}" pid="41" name="APRAStatus">
    <vt:lpwstr>19;#Final|84d6b2d0-8498-4d62-bf46-bab38babbe9e</vt:lpwstr>
  </property>
  <property fmtid="{D5CDD505-2E9C-101B-9397-08002B2CF9AE}" pid="42" name="APRADocumentType">
    <vt:lpwstr>435;#Regulation impact statement|a6de7b22-aec6-40f3-a54e-dbfeb004713c</vt:lpwstr>
  </property>
  <property fmtid="{D5CDD505-2E9C-101B-9397-08002B2CF9AE}" pid="43" name="APRAActivity">
    <vt:lpwstr>10;#Registration|390476ce-d76d-4e8d-905f-28e32d2df127;#109;#Statutory instrument|fe68928c-5a9c-4caf-bc8c-6c18cedcb17f</vt:lpwstr>
  </property>
  <property fmtid="{D5CDD505-2E9C-101B-9397-08002B2CF9AE}" pid="44" name="APRAEntityAdviceSupport">
    <vt:lpwstr/>
  </property>
  <property fmtid="{D5CDD505-2E9C-101B-9397-08002B2CF9AE}" pid="45" name="APRALegislation">
    <vt:lpwstr/>
  </property>
  <property fmtid="{D5CDD505-2E9C-101B-9397-08002B2CF9AE}" pid="46" name="APRAYear">
    <vt:lpwstr/>
  </property>
  <property fmtid="{D5CDD505-2E9C-101B-9397-08002B2CF9AE}" pid="47" name="APRAIndustry">
    <vt:lpwstr/>
  </property>
  <property fmtid="{D5CDD505-2E9C-101B-9397-08002B2CF9AE}" pid="48" name="RecordPoint_ActiveItemUniqueId">
    <vt:lpwstr>{4dffb1e9-5bf7-4b2a-91c6-a01c619dfbc0}</vt:lpwstr>
  </property>
  <property fmtid="{D5CDD505-2E9C-101B-9397-08002B2CF9AE}" pid="49" name="RecordPoint_SubmissionCompleted">
    <vt:lpwstr>2022-10-15T18:26:22.2506596+11:00</vt:lpwstr>
  </property>
  <property fmtid="{D5CDD505-2E9C-101B-9397-08002B2CF9AE}" pid="50" name="APRAExternalOrganisation">
    <vt:lpwstr/>
  </property>
  <property fmtid="{D5CDD505-2E9C-101B-9397-08002B2CF9AE}" pid="51" name="APRAIRTR">
    <vt:lpwstr/>
  </property>
  <property fmtid="{D5CDD505-2E9C-101B-9397-08002B2CF9AE}" pid="52" name="APRAPeriod">
    <vt:lpwstr/>
  </property>
  <property fmtid="{D5CDD505-2E9C-101B-9397-08002B2CF9AE}" pid="53" name="_dlc_DocIdItemGuid">
    <vt:lpwstr>4dffb1e9-5bf7-4b2a-91c6-a01c619dfbc0</vt:lpwstr>
  </property>
  <property fmtid="{D5CDD505-2E9C-101B-9397-08002B2CF9AE}" pid="54" name="RecordPoint_ActiveItemSiteId">
    <vt:lpwstr>{88691c01-5bbb-4215-adc0-66cb7065b0af}</vt:lpwstr>
  </property>
  <property fmtid="{D5CDD505-2E9C-101B-9397-08002B2CF9AE}" pid="55" name="RecordPoint_ActiveItemListId">
    <vt:lpwstr>{0e59e171-09d8-4401-800a-327154450cb3}</vt:lpwstr>
  </property>
  <property fmtid="{D5CDD505-2E9C-101B-9397-08002B2CF9AE}" pid="56" name="RecordPoint_ActiveItemWebId">
    <vt:lpwstr>{75a71c27-8d66-4282-ae60-1bfc22a83be1}</vt:lpwstr>
  </property>
</Properties>
</file>