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70B916B3" w:rsidR="00854C33" w:rsidRPr="00EB6A4A" w:rsidRDefault="00854C33" w:rsidP="00854C33">
      <w:pPr>
        <w:pStyle w:val="Heading"/>
        <w:spacing w:after="240"/>
        <w:jc w:val="center"/>
        <w:rPr>
          <w:sz w:val="24"/>
          <w:szCs w:val="24"/>
        </w:rPr>
      </w:pPr>
      <w:r w:rsidRPr="00EB6A4A">
        <w:rPr>
          <w:sz w:val="24"/>
          <w:szCs w:val="24"/>
        </w:rPr>
        <w:t xml:space="preserve">Financial Sector (Collection of Data) (reporting standard) determination Nos. </w:t>
      </w:r>
      <w:r w:rsidR="002A144F" w:rsidRPr="00EB6A4A">
        <w:rPr>
          <w:sz w:val="24"/>
          <w:szCs w:val="24"/>
        </w:rPr>
        <w:t>18</w:t>
      </w:r>
      <w:r w:rsidRPr="00EB6A4A">
        <w:rPr>
          <w:sz w:val="24"/>
          <w:szCs w:val="24"/>
        </w:rPr>
        <w:t xml:space="preserve"> to </w:t>
      </w:r>
      <w:r w:rsidR="002A144F" w:rsidRPr="00EB6A4A">
        <w:rPr>
          <w:sz w:val="24"/>
          <w:szCs w:val="24"/>
        </w:rPr>
        <w:t>20</w:t>
      </w:r>
      <w:r w:rsidRPr="00EB6A4A">
        <w:rPr>
          <w:sz w:val="24"/>
          <w:szCs w:val="24"/>
        </w:rPr>
        <w:t xml:space="preserve"> of 2022</w:t>
      </w:r>
    </w:p>
    <w:p w14:paraId="121BFB7C" w14:textId="77777777"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77777777"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77777777"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6F6AB79" w14:textId="77777777" w:rsidR="00854C33" w:rsidRPr="00EB6A4A" w:rsidRDefault="00854C33" w:rsidP="00854C33">
      <w:pPr>
        <w:pStyle w:val="heading0"/>
        <w:spacing w:before="0" w:beforeAutospacing="0" w:after="240" w:afterAutospacing="0"/>
        <w:jc w:val="center"/>
      </w:pPr>
      <w:r w:rsidRPr="00EB6A4A">
        <w:rPr>
          <w:i/>
        </w:rPr>
        <w:t>Acts Interpretation Act 1901</w:t>
      </w:r>
      <w:r w:rsidRPr="00EB6A4A">
        <w:t>, section 33</w:t>
      </w:r>
    </w:p>
    <w:p w14:paraId="101CED05" w14:textId="77777777" w:rsidR="00854C33" w:rsidRPr="00EB6A4A" w:rsidRDefault="00854C33" w:rsidP="00854C33">
      <w:pPr>
        <w:widowControl w:val="0"/>
        <w:rPr>
          <w:rFonts w:ascii="Times New Roman" w:hAnsi="Times New Roman"/>
          <w:sz w:val="24"/>
          <w:szCs w:val="24"/>
        </w:rPr>
      </w:pPr>
      <w:bookmarkStart w:id="1" w:name="bkAct"/>
      <w:bookmarkStart w:id="2" w:name="bkExplanatory"/>
      <w:bookmarkEnd w:id="1"/>
      <w:bookmarkEnd w:id="2"/>
      <w:r w:rsidRPr="00EB6A4A">
        <w:rPr>
          <w:rFonts w:ascii="Times New Roman" w:hAnsi="Times New Roman"/>
          <w:sz w:val="24"/>
          <w:szCs w:val="24"/>
        </w:rPr>
        <w:t xml:space="preserve">Under subsection 13(1) of the </w:t>
      </w:r>
      <w:r w:rsidRPr="00EB6A4A">
        <w:rPr>
          <w:rFonts w:ascii="Times New Roman" w:hAnsi="Times New Roman"/>
          <w:i/>
          <w:sz w:val="24"/>
          <w:szCs w:val="24"/>
        </w:rPr>
        <w:t>Financial Sector (Collection of Data) Act 2001</w:t>
      </w:r>
      <w:r w:rsidRPr="00EB6A4A">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EB6A4A">
        <w:rPr>
          <w:rFonts w:ascii="Times New Roman" w:hAnsi="Times New Roman"/>
          <w:i/>
          <w:sz w:val="24"/>
          <w:szCs w:val="24"/>
        </w:rPr>
        <w:t>Acts Interpretation Act 1901</w:t>
      </w:r>
      <w:r w:rsidRPr="00EB6A4A">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40BD84CD" w14:textId="77777777" w:rsidR="00854C33" w:rsidRPr="00EB6A4A" w:rsidRDefault="00854C33" w:rsidP="00854C33">
      <w:pPr>
        <w:widowControl w:val="0"/>
        <w:rPr>
          <w:rFonts w:ascii="Times New Roman" w:hAnsi="Times New Roman"/>
          <w:sz w:val="24"/>
          <w:szCs w:val="24"/>
        </w:rPr>
      </w:pPr>
      <w:bookmarkStart w:id="3" w:name="_Hlk67156972"/>
      <w:r w:rsidRPr="00EB6A4A">
        <w:rPr>
          <w:rFonts w:ascii="Times New Roman" w:hAnsi="Times New Roman"/>
          <w:sz w:val="24"/>
          <w:szCs w:val="24"/>
        </w:rPr>
        <w:t xml:space="preserve">Subsection 15(1) of the Act provides that APRA may declare a day on and after which the reporting standards are to apply. </w:t>
      </w:r>
    </w:p>
    <w:bookmarkEnd w:id="3"/>
    <w:p w14:paraId="3C5D9939" w14:textId="2CD72309" w:rsidR="00211AFD" w:rsidRPr="00EB6A4A" w:rsidRDefault="00211AFD" w:rsidP="00211AFD">
      <w:pPr>
        <w:numPr>
          <w:ilvl w:val="0"/>
          <w:numId w:val="0"/>
        </w:numPr>
        <w:rPr>
          <w:rFonts w:ascii="Times New Roman" w:hAnsi="Times New Roman" w:cs="Times New Roman"/>
          <w:sz w:val="24"/>
          <w:szCs w:val="24"/>
        </w:rPr>
      </w:pPr>
      <w:r w:rsidRPr="00EB6A4A">
        <w:rPr>
          <w:rFonts w:ascii="Times New Roman" w:hAnsi="Times New Roman" w:cs="Times New Roman"/>
          <w:sz w:val="24"/>
          <w:szCs w:val="24"/>
        </w:rPr>
        <w:t>On</w:t>
      </w:r>
      <w:r w:rsidR="00F41BD7" w:rsidRPr="00EB6A4A">
        <w:rPr>
          <w:rFonts w:ascii="Times New Roman" w:hAnsi="Times New Roman" w:cs="Times New Roman"/>
          <w:sz w:val="24"/>
          <w:szCs w:val="24"/>
        </w:rPr>
        <w:t xml:space="preserve"> </w:t>
      </w:r>
      <w:r w:rsidR="003A438F">
        <w:rPr>
          <w:rFonts w:ascii="Times New Roman" w:hAnsi="Times New Roman" w:cs="Times New Roman"/>
          <w:sz w:val="24"/>
          <w:szCs w:val="24"/>
        </w:rPr>
        <w:t>14</w:t>
      </w:r>
      <w:r w:rsidR="00630163" w:rsidRPr="00EB6A4A">
        <w:rPr>
          <w:rFonts w:ascii="Times New Roman" w:hAnsi="Times New Roman" w:cs="Times New Roman"/>
          <w:sz w:val="24"/>
          <w:szCs w:val="24"/>
        </w:rPr>
        <w:t xml:space="preserve"> October</w:t>
      </w:r>
      <w:r w:rsidR="00B06E21" w:rsidRPr="00EB6A4A">
        <w:rPr>
          <w:rFonts w:ascii="Times New Roman" w:hAnsi="Times New Roman" w:cs="Times New Roman"/>
          <w:sz w:val="24"/>
          <w:szCs w:val="24"/>
        </w:rPr>
        <w:t xml:space="preserve"> 2022</w:t>
      </w:r>
      <w:r w:rsidRPr="00EB6A4A">
        <w:rPr>
          <w:rFonts w:ascii="Times New Roman" w:hAnsi="Times New Roman" w:cs="Times New Roman"/>
          <w:sz w:val="24"/>
          <w:szCs w:val="24"/>
        </w:rPr>
        <w:t xml:space="preserve">, APRA made the following determinations (the </w:t>
      </w:r>
      <w:r w:rsidR="00287F47" w:rsidRPr="00EB6A4A">
        <w:rPr>
          <w:rFonts w:ascii="Times New Roman" w:hAnsi="Times New Roman" w:cs="Times New Roman"/>
          <w:sz w:val="24"/>
          <w:szCs w:val="24"/>
        </w:rPr>
        <w:t>Legislative I</w:t>
      </w:r>
      <w:r w:rsidRPr="00EB6A4A">
        <w:rPr>
          <w:rFonts w:ascii="Times New Roman" w:hAnsi="Times New Roman" w:cs="Times New Roman"/>
          <w:sz w:val="24"/>
          <w:szCs w:val="24"/>
        </w:rPr>
        <w:t>nstruments):</w:t>
      </w:r>
    </w:p>
    <w:p w14:paraId="3A952675" w14:textId="707E4CA0" w:rsidR="00014E49" w:rsidRPr="00EB6A4A" w:rsidRDefault="00014E49" w:rsidP="00721C17">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EB6A4A">
        <w:rPr>
          <w:rFonts w:ascii="Times New Roman" w:hAnsi="Times New Roman"/>
          <w:sz w:val="24"/>
          <w:szCs w:val="24"/>
        </w:rPr>
        <w:t xml:space="preserve">Financial Sector (Collection of Data) (reporting standard) determination No. </w:t>
      </w:r>
      <w:r w:rsidR="00EE4C83" w:rsidRPr="00EB6A4A">
        <w:rPr>
          <w:rFonts w:ascii="Times New Roman" w:hAnsi="Times New Roman"/>
          <w:sz w:val="24"/>
          <w:szCs w:val="24"/>
        </w:rPr>
        <w:t>20</w:t>
      </w:r>
      <w:r w:rsidR="00721C17" w:rsidRPr="00EB6A4A">
        <w:rPr>
          <w:rFonts w:ascii="Times New Roman" w:hAnsi="Times New Roman"/>
          <w:sz w:val="24"/>
          <w:szCs w:val="24"/>
        </w:rPr>
        <w:t xml:space="preserve"> </w:t>
      </w:r>
      <w:r w:rsidRPr="00EB6A4A">
        <w:rPr>
          <w:rFonts w:ascii="Times New Roman" w:hAnsi="Times New Roman"/>
          <w:sz w:val="24"/>
          <w:szCs w:val="24"/>
        </w:rPr>
        <w:t>of 2022 which</w:t>
      </w:r>
      <w:r w:rsidR="00721C17" w:rsidRPr="00EB6A4A">
        <w:rPr>
          <w:rFonts w:ascii="Times New Roman" w:hAnsi="Times New Roman"/>
          <w:sz w:val="24"/>
          <w:szCs w:val="24"/>
        </w:rPr>
        <w:t xml:space="preserve"> </w:t>
      </w:r>
      <w:r w:rsidRPr="00EB6A4A">
        <w:rPr>
          <w:rFonts w:ascii="Times New Roman" w:hAnsi="Times New Roman"/>
          <w:sz w:val="24"/>
          <w:szCs w:val="24"/>
        </w:rPr>
        <w:t xml:space="preserve">revokes </w:t>
      </w:r>
      <w:r w:rsidRPr="00EB6A4A">
        <w:rPr>
          <w:rFonts w:ascii="Times New Roman" w:hAnsi="Times New Roman"/>
          <w:i/>
          <w:sz w:val="24"/>
          <w:szCs w:val="24"/>
        </w:rPr>
        <w:t xml:space="preserve">Reporting Standard </w:t>
      </w:r>
      <w:r w:rsidR="00465ADB" w:rsidRPr="00EB6A4A">
        <w:rPr>
          <w:rFonts w:ascii="Times New Roman" w:hAnsi="Times New Roman"/>
          <w:i/>
          <w:sz w:val="24"/>
          <w:szCs w:val="24"/>
        </w:rPr>
        <w:t xml:space="preserve">SRS 250.0 Acquired Insurance </w:t>
      </w:r>
      <w:r w:rsidRPr="00EB6A4A">
        <w:rPr>
          <w:rFonts w:ascii="Times New Roman" w:hAnsi="Times New Roman"/>
          <w:sz w:val="24"/>
          <w:szCs w:val="24"/>
        </w:rPr>
        <w:t>(</w:t>
      </w:r>
      <w:r w:rsidR="00721C17" w:rsidRPr="00EB6A4A">
        <w:rPr>
          <w:rFonts w:ascii="Times New Roman" w:hAnsi="Times New Roman"/>
          <w:sz w:val="24"/>
          <w:szCs w:val="24"/>
        </w:rPr>
        <w:t>S</w:t>
      </w:r>
      <w:r w:rsidRPr="00EB6A4A">
        <w:rPr>
          <w:rFonts w:ascii="Times New Roman" w:hAnsi="Times New Roman"/>
          <w:sz w:val="24"/>
          <w:szCs w:val="24"/>
        </w:rPr>
        <w:t xml:space="preserve">RS </w:t>
      </w:r>
      <w:r w:rsidR="00465ADB" w:rsidRPr="00EB6A4A">
        <w:rPr>
          <w:rFonts w:ascii="Times New Roman" w:hAnsi="Times New Roman"/>
          <w:sz w:val="24"/>
          <w:szCs w:val="24"/>
        </w:rPr>
        <w:t>250</w:t>
      </w:r>
      <w:r w:rsidRPr="00EB6A4A">
        <w:rPr>
          <w:rFonts w:ascii="Times New Roman" w:hAnsi="Times New Roman"/>
          <w:sz w:val="24"/>
          <w:szCs w:val="24"/>
        </w:rPr>
        <w:t>.</w:t>
      </w:r>
      <w:r w:rsidR="00465ADB" w:rsidRPr="00EB6A4A">
        <w:rPr>
          <w:rFonts w:ascii="Times New Roman" w:hAnsi="Times New Roman"/>
          <w:sz w:val="24"/>
          <w:szCs w:val="24"/>
        </w:rPr>
        <w:t>0</w:t>
      </w:r>
      <w:r w:rsidRPr="00EB6A4A">
        <w:rPr>
          <w:rFonts w:ascii="Times New Roman" w:hAnsi="Times New Roman"/>
          <w:sz w:val="24"/>
          <w:szCs w:val="24"/>
        </w:rPr>
        <w:t xml:space="preserve">) made under Financial Sector (Collection of Data) (reporting standard) determination </w:t>
      </w:r>
      <w:r w:rsidR="00465ADB" w:rsidRPr="00EB6A4A">
        <w:rPr>
          <w:rFonts w:ascii="Times New Roman" w:hAnsi="Times New Roman"/>
          <w:sz w:val="24"/>
          <w:szCs w:val="24"/>
        </w:rPr>
        <w:t xml:space="preserve">No. 6 of </w:t>
      </w:r>
      <w:proofErr w:type="gramStart"/>
      <w:r w:rsidR="00465ADB" w:rsidRPr="00EB6A4A">
        <w:rPr>
          <w:rFonts w:ascii="Times New Roman" w:hAnsi="Times New Roman"/>
          <w:sz w:val="24"/>
          <w:szCs w:val="24"/>
        </w:rPr>
        <w:t>2015</w:t>
      </w:r>
      <w:r w:rsidRPr="00EB6A4A">
        <w:rPr>
          <w:rFonts w:ascii="Times New Roman" w:hAnsi="Times New Roman"/>
          <w:sz w:val="24"/>
          <w:szCs w:val="24"/>
        </w:rPr>
        <w:t>;</w:t>
      </w:r>
      <w:proofErr w:type="gramEnd"/>
    </w:p>
    <w:p w14:paraId="05CC38F5" w14:textId="384E93DB" w:rsidR="00741EDB" w:rsidRPr="00EB6A4A" w:rsidRDefault="00721C17" w:rsidP="00721C17">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EB6A4A">
        <w:rPr>
          <w:rFonts w:ascii="Times New Roman" w:hAnsi="Times New Roman"/>
          <w:sz w:val="24"/>
          <w:szCs w:val="24"/>
        </w:rPr>
        <w:t xml:space="preserve">Financial Sector (Collection of Data) (reporting standard) determination No. </w:t>
      </w:r>
      <w:r w:rsidR="00EE4C83" w:rsidRPr="00EB6A4A">
        <w:rPr>
          <w:rFonts w:ascii="Times New Roman" w:hAnsi="Times New Roman"/>
          <w:sz w:val="24"/>
          <w:szCs w:val="24"/>
        </w:rPr>
        <w:t>18</w:t>
      </w:r>
      <w:r w:rsidRPr="00EB6A4A">
        <w:rPr>
          <w:rFonts w:ascii="Times New Roman" w:hAnsi="Times New Roman"/>
          <w:sz w:val="24"/>
          <w:szCs w:val="24"/>
        </w:rPr>
        <w:t xml:space="preserve"> of 2022 which revokes </w:t>
      </w:r>
      <w:r w:rsidRPr="00EB6A4A">
        <w:rPr>
          <w:rFonts w:ascii="Times New Roman" w:hAnsi="Times New Roman"/>
          <w:i/>
          <w:sz w:val="24"/>
          <w:szCs w:val="24"/>
        </w:rPr>
        <w:t xml:space="preserve">Reporting Standard SRS </w:t>
      </w:r>
      <w:r w:rsidR="003723C0" w:rsidRPr="00EB6A4A">
        <w:rPr>
          <w:rFonts w:ascii="Times New Roman" w:hAnsi="Times New Roman"/>
          <w:i/>
          <w:sz w:val="24"/>
          <w:szCs w:val="24"/>
        </w:rPr>
        <w:t xml:space="preserve">533.1 Asset Allocation and Members’ Benefits Flows </w:t>
      </w:r>
      <w:r w:rsidRPr="00EB6A4A">
        <w:rPr>
          <w:rFonts w:ascii="Times New Roman" w:hAnsi="Times New Roman"/>
          <w:sz w:val="24"/>
          <w:szCs w:val="24"/>
        </w:rPr>
        <w:t xml:space="preserve">(SRS </w:t>
      </w:r>
      <w:r w:rsidR="003723C0" w:rsidRPr="00EB6A4A">
        <w:rPr>
          <w:rFonts w:ascii="Times New Roman" w:hAnsi="Times New Roman"/>
          <w:sz w:val="24"/>
          <w:szCs w:val="24"/>
        </w:rPr>
        <w:t>533</w:t>
      </w:r>
      <w:r w:rsidRPr="00EB6A4A">
        <w:rPr>
          <w:rFonts w:ascii="Times New Roman" w:hAnsi="Times New Roman"/>
          <w:sz w:val="24"/>
          <w:szCs w:val="24"/>
        </w:rPr>
        <w:t>.</w:t>
      </w:r>
      <w:r w:rsidR="003723C0" w:rsidRPr="00EB6A4A">
        <w:rPr>
          <w:rFonts w:ascii="Times New Roman" w:hAnsi="Times New Roman"/>
          <w:sz w:val="24"/>
          <w:szCs w:val="24"/>
        </w:rPr>
        <w:t>1</w:t>
      </w:r>
      <w:r w:rsidRPr="00EB6A4A">
        <w:rPr>
          <w:rFonts w:ascii="Times New Roman" w:hAnsi="Times New Roman"/>
          <w:sz w:val="24"/>
          <w:szCs w:val="24"/>
        </w:rPr>
        <w:t xml:space="preserve">) made under Financial Sector (Collection of Data) (reporting standard) determination No. </w:t>
      </w:r>
      <w:r w:rsidR="003723C0" w:rsidRPr="00EB6A4A">
        <w:rPr>
          <w:rFonts w:ascii="Times New Roman" w:hAnsi="Times New Roman"/>
          <w:sz w:val="24"/>
          <w:szCs w:val="24"/>
        </w:rPr>
        <w:t>38 of 2015</w:t>
      </w:r>
      <w:r w:rsidR="00741EDB" w:rsidRPr="00EB6A4A">
        <w:rPr>
          <w:rFonts w:ascii="Times New Roman" w:hAnsi="Times New Roman"/>
          <w:sz w:val="24"/>
          <w:szCs w:val="24"/>
        </w:rPr>
        <w:t xml:space="preserve">; </w:t>
      </w:r>
      <w:r w:rsidR="00AC2180" w:rsidRPr="00EB6A4A">
        <w:rPr>
          <w:rFonts w:ascii="Times New Roman" w:hAnsi="Times New Roman"/>
          <w:sz w:val="24"/>
          <w:szCs w:val="24"/>
        </w:rPr>
        <w:t xml:space="preserve">and </w:t>
      </w:r>
    </w:p>
    <w:p w14:paraId="5CBA9643" w14:textId="2622B22E" w:rsidR="00642E4C" w:rsidRPr="00EB6A4A" w:rsidRDefault="00642E4C" w:rsidP="00AD1EF2">
      <w:pPr>
        <w:pStyle w:val="ListParagraph"/>
        <w:numPr>
          <w:ilvl w:val="0"/>
          <w:numId w:val="19"/>
        </w:numPr>
        <w:tabs>
          <w:tab w:val="clear" w:pos="425"/>
          <w:tab w:val="clear" w:pos="851"/>
        </w:tabs>
        <w:ind w:left="567" w:hanging="567"/>
        <w:contextualSpacing w:val="0"/>
      </w:pPr>
      <w:r w:rsidRPr="00EB6A4A">
        <w:rPr>
          <w:rFonts w:ascii="Times New Roman" w:hAnsi="Times New Roman"/>
          <w:sz w:val="24"/>
          <w:szCs w:val="24"/>
        </w:rPr>
        <w:t xml:space="preserve">Financial Sector (Collection of Data) (reporting standard) determination No. </w:t>
      </w:r>
      <w:r w:rsidR="00EE4C83" w:rsidRPr="00EB6A4A">
        <w:rPr>
          <w:rFonts w:ascii="Times New Roman" w:hAnsi="Times New Roman"/>
          <w:sz w:val="24"/>
          <w:szCs w:val="24"/>
        </w:rPr>
        <w:t>19</w:t>
      </w:r>
      <w:r w:rsidRPr="00EB6A4A">
        <w:rPr>
          <w:rFonts w:ascii="Times New Roman" w:hAnsi="Times New Roman"/>
          <w:sz w:val="24"/>
          <w:szCs w:val="24"/>
        </w:rPr>
        <w:t xml:space="preserve"> of 2022 which revokes </w:t>
      </w:r>
      <w:r w:rsidRPr="00EB6A4A">
        <w:rPr>
          <w:rFonts w:ascii="Times New Roman" w:hAnsi="Times New Roman"/>
          <w:i/>
          <w:sz w:val="24"/>
          <w:szCs w:val="24"/>
        </w:rPr>
        <w:t>Reporting Standard SRS 703.0</w:t>
      </w:r>
      <w:r w:rsidRPr="00EB6A4A">
        <w:t xml:space="preserve"> </w:t>
      </w:r>
      <w:r w:rsidRPr="00EB6A4A">
        <w:rPr>
          <w:rFonts w:ascii="Times New Roman" w:hAnsi="Times New Roman"/>
          <w:i/>
          <w:sz w:val="24"/>
          <w:szCs w:val="24"/>
        </w:rPr>
        <w:t xml:space="preserve">Fees Disclosed </w:t>
      </w:r>
      <w:r w:rsidRPr="00EB6A4A">
        <w:rPr>
          <w:rFonts w:ascii="Times New Roman" w:hAnsi="Times New Roman"/>
          <w:sz w:val="24"/>
          <w:szCs w:val="24"/>
        </w:rPr>
        <w:t>(SRS 703.0) made under Financial Sector (Collection of Data) (reporting standard) determination No. 41 of 2015</w:t>
      </w:r>
      <w:r w:rsidR="00AC2180" w:rsidRPr="00EB6A4A">
        <w:rPr>
          <w:rFonts w:ascii="Times New Roman" w:hAnsi="Times New Roman"/>
          <w:sz w:val="24"/>
          <w:szCs w:val="24"/>
        </w:rPr>
        <w:t>,</w:t>
      </w:r>
    </w:p>
    <w:p w14:paraId="20C71CDB" w14:textId="3755B281" w:rsidR="00023CE3" w:rsidRPr="00EB6A4A" w:rsidRDefault="00023CE3" w:rsidP="00023CE3">
      <w:pPr>
        <w:widowControl w:val="0"/>
        <w:rPr>
          <w:rFonts w:ascii="Times New Roman" w:hAnsi="Times New Roman"/>
          <w:sz w:val="24"/>
          <w:szCs w:val="24"/>
        </w:rPr>
      </w:pPr>
      <w:r w:rsidRPr="00EB6A4A">
        <w:rPr>
          <w:rFonts w:ascii="Times New Roman" w:hAnsi="Times New Roman"/>
          <w:sz w:val="24"/>
          <w:szCs w:val="24"/>
        </w:rPr>
        <w:t xml:space="preserve">The instruments commence </w:t>
      </w:r>
      <w:r w:rsidR="00EE4C83" w:rsidRPr="00EB6A4A">
        <w:rPr>
          <w:rFonts w:ascii="Times New Roman" w:hAnsi="Times New Roman"/>
          <w:sz w:val="24"/>
          <w:szCs w:val="24"/>
        </w:rPr>
        <w:t>on 28 October 2022</w:t>
      </w:r>
      <w:r w:rsidRPr="00EB6A4A">
        <w:rPr>
          <w:rFonts w:ascii="Times New Roman" w:hAnsi="Times New Roman"/>
          <w:sz w:val="24"/>
          <w:szCs w:val="24"/>
        </w:rPr>
        <w:t xml:space="preserve">. </w:t>
      </w:r>
    </w:p>
    <w:p w14:paraId="44D216EA" w14:textId="77777777"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56BC41BA" w14:textId="7F5ED98B" w:rsidR="00955F0A" w:rsidRPr="00EB6A4A" w:rsidRDefault="003C5307" w:rsidP="003C5307">
      <w:pPr>
        <w:pStyle w:val="Heading"/>
        <w:spacing w:after="240"/>
        <w:rPr>
          <w:b w:val="0"/>
          <w:sz w:val="24"/>
          <w:szCs w:val="24"/>
        </w:rPr>
      </w:pPr>
      <w:r w:rsidRPr="00EB6A4A">
        <w:rPr>
          <w:b w:val="0"/>
          <w:sz w:val="24"/>
          <w:szCs w:val="24"/>
        </w:rPr>
        <w:t xml:space="preserve">The </w:t>
      </w:r>
      <w:proofErr w:type="gramStart"/>
      <w:r w:rsidRPr="00EB6A4A">
        <w:rPr>
          <w:b w:val="0"/>
          <w:sz w:val="24"/>
          <w:szCs w:val="24"/>
        </w:rPr>
        <w:t>above mentioned</w:t>
      </w:r>
      <w:proofErr w:type="gramEnd"/>
      <w:r w:rsidRPr="00EB6A4A">
        <w:rPr>
          <w:b w:val="0"/>
          <w:sz w:val="24"/>
          <w:szCs w:val="24"/>
        </w:rPr>
        <w:t xml:space="preserve"> reporting standards required registrable superannuation entities (RSEs) to </w:t>
      </w:r>
      <w:r w:rsidR="00955F0A" w:rsidRPr="00EB6A4A">
        <w:rPr>
          <w:b w:val="0"/>
          <w:sz w:val="24"/>
          <w:szCs w:val="24"/>
        </w:rPr>
        <w:t>provide information to APRA relating to acquired insurance arrangements within a registrable superannuation entity (SRS 250.0),</w:t>
      </w:r>
      <w:r w:rsidR="00955F0A" w:rsidRPr="00EB6A4A">
        <w:rPr>
          <w:rFonts w:ascii="Helvetica" w:hAnsi="Helvetica" w:cs="Helvetica"/>
          <w:color w:val="4A4E57"/>
          <w:sz w:val="21"/>
          <w:szCs w:val="21"/>
          <w:shd w:val="clear" w:color="auto" w:fill="FFFFFF"/>
        </w:rPr>
        <w:t xml:space="preserve"> </w:t>
      </w:r>
      <w:r w:rsidR="00955F0A" w:rsidRPr="00EB6A4A">
        <w:rPr>
          <w:b w:val="0"/>
          <w:sz w:val="24"/>
          <w:szCs w:val="24"/>
        </w:rPr>
        <w:t xml:space="preserve">the strategic and actual asset allocation and members’ benefits flows of a select investment option (SRS 533.1) and the fees and costs required to be disclosed on a Product Disclosure Statement relating to a </w:t>
      </w:r>
      <w:proofErr w:type="spellStart"/>
      <w:r w:rsidR="00955F0A" w:rsidRPr="00EB6A4A">
        <w:rPr>
          <w:b w:val="0"/>
          <w:sz w:val="24"/>
          <w:szCs w:val="24"/>
        </w:rPr>
        <w:t>MySuper</w:t>
      </w:r>
      <w:proofErr w:type="spellEnd"/>
      <w:r w:rsidR="00955F0A" w:rsidRPr="00EB6A4A">
        <w:rPr>
          <w:b w:val="0"/>
          <w:sz w:val="24"/>
          <w:szCs w:val="24"/>
        </w:rPr>
        <w:t xml:space="preserve"> product (SRS 703.0).</w:t>
      </w:r>
    </w:p>
    <w:p w14:paraId="2F25927D" w14:textId="3D9246BF" w:rsidR="00551557" w:rsidRPr="00EB6A4A" w:rsidRDefault="00027E20" w:rsidP="003C5307">
      <w:pPr>
        <w:pStyle w:val="Heading"/>
        <w:spacing w:after="240"/>
        <w:rPr>
          <w:b w:val="0"/>
          <w:sz w:val="24"/>
          <w:szCs w:val="24"/>
        </w:rPr>
      </w:pPr>
      <w:r w:rsidRPr="00EB6A4A">
        <w:rPr>
          <w:b w:val="0"/>
          <w:sz w:val="24"/>
          <w:szCs w:val="24"/>
        </w:rPr>
        <w:t xml:space="preserve">In September 2021, APRA determined </w:t>
      </w:r>
      <w:r w:rsidR="00C251B5" w:rsidRPr="00EB6A4A">
        <w:rPr>
          <w:b w:val="0"/>
          <w:sz w:val="24"/>
          <w:szCs w:val="24"/>
        </w:rPr>
        <w:t>ten</w:t>
      </w:r>
      <w:r w:rsidRPr="00EB6A4A">
        <w:rPr>
          <w:b w:val="0"/>
          <w:sz w:val="24"/>
          <w:szCs w:val="24"/>
        </w:rPr>
        <w:t xml:space="preserve"> new reporting standards as a part of APRA’s Superannuation Data Transformation (SDT) project</w:t>
      </w:r>
      <w:r w:rsidR="00C251B5" w:rsidRPr="00EB6A4A">
        <w:rPr>
          <w:b w:val="0"/>
          <w:sz w:val="24"/>
          <w:szCs w:val="24"/>
        </w:rPr>
        <w:t>,</w:t>
      </w:r>
      <w:r w:rsidR="00F25719" w:rsidRPr="00EB6A4A">
        <w:rPr>
          <w:b w:val="0"/>
          <w:sz w:val="24"/>
          <w:szCs w:val="24"/>
        </w:rPr>
        <w:t xml:space="preserve"> which aims to collect accurate and comparable data on the superannuation industry to enable appropriate regulatory oversight, </w:t>
      </w:r>
      <w:proofErr w:type="gramStart"/>
      <w:r w:rsidR="00F25719" w:rsidRPr="00EB6A4A">
        <w:rPr>
          <w:b w:val="0"/>
          <w:sz w:val="24"/>
          <w:szCs w:val="24"/>
        </w:rPr>
        <w:lastRenderedPageBreak/>
        <w:t>transparency</w:t>
      </w:r>
      <w:proofErr w:type="gramEnd"/>
      <w:r w:rsidR="00F25719" w:rsidRPr="00EB6A4A">
        <w:rPr>
          <w:b w:val="0"/>
          <w:sz w:val="24"/>
          <w:szCs w:val="24"/>
        </w:rPr>
        <w:t xml:space="preserve"> and accountability for RSE licensees</w:t>
      </w:r>
      <w:r w:rsidRPr="00EB6A4A">
        <w:rPr>
          <w:b w:val="0"/>
          <w:sz w:val="24"/>
          <w:szCs w:val="24"/>
        </w:rPr>
        <w:t>. Some of those reporting standards</w:t>
      </w:r>
      <w:r w:rsidR="000E7E1E" w:rsidRPr="00EB6A4A">
        <w:rPr>
          <w:b w:val="0"/>
          <w:sz w:val="24"/>
          <w:szCs w:val="24"/>
        </w:rPr>
        <w:t xml:space="preserve"> (specifically </w:t>
      </w:r>
      <w:r w:rsidR="000E7E1E" w:rsidRPr="00EB6A4A">
        <w:rPr>
          <w:b w:val="0"/>
          <w:i/>
          <w:sz w:val="24"/>
          <w:szCs w:val="24"/>
        </w:rPr>
        <w:t xml:space="preserve">Reporting Standard SRS </w:t>
      </w:r>
      <w:r w:rsidR="00C251B5" w:rsidRPr="00EB6A4A">
        <w:rPr>
          <w:b w:val="0"/>
          <w:i/>
          <w:sz w:val="24"/>
          <w:szCs w:val="24"/>
        </w:rPr>
        <w:t>251.0 Insurance</w:t>
      </w:r>
      <w:r w:rsidR="00C251B5" w:rsidRPr="00EB6A4A">
        <w:rPr>
          <w:b w:val="0"/>
          <w:sz w:val="24"/>
          <w:szCs w:val="24"/>
        </w:rPr>
        <w:t xml:space="preserve">, </w:t>
      </w:r>
      <w:r w:rsidR="00C251B5" w:rsidRPr="00EB6A4A">
        <w:rPr>
          <w:b w:val="0"/>
          <w:i/>
          <w:sz w:val="24"/>
          <w:szCs w:val="24"/>
        </w:rPr>
        <w:t>Reporting Standard SRS 550.0 Asset Allocation</w:t>
      </w:r>
      <w:r w:rsidR="00C251B5" w:rsidRPr="00EB6A4A">
        <w:rPr>
          <w:b w:val="0"/>
          <w:sz w:val="24"/>
          <w:szCs w:val="24"/>
        </w:rPr>
        <w:t xml:space="preserve"> </w:t>
      </w:r>
      <w:r w:rsidR="00C251B5" w:rsidRPr="00EB6A4A">
        <w:rPr>
          <w:b w:val="0"/>
          <w:i/>
          <w:sz w:val="24"/>
          <w:szCs w:val="24"/>
        </w:rPr>
        <w:t>and Reporting Standard SRS 706.0 Fees and Costs</w:t>
      </w:r>
      <w:r w:rsidR="00C251B5" w:rsidRPr="00EB6A4A">
        <w:rPr>
          <w:b w:val="0"/>
          <w:sz w:val="24"/>
          <w:szCs w:val="24"/>
        </w:rPr>
        <w:t xml:space="preserve"> (together, the New Reporting Standards))</w:t>
      </w:r>
      <w:r w:rsidRPr="00EB6A4A">
        <w:rPr>
          <w:b w:val="0"/>
          <w:sz w:val="24"/>
          <w:szCs w:val="24"/>
        </w:rPr>
        <w:t xml:space="preserve"> collect</w:t>
      </w:r>
      <w:r w:rsidR="00F25719" w:rsidRPr="00EB6A4A">
        <w:rPr>
          <w:b w:val="0"/>
          <w:sz w:val="24"/>
          <w:szCs w:val="24"/>
        </w:rPr>
        <w:t xml:space="preserve"> information which overlaps with the three reporting standards listed above. </w:t>
      </w:r>
      <w:bookmarkStart w:id="4" w:name="_Hlk116328374"/>
      <w:r w:rsidR="00F25719" w:rsidRPr="00EB6A4A">
        <w:rPr>
          <w:b w:val="0"/>
          <w:sz w:val="24"/>
          <w:szCs w:val="24"/>
        </w:rPr>
        <w:t xml:space="preserve">After a period of parallel reporting to ensure the quality of the data submitted under the </w:t>
      </w:r>
      <w:r w:rsidR="00C251B5" w:rsidRPr="00EB6A4A">
        <w:rPr>
          <w:b w:val="0"/>
          <w:sz w:val="24"/>
          <w:szCs w:val="24"/>
        </w:rPr>
        <w:t>N</w:t>
      </w:r>
      <w:r w:rsidR="00F25719" w:rsidRPr="00EB6A4A">
        <w:rPr>
          <w:b w:val="0"/>
          <w:sz w:val="24"/>
          <w:szCs w:val="24"/>
        </w:rPr>
        <w:t xml:space="preserve">ew </w:t>
      </w:r>
      <w:r w:rsidR="00C251B5" w:rsidRPr="00EB6A4A">
        <w:rPr>
          <w:b w:val="0"/>
          <w:sz w:val="24"/>
          <w:szCs w:val="24"/>
        </w:rPr>
        <w:t>R</w:t>
      </w:r>
      <w:r w:rsidR="00F25719" w:rsidRPr="00EB6A4A">
        <w:rPr>
          <w:b w:val="0"/>
          <w:sz w:val="24"/>
          <w:szCs w:val="24"/>
        </w:rPr>
        <w:t xml:space="preserve">eporting </w:t>
      </w:r>
      <w:r w:rsidR="00C251B5" w:rsidRPr="00EB6A4A">
        <w:rPr>
          <w:b w:val="0"/>
          <w:sz w:val="24"/>
          <w:szCs w:val="24"/>
        </w:rPr>
        <w:t>S</w:t>
      </w:r>
      <w:r w:rsidR="00F25719" w:rsidRPr="00EB6A4A">
        <w:rPr>
          <w:b w:val="0"/>
          <w:sz w:val="24"/>
          <w:szCs w:val="24"/>
        </w:rPr>
        <w:t>tandards</w:t>
      </w:r>
      <w:r w:rsidR="000E7E1E" w:rsidRPr="00EB6A4A">
        <w:rPr>
          <w:b w:val="0"/>
          <w:sz w:val="24"/>
          <w:szCs w:val="24"/>
        </w:rPr>
        <w:t xml:space="preserve"> is sufficient</w:t>
      </w:r>
      <w:r w:rsidR="00F25719" w:rsidRPr="00EB6A4A">
        <w:rPr>
          <w:b w:val="0"/>
          <w:sz w:val="24"/>
          <w:szCs w:val="24"/>
        </w:rPr>
        <w:t xml:space="preserve">, </w:t>
      </w:r>
      <w:r w:rsidR="000E7E1E" w:rsidRPr="00EB6A4A">
        <w:rPr>
          <w:b w:val="0"/>
          <w:sz w:val="24"/>
          <w:szCs w:val="24"/>
        </w:rPr>
        <w:t>APRA has determined that collection of information under the three reporting standards listed above is no longer required</w:t>
      </w:r>
      <w:bookmarkEnd w:id="4"/>
      <w:r w:rsidR="000E7E1E" w:rsidRPr="00EB6A4A">
        <w:rPr>
          <w:b w:val="0"/>
          <w:sz w:val="24"/>
          <w:szCs w:val="24"/>
        </w:rPr>
        <w:t xml:space="preserve">. </w:t>
      </w:r>
    </w:p>
    <w:p w14:paraId="349A167C" w14:textId="13AFBB90" w:rsidR="00211AFD"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 xml:space="preserve">nstruments </w:t>
      </w:r>
    </w:p>
    <w:p w14:paraId="4D966990" w14:textId="283178BD" w:rsidR="00C672BA" w:rsidRPr="00EB6A4A" w:rsidRDefault="00C672BA" w:rsidP="00211AFD">
      <w:pPr>
        <w:numPr>
          <w:ilvl w:val="0"/>
          <w:numId w:val="0"/>
        </w:numPr>
        <w:rPr>
          <w:rFonts w:ascii="Times New Roman" w:hAnsi="Times New Roman" w:cs="Times New Roman"/>
          <w:b/>
          <w:sz w:val="24"/>
          <w:szCs w:val="24"/>
        </w:rPr>
      </w:pPr>
      <w:r w:rsidRPr="00EB6A4A">
        <w:rPr>
          <w:rFonts w:ascii="Times New Roman" w:hAnsi="Times New Roman"/>
          <w:sz w:val="24"/>
          <w:szCs w:val="24"/>
        </w:rPr>
        <w:t xml:space="preserve">The purpose of the </w:t>
      </w:r>
      <w:r w:rsidR="00287F47" w:rsidRPr="00EB6A4A">
        <w:rPr>
          <w:rFonts w:ascii="Times New Roman" w:hAnsi="Times New Roman"/>
          <w:sz w:val="24"/>
          <w:szCs w:val="24"/>
        </w:rPr>
        <w:t>Legislative I</w:t>
      </w:r>
      <w:r w:rsidRPr="00EB6A4A">
        <w:rPr>
          <w:rFonts w:ascii="Times New Roman" w:hAnsi="Times New Roman"/>
          <w:sz w:val="24"/>
          <w:szCs w:val="24"/>
        </w:rPr>
        <w:t>nstrument</w:t>
      </w:r>
      <w:r w:rsidR="003C5307" w:rsidRPr="00EB6A4A">
        <w:rPr>
          <w:rFonts w:ascii="Times New Roman" w:hAnsi="Times New Roman"/>
          <w:sz w:val="24"/>
          <w:szCs w:val="24"/>
        </w:rPr>
        <w:t>s</w:t>
      </w:r>
      <w:r w:rsidRPr="00EB6A4A">
        <w:rPr>
          <w:rFonts w:ascii="Times New Roman" w:hAnsi="Times New Roman"/>
          <w:sz w:val="24"/>
          <w:szCs w:val="24"/>
        </w:rPr>
        <w:t xml:space="preserve"> is to revoke the </w:t>
      </w:r>
      <w:r w:rsidR="002C5B3B" w:rsidRPr="00EB6A4A">
        <w:rPr>
          <w:rFonts w:ascii="Times New Roman" w:hAnsi="Times New Roman"/>
          <w:sz w:val="24"/>
          <w:szCs w:val="24"/>
        </w:rPr>
        <w:t>three</w:t>
      </w:r>
      <w:r w:rsidR="003C5307" w:rsidRPr="00EB6A4A">
        <w:rPr>
          <w:rFonts w:ascii="Times New Roman" w:hAnsi="Times New Roman"/>
          <w:sz w:val="24"/>
          <w:szCs w:val="24"/>
        </w:rPr>
        <w:t xml:space="preserve"> reporting standards </w:t>
      </w:r>
      <w:r w:rsidRPr="00EB6A4A">
        <w:rPr>
          <w:rFonts w:ascii="Times New Roman" w:hAnsi="Times New Roman"/>
          <w:sz w:val="24"/>
          <w:szCs w:val="24"/>
        </w:rPr>
        <w:t>listed above. The information collected under those reporting standards is now collected under</w:t>
      </w:r>
      <w:r w:rsidR="00287F47" w:rsidRPr="00EB6A4A">
        <w:rPr>
          <w:rFonts w:ascii="Times New Roman" w:hAnsi="Times New Roman"/>
          <w:sz w:val="24"/>
          <w:szCs w:val="24"/>
        </w:rPr>
        <w:t xml:space="preserve"> New R</w:t>
      </w:r>
      <w:r w:rsidRPr="00EB6A4A">
        <w:rPr>
          <w:rFonts w:ascii="Times New Roman" w:hAnsi="Times New Roman"/>
          <w:sz w:val="24"/>
          <w:szCs w:val="24"/>
        </w:rPr>
        <w:t xml:space="preserve">eporting </w:t>
      </w:r>
      <w:r w:rsidR="00287F47" w:rsidRPr="00EB6A4A">
        <w:rPr>
          <w:rFonts w:ascii="Times New Roman" w:hAnsi="Times New Roman"/>
          <w:sz w:val="24"/>
          <w:szCs w:val="24"/>
        </w:rPr>
        <w:t>S</w:t>
      </w:r>
      <w:r w:rsidRPr="00EB6A4A">
        <w:rPr>
          <w:rFonts w:ascii="Times New Roman" w:hAnsi="Times New Roman"/>
          <w:sz w:val="24"/>
          <w:szCs w:val="24"/>
        </w:rPr>
        <w:t>tandards</w:t>
      </w:r>
      <w:r w:rsidR="00287F47" w:rsidRPr="00EB6A4A">
        <w:rPr>
          <w:rFonts w:ascii="Times New Roman" w:hAnsi="Times New Roman"/>
          <w:sz w:val="24"/>
          <w:szCs w:val="24"/>
        </w:rPr>
        <w:t xml:space="preserve"> which were determined as a part of APRA’s SDT project</w:t>
      </w:r>
      <w:r w:rsidRPr="00EB6A4A">
        <w:rPr>
          <w:rFonts w:ascii="Times New Roman" w:hAnsi="Times New Roman" w:cs="Times New Roman"/>
          <w:sz w:val="24"/>
          <w:szCs w:val="24"/>
        </w:rPr>
        <w:t>.</w:t>
      </w:r>
    </w:p>
    <w:p w14:paraId="3F2697B4" w14:textId="7D660338" w:rsidR="00211AFD"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3.</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3F7A95D7" w14:textId="669CCE05" w:rsidR="00B670E9" w:rsidRPr="00EB6A4A" w:rsidRDefault="003C5307" w:rsidP="003C5307">
      <w:pPr>
        <w:pStyle w:val="Heading"/>
        <w:tabs>
          <w:tab w:val="left" w:pos="360"/>
        </w:tabs>
        <w:spacing w:after="240"/>
        <w:rPr>
          <w:b w:val="0"/>
          <w:sz w:val="24"/>
          <w:szCs w:val="24"/>
        </w:rPr>
      </w:pPr>
      <w:r w:rsidRPr="00EB6A4A">
        <w:rPr>
          <w:b w:val="0"/>
          <w:sz w:val="24"/>
          <w:szCs w:val="24"/>
        </w:rPr>
        <w:t xml:space="preserve">APRA undertook public consultation on the proposed cessation of the reporting standards from </w:t>
      </w:r>
      <w:r w:rsidR="00B516AF" w:rsidRPr="00EB6A4A">
        <w:rPr>
          <w:b w:val="0"/>
          <w:sz w:val="24"/>
          <w:szCs w:val="24"/>
        </w:rPr>
        <w:t>April</w:t>
      </w:r>
      <w:r w:rsidR="00AA2EBB" w:rsidRPr="00EB6A4A">
        <w:rPr>
          <w:b w:val="0"/>
          <w:sz w:val="24"/>
          <w:szCs w:val="24"/>
        </w:rPr>
        <w:t xml:space="preserve"> 202</w:t>
      </w:r>
      <w:r w:rsidR="00B516AF" w:rsidRPr="00EB6A4A">
        <w:rPr>
          <w:b w:val="0"/>
          <w:sz w:val="24"/>
          <w:szCs w:val="24"/>
        </w:rPr>
        <w:t>2</w:t>
      </w:r>
      <w:r w:rsidR="00AA2EBB" w:rsidRPr="00EB6A4A">
        <w:rPr>
          <w:b w:val="0"/>
          <w:sz w:val="24"/>
          <w:szCs w:val="24"/>
        </w:rPr>
        <w:t xml:space="preserve"> to </w:t>
      </w:r>
      <w:r w:rsidR="00B516AF" w:rsidRPr="00EB6A4A">
        <w:rPr>
          <w:b w:val="0"/>
          <w:sz w:val="24"/>
          <w:szCs w:val="24"/>
        </w:rPr>
        <w:t>May</w:t>
      </w:r>
      <w:r w:rsidR="00AA2EBB" w:rsidRPr="00EB6A4A">
        <w:rPr>
          <w:b w:val="0"/>
          <w:sz w:val="24"/>
          <w:szCs w:val="24"/>
        </w:rPr>
        <w:t xml:space="preserve"> 202</w:t>
      </w:r>
      <w:r w:rsidR="00B516AF" w:rsidRPr="00EB6A4A">
        <w:rPr>
          <w:b w:val="0"/>
          <w:sz w:val="24"/>
          <w:szCs w:val="24"/>
        </w:rPr>
        <w:t>2</w:t>
      </w:r>
      <w:r w:rsidRPr="00EB6A4A">
        <w:rPr>
          <w:b w:val="0"/>
          <w:sz w:val="24"/>
          <w:szCs w:val="24"/>
        </w:rPr>
        <w:t xml:space="preserve"> as part of the </w:t>
      </w:r>
      <w:r w:rsidR="00AA2EBB" w:rsidRPr="00EB6A4A">
        <w:rPr>
          <w:b w:val="0"/>
          <w:sz w:val="24"/>
          <w:szCs w:val="24"/>
        </w:rPr>
        <w:t>Superannuation Data Transformation</w:t>
      </w:r>
      <w:r w:rsidRPr="00EB6A4A">
        <w:rPr>
          <w:b w:val="0"/>
          <w:sz w:val="24"/>
          <w:szCs w:val="24"/>
        </w:rPr>
        <w:t xml:space="preserve"> </w:t>
      </w:r>
      <w:r w:rsidR="00670A53" w:rsidRPr="00EB6A4A">
        <w:rPr>
          <w:b w:val="0"/>
          <w:sz w:val="24"/>
          <w:szCs w:val="24"/>
        </w:rPr>
        <w:t xml:space="preserve">Project Phase 2 </w:t>
      </w:r>
      <w:r w:rsidRPr="00EB6A4A">
        <w:rPr>
          <w:b w:val="0"/>
          <w:sz w:val="24"/>
          <w:szCs w:val="24"/>
        </w:rPr>
        <w:t xml:space="preserve">consultation. Submissions were received from both reporting entities and industry bodies, with no objections raised in response to the proposed revocation of the reporting standards. APRA confirmed its intention to revoke the reporting standards </w:t>
      </w:r>
      <w:r w:rsidR="00D85669" w:rsidRPr="00EB6A4A">
        <w:rPr>
          <w:b w:val="0"/>
          <w:sz w:val="24"/>
          <w:szCs w:val="24"/>
        </w:rPr>
        <w:t>a response paper dated</w:t>
      </w:r>
      <w:r w:rsidRPr="00EB6A4A">
        <w:rPr>
          <w:b w:val="0"/>
          <w:sz w:val="24"/>
          <w:szCs w:val="24"/>
        </w:rPr>
        <w:t xml:space="preserve"> </w:t>
      </w:r>
      <w:r w:rsidR="00670A53" w:rsidRPr="00EB6A4A">
        <w:rPr>
          <w:b w:val="0"/>
          <w:sz w:val="24"/>
          <w:szCs w:val="24"/>
        </w:rPr>
        <w:t>August</w:t>
      </w:r>
      <w:r w:rsidR="00AA2EBB" w:rsidRPr="00EB6A4A">
        <w:rPr>
          <w:b w:val="0"/>
          <w:sz w:val="24"/>
          <w:szCs w:val="24"/>
        </w:rPr>
        <w:t xml:space="preserve"> </w:t>
      </w:r>
      <w:r w:rsidR="00670A53" w:rsidRPr="00EB6A4A">
        <w:rPr>
          <w:b w:val="0"/>
          <w:sz w:val="24"/>
          <w:szCs w:val="24"/>
        </w:rPr>
        <w:t>2022</w:t>
      </w:r>
      <w:r w:rsidRPr="00EB6A4A">
        <w:rPr>
          <w:b w:val="0"/>
          <w:sz w:val="24"/>
          <w:szCs w:val="24"/>
        </w:rPr>
        <w:t xml:space="preserve"> </w:t>
      </w:r>
      <w:r w:rsidR="00D85669" w:rsidRPr="00EB6A4A">
        <w:rPr>
          <w:b w:val="0"/>
          <w:sz w:val="24"/>
          <w:szCs w:val="24"/>
        </w:rPr>
        <w:t>titled ‘</w:t>
      </w:r>
      <w:r w:rsidR="00BC0D0D" w:rsidRPr="00EB6A4A">
        <w:rPr>
          <w:i/>
          <w:sz w:val="24"/>
          <w:szCs w:val="24"/>
        </w:rPr>
        <w:t>Superannuation Data Transformation Project Phase 2</w:t>
      </w:r>
      <w:r w:rsidR="00D85669" w:rsidRPr="00EB6A4A">
        <w:rPr>
          <w:sz w:val="24"/>
          <w:szCs w:val="24"/>
        </w:rPr>
        <w:t xml:space="preserve">’ </w:t>
      </w:r>
      <w:r w:rsidR="00D85669" w:rsidRPr="00EB6A4A">
        <w:rPr>
          <w:b w:val="0"/>
          <w:sz w:val="24"/>
          <w:szCs w:val="24"/>
        </w:rPr>
        <w:t>which was published on APRA’s website</w:t>
      </w:r>
      <w:r w:rsidR="00AA2EBB" w:rsidRPr="00EB6A4A">
        <w:rPr>
          <w:b w:val="0"/>
          <w:sz w:val="24"/>
          <w:szCs w:val="24"/>
        </w:rPr>
        <w:t>.</w:t>
      </w:r>
    </w:p>
    <w:p w14:paraId="1D2864CC" w14:textId="05A2D7DE" w:rsidR="00211AFD"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4.</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Regulation Impact Statement</w:t>
      </w:r>
    </w:p>
    <w:p w14:paraId="31AFB503" w14:textId="48F3E247" w:rsidR="00211AFD" w:rsidRPr="00EB6A4A" w:rsidRDefault="0000172A" w:rsidP="00211AFD">
      <w:pPr>
        <w:numPr>
          <w:ilvl w:val="0"/>
          <w:numId w:val="0"/>
        </w:numPr>
        <w:rPr>
          <w:rFonts w:ascii="Times New Roman" w:hAnsi="Times New Roman" w:cs="Times New Roman"/>
          <w:sz w:val="24"/>
          <w:szCs w:val="24"/>
        </w:rPr>
      </w:pPr>
      <w:r w:rsidRPr="00EB6A4A">
        <w:rPr>
          <w:rFonts w:ascii="Times New Roman" w:hAnsi="Times New Roman" w:cs="Times New Roman"/>
          <w:sz w:val="24"/>
          <w:szCs w:val="24"/>
        </w:rPr>
        <w:t>A</w:t>
      </w:r>
      <w:r w:rsidR="00AA2EBB" w:rsidRPr="00EB6A4A">
        <w:rPr>
          <w:rFonts w:ascii="Times New Roman" w:hAnsi="Times New Roman" w:cs="Times New Roman"/>
          <w:sz w:val="24"/>
          <w:szCs w:val="24"/>
        </w:rPr>
        <w:t xml:space="preserve"> </w:t>
      </w:r>
      <w:r w:rsidR="00911DBD" w:rsidRPr="004107E9">
        <w:rPr>
          <w:rFonts w:ascii="Times New Roman" w:hAnsi="Times New Roman" w:cs="Times New Roman"/>
          <w:sz w:val="24"/>
          <w:szCs w:val="24"/>
        </w:rPr>
        <w:t>Regulation Impact Statement</w:t>
      </w:r>
      <w:r w:rsidR="00AA2EBB" w:rsidRPr="00EB6A4A">
        <w:rPr>
          <w:rFonts w:ascii="Times New Roman" w:hAnsi="Times New Roman" w:cs="Times New Roman"/>
          <w:sz w:val="24"/>
          <w:szCs w:val="24"/>
        </w:rPr>
        <w:t xml:space="preserve"> </w:t>
      </w:r>
      <w:r w:rsidRPr="00EB6A4A">
        <w:rPr>
          <w:rFonts w:ascii="Times New Roman" w:hAnsi="Times New Roman" w:cs="Times New Roman"/>
          <w:sz w:val="24"/>
          <w:szCs w:val="24"/>
        </w:rPr>
        <w:t xml:space="preserve">was prepared and lodged in connection with </w:t>
      </w:r>
      <w:r w:rsidR="00AA2EBB" w:rsidRPr="00EB6A4A">
        <w:rPr>
          <w:rFonts w:ascii="Times New Roman" w:hAnsi="Times New Roman" w:cs="Times New Roman"/>
          <w:sz w:val="24"/>
          <w:szCs w:val="24"/>
        </w:rPr>
        <w:t>the wider Superannuation Data Transformation project</w:t>
      </w:r>
      <w:r w:rsidRPr="00EB6A4A">
        <w:rPr>
          <w:rFonts w:ascii="Times New Roman" w:hAnsi="Times New Roman" w:cs="Times New Roman"/>
          <w:sz w:val="24"/>
          <w:szCs w:val="24"/>
        </w:rPr>
        <w:t xml:space="preserve"> which contemplates the revocation of the </w:t>
      </w:r>
      <w:r w:rsidR="00027E20" w:rsidRPr="00EB6A4A">
        <w:rPr>
          <w:rFonts w:ascii="Times New Roman" w:hAnsi="Times New Roman" w:cs="Times New Roman"/>
          <w:sz w:val="24"/>
          <w:szCs w:val="24"/>
        </w:rPr>
        <w:t xml:space="preserve">three reporting standards </w:t>
      </w:r>
      <w:r w:rsidR="00287F47" w:rsidRPr="00EB6A4A">
        <w:rPr>
          <w:rFonts w:ascii="Times New Roman" w:hAnsi="Times New Roman" w:cs="Times New Roman"/>
          <w:sz w:val="24"/>
          <w:szCs w:val="24"/>
        </w:rPr>
        <w:t>listed above</w:t>
      </w:r>
      <w:r w:rsidR="00383BC0" w:rsidRPr="00EB6A4A">
        <w:rPr>
          <w:rFonts w:ascii="Times New Roman" w:hAnsi="Times New Roman" w:cs="Times New Roman"/>
          <w:sz w:val="24"/>
          <w:szCs w:val="24"/>
        </w:rPr>
        <w:t>.</w:t>
      </w:r>
      <w:r w:rsidR="00AA2EBB" w:rsidRPr="00EB6A4A">
        <w:rPr>
          <w:rFonts w:ascii="Times New Roman" w:hAnsi="Times New Roman" w:cs="Times New Roman"/>
          <w:sz w:val="24"/>
          <w:szCs w:val="24"/>
        </w:rPr>
        <w:t xml:space="preserve"> </w:t>
      </w:r>
      <w:r w:rsidR="00211AFD" w:rsidRPr="00EB6A4A">
        <w:rPr>
          <w:rFonts w:ascii="Times New Roman" w:hAnsi="Times New Roman" w:cs="Times New Roman"/>
          <w:sz w:val="24"/>
          <w:szCs w:val="24"/>
        </w:rPr>
        <w:t xml:space="preserve"> </w:t>
      </w:r>
    </w:p>
    <w:p w14:paraId="476EB71B" w14:textId="17812B34" w:rsidR="00B670E9" w:rsidRPr="00EB6A4A" w:rsidRDefault="00B670E9" w:rsidP="003163CB">
      <w:pPr>
        <w:pStyle w:val="Heading"/>
        <w:spacing w:before="0" w:after="240"/>
        <w:jc w:val="both"/>
        <w:rPr>
          <w:rFonts w:cs="Times New Roman"/>
          <w:i/>
          <w:sz w:val="24"/>
          <w:szCs w:val="24"/>
        </w:rPr>
      </w:pPr>
      <w:r w:rsidRPr="00EB6A4A">
        <w:rPr>
          <w:rFonts w:cs="Times New Roman"/>
          <w:sz w:val="24"/>
          <w:szCs w:val="24"/>
        </w:rPr>
        <w:t>5.</w:t>
      </w:r>
      <w:r w:rsidRPr="00EB6A4A">
        <w:rPr>
          <w:rFonts w:cs="Times New Roman"/>
          <w:sz w:val="24"/>
          <w:szCs w:val="24"/>
        </w:rPr>
        <w:tab/>
        <w:t xml:space="preserve">Statement of compatibility prepared in accordance with Part 3 of the </w:t>
      </w:r>
      <w:r w:rsidRPr="00EB6A4A">
        <w:rPr>
          <w:rFonts w:cs="Times New Roman"/>
          <w:i/>
          <w:sz w:val="24"/>
          <w:szCs w:val="24"/>
        </w:rPr>
        <w:t>Human Rights (Parliamentary Scrutiny) Act 2011</w:t>
      </w:r>
    </w:p>
    <w:p w14:paraId="7D7364B1" w14:textId="77777777"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06190B02" w14:textId="34819669" w:rsidR="00B670E9" w:rsidRPr="00EB6A4A" w:rsidRDefault="00B670E9" w:rsidP="00A34ADD">
      <w:pPr>
        <w:rPr>
          <w:rFonts w:ascii="Times New Roman" w:hAnsi="Times New Roman" w:cs="Times New Roman"/>
          <w:sz w:val="24"/>
          <w:szCs w:val="24"/>
        </w:rPr>
      </w:pPr>
      <w:r w:rsidRPr="00EB6A4A">
        <w:rPr>
          <w:rFonts w:ascii="Times New Roman" w:hAnsi="Times New Roman"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615E615C" w:rsidR="00D0248E" w:rsidRPr="00EB6A4A" w:rsidRDefault="00D0248E" w:rsidP="00D0248E">
      <w:pPr>
        <w:jc w:val="center"/>
        <w:rPr>
          <w:rFonts w:ascii="Times New Roman" w:hAnsi="Times New Roman" w:cs="Times New Roman"/>
          <w:sz w:val="24"/>
          <w:szCs w:val="24"/>
        </w:rPr>
      </w:pPr>
      <w:r w:rsidRPr="00EB6A4A">
        <w:rPr>
          <w:rFonts w:ascii="Times New Roman" w:eastAsia="Times New Roman" w:hAnsi="Times New Roman" w:cs="Times New Roman"/>
          <w:b/>
          <w:sz w:val="24"/>
          <w:szCs w:val="24"/>
          <w:lang w:eastAsia="en-AU"/>
        </w:rPr>
        <w:t xml:space="preserve">Financial Sector (Collection of Data) (reporting standard) determination Nos. </w:t>
      </w:r>
      <w:r w:rsidR="00EE4C83" w:rsidRPr="00EB6A4A">
        <w:rPr>
          <w:rFonts w:ascii="Times New Roman" w:eastAsia="Times New Roman" w:hAnsi="Times New Roman" w:cs="Times New Roman"/>
          <w:b/>
          <w:sz w:val="24"/>
          <w:szCs w:val="24"/>
          <w:lang w:eastAsia="en-AU"/>
        </w:rPr>
        <w:t>18</w:t>
      </w:r>
      <w:r w:rsidRPr="00EB6A4A">
        <w:rPr>
          <w:rFonts w:ascii="Times New Roman" w:eastAsia="Times New Roman" w:hAnsi="Times New Roman" w:cs="Times New Roman"/>
          <w:b/>
          <w:sz w:val="24"/>
          <w:szCs w:val="24"/>
          <w:lang w:eastAsia="en-AU"/>
        </w:rPr>
        <w:t xml:space="preserve"> to </w:t>
      </w:r>
      <w:r w:rsidR="00EE4C83" w:rsidRPr="00EB6A4A">
        <w:rPr>
          <w:rFonts w:ascii="Times New Roman" w:eastAsia="Times New Roman" w:hAnsi="Times New Roman" w:cs="Times New Roman"/>
          <w:b/>
          <w:sz w:val="24"/>
          <w:szCs w:val="24"/>
          <w:lang w:eastAsia="en-AU"/>
        </w:rPr>
        <w:t>20</w:t>
      </w:r>
      <w:r w:rsidRPr="00EB6A4A">
        <w:rPr>
          <w:rFonts w:ascii="Times New Roman" w:eastAsia="Times New Roman" w:hAnsi="Times New Roman" w:cs="Times New Roman"/>
          <w:b/>
          <w:sz w:val="24"/>
          <w:szCs w:val="24"/>
          <w:lang w:eastAsia="en-AU"/>
        </w:rPr>
        <w:t xml:space="preserve"> of 2022</w:t>
      </w:r>
    </w:p>
    <w:p w14:paraId="06CCC3E0" w14:textId="3694DF05"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sz w:val="24"/>
          <w:szCs w:val="24"/>
        </w:rPr>
        <w:t xml:space="preserve">These Legislative Instruments are compatible with the human rights and freedoms recognised or declared in the international instrument listed in section 3 of the </w:t>
      </w:r>
      <w:r w:rsidRPr="00EB6A4A">
        <w:rPr>
          <w:rFonts w:ascii="Times New Roman" w:hAnsi="Times New Roman" w:cs="Times New Roman"/>
          <w:i/>
          <w:sz w:val="24"/>
          <w:szCs w:val="24"/>
        </w:rPr>
        <w:t>Human Rights (Parliamentary Scrutiny) Act 2011</w:t>
      </w:r>
      <w:r w:rsidRPr="00EB6A4A">
        <w:rPr>
          <w:rFonts w:ascii="Times New Roman" w:hAnsi="Times New Roman" w:cs="Times New Roman"/>
          <w:sz w:val="24"/>
          <w:szCs w:val="24"/>
        </w:rPr>
        <w:t xml:space="preserve"> (HRPS Act).</w:t>
      </w:r>
    </w:p>
    <w:p w14:paraId="78831E52" w14:textId="6A1D5288"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Overview of the Legislative Instruments</w:t>
      </w:r>
    </w:p>
    <w:p w14:paraId="4198A2F8" w14:textId="77777777" w:rsidR="003C5307" w:rsidRPr="00EB6A4A" w:rsidRDefault="00CD1253" w:rsidP="00C20386">
      <w:pPr>
        <w:rPr>
          <w:rFonts w:ascii="Times New Roman" w:hAnsi="Times New Roman" w:cs="Times New Roman"/>
          <w:sz w:val="24"/>
          <w:szCs w:val="24"/>
        </w:rPr>
      </w:pPr>
      <w:r w:rsidRPr="00EB6A4A">
        <w:rPr>
          <w:rFonts w:ascii="Times New Roman" w:hAnsi="Times New Roman" w:cs="Times New Roman"/>
          <w:sz w:val="24"/>
          <w:szCs w:val="24"/>
        </w:rPr>
        <w:t>The</w:t>
      </w:r>
      <w:r w:rsidR="00142132" w:rsidRPr="00EB6A4A">
        <w:rPr>
          <w:rFonts w:ascii="Times New Roman" w:hAnsi="Times New Roman" w:cs="Times New Roman"/>
          <w:sz w:val="24"/>
          <w:szCs w:val="24"/>
        </w:rPr>
        <w:t xml:space="preserve"> </w:t>
      </w:r>
      <w:r w:rsidRPr="00EB6A4A">
        <w:rPr>
          <w:rFonts w:ascii="Times New Roman" w:hAnsi="Times New Roman" w:cs="Times New Roman"/>
          <w:sz w:val="24"/>
          <w:szCs w:val="24"/>
        </w:rPr>
        <w:t xml:space="preserve">purpose </w:t>
      </w:r>
      <w:r w:rsidR="009136D0" w:rsidRPr="00EB6A4A">
        <w:rPr>
          <w:rFonts w:ascii="Times New Roman" w:hAnsi="Times New Roman" w:cs="Times New Roman"/>
          <w:sz w:val="24"/>
          <w:szCs w:val="24"/>
        </w:rPr>
        <w:t xml:space="preserve">of the Legislative Instruments </w:t>
      </w:r>
      <w:r w:rsidRPr="00EB6A4A">
        <w:rPr>
          <w:rFonts w:ascii="Times New Roman" w:hAnsi="Times New Roman" w:cs="Times New Roman"/>
          <w:sz w:val="24"/>
          <w:szCs w:val="24"/>
        </w:rPr>
        <w:t xml:space="preserve">is to </w:t>
      </w:r>
      <w:r w:rsidR="003C5307" w:rsidRPr="00EB6A4A">
        <w:rPr>
          <w:rFonts w:ascii="Times New Roman" w:eastAsia="Calibri" w:hAnsi="Times New Roman"/>
          <w:sz w:val="24"/>
          <w:szCs w:val="24"/>
        </w:rPr>
        <w:t>revoke the following instruments:</w:t>
      </w:r>
    </w:p>
    <w:p w14:paraId="08A8A7A9" w14:textId="0F52ECD4" w:rsidR="002C5B3B" w:rsidRPr="00EB6A4A" w:rsidRDefault="002C5B3B" w:rsidP="002C5B3B">
      <w:pPr>
        <w:pStyle w:val="ListParagraph"/>
        <w:numPr>
          <w:ilvl w:val="0"/>
          <w:numId w:val="21"/>
        </w:numPr>
        <w:tabs>
          <w:tab w:val="clear" w:pos="425"/>
          <w:tab w:val="clear" w:pos="851"/>
        </w:tabs>
        <w:ind w:left="567" w:hanging="567"/>
        <w:contextualSpacing w:val="0"/>
        <w:rPr>
          <w:rFonts w:ascii="Times New Roman" w:hAnsi="Times New Roman"/>
          <w:sz w:val="24"/>
          <w:szCs w:val="24"/>
        </w:rPr>
      </w:pPr>
      <w:r w:rsidRPr="00EB6A4A">
        <w:rPr>
          <w:rFonts w:ascii="Times New Roman" w:hAnsi="Times New Roman"/>
          <w:i/>
          <w:sz w:val="24"/>
          <w:szCs w:val="24"/>
        </w:rPr>
        <w:t>Reporting Standard SRS 250.0 Acquired Insurance</w:t>
      </w:r>
      <w:r w:rsidRPr="00EB6A4A">
        <w:rPr>
          <w:rFonts w:ascii="Times New Roman" w:hAnsi="Times New Roman"/>
          <w:sz w:val="24"/>
          <w:szCs w:val="24"/>
        </w:rPr>
        <w:t xml:space="preserve"> (SRS 250.0) made under Financial Sector (Collection of Data) (reporting standard) determination No. 6 of </w:t>
      </w:r>
      <w:proofErr w:type="gramStart"/>
      <w:r w:rsidRPr="00EB6A4A">
        <w:rPr>
          <w:rFonts w:ascii="Times New Roman" w:hAnsi="Times New Roman"/>
          <w:sz w:val="24"/>
          <w:szCs w:val="24"/>
        </w:rPr>
        <w:t>2015;</w:t>
      </w:r>
      <w:proofErr w:type="gramEnd"/>
    </w:p>
    <w:p w14:paraId="4934ABE0" w14:textId="0A349DAF" w:rsidR="002C5B3B" w:rsidRPr="00EB6A4A" w:rsidRDefault="002C5B3B" w:rsidP="002C5B3B">
      <w:pPr>
        <w:pStyle w:val="ListParagraph"/>
        <w:numPr>
          <w:ilvl w:val="0"/>
          <w:numId w:val="21"/>
        </w:numPr>
        <w:tabs>
          <w:tab w:val="clear" w:pos="425"/>
          <w:tab w:val="clear" w:pos="851"/>
        </w:tabs>
        <w:ind w:left="567" w:hanging="567"/>
        <w:contextualSpacing w:val="0"/>
        <w:rPr>
          <w:rFonts w:ascii="Times New Roman" w:hAnsi="Times New Roman"/>
          <w:sz w:val="24"/>
          <w:szCs w:val="24"/>
        </w:rPr>
      </w:pPr>
      <w:r w:rsidRPr="00EB6A4A">
        <w:rPr>
          <w:rFonts w:ascii="Times New Roman" w:hAnsi="Times New Roman"/>
          <w:i/>
          <w:sz w:val="24"/>
          <w:szCs w:val="24"/>
        </w:rPr>
        <w:t>Reporting Standard SRS 533.1 Asset Allocation and Members’ Benefits Flows</w:t>
      </w:r>
      <w:r w:rsidRPr="00EB6A4A">
        <w:rPr>
          <w:rFonts w:ascii="Times New Roman" w:hAnsi="Times New Roman"/>
          <w:sz w:val="24"/>
          <w:szCs w:val="24"/>
        </w:rPr>
        <w:t xml:space="preserve"> (SRS 533.1) made under Financial Sector (Collection of Data) (reporting standard) determination No. 38 of 2015; </w:t>
      </w:r>
      <w:r w:rsidR="00B12983" w:rsidRPr="00EB6A4A">
        <w:rPr>
          <w:rFonts w:ascii="Times New Roman" w:hAnsi="Times New Roman"/>
          <w:sz w:val="24"/>
          <w:szCs w:val="24"/>
        </w:rPr>
        <w:t xml:space="preserve">and </w:t>
      </w:r>
    </w:p>
    <w:p w14:paraId="04B29409" w14:textId="7CC9F2C4" w:rsidR="002C5B3B" w:rsidRPr="00EB6A4A" w:rsidRDefault="002C5B3B" w:rsidP="002C5B3B">
      <w:pPr>
        <w:pStyle w:val="ListParagraph"/>
        <w:numPr>
          <w:ilvl w:val="0"/>
          <w:numId w:val="21"/>
        </w:numPr>
        <w:tabs>
          <w:tab w:val="clear" w:pos="425"/>
          <w:tab w:val="clear" w:pos="851"/>
        </w:tabs>
        <w:ind w:left="567" w:hanging="567"/>
        <w:contextualSpacing w:val="0"/>
        <w:rPr>
          <w:rFonts w:ascii="Times New Roman" w:hAnsi="Times New Roman"/>
          <w:sz w:val="24"/>
          <w:szCs w:val="24"/>
        </w:rPr>
      </w:pPr>
      <w:r w:rsidRPr="00EB6A4A">
        <w:rPr>
          <w:rFonts w:ascii="Times New Roman" w:hAnsi="Times New Roman"/>
          <w:i/>
          <w:sz w:val="24"/>
          <w:szCs w:val="24"/>
        </w:rPr>
        <w:t>Reporting Standard SRS 703.0</w:t>
      </w:r>
      <w:r w:rsidRPr="00EB6A4A">
        <w:t xml:space="preserve"> </w:t>
      </w:r>
      <w:r w:rsidRPr="00EB6A4A">
        <w:rPr>
          <w:rFonts w:ascii="Times New Roman" w:hAnsi="Times New Roman"/>
          <w:i/>
          <w:sz w:val="24"/>
          <w:szCs w:val="24"/>
        </w:rPr>
        <w:t xml:space="preserve">Fees Disclosed </w:t>
      </w:r>
      <w:r w:rsidRPr="00EB6A4A">
        <w:rPr>
          <w:rFonts w:ascii="Times New Roman" w:hAnsi="Times New Roman"/>
          <w:sz w:val="24"/>
          <w:szCs w:val="24"/>
        </w:rPr>
        <w:t>(SRS 703.0) made under Financial Sector (Collection of Data) (reporting standard) determination No. 41 of 2015</w:t>
      </w:r>
      <w:r w:rsidR="00B12983" w:rsidRPr="00EB6A4A">
        <w:rPr>
          <w:rFonts w:ascii="Times New Roman" w:hAnsi="Times New Roman"/>
          <w:sz w:val="24"/>
          <w:szCs w:val="24"/>
        </w:rPr>
        <w:t>.</w:t>
      </w:r>
      <w:r w:rsidRPr="00EB6A4A">
        <w:rPr>
          <w:rFonts w:ascii="Times New Roman" w:hAnsi="Times New Roman"/>
          <w:sz w:val="24"/>
          <w:szCs w:val="24"/>
        </w:rPr>
        <w:t xml:space="preserve"> </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F4625FA"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Instruments and is of the view that they do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 xml:space="preserve">Instruments are 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sz w:val="24"/>
          <w:szCs w:val="24"/>
        </w:rPr>
        <w:t>These Legislative Instruments are compatible with human rights as they do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7C5B" w14:textId="77777777" w:rsidR="00211AFD" w:rsidRPr="000D4EDE" w:rsidRDefault="00211AFD" w:rsidP="000D4EDE">
      <w:r>
        <w:separator/>
      </w:r>
    </w:p>
  </w:endnote>
  <w:endnote w:type="continuationSeparator" w:id="0">
    <w:p w14:paraId="1600A6E2" w14:textId="77777777" w:rsidR="00211AFD" w:rsidRPr="000D4EDE" w:rsidRDefault="00211AFD" w:rsidP="000D4EDE">
      <w:r>
        <w:continuationSeparator/>
      </w:r>
    </w:p>
  </w:endnote>
  <w:endnote w:type="continuationNotice" w:id="1">
    <w:p w14:paraId="01E8A851"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A90E" w14:textId="77777777" w:rsidR="00211AFD" w:rsidRPr="000D4EDE" w:rsidRDefault="00211AFD" w:rsidP="000D4EDE">
      <w:r>
        <w:separator/>
      </w:r>
    </w:p>
  </w:footnote>
  <w:footnote w:type="continuationSeparator" w:id="0">
    <w:p w14:paraId="66A2755E" w14:textId="77777777" w:rsidR="00211AFD" w:rsidRPr="000D4EDE" w:rsidRDefault="00211AFD" w:rsidP="000D4EDE">
      <w:r>
        <w:continuationSeparator/>
      </w:r>
    </w:p>
  </w:footnote>
  <w:footnote w:type="continuationNotice" w:id="1">
    <w:p w14:paraId="46A071D9"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1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6"/>
  </w:num>
  <w:num w:numId="11">
    <w:abstractNumId w:val="4"/>
  </w:num>
  <w:num w:numId="12">
    <w:abstractNumId w:val="3"/>
  </w:num>
  <w:num w:numId="13">
    <w:abstractNumId w:val="19"/>
  </w:num>
  <w:num w:numId="14">
    <w:abstractNumId w:val="11"/>
  </w:num>
  <w:num w:numId="15">
    <w:abstractNumId w:val="8"/>
  </w:num>
  <w:num w:numId="16">
    <w:abstractNumId w:val="10"/>
  </w:num>
  <w:num w:numId="17">
    <w:abstractNumId w:val="15"/>
  </w:num>
  <w:num w:numId="18">
    <w:abstractNumId w:val="17"/>
  </w:num>
  <w:num w:numId="19">
    <w:abstractNumId w:val="13"/>
  </w:num>
  <w:num w:numId="20">
    <w:abstractNumId w:val="16"/>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4ED1"/>
    <w:rsid w:val="00005D98"/>
    <w:rsid w:val="00005F96"/>
    <w:rsid w:val="00007262"/>
    <w:rsid w:val="00010789"/>
    <w:rsid w:val="00011C96"/>
    <w:rsid w:val="000141B9"/>
    <w:rsid w:val="00014E49"/>
    <w:rsid w:val="00020E4C"/>
    <w:rsid w:val="00023CE3"/>
    <w:rsid w:val="00027E20"/>
    <w:rsid w:val="00031F27"/>
    <w:rsid w:val="00034A19"/>
    <w:rsid w:val="00036F9E"/>
    <w:rsid w:val="000413B3"/>
    <w:rsid w:val="000453D9"/>
    <w:rsid w:val="00045D7D"/>
    <w:rsid w:val="000573E5"/>
    <w:rsid w:val="00057B71"/>
    <w:rsid w:val="00063A1F"/>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E71FC"/>
    <w:rsid w:val="000E7E1E"/>
    <w:rsid w:val="000F0E6F"/>
    <w:rsid w:val="001018A5"/>
    <w:rsid w:val="00106F56"/>
    <w:rsid w:val="00115A39"/>
    <w:rsid w:val="00116AEF"/>
    <w:rsid w:val="00117479"/>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235E"/>
    <w:rsid w:val="00184187"/>
    <w:rsid w:val="001A4EA4"/>
    <w:rsid w:val="001A664F"/>
    <w:rsid w:val="001B2DB7"/>
    <w:rsid w:val="001B3A9F"/>
    <w:rsid w:val="001D0C02"/>
    <w:rsid w:val="001D3D43"/>
    <w:rsid w:val="001E0F51"/>
    <w:rsid w:val="001E55BF"/>
    <w:rsid w:val="001E6BCB"/>
    <w:rsid w:val="001F44B5"/>
    <w:rsid w:val="001F6E1A"/>
    <w:rsid w:val="001F780A"/>
    <w:rsid w:val="001F7917"/>
    <w:rsid w:val="00200613"/>
    <w:rsid w:val="00211AFD"/>
    <w:rsid w:val="00213909"/>
    <w:rsid w:val="00214883"/>
    <w:rsid w:val="002156F6"/>
    <w:rsid w:val="00220550"/>
    <w:rsid w:val="00222497"/>
    <w:rsid w:val="002301A2"/>
    <w:rsid w:val="00236C2D"/>
    <w:rsid w:val="00237201"/>
    <w:rsid w:val="002374B7"/>
    <w:rsid w:val="00240126"/>
    <w:rsid w:val="00241D16"/>
    <w:rsid w:val="00242384"/>
    <w:rsid w:val="0024304D"/>
    <w:rsid w:val="00243F15"/>
    <w:rsid w:val="00244826"/>
    <w:rsid w:val="00245E1B"/>
    <w:rsid w:val="00246839"/>
    <w:rsid w:val="00247ACA"/>
    <w:rsid w:val="0025287F"/>
    <w:rsid w:val="00252E6A"/>
    <w:rsid w:val="00255A20"/>
    <w:rsid w:val="0025782A"/>
    <w:rsid w:val="00263414"/>
    <w:rsid w:val="002658A2"/>
    <w:rsid w:val="002661A6"/>
    <w:rsid w:val="00266C23"/>
    <w:rsid w:val="00277D6C"/>
    <w:rsid w:val="00286EAD"/>
    <w:rsid w:val="00287F47"/>
    <w:rsid w:val="00292A60"/>
    <w:rsid w:val="0029389B"/>
    <w:rsid w:val="002A144F"/>
    <w:rsid w:val="002A1894"/>
    <w:rsid w:val="002A2188"/>
    <w:rsid w:val="002A36F2"/>
    <w:rsid w:val="002A3F88"/>
    <w:rsid w:val="002A7D14"/>
    <w:rsid w:val="002B0913"/>
    <w:rsid w:val="002B28E4"/>
    <w:rsid w:val="002B49A3"/>
    <w:rsid w:val="002B7504"/>
    <w:rsid w:val="002C0D97"/>
    <w:rsid w:val="002C5B3B"/>
    <w:rsid w:val="002C66D1"/>
    <w:rsid w:val="002C7065"/>
    <w:rsid w:val="002C7D73"/>
    <w:rsid w:val="002C7F4A"/>
    <w:rsid w:val="002D2804"/>
    <w:rsid w:val="002D4B6C"/>
    <w:rsid w:val="002D5274"/>
    <w:rsid w:val="002E1EE3"/>
    <w:rsid w:val="002F0135"/>
    <w:rsid w:val="002F0C2C"/>
    <w:rsid w:val="00300655"/>
    <w:rsid w:val="00301BB1"/>
    <w:rsid w:val="00303D18"/>
    <w:rsid w:val="00307ADD"/>
    <w:rsid w:val="00307E55"/>
    <w:rsid w:val="00312A66"/>
    <w:rsid w:val="003130CA"/>
    <w:rsid w:val="003163CB"/>
    <w:rsid w:val="00316B8A"/>
    <w:rsid w:val="00321180"/>
    <w:rsid w:val="0032180D"/>
    <w:rsid w:val="003306A5"/>
    <w:rsid w:val="00355D40"/>
    <w:rsid w:val="00371AAC"/>
    <w:rsid w:val="00371F54"/>
    <w:rsid w:val="003723C0"/>
    <w:rsid w:val="0037770C"/>
    <w:rsid w:val="00377C8B"/>
    <w:rsid w:val="00382341"/>
    <w:rsid w:val="00383A95"/>
    <w:rsid w:val="00383BC0"/>
    <w:rsid w:val="00385CA0"/>
    <w:rsid w:val="0039585F"/>
    <w:rsid w:val="003A2733"/>
    <w:rsid w:val="003A3021"/>
    <w:rsid w:val="003A438F"/>
    <w:rsid w:val="003A4483"/>
    <w:rsid w:val="003A4D41"/>
    <w:rsid w:val="003A627E"/>
    <w:rsid w:val="003A79EE"/>
    <w:rsid w:val="003B6A65"/>
    <w:rsid w:val="003B6E16"/>
    <w:rsid w:val="003C180A"/>
    <w:rsid w:val="003C1E25"/>
    <w:rsid w:val="003C5307"/>
    <w:rsid w:val="003C76D4"/>
    <w:rsid w:val="003D27CB"/>
    <w:rsid w:val="003D292C"/>
    <w:rsid w:val="003D329D"/>
    <w:rsid w:val="003E6BF6"/>
    <w:rsid w:val="003F0F0D"/>
    <w:rsid w:val="003F76D0"/>
    <w:rsid w:val="0040173E"/>
    <w:rsid w:val="004107E9"/>
    <w:rsid w:val="00435339"/>
    <w:rsid w:val="004410DC"/>
    <w:rsid w:val="0044447D"/>
    <w:rsid w:val="0044482D"/>
    <w:rsid w:val="00450C67"/>
    <w:rsid w:val="00457EE7"/>
    <w:rsid w:val="0046020A"/>
    <w:rsid w:val="00460CF7"/>
    <w:rsid w:val="00463FA8"/>
    <w:rsid w:val="00464196"/>
    <w:rsid w:val="00465ADB"/>
    <w:rsid w:val="00466648"/>
    <w:rsid w:val="0047128C"/>
    <w:rsid w:val="00472CBC"/>
    <w:rsid w:val="004765B3"/>
    <w:rsid w:val="004843CA"/>
    <w:rsid w:val="00493DAA"/>
    <w:rsid w:val="00494335"/>
    <w:rsid w:val="00495A4C"/>
    <w:rsid w:val="004967A1"/>
    <w:rsid w:val="004A0FE7"/>
    <w:rsid w:val="004A1AB5"/>
    <w:rsid w:val="004B584E"/>
    <w:rsid w:val="004B5BEE"/>
    <w:rsid w:val="004C1106"/>
    <w:rsid w:val="004C6D4B"/>
    <w:rsid w:val="004C766B"/>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23AC8"/>
    <w:rsid w:val="00541D54"/>
    <w:rsid w:val="00542522"/>
    <w:rsid w:val="00543472"/>
    <w:rsid w:val="0054526E"/>
    <w:rsid w:val="00545CE1"/>
    <w:rsid w:val="00546297"/>
    <w:rsid w:val="005476B5"/>
    <w:rsid w:val="00551557"/>
    <w:rsid w:val="005549D7"/>
    <w:rsid w:val="005602DA"/>
    <w:rsid w:val="00562087"/>
    <w:rsid w:val="005651E9"/>
    <w:rsid w:val="005678FC"/>
    <w:rsid w:val="0057138A"/>
    <w:rsid w:val="00573327"/>
    <w:rsid w:val="00577D9B"/>
    <w:rsid w:val="005813A9"/>
    <w:rsid w:val="005921A3"/>
    <w:rsid w:val="00592F64"/>
    <w:rsid w:val="005A3F63"/>
    <w:rsid w:val="005A59D0"/>
    <w:rsid w:val="005B073E"/>
    <w:rsid w:val="005B227F"/>
    <w:rsid w:val="005B7801"/>
    <w:rsid w:val="005C5891"/>
    <w:rsid w:val="005C641B"/>
    <w:rsid w:val="005D04CC"/>
    <w:rsid w:val="005D5FAE"/>
    <w:rsid w:val="005E4BC9"/>
    <w:rsid w:val="005F29B7"/>
    <w:rsid w:val="00606EB5"/>
    <w:rsid w:val="00606FC8"/>
    <w:rsid w:val="00616C90"/>
    <w:rsid w:val="00617FDA"/>
    <w:rsid w:val="0062116F"/>
    <w:rsid w:val="00623FD7"/>
    <w:rsid w:val="00626087"/>
    <w:rsid w:val="00630163"/>
    <w:rsid w:val="00634E4C"/>
    <w:rsid w:val="00636B8B"/>
    <w:rsid w:val="00641EAA"/>
    <w:rsid w:val="006427FE"/>
    <w:rsid w:val="00642E4C"/>
    <w:rsid w:val="006506C1"/>
    <w:rsid w:val="00657459"/>
    <w:rsid w:val="0065747A"/>
    <w:rsid w:val="00662E28"/>
    <w:rsid w:val="00663820"/>
    <w:rsid w:val="0066674D"/>
    <w:rsid w:val="00666A78"/>
    <w:rsid w:val="00670A53"/>
    <w:rsid w:val="00670B59"/>
    <w:rsid w:val="00676C12"/>
    <w:rsid w:val="0069375D"/>
    <w:rsid w:val="0069407C"/>
    <w:rsid w:val="0069574E"/>
    <w:rsid w:val="006969C0"/>
    <w:rsid w:val="006A1921"/>
    <w:rsid w:val="006A1B8B"/>
    <w:rsid w:val="006A2303"/>
    <w:rsid w:val="006A2C82"/>
    <w:rsid w:val="006C1876"/>
    <w:rsid w:val="006D2A45"/>
    <w:rsid w:val="006D315C"/>
    <w:rsid w:val="006D71B8"/>
    <w:rsid w:val="006E4272"/>
    <w:rsid w:val="006F145A"/>
    <w:rsid w:val="006F27CB"/>
    <w:rsid w:val="006F359B"/>
    <w:rsid w:val="006F4962"/>
    <w:rsid w:val="006F5865"/>
    <w:rsid w:val="00701EC6"/>
    <w:rsid w:val="00706179"/>
    <w:rsid w:val="007114BE"/>
    <w:rsid w:val="00714F78"/>
    <w:rsid w:val="007152B0"/>
    <w:rsid w:val="007170F7"/>
    <w:rsid w:val="00717589"/>
    <w:rsid w:val="00721C17"/>
    <w:rsid w:val="00722F9F"/>
    <w:rsid w:val="007253B8"/>
    <w:rsid w:val="00736E7D"/>
    <w:rsid w:val="00741EDB"/>
    <w:rsid w:val="007509A6"/>
    <w:rsid w:val="00753F83"/>
    <w:rsid w:val="007541B0"/>
    <w:rsid w:val="0075469B"/>
    <w:rsid w:val="00755163"/>
    <w:rsid w:val="00756AAB"/>
    <w:rsid w:val="00757F63"/>
    <w:rsid w:val="007605EB"/>
    <w:rsid w:val="007645AE"/>
    <w:rsid w:val="00764992"/>
    <w:rsid w:val="00765749"/>
    <w:rsid w:val="00771075"/>
    <w:rsid w:val="0077507F"/>
    <w:rsid w:val="00775AA0"/>
    <w:rsid w:val="007770FA"/>
    <w:rsid w:val="00791738"/>
    <w:rsid w:val="00791780"/>
    <w:rsid w:val="00792D37"/>
    <w:rsid w:val="00794AFA"/>
    <w:rsid w:val="007A0EB7"/>
    <w:rsid w:val="007B2C90"/>
    <w:rsid w:val="007B6871"/>
    <w:rsid w:val="007B7899"/>
    <w:rsid w:val="007C08B1"/>
    <w:rsid w:val="007C2CC2"/>
    <w:rsid w:val="007C38BD"/>
    <w:rsid w:val="007C4F5A"/>
    <w:rsid w:val="007C79AA"/>
    <w:rsid w:val="007D31DA"/>
    <w:rsid w:val="007D72C5"/>
    <w:rsid w:val="007E1D1C"/>
    <w:rsid w:val="007E525D"/>
    <w:rsid w:val="007E5A0D"/>
    <w:rsid w:val="007F0323"/>
    <w:rsid w:val="007F379E"/>
    <w:rsid w:val="007F471C"/>
    <w:rsid w:val="00800C90"/>
    <w:rsid w:val="008125F8"/>
    <w:rsid w:val="008208A8"/>
    <w:rsid w:val="008234D8"/>
    <w:rsid w:val="00826012"/>
    <w:rsid w:val="00834CE0"/>
    <w:rsid w:val="0084110F"/>
    <w:rsid w:val="00844B1D"/>
    <w:rsid w:val="00844F5C"/>
    <w:rsid w:val="00845843"/>
    <w:rsid w:val="00846D34"/>
    <w:rsid w:val="00854C33"/>
    <w:rsid w:val="008567D0"/>
    <w:rsid w:val="00863020"/>
    <w:rsid w:val="008637EC"/>
    <w:rsid w:val="00870BC6"/>
    <w:rsid w:val="00873384"/>
    <w:rsid w:val="00875B66"/>
    <w:rsid w:val="00875DAD"/>
    <w:rsid w:val="00877B84"/>
    <w:rsid w:val="00877E5F"/>
    <w:rsid w:val="0088036D"/>
    <w:rsid w:val="00881155"/>
    <w:rsid w:val="00882892"/>
    <w:rsid w:val="008849E6"/>
    <w:rsid w:val="00885A14"/>
    <w:rsid w:val="0088689B"/>
    <w:rsid w:val="00890FA0"/>
    <w:rsid w:val="008947BF"/>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6799"/>
    <w:rsid w:val="00911DBD"/>
    <w:rsid w:val="009136D0"/>
    <w:rsid w:val="00921181"/>
    <w:rsid w:val="00922193"/>
    <w:rsid w:val="00922C7C"/>
    <w:rsid w:val="00924152"/>
    <w:rsid w:val="0093194D"/>
    <w:rsid w:val="00934C3F"/>
    <w:rsid w:val="009417AE"/>
    <w:rsid w:val="00945B3F"/>
    <w:rsid w:val="00950DCB"/>
    <w:rsid w:val="00952D47"/>
    <w:rsid w:val="00952D4C"/>
    <w:rsid w:val="00955F0A"/>
    <w:rsid w:val="00960246"/>
    <w:rsid w:val="009720E1"/>
    <w:rsid w:val="00974F0E"/>
    <w:rsid w:val="00975CD7"/>
    <w:rsid w:val="00975F07"/>
    <w:rsid w:val="00980CA1"/>
    <w:rsid w:val="009820D0"/>
    <w:rsid w:val="00985E70"/>
    <w:rsid w:val="0098783B"/>
    <w:rsid w:val="00993C2B"/>
    <w:rsid w:val="00996086"/>
    <w:rsid w:val="0099798A"/>
    <w:rsid w:val="009979F4"/>
    <w:rsid w:val="009A246D"/>
    <w:rsid w:val="009A2682"/>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62D31"/>
    <w:rsid w:val="00A63380"/>
    <w:rsid w:val="00A7558E"/>
    <w:rsid w:val="00A8129D"/>
    <w:rsid w:val="00A82188"/>
    <w:rsid w:val="00A865C7"/>
    <w:rsid w:val="00A909CC"/>
    <w:rsid w:val="00A942CA"/>
    <w:rsid w:val="00A964A5"/>
    <w:rsid w:val="00A97E3B"/>
    <w:rsid w:val="00AA00CB"/>
    <w:rsid w:val="00AA20A1"/>
    <w:rsid w:val="00AA2EBB"/>
    <w:rsid w:val="00AA41F2"/>
    <w:rsid w:val="00AA555F"/>
    <w:rsid w:val="00AB039E"/>
    <w:rsid w:val="00AB1362"/>
    <w:rsid w:val="00AB4206"/>
    <w:rsid w:val="00AB556C"/>
    <w:rsid w:val="00AC2180"/>
    <w:rsid w:val="00AC6B54"/>
    <w:rsid w:val="00AC7E54"/>
    <w:rsid w:val="00AD1EF2"/>
    <w:rsid w:val="00AD508E"/>
    <w:rsid w:val="00AD72D9"/>
    <w:rsid w:val="00AE6A4E"/>
    <w:rsid w:val="00AE7B98"/>
    <w:rsid w:val="00AF129F"/>
    <w:rsid w:val="00AF67D4"/>
    <w:rsid w:val="00B04CD1"/>
    <w:rsid w:val="00B06E21"/>
    <w:rsid w:val="00B12983"/>
    <w:rsid w:val="00B12DC9"/>
    <w:rsid w:val="00B13F84"/>
    <w:rsid w:val="00B14604"/>
    <w:rsid w:val="00B15ABA"/>
    <w:rsid w:val="00B20FA0"/>
    <w:rsid w:val="00B24DD4"/>
    <w:rsid w:val="00B2564F"/>
    <w:rsid w:val="00B33A8A"/>
    <w:rsid w:val="00B34339"/>
    <w:rsid w:val="00B40B7D"/>
    <w:rsid w:val="00B42B2F"/>
    <w:rsid w:val="00B44900"/>
    <w:rsid w:val="00B467F6"/>
    <w:rsid w:val="00B472E1"/>
    <w:rsid w:val="00B516AF"/>
    <w:rsid w:val="00B52821"/>
    <w:rsid w:val="00B56C63"/>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0D0D"/>
    <w:rsid w:val="00BC1147"/>
    <w:rsid w:val="00BC1E70"/>
    <w:rsid w:val="00BD12A1"/>
    <w:rsid w:val="00BD1D09"/>
    <w:rsid w:val="00BD7B83"/>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251B5"/>
    <w:rsid w:val="00C27D70"/>
    <w:rsid w:val="00C35581"/>
    <w:rsid w:val="00C42EA5"/>
    <w:rsid w:val="00C62BF5"/>
    <w:rsid w:val="00C636DA"/>
    <w:rsid w:val="00C672BA"/>
    <w:rsid w:val="00C67E22"/>
    <w:rsid w:val="00C72271"/>
    <w:rsid w:val="00C72A17"/>
    <w:rsid w:val="00C81356"/>
    <w:rsid w:val="00C813CD"/>
    <w:rsid w:val="00C858D9"/>
    <w:rsid w:val="00C86A64"/>
    <w:rsid w:val="00C87DA0"/>
    <w:rsid w:val="00C94CFE"/>
    <w:rsid w:val="00CA4E4D"/>
    <w:rsid w:val="00CA67D8"/>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D6971"/>
    <w:rsid w:val="00CE1F9C"/>
    <w:rsid w:val="00CE2E48"/>
    <w:rsid w:val="00CF0184"/>
    <w:rsid w:val="00CF34C7"/>
    <w:rsid w:val="00CF55F6"/>
    <w:rsid w:val="00CF59E0"/>
    <w:rsid w:val="00CF6672"/>
    <w:rsid w:val="00D021F7"/>
    <w:rsid w:val="00D0248E"/>
    <w:rsid w:val="00D069C7"/>
    <w:rsid w:val="00D078A2"/>
    <w:rsid w:val="00D21123"/>
    <w:rsid w:val="00D21142"/>
    <w:rsid w:val="00D26BB7"/>
    <w:rsid w:val="00D35D6C"/>
    <w:rsid w:val="00D367EB"/>
    <w:rsid w:val="00D36C91"/>
    <w:rsid w:val="00D41871"/>
    <w:rsid w:val="00D45954"/>
    <w:rsid w:val="00D461C2"/>
    <w:rsid w:val="00D5162F"/>
    <w:rsid w:val="00D575EC"/>
    <w:rsid w:val="00D615C7"/>
    <w:rsid w:val="00D61AAE"/>
    <w:rsid w:val="00D64CB8"/>
    <w:rsid w:val="00D66016"/>
    <w:rsid w:val="00D720AE"/>
    <w:rsid w:val="00D72FD8"/>
    <w:rsid w:val="00D75510"/>
    <w:rsid w:val="00D85669"/>
    <w:rsid w:val="00D92A45"/>
    <w:rsid w:val="00D9697A"/>
    <w:rsid w:val="00DA2B14"/>
    <w:rsid w:val="00DA3023"/>
    <w:rsid w:val="00DA4C48"/>
    <w:rsid w:val="00DA727D"/>
    <w:rsid w:val="00DB53A7"/>
    <w:rsid w:val="00DC71CF"/>
    <w:rsid w:val="00DD170F"/>
    <w:rsid w:val="00DD7F67"/>
    <w:rsid w:val="00DE0A8A"/>
    <w:rsid w:val="00DE1106"/>
    <w:rsid w:val="00DF2F8B"/>
    <w:rsid w:val="00DF6837"/>
    <w:rsid w:val="00DF68E4"/>
    <w:rsid w:val="00DF6E54"/>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332C"/>
    <w:rsid w:val="00EA48AE"/>
    <w:rsid w:val="00EB09E2"/>
    <w:rsid w:val="00EB15A6"/>
    <w:rsid w:val="00EB6A4A"/>
    <w:rsid w:val="00EB74A5"/>
    <w:rsid w:val="00EC67E3"/>
    <w:rsid w:val="00ED0A9A"/>
    <w:rsid w:val="00ED4C82"/>
    <w:rsid w:val="00EE0126"/>
    <w:rsid w:val="00EE0C89"/>
    <w:rsid w:val="00EE47FE"/>
    <w:rsid w:val="00EE4C83"/>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25719"/>
    <w:rsid w:val="00F303B2"/>
    <w:rsid w:val="00F307E0"/>
    <w:rsid w:val="00F32AC7"/>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4E68"/>
    <w:rsid w:val="00F97C7A"/>
    <w:rsid w:val="00FA2909"/>
    <w:rsid w:val="00FA2931"/>
    <w:rsid w:val="00FA3CEC"/>
    <w:rsid w:val="00FB4CF2"/>
    <w:rsid w:val="00FC071B"/>
    <w:rsid w:val="00FC4845"/>
    <w:rsid w:val="00FC6B03"/>
    <w:rsid w:val="00FD06D5"/>
    <w:rsid w:val="00FD28FF"/>
    <w:rsid w:val="00FD68A1"/>
    <w:rsid w:val="00FD68A7"/>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determination No 18-20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5JENXJJSCC7A-445999044-11845</_dlc_DocId>
    <_dlc_DocIdUrl xmlns="814d62cb-2db6-4c25-ab62-b9075facbc11">
      <Url>https://im/teams/LEGAL/_layouts/15/DocIdRedir.aspx?ID=5JENXJJSCC7A-445999044-11845</Url>
      <Description>5JENXJJSCC7A-445999044-11845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EF8A39F2-5068-45BF-85CC-A816CCABDD3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814d62cb-2db6-4c25-ab62-b9075facbc11"/>
    <ds:schemaRef ds:uri="http://purl.org/dc/dcmitype/"/>
    <ds:schemaRef ds:uri="http://purl.org/dc/terms/"/>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5.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6.xml><?xml version="1.0" encoding="utf-8"?>
<ds:datastoreItem xmlns:ds="http://schemas.openxmlformats.org/officeDocument/2006/customXml" ds:itemID="{0301305A-08FA-4FD0-A0EA-492949AF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5434</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18-20 of 2022</dc:title>
  <dc:subject/>
  <dc:creator>Eleanor Earl</dc:creator>
  <cp:keywords>[SEC=OFFICIAL]</cp:keywords>
  <dc:description/>
  <cp:lastModifiedBy>Toni Michalis</cp:lastModifiedBy>
  <cp:revision>2</cp:revision>
  <cp:lastPrinted>2014-02-02T12:10:00Z</cp:lastPrinted>
  <dcterms:created xsi:type="dcterms:W3CDTF">2022-10-19T01:00:00Z</dcterms:created>
  <dcterms:modified xsi:type="dcterms:W3CDTF">2022-10-19T01:00:00Z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ABBFF5E2-9674-55C9-B08D-C9980002FD58</vt:lpwstr>
  </property>
  <property fmtid="{D5CDD505-2E9C-101B-9397-08002B2CF9AE}" pid="18" name="PMUuidVer">
    <vt:lpwstr>2022.1</vt:lpwstr>
  </property>
  <property fmtid="{D5CDD505-2E9C-101B-9397-08002B2CF9AE}" pid="19" name="PM_Hash_Version">
    <vt:lpwstr>2018.0</vt:lpwstr>
  </property>
  <property fmtid="{D5CDD505-2E9C-101B-9397-08002B2CF9AE}" pid="20" name="PM_OriginatorDomainName_SHA256">
    <vt:lpwstr>ECBDE2B44A971754412B3FB70606937A119CC0D4B6C1B658A40FBD41C30BE3EC</vt:lpwstr>
  </property>
  <property fmtid="{D5CDD505-2E9C-101B-9397-08002B2CF9AE}" pid="21" name="PM_MinimumSecurityClassification">
    <vt:lpwstr/>
  </property>
  <property fmtid="{D5CDD505-2E9C-101B-9397-08002B2CF9AE}" pid="22" name="ContentTypeId">
    <vt:lpwstr>0x0101008CA7A4F8331B45C7B0D3158B4994D0CA0200577EC0F5A1FBFC498F9A8436B963F8A6</vt:lpwstr>
  </property>
  <property fmtid="{D5CDD505-2E9C-101B-9397-08002B2CF9AE}" pid="23" name="APRAPeriod">
    <vt:lpwstr/>
  </property>
  <property fmtid="{D5CDD505-2E9C-101B-9397-08002B2CF9AE}" pid="24" name="APRAPRSG">
    <vt:lpwstr/>
  </property>
  <property fmtid="{D5CDD505-2E9C-101B-9397-08002B2CF9AE}" pid="25" name="APRAYear">
    <vt:lpwstr/>
  </property>
  <property fmtid="{D5CDD505-2E9C-101B-9397-08002B2CF9AE}" pid="26" name="APRAIndustry">
    <vt:lpwstr/>
  </property>
  <property fmtid="{D5CDD505-2E9C-101B-9397-08002B2CF9AE}" pid="27" name="_dlc_DocIdItemGuid">
    <vt:lpwstr>7f18c16f-294c-4163-9ad8-8f5589cd29e8</vt:lpwstr>
  </property>
  <property fmtid="{D5CDD505-2E9C-101B-9397-08002B2CF9AE}" pid="28"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{7f18c16f-294c-4163-9ad8-8f5589cd29e8}</vt:lpwstr>
  </property>
  <property fmtid="{D5CDD505-2E9C-101B-9397-08002B2CF9AE}" pid="42" name="RecordPoint_ActiveItemWebId">
    <vt:lpwstr>{75a71c27-8d66-4282-ae60-1bfc22a83be1}</vt:lpwstr>
  </property>
  <property fmtid="{D5CDD505-2E9C-101B-9397-08002B2CF9AE}" pid="43" name="RecordPoint_RecordNumberSubmit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2022-10-19T00:59:59Z</vt:lpwstr>
  </property>
  <property fmtid="{D5CDD505-2E9C-101B-9397-08002B2CF9AE}" pid="54" name="PM_Hash_Salt_Prev">
    <vt:lpwstr>A9A1C564D6F25C2C29544CFFAF13ACE8</vt:lpwstr>
  </property>
  <property fmtid="{D5CDD505-2E9C-101B-9397-08002B2CF9AE}" pid="55" name="PM_Hash_Salt">
    <vt:lpwstr>FDF37BB85589C116988E657CC6D3A1F6</vt:lpwstr>
  </property>
  <property fmtid="{D5CDD505-2E9C-101B-9397-08002B2CF9AE}" pid="56" name="PM_Hash_SHA1">
    <vt:lpwstr>00F389FAB04F2A14805CC4F3FEC90A1F801A0562</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2022-10-14T03:56:05Z</vt:lpwstr>
  </property>
  <property fmtid="{D5CDD505-2E9C-101B-9397-08002B2CF9AE}" pid="59" name="IsLocked">
    <vt:lpwstr>False</vt:lpwstr>
  </property>
  <property fmtid="{D5CDD505-2E9C-101B-9397-08002B2CF9AE}" pid="60" name="RecordPoint_SubmissionCompleted">
    <vt:lpwstr/>
  </property>
</Properties>
</file>