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683FA" w14:textId="77777777" w:rsidR="00916959" w:rsidRPr="008534DC" w:rsidRDefault="00916959" w:rsidP="00916959">
      <w:pPr>
        <w:pStyle w:val="H3"/>
        <w:spacing w:after="0"/>
        <w:jc w:val="center"/>
        <w:rPr>
          <w:sz w:val="22"/>
          <w:szCs w:val="22"/>
        </w:rPr>
      </w:pPr>
      <w:bookmarkStart w:id="0" w:name="tempbm"/>
      <w:bookmarkEnd w:id="0"/>
      <w:r w:rsidRPr="008534DC">
        <w:rPr>
          <w:sz w:val="22"/>
          <w:szCs w:val="22"/>
        </w:rPr>
        <w:t>EXPLANATORY STATEMENT</w:t>
      </w:r>
    </w:p>
    <w:p w14:paraId="32D1CDBC" w14:textId="77777777" w:rsidR="00916959" w:rsidRPr="008534DC" w:rsidRDefault="00916959" w:rsidP="00916959">
      <w:pPr>
        <w:rPr>
          <w:lang w:eastAsia="en-US"/>
        </w:rPr>
      </w:pPr>
    </w:p>
    <w:p w14:paraId="35CE7CD0" w14:textId="77777777" w:rsidR="00916959" w:rsidRPr="008534DC" w:rsidRDefault="00916959" w:rsidP="00916959">
      <w:pPr>
        <w:jc w:val="center"/>
        <w:rPr>
          <w:rFonts w:ascii="Times New Roman" w:hAnsi="Times New Roman"/>
          <w:i/>
          <w:iCs/>
          <w:sz w:val="22"/>
          <w:szCs w:val="22"/>
        </w:rPr>
      </w:pPr>
      <w:r w:rsidRPr="008534DC">
        <w:rPr>
          <w:rFonts w:ascii="Times New Roman" w:hAnsi="Times New Roman"/>
          <w:i/>
          <w:iCs/>
          <w:sz w:val="22"/>
          <w:szCs w:val="22"/>
        </w:rPr>
        <w:t>Private Health Insurance Act 2007</w:t>
      </w:r>
    </w:p>
    <w:p w14:paraId="4D971765" w14:textId="77777777" w:rsidR="00916959" w:rsidRPr="008534DC" w:rsidRDefault="00916959" w:rsidP="00916959">
      <w:pPr>
        <w:rPr>
          <w:rFonts w:ascii="Times New Roman" w:hAnsi="Times New Roman"/>
          <w:sz w:val="22"/>
          <w:szCs w:val="22"/>
          <w:u w:val="single"/>
        </w:rPr>
      </w:pPr>
    </w:p>
    <w:p w14:paraId="386963BF" w14:textId="0773EB6E" w:rsidR="00916959" w:rsidRPr="008534DC" w:rsidRDefault="00916959" w:rsidP="00916959">
      <w:pPr>
        <w:ind w:right="-483"/>
        <w:jc w:val="center"/>
        <w:rPr>
          <w:rFonts w:ascii="Times New Roman" w:hAnsi="Times New Roman"/>
          <w:b/>
          <w:i/>
          <w:sz w:val="22"/>
          <w:szCs w:val="22"/>
        </w:rPr>
      </w:pPr>
      <w:r w:rsidRPr="008534DC">
        <w:rPr>
          <w:rFonts w:ascii="Times New Roman" w:hAnsi="Times New Roman"/>
          <w:b/>
          <w:i/>
          <w:sz w:val="22"/>
          <w:szCs w:val="22"/>
        </w:rPr>
        <w:t xml:space="preserve">Private Health Insurance (Prostheses) Rules (No. </w:t>
      </w:r>
      <w:r w:rsidR="001E3920" w:rsidRPr="008534DC">
        <w:rPr>
          <w:rFonts w:ascii="Times New Roman" w:hAnsi="Times New Roman"/>
          <w:b/>
          <w:i/>
          <w:sz w:val="22"/>
          <w:szCs w:val="22"/>
        </w:rPr>
        <w:t>3</w:t>
      </w:r>
      <w:r w:rsidRPr="008534DC">
        <w:rPr>
          <w:rFonts w:ascii="Times New Roman" w:hAnsi="Times New Roman"/>
          <w:b/>
          <w:i/>
          <w:sz w:val="22"/>
          <w:szCs w:val="22"/>
        </w:rPr>
        <w:t>) 2022</w:t>
      </w:r>
    </w:p>
    <w:p w14:paraId="3E245900" w14:textId="77777777" w:rsidR="00916959" w:rsidRPr="008534DC" w:rsidRDefault="00916959" w:rsidP="00916959">
      <w:pPr>
        <w:tabs>
          <w:tab w:val="left" w:pos="0"/>
          <w:tab w:val="left" w:pos="3178"/>
        </w:tabs>
        <w:spacing w:line="279" w:lineRule="exact"/>
        <w:rPr>
          <w:rFonts w:ascii="Times New Roman" w:hAnsi="Times New Roman"/>
          <w:sz w:val="22"/>
          <w:szCs w:val="22"/>
        </w:rPr>
      </w:pPr>
    </w:p>
    <w:p w14:paraId="13771AD6" w14:textId="77777777" w:rsidR="00916959" w:rsidRPr="008534DC" w:rsidRDefault="00916959" w:rsidP="00A358F6">
      <w:pPr>
        <w:keepNext/>
        <w:rPr>
          <w:rFonts w:ascii="Times New Roman" w:hAnsi="Times New Roman"/>
          <w:b/>
          <w:sz w:val="22"/>
          <w:szCs w:val="22"/>
        </w:rPr>
      </w:pPr>
      <w:r w:rsidRPr="008534DC">
        <w:rPr>
          <w:rFonts w:ascii="Times New Roman" w:hAnsi="Times New Roman"/>
          <w:b/>
          <w:sz w:val="22"/>
          <w:szCs w:val="22"/>
        </w:rPr>
        <w:t>Authority</w:t>
      </w:r>
    </w:p>
    <w:p w14:paraId="5B4D424E" w14:textId="77777777" w:rsidR="00916959" w:rsidRPr="008534DC" w:rsidRDefault="00916959" w:rsidP="00A358F6">
      <w:pPr>
        <w:keepNext/>
        <w:rPr>
          <w:rFonts w:ascii="Times New Roman" w:hAnsi="Times New Roman"/>
          <w:sz w:val="22"/>
          <w:szCs w:val="22"/>
        </w:rPr>
      </w:pPr>
    </w:p>
    <w:p w14:paraId="3DF59DE0" w14:textId="77777777" w:rsidR="00916959" w:rsidRPr="008534DC" w:rsidRDefault="00916959" w:rsidP="00916959">
      <w:pPr>
        <w:jc w:val="both"/>
        <w:rPr>
          <w:rFonts w:ascii="Times New Roman" w:hAnsi="Times New Roman"/>
          <w:sz w:val="22"/>
          <w:szCs w:val="22"/>
        </w:rPr>
      </w:pPr>
      <w:r w:rsidRPr="008534DC">
        <w:rPr>
          <w:rFonts w:ascii="Times New Roman" w:hAnsi="Times New Roman"/>
          <w:sz w:val="22"/>
          <w:szCs w:val="22"/>
        </w:rPr>
        <w:t xml:space="preserve">Section 333-20 of the </w:t>
      </w:r>
      <w:r w:rsidRPr="008534DC">
        <w:rPr>
          <w:rFonts w:ascii="Times New Roman" w:hAnsi="Times New Roman"/>
          <w:i/>
          <w:sz w:val="22"/>
          <w:szCs w:val="22"/>
        </w:rPr>
        <w:t xml:space="preserve">Private Health Insurance Act 2007 </w:t>
      </w:r>
      <w:r w:rsidRPr="008534DC">
        <w:rPr>
          <w:rFonts w:ascii="Times New Roman" w:hAnsi="Times New Roman"/>
          <w:sz w:val="22"/>
          <w:szCs w:val="22"/>
        </w:rPr>
        <w:t xml:space="preserve">(the Act) provides that the Minister may make Private Health Insurance (Prostheses) Rules, providing for matters required or permitted by Part 3-3 of the Act, or necessary or convenient in order to carry out or give effect to Part 3-3 of the Act. </w:t>
      </w:r>
    </w:p>
    <w:p w14:paraId="12B677AA" w14:textId="77777777" w:rsidR="00916959" w:rsidRPr="008534DC" w:rsidRDefault="00916959" w:rsidP="00916959">
      <w:pPr>
        <w:jc w:val="both"/>
        <w:rPr>
          <w:rFonts w:ascii="Times New Roman" w:hAnsi="Times New Roman"/>
          <w:sz w:val="22"/>
          <w:szCs w:val="22"/>
        </w:rPr>
      </w:pPr>
    </w:p>
    <w:p w14:paraId="7D196DB3" w14:textId="77777777" w:rsidR="00916959" w:rsidRPr="008534DC" w:rsidRDefault="00916959" w:rsidP="00916959">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jc w:val="both"/>
        <w:rPr>
          <w:rFonts w:ascii="Times New Roman" w:hAnsi="Times New Roman"/>
          <w:sz w:val="22"/>
          <w:szCs w:val="22"/>
        </w:rPr>
      </w:pPr>
      <w:r w:rsidRPr="008534DC">
        <w:rPr>
          <w:rFonts w:ascii="Times New Roman" w:hAnsi="Times New Roman"/>
          <w:sz w:val="22"/>
          <w:szCs w:val="22"/>
        </w:rPr>
        <w:t xml:space="preserve">In addition to the power to make this instrument under section 333-20 of the Act, subsection 33(3) of the </w:t>
      </w:r>
      <w:r w:rsidRPr="008534DC">
        <w:rPr>
          <w:rFonts w:ascii="Times New Roman" w:hAnsi="Times New Roman"/>
          <w:i/>
          <w:sz w:val="22"/>
          <w:szCs w:val="22"/>
        </w:rPr>
        <w:t xml:space="preserve">Acts Interpretation Act 1901 </w:t>
      </w:r>
      <w:r w:rsidRPr="008534DC">
        <w:rPr>
          <w:rFonts w:ascii="Times New Roman" w:hAnsi="Times New Roman"/>
          <w:sz w:val="22"/>
          <w:szCs w:val="22"/>
        </w:rPr>
        <w:t>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53926E07" w14:textId="77777777" w:rsidR="00916959" w:rsidRPr="008534DC" w:rsidRDefault="00916959" w:rsidP="00916959">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jc w:val="both"/>
        <w:rPr>
          <w:rFonts w:ascii="Times New Roman" w:hAnsi="Times New Roman"/>
          <w:sz w:val="22"/>
          <w:szCs w:val="22"/>
        </w:rPr>
      </w:pPr>
    </w:p>
    <w:p w14:paraId="3393E214" w14:textId="77777777" w:rsidR="00916959" w:rsidRPr="008534DC" w:rsidRDefault="00916959" w:rsidP="00916959">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jc w:val="both"/>
        <w:rPr>
          <w:rFonts w:ascii="Times New Roman" w:hAnsi="Times New Roman"/>
          <w:sz w:val="22"/>
          <w:szCs w:val="22"/>
        </w:rPr>
      </w:pPr>
      <w:r w:rsidRPr="008534DC">
        <w:rPr>
          <w:rFonts w:ascii="Times New Roman" w:hAnsi="Times New Roman"/>
          <w:sz w:val="22"/>
          <w:szCs w:val="22"/>
        </w:rPr>
        <w:t xml:space="preserve">Subsection 72-10(6) of the Act provides that the Private Health Insurance (Prostheses) Rules may set out listing criteria that must be satisfied in order for an application for a prosthesis to be listed to be granted. </w:t>
      </w:r>
    </w:p>
    <w:p w14:paraId="4B54E372" w14:textId="77777777" w:rsidR="00916959" w:rsidRPr="008534DC" w:rsidRDefault="00916959" w:rsidP="00916959">
      <w:pPr>
        <w:rPr>
          <w:rFonts w:ascii="Times New Roman" w:hAnsi="Times New Roman"/>
          <w:sz w:val="22"/>
          <w:szCs w:val="22"/>
        </w:rPr>
      </w:pPr>
    </w:p>
    <w:p w14:paraId="12A65F83" w14:textId="77777777" w:rsidR="00916959" w:rsidRPr="008534DC" w:rsidRDefault="00916959" w:rsidP="00A358F6">
      <w:pPr>
        <w:keepNext/>
        <w:rPr>
          <w:rFonts w:ascii="Times New Roman" w:hAnsi="Times New Roman"/>
          <w:b/>
          <w:sz w:val="22"/>
          <w:szCs w:val="22"/>
        </w:rPr>
      </w:pPr>
      <w:r w:rsidRPr="008534DC">
        <w:rPr>
          <w:rFonts w:ascii="Times New Roman" w:hAnsi="Times New Roman"/>
          <w:b/>
          <w:sz w:val="22"/>
          <w:szCs w:val="22"/>
        </w:rPr>
        <w:t>Background</w:t>
      </w:r>
    </w:p>
    <w:p w14:paraId="13AAE8ED" w14:textId="77777777" w:rsidR="00916959" w:rsidRPr="008534DC" w:rsidRDefault="00916959" w:rsidP="00A358F6">
      <w:pPr>
        <w:keepNext/>
        <w:jc w:val="both"/>
        <w:rPr>
          <w:rFonts w:ascii="Times New Roman" w:hAnsi="Times New Roman"/>
          <w:sz w:val="22"/>
          <w:szCs w:val="22"/>
        </w:rPr>
      </w:pPr>
    </w:p>
    <w:p w14:paraId="1EB698C0" w14:textId="77777777" w:rsidR="00916959" w:rsidRPr="008534DC" w:rsidRDefault="00916959" w:rsidP="00916959">
      <w:pPr>
        <w:jc w:val="both"/>
        <w:rPr>
          <w:rFonts w:ascii="Times New Roman" w:hAnsi="Times New Roman"/>
          <w:sz w:val="22"/>
          <w:szCs w:val="22"/>
        </w:rPr>
      </w:pPr>
      <w:r w:rsidRPr="008534DC">
        <w:rPr>
          <w:rFonts w:ascii="Times New Roman" w:hAnsi="Times New Roman"/>
          <w:sz w:val="22"/>
          <w:szCs w:val="22"/>
        </w:rPr>
        <w:t>The table in subsection 72-1(2) of Part 3-3 of the Act provides for benefit requirements that a complying health insurance policy that covers hospital treatment must meet. Under item 4 of that table there must be a benefit for the provision of a prosthesis, of a kind listed in the Private Health Insurance (Prostheses) Rules</w:t>
      </w:r>
      <w:r w:rsidRPr="008534DC">
        <w:rPr>
          <w:rFonts w:ascii="Times New Roman" w:hAnsi="Times New Roman"/>
          <w:i/>
          <w:sz w:val="22"/>
          <w:szCs w:val="22"/>
        </w:rPr>
        <w:t xml:space="preserve"> </w:t>
      </w:r>
      <w:r w:rsidRPr="008534DC">
        <w:rPr>
          <w:rFonts w:ascii="Times New Roman" w:hAnsi="Times New Roman"/>
          <w:sz w:val="22"/>
          <w:szCs w:val="22"/>
        </w:rPr>
        <w:t xml:space="preserve">(i.e. a listed prosthesis), in specified circumstances and under any specified conditions. The specified circumstances are that the listed prosthesis is provided in circumstances in which a medicare benefit is payable or in other circumstances which may be set out in the Private Health Insurance (Prostheses) Rules. The specified conditions are any that may be set out in the Private Health Insurance (Prostheses) Rules. </w:t>
      </w:r>
    </w:p>
    <w:p w14:paraId="5E0ED09F" w14:textId="77777777" w:rsidR="00916959" w:rsidRPr="008534DC" w:rsidRDefault="00916959" w:rsidP="00916959">
      <w:pPr>
        <w:jc w:val="both"/>
        <w:rPr>
          <w:rFonts w:ascii="Times New Roman" w:hAnsi="Times New Roman"/>
          <w:sz w:val="22"/>
          <w:szCs w:val="22"/>
        </w:rPr>
      </w:pPr>
    </w:p>
    <w:p w14:paraId="7966398D" w14:textId="77777777" w:rsidR="00916959" w:rsidRPr="008534DC" w:rsidRDefault="00916959" w:rsidP="00916959">
      <w:pPr>
        <w:jc w:val="both"/>
        <w:rPr>
          <w:rFonts w:ascii="Times New Roman" w:hAnsi="Times New Roman"/>
          <w:sz w:val="22"/>
          <w:szCs w:val="22"/>
        </w:rPr>
      </w:pPr>
      <w:r w:rsidRPr="008534DC">
        <w:rPr>
          <w:rFonts w:ascii="Times New Roman" w:hAnsi="Times New Roman"/>
          <w:sz w:val="22"/>
          <w:szCs w:val="22"/>
        </w:rPr>
        <w:t>If the complying health insurance policy also covers hospital-substitute treatment, under item 4 of the table in subsection 72-1(2) of Part 3-3 of the Act the same requirements apply.</w:t>
      </w:r>
    </w:p>
    <w:p w14:paraId="61BAD599" w14:textId="77777777" w:rsidR="00916959" w:rsidRPr="008534DC" w:rsidRDefault="00916959" w:rsidP="00916959">
      <w:pPr>
        <w:rPr>
          <w:rFonts w:ascii="Times New Roman" w:hAnsi="Times New Roman"/>
          <w:sz w:val="22"/>
          <w:szCs w:val="22"/>
        </w:rPr>
      </w:pPr>
    </w:p>
    <w:p w14:paraId="57A146B1" w14:textId="77777777" w:rsidR="00916959" w:rsidRPr="008534DC" w:rsidRDefault="00916959" w:rsidP="00A358F6">
      <w:pPr>
        <w:keepNext/>
        <w:rPr>
          <w:rFonts w:ascii="Times New Roman" w:hAnsi="Times New Roman"/>
          <w:b/>
          <w:sz w:val="22"/>
          <w:szCs w:val="22"/>
        </w:rPr>
      </w:pPr>
      <w:r w:rsidRPr="008534DC">
        <w:rPr>
          <w:rFonts w:ascii="Times New Roman" w:hAnsi="Times New Roman"/>
          <w:b/>
          <w:sz w:val="22"/>
          <w:szCs w:val="22"/>
        </w:rPr>
        <w:t>Purpose</w:t>
      </w:r>
    </w:p>
    <w:p w14:paraId="6121D4A8" w14:textId="77777777" w:rsidR="00916959" w:rsidRPr="008534DC" w:rsidRDefault="00916959" w:rsidP="00A358F6">
      <w:pPr>
        <w:keepNext/>
        <w:rPr>
          <w:rFonts w:ascii="Times New Roman" w:hAnsi="Times New Roman"/>
          <w:sz w:val="22"/>
          <w:szCs w:val="22"/>
        </w:rPr>
      </w:pPr>
    </w:p>
    <w:p w14:paraId="69E8217F" w14:textId="29B83FEC" w:rsidR="00916959" w:rsidRPr="008534DC" w:rsidRDefault="00916959" w:rsidP="00916959">
      <w:pPr>
        <w:jc w:val="both"/>
        <w:rPr>
          <w:rFonts w:ascii="Times New Roman" w:hAnsi="Times New Roman"/>
          <w:sz w:val="22"/>
          <w:szCs w:val="22"/>
        </w:rPr>
      </w:pPr>
      <w:r w:rsidRPr="008534DC">
        <w:rPr>
          <w:rFonts w:ascii="Times New Roman" w:hAnsi="Times New Roman"/>
          <w:sz w:val="22"/>
          <w:szCs w:val="22"/>
        </w:rPr>
        <w:t xml:space="preserve">The </w:t>
      </w:r>
      <w:r w:rsidRPr="008534DC">
        <w:rPr>
          <w:rFonts w:ascii="Times New Roman" w:hAnsi="Times New Roman"/>
          <w:i/>
          <w:sz w:val="22"/>
          <w:szCs w:val="22"/>
        </w:rPr>
        <w:t xml:space="preserve">Private Health Insurance (Prostheses) Rules (No. </w:t>
      </w:r>
      <w:r w:rsidR="001E3920" w:rsidRPr="008534DC">
        <w:rPr>
          <w:rFonts w:ascii="Times New Roman" w:hAnsi="Times New Roman"/>
          <w:i/>
          <w:sz w:val="22"/>
          <w:szCs w:val="22"/>
        </w:rPr>
        <w:t>3</w:t>
      </w:r>
      <w:r w:rsidRPr="008534DC">
        <w:rPr>
          <w:rFonts w:ascii="Times New Roman" w:hAnsi="Times New Roman"/>
          <w:i/>
          <w:sz w:val="22"/>
          <w:szCs w:val="22"/>
        </w:rPr>
        <w:t xml:space="preserve">) 2022 </w:t>
      </w:r>
      <w:r w:rsidRPr="008534DC">
        <w:rPr>
          <w:rFonts w:ascii="Times New Roman" w:hAnsi="Times New Roman"/>
          <w:sz w:val="22"/>
          <w:szCs w:val="22"/>
        </w:rPr>
        <w:t>(Prostheses Rules) are made for the purposes of subsection 333-20(1) of the Act. Listed prostheses and their minimum benefits are set out in Schedule 1 to the Prostheses Rules. The list of prostheses in Schedule</w:t>
      </w:r>
      <w:r w:rsidR="00742FA1" w:rsidRPr="008534DC">
        <w:rPr>
          <w:rFonts w:ascii="Times New Roman" w:hAnsi="Times New Roman"/>
          <w:sz w:val="22"/>
          <w:szCs w:val="22"/>
        </w:rPr>
        <w:t> 1</w:t>
      </w:r>
      <w:r w:rsidRPr="008534DC">
        <w:rPr>
          <w:rFonts w:ascii="Times New Roman" w:hAnsi="Times New Roman"/>
          <w:sz w:val="22"/>
          <w:szCs w:val="22"/>
        </w:rPr>
        <w:t xml:space="preserve"> is commonly referred to as the Prostheses List.</w:t>
      </w:r>
    </w:p>
    <w:p w14:paraId="0959F7A1" w14:textId="77777777" w:rsidR="00916959" w:rsidRPr="008534DC" w:rsidRDefault="00916959" w:rsidP="00916959">
      <w:pPr>
        <w:autoSpaceDE w:val="0"/>
        <w:autoSpaceDN w:val="0"/>
        <w:adjustRightInd w:val="0"/>
        <w:ind w:right="-483"/>
        <w:jc w:val="both"/>
        <w:rPr>
          <w:rFonts w:ascii="Times New Roman" w:hAnsi="Times New Roman"/>
          <w:sz w:val="22"/>
          <w:szCs w:val="22"/>
        </w:rPr>
      </w:pPr>
    </w:p>
    <w:p w14:paraId="5B7DA3F1" w14:textId="1C791482" w:rsidR="00916959" w:rsidRPr="008534DC" w:rsidRDefault="00916959" w:rsidP="00916959">
      <w:pPr>
        <w:jc w:val="both"/>
        <w:rPr>
          <w:rFonts w:ascii="Times New Roman" w:hAnsi="Times New Roman"/>
          <w:sz w:val="22"/>
          <w:szCs w:val="22"/>
        </w:rPr>
      </w:pPr>
      <w:r w:rsidRPr="008534DC">
        <w:rPr>
          <w:rFonts w:ascii="Times New Roman" w:hAnsi="Times New Roman"/>
          <w:sz w:val="22"/>
          <w:szCs w:val="22"/>
        </w:rPr>
        <w:t>Schedule</w:t>
      </w:r>
      <w:r w:rsidR="00742FA1" w:rsidRPr="008534DC">
        <w:rPr>
          <w:rFonts w:ascii="Times New Roman" w:hAnsi="Times New Roman"/>
          <w:sz w:val="22"/>
          <w:szCs w:val="22"/>
        </w:rPr>
        <w:t> 1</w:t>
      </w:r>
      <w:r w:rsidRPr="008534DC">
        <w:rPr>
          <w:rFonts w:ascii="Times New Roman" w:hAnsi="Times New Roman"/>
          <w:sz w:val="22"/>
          <w:szCs w:val="22"/>
        </w:rPr>
        <w:t xml:space="preserve"> to the Prostheses Rules has </w:t>
      </w:r>
      <w:r w:rsidR="001E3920" w:rsidRPr="008534DC">
        <w:rPr>
          <w:rFonts w:ascii="Times New Roman" w:hAnsi="Times New Roman"/>
          <w:sz w:val="22"/>
          <w:szCs w:val="22"/>
        </w:rPr>
        <w:t>four</w:t>
      </w:r>
      <w:r w:rsidR="00852EA8" w:rsidRPr="008534DC">
        <w:rPr>
          <w:rFonts w:ascii="Times New Roman" w:hAnsi="Times New Roman"/>
          <w:sz w:val="22"/>
          <w:szCs w:val="22"/>
        </w:rPr>
        <w:t xml:space="preserve"> </w:t>
      </w:r>
      <w:r w:rsidRPr="008534DC">
        <w:rPr>
          <w:rFonts w:ascii="Times New Roman" w:hAnsi="Times New Roman"/>
          <w:sz w:val="22"/>
          <w:szCs w:val="22"/>
        </w:rPr>
        <w:t>parts:</w:t>
      </w:r>
    </w:p>
    <w:p w14:paraId="7E074730" w14:textId="77777777" w:rsidR="00916959" w:rsidRPr="008534DC" w:rsidRDefault="00916959" w:rsidP="00916959">
      <w:pPr>
        <w:numPr>
          <w:ilvl w:val="0"/>
          <w:numId w:val="1"/>
        </w:numPr>
        <w:spacing w:before="120"/>
        <w:jc w:val="both"/>
        <w:rPr>
          <w:rFonts w:ascii="Times New Roman" w:hAnsi="Times New Roman"/>
          <w:sz w:val="22"/>
          <w:szCs w:val="22"/>
        </w:rPr>
      </w:pPr>
      <w:r w:rsidRPr="008534DC">
        <w:rPr>
          <w:rFonts w:ascii="Times New Roman" w:hAnsi="Times New Roman"/>
          <w:sz w:val="22"/>
          <w:szCs w:val="22"/>
        </w:rPr>
        <w:t xml:space="preserve">Part A – Prostheses; </w:t>
      </w:r>
    </w:p>
    <w:p w14:paraId="7842F931" w14:textId="77777777" w:rsidR="00916959" w:rsidRPr="008534DC" w:rsidRDefault="00916959" w:rsidP="00916959">
      <w:pPr>
        <w:numPr>
          <w:ilvl w:val="0"/>
          <w:numId w:val="1"/>
        </w:numPr>
        <w:spacing w:before="120"/>
        <w:jc w:val="both"/>
        <w:rPr>
          <w:rFonts w:ascii="Times New Roman" w:hAnsi="Times New Roman"/>
          <w:sz w:val="22"/>
          <w:szCs w:val="22"/>
        </w:rPr>
      </w:pPr>
      <w:r w:rsidRPr="008534DC">
        <w:rPr>
          <w:rFonts w:ascii="Times New Roman" w:hAnsi="Times New Roman"/>
          <w:sz w:val="22"/>
          <w:szCs w:val="22"/>
        </w:rPr>
        <w:t xml:space="preserve">Part B – Human Tissue; </w:t>
      </w:r>
    </w:p>
    <w:p w14:paraId="3C5EB746" w14:textId="3699759A" w:rsidR="00916959" w:rsidRPr="008534DC" w:rsidRDefault="00916959" w:rsidP="00916959">
      <w:pPr>
        <w:numPr>
          <w:ilvl w:val="0"/>
          <w:numId w:val="1"/>
        </w:numPr>
        <w:spacing w:before="120"/>
        <w:jc w:val="both"/>
        <w:rPr>
          <w:rFonts w:ascii="Times New Roman" w:hAnsi="Times New Roman"/>
          <w:sz w:val="22"/>
          <w:szCs w:val="22"/>
        </w:rPr>
      </w:pPr>
      <w:r w:rsidRPr="008534DC">
        <w:rPr>
          <w:rFonts w:ascii="Times New Roman" w:hAnsi="Times New Roman"/>
          <w:sz w:val="22"/>
          <w:szCs w:val="22"/>
        </w:rPr>
        <w:t>Part C – Other Prostheses</w:t>
      </w:r>
    </w:p>
    <w:p w14:paraId="38416A70" w14:textId="1C19D300" w:rsidR="001E3920" w:rsidRPr="008534DC" w:rsidRDefault="001E3920" w:rsidP="00916959">
      <w:pPr>
        <w:numPr>
          <w:ilvl w:val="0"/>
          <w:numId w:val="1"/>
        </w:numPr>
        <w:spacing w:before="120"/>
        <w:jc w:val="both"/>
        <w:rPr>
          <w:rFonts w:ascii="Times New Roman" w:hAnsi="Times New Roman"/>
          <w:sz w:val="22"/>
          <w:szCs w:val="22"/>
        </w:rPr>
      </w:pPr>
      <w:r w:rsidRPr="008534DC">
        <w:rPr>
          <w:rFonts w:ascii="Times New Roman" w:hAnsi="Times New Roman"/>
          <w:sz w:val="22"/>
          <w:szCs w:val="22"/>
        </w:rPr>
        <w:t>Part D – General Use Items</w:t>
      </w:r>
    </w:p>
    <w:p w14:paraId="469B2B3D" w14:textId="77777777" w:rsidR="00916959" w:rsidRPr="008534DC" w:rsidRDefault="00916959" w:rsidP="00916959">
      <w:pPr>
        <w:jc w:val="both"/>
        <w:rPr>
          <w:rFonts w:ascii="Times New Roman" w:hAnsi="Times New Roman"/>
          <w:sz w:val="22"/>
          <w:szCs w:val="22"/>
        </w:rPr>
      </w:pPr>
    </w:p>
    <w:p w14:paraId="49D693B5" w14:textId="16FC3210" w:rsidR="00916959" w:rsidRPr="008534DC" w:rsidRDefault="00916959" w:rsidP="00916959">
      <w:pPr>
        <w:jc w:val="both"/>
        <w:rPr>
          <w:rFonts w:ascii="Times New Roman" w:hAnsi="Times New Roman"/>
          <w:sz w:val="22"/>
          <w:szCs w:val="22"/>
        </w:rPr>
      </w:pPr>
      <w:r w:rsidRPr="008534DC">
        <w:rPr>
          <w:rFonts w:ascii="Times New Roman" w:hAnsi="Times New Roman"/>
          <w:sz w:val="22"/>
          <w:szCs w:val="22"/>
        </w:rPr>
        <w:t xml:space="preserve">The purpose of the Prostheses Rules is to update the list of the kinds of prostheses for which </w:t>
      </w:r>
      <w:bookmarkStart w:id="1" w:name="_Hlk90993233"/>
      <w:r w:rsidRPr="008534DC">
        <w:rPr>
          <w:rFonts w:ascii="Times New Roman" w:hAnsi="Times New Roman"/>
          <w:sz w:val="22"/>
          <w:szCs w:val="22"/>
        </w:rPr>
        <w:t xml:space="preserve">a benefit must be paid </w:t>
      </w:r>
      <w:bookmarkEnd w:id="1"/>
      <w:r w:rsidRPr="008534DC">
        <w:rPr>
          <w:rFonts w:ascii="Times New Roman" w:hAnsi="Times New Roman"/>
          <w:sz w:val="22"/>
          <w:szCs w:val="22"/>
        </w:rPr>
        <w:t xml:space="preserve">where the prosthesis is provided in the conditions and circumstances specified in the Act, </w:t>
      </w:r>
      <w:r w:rsidRPr="008534DC">
        <w:rPr>
          <w:rFonts w:ascii="Times New Roman" w:hAnsi="Times New Roman"/>
          <w:sz w:val="22"/>
          <w:szCs w:val="22"/>
        </w:rPr>
        <w:lastRenderedPageBreak/>
        <w:t xml:space="preserve">and set out the minimum and, where applicable, maximum benefit payable. The Prostheses Rules repeal and replace the </w:t>
      </w:r>
      <w:r w:rsidRPr="008534DC">
        <w:rPr>
          <w:rFonts w:ascii="Times New Roman" w:hAnsi="Times New Roman"/>
          <w:i/>
          <w:sz w:val="22"/>
          <w:szCs w:val="22"/>
        </w:rPr>
        <w:t xml:space="preserve">Private Health Insurance (Prostheses) Rules (No. </w:t>
      </w:r>
      <w:r w:rsidR="001E3920" w:rsidRPr="008534DC">
        <w:rPr>
          <w:rFonts w:ascii="Times New Roman" w:hAnsi="Times New Roman"/>
          <w:i/>
          <w:sz w:val="22"/>
          <w:szCs w:val="22"/>
        </w:rPr>
        <w:t>2</w:t>
      </w:r>
      <w:r w:rsidRPr="008534DC">
        <w:rPr>
          <w:rFonts w:ascii="Times New Roman" w:hAnsi="Times New Roman"/>
          <w:i/>
          <w:sz w:val="22"/>
          <w:szCs w:val="22"/>
        </w:rPr>
        <w:t>) 2022</w:t>
      </w:r>
      <w:r w:rsidRPr="008534DC">
        <w:rPr>
          <w:rFonts w:ascii="Times New Roman" w:hAnsi="Times New Roman"/>
          <w:sz w:val="22"/>
          <w:szCs w:val="22"/>
        </w:rPr>
        <w:t xml:space="preserve"> (Previous Rules).</w:t>
      </w:r>
    </w:p>
    <w:p w14:paraId="641959EA" w14:textId="77777777" w:rsidR="00077A8C" w:rsidRPr="008534DC" w:rsidRDefault="00077A8C" w:rsidP="00916959">
      <w:pPr>
        <w:jc w:val="both"/>
        <w:rPr>
          <w:rFonts w:ascii="Times New Roman" w:hAnsi="Times New Roman"/>
          <w:sz w:val="22"/>
          <w:szCs w:val="22"/>
        </w:rPr>
      </w:pPr>
    </w:p>
    <w:p w14:paraId="0E767BC5" w14:textId="59E0E774" w:rsidR="00085B3C" w:rsidRPr="008534DC" w:rsidRDefault="00085B3C" w:rsidP="00085B3C">
      <w:pPr>
        <w:jc w:val="both"/>
        <w:rPr>
          <w:rFonts w:ascii="Times New Roman" w:hAnsi="Times New Roman"/>
          <w:sz w:val="22"/>
          <w:szCs w:val="22"/>
        </w:rPr>
      </w:pPr>
      <w:r w:rsidRPr="008534DC">
        <w:rPr>
          <w:rFonts w:ascii="Times New Roman" w:hAnsi="Times New Roman"/>
          <w:sz w:val="22"/>
          <w:szCs w:val="22"/>
        </w:rPr>
        <w:t>In addition to the changes resulted from completion of the applications, the Prostheses Rules correct errors to Schedule 1 resulting from technical issues encountered when making the Previous Rules by:</w:t>
      </w:r>
    </w:p>
    <w:p w14:paraId="7276DDA0" w14:textId="77777777" w:rsidR="00085B3C" w:rsidRPr="008534DC" w:rsidRDefault="00085B3C" w:rsidP="007F0B4A">
      <w:pPr>
        <w:pStyle w:val="ListParagraph"/>
        <w:numPr>
          <w:ilvl w:val="0"/>
          <w:numId w:val="11"/>
        </w:numPr>
        <w:spacing w:before="120"/>
        <w:ind w:left="714" w:hanging="357"/>
        <w:rPr>
          <w:rFonts w:ascii="Times New Roman" w:hAnsi="Times New Roman"/>
          <w:sz w:val="22"/>
          <w:szCs w:val="22"/>
        </w:rPr>
      </w:pPr>
      <w:r w:rsidRPr="008534DC">
        <w:rPr>
          <w:rFonts w:ascii="Times New Roman" w:hAnsi="Times New Roman"/>
          <w:sz w:val="22"/>
          <w:szCs w:val="22"/>
        </w:rPr>
        <w:t xml:space="preserve">correcting the title of Part D of the </w:t>
      </w:r>
      <w:proofErr w:type="gramStart"/>
      <w:r w:rsidRPr="008534DC">
        <w:rPr>
          <w:rFonts w:ascii="Times New Roman" w:hAnsi="Times New Roman"/>
          <w:sz w:val="22"/>
          <w:szCs w:val="22"/>
        </w:rPr>
        <w:t>Schedule;</w:t>
      </w:r>
      <w:proofErr w:type="gramEnd"/>
    </w:p>
    <w:p w14:paraId="552131A5" w14:textId="77777777" w:rsidR="00085B3C" w:rsidRPr="008534DC" w:rsidRDefault="00085B3C" w:rsidP="00085B3C">
      <w:pPr>
        <w:pStyle w:val="ListParagraph"/>
        <w:numPr>
          <w:ilvl w:val="0"/>
          <w:numId w:val="11"/>
        </w:numPr>
        <w:rPr>
          <w:rFonts w:ascii="Times New Roman" w:hAnsi="Times New Roman"/>
          <w:sz w:val="22"/>
          <w:szCs w:val="22"/>
        </w:rPr>
      </w:pPr>
      <w:r w:rsidRPr="008534DC">
        <w:rPr>
          <w:rFonts w:ascii="Times New Roman" w:hAnsi="Times New Roman"/>
          <w:sz w:val="22"/>
          <w:szCs w:val="22"/>
        </w:rPr>
        <w:t xml:space="preserve">moving 1 Prostheses List billing code from Part A to Part C of the </w:t>
      </w:r>
      <w:proofErr w:type="gramStart"/>
      <w:r w:rsidRPr="008534DC">
        <w:rPr>
          <w:rFonts w:ascii="Times New Roman" w:hAnsi="Times New Roman"/>
          <w:sz w:val="22"/>
          <w:szCs w:val="22"/>
        </w:rPr>
        <w:t>Schedule;</w:t>
      </w:r>
      <w:proofErr w:type="gramEnd"/>
    </w:p>
    <w:p w14:paraId="757A5DC8" w14:textId="77777777" w:rsidR="00085B3C" w:rsidRPr="008534DC" w:rsidRDefault="00085B3C" w:rsidP="00085B3C">
      <w:pPr>
        <w:pStyle w:val="ListParagraph"/>
        <w:numPr>
          <w:ilvl w:val="0"/>
          <w:numId w:val="11"/>
        </w:numPr>
        <w:rPr>
          <w:rFonts w:ascii="Times New Roman" w:hAnsi="Times New Roman"/>
          <w:sz w:val="22"/>
          <w:szCs w:val="22"/>
        </w:rPr>
      </w:pPr>
      <w:r w:rsidRPr="008534DC">
        <w:rPr>
          <w:rFonts w:ascii="Times New Roman" w:hAnsi="Times New Roman"/>
          <w:sz w:val="22"/>
          <w:szCs w:val="22"/>
        </w:rPr>
        <w:t>moving 3 Prostheses List billing codes from Part D to Part A of the Schedule;</w:t>
      </w:r>
    </w:p>
    <w:p w14:paraId="726CAF80" w14:textId="77777777" w:rsidR="00085B3C" w:rsidRPr="008534DC" w:rsidRDefault="00085B3C" w:rsidP="00085B3C">
      <w:pPr>
        <w:pStyle w:val="ListParagraph"/>
        <w:numPr>
          <w:ilvl w:val="0"/>
          <w:numId w:val="11"/>
        </w:numPr>
        <w:rPr>
          <w:rFonts w:ascii="Times New Roman" w:hAnsi="Times New Roman"/>
          <w:sz w:val="22"/>
          <w:szCs w:val="22"/>
        </w:rPr>
      </w:pPr>
      <w:r w:rsidRPr="008534DC">
        <w:rPr>
          <w:rFonts w:ascii="Times New Roman" w:hAnsi="Times New Roman"/>
          <w:sz w:val="22"/>
          <w:szCs w:val="22"/>
        </w:rPr>
        <w:t>re-instating 5 Prostheses List billing codes in Part A of the Schedule that were inadvertently omitted;</w:t>
      </w:r>
    </w:p>
    <w:p w14:paraId="4E95A66E" w14:textId="77777777" w:rsidR="00085B3C" w:rsidRPr="008534DC" w:rsidRDefault="00085B3C" w:rsidP="00085B3C">
      <w:pPr>
        <w:pStyle w:val="ListParagraph"/>
        <w:numPr>
          <w:ilvl w:val="0"/>
          <w:numId w:val="11"/>
        </w:numPr>
        <w:rPr>
          <w:rFonts w:ascii="Times New Roman" w:hAnsi="Times New Roman"/>
          <w:sz w:val="22"/>
          <w:szCs w:val="22"/>
        </w:rPr>
      </w:pPr>
      <w:r w:rsidRPr="008534DC">
        <w:rPr>
          <w:rFonts w:ascii="Times New Roman" w:hAnsi="Times New Roman"/>
          <w:sz w:val="22"/>
          <w:szCs w:val="22"/>
        </w:rPr>
        <w:t>removing 1 Prostheses List billing code from Part A of the Schedule that was previously deleted at the sponsor’s request; and</w:t>
      </w:r>
    </w:p>
    <w:p w14:paraId="5E1E9736" w14:textId="77777777" w:rsidR="00085B3C" w:rsidRPr="008534DC" w:rsidRDefault="00085B3C" w:rsidP="00085B3C">
      <w:pPr>
        <w:pStyle w:val="ListParagraph"/>
        <w:numPr>
          <w:ilvl w:val="0"/>
          <w:numId w:val="11"/>
        </w:numPr>
        <w:spacing w:after="120"/>
        <w:ind w:left="714" w:hanging="357"/>
        <w:rPr>
          <w:rFonts w:ascii="Times New Roman" w:hAnsi="Times New Roman"/>
          <w:sz w:val="22"/>
          <w:szCs w:val="22"/>
        </w:rPr>
      </w:pPr>
      <w:r w:rsidRPr="008534DC">
        <w:rPr>
          <w:rFonts w:ascii="Times New Roman" w:hAnsi="Times New Roman"/>
          <w:sz w:val="22"/>
          <w:szCs w:val="22"/>
        </w:rPr>
        <w:t>correcting the benefits for 2 Prostheses List billing codes in Part D of the Schedule, as there were inadvertently changed when the billing codes were moved from Part A.</w:t>
      </w:r>
    </w:p>
    <w:p w14:paraId="2E4454D0" w14:textId="77777777" w:rsidR="00085B3C" w:rsidRPr="008534DC" w:rsidRDefault="00085B3C" w:rsidP="00085B3C">
      <w:pPr>
        <w:jc w:val="both"/>
        <w:rPr>
          <w:rFonts w:ascii="Times New Roman" w:hAnsi="Times New Roman"/>
          <w:sz w:val="22"/>
          <w:szCs w:val="22"/>
        </w:rPr>
      </w:pPr>
    </w:p>
    <w:p w14:paraId="7A23876E" w14:textId="1224F128" w:rsidR="00916959" w:rsidRPr="008534DC" w:rsidRDefault="00916959" w:rsidP="00916959">
      <w:pPr>
        <w:spacing w:after="120"/>
        <w:jc w:val="both"/>
        <w:rPr>
          <w:rFonts w:ascii="Times New Roman" w:hAnsi="Times New Roman"/>
          <w:sz w:val="22"/>
          <w:szCs w:val="22"/>
        </w:rPr>
      </w:pPr>
      <w:r w:rsidRPr="008534DC">
        <w:rPr>
          <w:rFonts w:ascii="Times New Roman" w:hAnsi="Times New Roman"/>
          <w:sz w:val="22"/>
          <w:szCs w:val="22"/>
        </w:rPr>
        <w:t>The Prostheses Rules differ from the Previous Rules by:</w:t>
      </w:r>
    </w:p>
    <w:p w14:paraId="400F7375" w14:textId="4D277ECC" w:rsidR="00916959" w:rsidRPr="008534DC" w:rsidRDefault="00916959" w:rsidP="00F86B9C">
      <w:pPr>
        <w:pStyle w:val="ListParagraph"/>
        <w:numPr>
          <w:ilvl w:val="3"/>
          <w:numId w:val="6"/>
        </w:numPr>
        <w:spacing w:after="60"/>
        <w:ind w:left="709"/>
        <w:contextualSpacing w:val="0"/>
        <w:jc w:val="both"/>
        <w:rPr>
          <w:rFonts w:ascii="Times New Roman" w:hAnsi="Times New Roman"/>
          <w:sz w:val="22"/>
          <w:szCs w:val="22"/>
        </w:rPr>
      </w:pPr>
      <w:r w:rsidRPr="008534DC">
        <w:rPr>
          <w:rFonts w:ascii="Times New Roman" w:hAnsi="Times New Roman"/>
          <w:sz w:val="22"/>
          <w:szCs w:val="22"/>
        </w:rPr>
        <w:t xml:space="preserve">adding </w:t>
      </w:r>
      <w:r w:rsidR="009A3E7D" w:rsidRPr="008534DC">
        <w:rPr>
          <w:rFonts w:ascii="Times New Roman" w:hAnsi="Times New Roman"/>
          <w:sz w:val="22"/>
          <w:szCs w:val="22"/>
        </w:rPr>
        <w:t>184</w:t>
      </w:r>
      <w:r w:rsidR="00F0719B" w:rsidRPr="008534DC">
        <w:rPr>
          <w:rFonts w:ascii="Times New Roman" w:hAnsi="Times New Roman"/>
          <w:sz w:val="22"/>
          <w:szCs w:val="22"/>
        </w:rPr>
        <w:t xml:space="preserve"> </w:t>
      </w:r>
      <w:r w:rsidRPr="008534DC">
        <w:rPr>
          <w:rFonts w:ascii="Times New Roman" w:hAnsi="Times New Roman"/>
          <w:sz w:val="22"/>
          <w:szCs w:val="22"/>
        </w:rPr>
        <w:t>new Prostheses List billing codes to Part A of Schedule</w:t>
      </w:r>
      <w:r w:rsidR="00631166" w:rsidRPr="008534DC">
        <w:rPr>
          <w:rFonts w:ascii="Times New Roman" w:hAnsi="Times New Roman"/>
          <w:sz w:val="22"/>
          <w:szCs w:val="22"/>
        </w:rPr>
        <w:t> 1</w:t>
      </w:r>
      <w:r w:rsidRPr="008534DC">
        <w:rPr>
          <w:rFonts w:ascii="Times New Roman" w:hAnsi="Times New Roman"/>
          <w:sz w:val="22"/>
          <w:szCs w:val="22"/>
        </w:rPr>
        <w:t xml:space="preserve">, as a result of listing </w:t>
      </w:r>
      <w:r w:rsidR="009A3E7D" w:rsidRPr="008534DC">
        <w:rPr>
          <w:rFonts w:ascii="Times New Roman" w:hAnsi="Times New Roman"/>
          <w:sz w:val="22"/>
          <w:szCs w:val="22"/>
        </w:rPr>
        <w:t>103</w:t>
      </w:r>
      <w:r w:rsidR="00F0719B" w:rsidRPr="008534DC">
        <w:rPr>
          <w:rFonts w:ascii="Times New Roman" w:hAnsi="Times New Roman"/>
          <w:sz w:val="22"/>
          <w:szCs w:val="22"/>
        </w:rPr>
        <w:t> </w:t>
      </w:r>
      <w:r w:rsidRPr="008534DC">
        <w:rPr>
          <w:rFonts w:ascii="Times New Roman" w:hAnsi="Times New Roman"/>
          <w:sz w:val="22"/>
          <w:szCs w:val="22"/>
        </w:rPr>
        <w:t xml:space="preserve">prostheses for the first time </w:t>
      </w:r>
      <w:bookmarkStart w:id="2" w:name="_Hlk91008705"/>
      <w:r w:rsidRPr="008534DC">
        <w:rPr>
          <w:rFonts w:ascii="Times New Roman" w:hAnsi="Times New Roman"/>
          <w:sz w:val="22"/>
          <w:szCs w:val="22"/>
        </w:rPr>
        <w:t>following successful new applications</w:t>
      </w:r>
      <w:r w:rsidR="00F0719B" w:rsidRPr="008534DC">
        <w:rPr>
          <w:rFonts w:ascii="Times New Roman" w:hAnsi="Times New Roman"/>
          <w:sz w:val="22"/>
          <w:szCs w:val="22"/>
        </w:rPr>
        <w:t xml:space="preserve">, </w:t>
      </w:r>
      <w:bookmarkEnd w:id="2"/>
      <w:r w:rsidR="009A3E7D" w:rsidRPr="008534DC">
        <w:rPr>
          <w:rFonts w:ascii="Times New Roman" w:hAnsi="Times New Roman"/>
          <w:sz w:val="22"/>
          <w:szCs w:val="22"/>
        </w:rPr>
        <w:t>and 81</w:t>
      </w:r>
      <w:r w:rsidRPr="008534DC">
        <w:rPr>
          <w:rFonts w:ascii="Times New Roman" w:hAnsi="Times New Roman"/>
          <w:sz w:val="22"/>
          <w:szCs w:val="22"/>
        </w:rPr>
        <w:t xml:space="preserve"> new codes due to transfer of prostheses from one sponsor to </w:t>
      </w:r>
      <w:r w:rsidR="009A3E7D" w:rsidRPr="008534DC">
        <w:rPr>
          <w:rFonts w:ascii="Times New Roman" w:hAnsi="Times New Roman"/>
          <w:sz w:val="22"/>
          <w:szCs w:val="22"/>
        </w:rPr>
        <w:t>another</w:t>
      </w:r>
      <w:r w:rsidR="00852EA8" w:rsidRPr="008534DC">
        <w:rPr>
          <w:rFonts w:ascii="Times New Roman" w:hAnsi="Times New Roman"/>
          <w:sz w:val="22"/>
          <w:szCs w:val="22"/>
        </w:rPr>
        <w:t>;</w:t>
      </w:r>
    </w:p>
    <w:p w14:paraId="78CEE59A" w14:textId="1DF621EF" w:rsidR="00916959" w:rsidRPr="008534DC" w:rsidRDefault="00916959" w:rsidP="00F86B9C">
      <w:pPr>
        <w:pStyle w:val="NoSpacing"/>
        <w:numPr>
          <w:ilvl w:val="0"/>
          <w:numId w:val="6"/>
        </w:numPr>
        <w:spacing w:after="60"/>
        <w:ind w:left="714" w:hanging="357"/>
        <w:jc w:val="both"/>
        <w:rPr>
          <w:sz w:val="22"/>
          <w:szCs w:val="22"/>
          <w:lang w:eastAsia="en-AU"/>
        </w:rPr>
      </w:pPr>
      <w:bookmarkStart w:id="3" w:name="_Hlk117031585"/>
      <w:r w:rsidRPr="008534DC">
        <w:rPr>
          <w:sz w:val="22"/>
          <w:szCs w:val="22"/>
        </w:rPr>
        <w:t xml:space="preserve">changing the listing details </w:t>
      </w:r>
      <w:r w:rsidRPr="008534DC">
        <w:rPr>
          <w:sz w:val="22"/>
          <w:szCs w:val="22"/>
          <w:lang w:eastAsia="en-AU"/>
        </w:rPr>
        <w:t xml:space="preserve">of </w:t>
      </w:r>
      <w:r w:rsidR="009A3E7D" w:rsidRPr="008534DC">
        <w:rPr>
          <w:sz w:val="22"/>
          <w:szCs w:val="22"/>
          <w:lang w:eastAsia="en-AU"/>
        </w:rPr>
        <w:t>9</w:t>
      </w:r>
      <w:r w:rsidR="00A01892" w:rsidRPr="008534DC">
        <w:rPr>
          <w:sz w:val="22"/>
          <w:szCs w:val="22"/>
          <w:lang w:eastAsia="en-AU"/>
        </w:rPr>
        <w:t>8</w:t>
      </w:r>
      <w:r w:rsidR="00F0719B" w:rsidRPr="008534DC">
        <w:rPr>
          <w:sz w:val="22"/>
          <w:szCs w:val="22"/>
          <w:lang w:eastAsia="en-AU"/>
        </w:rPr>
        <w:t xml:space="preserve"> </w:t>
      </w:r>
      <w:r w:rsidRPr="008534DC">
        <w:rPr>
          <w:sz w:val="22"/>
          <w:szCs w:val="22"/>
          <w:lang w:eastAsia="en-AU"/>
        </w:rPr>
        <w:t>Prostheses List billing codes in Part A of Schedule</w:t>
      </w:r>
      <w:r w:rsidR="00631166" w:rsidRPr="008534DC">
        <w:rPr>
          <w:sz w:val="22"/>
          <w:szCs w:val="22"/>
          <w:lang w:eastAsia="en-AU"/>
        </w:rPr>
        <w:t> 1</w:t>
      </w:r>
      <w:r w:rsidR="00CB6A94" w:rsidRPr="008534DC">
        <w:rPr>
          <w:sz w:val="22"/>
          <w:szCs w:val="22"/>
          <w:lang w:eastAsia="en-AU"/>
        </w:rPr>
        <w:t xml:space="preserve"> following </w:t>
      </w:r>
      <w:r w:rsidRPr="008534DC">
        <w:rPr>
          <w:sz w:val="22"/>
          <w:szCs w:val="22"/>
          <w:lang w:eastAsia="en-AU"/>
        </w:rPr>
        <w:t>the successful amendment applications from the sponsors</w:t>
      </w:r>
      <w:r w:rsidR="00A01892" w:rsidRPr="008534DC">
        <w:rPr>
          <w:sz w:val="22"/>
          <w:szCs w:val="22"/>
          <w:lang w:eastAsia="en-AU"/>
        </w:rPr>
        <w:t xml:space="preserve"> and the changes to the billing codes required to rectify the errors as explained above</w:t>
      </w:r>
      <w:bookmarkEnd w:id="3"/>
      <w:r w:rsidR="00852EA8" w:rsidRPr="008534DC">
        <w:rPr>
          <w:sz w:val="22"/>
          <w:szCs w:val="22"/>
          <w:lang w:eastAsia="en-AU"/>
        </w:rPr>
        <w:t>;</w:t>
      </w:r>
    </w:p>
    <w:p w14:paraId="47664C04" w14:textId="65C12EDF" w:rsidR="00916959" w:rsidRPr="008534DC" w:rsidRDefault="00916959" w:rsidP="00F86B9C">
      <w:pPr>
        <w:pStyle w:val="ListParagraph"/>
        <w:numPr>
          <w:ilvl w:val="0"/>
          <w:numId w:val="6"/>
        </w:numPr>
        <w:spacing w:after="60"/>
        <w:ind w:left="709"/>
        <w:contextualSpacing w:val="0"/>
        <w:jc w:val="both"/>
        <w:rPr>
          <w:rFonts w:ascii="Times New Roman" w:hAnsi="Times New Roman"/>
          <w:sz w:val="22"/>
          <w:szCs w:val="22"/>
        </w:rPr>
      </w:pPr>
      <w:r w:rsidRPr="008534DC">
        <w:rPr>
          <w:rFonts w:ascii="Times New Roman" w:hAnsi="Times New Roman"/>
          <w:sz w:val="22"/>
          <w:szCs w:val="22"/>
        </w:rPr>
        <w:t xml:space="preserve">deleting </w:t>
      </w:r>
      <w:r w:rsidR="00406EA2" w:rsidRPr="008534DC">
        <w:rPr>
          <w:rFonts w:ascii="Times New Roman" w:hAnsi="Times New Roman"/>
          <w:sz w:val="22"/>
          <w:szCs w:val="22"/>
        </w:rPr>
        <w:t>146</w:t>
      </w:r>
      <w:r w:rsidR="00F0719B" w:rsidRPr="008534DC">
        <w:rPr>
          <w:rFonts w:ascii="Times New Roman" w:hAnsi="Times New Roman"/>
          <w:sz w:val="22"/>
          <w:szCs w:val="22"/>
        </w:rPr>
        <w:t xml:space="preserve"> </w:t>
      </w:r>
      <w:r w:rsidRPr="008534DC">
        <w:rPr>
          <w:rFonts w:ascii="Times New Roman" w:hAnsi="Times New Roman"/>
          <w:sz w:val="22"/>
          <w:szCs w:val="22"/>
        </w:rPr>
        <w:t>Prostheses List billing codes from Part A of Schedule</w:t>
      </w:r>
      <w:r w:rsidR="00631166" w:rsidRPr="008534DC">
        <w:rPr>
          <w:rFonts w:ascii="Times New Roman" w:hAnsi="Times New Roman"/>
          <w:sz w:val="22"/>
          <w:szCs w:val="22"/>
        </w:rPr>
        <w:t> 1</w:t>
      </w:r>
      <w:r w:rsidRPr="008534DC">
        <w:rPr>
          <w:rFonts w:ascii="Times New Roman" w:hAnsi="Times New Roman"/>
          <w:sz w:val="22"/>
          <w:szCs w:val="22"/>
        </w:rPr>
        <w:t xml:space="preserve">, as a result of accepting </w:t>
      </w:r>
      <w:r w:rsidR="00406EA2" w:rsidRPr="008534DC">
        <w:rPr>
          <w:rFonts w:ascii="Times New Roman" w:hAnsi="Times New Roman"/>
          <w:sz w:val="22"/>
          <w:szCs w:val="22"/>
        </w:rPr>
        <w:t>65</w:t>
      </w:r>
      <w:r w:rsidR="00F0719B" w:rsidRPr="008534DC">
        <w:rPr>
          <w:rFonts w:ascii="Times New Roman" w:hAnsi="Times New Roman"/>
          <w:sz w:val="22"/>
          <w:szCs w:val="22"/>
        </w:rPr>
        <w:t> </w:t>
      </w:r>
      <w:r w:rsidRPr="008534DC">
        <w:rPr>
          <w:rFonts w:ascii="Times New Roman" w:hAnsi="Times New Roman"/>
          <w:sz w:val="22"/>
          <w:szCs w:val="22"/>
        </w:rPr>
        <w:t xml:space="preserve">deletion applications submitted by the sponsors, removing </w:t>
      </w:r>
      <w:r w:rsidR="00406EA2" w:rsidRPr="008534DC">
        <w:rPr>
          <w:rFonts w:ascii="Times New Roman" w:hAnsi="Times New Roman"/>
          <w:sz w:val="22"/>
          <w:szCs w:val="22"/>
        </w:rPr>
        <w:t>81</w:t>
      </w:r>
      <w:r w:rsidRPr="008534DC">
        <w:rPr>
          <w:rFonts w:ascii="Times New Roman" w:hAnsi="Times New Roman"/>
          <w:sz w:val="22"/>
          <w:szCs w:val="22"/>
        </w:rPr>
        <w:t xml:space="preserve"> current codes after transferring prostheses to the new sponsors,</w:t>
      </w:r>
      <w:r w:rsidR="001E3920" w:rsidRPr="008534DC">
        <w:rPr>
          <w:rFonts w:ascii="Times New Roman" w:hAnsi="Times New Roman"/>
          <w:sz w:val="22"/>
          <w:szCs w:val="22"/>
        </w:rPr>
        <w:t xml:space="preserve"> </w:t>
      </w:r>
    </w:p>
    <w:p w14:paraId="5AE3CE38" w14:textId="3096DF75" w:rsidR="001E3920" w:rsidRPr="008534DC" w:rsidRDefault="00406EA2" w:rsidP="00E5595B">
      <w:pPr>
        <w:pStyle w:val="ListParagraph"/>
        <w:numPr>
          <w:ilvl w:val="0"/>
          <w:numId w:val="6"/>
        </w:numPr>
        <w:spacing w:after="60"/>
        <w:contextualSpacing w:val="0"/>
        <w:jc w:val="both"/>
        <w:rPr>
          <w:rFonts w:ascii="Times New Roman" w:hAnsi="Times New Roman"/>
          <w:sz w:val="22"/>
          <w:szCs w:val="22"/>
        </w:rPr>
      </w:pPr>
      <w:r w:rsidRPr="008534DC">
        <w:rPr>
          <w:rFonts w:ascii="Times New Roman" w:hAnsi="Times New Roman"/>
          <w:sz w:val="22"/>
          <w:szCs w:val="22"/>
        </w:rPr>
        <w:t xml:space="preserve">changing the listing details </w:t>
      </w:r>
      <w:bookmarkStart w:id="4" w:name="_Hlk117031654"/>
      <w:r w:rsidRPr="008534DC">
        <w:rPr>
          <w:rFonts w:ascii="Times New Roman" w:hAnsi="Times New Roman"/>
          <w:sz w:val="22"/>
          <w:szCs w:val="22"/>
        </w:rPr>
        <w:t xml:space="preserve">of </w:t>
      </w:r>
      <w:r w:rsidR="00A01892" w:rsidRPr="008534DC">
        <w:rPr>
          <w:rFonts w:ascii="Times New Roman" w:hAnsi="Times New Roman"/>
          <w:sz w:val="22"/>
          <w:szCs w:val="22"/>
        </w:rPr>
        <w:t>3</w:t>
      </w:r>
      <w:r w:rsidR="00916959" w:rsidRPr="008534DC">
        <w:rPr>
          <w:rFonts w:ascii="Times New Roman" w:hAnsi="Times New Roman"/>
          <w:sz w:val="22"/>
          <w:szCs w:val="22"/>
        </w:rPr>
        <w:t xml:space="preserve"> Prostheses List billing code</w:t>
      </w:r>
      <w:r w:rsidRPr="008534DC">
        <w:rPr>
          <w:rFonts w:ascii="Times New Roman" w:hAnsi="Times New Roman"/>
          <w:sz w:val="22"/>
          <w:szCs w:val="22"/>
        </w:rPr>
        <w:t>s</w:t>
      </w:r>
      <w:r w:rsidR="00916959" w:rsidRPr="008534DC">
        <w:rPr>
          <w:rFonts w:ascii="Times New Roman" w:hAnsi="Times New Roman"/>
          <w:sz w:val="22"/>
          <w:szCs w:val="22"/>
        </w:rPr>
        <w:t xml:space="preserve"> </w:t>
      </w:r>
      <w:r w:rsidRPr="008534DC">
        <w:rPr>
          <w:rFonts w:ascii="Times New Roman" w:hAnsi="Times New Roman"/>
          <w:sz w:val="22"/>
          <w:szCs w:val="22"/>
        </w:rPr>
        <w:t>in</w:t>
      </w:r>
      <w:r w:rsidR="00916959" w:rsidRPr="008534DC">
        <w:rPr>
          <w:rFonts w:ascii="Times New Roman" w:hAnsi="Times New Roman"/>
          <w:sz w:val="22"/>
          <w:szCs w:val="22"/>
        </w:rPr>
        <w:t xml:space="preserve"> Part C of Schedule 1 </w:t>
      </w:r>
      <w:r w:rsidRPr="008534DC">
        <w:rPr>
          <w:rFonts w:ascii="Times New Roman" w:hAnsi="Times New Roman"/>
          <w:sz w:val="22"/>
          <w:szCs w:val="22"/>
        </w:rPr>
        <w:t>following successful amendment applications from the sponsors</w:t>
      </w:r>
      <w:bookmarkEnd w:id="4"/>
      <w:r w:rsidR="00A01892" w:rsidRPr="008534DC">
        <w:t xml:space="preserve"> </w:t>
      </w:r>
      <w:r w:rsidR="00A01892" w:rsidRPr="008534DC">
        <w:rPr>
          <w:rFonts w:ascii="Times New Roman" w:hAnsi="Times New Roman"/>
          <w:sz w:val="22"/>
          <w:szCs w:val="22"/>
        </w:rPr>
        <w:t>and the changes to the billing code required to rectify the error as explained above</w:t>
      </w:r>
      <w:r w:rsidR="00872419" w:rsidRPr="008534DC">
        <w:rPr>
          <w:rFonts w:ascii="Times New Roman" w:hAnsi="Times New Roman"/>
          <w:sz w:val="22"/>
          <w:szCs w:val="22"/>
        </w:rPr>
        <w:t>;</w:t>
      </w:r>
      <w:r w:rsidR="0099136A" w:rsidRPr="008534DC">
        <w:rPr>
          <w:rFonts w:ascii="Times New Roman" w:hAnsi="Times New Roman"/>
          <w:sz w:val="22"/>
          <w:szCs w:val="22"/>
        </w:rPr>
        <w:t xml:space="preserve"> and</w:t>
      </w:r>
    </w:p>
    <w:p w14:paraId="134BD6EA" w14:textId="684B764B" w:rsidR="00872419" w:rsidRPr="008534DC" w:rsidRDefault="00872419" w:rsidP="00F86B9C">
      <w:pPr>
        <w:pStyle w:val="ListParagraph"/>
        <w:numPr>
          <w:ilvl w:val="0"/>
          <w:numId w:val="6"/>
        </w:numPr>
        <w:spacing w:after="60"/>
        <w:contextualSpacing w:val="0"/>
        <w:jc w:val="both"/>
        <w:rPr>
          <w:rFonts w:ascii="Times New Roman" w:hAnsi="Times New Roman"/>
          <w:sz w:val="22"/>
          <w:szCs w:val="22"/>
        </w:rPr>
      </w:pPr>
      <w:bookmarkStart w:id="5" w:name="_Hlk117031735"/>
      <w:r w:rsidRPr="008534DC">
        <w:rPr>
          <w:rFonts w:ascii="Times New Roman" w:hAnsi="Times New Roman"/>
          <w:sz w:val="22"/>
          <w:szCs w:val="22"/>
        </w:rPr>
        <w:t xml:space="preserve">changing the listing details of </w:t>
      </w:r>
      <w:r w:rsidR="00A01892" w:rsidRPr="008534DC">
        <w:rPr>
          <w:rFonts w:ascii="Times New Roman" w:hAnsi="Times New Roman"/>
          <w:sz w:val="22"/>
          <w:szCs w:val="22"/>
        </w:rPr>
        <w:t>3</w:t>
      </w:r>
      <w:r w:rsidRPr="008534DC">
        <w:rPr>
          <w:rFonts w:ascii="Times New Roman" w:hAnsi="Times New Roman"/>
          <w:sz w:val="22"/>
          <w:szCs w:val="22"/>
        </w:rPr>
        <w:t xml:space="preserve"> </w:t>
      </w:r>
      <w:r w:rsidR="00F86B9C" w:rsidRPr="008534DC">
        <w:rPr>
          <w:rFonts w:ascii="Times New Roman" w:hAnsi="Times New Roman"/>
          <w:sz w:val="22"/>
          <w:szCs w:val="22"/>
        </w:rPr>
        <w:t xml:space="preserve">Prostheses List </w:t>
      </w:r>
      <w:r w:rsidRPr="008534DC">
        <w:rPr>
          <w:rFonts w:ascii="Times New Roman" w:hAnsi="Times New Roman"/>
          <w:sz w:val="22"/>
          <w:szCs w:val="22"/>
        </w:rPr>
        <w:t>billing code in Part D of Schedule</w:t>
      </w:r>
      <w:r w:rsidR="00631166" w:rsidRPr="008534DC">
        <w:rPr>
          <w:rFonts w:ascii="Times New Roman" w:hAnsi="Times New Roman"/>
          <w:sz w:val="22"/>
          <w:szCs w:val="22"/>
        </w:rPr>
        <w:t> 1</w:t>
      </w:r>
      <w:bookmarkEnd w:id="5"/>
      <w:r w:rsidR="00406EA2" w:rsidRPr="008534DC">
        <w:rPr>
          <w:rFonts w:ascii="Times New Roman" w:hAnsi="Times New Roman"/>
          <w:sz w:val="22"/>
          <w:szCs w:val="22"/>
        </w:rPr>
        <w:t>.</w:t>
      </w:r>
    </w:p>
    <w:p w14:paraId="31BB1366" w14:textId="77777777" w:rsidR="001E3920" w:rsidRPr="008534DC" w:rsidRDefault="001E3920" w:rsidP="001E3920">
      <w:pPr>
        <w:ind w:left="360"/>
        <w:jc w:val="both"/>
        <w:rPr>
          <w:rFonts w:ascii="Times New Roman" w:hAnsi="Times New Roman"/>
          <w:sz w:val="22"/>
          <w:szCs w:val="22"/>
        </w:rPr>
      </w:pPr>
    </w:p>
    <w:p w14:paraId="5C92E89A" w14:textId="74ADA20B" w:rsidR="00916959" w:rsidRPr="008534DC" w:rsidRDefault="001E3920" w:rsidP="001E3920">
      <w:pPr>
        <w:jc w:val="both"/>
        <w:rPr>
          <w:rFonts w:ascii="Times New Roman" w:hAnsi="Times New Roman"/>
          <w:sz w:val="22"/>
          <w:szCs w:val="22"/>
        </w:rPr>
      </w:pPr>
      <w:r w:rsidRPr="008534DC">
        <w:rPr>
          <w:rFonts w:ascii="Times New Roman" w:hAnsi="Times New Roman"/>
          <w:sz w:val="22"/>
          <w:szCs w:val="22"/>
        </w:rPr>
        <w:t>T</w:t>
      </w:r>
      <w:r w:rsidR="00916959" w:rsidRPr="008534DC">
        <w:rPr>
          <w:rFonts w:ascii="Times New Roman" w:hAnsi="Times New Roman"/>
          <w:sz w:val="22"/>
          <w:szCs w:val="22"/>
        </w:rPr>
        <w:t>he number</w:t>
      </w:r>
      <w:r w:rsidRPr="008534DC">
        <w:rPr>
          <w:rFonts w:ascii="Times New Roman" w:hAnsi="Times New Roman"/>
          <w:sz w:val="22"/>
          <w:szCs w:val="22"/>
        </w:rPr>
        <w:t>s</w:t>
      </w:r>
      <w:r w:rsidR="00916959" w:rsidRPr="008534DC">
        <w:rPr>
          <w:rFonts w:ascii="Times New Roman" w:hAnsi="Times New Roman"/>
          <w:sz w:val="22"/>
          <w:szCs w:val="22"/>
        </w:rPr>
        <w:t xml:space="preserve"> of Prostheses List codes were taken from reports produced by </w:t>
      </w:r>
      <w:r w:rsidRPr="008534DC">
        <w:rPr>
          <w:rFonts w:ascii="Times New Roman" w:hAnsi="Times New Roman"/>
          <w:sz w:val="22"/>
          <w:szCs w:val="22"/>
        </w:rPr>
        <w:t xml:space="preserve">the </w:t>
      </w:r>
      <w:r w:rsidR="00916959" w:rsidRPr="008534DC">
        <w:rPr>
          <w:rFonts w:ascii="Times New Roman" w:hAnsi="Times New Roman"/>
          <w:sz w:val="22"/>
          <w:szCs w:val="22"/>
        </w:rPr>
        <w:t xml:space="preserve">Prostheses Listing Management System (PLMS) when the final Prostheses List was run. </w:t>
      </w:r>
    </w:p>
    <w:p w14:paraId="0AF23CE8" w14:textId="77777777" w:rsidR="00916959" w:rsidRPr="008534DC" w:rsidRDefault="00916959" w:rsidP="00916959">
      <w:pPr>
        <w:jc w:val="both"/>
        <w:rPr>
          <w:rFonts w:ascii="Times New Roman" w:hAnsi="Times New Roman"/>
          <w:sz w:val="22"/>
          <w:szCs w:val="22"/>
        </w:rPr>
      </w:pPr>
    </w:p>
    <w:p w14:paraId="0A174569" w14:textId="50675E7E" w:rsidR="00916959" w:rsidRPr="008534DC" w:rsidRDefault="00916959" w:rsidP="00916959">
      <w:pPr>
        <w:jc w:val="both"/>
        <w:rPr>
          <w:rFonts w:ascii="Times New Roman" w:hAnsi="Times New Roman"/>
          <w:sz w:val="22"/>
          <w:szCs w:val="22"/>
        </w:rPr>
      </w:pPr>
      <w:r w:rsidRPr="008534DC">
        <w:rPr>
          <w:rFonts w:ascii="Times New Roman" w:hAnsi="Times New Roman"/>
          <w:sz w:val="22"/>
          <w:szCs w:val="22"/>
        </w:rPr>
        <w:t>When Prostheses List codes are transferred from one sponsor to a different sponsor, the Prostheses List codes that they are expanded or compressed or transferred from are deleted.</w:t>
      </w:r>
    </w:p>
    <w:p w14:paraId="39CE784E" w14:textId="77777777" w:rsidR="00916959" w:rsidRPr="008534DC" w:rsidRDefault="00916959" w:rsidP="00916959">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jc w:val="both"/>
        <w:rPr>
          <w:rFonts w:ascii="Times New Roman" w:hAnsi="Times New Roman"/>
          <w:sz w:val="22"/>
          <w:szCs w:val="22"/>
        </w:rPr>
      </w:pPr>
    </w:p>
    <w:p w14:paraId="40EA13CA" w14:textId="77777777" w:rsidR="00916959" w:rsidRPr="008534DC" w:rsidRDefault="00916959" w:rsidP="00916959">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jc w:val="both"/>
        <w:rPr>
          <w:rFonts w:ascii="Times New Roman" w:hAnsi="Times New Roman"/>
          <w:sz w:val="22"/>
          <w:szCs w:val="22"/>
        </w:rPr>
      </w:pPr>
      <w:r w:rsidRPr="008534DC">
        <w:rPr>
          <w:rFonts w:ascii="Times New Roman" w:hAnsi="Times New Roman"/>
          <w:sz w:val="22"/>
          <w:szCs w:val="22"/>
        </w:rPr>
        <w:t xml:space="preserve">The Prostheses Rules are a legislative instrument for the purposes of the </w:t>
      </w:r>
      <w:r w:rsidRPr="008534DC">
        <w:rPr>
          <w:rFonts w:ascii="Times New Roman" w:hAnsi="Times New Roman"/>
          <w:i/>
          <w:sz w:val="22"/>
          <w:szCs w:val="22"/>
        </w:rPr>
        <w:t>Legislation Act 2003</w:t>
      </w:r>
      <w:r w:rsidRPr="008534DC">
        <w:rPr>
          <w:rFonts w:ascii="Times New Roman" w:hAnsi="Times New Roman"/>
          <w:sz w:val="22"/>
          <w:szCs w:val="22"/>
        </w:rPr>
        <w:t>.</w:t>
      </w:r>
    </w:p>
    <w:p w14:paraId="6F0602D9" w14:textId="77777777" w:rsidR="00916959" w:rsidRPr="008534DC" w:rsidRDefault="00916959" w:rsidP="00916959">
      <w:pPr>
        <w:rPr>
          <w:rFonts w:ascii="Times New Roman" w:hAnsi="Times New Roman"/>
          <w:sz w:val="22"/>
          <w:szCs w:val="22"/>
        </w:rPr>
      </w:pPr>
    </w:p>
    <w:p w14:paraId="54A83033" w14:textId="77777777" w:rsidR="00916959" w:rsidRPr="008534DC" w:rsidRDefault="00916959" w:rsidP="00A358F6">
      <w:pPr>
        <w:keepNext/>
        <w:rPr>
          <w:rFonts w:ascii="Times New Roman" w:hAnsi="Times New Roman"/>
          <w:b/>
          <w:sz w:val="22"/>
          <w:szCs w:val="22"/>
        </w:rPr>
      </w:pPr>
      <w:r w:rsidRPr="008534DC">
        <w:rPr>
          <w:rFonts w:ascii="Times New Roman" w:hAnsi="Times New Roman"/>
          <w:b/>
          <w:sz w:val="22"/>
          <w:szCs w:val="22"/>
        </w:rPr>
        <w:t>Consultation</w:t>
      </w:r>
    </w:p>
    <w:p w14:paraId="534DE79F" w14:textId="77777777" w:rsidR="00916959" w:rsidRPr="008534DC" w:rsidRDefault="00916959" w:rsidP="00A358F6">
      <w:pPr>
        <w:keepNext/>
        <w:rPr>
          <w:rFonts w:ascii="Times New Roman" w:hAnsi="Times New Roman"/>
          <w:b/>
          <w:sz w:val="22"/>
          <w:szCs w:val="22"/>
        </w:rPr>
      </w:pPr>
    </w:p>
    <w:p w14:paraId="6EBBA975" w14:textId="5F0214ED" w:rsidR="00916959" w:rsidRPr="008534DC" w:rsidRDefault="00916959" w:rsidP="00916959">
      <w:pPr>
        <w:jc w:val="both"/>
        <w:rPr>
          <w:rFonts w:ascii="Times New Roman" w:hAnsi="Times New Roman"/>
          <w:sz w:val="22"/>
          <w:szCs w:val="22"/>
        </w:rPr>
      </w:pPr>
      <w:r w:rsidRPr="008534DC">
        <w:rPr>
          <w:rFonts w:ascii="Times New Roman" w:hAnsi="Times New Roman"/>
          <w:sz w:val="22"/>
          <w:szCs w:val="22"/>
        </w:rPr>
        <w:t>The delegate had regard to recommendations made by the Prostheses List Advisory Committee (PLAC). The PLAC took into consideration advice provided by clinicians with appropriate knowledge and expertise in the Clinical Advisory Groups and the Panel of Clinical Experts, and advice provided by the Medical Services Advisory Committee</w:t>
      </w:r>
      <w:r w:rsidR="00DC53CB" w:rsidRPr="008534DC">
        <w:rPr>
          <w:rFonts w:ascii="Times New Roman" w:hAnsi="Times New Roman"/>
          <w:sz w:val="22"/>
          <w:szCs w:val="22"/>
        </w:rPr>
        <w:t xml:space="preserve"> where required</w:t>
      </w:r>
      <w:r w:rsidRPr="008534DC">
        <w:rPr>
          <w:rFonts w:ascii="Times New Roman" w:hAnsi="Times New Roman"/>
          <w:sz w:val="22"/>
          <w:szCs w:val="22"/>
        </w:rPr>
        <w:t>.</w:t>
      </w:r>
    </w:p>
    <w:p w14:paraId="6DE9AAED" w14:textId="77777777" w:rsidR="001E3920" w:rsidRPr="008534DC" w:rsidRDefault="001E3920" w:rsidP="00916959">
      <w:pPr>
        <w:jc w:val="both"/>
        <w:rPr>
          <w:rFonts w:ascii="Times New Roman" w:hAnsi="Times New Roman"/>
          <w:sz w:val="22"/>
          <w:szCs w:val="22"/>
        </w:rPr>
      </w:pPr>
    </w:p>
    <w:p w14:paraId="0F922144" w14:textId="77777777" w:rsidR="00916959" w:rsidRPr="008534DC" w:rsidRDefault="00916959" w:rsidP="00916959">
      <w:pPr>
        <w:jc w:val="both"/>
        <w:rPr>
          <w:rFonts w:ascii="Times New Roman" w:hAnsi="Times New Roman"/>
          <w:sz w:val="22"/>
          <w:szCs w:val="22"/>
        </w:rPr>
      </w:pPr>
      <w:r w:rsidRPr="008534DC">
        <w:rPr>
          <w:rFonts w:ascii="Times New Roman" w:hAnsi="Times New Roman"/>
          <w:sz w:val="22"/>
          <w:szCs w:val="22"/>
        </w:rPr>
        <w:t>Applicants who applied under subsection 72-10(2) of the Act for the listing of their prostheses on the Prostheses List or amending the existing billing codes had opportunities to provide further information and clarification regarding their products during assessment of their applications.</w:t>
      </w:r>
    </w:p>
    <w:p w14:paraId="7412E419" w14:textId="77777777" w:rsidR="00916959" w:rsidRPr="008534DC" w:rsidRDefault="00916959" w:rsidP="00916959">
      <w:pPr>
        <w:jc w:val="both"/>
        <w:rPr>
          <w:rFonts w:ascii="Times New Roman" w:hAnsi="Times New Roman"/>
          <w:sz w:val="22"/>
          <w:szCs w:val="22"/>
        </w:rPr>
      </w:pPr>
    </w:p>
    <w:p w14:paraId="6FDFC26B" w14:textId="77777777" w:rsidR="00916959" w:rsidRPr="008534DC" w:rsidRDefault="00916959" w:rsidP="00A358F6">
      <w:pPr>
        <w:keepNext/>
        <w:rPr>
          <w:rFonts w:ascii="Times New Roman" w:hAnsi="Times New Roman"/>
          <w:b/>
          <w:bCs/>
          <w:sz w:val="22"/>
          <w:szCs w:val="22"/>
        </w:rPr>
      </w:pPr>
      <w:r w:rsidRPr="008534DC">
        <w:rPr>
          <w:rFonts w:ascii="Times New Roman" w:hAnsi="Times New Roman"/>
          <w:b/>
          <w:bCs/>
          <w:sz w:val="22"/>
          <w:szCs w:val="22"/>
        </w:rPr>
        <w:lastRenderedPageBreak/>
        <w:t>Commencement</w:t>
      </w:r>
    </w:p>
    <w:p w14:paraId="763283D2" w14:textId="77777777" w:rsidR="00916959" w:rsidRPr="008534DC" w:rsidRDefault="00916959" w:rsidP="00A358F6">
      <w:pPr>
        <w:keepNext/>
        <w:rPr>
          <w:rFonts w:ascii="Times New Roman" w:hAnsi="Times New Roman"/>
          <w:b/>
          <w:bCs/>
          <w:sz w:val="22"/>
          <w:szCs w:val="22"/>
        </w:rPr>
      </w:pPr>
    </w:p>
    <w:p w14:paraId="0AF8005C" w14:textId="4EB75F85" w:rsidR="00916959" w:rsidRPr="008534DC" w:rsidRDefault="00916959" w:rsidP="00916959">
      <w:pPr>
        <w:jc w:val="both"/>
        <w:rPr>
          <w:rFonts w:ascii="Times New Roman" w:hAnsi="Times New Roman"/>
          <w:sz w:val="22"/>
          <w:szCs w:val="22"/>
        </w:rPr>
      </w:pPr>
      <w:r w:rsidRPr="008534DC">
        <w:rPr>
          <w:rFonts w:ascii="Times New Roman" w:hAnsi="Times New Roman"/>
          <w:sz w:val="22"/>
          <w:szCs w:val="22"/>
        </w:rPr>
        <w:t xml:space="preserve">The Prostheses Rules commence on 1 </w:t>
      </w:r>
      <w:r w:rsidR="00872419" w:rsidRPr="008534DC">
        <w:rPr>
          <w:rFonts w:ascii="Times New Roman" w:hAnsi="Times New Roman"/>
          <w:sz w:val="22"/>
          <w:szCs w:val="22"/>
        </w:rPr>
        <w:t>November</w:t>
      </w:r>
      <w:r w:rsidRPr="008534DC">
        <w:rPr>
          <w:rFonts w:ascii="Times New Roman" w:hAnsi="Times New Roman"/>
          <w:sz w:val="22"/>
          <w:szCs w:val="22"/>
        </w:rPr>
        <w:t xml:space="preserve"> 2022.</w:t>
      </w:r>
    </w:p>
    <w:p w14:paraId="673280A4" w14:textId="77777777" w:rsidR="00916959" w:rsidRPr="008534DC" w:rsidRDefault="00916959" w:rsidP="00916959">
      <w:pPr>
        <w:jc w:val="both"/>
        <w:rPr>
          <w:rFonts w:ascii="Times New Roman" w:hAnsi="Times New Roman"/>
          <w:sz w:val="22"/>
          <w:szCs w:val="22"/>
        </w:rPr>
      </w:pPr>
    </w:p>
    <w:p w14:paraId="177E0EC3" w14:textId="77777777" w:rsidR="00916959" w:rsidRPr="008534DC" w:rsidRDefault="00916959" w:rsidP="00916959">
      <w:pPr>
        <w:jc w:val="both"/>
        <w:rPr>
          <w:rFonts w:ascii="Times New Roman" w:hAnsi="Times New Roman"/>
          <w:sz w:val="22"/>
          <w:szCs w:val="22"/>
        </w:rPr>
      </w:pPr>
      <w:r w:rsidRPr="008534DC">
        <w:rPr>
          <w:rFonts w:ascii="Times New Roman" w:hAnsi="Times New Roman"/>
          <w:sz w:val="22"/>
          <w:szCs w:val="22"/>
        </w:rPr>
        <w:t xml:space="preserve">A provision-by-provision description of the Prostheses Rules is set out in </w:t>
      </w:r>
      <w:r w:rsidRPr="008534DC">
        <w:rPr>
          <w:rFonts w:ascii="Times New Roman" w:hAnsi="Times New Roman"/>
          <w:sz w:val="22"/>
          <w:szCs w:val="22"/>
          <w:u w:val="single"/>
        </w:rPr>
        <w:t>Attachment 1</w:t>
      </w:r>
      <w:r w:rsidRPr="008534DC">
        <w:rPr>
          <w:rFonts w:ascii="Times New Roman" w:hAnsi="Times New Roman"/>
          <w:sz w:val="22"/>
          <w:szCs w:val="22"/>
        </w:rPr>
        <w:t>.</w:t>
      </w:r>
    </w:p>
    <w:p w14:paraId="5A0919FE" w14:textId="77777777" w:rsidR="00916959" w:rsidRPr="008534DC" w:rsidRDefault="00916959" w:rsidP="00916959">
      <w:pPr>
        <w:rPr>
          <w:rFonts w:ascii="Times New Roman" w:hAnsi="Times New Roman"/>
          <w:sz w:val="22"/>
          <w:szCs w:val="22"/>
        </w:rPr>
      </w:pPr>
    </w:p>
    <w:p w14:paraId="2A37063B" w14:textId="77777777" w:rsidR="00916959" w:rsidRPr="008534DC" w:rsidRDefault="00916959" w:rsidP="00916959">
      <w:pPr>
        <w:spacing w:after="200" w:line="276" w:lineRule="auto"/>
        <w:rPr>
          <w:rFonts w:ascii="Times New Roman" w:hAnsi="Times New Roman"/>
          <w:sz w:val="22"/>
          <w:szCs w:val="22"/>
        </w:rPr>
      </w:pPr>
      <w:r w:rsidRPr="008534DC">
        <w:rPr>
          <w:rFonts w:ascii="Times New Roman" w:hAnsi="Times New Roman"/>
          <w:sz w:val="22"/>
          <w:szCs w:val="22"/>
        </w:rPr>
        <w:br w:type="page"/>
      </w:r>
    </w:p>
    <w:p w14:paraId="1BF6E0EC" w14:textId="77777777" w:rsidR="00916959" w:rsidRPr="008534DC" w:rsidRDefault="00916959" w:rsidP="00916959">
      <w:pPr>
        <w:pStyle w:val="BodyText"/>
        <w:jc w:val="right"/>
        <w:rPr>
          <w:sz w:val="22"/>
          <w:szCs w:val="22"/>
        </w:rPr>
      </w:pPr>
      <w:r w:rsidRPr="008534DC">
        <w:rPr>
          <w:sz w:val="22"/>
          <w:szCs w:val="22"/>
        </w:rPr>
        <w:lastRenderedPageBreak/>
        <w:t>ATTACHMENT 1</w:t>
      </w:r>
    </w:p>
    <w:p w14:paraId="691F8F41" w14:textId="77777777" w:rsidR="00916959" w:rsidRPr="008534DC" w:rsidRDefault="00916959" w:rsidP="00916959">
      <w:pPr>
        <w:pStyle w:val="BodyText"/>
        <w:rPr>
          <w:sz w:val="22"/>
          <w:szCs w:val="22"/>
          <w:u w:val="single"/>
        </w:rPr>
      </w:pPr>
    </w:p>
    <w:p w14:paraId="7AC7A26D" w14:textId="1B431EDC" w:rsidR="00916959" w:rsidRPr="008534DC" w:rsidRDefault="00916959" w:rsidP="00916959">
      <w:pPr>
        <w:pStyle w:val="BodyText"/>
        <w:rPr>
          <w:i/>
          <w:iCs/>
          <w:sz w:val="22"/>
          <w:szCs w:val="22"/>
        </w:rPr>
      </w:pPr>
      <w:r w:rsidRPr="008534DC">
        <w:rPr>
          <w:sz w:val="22"/>
          <w:szCs w:val="22"/>
        </w:rPr>
        <w:t xml:space="preserve">Provision by provision description of the </w:t>
      </w:r>
      <w:r w:rsidRPr="008534DC">
        <w:rPr>
          <w:i/>
          <w:sz w:val="22"/>
          <w:szCs w:val="22"/>
        </w:rPr>
        <w:t>P</w:t>
      </w:r>
      <w:r w:rsidRPr="008534DC">
        <w:rPr>
          <w:i/>
          <w:iCs/>
          <w:sz w:val="22"/>
          <w:szCs w:val="22"/>
        </w:rPr>
        <w:t>rivate</w:t>
      </w:r>
      <w:r w:rsidRPr="008534DC">
        <w:rPr>
          <w:sz w:val="22"/>
          <w:szCs w:val="22"/>
        </w:rPr>
        <w:t xml:space="preserve"> </w:t>
      </w:r>
      <w:r w:rsidRPr="008534DC">
        <w:rPr>
          <w:i/>
          <w:iCs/>
          <w:sz w:val="22"/>
          <w:szCs w:val="22"/>
        </w:rPr>
        <w:t>Health Insurance (Prostheses) Rules (No. </w:t>
      </w:r>
      <w:r w:rsidR="00F86B9C" w:rsidRPr="008534DC">
        <w:rPr>
          <w:i/>
          <w:iCs/>
          <w:sz w:val="22"/>
          <w:szCs w:val="22"/>
        </w:rPr>
        <w:t>3</w:t>
      </w:r>
      <w:r w:rsidRPr="008534DC">
        <w:rPr>
          <w:i/>
          <w:iCs/>
          <w:sz w:val="22"/>
          <w:szCs w:val="22"/>
        </w:rPr>
        <w:t xml:space="preserve">) 2022 </w:t>
      </w:r>
    </w:p>
    <w:p w14:paraId="57AF2C6D" w14:textId="77777777" w:rsidR="00916959" w:rsidRPr="008534DC" w:rsidRDefault="00916959" w:rsidP="00916959">
      <w:pPr>
        <w:pStyle w:val="BodyText"/>
        <w:rPr>
          <w:i/>
          <w:sz w:val="22"/>
          <w:szCs w:val="22"/>
        </w:rPr>
      </w:pPr>
    </w:p>
    <w:p w14:paraId="7648431C" w14:textId="77777777" w:rsidR="00916959" w:rsidRPr="008534DC" w:rsidRDefault="00916959" w:rsidP="00916959">
      <w:pPr>
        <w:pStyle w:val="BodyText"/>
        <w:rPr>
          <w:sz w:val="22"/>
          <w:szCs w:val="22"/>
        </w:rPr>
      </w:pPr>
      <w:r w:rsidRPr="008534DC">
        <w:rPr>
          <w:sz w:val="22"/>
          <w:szCs w:val="22"/>
        </w:rPr>
        <w:t xml:space="preserve">Part 1 </w:t>
      </w:r>
      <w:r w:rsidRPr="008534DC">
        <w:rPr>
          <w:sz w:val="22"/>
          <w:szCs w:val="22"/>
        </w:rPr>
        <w:softHyphen/>
        <w:t>− Preliminary</w:t>
      </w:r>
    </w:p>
    <w:p w14:paraId="4D43907E" w14:textId="77777777" w:rsidR="00916959" w:rsidRPr="008534DC" w:rsidRDefault="00916959" w:rsidP="00916959">
      <w:pPr>
        <w:pStyle w:val="BodyText"/>
        <w:ind w:left="851" w:hanging="851"/>
        <w:rPr>
          <w:sz w:val="22"/>
          <w:szCs w:val="22"/>
        </w:rPr>
      </w:pPr>
    </w:p>
    <w:p w14:paraId="340B0D69" w14:textId="77777777" w:rsidR="00916959" w:rsidRPr="008534DC" w:rsidRDefault="00916959" w:rsidP="00916959">
      <w:pPr>
        <w:pStyle w:val="BodyText"/>
        <w:ind w:left="851" w:hanging="851"/>
        <w:rPr>
          <w:sz w:val="22"/>
          <w:szCs w:val="22"/>
        </w:rPr>
      </w:pPr>
      <w:r w:rsidRPr="008534DC">
        <w:rPr>
          <w:sz w:val="22"/>
          <w:szCs w:val="22"/>
        </w:rPr>
        <w:t>Rule 1</w:t>
      </w:r>
      <w:r w:rsidRPr="008534DC">
        <w:rPr>
          <w:sz w:val="22"/>
          <w:szCs w:val="22"/>
        </w:rPr>
        <w:tab/>
        <w:t xml:space="preserve">Name </w:t>
      </w:r>
    </w:p>
    <w:p w14:paraId="270E549B" w14:textId="77777777" w:rsidR="00916959" w:rsidRPr="008534DC" w:rsidRDefault="00916959" w:rsidP="00916959">
      <w:pPr>
        <w:pStyle w:val="BodyText"/>
        <w:rPr>
          <w:b w:val="0"/>
          <w:sz w:val="22"/>
          <w:szCs w:val="22"/>
          <w:u w:val="single"/>
        </w:rPr>
      </w:pPr>
    </w:p>
    <w:p w14:paraId="6BD08184" w14:textId="1AFEAFEF" w:rsidR="00916959" w:rsidRPr="008534DC" w:rsidRDefault="00916959" w:rsidP="00916959">
      <w:pPr>
        <w:pStyle w:val="Heading1"/>
        <w:jc w:val="both"/>
        <w:rPr>
          <w:b w:val="0"/>
          <w:iCs/>
          <w:sz w:val="22"/>
          <w:szCs w:val="22"/>
          <w:u w:val="none"/>
        </w:rPr>
      </w:pPr>
      <w:r w:rsidRPr="008534DC">
        <w:rPr>
          <w:b w:val="0"/>
          <w:sz w:val="22"/>
          <w:szCs w:val="22"/>
          <w:u w:val="none"/>
        </w:rPr>
        <w:t xml:space="preserve">Rule 1 provides that the title of the Rules is the </w:t>
      </w:r>
      <w:r w:rsidRPr="008534DC">
        <w:rPr>
          <w:b w:val="0"/>
          <w:i/>
          <w:sz w:val="22"/>
          <w:szCs w:val="22"/>
          <w:u w:val="none"/>
        </w:rPr>
        <w:t xml:space="preserve">Private Health Insurance (Prostheses) Rules (No. </w:t>
      </w:r>
      <w:r w:rsidR="00F86B9C" w:rsidRPr="008534DC">
        <w:rPr>
          <w:b w:val="0"/>
          <w:i/>
          <w:sz w:val="22"/>
          <w:szCs w:val="22"/>
          <w:u w:val="none"/>
        </w:rPr>
        <w:t>3</w:t>
      </w:r>
      <w:r w:rsidRPr="008534DC">
        <w:rPr>
          <w:b w:val="0"/>
          <w:i/>
          <w:sz w:val="22"/>
          <w:szCs w:val="22"/>
          <w:u w:val="none"/>
        </w:rPr>
        <w:t xml:space="preserve">) 2022 </w:t>
      </w:r>
      <w:r w:rsidRPr="008534DC">
        <w:rPr>
          <w:b w:val="0"/>
          <w:sz w:val="22"/>
          <w:szCs w:val="22"/>
          <w:u w:val="none"/>
        </w:rPr>
        <w:t>(</w:t>
      </w:r>
      <w:r w:rsidRPr="008534DC">
        <w:rPr>
          <w:b w:val="0"/>
          <w:sz w:val="22"/>
          <w:szCs w:val="22"/>
        </w:rPr>
        <w:t>Prostheses Rules)</w:t>
      </w:r>
      <w:r w:rsidRPr="008534DC">
        <w:rPr>
          <w:b w:val="0"/>
          <w:i/>
          <w:sz w:val="22"/>
          <w:szCs w:val="22"/>
          <w:u w:val="none"/>
        </w:rPr>
        <w:t xml:space="preserve">. </w:t>
      </w:r>
    </w:p>
    <w:p w14:paraId="3905A289" w14:textId="77777777" w:rsidR="00916959" w:rsidRPr="008534DC" w:rsidRDefault="00916959" w:rsidP="00916959">
      <w:pPr>
        <w:rPr>
          <w:rFonts w:ascii="Times New Roman" w:hAnsi="Times New Roman"/>
          <w:sz w:val="22"/>
          <w:szCs w:val="22"/>
        </w:rPr>
      </w:pPr>
    </w:p>
    <w:p w14:paraId="283925BB" w14:textId="77777777" w:rsidR="00916959" w:rsidRPr="008534DC" w:rsidRDefault="00916959" w:rsidP="00916959">
      <w:pPr>
        <w:pStyle w:val="BodyText"/>
        <w:ind w:left="851" w:hanging="851"/>
        <w:rPr>
          <w:sz w:val="22"/>
          <w:szCs w:val="22"/>
        </w:rPr>
      </w:pPr>
      <w:r w:rsidRPr="008534DC">
        <w:rPr>
          <w:sz w:val="22"/>
          <w:szCs w:val="22"/>
        </w:rPr>
        <w:t>Rule 2</w:t>
      </w:r>
      <w:r w:rsidRPr="008534DC">
        <w:rPr>
          <w:sz w:val="22"/>
          <w:szCs w:val="22"/>
        </w:rPr>
        <w:tab/>
        <w:t xml:space="preserve">Commencement </w:t>
      </w:r>
    </w:p>
    <w:p w14:paraId="3369471C" w14:textId="77777777" w:rsidR="00916959" w:rsidRPr="008534DC" w:rsidRDefault="00916959" w:rsidP="00916959">
      <w:pPr>
        <w:pStyle w:val="BodyText"/>
        <w:rPr>
          <w:b w:val="0"/>
          <w:sz w:val="22"/>
          <w:szCs w:val="22"/>
          <w:u w:val="single"/>
        </w:rPr>
      </w:pPr>
    </w:p>
    <w:p w14:paraId="68D9BE48" w14:textId="75908400" w:rsidR="00916959" w:rsidRPr="008534DC" w:rsidRDefault="00916959" w:rsidP="00916959">
      <w:pPr>
        <w:pStyle w:val="BodyText"/>
        <w:jc w:val="both"/>
        <w:rPr>
          <w:b w:val="0"/>
          <w:sz w:val="22"/>
          <w:szCs w:val="22"/>
        </w:rPr>
      </w:pPr>
      <w:r w:rsidRPr="008534DC">
        <w:rPr>
          <w:b w:val="0"/>
          <w:sz w:val="22"/>
          <w:szCs w:val="22"/>
        </w:rPr>
        <w:t xml:space="preserve">Rule 2 provides that the Prostheses Rules commence on 1 </w:t>
      </w:r>
      <w:r w:rsidR="00F86B9C" w:rsidRPr="008534DC">
        <w:rPr>
          <w:b w:val="0"/>
          <w:sz w:val="22"/>
          <w:szCs w:val="22"/>
        </w:rPr>
        <w:t>November</w:t>
      </w:r>
      <w:r w:rsidRPr="008534DC">
        <w:rPr>
          <w:b w:val="0"/>
          <w:sz w:val="22"/>
          <w:szCs w:val="22"/>
        </w:rPr>
        <w:t xml:space="preserve"> 2022.</w:t>
      </w:r>
    </w:p>
    <w:p w14:paraId="0465CA71" w14:textId="77777777" w:rsidR="00916959" w:rsidRPr="008534DC" w:rsidRDefault="00916959" w:rsidP="00916959">
      <w:pPr>
        <w:pStyle w:val="BodyText"/>
        <w:rPr>
          <w:sz w:val="22"/>
          <w:szCs w:val="22"/>
        </w:rPr>
      </w:pPr>
    </w:p>
    <w:p w14:paraId="5014154F" w14:textId="77777777" w:rsidR="00916959" w:rsidRPr="008534DC" w:rsidRDefault="00916959" w:rsidP="00916959">
      <w:pPr>
        <w:pStyle w:val="BodyText"/>
        <w:ind w:left="851" w:hanging="851"/>
        <w:rPr>
          <w:sz w:val="22"/>
          <w:szCs w:val="22"/>
        </w:rPr>
      </w:pPr>
      <w:r w:rsidRPr="008534DC">
        <w:rPr>
          <w:sz w:val="22"/>
          <w:szCs w:val="22"/>
        </w:rPr>
        <w:t>Rule 3</w:t>
      </w:r>
      <w:r w:rsidRPr="008534DC">
        <w:rPr>
          <w:sz w:val="22"/>
          <w:szCs w:val="22"/>
        </w:rPr>
        <w:tab/>
        <w:t>Authority</w:t>
      </w:r>
    </w:p>
    <w:p w14:paraId="2D8263BF" w14:textId="77777777" w:rsidR="00916959" w:rsidRPr="008534DC" w:rsidRDefault="00916959" w:rsidP="00916959">
      <w:pPr>
        <w:pStyle w:val="BodyText"/>
        <w:rPr>
          <w:b w:val="0"/>
          <w:sz w:val="22"/>
          <w:szCs w:val="22"/>
          <w:u w:val="single"/>
        </w:rPr>
      </w:pPr>
    </w:p>
    <w:p w14:paraId="7E396D60" w14:textId="77777777" w:rsidR="00916959" w:rsidRPr="008534DC" w:rsidRDefault="00916959" w:rsidP="00916959">
      <w:pPr>
        <w:pStyle w:val="BodyText"/>
        <w:jc w:val="both"/>
        <w:rPr>
          <w:b w:val="0"/>
          <w:sz w:val="22"/>
          <w:szCs w:val="22"/>
        </w:rPr>
      </w:pPr>
      <w:r w:rsidRPr="008534DC">
        <w:rPr>
          <w:b w:val="0"/>
          <w:sz w:val="22"/>
          <w:szCs w:val="22"/>
        </w:rPr>
        <w:t>Rule 3 provides that the Prostheses Rules are made under item 4 of the table in section 333</w:t>
      </w:r>
      <w:r w:rsidRPr="008534DC">
        <w:rPr>
          <w:b w:val="0"/>
          <w:sz w:val="22"/>
          <w:szCs w:val="22"/>
        </w:rPr>
        <w:noBreakHyphen/>
        <w:t xml:space="preserve">20 of the </w:t>
      </w:r>
      <w:r w:rsidRPr="008534DC">
        <w:rPr>
          <w:b w:val="0"/>
          <w:i/>
          <w:sz w:val="22"/>
          <w:szCs w:val="22"/>
        </w:rPr>
        <w:t>Private Health Insurance Act 2007</w:t>
      </w:r>
      <w:r w:rsidRPr="008534DC">
        <w:rPr>
          <w:b w:val="0"/>
          <w:sz w:val="22"/>
          <w:szCs w:val="22"/>
        </w:rPr>
        <w:t xml:space="preserve"> (the Act).</w:t>
      </w:r>
    </w:p>
    <w:p w14:paraId="7C25F7A7" w14:textId="77777777" w:rsidR="00916959" w:rsidRPr="008534DC" w:rsidRDefault="00916959" w:rsidP="00916959">
      <w:pPr>
        <w:pStyle w:val="BodyText"/>
        <w:rPr>
          <w:b w:val="0"/>
          <w:sz w:val="22"/>
          <w:szCs w:val="22"/>
        </w:rPr>
      </w:pPr>
    </w:p>
    <w:p w14:paraId="579AC491" w14:textId="77777777" w:rsidR="00916959" w:rsidRPr="008534DC" w:rsidRDefault="00916959" w:rsidP="00916959">
      <w:pPr>
        <w:pStyle w:val="BodyText"/>
        <w:ind w:left="851" w:hanging="851"/>
        <w:rPr>
          <w:sz w:val="22"/>
          <w:szCs w:val="22"/>
        </w:rPr>
      </w:pPr>
      <w:r w:rsidRPr="008534DC">
        <w:rPr>
          <w:sz w:val="22"/>
          <w:szCs w:val="22"/>
        </w:rPr>
        <w:t>Rule 4</w:t>
      </w:r>
      <w:r w:rsidRPr="008534DC">
        <w:rPr>
          <w:sz w:val="22"/>
          <w:szCs w:val="22"/>
        </w:rPr>
        <w:tab/>
        <w:t>Repeal</w:t>
      </w:r>
    </w:p>
    <w:p w14:paraId="6773D51A" w14:textId="77777777" w:rsidR="00916959" w:rsidRPr="008534DC" w:rsidRDefault="00916959" w:rsidP="00916959">
      <w:pPr>
        <w:pStyle w:val="BodyText"/>
        <w:rPr>
          <w:b w:val="0"/>
          <w:sz w:val="22"/>
          <w:szCs w:val="22"/>
          <w:u w:val="single"/>
        </w:rPr>
      </w:pPr>
    </w:p>
    <w:p w14:paraId="61C32BE5" w14:textId="58578509" w:rsidR="00916959" w:rsidRPr="008534DC" w:rsidRDefault="00916959" w:rsidP="00916959">
      <w:pPr>
        <w:pStyle w:val="BodyText"/>
        <w:jc w:val="both"/>
        <w:rPr>
          <w:b w:val="0"/>
          <w:sz w:val="22"/>
          <w:szCs w:val="22"/>
        </w:rPr>
      </w:pPr>
      <w:r w:rsidRPr="008534DC">
        <w:rPr>
          <w:b w:val="0"/>
          <w:sz w:val="22"/>
          <w:szCs w:val="22"/>
        </w:rPr>
        <w:t xml:space="preserve">Rule 4 provides that the </w:t>
      </w:r>
      <w:r w:rsidRPr="008534DC">
        <w:rPr>
          <w:b w:val="0"/>
          <w:i/>
          <w:sz w:val="22"/>
          <w:szCs w:val="22"/>
        </w:rPr>
        <w:t xml:space="preserve">Private Health Insurance (Prostheses) Rules (No. </w:t>
      </w:r>
      <w:r w:rsidR="00F86B9C" w:rsidRPr="008534DC">
        <w:rPr>
          <w:b w:val="0"/>
          <w:i/>
          <w:sz w:val="22"/>
          <w:szCs w:val="22"/>
        </w:rPr>
        <w:t>2</w:t>
      </w:r>
      <w:r w:rsidRPr="008534DC">
        <w:rPr>
          <w:b w:val="0"/>
          <w:i/>
          <w:sz w:val="22"/>
          <w:szCs w:val="22"/>
        </w:rPr>
        <w:t>) 2022</w:t>
      </w:r>
      <w:r w:rsidRPr="008534DC">
        <w:rPr>
          <w:b w:val="0"/>
          <w:sz w:val="22"/>
          <w:szCs w:val="22"/>
        </w:rPr>
        <w:t xml:space="preserve"> is repealed. </w:t>
      </w:r>
    </w:p>
    <w:p w14:paraId="1777EE26" w14:textId="77777777" w:rsidR="00916959" w:rsidRPr="008534DC" w:rsidRDefault="00916959" w:rsidP="00916959">
      <w:pPr>
        <w:pStyle w:val="BodyText"/>
        <w:rPr>
          <w:b w:val="0"/>
          <w:sz w:val="22"/>
          <w:szCs w:val="22"/>
        </w:rPr>
      </w:pPr>
    </w:p>
    <w:p w14:paraId="6EF7E83E" w14:textId="77777777" w:rsidR="00916959" w:rsidRPr="008534DC" w:rsidRDefault="00916959" w:rsidP="00916959">
      <w:pPr>
        <w:pStyle w:val="BodyText"/>
        <w:ind w:left="851" w:hanging="851"/>
        <w:rPr>
          <w:sz w:val="22"/>
          <w:szCs w:val="22"/>
        </w:rPr>
      </w:pPr>
      <w:r w:rsidRPr="008534DC">
        <w:rPr>
          <w:sz w:val="22"/>
          <w:szCs w:val="22"/>
        </w:rPr>
        <w:t>Rule 5</w:t>
      </w:r>
      <w:r w:rsidRPr="008534DC">
        <w:rPr>
          <w:sz w:val="22"/>
          <w:szCs w:val="22"/>
        </w:rPr>
        <w:tab/>
        <w:t>Definitions</w:t>
      </w:r>
    </w:p>
    <w:p w14:paraId="37957475" w14:textId="77777777" w:rsidR="00916959" w:rsidRPr="008534DC" w:rsidRDefault="00916959" w:rsidP="00916959">
      <w:pPr>
        <w:pStyle w:val="BodyText"/>
        <w:rPr>
          <w:b w:val="0"/>
          <w:sz w:val="22"/>
          <w:szCs w:val="22"/>
        </w:rPr>
      </w:pPr>
    </w:p>
    <w:p w14:paraId="7BA16F90" w14:textId="77777777" w:rsidR="00916959" w:rsidRPr="008534DC" w:rsidRDefault="00916959" w:rsidP="00916959">
      <w:pPr>
        <w:pStyle w:val="BodyText"/>
        <w:jc w:val="both"/>
        <w:rPr>
          <w:b w:val="0"/>
          <w:sz w:val="22"/>
          <w:szCs w:val="22"/>
        </w:rPr>
      </w:pPr>
      <w:r w:rsidRPr="008534DC">
        <w:rPr>
          <w:b w:val="0"/>
          <w:sz w:val="22"/>
          <w:szCs w:val="22"/>
        </w:rPr>
        <w:t>Rule 5 defines certain terms used in the Rules, and notes that some terms used in the Rules have the same meaning as in the Act.</w:t>
      </w:r>
    </w:p>
    <w:p w14:paraId="7B41D6F4" w14:textId="77777777" w:rsidR="00916959" w:rsidRPr="008534DC" w:rsidRDefault="00916959" w:rsidP="00916959">
      <w:pPr>
        <w:pStyle w:val="BodyText"/>
        <w:jc w:val="both"/>
        <w:rPr>
          <w:b w:val="0"/>
          <w:sz w:val="22"/>
          <w:szCs w:val="22"/>
        </w:rPr>
      </w:pPr>
    </w:p>
    <w:p w14:paraId="27E0415C" w14:textId="77777777" w:rsidR="00916959" w:rsidRPr="008534DC" w:rsidRDefault="00916959" w:rsidP="00916959">
      <w:pPr>
        <w:pStyle w:val="Ruletext"/>
        <w:spacing w:before="0"/>
        <w:ind w:left="0"/>
        <w:jc w:val="both"/>
        <w:rPr>
          <w:bCs/>
          <w:iCs/>
          <w:color w:val="auto"/>
          <w:sz w:val="22"/>
          <w:szCs w:val="22"/>
        </w:rPr>
      </w:pPr>
      <w:r w:rsidRPr="008534DC">
        <w:rPr>
          <w:bCs/>
          <w:iCs/>
          <w:color w:val="auto"/>
          <w:sz w:val="22"/>
          <w:szCs w:val="22"/>
        </w:rPr>
        <w:t xml:space="preserve">The </w:t>
      </w:r>
      <w:r w:rsidRPr="008534DC">
        <w:rPr>
          <w:b/>
          <w:bCs/>
          <w:i/>
          <w:iCs/>
          <w:color w:val="auto"/>
          <w:sz w:val="22"/>
          <w:szCs w:val="22"/>
        </w:rPr>
        <w:t xml:space="preserve">Regulations </w:t>
      </w:r>
      <w:r w:rsidRPr="008534DC">
        <w:rPr>
          <w:bCs/>
          <w:iCs/>
          <w:color w:val="auto"/>
          <w:sz w:val="22"/>
          <w:szCs w:val="22"/>
        </w:rPr>
        <w:t xml:space="preserve">means the </w:t>
      </w:r>
      <w:r w:rsidRPr="008534DC">
        <w:rPr>
          <w:i/>
          <w:iCs/>
          <w:color w:val="auto"/>
          <w:sz w:val="22"/>
          <w:szCs w:val="22"/>
        </w:rPr>
        <w:t xml:space="preserve">Health Insurance (General Medical Services Table) Regulations 2021 </w:t>
      </w:r>
      <w:r w:rsidRPr="008534DC">
        <w:rPr>
          <w:bCs/>
          <w:iCs/>
          <w:color w:val="auto"/>
          <w:sz w:val="22"/>
          <w:szCs w:val="22"/>
        </w:rPr>
        <w:t xml:space="preserve">made under section 4 of the </w:t>
      </w:r>
      <w:r w:rsidRPr="008534DC">
        <w:rPr>
          <w:bCs/>
          <w:i/>
          <w:iCs/>
          <w:color w:val="auto"/>
          <w:sz w:val="22"/>
          <w:szCs w:val="22"/>
        </w:rPr>
        <w:t>Health Insurance Act 1973</w:t>
      </w:r>
      <w:r w:rsidRPr="008534DC">
        <w:rPr>
          <w:bCs/>
          <w:color w:val="auto"/>
          <w:sz w:val="22"/>
          <w:szCs w:val="22"/>
        </w:rPr>
        <w:t>, as in force</w:t>
      </w:r>
      <w:r w:rsidRPr="008534DC">
        <w:rPr>
          <w:bCs/>
          <w:iCs/>
          <w:color w:val="auto"/>
          <w:sz w:val="22"/>
          <w:szCs w:val="22"/>
        </w:rPr>
        <w:t xml:space="preserve"> from time to time.</w:t>
      </w:r>
    </w:p>
    <w:p w14:paraId="61381D7E" w14:textId="77777777" w:rsidR="00916959" w:rsidRPr="008534DC" w:rsidRDefault="00916959" w:rsidP="00916959">
      <w:pPr>
        <w:pStyle w:val="BodyText"/>
        <w:rPr>
          <w:b w:val="0"/>
          <w:sz w:val="22"/>
          <w:szCs w:val="22"/>
        </w:rPr>
      </w:pPr>
    </w:p>
    <w:p w14:paraId="40D05805" w14:textId="77777777" w:rsidR="00916959" w:rsidRPr="008534DC" w:rsidRDefault="00916959" w:rsidP="00916959">
      <w:pPr>
        <w:pStyle w:val="BodyText"/>
        <w:rPr>
          <w:b w:val="0"/>
          <w:sz w:val="22"/>
          <w:szCs w:val="22"/>
          <w:u w:val="single"/>
        </w:rPr>
      </w:pPr>
      <w:r w:rsidRPr="008534DC">
        <w:rPr>
          <w:sz w:val="22"/>
          <w:szCs w:val="22"/>
        </w:rPr>
        <w:t xml:space="preserve">Part 2 </w:t>
      </w:r>
      <w:r w:rsidRPr="008534DC">
        <w:rPr>
          <w:sz w:val="22"/>
          <w:szCs w:val="22"/>
        </w:rPr>
        <w:softHyphen/>
        <w:t xml:space="preserve"> Benefit requirements</w:t>
      </w:r>
    </w:p>
    <w:p w14:paraId="13CD8B37" w14:textId="77777777" w:rsidR="00916959" w:rsidRPr="008534DC" w:rsidRDefault="00916959" w:rsidP="00916959">
      <w:pPr>
        <w:autoSpaceDE w:val="0"/>
        <w:autoSpaceDN w:val="0"/>
        <w:adjustRightInd w:val="0"/>
        <w:jc w:val="both"/>
        <w:rPr>
          <w:rFonts w:ascii="Times New Roman" w:hAnsi="Times New Roman"/>
          <w:bCs/>
          <w:sz w:val="22"/>
          <w:szCs w:val="22"/>
          <w:u w:val="single"/>
        </w:rPr>
      </w:pPr>
    </w:p>
    <w:p w14:paraId="4F6276D3" w14:textId="77777777" w:rsidR="00916959" w:rsidRPr="008534DC" w:rsidRDefault="00916959" w:rsidP="00916959">
      <w:pPr>
        <w:pStyle w:val="BodyText"/>
        <w:ind w:left="851" w:hanging="851"/>
        <w:rPr>
          <w:sz w:val="22"/>
          <w:szCs w:val="22"/>
        </w:rPr>
      </w:pPr>
      <w:r w:rsidRPr="008534DC">
        <w:rPr>
          <w:sz w:val="22"/>
          <w:szCs w:val="22"/>
        </w:rPr>
        <w:t>Rule 6</w:t>
      </w:r>
      <w:r w:rsidRPr="008534DC">
        <w:rPr>
          <w:sz w:val="22"/>
          <w:szCs w:val="22"/>
        </w:rPr>
        <w:tab/>
        <w:t>Listing of, and benefits for, prostheses</w:t>
      </w:r>
    </w:p>
    <w:p w14:paraId="0F755F30" w14:textId="77777777" w:rsidR="00916959" w:rsidRPr="008534DC" w:rsidRDefault="00916959" w:rsidP="00916959">
      <w:pPr>
        <w:pStyle w:val="BodyText"/>
        <w:ind w:left="851" w:hanging="851"/>
        <w:rPr>
          <w:sz w:val="22"/>
          <w:szCs w:val="22"/>
        </w:rPr>
      </w:pPr>
    </w:p>
    <w:p w14:paraId="24D16272" w14:textId="77777777" w:rsidR="00916959" w:rsidRPr="008534DC" w:rsidRDefault="00916959" w:rsidP="00916959">
      <w:pPr>
        <w:autoSpaceDE w:val="0"/>
        <w:autoSpaceDN w:val="0"/>
        <w:adjustRightInd w:val="0"/>
        <w:jc w:val="both"/>
        <w:rPr>
          <w:rFonts w:ascii="Times New Roman" w:hAnsi="Times New Roman"/>
          <w:sz w:val="22"/>
          <w:szCs w:val="22"/>
        </w:rPr>
      </w:pPr>
      <w:r w:rsidRPr="008534DC">
        <w:rPr>
          <w:rFonts w:ascii="Times New Roman" w:hAnsi="Times New Roman"/>
          <w:sz w:val="22"/>
          <w:szCs w:val="22"/>
        </w:rPr>
        <w:t>The table in subsection 72-1(2) of the Act (the Table) sets out requirements that a policy that covers hospital treatment must meet in order for the policy to be a complying health insurance policy under section 63-10 of the Act. Item 4 of the Table provides that there must be a benefit for hospital treatment covered under the policy (and hospital-substitute treatment, where the policy also covers such treatment) that is the provision of a listed prosthesis both:</w:t>
      </w:r>
    </w:p>
    <w:p w14:paraId="0FBA7720" w14:textId="77777777" w:rsidR="00916959" w:rsidRPr="008534DC" w:rsidRDefault="00916959" w:rsidP="00916959">
      <w:pPr>
        <w:numPr>
          <w:ilvl w:val="0"/>
          <w:numId w:val="3"/>
        </w:numPr>
        <w:tabs>
          <w:tab w:val="clear" w:pos="360"/>
          <w:tab w:val="num" w:pos="717"/>
        </w:tabs>
        <w:autoSpaceDE w:val="0"/>
        <w:autoSpaceDN w:val="0"/>
        <w:adjustRightInd w:val="0"/>
        <w:spacing w:before="120"/>
        <w:ind w:left="714" w:hanging="357"/>
        <w:jc w:val="both"/>
        <w:rPr>
          <w:rFonts w:ascii="Times New Roman" w:hAnsi="Times New Roman"/>
          <w:sz w:val="22"/>
          <w:szCs w:val="22"/>
        </w:rPr>
      </w:pPr>
      <w:r w:rsidRPr="008534DC">
        <w:rPr>
          <w:rFonts w:ascii="Times New Roman" w:hAnsi="Times New Roman"/>
          <w:sz w:val="22"/>
          <w:szCs w:val="22"/>
        </w:rPr>
        <w:t>in the circumstances in which a medicare benefit is payable or those other circumstances set out in the Private Health Insurance (Prostheses) Rules; and</w:t>
      </w:r>
    </w:p>
    <w:p w14:paraId="7F78B394" w14:textId="77777777" w:rsidR="00916959" w:rsidRPr="008534DC" w:rsidRDefault="00916959" w:rsidP="00916959">
      <w:pPr>
        <w:numPr>
          <w:ilvl w:val="0"/>
          <w:numId w:val="3"/>
        </w:numPr>
        <w:tabs>
          <w:tab w:val="clear" w:pos="360"/>
          <w:tab w:val="num" w:pos="717"/>
        </w:tabs>
        <w:autoSpaceDE w:val="0"/>
        <w:autoSpaceDN w:val="0"/>
        <w:adjustRightInd w:val="0"/>
        <w:spacing w:before="120"/>
        <w:ind w:left="714" w:hanging="357"/>
        <w:jc w:val="both"/>
        <w:rPr>
          <w:rFonts w:ascii="Times New Roman" w:hAnsi="Times New Roman"/>
          <w:sz w:val="22"/>
          <w:szCs w:val="22"/>
        </w:rPr>
      </w:pPr>
      <w:r w:rsidRPr="008534DC">
        <w:rPr>
          <w:rFonts w:ascii="Times New Roman" w:hAnsi="Times New Roman"/>
          <w:sz w:val="22"/>
          <w:szCs w:val="22"/>
        </w:rPr>
        <w:t xml:space="preserve">when the conditions set out in the Private Health Insurance (Prostheses) Rules (if any) are also satisfied. If the conditions are not satisfied, there is no benefit required even if the listed prosthesis is provided in the circumstances set out either under the Act or the Private Health Insurance (Prostheses) Rules.  </w:t>
      </w:r>
    </w:p>
    <w:p w14:paraId="548E345E" w14:textId="77777777" w:rsidR="00916959" w:rsidRPr="008534DC" w:rsidRDefault="00916959" w:rsidP="00916959">
      <w:pPr>
        <w:autoSpaceDE w:val="0"/>
        <w:autoSpaceDN w:val="0"/>
        <w:adjustRightInd w:val="0"/>
        <w:jc w:val="both"/>
        <w:rPr>
          <w:rFonts w:ascii="Times New Roman" w:hAnsi="Times New Roman"/>
          <w:sz w:val="22"/>
          <w:szCs w:val="22"/>
        </w:rPr>
      </w:pPr>
    </w:p>
    <w:p w14:paraId="6E7BE0DF" w14:textId="5F1D0120" w:rsidR="00916959" w:rsidRPr="008534DC" w:rsidRDefault="00916959" w:rsidP="00916959">
      <w:pPr>
        <w:autoSpaceDE w:val="0"/>
        <w:autoSpaceDN w:val="0"/>
        <w:adjustRightInd w:val="0"/>
        <w:jc w:val="both"/>
        <w:rPr>
          <w:rFonts w:ascii="Times New Roman" w:hAnsi="Times New Roman"/>
          <w:sz w:val="22"/>
          <w:szCs w:val="22"/>
        </w:rPr>
      </w:pPr>
      <w:r w:rsidRPr="008534DC">
        <w:rPr>
          <w:rFonts w:ascii="Times New Roman" w:hAnsi="Times New Roman"/>
          <w:sz w:val="22"/>
          <w:szCs w:val="22"/>
        </w:rPr>
        <w:t xml:space="preserve">Rule 6 provides the list of prostheses and the benefits in relation to the prostheses for the purpose of item 4 of the Table in subsection 72-1(2) of the Act. </w:t>
      </w:r>
    </w:p>
    <w:p w14:paraId="216ECC57" w14:textId="77777777" w:rsidR="00916959" w:rsidRPr="008534DC" w:rsidRDefault="00916959" w:rsidP="00916959">
      <w:pPr>
        <w:autoSpaceDE w:val="0"/>
        <w:autoSpaceDN w:val="0"/>
        <w:adjustRightInd w:val="0"/>
        <w:jc w:val="both"/>
        <w:rPr>
          <w:rFonts w:ascii="Times New Roman" w:hAnsi="Times New Roman"/>
          <w:sz w:val="22"/>
          <w:szCs w:val="22"/>
        </w:rPr>
      </w:pPr>
    </w:p>
    <w:p w14:paraId="32A1ECDD" w14:textId="77777777" w:rsidR="00916959" w:rsidRPr="008534DC" w:rsidRDefault="00916959" w:rsidP="00412ABF">
      <w:pPr>
        <w:keepNext/>
        <w:autoSpaceDE w:val="0"/>
        <w:autoSpaceDN w:val="0"/>
        <w:adjustRightInd w:val="0"/>
        <w:jc w:val="both"/>
        <w:rPr>
          <w:rFonts w:ascii="Times New Roman" w:hAnsi="Times New Roman"/>
          <w:sz w:val="22"/>
          <w:szCs w:val="22"/>
        </w:rPr>
      </w:pPr>
      <w:r w:rsidRPr="008534DC">
        <w:rPr>
          <w:rFonts w:ascii="Times New Roman" w:hAnsi="Times New Roman"/>
          <w:sz w:val="22"/>
          <w:szCs w:val="22"/>
        </w:rPr>
        <w:lastRenderedPageBreak/>
        <w:t>Paragraph 6(a) provides that Schedule 1 to the Prostheses Rules sets out listed prostheses. The listed prostheses are:</w:t>
      </w:r>
    </w:p>
    <w:p w14:paraId="0908AA2A" w14:textId="77777777" w:rsidR="00916959" w:rsidRPr="008534DC" w:rsidRDefault="00916959" w:rsidP="00916959">
      <w:pPr>
        <w:numPr>
          <w:ilvl w:val="0"/>
          <w:numId w:val="3"/>
        </w:numPr>
        <w:tabs>
          <w:tab w:val="clear" w:pos="360"/>
          <w:tab w:val="num" w:pos="717"/>
        </w:tabs>
        <w:autoSpaceDE w:val="0"/>
        <w:autoSpaceDN w:val="0"/>
        <w:adjustRightInd w:val="0"/>
        <w:spacing w:before="120"/>
        <w:ind w:left="714" w:hanging="357"/>
        <w:jc w:val="both"/>
        <w:rPr>
          <w:rFonts w:ascii="Times New Roman" w:hAnsi="Times New Roman"/>
          <w:sz w:val="22"/>
          <w:szCs w:val="22"/>
        </w:rPr>
      </w:pPr>
      <w:r w:rsidRPr="008534DC">
        <w:rPr>
          <w:rFonts w:ascii="Times New Roman" w:hAnsi="Times New Roman"/>
          <w:sz w:val="22"/>
          <w:szCs w:val="22"/>
        </w:rPr>
        <w:t xml:space="preserve">kinds of prostheses in relation to which the Minister has granted an application for listing under subsection 72-10(5) of the Act, and for which the applicant has paid any initial listing fee imposed under the </w:t>
      </w:r>
      <w:r w:rsidRPr="008534DC">
        <w:rPr>
          <w:rFonts w:ascii="Times New Roman" w:hAnsi="Times New Roman"/>
          <w:i/>
          <w:sz w:val="22"/>
          <w:szCs w:val="22"/>
        </w:rPr>
        <w:t>Private Health Insurance (Prostheses Application and Listing Fees) Act 2007</w:t>
      </w:r>
      <w:r w:rsidRPr="008534DC">
        <w:rPr>
          <w:rFonts w:ascii="Times New Roman" w:hAnsi="Times New Roman"/>
          <w:sz w:val="22"/>
          <w:szCs w:val="22"/>
        </w:rPr>
        <w:t xml:space="preserve"> within the specified timeframe; and</w:t>
      </w:r>
    </w:p>
    <w:p w14:paraId="2C74B280" w14:textId="77777777" w:rsidR="00916959" w:rsidRPr="008534DC" w:rsidRDefault="00916959" w:rsidP="00916959">
      <w:pPr>
        <w:numPr>
          <w:ilvl w:val="0"/>
          <w:numId w:val="2"/>
        </w:numPr>
        <w:autoSpaceDE w:val="0"/>
        <w:autoSpaceDN w:val="0"/>
        <w:adjustRightInd w:val="0"/>
        <w:spacing w:before="120"/>
        <w:ind w:left="714" w:hanging="357"/>
        <w:jc w:val="both"/>
        <w:rPr>
          <w:rFonts w:ascii="Times New Roman" w:hAnsi="Times New Roman"/>
          <w:sz w:val="22"/>
          <w:szCs w:val="22"/>
        </w:rPr>
      </w:pPr>
      <w:r w:rsidRPr="008534DC">
        <w:rPr>
          <w:rFonts w:ascii="Times New Roman" w:hAnsi="Times New Roman"/>
          <w:sz w:val="22"/>
          <w:szCs w:val="22"/>
        </w:rPr>
        <w:t xml:space="preserve">kinds of prostheses that were, immediately before the commencement of the Act on 1 April 2007, listed as a no gap prosthesis or a gap permitted prosthesis for the purposes of the </w:t>
      </w:r>
      <w:r w:rsidRPr="008534DC">
        <w:rPr>
          <w:rFonts w:ascii="Times New Roman" w:hAnsi="Times New Roman"/>
          <w:i/>
          <w:sz w:val="22"/>
          <w:szCs w:val="22"/>
        </w:rPr>
        <w:t>National Health Act 1953</w:t>
      </w:r>
      <w:r w:rsidRPr="008534DC">
        <w:rPr>
          <w:rFonts w:ascii="Times New Roman" w:hAnsi="Times New Roman"/>
          <w:sz w:val="22"/>
          <w:szCs w:val="22"/>
        </w:rPr>
        <w:t xml:space="preserve"> (see section 12, </w:t>
      </w:r>
      <w:r w:rsidRPr="008534DC">
        <w:rPr>
          <w:rFonts w:ascii="Times New Roman" w:hAnsi="Times New Roman"/>
          <w:i/>
          <w:iCs/>
          <w:sz w:val="22"/>
          <w:szCs w:val="22"/>
        </w:rPr>
        <w:t>Private Health Insurance (Transitional Provisions and Consequential Amendments) Act 2007</w:t>
      </w:r>
      <w:r w:rsidRPr="008534DC">
        <w:rPr>
          <w:rFonts w:ascii="Times New Roman" w:hAnsi="Times New Roman"/>
          <w:iCs/>
          <w:sz w:val="22"/>
          <w:szCs w:val="22"/>
        </w:rPr>
        <w:t>)</w:t>
      </w:r>
      <w:r w:rsidRPr="008534DC">
        <w:rPr>
          <w:rFonts w:ascii="Times New Roman" w:hAnsi="Times New Roman"/>
          <w:sz w:val="22"/>
          <w:szCs w:val="22"/>
        </w:rPr>
        <w:t>.</w:t>
      </w:r>
    </w:p>
    <w:p w14:paraId="13F0968B" w14:textId="77777777" w:rsidR="00916959" w:rsidRPr="008534DC" w:rsidRDefault="00916959" w:rsidP="00916959">
      <w:pPr>
        <w:autoSpaceDE w:val="0"/>
        <w:autoSpaceDN w:val="0"/>
        <w:adjustRightInd w:val="0"/>
        <w:jc w:val="both"/>
        <w:rPr>
          <w:rFonts w:ascii="Times New Roman" w:hAnsi="Times New Roman"/>
          <w:sz w:val="22"/>
          <w:szCs w:val="22"/>
        </w:rPr>
      </w:pPr>
    </w:p>
    <w:p w14:paraId="0FCC1543" w14:textId="77777777" w:rsidR="00916959" w:rsidRPr="008534DC" w:rsidRDefault="00916959" w:rsidP="00916959">
      <w:pPr>
        <w:autoSpaceDE w:val="0"/>
        <w:autoSpaceDN w:val="0"/>
        <w:adjustRightInd w:val="0"/>
        <w:jc w:val="both"/>
        <w:rPr>
          <w:rFonts w:ascii="Times New Roman" w:hAnsi="Times New Roman"/>
          <w:sz w:val="22"/>
          <w:szCs w:val="22"/>
        </w:rPr>
      </w:pPr>
      <w:r w:rsidRPr="008534DC">
        <w:rPr>
          <w:rFonts w:ascii="Times New Roman" w:hAnsi="Times New Roman"/>
          <w:sz w:val="22"/>
          <w:szCs w:val="22"/>
        </w:rPr>
        <w:t xml:space="preserve">Paragraph 6(aa) provides that the circumstances in which there must be a benefit payable for the provision of a listed prosthesis, other than circumstances in which a medicare benefit is payable, are set out in rule 7 of the Prostheses Rules.  </w:t>
      </w:r>
    </w:p>
    <w:p w14:paraId="235858C0" w14:textId="77777777" w:rsidR="00916959" w:rsidRPr="008534DC" w:rsidRDefault="00916959" w:rsidP="00916959">
      <w:pPr>
        <w:autoSpaceDE w:val="0"/>
        <w:autoSpaceDN w:val="0"/>
        <w:adjustRightInd w:val="0"/>
        <w:jc w:val="both"/>
        <w:rPr>
          <w:rFonts w:ascii="Times New Roman" w:hAnsi="Times New Roman"/>
          <w:sz w:val="22"/>
          <w:szCs w:val="22"/>
        </w:rPr>
      </w:pPr>
    </w:p>
    <w:p w14:paraId="0F517414" w14:textId="739190A1" w:rsidR="00916959" w:rsidRPr="008534DC" w:rsidRDefault="00916959" w:rsidP="00916959">
      <w:pPr>
        <w:autoSpaceDE w:val="0"/>
        <w:autoSpaceDN w:val="0"/>
        <w:adjustRightInd w:val="0"/>
        <w:jc w:val="both"/>
        <w:rPr>
          <w:rFonts w:ascii="Times New Roman" w:hAnsi="Times New Roman"/>
          <w:sz w:val="22"/>
          <w:szCs w:val="22"/>
        </w:rPr>
      </w:pPr>
      <w:r w:rsidRPr="008534DC">
        <w:rPr>
          <w:rFonts w:ascii="Times New Roman" w:hAnsi="Times New Roman"/>
          <w:sz w:val="22"/>
          <w:szCs w:val="22"/>
        </w:rPr>
        <w:t>Paragraph 6(ab) provides the conditions that must be satisfied in relation to the provision of a listed prosthesis in order for a benefit to be payable for the purposes of paragraph (c) or (d) of Item 4 of the Table in subsection 72-1(2) of the</w:t>
      </w:r>
      <w:r w:rsidR="00C165A8" w:rsidRPr="008534DC">
        <w:rPr>
          <w:rFonts w:ascii="Times New Roman" w:hAnsi="Times New Roman"/>
          <w:sz w:val="22"/>
          <w:szCs w:val="22"/>
        </w:rPr>
        <w:t xml:space="preserve"> Act</w:t>
      </w:r>
      <w:r w:rsidRPr="008534DC">
        <w:rPr>
          <w:rFonts w:ascii="Times New Roman" w:hAnsi="Times New Roman"/>
          <w:sz w:val="22"/>
          <w:szCs w:val="22"/>
        </w:rPr>
        <w:t xml:space="preserve">, are set out in rule 8 of the Prostheses Rules. These conditions further limit when a benefit is required to be payable for the provision of a listed prosthesis in the circumstances where a medicare benefit is payable (refer to paragraph (c), item 4 of the Table) or in the circumstances which are set out in the Prostheses Rules (refer to paragraph (d), item 4 of the Table).  </w:t>
      </w:r>
    </w:p>
    <w:p w14:paraId="42DECAD4" w14:textId="77777777" w:rsidR="00916959" w:rsidRPr="008534DC" w:rsidRDefault="00916959" w:rsidP="00916959">
      <w:pPr>
        <w:autoSpaceDE w:val="0"/>
        <w:autoSpaceDN w:val="0"/>
        <w:adjustRightInd w:val="0"/>
        <w:jc w:val="both"/>
        <w:rPr>
          <w:rFonts w:ascii="Times New Roman" w:hAnsi="Times New Roman"/>
          <w:sz w:val="22"/>
          <w:szCs w:val="22"/>
        </w:rPr>
      </w:pPr>
    </w:p>
    <w:p w14:paraId="7817FD41" w14:textId="77777777" w:rsidR="00916959" w:rsidRPr="008534DC" w:rsidRDefault="00916959" w:rsidP="00916959">
      <w:pPr>
        <w:autoSpaceDE w:val="0"/>
        <w:autoSpaceDN w:val="0"/>
        <w:adjustRightInd w:val="0"/>
        <w:jc w:val="both"/>
        <w:rPr>
          <w:rFonts w:ascii="Times New Roman" w:hAnsi="Times New Roman"/>
          <w:sz w:val="22"/>
          <w:szCs w:val="22"/>
        </w:rPr>
      </w:pPr>
      <w:r w:rsidRPr="008534DC">
        <w:rPr>
          <w:rFonts w:ascii="Times New Roman" w:hAnsi="Times New Roman"/>
          <w:sz w:val="22"/>
          <w:szCs w:val="22"/>
        </w:rPr>
        <w:t>Paragraph 6(b) provides that rule 9 sets out the method for working out the minimum and maximum benefit for hospital treatment, covered under a complying health insurance policy that is the provision of a listed prosthesis.</w:t>
      </w:r>
    </w:p>
    <w:p w14:paraId="4B5BA970" w14:textId="77777777" w:rsidR="00916959" w:rsidRPr="008534DC" w:rsidRDefault="00916959" w:rsidP="00916959">
      <w:pPr>
        <w:autoSpaceDE w:val="0"/>
        <w:autoSpaceDN w:val="0"/>
        <w:adjustRightInd w:val="0"/>
        <w:jc w:val="both"/>
        <w:rPr>
          <w:rFonts w:ascii="Times New Roman" w:hAnsi="Times New Roman"/>
          <w:sz w:val="22"/>
          <w:szCs w:val="22"/>
        </w:rPr>
      </w:pPr>
    </w:p>
    <w:p w14:paraId="16800D39" w14:textId="77777777" w:rsidR="00916959" w:rsidRPr="008534DC" w:rsidRDefault="00916959" w:rsidP="00916959">
      <w:pPr>
        <w:autoSpaceDE w:val="0"/>
        <w:autoSpaceDN w:val="0"/>
        <w:adjustRightInd w:val="0"/>
        <w:jc w:val="both"/>
        <w:rPr>
          <w:rFonts w:ascii="Times New Roman" w:hAnsi="Times New Roman"/>
          <w:sz w:val="22"/>
          <w:szCs w:val="22"/>
        </w:rPr>
      </w:pPr>
      <w:r w:rsidRPr="008534DC">
        <w:rPr>
          <w:rFonts w:ascii="Times New Roman" w:hAnsi="Times New Roman"/>
          <w:sz w:val="22"/>
          <w:szCs w:val="22"/>
        </w:rPr>
        <w:t>Paragraph 6(c) provides that rule 10 sets out the method for working out the minimum benefit and maximum benefit for hospital-substitute treatment, covered under a complying private health insurance policy that is the provision of a listed prosthesis.</w:t>
      </w:r>
    </w:p>
    <w:p w14:paraId="49880DE3" w14:textId="77777777" w:rsidR="00916959" w:rsidRPr="008534DC" w:rsidRDefault="00916959" w:rsidP="00916959">
      <w:pPr>
        <w:autoSpaceDE w:val="0"/>
        <w:autoSpaceDN w:val="0"/>
        <w:adjustRightInd w:val="0"/>
        <w:jc w:val="both"/>
        <w:rPr>
          <w:rFonts w:ascii="Times New Roman" w:hAnsi="Times New Roman"/>
          <w:sz w:val="22"/>
          <w:szCs w:val="22"/>
        </w:rPr>
      </w:pPr>
    </w:p>
    <w:p w14:paraId="03899090" w14:textId="77777777" w:rsidR="00916959" w:rsidRPr="008534DC" w:rsidRDefault="00916959" w:rsidP="00916959">
      <w:pPr>
        <w:autoSpaceDE w:val="0"/>
        <w:autoSpaceDN w:val="0"/>
        <w:adjustRightInd w:val="0"/>
        <w:jc w:val="both"/>
        <w:rPr>
          <w:rFonts w:ascii="Times New Roman" w:hAnsi="Times New Roman"/>
          <w:sz w:val="22"/>
          <w:szCs w:val="22"/>
        </w:rPr>
      </w:pPr>
      <w:r w:rsidRPr="008534DC">
        <w:rPr>
          <w:rFonts w:ascii="Times New Roman" w:hAnsi="Times New Roman"/>
          <w:sz w:val="22"/>
          <w:szCs w:val="22"/>
        </w:rPr>
        <w:t xml:space="preserve">Where a private health insurer covers hospital treatment or hospital-substitute treatment under a policy, the private health insurer cannot exclude coverage of the provision of a listed prosthesis. This coverage requirement is provided for in Rule 8 of the </w:t>
      </w:r>
      <w:r w:rsidRPr="008534DC">
        <w:rPr>
          <w:rFonts w:ascii="Times New Roman" w:hAnsi="Times New Roman"/>
          <w:i/>
          <w:sz w:val="22"/>
          <w:szCs w:val="22"/>
        </w:rPr>
        <w:t>Private Health Insurance (Complying Product) Rules 2015</w:t>
      </w:r>
      <w:r w:rsidRPr="008534DC">
        <w:rPr>
          <w:rFonts w:ascii="Times New Roman" w:hAnsi="Times New Roman"/>
          <w:sz w:val="22"/>
          <w:szCs w:val="22"/>
        </w:rPr>
        <w:t>.</w:t>
      </w:r>
    </w:p>
    <w:p w14:paraId="4F7BA8A6" w14:textId="77777777" w:rsidR="00916959" w:rsidRPr="008534DC" w:rsidRDefault="00916959" w:rsidP="00916959">
      <w:pPr>
        <w:autoSpaceDE w:val="0"/>
        <w:autoSpaceDN w:val="0"/>
        <w:adjustRightInd w:val="0"/>
        <w:jc w:val="both"/>
        <w:rPr>
          <w:rFonts w:ascii="Times New Roman" w:hAnsi="Times New Roman"/>
          <w:b/>
          <w:bCs/>
          <w:sz w:val="22"/>
          <w:szCs w:val="22"/>
        </w:rPr>
      </w:pPr>
    </w:p>
    <w:p w14:paraId="5601B4F5" w14:textId="51D0949E" w:rsidR="00916959" w:rsidRPr="008534DC" w:rsidRDefault="00916959" w:rsidP="00A358F6">
      <w:pPr>
        <w:keepNext/>
        <w:autoSpaceDE w:val="0"/>
        <w:autoSpaceDN w:val="0"/>
        <w:adjustRightInd w:val="0"/>
        <w:ind w:left="851" w:hanging="851"/>
        <w:jc w:val="both"/>
        <w:rPr>
          <w:rFonts w:ascii="Times New Roman" w:hAnsi="Times New Roman"/>
          <w:b/>
          <w:bCs/>
          <w:sz w:val="22"/>
          <w:szCs w:val="22"/>
        </w:rPr>
      </w:pPr>
      <w:r w:rsidRPr="008534DC">
        <w:rPr>
          <w:rFonts w:ascii="Times New Roman" w:hAnsi="Times New Roman"/>
          <w:b/>
          <w:bCs/>
          <w:sz w:val="22"/>
          <w:szCs w:val="22"/>
        </w:rPr>
        <w:t>Rule 7</w:t>
      </w:r>
      <w:r w:rsidRPr="008534DC">
        <w:rPr>
          <w:rFonts w:ascii="Times New Roman" w:hAnsi="Times New Roman"/>
          <w:b/>
          <w:bCs/>
          <w:sz w:val="22"/>
          <w:szCs w:val="22"/>
        </w:rPr>
        <w:tab/>
        <w:t xml:space="preserve">Circumstances in which a prosthesis is provided other than circumstances in which a </w:t>
      </w:r>
      <w:r w:rsidR="00C74938" w:rsidRPr="008534DC">
        <w:rPr>
          <w:rFonts w:ascii="Times New Roman" w:hAnsi="Times New Roman"/>
          <w:b/>
          <w:bCs/>
          <w:sz w:val="22"/>
          <w:szCs w:val="22"/>
        </w:rPr>
        <w:t>m</w:t>
      </w:r>
      <w:r w:rsidRPr="008534DC">
        <w:rPr>
          <w:rFonts w:ascii="Times New Roman" w:hAnsi="Times New Roman"/>
          <w:b/>
          <w:bCs/>
          <w:sz w:val="22"/>
          <w:szCs w:val="22"/>
        </w:rPr>
        <w:t>edicare benefit is payable</w:t>
      </w:r>
    </w:p>
    <w:p w14:paraId="1A87EDE1" w14:textId="77777777" w:rsidR="00916959" w:rsidRPr="008534DC" w:rsidRDefault="00916959" w:rsidP="00A358F6">
      <w:pPr>
        <w:keepNext/>
        <w:autoSpaceDE w:val="0"/>
        <w:autoSpaceDN w:val="0"/>
        <w:adjustRightInd w:val="0"/>
        <w:jc w:val="both"/>
        <w:rPr>
          <w:rFonts w:ascii="Times New Roman" w:hAnsi="Times New Roman"/>
          <w:b/>
          <w:bCs/>
          <w:sz w:val="22"/>
          <w:szCs w:val="22"/>
        </w:rPr>
      </w:pPr>
    </w:p>
    <w:p w14:paraId="6BBD802A" w14:textId="77777777" w:rsidR="00916959" w:rsidRPr="008534DC" w:rsidRDefault="00916959" w:rsidP="00916959">
      <w:pPr>
        <w:autoSpaceDE w:val="0"/>
        <w:autoSpaceDN w:val="0"/>
        <w:adjustRightInd w:val="0"/>
        <w:jc w:val="both"/>
        <w:rPr>
          <w:rFonts w:ascii="Times New Roman" w:hAnsi="Times New Roman"/>
          <w:bCs/>
          <w:sz w:val="22"/>
          <w:szCs w:val="22"/>
        </w:rPr>
      </w:pPr>
      <w:r w:rsidRPr="008534DC">
        <w:rPr>
          <w:rFonts w:ascii="Times New Roman" w:hAnsi="Times New Roman"/>
          <w:bCs/>
          <w:sz w:val="22"/>
          <w:szCs w:val="22"/>
        </w:rPr>
        <w:t>Rule 7 specifies circumstances for the purposes of paragraph (d) of item 4 of the Table in subsection 72-1(2) of the Act. A benefit must be payable under a complying health insurance policy for covered hospital treatment and hospital-substitute treatment (if the policy covers hospital-substitute treatment) that is the provision of a listed prosthesis which is associated with podiatric treatment by a registered podiatric surgeon. This is the case even if a Medicare benefit is not payable for that provision.</w:t>
      </w:r>
    </w:p>
    <w:p w14:paraId="5FEACAA2" w14:textId="77777777" w:rsidR="00916959" w:rsidRPr="008534DC" w:rsidRDefault="00916959" w:rsidP="00916959">
      <w:pPr>
        <w:autoSpaceDE w:val="0"/>
        <w:autoSpaceDN w:val="0"/>
        <w:adjustRightInd w:val="0"/>
        <w:jc w:val="both"/>
        <w:rPr>
          <w:rFonts w:ascii="Times New Roman" w:hAnsi="Times New Roman"/>
          <w:bCs/>
          <w:sz w:val="22"/>
          <w:szCs w:val="22"/>
        </w:rPr>
      </w:pPr>
    </w:p>
    <w:p w14:paraId="4D6CA0F6" w14:textId="77777777" w:rsidR="00916959" w:rsidRPr="008534DC" w:rsidRDefault="00916959" w:rsidP="00916959">
      <w:pPr>
        <w:autoSpaceDE w:val="0"/>
        <w:autoSpaceDN w:val="0"/>
        <w:adjustRightInd w:val="0"/>
        <w:jc w:val="both"/>
        <w:rPr>
          <w:rFonts w:ascii="Times New Roman" w:hAnsi="Times New Roman"/>
          <w:bCs/>
          <w:sz w:val="22"/>
          <w:szCs w:val="22"/>
        </w:rPr>
      </w:pPr>
      <w:r w:rsidRPr="008534DC">
        <w:rPr>
          <w:rFonts w:ascii="Times New Roman" w:hAnsi="Times New Roman"/>
          <w:bCs/>
          <w:sz w:val="22"/>
          <w:szCs w:val="22"/>
        </w:rPr>
        <w:t xml:space="preserve">A note to rule 7 provides that the provision of a listed prosthesis in circumstances in which a Medicare benefit is payable is dealt with in paragraph (c) of item 4 of the Table. </w:t>
      </w:r>
    </w:p>
    <w:p w14:paraId="5B67DDB9" w14:textId="77777777" w:rsidR="00916959" w:rsidRPr="008534DC" w:rsidRDefault="00916959" w:rsidP="00916959">
      <w:pPr>
        <w:autoSpaceDE w:val="0"/>
        <w:autoSpaceDN w:val="0"/>
        <w:adjustRightInd w:val="0"/>
        <w:jc w:val="both"/>
        <w:rPr>
          <w:rFonts w:ascii="Times New Roman" w:hAnsi="Times New Roman"/>
          <w:bCs/>
          <w:sz w:val="22"/>
          <w:szCs w:val="22"/>
        </w:rPr>
      </w:pPr>
    </w:p>
    <w:p w14:paraId="3AB1F2AD" w14:textId="77777777" w:rsidR="00916959" w:rsidRPr="008534DC" w:rsidRDefault="00916959" w:rsidP="00A358F6">
      <w:pPr>
        <w:keepNext/>
        <w:autoSpaceDE w:val="0"/>
        <w:autoSpaceDN w:val="0"/>
        <w:adjustRightInd w:val="0"/>
        <w:ind w:left="851" w:hanging="851"/>
        <w:jc w:val="both"/>
        <w:rPr>
          <w:rFonts w:ascii="Times New Roman" w:hAnsi="Times New Roman"/>
          <w:b/>
          <w:bCs/>
          <w:sz w:val="22"/>
          <w:szCs w:val="22"/>
        </w:rPr>
      </w:pPr>
      <w:r w:rsidRPr="008534DC">
        <w:rPr>
          <w:rFonts w:ascii="Times New Roman" w:hAnsi="Times New Roman"/>
          <w:b/>
          <w:bCs/>
          <w:sz w:val="22"/>
          <w:szCs w:val="22"/>
        </w:rPr>
        <w:t>Rule 8</w:t>
      </w:r>
      <w:r w:rsidRPr="008534DC">
        <w:rPr>
          <w:rFonts w:ascii="Times New Roman" w:hAnsi="Times New Roman"/>
          <w:b/>
          <w:bCs/>
          <w:sz w:val="22"/>
          <w:szCs w:val="22"/>
        </w:rPr>
        <w:tab/>
        <w:t xml:space="preserve">Conditions in relation to provision of listed prostheses </w:t>
      </w:r>
    </w:p>
    <w:p w14:paraId="57B7A2F9" w14:textId="77777777" w:rsidR="00916959" w:rsidRPr="008534DC" w:rsidRDefault="00916959" w:rsidP="00A358F6">
      <w:pPr>
        <w:keepNext/>
        <w:autoSpaceDE w:val="0"/>
        <w:autoSpaceDN w:val="0"/>
        <w:adjustRightInd w:val="0"/>
        <w:jc w:val="both"/>
        <w:rPr>
          <w:rFonts w:ascii="Times New Roman" w:hAnsi="Times New Roman"/>
          <w:bCs/>
          <w:sz w:val="22"/>
          <w:szCs w:val="22"/>
        </w:rPr>
      </w:pPr>
    </w:p>
    <w:p w14:paraId="3AF41947" w14:textId="0B4C6DD0" w:rsidR="00916959" w:rsidRPr="008534DC" w:rsidRDefault="00916959" w:rsidP="00916959">
      <w:pPr>
        <w:autoSpaceDE w:val="0"/>
        <w:autoSpaceDN w:val="0"/>
        <w:adjustRightInd w:val="0"/>
        <w:jc w:val="both"/>
        <w:rPr>
          <w:bCs/>
          <w:sz w:val="22"/>
          <w:szCs w:val="22"/>
        </w:rPr>
      </w:pPr>
      <w:r w:rsidRPr="008534DC">
        <w:rPr>
          <w:bCs/>
          <w:sz w:val="22"/>
          <w:szCs w:val="22"/>
        </w:rPr>
        <w:t xml:space="preserve">Under paragraphs (c) and (d) of item 4 in the Table in subsection 72-1(2) of the Act, the </w:t>
      </w:r>
      <w:r w:rsidRPr="008534DC">
        <w:rPr>
          <w:sz w:val="22"/>
          <w:szCs w:val="22"/>
        </w:rPr>
        <w:t>Private Health Insurance (Prostheses) Rules</w:t>
      </w:r>
      <w:r w:rsidRPr="008534DC">
        <w:rPr>
          <w:bCs/>
          <w:sz w:val="22"/>
          <w:szCs w:val="22"/>
        </w:rPr>
        <w:t xml:space="preserve"> may set out conditions that must be satisfied in relation to the provision of a listed prosthesis in circumstances in which a Medicare benefit is payable, or in the circumstances set out in rule 7, whatever the case may be. If these conditions are not satisfied, no benefit is payable under a complying health insurance policy that covers hospital treatment and hospital-substitute treatment.</w:t>
      </w:r>
      <w:r w:rsidR="00A358F6" w:rsidRPr="008534DC">
        <w:rPr>
          <w:bCs/>
          <w:sz w:val="22"/>
          <w:szCs w:val="22"/>
        </w:rPr>
        <w:t xml:space="preserve"> </w:t>
      </w:r>
    </w:p>
    <w:p w14:paraId="0E1D7425" w14:textId="77777777" w:rsidR="00A358F6" w:rsidRPr="008534DC" w:rsidRDefault="00A358F6" w:rsidP="00916959">
      <w:pPr>
        <w:autoSpaceDE w:val="0"/>
        <w:autoSpaceDN w:val="0"/>
        <w:adjustRightInd w:val="0"/>
        <w:jc w:val="both"/>
        <w:rPr>
          <w:bCs/>
          <w:sz w:val="22"/>
          <w:szCs w:val="22"/>
        </w:rPr>
      </w:pPr>
    </w:p>
    <w:p w14:paraId="417A8512" w14:textId="1E03F0A5" w:rsidR="00916959" w:rsidRPr="008534DC" w:rsidRDefault="00916959" w:rsidP="00916959">
      <w:pPr>
        <w:autoSpaceDE w:val="0"/>
        <w:autoSpaceDN w:val="0"/>
        <w:adjustRightInd w:val="0"/>
        <w:jc w:val="both"/>
        <w:rPr>
          <w:bCs/>
          <w:sz w:val="22"/>
          <w:szCs w:val="22"/>
        </w:rPr>
      </w:pPr>
      <w:r w:rsidRPr="008534DC">
        <w:rPr>
          <w:bCs/>
          <w:sz w:val="22"/>
          <w:szCs w:val="22"/>
        </w:rPr>
        <w:lastRenderedPageBreak/>
        <w:t xml:space="preserve">Rule 8 specifies that the conditions that must be satisfied in the case of any listed prosthesis for which there is a statement of a requirement under the heading ‘Condition’ in Schedule 1 under the listing for that kind of prosthesis, that requirement (paragraph 8(a)). There are </w:t>
      </w:r>
      <w:r w:rsidR="00923E46" w:rsidRPr="008534DC">
        <w:rPr>
          <w:bCs/>
          <w:sz w:val="22"/>
          <w:szCs w:val="22"/>
        </w:rPr>
        <w:t>8</w:t>
      </w:r>
      <w:r w:rsidR="00CD337E" w:rsidRPr="008534DC">
        <w:rPr>
          <w:bCs/>
          <w:sz w:val="22"/>
          <w:szCs w:val="22"/>
        </w:rPr>
        <w:t>3</w:t>
      </w:r>
      <w:r w:rsidRPr="008534DC">
        <w:rPr>
          <w:bCs/>
          <w:sz w:val="22"/>
          <w:szCs w:val="22"/>
        </w:rPr>
        <w:t xml:space="preserve"> Prostheses List billing codes listed in Schedule 1 which have a condition. These codes with conditions include:</w:t>
      </w:r>
    </w:p>
    <w:p w14:paraId="144FD9EF" w14:textId="77777777" w:rsidR="00916959" w:rsidRPr="008534DC" w:rsidRDefault="00916959" w:rsidP="00916959">
      <w:pPr>
        <w:autoSpaceDE w:val="0"/>
        <w:autoSpaceDN w:val="0"/>
        <w:adjustRightInd w:val="0"/>
        <w:jc w:val="both"/>
        <w:rPr>
          <w:bCs/>
          <w:sz w:val="22"/>
          <w:szCs w:val="22"/>
        </w:rPr>
      </w:pPr>
    </w:p>
    <w:p w14:paraId="566869DC" w14:textId="37121AA9" w:rsidR="00916959" w:rsidRPr="008534DC" w:rsidRDefault="00D163F3" w:rsidP="00916959">
      <w:pPr>
        <w:autoSpaceDE w:val="0"/>
        <w:autoSpaceDN w:val="0"/>
        <w:adjustRightInd w:val="0"/>
        <w:jc w:val="both"/>
        <w:rPr>
          <w:bCs/>
          <w:sz w:val="22"/>
          <w:szCs w:val="22"/>
        </w:rPr>
      </w:pPr>
      <w:r w:rsidRPr="008534DC">
        <w:rPr>
          <w:bCs/>
          <w:sz w:val="22"/>
          <w:szCs w:val="22"/>
        </w:rPr>
        <w:t>81</w:t>
      </w:r>
      <w:r w:rsidR="001A7390" w:rsidRPr="008534DC">
        <w:rPr>
          <w:bCs/>
          <w:sz w:val="22"/>
          <w:szCs w:val="22"/>
        </w:rPr>
        <w:t xml:space="preserve"> </w:t>
      </w:r>
      <w:r w:rsidR="00916959" w:rsidRPr="008534DC">
        <w:rPr>
          <w:bCs/>
          <w:sz w:val="22"/>
          <w:szCs w:val="22"/>
        </w:rPr>
        <w:t>codes listed in the Schedule in the Previous Rules:</w:t>
      </w:r>
    </w:p>
    <w:p w14:paraId="7EB1F40F" w14:textId="77777777" w:rsidR="00916959" w:rsidRPr="008534DC" w:rsidRDefault="00916959" w:rsidP="00916959">
      <w:pPr>
        <w:numPr>
          <w:ilvl w:val="1"/>
          <w:numId w:val="4"/>
        </w:numPr>
        <w:autoSpaceDE w:val="0"/>
        <w:autoSpaceDN w:val="0"/>
        <w:adjustRightInd w:val="0"/>
        <w:ind w:left="709"/>
        <w:jc w:val="both"/>
        <w:rPr>
          <w:bCs/>
          <w:sz w:val="22"/>
          <w:szCs w:val="22"/>
        </w:rPr>
      </w:pPr>
      <w:r w:rsidRPr="008534DC">
        <w:rPr>
          <w:sz w:val="22"/>
          <w:szCs w:val="22"/>
        </w:rPr>
        <w:t>BF025 (</w:t>
      </w:r>
      <w:r w:rsidRPr="008534DC">
        <w:rPr>
          <w:i/>
          <w:sz w:val="22"/>
          <w:szCs w:val="22"/>
        </w:rPr>
        <w:t>Pedicle Screw</w:t>
      </w:r>
      <w:r w:rsidRPr="008534DC">
        <w:rPr>
          <w:sz w:val="22"/>
          <w:szCs w:val="22"/>
        </w:rPr>
        <w:t>);</w:t>
      </w:r>
    </w:p>
    <w:p w14:paraId="0BECED2C" w14:textId="77777777" w:rsidR="00916959" w:rsidRPr="008534DC" w:rsidRDefault="00916959" w:rsidP="00916959">
      <w:pPr>
        <w:numPr>
          <w:ilvl w:val="1"/>
          <w:numId w:val="4"/>
        </w:numPr>
        <w:autoSpaceDE w:val="0"/>
        <w:autoSpaceDN w:val="0"/>
        <w:adjustRightInd w:val="0"/>
        <w:ind w:left="709"/>
        <w:jc w:val="both"/>
        <w:rPr>
          <w:bCs/>
          <w:sz w:val="22"/>
          <w:szCs w:val="22"/>
        </w:rPr>
      </w:pPr>
      <w:r w:rsidRPr="008534DC">
        <w:rPr>
          <w:sz w:val="22"/>
          <w:szCs w:val="22"/>
        </w:rPr>
        <w:t>BF026 (</w:t>
      </w:r>
      <w:r w:rsidRPr="008534DC">
        <w:rPr>
          <w:i/>
          <w:sz w:val="22"/>
          <w:szCs w:val="22"/>
        </w:rPr>
        <w:t>Pedicle Screw</w:t>
      </w:r>
      <w:r w:rsidRPr="008534DC">
        <w:rPr>
          <w:sz w:val="22"/>
          <w:szCs w:val="22"/>
        </w:rPr>
        <w:t>);</w:t>
      </w:r>
    </w:p>
    <w:p w14:paraId="1B535F11" w14:textId="77777777" w:rsidR="00916959" w:rsidRPr="008534DC" w:rsidRDefault="00916959" w:rsidP="00916959">
      <w:pPr>
        <w:numPr>
          <w:ilvl w:val="1"/>
          <w:numId w:val="4"/>
        </w:numPr>
        <w:autoSpaceDE w:val="0"/>
        <w:autoSpaceDN w:val="0"/>
        <w:adjustRightInd w:val="0"/>
        <w:ind w:left="709"/>
        <w:jc w:val="both"/>
        <w:rPr>
          <w:bCs/>
          <w:sz w:val="22"/>
          <w:szCs w:val="22"/>
        </w:rPr>
      </w:pPr>
      <w:r w:rsidRPr="008534DC">
        <w:rPr>
          <w:sz w:val="22"/>
          <w:szCs w:val="22"/>
        </w:rPr>
        <w:t>BF027 (</w:t>
      </w:r>
      <w:r w:rsidRPr="008534DC">
        <w:rPr>
          <w:i/>
          <w:sz w:val="22"/>
          <w:szCs w:val="22"/>
        </w:rPr>
        <w:t>Locking Element</w:t>
      </w:r>
      <w:r w:rsidRPr="008534DC">
        <w:rPr>
          <w:sz w:val="22"/>
          <w:szCs w:val="22"/>
        </w:rPr>
        <w:t>);</w:t>
      </w:r>
    </w:p>
    <w:p w14:paraId="6872DDD9" w14:textId="77777777" w:rsidR="00916959" w:rsidRPr="008534DC" w:rsidRDefault="00916959" w:rsidP="00916959">
      <w:pPr>
        <w:numPr>
          <w:ilvl w:val="1"/>
          <w:numId w:val="4"/>
        </w:numPr>
        <w:autoSpaceDE w:val="0"/>
        <w:autoSpaceDN w:val="0"/>
        <w:adjustRightInd w:val="0"/>
        <w:ind w:left="709"/>
        <w:jc w:val="both"/>
        <w:rPr>
          <w:bCs/>
          <w:sz w:val="22"/>
          <w:szCs w:val="22"/>
        </w:rPr>
      </w:pPr>
      <w:r w:rsidRPr="008534DC">
        <w:rPr>
          <w:sz w:val="22"/>
          <w:szCs w:val="22"/>
        </w:rPr>
        <w:t>BF028 (</w:t>
      </w:r>
      <w:r w:rsidRPr="008534DC">
        <w:rPr>
          <w:i/>
          <w:sz w:val="22"/>
          <w:szCs w:val="22"/>
        </w:rPr>
        <w:t>Rods, Curved</w:t>
      </w:r>
      <w:r w:rsidRPr="008534DC">
        <w:rPr>
          <w:sz w:val="22"/>
          <w:szCs w:val="22"/>
        </w:rPr>
        <w:t>);</w:t>
      </w:r>
    </w:p>
    <w:p w14:paraId="19B5C366" w14:textId="77777777" w:rsidR="00916959" w:rsidRPr="008534DC" w:rsidRDefault="00916959" w:rsidP="00916959">
      <w:pPr>
        <w:numPr>
          <w:ilvl w:val="1"/>
          <w:numId w:val="4"/>
        </w:numPr>
        <w:autoSpaceDE w:val="0"/>
        <w:autoSpaceDN w:val="0"/>
        <w:adjustRightInd w:val="0"/>
        <w:ind w:left="709"/>
        <w:jc w:val="both"/>
        <w:rPr>
          <w:bCs/>
          <w:sz w:val="22"/>
          <w:szCs w:val="22"/>
        </w:rPr>
      </w:pPr>
      <w:r w:rsidRPr="008534DC">
        <w:rPr>
          <w:sz w:val="22"/>
          <w:szCs w:val="22"/>
        </w:rPr>
        <w:t>BF029 (</w:t>
      </w:r>
      <w:r w:rsidRPr="008534DC">
        <w:rPr>
          <w:i/>
          <w:sz w:val="22"/>
          <w:szCs w:val="22"/>
        </w:rPr>
        <w:t>Rods</w:t>
      </w:r>
      <w:r w:rsidRPr="008534DC">
        <w:rPr>
          <w:sz w:val="22"/>
          <w:szCs w:val="22"/>
        </w:rPr>
        <w:t>);</w:t>
      </w:r>
    </w:p>
    <w:p w14:paraId="6D15D34E" w14:textId="77777777" w:rsidR="00916959" w:rsidRPr="008534DC" w:rsidRDefault="00916959" w:rsidP="00916959">
      <w:pPr>
        <w:numPr>
          <w:ilvl w:val="1"/>
          <w:numId w:val="4"/>
        </w:numPr>
        <w:autoSpaceDE w:val="0"/>
        <w:autoSpaceDN w:val="0"/>
        <w:adjustRightInd w:val="0"/>
        <w:ind w:left="709"/>
        <w:jc w:val="both"/>
        <w:rPr>
          <w:bCs/>
          <w:sz w:val="22"/>
          <w:szCs w:val="22"/>
        </w:rPr>
      </w:pPr>
      <w:r w:rsidRPr="008534DC">
        <w:rPr>
          <w:sz w:val="22"/>
          <w:szCs w:val="22"/>
        </w:rPr>
        <w:t>BX343 (</w:t>
      </w:r>
      <w:r w:rsidRPr="008534DC">
        <w:rPr>
          <w:i/>
          <w:sz w:val="22"/>
          <w:szCs w:val="22"/>
        </w:rPr>
        <w:t>HEMOSTAT SEALING HAEMOSTAT</w:t>
      </w:r>
      <w:r w:rsidRPr="008534DC">
        <w:rPr>
          <w:sz w:val="22"/>
          <w:szCs w:val="22"/>
        </w:rPr>
        <w:t>);</w:t>
      </w:r>
    </w:p>
    <w:p w14:paraId="79583A77" w14:textId="77777777" w:rsidR="00916959" w:rsidRPr="008534DC" w:rsidRDefault="00916959" w:rsidP="00916959">
      <w:pPr>
        <w:numPr>
          <w:ilvl w:val="0"/>
          <w:numId w:val="4"/>
        </w:numPr>
        <w:autoSpaceDE w:val="0"/>
        <w:autoSpaceDN w:val="0"/>
        <w:adjustRightInd w:val="0"/>
        <w:ind w:left="714" w:hanging="357"/>
        <w:jc w:val="both"/>
        <w:rPr>
          <w:bCs/>
          <w:sz w:val="22"/>
          <w:szCs w:val="22"/>
        </w:rPr>
      </w:pPr>
      <w:r w:rsidRPr="008534DC">
        <w:rPr>
          <w:sz w:val="22"/>
          <w:szCs w:val="22"/>
        </w:rPr>
        <w:t>BX344 (</w:t>
      </w:r>
      <w:r w:rsidRPr="008534DC">
        <w:rPr>
          <w:i/>
          <w:sz w:val="22"/>
          <w:szCs w:val="22"/>
        </w:rPr>
        <w:t>HEMOSTAT SEALING HAEMOSTAT</w:t>
      </w:r>
      <w:r w:rsidRPr="008534DC">
        <w:rPr>
          <w:sz w:val="22"/>
          <w:szCs w:val="22"/>
        </w:rPr>
        <w:t>)</w:t>
      </w:r>
      <w:r w:rsidRPr="008534DC">
        <w:rPr>
          <w:bCs/>
          <w:sz w:val="22"/>
          <w:szCs w:val="22"/>
        </w:rPr>
        <w:t>;</w:t>
      </w:r>
    </w:p>
    <w:p w14:paraId="48C7CD0F" w14:textId="77777777" w:rsidR="00916959" w:rsidRPr="008534DC" w:rsidRDefault="00916959" w:rsidP="00916959">
      <w:pPr>
        <w:numPr>
          <w:ilvl w:val="1"/>
          <w:numId w:val="4"/>
        </w:numPr>
        <w:autoSpaceDE w:val="0"/>
        <w:autoSpaceDN w:val="0"/>
        <w:adjustRightInd w:val="0"/>
        <w:ind w:left="709"/>
        <w:jc w:val="both"/>
        <w:rPr>
          <w:bCs/>
          <w:sz w:val="22"/>
          <w:szCs w:val="22"/>
        </w:rPr>
      </w:pPr>
      <w:r w:rsidRPr="008534DC">
        <w:rPr>
          <w:bCs/>
          <w:sz w:val="22"/>
          <w:szCs w:val="22"/>
        </w:rPr>
        <w:t>CR032 (</w:t>
      </w:r>
      <w:r w:rsidRPr="008534DC">
        <w:rPr>
          <w:bCs/>
          <w:i/>
          <w:sz w:val="22"/>
          <w:szCs w:val="22"/>
        </w:rPr>
        <w:t>Lars Ligament Augmentation reconstruction system</w:t>
      </w:r>
      <w:r w:rsidRPr="008534DC">
        <w:rPr>
          <w:bCs/>
          <w:sz w:val="22"/>
          <w:szCs w:val="22"/>
        </w:rPr>
        <w:t>);</w:t>
      </w:r>
      <w:r w:rsidRPr="008534DC">
        <w:rPr>
          <w:bCs/>
          <w:i/>
          <w:sz w:val="22"/>
          <w:szCs w:val="22"/>
        </w:rPr>
        <w:t xml:space="preserve"> </w:t>
      </w:r>
    </w:p>
    <w:p w14:paraId="34128C98" w14:textId="77777777" w:rsidR="00916959" w:rsidRPr="008534DC" w:rsidRDefault="00916959" w:rsidP="00916959">
      <w:pPr>
        <w:numPr>
          <w:ilvl w:val="1"/>
          <w:numId w:val="4"/>
        </w:numPr>
        <w:autoSpaceDE w:val="0"/>
        <w:autoSpaceDN w:val="0"/>
        <w:adjustRightInd w:val="0"/>
        <w:ind w:left="709"/>
        <w:jc w:val="both"/>
        <w:rPr>
          <w:bCs/>
          <w:sz w:val="22"/>
          <w:szCs w:val="22"/>
        </w:rPr>
      </w:pPr>
      <w:r w:rsidRPr="008534DC">
        <w:rPr>
          <w:sz w:val="22"/>
          <w:szCs w:val="22"/>
        </w:rPr>
        <w:t>CR201 (</w:t>
      </w:r>
      <w:r w:rsidRPr="008534DC">
        <w:rPr>
          <w:i/>
          <w:sz w:val="22"/>
          <w:szCs w:val="22"/>
        </w:rPr>
        <w:t>Ligament Augmentation &amp; Reconstruction System (LARS) AC30RA</w:t>
      </w:r>
      <w:r w:rsidRPr="008534DC">
        <w:rPr>
          <w:sz w:val="22"/>
          <w:szCs w:val="22"/>
        </w:rPr>
        <w:t>);</w:t>
      </w:r>
    </w:p>
    <w:p w14:paraId="46A87C62" w14:textId="77777777" w:rsidR="00916959" w:rsidRPr="008534DC" w:rsidRDefault="00916959" w:rsidP="00916959">
      <w:pPr>
        <w:numPr>
          <w:ilvl w:val="1"/>
          <w:numId w:val="4"/>
        </w:numPr>
        <w:autoSpaceDE w:val="0"/>
        <w:autoSpaceDN w:val="0"/>
        <w:adjustRightInd w:val="0"/>
        <w:ind w:left="709"/>
        <w:jc w:val="both"/>
        <w:rPr>
          <w:bCs/>
          <w:sz w:val="22"/>
          <w:szCs w:val="22"/>
        </w:rPr>
      </w:pPr>
      <w:r w:rsidRPr="008534DC">
        <w:rPr>
          <w:sz w:val="22"/>
          <w:szCs w:val="22"/>
        </w:rPr>
        <w:t>CR202 (</w:t>
      </w:r>
      <w:r w:rsidRPr="008534DC">
        <w:rPr>
          <w:i/>
          <w:sz w:val="22"/>
          <w:szCs w:val="22"/>
        </w:rPr>
        <w:t>Ligament Augmentation &amp; Reconstruction System (LARS) LAC 20</w:t>
      </w:r>
      <w:r w:rsidRPr="008534DC">
        <w:rPr>
          <w:sz w:val="22"/>
          <w:szCs w:val="22"/>
        </w:rPr>
        <w:t>);</w:t>
      </w:r>
    </w:p>
    <w:p w14:paraId="48B89B49" w14:textId="77777777" w:rsidR="00916959" w:rsidRPr="008534DC" w:rsidRDefault="00916959" w:rsidP="00916959">
      <w:pPr>
        <w:numPr>
          <w:ilvl w:val="1"/>
          <w:numId w:val="4"/>
        </w:numPr>
        <w:autoSpaceDE w:val="0"/>
        <w:autoSpaceDN w:val="0"/>
        <w:adjustRightInd w:val="0"/>
        <w:ind w:left="709"/>
        <w:jc w:val="both"/>
        <w:rPr>
          <w:bCs/>
          <w:sz w:val="22"/>
          <w:szCs w:val="22"/>
        </w:rPr>
      </w:pPr>
      <w:r w:rsidRPr="008534DC">
        <w:rPr>
          <w:sz w:val="22"/>
          <w:szCs w:val="22"/>
        </w:rPr>
        <w:t>CR203 (</w:t>
      </w:r>
      <w:r w:rsidRPr="008534DC">
        <w:rPr>
          <w:i/>
          <w:sz w:val="22"/>
          <w:szCs w:val="22"/>
        </w:rPr>
        <w:t>Ligament Augmentation &amp; Reconstruction System (LARS) LAC 30</w:t>
      </w:r>
      <w:r w:rsidRPr="008534DC">
        <w:rPr>
          <w:sz w:val="22"/>
          <w:szCs w:val="22"/>
        </w:rPr>
        <w:t xml:space="preserve">); </w:t>
      </w:r>
    </w:p>
    <w:p w14:paraId="6D2A17A2" w14:textId="77777777" w:rsidR="00916959" w:rsidRPr="008534DC" w:rsidRDefault="00916959" w:rsidP="00916959">
      <w:pPr>
        <w:numPr>
          <w:ilvl w:val="1"/>
          <w:numId w:val="4"/>
        </w:numPr>
        <w:autoSpaceDE w:val="0"/>
        <w:autoSpaceDN w:val="0"/>
        <w:adjustRightInd w:val="0"/>
        <w:ind w:left="709"/>
        <w:jc w:val="both"/>
        <w:rPr>
          <w:bCs/>
          <w:sz w:val="22"/>
          <w:szCs w:val="22"/>
        </w:rPr>
      </w:pPr>
      <w:r w:rsidRPr="008534DC">
        <w:rPr>
          <w:sz w:val="22"/>
          <w:szCs w:val="22"/>
        </w:rPr>
        <w:t>CR204 (</w:t>
      </w:r>
      <w:r w:rsidRPr="008534DC">
        <w:rPr>
          <w:i/>
          <w:sz w:val="22"/>
          <w:szCs w:val="22"/>
        </w:rPr>
        <w:t>Ligament Augmentation &amp; Reconstruction System (LARS) MCL 32</w:t>
      </w:r>
      <w:r w:rsidRPr="008534DC">
        <w:rPr>
          <w:sz w:val="22"/>
          <w:szCs w:val="22"/>
        </w:rPr>
        <w:t>);</w:t>
      </w:r>
    </w:p>
    <w:p w14:paraId="02D99313" w14:textId="77777777" w:rsidR="00916959" w:rsidRPr="008534DC" w:rsidRDefault="00916959" w:rsidP="00916959">
      <w:pPr>
        <w:numPr>
          <w:ilvl w:val="1"/>
          <w:numId w:val="4"/>
        </w:numPr>
        <w:autoSpaceDE w:val="0"/>
        <w:autoSpaceDN w:val="0"/>
        <w:adjustRightInd w:val="0"/>
        <w:ind w:left="709"/>
        <w:jc w:val="both"/>
        <w:rPr>
          <w:bCs/>
          <w:sz w:val="22"/>
          <w:szCs w:val="22"/>
        </w:rPr>
      </w:pPr>
      <w:r w:rsidRPr="008534DC">
        <w:rPr>
          <w:sz w:val="22"/>
          <w:szCs w:val="22"/>
        </w:rPr>
        <w:t>CR205 (</w:t>
      </w:r>
      <w:r w:rsidRPr="008534DC">
        <w:rPr>
          <w:i/>
          <w:sz w:val="22"/>
          <w:szCs w:val="22"/>
        </w:rPr>
        <w:t>Ligament Augmentation &amp; Reconstruction System (LARS) - Rotator Cuff CR 25</w:t>
      </w:r>
      <w:r w:rsidRPr="008534DC">
        <w:rPr>
          <w:sz w:val="22"/>
          <w:szCs w:val="22"/>
        </w:rPr>
        <w:t>);</w:t>
      </w:r>
    </w:p>
    <w:p w14:paraId="6FEBDEB2" w14:textId="77777777" w:rsidR="00916959" w:rsidRPr="008534DC" w:rsidRDefault="00916959" w:rsidP="00916959">
      <w:pPr>
        <w:numPr>
          <w:ilvl w:val="1"/>
          <w:numId w:val="4"/>
        </w:numPr>
        <w:autoSpaceDE w:val="0"/>
        <w:autoSpaceDN w:val="0"/>
        <w:adjustRightInd w:val="0"/>
        <w:ind w:left="709"/>
        <w:jc w:val="both"/>
        <w:rPr>
          <w:bCs/>
          <w:sz w:val="22"/>
          <w:szCs w:val="22"/>
        </w:rPr>
      </w:pPr>
      <w:r w:rsidRPr="008534DC">
        <w:rPr>
          <w:sz w:val="22"/>
          <w:szCs w:val="22"/>
        </w:rPr>
        <w:t>CR206 (</w:t>
      </w:r>
      <w:r w:rsidRPr="008534DC">
        <w:rPr>
          <w:i/>
          <w:sz w:val="22"/>
          <w:szCs w:val="22"/>
        </w:rPr>
        <w:t>Ligament Augmentation &amp; Reconstruction System (LARS) - Rotary Cuff CR 30</w:t>
      </w:r>
      <w:r w:rsidRPr="008534DC">
        <w:rPr>
          <w:sz w:val="22"/>
          <w:szCs w:val="22"/>
        </w:rPr>
        <w:t>);</w:t>
      </w:r>
    </w:p>
    <w:p w14:paraId="46CB459B" w14:textId="77777777" w:rsidR="00916959" w:rsidRPr="008534DC" w:rsidRDefault="00916959" w:rsidP="00916959">
      <w:pPr>
        <w:numPr>
          <w:ilvl w:val="1"/>
          <w:numId w:val="4"/>
        </w:numPr>
        <w:autoSpaceDE w:val="0"/>
        <w:autoSpaceDN w:val="0"/>
        <w:adjustRightInd w:val="0"/>
        <w:ind w:left="709"/>
        <w:jc w:val="both"/>
        <w:rPr>
          <w:bCs/>
          <w:sz w:val="22"/>
          <w:szCs w:val="22"/>
        </w:rPr>
      </w:pPr>
      <w:r w:rsidRPr="008534DC">
        <w:rPr>
          <w:sz w:val="22"/>
          <w:szCs w:val="22"/>
        </w:rPr>
        <w:t>CR214 (</w:t>
      </w:r>
      <w:r w:rsidRPr="008534DC">
        <w:rPr>
          <w:i/>
          <w:sz w:val="22"/>
          <w:szCs w:val="22"/>
        </w:rPr>
        <w:t>LARS Reinforcer Ligament</w:t>
      </w:r>
      <w:r w:rsidRPr="008534DC">
        <w:rPr>
          <w:sz w:val="22"/>
          <w:szCs w:val="22"/>
        </w:rPr>
        <w:t>);</w:t>
      </w:r>
    </w:p>
    <w:p w14:paraId="7F3A2E49" w14:textId="77777777" w:rsidR="00916959" w:rsidRPr="008534DC" w:rsidRDefault="00916959" w:rsidP="00916959">
      <w:pPr>
        <w:numPr>
          <w:ilvl w:val="1"/>
          <w:numId w:val="4"/>
        </w:numPr>
        <w:autoSpaceDE w:val="0"/>
        <w:autoSpaceDN w:val="0"/>
        <w:adjustRightInd w:val="0"/>
        <w:ind w:left="709"/>
        <w:jc w:val="both"/>
        <w:rPr>
          <w:bCs/>
          <w:sz w:val="22"/>
          <w:szCs w:val="22"/>
        </w:rPr>
      </w:pPr>
      <w:r w:rsidRPr="008534DC">
        <w:rPr>
          <w:bCs/>
          <w:sz w:val="22"/>
          <w:szCs w:val="22"/>
        </w:rPr>
        <w:t>DE669 (</w:t>
      </w:r>
      <w:proofErr w:type="spellStart"/>
      <w:r w:rsidRPr="008534DC">
        <w:rPr>
          <w:bCs/>
          <w:i/>
          <w:sz w:val="22"/>
          <w:szCs w:val="22"/>
        </w:rPr>
        <w:t>icotec</w:t>
      </w:r>
      <w:proofErr w:type="spellEnd"/>
      <w:r w:rsidRPr="008534DC">
        <w:rPr>
          <w:bCs/>
          <w:i/>
          <w:sz w:val="22"/>
          <w:szCs w:val="22"/>
        </w:rPr>
        <w:t xml:space="preserve"> Pedicle System </w:t>
      </w:r>
      <w:proofErr w:type="spellStart"/>
      <w:r w:rsidRPr="008534DC">
        <w:rPr>
          <w:bCs/>
          <w:i/>
          <w:sz w:val="22"/>
          <w:szCs w:val="22"/>
        </w:rPr>
        <w:t>Polyaxial</w:t>
      </w:r>
      <w:proofErr w:type="spellEnd"/>
      <w:r w:rsidRPr="008534DC">
        <w:rPr>
          <w:bCs/>
          <w:i/>
          <w:sz w:val="22"/>
          <w:szCs w:val="22"/>
        </w:rPr>
        <w:t xml:space="preserve"> Screw);</w:t>
      </w:r>
    </w:p>
    <w:p w14:paraId="760EA4B2" w14:textId="77777777" w:rsidR="00916959" w:rsidRPr="008534DC" w:rsidRDefault="00916959" w:rsidP="00916959">
      <w:pPr>
        <w:numPr>
          <w:ilvl w:val="1"/>
          <w:numId w:val="4"/>
        </w:numPr>
        <w:autoSpaceDE w:val="0"/>
        <w:autoSpaceDN w:val="0"/>
        <w:adjustRightInd w:val="0"/>
        <w:ind w:left="709"/>
        <w:jc w:val="both"/>
        <w:rPr>
          <w:bCs/>
          <w:sz w:val="22"/>
          <w:szCs w:val="22"/>
        </w:rPr>
      </w:pPr>
      <w:r w:rsidRPr="008534DC">
        <w:rPr>
          <w:sz w:val="22"/>
          <w:szCs w:val="22"/>
        </w:rPr>
        <w:t>DE670 (</w:t>
      </w:r>
      <w:proofErr w:type="spellStart"/>
      <w:r w:rsidRPr="008534DC">
        <w:rPr>
          <w:i/>
          <w:sz w:val="22"/>
          <w:szCs w:val="22"/>
        </w:rPr>
        <w:t>icotec</w:t>
      </w:r>
      <w:proofErr w:type="spellEnd"/>
      <w:r w:rsidRPr="008534DC">
        <w:rPr>
          <w:i/>
          <w:sz w:val="22"/>
          <w:szCs w:val="22"/>
        </w:rPr>
        <w:t xml:space="preserve"> Pedicle Screw System Rod</w:t>
      </w:r>
      <w:r w:rsidRPr="008534DC">
        <w:rPr>
          <w:sz w:val="22"/>
          <w:szCs w:val="22"/>
        </w:rPr>
        <w:t>);</w:t>
      </w:r>
    </w:p>
    <w:p w14:paraId="2AD13C5F" w14:textId="77777777" w:rsidR="00916959" w:rsidRPr="008534DC" w:rsidRDefault="00916959" w:rsidP="00916959">
      <w:pPr>
        <w:numPr>
          <w:ilvl w:val="1"/>
          <w:numId w:val="4"/>
        </w:numPr>
        <w:autoSpaceDE w:val="0"/>
        <w:autoSpaceDN w:val="0"/>
        <w:adjustRightInd w:val="0"/>
        <w:ind w:left="709"/>
        <w:jc w:val="both"/>
        <w:rPr>
          <w:bCs/>
          <w:sz w:val="22"/>
          <w:szCs w:val="22"/>
        </w:rPr>
      </w:pPr>
      <w:r w:rsidRPr="008534DC">
        <w:rPr>
          <w:sz w:val="22"/>
          <w:szCs w:val="22"/>
        </w:rPr>
        <w:t>DE671 (</w:t>
      </w:r>
      <w:proofErr w:type="spellStart"/>
      <w:r w:rsidRPr="008534DC">
        <w:rPr>
          <w:i/>
          <w:sz w:val="22"/>
          <w:szCs w:val="22"/>
        </w:rPr>
        <w:t>icotec</w:t>
      </w:r>
      <w:proofErr w:type="spellEnd"/>
      <w:r w:rsidRPr="008534DC">
        <w:rPr>
          <w:i/>
          <w:sz w:val="22"/>
          <w:szCs w:val="22"/>
        </w:rPr>
        <w:t xml:space="preserve"> Pedicle Screw System set screw</w:t>
      </w:r>
      <w:r w:rsidRPr="008534DC">
        <w:rPr>
          <w:sz w:val="22"/>
          <w:szCs w:val="22"/>
        </w:rPr>
        <w:t>);</w:t>
      </w:r>
    </w:p>
    <w:p w14:paraId="3805DE28" w14:textId="77777777" w:rsidR="00916959" w:rsidRPr="008534DC" w:rsidRDefault="00916959" w:rsidP="00916959">
      <w:pPr>
        <w:numPr>
          <w:ilvl w:val="1"/>
          <w:numId w:val="4"/>
        </w:numPr>
        <w:autoSpaceDE w:val="0"/>
        <w:autoSpaceDN w:val="0"/>
        <w:adjustRightInd w:val="0"/>
        <w:ind w:left="709"/>
        <w:jc w:val="both"/>
        <w:rPr>
          <w:bCs/>
          <w:sz w:val="22"/>
          <w:szCs w:val="22"/>
        </w:rPr>
      </w:pPr>
      <w:r w:rsidRPr="008534DC">
        <w:rPr>
          <w:sz w:val="22"/>
          <w:szCs w:val="22"/>
        </w:rPr>
        <w:t>DE678 (</w:t>
      </w:r>
      <w:proofErr w:type="spellStart"/>
      <w:r w:rsidRPr="008534DC">
        <w:rPr>
          <w:i/>
          <w:sz w:val="22"/>
          <w:szCs w:val="22"/>
        </w:rPr>
        <w:t>icotec</w:t>
      </w:r>
      <w:proofErr w:type="spellEnd"/>
      <w:r w:rsidRPr="008534DC">
        <w:rPr>
          <w:i/>
          <w:sz w:val="22"/>
          <w:szCs w:val="22"/>
        </w:rPr>
        <w:t xml:space="preserve"> Anterior Cervical Plate System – Screw</w:t>
      </w:r>
      <w:r w:rsidRPr="008534DC">
        <w:rPr>
          <w:sz w:val="22"/>
          <w:szCs w:val="22"/>
        </w:rPr>
        <w:t>);</w:t>
      </w:r>
    </w:p>
    <w:p w14:paraId="54286F9C" w14:textId="77777777" w:rsidR="00916959" w:rsidRPr="008534DC" w:rsidRDefault="00916959" w:rsidP="00916959">
      <w:pPr>
        <w:numPr>
          <w:ilvl w:val="1"/>
          <w:numId w:val="4"/>
        </w:numPr>
        <w:autoSpaceDE w:val="0"/>
        <w:autoSpaceDN w:val="0"/>
        <w:adjustRightInd w:val="0"/>
        <w:ind w:left="709"/>
        <w:jc w:val="both"/>
        <w:rPr>
          <w:bCs/>
          <w:sz w:val="22"/>
          <w:szCs w:val="22"/>
        </w:rPr>
      </w:pPr>
      <w:r w:rsidRPr="008534DC">
        <w:rPr>
          <w:sz w:val="22"/>
          <w:szCs w:val="22"/>
        </w:rPr>
        <w:t>DE679 (</w:t>
      </w:r>
      <w:proofErr w:type="spellStart"/>
      <w:r w:rsidRPr="008534DC">
        <w:rPr>
          <w:i/>
          <w:sz w:val="22"/>
          <w:szCs w:val="22"/>
        </w:rPr>
        <w:t>icotec</w:t>
      </w:r>
      <w:proofErr w:type="spellEnd"/>
      <w:r w:rsidRPr="008534DC">
        <w:rPr>
          <w:i/>
          <w:sz w:val="22"/>
          <w:szCs w:val="22"/>
        </w:rPr>
        <w:t xml:space="preserve"> Anterior Cervical Plate</w:t>
      </w:r>
      <w:r w:rsidRPr="008534DC">
        <w:rPr>
          <w:sz w:val="22"/>
          <w:szCs w:val="22"/>
        </w:rPr>
        <w:t>);</w:t>
      </w:r>
    </w:p>
    <w:p w14:paraId="2E4E8DAA" w14:textId="77777777" w:rsidR="00916959" w:rsidRPr="008534DC" w:rsidRDefault="00916959" w:rsidP="00916959">
      <w:pPr>
        <w:numPr>
          <w:ilvl w:val="1"/>
          <w:numId w:val="4"/>
        </w:numPr>
        <w:autoSpaceDE w:val="0"/>
        <w:autoSpaceDN w:val="0"/>
        <w:adjustRightInd w:val="0"/>
        <w:ind w:left="709"/>
        <w:jc w:val="both"/>
        <w:rPr>
          <w:bCs/>
          <w:sz w:val="22"/>
          <w:szCs w:val="22"/>
        </w:rPr>
      </w:pPr>
      <w:r w:rsidRPr="008534DC">
        <w:rPr>
          <w:sz w:val="22"/>
          <w:szCs w:val="22"/>
        </w:rPr>
        <w:t>DE680 (</w:t>
      </w:r>
      <w:proofErr w:type="spellStart"/>
      <w:r w:rsidRPr="008534DC">
        <w:rPr>
          <w:i/>
          <w:sz w:val="22"/>
          <w:szCs w:val="22"/>
        </w:rPr>
        <w:t>icotec</w:t>
      </w:r>
      <w:proofErr w:type="spellEnd"/>
      <w:r w:rsidRPr="008534DC">
        <w:rPr>
          <w:i/>
          <w:sz w:val="22"/>
          <w:szCs w:val="22"/>
        </w:rPr>
        <w:t xml:space="preserve"> Anterior Cervical Plate</w:t>
      </w:r>
      <w:r w:rsidRPr="008534DC">
        <w:rPr>
          <w:sz w:val="22"/>
          <w:szCs w:val="22"/>
        </w:rPr>
        <w:t>);</w:t>
      </w:r>
    </w:p>
    <w:p w14:paraId="169D6C02" w14:textId="77777777" w:rsidR="00916959" w:rsidRPr="008534DC" w:rsidRDefault="00916959" w:rsidP="00916959">
      <w:pPr>
        <w:numPr>
          <w:ilvl w:val="1"/>
          <w:numId w:val="4"/>
        </w:numPr>
        <w:autoSpaceDE w:val="0"/>
        <w:autoSpaceDN w:val="0"/>
        <w:adjustRightInd w:val="0"/>
        <w:ind w:left="709"/>
        <w:jc w:val="both"/>
        <w:rPr>
          <w:bCs/>
          <w:sz w:val="22"/>
          <w:szCs w:val="22"/>
        </w:rPr>
      </w:pPr>
      <w:r w:rsidRPr="008534DC">
        <w:rPr>
          <w:bCs/>
          <w:sz w:val="22"/>
          <w:szCs w:val="22"/>
        </w:rPr>
        <w:t xml:space="preserve">HU267 </w:t>
      </w:r>
      <w:r w:rsidRPr="008534DC">
        <w:rPr>
          <w:bCs/>
          <w:i/>
          <w:sz w:val="22"/>
          <w:szCs w:val="22"/>
        </w:rPr>
        <w:t>(Cerclage System);</w:t>
      </w:r>
    </w:p>
    <w:p w14:paraId="30453383" w14:textId="77777777" w:rsidR="00916959" w:rsidRPr="008534DC" w:rsidRDefault="00916959" w:rsidP="00916959">
      <w:pPr>
        <w:numPr>
          <w:ilvl w:val="1"/>
          <w:numId w:val="4"/>
        </w:numPr>
        <w:autoSpaceDE w:val="0"/>
        <w:autoSpaceDN w:val="0"/>
        <w:adjustRightInd w:val="0"/>
        <w:ind w:left="709"/>
        <w:jc w:val="both"/>
        <w:rPr>
          <w:bCs/>
          <w:sz w:val="22"/>
          <w:szCs w:val="22"/>
        </w:rPr>
      </w:pPr>
      <w:r w:rsidRPr="008534DC">
        <w:rPr>
          <w:bCs/>
          <w:sz w:val="22"/>
          <w:szCs w:val="22"/>
        </w:rPr>
        <w:t xml:space="preserve">HW678 </w:t>
      </w:r>
      <w:r w:rsidRPr="008534DC">
        <w:rPr>
          <w:bCs/>
          <w:i/>
          <w:iCs/>
          <w:sz w:val="22"/>
          <w:szCs w:val="22"/>
        </w:rPr>
        <w:t>(Monterey AL, Cage with integral fixation);</w:t>
      </w:r>
    </w:p>
    <w:p w14:paraId="69D5F790" w14:textId="6C421DC9" w:rsidR="00916959" w:rsidRPr="008534DC" w:rsidRDefault="00916959" w:rsidP="00916959">
      <w:pPr>
        <w:numPr>
          <w:ilvl w:val="1"/>
          <w:numId w:val="4"/>
        </w:numPr>
        <w:autoSpaceDE w:val="0"/>
        <w:autoSpaceDN w:val="0"/>
        <w:adjustRightInd w:val="0"/>
        <w:ind w:left="709"/>
        <w:jc w:val="both"/>
        <w:rPr>
          <w:bCs/>
          <w:sz w:val="22"/>
          <w:szCs w:val="22"/>
        </w:rPr>
      </w:pPr>
      <w:r w:rsidRPr="008534DC">
        <w:rPr>
          <w:sz w:val="22"/>
          <w:szCs w:val="22"/>
        </w:rPr>
        <w:t>HW776 (</w:t>
      </w:r>
      <w:r w:rsidRPr="008534DC">
        <w:rPr>
          <w:i/>
          <w:sz w:val="22"/>
          <w:szCs w:val="22"/>
        </w:rPr>
        <w:t>Cayman United Plate</w:t>
      </w:r>
      <w:r w:rsidRPr="008534DC">
        <w:rPr>
          <w:sz w:val="22"/>
          <w:szCs w:val="22"/>
        </w:rPr>
        <w:t>);</w:t>
      </w:r>
    </w:p>
    <w:p w14:paraId="3F7DAC45" w14:textId="741063ED" w:rsidR="00667381" w:rsidRPr="008534DC" w:rsidRDefault="00667381" w:rsidP="00916959">
      <w:pPr>
        <w:numPr>
          <w:ilvl w:val="1"/>
          <w:numId w:val="4"/>
        </w:numPr>
        <w:autoSpaceDE w:val="0"/>
        <w:autoSpaceDN w:val="0"/>
        <w:adjustRightInd w:val="0"/>
        <w:ind w:left="709"/>
        <w:jc w:val="both"/>
        <w:rPr>
          <w:bCs/>
          <w:sz w:val="22"/>
          <w:szCs w:val="22"/>
        </w:rPr>
      </w:pPr>
      <w:r w:rsidRPr="008534DC">
        <w:rPr>
          <w:sz w:val="22"/>
          <w:szCs w:val="22"/>
        </w:rPr>
        <w:t>HW785 (</w:t>
      </w:r>
      <w:proofErr w:type="spellStart"/>
      <w:r w:rsidRPr="008534DC">
        <w:rPr>
          <w:i/>
          <w:iCs/>
          <w:sz w:val="22"/>
          <w:szCs w:val="22"/>
        </w:rPr>
        <w:t>AutoPlex</w:t>
      </w:r>
      <w:proofErr w:type="spellEnd"/>
      <w:r w:rsidRPr="008534DC">
        <w:rPr>
          <w:i/>
          <w:iCs/>
          <w:sz w:val="22"/>
          <w:szCs w:val="22"/>
        </w:rPr>
        <w:t xml:space="preserve"> Mixer and Delivery System with </w:t>
      </w:r>
      <w:proofErr w:type="spellStart"/>
      <w:r w:rsidRPr="008534DC">
        <w:rPr>
          <w:i/>
          <w:iCs/>
          <w:sz w:val="22"/>
          <w:szCs w:val="22"/>
        </w:rPr>
        <w:t>VertaPlex</w:t>
      </w:r>
      <w:proofErr w:type="spellEnd"/>
      <w:r w:rsidRPr="008534DC">
        <w:rPr>
          <w:i/>
          <w:iCs/>
          <w:sz w:val="22"/>
          <w:szCs w:val="22"/>
        </w:rPr>
        <w:t xml:space="preserve"> HV)</w:t>
      </w:r>
      <w:r w:rsidR="00D340D2" w:rsidRPr="008534DC">
        <w:rPr>
          <w:i/>
          <w:iCs/>
          <w:sz w:val="22"/>
          <w:szCs w:val="22"/>
        </w:rPr>
        <w:t>;</w:t>
      </w:r>
    </w:p>
    <w:p w14:paraId="489E3437" w14:textId="33D67E00" w:rsidR="001A7390" w:rsidRPr="008534DC" w:rsidRDefault="001A7390" w:rsidP="00667381">
      <w:pPr>
        <w:numPr>
          <w:ilvl w:val="1"/>
          <w:numId w:val="4"/>
        </w:numPr>
        <w:autoSpaceDE w:val="0"/>
        <w:autoSpaceDN w:val="0"/>
        <w:adjustRightInd w:val="0"/>
        <w:ind w:left="709"/>
        <w:jc w:val="both"/>
        <w:rPr>
          <w:sz w:val="22"/>
          <w:szCs w:val="22"/>
        </w:rPr>
      </w:pPr>
      <w:r w:rsidRPr="008534DC">
        <w:rPr>
          <w:rFonts w:ascii="Times New Roman" w:hAnsi="Times New Roman"/>
          <w:bCs/>
          <w:sz w:val="22"/>
          <w:szCs w:val="22"/>
        </w:rPr>
        <w:t>HW856 (</w:t>
      </w:r>
      <w:r w:rsidRPr="008534DC">
        <w:rPr>
          <w:rFonts w:ascii="Times New Roman" w:hAnsi="Times New Roman"/>
          <w:bCs/>
          <w:i/>
          <w:iCs/>
          <w:sz w:val="22"/>
          <w:szCs w:val="22"/>
        </w:rPr>
        <w:t xml:space="preserve">Augment Bone Graft – </w:t>
      </w:r>
      <w:proofErr w:type="spellStart"/>
      <w:r w:rsidRPr="008534DC">
        <w:rPr>
          <w:rFonts w:ascii="Times New Roman" w:hAnsi="Times New Roman"/>
          <w:bCs/>
          <w:i/>
          <w:iCs/>
          <w:sz w:val="22"/>
          <w:szCs w:val="22"/>
        </w:rPr>
        <w:t>rhPDGF</w:t>
      </w:r>
      <w:proofErr w:type="spellEnd"/>
      <w:r w:rsidRPr="008534DC">
        <w:rPr>
          <w:rFonts w:ascii="Times New Roman" w:hAnsi="Times New Roman"/>
          <w:bCs/>
          <w:i/>
          <w:iCs/>
          <w:sz w:val="22"/>
          <w:szCs w:val="22"/>
        </w:rPr>
        <w:t>-BB component</w:t>
      </w:r>
      <w:r w:rsidRPr="008534DC">
        <w:rPr>
          <w:rFonts w:ascii="Times New Roman" w:hAnsi="Times New Roman"/>
          <w:bCs/>
          <w:sz w:val="22"/>
          <w:szCs w:val="22"/>
        </w:rPr>
        <w:t>)</w:t>
      </w:r>
      <w:r w:rsidR="00D340D2" w:rsidRPr="008534DC">
        <w:rPr>
          <w:rFonts w:ascii="Times New Roman" w:hAnsi="Times New Roman"/>
          <w:bCs/>
          <w:sz w:val="22"/>
          <w:szCs w:val="22"/>
        </w:rPr>
        <w:t>;</w:t>
      </w:r>
    </w:p>
    <w:p w14:paraId="7C43BE3A" w14:textId="46AC8610" w:rsidR="00667381" w:rsidRPr="008534DC" w:rsidRDefault="00667381" w:rsidP="00667381">
      <w:pPr>
        <w:numPr>
          <w:ilvl w:val="1"/>
          <w:numId w:val="4"/>
        </w:numPr>
        <w:autoSpaceDE w:val="0"/>
        <w:autoSpaceDN w:val="0"/>
        <w:adjustRightInd w:val="0"/>
        <w:ind w:left="709"/>
        <w:jc w:val="both"/>
        <w:rPr>
          <w:sz w:val="22"/>
          <w:szCs w:val="22"/>
        </w:rPr>
      </w:pPr>
      <w:r w:rsidRPr="008534DC">
        <w:rPr>
          <w:sz w:val="22"/>
          <w:szCs w:val="22"/>
        </w:rPr>
        <w:t>IJ022 (</w:t>
      </w:r>
      <w:r w:rsidRPr="008534DC">
        <w:rPr>
          <w:i/>
          <w:iCs/>
          <w:sz w:val="22"/>
          <w:szCs w:val="22"/>
        </w:rPr>
        <w:t>Regenerative Dural Repair Patch (</w:t>
      </w:r>
      <w:proofErr w:type="spellStart"/>
      <w:r w:rsidRPr="008534DC">
        <w:rPr>
          <w:i/>
          <w:iCs/>
          <w:sz w:val="22"/>
          <w:szCs w:val="22"/>
        </w:rPr>
        <w:t>ReDuraTM</w:t>
      </w:r>
      <w:proofErr w:type="spellEnd"/>
      <w:r w:rsidRPr="008534DC">
        <w:rPr>
          <w:sz w:val="22"/>
          <w:szCs w:val="22"/>
        </w:rPr>
        <w:t>))</w:t>
      </w:r>
      <w:r w:rsidR="00D340D2" w:rsidRPr="008534DC">
        <w:rPr>
          <w:sz w:val="22"/>
          <w:szCs w:val="22"/>
        </w:rPr>
        <w:t>;</w:t>
      </w:r>
    </w:p>
    <w:p w14:paraId="4DE5A49D" w14:textId="639FF943" w:rsidR="00667381" w:rsidRPr="008534DC" w:rsidRDefault="00667381" w:rsidP="00667381">
      <w:pPr>
        <w:numPr>
          <w:ilvl w:val="1"/>
          <w:numId w:val="4"/>
        </w:numPr>
        <w:autoSpaceDE w:val="0"/>
        <w:autoSpaceDN w:val="0"/>
        <w:adjustRightInd w:val="0"/>
        <w:ind w:left="709"/>
        <w:jc w:val="both"/>
        <w:rPr>
          <w:sz w:val="22"/>
          <w:szCs w:val="22"/>
        </w:rPr>
      </w:pPr>
      <w:r w:rsidRPr="008534DC">
        <w:rPr>
          <w:sz w:val="22"/>
          <w:szCs w:val="22"/>
        </w:rPr>
        <w:t>IJ023 (</w:t>
      </w:r>
      <w:r w:rsidRPr="008534DC">
        <w:rPr>
          <w:i/>
          <w:iCs/>
          <w:sz w:val="22"/>
          <w:szCs w:val="22"/>
        </w:rPr>
        <w:t>Regenerative Dural Repair Patch (</w:t>
      </w:r>
      <w:proofErr w:type="spellStart"/>
      <w:r w:rsidRPr="008534DC">
        <w:rPr>
          <w:i/>
          <w:iCs/>
          <w:sz w:val="22"/>
          <w:szCs w:val="22"/>
        </w:rPr>
        <w:t>ReDuraTM</w:t>
      </w:r>
      <w:proofErr w:type="spellEnd"/>
      <w:r w:rsidRPr="008534DC">
        <w:rPr>
          <w:i/>
          <w:iCs/>
          <w:sz w:val="22"/>
          <w:szCs w:val="22"/>
        </w:rPr>
        <w:t>))</w:t>
      </w:r>
      <w:r w:rsidR="00D340D2" w:rsidRPr="008534DC">
        <w:rPr>
          <w:i/>
          <w:iCs/>
          <w:sz w:val="22"/>
          <w:szCs w:val="22"/>
        </w:rPr>
        <w:t>;</w:t>
      </w:r>
    </w:p>
    <w:p w14:paraId="7DE90A73" w14:textId="0B2A7D4C" w:rsidR="00667381" w:rsidRPr="008534DC" w:rsidRDefault="00667381" w:rsidP="00667381">
      <w:pPr>
        <w:numPr>
          <w:ilvl w:val="1"/>
          <w:numId w:val="4"/>
        </w:numPr>
        <w:autoSpaceDE w:val="0"/>
        <w:autoSpaceDN w:val="0"/>
        <w:adjustRightInd w:val="0"/>
        <w:ind w:left="709"/>
        <w:jc w:val="both"/>
        <w:rPr>
          <w:sz w:val="22"/>
          <w:szCs w:val="22"/>
        </w:rPr>
      </w:pPr>
      <w:r w:rsidRPr="008534DC">
        <w:rPr>
          <w:sz w:val="22"/>
          <w:szCs w:val="22"/>
        </w:rPr>
        <w:t>IJ024 (</w:t>
      </w:r>
      <w:r w:rsidRPr="008534DC">
        <w:rPr>
          <w:i/>
          <w:iCs/>
          <w:sz w:val="22"/>
          <w:szCs w:val="22"/>
        </w:rPr>
        <w:t>Regenerative Dural Repair Patch (</w:t>
      </w:r>
      <w:proofErr w:type="spellStart"/>
      <w:r w:rsidRPr="008534DC">
        <w:rPr>
          <w:i/>
          <w:iCs/>
          <w:sz w:val="22"/>
          <w:szCs w:val="22"/>
        </w:rPr>
        <w:t>ReDuraTM</w:t>
      </w:r>
      <w:proofErr w:type="spellEnd"/>
      <w:r w:rsidRPr="008534DC">
        <w:rPr>
          <w:i/>
          <w:iCs/>
          <w:sz w:val="22"/>
          <w:szCs w:val="22"/>
        </w:rPr>
        <w:t>))</w:t>
      </w:r>
      <w:r w:rsidR="00D340D2" w:rsidRPr="008534DC">
        <w:rPr>
          <w:i/>
          <w:iCs/>
          <w:sz w:val="22"/>
          <w:szCs w:val="22"/>
        </w:rPr>
        <w:t>;</w:t>
      </w:r>
    </w:p>
    <w:p w14:paraId="7042E1CC" w14:textId="5DB66C9D" w:rsidR="00667381" w:rsidRPr="008534DC" w:rsidRDefault="00667381" w:rsidP="00667381">
      <w:pPr>
        <w:numPr>
          <w:ilvl w:val="1"/>
          <w:numId w:val="4"/>
        </w:numPr>
        <w:autoSpaceDE w:val="0"/>
        <w:autoSpaceDN w:val="0"/>
        <w:adjustRightInd w:val="0"/>
        <w:ind w:left="709"/>
        <w:jc w:val="both"/>
        <w:rPr>
          <w:sz w:val="22"/>
          <w:szCs w:val="22"/>
        </w:rPr>
      </w:pPr>
      <w:r w:rsidRPr="008534DC">
        <w:rPr>
          <w:sz w:val="22"/>
          <w:szCs w:val="22"/>
        </w:rPr>
        <w:t xml:space="preserve">IJ025 </w:t>
      </w:r>
      <w:r w:rsidRPr="008534DC">
        <w:rPr>
          <w:i/>
          <w:iCs/>
          <w:sz w:val="22"/>
          <w:szCs w:val="22"/>
        </w:rPr>
        <w:t>(Regenerative Dural Repair Patch (</w:t>
      </w:r>
      <w:proofErr w:type="spellStart"/>
      <w:r w:rsidRPr="008534DC">
        <w:rPr>
          <w:i/>
          <w:iCs/>
          <w:sz w:val="22"/>
          <w:szCs w:val="22"/>
        </w:rPr>
        <w:t>ReDuraTM</w:t>
      </w:r>
      <w:proofErr w:type="spellEnd"/>
      <w:r w:rsidRPr="008534DC">
        <w:rPr>
          <w:i/>
          <w:iCs/>
          <w:sz w:val="22"/>
          <w:szCs w:val="22"/>
        </w:rPr>
        <w:t>))</w:t>
      </w:r>
      <w:r w:rsidR="00D340D2" w:rsidRPr="008534DC">
        <w:rPr>
          <w:i/>
          <w:iCs/>
          <w:sz w:val="22"/>
          <w:szCs w:val="22"/>
        </w:rPr>
        <w:t>;</w:t>
      </w:r>
    </w:p>
    <w:p w14:paraId="35A177C5" w14:textId="77777777" w:rsidR="00D163F3" w:rsidRPr="008534DC" w:rsidRDefault="00D163F3" w:rsidP="00D163F3">
      <w:pPr>
        <w:pStyle w:val="ListParagraph"/>
        <w:numPr>
          <w:ilvl w:val="0"/>
          <w:numId w:val="4"/>
        </w:numPr>
        <w:autoSpaceDE w:val="0"/>
        <w:autoSpaceDN w:val="0"/>
        <w:adjustRightInd w:val="0"/>
        <w:jc w:val="both"/>
        <w:rPr>
          <w:bCs/>
          <w:sz w:val="22"/>
          <w:szCs w:val="22"/>
        </w:rPr>
      </w:pPr>
      <w:r w:rsidRPr="008534DC">
        <w:rPr>
          <w:bCs/>
          <w:sz w:val="22"/>
          <w:szCs w:val="22"/>
        </w:rPr>
        <w:t>LB088 (</w:t>
      </w:r>
      <w:r w:rsidRPr="008534DC">
        <w:rPr>
          <w:bCs/>
          <w:i/>
          <w:iCs/>
          <w:sz w:val="22"/>
          <w:szCs w:val="22"/>
        </w:rPr>
        <w:t>CREO Stabilization System Locking Cap);</w:t>
      </w:r>
    </w:p>
    <w:p w14:paraId="0E7C8D12" w14:textId="77777777" w:rsidR="00D163F3" w:rsidRPr="008534DC" w:rsidRDefault="00D163F3" w:rsidP="00D163F3">
      <w:pPr>
        <w:pStyle w:val="ListParagraph"/>
        <w:numPr>
          <w:ilvl w:val="0"/>
          <w:numId w:val="4"/>
        </w:numPr>
        <w:autoSpaceDE w:val="0"/>
        <w:autoSpaceDN w:val="0"/>
        <w:adjustRightInd w:val="0"/>
        <w:jc w:val="both"/>
        <w:rPr>
          <w:bCs/>
          <w:sz w:val="22"/>
          <w:szCs w:val="22"/>
        </w:rPr>
      </w:pPr>
      <w:r w:rsidRPr="008534DC">
        <w:rPr>
          <w:bCs/>
          <w:sz w:val="22"/>
          <w:szCs w:val="22"/>
        </w:rPr>
        <w:t>LB089 (</w:t>
      </w:r>
      <w:r w:rsidRPr="008534DC">
        <w:rPr>
          <w:bCs/>
          <w:i/>
          <w:iCs/>
          <w:sz w:val="22"/>
          <w:szCs w:val="22"/>
        </w:rPr>
        <w:t>CREO Stabilization System Preassembled Monoaxial Screw</w:t>
      </w:r>
      <w:r w:rsidRPr="008534DC">
        <w:rPr>
          <w:bCs/>
          <w:sz w:val="22"/>
          <w:szCs w:val="22"/>
        </w:rPr>
        <w:t>);</w:t>
      </w:r>
    </w:p>
    <w:p w14:paraId="3A71AA5D" w14:textId="16FE9627" w:rsidR="00D163F3" w:rsidRPr="008534DC" w:rsidRDefault="00D163F3" w:rsidP="00F607EF">
      <w:pPr>
        <w:pStyle w:val="ListParagraph"/>
        <w:numPr>
          <w:ilvl w:val="1"/>
          <w:numId w:val="4"/>
        </w:numPr>
        <w:autoSpaceDE w:val="0"/>
        <w:autoSpaceDN w:val="0"/>
        <w:adjustRightInd w:val="0"/>
        <w:ind w:left="709"/>
        <w:jc w:val="both"/>
        <w:rPr>
          <w:sz w:val="22"/>
          <w:szCs w:val="22"/>
        </w:rPr>
      </w:pPr>
      <w:r w:rsidRPr="008534DC">
        <w:rPr>
          <w:bCs/>
          <w:sz w:val="22"/>
          <w:szCs w:val="22"/>
        </w:rPr>
        <w:t>LB181 (</w:t>
      </w:r>
      <w:r w:rsidRPr="008534DC">
        <w:rPr>
          <w:bCs/>
          <w:i/>
          <w:iCs/>
          <w:sz w:val="22"/>
          <w:szCs w:val="22"/>
        </w:rPr>
        <w:t>REFLECT STAPLE</w:t>
      </w:r>
      <w:r w:rsidRPr="008534DC">
        <w:rPr>
          <w:bCs/>
          <w:sz w:val="22"/>
          <w:szCs w:val="22"/>
        </w:rPr>
        <w:t>);</w:t>
      </w:r>
    </w:p>
    <w:p w14:paraId="50DD5169" w14:textId="6DD0E74A" w:rsidR="00667381" w:rsidRPr="008534DC" w:rsidRDefault="00667381" w:rsidP="00667381">
      <w:pPr>
        <w:numPr>
          <w:ilvl w:val="1"/>
          <w:numId w:val="4"/>
        </w:numPr>
        <w:autoSpaceDE w:val="0"/>
        <w:autoSpaceDN w:val="0"/>
        <w:adjustRightInd w:val="0"/>
        <w:ind w:left="709"/>
        <w:jc w:val="both"/>
        <w:rPr>
          <w:sz w:val="22"/>
          <w:szCs w:val="22"/>
        </w:rPr>
      </w:pPr>
      <w:r w:rsidRPr="008534DC">
        <w:rPr>
          <w:sz w:val="22"/>
          <w:szCs w:val="22"/>
        </w:rPr>
        <w:t>LH719 (</w:t>
      </w:r>
      <w:proofErr w:type="spellStart"/>
      <w:r w:rsidRPr="008534DC">
        <w:rPr>
          <w:i/>
          <w:iCs/>
          <w:sz w:val="22"/>
          <w:szCs w:val="22"/>
        </w:rPr>
        <w:t>TissuePatchDural</w:t>
      </w:r>
      <w:proofErr w:type="spellEnd"/>
      <w:r w:rsidRPr="008534DC">
        <w:rPr>
          <w:i/>
          <w:iCs/>
          <w:sz w:val="22"/>
          <w:szCs w:val="22"/>
        </w:rPr>
        <w:t xml:space="preserve"> 50* 25</w:t>
      </w:r>
      <w:r w:rsidRPr="008534DC">
        <w:rPr>
          <w:sz w:val="22"/>
          <w:szCs w:val="22"/>
        </w:rPr>
        <w:t>)</w:t>
      </w:r>
      <w:r w:rsidR="00D340D2" w:rsidRPr="008534DC">
        <w:rPr>
          <w:sz w:val="22"/>
          <w:szCs w:val="22"/>
        </w:rPr>
        <w:t>;</w:t>
      </w:r>
    </w:p>
    <w:p w14:paraId="5588FE30" w14:textId="0245EB50" w:rsidR="00667381" w:rsidRPr="008534DC" w:rsidRDefault="00667381" w:rsidP="00667381">
      <w:pPr>
        <w:numPr>
          <w:ilvl w:val="1"/>
          <w:numId w:val="4"/>
        </w:numPr>
        <w:autoSpaceDE w:val="0"/>
        <w:autoSpaceDN w:val="0"/>
        <w:adjustRightInd w:val="0"/>
        <w:ind w:left="709"/>
        <w:jc w:val="both"/>
        <w:rPr>
          <w:sz w:val="22"/>
          <w:szCs w:val="22"/>
        </w:rPr>
      </w:pPr>
      <w:r w:rsidRPr="008534DC">
        <w:rPr>
          <w:sz w:val="22"/>
          <w:szCs w:val="22"/>
        </w:rPr>
        <w:t>LH720 (</w:t>
      </w:r>
      <w:proofErr w:type="spellStart"/>
      <w:r w:rsidRPr="008534DC">
        <w:rPr>
          <w:i/>
          <w:iCs/>
          <w:sz w:val="22"/>
          <w:szCs w:val="22"/>
        </w:rPr>
        <w:t>TissuePatchDural</w:t>
      </w:r>
      <w:proofErr w:type="spellEnd"/>
      <w:r w:rsidRPr="008534DC">
        <w:rPr>
          <w:i/>
          <w:iCs/>
          <w:sz w:val="22"/>
          <w:szCs w:val="22"/>
        </w:rPr>
        <w:t xml:space="preserve"> 50 * 50</w:t>
      </w:r>
      <w:r w:rsidRPr="008534DC">
        <w:rPr>
          <w:sz w:val="22"/>
          <w:szCs w:val="22"/>
        </w:rPr>
        <w:t>)</w:t>
      </w:r>
      <w:r w:rsidR="00D340D2" w:rsidRPr="008534DC">
        <w:rPr>
          <w:sz w:val="22"/>
          <w:szCs w:val="22"/>
        </w:rPr>
        <w:t>;</w:t>
      </w:r>
    </w:p>
    <w:p w14:paraId="038C5780" w14:textId="4F60FF0E" w:rsidR="00667381" w:rsidRPr="008534DC" w:rsidRDefault="00667381" w:rsidP="00667381">
      <w:pPr>
        <w:numPr>
          <w:ilvl w:val="1"/>
          <w:numId w:val="4"/>
        </w:numPr>
        <w:autoSpaceDE w:val="0"/>
        <w:autoSpaceDN w:val="0"/>
        <w:adjustRightInd w:val="0"/>
        <w:ind w:left="709"/>
        <w:jc w:val="both"/>
        <w:rPr>
          <w:sz w:val="22"/>
          <w:szCs w:val="22"/>
        </w:rPr>
      </w:pPr>
      <w:r w:rsidRPr="008534DC">
        <w:rPr>
          <w:sz w:val="22"/>
          <w:szCs w:val="22"/>
        </w:rPr>
        <w:t>LH721 (</w:t>
      </w:r>
      <w:proofErr w:type="spellStart"/>
      <w:r w:rsidRPr="008534DC">
        <w:rPr>
          <w:i/>
          <w:iCs/>
          <w:sz w:val="22"/>
          <w:szCs w:val="22"/>
        </w:rPr>
        <w:t>TissuePatchDural</w:t>
      </w:r>
      <w:proofErr w:type="spellEnd"/>
      <w:r w:rsidRPr="008534DC">
        <w:rPr>
          <w:i/>
          <w:iCs/>
          <w:sz w:val="22"/>
          <w:szCs w:val="22"/>
        </w:rPr>
        <w:t xml:space="preserve"> 50*100</w:t>
      </w:r>
      <w:r w:rsidRPr="008534DC">
        <w:rPr>
          <w:sz w:val="22"/>
          <w:szCs w:val="22"/>
        </w:rPr>
        <w:t>)</w:t>
      </w:r>
      <w:r w:rsidR="00D340D2" w:rsidRPr="008534DC">
        <w:rPr>
          <w:sz w:val="22"/>
          <w:szCs w:val="22"/>
        </w:rPr>
        <w:t>;</w:t>
      </w:r>
    </w:p>
    <w:p w14:paraId="3A0577BB" w14:textId="57258F42" w:rsidR="00667381" w:rsidRPr="008534DC" w:rsidRDefault="00667381" w:rsidP="00667381">
      <w:pPr>
        <w:numPr>
          <w:ilvl w:val="1"/>
          <w:numId w:val="4"/>
        </w:numPr>
        <w:autoSpaceDE w:val="0"/>
        <w:autoSpaceDN w:val="0"/>
        <w:adjustRightInd w:val="0"/>
        <w:ind w:left="709"/>
        <w:jc w:val="both"/>
        <w:rPr>
          <w:sz w:val="22"/>
          <w:szCs w:val="22"/>
        </w:rPr>
      </w:pPr>
      <w:r w:rsidRPr="008534DC">
        <w:rPr>
          <w:sz w:val="22"/>
          <w:szCs w:val="22"/>
        </w:rPr>
        <w:t>LH722 (</w:t>
      </w:r>
      <w:proofErr w:type="spellStart"/>
      <w:r w:rsidRPr="008534DC">
        <w:rPr>
          <w:i/>
          <w:iCs/>
          <w:sz w:val="22"/>
          <w:szCs w:val="22"/>
        </w:rPr>
        <w:t>TissuePatchDural</w:t>
      </w:r>
      <w:proofErr w:type="spellEnd"/>
      <w:r w:rsidRPr="008534DC">
        <w:rPr>
          <w:i/>
          <w:iCs/>
          <w:sz w:val="22"/>
          <w:szCs w:val="22"/>
        </w:rPr>
        <w:t xml:space="preserve"> 100*100</w:t>
      </w:r>
      <w:r w:rsidR="00D340D2" w:rsidRPr="008534DC">
        <w:rPr>
          <w:i/>
          <w:iCs/>
          <w:sz w:val="22"/>
          <w:szCs w:val="22"/>
        </w:rPr>
        <w:t>;</w:t>
      </w:r>
      <w:r w:rsidRPr="008534DC">
        <w:rPr>
          <w:i/>
          <w:iCs/>
          <w:sz w:val="22"/>
          <w:szCs w:val="22"/>
        </w:rPr>
        <w:t>)</w:t>
      </w:r>
    </w:p>
    <w:p w14:paraId="1233806B" w14:textId="56F5B948" w:rsidR="00667381" w:rsidRPr="008534DC" w:rsidRDefault="00667381" w:rsidP="00667381">
      <w:pPr>
        <w:numPr>
          <w:ilvl w:val="1"/>
          <w:numId w:val="4"/>
        </w:numPr>
        <w:autoSpaceDE w:val="0"/>
        <w:autoSpaceDN w:val="0"/>
        <w:adjustRightInd w:val="0"/>
        <w:ind w:left="709"/>
        <w:jc w:val="both"/>
        <w:rPr>
          <w:sz w:val="22"/>
          <w:szCs w:val="22"/>
        </w:rPr>
      </w:pPr>
      <w:r w:rsidRPr="008534DC">
        <w:rPr>
          <w:sz w:val="22"/>
          <w:szCs w:val="22"/>
        </w:rPr>
        <w:t>LH723 (</w:t>
      </w:r>
      <w:proofErr w:type="spellStart"/>
      <w:r w:rsidRPr="008534DC">
        <w:rPr>
          <w:i/>
          <w:iCs/>
          <w:sz w:val="22"/>
          <w:szCs w:val="22"/>
        </w:rPr>
        <w:t>TissuePatchDural</w:t>
      </w:r>
      <w:proofErr w:type="spellEnd"/>
      <w:r w:rsidRPr="008534DC">
        <w:rPr>
          <w:i/>
          <w:iCs/>
          <w:sz w:val="22"/>
          <w:szCs w:val="22"/>
        </w:rPr>
        <w:t xml:space="preserve"> 100*25</w:t>
      </w:r>
      <w:r w:rsidRPr="008534DC">
        <w:rPr>
          <w:sz w:val="22"/>
          <w:szCs w:val="22"/>
        </w:rPr>
        <w:t>)</w:t>
      </w:r>
      <w:r w:rsidR="00D340D2" w:rsidRPr="008534DC">
        <w:rPr>
          <w:sz w:val="22"/>
          <w:szCs w:val="22"/>
        </w:rPr>
        <w:t>;</w:t>
      </w:r>
    </w:p>
    <w:p w14:paraId="50873A62" w14:textId="77777777" w:rsidR="00916959" w:rsidRPr="008534DC" w:rsidRDefault="00916959" w:rsidP="00916959">
      <w:pPr>
        <w:numPr>
          <w:ilvl w:val="1"/>
          <w:numId w:val="4"/>
        </w:numPr>
        <w:autoSpaceDE w:val="0"/>
        <w:autoSpaceDN w:val="0"/>
        <w:adjustRightInd w:val="0"/>
        <w:ind w:left="709"/>
        <w:jc w:val="both"/>
        <w:rPr>
          <w:sz w:val="22"/>
          <w:szCs w:val="22"/>
        </w:rPr>
      </w:pPr>
      <w:r w:rsidRPr="008534DC">
        <w:rPr>
          <w:sz w:val="22"/>
          <w:szCs w:val="22"/>
        </w:rPr>
        <w:t>MA545 (</w:t>
      </w:r>
      <w:proofErr w:type="spellStart"/>
      <w:r w:rsidRPr="008534DC">
        <w:rPr>
          <w:i/>
          <w:iCs/>
          <w:sz w:val="22"/>
          <w:szCs w:val="22"/>
        </w:rPr>
        <w:t>Ligamys</w:t>
      </w:r>
      <w:proofErr w:type="spellEnd"/>
      <w:r w:rsidRPr="008534DC">
        <w:rPr>
          <w:i/>
          <w:iCs/>
          <w:sz w:val="22"/>
          <w:szCs w:val="22"/>
        </w:rPr>
        <w:t xml:space="preserve"> DIS Suture with button</w:t>
      </w:r>
      <w:r w:rsidRPr="008534DC">
        <w:rPr>
          <w:sz w:val="22"/>
          <w:szCs w:val="22"/>
        </w:rPr>
        <w:t>);</w:t>
      </w:r>
    </w:p>
    <w:p w14:paraId="6ED7B118" w14:textId="77777777" w:rsidR="00916959" w:rsidRPr="008534DC" w:rsidRDefault="00916959" w:rsidP="00916959">
      <w:pPr>
        <w:numPr>
          <w:ilvl w:val="1"/>
          <w:numId w:val="4"/>
        </w:numPr>
        <w:autoSpaceDE w:val="0"/>
        <w:autoSpaceDN w:val="0"/>
        <w:adjustRightInd w:val="0"/>
        <w:ind w:left="709"/>
        <w:jc w:val="both"/>
        <w:rPr>
          <w:sz w:val="22"/>
          <w:szCs w:val="22"/>
        </w:rPr>
      </w:pPr>
      <w:r w:rsidRPr="008534DC">
        <w:rPr>
          <w:sz w:val="22"/>
          <w:szCs w:val="22"/>
        </w:rPr>
        <w:t>MI402 (</w:t>
      </w:r>
      <w:r w:rsidRPr="008534DC">
        <w:rPr>
          <w:i/>
          <w:sz w:val="22"/>
          <w:szCs w:val="22"/>
        </w:rPr>
        <w:t>Cobalt™ XT DR ICD MRI SureScan™ with BlueSync mobile remote monitoring</w:t>
      </w:r>
      <w:r w:rsidRPr="008534DC">
        <w:rPr>
          <w:sz w:val="22"/>
          <w:szCs w:val="22"/>
        </w:rPr>
        <w:t>);</w:t>
      </w:r>
    </w:p>
    <w:p w14:paraId="63B1CA58" w14:textId="77777777" w:rsidR="00916959" w:rsidRPr="008534DC" w:rsidRDefault="00916959" w:rsidP="00916959">
      <w:pPr>
        <w:numPr>
          <w:ilvl w:val="1"/>
          <w:numId w:val="4"/>
        </w:numPr>
        <w:autoSpaceDE w:val="0"/>
        <w:autoSpaceDN w:val="0"/>
        <w:adjustRightInd w:val="0"/>
        <w:ind w:left="709"/>
        <w:jc w:val="both"/>
        <w:rPr>
          <w:sz w:val="22"/>
          <w:szCs w:val="22"/>
        </w:rPr>
      </w:pPr>
      <w:r w:rsidRPr="008534DC">
        <w:rPr>
          <w:sz w:val="22"/>
          <w:szCs w:val="22"/>
        </w:rPr>
        <w:t>MI403 (</w:t>
      </w:r>
      <w:r w:rsidRPr="008534DC">
        <w:rPr>
          <w:i/>
          <w:sz w:val="22"/>
          <w:szCs w:val="22"/>
        </w:rPr>
        <w:t>Cobalt™ DR ICD MRI SureScan™ with BlueSync mobile remote monitoring</w:t>
      </w:r>
      <w:r w:rsidRPr="008534DC">
        <w:rPr>
          <w:sz w:val="22"/>
          <w:szCs w:val="22"/>
        </w:rPr>
        <w:t>);</w:t>
      </w:r>
    </w:p>
    <w:p w14:paraId="36AC9013" w14:textId="77777777" w:rsidR="00916959" w:rsidRPr="008534DC" w:rsidRDefault="00916959" w:rsidP="00916959">
      <w:pPr>
        <w:numPr>
          <w:ilvl w:val="1"/>
          <w:numId w:val="4"/>
        </w:numPr>
        <w:autoSpaceDE w:val="0"/>
        <w:autoSpaceDN w:val="0"/>
        <w:adjustRightInd w:val="0"/>
        <w:ind w:left="709"/>
        <w:jc w:val="both"/>
        <w:rPr>
          <w:sz w:val="22"/>
          <w:szCs w:val="22"/>
        </w:rPr>
      </w:pPr>
      <w:r w:rsidRPr="008534DC">
        <w:rPr>
          <w:sz w:val="22"/>
          <w:szCs w:val="22"/>
        </w:rPr>
        <w:t>MI404 (</w:t>
      </w:r>
      <w:proofErr w:type="spellStart"/>
      <w:r w:rsidRPr="008534DC">
        <w:rPr>
          <w:i/>
          <w:sz w:val="22"/>
          <w:szCs w:val="22"/>
        </w:rPr>
        <w:t>Crome</w:t>
      </w:r>
      <w:proofErr w:type="spellEnd"/>
      <w:r w:rsidRPr="008534DC">
        <w:rPr>
          <w:i/>
          <w:sz w:val="22"/>
          <w:szCs w:val="22"/>
        </w:rPr>
        <w:t>™ DR ICD MRI SureScan™ with BlueSync mobile remote monitoring</w:t>
      </w:r>
      <w:r w:rsidRPr="008534DC">
        <w:rPr>
          <w:sz w:val="22"/>
          <w:szCs w:val="22"/>
        </w:rPr>
        <w:t>);</w:t>
      </w:r>
    </w:p>
    <w:p w14:paraId="151FF748" w14:textId="77777777" w:rsidR="00916959" w:rsidRPr="008534DC" w:rsidRDefault="00916959" w:rsidP="00916959">
      <w:pPr>
        <w:numPr>
          <w:ilvl w:val="1"/>
          <w:numId w:val="4"/>
        </w:numPr>
        <w:autoSpaceDE w:val="0"/>
        <w:autoSpaceDN w:val="0"/>
        <w:adjustRightInd w:val="0"/>
        <w:ind w:left="709"/>
        <w:jc w:val="both"/>
        <w:rPr>
          <w:sz w:val="22"/>
          <w:szCs w:val="22"/>
        </w:rPr>
      </w:pPr>
      <w:r w:rsidRPr="008534DC">
        <w:rPr>
          <w:sz w:val="22"/>
          <w:szCs w:val="22"/>
        </w:rPr>
        <w:t>MI405 (</w:t>
      </w:r>
      <w:r w:rsidRPr="008534DC">
        <w:rPr>
          <w:i/>
          <w:sz w:val="22"/>
          <w:szCs w:val="22"/>
        </w:rPr>
        <w:t>Cobalt™ XT DR ICD MRI SureScan™ with BlueSync mobile remote monitoring</w:t>
      </w:r>
      <w:r w:rsidRPr="008534DC">
        <w:rPr>
          <w:sz w:val="22"/>
          <w:szCs w:val="22"/>
        </w:rPr>
        <w:t>);</w:t>
      </w:r>
    </w:p>
    <w:p w14:paraId="065E387C" w14:textId="77777777" w:rsidR="00916959" w:rsidRPr="008534DC" w:rsidRDefault="00916959" w:rsidP="00916959">
      <w:pPr>
        <w:numPr>
          <w:ilvl w:val="1"/>
          <w:numId w:val="4"/>
        </w:numPr>
        <w:autoSpaceDE w:val="0"/>
        <w:autoSpaceDN w:val="0"/>
        <w:adjustRightInd w:val="0"/>
        <w:ind w:left="709"/>
        <w:jc w:val="both"/>
        <w:rPr>
          <w:sz w:val="22"/>
          <w:szCs w:val="22"/>
        </w:rPr>
      </w:pPr>
      <w:r w:rsidRPr="008534DC">
        <w:rPr>
          <w:sz w:val="22"/>
          <w:szCs w:val="22"/>
        </w:rPr>
        <w:t>MI406 (</w:t>
      </w:r>
      <w:r w:rsidRPr="008534DC">
        <w:rPr>
          <w:i/>
          <w:sz w:val="22"/>
          <w:szCs w:val="22"/>
        </w:rPr>
        <w:t>Cobalt™ DR ICD MRI SureScan™ with BlueSync mobile remote monitoring</w:t>
      </w:r>
      <w:r w:rsidRPr="008534DC">
        <w:rPr>
          <w:sz w:val="22"/>
          <w:szCs w:val="22"/>
        </w:rPr>
        <w:t>);</w:t>
      </w:r>
    </w:p>
    <w:p w14:paraId="67A9B0C8" w14:textId="77777777" w:rsidR="00916959" w:rsidRPr="008534DC" w:rsidRDefault="00916959" w:rsidP="00916959">
      <w:pPr>
        <w:numPr>
          <w:ilvl w:val="1"/>
          <w:numId w:val="4"/>
        </w:numPr>
        <w:autoSpaceDE w:val="0"/>
        <w:autoSpaceDN w:val="0"/>
        <w:adjustRightInd w:val="0"/>
        <w:ind w:left="709"/>
        <w:jc w:val="both"/>
        <w:rPr>
          <w:sz w:val="22"/>
          <w:szCs w:val="22"/>
        </w:rPr>
      </w:pPr>
      <w:r w:rsidRPr="008534DC">
        <w:rPr>
          <w:sz w:val="22"/>
          <w:szCs w:val="22"/>
        </w:rPr>
        <w:t>MI407 (</w:t>
      </w:r>
      <w:r w:rsidRPr="008534DC">
        <w:rPr>
          <w:i/>
          <w:sz w:val="22"/>
          <w:szCs w:val="22"/>
        </w:rPr>
        <w:t>Cobalt™ XT VR ICD MRI SureScan™ with BlueSync mobile remote monitoring</w:t>
      </w:r>
      <w:r w:rsidRPr="008534DC">
        <w:rPr>
          <w:sz w:val="22"/>
          <w:szCs w:val="22"/>
        </w:rPr>
        <w:t>);</w:t>
      </w:r>
    </w:p>
    <w:p w14:paraId="73EFCA49" w14:textId="77777777" w:rsidR="00916959" w:rsidRPr="008534DC" w:rsidRDefault="00916959" w:rsidP="00916959">
      <w:pPr>
        <w:numPr>
          <w:ilvl w:val="1"/>
          <w:numId w:val="4"/>
        </w:numPr>
        <w:autoSpaceDE w:val="0"/>
        <w:autoSpaceDN w:val="0"/>
        <w:adjustRightInd w:val="0"/>
        <w:ind w:left="709"/>
        <w:jc w:val="both"/>
        <w:rPr>
          <w:sz w:val="22"/>
          <w:szCs w:val="22"/>
        </w:rPr>
      </w:pPr>
      <w:r w:rsidRPr="008534DC">
        <w:rPr>
          <w:sz w:val="22"/>
          <w:szCs w:val="22"/>
        </w:rPr>
        <w:t>MI408 (</w:t>
      </w:r>
      <w:r w:rsidRPr="008534DC">
        <w:rPr>
          <w:i/>
          <w:sz w:val="22"/>
          <w:szCs w:val="22"/>
        </w:rPr>
        <w:t>Cobalt™ VR ICD MRI SureScan™ with BlueSync mobile remote monitoring</w:t>
      </w:r>
      <w:r w:rsidRPr="008534DC">
        <w:rPr>
          <w:sz w:val="22"/>
          <w:szCs w:val="22"/>
        </w:rPr>
        <w:t>);</w:t>
      </w:r>
    </w:p>
    <w:p w14:paraId="5130465C" w14:textId="77777777" w:rsidR="00916959" w:rsidRPr="008534DC" w:rsidRDefault="00916959" w:rsidP="00916959">
      <w:pPr>
        <w:numPr>
          <w:ilvl w:val="1"/>
          <w:numId w:val="4"/>
        </w:numPr>
        <w:autoSpaceDE w:val="0"/>
        <w:autoSpaceDN w:val="0"/>
        <w:adjustRightInd w:val="0"/>
        <w:ind w:left="709"/>
        <w:jc w:val="both"/>
        <w:rPr>
          <w:sz w:val="22"/>
          <w:szCs w:val="22"/>
        </w:rPr>
      </w:pPr>
      <w:r w:rsidRPr="008534DC">
        <w:rPr>
          <w:sz w:val="22"/>
          <w:szCs w:val="22"/>
        </w:rPr>
        <w:lastRenderedPageBreak/>
        <w:t>MI409 (</w:t>
      </w:r>
      <w:proofErr w:type="spellStart"/>
      <w:r w:rsidRPr="008534DC">
        <w:rPr>
          <w:i/>
          <w:sz w:val="22"/>
          <w:szCs w:val="22"/>
        </w:rPr>
        <w:t>Crome</w:t>
      </w:r>
      <w:proofErr w:type="spellEnd"/>
      <w:r w:rsidRPr="008534DC">
        <w:rPr>
          <w:i/>
          <w:sz w:val="22"/>
          <w:szCs w:val="22"/>
        </w:rPr>
        <w:t>™ VR ICD MRI SureScan™ with BlueSync mobile remote monitoring</w:t>
      </w:r>
      <w:r w:rsidRPr="008534DC">
        <w:rPr>
          <w:sz w:val="22"/>
          <w:szCs w:val="22"/>
        </w:rPr>
        <w:t>);</w:t>
      </w:r>
    </w:p>
    <w:p w14:paraId="44080A5E" w14:textId="77777777" w:rsidR="00916959" w:rsidRPr="008534DC" w:rsidRDefault="00916959" w:rsidP="00916959">
      <w:pPr>
        <w:numPr>
          <w:ilvl w:val="1"/>
          <w:numId w:val="4"/>
        </w:numPr>
        <w:autoSpaceDE w:val="0"/>
        <w:autoSpaceDN w:val="0"/>
        <w:adjustRightInd w:val="0"/>
        <w:ind w:left="709"/>
        <w:jc w:val="both"/>
        <w:rPr>
          <w:sz w:val="22"/>
          <w:szCs w:val="22"/>
        </w:rPr>
      </w:pPr>
      <w:r w:rsidRPr="008534DC">
        <w:rPr>
          <w:sz w:val="22"/>
          <w:szCs w:val="22"/>
        </w:rPr>
        <w:t>MI410 (</w:t>
      </w:r>
      <w:r w:rsidRPr="008534DC">
        <w:rPr>
          <w:i/>
          <w:sz w:val="22"/>
          <w:szCs w:val="22"/>
        </w:rPr>
        <w:t>Cobalt™ XT VR ICD MRI SureScan™ with BlueSync mobile remote monitoring</w:t>
      </w:r>
      <w:r w:rsidRPr="008534DC">
        <w:rPr>
          <w:sz w:val="22"/>
          <w:szCs w:val="22"/>
        </w:rPr>
        <w:t>);</w:t>
      </w:r>
    </w:p>
    <w:p w14:paraId="038294EA" w14:textId="77777777" w:rsidR="00916959" w:rsidRPr="008534DC" w:rsidRDefault="00916959" w:rsidP="00916959">
      <w:pPr>
        <w:numPr>
          <w:ilvl w:val="1"/>
          <w:numId w:val="4"/>
        </w:numPr>
        <w:autoSpaceDE w:val="0"/>
        <w:autoSpaceDN w:val="0"/>
        <w:adjustRightInd w:val="0"/>
        <w:ind w:left="709"/>
        <w:jc w:val="both"/>
        <w:rPr>
          <w:sz w:val="22"/>
          <w:szCs w:val="22"/>
        </w:rPr>
      </w:pPr>
      <w:r w:rsidRPr="008534DC">
        <w:rPr>
          <w:sz w:val="22"/>
          <w:szCs w:val="22"/>
        </w:rPr>
        <w:t>MI411 (</w:t>
      </w:r>
      <w:r w:rsidRPr="008534DC">
        <w:rPr>
          <w:i/>
          <w:sz w:val="22"/>
          <w:szCs w:val="22"/>
        </w:rPr>
        <w:t>Cobalt™ VR ICD MRI SureScan™ with BlueSync mobile remote monitoring</w:t>
      </w:r>
      <w:r w:rsidRPr="008534DC">
        <w:rPr>
          <w:sz w:val="22"/>
          <w:szCs w:val="22"/>
        </w:rPr>
        <w:t>);</w:t>
      </w:r>
    </w:p>
    <w:p w14:paraId="4397838A" w14:textId="77777777" w:rsidR="00916959" w:rsidRPr="008534DC" w:rsidRDefault="00916959" w:rsidP="00916959">
      <w:pPr>
        <w:numPr>
          <w:ilvl w:val="1"/>
          <w:numId w:val="4"/>
        </w:numPr>
        <w:autoSpaceDE w:val="0"/>
        <w:autoSpaceDN w:val="0"/>
        <w:adjustRightInd w:val="0"/>
        <w:ind w:left="709"/>
        <w:jc w:val="both"/>
        <w:rPr>
          <w:sz w:val="22"/>
          <w:szCs w:val="22"/>
        </w:rPr>
      </w:pPr>
      <w:r w:rsidRPr="008534DC">
        <w:rPr>
          <w:sz w:val="22"/>
          <w:szCs w:val="22"/>
        </w:rPr>
        <w:t>MI412 (</w:t>
      </w:r>
      <w:proofErr w:type="spellStart"/>
      <w:r w:rsidRPr="008534DC">
        <w:rPr>
          <w:i/>
          <w:sz w:val="22"/>
          <w:szCs w:val="22"/>
        </w:rPr>
        <w:t>Crome</w:t>
      </w:r>
      <w:proofErr w:type="spellEnd"/>
      <w:r w:rsidRPr="008534DC">
        <w:rPr>
          <w:i/>
          <w:sz w:val="22"/>
          <w:szCs w:val="22"/>
        </w:rPr>
        <w:t>™ VR ICD MRI SureScan™ with BlueSync mobile remote monitoring</w:t>
      </w:r>
      <w:r w:rsidRPr="008534DC">
        <w:rPr>
          <w:sz w:val="22"/>
          <w:szCs w:val="22"/>
        </w:rPr>
        <w:t>);</w:t>
      </w:r>
    </w:p>
    <w:p w14:paraId="269E1742" w14:textId="77777777" w:rsidR="00916959" w:rsidRPr="008534DC" w:rsidRDefault="00916959" w:rsidP="00916959">
      <w:pPr>
        <w:numPr>
          <w:ilvl w:val="1"/>
          <w:numId w:val="4"/>
        </w:numPr>
        <w:autoSpaceDE w:val="0"/>
        <w:autoSpaceDN w:val="0"/>
        <w:adjustRightInd w:val="0"/>
        <w:ind w:left="709"/>
        <w:jc w:val="both"/>
        <w:rPr>
          <w:sz w:val="22"/>
          <w:szCs w:val="22"/>
        </w:rPr>
      </w:pPr>
      <w:r w:rsidRPr="008534DC">
        <w:rPr>
          <w:sz w:val="22"/>
          <w:szCs w:val="22"/>
        </w:rPr>
        <w:t>MI413 (</w:t>
      </w:r>
      <w:proofErr w:type="spellStart"/>
      <w:r w:rsidRPr="008534DC">
        <w:rPr>
          <w:i/>
          <w:sz w:val="22"/>
          <w:szCs w:val="22"/>
        </w:rPr>
        <w:t>Crome</w:t>
      </w:r>
      <w:proofErr w:type="spellEnd"/>
      <w:r w:rsidRPr="008534DC">
        <w:rPr>
          <w:i/>
          <w:sz w:val="22"/>
          <w:szCs w:val="22"/>
        </w:rPr>
        <w:t>™ DR ICD MRI SureScan™ with BlueSync mobile remote monitoring</w:t>
      </w:r>
      <w:r w:rsidRPr="008534DC">
        <w:rPr>
          <w:sz w:val="22"/>
          <w:szCs w:val="22"/>
        </w:rPr>
        <w:t>);</w:t>
      </w:r>
    </w:p>
    <w:p w14:paraId="19EEF574" w14:textId="77777777" w:rsidR="00916959" w:rsidRPr="008534DC" w:rsidRDefault="00916959" w:rsidP="00916959">
      <w:pPr>
        <w:numPr>
          <w:ilvl w:val="1"/>
          <w:numId w:val="4"/>
        </w:numPr>
        <w:autoSpaceDE w:val="0"/>
        <w:autoSpaceDN w:val="0"/>
        <w:adjustRightInd w:val="0"/>
        <w:ind w:left="709"/>
        <w:jc w:val="both"/>
        <w:rPr>
          <w:sz w:val="22"/>
          <w:szCs w:val="22"/>
        </w:rPr>
      </w:pPr>
      <w:r w:rsidRPr="008534DC">
        <w:rPr>
          <w:sz w:val="22"/>
          <w:szCs w:val="22"/>
        </w:rPr>
        <w:t>MI416 (</w:t>
      </w:r>
      <w:r w:rsidRPr="008534DC">
        <w:rPr>
          <w:i/>
          <w:sz w:val="22"/>
          <w:szCs w:val="22"/>
        </w:rPr>
        <w:t>Cobalt™ HF Quad CRT-D MRI SureScan™ with BlueSync mobile remote monitoring</w:t>
      </w:r>
      <w:r w:rsidRPr="008534DC">
        <w:rPr>
          <w:sz w:val="22"/>
          <w:szCs w:val="22"/>
        </w:rPr>
        <w:t>);</w:t>
      </w:r>
    </w:p>
    <w:p w14:paraId="7F4B18A3" w14:textId="77777777" w:rsidR="00916959" w:rsidRPr="008534DC" w:rsidRDefault="00916959" w:rsidP="00916959">
      <w:pPr>
        <w:numPr>
          <w:ilvl w:val="1"/>
          <w:numId w:val="4"/>
        </w:numPr>
        <w:autoSpaceDE w:val="0"/>
        <w:autoSpaceDN w:val="0"/>
        <w:adjustRightInd w:val="0"/>
        <w:ind w:left="709"/>
        <w:jc w:val="both"/>
        <w:rPr>
          <w:sz w:val="22"/>
          <w:szCs w:val="22"/>
        </w:rPr>
      </w:pPr>
      <w:r w:rsidRPr="008534DC">
        <w:rPr>
          <w:sz w:val="22"/>
          <w:szCs w:val="22"/>
        </w:rPr>
        <w:t>MI417 (</w:t>
      </w:r>
      <w:r w:rsidRPr="008534DC">
        <w:rPr>
          <w:i/>
          <w:sz w:val="22"/>
          <w:szCs w:val="22"/>
        </w:rPr>
        <w:t>Cobalt™ HF CRT-D MRI SureScan™ with BlueSync mobile remote monitoring</w:t>
      </w:r>
      <w:r w:rsidRPr="008534DC">
        <w:rPr>
          <w:sz w:val="22"/>
          <w:szCs w:val="22"/>
        </w:rPr>
        <w:t>);</w:t>
      </w:r>
    </w:p>
    <w:p w14:paraId="7EFD1993" w14:textId="77777777" w:rsidR="00916959" w:rsidRPr="008534DC" w:rsidRDefault="00916959" w:rsidP="00916959">
      <w:pPr>
        <w:numPr>
          <w:ilvl w:val="1"/>
          <w:numId w:val="4"/>
        </w:numPr>
        <w:autoSpaceDE w:val="0"/>
        <w:autoSpaceDN w:val="0"/>
        <w:adjustRightInd w:val="0"/>
        <w:ind w:left="709"/>
        <w:jc w:val="both"/>
        <w:rPr>
          <w:sz w:val="22"/>
          <w:szCs w:val="22"/>
        </w:rPr>
      </w:pPr>
      <w:r w:rsidRPr="008534DC">
        <w:rPr>
          <w:sz w:val="22"/>
          <w:szCs w:val="22"/>
        </w:rPr>
        <w:t>MI418 (</w:t>
      </w:r>
      <w:proofErr w:type="spellStart"/>
      <w:r w:rsidRPr="008534DC">
        <w:rPr>
          <w:i/>
          <w:sz w:val="22"/>
          <w:szCs w:val="22"/>
        </w:rPr>
        <w:t>Crome</w:t>
      </w:r>
      <w:proofErr w:type="spellEnd"/>
      <w:r w:rsidRPr="008534DC">
        <w:rPr>
          <w:i/>
          <w:sz w:val="22"/>
          <w:szCs w:val="22"/>
        </w:rPr>
        <w:t>™ HF Quad CRT-D MRI SureScan™ with BlueSync mobile remote monitoring</w:t>
      </w:r>
      <w:r w:rsidRPr="008534DC">
        <w:rPr>
          <w:sz w:val="22"/>
          <w:szCs w:val="22"/>
        </w:rPr>
        <w:t>);</w:t>
      </w:r>
    </w:p>
    <w:p w14:paraId="4ECB200D" w14:textId="77777777" w:rsidR="00916959" w:rsidRPr="008534DC" w:rsidRDefault="00916959" w:rsidP="00916959">
      <w:pPr>
        <w:numPr>
          <w:ilvl w:val="1"/>
          <w:numId w:val="4"/>
        </w:numPr>
        <w:autoSpaceDE w:val="0"/>
        <w:autoSpaceDN w:val="0"/>
        <w:adjustRightInd w:val="0"/>
        <w:ind w:left="709"/>
        <w:jc w:val="both"/>
        <w:rPr>
          <w:sz w:val="22"/>
          <w:szCs w:val="22"/>
        </w:rPr>
      </w:pPr>
      <w:r w:rsidRPr="008534DC">
        <w:rPr>
          <w:sz w:val="22"/>
          <w:szCs w:val="22"/>
        </w:rPr>
        <w:t>MI419 (</w:t>
      </w:r>
      <w:proofErr w:type="spellStart"/>
      <w:r w:rsidRPr="008534DC">
        <w:rPr>
          <w:i/>
          <w:sz w:val="22"/>
          <w:szCs w:val="22"/>
        </w:rPr>
        <w:t>Crome</w:t>
      </w:r>
      <w:proofErr w:type="spellEnd"/>
      <w:r w:rsidRPr="008534DC">
        <w:rPr>
          <w:i/>
          <w:sz w:val="22"/>
          <w:szCs w:val="22"/>
        </w:rPr>
        <w:t>™ HF CRT-D MRI SureScan™ with BlueSync mobile remote monitoring</w:t>
      </w:r>
      <w:r w:rsidRPr="008534DC">
        <w:rPr>
          <w:sz w:val="22"/>
          <w:szCs w:val="22"/>
        </w:rPr>
        <w:t>);</w:t>
      </w:r>
    </w:p>
    <w:p w14:paraId="6199721B" w14:textId="77777777" w:rsidR="00916959" w:rsidRPr="008534DC" w:rsidRDefault="00916959" w:rsidP="00916959">
      <w:pPr>
        <w:numPr>
          <w:ilvl w:val="1"/>
          <w:numId w:val="4"/>
        </w:numPr>
        <w:autoSpaceDE w:val="0"/>
        <w:autoSpaceDN w:val="0"/>
        <w:adjustRightInd w:val="0"/>
        <w:ind w:left="709"/>
        <w:jc w:val="both"/>
        <w:rPr>
          <w:sz w:val="22"/>
          <w:szCs w:val="22"/>
        </w:rPr>
      </w:pPr>
      <w:r w:rsidRPr="008534DC">
        <w:rPr>
          <w:sz w:val="22"/>
          <w:szCs w:val="22"/>
        </w:rPr>
        <w:t>MI420 (</w:t>
      </w:r>
      <w:r w:rsidRPr="008534DC">
        <w:rPr>
          <w:i/>
          <w:sz w:val="22"/>
          <w:szCs w:val="22"/>
        </w:rPr>
        <w:t>Cobalt™ XT HF Quad CRT-D MRI SureScan™ with BlueSync mobile remote monitoring</w:t>
      </w:r>
      <w:r w:rsidRPr="008534DC">
        <w:rPr>
          <w:sz w:val="22"/>
          <w:szCs w:val="22"/>
        </w:rPr>
        <w:t>);</w:t>
      </w:r>
    </w:p>
    <w:p w14:paraId="56BB586A" w14:textId="77777777" w:rsidR="00916959" w:rsidRPr="008534DC" w:rsidRDefault="00916959" w:rsidP="00916959">
      <w:pPr>
        <w:numPr>
          <w:ilvl w:val="1"/>
          <w:numId w:val="4"/>
        </w:numPr>
        <w:autoSpaceDE w:val="0"/>
        <w:autoSpaceDN w:val="0"/>
        <w:adjustRightInd w:val="0"/>
        <w:ind w:left="709"/>
        <w:jc w:val="both"/>
        <w:rPr>
          <w:sz w:val="22"/>
          <w:szCs w:val="22"/>
        </w:rPr>
      </w:pPr>
      <w:r w:rsidRPr="008534DC">
        <w:rPr>
          <w:sz w:val="22"/>
          <w:szCs w:val="22"/>
        </w:rPr>
        <w:t>MI421 (</w:t>
      </w:r>
      <w:r w:rsidRPr="008534DC">
        <w:rPr>
          <w:i/>
          <w:sz w:val="22"/>
          <w:szCs w:val="22"/>
        </w:rPr>
        <w:t>Cobalt™ XT HF CRT-D MRI SureScan™ with BlueSync mobile remote monitoring</w:t>
      </w:r>
      <w:r w:rsidRPr="008534DC">
        <w:rPr>
          <w:sz w:val="22"/>
          <w:szCs w:val="22"/>
        </w:rPr>
        <w:t>);</w:t>
      </w:r>
    </w:p>
    <w:p w14:paraId="6C3BB5D8" w14:textId="77777777" w:rsidR="00916959" w:rsidRPr="008534DC" w:rsidRDefault="00916959" w:rsidP="00916959">
      <w:pPr>
        <w:numPr>
          <w:ilvl w:val="1"/>
          <w:numId w:val="4"/>
        </w:numPr>
        <w:autoSpaceDE w:val="0"/>
        <w:autoSpaceDN w:val="0"/>
        <w:adjustRightInd w:val="0"/>
        <w:ind w:left="709"/>
        <w:jc w:val="both"/>
        <w:rPr>
          <w:sz w:val="22"/>
          <w:szCs w:val="22"/>
        </w:rPr>
      </w:pPr>
      <w:r w:rsidRPr="008534DC">
        <w:rPr>
          <w:sz w:val="22"/>
          <w:szCs w:val="22"/>
        </w:rPr>
        <w:t>MI422 (</w:t>
      </w:r>
      <w:proofErr w:type="spellStart"/>
      <w:r w:rsidRPr="008534DC">
        <w:rPr>
          <w:i/>
          <w:sz w:val="22"/>
          <w:szCs w:val="22"/>
        </w:rPr>
        <w:t>Crome</w:t>
      </w:r>
      <w:proofErr w:type="spellEnd"/>
      <w:r w:rsidRPr="008534DC">
        <w:rPr>
          <w:i/>
          <w:sz w:val="22"/>
          <w:szCs w:val="22"/>
        </w:rPr>
        <w:t>™ HF Quad CRT-D MRI SureScan™ with BlueSync mobile remote monitoring</w:t>
      </w:r>
      <w:r w:rsidRPr="008534DC">
        <w:rPr>
          <w:sz w:val="22"/>
          <w:szCs w:val="22"/>
        </w:rPr>
        <w:t>);</w:t>
      </w:r>
    </w:p>
    <w:p w14:paraId="49BC096B" w14:textId="77777777" w:rsidR="00916959" w:rsidRPr="008534DC" w:rsidRDefault="00916959" w:rsidP="00916959">
      <w:pPr>
        <w:numPr>
          <w:ilvl w:val="1"/>
          <w:numId w:val="4"/>
        </w:numPr>
        <w:autoSpaceDE w:val="0"/>
        <w:autoSpaceDN w:val="0"/>
        <w:adjustRightInd w:val="0"/>
        <w:ind w:left="709"/>
        <w:jc w:val="both"/>
        <w:rPr>
          <w:sz w:val="22"/>
          <w:szCs w:val="22"/>
        </w:rPr>
      </w:pPr>
      <w:r w:rsidRPr="008534DC">
        <w:rPr>
          <w:sz w:val="22"/>
          <w:szCs w:val="22"/>
        </w:rPr>
        <w:t>MI423 (</w:t>
      </w:r>
      <w:proofErr w:type="spellStart"/>
      <w:r w:rsidRPr="008534DC">
        <w:rPr>
          <w:i/>
          <w:sz w:val="22"/>
          <w:szCs w:val="22"/>
        </w:rPr>
        <w:t>Crome</w:t>
      </w:r>
      <w:proofErr w:type="spellEnd"/>
      <w:r w:rsidRPr="008534DC">
        <w:rPr>
          <w:i/>
          <w:sz w:val="22"/>
          <w:szCs w:val="22"/>
        </w:rPr>
        <w:t>™ HF CRT-D MRI SureScan™ with BlueSync mobile remote monitoring</w:t>
      </w:r>
      <w:r w:rsidRPr="008534DC">
        <w:rPr>
          <w:sz w:val="22"/>
          <w:szCs w:val="22"/>
        </w:rPr>
        <w:t>);</w:t>
      </w:r>
    </w:p>
    <w:p w14:paraId="4DC221B7" w14:textId="77777777" w:rsidR="00916959" w:rsidRPr="008534DC" w:rsidRDefault="00916959" w:rsidP="00916959">
      <w:pPr>
        <w:numPr>
          <w:ilvl w:val="1"/>
          <w:numId w:val="4"/>
        </w:numPr>
        <w:autoSpaceDE w:val="0"/>
        <w:autoSpaceDN w:val="0"/>
        <w:adjustRightInd w:val="0"/>
        <w:ind w:left="709"/>
        <w:jc w:val="both"/>
        <w:rPr>
          <w:sz w:val="22"/>
          <w:szCs w:val="22"/>
        </w:rPr>
      </w:pPr>
      <w:r w:rsidRPr="008534DC">
        <w:rPr>
          <w:sz w:val="22"/>
          <w:szCs w:val="22"/>
        </w:rPr>
        <w:t>MI424 (</w:t>
      </w:r>
      <w:r w:rsidRPr="008534DC">
        <w:rPr>
          <w:i/>
          <w:sz w:val="22"/>
          <w:szCs w:val="22"/>
        </w:rPr>
        <w:t>Cobalt™ XT HF Quad CRT-D MRI SureScan™ with BlueSync mobile remote monitoring</w:t>
      </w:r>
      <w:r w:rsidRPr="008534DC">
        <w:rPr>
          <w:sz w:val="22"/>
          <w:szCs w:val="22"/>
        </w:rPr>
        <w:t>);</w:t>
      </w:r>
    </w:p>
    <w:p w14:paraId="2B944D23" w14:textId="77777777" w:rsidR="00916959" w:rsidRPr="008534DC" w:rsidRDefault="00916959" w:rsidP="00916959">
      <w:pPr>
        <w:numPr>
          <w:ilvl w:val="1"/>
          <w:numId w:val="4"/>
        </w:numPr>
        <w:autoSpaceDE w:val="0"/>
        <w:autoSpaceDN w:val="0"/>
        <w:adjustRightInd w:val="0"/>
        <w:ind w:left="709"/>
        <w:jc w:val="both"/>
        <w:rPr>
          <w:sz w:val="22"/>
          <w:szCs w:val="22"/>
        </w:rPr>
      </w:pPr>
      <w:r w:rsidRPr="008534DC">
        <w:rPr>
          <w:sz w:val="22"/>
          <w:szCs w:val="22"/>
        </w:rPr>
        <w:t>MI425 (</w:t>
      </w:r>
      <w:r w:rsidRPr="008534DC">
        <w:rPr>
          <w:i/>
          <w:sz w:val="22"/>
          <w:szCs w:val="22"/>
        </w:rPr>
        <w:t>Cobalt™ XT HF CRT-D MRI SureScan™ with BlueSync mobile remote monitoring</w:t>
      </w:r>
      <w:r w:rsidRPr="008534DC">
        <w:rPr>
          <w:sz w:val="22"/>
          <w:szCs w:val="22"/>
        </w:rPr>
        <w:t>);</w:t>
      </w:r>
    </w:p>
    <w:p w14:paraId="73600184" w14:textId="77777777" w:rsidR="00916959" w:rsidRPr="008534DC" w:rsidRDefault="00916959" w:rsidP="00916959">
      <w:pPr>
        <w:numPr>
          <w:ilvl w:val="1"/>
          <w:numId w:val="4"/>
        </w:numPr>
        <w:autoSpaceDE w:val="0"/>
        <w:autoSpaceDN w:val="0"/>
        <w:adjustRightInd w:val="0"/>
        <w:ind w:left="709"/>
        <w:jc w:val="both"/>
        <w:rPr>
          <w:sz w:val="22"/>
          <w:szCs w:val="22"/>
        </w:rPr>
      </w:pPr>
      <w:r w:rsidRPr="008534DC">
        <w:rPr>
          <w:sz w:val="22"/>
          <w:szCs w:val="22"/>
        </w:rPr>
        <w:t>MI426 (</w:t>
      </w:r>
      <w:r w:rsidRPr="008534DC">
        <w:rPr>
          <w:i/>
          <w:sz w:val="22"/>
          <w:szCs w:val="22"/>
        </w:rPr>
        <w:t>Cobalt™ HF Quad CRT-D MRI SureScan™ with BlueSync mobile remote monitoring</w:t>
      </w:r>
      <w:r w:rsidRPr="008534DC">
        <w:rPr>
          <w:sz w:val="22"/>
          <w:szCs w:val="22"/>
        </w:rPr>
        <w:t>);</w:t>
      </w:r>
    </w:p>
    <w:p w14:paraId="452721EF" w14:textId="77777777" w:rsidR="00916959" w:rsidRPr="008534DC" w:rsidRDefault="00916959" w:rsidP="00916959">
      <w:pPr>
        <w:numPr>
          <w:ilvl w:val="1"/>
          <w:numId w:val="4"/>
        </w:numPr>
        <w:autoSpaceDE w:val="0"/>
        <w:autoSpaceDN w:val="0"/>
        <w:adjustRightInd w:val="0"/>
        <w:ind w:left="709"/>
        <w:jc w:val="both"/>
        <w:rPr>
          <w:sz w:val="22"/>
          <w:szCs w:val="22"/>
        </w:rPr>
      </w:pPr>
      <w:r w:rsidRPr="008534DC">
        <w:rPr>
          <w:sz w:val="22"/>
          <w:szCs w:val="22"/>
        </w:rPr>
        <w:t>MI427 (</w:t>
      </w:r>
      <w:r w:rsidRPr="008534DC">
        <w:rPr>
          <w:i/>
          <w:sz w:val="22"/>
          <w:szCs w:val="22"/>
        </w:rPr>
        <w:t>Cobalt™ HF CRT-D MRI SureScan™ with BlueSync mobile remote monitoring</w:t>
      </w:r>
      <w:r w:rsidRPr="008534DC">
        <w:rPr>
          <w:sz w:val="22"/>
          <w:szCs w:val="22"/>
        </w:rPr>
        <w:t>);</w:t>
      </w:r>
    </w:p>
    <w:p w14:paraId="094DA6C5" w14:textId="77777777" w:rsidR="00916959" w:rsidRPr="008534DC" w:rsidRDefault="00916959" w:rsidP="00916959">
      <w:pPr>
        <w:pStyle w:val="ListParagraph"/>
        <w:numPr>
          <w:ilvl w:val="0"/>
          <w:numId w:val="4"/>
        </w:numPr>
        <w:autoSpaceDE w:val="0"/>
        <w:autoSpaceDN w:val="0"/>
        <w:adjustRightInd w:val="0"/>
        <w:ind w:left="714" w:hanging="357"/>
        <w:contextualSpacing w:val="0"/>
        <w:jc w:val="both"/>
        <w:rPr>
          <w:bCs/>
          <w:sz w:val="22"/>
          <w:szCs w:val="22"/>
        </w:rPr>
      </w:pPr>
      <w:r w:rsidRPr="008534DC">
        <w:rPr>
          <w:bCs/>
          <w:sz w:val="22"/>
          <w:szCs w:val="22"/>
        </w:rPr>
        <w:t>MI439 (</w:t>
      </w:r>
      <w:proofErr w:type="spellStart"/>
      <w:r w:rsidRPr="008534DC">
        <w:rPr>
          <w:bCs/>
          <w:i/>
          <w:sz w:val="22"/>
          <w:szCs w:val="22"/>
        </w:rPr>
        <w:t>Percepta</w:t>
      </w:r>
      <w:proofErr w:type="spellEnd"/>
      <w:r w:rsidRPr="008534DC">
        <w:rPr>
          <w:bCs/>
          <w:i/>
          <w:sz w:val="22"/>
          <w:szCs w:val="22"/>
        </w:rPr>
        <w:t xml:space="preserve"> Quad MRI </w:t>
      </w:r>
      <w:proofErr w:type="spellStart"/>
      <w:r w:rsidRPr="008534DC">
        <w:rPr>
          <w:bCs/>
          <w:i/>
          <w:sz w:val="22"/>
          <w:szCs w:val="22"/>
        </w:rPr>
        <w:t>SureScan</w:t>
      </w:r>
      <w:proofErr w:type="spellEnd"/>
      <w:r w:rsidRPr="008534DC">
        <w:rPr>
          <w:bCs/>
          <w:i/>
          <w:sz w:val="22"/>
          <w:szCs w:val="22"/>
        </w:rPr>
        <w:t xml:space="preserve"> CRT-P with BlueSync mobile remote monitoring</w:t>
      </w:r>
      <w:r w:rsidRPr="008534DC">
        <w:rPr>
          <w:bCs/>
          <w:sz w:val="22"/>
          <w:szCs w:val="22"/>
        </w:rPr>
        <w:t>);</w:t>
      </w:r>
    </w:p>
    <w:p w14:paraId="030377FC" w14:textId="77777777" w:rsidR="00916959" w:rsidRPr="008534DC" w:rsidRDefault="00916959" w:rsidP="00916959">
      <w:pPr>
        <w:pStyle w:val="ListParagraph"/>
        <w:numPr>
          <w:ilvl w:val="0"/>
          <w:numId w:val="4"/>
        </w:numPr>
        <w:autoSpaceDE w:val="0"/>
        <w:autoSpaceDN w:val="0"/>
        <w:adjustRightInd w:val="0"/>
        <w:ind w:left="714" w:hanging="357"/>
        <w:contextualSpacing w:val="0"/>
        <w:jc w:val="both"/>
        <w:rPr>
          <w:bCs/>
          <w:sz w:val="22"/>
          <w:szCs w:val="22"/>
        </w:rPr>
      </w:pPr>
      <w:r w:rsidRPr="008534DC">
        <w:rPr>
          <w:bCs/>
          <w:sz w:val="22"/>
          <w:szCs w:val="22"/>
        </w:rPr>
        <w:t>MI440 (</w:t>
      </w:r>
      <w:proofErr w:type="spellStart"/>
      <w:r w:rsidRPr="008534DC">
        <w:rPr>
          <w:bCs/>
          <w:i/>
          <w:sz w:val="22"/>
          <w:szCs w:val="22"/>
        </w:rPr>
        <w:t>Percepta</w:t>
      </w:r>
      <w:proofErr w:type="spellEnd"/>
      <w:r w:rsidRPr="008534DC">
        <w:rPr>
          <w:bCs/>
          <w:i/>
          <w:sz w:val="22"/>
          <w:szCs w:val="22"/>
        </w:rPr>
        <w:t xml:space="preserve"> MRI </w:t>
      </w:r>
      <w:proofErr w:type="spellStart"/>
      <w:r w:rsidRPr="008534DC">
        <w:rPr>
          <w:bCs/>
          <w:i/>
          <w:sz w:val="22"/>
          <w:szCs w:val="22"/>
        </w:rPr>
        <w:t>SureScan</w:t>
      </w:r>
      <w:proofErr w:type="spellEnd"/>
      <w:r w:rsidRPr="008534DC">
        <w:rPr>
          <w:bCs/>
          <w:i/>
          <w:sz w:val="22"/>
          <w:szCs w:val="22"/>
        </w:rPr>
        <w:t xml:space="preserve"> CRT-P with BlueSync mobile remote monitoring</w:t>
      </w:r>
      <w:r w:rsidRPr="008534DC">
        <w:rPr>
          <w:bCs/>
          <w:sz w:val="22"/>
          <w:szCs w:val="22"/>
        </w:rPr>
        <w:t>);</w:t>
      </w:r>
    </w:p>
    <w:p w14:paraId="371EBCAA" w14:textId="77777777" w:rsidR="00916959" w:rsidRPr="008534DC" w:rsidRDefault="00916959" w:rsidP="00916959">
      <w:pPr>
        <w:pStyle w:val="ListParagraph"/>
        <w:numPr>
          <w:ilvl w:val="0"/>
          <w:numId w:val="4"/>
        </w:numPr>
        <w:autoSpaceDE w:val="0"/>
        <w:autoSpaceDN w:val="0"/>
        <w:adjustRightInd w:val="0"/>
        <w:ind w:left="714" w:hanging="357"/>
        <w:contextualSpacing w:val="0"/>
        <w:jc w:val="both"/>
        <w:rPr>
          <w:bCs/>
          <w:sz w:val="22"/>
          <w:szCs w:val="22"/>
        </w:rPr>
      </w:pPr>
      <w:r w:rsidRPr="008534DC">
        <w:rPr>
          <w:bCs/>
          <w:sz w:val="22"/>
          <w:szCs w:val="22"/>
        </w:rPr>
        <w:t>MI441 (</w:t>
      </w:r>
      <w:r w:rsidRPr="008534DC">
        <w:rPr>
          <w:bCs/>
          <w:i/>
          <w:sz w:val="22"/>
          <w:szCs w:val="22"/>
        </w:rPr>
        <w:t>Serena Quad MRI SureScan CRT-P with BlueSync mobile remote monitoring</w:t>
      </w:r>
      <w:r w:rsidRPr="008534DC">
        <w:rPr>
          <w:bCs/>
          <w:sz w:val="22"/>
          <w:szCs w:val="22"/>
        </w:rPr>
        <w:t>);</w:t>
      </w:r>
    </w:p>
    <w:p w14:paraId="31388F7E" w14:textId="77777777" w:rsidR="00916959" w:rsidRPr="008534DC" w:rsidRDefault="00916959" w:rsidP="00916959">
      <w:pPr>
        <w:pStyle w:val="ListParagraph"/>
        <w:numPr>
          <w:ilvl w:val="0"/>
          <w:numId w:val="4"/>
        </w:numPr>
        <w:autoSpaceDE w:val="0"/>
        <w:autoSpaceDN w:val="0"/>
        <w:adjustRightInd w:val="0"/>
        <w:ind w:left="714" w:hanging="357"/>
        <w:contextualSpacing w:val="0"/>
        <w:jc w:val="both"/>
        <w:rPr>
          <w:bCs/>
          <w:sz w:val="22"/>
          <w:szCs w:val="22"/>
        </w:rPr>
      </w:pPr>
      <w:r w:rsidRPr="008534DC">
        <w:rPr>
          <w:bCs/>
          <w:sz w:val="22"/>
          <w:szCs w:val="22"/>
        </w:rPr>
        <w:t>MI442 (</w:t>
      </w:r>
      <w:r w:rsidRPr="008534DC">
        <w:rPr>
          <w:bCs/>
          <w:i/>
          <w:sz w:val="22"/>
          <w:szCs w:val="22"/>
        </w:rPr>
        <w:t>Serena MRI SureScan CRT-P with BlueSync mobile remote monitoring</w:t>
      </w:r>
      <w:r w:rsidRPr="008534DC">
        <w:rPr>
          <w:bCs/>
          <w:sz w:val="22"/>
          <w:szCs w:val="22"/>
        </w:rPr>
        <w:t>);</w:t>
      </w:r>
    </w:p>
    <w:p w14:paraId="61E5950F" w14:textId="77777777" w:rsidR="00916959" w:rsidRPr="008534DC" w:rsidRDefault="00916959" w:rsidP="00916959">
      <w:pPr>
        <w:pStyle w:val="ListParagraph"/>
        <w:numPr>
          <w:ilvl w:val="0"/>
          <w:numId w:val="4"/>
        </w:numPr>
        <w:autoSpaceDE w:val="0"/>
        <w:autoSpaceDN w:val="0"/>
        <w:adjustRightInd w:val="0"/>
        <w:ind w:left="714" w:hanging="357"/>
        <w:contextualSpacing w:val="0"/>
        <w:jc w:val="both"/>
        <w:rPr>
          <w:bCs/>
          <w:sz w:val="22"/>
          <w:szCs w:val="22"/>
        </w:rPr>
      </w:pPr>
      <w:r w:rsidRPr="008534DC">
        <w:rPr>
          <w:bCs/>
          <w:sz w:val="22"/>
          <w:szCs w:val="22"/>
        </w:rPr>
        <w:t>MI446 (</w:t>
      </w:r>
      <w:r w:rsidRPr="008534DC">
        <w:rPr>
          <w:bCs/>
          <w:i/>
          <w:sz w:val="22"/>
          <w:szCs w:val="22"/>
        </w:rPr>
        <w:t>Azure XT SR MRI SureScan with BlueSync mobile remote monitoring</w:t>
      </w:r>
      <w:r w:rsidRPr="008534DC">
        <w:rPr>
          <w:bCs/>
          <w:sz w:val="22"/>
          <w:szCs w:val="22"/>
        </w:rPr>
        <w:t>);</w:t>
      </w:r>
    </w:p>
    <w:p w14:paraId="3F945ACF" w14:textId="77777777" w:rsidR="00916959" w:rsidRPr="008534DC" w:rsidRDefault="00916959" w:rsidP="00916959">
      <w:pPr>
        <w:pStyle w:val="ListParagraph"/>
        <w:numPr>
          <w:ilvl w:val="0"/>
          <w:numId w:val="4"/>
        </w:numPr>
        <w:autoSpaceDE w:val="0"/>
        <w:autoSpaceDN w:val="0"/>
        <w:adjustRightInd w:val="0"/>
        <w:ind w:left="714" w:hanging="357"/>
        <w:contextualSpacing w:val="0"/>
        <w:jc w:val="both"/>
        <w:rPr>
          <w:bCs/>
          <w:sz w:val="22"/>
          <w:szCs w:val="22"/>
        </w:rPr>
      </w:pPr>
      <w:r w:rsidRPr="008534DC">
        <w:rPr>
          <w:bCs/>
          <w:sz w:val="22"/>
          <w:szCs w:val="22"/>
        </w:rPr>
        <w:t>MI447 (</w:t>
      </w:r>
      <w:r w:rsidRPr="008534DC">
        <w:rPr>
          <w:bCs/>
          <w:i/>
          <w:sz w:val="22"/>
          <w:szCs w:val="22"/>
        </w:rPr>
        <w:t xml:space="preserve">Azure S SR MRI </w:t>
      </w:r>
      <w:proofErr w:type="spellStart"/>
      <w:r w:rsidRPr="008534DC">
        <w:rPr>
          <w:bCs/>
          <w:i/>
          <w:sz w:val="22"/>
          <w:szCs w:val="22"/>
        </w:rPr>
        <w:t>SureScanTM</w:t>
      </w:r>
      <w:proofErr w:type="spellEnd"/>
      <w:r w:rsidRPr="008534DC">
        <w:rPr>
          <w:bCs/>
          <w:i/>
          <w:sz w:val="22"/>
          <w:szCs w:val="22"/>
        </w:rPr>
        <w:t xml:space="preserve"> with </w:t>
      </w:r>
      <w:proofErr w:type="spellStart"/>
      <w:r w:rsidRPr="008534DC">
        <w:rPr>
          <w:bCs/>
          <w:i/>
          <w:sz w:val="22"/>
          <w:szCs w:val="22"/>
        </w:rPr>
        <w:t>BlueSync</w:t>
      </w:r>
      <w:proofErr w:type="spellEnd"/>
      <w:r w:rsidRPr="008534DC">
        <w:rPr>
          <w:bCs/>
          <w:i/>
          <w:sz w:val="22"/>
          <w:szCs w:val="22"/>
        </w:rPr>
        <w:t xml:space="preserve"> mobile remote monitoring</w:t>
      </w:r>
      <w:r w:rsidRPr="008534DC">
        <w:rPr>
          <w:bCs/>
          <w:sz w:val="22"/>
          <w:szCs w:val="22"/>
        </w:rPr>
        <w:t>);</w:t>
      </w:r>
    </w:p>
    <w:p w14:paraId="396C826E" w14:textId="77777777" w:rsidR="00916959" w:rsidRPr="008534DC" w:rsidRDefault="00916959" w:rsidP="00916959">
      <w:pPr>
        <w:pStyle w:val="ListParagraph"/>
        <w:numPr>
          <w:ilvl w:val="0"/>
          <w:numId w:val="4"/>
        </w:numPr>
        <w:autoSpaceDE w:val="0"/>
        <w:autoSpaceDN w:val="0"/>
        <w:adjustRightInd w:val="0"/>
        <w:ind w:left="714" w:hanging="357"/>
        <w:contextualSpacing w:val="0"/>
        <w:jc w:val="both"/>
        <w:rPr>
          <w:bCs/>
          <w:sz w:val="22"/>
          <w:szCs w:val="22"/>
        </w:rPr>
      </w:pPr>
      <w:r w:rsidRPr="008534DC">
        <w:rPr>
          <w:bCs/>
          <w:sz w:val="22"/>
          <w:szCs w:val="22"/>
        </w:rPr>
        <w:t>MI448 (</w:t>
      </w:r>
      <w:r w:rsidRPr="008534DC">
        <w:rPr>
          <w:bCs/>
          <w:i/>
          <w:sz w:val="22"/>
          <w:szCs w:val="22"/>
        </w:rPr>
        <w:t>Azure XT DR MRI SureScan with BlueSync mobile remote monitoring</w:t>
      </w:r>
      <w:r w:rsidRPr="008534DC">
        <w:rPr>
          <w:bCs/>
          <w:sz w:val="22"/>
          <w:szCs w:val="22"/>
        </w:rPr>
        <w:t>);</w:t>
      </w:r>
    </w:p>
    <w:p w14:paraId="1FD1F608" w14:textId="54D84761" w:rsidR="00603AE4" w:rsidRPr="008534DC" w:rsidRDefault="00916959" w:rsidP="00F607EF">
      <w:pPr>
        <w:pStyle w:val="ListParagraph"/>
        <w:numPr>
          <w:ilvl w:val="1"/>
          <w:numId w:val="4"/>
        </w:numPr>
        <w:autoSpaceDE w:val="0"/>
        <w:autoSpaceDN w:val="0"/>
        <w:adjustRightInd w:val="0"/>
        <w:ind w:left="709"/>
        <w:contextualSpacing w:val="0"/>
        <w:jc w:val="both"/>
        <w:rPr>
          <w:bCs/>
          <w:i/>
          <w:sz w:val="22"/>
          <w:szCs w:val="22"/>
        </w:rPr>
      </w:pPr>
      <w:r w:rsidRPr="008534DC">
        <w:rPr>
          <w:bCs/>
          <w:sz w:val="22"/>
          <w:szCs w:val="22"/>
        </w:rPr>
        <w:t>MI449 (</w:t>
      </w:r>
      <w:r w:rsidRPr="008534DC">
        <w:rPr>
          <w:bCs/>
          <w:i/>
          <w:sz w:val="22"/>
          <w:szCs w:val="22"/>
        </w:rPr>
        <w:t>Azure S DR MRI SureScan with BlueSync mobile remote monitoring;</w:t>
      </w:r>
    </w:p>
    <w:p w14:paraId="0837301B" w14:textId="2E4A6B9E" w:rsidR="00603AE4" w:rsidRPr="008534DC" w:rsidRDefault="00603AE4" w:rsidP="00603AE4">
      <w:pPr>
        <w:numPr>
          <w:ilvl w:val="0"/>
          <w:numId w:val="4"/>
        </w:numPr>
        <w:autoSpaceDE w:val="0"/>
        <w:autoSpaceDN w:val="0"/>
        <w:adjustRightInd w:val="0"/>
        <w:jc w:val="both"/>
        <w:rPr>
          <w:bCs/>
          <w:sz w:val="22"/>
          <w:szCs w:val="22"/>
        </w:rPr>
      </w:pPr>
      <w:r w:rsidRPr="008534DC">
        <w:rPr>
          <w:bCs/>
          <w:sz w:val="22"/>
          <w:szCs w:val="22"/>
        </w:rPr>
        <w:t xml:space="preserve">MI480 </w:t>
      </w:r>
      <w:r w:rsidRPr="008534DC">
        <w:rPr>
          <w:bCs/>
          <w:i/>
          <w:iCs/>
          <w:sz w:val="22"/>
          <w:szCs w:val="22"/>
        </w:rPr>
        <w:t>(</w:t>
      </w:r>
      <w:bookmarkStart w:id="6" w:name="_Hlk85487326"/>
      <w:r w:rsidRPr="008534DC">
        <w:rPr>
          <w:bCs/>
          <w:i/>
          <w:iCs/>
          <w:sz w:val="22"/>
          <w:szCs w:val="22"/>
        </w:rPr>
        <w:t>Intervertebral Fusion Staple</w:t>
      </w:r>
      <w:bookmarkEnd w:id="6"/>
      <w:r w:rsidRPr="008534DC">
        <w:rPr>
          <w:bCs/>
          <w:i/>
          <w:iCs/>
          <w:sz w:val="22"/>
          <w:szCs w:val="22"/>
        </w:rPr>
        <w:t>)</w:t>
      </w:r>
      <w:r w:rsidR="00D340D2" w:rsidRPr="008534DC">
        <w:rPr>
          <w:bCs/>
          <w:i/>
          <w:iCs/>
          <w:sz w:val="22"/>
          <w:szCs w:val="22"/>
        </w:rPr>
        <w:t>;</w:t>
      </w:r>
    </w:p>
    <w:p w14:paraId="7BFA270B" w14:textId="0792A509" w:rsidR="00916959" w:rsidRPr="008534DC" w:rsidRDefault="00916959" w:rsidP="00F607EF">
      <w:pPr>
        <w:pStyle w:val="ListParagraph"/>
        <w:numPr>
          <w:ilvl w:val="1"/>
          <w:numId w:val="4"/>
        </w:numPr>
        <w:autoSpaceDE w:val="0"/>
        <w:autoSpaceDN w:val="0"/>
        <w:adjustRightInd w:val="0"/>
        <w:ind w:left="709"/>
        <w:contextualSpacing w:val="0"/>
        <w:jc w:val="both"/>
        <w:rPr>
          <w:bCs/>
          <w:i/>
          <w:sz w:val="22"/>
          <w:szCs w:val="22"/>
        </w:rPr>
      </w:pPr>
      <w:r w:rsidRPr="008534DC">
        <w:rPr>
          <w:bCs/>
          <w:sz w:val="22"/>
          <w:szCs w:val="22"/>
        </w:rPr>
        <w:t xml:space="preserve">SJ417 </w:t>
      </w:r>
      <w:r w:rsidRPr="008534DC">
        <w:rPr>
          <w:bCs/>
          <w:i/>
          <w:sz w:val="22"/>
          <w:szCs w:val="22"/>
        </w:rPr>
        <w:t>(Gallant VR ICD Model CDVRA500Q);</w:t>
      </w:r>
    </w:p>
    <w:p w14:paraId="46B8C942" w14:textId="77777777" w:rsidR="00916959" w:rsidRPr="008534DC" w:rsidRDefault="00916959" w:rsidP="00916959">
      <w:pPr>
        <w:numPr>
          <w:ilvl w:val="1"/>
          <w:numId w:val="4"/>
        </w:numPr>
        <w:autoSpaceDE w:val="0"/>
        <w:autoSpaceDN w:val="0"/>
        <w:adjustRightInd w:val="0"/>
        <w:ind w:left="709"/>
        <w:jc w:val="both"/>
        <w:rPr>
          <w:bCs/>
          <w:i/>
          <w:sz w:val="22"/>
          <w:szCs w:val="22"/>
        </w:rPr>
      </w:pPr>
      <w:r w:rsidRPr="008534DC">
        <w:rPr>
          <w:bCs/>
          <w:sz w:val="22"/>
          <w:szCs w:val="22"/>
        </w:rPr>
        <w:t xml:space="preserve">SJ418 </w:t>
      </w:r>
      <w:r w:rsidRPr="008534DC">
        <w:rPr>
          <w:bCs/>
          <w:i/>
          <w:sz w:val="22"/>
          <w:szCs w:val="22"/>
        </w:rPr>
        <w:t>(Gallant DR ICD Model CDDRA500Q;</w:t>
      </w:r>
    </w:p>
    <w:p w14:paraId="3A0DB0FC" w14:textId="77777777" w:rsidR="00916959" w:rsidRPr="008534DC" w:rsidRDefault="00916959" w:rsidP="00916959">
      <w:pPr>
        <w:numPr>
          <w:ilvl w:val="1"/>
          <w:numId w:val="4"/>
        </w:numPr>
        <w:autoSpaceDE w:val="0"/>
        <w:autoSpaceDN w:val="0"/>
        <w:adjustRightInd w:val="0"/>
        <w:ind w:left="709"/>
        <w:jc w:val="both"/>
        <w:rPr>
          <w:bCs/>
          <w:i/>
          <w:sz w:val="22"/>
          <w:szCs w:val="22"/>
        </w:rPr>
      </w:pPr>
      <w:r w:rsidRPr="008534DC">
        <w:rPr>
          <w:bCs/>
          <w:sz w:val="22"/>
          <w:szCs w:val="22"/>
        </w:rPr>
        <w:t xml:space="preserve">SJ419 </w:t>
      </w:r>
      <w:r w:rsidRPr="008534DC">
        <w:rPr>
          <w:bCs/>
          <w:i/>
          <w:sz w:val="22"/>
          <w:szCs w:val="22"/>
        </w:rPr>
        <w:t>(Entrant DR ICD Model CDDRA300Q);</w:t>
      </w:r>
    </w:p>
    <w:p w14:paraId="3A4B7C61" w14:textId="77777777" w:rsidR="00916959" w:rsidRPr="008534DC" w:rsidRDefault="00916959" w:rsidP="00916959">
      <w:pPr>
        <w:numPr>
          <w:ilvl w:val="1"/>
          <w:numId w:val="4"/>
        </w:numPr>
        <w:autoSpaceDE w:val="0"/>
        <w:autoSpaceDN w:val="0"/>
        <w:adjustRightInd w:val="0"/>
        <w:ind w:left="709"/>
        <w:jc w:val="both"/>
        <w:rPr>
          <w:bCs/>
          <w:i/>
          <w:sz w:val="22"/>
          <w:szCs w:val="22"/>
        </w:rPr>
      </w:pPr>
      <w:r w:rsidRPr="008534DC">
        <w:rPr>
          <w:bCs/>
          <w:sz w:val="22"/>
          <w:szCs w:val="22"/>
        </w:rPr>
        <w:t xml:space="preserve">SJ420 </w:t>
      </w:r>
      <w:r w:rsidRPr="008534DC">
        <w:rPr>
          <w:bCs/>
          <w:i/>
          <w:sz w:val="22"/>
          <w:szCs w:val="22"/>
        </w:rPr>
        <w:t>(Entrant VR ICD Model CDVRA300Q);</w:t>
      </w:r>
    </w:p>
    <w:p w14:paraId="7CEF5DFE" w14:textId="77777777" w:rsidR="00916959" w:rsidRPr="008534DC" w:rsidRDefault="00916959" w:rsidP="00916959">
      <w:pPr>
        <w:numPr>
          <w:ilvl w:val="1"/>
          <w:numId w:val="4"/>
        </w:numPr>
        <w:autoSpaceDE w:val="0"/>
        <w:autoSpaceDN w:val="0"/>
        <w:adjustRightInd w:val="0"/>
        <w:ind w:left="709"/>
        <w:jc w:val="both"/>
        <w:rPr>
          <w:bCs/>
          <w:sz w:val="22"/>
          <w:szCs w:val="22"/>
        </w:rPr>
      </w:pPr>
      <w:r w:rsidRPr="008534DC">
        <w:rPr>
          <w:bCs/>
          <w:sz w:val="22"/>
          <w:szCs w:val="22"/>
        </w:rPr>
        <w:t xml:space="preserve">SJ421 </w:t>
      </w:r>
      <w:r w:rsidRPr="008534DC">
        <w:rPr>
          <w:bCs/>
          <w:i/>
          <w:sz w:val="22"/>
          <w:szCs w:val="22"/>
        </w:rPr>
        <w:t xml:space="preserve">(Neutrino </w:t>
      </w:r>
      <w:proofErr w:type="spellStart"/>
      <w:r w:rsidRPr="008534DC">
        <w:rPr>
          <w:bCs/>
          <w:i/>
          <w:sz w:val="22"/>
          <w:szCs w:val="22"/>
        </w:rPr>
        <w:t>NxT</w:t>
      </w:r>
      <w:proofErr w:type="spellEnd"/>
      <w:r w:rsidRPr="008534DC">
        <w:rPr>
          <w:bCs/>
          <w:i/>
          <w:sz w:val="22"/>
          <w:szCs w:val="22"/>
        </w:rPr>
        <w:t xml:space="preserve"> DR ICD Model CDDRA600Q);</w:t>
      </w:r>
    </w:p>
    <w:p w14:paraId="05F5C16D" w14:textId="77777777" w:rsidR="00916959" w:rsidRPr="008534DC" w:rsidRDefault="00916959" w:rsidP="00916959">
      <w:pPr>
        <w:numPr>
          <w:ilvl w:val="1"/>
          <w:numId w:val="4"/>
        </w:numPr>
        <w:autoSpaceDE w:val="0"/>
        <w:autoSpaceDN w:val="0"/>
        <w:adjustRightInd w:val="0"/>
        <w:ind w:left="709"/>
        <w:jc w:val="both"/>
        <w:rPr>
          <w:bCs/>
          <w:sz w:val="22"/>
          <w:szCs w:val="22"/>
        </w:rPr>
      </w:pPr>
      <w:r w:rsidRPr="008534DC">
        <w:rPr>
          <w:bCs/>
          <w:sz w:val="22"/>
          <w:szCs w:val="22"/>
        </w:rPr>
        <w:t xml:space="preserve">SJ422 </w:t>
      </w:r>
      <w:r w:rsidRPr="008534DC">
        <w:rPr>
          <w:bCs/>
          <w:i/>
          <w:sz w:val="22"/>
          <w:szCs w:val="22"/>
        </w:rPr>
        <w:t xml:space="preserve">(Neutrino </w:t>
      </w:r>
      <w:proofErr w:type="spellStart"/>
      <w:r w:rsidRPr="008534DC">
        <w:rPr>
          <w:bCs/>
          <w:i/>
          <w:sz w:val="22"/>
          <w:szCs w:val="22"/>
        </w:rPr>
        <w:t>NxT</w:t>
      </w:r>
      <w:proofErr w:type="spellEnd"/>
      <w:r w:rsidRPr="008534DC">
        <w:rPr>
          <w:bCs/>
          <w:i/>
          <w:sz w:val="22"/>
          <w:szCs w:val="22"/>
        </w:rPr>
        <w:t xml:space="preserve"> VR ICD Model CDVRA600Q);</w:t>
      </w:r>
    </w:p>
    <w:p w14:paraId="400A38A8" w14:textId="77777777" w:rsidR="00916959" w:rsidRPr="008534DC" w:rsidRDefault="00916959" w:rsidP="00916959">
      <w:pPr>
        <w:numPr>
          <w:ilvl w:val="0"/>
          <w:numId w:val="4"/>
        </w:numPr>
        <w:autoSpaceDE w:val="0"/>
        <w:autoSpaceDN w:val="0"/>
        <w:adjustRightInd w:val="0"/>
        <w:jc w:val="both"/>
        <w:rPr>
          <w:bCs/>
          <w:sz w:val="22"/>
          <w:szCs w:val="22"/>
        </w:rPr>
      </w:pPr>
      <w:r w:rsidRPr="008534DC">
        <w:rPr>
          <w:bCs/>
          <w:sz w:val="22"/>
          <w:szCs w:val="22"/>
        </w:rPr>
        <w:t xml:space="preserve">SJ424 </w:t>
      </w:r>
      <w:r w:rsidRPr="008534DC">
        <w:rPr>
          <w:bCs/>
          <w:i/>
          <w:sz w:val="22"/>
          <w:szCs w:val="22"/>
        </w:rPr>
        <w:t>(Gallant HF CRT-D Model CDHFA500Q);</w:t>
      </w:r>
    </w:p>
    <w:p w14:paraId="632C5880" w14:textId="77777777" w:rsidR="00916959" w:rsidRPr="008534DC" w:rsidRDefault="00916959" w:rsidP="00916959">
      <w:pPr>
        <w:numPr>
          <w:ilvl w:val="0"/>
          <w:numId w:val="4"/>
        </w:numPr>
        <w:autoSpaceDE w:val="0"/>
        <w:autoSpaceDN w:val="0"/>
        <w:adjustRightInd w:val="0"/>
        <w:ind w:left="714" w:hanging="357"/>
        <w:jc w:val="both"/>
        <w:rPr>
          <w:bCs/>
          <w:sz w:val="22"/>
          <w:szCs w:val="22"/>
        </w:rPr>
      </w:pPr>
      <w:r w:rsidRPr="008534DC">
        <w:rPr>
          <w:bCs/>
          <w:sz w:val="22"/>
          <w:szCs w:val="22"/>
        </w:rPr>
        <w:t xml:space="preserve">SJ425 </w:t>
      </w:r>
      <w:r w:rsidRPr="008534DC">
        <w:rPr>
          <w:bCs/>
          <w:i/>
          <w:sz w:val="22"/>
          <w:szCs w:val="22"/>
        </w:rPr>
        <w:t xml:space="preserve">(Neutrino </w:t>
      </w:r>
      <w:proofErr w:type="spellStart"/>
      <w:r w:rsidRPr="008534DC">
        <w:rPr>
          <w:bCs/>
          <w:i/>
          <w:sz w:val="22"/>
          <w:szCs w:val="22"/>
        </w:rPr>
        <w:t>NxT</w:t>
      </w:r>
      <w:proofErr w:type="spellEnd"/>
      <w:r w:rsidRPr="008534DC">
        <w:rPr>
          <w:bCs/>
          <w:i/>
          <w:sz w:val="22"/>
          <w:szCs w:val="22"/>
        </w:rPr>
        <w:t xml:space="preserve"> HF CRT-D Model CDHFA600Q); </w:t>
      </w:r>
      <w:r w:rsidRPr="008534DC">
        <w:rPr>
          <w:bCs/>
          <w:iCs/>
          <w:sz w:val="22"/>
          <w:szCs w:val="22"/>
        </w:rPr>
        <w:t>and</w:t>
      </w:r>
    </w:p>
    <w:p w14:paraId="374C0DAD" w14:textId="6A8F442D" w:rsidR="00916959" w:rsidRPr="008534DC" w:rsidRDefault="00916959" w:rsidP="00916959">
      <w:pPr>
        <w:numPr>
          <w:ilvl w:val="0"/>
          <w:numId w:val="4"/>
        </w:numPr>
        <w:autoSpaceDE w:val="0"/>
        <w:autoSpaceDN w:val="0"/>
        <w:adjustRightInd w:val="0"/>
        <w:jc w:val="both"/>
        <w:rPr>
          <w:bCs/>
          <w:sz w:val="22"/>
          <w:szCs w:val="22"/>
        </w:rPr>
      </w:pPr>
      <w:r w:rsidRPr="008534DC">
        <w:rPr>
          <w:bCs/>
          <w:sz w:val="22"/>
          <w:szCs w:val="22"/>
        </w:rPr>
        <w:t xml:space="preserve">SJ426 </w:t>
      </w:r>
      <w:r w:rsidRPr="008534DC">
        <w:rPr>
          <w:bCs/>
          <w:i/>
          <w:sz w:val="22"/>
          <w:szCs w:val="22"/>
        </w:rPr>
        <w:t>(Entrant HF CRT-D Model CDHFA300Q)</w:t>
      </w:r>
      <w:r w:rsidR="00D163F3" w:rsidRPr="008534DC">
        <w:rPr>
          <w:bCs/>
          <w:i/>
          <w:sz w:val="22"/>
          <w:szCs w:val="22"/>
        </w:rPr>
        <w:t>.</w:t>
      </w:r>
    </w:p>
    <w:p w14:paraId="79294F3A" w14:textId="77777777" w:rsidR="00603AE4" w:rsidRPr="008534DC" w:rsidRDefault="00603AE4" w:rsidP="00603AE4">
      <w:pPr>
        <w:autoSpaceDE w:val="0"/>
        <w:autoSpaceDN w:val="0"/>
        <w:adjustRightInd w:val="0"/>
        <w:jc w:val="both"/>
        <w:rPr>
          <w:bCs/>
          <w:sz w:val="22"/>
          <w:szCs w:val="22"/>
        </w:rPr>
      </w:pPr>
    </w:p>
    <w:p w14:paraId="3F50555F" w14:textId="3B089FA1" w:rsidR="00916959" w:rsidRPr="008534DC" w:rsidRDefault="00CD337E" w:rsidP="00916959">
      <w:pPr>
        <w:autoSpaceDE w:val="0"/>
        <w:autoSpaceDN w:val="0"/>
        <w:adjustRightInd w:val="0"/>
        <w:jc w:val="both"/>
        <w:rPr>
          <w:bCs/>
          <w:sz w:val="22"/>
          <w:szCs w:val="22"/>
        </w:rPr>
      </w:pPr>
      <w:r w:rsidRPr="008534DC">
        <w:rPr>
          <w:bCs/>
          <w:sz w:val="22"/>
          <w:szCs w:val="22"/>
        </w:rPr>
        <w:t>2</w:t>
      </w:r>
      <w:r w:rsidR="00603AE4" w:rsidRPr="008534DC">
        <w:rPr>
          <w:bCs/>
          <w:sz w:val="22"/>
          <w:szCs w:val="22"/>
        </w:rPr>
        <w:t xml:space="preserve"> billing code</w:t>
      </w:r>
      <w:r w:rsidRPr="008534DC">
        <w:rPr>
          <w:bCs/>
          <w:sz w:val="22"/>
          <w:szCs w:val="22"/>
        </w:rPr>
        <w:t>s</w:t>
      </w:r>
      <w:r w:rsidR="00916959" w:rsidRPr="008534DC">
        <w:rPr>
          <w:bCs/>
          <w:sz w:val="22"/>
          <w:szCs w:val="22"/>
        </w:rPr>
        <w:t xml:space="preserve"> following </w:t>
      </w:r>
      <w:r w:rsidR="00603AE4" w:rsidRPr="008534DC">
        <w:rPr>
          <w:bCs/>
          <w:sz w:val="22"/>
          <w:szCs w:val="22"/>
        </w:rPr>
        <w:t>advice that they</w:t>
      </w:r>
      <w:r w:rsidR="00916959" w:rsidRPr="008534DC">
        <w:rPr>
          <w:bCs/>
          <w:sz w:val="22"/>
          <w:szCs w:val="22"/>
        </w:rPr>
        <w:t xml:space="preserve"> are subject to the specific conditions that must be satisfied in relation to the provision of these prostheses)</w:t>
      </w:r>
      <w:r w:rsidR="00603AE4" w:rsidRPr="008534DC">
        <w:rPr>
          <w:bCs/>
          <w:sz w:val="22"/>
          <w:szCs w:val="22"/>
        </w:rPr>
        <w:t>:</w:t>
      </w:r>
    </w:p>
    <w:p w14:paraId="54E0BDC7" w14:textId="315BD339" w:rsidR="00CD337E" w:rsidRPr="008534DC" w:rsidRDefault="00CD337E" w:rsidP="00CD337E">
      <w:pPr>
        <w:pStyle w:val="ListParagraph"/>
        <w:numPr>
          <w:ilvl w:val="0"/>
          <w:numId w:val="12"/>
        </w:numPr>
        <w:autoSpaceDE w:val="0"/>
        <w:autoSpaceDN w:val="0"/>
        <w:adjustRightInd w:val="0"/>
        <w:jc w:val="both"/>
        <w:rPr>
          <w:bCs/>
          <w:sz w:val="22"/>
          <w:szCs w:val="22"/>
        </w:rPr>
      </w:pPr>
      <w:r w:rsidRPr="008534DC">
        <w:rPr>
          <w:bCs/>
          <w:sz w:val="22"/>
          <w:szCs w:val="22"/>
        </w:rPr>
        <w:t xml:space="preserve">OW014 </w:t>
      </w:r>
      <w:r w:rsidRPr="008534DC">
        <w:rPr>
          <w:bCs/>
          <w:i/>
          <w:iCs/>
          <w:sz w:val="22"/>
          <w:szCs w:val="22"/>
        </w:rPr>
        <w:t>(</w:t>
      </w:r>
      <w:proofErr w:type="spellStart"/>
      <w:r w:rsidRPr="008534DC">
        <w:rPr>
          <w:bCs/>
          <w:i/>
          <w:iCs/>
          <w:sz w:val="22"/>
          <w:szCs w:val="22"/>
        </w:rPr>
        <w:t>StabiliT</w:t>
      </w:r>
      <w:proofErr w:type="spellEnd"/>
      <w:r w:rsidRPr="008534DC">
        <w:rPr>
          <w:bCs/>
          <w:i/>
          <w:iCs/>
          <w:sz w:val="22"/>
          <w:szCs w:val="22"/>
        </w:rPr>
        <w:t xml:space="preserve"> Bone Cement &amp; Saturate Mixing System); </w:t>
      </w:r>
      <w:r w:rsidRPr="008534DC">
        <w:rPr>
          <w:bCs/>
          <w:sz w:val="22"/>
          <w:szCs w:val="22"/>
        </w:rPr>
        <w:t>and</w:t>
      </w:r>
    </w:p>
    <w:p w14:paraId="2AC2FD89" w14:textId="271872FD" w:rsidR="00CD337E" w:rsidRPr="008534DC" w:rsidRDefault="00CD337E" w:rsidP="00CD337E">
      <w:pPr>
        <w:pStyle w:val="ListParagraph"/>
        <w:numPr>
          <w:ilvl w:val="0"/>
          <w:numId w:val="12"/>
        </w:numPr>
        <w:autoSpaceDE w:val="0"/>
        <w:autoSpaceDN w:val="0"/>
        <w:adjustRightInd w:val="0"/>
        <w:jc w:val="both"/>
        <w:rPr>
          <w:bCs/>
          <w:sz w:val="22"/>
          <w:szCs w:val="22"/>
        </w:rPr>
      </w:pPr>
      <w:r w:rsidRPr="008534DC">
        <w:rPr>
          <w:bCs/>
          <w:sz w:val="22"/>
          <w:szCs w:val="22"/>
        </w:rPr>
        <w:t xml:space="preserve">SK494 </w:t>
      </w:r>
      <w:r w:rsidRPr="008534DC">
        <w:rPr>
          <w:bCs/>
          <w:i/>
          <w:iCs/>
          <w:sz w:val="22"/>
          <w:szCs w:val="22"/>
        </w:rPr>
        <w:t>(</w:t>
      </w:r>
      <w:proofErr w:type="spellStart"/>
      <w:r w:rsidRPr="008534DC">
        <w:rPr>
          <w:bCs/>
          <w:i/>
          <w:iCs/>
          <w:sz w:val="22"/>
          <w:szCs w:val="22"/>
        </w:rPr>
        <w:t>DuraMatrix</w:t>
      </w:r>
      <w:proofErr w:type="spellEnd"/>
      <w:r w:rsidRPr="008534DC">
        <w:rPr>
          <w:bCs/>
          <w:i/>
          <w:iCs/>
          <w:sz w:val="22"/>
          <w:szCs w:val="22"/>
        </w:rPr>
        <w:t>)</w:t>
      </w:r>
    </w:p>
    <w:p w14:paraId="6AA13700" w14:textId="77777777" w:rsidR="00916959" w:rsidRPr="008534DC" w:rsidRDefault="00916959" w:rsidP="00916959">
      <w:pPr>
        <w:pStyle w:val="TableParagraph"/>
        <w:ind w:left="0"/>
        <w:rPr>
          <w:rFonts w:cstheme="minorHAnsi"/>
          <w:bCs/>
        </w:rPr>
      </w:pPr>
    </w:p>
    <w:p w14:paraId="45C7F103" w14:textId="3DA66567" w:rsidR="00916959" w:rsidRPr="008534DC" w:rsidRDefault="00916959" w:rsidP="00916959">
      <w:pPr>
        <w:autoSpaceDE w:val="0"/>
        <w:autoSpaceDN w:val="0"/>
        <w:adjustRightInd w:val="0"/>
        <w:jc w:val="both"/>
        <w:rPr>
          <w:sz w:val="22"/>
          <w:szCs w:val="22"/>
        </w:rPr>
      </w:pPr>
      <w:r w:rsidRPr="008534DC">
        <w:rPr>
          <w:sz w:val="22"/>
          <w:szCs w:val="22"/>
        </w:rPr>
        <w:t xml:space="preserve">The specific conditions for these </w:t>
      </w:r>
      <w:r w:rsidR="00AD25AF" w:rsidRPr="008534DC">
        <w:rPr>
          <w:sz w:val="22"/>
          <w:szCs w:val="22"/>
        </w:rPr>
        <w:t>8</w:t>
      </w:r>
      <w:r w:rsidR="00CD337E" w:rsidRPr="008534DC">
        <w:rPr>
          <w:sz w:val="22"/>
          <w:szCs w:val="22"/>
        </w:rPr>
        <w:t>3</w:t>
      </w:r>
      <w:r w:rsidRPr="008534DC">
        <w:rPr>
          <w:sz w:val="22"/>
          <w:szCs w:val="22"/>
        </w:rPr>
        <w:t xml:space="preserve"> codes are below.</w:t>
      </w:r>
    </w:p>
    <w:p w14:paraId="2275DD27" w14:textId="77777777" w:rsidR="00916959" w:rsidRPr="008534DC" w:rsidRDefault="00916959" w:rsidP="00916959">
      <w:pPr>
        <w:autoSpaceDE w:val="0"/>
        <w:autoSpaceDN w:val="0"/>
        <w:adjustRightInd w:val="0"/>
        <w:jc w:val="both"/>
        <w:rPr>
          <w:sz w:val="22"/>
          <w:szCs w:val="22"/>
        </w:rPr>
      </w:pPr>
    </w:p>
    <w:p w14:paraId="1EB1EB93" w14:textId="77777777" w:rsidR="00916959" w:rsidRPr="008534DC" w:rsidRDefault="00916959" w:rsidP="00916959">
      <w:pPr>
        <w:autoSpaceDE w:val="0"/>
        <w:autoSpaceDN w:val="0"/>
        <w:adjustRightInd w:val="0"/>
        <w:jc w:val="both"/>
        <w:rPr>
          <w:sz w:val="22"/>
          <w:szCs w:val="22"/>
        </w:rPr>
      </w:pPr>
      <w:r w:rsidRPr="008534DC">
        <w:rPr>
          <w:sz w:val="22"/>
          <w:szCs w:val="22"/>
        </w:rPr>
        <w:t>Part A</w:t>
      </w:r>
    </w:p>
    <w:p w14:paraId="69B7E5F7" w14:textId="77777777" w:rsidR="00916959" w:rsidRPr="008534DC" w:rsidRDefault="00916959" w:rsidP="00916959">
      <w:pPr>
        <w:numPr>
          <w:ilvl w:val="1"/>
          <w:numId w:val="4"/>
        </w:numPr>
        <w:autoSpaceDE w:val="0"/>
        <w:autoSpaceDN w:val="0"/>
        <w:adjustRightInd w:val="0"/>
        <w:ind w:left="709"/>
        <w:jc w:val="both"/>
        <w:rPr>
          <w:rFonts w:ascii="Times New Roman" w:hAnsi="Times New Roman"/>
          <w:bCs/>
          <w:sz w:val="22"/>
          <w:szCs w:val="22"/>
        </w:rPr>
      </w:pPr>
      <w:r w:rsidRPr="008534DC">
        <w:rPr>
          <w:rFonts w:ascii="Times New Roman" w:hAnsi="Times New Roman"/>
          <w:bCs/>
          <w:sz w:val="22"/>
          <w:szCs w:val="22"/>
        </w:rPr>
        <w:t>CR032, CR201, CR202, CR203, CR204, CR205, CR206, CR214, and MA545 – that an Artificial Ligament should only be funded for intra-articular cases where no non-synthetic graft sources (allografts and autografts) are available;</w:t>
      </w:r>
    </w:p>
    <w:p w14:paraId="4EFE28DE" w14:textId="77777777" w:rsidR="00916959" w:rsidRPr="008534DC" w:rsidRDefault="00916959" w:rsidP="00916959">
      <w:pPr>
        <w:numPr>
          <w:ilvl w:val="1"/>
          <w:numId w:val="4"/>
        </w:numPr>
        <w:autoSpaceDE w:val="0"/>
        <w:autoSpaceDN w:val="0"/>
        <w:adjustRightInd w:val="0"/>
        <w:ind w:left="709"/>
        <w:jc w:val="both"/>
        <w:rPr>
          <w:rFonts w:ascii="Times New Roman" w:hAnsi="Times New Roman"/>
          <w:bCs/>
          <w:sz w:val="22"/>
          <w:szCs w:val="22"/>
        </w:rPr>
      </w:pPr>
      <w:r w:rsidRPr="008534DC">
        <w:rPr>
          <w:rFonts w:ascii="Times New Roman" w:hAnsi="Times New Roman"/>
          <w:bCs/>
          <w:sz w:val="22"/>
          <w:szCs w:val="22"/>
        </w:rPr>
        <w:t>HU267 – only to be reimbursed when used in a surgical procedure described in item 47450, 47528 or 47565 in Group T8 of the Regulations;</w:t>
      </w:r>
    </w:p>
    <w:p w14:paraId="0772BB52" w14:textId="77777777" w:rsidR="00916959" w:rsidRPr="008534DC" w:rsidRDefault="00916959" w:rsidP="00916959">
      <w:pPr>
        <w:numPr>
          <w:ilvl w:val="1"/>
          <w:numId w:val="4"/>
        </w:numPr>
        <w:autoSpaceDE w:val="0"/>
        <w:autoSpaceDN w:val="0"/>
        <w:adjustRightInd w:val="0"/>
        <w:ind w:left="709"/>
        <w:jc w:val="both"/>
        <w:rPr>
          <w:rFonts w:ascii="Times New Roman" w:hAnsi="Times New Roman"/>
          <w:bCs/>
          <w:sz w:val="22"/>
          <w:szCs w:val="22"/>
        </w:rPr>
      </w:pPr>
      <w:r w:rsidRPr="008534DC">
        <w:rPr>
          <w:rFonts w:ascii="Times New Roman" w:hAnsi="Times New Roman"/>
          <w:bCs/>
          <w:sz w:val="22"/>
          <w:szCs w:val="22"/>
        </w:rPr>
        <w:lastRenderedPageBreak/>
        <w:t xml:space="preserve">DE669, DE670, DE671, BF025, BF026, BF027, BF028, and BF029 – to be reimbursed only when used in patients with spinal tumours; </w:t>
      </w:r>
    </w:p>
    <w:p w14:paraId="5788F721" w14:textId="77777777" w:rsidR="00916959" w:rsidRPr="008534DC" w:rsidRDefault="00916959" w:rsidP="00916959">
      <w:pPr>
        <w:numPr>
          <w:ilvl w:val="1"/>
          <w:numId w:val="4"/>
        </w:numPr>
        <w:autoSpaceDE w:val="0"/>
        <w:autoSpaceDN w:val="0"/>
        <w:adjustRightInd w:val="0"/>
        <w:ind w:left="709"/>
        <w:jc w:val="both"/>
        <w:rPr>
          <w:rFonts w:ascii="Times New Roman" w:hAnsi="Times New Roman"/>
          <w:bCs/>
          <w:sz w:val="22"/>
          <w:szCs w:val="22"/>
        </w:rPr>
      </w:pPr>
      <w:r w:rsidRPr="008534DC">
        <w:rPr>
          <w:rFonts w:ascii="Times New Roman" w:hAnsi="Times New Roman"/>
          <w:bCs/>
          <w:sz w:val="22"/>
          <w:szCs w:val="22"/>
        </w:rPr>
        <w:t>DE678 – limited to use in patients with spinal tumours only;</w:t>
      </w:r>
    </w:p>
    <w:p w14:paraId="3C7D8BA0" w14:textId="77777777" w:rsidR="00916959" w:rsidRPr="008534DC" w:rsidRDefault="00916959" w:rsidP="00916959">
      <w:pPr>
        <w:numPr>
          <w:ilvl w:val="1"/>
          <w:numId w:val="4"/>
        </w:numPr>
        <w:autoSpaceDE w:val="0"/>
        <w:autoSpaceDN w:val="0"/>
        <w:adjustRightInd w:val="0"/>
        <w:ind w:left="709"/>
        <w:jc w:val="both"/>
        <w:rPr>
          <w:rFonts w:ascii="Times New Roman" w:hAnsi="Times New Roman"/>
          <w:bCs/>
          <w:sz w:val="22"/>
          <w:szCs w:val="22"/>
        </w:rPr>
      </w:pPr>
      <w:r w:rsidRPr="008534DC">
        <w:rPr>
          <w:rFonts w:ascii="Times New Roman" w:hAnsi="Times New Roman"/>
          <w:bCs/>
          <w:sz w:val="22"/>
          <w:szCs w:val="22"/>
        </w:rPr>
        <w:t>DE679, DE680 – to be provided only to patients with spinal tumours;</w:t>
      </w:r>
    </w:p>
    <w:p w14:paraId="37623C69" w14:textId="77777777" w:rsidR="00916959" w:rsidRPr="008534DC" w:rsidRDefault="00916959" w:rsidP="00916959">
      <w:pPr>
        <w:numPr>
          <w:ilvl w:val="0"/>
          <w:numId w:val="4"/>
        </w:numPr>
        <w:autoSpaceDE w:val="0"/>
        <w:autoSpaceDN w:val="0"/>
        <w:adjustRightInd w:val="0"/>
        <w:jc w:val="both"/>
        <w:rPr>
          <w:rFonts w:ascii="Times New Roman" w:hAnsi="Times New Roman"/>
          <w:bCs/>
          <w:sz w:val="22"/>
          <w:szCs w:val="22"/>
        </w:rPr>
      </w:pPr>
      <w:r w:rsidRPr="008534DC">
        <w:rPr>
          <w:rFonts w:ascii="Times New Roman" w:hAnsi="Times New Roman"/>
          <w:bCs/>
          <w:sz w:val="22"/>
          <w:szCs w:val="22"/>
        </w:rPr>
        <w:t xml:space="preserve">HW678 – this billing code is for Monterey AL Cage but only when it is used with screws to achieve integral fixation. It was noted that when the cage is used without screws it should be listed on Prostheses List in the grouping 13.10.02.02 Spinal, Fusion cage, interbody, no integral fixation, </w:t>
      </w:r>
      <w:proofErr w:type="spellStart"/>
      <w:r w:rsidRPr="008534DC">
        <w:rPr>
          <w:rFonts w:ascii="Times New Roman" w:hAnsi="Times New Roman"/>
          <w:bCs/>
          <w:sz w:val="22"/>
          <w:szCs w:val="22"/>
        </w:rPr>
        <w:t>ThoracoLumbar</w:t>
      </w:r>
      <w:proofErr w:type="spellEnd"/>
      <w:r w:rsidRPr="008534DC">
        <w:rPr>
          <w:rFonts w:ascii="Times New Roman" w:hAnsi="Times New Roman"/>
          <w:bCs/>
          <w:sz w:val="22"/>
          <w:szCs w:val="22"/>
        </w:rPr>
        <w:t>/Lumbar;</w:t>
      </w:r>
    </w:p>
    <w:p w14:paraId="4EB46654" w14:textId="77777777" w:rsidR="00916959" w:rsidRPr="008534DC" w:rsidRDefault="00916959" w:rsidP="00916959">
      <w:pPr>
        <w:numPr>
          <w:ilvl w:val="1"/>
          <w:numId w:val="4"/>
        </w:numPr>
        <w:autoSpaceDE w:val="0"/>
        <w:autoSpaceDN w:val="0"/>
        <w:adjustRightInd w:val="0"/>
        <w:ind w:left="709"/>
        <w:jc w:val="both"/>
        <w:rPr>
          <w:rFonts w:ascii="Times New Roman" w:hAnsi="Times New Roman"/>
          <w:bCs/>
          <w:sz w:val="22"/>
          <w:szCs w:val="22"/>
        </w:rPr>
      </w:pPr>
      <w:r w:rsidRPr="008534DC">
        <w:rPr>
          <w:rFonts w:ascii="Times New Roman" w:hAnsi="Times New Roman"/>
          <w:bCs/>
          <w:sz w:val="22"/>
          <w:szCs w:val="22"/>
        </w:rPr>
        <w:t>HW776 – to be reimbursed only when used with posterior supplemental fixation with other implants;</w:t>
      </w:r>
    </w:p>
    <w:p w14:paraId="2161DC16" w14:textId="4CDBF3FB" w:rsidR="001A7390" w:rsidRPr="008534DC" w:rsidRDefault="001A7390" w:rsidP="001A7390">
      <w:pPr>
        <w:pStyle w:val="ListParagraph"/>
        <w:numPr>
          <w:ilvl w:val="0"/>
          <w:numId w:val="4"/>
        </w:numPr>
        <w:tabs>
          <w:tab w:val="left" w:pos="1773"/>
        </w:tabs>
        <w:jc w:val="both"/>
        <w:rPr>
          <w:rFonts w:ascii="Times New Roman" w:hAnsi="Times New Roman"/>
          <w:i/>
          <w:iCs/>
          <w:sz w:val="22"/>
          <w:szCs w:val="22"/>
        </w:rPr>
      </w:pPr>
      <w:r w:rsidRPr="008534DC">
        <w:rPr>
          <w:rFonts w:ascii="Times New Roman" w:hAnsi="Times New Roman"/>
          <w:sz w:val="22"/>
          <w:szCs w:val="22"/>
        </w:rPr>
        <w:t xml:space="preserve">HW785 </w:t>
      </w:r>
      <w:r w:rsidR="00CD337E" w:rsidRPr="008534DC">
        <w:rPr>
          <w:rFonts w:ascii="Times New Roman" w:hAnsi="Times New Roman"/>
          <w:sz w:val="22"/>
          <w:szCs w:val="22"/>
        </w:rPr>
        <w:t xml:space="preserve">and OW019 </w:t>
      </w:r>
      <w:r w:rsidRPr="008534DC">
        <w:rPr>
          <w:rFonts w:ascii="Times New Roman" w:hAnsi="Times New Roman"/>
          <w:sz w:val="22"/>
          <w:szCs w:val="22"/>
        </w:rPr>
        <w:t>- No PL benefit will be payable if the device is used for kyphoplasty surgery, as there is no evidence presented and no MBS item available for this procedure</w:t>
      </w:r>
      <w:r w:rsidRPr="008534DC">
        <w:rPr>
          <w:rFonts w:ascii="Times New Roman" w:hAnsi="Times New Roman"/>
          <w:i/>
          <w:iCs/>
          <w:sz w:val="22"/>
          <w:szCs w:val="22"/>
        </w:rPr>
        <w:t>;</w:t>
      </w:r>
    </w:p>
    <w:p w14:paraId="6A0CE0A0" w14:textId="2D2BC91D" w:rsidR="001A7390" w:rsidRPr="008534DC" w:rsidRDefault="001A7390" w:rsidP="001A7390">
      <w:pPr>
        <w:pStyle w:val="ListParagraph"/>
        <w:numPr>
          <w:ilvl w:val="0"/>
          <w:numId w:val="4"/>
        </w:numPr>
        <w:spacing w:after="160" w:line="259" w:lineRule="auto"/>
        <w:jc w:val="both"/>
        <w:rPr>
          <w:rFonts w:ascii="Times New Roman" w:hAnsi="Times New Roman"/>
          <w:sz w:val="22"/>
          <w:szCs w:val="22"/>
        </w:rPr>
      </w:pPr>
      <w:r w:rsidRPr="008534DC">
        <w:rPr>
          <w:rFonts w:ascii="Times New Roman" w:hAnsi="Times New Roman"/>
          <w:bCs/>
          <w:sz w:val="22"/>
          <w:szCs w:val="22"/>
        </w:rPr>
        <w:t>HW856 -</w:t>
      </w:r>
      <w:r w:rsidR="00DD5A35" w:rsidRPr="008534DC">
        <w:rPr>
          <w:rFonts w:ascii="Times New Roman" w:eastAsiaTheme="minorHAnsi" w:hAnsi="Times New Roman"/>
          <w:sz w:val="22"/>
          <w:szCs w:val="22"/>
        </w:rPr>
        <w:t xml:space="preserve"> The Prostheses List benefit is limited to reimbursement for the use of the device as an alternative to autograft in hindfoot and ankle fusion procedures that require supplemental graft material, including tibiotalar, </w:t>
      </w:r>
      <w:proofErr w:type="spellStart"/>
      <w:r w:rsidR="00DD5A35" w:rsidRPr="008534DC">
        <w:rPr>
          <w:rFonts w:ascii="Times New Roman" w:eastAsiaTheme="minorHAnsi" w:hAnsi="Times New Roman"/>
          <w:sz w:val="22"/>
          <w:szCs w:val="22"/>
        </w:rPr>
        <w:t>tibiocalcaneal</w:t>
      </w:r>
      <w:proofErr w:type="spellEnd"/>
      <w:r w:rsidR="00DD5A35" w:rsidRPr="008534DC">
        <w:rPr>
          <w:rFonts w:ascii="Times New Roman" w:eastAsiaTheme="minorHAnsi" w:hAnsi="Times New Roman"/>
          <w:sz w:val="22"/>
          <w:szCs w:val="22"/>
        </w:rPr>
        <w:t>, talonavicular and calcaneocuboid fusions, or any other procedure if stated in the Intended Purpose in the Australian Register of Therapeutic Goods (ARTG) entry 191454.</w:t>
      </w:r>
      <w:r w:rsidR="00D340D2" w:rsidRPr="008534DC">
        <w:rPr>
          <w:rFonts w:ascii="Times New Roman" w:eastAsiaTheme="minorHAnsi" w:hAnsi="Times New Roman"/>
          <w:sz w:val="22"/>
          <w:szCs w:val="22"/>
        </w:rPr>
        <w:t>;</w:t>
      </w:r>
    </w:p>
    <w:p w14:paraId="34E18AE1" w14:textId="4355D0D6" w:rsidR="001A7390" w:rsidRPr="008534DC" w:rsidRDefault="001A7390" w:rsidP="001A7390">
      <w:pPr>
        <w:pStyle w:val="ListParagraph"/>
        <w:numPr>
          <w:ilvl w:val="0"/>
          <w:numId w:val="4"/>
        </w:numPr>
        <w:tabs>
          <w:tab w:val="left" w:pos="1773"/>
        </w:tabs>
        <w:jc w:val="both"/>
        <w:rPr>
          <w:rFonts w:ascii="Times New Roman" w:hAnsi="Times New Roman"/>
          <w:bCs/>
          <w:sz w:val="22"/>
          <w:szCs w:val="22"/>
        </w:rPr>
      </w:pPr>
      <w:r w:rsidRPr="008534DC">
        <w:rPr>
          <w:rFonts w:ascii="Times New Roman" w:hAnsi="Times New Roman"/>
          <w:sz w:val="22"/>
          <w:szCs w:val="22"/>
        </w:rPr>
        <w:t xml:space="preserve">IJ022, IJ023, IJ024, IJ025 </w:t>
      </w:r>
      <w:r w:rsidR="00CD337E" w:rsidRPr="008534DC">
        <w:rPr>
          <w:rFonts w:ascii="Times New Roman" w:hAnsi="Times New Roman"/>
          <w:sz w:val="22"/>
          <w:szCs w:val="22"/>
        </w:rPr>
        <w:t xml:space="preserve">and SK494 </w:t>
      </w:r>
      <w:r w:rsidRPr="008534DC">
        <w:rPr>
          <w:rFonts w:ascii="Times New Roman" w:hAnsi="Times New Roman"/>
          <w:sz w:val="22"/>
          <w:szCs w:val="22"/>
        </w:rPr>
        <w:t xml:space="preserve">- </w:t>
      </w:r>
      <w:r w:rsidRPr="008534DC">
        <w:rPr>
          <w:rFonts w:ascii="Times New Roman" w:hAnsi="Times New Roman"/>
          <w:bCs/>
          <w:sz w:val="22"/>
          <w:szCs w:val="22"/>
        </w:rPr>
        <w:t>The Prostheses List benefit will be limited to use of the device for procedures related to dura defect repair in spinal and neurosurgical procedures.);</w:t>
      </w:r>
    </w:p>
    <w:p w14:paraId="7E2BB058" w14:textId="6D7B21BD" w:rsidR="001A7390" w:rsidRPr="008534DC" w:rsidRDefault="001A7390" w:rsidP="00916959">
      <w:pPr>
        <w:numPr>
          <w:ilvl w:val="1"/>
          <w:numId w:val="4"/>
        </w:numPr>
        <w:autoSpaceDE w:val="0"/>
        <w:autoSpaceDN w:val="0"/>
        <w:adjustRightInd w:val="0"/>
        <w:ind w:left="709"/>
        <w:jc w:val="both"/>
        <w:rPr>
          <w:rFonts w:ascii="Times New Roman" w:hAnsi="Times New Roman"/>
          <w:bCs/>
          <w:sz w:val="22"/>
          <w:szCs w:val="22"/>
        </w:rPr>
      </w:pPr>
      <w:r w:rsidRPr="008534DC">
        <w:rPr>
          <w:rFonts w:ascii="Times New Roman" w:hAnsi="Times New Roman"/>
          <w:bCs/>
          <w:sz w:val="22"/>
          <w:szCs w:val="22"/>
        </w:rPr>
        <w:t xml:space="preserve">LB088, LB089 and LB181 - </w:t>
      </w:r>
      <w:r w:rsidRPr="008534DC">
        <w:rPr>
          <w:rFonts w:ascii="Times New Roman" w:hAnsi="Times New Roman"/>
          <w:sz w:val="22"/>
          <w:szCs w:val="22"/>
          <w:shd w:val="clear" w:color="auto" w:fill="FFFFFF"/>
        </w:rPr>
        <w:t>The Prostheses List (PL) billing code does not cover the use of the device for vertebral body tethering (VBT) for the management of adolescent idiopathic scoliosis (AIS)</w:t>
      </w:r>
      <w:r w:rsidR="00E82A92" w:rsidRPr="008534DC">
        <w:rPr>
          <w:rFonts w:ascii="Times New Roman" w:hAnsi="Times New Roman"/>
          <w:sz w:val="22"/>
          <w:szCs w:val="22"/>
          <w:shd w:val="clear" w:color="auto" w:fill="FFFFFF"/>
        </w:rPr>
        <w:t>;</w:t>
      </w:r>
    </w:p>
    <w:p w14:paraId="1E3E315C" w14:textId="1F89B252" w:rsidR="00916959" w:rsidRPr="008534DC" w:rsidRDefault="00916959" w:rsidP="00916959">
      <w:pPr>
        <w:numPr>
          <w:ilvl w:val="1"/>
          <w:numId w:val="4"/>
        </w:numPr>
        <w:autoSpaceDE w:val="0"/>
        <w:autoSpaceDN w:val="0"/>
        <w:adjustRightInd w:val="0"/>
        <w:ind w:left="709"/>
        <w:jc w:val="both"/>
        <w:rPr>
          <w:rFonts w:ascii="Times New Roman" w:hAnsi="Times New Roman"/>
          <w:bCs/>
          <w:sz w:val="22"/>
          <w:szCs w:val="22"/>
        </w:rPr>
      </w:pPr>
      <w:r w:rsidRPr="008534DC">
        <w:rPr>
          <w:rFonts w:ascii="Times New Roman" w:hAnsi="Times New Roman"/>
          <w:bCs/>
          <w:sz w:val="22"/>
          <w:szCs w:val="22"/>
        </w:rPr>
        <w:t xml:space="preserve">MI402, MI403, MI404, MI405, MI406, MI407, MI408, MI409, MI410, MI411, MI412, MI413, MI416, MI417, MI418, MI419, MI420, MI421, MI422, MI423, MI424, MI425, MI426, MI427, </w:t>
      </w:r>
      <w:r w:rsidRPr="008534DC">
        <w:rPr>
          <w:rFonts w:ascii="Times New Roman" w:hAnsi="Times New Roman"/>
          <w:sz w:val="22"/>
          <w:szCs w:val="22"/>
        </w:rPr>
        <w:t>MI439, MI440, MI441, MI442, MI446, MI447, MI448, MI449</w:t>
      </w:r>
      <w:r w:rsidRPr="008534DC">
        <w:rPr>
          <w:rFonts w:ascii="Times New Roman" w:hAnsi="Times New Roman"/>
          <w:bCs/>
          <w:sz w:val="22"/>
          <w:szCs w:val="22"/>
        </w:rPr>
        <w:t xml:space="preserve">, SJ417, SJ418, SJ419, SJ420, SJ421, SJ422, SJ424, SJ425, and SJ426– </w:t>
      </w:r>
      <w:r w:rsidRPr="008534DC">
        <w:rPr>
          <w:rFonts w:ascii="Times New Roman" w:hAnsi="Times New Roman"/>
          <w:iCs/>
          <w:sz w:val="22"/>
          <w:szCs w:val="22"/>
        </w:rPr>
        <w:t xml:space="preserve">The benefit includes a component for remote monitoring services provided via a remote monitoring system or a smart device application. A separate benefit cannot be claimed in respect of a remote monitoring system listed on Part C of the Schedule; </w:t>
      </w:r>
      <w:r w:rsidR="00D340D2" w:rsidRPr="008534DC">
        <w:rPr>
          <w:rFonts w:ascii="Times New Roman" w:hAnsi="Times New Roman"/>
          <w:iCs/>
          <w:sz w:val="22"/>
          <w:szCs w:val="22"/>
        </w:rPr>
        <w:t>and</w:t>
      </w:r>
    </w:p>
    <w:p w14:paraId="52F85CB4" w14:textId="36FB209E" w:rsidR="00916959" w:rsidRPr="008534DC" w:rsidRDefault="00916959" w:rsidP="00916959">
      <w:pPr>
        <w:numPr>
          <w:ilvl w:val="1"/>
          <w:numId w:val="4"/>
        </w:numPr>
        <w:autoSpaceDE w:val="0"/>
        <w:autoSpaceDN w:val="0"/>
        <w:adjustRightInd w:val="0"/>
        <w:ind w:left="709"/>
        <w:jc w:val="both"/>
        <w:rPr>
          <w:rFonts w:ascii="Times New Roman" w:hAnsi="Times New Roman"/>
          <w:bCs/>
          <w:sz w:val="22"/>
          <w:szCs w:val="22"/>
        </w:rPr>
      </w:pPr>
      <w:r w:rsidRPr="008534DC">
        <w:rPr>
          <w:rFonts w:ascii="Times New Roman" w:hAnsi="Times New Roman"/>
          <w:bCs/>
          <w:sz w:val="22"/>
          <w:szCs w:val="22"/>
        </w:rPr>
        <w:t>MI480 – for single level ACDF (Anterior cervical discectomy and fusion) only</w:t>
      </w:r>
      <w:r w:rsidR="001A7390" w:rsidRPr="008534DC">
        <w:rPr>
          <w:rFonts w:ascii="Times New Roman" w:hAnsi="Times New Roman"/>
          <w:bCs/>
          <w:sz w:val="22"/>
          <w:szCs w:val="22"/>
        </w:rPr>
        <w:t>.</w:t>
      </w:r>
    </w:p>
    <w:p w14:paraId="5B1F1F4B" w14:textId="77777777" w:rsidR="001A7390" w:rsidRPr="008534DC" w:rsidRDefault="001A7390" w:rsidP="001A7390">
      <w:pPr>
        <w:autoSpaceDE w:val="0"/>
        <w:autoSpaceDN w:val="0"/>
        <w:adjustRightInd w:val="0"/>
        <w:jc w:val="both"/>
        <w:rPr>
          <w:rFonts w:ascii="Times New Roman" w:hAnsi="Times New Roman"/>
          <w:bCs/>
          <w:sz w:val="22"/>
          <w:szCs w:val="22"/>
        </w:rPr>
      </w:pPr>
    </w:p>
    <w:p w14:paraId="5BF3867A" w14:textId="77777777" w:rsidR="00916959" w:rsidRPr="008534DC" w:rsidRDefault="00916959" w:rsidP="00916959">
      <w:pPr>
        <w:tabs>
          <w:tab w:val="num" w:pos="1814"/>
        </w:tabs>
        <w:autoSpaceDE w:val="0"/>
        <w:autoSpaceDN w:val="0"/>
        <w:adjustRightInd w:val="0"/>
        <w:jc w:val="both"/>
        <w:rPr>
          <w:bCs/>
          <w:sz w:val="22"/>
          <w:szCs w:val="22"/>
        </w:rPr>
      </w:pPr>
      <w:r w:rsidRPr="008534DC">
        <w:rPr>
          <w:bCs/>
          <w:sz w:val="22"/>
          <w:szCs w:val="22"/>
        </w:rPr>
        <w:t>Part C</w:t>
      </w:r>
    </w:p>
    <w:p w14:paraId="287AD9FA" w14:textId="77777777" w:rsidR="00916959" w:rsidRPr="008534DC" w:rsidRDefault="00916959" w:rsidP="00916959">
      <w:pPr>
        <w:numPr>
          <w:ilvl w:val="1"/>
          <w:numId w:val="4"/>
        </w:numPr>
        <w:autoSpaceDE w:val="0"/>
        <w:autoSpaceDN w:val="0"/>
        <w:adjustRightInd w:val="0"/>
        <w:ind w:left="709"/>
        <w:jc w:val="both"/>
        <w:rPr>
          <w:bCs/>
          <w:sz w:val="22"/>
          <w:szCs w:val="22"/>
        </w:rPr>
      </w:pPr>
      <w:r w:rsidRPr="008534DC">
        <w:rPr>
          <w:bCs/>
          <w:sz w:val="22"/>
          <w:szCs w:val="22"/>
        </w:rPr>
        <w:t>in the case of a listed prosthesis that is an insulin infusion pump, in addition to any statement of requirement which is set out in the Schedule, the professional service associated with providing the insulin infusion pump to the patient must be:</w:t>
      </w:r>
    </w:p>
    <w:p w14:paraId="0C0915A1" w14:textId="77777777" w:rsidR="00916959" w:rsidRPr="008534DC" w:rsidRDefault="00916959" w:rsidP="00916959">
      <w:pPr>
        <w:numPr>
          <w:ilvl w:val="2"/>
          <w:numId w:val="7"/>
        </w:numPr>
        <w:autoSpaceDE w:val="0"/>
        <w:autoSpaceDN w:val="0"/>
        <w:adjustRightInd w:val="0"/>
        <w:ind w:left="993" w:hanging="284"/>
        <w:jc w:val="both"/>
        <w:rPr>
          <w:bCs/>
          <w:sz w:val="22"/>
          <w:szCs w:val="22"/>
        </w:rPr>
      </w:pPr>
      <w:r w:rsidRPr="008534DC">
        <w:rPr>
          <w:bCs/>
          <w:sz w:val="22"/>
          <w:szCs w:val="22"/>
        </w:rPr>
        <w:t xml:space="preserve">a professional attendance by a consultant physician in the practice of his or her speciality; </w:t>
      </w:r>
    </w:p>
    <w:p w14:paraId="538F71BE" w14:textId="77777777" w:rsidR="00916959" w:rsidRPr="008534DC" w:rsidRDefault="00916959" w:rsidP="00916959">
      <w:pPr>
        <w:numPr>
          <w:ilvl w:val="2"/>
          <w:numId w:val="7"/>
        </w:numPr>
        <w:autoSpaceDE w:val="0"/>
        <w:autoSpaceDN w:val="0"/>
        <w:adjustRightInd w:val="0"/>
        <w:ind w:left="993" w:hanging="284"/>
        <w:jc w:val="both"/>
        <w:rPr>
          <w:bCs/>
          <w:sz w:val="22"/>
          <w:szCs w:val="22"/>
        </w:rPr>
      </w:pPr>
      <w:r w:rsidRPr="008534DC">
        <w:rPr>
          <w:bCs/>
          <w:sz w:val="22"/>
          <w:szCs w:val="22"/>
        </w:rPr>
        <w:t xml:space="preserve">provided as a certified Type C or certified overnight Type C procedure; and </w:t>
      </w:r>
    </w:p>
    <w:p w14:paraId="410B5EF7" w14:textId="338CFFBA" w:rsidR="00916959" w:rsidRPr="008534DC" w:rsidRDefault="00916959" w:rsidP="00916959">
      <w:pPr>
        <w:numPr>
          <w:ilvl w:val="2"/>
          <w:numId w:val="7"/>
        </w:numPr>
        <w:autoSpaceDE w:val="0"/>
        <w:autoSpaceDN w:val="0"/>
        <w:adjustRightInd w:val="0"/>
        <w:ind w:left="993" w:hanging="284"/>
        <w:jc w:val="both"/>
        <w:rPr>
          <w:bCs/>
          <w:sz w:val="22"/>
          <w:szCs w:val="22"/>
        </w:rPr>
      </w:pPr>
      <w:r w:rsidRPr="008534DC">
        <w:rPr>
          <w:bCs/>
          <w:sz w:val="22"/>
          <w:szCs w:val="22"/>
        </w:rPr>
        <w:t xml:space="preserve">provided for the purpose of administering insulin. </w:t>
      </w:r>
    </w:p>
    <w:p w14:paraId="433B5E35" w14:textId="5A5BAD66" w:rsidR="00CD337E" w:rsidRPr="008534DC" w:rsidRDefault="00CD337E" w:rsidP="00CD337E">
      <w:pPr>
        <w:autoSpaceDE w:val="0"/>
        <w:autoSpaceDN w:val="0"/>
        <w:adjustRightInd w:val="0"/>
        <w:jc w:val="both"/>
        <w:rPr>
          <w:bCs/>
          <w:sz w:val="22"/>
          <w:szCs w:val="22"/>
        </w:rPr>
      </w:pPr>
    </w:p>
    <w:p w14:paraId="0A1814A0" w14:textId="76586AD0" w:rsidR="00CD337E" w:rsidRPr="008534DC" w:rsidRDefault="00CD337E" w:rsidP="00CD337E">
      <w:pPr>
        <w:autoSpaceDE w:val="0"/>
        <w:autoSpaceDN w:val="0"/>
        <w:adjustRightInd w:val="0"/>
        <w:jc w:val="both"/>
        <w:rPr>
          <w:bCs/>
          <w:sz w:val="22"/>
          <w:szCs w:val="22"/>
        </w:rPr>
      </w:pPr>
      <w:r w:rsidRPr="008534DC">
        <w:rPr>
          <w:bCs/>
          <w:sz w:val="22"/>
          <w:szCs w:val="22"/>
        </w:rPr>
        <w:t>Part D</w:t>
      </w:r>
    </w:p>
    <w:p w14:paraId="3568F31C" w14:textId="19F831CB" w:rsidR="00CD337E" w:rsidRPr="008534DC" w:rsidRDefault="00CD337E" w:rsidP="00CD337E">
      <w:pPr>
        <w:pStyle w:val="ListParagraph"/>
        <w:numPr>
          <w:ilvl w:val="0"/>
          <w:numId w:val="4"/>
        </w:numPr>
        <w:autoSpaceDE w:val="0"/>
        <w:autoSpaceDN w:val="0"/>
        <w:adjustRightInd w:val="0"/>
        <w:jc w:val="both"/>
        <w:rPr>
          <w:rFonts w:ascii="Times New Roman" w:hAnsi="Times New Roman"/>
          <w:bCs/>
          <w:sz w:val="22"/>
          <w:szCs w:val="22"/>
        </w:rPr>
      </w:pPr>
      <w:r w:rsidRPr="008534DC">
        <w:rPr>
          <w:rFonts w:ascii="Times New Roman" w:hAnsi="Times New Roman"/>
          <w:sz w:val="22"/>
          <w:szCs w:val="22"/>
        </w:rPr>
        <w:t>BX343, BX344 – that the prosthesis is only to be used in a surgical procedure described in item 39612, 39615, 39641, 39710 and 39712 in Group T8 of the Regulations; and</w:t>
      </w:r>
    </w:p>
    <w:p w14:paraId="7E417494" w14:textId="77777777" w:rsidR="00CD337E" w:rsidRPr="008534DC" w:rsidRDefault="00CD337E" w:rsidP="00CD337E">
      <w:pPr>
        <w:pStyle w:val="TableParagraph"/>
        <w:numPr>
          <w:ilvl w:val="0"/>
          <w:numId w:val="4"/>
        </w:numPr>
        <w:jc w:val="both"/>
        <w:rPr>
          <w:rFonts w:ascii="Times New Roman" w:eastAsia="Times New Roman" w:hAnsi="Times New Roman" w:cs="Times New Roman"/>
          <w:lang w:bidi="ar-SA"/>
        </w:rPr>
      </w:pPr>
      <w:r w:rsidRPr="008534DC">
        <w:rPr>
          <w:rFonts w:ascii="Times New Roman" w:eastAsia="Times New Roman" w:hAnsi="Times New Roman" w:cs="Times New Roman"/>
          <w:lang w:bidi="ar-SA"/>
        </w:rPr>
        <w:t>LH719, LH720, LH721, LH722 and LH723 payment of the Prostheses List benefits will be limited to use of the devices for procedures related to dura defect repair in spinal and neurosurgical procedures;</w:t>
      </w:r>
    </w:p>
    <w:p w14:paraId="791F03B4" w14:textId="77777777" w:rsidR="00916959" w:rsidRPr="008534DC" w:rsidRDefault="00916959" w:rsidP="00916959">
      <w:pPr>
        <w:pStyle w:val="paragraph"/>
      </w:pPr>
    </w:p>
    <w:p w14:paraId="35DE008F" w14:textId="77777777" w:rsidR="00916959" w:rsidRPr="008534DC" w:rsidRDefault="00916959" w:rsidP="00916959">
      <w:pPr>
        <w:pStyle w:val="paragraph"/>
        <w:rPr>
          <w:bCs/>
          <w:szCs w:val="22"/>
        </w:rPr>
      </w:pPr>
      <w:r w:rsidRPr="008534DC">
        <w:rPr>
          <w:bCs/>
          <w:szCs w:val="22"/>
        </w:rPr>
        <w:t>Rule 8 (b) specifies that in relation to a listed prosthesis that is an insulin infusion pump, also:</w:t>
      </w:r>
    </w:p>
    <w:p w14:paraId="20C844A5" w14:textId="77777777" w:rsidR="00916959" w:rsidRPr="008534DC" w:rsidRDefault="00916959" w:rsidP="00916959">
      <w:pPr>
        <w:pStyle w:val="paragraph"/>
        <w:rPr>
          <w:bCs/>
          <w:szCs w:val="22"/>
        </w:rPr>
      </w:pPr>
    </w:p>
    <w:p w14:paraId="3DFE277D" w14:textId="77777777" w:rsidR="00916959" w:rsidRPr="008534DC" w:rsidRDefault="00916959" w:rsidP="00916959">
      <w:pPr>
        <w:pStyle w:val="paragraphsub"/>
      </w:pPr>
      <w:r w:rsidRPr="008534DC">
        <w:tab/>
        <w:t>(i)</w:t>
      </w:r>
      <w:r w:rsidRPr="008534DC">
        <w:tab/>
      </w:r>
      <w:r w:rsidRPr="008534DC">
        <w:rPr>
          <w:rFonts w:eastAsia="MS Mincho"/>
          <w:szCs w:val="22"/>
        </w:rPr>
        <w:t>the professional service associated with the provision of the insulin infusion pump must be a professional attendance by a consultant physician in the practice of his or her specialty; and</w:t>
      </w:r>
    </w:p>
    <w:p w14:paraId="5A3DAD11" w14:textId="77777777" w:rsidR="00916959" w:rsidRPr="008534DC" w:rsidRDefault="00916959" w:rsidP="00916959">
      <w:pPr>
        <w:pStyle w:val="paragraphsub"/>
      </w:pPr>
      <w:r w:rsidRPr="008534DC">
        <w:lastRenderedPageBreak/>
        <w:tab/>
        <w:t>(ii)</w:t>
      </w:r>
      <w:r w:rsidRPr="008534DC">
        <w:tab/>
      </w:r>
      <w:r w:rsidRPr="008534DC">
        <w:rPr>
          <w:rFonts w:eastAsia="MS Mincho"/>
          <w:szCs w:val="22"/>
        </w:rPr>
        <w:t>the professional service must be provided as a certified Type C procedure or certified overnight Type C procedure; and</w:t>
      </w:r>
    </w:p>
    <w:p w14:paraId="0B254A08" w14:textId="77777777" w:rsidR="00916959" w:rsidRPr="008534DC" w:rsidRDefault="00916959" w:rsidP="00916959">
      <w:pPr>
        <w:pStyle w:val="paragraphsub"/>
      </w:pPr>
      <w:r w:rsidRPr="008534DC">
        <w:tab/>
        <w:t>(iii)</w:t>
      </w:r>
      <w:r w:rsidRPr="008534DC">
        <w:tab/>
      </w:r>
      <w:r w:rsidRPr="008534DC">
        <w:rPr>
          <w:rFonts w:eastAsia="MS Mincho"/>
          <w:szCs w:val="22"/>
        </w:rPr>
        <w:t>the insulin infusion pump must be provided for the purpose of administering insulin.</w:t>
      </w:r>
    </w:p>
    <w:p w14:paraId="3095DB1E" w14:textId="77777777" w:rsidR="00916959" w:rsidRPr="008534DC" w:rsidRDefault="00916959" w:rsidP="00916959">
      <w:pPr>
        <w:autoSpaceDE w:val="0"/>
        <w:autoSpaceDN w:val="0"/>
        <w:adjustRightInd w:val="0"/>
        <w:jc w:val="both"/>
        <w:rPr>
          <w:bCs/>
          <w:sz w:val="22"/>
          <w:szCs w:val="22"/>
        </w:rPr>
      </w:pPr>
    </w:p>
    <w:p w14:paraId="2C40A47D" w14:textId="1E5484C6" w:rsidR="00916959" w:rsidRPr="008534DC" w:rsidRDefault="00916959" w:rsidP="00A358F6">
      <w:pPr>
        <w:keepNext/>
        <w:autoSpaceDE w:val="0"/>
        <w:autoSpaceDN w:val="0"/>
        <w:adjustRightInd w:val="0"/>
        <w:ind w:left="851" w:hanging="851"/>
        <w:jc w:val="both"/>
        <w:rPr>
          <w:rFonts w:ascii="Times New Roman" w:hAnsi="Times New Roman"/>
          <w:sz w:val="22"/>
          <w:szCs w:val="22"/>
        </w:rPr>
      </w:pPr>
      <w:r w:rsidRPr="008534DC">
        <w:rPr>
          <w:rFonts w:ascii="Times New Roman" w:hAnsi="Times New Roman"/>
          <w:b/>
          <w:bCs/>
          <w:sz w:val="22"/>
          <w:szCs w:val="22"/>
        </w:rPr>
        <w:t>Rule 9</w:t>
      </w:r>
      <w:r w:rsidRPr="008534DC">
        <w:rPr>
          <w:rFonts w:ascii="Times New Roman" w:hAnsi="Times New Roman"/>
          <w:b/>
          <w:bCs/>
          <w:sz w:val="22"/>
          <w:szCs w:val="22"/>
        </w:rPr>
        <w:tab/>
        <w:t>Benefits for prostheses provided as part of hospital treatment</w:t>
      </w:r>
    </w:p>
    <w:p w14:paraId="46F30835" w14:textId="77777777" w:rsidR="00916959" w:rsidRPr="008534DC" w:rsidRDefault="00916959" w:rsidP="00A358F6">
      <w:pPr>
        <w:keepNext/>
        <w:autoSpaceDE w:val="0"/>
        <w:autoSpaceDN w:val="0"/>
        <w:adjustRightInd w:val="0"/>
        <w:ind w:left="851" w:hanging="851"/>
        <w:jc w:val="both"/>
        <w:rPr>
          <w:rFonts w:ascii="Times New Roman" w:hAnsi="Times New Roman"/>
          <w:b/>
          <w:bCs/>
          <w:sz w:val="22"/>
          <w:szCs w:val="22"/>
        </w:rPr>
      </w:pPr>
    </w:p>
    <w:p w14:paraId="748EB4C7" w14:textId="77777777" w:rsidR="00916959" w:rsidRPr="008534DC" w:rsidRDefault="00916959" w:rsidP="00916959">
      <w:pPr>
        <w:autoSpaceDE w:val="0"/>
        <w:autoSpaceDN w:val="0"/>
        <w:adjustRightInd w:val="0"/>
        <w:jc w:val="both"/>
        <w:rPr>
          <w:rFonts w:ascii="Times New Roman" w:hAnsi="Times New Roman"/>
          <w:bCs/>
          <w:sz w:val="22"/>
          <w:szCs w:val="22"/>
        </w:rPr>
      </w:pPr>
      <w:r w:rsidRPr="008534DC">
        <w:rPr>
          <w:rFonts w:ascii="Times New Roman" w:hAnsi="Times New Roman"/>
          <w:bCs/>
          <w:sz w:val="22"/>
          <w:szCs w:val="22"/>
        </w:rPr>
        <w:t xml:space="preserve">Subrule 9(1) provides that, for a no gap prosthesis (other than those referred to in subrule 1A) provided as part of an episode of hospital treatment by a private hospital, the minimum and maximum benefit are each the amount for that prosthesis set out under the column heading ‘Minimum Benefit’ in Schedule 1 to the Rules. </w:t>
      </w:r>
    </w:p>
    <w:p w14:paraId="21BA1E72" w14:textId="77777777" w:rsidR="00916959" w:rsidRPr="008534DC" w:rsidRDefault="00916959" w:rsidP="00916959">
      <w:pPr>
        <w:autoSpaceDE w:val="0"/>
        <w:autoSpaceDN w:val="0"/>
        <w:adjustRightInd w:val="0"/>
        <w:jc w:val="both"/>
        <w:rPr>
          <w:rFonts w:ascii="Times New Roman" w:hAnsi="Times New Roman"/>
          <w:bCs/>
          <w:sz w:val="22"/>
          <w:szCs w:val="22"/>
        </w:rPr>
      </w:pPr>
    </w:p>
    <w:p w14:paraId="7C2EC178" w14:textId="77777777" w:rsidR="00916959" w:rsidRPr="008534DC" w:rsidRDefault="00916959" w:rsidP="00916959">
      <w:pPr>
        <w:autoSpaceDE w:val="0"/>
        <w:autoSpaceDN w:val="0"/>
        <w:adjustRightInd w:val="0"/>
        <w:jc w:val="both"/>
        <w:rPr>
          <w:rFonts w:ascii="Times New Roman" w:hAnsi="Times New Roman"/>
          <w:bCs/>
          <w:sz w:val="22"/>
          <w:szCs w:val="22"/>
        </w:rPr>
      </w:pPr>
      <w:r w:rsidRPr="008534DC">
        <w:rPr>
          <w:rFonts w:ascii="Times New Roman" w:hAnsi="Times New Roman"/>
          <w:bCs/>
          <w:sz w:val="22"/>
          <w:szCs w:val="22"/>
        </w:rPr>
        <w:t xml:space="preserve">Subrule 9(1A) describes the method for calculating minimum and maximum benefits for no gap irrigated cardiac ablation catheters, mapping catheters for catheter cardiac ablation, patches for cardiac ablation, monopolar devices for surgical cardiac ablation, bipolar devices for surgical cardiac ablation, systems for cardiac ablation, probes for cardiac ablation, non-irrigated cardiac ablation catheters, and intracardiac electrophysiology catheters for a private patient in a private hospital. The method described is: </w:t>
      </w:r>
    </w:p>
    <w:p w14:paraId="28C1126E" w14:textId="77777777" w:rsidR="00916959" w:rsidRPr="008534DC" w:rsidRDefault="00916959" w:rsidP="00916959">
      <w:pPr>
        <w:pStyle w:val="ListParagraph"/>
        <w:numPr>
          <w:ilvl w:val="0"/>
          <w:numId w:val="5"/>
        </w:numPr>
        <w:spacing w:before="120"/>
        <w:ind w:left="714" w:hanging="357"/>
        <w:rPr>
          <w:rFonts w:ascii="Times New Roman" w:hAnsi="Times New Roman"/>
          <w:bCs/>
          <w:sz w:val="22"/>
          <w:szCs w:val="22"/>
        </w:rPr>
      </w:pPr>
      <w:r w:rsidRPr="008534DC">
        <w:rPr>
          <w:rFonts w:ascii="Times New Roman" w:hAnsi="Times New Roman"/>
          <w:bCs/>
          <w:sz w:val="22"/>
          <w:szCs w:val="22"/>
        </w:rPr>
        <w:t xml:space="preserve">if the sum of the default minimum benefits for the procedure in which the prosthesis was used is $6399 or less, the minimum benefit and the maximum benefit are each the default minimum benefit for the prosthesis; </w:t>
      </w:r>
    </w:p>
    <w:p w14:paraId="11ECC6ED" w14:textId="77777777" w:rsidR="00916959" w:rsidRPr="008534DC" w:rsidRDefault="00916959" w:rsidP="00916959">
      <w:pPr>
        <w:pStyle w:val="ListParagraph"/>
        <w:numPr>
          <w:ilvl w:val="0"/>
          <w:numId w:val="5"/>
        </w:numPr>
        <w:autoSpaceDE w:val="0"/>
        <w:autoSpaceDN w:val="0"/>
        <w:adjustRightInd w:val="0"/>
        <w:spacing w:before="120"/>
        <w:ind w:left="714" w:hanging="357"/>
        <w:jc w:val="both"/>
        <w:rPr>
          <w:rFonts w:ascii="Times New Roman" w:hAnsi="Times New Roman"/>
          <w:sz w:val="22"/>
          <w:szCs w:val="22"/>
        </w:rPr>
      </w:pPr>
      <w:r w:rsidRPr="008534DC">
        <w:rPr>
          <w:rFonts w:ascii="Times New Roman" w:hAnsi="Times New Roman"/>
          <w:bCs/>
          <w:sz w:val="22"/>
          <w:szCs w:val="22"/>
        </w:rPr>
        <w:t>if the sum of default minimum benefits for the procedure in which the prosthesis was used is more than $6399, the minimum benefit and the maximum benefit are each to be calculated using the following method: divide the default minimum benefit for the prosthesis by the sum of the default minimum benefits for the procedure in which the prosthesis was used, and multiply the result by $6399. For example, if an irrigated cardiac ablation catheter, a mapping catheter for catheter cardiac ablation and a patch for cardiac ablation each listed in Schedule 1 are used in a relevant procedure in accordance with any conditions, and the default minimum benefit of the irrigated cardiac ablation catheter is X, the default minimum benefit of the mapping catheter for cardiac ablation is Y, and the default minimum benefit of the patch for cardiac ablation is Z, the sum of the default minimum benefits for the procedure is (X+Y+Z). If the sum of the default minimum benefits for the procedure (X+Y+Z) is more than $6399, the minimum benefit and maximum benefit for the irrigated cardiac ablation</w:t>
      </w:r>
      <w:r w:rsidRPr="008534DC">
        <w:rPr>
          <w:rFonts w:ascii="Times New Roman" w:hAnsi="Times New Roman"/>
          <w:sz w:val="22"/>
          <w:szCs w:val="22"/>
        </w:rPr>
        <w:t xml:space="preserve"> catheter is calculated by taking X, dividing it by (X+Y+Z), then multiplying the result by $6399.</w:t>
      </w:r>
    </w:p>
    <w:p w14:paraId="43983815" w14:textId="77777777" w:rsidR="00916959" w:rsidRPr="008534DC" w:rsidRDefault="00916959" w:rsidP="00916959">
      <w:pPr>
        <w:autoSpaceDE w:val="0"/>
        <w:autoSpaceDN w:val="0"/>
        <w:adjustRightInd w:val="0"/>
        <w:jc w:val="both"/>
        <w:rPr>
          <w:rFonts w:ascii="Times New Roman" w:hAnsi="Times New Roman"/>
          <w:sz w:val="22"/>
          <w:szCs w:val="22"/>
        </w:rPr>
      </w:pPr>
    </w:p>
    <w:p w14:paraId="41AC4A22" w14:textId="77777777" w:rsidR="00916959" w:rsidRPr="008534DC" w:rsidRDefault="00916959" w:rsidP="00916959">
      <w:pPr>
        <w:autoSpaceDE w:val="0"/>
        <w:autoSpaceDN w:val="0"/>
        <w:adjustRightInd w:val="0"/>
        <w:jc w:val="both"/>
        <w:rPr>
          <w:rFonts w:ascii="Times New Roman" w:hAnsi="Times New Roman"/>
          <w:sz w:val="22"/>
          <w:szCs w:val="22"/>
        </w:rPr>
      </w:pPr>
      <w:r w:rsidRPr="008534DC">
        <w:rPr>
          <w:rFonts w:ascii="Times New Roman" w:hAnsi="Times New Roman"/>
          <w:sz w:val="22"/>
          <w:szCs w:val="22"/>
        </w:rPr>
        <w:t>Subrule 9(2) provides that, for a gap permitted prosthesis provided as part of an episode of hospital treatment in a private hospital, the minimum benefit and the maximum benefit are the amounts set out in Schedule 1 for that prosthesis under the column headings ‘Minimum Benefit’ and ‘Maximum Benefit’.</w:t>
      </w:r>
    </w:p>
    <w:p w14:paraId="09A4BF4A" w14:textId="77777777" w:rsidR="00916959" w:rsidRPr="008534DC" w:rsidRDefault="00916959" w:rsidP="00916959">
      <w:pPr>
        <w:autoSpaceDE w:val="0"/>
        <w:autoSpaceDN w:val="0"/>
        <w:adjustRightInd w:val="0"/>
        <w:jc w:val="both"/>
        <w:rPr>
          <w:rFonts w:ascii="Times New Roman" w:hAnsi="Times New Roman"/>
          <w:sz w:val="22"/>
          <w:szCs w:val="22"/>
        </w:rPr>
      </w:pPr>
    </w:p>
    <w:p w14:paraId="104B318F" w14:textId="77777777" w:rsidR="00916959" w:rsidRPr="008534DC" w:rsidRDefault="00916959" w:rsidP="00916959">
      <w:pPr>
        <w:autoSpaceDE w:val="0"/>
        <w:autoSpaceDN w:val="0"/>
        <w:adjustRightInd w:val="0"/>
        <w:jc w:val="both"/>
        <w:rPr>
          <w:rFonts w:ascii="Times New Roman" w:hAnsi="Times New Roman"/>
          <w:sz w:val="22"/>
          <w:szCs w:val="22"/>
        </w:rPr>
      </w:pPr>
      <w:r w:rsidRPr="008534DC">
        <w:rPr>
          <w:rFonts w:ascii="Times New Roman" w:hAnsi="Times New Roman"/>
          <w:sz w:val="22"/>
          <w:szCs w:val="22"/>
        </w:rPr>
        <w:t xml:space="preserve">Subrule 9(3) provides that, for a no gap prosthesis (other than those referred to in subrule 3A) provided as part of an episode of hospital treatment in a public hospital, the minimum benefit is the lesser of: </w:t>
      </w:r>
    </w:p>
    <w:p w14:paraId="2FB8ECDA" w14:textId="77777777" w:rsidR="00916959" w:rsidRPr="008534DC" w:rsidRDefault="00916959" w:rsidP="00916959">
      <w:pPr>
        <w:numPr>
          <w:ilvl w:val="0"/>
          <w:numId w:val="2"/>
        </w:numPr>
        <w:autoSpaceDE w:val="0"/>
        <w:autoSpaceDN w:val="0"/>
        <w:adjustRightInd w:val="0"/>
        <w:spacing w:before="120"/>
        <w:ind w:left="714" w:hanging="357"/>
        <w:jc w:val="both"/>
        <w:rPr>
          <w:rFonts w:ascii="Times New Roman" w:hAnsi="Times New Roman"/>
          <w:sz w:val="22"/>
          <w:szCs w:val="22"/>
        </w:rPr>
      </w:pPr>
      <w:r w:rsidRPr="008534DC">
        <w:rPr>
          <w:rFonts w:ascii="Times New Roman" w:hAnsi="Times New Roman"/>
          <w:sz w:val="22"/>
          <w:szCs w:val="22"/>
        </w:rPr>
        <w:t>the amount for that prosthesis set out in Schedule 1 under the column heading ‘Minimum Benefit’; or</w:t>
      </w:r>
    </w:p>
    <w:p w14:paraId="64633FFC" w14:textId="77777777" w:rsidR="00916959" w:rsidRPr="008534DC" w:rsidRDefault="00916959" w:rsidP="00916959">
      <w:pPr>
        <w:numPr>
          <w:ilvl w:val="0"/>
          <w:numId w:val="2"/>
        </w:numPr>
        <w:autoSpaceDE w:val="0"/>
        <w:autoSpaceDN w:val="0"/>
        <w:adjustRightInd w:val="0"/>
        <w:spacing w:before="120"/>
        <w:ind w:left="714" w:hanging="357"/>
        <w:jc w:val="both"/>
        <w:rPr>
          <w:rFonts w:ascii="Times New Roman" w:hAnsi="Times New Roman"/>
          <w:sz w:val="22"/>
          <w:szCs w:val="22"/>
        </w:rPr>
      </w:pPr>
      <w:r w:rsidRPr="008534DC">
        <w:rPr>
          <w:rFonts w:ascii="Times New Roman" w:hAnsi="Times New Roman"/>
          <w:sz w:val="22"/>
          <w:szCs w:val="22"/>
        </w:rPr>
        <w:t>the amount of the insured person’s liability to the public hospital for that prosthesis.</w:t>
      </w:r>
    </w:p>
    <w:p w14:paraId="4E9A89C0" w14:textId="77777777" w:rsidR="00916959" w:rsidRPr="008534DC" w:rsidRDefault="00916959" w:rsidP="00916959">
      <w:pPr>
        <w:autoSpaceDE w:val="0"/>
        <w:autoSpaceDN w:val="0"/>
        <w:adjustRightInd w:val="0"/>
        <w:spacing w:before="120"/>
        <w:jc w:val="both"/>
        <w:rPr>
          <w:rFonts w:ascii="Times New Roman" w:hAnsi="Times New Roman"/>
          <w:sz w:val="22"/>
          <w:szCs w:val="22"/>
        </w:rPr>
      </w:pPr>
      <w:r w:rsidRPr="008534DC">
        <w:rPr>
          <w:rFonts w:ascii="Times New Roman" w:hAnsi="Times New Roman"/>
          <w:sz w:val="22"/>
          <w:szCs w:val="22"/>
        </w:rPr>
        <w:t>The maximum benefit is the amount for that prosthesis set out under the column heading ‘Minimum Benefit’ in Schedule 1 to the Prostheses Rules.</w:t>
      </w:r>
    </w:p>
    <w:p w14:paraId="19A37779" w14:textId="77777777" w:rsidR="00916959" w:rsidRPr="008534DC" w:rsidRDefault="00916959" w:rsidP="00916959">
      <w:pPr>
        <w:autoSpaceDE w:val="0"/>
        <w:autoSpaceDN w:val="0"/>
        <w:adjustRightInd w:val="0"/>
        <w:jc w:val="both"/>
        <w:rPr>
          <w:rFonts w:ascii="Times New Roman" w:hAnsi="Times New Roman"/>
          <w:bCs/>
          <w:sz w:val="22"/>
          <w:szCs w:val="22"/>
        </w:rPr>
      </w:pPr>
    </w:p>
    <w:p w14:paraId="2F2B25F0" w14:textId="77777777" w:rsidR="00916959" w:rsidRPr="008534DC" w:rsidRDefault="00916959" w:rsidP="00916959">
      <w:pPr>
        <w:autoSpaceDE w:val="0"/>
        <w:autoSpaceDN w:val="0"/>
        <w:adjustRightInd w:val="0"/>
        <w:jc w:val="both"/>
        <w:rPr>
          <w:rFonts w:ascii="Times New Roman" w:hAnsi="Times New Roman"/>
          <w:sz w:val="22"/>
          <w:szCs w:val="22"/>
        </w:rPr>
      </w:pPr>
      <w:r w:rsidRPr="008534DC">
        <w:rPr>
          <w:rFonts w:ascii="Times New Roman" w:hAnsi="Times New Roman"/>
          <w:sz w:val="22"/>
          <w:szCs w:val="22"/>
        </w:rPr>
        <w:t xml:space="preserve">Subrule 9(3A) provides that for no gap irrigated cardiac ablation catheters, mapping catheters for cardiac ablation, patches for cardiac ablation, monopolar devices for surgical cardiac ablation, bipolar devices for surgical cardiac ablation, systems for cardiac ablation, probes for cardiac ablation, non-irrigated </w:t>
      </w:r>
      <w:r w:rsidRPr="008534DC">
        <w:rPr>
          <w:rFonts w:ascii="Times New Roman" w:hAnsi="Times New Roman"/>
          <w:sz w:val="22"/>
          <w:szCs w:val="22"/>
        </w:rPr>
        <w:lastRenderedPageBreak/>
        <w:t xml:space="preserve">cardiac ablation catheters, and intracardiac electrophysiology catheters for a private patient in a public hospital, the minimum benefit is the lesser of: </w:t>
      </w:r>
    </w:p>
    <w:p w14:paraId="255B3EE2" w14:textId="77777777" w:rsidR="00916959" w:rsidRPr="008534DC" w:rsidRDefault="00916959" w:rsidP="00916959">
      <w:pPr>
        <w:numPr>
          <w:ilvl w:val="0"/>
          <w:numId w:val="2"/>
        </w:numPr>
        <w:autoSpaceDE w:val="0"/>
        <w:autoSpaceDN w:val="0"/>
        <w:adjustRightInd w:val="0"/>
        <w:spacing w:before="120"/>
        <w:ind w:left="714" w:hanging="357"/>
        <w:jc w:val="both"/>
        <w:rPr>
          <w:rFonts w:ascii="Times New Roman" w:hAnsi="Times New Roman"/>
          <w:sz w:val="22"/>
          <w:szCs w:val="22"/>
        </w:rPr>
      </w:pPr>
      <w:r w:rsidRPr="008534DC">
        <w:rPr>
          <w:rFonts w:ascii="Times New Roman" w:hAnsi="Times New Roman"/>
          <w:sz w:val="22"/>
          <w:szCs w:val="22"/>
        </w:rPr>
        <w:t>the amount for that calculated in accordance with subrule 9(3B); or</w:t>
      </w:r>
    </w:p>
    <w:p w14:paraId="38881DA6" w14:textId="77777777" w:rsidR="00916959" w:rsidRPr="008534DC" w:rsidRDefault="00916959" w:rsidP="00916959">
      <w:pPr>
        <w:numPr>
          <w:ilvl w:val="0"/>
          <w:numId w:val="2"/>
        </w:numPr>
        <w:autoSpaceDE w:val="0"/>
        <w:autoSpaceDN w:val="0"/>
        <w:adjustRightInd w:val="0"/>
        <w:spacing w:before="120"/>
        <w:ind w:left="714" w:hanging="357"/>
        <w:jc w:val="both"/>
        <w:rPr>
          <w:rFonts w:ascii="Times New Roman" w:hAnsi="Times New Roman"/>
          <w:sz w:val="22"/>
          <w:szCs w:val="22"/>
        </w:rPr>
      </w:pPr>
      <w:r w:rsidRPr="008534DC">
        <w:rPr>
          <w:rFonts w:ascii="Times New Roman" w:hAnsi="Times New Roman"/>
          <w:sz w:val="22"/>
          <w:szCs w:val="22"/>
        </w:rPr>
        <w:t>the amount of the insured person’s liability to the public hospital for that prosthesis.</w:t>
      </w:r>
    </w:p>
    <w:p w14:paraId="58E62FF6" w14:textId="77777777" w:rsidR="00916959" w:rsidRPr="008534DC" w:rsidRDefault="00916959" w:rsidP="00916959">
      <w:pPr>
        <w:autoSpaceDE w:val="0"/>
        <w:autoSpaceDN w:val="0"/>
        <w:adjustRightInd w:val="0"/>
        <w:spacing w:before="120"/>
        <w:jc w:val="both"/>
        <w:rPr>
          <w:rFonts w:ascii="Times New Roman" w:hAnsi="Times New Roman"/>
          <w:sz w:val="22"/>
          <w:szCs w:val="22"/>
        </w:rPr>
      </w:pPr>
      <w:r w:rsidRPr="008534DC">
        <w:rPr>
          <w:rFonts w:ascii="Times New Roman" w:hAnsi="Times New Roman"/>
          <w:sz w:val="22"/>
          <w:szCs w:val="22"/>
        </w:rPr>
        <w:t>The maximum benefit is the amount for the prosthesis calculated in accordance with subrule 9(3B).</w:t>
      </w:r>
    </w:p>
    <w:p w14:paraId="11CAD539" w14:textId="77777777" w:rsidR="00916959" w:rsidRPr="008534DC" w:rsidRDefault="00916959" w:rsidP="00916959">
      <w:pPr>
        <w:autoSpaceDE w:val="0"/>
        <w:autoSpaceDN w:val="0"/>
        <w:adjustRightInd w:val="0"/>
        <w:jc w:val="both"/>
        <w:rPr>
          <w:rFonts w:ascii="Times New Roman" w:hAnsi="Times New Roman"/>
          <w:bCs/>
          <w:sz w:val="22"/>
          <w:szCs w:val="22"/>
        </w:rPr>
      </w:pPr>
    </w:p>
    <w:p w14:paraId="2D62B1EB" w14:textId="77777777" w:rsidR="00916959" w:rsidRPr="008534DC" w:rsidRDefault="00916959" w:rsidP="00916959">
      <w:pPr>
        <w:autoSpaceDE w:val="0"/>
        <w:autoSpaceDN w:val="0"/>
        <w:adjustRightInd w:val="0"/>
        <w:jc w:val="both"/>
        <w:rPr>
          <w:rFonts w:ascii="Times New Roman" w:hAnsi="Times New Roman"/>
          <w:sz w:val="22"/>
          <w:szCs w:val="22"/>
        </w:rPr>
      </w:pPr>
      <w:r w:rsidRPr="008534DC">
        <w:rPr>
          <w:rFonts w:ascii="Times New Roman" w:hAnsi="Times New Roman"/>
          <w:bCs/>
          <w:sz w:val="22"/>
          <w:szCs w:val="22"/>
        </w:rPr>
        <w:t xml:space="preserve">Subrule 9(3B) describes the method for calculating the amount for maximum benefit for no gap irrigated </w:t>
      </w:r>
      <w:r w:rsidRPr="008534DC">
        <w:rPr>
          <w:rFonts w:ascii="Times New Roman" w:hAnsi="Times New Roman"/>
          <w:sz w:val="22"/>
          <w:szCs w:val="22"/>
        </w:rPr>
        <w:t>cardiac ablation catheters, mapping catheters for catheter cardiac ablation, patches for cardiac ablation, monopolar devices for surgical cardiac ablation, bipolar devices for surgical cardiac ablation, systems for cardiac ablation, probes for cardiac ablation, non-irrigated cardiac ablation catheters, and intracardiac electrophysiology catheters for a private patient in a public hospital. The method is the same as that set out in subrule 9(1A).</w:t>
      </w:r>
    </w:p>
    <w:p w14:paraId="3E503F6A" w14:textId="77777777" w:rsidR="00916959" w:rsidRPr="008534DC" w:rsidRDefault="00916959" w:rsidP="00916959">
      <w:pPr>
        <w:autoSpaceDE w:val="0"/>
        <w:autoSpaceDN w:val="0"/>
        <w:adjustRightInd w:val="0"/>
        <w:jc w:val="both"/>
        <w:rPr>
          <w:rFonts w:ascii="Times New Roman" w:hAnsi="Times New Roman"/>
          <w:sz w:val="22"/>
          <w:szCs w:val="22"/>
        </w:rPr>
      </w:pPr>
    </w:p>
    <w:p w14:paraId="279DA472" w14:textId="77777777" w:rsidR="00916959" w:rsidRPr="008534DC" w:rsidRDefault="00916959" w:rsidP="00916959">
      <w:pPr>
        <w:autoSpaceDE w:val="0"/>
        <w:autoSpaceDN w:val="0"/>
        <w:adjustRightInd w:val="0"/>
        <w:jc w:val="both"/>
        <w:rPr>
          <w:rFonts w:ascii="Times New Roman" w:hAnsi="Times New Roman"/>
          <w:sz w:val="22"/>
          <w:szCs w:val="22"/>
        </w:rPr>
      </w:pPr>
      <w:r w:rsidRPr="008534DC">
        <w:rPr>
          <w:rFonts w:ascii="Times New Roman" w:hAnsi="Times New Roman"/>
          <w:sz w:val="22"/>
          <w:szCs w:val="22"/>
        </w:rPr>
        <w:t xml:space="preserve">Subrule 9(4) provides that, for a gap permitted prosthesis provided as part of an episode of hospital treatment by a public hospital, the minimum benefit is the lesser of: </w:t>
      </w:r>
    </w:p>
    <w:p w14:paraId="65BA6235" w14:textId="77777777" w:rsidR="00916959" w:rsidRPr="008534DC" w:rsidRDefault="00916959" w:rsidP="00916959">
      <w:pPr>
        <w:numPr>
          <w:ilvl w:val="0"/>
          <w:numId w:val="2"/>
        </w:numPr>
        <w:autoSpaceDE w:val="0"/>
        <w:autoSpaceDN w:val="0"/>
        <w:adjustRightInd w:val="0"/>
        <w:spacing w:before="120"/>
        <w:ind w:left="714" w:hanging="357"/>
        <w:jc w:val="both"/>
        <w:rPr>
          <w:rFonts w:ascii="Times New Roman" w:hAnsi="Times New Roman"/>
          <w:sz w:val="22"/>
          <w:szCs w:val="22"/>
        </w:rPr>
      </w:pPr>
      <w:r w:rsidRPr="008534DC">
        <w:rPr>
          <w:rFonts w:ascii="Times New Roman" w:hAnsi="Times New Roman"/>
          <w:sz w:val="22"/>
          <w:szCs w:val="22"/>
        </w:rPr>
        <w:t>the amount for that prosthesis set out in Schedule 1 under the column heading ‘Minimum Benefit’; or</w:t>
      </w:r>
    </w:p>
    <w:p w14:paraId="3A567F52" w14:textId="77777777" w:rsidR="00916959" w:rsidRPr="008534DC" w:rsidRDefault="00916959" w:rsidP="00916959">
      <w:pPr>
        <w:numPr>
          <w:ilvl w:val="0"/>
          <w:numId w:val="2"/>
        </w:numPr>
        <w:autoSpaceDE w:val="0"/>
        <w:autoSpaceDN w:val="0"/>
        <w:adjustRightInd w:val="0"/>
        <w:spacing w:before="120"/>
        <w:ind w:left="714" w:hanging="357"/>
        <w:jc w:val="both"/>
        <w:rPr>
          <w:rFonts w:ascii="Times New Roman" w:hAnsi="Times New Roman"/>
          <w:sz w:val="22"/>
          <w:szCs w:val="22"/>
        </w:rPr>
      </w:pPr>
      <w:r w:rsidRPr="008534DC">
        <w:rPr>
          <w:rFonts w:ascii="Times New Roman" w:hAnsi="Times New Roman"/>
          <w:sz w:val="22"/>
          <w:szCs w:val="22"/>
        </w:rPr>
        <w:t xml:space="preserve">the amount of the insured person’s liability to the public hospital for that prosthesis. </w:t>
      </w:r>
    </w:p>
    <w:p w14:paraId="235F2E21" w14:textId="77777777" w:rsidR="00916959" w:rsidRPr="008534DC" w:rsidRDefault="00916959" w:rsidP="00916959">
      <w:pPr>
        <w:autoSpaceDE w:val="0"/>
        <w:autoSpaceDN w:val="0"/>
        <w:adjustRightInd w:val="0"/>
        <w:jc w:val="both"/>
        <w:rPr>
          <w:rFonts w:ascii="Times New Roman" w:hAnsi="Times New Roman"/>
          <w:sz w:val="22"/>
          <w:szCs w:val="22"/>
        </w:rPr>
      </w:pPr>
    </w:p>
    <w:p w14:paraId="15796A74" w14:textId="77777777" w:rsidR="00916959" w:rsidRPr="008534DC" w:rsidRDefault="00916959" w:rsidP="00916959">
      <w:pPr>
        <w:autoSpaceDE w:val="0"/>
        <w:autoSpaceDN w:val="0"/>
        <w:adjustRightInd w:val="0"/>
        <w:jc w:val="both"/>
        <w:rPr>
          <w:rFonts w:ascii="Times New Roman" w:hAnsi="Times New Roman"/>
          <w:sz w:val="22"/>
          <w:szCs w:val="22"/>
        </w:rPr>
      </w:pPr>
      <w:r w:rsidRPr="008534DC">
        <w:rPr>
          <w:rFonts w:ascii="Times New Roman" w:hAnsi="Times New Roman"/>
          <w:sz w:val="22"/>
          <w:szCs w:val="22"/>
        </w:rPr>
        <w:t>The maximum benefit is the amount for that prosthesis set out under the column heading ‘Maximum Benefit’ in Schedule 1 to the Prostheses Rules.</w:t>
      </w:r>
    </w:p>
    <w:p w14:paraId="6DF59C09" w14:textId="77777777" w:rsidR="00916959" w:rsidRPr="008534DC" w:rsidRDefault="00916959" w:rsidP="00916959">
      <w:pPr>
        <w:autoSpaceDE w:val="0"/>
        <w:autoSpaceDN w:val="0"/>
        <w:adjustRightInd w:val="0"/>
        <w:jc w:val="both"/>
        <w:rPr>
          <w:rFonts w:ascii="Times New Roman" w:hAnsi="Times New Roman"/>
          <w:bCs/>
          <w:sz w:val="22"/>
          <w:szCs w:val="22"/>
        </w:rPr>
      </w:pPr>
    </w:p>
    <w:p w14:paraId="026FF272" w14:textId="77777777" w:rsidR="00916959" w:rsidRPr="008534DC" w:rsidRDefault="00916959" w:rsidP="00916959">
      <w:pPr>
        <w:autoSpaceDE w:val="0"/>
        <w:autoSpaceDN w:val="0"/>
        <w:adjustRightInd w:val="0"/>
        <w:jc w:val="both"/>
        <w:rPr>
          <w:rFonts w:ascii="Times New Roman" w:hAnsi="Times New Roman"/>
          <w:bCs/>
          <w:sz w:val="22"/>
          <w:szCs w:val="22"/>
        </w:rPr>
      </w:pPr>
      <w:r w:rsidRPr="008534DC">
        <w:rPr>
          <w:rFonts w:ascii="Times New Roman" w:hAnsi="Times New Roman"/>
          <w:bCs/>
          <w:sz w:val="22"/>
          <w:szCs w:val="22"/>
        </w:rPr>
        <w:t>Subrule 9(5) defines certain terms used in rule 9.</w:t>
      </w:r>
    </w:p>
    <w:p w14:paraId="1BB4A58E" w14:textId="77777777" w:rsidR="00916959" w:rsidRPr="008534DC" w:rsidRDefault="00916959" w:rsidP="00916959">
      <w:pPr>
        <w:autoSpaceDE w:val="0"/>
        <w:autoSpaceDN w:val="0"/>
        <w:adjustRightInd w:val="0"/>
        <w:jc w:val="both"/>
        <w:rPr>
          <w:rFonts w:ascii="Times New Roman" w:hAnsi="Times New Roman"/>
          <w:bCs/>
          <w:sz w:val="22"/>
          <w:szCs w:val="22"/>
        </w:rPr>
      </w:pPr>
    </w:p>
    <w:p w14:paraId="7C3FFD85" w14:textId="77777777" w:rsidR="00916959" w:rsidRPr="008534DC" w:rsidRDefault="00916959" w:rsidP="00916959">
      <w:pPr>
        <w:keepNext/>
        <w:autoSpaceDE w:val="0"/>
        <w:autoSpaceDN w:val="0"/>
        <w:adjustRightInd w:val="0"/>
        <w:ind w:left="851" w:hanging="851"/>
        <w:jc w:val="both"/>
        <w:rPr>
          <w:rFonts w:ascii="Times New Roman" w:hAnsi="Times New Roman"/>
          <w:b/>
          <w:bCs/>
          <w:sz w:val="22"/>
          <w:szCs w:val="22"/>
        </w:rPr>
      </w:pPr>
      <w:r w:rsidRPr="008534DC">
        <w:rPr>
          <w:rFonts w:ascii="Times New Roman" w:hAnsi="Times New Roman"/>
          <w:b/>
          <w:bCs/>
          <w:sz w:val="22"/>
          <w:szCs w:val="22"/>
        </w:rPr>
        <w:t>Rule 10</w:t>
      </w:r>
      <w:r w:rsidRPr="008534DC">
        <w:rPr>
          <w:rFonts w:ascii="Times New Roman" w:hAnsi="Times New Roman"/>
          <w:b/>
          <w:bCs/>
          <w:sz w:val="22"/>
          <w:szCs w:val="22"/>
        </w:rPr>
        <w:tab/>
        <w:t>Benefits for prostheses provided as part of hospital-substitute treatment</w:t>
      </w:r>
    </w:p>
    <w:p w14:paraId="3DEDCC5B" w14:textId="77777777" w:rsidR="00916959" w:rsidRPr="008534DC" w:rsidRDefault="00916959" w:rsidP="00916959">
      <w:pPr>
        <w:keepNext/>
        <w:autoSpaceDE w:val="0"/>
        <w:autoSpaceDN w:val="0"/>
        <w:adjustRightInd w:val="0"/>
        <w:ind w:left="851" w:hanging="851"/>
        <w:jc w:val="both"/>
        <w:rPr>
          <w:rFonts w:ascii="Times New Roman" w:hAnsi="Times New Roman"/>
          <w:b/>
          <w:bCs/>
          <w:sz w:val="22"/>
          <w:szCs w:val="22"/>
        </w:rPr>
      </w:pPr>
    </w:p>
    <w:p w14:paraId="66C58E68" w14:textId="7CB899EB" w:rsidR="00916959" w:rsidRPr="008534DC" w:rsidRDefault="00916959" w:rsidP="00916959">
      <w:pPr>
        <w:autoSpaceDE w:val="0"/>
        <w:autoSpaceDN w:val="0"/>
        <w:adjustRightInd w:val="0"/>
        <w:jc w:val="both"/>
        <w:rPr>
          <w:rFonts w:ascii="Times New Roman" w:hAnsi="Times New Roman"/>
          <w:sz w:val="22"/>
          <w:szCs w:val="22"/>
        </w:rPr>
      </w:pPr>
      <w:r w:rsidRPr="008534DC">
        <w:rPr>
          <w:rFonts w:ascii="Times New Roman" w:hAnsi="Times New Roman"/>
          <w:sz w:val="22"/>
          <w:szCs w:val="22"/>
        </w:rPr>
        <w:t xml:space="preserve">Subrule 10(1) provides that, for a no gap prosthesis provided as part of an episode of hospital-substitute treatment, the minimum and maximum benefit are </w:t>
      </w:r>
      <w:r w:rsidR="00C74938" w:rsidRPr="008534DC">
        <w:rPr>
          <w:rFonts w:ascii="Times New Roman" w:hAnsi="Times New Roman"/>
          <w:sz w:val="22"/>
          <w:szCs w:val="22"/>
        </w:rPr>
        <w:t xml:space="preserve">both </w:t>
      </w:r>
      <w:r w:rsidRPr="008534DC">
        <w:rPr>
          <w:rFonts w:ascii="Times New Roman" w:hAnsi="Times New Roman"/>
          <w:sz w:val="22"/>
          <w:szCs w:val="22"/>
        </w:rPr>
        <w:t>the amount for that prosthesis set out under the column heading ‘Minimum Benefit’ in Schedule 1.</w:t>
      </w:r>
    </w:p>
    <w:p w14:paraId="43F51355" w14:textId="77777777" w:rsidR="00916959" w:rsidRPr="008534DC" w:rsidRDefault="00916959" w:rsidP="00916959">
      <w:pPr>
        <w:autoSpaceDE w:val="0"/>
        <w:autoSpaceDN w:val="0"/>
        <w:adjustRightInd w:val="0"/>
        <w:rPr>
          <w:rFonts w:ascii="Times New Roman" w:hAnsi="Times New Roman"/>
          <w:sz w:val="22"/>
          <w:szCs w:val="22"/>
        </w:rPr>
      </w:pPr>
    </w:p>
    <w:p w14:paraId="2BF37EC5" w14:textId="77777777" w:rsidR="00916959" w:rsidRPr="008534DC" w:rsidRDefault="00916959" w:rsidP="00916959">
      <w:pPr>
        <w:autoSpaceDE w:val="0"/>
        <w:autoSpaceDN w:val="0"/>
        <w:adjustRightInd w:val="0"/>
        <w:jc w:val="both"/>
        <w:rPr>
          <w:rFonts w:ascii="Times New Roman" w:hAnsi="Times New Roman"/>
          <w:sz w:val="22"/>
          <w:szCs w:val="22"/>
        </w:rPr>
      </w:pPr>
      <w:r w:rsidRPr="008534DC">
        <w:rPr>
          <w:rFonts w:ascii="Times New Roman" w:hAnsi="Times New Roman"/>
          <w:sz w:val="22"/>
          <w:szCs w:val="22"/>
        </w:rPr>
        <w:t>Subrule 10(2) provides that, for a gap permitted prosthesis provided as part of an episode of hospital</w:t>
      </w:r>
      <w:r w:rsidRPr="008534DC">
        <w:rPr>
          <w:rFonts w:ascii="Times New Roman" w:hAnsi="Times New Roman"/>
          <w:sz w:val="22"/>
          <w:szCs w:val="22"/>
        </w:rPr>
        <w:noBreakHyphen/>
        <w:t xml:space="preserve">substitute treatment, the minimum benefit and the maximum benefit are the amounts set out in </w:t>
      </w:r>
      <w:r w:rsidRPr="008534DC">
        <w:rPr>
          <w:rFonts w:ascii="Times New Roman" w:hAnsi="Times New Roman"/>
          <w:sz w:val="22"/>
          <w:szCs w:val="22"/>
        </w:rPr>
        <w:br/>
        <w:t>Schedule 1 for that prosthesis under the column headings ‘Minimum Benefit’ and ‘Maximum Benefit’.</w:t>
      </w:r>
    </w:p>
    <w:p w14:paraId="37530BB5" w14:textId="77777777" w:rsidR="00916959" w:rsidRPr="008534DC" w:rsidRDefault="00916959" w:rsidP="00916959">
      <w:pPr>
        <w:autoSpaceDE w:val="0"/>
        <w:autoSpaceDN w:val="0"/>
        <w:adjustRightInd w:val="0"/>
        <w:jc w:val="both"/>
        <w:rPr>
          <w:rFonts w:ascii="Times New Roman" w:hAnsi="Times New Roman"/>
          <w:sz w:val="22"/>
          <w:szCs w:val="22"/>
        </w:rPr>
      </w:pPr>
    </w:p>
    <w:p w14:paraId="07F4E4D1" w14:textId="77777777" w:rsidR="00916959" w:rsidRPr="008534DC" w:rsidRDefault="00916959" w:rsidP="00916959">
      <w:pPr>
        <w:pStyle w:val="BodyText"/>
        <w:rPr>
          <w:sz w:val="22"/>
          <w:szCs w:val="22"/>
        </w:rPr>
      </w:pPr>
      <w:r w:rsidRPr="008534DC">
        <w:rPr>
          <w:sz w:val="22"/>
          <w:szCs w:val="22"/>
        </w:rPr>
        <w:t xml:space="preserve">Part 3 </w:t>
      </w:r>
      <w:r w:rsidRPr="008534DC">
        <w:rPr>
          <w:sz w:val="22"/>
          <w:szCs w:val="22"/>
        </w:rPr>
        <w:softHyphen/>
        <w:t>− Other</w:t>
      </w:r>
    </w:p>
    <w:p w14:paraId="58FAD308" w14:textId="77777777" w:rsidR="00916959" w:rsidRPr="008534DC" w:rsidRDefault="00916959" w:rsidP="00916959">
      <w:pPr>
        <w:autoSpaceDE w:val="0"/>
        <w:autoSpaceDN w:val="0"/>
        <w:adjustRightInd w:val="0"/>
        <w:jc w:val="both"/>
        <w:rPr>
          <w:rFonts w:ascii="Times New Roman" w:hAnsi="Times New Roman"/>
          <w:b/>
          <w:bCs/>
          <w:sz w:val="22"/>
          <w:szCs w:val="22"/>
        </w:rPr>
      </w:pPr>
    </w:p>
    <w:p w14:paraId="297EC116" w14:textId="2C7F0761" w:rsidR="00916959" w:rsidRPr="008534DC" w:rsidRDefault="00916959" w:rsidP="00916959">
      <w:pPr>
        <w:autoSpaceDE w:val="0"/>
        <w:autoSpaceDN w:val="0"/>
        <w:adjustRightInd w:val="0"/>
        <w:ind w:left="851" w:hanging="851"/>
        <w:jc w:val="both"/>
        <w:rPr>
          <w:rFonts w:ascii="Times New Roman" w:hAnsi="Times New Roman"/>
          <w:b/>
          <w:bCs/>
          <w:sz w:val="22"/>
          <w:szCs w:val="22"/>
        </w:rPr>
      </w:pPr>
      <w:r w:rsidRPr="008534DC">
        <w:rPr>
          <w:rFonts w:ascii="Times New Roman" w:hAnsi="Times New Roman"/>
          <w:b/>
          <w:bCs/>
          <w:sz w:val="22"/>
          <w:szCs w:val="22"/>
        </w:rPr>
        <w:t>Rule 11</w:t>
      </w:r>
      <w:r w:rsidRPr="008534DC">
        <w:rPr>
          <w:rFonts w:ascii="Times New Roman" w:hAnsi="Times New Roman"/>
          <w:b/>
          <w:bCs/>
          <w:sz w:val="22"/>
          <w:szCs w:val="22"/>
        </w:rPr>
        <w:tab/>
        <w:t>Timing of applications</w:t>
      </w:r>
      <w:r w:rsidR="00C74938" w:rsidRPr="008534DC">
        <w:rPr>
          <w:rFonts w:ascii="Times New Roman" w:hAnsi="Times New Roman"/>
          <w:b/>
          <w:bCs/>
          <w:sz w:val="22"/>
          <w:szCs w:val="22"/>
        </w:rPr>
        <w:t xml:space="preserve"> to have a prosthesis listed</w:t>
      </w:r>
    </w:p>
    <w:p w14:paraId="7EC22109" w14:textId="77777777" w:rsidR="00916959" w:rsidRPr="008534DC" w:rsidRDefault="00916959" w:rsidP="00916959">
      <w:pPr>
        <w:autoSpaceDE w:val="0"/>
        <w:autoSpaceDN w:val="0"/>
        <w:adjustRightInd w:val="0"/>
        <w:jc w:val="both"/>
        <w:rPr>
          <w:rFonts w:ascii="Times New Roman" w:hAnsi="Times New Roman"/>
          <w:b/>
          <w:sz w:val="22"/>
          <w:szCs w:val="22"/>
        </w:rPr>
      </w:pPr>
    </w:p>
    <w:p w14:paraId="787A5160" w14:textId="77777777" w:rsidR="00916959" w:rsidRPr="008534DC" w:rsidRDefault="00916959" w:rsidP="00916959">
      <w:pPr>
        <w:autoSpaceDE w:val="0"/>
        <w:autoSpaceDN w:val="0"/>
        <w:adjustRightInd w:val="0"/>
        <w:jc w:val="both"/>
        <w:rPr>
          <w:rFonts w:ascii="Times New Roman" w:hAnsi="Times New Roman"/>
          <w:sz w:val="22"/>
          <w:szCs w:val="22"/>
        </w:rPr>
      </w:pPr>
      <w:r w:rsidRPr="008534DC">
        <w:rPr>
          <w:rFonts w:ascii="Times New Roman" w:hAnsi="Times New Roman"/>
          <w:sz w:val="22"/>
          <w:szCs w:val="22"/>
        </w:rPr>
        <w:t>Rule 11 provides that, as a matter of normal administrative practice, applications for listing of a prosthesis in the rules (in accordance with subsection 72</w:t>
      </w:r>
      <w:r w:rsidRPr="008534DC">
        <w:rPr>
          <w:rFonts w:ascii="Times New Roman" w:hAnsi="Times New Roman"/>
          <w:sz w:val="22"/>
          <w:szCs w:val="22"/>
        </w:rPr>
        <w:noBreakHyphen/>
        <w:t>10(2) of the Act) will be considered after they have been received and, if the Minister grants an application, then the prosthesis will be listed in Schedule 1 the next time the Minister makes or varies the Prostheses Rules.</w:t>
      </w:r>
    </w:p>
    <w:p w14:paraId="0790BA80" w14:textId="77777777" w:rsidR="00916959" w:rsidRPr="008534DC" w:rsidRDefault="00916959" w:rsidP="00916959">
      <w:pPr>
        <w:autoSpaceDE w:val="0"/>
        <w:autoSpaceDN w:val="0"/>
        <w:adjustRightInd w:val="0"/>
        <w:jc w:val="both"/>
        <w:rPr>
          <w:rFonts w:ascii="Times New Roman" w:hAnsi="Times New Roman"/>
          <w:b/>
          <w:bCs/>
          <w:sz w:val="22"/>
          <w:szCs w:val="22"/>
        </w:rPr>
      </w:pPr>
    </w:p>
    <w:p w14:paraId="564F8642" w14:textId="77777777" w:rsidR="00916959" w:rsidRPr="008534DC" w:rsidRDefault="00916959" w:rsidP="00916959">
      <w:pPr>
        <w:autoSpaceDE w:val="0"/>
        <w:autoSpaceDN w:val="0"/>
        <w:adjustRightInd w:val="0"/>
        <w:ind w:left="851" w:hanging="851"/>
        <w:jc w:val="both"/>
        <w:rPr>
          <w:rFonts w:ascii="Times New Roman" w:hAnsi="Times New Roman"/>
          <w:b/>
          <w:bCs/>
          <w:sz w:val="22"/>
          <w:szCs w:val="22"/>
        </w:rPr>
      </w:pPr>
      <w:r w:rsidRPr="008534DC">
        <w:rPr>
          <w:rFonts w:ascii="Times New Roman" w:hAnsi="Times New Roman"/>
          <w:b/>
          <w:bCs/>
          <w:sz w:val="22"/>
          <w:szCs w:val="22"/>
        </w:rPr>
        <w:t>Rule 12</w:t>
      </w:r>
      <w:r w:rsidRPr="008534DC">
        <w:rPr>
          <w:rFonts w:ascii="Times New Roman" w:hAnsi="Times New Roman"/>
          <w:b/>
          <w:bCs/>
          <w:sz w:val="22"/>
          <w:szCs w:val="22"/>
        </w:rPr>
        <w:tab/>
        <w:t>Minister may have regard to recommendations and advice</w:t>
      </w:r>
    </w:p>
    <w:p w14:paraId="43DE6FF0" w14:textId="77777777" w:rsidR="00916959" w:rsidRPr="008534DC" w:rsidRDefault="00916959" w:rsidP="00916959">
      <w:pPr>
        <w:autoSpaceDE w:val="0"/>
        <w:autoSpaceDN w:val="0"/>
        <w:adjustRightInd w:val="0"/>
        <w:jc w:val="both"/>
        <w:rPr>
          <w:rFonts w:ascii="Times New Roman" w:hAnsi="Times New Roman"/>
          <w:b/>
          <w:bCs/>
          <w:sz w:val="22"/>
          <w:szCs w:val="22"/>
        </w:rPr>
      </w:pPr>
    </w:p>
    <w:p w14:paraId="47791B7C" w14:textId="67324C84" w:rsidR="00916959" w:rsidRPr="008534DC" w:rsidRDefault="00916959" w:rsidP="00916959">
      <w:pPr>
        <w:autoSpaceDE w:val="0"/>
        <w:autoSpaceDN w:val="0"/>
        <w:adjustRightInd w:val="0"/>
        <w:jc w:val="both"/>
        <w:rPr>
          <w:rFonts w:ascii="Times New Roman" w:hAnsi="Times New Roman"/>
          <w:sz w:val="22"/>
          <w:szCs w:val="22"/>
        </w:rPr>
      </w:pPr>
      <w:r w:rsidRPr="008534DC">
        <w:rPr>
          <w:rFonts w:ascii="Times New Roman" w:hAnsi="Times New Roman"/>
          <w:sz w:val="22"/>
          <w:szCs w:val="22"/>
        </w:rPr>
        <w:t xml:space="preserve">Rule 12 provides that, in making a decision under section 72-10 of the Act, the Minister may have regard to a recommendation from the Prostheses List Advisory Committee when deciding whether or not to grant the application to list a kind of prosthesis. This committee provides recommendations and advice to the Minister for Health </w:t>
      </w:r>
      <w:r w:rsidR="00B17F17" w:rsidRPr="008534DC">
        <w:rPr>
          <w:rFonts w:ascii="Times New Roman" w:hAnsi="Times New Roman"/>
          <w:sz w:val="22"/>
          <w:szCs w:val="22"/>
        </w:rPr>
        <w:t xml:space="preserve">and Aged Care </w:t>
      </w:r>
      <w:r w:rsidRPr="008534DC">
        <w:rPr>
          <w:rFonts w:ascii="Times New Roman" w:hAnsi="Times New Roman"/>
          <w:sz w:val="22"/>
          <w:szCs w:val="22"/>
        </w:rPr>
        <w:t xml:space="preserve">and the Department of Health </w:t>
      </w:r>
      <w:r w:rsidR="00B17F17" w:rsidRPr="008534DC">
        <w:rPr>
          <w:rFonts w:ascii="Times New Roman" w:hAnsi="Times New Roman"/>
          <w:sz w:val="22"/>
          <w:szCs w:val="22"/>
        </w:rPr>
        <w:t xml:space="preserve">and Aged Care </w:t>
      </w:r>
      <w:r w:rsidRPr="008534DC">
        <w:rPr>
          <w:rFonts w:ascii="Times New Roman" w:hAnsi="Times New Roman"/>
          <w:sz w:val="22"/>
          <w:szCs w:val="22"/>
        </w:rPr>
        <w:t>about the listing of products on the Prostheses List and the benefits payable by private health insurers.</w:t>
      </w:r>
    </w:p>
    <w:p w14:paraId="0C2040F6" w14:textId="77777777" w:rsidR="00916959" w:rsidRPr="008534DC" w:rsidRDefault="00916959" w:rsidP="00916959">
      <w:pPr>
        <w:autoSpaceDE w:val="0"/>
        <w:autoSpaceDN w:val="0"/>
        <w:adjustRightInd w:val="0"/>
        <w:jc w:val="both"/>
        <w:rPr>
          <w:rFonts w:ascii="Times New Roman" w:hAnsi="Times New Roman"/>
          <w:b/>
          <w:bCs/>
          <w:sz w:val="22"/>
          <w:szCs w:val="22"/>
        </w:rPr>
      </w:pPr>
    </w:p>
    <w:p w14:paraId="4C68D9D5" w14:textId="77777777" w:rsidR="00916959" w:rsidRPr="008534DC" w:rsidRDefault="00916959" w:rsidP="00916959">
      <w:pPr>
        <w:autoSpaceDE w:val="0"/>
        <w:autoSpaceDN w:val="0"/>
        <w:adjustRightInd w:val="0"/>
        <w:ind w:left="851" w:hanging="851"/>
        <w:jc w:val="both"/>
        <w:rPr>
          <w:rFonts w:ascii="Times New Roman" w:hAnsi="Times New Roman"/>
          <w:b/>
          <w:bCs/>
          <w:sz w:val="22"/>
          <w:szCs w:val="22"/>
        </w:rPr>
      </w:pPr>
      <w:r w:rsidRPr="008534DC">
        <w:rPr>
          <w:rFonts w:ascii="Times New Roman" w:hAnsi="Times New Roman"/>
          <w:b/>
          <w:bCs/>
          <w:sz w:val="22"/>
          <w:szCs w:val="22"/>
        </w:rPr>
        <w:t>Rule 13</w:t>
      </w:r>
      <w:r w:rsidRPr="008534DC">
        <w:rPr>
          <w:rFonts w:ascii="Times New Roman" w:hAnsi="Times New Roman"/>
          <w:b/>
          <w:bCs/>
          <w:sz w:val="22"/>
          <w:szCs w:val="22"/>
        </w:rPr>
        <w:tab/>
        <w:t>Listing criteria for prostheses to be listed in Part C of Schedule 1</w:t>
      </w:r>
    </w:p>
    <w:p w14:paraId="6D79B09E" w14:textId="77777777" w:rsidR="00916959" w:rsidRPr="008534DC" w:rsidRDefault="00916959" w:rsidP="00916959">
      <w:pPr>
        <w:autoSpaceDE w:val="0"/>
        <w:autoSpaceDN w:val="0"/>
        <w:adjustRightInd w:val="0"/>
        <w:jc w:val="both"/>
        <w:rPr>
          <w:rFonts w:ascii="Times New Roman" w:hAnsi="Times New Roman"/>
          <w:b/>
          <w:bCs/>
          <w:sz w:val="22"/>
          <w:szCs w:val="22"/>
        </w:rPr>
      </w:pPr>
    </w:p>
    <w:p w14:paraId="7079A158" w14:textId="77777777" w:rsidR="00916959" w:rsidRPr="008534DC" w:rsidRDefault="00916959" w:rsidP="00916959">
      <w:pPr>
        <w:autoSpaceDE w:val="0"/>
        <w:autoSpaceDN w:val="0"/>
        <w:adjustRightInd w:val="0"/>
        <w:jc w:val="both"/>
        <w:rPr>
          <w:rFonts w:ascii="Times New Roman" w:hAnsi="Times New Roman"/>
          <w:sz w:val="22"/>
          <w:szCs w:val="22"/>
        </w:rPr>
      </w:pPr>
      <w:r w:rsidRPr="008534DC">
        <w:rPr>
          <w:rFonts w:ascii="Times New Roman" w:hAnsi="Times New Roman"/>
          <w:sz w:val="22"/>
          <w:szCs w:val="22"/>
        </w:rPr>
        <w:t>Rule 13 sets out the listing criterion that must be met for a listing application to be granted for listing a kind of prosthesis in Part C of Schedule 1. This criterion is that the kind of prosthesis is either an insulin infusion pump, an implantable cardiac event recorder, a cardiac home/remote monitoring system, an irrigated cardiac ablation catheter, a mapping catheter for catheter cardiac ablation, a patch for cardiac ablation, a monopolar device for surgical cardiac ablation, a bipolar device for surgical cardiac ablation, a system for surgical cardiac ablation, a probe for surgical cardiac ablation, a non</w:t>
      </w:r>
      <w:r w:rsidRPr="008534DC">
        <w:rPr>
          <w:rFonts w:ascii="Times New Roman" w:hAnsi="Times New Roman"/>
          <w:sz w:val="22"/>
          <w:szCs w:val="22"/>
        </w:rPr>
        <w:noBreakHyphen/>
        <w:t>irrigated cardiac ablation catheter or an intracardiac electrophysiology catheter.</w:t>
      </w:r>
    </w:p>
    <w:p w14:paraId="052FA83B" w14:textId="77777777" w:rsidR="00916959" w:rsidRPr="008534DC" w:rsidRDefault="00916959" w:rsidP="00916959">
      <w:pPr>
        <w:autoSpaceDE w:val="0"/>
        <w:autoSpaceDN w:val="0"/>
        <w:adjustRightInd w:val="0"/>
        <w:jc w:val="both"/>
        <w:rPr>
          <w:rFonts w:ascii="Times New Roman" w:hAnsi="Times New Roman"/>
          <w:sz w:val="22"/>
          <w:szCs w:val="22"/>
        </w:rPr>
      </w:pPr>
    </w:p>
    <w:p w14:paraId="10558B45" w14:textId="77777777" w:rsidR="00916959" w:rsidRPr="008534DC" w:rsidRDefault="00916959" w:rsidP="00916959">
      <w:pPr>
        <w:autoSpaceDE w:val="0"/>
        <w:autoSpaceDN w:val="0"/>
        <w:adjustRightInd w:val="0"/>
        <w:jc w:val="both"/>
        <w:rPr>
          <w:rFonts w:ascii="Times New Roman" w:hAnsi="Times New Roman"/>
          <w:sz w:val="22"/>
          <w:szCs w:val="22"/>
        </w:rPr>
      </w:pPr>
      <w:r w:rsidRPr="008534DC">
        <w:rPr>
          <w:rFonts w:ascii="Times New Roman" w:hAnsi="Times New Roman"/>
          <w:sz w:val="22"/>
          <w:szCs w:val="22"/>
        </w:rPr>
        <w:t>Notes to rule 13 provide that:</w:t>
      </w:r>
    </w:p>
    <w:p w14:paraId="3CCC9382" w14:textId="77777777" w:rsidR="00916959" w:rsidRPr="008534DC" w:rsidRDefault="00916959" w:rsidP="00916959">
      <w:pPr>
        <w:numPr>
          <w:ilvl w:val="0"/>
          <w:numId w:val="2"/>
        </w:numPr>
        <w:autoSpaceDE w:val="0"/>
        <w:autoSpaceDN w:val="0"/>
        <w:adjustRightInd w:val="0"/>
        <w:spacing w:before="120"/>
        <w:ind w:left="714" w:hanging="357"/>
        <w:jc w:val="both"/>
        <w:rPr>
          <w:rFonts w:ascii="Times New Roman" w:hAnsi="Times New Roman"/>
          <w:sz w:val="22"/>
          <w:szCs w:val="22"/>
        </w:rPr>
      </w:pPr>
      <w:r w:rsidRPr="008534DC">
        <w:rPr>
          <w:rFonts w:ascii="Times New Roman" w:hAnsi="Times New Roman"/>
          <w:sz w:val="22"/>
          <w:szCs w:val="22"/>
        </w:rPr>
        <w:t xml:space="preserve">the power to make listing criteria is found in subsection 72-10(6) of the Act; and </w:t>
      </w:r>
    </w:p>
    <w:p w14:paraId="0F43B9F9" w14:textId="326668E6" w:rsidR="00916959" w:rsidRPr="008534DC" w:rsidRDefault="00916959" w:rsidP="00916959">
      <w:pPr>
        <w:numPr>
          <w:ilvl w:val="0"/>
          <w:numId w:val="2"/>
        </w:numPr>
        <w:autoSpaceDE w:val="0"/>
        <w:autoSpaceDN w:val="0"/>
        <w:adjustRightInd w:val="0"/>
        <w:spacing w:before="120"/>
        <w:ind w:left="714" w:hanging="357"/>
        <w:jc w:val="both"/>
        <w:rPr>
          <w:rFonts w:ascii="Times New Roman" w:hAnsi="Times New Roman"/>
          <w:b/>
          <w:bCs/>
          <w:sz w:val="22"/>
          <w:szCs w:val="22"/>
        </w:rPr>
      </w:pPr>
      <w:r w:rsidRPr="008534DC">
        <w:rPr>
          <w:rFonts w:ascii="Times New Roman" w:hAnsi="Times New Roman"/>
          <w:sz w:val="22"/>
          <w:szCs w:val="22"/>
        </w:rPr>
        <w:t xml:space="preserve">the Minister </w:t>
      </w:r>
      <w:r w:rsidR="00C74938" w:rsidRPr="008534DC">
        <w:rPr>
          <w:rFonts w:ascii="Times New Roman" w:hAnsi="Times New Roman"/>
          <w:sz w:val="22"/>
          <w:szCs w:val="22"/>
        </w:rPr>
        <w:t xml:space="preserve">must </w:t>
      </w:r>
      <w:r w:rsidRPr="008534DC">
        <w:rPr>
          <w:rFonts w:ascii="Times New Roman" w:hAnsi="Times New Roman"/>
          <w:sz w:val="22"/>
          <w:szCs w:val="22"/>
        </w:rPr>
        <w:t xml:space="preserve">not grant a listing application if any applicable listing criteria have not been met, and the Minister has the power to refuse to grant a listing application even if the listing criteria have been satisfied (see subsection 72-10(7) of the Act). </w:t>
      </w:r>
    </w:p>
    <w:p w14:paraId="34422D78" w14:textId="77777777" w:rsidR="00916959" w:rsidRPr="008534DC" w:rsidRDefault="00916959" w:rsidP="00916959">
      <w:pPr>
        <w:autoSpaceDE w:val="0"/>
        <w:autoSpaceDN w:val="0"/>
        <w:adjustRightInd w:val="0"/>
        <w:jc w:val="both"/>
        <w:rPr>
          <w:rFonts w:ascii="Times New Roman" w:hAnsi="Times New Roman"/>
          <w:b/>
          <w:bCs/>
          <w:sz w:val="22"/>
          <w:szCs w:val="22"/>
        </w:rPr>
      </w:pPr>
    </w:p>
    <w:p w14:paraId="69D72E48" w14:textId="77777777" w:rsidR="00916959" w:rsidRPr="008534DC" w:rsidRDefault="00916959" w:rsidP="00916959">
      <w:pPr>
        <w:keepNext/>
        <w:autoSpaceDE w:val="0"/>
        <w:autoSpaceDN w:val="0"/>
        <w:adjustRightInd w:val="0"/>
        <w:spacing w:after="120"/>
        <w:jc w:val="both"/>
        <w:rPr>
          <w:rFonts w:ascii="Times New Roman" w:hAnsi="Times New Roman"/>
          <w:b/>
          <w:bCs/>
          <w:sz w:val="22"/>
          <w:szCs w:val="22"/>
        </w:rPr>
      </w:pPr>
      <w:r w:rsidRPr="008534DC">
        <w:rPr>
          <w:rFonts w:ascii="Times New Roman" w:hAnsi="Times New Roman"/>
          <w:b/>
          <w:bCs/>
          <w:sz w:val="22"/>
          <w:szCs w:val="22"/>
        </w:rPr>
        <w:t>Schedules</w:t>
      </w:r>
    </w:p>
    <w:p w14:paraId="7F176A40" w14:textId="77777777" w:rsidR="00916959" w:rsidRPr="008534DC" w:rsidRDefault="00916959" w:rsidP="00916959">
      <w:pPr>
        <w:keepNext/>
        <w:autoSpaceDE w:val="0"/>
        <w:autoSpaceDN w:val="0"/>
        <w:adjustRightInd w:val="0"/>
        <w:spacing w:after="120"/>
        <w:ind w:left="709" w:hanging="709"/>
        <w:jc w:val="both"/>
        <w:rPr>
          <w:rFonts w:ascii="Times New Roman" w:hAnsi="Times New Roman"/>
          <w:b/>
          <w:bCs/>
          <w:sz w:val="22"/>
          <w:szCs w:val="22"/>
        </w:rPr>
      </w:pPr>
      <w:r w:rsidRPr="008534DC">
        <w:rPr>
          <w:rFonts w:ascii="Times New Roman" w:hAnsi="Times New Roman"/>
          <w:b/>
          <w:bCs/>
          <w:sz w:val="22"/>
          <w:szCs w:val="22"/>
        </w:rPr>
        <w:t>Schedule 1</w:t>
      </w:r>
      <w:r w:rsidRPr="008534DC">
        <w:rPr>
          <w:rFonts w:ascii="Times New Roman" w:hAnsi="Times New Roman"/>
          <w:b/>
          <w:bCs/>
          <w:sz w:val="22"/>
          <w:szCs w:val="22"/>
        </w:rPr>
        <w:tab/>
        <w:t xml:space="preserve">Prostheses List </w:t>
      </w:r>
    </w:p>
    <w:p w14:paraId="4054213F" w14:textId="77777777" w:rsidR="00916959" w:rsidRPr="008534DC" w:rsidRDefault="00916959" w:rsidP="00916959">
      <w:pPr>
        <w:autoSpaceDE w:val="0"/>
        <w:autoSpaceDN w:val="0"/>
        <w:adjustRightInd w:val="0"/>
        <w:rPr>
          <w:rFonts w:ascii="Times New Roman" w:hAnsi="Times New Roman"/>
          <w:sz w:val="22"/>
          <w:szCs w:val="22"/>
        </w:rPr>
      </w:pPr>
      <w:r w:rsidRPr="008534DC">
        <w:rPr>
          <w:rFonts w:ascii="Times New Roman" w:hAnsi="Times New Roman"/>
          <w:sz w:val="22"/>
          <w:szCs w:val="22"/>
        </w:rPr>
        <w:t>The Schedule lists kinds of prostheses and contains the ‘Minimum Benefit’ and ‘Maximum Benefit’ and conditions for kinds of prostheses for private and public hospital treatment, and hospital-substitute treatment.</w:t>
      </w:r>
    </w:p>
    <w:p w14:paraId="768C3B6F" w14:textId="77777777" w:rsidR="00916959" w:rsidRPr="008534DC" w:rsidRDefault="00916959" w:rsidP="00916959">
      <w:pPr>
        <w:jc w:val="both"/>
        <w:rPr>
          <w:rFonts w:ascii="Times New Roman" w:hAnsi="Times New Roman"/>
          <w:sz w:val="22"/>
          <w:szCs w:val="22"/>
        </w:rPr>
      </w:pPr>
    </w:p>
    <w:p w14:paraId="7CD11173" w14:textId="77777777" w:rsidR="00916959" w:rsidRPr="008534DC" w:rsidRDefault="00916959" w:rsidP="00916959">
      <w:pPr>
        <w:spacing w:after="160" w:line="259" w:lineRule="auto"/>
        <w:rPr>
          <w:rFonts w:ascii="Times New Roman" w:hAnsi="Times New Roman"/>
          <w:sz w:val="22"/>
          <w:szCs w:val="22"/>
        </w:rPr>
      </w:pPr>
      <w:r w:rsidRPr="008534DC">
        <w:rPr>
          <w:rFonts w:ascii="Times New Roman" w:hAnsi="Times New Roman"/>
          <w:sz w:val="22"/>
          <w:szCs w:val="22"/>
        </w:rPr>
        <w:br w:type="page"/>
      </w:r>
    </w:p>
    <w:p w14:paraId="7B9759FE" w14:textId="77777777" w:rsidR="00916959" w:rsidRPr="008534DC" w:rsidRDefault="00916959" w:rsidP="00916959">
      <w:pPr>
        <w:spacing w:before="360" w:after="120"/>
        <w:jc w:val="center"/>
        <w:rPr>
          <w:rFonts w:ascii="Times New Roman" w:hAnsi="Times New Roman"/>
          <w:b/>
          <w:sz w:val="22"/>
          <w:szCs w:val="22"/>
        </w:rPr>
      </w:pPr>
      <w:r w:rsidRPr="008534DC">
        <w:rPr>
          <w:rFonts w:ascii="Times New Roman" w:hAnsi="Times New Roman"/>
          <w:b/>
          <w:sz w:val="22"/>
          <w:szCs w:val="22"/>
        </w:rPr>
        <w:lastRenderedPageBreak/>
        <w:t>Statement of Compatibility with Human Rights</w:t>
      </w:r>
    </w:p>
    <w:p w14:paraId="786450CB" w14:textId="77777777" w:rsidR="00916959" w:rsidRPr="008534DC" w:rsidRDefault="00916959" w:rsidP="00916959">
      <w:pPr>
        <w:spacing w:before="120" w:after="120"/>
        <w:jc w:val="center"/>
        <w:rPr>
          <w:rFonts w:ascii="Times New Roman" w:hAnsi="Times New Roman"/>
          <w:sz w:val="22"/>
          <w:szCs w:val="22"/>
        </w:rPr>
      </w:pPr>
      <w:r w:rsidRPr="008534DC">
        <w:rPr>
          <w:rFonts w:ascii="Times New Roman" w:hAnsi="Times New Roman"/>
          <w:i/>
          <w:sz w:val="22"/>
          <w:szCs w:val="22"/>
        </w:rPr>
        <w:t>Prepared in accordance with Part 3 of the Human Rights (Parliamentary Scrutiny) Act 2011</w:t>
      </w:r>
    </w:p>
    <w:p w14:paraId="3B7C6EC3" w14:textId="7C58A5F2" w:rsidR="00916959" w:rsidRPr="008534DC" w:rsidRDefault="00916959" w:rsidP="00916959">
      <w:pPr>
        <w:jc w:val="center"/>
        <w:rPr>
          <w:rFonts w:ascii="Times New Roman" w:hAnsi="Times New Roman"/>
          <w:b/>
          <w:i/>
          <w:sz w:val="22"/>
          <w:szCs w:val="22"/>
        </w:rPr>
      </w:pPr>
      <w:r w:rsidRPr="008534DC">
        <w:rPr>
          <w:rFonts w:ascii="Times New Roman" w:hAnsi="Times New Roman"/>
          <w:b/>
          <w:i/>
          <w:iCs/>
          <w:sz w:val="22"/>
          <w:szCs w:val="22"/>
        </w:rPr>
        <w:t xml:space="preserve">Private Health Insurance (Prostheses) Rules (No. </w:t>
      </w:r>
      <w:r w:rsidR="006F5133" w:rsidRPr="008534DC">
        <w:rPr>
          <w:rFonts w:ascii="Times New Roman" w:hAnsi="Times New Roman"/>
          <w:b/>
          <w:i/>
          <w:iCs/>
          <w:sz w:val="22"/>
          <w:szCs w:val="22"/>
        </w:rPr>
        <w:t>3</w:t>
      </w:r>
      <w:r w:rsidRPr="008534DC">
        <w:rPr>
          <w:rFonts w:ascii="Times New Roman" w:hAnsi="Times New Roman"/>
          <w:b/>
          <w:i/>
          <w:iCs/>
          <w:sz w:val="22"/>
          <w:szCs w:val="22"/>
        </w:rPr>
        <w:t>) 2022</w:t>
      </w:r>
      <w:r w:rsidRPr="008534DC">
        <w:rPr>
          <w:rFonts w:ascii="Times New Roman" w:hAnsi="Times New Roman"/>
          <w:b/>
          <w:i/>
          <w:sz w:val="22"/>
          <w:szCs w:val="22"/>
        </w:rPr>
        <w:br/>
      </w:r>
    </w:p>
    <w:p w14:paraId="2FB201C9" w14:textId="77777777" w:rsidR="00916959" w:rsidRPr="008534DC" w:rsidRDefault="00916959" w:rsidP="00916959">
      <w:pPr>
        <w:jc w:val="center"/>
        <w:rPr>
          <w:rFonts w:ascii="Times New Roman" w:hAnsi="Times New Roman"/>
          <w:sz w:val="22"/>
          <w:szCs w:val="22"/>
        </w:rPr>
      </w:pPr>
      <w:r w:rsidRPr="008534DC">
        <w:rPr>
          <w:rFonts w:ascii="Times New Roman" w:hAnsi="Times New Roman"/>
          <w:sz w:val="22"/>
          <w:szCs w:val="22"/>
        </w:rPr>
        <w:t xml:space="preserve">This instrument is compatible with the human rights and freedoms recognised or declared in the international instruments listed in section 3 of the </w:t>
      </w:r>
      <w:r w:rsidRPr="008534DC">
        <w:rPr>
          <w:rFonts w:ascii="Times New Roman" w:hAnsi="Times New Roman"/>
          <w:i/>
          <w:sz w:val="22"/>
          <w:szCs w:val="22"/>
        </w:rPr>
        <w:t>Human Rights (Parliamentary Scrutiny) Act 2011</w:t>
      </w:r>
      <w:r w:rsidRPr="008534DC">
        <w:rPr>
          <w:rFonts w:ascii="Times New Roman" w:hAnsi="Times New Roman"/>
          <w:sz w:val="22"/>
          <w:szCs w:val="22"/>
        </w:rPr>
        <w:t>.</w:t>
      </w:r>
    </w:p>
    <w:p w14:paraId="5AFB58C8" w14:textId="77777777" w:rsidR="00916959" w:rsidRPr="008534DC" w:rsidRDefault="00916959" w:rsidP="00916959">
      <w:pPr>
        <w:spacing w:before="120" w:after="120"/>
        <w:rPr>
          <w:rFonts w:ascii="Times New Roman" w:hAnsi="Times New Roman"/>
          <w:b/>
          <w:sz w:val="22"/>
          <w:szCs w:val="22"/>
        </w:rPr>
      </w:pPr>
      <w:r w:rsidRPr="008534DC">
        <w:rPr>
          <w:rFonts w:ascii="Times New Roman" w:hAnsi="Times New Roman"/>
          <w:b/>
          <w:sz w:val="22"/>
          <w:szCs w:val="22"/>
        </w:rPr>
        <w:t xml:space="preserve">Overview of the Legislative Instrument </w:t>
      </w:r>
    </w:p>
    <w:p w14:paraId="7789C58C" w14:textId="77777777" w:rsidR="00916959" w:rsidRPr="008534DC" w:rsidRDefault="00916959" w:rsidP="00916959">
      <w:pPr>
        <w:jc w:val="both"/>
        <w:rPr>
          <w:rFonts w:ascii="Times New Roman" w:hAnsi="Times New Roman"/>
          <w:sz w:val="22"/>
          <w:szCs w:val="22"/>
        </w:rPr>
      </w:pPr>
      <w:r w:rsidRPr="008534DC">
        <w:rPr>
          <w:rFonts w:ascii="Times New Roman" w:hAnsi="Times New Roman"/>
          <w:sz w:val="22"/>
          <w:szCs w:val="22"/>
        </w:rPr>
        <w:t xml:space="preserve">The table in subsection 72-1(2) of Part 3-3 of the </w:t>
      </w:r>
      <w:r w:rsidRPr="008534DC">
        <w:rPr>
          <w:rFonts w:ascii="Times New Roman" w:hAnsi="Times New Roman"/>
          <w:i/>
          <w:sz w:val="22"/>
          <w:szCs w:val="22"/>
        </w:rPr>
        <w:t>Private Health Insurance Act 2007</w:t>
      </w:r>
      <w:r w:rsidRPr="008534DC">
        <w:rPr>
          <w:rFonts w:ascii="Times New Roman" w:hAnsi="Times New Roman"/>
          <w:sz w:val="22"/>
          <w:szCs w:val="22"/>
        </w:rPr>
        <w:t xml:space="preserve"> (the Act) provides for benefit requirements that a complying health insurance policy that covers hospital treatment must meet. Under item 4 of that table there must be a benefit for the provision of a prosthesis, of a kind listed in Private Health Insurance (Prostheses) Rules</w:t>
      </w:r>
      <w:r w:rsidRPr="008534DC">
        <w:rPr>
          <w:rFonts w:ascii="Times New Roman" w:hAnsi="Times New Roman"/>
          <w:i/>
          <w:sz w:val="22"/>
          <w:szCs w:val="22"/>
        </w:rPr>
        <w:t xml:space="preserve"> </w:t>
      </w:r>
      <w:r w:rsidRPr="008534DC">
        <w:rPr>
          <w:rFonts w:ascii="Times New Roman" w:hAnsi="Times New Roman"/>
          <w:sz w:val="22"/>
          <w:szCs w:val="22"/>
        </w:rPr>
        <w:t>(i.e. a listed prosthesis), in specified circumstances and under any specified conditions.</w:t>
      </w:r>
    </w:p>
    <w:p w14:paraId="7B6C8457" w14:textId="7945FF68" w:rsidR="00916959" w:rsidRPr="008534DC" w:rsidRDefault="00916959" w:rsidP="00916959">
      <w:pPr>
        <w:spacing w:before="120" w:after="120"/>
        <w:jc w:val="both"/>
        <w:rPr>
          <w:rFonts w:ascii="Times New Roman" w:hAnsi="Times New Roman"/>
          <w:sz w:val="22"/>
          <w:szCs w:val="22"/>
        </w:rPr>
      </w:pPr>
      <w:r w:rsidRPr="008534DC">
        <w:rPr>
          <w:rFonts w:ascii="Times New Roman" w:hAnsi="Times New Roman"/>
          <w:sz w:val="22"/>
          <w:szCs w:val="22"/>
        </w:rPr>
        <w:t xml:space="preserve">The </w:t>
      </w:r>
      <w:r w:rsidRPr="008534DC">
        <w:rPr>
          <w:rFonts w:ascii="Times New Roman" w:hAnsi="Times New Roman"/>
          <w:i/>
          <w:sz w:val="22"/>
          <w:szCs w:val="22"/>
        </w:rPr>
        <w:t xml:space="preserve">Private Health Insurance (Prostheses) Rules (No. </w:t>
      </w:r>
      <w:r w:rsidR="006F5133" w:rsidRPr="008534DC">
        <w:rPr>
          <w:rFonts w:ascii="Times New Roman" w:hAnsi="Times New Roman"/>
          <w:i/>
          <w:sz w:val="22"/>
          <w:szCs w:val="22"/>
        </w:rPr>
        <w:t>3</w:t>
      </w:r>
      <w:r w:rsidRPr="008534DC">
        <w:rPr>
          <w:rFonts w:ascii="Times New Roman" w:hAnsi="Times New Roman"/>
          <w:i/>
          <w:sz w:val="22"/>
          <w:szCs w:val="22"/>
        </w:rPr>
        <w:t>) 2022</w:t>
      </w:r>
      <w:r w:rsidRPr="008534DC">
        <w:rPr>
          <w:rFonts w:ascii="Times New Roman" w:hAnsi="Times New Roman"/>
          <w:b/>
          <w:i/>
          <w:sz w:val="22"/>
          <w:szCs w:val="22"/>
        </w:rPr>
        <w:t xml:space="preserve"> </w:t>
      </w:r>
      <w:r w:rsidRPr="008534DC">
        <w:rPr>
          <w:rFonts w:ascii="Times New Roman" w:hAnsi="Times New Roman"/>
          <w:sz w:val="22"/>
          <w:szCs w:val="22"/>
        </w:rPr>
        <w:t>(the Rules):</w:t>
      </w:r>
    </w:p>
    <w:p w14:paraId="0D1E00CF" w14:textId="55F40F6F" w:rsidR="00916959" w:rsidRPr="008534DC" w:rsidRDefault="00916959" w:rsidP="00916959">
      <w:pPr>
        <w:spacing w:before="120"/>
        <w:ind w:left="567" w:hanging="567"/>
        <w:jc w:val="both"/>
        <w:rPr>
          <w:rFonts w:ascii="Times New Roman" w:hAnsi="Times New Roman"/>
          <w:sz w:val="22"/>
          <w:szCs w:val="22"/>
        </w:rPr>
      </w:pPr>
      <w:r w:rsidRPr="008534DC">
        <w:rPr>
          <w:rFonts w:ascii="Times New Roman" w:hAnsi="Times New Roman"/>
          <w:sz w:val="22"/>
          <w:szCs w:val="22"/>
        </w:rPr>
        <w:t>(a)</w:t>
      </w:r>
      <w:r w:rsidRPr="008534DC">
        <w:rPr>
          <w:rFonts w:ascii="Times New Roman" w:hAnsi="Times New Roman"/>
          <w:sz w:val="22"/>
          <w:szCs w:val="22"/>
        </w:rPr>
        <w:tab/>
        <w:t xml:space="preserve">repeal the </w:t>
      </w:r>
      <w:r w:rsidRPr="008534DC">
        <w:rPr>
          <w:rFonts w:ascii="Times New Roman" w:hAnsi="Times New Roman"/>
          <w:i/>
          <w:sz w:val="22"/>
          <w:szCs w:val="22"/>
        </w:rPr>
        <w:t xml:space="preserve">Private Health Insurance (Prostheses) Rules (No. </w:t>
      </w:r>
      <w:r w:rsidR="006F5133" w:rsidRPr="008534DC">
        <w:rPr>
          <w:rFonts w:ascii="Times New Roman" w:hAnsi="Times New Roman"/>
          <w:i/>
          <w:sz w:val="22"/>
          <w:szCs w:val="22"/>
        </w:rPr>
        <w:t>2</w:t>
      </w:r>
      <w:r w:rsidRPr="008534DC">
        <w:rPr>
          <w:rFonts w:ascii="Times New Roman" w:hAnsi="Times New Roman"/>
          <w:i/>
          <w:sz w:val="22"/>
          <w:szCs w:val="22"/>
        </w:rPr>
        <w:t>) 2022</w:t>
      </w:r>
      <w:r w:rsidRPr="008534DC">
        <w:rPr>
          <w:rFonts w:ascii="Times New Roman" w:hAnsi="Times New Roman"/>
          <w:sz w:val="22"/>
          <w:szCs w:val="22"/>
        </w:rPr>
        <w:t xml:space="preserve"> (the Previous Rules); and</w:t>
      </w:r>
    </w:p>
    <w:p w14:paraId="5311BAC6" w14:textId="5A55130B" w:rsidR="00916959" w:rsidRPr="008534DC" w:rsidRDefault="00916959" w:rsidP="00916959">
      <w:pPr>
        <w:spacing w:before="120"/>
        <w:ind w:left="567" w:hanging="567"/>
        <w:jc w:val="both"/>
        <w:rPr>
          <w:rFonts w:ascii="Times New Roman" w:hAnsi="Times New Roman"/>
          <w:sz w:val="22"/>
          <w:szCs w:val="22"/>
        </w:rPr>
      </w:pPr>
      <w:r w:rsidRPr="008534DC">
        <w:rPr>
          <w:rFonts w:ascii="Times New Roman" w:hAnsi="Times New Roman"/>
          <w:sz w:val="22"/>
          <w:szCs w:val="22"/>
        </w:rPr>
        <w:t>(b)</w:t>
      </w:r>
      <w:r w:rsidRPr="008534DC">
        <w:rPr>
          <w:rFonts w:ascii="Times New Roman" w:hAnsi="Times New Roman"/>
          <w:sz w:val="22"/>
          <w:szCs w:val="22"/>
        </w:rPr>
        <w:tab/>
        <w:t xml:space="preserve">provide for an updated list of the kinds of prostheses in relation to the provision of which a benefit must be paid in the conditions and circumstances specified, and set out the minimum and, where applicable, maximum benefit payable. </w:t>
      </w:r>
    </w:p>
    <w:p w14:paraId="3A5B7657" w14:textId="77777777" w:rsidR="00A358F6" w:rsidRPr="008534DC" w:rsidRDefault="00A358F6" w:rsidP="00916959">
      <w:pPr>
        <w:spacing w:before="120"/>
        <w:ind w:left="567" w:hanging="567"/>
        <w:jc w:val="both"/>
        <w:rPr>
          <w:rFonts w:ascii="Times New Roman" w:hAnsi="Times New Roman"/>
          <w:sz w:val="22"/>
          <w:szCs w:val="22"/>
        </w:rPr>
      </w:pPr>
    </w:p>
    <w:p w14:paraId="385CA72C" w14:textId="77777777" w:rsidR="00A01892" w:rsidRPr="008534DC" w:rsidRDefault="00A01892" w:rsidP="00A01892">
      <w:pPr>
        <w:jc w:val="both"/>
        <w:rPr>
          <w:rFonts w:ascii="Times New Roman" w:hAnsi="Times New Roman"/>
          <w:sz w:val="22"/>
          <w:szCs w:val="22"/>
        </w:rPr>
      </w:pPr>
      <w:r w:rsidRPr="008534DC">
        <w:rPr>
          <w:rFonts w:ascii="Times New Roman" w:hAnsi="Times New Roman"/>
          <w:sz w:val="22"/>
          <w:szCs w:val="22"/>
        </w:rPr>
        <w:t>In addition to the changes resulted from completion of the applications, the Prostheses Rules correct errors to Schedule 1 resulting from technical issues encountered when making the Previous Rules by:</w:t>
      </w:r>
    </w:p>
    <w:p w14:paraId="55860E83" w14:textId="77777777" w:rsidR="00A01892" w:rsidRPr="008534DC" w:rsidRDefault="00A01892" w:rsidP="00A01892">
      <w:pPr>
        <w:pStyle w:val="ListParagraph"/>
        <w:numPr>
          <w:ilvl w:val="0"/>
          <w:numId w:val="11"/>
        </w:numPr>
        <w:rPr>
          <w:rFonts w:ascii="Times New Roman" w:hAnsi="Times New Roman"/>
          <w:sz w:val="22"/>
          <w:szCs w:val="22"/>
        </w:rPr>
      </w:pPr>
      <w:r w:rsidRPr="008534DC">
        <w:rPr>
          <w:rFonts w:ascii="Times New Roman" w:hAnsi="Times New Roman"/>
          <w:sz w:val="22"/>
          <w:szCs w:val="22"/>
        </w:rPr>
        <w:t xml:space="preserve">correcting the title of Part D of the </w:t>
      </w:r>
      <w:proofErr w:type="gramStart"/>
      <w:r w:rsidRPr="008534DC">
        <w:rPr>
          <w:rFonts w:ascii="Times New Roman" w:hAnsi="Times New Roman"/>
          <w:sz w:val="22"/>
          <w:szCs w:val="22"/>
        </w:rPr>
        <w:t>Schedule;</w:t>
      </w:r>
      <w:proofErr w:type="gramEnd"/>
    </w:p>
    <w:p w14:paraId="12E79507" w14:textId="77777777" w:rsidR="00A01892" w:rsidRPr="008534DC" w:rsidRDefault="00A01892" w:rsidP="00A01892">
      <w:pPr>
        <w:pStyle w:val="ListParagraph"/>
        <w:numPr>
          <w:ilvl w:val="0"/>
          <w:numId w:val="11"/>
        </w:numPr>
        <w:rPr>
          <w:rFonts w:ascii="Times New Roman" w:hAnsi="Times New Roman"/>
          <w:sz w:val="22"/>
          <w:szCs w:val="22"/>
        </w:rPr>
      </w:pPr>
      <w:r w:rsidRPr="008534DC">
        <w:rPr>
          <w:rFonts w:ascii="Times New Roman" w:hAnsi="Times New Roman"/>
          <w:sz w:val="22"/>
          <w:szCs w:val="22"/>
        </w:rPr>
        <w:t xml:space="preserve">moving 1 Prostheses List billing code from Part A to Part C of the </w:t>
      </w:r>
      <w:proofErr w:type="gramStart"/>
      <w:r w:rsidRPr="008534DC">
        <w:rPr>
          <w:rFonts w:ascii="Times New Roman" w:hAnsi="Times New Roman"/>
          <w:sz w:val="22"/>
          <w:szCs w:val="22"/>
        </w:rPr>
        <w:t>Schedule;</w:t>
      </w:r>
      <w:proofErr w:type="gramEnd"/>
    </w:p>
    <w:p w14:paraId="594CF46D" w14:textId="77777777" w:rsidR="00A01892" w:rsidRPr="008534DC" w:rsidRDefault="00A01892" w:rsidP="00A01892">
      <w:pPr>
        <w:pStyle w:val="ListParagraph"/>
        <w:numPr>
          <w:ilvl w:val="0"/>
          <w:numId w:val="11"/>
        </w:numPr>
        <w:rPr>
          <w:rFonts w:ascii="Times New Roman" w:hAnsi="Times New Roman"/>
          <w:sz w:val="22"/>
          <w:szCs w:val="22"/>
        </w:rPr>
      </w:pPr>
      <w:r w:rsidRPr="008534DC">
        <w:rPr>
          <w:rFonts w:ascii="Times New Roman" w:hAnsi="Times New Roman"/>
          <w:sz w:val="22"/>
          <w:szCs w:val="22"/>
        </w:rPr>
        <w:t xml:space="preserve">moving 3 Prostheses List billing codes from Part D to Part A of the </w:t>
      </w:r>
      <w:proofErr w:type="gramStart"/>
      <w:r w:rsidRPr="008534DC">
        <w:rPr>
          <w:rFonts w:ascii="Times New Roman" w:hAnsi="Times New Roman"/>
          <w:sz w:val="22"/>
          <w:szCs w:val="22"/>
        </w:rPr>
        <w:t>Schedule;</w:t>
      </w:r>
      <w:proofErr w:type="gramEnd"/>
    </w:p>
    <w:p w14:paraId="7849CCFD" w14:textId="77777777" w:rsidR="00A01892" w:rsidRPr="008534DC" w:rsidRDefault="00A01892" w:rsidP="00A01892">
      <w:pPr>
        <w:pStyle w:val="ListParagraph"/>
        <w:numPr>
          <w:ilvl w:val="0"/>
          <w:numId w:val="11"/>
        </w:numPr>
        <w:rPr>
          <w:rFonts w:ascii="Times New Roman" w:hAnsi="Times New Roman"/>
          <w:sz w:val="22"/>
          <w:szCs w:val="22"/>
        </w:rPr>
      </w:pPr>
      <w:r w:rsidRPr="008534DC">
        <w:rPr>
          <w:rFonts w:ascii="Times New Roman" w:hAnsi="Times New Roman"/>
          <w:sz w:val="22"/>
          <w:szCs w:val="22"/>
        </w:rPr>
        <w:t xml:space="preserve">re-instating 5 Prostheses List billing codes in Part A of the Schedule that were inadvertently </w:t>
      </w:r>
      <w:proofErr w:type="gramStart"/>
      <w:r w:rsidRPr="008534DC">
        <w:rPr>
          <w:rFonts w:ascii="Times New Roman" w:hAnsi="Times New Roman"/>
          <w:sz w:val="22"/>
          <w:szCs w:val="22"/>
        </w:rPr>
        <w:t>omitted;</w:t>
      </w:r>
      <w:proofErr w:type="gramEnd"/>
    </w:p>
    <w:p w14:paraId="424A0C7B" w14:textId="77777777" w:rsidR="00A01892" w:rsidRPr="008534DC" w:rsidRDefault="00A01892" w:rsidP="00A01892">
      <w:pPr>
        <w:pStyle w:val="ListParagraph"/>
        <w:numPr>
          <w:ilvl w:val="0"/>
          <w:numId w:val="11"/>
        </w:numPr>
        <w:rPr>
          <w:rFonts w:ascii="Times New Roman" w:hAnsi="Times New Roman"/>
          <w:sz w:val="22"/>
          <w:szCs w:val="22"/>
        </w:rPr>
      </w:pPr>
      <w:r w:rsidRPr="008534DC">
        <w:rPr>
          <w:rFonts w:ascii="Times New Roman" w:hAnsi="Times New Roman"/>
          <w:sz w:val="22"/>
          <w:szCs w:val="22"/>
        </w:rPr>
        <w:t xml:space="preserve">removing 1 Prostheses List billing code from Part A of the Schedule that was previously deleted at the sponsor’s </w:t>
      </w:r>
      <w:proofErr w:type="gramStart"/>
      <w:r w:rsidRPr="008534DC">
        <w:rPr>
          <w:rFonts w:ascii="Times New Roman" w:hAnsi="Times New Roman"/>
          <w:sz w:val="22"/>
          <w:szCs w:val="22"/>
        </w:rPr>
        <w:t>request;</w:t>
      </w:r>
      <w:proofErr w:type="gramEnd"/>
      <w:r w:rsidRPr="008534DC">
        <w:rPr>
          <w:rFonts w:ascii="Times New Roman" w:hAnsi="Times New Roman"/>
          <w:sz w:val="22"/>
          <w:szCs w:val="22"/>
        </w:rPr>
        <w:t xml:space="preserve"> and</w:t>
      </w:r>
    </w:p>
    <w:p w14:paraId="2DCDAD37" w14:textId="77777777" w:rsidR="00A01892" w:rsidRPr="008534DC" w:rsidRDefault="00A01892" w:rsidP="00A01892">
      <w:pPr>
        <w:pStyle w:val="ListParagraph"/>
        <w:numPr>
          <w:ilvl w:val="0"/>
          <w:numId w:val="11"/>
        </w:numPr>
        <w:spacing w:after="120"/>
        <w:ind w:left="714" w:hanging="357"/>
        <w:rPr>
          <w:rFonts w:ascii="Times New Roman" w:hAnsi="Times New Roman"/>
          <w:sz w:val="22"/>
          <w:szCs w:val="22"/>
        </w:rPr>
      </w:pPr>
      <w:r w:rsidRPr="008534DC">
        <w:rPr>
          <w:rFonts w:ascii="Times New Roman" w:hAnsi="Times New Roman"/>
          <w:sz w:val="22"/>
          <w:szCs w:val="22"/>
        </w:rPr>
        <w:t>correcting the benefits for 2 Prostheses List billing codes in Part D of the Schedule, as there were inadvertently changed when the billing codes were moved from Part A.</w:t>
      </w:r>
    </w:p>
    <w:p w14:paraId="467AEB5A" w14:textId="77777777" w:rsidR="00A01892" w:rsidRPr="008534DC" w:rsidRDefault="00A01892" w:rsidP="00A01892">
      <w:pPr>
        <w:jc w:val="both"/>
        <w:rPr>
          <w:rFonts w:ascii="Times New Roman" w:hAnsi="Times New Roman"/>
          <w:sz w:val="22"/>
          <w:szCs w:val="22"/>
        </w:rPr>
      </w:pPr>
    </w:p>
    <w:p w14:paraId="74A3A366" w14:textId="77777777" w:rsidR="00A01892" w:rsidRPr="008534DC" w:rsidRDefault="00A01892" w:rsidP="00A01892">
      <w:pPr>
        <w:spacing w:after="120"/>
        <w:jc w:val="both"/>
        <w:rPr>
          <w:rFonts w:ascii="Times New Roman" w:hAnsi="Times New Roman"/>
          <w:sz w:val="22"/>
          <w:szCs w:val="22"/>
        </w:rPr>
      </w:pPr>
      <w:r w:rsidRPr="008534DC">
        <w:rPr>
          <w:rFonts w:ascii="Times New Roman" w:hAnsi="Times New Roman"/>
          <w:sz w:val="22"/>
          <w:szCs w:val="22"/>
        </w:rPr>
        <w:t>The Prostheses Rules differ from the Previous Rules by:</w:t>
      </w:r>
    </w:p>
    <w:p w14:paraId="44C079BD" w14:textId="77777777" w:rsidR="00A01892" w:rsidRPr="008534DC" w:rsidRDefault="00A01892" w:rsidP="00A01892">
      <w:pPr>
        <w:pStyle w:val="ListParagraph"/>
        <w:numPr>
          <w:ilvl w:val="3"/>
          <w:numId w:val="6"/>
        </w:numPr>
        <w:spacing w:after="60"/>
        <w:ind w:left="709"/>
        <w:contextualSpacing w:val="0"/>
        <w:jc w:val="both"/>
        <w:rPr>
          <w:rFonts w:ascii="Times New Roman" w:hAnsi="Times New Roman"/>
          <w:sz w:val="22"/>
          <w:szCs w:val="22"/>
        </w:rPr>
      </w:pPr>
      <w:r w:rsidRPr="008534DC">
        <w:rPr>
          <w:rFonts w:ascii="Times New Roman" w:hAnsi="Times New Roman"/>
          <w:sz w:val="22"/>
          <w:szCs w:val="22"/>
        </w:rPr>
        <w:t xml:space="preserve">adding 184 new Prostheses List billing codes to Part A of Schedule 1, as a result of listing 103 prostheses for the first time following successful new applications, and 81 new codes due to transfer of prostheses from one sponsor to </w:t>
      </w:r>
      <w:proofErr w:type="gramStart"/>
      <w:r w:rsidRPr="008534DC">
        <w:rPr>
          <w:rFonts w:ascii="Times New Roman" w:hAnsi="Times New Roman"/>
          <w:sz w:val="22"/>
          <w:szCs w:val="22"/>
        </w:rPr>
        <w:t>another;</w:t>
      </w:r>
      <w:proofErr w:type="gramEnd"/>
    </w:p>
    <w:p w14:paraId="270B20E7" w14:textId="77777777" w:rsidR="00A01892" w:rsidRPr="008534DC" w:rsidRDefault="00A01892" w:rsidP="00A01892">
      <w:pPr>
        <w:pStyle w:val="NoSpacing"/>
        <w:numPr>
          <w:ilvl w:val="0"/>
          <w:numId w:val="6"/>
        </w:numPr>
        <w:spacing w:after="60"/>
        <w:ind w:left="714" w:hanging="357"/>
        <w:jc w:val="both"/>
        <w:rPr>
          <w:sz w:val="22"/>
          <w:szCs w:val="22"/>
          <w:lang w:eastAsia="en-AU"/>
        </w:rPr>
      </w:pPr>
      <w:r w:rsidRPr="008534DC">
        <w:rPr>
          <w:sz w:val="22"/>
          <w:szCs w:val="22"/>
        </w:rPr>
        <w:t xml:space="preserve">changing the listing details </w:t>
      </w:r>
      <w:r w:rsidRPr="008534DC">
        <w:rPr>
          <w:sz w:val="22"/>
          <w:szCs w:val="22"/>
          <w:lang w:eastAsia="en-AU"/>
        </w:rPr>
        <w:t xml:space="preserve">of 98 Prostheses List billing codes in Part A of Schedule 1 following the successful amendment applications from the sponsors and the changes to the billing codes required to rectify the errors as explained </w:t>
      </w:r>
      <w:proofErr w:type="gramStart"/>
      <w:r w:rsidRPr="008534DC">
        <w:rPr>
          <w:sz w:val="22"/>
          <w:szCs w:val="22"/>
          <w:lang w:eastAsia="en-AU"/>
        </w:rPr>
        <w:t>above;</w:t>
      </w:r>
      <w:proofErr w:type="gramEnd"/>
    </w:p>
    <w:p w14:paraId="70F9FE34" w14:textId="77777777" w:rsidR="00A01892" w:rsidRPr="008534DC" w:rsidRDefault="00A01892" w:rsidP="00A01892">
      <w:pPr>
        <w:pStyle w:val="ListParagraph"/>
        <w:numPr>
          <w:ilvl w:val="0"/>
          <w:numId w:val="6"/>
        </w:numPr>
        <w:spacing w:after="60"/>
        <w:ind w:left="709"/>
        <w:contextualSpacing w:val="0"/>
        <w:jc w:val="both"/>
        <w:rPr>
          <w:rFonts w:ascii="Times New Roman" w:hAnsi="Times New Roman"/>
          <w:sz w:val="22"/>
          <w:szCs w:val="22"/>
        </w:rPr>
      </w:pPr>
      <w:r w:rsidRPr="008534DC">
        <w:rPr>
          <w:rFonts w:ascii="Times New Roman" w:hAnsi="Times New Roman"/>
          <w:sz w:val="22"/>
          <w:szCs w:val="22"/>
        </w:rPr>
        <w:t xml:space="preserve">deleting 146 Prostheses List billing codes from Part A of Schedule 1, as a result of accepting 65 deletion applications submitted by the sponsors, removing 81 current codes after transferring prostheses to the new sponsors, </w:t>
      </w:r>
    </w:p>
    <w:p w14:paraId="419A0B40" w14:textId="77777777" w:rsidR="00A01892" w:rsidRPr="008534DC" w:rsidRDefault="00A01892" w:rsidP="00A01892">
      <w:pPr>
        <w:pStyle w:val="ListParagraph"/>
        <w:numPr>
          <w:ilvl w:val="0"/>
          <w:numId w:val="6"/>
        </w:numPr>
        <w:spacing w:after="60"/>
        <w:contextualSpacing w:val="0"/>
        <w:jc w:val="both"/>
        <w:rPr>
          <w:rFonts w:ascii="Times New Roman" w:hAnsi="Times New Roman"/>
          <w:sz w:val="22"/>
          <w:szCs w:val="22"/>
        </w:rPr>
      </w:pPr>
      <w:r w:rsidRPr="008534DC">
        <w:rPr>
          <w:rFonts w:ascii="Times New Roman" w:hAnsi="Times New Roman"/>
          <w:sz w:val="22"/>
          <w:szCs w:val="22"/>
        </w:rPr>
        <w:t>changing the listing details of 3 Prostheses List billing codes in Part C of Schedule 1 following successful amendment applications from the sponsors</w:t>
      </w:r>
      <w:r w:rsidRPr="008534DC">
        <w:t xml:space="preserve"> </w:t>
      </w:r>
      <w:r w:rsidRPr="008534DC">
        <w:rPr>
          <w:rFonts w:ascii="Times New Roman" w:hAnsi="Times New Roman"/>
          <w:sz w:val="22"/>
          <w:szCs w:val="22"/>
        </w:rPr>
        <w:t xml:space="preserve">and the changes to the billing code required to rectify the error as explained </w:t>
      </w:r>
      <w:proofErr w:type="gramStart"/>
      <w:r w:rsidRPr="008534DC">
        <w:rPr>
          <w:rFonts w:ascii="Times New Roman" w:hAnsi="Times New Roman"/>
          <w:sz w:val="22"/>
          <w:szCs w:val="22"/>
        </w:rPr>
        <w:t>above;</w:t>
      </w:r>
      <w:proofErr w:type="gramEnd"/>
      <w:r w:rsidRPr="008534DC">
        <w:rPr>
          <w:rFonts w:ascii="Times New Roman" w:hAnsi="Times New Roman"/>
          <w:sz w:val="22"/>
          <w:szCs w:val="22"/>
        </w:rPr>
        <w:t xml:space="preserve"> and</w:t>
      </w:r>
    </w:p>
    <w:p w14:paraId="4DAE618D" w14:textId="77777777" w:rsidR="00A01892" w:rsidRPr="008534DC" w:rsidRDefault="00A01892" w:rsidP="00A01892">
      <w:pPr>
        <w:pStyle w:val="ListParagraph"/>
        <w:numPr>
          <w:ilvl w:val="0"/>
          <w:numId w:val="6"/>
        </w:numPr>
        <w:spacing w:after="60"/>
        <w:contextualSpacing w:val="0"/>
        <w:jc w:val="both"/>
        <w:rPr>
          <w:rFonts w:ascii="Times New Roman" w:hAnsi="Times New Roman"/>
          <w:sz w:val="22"/>
          <w:szCs w:val="22"/>
        </w:rPr>
      </w:pPr>
      <w:r w:rsidRPr="008534DC">
        <w:rPr>
          <w:rFonts w:ascii="Times New Roman" w:hAnsi="Times New Roman"/>
          <w:sz w:val="22"/>
          <w:szCs w:val="22"/>
        </w:rPr>
        <w:t>changing the listing details of 3 Prostheses List billing code in Part D of Schedule 1.</w:t>
      </w:r>
    </w:p>
    <w:p w14:paraId="1B2FEB42" w14:textId="77777777" w:rsidR="0027219E" w:rsidRPr="008534DC" w:rsidRDefault="0027219E" w:rsidP="00916959">
      <w:pPr>
        <w:ind w:left="360"/>
        <w:rPr>
          <w:rFonts w:ascii="Times New Roman" w:hAnsi="Times New Roman"/>
          <w:sz w:val="22"/>
          <w:szCs w:val="22"/>
        </w:rPr>
      </w:pPr>
    </w:p>
    <w:p w14:paraId="26284A9F" w14:textId="77777777" w:rsidR="00916959" w:rsidRPr="008534DC" w:rsidRDefault="00916959" w:rsidP="00A358F6">
      <w:pPr>
        <w:keepNext/>
        <w:rPr>
          <w:rFonts w:ascii="Times New Roman" w:hAnsi="Times New Roman"/>
          <w:b/>
          <w:sz w:val="22"/>
          <w:szCs w:val="22"/>
        </w:rPr>
      </w:pPr>
      <w:r w:rsidRPr="008534DC">
        <w:rPr>
          <w:rFonts w:ascii="Times New Roman" w:hAnsi="Times New Roman"/>
          <w:b/>
          <w:sz w:val="22"/>
          <w:szCs w:val="22"/>
        </w:rPr>
        <w:t>Human rights implications</w:t>
      </w:r>
    </w:p>
    <w:p w14:paraId="72C38568" w14:textId="77777777" w:rsidR="00916959" w:rsidRPr="008534DC" w:rsidRDefault="00916959" w:rsidP="00916959">
      <w:pPr>
        <w:spacing w:before="120" w:after="120"/>
        <w:jc w:val="both"/>
        <w:rPr>
          <w:rFonts w:ascii="Times New Roman" w:hAnsi="Times New Roman"/>
          <w:sz w:val="22"/>
          <w:szCs w:val="22"/>
        </w:rPr>
      </w:pPr>
      <w:r w:rsidRPr="008534DC">
        <w:rPr>
          <w:rFonts w:ascii="Times New Roman" w:hAnsi="Times New Roman"/>
          <w:sz w:val="22"/>
          <w:szCs w:val="22"/>
        </w:rPr>
        <w:t xml:space="preserve">This instrument engages article 12 of the International Covenant on Economic Social and Cultural Rights (ICESCR), specifically the right to health. </w:t>
      </w:r>
    </w:p>
    <w:p w14:paraId="51E1EA34" w14:textId="77777777" w:rsidR="00916959" w:rsidRPr="008534DC" w:rsidRDefault="00916959" w:rsidP="00916959">
      <w:pPr>
        <w:keepNext/>
        <w:spacing w:before="120" w:after="120"/>
        <w:jc w:val="both"/>
        <w:rPr>
          <w:rFonts w:ascii="Times New Roman" w:hAnsi="Times New Roman"/>
          <w:i/>
          <w:sz w:val="22"/>
          <w:szCs w:val="22"/>
        </w:rPr>
      </w:pPr>
      <w:r w:rsidRPr="008534DC">
        <w:rPr>
          <w:rFonts w:ascii="Times New Roman" w:hAnsi="Times New Roman"/>
          <w:i/>
          <w:sz w:val="22"/>
          <w:szCs w:val="22"/>
        </w:rPr>
        <w:lastRenderedPageBreak/>
        <w:t>Right to Health</w:t>
      </w:r>
    </w:p>
    <w:p w14:paraId="62E2BDCE" w14:textId="77777777" w:rsidR="00916959" w:rsidRPr="008534DC" w:rsidRDefault="00916959" w:rsidP="00916959">
      <w:pPr>
        <w:autoSpaceDE w:val="0"/>
        <w:autoSpaceDN w:val="0"/>
        <w:adjustRightInd w:val="0"/>
        <w:spacing w:before="120" w:after="120"/>
        <w:jc w:val="both"/>
        <w:rPr>
          <w:rFonts w:ascii="Times New Roman" w:hAnsi="Times New Roman"/>
          <w:sz w:val="22"/>
          <w:szCs w:val="22"/>
          <w:lang w:val="en-US"/>
        </w:rPr>
      </w:pPr>
      <w:r w:rsidRPr="008534DC">
        <w:rPr>
          <w:rFonts w:ascii="Times New Roman" w:hAnsi="Times New Roman"/>
          <w:sz w:val="22"/>
          <w:szCs w:val="22"/>
          <w:lang w:val="en-US"/>
        </w:rPr>
        <w:t>The right to health – the right to the enjoyment of the highest attainable standard of physical and mental health – is contained in article 12(1) of the ICESCR. Whilst the UN Committee on Economic Social and Cultural Rights has stated that the right to health is not to be understood as a right to be healthy, it does entail a right to a system of health protection which provides equality of opportunity for people to enjoy the highest attainable level of health. In addition, the right to health must meet certain key requirements, including that health care must be scientifically and medically appropriate and of good quality.</w:t>
      </w:r>
    </w:p>
    <w:p w14:paraId="2F987DC6" w14:textId="77777777" w:rsidR="00916959" w:rsidRPr="008534DC" w:rsidRDefault="00916959" w:rsidP="00916959">
      <w:pPr>
        <w:keepNext/>
        <w:spacing w:before="120" w:after="120"/>
        <w:jc w:val="both"/>
        <w:rPr>
          <w:rFonts w:ascii="Times New Roman" w:hAnsi="Times New Roman"/>
          <w:i/>
          <w:sz w:val="22"/>
          <w:szCs w:val="22"/>
        </w:rPr>
      </w:pPr>
      <w:r w:rsidRPr="008534DC">
        <w:rPr>
          <w:rFonts w:ascii="Times New Roman" w:hAnsi="Times New Roman"/>
          <w:i/>
          <w:sz w:val="22"/>
          <w:szCs w:val="22"/>
        </w:rPr>
        <w:t xml:space="preserve">Analysis </w:t>
      </w:r>
    </w:p>
    <w:p w14:paraId="081DEB07" w14:textId="77777777" w:rsidR="00916959" w:rsidRPr="008534DC" w:rsidRDefault="00916959" w:rsidP="00916959">
      <w:pPr>
        <w:autoSpaceDE w:val="0"/>
        <w:autoSpaceDN w:val="0"/>
        <w:adjustRightInd w:val="0"/>
        <w:jc w:val="both"/>
        <w:rPr>
          <w:rFonts w:ascii="Times New Roman" w:hAnsi="Times New Roman"/>
          <w:sz w:val="22"/>
          <w:szCs w:val="22"/>
          <w:lang w:val="en-US"/>
        </w:rPr>
      </w:pPr>
      <w:r w:rsidRPr="008534DC">
        <w:rPr>
          <w:rFonts w:ascii="Times New Roman" w:hAnsi="Times New Roman"/>
          <w:sz w:val="22"/>
          <w:szCs w:val="22"/>
          <w:lang w:val="en-US"/>
        </w:rPr>
        <w:t>The addition of new items will increase the amount of choice an insured person can have in relation to the type of prostheses for which they must receive a minimum private health insurance benefit.  This will impact positively on the right to health of insured persons.</w:t>
      </w:r>
    </w:p>
    <w:p w14:paraId="7ECE13B3" w14:textId="77777777" w:rsidR="00916959" w:rsidRPr="008534DC" w:rsidRDefault="00916959" w:rsidP="00916959">
      <w:pPr>
        <w:autoSpaceDE w:val="0"/>
        <w:autoSpaceDN w:val="0"/>
        <w:adjustRightInd w:val="0"/>
        <w:jc w:val="both"/>
        <w:rPr>
          <w:rFonts w:ascii="Times New Roman" w:hAnsi="Times New Roman"/>
          <w:sz w:val="22"/>
          <w:szCs w:val="22"/>
          <w:lang w:val="en-US"/>
        </w:rPr>
      </w:pPr>
    </w:p>
    <w:p w14:paraId="42D6C804" w14:textId="77777777" w:rsidR="00916959" w:rsidRPr="008534DC" w:rsidRDefault="00916959" w:rsidP="00916959">
      <w:pPr>
        <w:autoSpaceDE w:val="0"/>
        <w:autoSpaceDN w:val="0"/>
        <w:adjustRightInd w:val="0"/>
        <w:jc w:val="both"/>
        <w:rPr>
          <w:rFonts w:ascii="Times New Roman" w:hAnsi="Times New Roman"/>
          <w:sz w:val="22"/>
          <w:szCs w:val="22"/>
          <w:lang w:val="en-US"/>
        </w:rPr>
      </w:pPr>
      <w:r w:rsidRPr="008534DC">
        <w:rPr>
          <w:rFonts w:ascii="Times New Roman" w:hAnsi="Times New Roman"/>
          <w:sz w:val="22"/>
          <w:szCs w:val="22"/>
          <w:lang w:val="en-US"/>
        </w:rPr>
        <w:t xml:space="preserve">The Rules also remove entries at the request of the sponsors of these prostheses. The sponsors of these prostheses are no longer supplying these prostheses for use to privately insured persons in Australia. </w:t>
      </w:r>
    </w:p>
    <w:p w14:paraId="44C42362" w14:textId="77777777" w:rsidR="00916959" w:rsidRPr="008534DC" w:rsidRDefault="00916959" w:rsidP="00916959">
      <w:pPr>
        <w:autoSpaceDE w:val="0"/>
        <w:autoSpaceDN w:val="0"/>
        <w:adjustRightInd w:val="0"/>
        <w:jc w:val="both"/>
        <w:rPr>
          <w:rFonts w:ascii="Times New Roman" w:hAnsi="Times New Roman"/>
          <w:sz w:val="22"/>
          <w:szCs w:val="22"/>
          <w:lang w:val="en-US"/>
        </w:rPr>
      </w:pPr>
    </w:p>
    <w:p w14:paraId="338E4FF4" w14:textId="77777777" w:rsidR="00916959" w:rsidRPr="008534DC" w:rsidRDefault="00916959" w:rsidP="00916959">
      <w:pPr>
        <w:autoSpaceDE w:val="0"/>
        <w:autoSpaceDN w:val="0"/>
        <w:adjustRightInd w:val="0"/>
        <w:jc w:val="both"/>
        <w:rPr>
          <w:rFonts w:ascii="Times New Roman" w:hAnsi="Times New Roman"/>
          <w:sz w:val="22"/>
          <w:szCs w:val="22"/>
          <w:lang w:val="en-US"/>
        </w:rPr>
      </w:pPr>
      <w:r w:rsidRPr="008534DC">
        <w:rPr>
          <w:rFonts w:ascii="Times New Roman" w:hAnsi="Times New Roman"/>
          <w:sz w:val="22"/>
          <w:szCs w:val="22"/>
          <w:lang w:val="en-US"/>
        </w:rPr>
        <w:t>Generally, the prostheses removed from the Rules have been replaced by newer models due to upgraded technologies or advancements in surgical procedures, or are still available for privately insured patients, but are supplied by different sponsors.</w:t>
      </w:r>
    </w:p>
    <w:p w14:paraId="759E05F3" w14:textId="77777777" w:rsidR="00916959" w:rsidRPr="008534DC" w:rsidRDefault="00916959" w:rsidP="00A358F6">
      <w:pPr>
        <w:keepNext/>
        <w:spacing w:before="120" w:after="120"/>
        <w:jc w:val="both"/>
        <w:rPr>
          <w:rFonts w:ascii="Times New Roman" w:hAnsi="Times New Roman"/>
          <w:b/>
          <w:sz w:val="22"/>
          <w:szCs w:val="22"/>
        </w:rPr>
      </w:pPr>
      <w:r w:rsidRPr="008534DC">
        <w:rPr>
          <w:rFonts w:ascii="Times New Roman" w:hAnsi="Times New Roman"/>
          <w:b/>
          <w:sz w:val="22"/>
          <w:szCs w:val="22"/>
        </w:rPr>
        <w:t xml:space="preserve">Conclusion </w:t>
      </w:r>
    </w:p>
    <w:p w14:paraId="4A5731F7" w14:textId="77777777" w:rsidR="00916959" w:rsidRPr="008534DC" w:rsidRDefault="00916959" w:rsidP="00916959">
      <w:pPr>
        <w:spacing w:before="120" w:after="120"/>
        <w:jc w:val="both"/>
        <w:rPr>
          <w:rFonts w:ascii="Times New Roman" w:hAnsi="Times New Roman"/>
          <w:sz w:val="22"/>
          <w:szCs w:val="22"/>
        </w:rPr>
      </w:pPr>
      <w:r w:rsidRPr="008534DC">
        <w:rPr>
          <w:rFonts w:ascii="Times New Roman" w:hAnsi="Times New Roman"/>
          <w:sz w:val="22"/>
          <w:szCs w:val="22"/>
        </w:rPr>
        <w:t xml:space="preserve">The instrument is compatible with human rights because it enables advances in the protection of human rights, in particular the right to health. </w:t>
      </w:r>
    </w:p>
    <w:p w14:paraId="0E249FC8" w14:textId="77777777" w:rsidR="00916959" w:rsidRPr="008534DC" w:rsidRDefault="00916959" w:rsidP="00916959">
      <w:pPr>
        <w:tabs>
          <w:tab w:val="left" w:pos="540"/>
          <w:tab w:val="left" w:pos="3240"/>
        </w:tabs>
        <w:autoSpaceDE w:val="0"/>
        <w:autoSpaceDN w:val="0"/>
        <w:spacing w:line="240" w:lineRule="atLeast"/>
        <w:ind w:right="397"/>
        <w:jc w:val="center"/>
        <w:rPr>
          <w:rFonts w:ascii="Times New Roman" w:hAnsi="Times New Roman"/>
          <w:b/>
          <w:sz w:val="22"/>
          <w:szCs w:val="22"/>
          <w:lang w:eastAsia="en-US"/>
        </w:rPr>
      </w:pPr>
    </w:p>
    <w:p w14:paraId="2E128756" w14:textId="77777777" w:rsidR="00916959" w:rsidRPr="008534DC" w:rsidRDefault="00916959" w:rsidP="00916959">
      <w:pPr>
        <w:tabs>
          <w:tab w:val="left" w:pos="540"/>
          <w:tab w:val="left" w:pos="3240"/>
        </w:tabs>
        <w:autoSpaceDE w:val="0"/>
        <w:autoSpaceDN w:val="0"/>
        <w:spacing w:line="240" w:lineRule="atLeast"/>
        <w:ind w:right="397"/>
        <w:jc w:val="center"/>
        <w:rPr>
          <w:rFonts w:ascii="Times New Roman" w:hAnsi="Times New Roman"/>
          <w:b/>
          <w:sz w:val="22"/>
          <w:szCs w:val="22"/>
          <w:lang w:eastAsia="en-US"/>
        </w:rPr>
      </w:pPr>
      <w:r w:rsidRPr="008534DC">
        <w:rPr>
          <w:rFonts w:ascii="Times New Roman" w:hAnsi="Times New Roman"/>
          <w:b/>
          <w:sz w:val="22"/>
          <w:szCs w:val="22"/>
          <w:lang w:eastAsia="en-US"/>
        </w:rPr>
        <w:t>Elizabeth Flynn</w:t>
      </w:r>
    </w:p>
    <w:p w14:paraId="17DEB341" w14:textId="77777777" w:rsidR="00916959" w:rsidRPr="008534DC" w:rsidRDefault="00916959" w:rsidP="00916959">
      <w:pPr>
        <w:tabs>
          <w:tab w:val="left" w:pos="540"/>
          <w:tab w:val="left" w:pos="3240"/>
        </w:tabs>
        <w:autoSpaceDE w:val="0"/>
        <w:autoSpaceDN w:val="0"/>
        <w:spacing w:line="240" w:lineRule="atLeast"/>
        <w:ind w:right="397"/>
        <w:jc w:val="center"/>
        <w:rPr>
          <w:rFonts w:ascii="Times New Roman" w:hAnsi="Times New Roman"/>
          <w:b/>
          <w:sz w:val="22"/>
          <w:szCs w:val="22"/>
          <w:lang w:eastAsia="en-US"/>
        </w:rPr>
      </w:pPr>
      <w:r w:rsidRPr="008534DC">
        <w:rPr>
          <w:rFonts w:ascii="Times New Roman" w:hAnsi="Times New Roman"/>
          <w:b/>
          <w:sz w:val="22"/>
          <w:szCs w:val="22"/>
          <w:lang w:eastAsia="en-US"/>
        </w:rPr>
        <w:t>Assistant Secretary</w:t>
      </w:r>
    </w:p>
    <w:p w14:paraId="558F8341" w14:textId="77777777" w:rsidR="00916959" w:rsidRPr="008534DC" w:rsidRDefault="00916959" w:rsidP="00916959">
      <w:pPr>
        <w:tabs>
          <w:tab w:val="left" w:pos="540"/>
          <w:tab w:val="left" w:pos="3240"/>
        </w:tabs>
        <w:autoSpaceDE w:val="0"/>
        <w:autoSpaceDN w:val="0"/>
        <w:spacing w:line="240" w:lineRule="atLeast"/>
        <w:ind w:right="397"/>
        <w:jc w:val="center"/>
        <w:rPr>
          <w:rFonts w:ascii="Times New Roman" w:hAnsi="Times New Roman"/>
          <w:b/>
          <w:sz w:val="22"/>
          <w:szCs w:val="22"/>
          <w:lang w:eastAsia="en-US"/>
        </w:rPr>
      </w:pPr>
      <w:r w:rsidRPr="008534DC">
        <w:rPr>
          <w:rFonts w:ascii="Times New Roman" w:hAnsi="Times New Roman"/>
          <w:b/>
          <w:sz w:val="22"/>
          <w:szCs w:val="22"/>
          <w:lang w:eastAsia="en-US"/>
        </w:rPr>
        <w:t>Prostheses List Reform Taskforce</w:t>
      </w:r>
    </w:p>
    <w:p w14:paraId="7DAB28C1" w14:textId="77777777" w:rsidR="00916959" w:rsidRPr="008534DC" w:rsidRDefault="00916959" w:rsidP="00916959">
      <w:pPr>
        <w:tabs>
          <w:tab w:val="left" w:pos="540"/>
          <w:tab w:val="left" w:pos="3240"/>
        </w:tabs>
        <w:autoSpaceDE w:val="0"/>
        <w:autoSpaceDN w:val="0"/>
        <w:spacing w:line="240" w:lineRule="atLeast"/>
        <w:ind w:right="397"/>
        <w:jc w:val="center"/>
        <w:rPr>
          <w:rFonts w:ascii="Times New Roman" w:hAnsi="Times New Roman"/>
          <w:b/>
          <w:sz w:val="22"/>
          <w:szCs w:val="22"/>
          <w:lang w:eastAsia="en-US"/>
        </w:rPr>
      </w:pPr>
      <w:r w:rsidRPr="008534DC">
        <w:rPr>
          <w:rFonts w:ascii="Times New Roman" w:hAnsi="Times New Roman"/>
          <w:b/>
          <w:sz w:val="22"/>
          <w:szCs w:val="22"/>
          <w:lang w:eastAsia="en-US"/>
        </w:rPr>
        <w:t xml:space="preserve">Technology Assessment and Access Division </w:t>
      </w:r>
    </w:p>
    <w:p w14:paraId="2A4773A5" w14:textId="77777777" w:rsidR="00916959" w:rsidRPr="008534DC" w:rsidRDefault="00916959" w:rsidP="00916959">
      <w:pPr>
        <w:tabs>
          <w:tab w:val="left" w:pos="540"/>
          <w:tab w:val="left" w:pos="3240"/>
        </w:tabs>
        <w:autoSpaceDE w:val="0"/>
        <w:autoSpaceDN w:val="0"/>
        <w:spacing w:line="240" w:lineRule="atLeast"/>
        <w:ind w:right="397"/>
        <w:jc w:val="center"/>
        <w:rPr>
          <w:rFonts w:ascii="Times New Roman" w:hAnsi="Times New Roman"/>
          <w:b/>
          <w:sz w:val="22"/>
          <w:szCs w:val="22"/>
          <w:lang w:eastAsia="en-US"/>
        </w:rPr>
      </w:pPr>
      <w:r w:rsidRPr="008534DC">
        <w:rPr>
          <w:rFonts w:ascii="Times New Roman" w:hAnsi="Times New Roman"/>
          <w:b/>
          <w:sz w:val="22"/>
          <w:szCs w:val="22"/>
          <w:lang w:eastAsia="en-US"/>
        </w:rPr>
        <w:t>Health Resourcing Group</w:t>
      </w:r>
    </w:p>
    <w:p w14:paraId="122C3A6A" w14:textId="6B3C99C5" w:rsidR="00916959" w:rsidRPr="008534DC" w:rsidRDefault="00916959" w:rsidP="00916959">
      <w:pPr>
        <w:tabs>
          <w:tab w:val="left" w:pos="540"/>
          <w:tab w:val="left" w:pos="3240"/>
        </w:tabs>
        <w:autoSpaceDE w:val="0"/>
        <w:autoSpaceDN w:val="0"/>
        <w:spacing w:line="240" w:lineRule="atLeast"/>
        <w:ind w:right="397"/>
        <w:jc w:val="center"/>
      </w:pPr>
      <w:r w:rsidRPr="008534DC">
        <w:rPr>
          <w:rFonts w:ascii="Times New Roman" w:hAnsi="Times New Roman"/>
          <w:b/>
          <w:sz w:val="22"/>
          <w:szCs w:val="22"/>
          <w:lang w:eastAsia="en-US"/>
        </w:rPr>
        <w:t>Department of Health</w:t>
      </w:r>
      <w:bookmarkStart w:id="7" w:name="hit40"/>
      <w:bookmarkStart w:id="8" w:name="term0_18"/>
      <w:bookmarkStart w:id="9" w:name="hit41"/>
      <w:bookmarkStart w:id="10" w:name="term1_23"/>
      <w:bookmarkEnd w:id="7"/>
      <w:bookmarkEnd w:id="8"/>
      <w:bookmarkEnd w:id="9"/>
      <w:bookmarkEnd w:id="10"/>
      <w:r w:rsidR="00B17F17" w:rsidRPr="008534DC">
        <w:rPr>
          <w:rFonts w:ascii="Times New Roman" w:hAnsi="Times New Roman"/>
          <w:b/>
          <w:sz w:val="22"/>
          <w:szCs w:val="22"/>
          <w:lang w:eastAsia="en-US"/>
        </w:rPr>
        <w:t xml:space="preserve"> and Aged Care</w:t>
      </w:r>
    </w:p>
    <w:p w14:paraId="45C9B432" w14:textId="77777777" w:rsidR="00916959" w:rsidRPr="008534DC" w:rsidRDefault="00916959" w:rsidP="00916959"/>
    <w:p w14:paraId="03E6025C" w14:textId="77777777" w:rsidR="00280050" w:rsidRPr="008534DC" w:rsidRDefault="00280050"/>
    <w:sectPr w:rsidR="00280050" w:rsidRPr="008534DC" w:rsidSect="00F607EF">
      <w:footerReference w:type="default" r:id="rId8"/>
      <w:pgSz w:w="11906" w:h="16838"/>
      <w:pgMar w:top="1440" w:right="1416"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A9794" w14:textId="77777777" w:rsidR="00624A4F" w:rsidRDefault="00624A4F">
      <w:r>
        <w:separator/>
      </w:r>
    </w:p>
  </w:endnote>
  <w:endnote w:type="continuationSeparator" w:id="0">
    <w:p w14:paraId="1E0B6A53" w14:textId="77777777" w:rsidR="00624A4F" w:rsidRDefault="00624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BFAF9" w14:textId="77777777" w:rsidR="00F607EF" w:rsidRDefault="00C3461B" w:rsidP="00F607EF">
    <w:pPr>
      <w:pStyle w:val="Footer"/>
      <w:jc w:val="right"/>
    </w:pPr>
    <w:r>
      <w:fldChar w:fldCharType="begin"/>
    </w:r>
    <w:r>
      <w:instrText xml:space="preserve"> PAGE   \* MERGEFORMAT </w:instrText>
    </w:r>
    <w:r>
      <w:fldChar w:fldCharType="separate"/>
    </w:r>
    <w:r>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9E58F" w14:textId="77777777" w:rsidR="00624A4F" w:rsidRDefault="00624A4F">
      <w:r>
        <w:separator/>
      </w:r>
    </w:p>
  </w:footnote>
  <w:footnote w:type="continuationSeparator" w:id="0">
    <w:p w14:paraId="70076DF2" w14:textId="77777777" w:rsidR="00624A4F" w:rsidRDefault="00624A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45707"/>
    <w:multiLevelType w:val="hybridMultilevel"/>
    <w:tmpl w:val="2668B1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E41327"/>
    <w:multiLevelType w:val="multilevel"/>
    <w:tmpl w:val="D4B47E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D72166"/>
    <w:multiLevelType w:val="hybridMultilevel"/>
    <w:tmpl w:val="18B4F9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B2D7F92"/>
    <w:multiLevelType w:val="hybridMultilevel"/>
    <w:tmpl w:val="8ECCCEB4"/>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4647B45"/>
    <w:multiLevelType w:val="hybridMultilevel"/>
    <w:tmpl w:val="FEB882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5DC5675"/>
    <w:multiLevelType w:val="hybridMultilevel"/>
    <w:tmpl w:val="AA6C6BC0"/>
    <w:lvl w:ilvl="0" w:tplc="80802F18">
      <w:start w:val="1"/>
      <w:numFmt w:val="bullet"/>
      <w:lvlText w:val=""/>
      <w:lvlJc w:val="left"/>
      <w:pPr>
        <w:tabs>
          <w:tab w:val="num" w:pos="568"/>
        </w:tabs>
        <w:ind w:left="568" w:hanging="284"/>
      </w:pPr>
      <w:rPr>
        <w:rFonts w:ascii="Symbol" w:hAnsi="Symbol" w:hint="default"/>
        <w:sz w:val="20"/>
      </w:rPr>
    </w:lvl>
    <w:lvl w:ilvl="1" w:tplc="0C090003">
      <w:start w:val="1"/>
      <w:numFmt w:val="bullet"/>
      <w:lvlText w:val="o"/>
      <w:lvlJc w:val="left"/>
      <w:pPr>
        <w:tabs>
          <w:tab w:val="num" w:pos="1724"/>
        </w:tabs>
        <w:ind w:left="1724" w:hanging="360"/>
      </w:pPr>
      <w:rPr>
        <w:rFonts w:ascii="Courier New" w:hAnsi="Courier New" w:hint="default"/>
      </w:rPr>
    </w:lvl>
    <w:lvl w:ilvl="2" w:tplc="A63838BC">
      <w:start w:val="333"/>
      <w:numFmt w:val="bullet"/>
      <w:lvlText w:val="-"/>
      <w:lvlJc w:val="left"/>
      <w:pPr>
        <w:tabs>
          <w:tab w:val="num" w:pos="2444"/>
        </w:tabs>
        <w:ind w:left="2444" w:hanging="360"/>
      </w:pPr>
      <w:rPr>
        <w:rFonts w:ascii="Times New Roman" w:eastAsia="Times New Roman" w:hAnsi="Times New Roman"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6" w15:restartNumberingAfterBreak="0">
    <w:nsid w:val="4921379B"/>
    <w:multiLevelType w:val="hybridMultilevel"/>
    <w:tmpl w:val="7680A2D8"/>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CDC6161"/>
    <w:multiLevelType w:val="hybridMultilevel"/>
    <w:tmpl w:val="450068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D1B20E8"/>
    <w:multiLevelType w:val="hybridMultilevel"/>
    <w:tmpl w:val="2188A640"/>
    <w:lvl w:ilvl="0" w:tplc="0C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09A9D64">
      <w:start w:val="1"/>
      <w:numFmt w:val="bullet"/>
      <w:lvlText w:val=""/>
      <w:lvlJc w:val="left"/>
      <w:pPr>
        <w:ind w:left="360" w:hanging="360"/>
      </w:pPr>
      <w:rPr>
        <w:rFonts w:ascii="Symbol" w:hAnsi="Symbol"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F9D4CF8"/>
    <w:multiLevelType w:val="hybridMultilevel"/>
    <w:tmpl w:val="07A81F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7C52DC4"/>
    <w:multiLevelType w:val="hybridMultilevel"/>
    <w:tmpl w:val="ECCCEE1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C255A31"/>
    <w:multiLevelType w:val="hybridMultilevel"/>
    <w:tmpl w:val="B7C80C9C"/>
    <w:lvl w:ilvl="0" w:tplc="0C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C090005">
      <w:start w:val="1"/>
      <w:numFmt w:val="bullet"/>
      <w:lvlText w:val=""/>
      <w:lvlJc w:val="left"/>
      <w:pPr>
        <w:ind w:left="3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0"/>
  </w:num>
  <w:num w:numId="4">
    <w:abstractNumId w:val="11"/>
  </w:num>
  <w:num w:numId="5">
    <w:abstractNumId w:val="3"/>
  </w:num>
  <w:num w:numId="6">
    <w:abstractNumId w:val="4"/>
  </w:num>
  <w:num w:numId="7">
    <w:abstractNumId w:val="8"/>
  </w:num>
  <w:num w:numId="8">
    <w:abstractNumId w:val="0"/>
  </w:num>
  <w:num w:numId="9">
    <w:abstractNumId w:val="1"/>
  </w:num>
  <w:num w:numId="10">
    <w:abstractNumId w:val="2"/>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CBF"/>
    <w:rsid w:val="00004752"/>
    <w:rsid w:val="00010E51"/>
    <w:rsid w:val="00040F05"/>
    <w:rsid w:val="00055A51"/>
    <w:rsid w:val="000729F9"/>
    <w:rsid w:val="00077A8C"/>
    <w:rsid w:val="00085B3C"/>
    <w:rsid w:val="000A24CE"/>
    <w:rsid w:val="000C1737"/>
    <w:rsid w:val="000E2CC0"/>
    <w:rsid w:val="001018CC"/>
    <w:rsid w:val="001271AD"/>
    <w:rsid w:val="00150451"/>
    <w:rsid w:val="00185E8A"/>
    <w:rsid w:val="001908AA"/>
    <w:rsid w:val="00190E33"/>
    <w:rsid w:val="001A7390"/>
    <w:rsid w:val="001B1529"/>
    <w:rsid w:val="001C2711"/>
    <w:rsid w:val="001E0B71"/>
    <w:rsid w:val="001E3920"/>
    <w:rsid w:val="00204F8B"/>
    <w:rsid w:val="00221B84"/>
    <w:rsid w:val="00254BFC"/>
    <w:rsid w:val="00255E95"/>
    <w:rsid w:val="0027219E"/>
    <w:rsid w:val="00280050"/>
    <w:rsid w:val="00290FDF"/>
    <w:rsid w:val="002921CB"/>
    <w:rsid w:val="00292FF6"/>
    <w:rsid w:val="002C090E"/>
    <w:rsid w:val="002E126B"/>
    <w:rsid w:val="002F4FCA"/>
    <w:rsid w:val="00373387"/>
    <w:rsid w:val="0037638A"/>
    <w:rsid w:val="003975DF"/>
    <w:rsid w:val="00406EA2"/>
    <w:rsid w:val="00412ABF"/>
    <w:rsid w:val="00430062"/>
    <w:rsid w:val="004546DD"/>
    <w:rsid w:val="004807AE"/>
    <w:rsid w:val="005049E0"/>
    <w:rsid w:val="00555628"/>
    <w:rsid w:val="005636E8"/>
    <w:rsid w:val="005D6E94"/>
    <w:rsid w:val="005F7FF8"/>
    <w:rsid w:val="006025D9"/>
    <w:rsid w:val="00603AE4"/>
    <w:rsid w:val="00624A4F"/>
    <w:rsid w:val="00631166"/>
    <w:rsid w:val="00667381"/>
    <w:rsid w:val="00677E9B"/>
    <w:rsid w:val="006A3BDB"/>
    <w:rsid w:val="006A5635"/>
    <w:rsid w:val="006D137C"/>
    <w:rsid w:val="006F5133"/>
    <w:rsid w:val="0070197F"/>
    <w:rsid w:val="00730376"/>
    <w:rsid w:val="00742FA1"/>
    <w:rsid w:val="0076539C"/>
    <w:rsid w:val="007A50FB"/>
    <w:rsid w:val="007B6A2D"/>
    <w:rsid w:val="007F0B4A"/>
    <w:rsid w:val="00852EA8"/>
    <w:rsid w:val="008534DC"/>
    <w:rsid w:val="00855643"/>
    <w:rsid w:val="00872419"/>
    <w:rsid w:val="008A7C1D"/>
    <w:rsid w:val="008F7FA5"/>
    <w:rsid w:val="009070BE"/>
    <w:rsid w:val="00916959"/>
    <w:rsid w:val="00921922"/>
    <w:rsid w:val="00923E46"/>
    <w:rsid w:val="00967C82"/>
    <w:rsid w:val="00973031"/>
    <w:rsid w:val="00974CC7"/>
    <w:rsid w:val="0099136A"/>
    <w:rsid w:val="009A3E7D"/>
    <w:rsid w:val="00A01892"/>
    <w:rsid w:val="00A03695"/>
    <w:rsid w:val="00A26753"/>
    <w:rsid w:val="00A358F6"/>
    <w:rsid w:val="00A52889"/>
    <w:rsid w:val="00A644A7"/>
    <w:rsid w:val="00A70395"/>
    <w:rsid w:val="00A7570C"/>
    <w:rsid w:val="00AA46FF"/>
    <w:rsid w:val="00AB05AE"/>
    <w:rsid w:val="00AB4564"/>
    <w:rsid w:val="00AC15FB"/>
    <w:rsid w:val="00AD25AF"/>
    <w:rsid w:val="00B17F17"/>
    <w:rsid w:val="00B81FA4"/>
    <w:rsid w:val="00B961AF"/>
    <w:rsid w:val="00BA480E"/>
    <w:rsid w:val="00BD7775"/>
    <w:rsid w:val="00C00CFE"/>
    <w:rsid w:val="00C0224C"/>
    <w:rsid w:val="00C165A8"/>
    <w:rsid w:val="00C31416"/>
    <w:rsid w:val="00C3461B"/>
    <w:rsid w:val="00C64CB2"/>
    <w:rsid w:val="00C64F6F"/>
    <w:rsid w:val="00C74938"/>
    <w:rsid w:val="00C81887"/>
    <w:rsid w:val="00C86809"/>
    <w:rsid w:val="00CA188B"/>
    <w:rsid w:val="00CB6A94"/>
    <w:rsid w:val="00CD337E"/>
    <w:rsid w:val="00CD67D7"/>
    <w:rsid w:val="00CE4654"/>
    <w:rsid w:val="00CF5E33"/>
    <w:rsid w:val="00D00CBF"/>
    <w:rsid w:val="00D163F3"/>
    <w:rsid w:val="00D340D2"/>
    <w:rsid w:val="00D4440A"/>
    <w:rsid w:val="00DC53CB"/>
    <w:rsid w:val="00DC62A9"/>
    <w:rsid w:val="00DD1B38"/>
    <w:rsid w:val="00DD5A35"/>
    <w:rsid w:val="00DE60A2"/>
    <w:rsid w:val="00DE6E96"/>
    <w:rsid w:val="00DF1EF9"/>
    <w:rsid w:val="00E41745"/>
    <w:rsid w:val="00E82A92"/>
    <w:rsid w:val="00EA38F1"/>
    <w:rsid w:val="00EC48A8"/>
    <w:rsid w:val="00ED611E"/>
    <w:rsid w:val="00EE39AA"/>
    <w:rsid w:val="00EE4C6E"/>
    <w:rsid w:val="00F0719B"/>
    <w:rsid w:val="00F133E5"/>
    <w:rsid w:val="00F14D6C"/>
    <w:rsid w:val="00F406C5"/>
    <w:rsid w:val="00F435ED"/>
    <w:rsid w:val="00F607EF"/>
    <w:rsid w:val="00F623A3"/>
    <w:rsid w:val="00F77B01"/>
    <w:rsid w:val="00F86B9C"/>
    <w:rsid w:val="00F92627"/>
    <w:rsid w:val="00FB5684"/>
    <w:rsid w:val="00FF09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5075B"/>
  <w15:chartTrackingRefBased/>
  <w15:docId w15:val="{6925952D-0182-446D-8511-AF867F574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CBF"/>
    <w:pPr>
      <w:spacing w:after="0" w:line="240" w:lineRule="auto"/>
    </w:pPr>
    <w:rPr>
      <w:rFonts w:ascii="Tms Rmn" w:eastAsia="Times New Roman" w:hAnsi="Tms Rmn"/>
      <w:szCs w:val="20"/>
      <w:lang w:eastAsia="en-AU"/>
    </w:rPr>
  </w:style>
  <w:style w:type="paragraph" w:styleId="Heading1">
    <w:name w:val="heading 1"/>
    <w:basedOn w:val="Normal"/>
    <w:next w:val="Normal"/>
    <w:link w:val="Heading1Char"/>
    <w:qFormat/>
    <w:rsid w:val="00D00CBF"/>
    <w:pPr>
      <w:keepNext/>
      <w:jc w:val="center"/>
      <w:outlineLvl w:val="0"/>
    </w:pPr>
    <w:rPr>
      <w:rFonts w:ascii="Times New Roman" w:hAnsi="Times New Roman"/>
      <w:b/>
      <w:u w:val="single"/>
    </w:rPr>
  </w:style>
  <w:style w:type="paragraph" w:styleId="Heading5">
    <w:name w:val="heading 5"/>
    <w:basedOn w:val="Normal"/>
    <w:next w:val="Normal"/>
    <w:link w:val="Heading5Char"/>
    <w:uiPriority w:val="9"/>
    <w:semiHidden/>
    <w:unhideWhenUsed/>
    <w:qFormat/>
    <w:rsid w:val="00010E51"/>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0CBF"/>
    <w:rPr>
      <w:rFonts w:eastAsia="Times New Roman"/>
      <w:b/>
      <w:szCs w:val="20"/>
      <w:u w:val="single"/>
      <w:lang w:eastAsia="en-AU"/>
    </w:rPr>
  </w:style>
  <w:style w:type="paragraph" w:styleId="ListParagraph">
    <w:name w:val="List Paragraph"/>
    <w:basedOn w:val="Normal"/>
    <w:uiPriority w:val="34"/>
    <w:qFormat/>
    <w:rsid w:val="00D00CBF"/>
    <w:pPr>
      <w:ind w:left="720"/>
      <w:contextualSpacing/>
    </w:pPr>
  </w:style>
  <w:style w:type="paragraph" w:styleId="BodyText">
    <w:name w:val="Body Text"/>
    <w:basedOn w:val="Normal"/>
    <w:link w:val="BodyTextChar"/>
    <w:rsid w:val="00D00CBF"/>
    <w:rPr>
      <w:rFonts w:ascii="Times New Roman" w:hAnsi="Times New Roman"/>
      <w:b/>
    </w:rPr>
  </w:style>
  <w:style w:type="character" w:customStyle="1" w:styleId="BodyTextChar">
    <w:name w:val="Body Text Char"/>
    <w:basedOn w:val="DefaultParagraphFont"/>
    <w:link w:val="BodyText"/>
    <w:rsid w:val="00D00CBF"/>
    <w:rPr>
      <w:rFonts w:eastAsia="Times New Roman"/>
      <w:b/>
      <w:szCs w:val="20"/>
      <w:lang w:eastAsia="en-AU"/>
    </w:rPr>
  </w:style>
  <w:style w:type="paragraph" w:customStyle="1" w:styleId="H3">
    <w:name w:val="H3"/>
    <w:basedOn w:val="Normal"/>
    <w:next w:val="Normal"/>
    <w:rsid w:val="00D00CBF"/>
    <w:pPr>
      <w:keepNext/>
      <w:spacing w:before="100" w:after="100"/>
      <w:outlineLvl w:val="3"/>
    </w:pPr>
    <w:rPr>
      <w:rFonts w:ascii="Times New Roman" w:hAnsi="Times New Roman"/>
      <w:b/>
      <w:bCs/>
      <w:sz w:val="28"/>
      <w:szCs w:val="28"/>
      <w:lang w:eastAsia="en-US"/>
    </w:rPr>
  </w:style>
  <w:style w:type="paragraph" w:styleId="Footer">
    <w:name w:val="footer"/>
    <w:basedOn w:val="Normal"/>
    <w:link w:val="FooterChar"/>
    <w:uiPriority w:val="99"/>
    <w:unhideWhenUsed/>
    <w:rsid w:val="00D00CBF"/>
    <w:pPr>
      <w:tabs>
        <w:tab w:val="center" w:pos="4513"/>
        <w:tab w:val="right" w:pos="9026"/>
      </w:tabs>
    </w:pPr>
  </w:style>
  <w:style w:type="character" w:customStyle="1" w:styleId="FooterChar">
    <w:name w:val="Footer Char"/>
    <w:basedOn w:val="DefaultParagraphFont"/>
    <w:link w:val="Footer"/>
    <w:uiPriority w:val="99"/>
    <w:rsid w:val="00D00CBF"/>
    <w:rPr>
      <w:rFonts w:ascii="Tms Rmn" w:eastAsia="Times New Roman" w:hAnsi="Tms Rmn"/>
      <w:szCs w:val="20"/>
      <w:lang w:eastAsia="en-AU"/>
    </w:rPr>
  </w:style>
  <w:style w:type="paragraph" w:customStyle="1" w:styleId="Ruletext">
    <w:name w:val="Rule text"/>
    <w:basedOn w:val="Normal"/>
    <w:link w:val="RuletextChar"/>
    <w:qFormat/>
    <w:rsid w:val="00D00CBF"/>
    <w:pPr>
      <w:autoSpaceDE w:val="0"/>
      <w:autoSpaceDN w:val="0"/>
      <w:spacing w:before="120" w:line="260" w:lineRule="exact"/>
      <w:ind w:left="851"/>
    </w:pPr>
    <w:rPr>
      <w:rFonts w:ascii="Times New Roman" w:eastAsiaTheme="minorEastAsia" w:hAnsi="Times New Roman"/>
      <w:color w:val="000000"/>
      <w:szCs w:val="24"/>
      <w:lang w:eastAsia="en-US"/>
    </w:rPr>
  </w:style>
  <w:style w:type="character" w:customStyle="1" w:styleId="RuletextChar">
    <w:name w:val="Rule text Char"/>
    <w:basedOn w:val="DefaultParagraphFont"/>
    <w:link w:val="Ruletext"/>
    <w:rsid w:val="00D00CBF"/>
    <w:rPr>
      <w:rFonts w:eastAsiaTheme="minorEastAsia"/>
      <w:color w:val="000000"/>
    </w:rPr>
  </w:style>
  <w:style w:type="paragraph" w:customStyle="1" w:styleId="Applicationtitle">
    <w:name w:val="Application title"/>
    <w:basedOn w:val="Normal"/>
    <w:link w:val="ApplicationtitleChar"/>
    <w:qFormat/>
    <w:rsid w:val="00D00CBF"/>
    <w:pPr>
      <w:keepNext/>
      <w:autoSpaceDE w:val="0"/>
      <w:autoSpaceDN w:val="0"/>
      <w:adjustRightInd w:val="0"/>
    </w:pPr>
    <w:rPr>
      <w:rFonts w:ascii="Calibri" w:eastAsiaTheme="minorHAnsi" w:hAnsi="Calibri" w:cs="Calibri"/>
      <w:i/>
      <w:color w:val="000000" w:themeColor="text1"/>
      <w:szCs w:val="24"/>
      <w:u w:val="single"/>
      <w:lang w:eastAsia="en-US"/>
    </w:rPr>
  </w:style>
  <w:style w:type="character" w:customStyle="1" w:styleId="ApplicationtitleChar">
    <w:name w:val="Application title Char"/>
    <w:basedOn w:val="DefaultParagraphFont"/>
    <w:link w:val="Applicationtitle"/>
    <w:rsid w:val="00D00CBF"/>
    <w:rPr>
      <w:rFonts w:ascii="Calibri" w:hAnsi="Calibri" w:cs="Calibri"/>
      <w:i/>
      <w:color w:val="000000" w:themeColor="text1"/>
      <w:u w:val="single"/>
    </w:rPr>
  </w:style>
  <w:style w:type="paragraph" w:styleId="NoSpacing">
    <w:name w:val="No Spacing"/>
    <w:uiPriority w:val="1"/>
    <w:qFormat/>
    <w:rsid w:val="00D00CBF"/>
    <w:pPr>
      <w:spacing w:after="0" w:line="240" w:lineRule="auto"/>
    </w:pPr>
    <w:rPr>
      <w:rFonts w:eastAsia="Times New Roman"/>
    </w:rPr>
  </w:style>
  <w:style w:type="paragraph" w:customStyle="1" w:styleId="TableParagraph">
    <w:name w:val="Table Paragraph"/>
    <w:basedOn w:val="Normal"/>
    <w:uiPriority w:val="1"/>
    <w:qFormat/>
    <w:rsid w:val="00D00CBF"/>
    <w:pPr>
      <w:widowControl w:val="0"/>
      <w:autoSpaceDE w:val="0"/>
      <w:autoSpaceDN w:val="0"/>
      <w:ind w:left="107"/>
    </w:pPr>
    <w:rPr>
      <w:rFonts w:ascii="Calibri" w:eastAsia="Calibri" w:hAnsi="Calibri" w:cs="Calibri"/>
      <w:sz w:val="22"/>
      <w:szCs w:val="22"/>
      <w:lang w:bidi="en-AU"/>
    </w:rPr>
  </w:style>
  <w:style w:type="character" w:styleId="CommentReference">
    <w:name w:val="annotation reference"/>
    <w:basedOn w:val="DefaultParagraphFont"/>
    <w:uiPriority w:val="99"/>
    <w:semiHidden/>
    <w:unhideWhenUsed/>
    <w:rsid w:val="002E126B"/>
    <w:rPr>
      <w:sz w:val="16"/>
      <w:szCs w:val="16"/>
    </w:rPr>
  </w:style>
  <w:style w:type="paragraph" w:styleId="CommentText">
    <w:name w:val="annotation text"/>
    <w:basedOn w:val="Normal"/>
    <w:link w:val="CommentTextChar"/>
    <w:uiPriority w:val="99"/>
    <w:semiHidden/>
    <w:unhideWhenUsed/>
    <w:rsid w:val="002E126B"/>
    <w:rPr>
      <w:sz w:val="20"/>
    </w:rPr>
  </w:style>
  <w:style w:type="character" w:customStyle="1" w:styleId="CommentTextChar">
    <w:name w:val="Comment Text Char"/>
    <w:basedOn w:val="DefaultParagraphFont"/>
    <w:link w:val="CommentText"/>
    <w:uiPriority w:val="99"/>
    <w:semiHidden/>
    <w:rsid w:val="002E126B"/>
    <w:rPr>
      <w:rFonts w:ascii="Tms Rmn" w:eastAsia="Times New Roman" w:hAnsi="Tms Rmn"/>
      <w:sz w:val="20"/>
      <w:szCs w:val="20"/>
      <w:lang w:eastAsia="en-AU"/>
    </w:rPr>
  </w:style>
  <w:style w:type="paragraph" w:styleId="CommentSubject">
    <w:name w:val="annotation subject"/>
    <w:basedOn w:val="CommentText"/>
    <w:next w:val="CommentText"/>
    <w:link w:val="CommentSubjectChar"/>
    <w:uiPriority w:val="99"/>
    <w:semiHidden/>
    <w:unhideWhenUsed/>
    <w:rsid w:val="002E126B"/>
    <w:rPr>
      <w:b/>
      <w:bCs/>
    </w:rPr>
  </w:style>
  <w:style w:type="character" w:customStyle="1" w:styleId="CommentSubjectChar">
    <w:name w:val="Comment Subject Char"/>
    <w:basedOn w:val="CommentTextChar"/>
    <w:link w:val="CommentSubject"/>
    <w:uiPriority w:val="99"/>
    <w:semiHidden/>
    <w:rsid w:val="002E126B"/>
    <w:rPr>
      <w:rFonts w:ascii="Tms Rmn" w:eastAsia="Times New Roman" w:hAnsi="Tms Rmn"/>
      <w:b/>
      <w:bCs/>
      <w:sz w:val="20"/>
      <w:szCs w:val="20"/>
      <w:lang w:eastAsia="en-AU"/>
    </w:rPr>
  </w:style>
  <w:style w:type="character" w:styleId="Hyperlink">
    <w:name w:val="Hyperlink"/>
    <w:basedOn w:val="DefaultParagraphFont"/>
    <w:uiPriority w:val="99"/>
    <w:semiHidden/>
    <w:unhideWhenUsed/>
    <w:rsid w:val="00010E51"/>
    <w:rPr>
      <w:color w:val="0000FF"/>
      <w:u w:val="single"/>
    </w:rPr>
  </w:style>
  <w:style w:type="character" w:customStyle="1" w:styleId="Heading5Char">
    <w:name w:val="Heading 5 Char"/>
    <w:basedOn w:val="DefaultParagraphFont"/>
    <w:link w:val="Heading5"/>
    <w:uiPriority w:val="9"/>
    <w:semiHidden/>
    <w:rsid w:val="00010E51"/>
    <w:rPr>
      <w:rFonts w:asciiTheme="majorHAnsi" w:eastAsiaTheme="majorEastAsia" w:hAnsiTheme="majorHAnsi" w:cstheme="majorBidi"/>
      <w:color w:val="2F5496" w:themeColor="accent1" w:themeShade="BF"/>
      <w:szCs w:val="20"/>
      <w:lang w:eastAsia="en-AU"/>
    </w:rPr>
  </w:style>
  <w:style w:type="paragraph" w:styleId="NormalWeb">
    <w:name w:val="Normal (Web)"/>
    <w:basedOn w:val="Normal"/>
    <w:uiPriority w:val="99"/>
    <w:semiHidden/>
    <w:unhideWhenUsed/>
    <w:rsid w:val="00010E51"/>
    <w:pPr>
      <w:spacing w:before="100" w:beforeAutospacing="1" w:after="100" w:afterAutospacing="1"/>
    </w:pPr>
    <w:rPr>
      <w:rFonts w:ascii="Times New Roman" w:hAnsi="Times New Roman"/>
      <w:szCs w:val="24"/>
    </w:rPr>
  </w:style>
  <w:style w:type="paragraph" w:customStyle="1" w:styleId="paragraphsub">
    <w:name w:val="paragraph(sub)"/>
    <w:aliases w:val="aa"/>
    <w:basedOn w:val="Normal"/>
    <w:rsid w:val="00916959"/>
    <w:pPr>
      <w:tabs>
        <w:tab w:val="right" w:pos="1985"/>
      </w:tabs>
      <w:spacing w:before="40"/>
      <w:ind w:left="2098" w:hanging="2098"/>
    </w:pPr>
    <w:rPr>
      <w:rFonts w:ascii="Times New Roman" w:hAnsi="Times New Roman"/>
      <w:sz w:val="22"/>
    </w:rPr>
  </w:style>
  <w:style w:type="paragraph" w:customStyle="1" w:styleId="paragraph">
    <w:name w:val="paragraph"/>
    <w:aliases w:val="a"/>
    <w:basedOn w:val="Normal"/>
    <w:rsid w:val="00916959"/>
    <w:pPr>
      <w:tabs>
        <w:tab w:val="right" w:pos="1531"/>
      </w:tabs>
      <w:spacing w:before="40"/>
      <w:ind w:left="1644" w:hanging="1644"/>
    </w:pPr>
    <w:rPr>
      <w:rFonts w:ascii="Times New Roman" w:hAnsi="Times New Roman"/>
      <w:sz w:val="22"/>
    </w:rPr>
  </w:style>
  <w:style w:type="paragraph" w:customStyle="1" w:styleId="Apptitle">
    <w:name w:val="App title"/>
    <w:basedOn w:val="Normal"/>
    <w:next w:val="Normal"/>
    <w:link w:val="ApptitleChar"/>
    <w:qFormat/>
    <w:rsid w:val="00E41745"/>
    <w:pPr>
      <w:keepNext/>
      <w:spacing w:before="240" w:after="60" w:line="259" w:lineRule="auto"/>
    </w:pPr>
    <w:rPr>
      <w:rFonts w:asciiTheme="minorHAnsi" w:eastAsiaTheme="minorHAnsi" w:hAnsiTheme="minorHAnsi"/>
      <w:i/>
      <w:iCs/>
      <w:sz w:val="22"/>
      <w:szCs w:val="24"/>
      <w:u w:val="single"/>
      <w:lang w:eastAsia="en-US"/>
    </w:rPr>
  </w:style>
  <w:style w:type="character" w:customStyle="1" w:styleId="ApptitleChar">
    <w:name w:val="App title Char"/>
    <w:basedOn w:val="DefaultParagraphFont"/>
    <w:link w:val="Apptitle"/>
    <w:rsid w:val="00E41745"/>
    <w:rPr>
      <w:rFonts w:asciiTheme="minorHAnsi" w:hAnsiTheme="minorHAnsi"/>
      <w:i/>
      <w:iCs/>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379691">
      <w:bodyDiv w:val="1"/>
      <w:marLeft w:val="0"/>
      <w:marRight w:val="0"/>
      <w:marTop w:val="0"/>
      <w:marBottom w:val="0"/>
      <w:divBdr>
        <w:top w:val="none" w:sz="0" w:space="0" w:color="auto"/>
        <w:left w:val="none" w:sz="0" w:space="0" w:color="auto"/>
        <w:bottom w:val="none" w:sz="0" w:space="0" w:color="auto"/>
        <w:right w:val="none" w:sz="0" w:space="0" w:color="auto"/>
      </w:divBdr>
    </w:div>
    <w:div w:id="1001658399">
      <w:bodyDiv w:val="1"/>
      <w:marLeft w:val="0"/>
      <w:marRight w:val="0"/>
      <w:marTop w:val="0"/>
      <w:marBottom w:val="0"/>
      <w:divBdr>
        <w:top w:val="none" w:sz="0" w:space="0" w:color="auto"/>
        <w:left w:val="none" w:sz="0" w:space="0" w:color="auto"/>
        <w:bottom w:val="none" w:sz="0" w:space="0" w:color="auto"/>
        <w:right w:val="none" w:sz="0" w:space="0" w:color="auto"/>
      </w:divBdr>
    </w:div>
    <w:div w:id="1598366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968CB-ED44-492A-A07B-64391ADA8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13</Pages>
  <Words>5184</Words>
  <Characters>29552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BOND, Claire</dc:creator>
  <cp:keywords/>
  <dc:description/>
  <cp:lastModifiedBy>GARNHAM, Katherine</cp:lastModifiedBy>
  <cp:revision>17</cp:revision>
  <dcterms:created xsi:type="dcterms:W3CDTF">2022-09-28T07:07:00Z</dcterms:created>
  <dcterms:modified xsi:type="dcterms:W3CDTF">2022-10-19T04:32:00Z</dcterms:modified>
</cp:coreProperties>
</file>