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8A558" w14:textId="2EEED00C" w:rsidR="00854C33" w:rsidRPr="00613F01" w:rsidRDefault="00854C33"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Nos. </w:t>
      </w:r>
      <w:r w:rsidR="008234D8" w:rsidRPr="008234D8">
        <w:rPr>
          <w:sz w:val="24"/>
          <w:szCs w:val="24"/>
        </w:rPr>
        <w:t>12</w:t>
      </w:r>
      <w:r w:rsidRPr="008234D8">
        <w:rPr>
          <w:sz w:val="24"/>
          <w:szCs w:val="24"/>
        </w:rPr>
        <w:t xml:space="preserve"> to </w:t>
      </w:r>
      <w:r w:rsidR="008234D8" w:rsidRPr="008234D8">
        <w:rPr>
          <w:sz w:val="24"/>
          <w:szCs w:val="24"/>
        </w:rPr>
        <w:t>17</w:t>
      </w:r>
      <w:r w:rsidRPr="008234D8">
        <w:rPr>
          <w:sz w:val="24"/>
          <w:szCs w:val="24"/>
        </w:rPr>
        <w:t xml:space="preserve"> of 2022</w:t>
      </w:r>
    </w:p>
    <w:p w14:paraId="121BFB7C" w14:textId="77777777" w:rsidR="00854C33" w:rsidRPr="002C6D26" w:rsidRDefault="00854C33" w:rsidP="00854C33">
      <w:pPr>
        <w:pStyle w:val="Heading"/>
        <w:tabs>
          <w:tab w:val="left" w:pos="360"/>
        </w:tabs>
        <w:spacing w:after="240"/>
        <w:jc w:val="center"/>
        <w:rPr>
          <w:sz w:val="24"/>
          <w:szCs w:val="24"/>
          <w:u w:val="single"/>
        </w:rPr>
      </w:pPr>
      <w:bookmarkStart w:id="0" w:name="bkInstrumentSubTitle"/>
      <w:bookmarkEnd w:id="0"/>
      <w:r w:rsidRPr="002C6D26">
        <w:rPr>
          <w:sz w:val="24"/>
          <w:szCs w:val="24"/>
          <w:u w:val="single"/>
        </w:rPr>
        <w:t>EXPLANATORY STATEMENT</w:t>
      </w:r>
    </w:p>
    <w:p w14:paraId="568B87B5" w14:textId="77777777" w:rsidR="00854C33" w:rsidRPr="002C6D26" w:rsidRDefault="00854C33" w:rsidP="00854C33">
      <w:pPr>
        <w:pStyle w:val="Heading"/>
        <w:spacing w:after="240"/>
        <w:jc w:val="center"/>
        <w:rPr>
          <w:sz w:val="24"/>
          <w:szCs w:val="24"/>
        </w:rPr>
      </w:pPr>
      <w:r w:rsidRPr="002C6D26">
        <w:rPr>
          <w:sz w:val="24"/>
          <w:szCs w:val="24"/>
        </w:rPr>
        <w:t>Prepared by the Australian Prudential Regulation Authority (APRA)</w:t>
      </w:r>
    </w:p>
    <w:p w14:paraId="41E2056B" w14:textId="77777777" w:rsidR="00854C33" w:rsidRDefault="00854C33" w:rsidP="00854C33">
      <w:pPr>
        <w:pStyle w:val="heading0"/>
        <w:spacing w:before="0" w:beforeAutospacing="0" w:after="240" w:afterAutospacing="0"/>
        <w:jc w:val="center"/>
      </w:pPr>
      <w:r>
        <w:rPr>
          <w:i/>
          <w:iCs/>
        </w:rPr>
        <w:t>Financial Sector (Collection of Data) Act 2001</w:t>
      </w:r>
      <w:r>
        <w:t>, sections 13 and 15</w:t>
      </w:r>
    </w:p>
    <w:p w14:paraId="16F6AB79" w14:textId="77777777" w:rsidR="00854C33" w:rsidRDefault="00854C33" w:rsidP="00854C33">
      <w:pPr>
        <w:pStyle w:val="heading0"/>
        <w:spacing w:before="0" w:beforeAutospacing="0" w:after="240" w:afterAutospacing="0"/>
        <w:jc w:val="center"/>
      </w:pPr>
      <w:r w:rsidRPr="00380068">
        <w:rPr>
          <w:i/>
        </w:rPr>
        <w:t>Acts Interpretation Act 1901</w:t>
      </w:r>
      <w:r>
        <w:t>, section 33</w:t>
      </w:r>
    </w:p>
    <w:p w14:paraId="101CED05" w14:textId="77777777" w:rsidR="00854C33" w:rsidRPr="00B33A8A" w:rsidRDefault="00854C33" w:rsidP="00854C33">
      <w:pPr>
        <w:widowControl w:val="0"/>
        <w:rPr>
          <w:rFonts w:ascii="Times New Roman" w:hAnsi="Times New Roman"/>
          <w:sz w:val="24"/>
          <w:szCs w:val="24"/>
        </w:rPr>
      </w:pPr>
      <w:bookmarkStart w:id="1" w:name="bkAct"/>
      <w:bookmarkStart w:id="2" w:name="bkExplanatory"/>
      <w:bookmarkEnd w:id="1"/>
      <w:bookmarkEnd w:id="2"/>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40BD84CD" w14:textId="77777777" w:rsidR="00854C33" w:rsidRPr="007D1955" w:rsidRDefault="00854C33" w:rsidP="00854C33">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3C5D9939" w14:textId="086C66A7" w:rsidR="00211AFD" w:rsidRPr="00BC1E70" w:rsidRDefault="00211AFD"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On</w:t>
      </w:r>
      <w:r w:rsidR="00F41BD7" w:rsidRPr="007D1955">
        <w:rPr>
          <w:rFonts w:ascii="Times New Roman" w:hAnsi="Times New Roman" w:cs="Times New Roman"/>
          <w:sz w:val="24"/>
          <w:szCs w:val="24"/>
        </w:rPr>
        <w:t xml:space="preserve"> </w:t>
      </w:r>
      <w:r w:rsidR="007D1955" w:rsidRPr="007D1955">
        <w:rPr>
          <w:rFonts w:ascii="Times New Roman" w:hAnsi="Times New Roman" w:cs="Times New Roman"/>
          <w:sz w:val="24"/>
          <w:szCs w:val="24"/>
        </w:rPr>
        <w:t>12</w:t>
      </w:r>
      <w:r w:rsidR="00AE43C8" w:rsidRPr="007D1955">
        <w:rPr>
          <w:rFonts w:ascii="Times New Roman" w:hAnsi="Times New Roman" w:cs="Times New Roman"/>
          <w:sz w:val="24"/>
          <w:szCs w:val="24"/>
        </w:rPr>
        <w:t xml:space="preserve"> October</w:t>
      </w:r>
      <w:r w:rsidR="00B06E21" w:rsidRPr="007D1955">
        <w:rPr>
          <w:rFonts w:ascii="Times New Roman" w:hAnsi="Times New Roman" w:cs="Times New Roman"/>
          <w:sz w:val="24"/>
          <w:szCs w:val="24"/>
        </w:rPr>
        <w:t xml:space="preserve"> 2022</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sidRPr="00BC1E70">
        <w:rPr>
          <w:rFonts w:ascii="Times New Roman" w:hAnsi="Times New Roman" w:cs="Times New Roman"/>
          <w:sz w:val="24"/>
          <w:szCs w:val="24"/>
        </w:rPr>
        <w:t xml:space="preserve"> the following determinations (the </w:t>
      </w:r>
      <w:r w:rsidR="00023CE3">
        <w:rPr>
          <w:rFonts w:ascii="Times New Roman" w:hAnsi="Times New Roman" w:cs="Times New Roman"/>
          <w:sz w:val="24"/>
          <w:szCs w:val="24"/>
        </w:rPr>
        <w:t>i</w:t>
      </w:r>
      <w:r w:rsidRPr="00BC1E70">
        <w:rPr>
          <w:rFonts w:ascii="Times New Roman" w:hAnsi="Times New Roman" w:cs="Times New Roman"/>
          <w:sz w:val="24"/>
          <w:szCs w:val="24"/>
        </w:rPr>
        <w:t>nstruments):</w:t>
      </w:r>
    </w:p>
    <w:p w14:paraId="2CE9E9E3" w14:textId="51C6B6D6" w:rsidR="00014E49" w:rsidRPr="00DF2C01" w:rsidRDefault="00014E49" w:rsidP="00014E49">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12</w:t>
      </w:r>
      <w:r w:rsidRPr="00DF2C01">
        <w:rPr>
          <w:rFonts w:ascii="Times New Roman" w:hAnsi="Times New Roman"/>
          <w:sz w:val="24"/>
          <w:szCs w:val="24"/>
        </w:rPr>
        <w:t xml:space="preserve"> of 2022 which:</w:t>
      </w:r>
    </w:p>
    <w:p w14:paraId="24BE7B83" w14:textId="0CE89A25" w:rsidR="00014E49" w:rsidRPr="00DF2C01" w:rsidRDefault="00014E49" w:rsidP="00014E49">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sidR="007605EB">
        <w:rPr>
          <w:rFonts w:ascii="Times New Roman" w:hAnsi="Times New Roman"/>
          <w:i/>
          <w:sz w:val="24"/>
          <w:szCs w:val="24"/>
        </w:rPr>
        <w:t xml:space="preserve">GRS 114.1 Assets by </w:t>
      </w:r>
      <w:r w:rsidR="00AB556C">
        <w:rPr>
          <w:rFonts w:ascii="Times New Roman" w:hAnsi="Times New Roman"/>
          <w:i/>
          <w:sz w:val="24"/>
          <w:szCs w:val="24"/>
        </w:rPr>
        <w:t>Counterparty</w:t>
      </w:r>
      <w:r w:rsidR="007605EB">
        <w:rPr>
          <w:rFonts w:ascii="Times New Roman" w:hAnsi="Times New Roman"/>
          <w:i/>
          <w:sz w:val="24"/>
          <w:szCs w:val="24"/>
        </w:rPr>
        <w:t xml:space="preserve"> Grade</w:t>
      </w:r>
      <w:r w:rsidRPr="00DF2C01">
        <w:rPr>
          <w:rFonts w:ascii="Times New Roman" w:hAnsi="Times New Roman"/>
          <w:i/>
          <w:sz w:val="24"/>
          <w:szCs w:val="24"/>
        </w:rPr>
        <w:t xml:space="preserve"> </w:t>
      </w:r>
      <w:r w:rsidRPr="00DF2C01">
        <w:rPr>
          <w:rFonts w:ascii="Times New Roman" w:hAnsi="Times New Roman"/>
          <w:sz w:val="24"/>
          <w:szCs w:val="24"/>
        </w:rPr>
        <w:t>(</w:t>
      </w:r>
      <w:r w:rsidR="007605EB">
        <w:rPr>
          <w:rFonts w:ascii="Times New Roman" w:hAnsi="Times New Roman"/>
          <w:sz w:val="24"/>
          <w:szCs w:val="24"/>
        </w:rPr>
        <w:t>G</w:t>
      </w:r>
      <w:r w:rsidRPr="00DF2C01">
        <w:rPr>
          <w:rFonts w:ascii="Times New Roman" w:hAnsi="Times New Roman"/>
          <w:sz w:val="24"/>
          <w:szCs w:val="24"/>
        </w:rPr>
        <w:t>RS 11</w:t>
      </w:r>
      <w:r w:rsidR="007605EB">
        <w:rPr>
          <w:rFonts w:ascii="Times New Roman" w:hAnsi="Times New Roman"/>
          <w:sz w:val="24"/>
          <w:szCs w:val="24"/>
        </w:rPr>
        <w:t>4</w:t>
      </w:r>
      <w:r w:rsidRPr="00DF2C01">
        <w:rPr>
          <w:rFonts w:ascii="Times New Roman" w:hAnsi="Times New Roman"/>
          <w:sz w:val="24"/>
          <w:szCs w:val="24"/>
        </w:rPr>
        <w:t xml:space="preserve">.1) made under Financial Sector (Collection of Data) (reporting standard) determination No. </w:t>
      </w:r>
      <w:r w:rsidR="007605EB">
        <w:rPr>
          <w:rFonts w:ascii="Times New Roman" w:hAnsi="Times New Roman"/>
          <w:sz w:val="24"/>
          <w:szCs w:val="24"/>
        </w:rPr>
        <w:t>6</w:t>
      </w:r>
      <w:r w:rsidRPr="00DF2C01">
        <w:rPr>
          <w:rFonts w:ascii="Times New Roman" w:hAnsi="Times New Roman"/>
          <w:sz w:val="24"/>
          <w:szCs w:val="24"/>
        </w:rPr>
        <w:t xml:space="preserve"> of 201</w:t>
      </w:r>
      <w:r w:rsidR="007605EB">
        <w:rPr>
          <w:rFonts w:ascii="Times New Roman" w:hAnsi="Times New Roman"/>
          <w:sz w:val="24"/>
          <w:szCs w:val="24"/>
        </w:rPr>
        <w:t>3</w:t>
      </w:r>
      <w:r w:rsidRPr="00DF2C01">
        <w:rPr>
          <w:rFonts w:ascii="Times New Roman" w:hAnsi="Times New Roman"/>
          <w:sz w:val="24"/>
          <w:szCs w:val="24"/>
        </w:rPr>
        <w:t>; and</w:t>
      </w:r>
    </w:p>
    <w:p w14:paraId="3A952675" w14:textId="7CEBC54A" w:rsidR="00014E49" w:rsidRPr="00DF2C01" w:rsidRDefault="00014E49" w:rsidP="00014E49">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sidR="007605EB">
        <w:rPr>
          <w:rFonts w:ascii="Times New Roman" w:hAnsi="Times New Roman"/>
          <w:sz w:val="24"/>
          <w:szCs w:val="24"/>
        </w:rPr>
        <w:t>G</w:t>
      </w:r>
      <w:r w:rsidRPr="00DF2C01">
        <w:rPr>
          <w:rFonts w:ascii="Times New Roman" w:hAnsi="Times New Roman"/>
          <w:sz w:val="24"/>
          <w:szCs w:val="24"/>
        </w:rPr>
        <w:t xml:space="preserve">RS </w:t>
      </w:r>
      <w:proofErr w:type="gramStart"/>
      <w:r w:rsidRPr="00DF2C01">
        <w:rPr>
          <w:rFonts w:ascii="Times New Roman" w:hAnsi="Times New Roman"/>
          <w:sz w:val="24"/>
          <w:szCs w:val="24"/>
        </w:rPr>
        <w:t>11</w:t>
      </w:r>
      <w:r w:rsidR="007605EB">
        <w:rPr>
          <w:rFonts w:ascii="Times New Roman" w:hAnsi="Times New Roman"/>
          <w:sz w:val="24"/>
          <w:szCs w:val="24"/>
        </w:rPr>
        <w:t>4</w:t>
      </w:r>
      <w:r w:rsidRPr="00DF2C01">
        <w:rPr>
          <w:rFonts w:ascii="Times New Roman" w:hAnsi="Times New Roman"/>
          <w:sz w:val="24"/>
          <w:szCs w:val="24"/>
        </w:rPr>
        <w:t>.1;</w:t>
      </w:r>
      <w:proofErr w:type="gramEnd"/>
    </w:p>
    <w:p w14:paraId="5EFD6405" w14:textId="2142883D" w:rsidR="007605EB" w:rsidRPr="00DF2C01" w:rsidRDefault="007605EB" w:rsidP="007605E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13</w:t>
      </w:r>
      <w:r w:rsidRPr="00DF2C01">
        <w:rPr>
          <w:rFonts w:ascii="Times New Roman" w:hAnsi="Times New Roman"/>
          <w:sz w:val="24"/>
          <w:szCs w:val="24"/>
        </w:rPr>
        <w:t xml:space="preserve"> of 2022 which:</w:t>
      </w:r>
    </w:p>
    <w:p w14:paraId="39F30D20" w14:textId="15F6E0D7" w:rsidR="007605EB" w:rsidRPr="00DF2C01" w:rsidRDefault="007605EB" w:rsidP="007605E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 xml:space="preserve">GRS 114.1_G Assets by </w:t>
      </w:r>
      <w:r w:rsidR="00AB556C">
        <w:rPr>
          <w:rFonts w:ascii="Times New Roman" w:hAnsi="Times New Roman"/>
          <w:i/>
          <w:sz w:val="24"/>
          <w:szCs w:val="24"/>
        </w:rPr>
        <w:t>Counterparty</w:t>
      </w:r>
      <w:r>
        <w:rPr>
          <w:rFonts w:ascii="Times New Roman" w:hAnsi="Times New Roman"/>
          <w:i/>
          <w:sz w:val="24"/>
          <w:szCs w:val="24"/>
        </w:rPr>
        <w:t xml:space="preserve"> Grade (Level 2 Insurance Group)</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.1</w:t>
      </w:r>
      <w:r>
        <w:rPr>
          <w:rFonts w:ascii="Times New Roman" w:hAnsi="Times New Roman"/>
          <w:sz w:val="24"/>
          <w:szCs w:val="24"/>
        </w:rPr>
        <w:t>_G</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6</w:t>
      </w:r>
      <w:r w:rsidRPr="00DF2C01">
        <w:rPr>
          <w:rFonts w:ascii="Times New Roman" w:hAnsi="Times New Roman"/>
          <w:sz w:val="24"/>
          <w:szCs w:val="24"/>
        </w:rPr>
        <w:t xml:space="preserve"> of 201</w:t>
      </w:r>
      <w:r>
        <w:rPr>
          <w:rFonts w:ascii="Times New Roman" w:hAnsi="Times New Roman"/>
          <w:sz w:val="24"/>
          <w:szCs w:val="24"/>
        </w:rPr>
        <w:t>6</w:t>
      </w:r>
      <w:r w:rsidRPr="00DF2C01">
        <w:rPr>
          <w:rFonts w:ascii="Times New Roman" w:hAnsi="Times New Roman"/>
          <w:sz w:val="24"/>
          <w:szCs w:val="24"/>
        </w:rPr>
        <w:t>; and</w:t>
      </w:r>
    </w:p>
    <w:p w14:paraId="3C4B6163" w14:textId="46506741" w:rsidR="007605EB" w:rsidRPr="00DF2C01" w:rsidRDefault="007605EB" w:rsidP="007605E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.1</w:t>
      </w:r>
      <w:r>
        <w:rPr>
          <w:rFonts w:ascii="Times New Roman" w:hAnsi="Times New Roman"/>
          <w:sz w:val="24"/>
          <w:szCs w:val="24"/>
        </w:rPr>
        <w:t>_</w:t>
      </w:r>
      <w:proofErr w:type="gramStart"/>
      <w:r>
        <w:rPr>
          <w:rFonts w:ascii="Times New Roman" w:hAnsi="Times New Roman"/>
          <w:sz w:val="24"/>
          <w:szCs w:val="24"/>
        </w:rPr>
        <w:t>G</w:t>
      </w:r>
      <w:r w:rsidRPr="00DF2C01">
        <w:rPr>
          <w:rFonts w:ascii="Times New Roman" w:hAnsi="Times New Roman"/>
          <w:sz w:val="24"/>
          <w:szCs w:val="24"/>
        </w:rPr>
        <w:t>;</w:t>
      </w:r>
      <w:proofErr w:type="gramEnd"/>
    </w:p>
    <w:p w14:paraId="5982171F" w14:textId="2586CBB1"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14</w:t>
      </w:r>
      <w:r w:rsidRPr="00DF2C01">
        <w:rPr>
          <w:rFonts w:ascii="Times New Roman" w:hAnsi="Times New Roman"/>
          <w:sz w:val="24"/>
          <w:szCs w:val="24"/>
        </w:rPr>
        <w:t xml:space="preserve"> of 2022 which:</w:t>
      </w:r>
    </w:p>
    <w:p w14:paraId="6EBDE377" w14:textId="72121C16"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GRS 114.3 Off-balance Sheet Business</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8</w:t>
      </w:r>
      <w:r w:rsidRPr="00DF2C01">
        <w:rPr>
          <w:rFonts w:ascii="Times New Roman" w:hAnsi="Times New Roman"/>
          <w:sz w:val="24"/>
          <w:szCs w:val="24"/>
        </w:rPr>
        <w:t xml:space="preserve"> of 201</w:t>
      </w:r>
      <w:r>
        <w:rPr>
          <w:rFonts w:ascii="Times New Roman" w:hAnsi="Times New Roman"/>
          <w:sz w:val="24"/>
          <w:szCs w:val="24"/>
        </w:rPr>
        <w:t>3</w:t>
      </w:r>
      <w:r w:rsidRPr="00DF2C01">
        <w:rPr>
          <w:rFonts w:ascii="Times New Roman" w:hAnsi="Times New Roman"/>
          <w:sz w:val="24"/>
          <w:szCs w:val="24"/>
        </w:rPr>
        <w:t>; and</w:t>
      </w:r>
    </w:p>
    <w:p w14:paraId="05CC38F5" w14:textId="2C5D1CCF"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 xml:space="preserve">RS </w:t>
      </w:r>
      <w:proofErr w:type="gramStart"/>
      <w:r w:rsidRPr="00DF2C01">
        <w:rPr>
          <w:rFonts w:ascii="Times New Roman" w:hAnsi="Times New Roman"/>
          <w:sz w:val="24"/>
          <w:szCs w:val="24"/>
        </w:rPr>
        <w:t>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w:t>
      </w:r>
      <w:r w:rsidRPr="00DF2C01">
        <w:rPr>
          <w:rFonts w:ascii="Times New Roman" w:hAnsi="Times New Roman"/>
          <w:sz w:val="24"/>
          <w:szCs w:val="24"/>
        </w:rPr>
        <w:t>;</w:t>
      </w:r>
      <w:proofErr w:type="gramEnd"/>
    </w:p>
    <w:p w14:paraId="6F431682" w14:textId="4B709B38"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lastRenderedPageBreak/>
        <w:t xml:space="preserve">Financial Sector (Collection of Data) (reporting standard) determination No. </w:t>
      </w:r>
      <w:r w:rsidR="008234D8">
        <w:rPr>
          <w:rFonts w:ascii="Times New Roman" w:hAnsi="Times New Roman"/>
          <w:sz w:val="24"/>
          <w:szCs w:val="24"/>
        </w:rPr>
        <w:t>15</w:t>
      </w:r>
      <w:r w:rsidRPr="00DF2C01">
        <w:rPr>
          <w:rFonts w:ascii="Times New Roman" w:hAnsi="Times New Roman"/>
          <w:sz w:val="24"/>
          <w:szCs w:val="24"/>
        </w:rPr>
        <w:t xml:space="preserve"> of 2022 which:</w:t>
      </w:r>
    </w:p>
    <w:p w14:paraId="7BC361D3" w14:textId="16C2367A"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GRS 114.3_G Off-balance Sheet Business (Level 2 Insurance Group)</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3_G</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7</w:t>
      </w:r>
      <w:r w:rsidRPr="00DF2C01">
        <w:rPr>
          <w:rFonts w:ascii="Times New Roman" w:hAnsi="Times New Roman"/>
          <w:sz w:val="24"/>
          <w:szCs w:val="24"/>
        </w:rPr>
        <w:t xml:space="preserve"> of 201</w:t>
      </w:r>
      <w:r>
        <w:rPr>
          <w:rFonts w:ascii="Times New Roman" w:hAnsi="Times New Roman"/>
          <w:sz w:val="24"/>
          <w:szCs w:val="24"/>
        </w:rPr>
        <w:t>6</w:t>
      </w:r>
      <w:r w:rsidRPr="00DF2C01">
        <w:rPr>
          <w:rFonts w:ascii="Times New Roman" w:hAnsi="Times New Roman"/>
          <w:sz w:val="24"/>
          <w:szCs w:val="24"/>
        </w:rPr>
        <w:t>; and</w:t>
      </w:r>
    </w:p>
    <w:p w14:paraId="118CCB60" w14:textId="0EE1A252"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4</w:t>
      </w:r>
      <w:r w:rsidRPr="00DF2C01">
        <w:rPr>
          <w:rFonts w:ascii="Times New Roman" w:hAnsi="Times New Roman"/>
          <w:sz w:val="24"/>
          <w:szCs w:val="24"/>
        </w:rPr>
        <w:t>.</w:t>
      </w:r>
      <w:r>
        <w:rPr>
          <w:rFonts w:ascii="Times New Roman" w:hAnsi="Times New Roman"/>
          <w:sz w:val="24"/>
          <w:szCs w:val="24"/>
        </w:rPr>
        <w:t>3_</w:t>
      </w:r>
      <w:proofErr w:type="gramStart"/>
      <w:r>
        <w:rPr>
          <w:rFonts w:ascii="Times New Roman" w:hAnsi="Times New Roman"/>
          <w:sz w:val="24"/>
          <w:szCs w:val="24"/>
        </w:rPr>
        <w:t>G</w:t>
      </w:r>
      <w:r w:rsidRPr="00DF2C01">
        <w:rPr>
          <w:rFonts w:ascii="Times New Roman" w:hAnsi="Times New Roman"/>
          <w:sz w:val="24"/>
          <w:szCs w:val="24"/>
        </w:rPr>
        <w:t>;</w:t>
      </w:r>
      <w:proofErr w:type="gramEnd"/>
    </w:p>
    <w:p w14:paraId="0E3F437F" w14:textId="20994033"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16</w:t>
      </w:r>
      <w:r w:rsidRPr="00DF2C01">
        <w:rPr>
          <w:rFonts w:ascii="Times New Roman" w:hAnsi="Times New Roman"/>
          <w:sz w:val="24"/>
          <w:szCs w:val="24"/>
        </w:rPr>
        <w:t xml:space="preserve"> of 2022 which:</w:t>
      </w:r>
    </w:p>
    <w:p w14:paraId="2C0D27F8" w14:textId="7FE2B26A"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w:t>
      </w:r>
      <w:r w:rsidRPr="003C76D4">
        <w:rPr>
          <w:rFonts w:ascii="Times New Roman" w:hAnsi="Times New Roman"/>
          <w:sz w:val="24"/>
          <w:szCs w:val="24"/>
        </w:rPr>
        <w:t>Standard</w:t>
      </w:r>
      <w:r w:rsidRPr="00DF2C01">
        <w:rPr>
          <w:rFonts w:ascii="Times New Roman" w:hAnsi="Times New Roman"/>
          <w:i/>
          <w:sz w:val="24"/>
          <w:szCs w:val="24"/>
        </w:rPr>
        <w:t xml:space="preserve"> </w:t>
      </w:r>
      <w:r>
        <w:rPr>
          <w:rFonts w:ascii="Times New Roman" w:hAnsi="Times New Roman"/>
          <w:i/>
          <w:sz w:val="24"/>
          <w:szCs w:val="24"/>
        </w:rPr>
        <w:t>GRS 117.0 Asset Concentration Risk Charge</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14</w:t>
      </w:r>
      <w:r w:rsidRPr="00DF2C01">
        <w:rPr>
          <w:rFonts w:ascii="Times New Roman" w:hAnsi="Times New Roman"/>
          <w:sz w:val="24"/>
          <w:szCs w:val="24"/>
        </w:rPr>
        <w:t xml:space="preserve"> of 201</w:t>
      </w:r>
      <w:r>
        <w:rPr>
          <w:rFonts w:ascii="Times New Roman" w:hAnsi="Times New Roman"/>
          <w:sz w:val="24"/>
          <w:szCs w:val="24"/>
        </w:rPr>
        <w:t>3</w:t>
      </w:r>
      <w:r w:rsidRPr="00DF2C01">
        <w:rPr>
          <w:rFonts w:ascii="Times New Roman" w:hAnsi="Times New Roman"/>
          <w:sz w:val="24"/>
          <w:szCs w:val="24"/>
        </w:rPr>
        <w:t>; and</w:t>
      </w:r>
    </w:p>
    <w:p w14:paraId="0FC31DDA" w14:textId="716A641C"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 xml:space="preserve">RS </w:t>
      </w:r>
      <w:proofErr w:type="gramStart"/>
      <w:r w:rsidRPr="00DF2C01">
        <w:rPr>
          <w:rFonts w:ascii="Times New Roman" w:hAnsi="Times New Roman"/>
          <w:sz w:val="24"/>
          <w:szCs w:val="24"/>
        </w:rPr>
        <w:t>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w:t>
      </w:r>
      <w:r w:rsidRPr="00DF2C01">
        <w:rPr>
          <w:rFonts w:ascii="Times New Roman" w:hAnsi="Times New Roman"/>
          <w:sz w:val="24"/>
          <w:szCs w:val="24"/>
        </w:rPr>
        <w:t>;</w:t>
      </w:r>
      <w:proofErr w:type="gramEnd"/>
    </w:p>
    <w:p w14:paraId="38951C16" w14:textId="58D00DB8" w:rsidR="00741EDB" w:rsidRPr="00DF2C01" w:rsidRDefault="00741EDB" w:rsidP="00741EDB">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008234D8">
        <w:rPr>
          <w:rFonts w:ascii="Times New Roman" w:hAnsi="Times New Roman"/>
          <w:sz w:val="24"/>
          <w:szCs w:val="24"/>
        </w:rPr>
        <w:t>17</w:t>
      </w:r>
      <w:r w:rsidRPr="00DF2C01">
        <w:rPr>
          <w:rFonts w:ascii="Times New Roman" w:hAnsi="Times New Roman"/>
          <w:sz w:val="24"/>
          <w:szCs w:val="24"/>
        </w:rPr>
        <w:t xml:space="preserve"> of 2022 which:</w:t>
      </w:r>
    </w:p>
    <w:p w14:paraId="4B63374E" w14:textId="58B636F0" w:rsidR="00741EDB" w:rsidRPr="00DF2C01"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revokes </w:t>
      </w:r>
      <w:r w:rsidRPr="00DF2C01">
        <w:rPr>
          <w:rFonts w:ascii="Times New Roman" w:hAnsi="Times New Roman"/>
          <w:i/>
          <w:sz w:val="24"/>
          <w:szCs w:val="24"/>
        </w:rPr>
        <w:t xml:space="preserve">Reporting Standard </w:t>
      </w:r>
      <w:r>
        <w:rPr>
          <w:rFonts w:ascii="Times New Roman" w:hAnsi="Times New Roman"/>
          <w:i/>
          <w:sz w:val="24"/>
          <w:szCs w:val="24"/>
        </w:rPr>
        <w:t>GRS 117.0_G Asset Concentration Risk Charge (Level 2 Insurance Group)</w:t>
      </w:r>
      <w:r w:rsidRPr="00DF2C01">
        <w:rPr>
          <w:rFonts w:ascii="Times New Roman" w:hAnsi="Times New Roman"/>
          <w:i/>
          <w:sz w:val="24"/>
          <w:szCs w:val="24"/>
        </w:rPr>
        <w:t xml:space="preserve"> </w:t>
      </w:r>
      <w:r w:rsidRPr="00DF2C01">
        <w:rPr>
          <w:rFonts w:ascii="Times New Roman" w:hAnsi="Times New Roman"/>
          <w:sz w:val="24"/>
          <w:szCs w:val="24"/>
        </w:rPr>
        <w:t>(</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0_G</w:t>
      </w:r>
      <w:r w:rsidRPr="00DF2C01">
        <w:rPr>
          <w:rFonts w:ascii="Times New Roman" w:hAnsi="Times New Roman"/>
          <w:sz w:val="24"/>
          <w:szCs w:val="24"/>
        </w:rPr>
        <w:t xml:space="preserve">) made under Financial Sector (Collection of Data) (reporting standard) determination No. </w:t>
      </w:r>
      <w:r>
        <w:rPr>
          <w:rFonts w:ascii="Times New Roman" w:hAnsi="Times New Roman"/>
          <w:sz w:val="24"/>
          <w:szCs w:val="24"/>
        </w:rPr>
        <w:t>11</w:t>
      </w:r>
      <w:r w:rsidRPr="00DF2C01">
        <w:rPr>
          <w:rFonts w:ascii="Times New Roman" w:hAnsi="Times New Roman"/>
          <w:sz w:val="24"/>
          <w:szCs w:val="24"/>
        </w:rPr>
        <w:t xml:space="preserve"> of 201</w:t>
      </w:r>
      <w:r>
        <w:rPr>
          <w:rFonts w:ascii="Times New Roman" w:hAnsi="Times New Roman"/>
          <w:sz w:val="24"/>
          <w:szCs w:val="24"/>
        </w:rPr>
        <w:t>6</w:t>
      </w:r>
      <w:r w:rsidRPr="00DF2C01">
        <w:rPr>
          <w:rFonts w:ascii="Times New Roman" w:hAnsi="Times New Roman"/>
          <w:sz w:val="24"/>
          <w:szCs w:val="24"/>
        </w:rPr>
        <w:t>; and</w:t>
      </w:r>
    </w:p>
    <w:p w14:paraId="42965F89" w14:textId="7F225905" w:rsidR="00211AFD" w:rsidRPr="00741EDB" w:rsidRDefault="00741EDB" w:rsidP="00741EDB">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version of </w:t>
      </w:r>
      <w:r>
        <w:rPr>
          <w:rFonts w:ascii="Times New Roman" w:hAnsi="Times New Roman"/>
          <w:sz w:val="24"/>
          <w:szCs w:val="24"/>
        </w:rPr>
        <w:t>G</w:t>
      </w:r>
      <w:r w:rsidRPr="00DF2C01">
        <w:rPr>
          <w:rFonts w:ascii="Times New Roman" w:hAnsi="Times New Roman"/>
          <w:sz w:val="24"/>
          <w:szCs w:val="24"/>
        </w:rPr>
        <w:t>RS 11</w:t>
      </w:r>
      <w:r>
        <w:rPr>
          <w:rFonts w:ascii="Times New Roman" w:hAnsi="Times New Roman"/>
          <w:sz w:val="24"/>
          <w:szCs w:val="24"/>
        </w:rPr>
        <w:t>7</w:t>
      </w:r>
      <w:r w:rsidRPr="00DF2C01">
        <w:rPr>
          <w:rFonts w:ascii="Times New Roman" w:hAnsi="Times New Roman"/>
          <w:sz w:val="24"/>
          <w:szCs w:val="24"/>
        </w:rPr>
        <w:t>.</w:t>
      </w:r>
      <w:r>
        <w:rPr>
          <w:rFonts w:ascii="Times New Roman" w:hAnsi="Times New Roman"/>
          <w:sz w:val="24"/>
          <w:szCs w:val="24"/>
        </w:rPr>
        <w:t>0_</w:t>
      </w:r>
      <w:proofErr w:type="gramStart"/>
      <w:r>
        <w:rPr>
          <w:rFonts w:ascii="Times New Roman" w:hAnsi="Times New Roman"/>
          <w:sz w:val="24"/>
          <w:szCs w:val="24"/>
        </w:rPr>
        <w:t>G</w:t>
      </w:r>
      <w:r w:rsidRPr="00DF2C01">
        <w:rPr>
          <w:rFonts w:ascii="Times New Roman" w:hAnsi="Times New Roman"/>
          <w:sz w:val="24"/>
          <w:szCs w:val="24"/>
        </w:rPr>
        <w:t>;</w:t>
      </w:r>
      <w:proofErr w:type="gramEnd"/>
    </w:p>
    <w:p w14:paraId="20C71CDB" w14:textId="77777777" w:rsidR="00023CE3" w:rsidRDefault="00023CE3" w:rsidP="00023CE3">
      <w:pPr>
        <w:widowControl w:val="0"/>
        <w:rPr>
          <w:rFonts w:ascii="Times New Roman" w:hAnsi="Times New Roman"/>
          <w:sz w:val="24"/>
          <w:szCs w:val="24"/>
        </w:rPr>
      </w:pPr>
      <w:r>
        <w:rPr>
          <w:rFonts w:ascii="Times New Roman" w:hAnsi="Times New Roman"/>
          <w:sz w:val="24"/>
          <w:szCs w:val="24"/>
        </w:rPr>
        <w:t xml:space="preserve">The instruments </w:t>
      </w:r>
      <w:r w:rsidRPr="00580FC3">
        <w:rPr>
          <w:rFonts w:ascii="Times New Roman" w:hAnsi="Times New Roman"/>
          <w:sz w:val="24"/>
          <w:szCs w:val="24"/>
        </w:rPr>
        <w:t xml:space="preserve">commence </w:t>
      </w:r>
      <w:r>
        <w:rPr>
          <w:rFonts w:ascii="Times New Roman" w:hAnsi="Times New Roman"/>
          <w:sz w:val="24"/>
          <w:szCs w:val="24"/>
        </w:rPr>
        <w:t xml:space="preserve">upon registration on the Federal Register of Legislation. </w:t>
      </w:r>
    </w:p>
    <w:p w14:paraId="44D216EA" w14:textId="77777777" w:rsidR="00B670E9" w:rsidRPr="009535CD"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Background</w:t>
      </w:r>
    </w:p>
    <w:p w14:paraId="6C7DAB6D" w14:textId="03E21067"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On</w:t>
      </w:r>
      <w:r w:rsidR="00F41BD7">
        <w:rPr>
          <w:rFonts w:ascii="Times New Roman" w:hAnsi="Times New Roman" w:cs="Times New Roman"/>
          <w:sz w:val="24"/>
          <w:szCs w:val="24"/>
        </w:rPr>
        <w:t xml:space="preserve"> </w:t>
      </w:r>
      <w:r w:rsidR="007D1955" w:rsidRPr="007D1955">
        <w:rPr>
          <w:rFonts w:ascii="Times New Roman" w:hAnsi="Times New Roman" w:cs="Times New Roman"/>
          <w:sz w:val="24"/>
          <w:szCs w:val="24"/>
        </w:rPr>
        <w:t>12</w:t>
      </w:r>
      <w:r w:rsidR="004F0E3E" w:rsidRPr="007D1955">
        <w:rPr>
          <w:rFonts w:ascii="Times New Roman" w:hAnsi="Times New Roman" w:cs="Times New Roman"/>
          <w:sz w:val="24"/>
          <w:szCs w:val="24"/>
        </w:rPr>
        <w:t xml:space="preserve"> </w:t>
      </w:r>
      <w:r w:rsidR="00AE43C8" w:rsidRPr="007D1955">
        <w:rPr>
          <w:rFonts w:ascii="Times New Roman" w:hAnsi="Times New Roman" w:cs="Times New Roman"/>
          <w:sz w:val="24"/>
          <w:szCs w:val="24"/>
        </w:rPr>
        <w:t>Octo</w:t>
      </w:r>
      <w:r w:rsidR="004F0E3E" w:rsidRPr="007D1955">
        <w:rPr>
          <w:rFonts w:ascii="Times New Roman" w:hAnsi="Times New Roman" w:cs="Times New Roman"/>
          <w:sz w:val="24"/>
          <w:szCs w:val="24"/>
        </w:rPr>
        <w:t>ber</w:t>
      </w:r>
      <w:r w:rsidR="00AB556C" w:rsidRPr="007D1955">
        <w:rPr>
          <w:rFonts w:ascii="Times New Roman" w:hAnsi="Times New Roman" w:cs="Times New Roman"/>
          <w:sz w:val="24"/>
          <w:szCs w:val="24"/>
        </w:rPr>
        <w:t xml:space="preserve"> </w:t>
      </w:r>
      <w:r w:rsidR="00EC67E3" w:rsidRPr="007D1955">
        <w:rPr>
          <w:rFonts w:ascii="Times New Roman" w:hAnsi="Times New Roman" w:cs="Times New Roman"/>
          <w:sz w:val="24"/>
          <w:szCs w:val="24"/>
        </w:rPr>
        <w:t>2022</w:t>
      </w:r>
      <w:r w:rsidRPr="00BC1E70">
        <w:rPr>
          <w:rFonts w:ascii="Times New Roman" w:hAnsi="Times New Roman" w:cs="Times New Roman"/>
          <w:sz w:val="24"/>
          <w:szCs w:val="24"/>
        </w:rPr>
        <w:t>, APRA determined</w:t>
      </w:r>
      <w:r w:rsidR="00AB556C">
        <w:rPr>
          <w:rFonts w:ascii="Times New Roman" w:hAnsi="Times New Roman" w:cs="Times New Roman"/>
          <w:sz w:val="24"/>
          <w:szCs w:val="24"/>
        </w:rPr>
        <w:t xml:space="preserve"> six</w:t>
      </w:r>
      <w:r w:rsidRPr="00BC1E70">
        <w:rPr>
          <w:rFonts w:ascii="Times New Roman" w:hAnsi="Times New Roman" w:cs="Times New Roman"/>
          <w:sz w:val="24"/>
          <w:szCs w:val="24"/>
        </w:rPr>
        <w:t xml:space="preserve"> general insurance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standards </w:t>
      </w:r>
      <w:r w:rsidR="003A4D41" w:rsidRPr="00BC1E70">
        <w:rPr>
          <w:rFonts w:ascii="Times New Roman" w:hAnsi="Times New Roman" w:cs="Times New Roman"/>
          <w:sz w:val="24"/>
          <w:szCs w:val="24"/>
        </w:rPr>
        <w:t xml:space="preserve">incorporating </w:t>
      </w:r>
      <w:r w:rsidRPr="00BC1E70">
        <w:rPr>
          <w:rFonts w:ascii="Times New Roman" w:hAnsi="Times New Roman" w:cs="Times New Roman"/>
          <w:sz w:val="24"/>
          <w:szCs w:val="24"/>
        </w:rPr>
        <w:t xml:space="preserve">consequential amendments to the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framework to support the operation of the </w:t>
      </w:r>
      <w:r w:rsidR="00AD72D9" w:rsidRPr="00BC1E70">
        <w:rPr>
          <w:rFonts w:ascii="Times New Roman" w:hAnsi="Times New Roman" w:cs="Times New Roman"/>
          <w:sz w:val="24"/>
          <w:szCs w:val="24"/>
        </w:rPr>
        <w:t xml:space="preserve">Australian </w:t>
      </w:r>
      <w:r w:rsidRPr="00BC1E70">
        <w:rPr>
          <w:rFonts w:ascii="Times New Roman" w:hAnsi="Times New Roman" w:cs="Times New Roman"/>
          <w:sz w:val="24"/>
          <w:szCs w:val="24"/>
        </w:rPr>
        <w:t xml:space="preserve">Government’s cyclone </w:t>
      </w:r>
      <w:r w:rsidR="0077507F">
        <w:rPr>
          <w:rFonts w:ascii="Times New Roman" w:hAnsi="Times New Roman" w:cs="Times New Roman"/>
          <w:sz w:val="24"/>
          <w:szCs w:val="24"/>
        </w:rPr>
        <w:t xml:space="preserve">and related flood damage </w:t>
      </w:r>
      <w:r w:rsidRPr="00BC1E70">
        <w:rPr>
          <w:rFonts w:ascii="Times New Roman" w:hAnsi="Times New Roman" w:cs="Times New Roman"/>
          <w:sz w:val="24"/>
          <w:szCs w:val="24"/>
        </w:rPr>
        <w:t xml:space="preserve">reinsurance pool. </w:t>
      </w:r>
      <w:r w:rsidR="007E1D1C" w:rsidRPr="00BC1E70">
        <w:rPr>
          <w:rFonts w:ascii="Times New Roman" w:hAnsi="Times New Roman" w:cs="Times New Roman"/>
          <w:sz w:val="24"/>
          <w:szCs w:val="24"/>
        </w:rPr>
        <w:t xml:space="preserve">The amendments clarify that </w:t>
      </w:r>
      <w:r w:rsidR="00222497" w:rsidRPr="00BC1E70">
        <w:rPr>
          <w:rFonts w:ascii="Times New Roman" w:hAnsi="Times New Roman" w:cs="Times New Roman"/>
          <w:sz w:val="24"/>
          <w:szCs w:val="24"/>
        </w:rPr>
        <w:t>reinsurance provided by the Australian Reinsurance Pool Corporation</w:t>
      </w:r>
      <w:r w:rsidR="00AD72D9" w:rsidRPr="00BC1E70">
        <w:rPr>
          <w:rFonts w:ascii="Times New Roman" w:hAnsi="Times New Roman" w:cs="Times New Roman"/>
          <w:sz w:val="24"/>
          <w:szCs w:val="24"/>
        </w:rPr>
        <w:t xml:space="preserve"> (ARPC)</w:t>
      </w:r>
      <w:r w:rsidR="00222497" w:rsidRPr="00BC1E70">
        <w:rPr>
          <w:rFonts w:ascii="Times New Roman" w:hAnsi="Times New Roman" w:cs="Times New Roman"/>
          <w:sz w:val="24"/>
          <w:szCs w:val="24"/>
        </w:rPr>
        <w:t xml:space="preserve"> are not subject to a capital charge in recognition of the Australian Government guarantee</w:t>
      </w:r>
      <w:r w:rsidR="00CB2E3D" w:rsidRPr="00BC1E70">
        <w:rPr>
          <w:rFonts w:ascii="Times New Roman" w:hAnsi="Times New Roman" w:cs="Times New Roman"/>
          <w:sz w:val="24"/>
          <w:szCs w:val="24"/>
        </w:rPr>
        <w:t xml:space="preserve"> that supports the reinsurance pool</w:t>
      </w:r>
      <w:r w:rsidR="00222497" w:rsidRPr="00BC1E70">
        <w:rPr>
          <w:rFonts w:ascii="Times New Roman" w:hAnsi="Times New Roman" w:cs="Times New Roman"/>
          <w:sz w:val="24"/>
          <w:szCs w:val="24"/>
        </w:rPr>
        <w:t xml:space="preserve">. </w:t>
      </w:r>
    </w:p>
    <w:p w14:paraId="25512235" w14:textId="698F012C" w:rsidR="00211AFD" w:rsidRPr="0099798A" w:rsidRDefault="00211AFD" w:rsidP="0099798A">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w:t>
      </w:r>
      <w:r w:rsidR="0099798A">
        <w:rPr>
          <w:rFonts w:ascii="Times New Roman" w:hAnsi="Times New Roman" w:cs="Times New Roman"/>
          <w:sz w:val="24"/>
          <w:szCs w:val="24"/>
        </w:rPr>
        <w:t>i</w:t>
      </w:r>
      <w:r w:rsidRPr="00BC1E70">
        <w:rPr>
          <w:rFonts w:ascii="Times New Roman" w:hAnsi="Times New Roman" w:cs="Times New Roman"/>
          <w:sz w:val="24"/>
          <w:szCs w:val="24"/>
        </w:rPr>
        <w:t>nstruments</w:t>
      </w:r>
      <w:r w:rsidR="0099798A">
        <w:rPr>
          <w:rFonts w:ascii="Times New Roman" w:hAnsi="Times New Roman" w:cs="Times New Roman"/>
          <w:sz w:val="24"/>
          <w:szCs w:val="24"/>
        </w:rPr>
        <w:t xml:space="preserve"> </w:t>
      </w:r>
      <w:r w:rsidRPr="0099798A">
        <w:rPr>
          <w:rFonts w:ascii="Times New Roman" w:hAnsi="Times New Roman" w:cs="Times New Roman"/>
          <w:sz w:val="24"/>
          <w:szCs w:val="24"/>
        </w:rPr>
        <w:t>amend the definition of an APRA</w:t>
      </w:r>
      <w:r w:rsidR="00922C7C" w:rsidRPr="0099798A">
        <w:rPr>
          <w:rFonts w:ascii="Times New Roman" w:hAnsi="Times New Roman" w:cs="Times New Roman"/>
          <w:sz w:val="24"/>
          <w:szCs w:val="24"/>
        </w:rPr>
        <w:t>-</w:t>
      </w:r>
      <w:r w:rsidRPr="0099798A">
        <w:rPr>
          <w:rFonts w:ascii="Times New Roman" w:hAnsi="Times New Roman" w:cs="Times New Roman"/>
          <w:sz w:val="24"/>
          <w:szCs w:val="24"/>
        </w:rPr>
        <w:t>authorised reinsurer to include the A</w:t>
      </w:r>
      <w:r w:rsidR="00DE1106" w:rsidRPr="0099798A">
        <w:rPr>
          <w:rFonts w:ascii="Times New Roman" w:hAnsi="Times New Roman" w:cs="Times New Roman"/>
          <w:sz w:val="24"/>
          <w:szCs w:val="24"/>
        </w:rPr>
        <w:t>RPC</w:t>
      </w:r>
      <w:r w:rsidRPr="0099798A">
        <w:rPr>
          <w:rFonts w:ascii="Times New Roman" w:hAnsi="Times New Roman" w:cs="Times New Roman"/>
          <w:sz w:val="24"/>
          <w:szCs w:val="24"/>
        </w:rPr>
        <w:t xml:space="preserve">.  </w:t>
      </w:r>
    </w:p>
    <w:p w14:paraId="349A167C" w14:textId="35C92905"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2.</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 xml:space="preserve">Purpose and operation of the instruments </w:t>
      </w:r>
    </w:p>
    <w:p w14:paraId="165D549D" w14:textId="4D21F77E"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sidR="00023CE3">
        <w:rPr>
          <w:rFonts w:ascii="Times New Roman" w:hAnsi="Times New Roman" w:cs="Times New Roman"/>
          <w:sz w:val="24"/>
          <w:szCs w:val="24"/>
        </w:rPr>
        <w:t>i</w:t>
      </w:r>
      <w:r w:rsidRPr="00BC1E70">
        <w:rPr>
          <w:rFonts w:ascii="Times New Roman" w:hAnsi="Times New Roman" w:cs="Times New Roman"/>
          <w:sz w:val="24"/>
          <w:szCs w:val="24"/>
        </w:rPr>
        <w:t xml:space="preserve">nstruments is to revoke the </w:t>
      </w:r>
      <w:r w:rsidR="00AA555F">
        <w:rPr>
          <w:rFonts w:ascii="Times New Roman" w:hAnsi="Times New Roman" w:cs="Times New Roman"/>
          <w:sz w:val="24"/>
          <w:szCs w:val="24"/>
        </w:rPr>
        <w:t>six</w:t>
      </w:r>
      <w:r w:rsidRPr="00BC1E70">
        <w:rPr>
          <w:rFonts w:ascii="Times New Roman" w:hAnsi="Times New Roman" w:cs="Times New Roman"/>
          <w:sz w:val="24"/>
          <w:szCs w:val="24"/>
        </w:rPr>
        <w:t xml:space="preserve"> existing </w:t>
      </w:r>
      <w:r w:rsidR="0099798A">
        <w:rPr>
          <w:rFonts w:ascii="Times New Roman" w:hAnsi="Times New Roman" w:cs="Times New Roman"/>
          <w:sz w:val="24"/>
          <w:szCs w:val="24"/>
        </w:rPr>
        <w:t>reporting</w:t>
      </w:r>
      <w:r w:rsidRPr="00BC1E70">
        <w:rPr>
          <w:rFonts w:ascii="Times New Roman" w:hAnsi="Times New Roman" w:cs="Times New Roman"/>
          <w:sz w:val="24"/>
          <w:szCs w:val="24"/>
        </w:rPr>
        <w:t xml:space="preserve"> standards requiring consequential amendments and replace them with corresponding standards which incorporate appropriate amendments.</w:t>
      </w:r>
    </w:p>
    <w:p w14:paraId="1343AEB0" w14:textId="3D9ED8FD" w:rsidR="00AD72D9" w:rsidRPr="00BC1E70" w:rsidRDefault="00AD72D9"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w:t>
      </w:r>
      <w:r w:rsidR="00C86A64" w:rsidRPr="00BC1E70">
        <w:rPr>
          <w:rFonts w:ascii="Times New Roman" w:hAnsi="Times New Roman" w:cs="Times New Roman"/>
          <w:sz w:val="24"/>
          <w:szCs w:val="24"/>
        </w:rPr>
        <w:t xml:space="preserve">determined </w:t>
      </w:r>
      <w:r w:rsidR="00AA555F">
        <w:rPr>
          <w:rFonts w:ascii="Times New Roman" w:hAnsi="Times New Roman" w:cs="Times New Roman"/>
          <w:sz w:val="24"/>
          <w:szCs w:val="24"/>
        </w:rPr>
        <w:t>reporting</w:t>
      </w:r>
      <w:r w:rsidRPr="00BC1E70">
        <w:rPr>
          <w:rFonts w:ascii="Times New Roman" w:hAnsi="Times New Roman" w:cs="Times New Roman"/>
          <w:sz w:val="24"/>
          <w:szCs w:val="24"/>
        </w:rPr>
        <w:t xml:space="preserve"> standards will</w:t>
      </w:r>
      <w:r w:rsidR="00AA555F">
        <w:rPr>
          <w:rFonts w:ascii="Times New Roman" w:hAnsi="Times New Roman" w:cs="Times New Roman"/>
          <w:sz w:val="24"/>
          <w:szCs w:val="24"/>
        </w:rPr>
        <w:t xml:space="preserve"> ensure that APRA’s reporting framework ali</w:t>
      </w:r>
      <w:r w:rsidR="00045D7D">
        <w:rPr>
          <w:rFonts w:ascii="Times New Roman" w:hAnsi="Times New Roman" w:cs="Times New Roman"/>
          <w:sz w:val="24"/>
          <w:szCs w:val="24"/>
        </w:rPr>
        <w:t>g</w:t>
      </w:r>
      <w:r w:rsidR="00AA555F">
        <w:rPr>
          <w:rFonts w:ascii="Times New Roman" w:hAnsi="Times New Roman" w:cs="Times New Roman"/>
          <w:sz w:val="24"/>
          <w:szCs w:val="24"/>
        </w:rPr>
        <w:t>ns with its prudential framework, which</w:t>
      </w:r>
      <w:r w:rsidRPr="00BC1E70">
        <w:rPr>
          <w:rFonts w:ascii="Times New Roman" w:hAnsi="Times New Roman" w:cs="Times New Roman"/>
          <w:sz w:val="24"/>
          <w:szCs w:val="24"/>
        </w:rPr>
        <w:t xml:space="preserve"> recognise</w:t>
      </w:r>
      <w:r w:rsidR="00AA555F">
        <w:rPr>
          <w:rFonts w:ascii="Times New Roman" w:hAnsi="Times New Roman" w:cs="Times New Roman"/>
          <w:sz w:val="24"/>
          <w:szCs w:val="24"/>
        </w:rPr>
        <w:t>s</w:t>
      </w:r>
      <w:r w:rsidRPr="00BC1E70">
        <w:rPr>
          <w:rFonts w:ascii="Times New Roman" w:hAnsi="Times New Roman" w:cs="Times New Roman"/>
          <w:sz w:val="24"/>
          <w:szCs w:val="24"/>
        </w:rPr>
        <w:t xml:space="preserve"> the ARPC as a high-grade APRA-authorised </w:t>
      </w:r>
      <w:r w:rsidR="005C641B" w:rsidRPr="00BC1E70">
        <w:rPr>
          <w:rFonts w:ascii="Times New Roman" w:hAnsi="Times New Roman" w:cs="Times New Roman"/>
          <w:sz w:val="24"/>
          <w:szCs w:val="24"/>
        </w:rPr>
        <w:t>reinsur</w:t>
      </w:r>
      <w:r w:rsidR="005C641B">
        <w:rPr>
          <w:rFonts w:ascii="Times New Roman" w:hAnsi="Times New Roman" w:cs="Times New Roman"/>
          <w:sz w:val="24"/>
          <w:szCs w:val="24"/>
        </w:rPr>
        <w:t>er</w:t>
      </w:r>
      <w:r w:rsidR="005C641B" w:rsidRPr="00BC1E70">
        <w:rPr>
          <w:rFonts w:ascii="Times New Roman" w:hAnsi="Times New Roman" w:cs="Times New Roman"/>
          <w:sz w:val="24"/>
          <w:szCs w:val="24"/>
        </w:rPr>
        <w:t xml:space="preserve"> </w:t>
      </w:r>
      <w:r w:rsidRPr="00BC1E70">
        <w:rPr>
          <w:rFonts w:ascii="Times New Roman" w:hAnsi="Times New Roman" w:cs="Times New Roman"/>
          <w:sz w:val="24"/>
          <w:szCs w:val="24"/>
        </w:rPr>
        <w:t xml:space="preserve">and ensure that reinsurance </w:t>
      </w:r>
      <w:proofErr w:type="spellStart"/>
      <w:r w:rsidRPr="00BC1E70">
        <w:rPr>
          <w:rFonts w:ascii="Times New Roman" w:hAnsi="Times New Roman" w:cs="Times New Roman"/>
          <w:sz w:val="24"/>
          <w:szCs w:val="24"/>
        </w:rPr>
        <w:t>recoverables</w:t>
      </w:r>
      <w:proofErr w:type="spellEnd"/>
      <w:r w:rsidRPr="00BC1E70">
        <w:rPr>
          <w:rFonts w:ascii="Times New Roman" w:hAnsi="Times New Roman" w:cs="Times New Roman"/>
          <w:sz w:val="24"/>
          <w:szCs w:val="24"/>
        </w:rPr>
        <w:t xml:space="preserve"> from the A</w:t>
      </w:r>
      <w:r w:rsidR="00C86A64" w:rsidRPr="00BC1E70">
        <w:rPr>
          <w:rFonts w:ascii="Times New Roman" w:hAnsi="Times New Roman" w:cs="Times New Roman"/>
          <w:sz w:val="24"/>
          <w:szCs w:val="24"/>
        </w:rPr>
        <w:t>RP</w:t>
      </w:r>
      <w:r w:rsidRPr="00BC1E70">
        <w:rPr>
          <w:rFonts w:ascii="Times New Roman" w:hAnsi="Times New Roman" w:cs="Times New Roman"/>
          <w:sz w:val="24"/>
          <w:szCs w:val="24"/>
        </w:rPr>
        <w:t>C are not subject to a capital charge in recognition of the Australian Government guarantee that supports the pool.</w:t>
      </w:r>
    </w:p>
    <w:p w14:paraId="1583BC0B" w14:textId="1379126B" w:rsidR="00211AFD" w:rsidRPr="00BC1E70" w:rsidRDefault="00211AFD"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w:t>
      </w:r>
      <w:r w:rsidR="00023CE3">
        <w:rPr>
          <w:rFonts w:ascii="Times New Roman" w:hAnsi="Times New Roman" w:cs="Times New Roman"/>
          <w:sz w:val="24"/>
          <w:szCs w:val="24"/>
        </w:rPr>
        <w:t xml:space="preserve">reporting </w:t>
      </w:r>
      <w:r w:rsidRPr="00BC1E70">
        <w:rPr>
          <w:rFonts w:ascii="Times New Roman" w:hAnsi="Times New Roman" w:cs="Times New Roman"/>
          <w:sz w:val="24"/>
          <w:szCs w:val="24"/>
        </w:rPr>
        <w:t>standards which have been revoked and replaced are:</w:t>
      </w:r>
    </w:p>
    <w:p w14:paraId="3DB77106" w14:textId="40E0D40F" w:rsidR="00AA555F" w:rsidRPr="00AA555F" w:rsidRDefault="00AA555F" w:rsidP="00AA555F">
      <w:pPr>
        <w:pStyle w:val="ListParagraph"/>
        <w:numPr>
          <w:ilvl w:val="0"/>
          <w:numId w:val="14"/>
        </w:numPr>
        <w:rPr>
          <w:rFonts w:ascii="Times New Roman" w:hAnsi="Times New Roman" w:cs="Times New Roman"/>
          <w:i/>
          <w:sz w:val="24"/>
          <w:szCs w:val="24"/>
        </w:rPr>
      </w:pPr>
      <w:bookmarkStart w:id="4" w:name="_Hlk109747839"/>
      <w:r w:rsidRPr="00AA555F">
        <w:rPr>
          <w:rFonts w:ascii="Times New Roman" w:hAnsi="Times New Roman" w:cs="Times New Roman"/>
          <w:i/>
          <w:sz w:val="24"/>
          <w:szCs w:val="24"/>
        </w:rPr>
        <w:t xml:space="preserve">Reporting Standard GRS 114.1 Assets by Counterparty </w:t>
      </w:r>
      <w:proofErr w:type="gramStart"/>
      <w:r w:rsidRPr="00AA555F">
        <w:rPr>
          <w:rFonts w:ascii="Times New Roman" w:hAnsi="Times New Roman" w:cs="Times New Roman"/>
          <w:i/>
          <w:sz w:val="24"/>
          <w:szCs w:val="24"/>
        </w:rPr>
        <w:t>Grade</w:t>
      </w:r>
      <w:r>
        <w:rPr>
          <w:rFonts w:ascii="Times New Roman" w:hAnsi="Times New Roman" w:cs="Times New Roman"/>
          <w:sz w:val="24"/>
          <w:szCs w:val="24"/>
        </w:rPr>
        <w:t>;</w:t>
      </w:r>
      <w:proofErr w:type="gramEnd"/>
    </w:p>
    <w:p w14:paraId="4177DB41" w14:textId="421BE695"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lastRenderedPageBreak/>
        <w:t>Reporting Standard GRS 114.1</w:t>
      </w:r>
      <w:r w:rsidR="002B5EBC">
        <w:rPr>
          <w:rFonts w:ascii="Times New Roman" w:hAnsi="Times New Roman" w:cs="Times New Roman"/>
          <w:i/>
          <w:sz w:val="24"/>
          <w:szCs w:val="24"/>
        </w:rPr>
        <w:t>_</w:t>
      </w:r>
      <w:r w:rsidRPr="00AA555F">
        <w:rPr>
          <w:rFonts w:ascii="Times New Roman" w:hAnsi="Times New Roman" w:cs="Times New Roman"/>
          <w:i/>
          <w:sz w:val="24"/>
          <w:szCs w:val="24"/>
        </w:rPr>
        <w:t>G Assets by Counterparty Grade</w:t>
      </w:r>
      <w:r>
        <w:rPr>
          <w:rFonts w:ascii="Times New Roman" w:hAnsi="Times New Roman" w:cs="Times New Roman"/>
          <w:i/>
          <w:sz w:val="24"/>
          <w:szCs w:val="24"/>
        </w:rPr>
        <w:t xml:space="preserve"> (Level 2 Insurance Group</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p>
    <w:p w14:paraId="2E2331EB" w14:textId="1A6DDCD4"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 xml:space="preserve">Reporting Standard GRS 114.3 Off-balance Sheet </w:t>
      </w:r>
      <w:proofErr w:type="gramStart"/>
      <w:r w:rsidRPr="00AA555F">
        <w:rPr>
          <w:rFonts w:ascii="Times New Roman" w:hAnsi="Times New Roman" w:cs="Times New Roman"/>
          <w:i/>
          <w:sz w:val="24"/>
          <w:szCs w:val="24"/>
        </w:rPr>
        <w:t>Business</w:t>
      </w:r>
      <w:r>
        <w:rPr>
          <w:rFonts w:ascii="Times New Roman" w:hAnsi="Times New Roman" w:cs="Times New Roman"/>
          <w:sz w:val="24"/>
          <w:szCs w:val="24"/>
        </w:rPr>
        <w:t>;</w:t>
      </w:r>
      <w:proofErr w:type="gramEnd"/>
    </w:p>
    <w:p w14:paraId="173ECE07" w14:textId="4A5FCAA3"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Reporting Standard GRS 114.3</w:t>
      </w:r>
      <w:r w:rsidR="002B5EBC">
        <w:rPr>
          <w:rFonts w:ascii="Times New Roman" w:hAnsi="Times New Roman" w:cs="Times New Roman"/>
          <w:i/>
          <w:sz w:val="24"/>
          <w:szCs w:val="24"/>
        </w:rPr>
        <w:t>_</w:t>
      </w:r>
      <w:r w:rsidRPr="00AA555F">
        <w:rPr>
          <w:rFonts w:ascii="Times New Roman" w:hAnsi="Times New Roman" w:cs="Times New Roman"/>
          <w:i/>
          <w:sz w:val="24"/>
          <w:szCs w:val="24"/>
        </w:rPr>
        <w:t>G Off-balance Sheet Business</w:t>
      </w:r>
      <w:r>
        <w:rPr>
          <w:rFonts w:ascii="Times New Roman" w:hAnsi="Times New Roman" w:cs="Times New Roman"/>
          <w:i/>
          <w:sz w:val="24"/>
          <w:szCs w:val="24"/>
        </w:rPr>
        <w:t xml:space="preserve"> (Level 2 Insurance Group</w:t>
      </w:r>
      <w:proofErr w:type="gramStart"/>
      <w:r>
        <w:rPr>
          <w:rFonts w:ascii="Times New Roman" w:hAnsi="Times New Roman" w:cs="Times New Roman"/>
          <w:i/>
          <w:sz w:val="24"/>
          <w:szCs w:val="24"/>
        </w:rPr>
        <w:t>)</w:t>
      </w:r>
      <w:r>
        <w:rPr>
          <w:rFonts w:ascii="Times New Roman" w:hAnsi="Times New Roman" w:cs="Times New Roman"/>
          <w:sz w:val="24"/>
          <w:szCs w:val="24"/>
        </w:rPr>
        <w:t>;</w:t>
      </w:r>
      <w:proofErr w:type="gramEnd"/>
    </w:p>
    <w:p w14:paraId="5F72AB39" w14:textId="6D382DC7" w:rsidR="00AA555F"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Reporting Standard GRS 117.0 Asset Concentration Risk Charge</w:t>
      </w:r>
      <w:r>
        <w:rPr>
          <w:rFonts w:ascii="Times New Roman" w:hAnsi="Times New Roman" w:cs="Times New Roman"/>
          <w:sz w:val="24"/>
          <w:szCs w:val="24"/>
        </w:rPr>
        <w:t>; and</w:t>
      </w:r>
    </w:p>
    <w:p w14:paraId="31ADC98C" w14:textId="52CBF7A5" w:rsidR="00211AFD" w:rsidRPr="00AA555F" w:rsidRDefault="00AA555F" w:rsidP="00AA555F">
      <w:pPr>
        <w:pStyle w:val="ListParagraph"/>
        <w:numPr>
          <w:ilvl w:val="0"/>
          <w:numId w:val="14"/>
        </w:numPr>
        <w:rPr>
          <w:rFonts w:ascii="Times New Roman" w:hAnsi="Times New Roman" w:cs="Times New Roman"/>
          <w:i/>
          <w:sz w:val="24"/>
          <w:szCs w:val="24"/>
        </w:rPr>
      </w:pPr>
      <w:r w:rsidRPr="00AA555F">
        <w:rPr>
          <w:rFonts w:ascii="Times New Roman" w:hAnsi="Times New Roman" w:cs="Times New Roman"/>
          <w:i/>
          <w:sz w:val="24"/>
          <w:szCs w:val="24"/>
        </w:rPr>
        <w:t>Reporting Standard GRS 117.0</w:t>
      </w:r>
      <w:r w:rsidR="002B5EBC">
        <w:rPr>
          <w:rFonts w:ascii="Times New Roman" w:hAnsi="Times New Roman" w:cs="Times New Roman"/>
          <w:i/>
          <w:sz w:val="24"/>
          <w:szCs w:val="24"/>
        </w:rPr>
        <w:t>_</w:t>
      </w:r>
      <w:r w:rsidRPr="00AA555F">
        <w:rPr>
          <w:rFonts w:ascii="Times New Roman" w:hAnsi="Times New Roman" w:cs="Times New Roman"/>
          <w:i/>
          <w:sz w:val="24"/>
          <w:szCs w:val="24"/>
        </w:rPr>
        <w:t>G Asset Concentration Risk Charge</w:t>
      </w:r>
      <w:r>
        <w:rPr>
          <w:rFonts w:ascii="Times New Roman" w:hAnsi="Times New Roman" w:cs="Times New Roman"/>
          <w:i/>
          <w:sz w:val="24"/>
          <w:szCs w:val="24"/>
        </w:rPr>
        <w:t xml:space="preserve"> (Level 2 Insurance Group)</w:t>
      </w:r>
      <w:bookmarkEnd w:id="4"/>
      <w:r>
        <w:rPr>
          <w:rFonts w:ascii="Times New Roman" w:hAnsi="Times New Roman" w:cs="Times New Roman"/>
          <w:i/>
          <w:sz w:val="24"/>
          <w:szCs w:val="24"/>
        </w:rPr>
        <w:t>.</w:t>
      </w:r>
    </w:p>
    <w:p w14:paraId="2A7858A4" w14:textId="352EF36A" w:rsidR="00174039" w:rsidRDefault="00174039" w:rsidP="00211AFD">
      <w:pPr>
        <w:numPr>
          <w:ilvl w:val="0"/>
          <w:numId w:val="0"/>
        </w:numPr>
        <w:rPr>
          <w:rFonts w:ascii="Times New Roman" w:hAnsi="Times New Roman" w:cs="Times New Roman"/>
          <w:sz w:val="24"/>
          <w:szCs w:val="24"/>
        </w:rPr>
      </w:pPr>
      <w:r>
        <w:rPr>
          <w:rFonts w:ascii="Times New Roman" w:hAnsi="Times New Roman" w:cs="Times New Roman"/>
          <w:sz w:val="24"/>
          <w:szCs w:val="24"/>
        </w:rPr>
        <w:t>The reporting standards</w:t>
      </w:r>
      <w:r w:rsidRPr="00174039">
        <w:rPr>
          <w:rFonts w:ascii="Times New Roman" w:hAnsi="Times New Roman" w:cs="Times New Roman"/>
          <w:sz w:val="24"/>
          <w:szCs w:val="24"/>
        </w:rPr>
        <w:t xml:space="preserve"> require reporting for reporting periods that occurred prior to the commencement of the reporting standard. </w:t>
      </w:r>
      <w:r>
        <w:rPr>
          <w:rFonts w:ascii="Times New Roman" w:hAnsi="Times New Roman" w:cs="Times New Roman"/>
          <w:sz w:val="24"/>
          <w:szCs w:val="24"/>
        </w:rPr>
        <w:t>The reporting standards are</w:t>
      </w:r>
      <w:r w:rsidRPr="00174039">
        <w:rPr>
          <w:rFonts w:ascii="Times New Roman" w:hAnsi="Times New Roman" w:cs="Times New Roman"/>
          <w:sz w:val="24"/>
          <w:szCs w:val="24"/>
        </w:rPr>
        <w:t xml:space="preserve"> not retrospective in operation as the obligation to report on these reporting periods commences from, and not prior to, the commencement of the reporting standard.</w:t>
      </w:r>
    </w:p>
    <w:p w14:paraId="7319C850" w14:textId="3F8E5102" w:rsidR="00211AFD" w:rsidRDefault="00211AFD" w:rsidP="00211AFD">
      <w:pPr>
        <w:numPr>
          <w:ilvl w:val="0"/>
          <w:numId w:val="0"/>
        </w:numPr>
        <w:rPr>
          <w:rFonts w:ascii="Times New Roman" w:hAnsi="Times New Roman" w:cs="Times New Roman"/>
          <w:sz w:val="24"/>
          <w:szCs w:val="24"/>
          <w:shd w:val="clear" w:color="auto" w:fill="FFFFFF"/>
        </w:rPr>
      </w:pPr>
      <w:r w:rsidRPr="00BC1E70">
        <w:rPr>
          <w:rFonts w:ascii="Times New Roman" w:hAnsi="Times New Roman" w:cs="Times New Roman"/>
          <w:sz w:val="24"/>
          <w:szCs w:val="24"/>
        </w:rPr>
        <w:t xml:space="preserve">Where these standards refer to an Act, Regulation or Prudential Standard, this is a reference to the document as it exists from time to time, and which is available on the Federal Register of Legislation at </w:t>
      </w:r>
      <w:hyperlink r:id="rId13" w:history="1">
        <w:r w:rsidRPr="00BC1E70">
          <w:rPr>
            <w:rStyle w:val="Hyperlink"/>
            <w:rFonts w:ascii="Times New Roman" w:hAnsi="Times New Roman" w:cs="Times New Roman"/>
            <w:color w:val="0F569E"/>
            <w:sz w:val="24"/>
            <w:szCs w:val="24"/>
            <w:shd w:val="clear" w:color="auto" w:fill="FFFFFF"/>
          </w:rPr>
          <w:t>www.legislation.gov.au</w:t>
        </w:r>
      </w:hyperlink>
      <w:r w:rsidRPr="00BC1E70">
        <w:rPr>
          <w:rFonts w:ascii="Times New Roman" w:hAnsi="Times New Roman" w:cs="Times New Roman"/>
          <w:sz w:val="24"/>
          <w:szCs w:val="24"/>
          <w:shd w:val="clear" w:color="auto" w:fill="FFFFFF"/>
        </w:rPr>
        <w:t>.</w:t>
      </w:r>
    </w:p>
    <w:p w14:paraId="306F5878" w14:textId="5715DB0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of </w:t>
      </w:r>
      <w:proofErr w:type="gramStart"/>
      <w:r w:rsidRPr="006C1876">
        <w:rPr>
          <w:rFonts w:ascii="Times New Roman" w:hAnsi="Times New Roman" w:cs="Times New Roman"/>
          <w:sz w:val="24"/>
          <w:szCs w:val="24"/>
        </w:rPr>
        <w:t>discretion</w:t>
      </w:r>
      <w:proofErr w:type="gramEnd"/>
      <w:r w:rsidRPr="006C1876">
        <w:rPr>
          <w:rFonts w:ascii="Times New Roman" w:hAnsi="Times New Roman" w:cs="Times New Roman"/>
          <w:sz w:val="24"/>
          <w:szCs w:val="24"/>
        </w:rPr>
        <w:t xml:space="preserve"> and which may impact the interests of the </w:t>
      </w:r>
      <w:r w:rsidR="00045D7D">
        <w:rPr>
          <w:rFonts w:ascii="Times New Roman" w:hAnsi="Times New Roman" w:cs="Times New Roman"/>
          <w:sz w:val="24"/>
          <w:szCs w:val="24"/>
        </w:rPr>
        <w:t>general insurers</w:t>
      </w:r>
      <w:r w:rsidRPr="006C1876">
        <w:rPr>
          <w:rFonts w:ascii="Times New Roman" w:hAnsi="Times New Roman" w:cs="Times New Roman"/>
          <w:sz w:val="24"/>
          <w:szCs w:val="24"/>
        </w:rPr>
        <w:t xml:space="preserve"> to which the reporting standard</w:t>
      </w:r>
      <w:r w:rsidR="00045D7D">
        <w:rPr>
          <w:rFonts w:ascii="Times New Roman" w:hAnsi="Times New Roman" w:cs="Times New Roman"/>
          <w:sz w:val="24"/>
          <w:szCs w:val="24"/>
        </w:rPr>
        <w:t>s</w:t>
      </w:r>
      <w:r w:rsidRPr="006C1876">
        <w:rPr>
          <w:rFonts w:ascii="Times New Roman" w:hAnsi="Times New Roman" w:cs="Times New Roman"/>
          <w:sz w:val="24"/>
          <w:szCs w:val="24"/>
        </w:rPr>
        <w:t xml:space="preserve"> appl</w:t>
      </w:r>
      <w:r w:rsidR="00045D7D">
        <w:rPr>
          <w:rFonts w:ascii="Times New Roman" w:hAnsi="Times New Roman" w:cs="Times New Roman"/>
          <w:sz w:val="24"/>
          <w:szCs w:val="24"/>
        </w:rPr>
        <w:t>y</w:t>
      </w:r>
      <w:r w:rsidRPr="006C1876">
        <w:rPr>
          <w:rFonts w:ascii="Times New Roman" w:hAnsi="Times New Roman" w:cs="Times New Roman"/>
          <w:sz w:val="24"/>
          <w:szCs w:val="24"/>
        </w:rPr>
        <w:t>. These decisions include APRA chang</w:t>
      </w:r>
      <w:r w:rsidR="00045D7D">
        <w:rPr>
          <w:rFonts w:ascii="Times New Roman" w:hAnsi="Times New Roman" w:cs="Times New Roman"/>
          <w:sz w:val="24"/>
          <w:szCs w:val="24"/>
        </w:rPr>
        <w:t>ing</w:t>
      </w:r>
      <w:r w:rsidRPr="006C1876">
        <w:rPr>
          <w:rFonts w:ascii="Times New Roman" w:hAnsi="Times New Roman" w:cs="Times New Roman"/>
          <w:sz w:val="24"/>
          <w:szCs w:val="24"/>
        </w:rPr>
        <w:t xml:space="preserve"> a reporting period or due date for an ADI to provide information required by each of the instruments</w:t>
      </w:r>
      <w:r w:rsidR="00045D7D">
        <w:rPr>
          <w:rFonts w:ascii="Times New Roman" w:hAnsi="Times New Roman" w:cs="Times New Roman"/>
          <w:sz w:val="24"/>
          <w:szCs w:val="24"/>
        </w:rPr>
        <w:t xml:space="preserve"> or varying the reporting requirements in relation to a particular insurer</w:t>
      </w:r>
      <w:r w:rsidR="007E5A0D">
        <w:rPr>
          <w:rFonts w:ascii="Times New Roman" w:hAnsi="Times New Roman" w:cs="Times New Roman"/>
          <w:sz w:val="24"/>
          <w:szCs w:val="24"/>
        </w:rPr>
        <w:t xml:space="preserve"> or Level 2 Insurance Group</w:t>
      </w:r>
      <w:r w:rsidRPr="006C1876">
        <w:rPr>
          <w:rFonts w:ascii="Times New Roman" w:hAnsi="Times New Roman" w:cs="Times New Roman"/>
          <w:sz w:val="24"/>
          <w:szCs w:val="24"/>
        </w:rPr>
        <w:t>. Decisions made by APRA exercising those powers are not subject to merits review.</w:t>
      </w:r>
      <w:r w:rsidR="00045D7D">
        <w:rPr>
          <w:rFonts w:ascii="Times New Roman" w:hAnsi="Times New Roman" w:cs="Times New Roman"/>
          <w:sz w:val="24"/>
          <w:szCs w:val="24"/>
        </w:rPr>
        <w:t xml:space="preserve"> These discretions have not been amended and are consistent with discretions included in the reporting standards being revoked by the instruments. </w:t>
      </w:r>
    </w:p>
    <w:p w14:paraId="68145DE1" w14:textId="77777777"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7062715A" w14:textId="3CEDD9B2" w:rsidR="006C1876" w:rsidRPr="006C1876" w:rsidRDefault="006C1876" w:rsidP="006C1876">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APRA’s reporting standards collect financial data from regulated entities. This data contains critical indicators of a regulated entity’s financial wellbeing, including </w:t>
      </w:r>
      <w:r w:rsidR="00C175CC">
        <w:rPr>
          <w:rFonts w:ascii="Times New Roman" w:hAnsi="Times New Roman" w:cs="Times New Roman"/>
          <w:sz w:val="24"/>
          <w:szCs w:val="24"/>
        </w:rPr>
        <w:t>capital adequacy</w:t>
      </w:r>
      <w:r w:rsidRPr="006C1876">
        <w:rPr>
          <w:rFonts w:ascii="Times New Roman" w:hAnsi="Times New Roman" w:cs="Times New Roman"/>
          <w:sz w:val="24"/>
          <w:szCs w:val="24"/>
        </w:rPr>
        <w:t xml:space="preserve">. APRA relies heavily on this financial data to inform its supervisory actions towards its regulated entities. Without timely and complete data, APRA may miss indicators that a </w:t>
      </w:r>
      <w:r w:rsidR="00C175CC">
        <w:rPr>
          <w:rFonts w:ascii="Times New Roman" w:hAnsi="Times New Roman" w:cs="Times New Roman"/>
          <w:sz w:val="24"/>
          <w:szCs w:val="24"/>
        </w:rPr>
        <w:t>general insurer</w:t>
      </w:r>
      <w:r w:rsidRPr="006C1876">
        <w:rPr>
          <w:rFonts w:ascii="Times New Roman" w:hAnsi="Times New Roman" w:cs="Times New Roman"/>
          <w:sz w:val="24"/>
          <w:szCs w:val="24"/>
        </w:rPr>
        <w:t xml:space="preserve"> is taking on imprudent risk or is in distress. APRA’s supervisory decisions may be jeopardised if its receipt of data is unreliable due to entities seeking merits review under its reporting standards.</w:t>
      </w:r>
    </w:p>
    <w:p w14:paraId="3F2697B4" w14:textId="788770AB" w:rsidR="00211AFD" w:rsidRPr="00BC1E70" w:rsidRDefault="00B670E9"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r>
      <w:r w:rsidR="00211AFD" w:rsidRPr="00BC1E70">
        <w:rPr>
          <w:rFonts w:ascii="Times New Roman" w:hAnsi="Times New Roman" w:cs="Times New Roman"/>
          <w:b/>
          <w:sz w:val="24"/>
          <w:szCs w:val="24"/>
        </w:rPr>
        <w:t>Consultation</w:t>
      </w:r>
    </w:p>
    <w:p w14:paraId="4A3D027D" w14:textId="76F87D77" w:rsidR="0006638F" w:rsidRPr="00BC1E70" w:rsidRDefault="009B161B" w:rsidP="0006638F">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On </w:t>
      </w:r>
      <w:r w:rsidR="00AA555F">
        <w:rPr>
          <w:rFonts w:ascii="Times New Roman" w:hAnsi="Times New Roman" w:cs="Times New Roman"/>
          <w:sz w:val="24"/>
          <w:szCs w:val="24"/>
        </w:rPr>
        <w:t>16</w:t>
      </w:r>
      <w:r w:rsidR="0099798A">
        <w:rPr>
          <w:rFonts w:ascii="Times New Roman" w:hAnsi="Times New Roman" w:cs="Times New Roman"/>
          <w:sz w:val="24"/>
          <w:szCs w:val="24"/>
        </w:rPr>
        <w:t xml:space="preserve"> June</w:t>
      </w:r>
      <w:r w:rsidRPr="00BC1E70">
        <w:rPr>
          <w:rFonts w:ascii="Times New Roman" w:hAnsi="Times New Roman" w:cs="Times New Roman"/>
          <w:sz w:val="24"/>
          <w:szCs w:val="24"/>
        </w:rPr>
        <w:t xml:space="preserve"> 2022, APRA </w:t>
      </w:r>
      <w:r w:rsidR="00ED4C82" w:rsidRPr="00BC1E70">
        <w:rPr>
          <w:rFonts w:ascii="Times New Roman" w:hAnsi="Times New Roman" w:cs="Times New Roman"/>
          <w:sz w:val="24"/>
          <w:szCs w:val="24"/>
        </w:rPr>
        <w:t>undertook consultation</w:t>
      </w:r>
      <w:r w:rsidR="00174039">
        <w:rPr>
          <w:rFonts w:ascii="Times New Roman" w:hAnsi="Times New Roman" w:cs="Times New Roman"/>
          <w:sz w:val="24"/>
          <w:szCs w:val="24"/>
        </w:rPr>
        <w:t xml:space="preserve"> by way of a letter to industry</w:t>
      </w:r>
      <w:r w:rsidR="00873384" w:rsidRPr="00BC1E70">
        <w:rPr>
          <w:rFonts w:ascii="Times New Roman" w:hAnsi="Times New Roman" w:cs="Times New Roman"/>
          <w:sz w:val="24"/>
          <w:szCs w:val="24"/>
        </w:rPr>
        <w:t xml:space="preserve"> </w:t>
      </w:r>
      <w:r w:rsidR="00237201">
        <w:rPr>
          <w:rFonts w:ascii="Times New Roman" w:hAnsi="Times New Roman" w:cs="Times New Roman"/>
          <w:sz w:val="24"/>
          <w:szCs w:val="24"/>
        </w:rPr>
        <w:t xml:space="preserve">with </w:t>
      </w:r>
      <w:r w:rsidR="00237201" w:rsidRPr="00BC1E70">
        <w:rPr>
          <w:rFonts w:ascii="Times New Roman" w:hAnsi="Times New Roman" w:cs="Times New Roman"/>
          <w:sz w:val="24"/>
          <w:szCs w:val="24"/>
        </w:rPr>
        <w:t xml:space="preserve">all general insurers </w:t>
      </w:r>
      <w:r w:rsidR="00ED4C82" w:rsidRPr="00BC1E70">
        <w:rPr>
          <w:rFonts w:ascii="Times New Roman" w:hAnsi="Times New Roman" w:cs="Times New Roman"/>
          <w:sz w:val="24"/>
          <w:szCs w:val="24"/>
        </w:rPr>
        <w:t xml:space="preserve">in relation to </w:t>
      </w:r>
      <w:r w:rsidRPr="00BC1E70">
        <w:rPr>
          <w:rFonts w:ascii="Times New Roman" w:hAnsi="Times New Roman" w:cs="Times New Roman"/>
          <w:sz w:val="24"/>
          <w:szCs w:val="24"/>
        </w:rPr>
        <w:t xml:space="preserve">its proposed consequential amendments to the </w:t>
      </w:r>
      <w:r w:rsidR="0099798A">
        <w:rPr>
          <w:rFonts w:ascii="Times New Roman" w:hAnsi="Times New Roman" w:cs="Times New Roman"/>
          <w:sz w:val="24"/>
          <w:szCs w:val="24"/>
        </w:rPr>
        <w:t xml:space="preserve">reporting </w:t>
      </w:r>
      <w:r w:rsidRPr="00BC1E70">
        <w:rPr>
          <w:rFonts w:ascii="Times New Roman" w:hAnsi="Times New Roman" w:cs="Times New Roman"/>
          <w:sz w:val="24"/>
          <w:szCs w:val="24"/>
        </w:rPr>
        <w:t xml:space="preserve">framework to support the operation of the </w:t>
      </w:r>
      <w:r w:rsidR="00873384" w:rsidRPr="00BC1E70">
        <w:rPr>
          <w:rFonts w:ascii="Times New Roman" w:hAnsi="Times New Roman" w:cs="Times New Roman"/>
          <w:sz w:val="24"/>
          <w:szCs w:val="24"/>
        </w:rPr>
        <w:t xml:space="preserve">Australian </w:t>
      </w:r>
      <w:r w:rsidRPr="00BC1E70">
        <w:rPr>
          <w:rFonts w:ascii="Times New Roman" w:hAnsi="Times New Roman" w:cs="Times New Roman"/>
          <w:sz w:val="24"/>
          <w:szCs w:val="24"/>
        </w:rPr>
        <w:t xml:space="preserve">Government’s cyclone and related flood damage reinsurance pool. </w:t>
      </w:r>
    </w:p>
    <w:p w14:paraId="05EE83CC" w14:textId="16900617" w:rsidR="00A50B51" w:rsidRPr="003D292C" w:rsidRDefault="00ED4C82" w:rsidP="00A50B51">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As part of the consultation, </w:t>
      </w:r>
      <w:r w:rsidR="0006638F" w:rsidRPr="00BC1E70">
        <w:rPr>
          <w:rFonts w:ascii="Times New Roman" w:hAnsi="Times New Roman" w:cs="Times New Roman"/>
          <w:sz w:val="24"/>
          <w:szCs w:val="24"/>
        </w:rPr>
        <w:t>APRA requested w</w:t>
      </w:r>
      <w:r w:rsidR="009B161B" w:rsidRPr="00BC1E70">
        <w:rPr>
          <w:rFonts w:ascii="Times New Roman" w:hAnsi="Times New Roman" w:cs="Times New Roman"/>
          <w:sz w:val="24"/>
          <w:szCs w:val="24"/>
        </w:rPr>
        <w:t xml:space="preserve">ritten submissions </w:t>
      </w:r>
      <w:r w:rsidR="00A50B51" w:rsidRPr="00BC1E70">
        <w:rPr>
          <w:rFonts w:ascii="Times New Roman" w:hAnsi="Times New Roman" w:cs="Times New Roman"/>
          <w:sz w:val="24"/>
          <w:szCs w:val="24"/>
        </w:rPr>
        <w:t xml:space="preserve">by </w:t>
      </w:r>
      <w:r w:rsidR="0099798A">
        <w:rPr>
          <w:rFonts w:ascii="Times New Roman" w:hAnsi="Times New Roman" w:cs="Times New Roman"/>
          <w:sz w:val="24"/>
          <w:szCs w:val="24"/>
        </w:rPr>
        <w:t>30</w:t>
      </w:r>
      <w:r w:rsidR="00A50B51" w:rsidRPr="00BC1E70">
        <w:rPr>
          <w:rFonts w:ascii="Times New Roman" w:hAnsi="Times New Roman" w:cs="Times New Roman"/>
          <w:sz w:val="24"/>
          <w:szCs w:val="24"/>
        </w:rPr>
        <w:t xml:space="preserve"> June 2022</w:t>
      </w:r>
      <w:r w:rsidR="008E712A">
        <w:rPr>
          <w:rFonts w:ascii="Times New Roman" w:hAnsi="Times New Roman" w:cs="Times New Roman"/>
          <w:sz w:val="24"/>
          <w:szCs w:val="24"/>
        </w:rPr>
        <w:t xml:space="preserve"> </w:t>
      </w:r>
      <w:r w:rsidR="00A50B51">
        <w:rPr>
          <w:rFonts w:ascii="Times New Roman" w:hAnsi="Times New Roman" w:cs="Times New Roman"/>
          <w:sz w:val="24"/>
          <w:szCs w:val="24"/>
        </w:rPr>
        <w:t xml:space="preserve">on its proposal to </w:t>
      </w:r>
      <w:r w:rsidR="00A50B51" w:rsidRPr="00BC1E70">
        <w:rPr>
          <w:rFonts w:ascii="Times New Roman" w:hAnsi="Times New Roman" w:cs="Times New Roman"/>
          <w:sz w:val="24"/>
          <w:szCs w:val="24"/>
        </w:rPr>
        <w:t xml:space="preserve">recognise the ARPC as a high-grade APRA-authorised reinsurance and </w:t>
      </w:r>
      <w:r w:rsidR="008E712A">
        <w:rPr>
          <w:rFonts w:ascii="Times New Roman" w:hAnsi="Times New Roman" w:cs="Times New Roman"/>
          <w:sz w:val="24"/>
          <w:szCs w:val="24"/>
        </w:rPr>
        <w:t xml:space="preserve">its proposal </w:t>
      </w:r>
      <w:r w:rsidR="00A50B51" w:rsidRPr="00BC1E70">
        <w:rPr>
          <w:rFonts w:ascii="Times New Roman" w:hAnsi="Times New Roman" w:cs="Times New Roman"/>
          <w:sz w:val="24"/>
          <w:szCs w:val="24"/>
        </w:rPr>
        <w:t xml:space="preserve">that reinsurance </w:t>
      </w:r>
      <w:proofErr w:type="spellStart"/>
      <w:r w:rsidR="00A50B51" w:rsidRPr="00BC1E70">
        <w:rPr>
          <w:rFonts w:ascii="Times New Roman" w:hAnsi="Times New Roman" w:cs="Times New Roman"/>
          <w:sz w:val="24"/>
          <w:szCs w:val="24"/>
        </w:rPr>
        <w:t>recoverables</w:t>
      </w:r>
      <w:proofErr w:type="spellEnd"/>
      <w:r w:rsidR="00A50B51" w:rsidRPr="00BC1E70">
        <w:rPr>
          <w:rFonts w:ascii="Times New Roman" w:hAnsi="Times New Roman" w:cs="Times New Roman"/>
          <w:sz w:val="24"/>
          <w:szCs w:val="24"/>
        </w:rPr>
        <w:t xml:space="preserve"> from the ARPC are not subject to a capital charge in recognition </w:t>
      </w:r>
      <w:r w:rsidR="00A50B51" w:rsidRPr="003D292C">
        <w:rPr>
          <w:rFonts w:ascii="Times New Roman" w:hAnsi="Times New Roman" w:cs="Times New Roman"/>
          <w:sz w:val="24"/>
          <w:szCs w:val="24"/>
        </w:rPr>
        <w:t>of the Australian Government guarantee that supports the pool.</w:t>
      </w:r>
    </w:p>
    <w:p w14:paraId="3F7A95D7" w14:textId="703B0F07" w:rsidR="00B670E9" w:rsidRPr="00A50B51" w:rsidRDefault="00AD72D9" w:rsidP="00ED4C82">
      <w:pPr>
        <w:numPr>
          <w:ilvl w:val="0"/>
          <w:numId w:val="0"/>
        </w:numPr>
        <w:rPr>
          <w:rFonts w:ascii="Times New Roman" w:hAnsi="Times New Roman" w:cs="Times New Roman"/>
          <w:sz w:val="24"/>
          <w:szCs w:val="24"/>
        </w:rPr>
      </w:pPr>
      <w:r w:rsidRPr="003D292C">
        <w:rPr>
          <w:rFonts w:ascii="Times New Roman" w:hAnsi="Times New Roman" w:cs="Times New Roman"/>
          <w:sz w:val="24"/>
          <w:szCs w:val="24"/>
        </w:rPr>
        <w:t xml:space="preserve">No submissions were received. </w:t>
      </w:r>
      <w:r w:rsidR="00ED4C82" w:rsidRPr="003D292C">
        <w:rPr>
          <w:rFonts w:ascii="Times New Roman" w:hAnsi="Times New Roman" w:cs="Times New Roman"/>
          <w:sz w:val="24"/>
          <w:szCs w:val="24"/>
        </w:rPr>
        <w:t xml:space="preserve">APRA is satisfied the consultation was appropriate and reasonably practicable as the </w:t>
      </w:r>
      <w:r w:rsidR="00B670E9" w:rsidRPr="003D292C">
        <w:rPr>
          <w:rFonts w:ascii="Times New Roman" w:hAnsi="Times New Roman" w:cs="Times New Roman"/>
          <w:sz w:val="24"/>
          <w:szCs w:val="24"/>
        </w:rPr>
        <w:t xml:space="preserve">consequential amendments </w:t>
      </w:r>
      <w:r w:rsidR="00134B76" w:rsidRPr="003D292C">
        <w:rPr>
          <w:rFonts w:ascii="Times New Roman" w:hAnsi="Times New Roman" w:cs="Times New Roman"/>
          <w:sz w:val="24"/>
          <w:szCs w:val="24"/>
        </w:rPr>
        <w:t xml:space="preserve">can be regarded as </w:t>
      </w:r>
      <w:r w:rsidR="00B670E9" w:rsidRPr="003D292C">
        <w:rPr>
          <w:rFonts w:ascii="Times New Roman" w:hAnsi="Times New Roman" w:cs="Times New Roman"/>
          <w:sz w:val="24"/>
          <w:szCs w:val="24"/>
        </w:rPr>
        <w:t>minor and machinery.</w:t>
      </w:r>
    </w:p>
    <w:p w14:paraId="1D2864CC" w14:textId="05A2D7DE" w:rsidR="00211AFD" w:rsidRPr="00A50B51" w:rsidRDefault="00B670E9" w:rsidP="00211AFD">
      <w:pPr>
        <w:numPr>
          <w:ilvl w:val="0"/>
          <w:numId w:val="0"/>
        </w:numPr>
        <w:rPr>
          <w:rFonts w:ascii="Times New Roman" w:hAnsi="Times New Roman" w:cs="Times New Roman"/>
          <w:b/>
          <w:sz w:val="24"/>
          <w:szCs w:val="24"/>
        </w:rPr>
      </w:pPr>
      <w:r w:rsidRPr="00A50B51">
        <w:rPr>
          <w:rFonts w:ascii="Times New Roman" w:hAnsi="Times New Roman" w:cs="Times New Roman"/>
          <w:b/>
          <w:sz w:val="24"/>
          <w:szCs w:val="24"/>
        </w:rPr>
        <w:lastRenderedPageBreak/>
        <w:t>4.</w:t>
      </w:r>
      <w:r w:rsidRPr="00A50B51">
        <w:rPr>
          <w:rFonts w:ascii="Times New Roman" w:hAnsi="Times New Roman" w:cs="Times New Roman"/>
          <w:b/>
          <w:sz w:val="24"/>
          <w:szCs w:val="24"/>
        </w:rPr>
        <w:tab/>
      </w:r>
      <w:r w:rsidR="00211AFD" w:rsidRPr="00A50B51">
        <w:rPr>
          <w:rFonts w:ascii="Times New Roman" w:hAnsi="Times New Roman" w:cs="Times New Roman"/>
          <w:b/>
          <w:sz w:val="24"/>
          <w:szCs w:val="24"/>
        </w:rPr>
        <w:t>Regulation Impact Statement</w:t>
      </w:r>
    </w:p>
    <w:p w14:paraId="31AFB503" w14:textId="77777777" w:rsidR="00211AFD" w:rsidRPr="00A50B51" w:rsidRDefault="00211AFD" w:rsidP="00211AFD">
      <w:pPr>
        <w:numPr>
          <w:ilvl w:val="0"/>
          <w:numId w:val="0"/>
        </w:numPr>
        <w:rPr>
          <w:rFonts w:ascii="Times New Roman" w:hAnsi="Times New Roman" w:cs="Times New Roman"/>
          <w:sz w:val="24"/>
          <w:szCs w:val="24"/>
        </w:rPr>
      </w:pPr>
      <w:r w:rsidRPr="00A50B51">
        <w:rPr>
          <w:rFonts w:ascii="Times New Roman" w:hAnsi="Times New Roman" w:cs="Times New Roman"/>
          <w:sz w:val="24"/>
          <w:szCs w:val="24"/>
        </w:rPr>
        <w:t xml:space="preserve">The OBPR confirmed that a Regulation Impact Statement was not required for the changes described in this explanatory statement as they were considered minor and machinery. </w:t>
      </w:r>
    </w:p>
    <w:p w14:paraId="476EB71B" w14:textId="17812B34" w:rsidR="00B670E9" w:rsidRPr="00DE1106" w:rsidRDefault="00B670E9"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7D7364B1" w14:textId="77777777" w:rsidR="00B670E9" w:rsidRPr="00D5162F" w:rsidRDefault="00B670E9"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06190B02" w14:textId="34819669" w:rsidR="00B670E9" w:rsidRPr="000A1A15" w:rsidRDefault="00B670E9"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00B6ED2A" w14:textId="77777777" w:rsidR="00B670E9" w:rsidRPr="00BC1E70" w:rsidRDefault="00B670E9"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04B51A0F" w14:textId="77777777" w:rsidR="00B670E9" w:rsidRPr="00D5162F" w:rsidRDefault="00B670E9"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32B574F6" w14:textId="77777777" w:rsidR="00B670E9" w:rsidRPr="008234D8" w:rsidRDefault="00B670E9"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083CA20E" w14:textId="10CB691C" w:rsidR="00D0248E" w:rsidRPr="008234D8" w:rsidRDefault="00D0248E"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Nos. </w:t>
      </w:r>
      <w:r w:rsidR="008234D8" w:rsidRPr="008234D8">
        <w:rPr>
          <w:rFonts w:ascii="Times New Roman" w:eastAsia="Times New Roman" w:hAnsi="Times New Roman" w:cs="Times New Roman"/>
          <w:b/>
          <w:sz w:val="24"/>
          <w:szCs w:val="24"/>
          <w:lang w:eastAsia="en-AU"/>
        </w:rPr>
        <w:t>12</w:t>
      </w:r>
      <w:r w:rsidRPr="008234D8">
        <w:rPr>
          <w:rFonts w:ascii="Times New Roman" w:eastAsia="Times New Roman" w:hAnsi="Times New Roman" w:cs="Times New Roman"/>
          <w:b/>
          <w:sz w:val="24"/>
          <w:szCs w:val="24"/>
          <w:lang w:eastAsia="en-AU"/>
        </w:rPr>
        <w:t xml:space="preserve"> to </w:t>
      </w:r>
      <w:r w:rsidR="008234D8" w:rsidRPr="008234D8">
        <w:rPr>
          <w:rFonts w:ascii="Times New Roman" w:eastAsia="Times New Roman" w:hAnsi="Times New Roman" w:cs="Times New Roman"/>
          <w:b/>
          <w:sz w:val="24"/>
          <w:szCs w:val="24"/>
          <w:lang w:eastAsia="en-AU"/>
        </w:rPr>
        <w:t>17</w:t>
      </w:r>
      <w:r w:rsidRPr="008234D8">
        <w:rPr>
          <w:rFonts w:ascii="Times New Roman" w:eastAsia="Times New Roman" w:hAnsi="Times New Roman" w:cs="Times New Roman"/>
          <w:b/>
          <w:sz w:val="24"/>
          <w:szCs w:val="24"/>
          <w:lang w:eastAsia="en-AU"/>
        </w:rPr>
        <w:t xml:space="preserve"> of 2022</w:t>
      </w:r>
    </w:p>
    <w:p w14:paraId="06CCC3E0" w14:textId="3694DF05" w:rsidR="00B670E9" w:rsidRPr="00CC30A1" w:rsidRDefault="00B670E9" w:rsidP="00B670E9">
      <w:pPr>
        <w:rPr>
          <w:rFonts w:ascii="Times New Roman" w:hAnsi="Times New Roman" w:cs="Times New Roman"/>
          <w:sz w:val="24"/>
          <w:szCs w:val="24"/>
        </w:rPr>
      </w:pPr>
      <w:r w:rsidRPr="008234D8">
        <w:rPr>
          <w:rFonts w:ascii="Times New Roman" w:hAnsi="Times New Roman" w:cs="Times New Roman"/>
          <w:sz w:val="24"/>
          <w:szCs w:val="24"/>
        </w:rPr>
        <w:t>These Legislative Instruments are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78831E52" w14:textId="6A1D5288" w:rsidR="00B670E9" w:rsidRPr="00DE1106" w:rsidRDefault="00B670E9"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Instruments</w:t>
      </w:r>
    </w:p>
    <w:p w14:paraId="751DCF46" w14:textId="3B73C336" w:rsidR="00CD1253" w:rsidRPr="00AA555F" w:rsidRDefault="00CD1253" w:rsidP="00C20386">
      <w:pPr>
        <w:rPr>
          <w:rFonts w:ascii="Times New Roman" w:hAnsi="Times New Roman" w:cs="Times New Roman"/>
          <w:sz w:val="24"/>
          <w:szCs w:val="24"/>
        </w:rPr>
      </w:pPr>
      <w:r w:rsidRPr="00AA555F">
        <w:rPr>
          <w:rFonts w:ascii="Times New Roman" w:hAnsi="Times New Roman" w:cs="Times New Roman"/>
          <w:sz w:val="24"/>
          <w:szCs w:val="24"/>
        </w:rPr>
        <w:t>The</w:t>
      </w:r>
      <w:r w:rsidR="00142132" w:rsidRPr="00AA555F">
        <w:rPr>
          <w:rFonts w:ascii="Times New Roman" w:hAnsi="Times New Roman" w:cs="Times New Roman"/>
          <w:sz w:val="24"/>
          <w:szCs w:val="24"/>
        </w:rPr>
        <w:t xml:space="preserve"> </w:t>
      </w:r>
      <w:r w:rsidRPr="00AA555F">
        <w:rPr>
          <w:rFonts w:ascii="Times New Roman" w:hAnsi="Times New Roman" w:cs="Times New Roman"/>
          <w:sz w:val="24"/>
          <w:szCs w:val="24"/>
        </w:rPr>
        <w:t xml:space="preserve">purpose </w:t>
      </w:r>
      <w:r w:rsidR="009136D0" w:rsidRPr="00AA555F">
        <w:rPr>
          <w:rFonts w:ascii="Times New Roman" w:hAnsi="Times New Roman" w:cs="Times New Roman"/>
          <w:sz w:val="24"/>
          <w:szCs w:val="24"/>
        </w:rPr>
        <w:t xml:space="preserve">of the Legislative Instruments </w:t>
      </w:r>
      <w:r w:rsidRPr="00AA555F">
        <w:rPr>
          <w:rFonts w:ascii="Times New Roman" w:hAnsi="Times New Roman" w:cs="Times New Roman"/>
          <w:sz w:val="24"/>
          <w:szCs w:val="24"/>
        </w:rPr>
        <w:t xml:space="preserve">is to </w:t>
      </w:r>
      <w:r w:rsidR="00142132" w:rsidRPr="00AA555F">
        <w:rPr>
          <w:rFonts w:ascii="Times New Roman" w:hAnsi="Times New Roman" w:cs="Times New Roman"/>
          <w:sz w:val="24"/>
          <w:szCs w:val="24"/>
        </w:rPr>
        <w:t xml:space="preserve">make consequential changes to </w:t>
      </w:r>
      <w:r w:rsidR="00AA555F" w:rsidRPr="00AA555F">
        <w:rPr>
          <w:rFonts w:ascii="Times New Roman" w:hAnsi="Times New Roman" w:cs="Times New Roman"/>
          <w:i/>
          <w:sz w:val="24"/>
          <w:szCs w:val="24"/>
        </w:rPr>
        <w:t>Reporting Standard GRS 114.1 Assets by Counterparty Grade</w:t>
      </w:r>
      <w:r w:rsidR="00AA555F" w:rsidRPr="00AA555F">
        <w:rPr>
          <w:rFonts w:ascii="Times New Roman" w:hAnsi="Times New Roman" w:cs="Times New Roman"/>
          <w:sz w:val="24"/>
          <w:szCs w:val="24"/>
        </w:rPr>
        <w:t>,</w:t>
      </w:r>
      <w:r w:rsidR="00AA555F" w:rsidRPr="00AA555F">
        <w:rPr>
          <w:rFonts w:ascii="Times New Roman" w:hAnsi="Times New Roman" w:cs="Times New Roman"/>
          <w:i/>
          <w:sz w:val="24"/>
          <w:szCs w:val="24"/>
        </w:rPr>
        <w:t xml:space="preserve"> Reporting Standard GRS 114.1</w:t>
      </w:r>
      <w:r w:rsidR="002B5EBC">
        <w:rPr>
          <w:rFonts w:ascii="Times New Roman" w:hAnsi="Times New Roman" w:cs="Times New Roman"/>
          <w:i/>
          <w:sz w:val="24"/>
          <w:szCs w:val="24"/>
        </w:rPr>
        <w:t>_</w:t>
      </w:r>
      <w:r w:rsidR="00AA555F" w:rsidRPr="00AA555F">
        <w:rPr>
          <w:rFonts w:ascii="Times New Roman" w:hAnsi="Times New Roman" w:cs="Times New Roman"/>
          <w:i/>
          <w:sz w:val="24"/>
          <w:szCs w:val="24"/>
        </w:rPr>
        <w:t>G Assets by Counterparty Grade (Level 2 Insurance Group)</w:t>
      </w:r>
      <w:r w:rsidR="00AA555F" w:rsidRP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114.3 Off-balance Sheet Business</w:t>
      </w:r>
      <w:r w:rsidR="00AA555F" w:rsidRP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114.3</w:t>
      </w:r>
      <w:r w:rsidR="002B5EBC">
        <w:rPr>
          <w:rFonts w:ascii="Times New Roman" w:hAnsi="Times New Roman" w:cs="Times New Roman"/>
          <w:i/>
          <w:sz w:val="24"/>
          <w:szCs w:val="24"/>
        </w:rPr>
        <w:t>_</w:t>
      </w:r>
      <w:r w:rsidR="00AA555F" w:rsidRPr="00AA555F">
        <w:rPr>
          <w:rFonts w:ascii="Times New Roman" w:hAnsi="Times New Roman" w:cs="Times New Roman"/>
          <w:i/>
          <w:sz w:val="24"/>
          <w:szCs w:val="24"/>
        </w:rPr>
        <w:t>G Off-balance Sheet Business (Level 2 Insurance Group)</w:t>
      </w:r>
      <w:r w:rsidR="00AA555F" w:rsidRP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117.0 Asset Concentration Risk Charge</w:t>
      </w:r>
      <w:r w:rsidR="00AA555F" w:rsidRPr="00AA555F">
        <w:rPr>
          <w:rFonts w:ascii="Times New Roman" w:hAnsi="Times New Roman" w:cs="Times New Roman"/>
          <w:sz w:val="24"/>
          <w:szCs w:val="24"/>
        </w:rPr>
        <w:t>, and</w:t>
      </w:r>
      <w:r w:rsidR="00AA555F">
        <w:rPr>
          <w:rFonts w:ascii="Times New Roman" w:hAnsi="Times New Roman" w:cs="Times New Roman"/>
          <w:sz w:val="24"/>
          <w:szCs w:val="24"/>
        </w:rPr>
        <w:t xml:space="preserve"> </w:t>
      </w:r>
      <w:r w:rsidR="00AA555F" w:rsidRPr="00AA555F">
        <w:rPr>
          <w:rFonts w:ascii="Times New Roman" w:hAnsi="Times New Roman" w:cs="Times New Roman"/>
          <w:i/>
          <w:sz w:val="24"/>
          <w:szCs w:val="24"/>
        </w:rPr>
        <w:t>Reporting Standard GRS 117.0</w:t>
      </w:r>
      <w:r w:rsidR="002B5EBC">
        <w:rPr>
          <w:rFonts w:ascii="Times New Roman" w:hAnsi="Times New Roman" w:cs="Times New Roman"/>
          <w:i/>
          <w:sz w:val="24"/>
          <w:szCs w:val="24"/>
        </w:rPr>
        <w:t>_</w:t>
      </w:r>
      <w:r w:rsidR="00AA555F" w:rsidRPr="00AA555F">
        <w:rPr>
          <w:rFonts w:ascii="Times New Roman" w:hAnsi="Times New Roman" w:cs="Times New Roman"/>
          <w:i/>
          <w:sz w:val="24"/>
          <w:szCs w:val="24"/>
        </w:rPr>
        <w:t>G Asset Concentration Risk Charge (Level 2 Insurance Group)</w:t>
      </w:r>
      <w:r w:rsidR="00AA555F">
        <w:rPr>
          <w:rFonts w:ascii="Times New Roman" w:hAnsi="Times New Roman" w:cs="Times New Roman"/>
          <w:sz w:val="24"/>
          <w:szCs w:val="24"/>
        </w:rPr>
        <w:t xml:space="preserve"> </w:t>
      </w:r>
      <w:r w:rsidR="00142132" w:rsidRPr="00AA555F">
        <w:rPr>
          <w:rFonts w:ascii="Times New Roman" w:hAnsi="Times New Roman" w:cs="Times New Roman"/>
          <w:sz w:val="24"/>
          <w:szCs w:val="24"/>
        </w:rPr>
        <w:t>t</w:t>
      </w:r>
      <w:r w:rsidRPr="00AA555F">
        <w:rPr>
          <w:rFonts w:ascii="Times New Roman" w:hAnsi="Times New Roman" w:cs="Times New Roman"/>
          <w:sz w:val="24"/>
          <w:szCs w:val="24"/>
        </w:rPr>
        <w:t xml:space="preserve">o recognise the Australian Reinsurance Pool Corporation (ARPC) as a high-grade APRA-authorised </w:t>
      </w:r>
      <w:r w:rsidR="005C641B" w:rsidRPr="00AA555F">
        <w:rPr>
          <w:rFonts w:ascii="Times New Roman" w:hAnsi="Times New Roman" w:cs="Times New Roman"/>
          <w:sz w:val="24"/>
          <w:szCs w:val="24"/>
        </w:rPr>
        <w:t xml:space="preserve">reinsurer </w:t>
      </w:r>
      <w:r w:rsidRPr="00AA555F">
        <w:rPr>
          <w:rFonts w:ascii="Times New Roman" w:hAnsi="Times New Roman" w:cs="Times New Roman"/>
          <w:sz w:val="24"/>
          <w:szCs w:val="24"/>
        </w:rPr>
        <w:t xml:space="preserve">and </w:t>
      </w:r>
      <w:r w:rsidR="00663820" w:rsidRPr="00AA555F">
        <w:rPr>
          <w:rFonts w:ascii="Times New Roman" w:hAnsi="Times New Roman" w:cs="Times New Roman"/>
          <w:sz w:val="24"/>
          <w:szCs w:val="24"/>
        </w:rPr>
        <w:t xml:space="preserve">to </w:t>
      </w:r>
      <w:r w:rsidRPr="00AA555F">
        <w:rPr>
          <w:rFonts w:ascii="Times New Roman" w:hAnsi="Times New Roman" w:cs="Times New Roman"/>
          <w:sz w:val="24"/>
          <w:szCs w:val="24"/>
        </w:rPr>
        <w:t xml:space="preserve">ensure that reinsurance </w:t>
      </w:r>
      <w:proofErr w:type="spellStart"/>
      <w:r w:rsidRPr="00AA555F">
        <w:rPr>
          <w:rFonts w:ascii="Times New Roman" w:hAnsi="Times New Roman" w:cs="Times New Roman"/>
          <w:sz w:val="24"/>
          <w:szCs w:val="24"/>
        </w:rPr>
        <w:t>recoverables</w:t>
      </w:r>
      <w:proofErr w:type="spellEnd"/>
      <w:r w:rsidRPr="00AA555F">
        <w:rPr>
          <w:rFonts w:ascii="Times New Roman" w:hAnsi="Times New Roman" w:cs="Times New Roman"/>
          <w:sz w:val="24"/>
          <w:szCs w:val="24"/>
        </w:rPr>
        <w:t xml:space="preserve"> from the </w:t>
      </w:r>
      <w:r w:rsidR="00CC30A1" w:rsidRPr="00AA555F">
        <w:rPr>
          <w:rFonts w:ascii="Times New Roman" w:hAnsi="Times New Roman" w:cs="Times New Roman"/>
          <w:sz w:val="24"/>
          <w:szCs w:val="24"/>
        </w:rPr>
        <w:t xml:space="preserve">ARPC </w:t>
      </w:r>
      <w:r w:rsidRPr="00AA555F">
        <w:rPr>
          <w:rFonts w:ascii="Times New Roman" w:hAnsi="Times New Roman" w:cs="Times New Roman"/>
          <w:sz w:val="24"/>
          <w:szCs w:val="24"/>
        </w:rPr>
        <w:t>are not subject to a capital charge in recognition of the Australian Government guarantee that supports the scheme.</w:t>
      </w:r>
    </w:p>
    <w:p w14:paraId="010F0382" w14:textId="77777777" w:rsidR="00B670E9" w:rsidRPr="00D615C7" w:rsidRDefault="00B670E9"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23D2FE0E" w14:textId="6E381560" w:rsidR="009136D0" w:rsidRPr="000A1A15" w:rsidRDefault="009136D0"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Instruments and is of the view that they do not engage any of the applicable rights or freedoms recognised or declared in the international instruments listed in section 3 of the HRPS Act. Accordingly, in APRA's assessment, the Instruments are compatible with human rights. </w:t>
      </w:r>
    </w:p>
    <w:p w14:paraId="64D4EEBE" w14:textId="77777777" w:rsidR="00B670E9" w:rsidRPr="000A1A15" w:rsidRDefault="00B670E9"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57D7D167" w14:textId="77777777" w:rsidR="00B670E9" w:rsidRPr="000A1A15" w:rsidRDefault="00B670E9" w:rsidP="00B670E9">
      <w:pPr>
        <w:rPr>
          <w:rFonts w:ascii="Times New Roman" w:hAnsi="Times New Roman" w:cs="Times New Roman"/>
          <w:sz w:val="24"/>
          <w:szCs w:val="24"/>
        </w:rPr>
      </w:pPr>
      <w:r w:rsidRPr="000A1A15">
        <w:rPr>
          <w:rFonts w:ascii="Times New Roman" w:hAnsi="Times New Roman" w:cs="Times New Roman"/>
          <w:sz w:val="24"/>
          <w:szCs w:val="24"/>
        </w:rPr>
        <w:t>These Legislative Instruments are compatible with human rights as they do not raise any human rights issues.</w:t>
      </w:r>
    </w:p>
    <w:p w14:paraId="6A740A2A" w14:textId="77777777" w:rsidR="00211AFD" w:rsidRPr="00B06E21" w:rsidRDefault="00211AFD" w:rsidP="00A34ADD">
      <w:pPr>
        <w:rPr>
          <w:rFonts w:ascii="Times New Roman" w:hAnsi="Times New Roman" w:cs="Times New Roman"/>
        </w:rPr>
      </w:pPr>
    </w:p>
    <w:sectPr w:rsidR="00211AFD" w:rsidRPr="00B06E21"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E6FFC" w14:textId="77777777" w:rsidR="00211AFD" w:rsidRPr="000D4EDE" w:rsidRDefault="00211AFD" w:rsidP="000D4EDE">
      <w:r>
        <w:separator/>
      </w:r>
    </w:p>
  </w:endnote>
  <w:endnote w:type="continuationSeparator" w:id="0">
    <w:p w14:paraId="5754C728" w14:textId="77777777" w:rsidR="00211AFD" w:rsidRPr="000D4EDE" w:rsidRDefault="00211AFD" w:rsidP="000D4EDE">
      <w:r>
        <w:continuationSeparator/>
      </w:r>
    </w:p>
  </w:endnote>
  <w:endnote w:type="continuationNotice" w:id="1">
    <w:p w14:paraId="60E8C960" w14:textId="77777777" w:rsidR="00AC6B54" w:rsidRDefault="00AC6B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dia New">
    <w:altName w:val="Leelawadee UI"/>
    <w:panose1 w:val="020B0304020202020204"/>
    <w:charset w:val="DE"/>
    <w:family w:val="roman"/>
    <w:notTrueType/>
    <w:pitch w:val="variable"/>
    <w:sig w:usb0="01000000"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C1B26" w14:textId="77777777" w:rsidR="00211AFD" w:rsidRPr="000D4EDE" w:rsidRDefault="00211AFD" w:rsidP="000D4EDE">
      <w:r>
        <w:separator/>
      </w:r>
    </w:p>
  </w:footnote>
  <w:footnote w:type="continuationSeparator" w:id="0">
    <w:p w14:paraId="4F0E71A5" w14:textId="77777777" w:rsidR="00211AFD" w:rsidRPr="000D4EDE" w:rsidRDefault="00211AFD" w:rsidP="000D4EDE">
      <w:r>
        <w:continuationSeparator/>
      </w:r>
    </w:p>
  </w:footnote>
  <w:footnote w:type="continuationNotice" w:id="1">
    <w:p w14:paraId="166F89F1" w14:textId="77777777" w:rsidR="00AC6B54" w:rsidRDefault="00AC6B5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9"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5"/>
  </w:num>
  <w:num w:numId="4">
    <w:abstractNumId w:val="13"/>
  </w:num>
  <w:num w:numId="5">
    <w:abstractNumId w:val="16"/>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
  </w:num>
  <w:num w:numId="10">
    <w:abstractNumId w:val="6"/>
  </w:num>
  <w:num w:numId="11">
    <w:abstractNumId w:val="4"/>
  </w:num>
  <w:num w:numId="12">
    <w:abstractNumId w:val="3"/>
  </w:num>
  <w:num w:numId="13">
    <w:abstractNumId w:val="17"/>
  </w:num>
  <w:num w:numId="14">
    <w:abstractNumId w:val="10"/>
  </w:num>
  <w:num w:numId="15">
    <w:abstractNumId w:val="7"/>
  </w:num>
  <w:num w:numId="16">
    <w:abstractNumId w:val="9"/>
  </w:num>
  <w:num w:numId="17">
    <w:abstractNumId w:val="14"/>
  </w:num>
  <w:num w:numId="18">
    <w:abstractNumId w:val="15"/>
  </w:num>
  <w:num w:numId="19">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593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10789"/>
    <w:rsid w:val="00011C96"/>
    <w:rsid w:val="000141B9"/>
    <w:rsid w:val="00014E49"/>
    <w:rsid w:val="00020E4C"/>
    <w:rsid w:val="00023CE3"/>
    <w:rsid w:val="00034A19"/>
    <w:rsid w:val="00036F9E"/>
    <w:rsid w:val="000413B3"/>
    <w:rsid w:val="000453D9"/>
    <w:rsid w:val="00045D7D"/>
    <w:rsid w:val="000573E5"/>
    <w:rsid w:val="00057B71"/>
    <w:rsid w:val="0006638F"/>
    <w:rsid w:val="0007202C"/>
    <w:rsid w:val="00072B30"/>
    <w:rsid w:val="0007319C"/>
    <w:rsid w:val="000732AA"/>
    <w:rsid w:val="00073F77"/>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1018A5"/>
    <w:rsid w:val="00106F56"/>
    <w:rsid w:val="00115A39"/>
    <w:rsid w:val="00116AEF"/>
    <w:rsid w:val="00117479"/>
    <w:rsid w:val="00123576"/>
    <w:rsid w:val="001241CB"/>
    <w:rsid w:val="00124B21"/>
    <w:rsid w:val="001327B8"/>
    <w:rsid w:val="0013471B"/>
    <w:rsid w:val="00134B76"/>
    <w:rsid w:val="001352D4"/>
    <w:rsid w:val="00142132"/>
    <w:rsid w:val="00155789"/>
    <w:rsid w:val="00157C98"/>
    <w:rsid w:val="001653B6"/>
    <w:rsid w:val="00165BF6"/>
    <w:rsid w:val="00174039"/>
    <w:rsid w:val="00174B0F"/>
    <w:rsid w:val="0018235E"/>
    <w:rsid w:val="00184187"/>
    <w:rsid w:val="001A4EA4"/>
    <w:rsid w:val="001A664F"/>
    <w:rsid w:val="001B2DB7"/>
    <w:rsid w:val="001B3A9F"/>
    <w:rsid w:val="001D0C02"/>
    <w:rsid w:val="001D3D43"/>
    <w:rsid w:val="001E0F51"/>
    <w:rsid w:val="001E55BF"/>
    <w:rsid w:val="001E6BCB"/>
    <w:rsid w:val="001F6E1A"/>
    <w:rsid w:val="001F780A"/>
    <w:rsid w:val="001F7917"/>
    <w:rsid w:val="00200613"/>
    <w:rsid w:val="00211AFD"/>
    <w:rsid w:val="00214883"/>
    <w:rsid w:val="002156F6"/>
    <w:rsid w:val="00220550"/>
    <w:rsid w:val="00222497"/>
    <w:rsid w:val="002301A2"/>
    <w:rsid w:val="00236C2D"/>
    <w:rsid w:val="00237201"/>
    <w:rsid w:val="002374B7"/>
    <w:rsid w:val="00240126"/>
    <w:rsid w:val="00241D16"/>
    <w:rsid w:val="00242384"/>
    <w:rsid w:val="0024304D"/>
    <w:rsid w:val="00244826"/>
    <w:rsid w:val="00247ACA"/>
    <w:rsid w:val="0025287F"/>
    <w:rsid w:val="00252E6A"/>
    <w:rsid w:val="00255A20"/>
    <w:rsid w:val="0025782A"/>
    <w:rsid w:val="00263414"/>
    <w:rsid w:val="002661A6"/>
    <w:rsid w:val="00266C23"/>
    <w:rsid w:val="00277D6C"/>
    <w:rsid w:val="00286EAD"/>
    <w:rsid w:val="00292A60"/>
    <w:rsid w:val="0029389B"/>
    <w:rsid w:val="002A1894"/>
    <w:rsid w:val="002A2188"/>
    <w:rsid w:val="002A36F2"/>
    <w:rsid w:val="002A7D14"/>
    <w:rsid w:val="002B0913"/>
    <w:rsid w:val="002B28E4"/>
    <w:rsid w:val="002B49A3"/>
    <w:rsid w:val="002B5EBC"/>
    <w:rsid w:val="002B7504"/>
    <w:rsid w:val="002C0D97"/>
    <w:rsid w:val="002C66D1"/>
    <w:rsid w:val="002C7065"/>
    <w:rsid w:val="002C7D73"/>
    <w:rsid w:val="002C7F4A"/>
    <w:rsid w:val="002D2804"/>
    <w:rsid w:val="002D4B6C"/>
    <w:rsid w:val="002D5274"/>
    <w:rsid w:val="002E1EE3"/>
    <w:rsid w:val="002F0135"/>
    <w:rsid w:val="002F0C2C"/>
    <w:rsid w:val="00300655"/>
    <w:rsid w:val="00301BB1"/>
    <w:rsid w:val="00303D18"/>
    <w:rsid w:val="00307ADD"/>
    <w:rsid w:val="00307E55"/>
    <w:rsid w:val="00312A66"/>
    <w:rsid w:val="003130CA"/>
    <w:rsid w:val="003163CB"/>
    <w:rsid w:val="00321180"/>
    <w:rsid w:val="0032180D"/>
    <w:rsid w:val="003306A5"/>
    <w:rsid w:val="00355D40"/>
    <w:rsid w:val="00371AAC"/>
    <w:rsid w:val="00371F54"/>
    <w:rsid w:val="0037770C"/>
    <w:rsid w:val="00377C8B"/>
    <w:rsid w:val="00383A95"/>
    <w:rsid w:val="00385CA0"/>
    <w:rsid w:val="0039585F"/>
    <w:rsid w:val="003A2733"/>
    <w:rsid w:val="003A3021"/>
    <w:rsid w:val="003A4483"/>
    <w:rsid w:val="003A4D41"/>
    <w:rsid w:val="003A627E"/>
    <w:rsid w:val="003A79EE"/>
    <w:rsid w:val="003B6E16"/>
    <w:rsid w:val="003C180A"/>
    <w:rsid w:val="003C1E25"/>
    <w:rsid w:val="003C76D4"/>
    <w:rsid w:val="003D27CB"/>
    <w:rsid w:val="003D292C"/>
    <w:rsid w:val="003D329D"/>
    <w:rsid w:val="003E6BF6"/>
    <w:rsid w:val="003F0F0D"/>
    <w:rsid w:val="0040173E"/>
    <w:rsid w:val="00435339"/>
    <w:rsid w:val="004410DC"/>
    <w:rsid w:val="0044447D"/>
    <w:rsid w:val="0044482D"/>
    <w:rsid w:val="00450C67"/>
    <w:rsid w:val="0046020A"/>
    <w:rsid w:val="00460CF7"/>
    <w:rsid w:val="00463FA8"/>
    <w:rsid w:val="00464196"/>
    <w:rsid w:val="00466648"/>
    <w:rsid w:val="00472CBC"/>
    <w:rsid w:val="004765B3"/>
    <w:rsid w:val="004843CA"/>
    <w:rsid w:val="00493DAA"/>
    <w:rsid w:val="00494335"/>
    <w:rsid w:val="00495A4C"/>
    <w:rsid w:val="004967A1"/>
    <w:rsid w:val="004A0FE7"/>
    <w:rsid w:val="004A1AB5"/>
    <w:rsid w:val="004B584E"/>
    <w:rsid w:val="004C1106"/>
    <w:rsid w:val="004C6D4B"/>
    <w:rsid w:val="004C766B"/>
    <w:rsid w:val="004D33E3"/>
    <w:rsid w:val="004D76C1"/>
    <w:rsid w:val="004D7C22"/>
    <w:rsid w:val="004E2269"/>
    <w:rsid w:val="004E451A"/>
    <w:rsid w:val="004F0E3E"/>
    <w:rsid w:val="004F3339"/>
    <w:rsid w:val="004F72A2"/>
    <w:rsid w:val="004F78E5"/>
    <w:rsid w:val="005020B3"/>
    <w:rsid w:val="005026D4"/>
    <w:rsid w:val="00503A51"/>
    <w:rsid w:val="00506774"/>
    <w:rsid w:val="00512309"/>
    <w:rsid w:val="00541D54"/>
    <w:rsid w:val="00542522"/>
    <w:rsid w:val="00543472"/>
    <w:rsid w:val="0054526E"/>
    <w:rsid w:val="00545CE1"/>
    <w:rsid w:val="00546297"/>
    <w:rsid w:val="005476B5"/>
    <w:rsid w:val="005549D7"/>
    <w:rsid w:val="005602DA"/>
    <w:rsid w:val="00562087"/>
    <w:rsid w:val="005678FC"/>
    <w:rsid w:val="0057138A"/>
    <w:rsid w:val="00573327"/>
    <w:rsid w:val="00577D9B"/>
    <w:rsid w:val="005921A3"/>
    <w:rsid w:val="00592F64"/>
    <w:rsid w:val="005A3F63"/>
    <w:rsid w:val="005A59D0"/>
    <w:rsid w:val="005B073E"/>
    <w:rsid w:val="005B227F"/>
    <w:rsid w:val="005B7801"/>
    <w:rsid w:val="005C5891"/>
    <w:rsid w:val="005C641B"/>
    <w:rsid w:val="005D04CC"/>
    <w:rsid w:val="005D5FAE"/>
    <w:rsid w:val="005E4BC9"/>
    <w:rsid w:val="005F29B7"/>
    <w:rsid w:val="00606EB5"/>
    <w:rsid w:val="00606FC8"/>
    <w:rsid w:val="00616C90"/>
    <w:rsid w:val="00617FDA"/>
    <w:rsid w:val="0062116F"/>
    <w:rsid w:val="00623FD7"/>
    <w:rsid w:val="00626087"/>
    <w:rsid w:val="00634E4C"/>
    <w:rsid w:val="00636B8B"/>
    <w:rsid w:val="00641EAA"/>
    <w:rsid w:val="006427FE"/>
    <w:rsid w:val="006506C1"/>
    <w:rsid w:val="00657459"/>
    <w:rsid w:val="0065747A"/>
    <w:rsid w:val="00662E28"/>
    <w:rsid w:val="00663820"/>
    <w:rsid w:val="0066674D"/>
    <w:rsid w:val="00666A78"/>
    <w:rsid w:val="00670B59"/>
    <w:rsid w:val="00676C12"/>
    <w:rsid w:val="0069375D"/>
    <w:rsid w:val="0069407C"/>
    <w:rsid w:val="0069574E"/>
    <w:rsid w:val="006969C0"/>
    <w:rsid w:val="006A1921"/>
    <w:rsid w:val="006A1B8B"/>
    <w:rsid w:val="006A2303"/>
    <w:rsid w:val="006A2C82"/>
    <w:rsid w:val="006C1876"/>
    <w:rsid w:val="006D2A45"/>
    <w:rsid w:val="006D315C"/>
    <w:rsid w:val="006D71B8"/>
    <w:rsid w:val="006E4272"/>
    <w:rsid w:val="006F145A"/>
    <w:rsid w:val="006F27CB"/>
    <w:rsid w:val="006F359B"/>
    <w:rsid w:val="006F4962"/>
    <w:rsid w:val="006F5865"/>
    <w:rsid w:val="00701EC6"/>
    <w:rsid w:val="00706179"/>
    <w:rsid w:val="00714F78"/>
    <w:rsid w:val="007152B0"/>
    <w:rsid w:val="007170F7"/>
    <w:rsid w:val="00717589"/>
    <w:rsid w:val="00722F9F"/>
    <w:rsid w:val="007253B8"/>
    <w:rsid w:val="00736E7D"/>
    <w:rsid w:val="00741EDB"/>
    <w:rsid w:val="007509A6"/>
    <w:rsid w:val="00753F83"/>
    <w:rsid w:val="007541B0"/>
    <w:rsid w:val="0075469B"/>
    <w:rsid w:val="00755163"/>
    <w:rsid w:val="00756AAB"/>
    <w:rsid w:val="00757F63"/>
    <w:rsid w:val="007605EB"/>
    <w:rsid w:val="007645AE"/>
    <w:rsid w:val="00764992"/>
    <w:rsid w:val="00765749"/>
    <w:rsid w:val="00771075"/>
    <w:rsid w:val="0077507F"/>
    <w:rsid w:val="00775AA0"/>
    <w:rsid w:val="007770FA"/>
    <w:rsid w:val="00791738"/>
    <w:rsid w:val="00791780"/>
    <w:rsid w:val="00792D37"/>
    <w:rsid w:val="007A0EB7"/>
    <w:rsid w:val="007B2C90"/>
    <w:rsid w:val="007B6871"/>
    <w:rsid w:val="007B7899"/>
    <w:rsid w:val="007C08B1"/>
    <w:rsid w:val="007C2CC2"/>
    <w:rsid w:val="007C38BD"/>
    <w:rsid w:val="007C79AA"/>
    <w:rsid w:val="007D1955"/>
    <w:rsid w:val="007D31DA"/>
    <w:rsid w:val="007D72C5"/>
    <w:rsid w:val="007E1D1C"/>
    <w:rsid w:val="007E525D"/>
    <w:rsid w:val="007E5A0D"/>
    <w:rsid w:val="007F0323"/>
    <w:rsid w:val="007F379E"/>
    <w:rsid w:val="007F471C"/>
    <w:rsid w:val="00800C90"/>
    <w:rsid w:val="008125F8"/>
    <w:rsid w:val="008208A8"/>
    <w:rsid w:val="008234D8"/>
    <w:rsid w:val="00826012"/>
    <w:rsid w:val="00834CE0"/>
    <w:rsid w:val="0084110F"/>
    <w:rsid w:val="00844B1D"/>
    <w:rsid w:val="00844F5C"/>
    <w:rsid w:val="00845843"/>
    <w:rsid w:val="00846D34"/>
    <w:rsid w:val="00854C33"/>
    <w:rsid w:val="008567D0"/>
    <w:rsid w:val="00863020"/>
    <w:rsid w:val="008637EC"/>
    <w:rsid w:val="00870BC6"/>
    <w:rsid w:val="00873384"/>
    <w:rsid w:val="00875DAD"/>
    <w:rsid w:val="00877B84"/>
    <w:rsid w:val="00877E5F"/>
    <w:rsid w:val="0088036D"/>
    <w:rsid w:val="00881155"/>
    <w:rsid w:val="00882892"/>
    <w:rsid w:val="00885A14"/>
    <w:rsid w:val="0088689B"/>
    <w:rsid w:val="00890FA0"/>
    <w:rsid w:val="008947BF"/>
    <w:rsid w:val="008A0CBE"/>
    <w:rsid w:val="008A1CA8"/>
    <w:rsid w:val="008A214D"/>
    <w:rsid w:val="008A6F4A"/>
    <w:rsid w:val="008A72D2"/>
    <w:rsid w:val="008A74A3"/>
    <w:rsid w:val="008B6868"/>
    <w:rsid w:val="008B6D24"/>
    <w:rsid w:val="008C34F7"/>
    <w:rsid w:val="008C6A43"/>
    <w:rsid w:val="008D080C"/>
    <w:rsid w:val="008D1867"/>
    <w:rsid w:val="008D6437"/>
    <w:rsid w:val="008D6EDF"/>
    <w:rsid w:val="008E3EF5"/>
    <w:rsid w:val="008E712A"/>
    <w:rsid w:val="008F33B5"/>
    <w:rsid w:val="00901414"/>
    <w:rsid w:val="00906799"/>
    <w:rsid w:val="009136D0"/>
    <w:rsid w:val="00921181"/>
    <w:rsid w:val="00922193"/>
    <w:rsid w:val="00922C7C"/>
    <w:rsid w:val="00924152"/>
    <w:rsid w:val="0093194D"/>
    <w:rsid w:val="00934C3F"/>
    <w:rsid w:val="009417AE"/>
    <w:rsid w:val="00945B3F"/>
    <w:rsid w:val="00950DCB"/>
    <w:rsid w:val="00952D47"/>
    <w:rsid w:val="00952D4C"/>
    <w:rsid w:val="009535CD"/>
    <w:rsid w:val="00960246"/>
    <w:rsid w:val="009720E1"/>
    <w:rsid w:val="00974F0E"/>
    <w:rsid w:val="00975CD7"/>
    <w:rsid w:val="00980CA1"/>
    <w:rsid w:val="00985E70"/>
    <w:rsid w:val="0098783B"/>
    <w:rsid w:val="00993C2B"/>
    <w:rsid w:val="00996086"/>
    <w:rsid w:val="0099798A"/>
    <w:rsid w:val="009979F4"/>
    <w:rsid w:val="009A246D"/>
    <w:rsid w:val="009A45B2"/>
    <w:rsid w:val="009A5585"/>
    <w:rsid w:val="009A59D5"/>
    <w:rsid w:val="009B161B"/>
    <w:rsid w:val="009B2CB7"/>
    <w:rsid w:val="009C2198"/>
    <w:rsid w:val="009D2DDD"/>
    <w:rsid w:val="009D2F27"/>
    <w:rsid w:val="009E0C10"/>
    <w:rsid w:val="009E4116"/>
    <w:rsid w:val="009E529F"/>
    <w:rsid w:val="00A10DA6"/>
    <w:rsid w:val="00A151E9"/>
    <w:rsid w:val="00A15DBB"/>
    <w:rsid w:val="00A259F2"/>
    <w:rsid w:val="00A2758A"/>
    <w:rsid w:val="00A33802"/>
    <w:rsid w:val="00A34ADD"/>
    <w:rsid w:val="00A37162"/>
    <w:rsid w:val="00A37E51"/>
    <w:rsid w:val="00A50B51"/>
    <w:rsid w:val="00A51E2D"/>
    <w:rsid w:val="00A5319F"/>
    <w:rsid w:val="00A533A9"/>
    <w:rsid w:val="00A53690"/>
    <w:rsid w:val="00A62D31"/>
    <w:rsid w:val="00A63380"/>
    <w:rsid w:val="00A8129D"/>
    <w:rsid w:val="00A82188"/>
    <w:rsid w:val="00A865C7"/>
    <w:rsid w:val="00A909CC"/>
    <w:rsid w:val="00A942CA"/>
    <w:rsid w:val="00A964A5"/>
    <w:rsid w:val="00A97E3B"/>
    <w:rsid w:val="00AA00CB"/>
    <w:rsid w:val="00AA20A1"/>
    <w:rsid w:val="00AA41F2"/>
    <w:rsid w:val="00AA555F"/>
    <w:rsid w:val="00AB039E"/>
    <w:rsid w:val="00AB1362"/>
    <w:rsid w:val="00AB2FFA"/>
    <w:rsid w:val="00AB4206"/>
    <w:rsid w:val="00AB556C"/>
    <w:rsid w:val="00AC6B54"/>
    <w:rsid w:val="00AC7E54"/>
    <w:rsid w:val="00AD72D9"/>
    <w:rsid w:val="00AE43C8"/>
    <w:rsid w:val="00AE6A4E"/>
    <w:rsid w:val="00AE7B98"/>
    <w:rsid w:val="00AF129F"/>
    <w:rsid w:val="00AF67D4"/>
    <w:rsid w:val="00B06E21"/>
    <w:rsid w:val="00B12DC9"/>
    <w:rsid w:val="00B13F84"/>
    <w:rsid w:val="00B14604"/>
    <w:rsid w:val="00B15ABA"/>
    <w:rsid w:val="00B20FA0"/>
    <w:rsid w:val="00B24DD4"/>
    <w:rsid w:val="00B33A8A"/>
    <w:rsid w:val="00B34339"/>
    <w:rsid w:val="00B40B7D"/>
    <w:rsid w:val="00B42B2F"/>
    <w:rsid w:val="00B44900"/>
    <w:rsid w:val="00B467F6"/>
    <w:rsid w:val="00B472E1"/>
    <w:rsid w:val="00B52821"/>
    <w:rsid w:val="00B56C63"/>
    <w:rsid w:val="00B664C7"/>
    <w:rsid w:val="00B670E9"/>
    <w:rsid w:val="00B71170"/>
    <w:rsid w:val="00B80BCE"/>
    <w:rsid w:val="00B81524"/>
    <w:rsid w:val="00B81740"/>
    <w:rsid w:val="00B83542"/>
    <w:rsid w:val="00B85D7B"/>
    <w:rsid w:val="00B900EA"/>
    <w:rsid w:val="00B91069"/>
    <w:rsid w:val="00B92842"/>
    <w:rsid w:val="00BA2713"/>
    <w:rsid w:val="00BA2941"/>
    <w:rsid w:val="00BA4C61"/>
    <w:rsid w:val="00BA627A"/>
    <w:rsid w:val="00BB22FA"/>
    <w:rsid w:val="00BC1E70"/>
    <w:rsid w:val="00BD12A1"/>
    <w:rsid w:val="00BD1D09"/>
    <w:rsid w:val="00BD7B83"/>
    <w:rsid w:val="00BE625B"/>
    <w:rsid w:val="00BF17C6"/>
    <w:rsid w:val="00BF6F09"/>
    <w:rsid w:val="00C00FDA"/>
    <w:rsid w:val="00C02EB9"/>
    <w:rsid w:val="00C0373C"/>
    <w:rsid w:val="00C04E4B"/>
    <w:rsid w:val="00C11531"/>
    <w:rsid w:val="00C11B56"/>
    <w:rsid w:val="00C14C04"/>
    <w:rsid w:val="00C1529E"/>
    <w:rsid w:val="00C16045"/>
    <w:rsid w:val="00C175CC"/>
    <w:rsid w:val="00C21E27"/>
    <w:rsid w:val="00C2332A"/>
    <w:rsid w:val="00C42EA5"/>
    <w:rsid w:val="00C62BF5"/>
    <w:rsid w:val="00C636DA"/>
    <w:rsid w:val="00C67E22"/>
    <w:rsid w:val="00C72271"/>
    <w:rsid w:val="00C72A17"/>
    <w:rsid w:val="00C81356"/>
    <w:rsid w:val="00C813CD"/>
    <w:rsid w:val="00C858D9"/>
    <w:rsid w:val="00C86A64"/>
    <w:rsid w:val="00C87DA0"/>
    <w:rsid w:val="00CA4E4D"/>
    <w:rsid w:val="00CA6FF9"/>
    <w:rsid w:val="00CA73DA"/>
    <w:rsid w:val="00CB2E3D"/>
    <w:rsid w:val="00CB4238"/>
    <w:rsid w:val="00CB5938"/>
    <w:rsid w:val="00CB5B27"/>
    <w:rsid w:val="00CC13F5"/>
    <w:rsid w:val="00CC1A64"/>
    <w:rsid w:val="00CC30A1"/>
    <w:rsid w:val="00CC34EB"/>
    <w:rsid w:val="00CC4C58"/>
    <w:rsid w:val="00CC66EA"/>
    <w:rsid w:val="00CD1253"/>
    <w:rsid w:val="00CD3C17"/>
    <w:rsid w:val="00CE1F9C"/>
    <w:rsid w:val="00CE2E48"/>
    <w:rsid w:val="00CF0184"/>
    <w:rsid w:val="00CF55F6"/>
    <w:rsid w:val="00CF59E0"/>
    <w:rsid w:val="00CF6672"/>
    <w:rsid w:val="00D021F7"/>
    <w:rsid w:val="00D0248E"/>
    <w:rsid w:val="00D069C7"/>
    <w:rsid w:val="00D078A2"/>
    <w:rsid w:val="00D21123"/>
    <w:rsid w:val="00D21142"/>
    <w:rsid w:val="00D26BB7"/>
    <w:rsid w:val="00D367EB"/>
    <w:rsid w:val="00D36C91"/>
    <w:rsid w:val="00D41871"/>
    <w:rsid w:val="00D45954"/>
    <w:rsid w:val="00D461C2"/>
    <w:rsid w:val="00D5162F"/>
    <w:rsid w:val="00D575EC"/>
    <w:rsid w:val="00D615C7"/>
    <w:rsid w:val="00D61AAE"/>
    <w:rsid w:val="00D64CB8"/>
    <w:rsid w:val="00D720AE"/>
    <w:rsid w:val="00D72FD8"/>
    <w:rsid w:val="00D85795"/>
    <w:rsid w:val="00D92A45"/>
    <w:rsid w:val="00D9697A"/>
    <w:rsid w:val="00DA2B14"/>
    <w:rsid w:val="00DA3023"/>
    <w:rsid w:val="00DA4C48"/>
    <w:rsid w:val="00DA727D"/>
    <w:rsid w:val="00DB53A7"/>
    <w:rsid w:val="00DD170F"/>
    <w:rsid w:val="00DD7F67"/>
    <w:rsid w:val="00DE0A8A"/>
    <w:rsid w:val="00DE1106"/>
    <w:rsid w:val="00DF2F8B"/>
    <w:rsid w:val="00DF6837"/>
    <w:rsid w:val="00DF68E4"/>
    <w:rsid w:val="00DF6E54"/>
    <w:rsid w:val="00E04228"/>
    <w:rsid w:val="00E04457"/>
    <w:rsid w:val="00E04BBC"/>
    <w:rsid w:val="00E10450"/>
    <w:rsid w:val="00E1478E"/>
    <w:rsid w:val="00E159D7"/>
    <w:rsid w:val="00E213AB"/>
    <w:rsid w:val="00E21653"/>
    <w:rsid w:val="00E21C9B"/>
    <w:rsid w:val="00E22FD8"/>
    <w:rsid w:val="00E2414E"/>
    <w:rsid w:val="00E25E14"/>
    <w:rsid w:val="00E26830"/>
    <w:rsid w:val="00E26FAF"/>
    <w:rsid w:val="00E40B36"/>
    <w:rsid w:val="00E51672"/>
    <w:rsid w:val="00E51C2C"/>
    <w:rsid w:val="00E522FC"/>
    <w:rsid w:val="00E55EE5"/>
    <w:rsid w:val="00E61784"/>
    <w:rsid w:val="00E625B3"/>
    <w:rsid w:val="00E64743"/>
    <w:rsid w:val="00E7257D"/>
    <w:rsid w:val="00E728CB"/>
    <w:rsid w:val="00E7336F"/>
    <w:rsid w:val="00E74F3B"/>
    <w:rsid w:val="00E76262"/>
    <w:rsid w:val="00E84A6B"/>
    <w:rsid w:val="00E92385"/>
    <w:rsid w:val="00E93F74"/>
    <w:rsid w:val="00E96DEA"/>
    <w:rsid w:val="00EA1585"/>
    <w:rsid w:val="00EA332C"/>
    <w:rsid w:val="00EA48AE"/>
    <w:rsid w:val="00EB09E2"/>
    <w:rsid w:val="00EB15A6"/>
    <w:rsid w:val="00EB74A5"/>
    <w:rsid w:val="00EC67E3"/>
    <w:rsid w:val="00ED4C82"/>
    <w:rsid w:val="00EE0126"/>
    <w:rsid w:val="00EE0C89"/>
    <w:rsid w:val="00EE47FE"/>
    <w:rsid w:val="00EE50C6"/>
    <w:rsid w:val="00EE5D41"/>
    <w:rsid w:val="00EE766D"/>
    <w:rsid w:val="00EF2A15"/>
    <w:rsid w:val="00EF5BFD"/>
    <w:rsid w:val="00EF7B33"/>
    <w:rsid w:val="00F00470"/>
    <w:rsid w:val="00F01C6F"/>
    <w:rsid w:val="00F0509B"/>
    <w:rsid w:val="00F06EE2"/>
    <w:rsid w:val="00F074DC"/>
    <w:rsid w:val="00F15632"/>
    <w:rsid w:val="00F17535"/>
    <w:rsid w:val="00F20949"/>
    <w:rsid w:val="00F24F8F"/>
    <w:rsid w:val="00F303B2"/>
    <w:rsid w:val="00F307E0"/>
    <w:rsid w:val="00F34D63"/>
    <w:rsid w:val="00F41BD7"/>
    <w:rsid w:val="00F57F7A"/>
    <w:rsid w:val="00F62D33"/>
    <w:rsid w:val="00F64AB3"/>
    <w:rsid w:val="00F655AA"/>
    <w:rsid w:val="00F6570B"/>
    <w:rsid w:val="00F66681"/>
    <w:rsid w:val="00F67615"/>
    <w:rsid w:val="00F76C98"/>
    <w:rsid w:val="00F804CD"/>
    <w:rsid w:val="00F80750"/>
    <w:rsid w:val="00F826F6"/>
    <w:rsid w:val="00F85F59"/>
    <w:rsid w:val="00F86538"/>
    <w:rsid w:val="00F86717"/>
    <w:rsid w:val="00F86DD4"/>
    <w:rsid w:val="00F97C7A"/>
    <w:rsid w:val="00FA2909"/>
    <w:rsid w:val="00FA3CEC"/>
    <w:rsid w:val="00FB4CF2"/>
    <w:rsid w:val="00FC071B"/>
    <w:rsid w:val="00FC4845"/>
    <w:rsid w:val="00FC6B03"/>
    <w:rsid w:val="00FD06D5"/>
    <w:rsid w:val="00FD28FF"/>
    <w:rsid w:val="00FD68A1"/>
    <w:rsid w:val="00FE0985"/>
    <w:rsid w:val="00FE419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968DD4A"/>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legislation.gov.a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Explanatory statement</TermName>
          <TermId xmlns="http://schemas.microsoft.com/office/infopath/2007/PartnerControls">b22f2e2f-3f73-411b-9a7c-34264d26fa25</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83</Value>
      <Value>234</Value>
      <Value>134</Value>
      <Value>10</Value>
      <Value>26</Value>
      <Value>93</Value>
      <Value>109</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Explanatory Statement (ES) for FSCOD RS determination No 12-17 of 2022</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s>
    </p10c80fc2da942ae8f2ea9b33b6ea0ba>
    <i08e72d8ce2b4ffa9361f9f4e0a63abc xmlns="814d62cb-2db6-4c25-ab62-b9075facbc11">
      <Terms xmlns="http://schemas.microsoft.com/office/infopath/2007/PartnerControls"/>
    </i08e72d8ce2b4ffa9361f9f4e0a63abc>
    <APRADocScanCheck xmlns="814d62cb-2db6-4c25-ab62-b9075facbc11">true</APRADocScanCheck>
    <aa36a5a650d54f768f171f4d17b8b238 xmlns="814d62cb-2db6-4c25-ab62-b9075facbc11">
      <Terms xmlns="http://schemas.microsoft.com/office/infopath/2007/PartnerControls"/>
    </aa36a5a650d54f768f171f4d17b8b238>
    <_dlc_DocId xmlns="814d62cb-2db6-4c25-ab62-b9075facbc11">5JENXJJSCC7A-445999044-11828</_dlc_DocId>
    <_dlc_DocIdUrl xmlns="814d62cb-2db6-4c25-ab62-b9075facbc11">
      <Url>https://im/teams/LEGAL/_layouts/15/DocIdRedir.aspx?ID=5JENXJJSCC7A-445999044-11828</Url>
      <Description>5JENXJJSCC7A-445999044-11828</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73" ma:contentTypeDescription="Create a new document." ma:contentTypeScope="" ma:versionID="73e2e2cfc32a2691ee31d7af9bd362de">
  <xsd:schema xmlns:xsd="http://www.w3.org/2001/XMLSchema" xmlns:xs="http://www.w3.org/2001/XMLSchema" xmlns:p="http://schemas.microsoft.com/office/2006/metadata/properties" xmlns:ns1="814d62cb-2db6-4c25-ab62-b9075facbc11" targetNamespace="http://schemas.microsoft.com/office/2006/metadata/properties" ma:root="true" ma:fieldsID="7be0268868a1afd65d01f44ca09bb39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2.xml><?xml version="1.0" encoding="utf-8"?>
<ds:datastoreItem xmlns:ds="http://schemas.openxmlformats.org/officeDocument/2006/customXml" ds:itemID="{A3DD6CA8-EEBC-4854-BDC8-72670CB4FC87}">
  <ds:schemaRefs>
    <ds:schemaRef ds:uri="Microsoft.SharePoint.Taxonomy.ContentTypeSync"/>
  </ds:schemaRefs>
</ds:datastoreItem>
</file>

<file path=customXml/itemProps3.xml><?xml version="1.0" encoding="utf-8"?>
<ds:datastoreItem xmlns:ds="http://schemas.openxmlformats.org/officeDocument/2006/customXml" ds:itemID="{090891AF-6DFF-40E7-844F-963DE9FF65A2}">
  <ds:schemaRefs>
    <ds:schemaRef ds:uri="http://schemas.microsoft.com/sharepoint/events"/>
  </ds:schemaRefs>
</ds:datastoreItem>
</file>

<file path=customXml/itemProps4.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5.xml><?xml version="1.0" encoding="utf-8"?>
<ds:datastoreItem xmlns:ds="http://schemas.openxmlformats.org/officeDocument/2006/customXml" ds:itemID="{EF8A39F2-5068-45BF-85CC-A816CCABDD3E}">
  <ds:schemaRefs>
    <ds:schemaRef ds:uri="http://schemas.microsoft.com/office/2006/metadata/properties"/>
    <ds:schemaRef ds:uri="http://schemas.microsoft.com/office/2006/documentManagement/types"/>
    <ds:schemaRef ds:uri="http://purl.org/dc/dcmitype/"/>
    <ds:schemaRef ds:uri="http://www.w3.org/XML/1998/namespace"/>
    <ds:schemaRef ds:uri="http://purl.org/dc/terms/"/>
    <ds:schemaRef ds:uri="http://purl.org/dc/elements/1.1/"/>
    <ds:schemaRef ds:uri="http://schemas.openxmlformats.org/package/2006/metadata/core-properties"/>
    <ds:schemaRef ds:uri="http://schemas.microsoft.com/office/infopath/2007/PartnerControls"/>
    <ds:schemaRef ds:uri="814d62cb-2db6-4c25-ab62-b9075facbc11"/>
  </ds:schemaRefs>
</ds:datastoreItem>
</file>

<file path=customXml/itemProps6.xml><?xml version="1.0" encoding="utf-8"?>
<ds:datastoreItem xmlns:ds="http://schemas.openxmlformats.org/officeDocument/2006/customXml" ds:itemID="{EB05BCE9-B0AF-4374-BDCA-06915FFAEC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1484</Words>
  <Characters>8624</Characters>
  <Application>Microsoft Office Word</Application>
  <DocSecurity>4</DocSecurity>
  <Lines>151</Lines>
  <Paragraphs>64</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FSCOD RS determination No 12-17 of 2022</dc:title>
  <dc:subject/>
  <dc:creator>Eleanor Earl</dc:creator>
  <cp:keywords>[SEC=OFFICIAL]</cp:keywords>
  <dc:description/>
  <cp:lastModifiedBy>Toni Michalis</cp:lastModifiedBy>
  <cp:revision>2</cp:revision>
  <cp:lastPrinted>2014-02-02T12:10:00Z</cp:lastPrinted>
  <dcterms:created xsi:type="dcterms:W3CDTF">2022-10-12T22:23:00Z</dcterms:created>
  <dcterms:modified xsi:type="dcterms:W3CDTF">2022-10-12T22:23:00Z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ABBFF5E2-9674-55C9-B08D-C9980002FD58</vt:lpwstr>
  </property>
  <property fmtid="{D5CDD505-2E9C-101B-9397-08002B2CF9AE}" pid="18" name="PMUuidVer">
    <vt:lpwstr>2022.1</vt:lpwstr>
  </property>
  <property fmtid="{D5CDD505-2E9C-101B-9397-08002B2CF9AE}" pid="19" name="PM_Hash_Version">
    <vt:lpwstr>2018.0</vt:lpwstr>
  </property>
  <property fmtid="{D5CDD505-2E9C-101B-9397-08002B2CF9AE}" pid="20" name="PM_OriginatorDomainName_SHA256">
    <vt:lpwstr>ECBDE2B44A971754412B3FB70606937A119CC0D4B6C1B658A40FBD41C30BE3EC</vt:lpwstr>
  </property>
  <property fmtid="{D5CDD505-2E9C-101B-9397-08002B2CF9AE}" pid="21" name="PM_MinimumSecurityClassification">
    <vt:lpwstr/>
  </property>
  <property fmtid="{D5CDD505-2E9C-101B-9397-08002B2CF9AE}" pid="22" name="ContentTypeId">
    <vt:lpwstr>0x0101008CA7A4F8331B45C7B0D3158B4994D0CA0200577EC0F5A1FBFC498F9A8436B963F8A6</vt:lpwstr>
  </property>
  <property fmtid="{D5CDD505-2E9C-101B-9397-08002B2CF9AE}" pid="23" name="APRAPeriod">
    <vt:lpwstr/>
  </property>
  <property fmtid="{D5CDD505-2E9C-101B-9397-08002B2CF9AE}" pid="24" name="APRAPRSG">
    <vt:lpwstr/>
  </property>
  <property fmtid="{D5CDD505-2E9C-101B-9397-08002B2CF9AE}" pid="25" name="APRAYear">
    <vt:lpwstr/>
  </property>
  <property fmtid="{D5CDD505-2E9C-101B-9397-08002B2CF9AE}" pid="26" name="APRAIndustry">
    <vt:lpwstr/>
  </property>
  <property fmtid="{D5CDD505-2E9C-101B-9397-08002B2CF9AE}" pid="27" name="_dlc_DocIdItemGuid">
    <vt:lpwstr>391a2433-de05-4dca-b436-30656c70b0bc</vt:lpwstr>
  </property>
  <property fmtid="{D5CDD505-2E9C-101B-9397-08002B2CF9AE}" pid="28" name="IsLocked">
    <vt:lpwstr>False</vt:lpwstr>
  </property>
  <property fmtid="{D5CDD505-2E9C-101B-9397-08002B2CF9AE}" pid="29"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30" name="IT system type">
    <vt:lpwstr/>
  </property>
  <property fmtid="{D5CDD505-2E9C-101B-9397-08002B2CF9AE}" pid="31" name="APRACategory">
    <vt:lpwstr/>
  </property>
  <property fmtid="{D5CDD505-2E9C-101B-9397-08002B2CF9AE}" pid="32" name="APRADocumentType">
    <vt:lpwstr>234;#Explanatory statement|b22f2e2f-3f73-411b-9a7c-34264d26fa25</vt:lpwstr>
  </property>
  <property fmtid="{D5CDD505-2E9C-101B-9397-08002B2CF9AE}" pid="33" name="APRAStatus">
    <vt:lpwstr>19;#Final|84d6b2d0-8498-4d62-bf46-bab38babbe9e</vt:lpwstr>
  </property>
  <property fmtid="{D5CDD505-2E9C-101B-9397-08002B2CF9AE}" pid="34" name="APRAActivity">
    <vt:lpwstr>10;#Registration|390476ce-d76d-4e8d-905f-28e32d2df127;#109;#Statutory instrument|fe68928c-5a9c-4caf-bc8c-6c18cedcb17f</vt:lpwstr>
  </property>
  <property fmtid="{D5CDD505-2E9C-101B-9397-08002B2CF9AE}" pid="35" name="APRAEntityAdviceSupport">
    <vt:lpwstr/>
  </property>
  <property fmtid="{D5CDD505-2E9C-101B-9397-08002B2CF9AE}" pid="36" name="APRALegislation">
    <vt:lpwstr/>
  </property>
  <property fmtid="{D5CDD505-2E9C-101B-9397-08002B2CF9AE}" pid="37" name="APRAExternalOrganisation">
    <vt:lpwstr/>
  </property>
  <property fmtid="{D5CDD505-2E9C-101B-9397-08002B2CF9AE}" pid="38" name="APRAIRTR">
    <vt:lpwstr/>
  </property>
  <property fmtid="{D5CDD505-2E9C-101B-9397-08002B2CF9AE}" pid="39" name="RecordPoint_WorkflowType">
    <vt:lpwstr>ActiveSubmitStub</vt:lpwstr>
  </property>
  <property fmtid="{D5CDD505-2E9C-101B-9397-08002B2CF9AE}" pid="40" name="RecordPoint_ActiveItemSiteId">
    <vt:lpwstr>{88691c01-5bbb-4215-adc0-66cb7065b0af}</vt:lpwstr>
  </property>
  <property fmtid="{D5CDD505-2E9C-101B-9397-08002B2CF9AE}" pid="41" name="RecordPoint_ActiveItemListId">
    <vt:lpwstr>{0e59e171-09d8-4401-800a-327154450cb3}</vt:lpwstr>
  </property>
  <property fmtid="{D5CDD505-2E9C-101B-9397-08002B2CF9AE}" pid="42" name="RecordPoint_ActiveItemUniqueId">
    <vt:lpwstr>{391a2433-de05-4dca-b436-30656c70b0bc}</vt:lpwstr>
  </property>
  <property fmtid="{D5CDD505-2E9C-101B-9397-08002B2CF9AE}" pid="43" name="RecordPoint_ActiveItemWebId">
    <vt:lpwstr>{75a71c27-8d66-4282-ae60-1bfc22a83be1}</vt:lpwstr>
  </property>
  <property fmtid="{D5CDD505-2E9C-101B-9397-08002B2CF9AE}" pid="44" name="RecordPoint_RecordNumberSubmitted">
    <vt:lpwstr/>
  </property>
  <property fmtid="{D5CDD505-2E9C-101B-9397-08002B2CF9AE}" pid="45" name="RecordPoint_SubmissionCompleted">
    <vt:lpwstr/>
  </property>
  <property fmtid="{D5CDD505-2E9C-101B-9397-08002B2CF9AE}" pid="46" name="PM_SecurityClassification_Prev">
    <vt:lpwstr>OFFICIAL</vt:lpwstr>
  </property>
  <property fmtid="{D5CDD505-2E9C-101B-9397-08002B2CF9AE}" pid="47" name="PM_Qualifier_Prev">
    <vt:lpwstr/>
  </property>
  <property fmtid="{D5CDD505-2E9C-101B-9397-08002B2CF9AE}" pid="48" name="RecordPoint_SubmissionDate">
    <vt:lpwstr/>
  </property>
  <property fmtid="{D5CDD505-2E9C-101B-9397-08002B2CF9AE}" pid="49" name="RecordPoint_ActiveItemMoved">
    <vt:lpwstr/>
  </property>
  <property fmtid="{D5CDD505-2E9C-101B-9397-08002B2CF9AE}" pid="50" name="RecordPoint_RecordFormat">
    <vt:lpwstr/>
  </property>
  <property fmtid="{D5CDD505-2E9C-101B-9397-08002B2CF9AE}" pid="51" name="MSIP_Label_c0129afb-6481-4f92-bc9f-5a4a6346364d_Name">
    <vt:lpwstr>OFFICIAL</vt:lpwstr>
  </property>
  <property fmtid="{D5CDD505-2E9C-101B-9397-08002B2CF9AE}" pid="52" name="MSIP_Label_c0129afb-6481-4f92-bc9f-5a4a6346364d_SiteId">
    <vt:lpwstr>c05e3ffd-b491-4431-9809-e61d4dc78816</vt:lpwstr>
  </property>
  <property fmtid="{D5CDD505-2E9C-101B-9397-08002B2CF9AE}" pid="53" name="MSIP_Label_c0129afb-6481-4f92-bc9f-5a4a6346364d_Enabled">
    <vt:lpwstr>true</vt:lpwstr>
  </property>
  <property fmtid="{D5CDD505-2E9C-101B-9397-08002B2CF9AE}" pid="54" name="PM_Originator_Hash_SHA1">
    <vt:lpwstr>C3AD57350F36D8E1BD75F8F67CB06D435C9C43CA</vt:lpwstr>
  </property>
  <property fmtid="{D5CDD505-2E9C-101B-9397-08002B2CF9AE}" pid="55" name="PM_OriginationTimeStamp">
    <vt:lpwstr>2022-10-12T22:22:51Z</vt:lpwstr>
  </property>
  <property fmtid="{D5CDD505-2E9C-101B-9397-08002B2CF9AE}" pid="56" name="PM_Hash_Salt_Prev">
    <vt:lpwstr>96742399413E165DCC9C2E041E5CDFF9</vt:lpwstr>
  </property>
  <property fmtid="{D5CDD505-2E9C-101B-9397-08002B2CF9AE}" pid="57" name="PM_Hash_Salt">
    <vt:lpwstr>F72E1560A4931BDF6125080A9D350C58</vt:lpwstr>
  </property>
  <property fmtid="{D5CDD505-2E9C-101B-9397-08002B2CF9AE}" pid="58" name="PM_Hash_SHA1">
    <vt:lpwstr>F97093B09AEE6B271AD1D7B18D9137D03E5A8FE9</vt:lpwstr>
  </property>
  <property fmtid="{D5CDD505-2E9C-101B-9397-08002B2CF9AE}" pid="59" name="PM_OriginatorUserAccountName_SHA256">
    <vt:lpwstr>6E3018F28A186D2E5FF5207C041E7A82E907C3008E071057026A53705873B72E</vt:lpwstr>
  </property>
  <property fmtid="{D5CDD505-2E9C-101B-9397-08002B2CF9AE}" pid="60" name="MSIP_Label_c0129afb-6481-4f92-bc9f-5a4a6346364d_SetDate">
    <vt:lpwstr>2022-10-12T04:54:32Z</vt:lpwstr>
  </property>
</Properties>
</file>