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DA5C" w14:textId="77777777" w:rsidR="00543981" w:rsidRPr="00E95243" w:rsidRDefault="0009111F" w:rsidP="00E95243">
      <w:pPr>
        <w:pStyle w:val="Header"/>
        <w:pBdr>
          <w:top w:val="single" w:sz="4" w:space="1" w:color="auto"/>
          <w:bottom w:val="single" w:sz="4" w:space="1" w:color="auto"/>
        </w:pBdr>
        <w:tabs>
          <w:tab w:val="clear" w:pos="4153"/>
          <w:tab w:val="clear" w:pos="8306"/>
        </w:tabs>
        <w:spacing w:after="240"/>
        <w:jc w:val="center"/>
        <w:rPr>
          <w:rFonts w:ascii="Arial" w:hAnsi="Arial" w:cs="Arial"/>
          <w:sz w:val="34"/>
          <w:szCs w:val="34"/>
        </w:rPr>
      </w:pPr>
      <w:r w:rsidRPr="00E95243">
        <w:rPr>
          <w:rFonts w:ascii="Arial" w:hAnsi="Arial" w:cs="Arial"/>
          <w:sz w:val="34"/>
          <w:szCs w:val="34"/>
        </w:rPr>
        <w:t>Legislative Instrument</w:t>
      </w:r>
    </w:p>
    <w:p w14:paraId="57D56E0D" w14:textId="3DDDDCB4" w:rsidR="007A010E" w:rsidRPr="00E95243" w:rsidRDefault="00126DD6" w:rsidP="00E95243">
      <w:pPr>
        <w:pStyle w:val="Header"/>
        <w:pBdr>
          <w:top w:val="single" w:sz="4" w:space="1" w:color="auto"/>
          <w:bottom w:val="single" w:sz="4" w:space="1" w:color="auto"/>
        </w:pBdr>
        <w:tabs>
          <w:tab w:val="clear" w:pos="4153"/>
          <w:tab w:val="clear" w:pos="8306"/>
        </w:tabs>
        <w:spacing w:after="120"/>
        <w:rPr>
          <w:rFonts w:ascii="Arial" w:hAnsi="Arial" w:cs="Arial"/>
          <w:sz w:val="34"/>
          <w:szCs w:val="34"/>
        </w:rPr>
      </w:pPr>
      <w:bookmarkStart w:id="0" w:name="_Hlk88125140"/>
      <w:r w:rsidRPr="00E95243">
        <w:rPr>
          <w:rFonts w:ascii="Arial" w:hAnsi="Arial" w:cs="Arial"/>
          <w:sz w:val="34"/>
          <w:szCs w:val="34"/>
        </w:rPr>
        <w:t xml:space="preserve">Income Tax: </w:t>
      </w:r>
      <w:r w:rsidR="003A1E63" w:rsidRPr="00E95243">
        <w:rPr>
          <w:rFonts w:ascii="Arial" w:hAnsi="Arial" w:cs="Arial"/>
          <w:sz w:val="34"/>
          <w:szCs w:val="34"/>
        </w:rPr>
        <w:t>A</w:t>
      </w:r>
      <w:r w:rsidRPr="00E95243">
        <w:rPr>
          <w:rFonts w:ascii="Arial" w:hAnsi="Arial" w:cs="Arial"/>
          <w:sz w:val="34"/>
          <w:szCs w:val="34"/>
        </w:rPr>
        <w:t xml:space="preserve">lternative method for calculating the tax free component and taxable component of a superannuation benefit </w:t>
      </w:r>
      <w:r w:rsidR="008D482F" w:rsidRPr="00E95243">
        <w:rPr>
          <w:rFonts w:ascii="Arial" w:hAnsi="Arial" w:cs="Arial"/>
          <w:sz w:val="34"/>
          <w:szCs w:val="34"/>
        </w:rPr>
        <w:t xml:space="preserve">paid during the </w:t>
      </w:r>
      <w:r w:rsidR="00E10824" w:rsidRPr="00E95243">
        <w:rPr>
          <w:rFonts w:ascii="Arial" w:hAnsi="Arial" w:cs="Arial"/>
          <w:sz w:val="34"/>
          <w:szCs w:val="34"/>
        </w:rPr>
        <w:t>202</w:t>
      </w:r>
      <w:r w:rsidR="008E3681" w:rsidRPr="00E95243">
        <w:rPr>
          <w:rFonts w:ascii="Arial" w:hAnsi="Arial" w:cs="Arial"/>
          <w:sz w:val="34"/>
          <w:szCs w:val="34"/>
        </w:rPr>
        <w:t>2</w:t>
      </w:r>
      <w:r w:rsidR="00E10824" w:rsidRPr="00E95243">
        <w:rPr>
          <w:rFonts w:ascii="Arial" w:hAnsi="Arial" w:cs="Arial"/>
          <w:sz w:val="34"/>
          <w:szCs w:val="34"/>
        </w:rPr>
        <w:t>–2</w:t>
      </w:r>
      <w:r w:rsidR="008E3681" w:rsidRPr="00E95243">
        <w:rPr>
          <w:rFonts w:ascii="Arial" w:hAnsi="Arial" w:cs="Arial"/>
          <w:sz w:val="34"/>
          <w:szCs w:val="34"/>
        </w:rPr>
        <w:t>3</w:t>
      </w:r>
      <w:r w:rsidR="008D482F" w:rsidRPr="00E95243">
        <w:rPr>
          <w:rFonts w:ascii="Arial" w:hAnsi="Arial" w:cs="Arial"/>
          <w:sz w:val="34"/>
          <w:szCs w:val="34"/>
        </w:rPr>
        <w:t xml:space="preserve"> financial year </w:t>
      </w:r>
      <w:r w:rsidRPr="00E95243">
        <w:rPr>
          <w:rFonts w:ascii="Arial" w:hAnsi="Arial" w:cs="Arial"/>
          <w:sz w:val="34"/>
          <w:szCs w:val="34"/>
        </w:rPr>
        <w:t xml:space="preserve">for recipients of certain pensions under the </w:t>
      </w:r>
      <w:r w:rsidRPr="00E95243">
        <w:rPr>
          <w:rFonts w:ascii="Arial" w:hAnsi="Arial" w:cs="Arial"/>
          <w:i/>
          <w:iCs/>
          <w:sz w:val="34"/>
          <w:szCs w:val="34"/>
        </w:rPr>
        <w:t>Defence Force Retirement and Death Benefits Act 1973</w:t>
      </w:r>
      <w:r w:rsidRPr="00E95243">
        <w:rPr>
          <w:rFonts w:ascii="Arial" w:hAnsi="Arial" w:cs="Arial"/>
          <w:sz w:val="34"/>
          <w:szCs w:val="34"/>
        </w:rPr>
        <w:t xml:space="preserve"> and the Trust Deed referred to in section 4 of the </w:t>
      </w:r>
      <w:r w:rsidRPr="00E95243">
        <w:rPr>
          <w:rFonts w:ascii="Arial" w:hAnsi="Arial" w:cs="Arial"/>
          <w:i/>
          <w:iCs/>
          <w:sz w:val="34"/>
          <w:szCs w:val="34"/>
        </w:rPr>
        <w:t>Military Superannuation and Benefits Act 1991</w:t>
      </w:r>
    </w:p>
    <w:bookmarkEnd w:id="0"/>
    <w:p w14:paraId="0A6B08BE" w14:textId="77777777" w:rsidR="00126DD6" w:rsidRPr="00E95243" w:rsidRDefault="00126DD6" w:rsidP="00E95243">
      <w:pPr>
        <w:rPr>
          <w:rFonts w:ascii="Arial" w:hAnsi="Arial" w:cs="Arial"/>
          <w:sz w:val="22"/>
          <w:szCs w:val="22"/>
        </w:rPr>
      </w:pPr>
    </w:p>
    <w:p w14:paraId="473B262F" w14:textId="12EEB9DC" w:rsidR="00126DD6" w:rsidRPr="00E95243" w:rsidRDefault="00126DD6" w:rsidP="00E95243">
      <w:pPr>
        <w:spacing w:after="120"/>
        <w:rPr>
          <w:rFonts w:ascii="Arial" w:hAnsi="Arial" w:cs="Arial"/>
          <w:sz w:val="22"/>
          <w:szCs w:val="22"/>
        </w:rPr>
      </w:pPr>
      <w:r w:rsidRPr="00E95243">
        <w:rPr>
          <w:rFonts w:ascii="Arial" w:hAnsi="Arial" w:cs="Arial"/>
          <w:sz w:val="22"/>
          <w:szCs w:val="22"/>
        </w:rPr>
        <w:t xml:space="preserve">I, </w:t>
      </w:r>
      <w:r w:rsidR="00CB3E50" w:rsidRPr="00E95243">
        <w:rPr>
          <w:rFonts w:ascii="Arial" w:hAnsi="Arial" w:cs="Arial"/>
          <w:bCs/>
          <w:sz w:val="22"/>
          <w:szCs w:val="22"/>
        </w:rPr>
        <w:t>Ben Kelly</w:t>
      </w:r>
      <w:r w:rsidRPr="00E95243">
        <w:rPr>
          <w:rFonts w:ascii="Arial" w:hAnsi="Arial" w:cs="Arial"/>
          <w:sz w:val="22"/>
          <w:szCs w:val="22"/>
        </w:rPr>
        <w:t xml:space="preserve">, </w:t>
      </w:r>
      <w:r w:rsidR="00CB3E50" w:rsidRPr="00E95243">
        <w:rPr>
          <w:rFonts w:ascii="Arial" w:hAnsi="Arial" w:cs="Arial"/>
          <w:sz w:val="22"/>
          <w:szCs w:val="22"/>
        </w:rPr>
        <w:t xml:space="preserve">Deputy </w:t>
      </w:r>
      <w:r w:rsidRPr="00E95243">
        <w:rPr>
          <w:rFonts w:ascii="Arial" w:hAnsi="Arial" w:cs="Arial"/>
          <w:sz w:val="22"/>
          <w:szCs w:val="22"/>
        </w:rPr>
        <w:t>Commissioner of Taxation, make this determination under subsection 307</w:t>
      </w:r>
      <w:r w:rsidRPr="00E95243">
        <w:rPr>
          <w:rFonts w:ascii="Arial" w:hAnsi="Arial" w:cs="Arial"/>
          <w:sz w:val="22"/>
          <w:szCs w:val="22"/>
        </w:rPr>
        <w:noBreakHyphen/>
        <w:t xml:space="preserve">125(5) of the </w:t>
      </w:r>
      <w:r w:rsidRPr="00E95243">
        <w:rPr>
          <w:rFonts w:ascii="Arial" w:hAnsi="Arial" w:cs="Arial"/>
          <w:i/>
          <w:iCs/>
          <w:sz w:val="22"/>
          <w:szCs w:val="22"/>
        </w:rPr>
        <w:t>Income Tax Assessment Act 1997</w:t>
      </w:r>
      <w:r w:rsidRPr="00E95243">
        <w:rPr>
          <w:rFonts w:ascii="Arial" w:hAnsi="Arial" w:cs="Arial"/>
          <w:sz w:val="22"/>
          <w:szCs w:val="22"/>
        </w:rPr>
        <w:t>.</w:t>
      </w:r>
    </w:p>
    <w:p w14:paraId="4334A5A7" w14:textId="77777777" w:rsidR="00126DD6" w:rsidRPr="00E95243" w:rsidRDefault="00126DD6" w:rsidP="00E95243">
      <w:pPr>
        <w:rPr>
          <w:rFonts w:ascii="Arial" w:hAnsi="Arial" w:cs="Arial"/>
          <w:sz w:val="22"/>
          <w:szCs w:val="22"/>
        </w:rPr>
      </w:pPr>
    </w:p>
    <w:p w14:paraId="55C3C392" w14:textId="1D38BC4F" w:rsidR="00126DD6" w:rsidRPr="00E95243" w:rsidRDefault="00126DD6" w:rsidP="00E95243">
      <w:pPr>
        <w:rPr>
          <w:rFonts w:ascii="Arial" w:hAnsi="Arial" w:cs="Arial"/>
          <w:sz w:val="22"/>
          <w:szCs w:val="22"/>
        </w:rPr>
      </w:pPr>
    </w:p>
    <w:p w14:paraId="523291F4" w14:textId="65FC9082" w:rsidR="00126DD6" w:rsidRPr="00E95243" w:rsidRDefault="00CB3E50" w:rsidP="00E95243">
      <w:pPr>
        <w:rPr>
          <w:rFonts w:ascii="Arial" w:hAnsi="Arial" w:cs="Arial"/>
          <w:b/>
          <w:bCs/>
          <w:sz w:val="22"/>
          <w:szCs w:val="22"/>
        </w:rPr>
      </w:pPr>
      <w:bookmarkStart w:id="1" w:name="_Hlk65488686"/>
      <w:r w:rsidRPr="00E95243">
        <w:rPr>
          <w:rFonts w:ascii="Arial" w:hAnsi="Arial" w:cs="Arial"/>
          <w:b/>
          <w:bCs/>
          <w:sz w:val="22"/>
          <w:szCs w:val="22"/>
        </w:rPr>
        <w:t>Ben Kelly</w:t>
      </w:r>
    </w:p>
    <w:p w14:paraId="79161647" w14:textId="25A63F26" w:rsidR="00126DD6" w:rsidRPr="00E95243" w:rsidRDefault="00CB3E50" w:rsidP="00E95243">
      <w:pPr>
        <w:rPr>
          <w:rFonts w:ascii="Arial" w:hAnsi="Arial" w:cs="Arial"/>
          <w:sz w:val="22"/>
          <w:szCs w:val="22"/>
        </w:rPr>
      </w:pPr>
      <w:r w:rsidRPr="00E95243">
        <w:rPr>
          <w:rFonts w:ascii="Arial" w:hAnsi="Arial" w:cs="Arial"/>
          <w:sz w:val="22"/>
          <w:szCs w:val="22"/>
        </w:rPr>
        <w:t xml:space="preserve">Deputy </w:t>
      </w:r>
      <w:r w:rsidR="00126DD6" w:rsidRPr="00E95243">
        <w:rPr>
          <w:rFonts w:ascii="Arial" w:hAnsi="Arial" w:cs="Arial"/>
          <w:sz w:val="22"/>
          <w:szCs w:val="22"/>
        </w:rPr>
        <w:t>Commissioner of Taxation</w:t>
      </w:r>
    </w:p>
    <w:p w14:paraId="75D15A43" w14:textId="7FD85713" w:rsidR="00CB3E50" w:rsidRPr="00E95243" w:rsidRDefault="00CB3E50" w:rsidP="00E95243">
      <w:pPr>
        <w:rPr>
          <w:rFonts w:ascii="Arial" w:hAnsi="Arial" w:cs="Arial"/>
          <w:sz w:val="22"/>
          <w:szCs w:val="22"/>
        </w:rPr>
      </w:pPr>
      <w:r w:rsidRPr="00E95243">
        <w:rPr>
          <w:rFonts w:ascii="Arial" w:hAnsi="Arial" w:cs="Arial"/>
          <w:sz w:val="22"/>
          <w:szCs w:val="22"/>
        </w:rPr>
        <w:t xml:space="preserve">Policy, </w:t>
      </w:r>
      <w:r w:rsidR="00CE0FB7" w:rsidRPr="00E95243">
        <w:rPr>
          <w:rFonts w:ascii="Arial" w:hAnsi="Arial" w:cs="Arial"/>
          <w:sz w:val="22"/>
          <w:szCs w:val="22"/>
        </w:rPr>
        <w:t>Analysis</w:t>
      </w:r>
      <w:r w:rsidRPr="00E95243">
        <w:rPr>
          <w:rFonts w:ascii="Arial" w:hAnsi="Arial" w:cs="Arial"/>
          <w:sz w:val="22"/>
          <w:szCs w:val="22"/>
        </w:rPr>
        <w:t xml:space="preserve"> and Legislation</w:t>
      </w:r>
    </w:p>
    <w:p w14:paraId="1B42634D" w14:textId="217C593B" w:rsidR="00CB3E50" w:rsidRPr="00E95243" w:rsidRDefault="00CB3E50" w:rsidP="00E95243">
      <w:pPr>
        <w:rPr>
          <w:rFonts w:ascii="Arial" w:hAnsi="Arial" w:cs="Arial"/>
          <w:sz w:val="22"/>
          <w:szCs w:val="22"/>
        </w:rPr>
      </w:pPr>
      <w:r w:rsidRPr="00E95243">
        <w:rPr>
          <w:rFonts w:ascii="Arial" w:hAnsi="Arial" w:cs="Arial"/>
          <w:sz w:val="22"/>
          <w:szCs w:val="22"/>
        </w:rPr>
        <w:t xml:space="preserve">Law </w:t>
      </w:r>
      <w:r w:rsidR="00CE0FB7" w:rsidRPr="00E95243">
        <w:rPr>
          <w:rFonts w:ascii="Arial" w:hAnsi="Arial" w:cs="Arial"/>
          <w:sz w:val="22"/>
          <w:szCs w:val="22"/>
        </w:rPr>
        <w:t xml:space="preserve">Design </w:t>
      </w:r>
      <w:r w:rsidRPr="00E95243">
        <w:rPr>
          <w:rFonts w:ascii="Arial" w:hAnsi="Arial" w:cs="Arial"/>
          <w:sz w:val="22"/>
          <w:szCs w:val="22"/>
        </w:rPr>
        <w:t>and Practice</w:t>
      </w:r>
    </w:p>
    <w:p w14:paraId="5F95857F" w14:textId="170DB404" w:rsidR="00126DD6" w:rsidRPr="00E95243" w:rsidRDefault="003220C6" w:rsidP="00E95243">
      <w:pPr>
        <w:rPr>
          <w:rFonts w:ascii="Arial" w:hAnsi="Arial" w:cs="Arial"/>
          <w:sz w:val="22"/>
          <w:szCs w:val="22"/>
        </w:rPr>
      </w:pPr>
      <w:r w:rsidRPr="00E95243">
        <w:rPr>
          <w:rFonts w:ascii="Arial" w:hAnsi="Arial" w:cs="Arial"/>
          <w:sz w:val="22"/>
          <w:szCs w:val="22"/>
        </w:rPr>
        <w:t>Date of Making</w:t>
      </w:r>
      <w:r w:rsidR="00CB3E50" w:rsidRPr="00E95243">
        <w:rPr>
          <w:rFonts w:ascii="Arial" w:hAnsi="Arial" w:cs="Arial"/>
          <w:sz w:val="22"/>
          <w:szCs w:val="22"/>
        </w:rPr>
        <w:t xml:space="preserve">: </w:t>
      </w:r>
      <w:bookmarkEnd w:id="1"/>
      <w:r w:rsidR="00E95243" w:rsidRPr="00E95243">
        <w:rPr>
          <w:rFonts w:ascii="Arial" w:hAnsi="Arial" w:cs="Arial"/>
          <w:sz w:val="22"/>
          <w:szCs w:val="22"/>
        </w:rPr>
        <w:t xml:space="preserve"> 19 </w:t>
      </w:r>
      <w:r w:rsidRPr="00E95243">
        <w:rPr>
          <w:rFonts w:ascii="Arial" w:hAnsi="Arial" w:cs="Arial"/>
          <w:sz w:val="22"/>
          <w:szCs w:val="22"/>
        </w:rPr>
        <w:t>September</w:t>
      </w:r>
      <w:r w:rsidR="008E3681" w:rsidRPr="00E95243">
        <w:rPr>
          <w:rFonts w:ascii="Arial" w:hAnsi="Arial" w:cs="Arial"/>
          <w:sz w:val="22"/>
          <w:szCs w:val="22"/>
        </w:rPr>
        <w:t xml:space="preserve"> 2022</w:t>
      </w:r>
    </w:p>
    <w:p w14:paraId="062F54FF" w14:textId="77777777" w:rsidR="00126DD6" w:rsidRPr="00E95243" w:rsidRDefault="00126DD6" w:rsidP="00E95243">
      <w:pPr>
        <w:pBdr>
          <w:bottom w:val="single" w:sz="4" w:space="1" w:color="auto"/>
        </w:pBdr>
        <w:rPr>
          <w:rFonts w:ascii="Arial" w:hAnsi="Arial" w:cs="Arial"/>
          <w:sz w:val="22"/>
          <w:szCs w:val="22"/>
        </w:rPr>
      </w:pPr>
    </w:p>
    <w:p w14:paraId="4641BA6C" w14:textId="77777777" w:rsidR="00B813C3" w:rsidRPr="00E95243" w:rsidRDefault="00B813C3" w:rsidP="00E95243">
      <w:pPr>
        <w:spacing w:after="120"/>
        <w:rPr>
          <w:rFonts w:ascii="Arial" w:hAnsi="Arial" w:cs="Arial"/>
          <w:sz w:val="22"/>
          <w:szCs w:val="22"/>
        </w:rPr>
      </w:pPr>
    </w:p>
    <w:p w14:paraId="62998D23" w14:textId="77777777" w:rsidR="00B813C3" w:rsidRPr="00E95243" w:rsidRDefault="00B813C3" w:rsidP="00E95243">
      <w:pPr>
        <w:pStyle w:val="Heading2"/>
        <w:numPr>
          <w:ilvl w:val="0"/>
          <w:numId w:val="2"/>
        </w:numPr>
        <w:tabs>
          <w:tab w:val="clear" w:pos="720"/>
        </w:tabs>
        <w:ind w:left="709" w:hanging="709"/>
        <w:rPr>
          <w:rFonts w:cs="Arial"/>
          <w:szCs w:val="22"/>
        </w:rPr>
      </w:pPr>
      <w:r w:rsidRPr="00E95243">
        <w:rPr>
          <w:rFonts w:cs="Arial"/>
          <w:szCs w:val="22"/>
        </w:rPr>
        <w:t>Name of instrument</w:t>
      </w:r>
    </w:p>
    <w:p w14:paraId="1AF06622" w14:textId="22C4EBBD" w:rsidR="00B813C3" w:rsidRPr="00E95243" w:rsidRDefault="00B813C3" w:rsidP="00E95243">
      <w:pPr>
        <w:spacing w:after="120"/>
        <w:rPr>
          <w:rFonts w:ascii="Arial" w:hAnsi="Arial" w:cs="Arial"/>
          <w:i/>
          <w:iCs/>
          <w:sz w:val="22"/>
          <w:szCs w:val="22"/>
        </w:rPr>
      </w:pPr>
      <w:r w:rsidRPr="00E95243">
        <w:rPr>
          <w:rFonts w:ascii="Arial" w:hAnsi="Arial" w:cs="Arial"/>
          <w:sz w:val="22"/>
          <w:szCs w:val="22"/>
        </w:rPr>
        <w:t xml:space="preserve">This determination is the </w:t>
      </w:r>
      <w:r w:rsidR="006726C9" w:rsidRPr="00E95243">
        <w:rPr>
          <w:rFonts w:ascii="Arial" w:hAnsi="Arial" w:cs="Arial"/>
          <w:i/>
          <w:iCs/>
          <w:sz w:val="22"/>
          <w:szCs w:val="22"/>
        </w:rPr>
        <w:t xml:space="preserve">Income Tax: </w:t>
      </w:r>
      <w:r w:rsidR="00EE505C" w:rsidRPr="00E95243">
        <w:rPr>
          <w:rFonts w:ascii="Arial" w:hAnsi="Arial" w:cs="Arial"/>
          <w:i/>
          <w:iCs/>
          <w:sz w:val="22"/>
          <w:szCs w:val="22"/>
        </w:rPr>
        <w:t>A</w:t>
      </w:r>
      <w:r w:rsidR="00FB55A3" w:rsidRPr="00E95243">
        <w:rPr>
          <w:rFonts w:ascii="Arial" w:hAnsi="Arial" w:cs="Arial"/>
          <w:i/>
          <w:iCs/>
          <w:sz w:val="22"/>
          <w:szCs w:val="22"/>
        </w:rPr>
        <w:t xml:space="preserve">lternative method for calculating the tax free component and taxable component of a superannuation benefit </w:t>
      </w:r>
      <w:r w:rsidR="00B24047" w:rsidRPr="00E95243">
        <w:rPr>
          <w:rFonts w:ascii="Arial" w:hAnsi="Arial" w:cs="Arial"/>
          <w:i/>
          <w:iCs/>
          <w:sz w:val="22"/>
          <w:szCs w:val="22"/>
        </w:rPr>
        <w:t xml:space="preserve">paid during the </w:t>
      </w:r>
      <w:r w:rsidR="00E10824" w:rsidRPr="00E95243">
        <w:rPr>
          <w:rFonts w:ascii="Arial" w:hAnsi="Arial" w:cs="Arial"/>
          <w:i/>
          <w:iCs/>
          <w:sz w:val="22"/>
          <w:szCs w:val="22"/>
        </w:rPr>
        <w:t>202</w:t>
      </w:r>
      <w:r w:rsidR="008E3681" w:rsidRPr="00E95243">
        <w:rPr>
          <w:rFonts w:ascii="Arial" w:hAnsi="Arial" w:cs="Arial"/>
          <w:i/>
          <w:iCs/>
          <w:sz w:val="22"/>
          <w:szCs w:val="22"/>
        </w:rPr>
        <w:t>2</w:t>
      </w:r>
      <w:r w:rsidR="00E10824" w:rsidRPr="00E95243">
        <w:rPr>
          <w:rFonts w:ascii="Arial" w:hAnsi="Arial" w:cs="Arial"/>
          <w:i/>
          <w:iCs/>
          <w:sz w:val="22"/>
          <w:szCs w:val="22"/>
        </w:rPr>
        <w:t>–2</w:t>
      </w:r>
      <w:r w:rsidR="008E3681" w:rsidRPr="00E95243">
        <w:rPr>
          <w:rFonts w:ascii="Arial" w:hAnsi="Arial" w:cs="Arial"/>
          <w:i/>
          <w:iCs/>
          <w:sz w:val="22"/>
          <w:szCs w:val="22"/>
        </w:rPr>
        <w:t>3</w:t>
      </w:r>
      <w:r w:rsidR="00B24047" w:rsidRPr="00E95243">
        <w:rPr>
          <w:rFonts w:ascii="Arial" w:hAnsi="Arial" w:cs="Arial"/>
          <w:i/>
          <w:iCs/>
          <w:sz w:val="22"/>
          <w:szCs w:val="22"/>
        </w:rPr>
        <w:t xml:space="preserve"> financial year </w:t>
      </w:r>
      <w:r w:rsidR="00FB55A3" w:rsidRPr="00E95243">
        <w:rPr>
          <w:rFonts w:ascii="Arial" w:hAnsi="Arial" w:cs="Arial"/>
          <w:i/>
          <w:iCs/>
          <w:sz w:val="22"/>
          <w:szCs w:val="22"/>
        </w:rPr>
        <w:t xml:space="preserve">for recipients of certain pensions under the Defence Force Retirement and Death Benefits Act 1973 and the Trust Deed referred to in section 4 of the </w:t>
      </w:r>
      <w:bookmarkStart w:id="2" w:name="_Hlk71544411"/>
      <w:r w:rsidR="00FB55A3" w:rsidRPr="00E95243">
        <w:rPr>
          <w:rFonts w:ascii="Arial" w:hAnsi="Arial" w:cs="Arial"/>
          <w:i/>
          <w:iCs/>
          <w:sz w:val="22"/>
          <w:szCs w:val="22"/>
        </w:rPr>
        <w:t>Military Superannuation and Benefits Act 1991</w:t>
      </w:r>
      <w:bookmarkEnd w:id="2"/>
      <w:r w:rsidR="00FB55A3" w:rsidRPr="00E95243">
        <w:rPr>
          <w:rFonts w:ascii="Arial" w:hAnsi="Arial" w:cs="Arial"/>
          <w:i/>
          <w:iCs/>
          <w:sz w:val="22"/>
          <w:szCs w:val="22"/>
        </w:rPr>
        <w:t>.</w:t>
      </w:r>
    </w:p>
    <w:p w14:paraId="27DFE698" w14:textId="250DA519" w:rsidR="00126DD6" w:rsidRPr="00E95243" w:rsidRDefault="00126DD6" w:rsidP="00E95243">
      <w:pPr>
        <w:spacing w:after="120"/>
        <w:rPr>
          <w:rFonts w:ascii="Arial" w:hAnsi="Arial" w:cs="Arial"/>
          <w:sz w:val="22"/>
          <w:szCs w:val="22"/>
        </w:rPr>
      </w:pPr>
    </w:p>
    <w:p w14:paraId="138AD542" w14:textId="77777777" w:rsidR="00B813C3" w:rsidRPr="00E95243" w:rsidRDefault="00B813C3" w:rsidP="00E95243">
      <w:pPr>
        <w:pStyle w:val="Heading2"/>
        <w:numPr>
          <w:ilvl w:val="0"/>
          <w:numId w:val="2"/>
        </w:numPr>
        <w:tabs>
          <w:tab w:val="clear" w:pos="720"/>
        </w:tabs>
        <w:ind w:left="709" w:hanging="709"/>
        <w:rPr>
          <w:rFonts w:cs="Arial"/>
          <w:szCs w:val="22"/>
        </w:rPr>
      </w:pPr>
      <w:r w:rsidRPr="00E95243">
        <w:rPr>
          <w:rFonts w:cs="Arial"/>
          <w:szCs w:val="22"/>
        </w:rPr>
        <w:t>Commencement</w:t>
      </w:r>
    </w:p>
    <w:p w14:paraId="50241393" w14:textId="50500679" w:rsidR="00B813C3" w:rsidRPr="00E95243" w:rsidRDefault="00B813C3" w:rsidP="00E95243">
      <w:pPr>
        <w:spacing w:after="120"/>
        <w:rPr>
          <w:rFonts w:ascii="Arial" w:hAnsi="Arial" w:cs="Arial"/>
          <w:sz w:val="22"/>
          <w:szCs w:val="22"/>
        </w:rPr>
      </w:pPr>
      <w:r w:rsidRPr="00E95243">
        <w:rPr>
          <w:rFonts w:ascii="Arial" w:hAnsi="Arial" w:cs="Arial"/>
          <w:sz w:val="22"/>
          <w:szCs w:val="22"/>
        </w:rPr>
        <w:t>This instrument commences on the day after it is registered on the Federal Register of Legislation.</w:t>
      </w:r>
    </w:p>
    <w:p w14:paraId="130FDD00" w14:textId="77777777" w:rsidR="00B813C3" w:rsidRPr="00E95243" w:rsidRDefault="00B813C3" w:rsidP="00E95243">
      <w:pPr>
        <w:spacing w:after="120"/>
        <w:rPr>
          <w:rFonts w:ascii="Arial" w:hAnsi="Arial" w:cs="Arial"/>
          <w:sz w:val="22"/>
          <w:szCs w:val="22"/>
        </w:rPr>
      </w:pPr>
    </w:p>
    <w:p w14:paraId="0CE42485" w14:textId="77777777" w:rsidR="00E95243" w:rsidRPr="00E95243" w:rsidRDefault="005E1893" w:rsidP="00E95243">
      <w:pPr>
        <w:pStyle w:val="Heading2"/>
        <w:numPr>
          <w:ilvl w:val="0"/>
          <w:numId w:val="2"/>
        </w:numPr>
        <w:tabs>
          <w:tab w:val="clear" w:pos="720"/>
        </w:tabs>
        <w:ind w:left="709" w:hanging="709"/>
        <w:rPr>
          <w:rFonts w:cs="Arial"/>
          <w:szCs w:val="22"/>
        </w:rPr>
      </w:pPr>
      <w:r w:rsidRPr="00E95243">
        <w:rPr>
          <w:rFonts w:cs="Arial"/>
          <w:szCs w:val="22"/>
        </w:rPr>
        <w:t>Alternative method</w:t>
      </w:r>
    </w:p>
    <w:p w14:paraId="39F5E385" w14:textId="77777777" w:rsidR="00E95243" w:rsidRPr="00E95243" w:rsidRDefault="00885799" w:rsidP="00E95243">
      <w:pPr>
        <w:spacing w:after="120"/>
        <w:rPr>
          <w:rFonts w:ascii="Arial" w:hAnsi="Arial" w:cs="Arial"/>
          <w:sz w:val="22"/>
          <w:szCs w:val="22"/>
        </w:rPr>
      </w:pPr>
      <w:r w:rsidRPr="00E95243">
        <w:rPr>
          <w:rFonts w:ascii="Arial" w:hAnsi="Arial" w:cs="Arial"/>
          <w:sz w:val="22"/>
          <w:szCs w:val="22"/>
        </w:rPr>
        <w:t>For sub</w:t>
      </w:r>
      <w:r w:rsidR="00EA5069" w:rsidRPr="00E95243">
        <w:rPr>
          <w:rFonts w:ascii="Arial" w:hAnsi="Arial" w:cs="Arial"/>
          <w:sz w:val="22"/>
          <w:szCs w:val="22"/>
        </w:rPr>
        <w:t>s</w:t>
      </w:r>
      <w:r w:rsidRPr="00E95243">
        <w:rPr>
          <w:rFonts w:ascii="Arial" w:hAnsi="Arial" w:cs="Arial"/>
          <w:sz w:val="22"/>
          <w:szCs w:val="22"/>
        </w:rPr>
        <w:t>ection 307-125(5) of the ITAA 1997, t</w:t>
      </w:r>
      <w:r w:rsidR="00A9232B" w:rsidRPr="00E95243">
        <w:rPr>
          <w:rFonts w:ascii="Arial" w:hAnsi="Arial" w:cs="Arial"/>
          <w:sz w:val="22"/>
          <w:szCs w:val="22"/>
        </w:rPr>
        <w:t xml:space="preserve">his instrument specifies an alternative method for calculating </w:t>
      </w:r>
      <w:bookmarkStart w:id="3" w:name="_Hlk64281751"/>
      <w:r w:rsidR="00A9232B" w:rsidRPr="00E95243">
        <w:rPr>
          <w:rFonts w:ascii="Arial" w:hAnsi="Arial" w:cs="Arial"/>
          <w:sz w:val="22"/>
          <w:szCs w:val="22"/>
        </w:rPr>
        <w:t xml:space="preserve">the </w:t>
      </w:r>
      <w:proofErr w:type="gramStart"/>
      <w:r w:rsidR="00A9232B" w:rsidRPr="00E95243">
        <w:rPr>
          <w:rFonts w:ascii="Arial" w:hAnsi="Arial" w:cs="Arial"/>
          <w:sz w:val="22"/>
          <w:szCs w:val="22"/>
        </w:rPr>
        <w:t>tax free</w:t>
      </w:r>
      <w:proofErr w:type="gramEnd"/>
      <w:r w:rsidR="00A9232B" w:rsidRPr="00E95243">
        <w:rPr>
          <w:rFonts w:ascii="Arial" w:hAnsi="Arial" w:cs="Arial"/>
          <w:sz w:val="22"/>
          <w:szCs w:val="22"/>
        </w:rPr>
        <w:t xml:space="preserve"> component and taxable component of superannuation </w:t>
      </w:r>
      <w:r w:rsidR="009A5E09" w:rsidRPr="00E95243">
        <w:rPr>
          <w:rFonts w:ascii="Arial" w:hAnsi="Arial" w:cs="Arial"/>
          <w:sz w:val="22"/>
          <w:szCs w:val="22"/>
        </w:rPr>
        <w:t>benefit</w:t>
      </w:r>
      <w:r w:rsidR="005E1893" w:rsidRPr="00E95243">
        <w:rPr>
          <w:rFonts w:ascii="Arial" w:hAnsi="Arial" w:cs="Arial"/>
          <w:sz w:val="22"/>
          <w:szCs w:val="22"/>
        </w:rPr>
        <w:t>s specified in section 4 that are</w:t>
      </w:r>
      <w:r w:rsidR="00A9232B" w:rsidRPr="00E95243">
        <w:rPr>
          <w:rFonts w:ascii="Arial" w:hAnsi="Arial" w:cs="Arial"/>
          <w:sz w:val="22"/>
          <w:szCs w:val="22"/>
        </w:rPr>
        <w:t xml:space="preserve"> </w:t>
      </w:r>
      <w:r w:rsidR="00571D66" w:rsidRPr="00E95243">
        <w:rPr>
          <w:rFonts w:ascii="Arial" w:hAnsi="Arial" w:cs="Arial"/>
          <w:sz w:val="22"/>
          <w:szCs w:val="22"/>
        </w:rPr>
        <w:t xml:space="preserve">paid during the </w:t>
      </w:r>
      <w:r w:rsidR="00E10824" w:rsidRPr="00E95243">
        <w:rPr>
          <w:rFonts w:ascii="Arial" w:hAnsi="Arial" w:cs="Arial"/>
          <w:sz w:val="22"/>
          <w:szCs w:val="22"/>
        </w:rPr>
        <w:t>202</w:t>
      </w:r>
      <w:r w:rsidR="008E3681" w:rsidRPr="00E95243">
        <w:rPr>
          <w:rFonts w:ascii="Arial" w:hAnsi="Arial" w:cs="Arial"/>
          <w:sz w:val="22"/>
          <w:szCs w:val="22"/>
        </w:rPr>
        <w:t>2</w:t>
      </w:r>
      <w:r w:rsidR="00E10824" w:rsidRPr="00E95243">
        <w:rPr>
          <w:rFonts w:ascii="Arial" w:hAnsi="Arial" w:cs="Arial"/>
          <w:sz w:val="22"/>
          <w:szCs w:val="22"/>
        </w:rPr>
        <w:t>–2</w:t>
      </w:r>
      <w:r w:rsidR="008E3681" w:rsidRPr="00E95243">
        <w:rPr>
          <w:rFonts w:ascii="Arial" w:hAnsi="Arial" w:cs="Arial"/>
          <w:sz w:val="22"/>
          <w:szCs w:val="22"/>
        </w:rPr>
        <w:t>3</w:t>
      </w:r>
      <w:r w:rsidR="00571D66" w:rsidRPr="00E95243">
        <w:rPr>
          <w:rFonts w:ascii="Arial" w:hAnsi="Arial" w:cs="Arial"/>
          <w:sz w:val="22"/>
          <w:szCs w:val="22"/>
        </w:rPr>
        <w:t xml:space="preserve"> financial</w:t>
      </w:r>
      <w:r w:rsidR="00674198" w:rsidRPr="00E95243">
        <w:rPr>
          <w:rFonts w:ascii="Arial" w:hAnsi="Arial" w:cs="Arial"/>
          <w:sz w:val="22"/>
          <w:szCs w:val="22"/>
        </w:rPr>
        <w:t xml:space="preserve"> year</w:t>
      </w:r>
      <w:r w:rsidR="00A9232B" w:rsidRPr="00E95243">
        <w:rPr>
          <w:rFonts w:ascii="Arial" w:hAnsi="Arial" w:cs="Arial"/>
          <w:sz w:val="22"/>
          <w:szCs w:val="22"/>
        </w:rPr>
        <w:t>.</w:t>
      </w:r>
      <w:r w:rsidR="00126DD6" w:rsidRPr="00E95243">
        <w:rPr>
          <w:rFonts w:ascii="Arial" w:hAnsi="Arial" w:cs="Arial"/>
          <w:sz w:val="22"/>
          <w:szCs w:val="22"/>
        </w:rPr>
        <w:t xml:space="preserve"> </w:t>
      </w:r>
      <w:r w:rsidR="005E1893" w:rsidRPr="00E95243">
        <w:rPr>
          <w:rFonts w:ascii="Arial" w:hAnsi="Arial" w:cs="Arial"/>
          <w:sz w:val="22"/>
          <w:szCs w:val="22"/>
        </w:rPr>
        <w:t>The alternative method is as follows:</w:t>
      </w:r>
    </w:p>
    <w:bookmarkEnd w:id="3"/>
    <w:p w14:paraId="373559B4" w14:textId="2759C561" w:rsidR="0083504E" w:rsidRPr="00E95243" w:rsidRDefault="005E1893" w:rsidP="00E95243">
      <w:pPr>
        <w:numPr>
          <w:ilvl w:val="0"/>
          <w:numId w:val="15"/>
        </w:numPr>
        <w:spacing w:after="120"/>
        <w:ind w:left="1418" w:hanging="709"/>
        <w:rPr>
          <w:rFonts w:ascii="Arial" w:hAnsi="Arial" w:cs="Arial"/>
          <w:sz w:val="22"/>
          <w:szCs w:val="22"/>
        </w:rPr>
      </w:pPr>
      <w:r w:rsidRPr="00E95243">
        <w:rPr>
          <w:rFonts w:ascii="Arial" w:hAnsi="Arial" w:cs="Arial"/>
          <w:sz w:val="22"/>
          <w:szCs w:val="22"/>
        </w:rPr>
        <w:t xml:space="preserve">The </w:t>
      </w:r>
      <w:r w:rsidR="0083504E" w:rsidRPr="00E95243">
        <w:rPr>
          <w:rFonts w:ascii="Arial" w:hAnsi="Arial" w:cs="Arial"/>
          <w:sz w:val="22"/>
          <w:szCs w:val="22"/>
        </w:rPr>
        <w:t xml:space="preserve">superannuation benefit is taken to be paid in a way such that </w:t>
      </w:r>
      <w:r w:rsidR="00E7316D" w:rsidRPr="00E95243">
        <w:rPr>
          <w:rFonts w:ascii="Arial" w:hAnsi="Arial" w:cs="Arial"/>
          <w:sz w:val="22"/>
          <w:szCs w:val="22"/>
        </w:rPr>
        <w:t xml:space="preserve">the </w:t>
      </w:r>
      <w:proofErr w:type="gramStart"/>
      <w:r w:rsidR="00E7316D" w:rsidRPr="00E95243">
        <w:rPr>
          <w:rFonts w:ascii="Arial" w:hAnsi="Arial" w:cs="Arial"/>
          <w:sz w:val="22"/>
          <w:szCs w:val="22"/>
        </w:rPr>
        <w:t>tax free</w:t>
      </w:r>
      <w:proofErr w:type="gramEnd"/>
      <w:r w:rsidR="00E7316D" w:rsidRPr="00E95243">
        <w:rPr>
          <w:rFonts w:ascii="Arial" w:hAnsi="Arial" w:cs="Arial"/>
          <w:sz w:val="22"/>
          <w:szCs w:val="22"/>
        </w:rPr>
        <w:t xml:space="preserve"> component and the taxable </w:t>
      </w:r>
      <w:r w:rsidR="0083504E" w:rsidRPr="00E95243">
        <w:rPr>
          <w:rFonts w:ascii="Arial" w:hAnsi="Arial" w:cs="Arial"/>
          <w:sz w:val="22"/>
          <w:szCs w:val="22"/>
        </w:rPr>
        <w:t xml:space="preserve">component of the benefit bears the same proportion to the amount of the benefit that the corresponding component of the superannuation interest </w:t>
      </w:r>
      <w:r w:rsidR="006B5A49" w:rsidRPr="00E95243">
        <w:rPr>
          <w:rFonts w:ascii="Arial" w:hAnsi="Arial" w:cs="Arial"/>
          <w:sz w:val="22"/>
          <w:szCs w:val="22"/>
        </w:rPr>
        <w:t>iden</w:t>
      </w:r>
      <w:r w:rsidR="00962C11" w:rsidRPr="00E95243">
        <w:rPr>
          <w:rFonts w:ascii="Arial" w:hAnsi="Arial" w:cs="Arial"/>
          <w:sz w:val="22"/>
          <w:szCs w:val="22"/>
        </w:rPr>
        <w:t>ti</w:t>
      </w:r>
      <w:r w:rsidR="006B5A49" w:rsidRPr="00E95243">
        <w:rPr>
          <w:rFonts w:ascii="Arial" w:hAnsi="Arial" w:cs="Arial"/>
          <w:sz w:val="22"/>
          <w:szCs w:val="22"/>
        </w:rPr>
        <w:t xml:space="preserve">fied in </w:t>
      </w:r>
      <w:r w:rsidR="00115BA5" w:rsidRPr="00E95243">
        <w:rPr>
          <w:rFonts w:ascii="Arial" w:hAnsi="Arial" w:cs="Arial"/>
          <w:sz w:val="22"/>
          <w:szCs w:val="22"/>
        </w:rPr>
        <w:t>subsection</w:t>
      </w:r>
      <w:r w:rsidR="006B5A49" w:rsidRPr="00E95243">
        <w:rPr>
          <w:rFonts w:ascii="Arial" w:hAnsi="Arial" w:cs="Arial"/>
          <w:sz w:val="22"/>
          <w:szCs w:val="22"/>
        </w:rPr>
        <w:t xml:space="preserve"> </w:t>
      </w:r>
      <w:r w:rsidR="00F025E2" w:rsidRPr="00E95243">
        <w:rPr>
          <w:rFonts w:ascii="Arial" w:hAnsi="Arial" w:cs="Arial"/>
          <w:sz w:val="22"/>
          <w:szCs w:val="22"/>
        </w:rPr>
        <w:t>3(</w:t>
      </w:r>
      <w:r w:rsidR="00451CBF" w:rsidRPr="00E95243">
        <w:rPr>
          <w:rFonts w:ascii="Arial" w:hAnsi="Arial" w:cs="Arial"/>
          <w:sz w:val="22"/>
          <w:szCs w:val="22"/>
        </w:rPr>
        <w:t>2</w:t>
      </w:r>
      <w:r w:rsidR="00F025E2" w:rsidRPr="00E95243">
        <w:rPr>
          <w:rFonts w:ascii="Arial" w:hAnsi="Arial" w:cs="Arial"/>
          <w:sz w:val="22"/>
          <w:szCs w:val="22"/>
        </w:rPr>
        <w:t>)</w:t>
      </w:r>
      <w:r w:rsidR="006B5A49" w:rsidRPr="00E95243">
        <w:rPr>
          <w:rFonts w:ascii="Arial" w:hAnsi="Arial" w:cs="Arial"/>
          <w:sz w:val="22"/>
          <w:szCs w:val="22"/>
        </w:rPr>
        <w:t xml:space="preserve"> </w:t>
      </w:r>
      <w:r w:rsidR="0083504E" w:rsidRPr="00E95243">
        <w:rPr>
          <w:rFonts w:ascii="Arial" w:hAnsi="Arial" w:cs="Arial"/>
          <w:sz w:val="22"/>
          <w:szCs w:val="22"/>
        </w:rPr>
        <w:t>bears to the value of the superannuation interest</w:t>
      </w:r>
      <w:r w:rsidR="006B5A49" w:rsidRPr="00E95243">
        <w:rPr>
          <w:rFonts w:ascii="Arial" w:hAnsi="Arial" w:cs="Arial"/>
          <w:sz w:val="22"/>
          <w:szCs w:val="22"/>
        </w:rPr>
        <w:t>.</w:t>
      </w:r>
    </w:p>
    <w:p w14:paraId="4F718DE6" w14:textId="44DD1325" w:rsidR="000769D1" w:rsidRPr="00E95243" w:rsidRDefault="000769D1" w:rsidP="00E95243">
      <w:pPr>
        <w:numPr>
          <w:ilvl w:val="0"/>
          <w:numId w:val="15"/>
        </w:numPr>
        <w:spacing w:after="120"/>
        <w:ind w:left="1418" w:hanging="709"/>
        <w:rPr>
          <w:rFonts w:ascii="Arial" w:hAnsi="Arial" w:cs="Arial"/>
          <w:sz w:val="22"/>
          <w:szCs w:val="22"/>
        </w:rPr>
      </w:pPr>
      <w:r w:rsidRPr="00E95243">
        <w:rPr>
          <w:rFonts w:ascii="Arial" w:hAnsi="Arial" w:cs="Arial"/>
          <w:sz w:val="22"/>
          <w:szCs w:val="22"/>
        </w:rPr>
        <w:t xml:space="preserve">For the purposes of </w:t>
      </w:r>
      <w:r w:rsidR="00CE5F90" w:rsidRPr="00E95243">
        <w:rPr>
          <w:rFonts w:ascii="Arial" w:hAnsi="Arial" w:cs="Arial"/>
          <w:sz w:val="22"/>
          <w:szCs w:val="22"/>
        </w:rPr>
        <w:t>subsection</w:t>
      </w:r>
      <w:r w:rsidRPr="00E95243">
        <w:rPr>
          <w:rFonts w:ascii="Arial" w:hAnsi="Arial" w:cs="Arial"/>
          <w:sz w:val="22"/>
          <w:szCs w:val="22"/>
        </w:rPr>
        <w:t xml:space="preserve"> </w:t>
      </w:r>
      <w:r w:rsidR="00F025E2" w:rsidRPr="00E95243">
        <w:rPr>
          <w:rFonts w:ascii="Arial" w:hAnsi="Arial" w:cs="Arial"/>
          <w:sz w:val="22"/>
          <w:szCs w:val="22"/>
        </w:rPr>
        <w:t>3(</w:t>
      </w:r>
      <w:r w:rsidR="00451CBF" w:rsidRPr="00E95243">
        <w:rPr>
          <w:rFonts w:ascii="Arial" w:hAnsi="Arial" w:cs="Arial"/>
          <w:sz w:val="22"/>
          <w:szCs w:val="22"/>
        </w:rPr>
        <w:t>1</w:t>
      </w:r>
      <w:r w:rsidR="00F025E2" w:rsidRPr="00E95243">
        <w:rPr>
          <w:rFonts w:ascii="Arial" w:hAnsi="Arial" w:cs="Arial"/>
          <w:sz w:val="22"/>
          <w:szCs w:val="22"/>
        </w:rPr>
        <w:t>)</w:t>
      </w:r>
      <w:r w:rsidRPr="00E95243">
        <w:rPr>
          <w:rFonts w:ascii="Arial" w:hAnsi="Arial" w:cs="Arial"/>
          <w:sz w:val="22"/>
          <w:szCs w:val="22"/>
        </w:rPr>
        <w:t xml:space="preserve">, the superannuation interest is the superannuation interest supporting a pension specified in </w:t>
      </w:r>
      <w:r w:rsidR="00510C9D" w:rsidRPr="00E95243">
        <w:rPr>
          <w:rFonts w:ascii="Arial" w:hAnsi="Arial" w:cs="Arial"/>
          <w:sz w:val="22"/>
          <w:szCs w:val="22"/>
        </w:rPr>
        <w:t>section</w:t>
      </w:r>
      <w:r w:rsidR="008D70DE" w:rsidRPr="00E95243">
        <w:rPr>
          <w:rFonts w:ascii="Arial" w:hAnsi="Arial" w:cs="Arial"/>
          <w:sz w:val="22"/>
          <w:szCs w:val="22"/>
        </w:rPr>
        <w:t xml:space="preserve"> </w:t>
      </w:r>
      <w:r w:rsidR="00F025E2" w:rsidRPr="00E95243">
        <w:rPr>
          <w:rFonts w:ascii="Arial" w:hAnsi="Arial" w:cs="Arial"/>
          <w:sz w:val="22"/>
          <w:szCs w:val="22"/>
        </w:rPr>
        <w:t>4</w:t>
      </w:r>
      <w:r w:rsidRPr="00E95243">
        <w:rPr>
          <w:rFonts w:ascii="Arial" w:hAnsi="Arial" w:cs="Arial"/>
          <w:sz w:val="22"/>
          <w:szCs w:val="22"/>
        </w:rPr>
        <w:t>.</w:t>
      </w:r>
      <w:r w:rsidR="00126DD6" w:rsidRPr="00E95243">
        <w:rPr>
          <w:rFonts w:ascii="Arial" w:hAnsi="Arial" w:cs="Arial"/>
          <w:sz w:val="22"/>
          <w:szCs w:val="22"/>
        </w:rPr>
        <w:t xml:space="preserve"> </w:t>
      </w:r>
      <w:r w:rsidRPr="00E95243">
        <w:rPr>
          <w:rFonts w:ascii="Arial" w:hAnsi="Arial" w:cs="Arial"/>
          <w:sz w:val="22"/>
          <w:szCs w:val="22"/>
        </w:rPr>
        <w:t xml:space="preserve">For the purposes of this </w:t>
      </w:r>
      <w:r w:rsidR="00674198" w:rsidRPr="00E95243">
        <w:rPr>
          <w:rFonts w:ascii="Arial" w:hAnsi="Arial" w:cs="Arial"/>
          <w:sz w:val="22"/>
          <w:szCs w:val="22"/>
        </w:rPr>
        <w:t>section</w:t>
      </w:r>
      <w:r w:rsidRPr="00E95243">
        <w:rPr>
          <w:rFonts w:ascii="Arial" w:hAnsi="Arial" w:cs="Arial"/>
          <w:sz w:val="22"/>
          <w:szCs w:val="22"/>
        </w:rPr>
        <w:t>, assume that the pension is a superannuation income stream.</w:t>
      </w:r>
    </w:p>
    <w:p w14:paraId="59BA5C5C" w14:textId="206DC2B2" w:rsidR="000769D1" w:rsidRPr="00E95243" w:rsidRDefault="000769D1" w:rsidP="00E95243">
      <w:pPr>
        <w:numPr>
          <w:ilvl w:val="0"/>
          <w:numId w:val="15"/>
        </w:numPr>
        <w:spacing w:after="120"/>
        <w:ind w:left="1418" w:hanging="709"/>
        <w:rPr>
          <w:rFonts w:ascii="Arial" w:hAnsi="Arial" w:cs="Arial"/>
          <w:sz w:val="22"/>
          <w:szCs w:val="22"/>
        </w:rPr>
      </w:pPr>
      <w:r w:rsidRPr="00E95243">
        <w:rPr>
          <w:rFonts w:ascii="Arial" w:hAnsi="Arial" w:cs="Arial"/>
          <w:sz w:val="22"/>
          <w:szCs w:val="22"/>
        </w:rPr>
        <w:lastRenderedPageBreak/>
        <w:t xml:space="preserve">For the purposes of </w:t>
      </w:r>
      <w:r w:rsidR="00CE5F90" w:rsidRPr="00E95243">
        <w:rPr>
          <w:rFonts w:ascii="Arial" w:hAnsi="Arial" w:cs="Arial"/>
          <w:sz w:val="22"/>
          <w:szCs w:val="22"/>
        </w:rPr>
        <w:t>subsection</w:t>
      </w:r>
      <w:r w:rsidR="00510C9D" w:rsidRPr="00E95243">
        <w:rPr>
          <w:rFonts w:ascii="Arial" w:hAnsi="Arial" w:cs="Arial"/>
          <w:sz w:val="22"/>
          <w:szCs w:val="22"/>
        </w:rPr>
        <w:t xml:space="preserve"> </w:t>
      </w:r>
      <w:r w:rsidR="00F025E2" w:rsidRPr="00E95243">
        <w:rPr>
          <w:rFonts w:ascii="Arial" w:hAnsi="Arial" w:cs="Arial"/>
          <w:sz w:val="22"/>
          <w:szCs w:val="22"/>
        </w:rPr>
        <w:t>3(</w:t>
      </w:r>
      <w:r w:rsidR="00451CBF" w:rsidRPr="00E95243">
        <w:rPr>
          <w:rFonts w:ascii="Arial" w:hAnsi="Arial" w:cs="Arial"/>
          <w:sz w:val="22"/>
          <w:szCs w:val="22"/>
        </w:rPr>
        <w:t>1</w:t>
      </w:r>
      <w:r w:rsidR="00F025E2" w:rsidRPr="00E95243">
        <w:rPr>
          <w:rFonts w:ascii="Arial" w:hAnsi="Arial" w:cs="Arial"/>
          <w:sz w:val="22"/>
          <w:szCs w:val="22"/>
        </w:rPr>
        <w:t>)</w:t>
      </w:r>
      <w:r w:rsidRPr="00E95243">
        <w:rPr>
          <w:rFonts w:ascii="Arial" w:hAnsi="Arial" w:cs="Arial"/>
          <w:sz w:val="22"/>
          <w:szCs w:val="22"/>
        </w:rPr>
        <w:t>, determine the value of the superannuation inter</w:t>
      </w:r>
      <w:r w:rsidR="009A5E09" w:rsidRPr="00E95243">
        <w:rPr>
          <w:rFonts w:ascii="Arial" w:hAnsi="Arial" w:cs="Arial"/>
          <w:sz w:val="22"/>
          <w:szCs w:val="22"/>
        </w:rPr>
        <w:t>e</w:t>
      </w:r>
      <w:r w:rsidRPr="00E95243">
        <w:rPr>
          <w:rFonts w:ascii="Arial" w:hAnsi="Arial" w:cs="Arial"/>
          <w:sz w:val="22"/>
          <w:szCs w:val="22"/>
        </w:rPr>
        <w:t>st and the amount of th</w:t>
      </w:r>
      <w:r w:rsidR="00C71FF0" w:rsidRPr="00E95243">
        <w:rPr>
          <w:rFonts w:ascii="Arial" w:hAnsi="Arial" w:cs="Arial"/>
          <w:sz w:val="22"/>
          <w:szCs w:val="22"/>
        </w:rPr>
        <w:t xml:space="preserve">e tax free </w:t>
      </w:r>
      <w:r w:rsidRPr="00E95243">
        <w:rPr>
          <w:rFonts w:ascii="Arial" w:hAnsi="Arial" w:cs="Arial"/>
          <w:sz w:val="22"/>
          <w:szCs w:val="22"/>
        </w:rPr>
        <w:t xml:space="preserve">component </w:t>
      </w:r>
      <w:r w:rsidR="00134B8C" w:rsidRPr="00E95243">
        <w:rPr>
          <w:rFonts w:ascii="Arial" w:hAnsi="Arial" w:cs="Arial"/>
          <w:sz w:val="22"/>
          <w:szCs w:val="22"/>
        </w:rPr>
        <w:t xml:space="preserve">and the taxable component </w:t>
      </w:r>
      <w:r w:rsidRPr="00E95243">
        <w:rPr>
          <w:rFonts w:ascii="Arial" w:hAnsi="Arial" w:cs="Arial"/>
          <w:sz w:val="22"/>
          <w:szCs w:val="22"/>
        </w:rPr>
        <w:t>of the interest when the relevant pension commence</w:t>
      </w:r>
      <w:r w:rsidR="009A5E09" w:rsidRPr="00E95243">
        <w:rPr>
          <w:rFonts w:ascii="Arial" w:hAnsi="Arial" w:cs="Arial"/>
          <w:sz w:val="22"/>
          <w:szCs w:val="22"/>
        </w:rPr>
        <w:t>d</w:t>
      </w:r>
      <w:r w:rsidRPr="00E95243">
        <w:rPr>
          <w:rFonts w:ascii="Arial" w:hAnsi="Arial" w:cs="Arial"/>
          <w:sz w:val="22"/>
          <w:szCs w:val="22"/>
        </w:rPr>
        <w:t>.</w:t>
      </w:r>
    </w:p>
    <w:p w14:paraId="54EA49C4" w14:textId="3632F8E2" w:rsidR="008D70DE" w:rsidRPr="00E95243" w:rsidRDefault="008D70DE" w:rsidP="00E95243">
      <w:pPr>
        <w:numPr>
          <w:ilvl w:val="0"/>
          <w:numId w:val="15"/>
        </w:numPr>
        <w:spacing w:after="120"/>
        <w:ind w:left="1418" w:hanging="709"/>
        <w:rPr>
          <w:rFonts w:ascii="Arial" w:hAnsi="Arial" w:cs="Arial"/>
          <w:sz w:val="22"/>
          <w:szCs w:val="22"/>
        </w:rPr>
      </w:pPr>
      <w:r w:rsidRPr="00E95243">
        <w:rPr>
          <w:rFonts w:ascii="Arial" w:hAnsi="Arial" w:cs="Arial"/>
          <w:sz w:val="22"/>
          <w:szCs w:val="22"/>
        </w:rPr>
        <w:t xml:space="preserve">For the avoidance of doubt, the </w:t>
      </w:r>
      <w:r w:rsidR="00134B8C" w:rsidRPr="00E95243">
        <w:rPr>
          <w:rFonts w:ascii="Arial" w:hAnsi="Arial" w:cs="Arial"/>
          <w:sz w:val="22"/>
          <w:szCs w:val="22"/>
        </w:rPr>
        <w:t xml:space="preserve">tax free component and taxable component amounts determined in accordance with the </w:t>
      </w:r>
      <w:r w:rsidRPr="00E95243">
        <w:rPr>
          <w:rFonts w:ascii="Arial" w:hAnsi="Arial" w:cs="Arial"/>
          <w:sz w:val="22"/>
          <w:szCs w:val="22"/>
        </w:rPr>
        <w:t xml:space="preserve">alternative method set out in </w:t>
      </w:r>
      <w:r w:rsidR="00CE5F90" w:rsidRPr="00E95243">
        <w:rPr>
          <w:rFonts w:ascii="Arial" w:hAnsi="Arial" w:cs="Arial"/>
          <w:sz w:val="22"/>
          <w:szCs w:val="22"/>
        </w:rPr>
        <w:t>subsection</w:t>
      </w:r>
      <w:r w:rsidR="00086BD0" w:rsidRPr="00E95243">
        <w:rPr>
          <w:rFonts w:ascii="Arial" w:hAnsi="Arial" w:cs="Arial"/>
          <w:sz w:val="22"/>
          <w:szCs w:val="22"/>
        </w:rPr>
        <w:t> </w:t>
      </w:r>
      <w:r w:rsidR="00F025E2" w:rsidRPr="00E95243">
        <w:rPr>
          <w:rFonts w:ascii="Arial" w:hAnsi="Arial" w:cs="Arial"/>
          <w:sz w:val="22"/>
          <w:szCs w:val="22"/>
        </w:rPr>
        <w:t>3(</w:t>
      </w:r>
      <w:r w:rsidR="00451CBF" w:rsidRPr="00E95243">
        <w:rPr>
          <w:rFonts w:ascii="Arial" w:hAnsi="Arial" w:cs="Arial"/>
          <w:sz w:val="22"/>
          <w:szCs w:val="22"/>
        </w:rPr>
        <w:t>1</w:t>
      </w:r>
      <w:r w:rsidR="00F025E2" w:rsidRPr="00E95243">
        <w:rPr>
          <w:rFonts w:ascii="Arial" w:hAnsi="Arial" w:cs="Arial"/>
          <w:sz w:val="22"/>
          <w:szCs w:val="22"/>
        </w:rPr>
        <w:t>)</w:t>
      </w:r>
      <w:r w:rsidRPr="00E95243">
        <w:rPr>
          <w:rFonts w:ascii="Arial" w:hAnsi="Arial" w:cs="Arial"/>
          <w:sz w:val="22"/>
          <w:szCs w:val="22"/>
        </w:rPr>
        <w:t xml:space="preserve"> </w:t>
      </w:r>
      <w:r w:rsidR="00134B8C" w:rsidRPr="00E95243">
        <w:rPr>
          <w:rFonts w:ascii="Arial" w:hAnsi="Arial" w:cs="Arial"/>
          <w:sz w:val="22"/>
          <w:szCs w:val="22"/>
        </w:rPr>
        <w:t xml:space="preserve">are </w:t>
      </w:r>
      <w:r w:rsidRPr="00E95243">
        <w:rPr>
          <w:rFonts w:ascii="Arial" w:hAnsi="Arial" w:cs="Arial"/>
          <w:sz w:val="22"/>
          <w:szCs w:val="22"/>
        </w:rPr>
        <w:t>subject to any modification to the tax free component and taxable component that may arise due to the application of section 307-145 or section</w:t>
      </w:r>
      <w:r w:rsidR="009F2CAC" w:rsidRPr="00E95243">
        <w:rPr>
          <w:rFonts w:ascii="Arial" w:hAnsi="Arial" w:cs="Arial"/>
          <w:sz w:val="22"/>
          <w:szCs w:val="22"/>
        </w:rPr>
        <w:t> </w:t>
      </w:r>
      <w:r w:rsidRPr="00E95243">
        <w:rPr>
          <w:rFonts w:ascii="Arial" w:hAnsi="Arial" w:cs="Arial"/>
          <w:sz w:val="22"/>
          <w:szCs w:val="22"/>
        </w:rPr>
        <w:t>307</w:t>
      </w:r>
      <w:r w:rsidR="009F2CAC" w:rsidRPr="00E95243">
        <w:rPr>
          <w:rFonts w:ascii="Arial" w:hAnsi="Arial" w:cs="Arial"/>
          <w:sz w:val="22"/>
          <w:szCs w:val="22"/>
        </w:rPr>
        <w:noBreakHyphen/>
      </w:r>
      <w:r w:rsidRPr="00E95243">
        <w:rPr>
          <w:rFonts w:ascii="Arial" w:hAnsi="Arial" w:cs="Arial"/>
          <w:sz w:val="22"/>
          <w:szCs w:val="22"/>
        </w:rPr>
        <w:t xml:space="preserve">150 of the </w:t>
      </w:r>
      <w:r w:rsidR="00885799" w:rsidRPr="00E95243">
        <w:rPr>
          <w:rFonts w:ascii="Arial" w:hAnsi="Arial" w:cs="Arial"/>
          <w:sz w:val="22"/>
          <w:szCs w:val="22"/>
        </w:rPr>
        <w:t>ITAA 1997</w:t>
      </w:r>
      <w:r w:rsidRPr="00E95243">
        <w:rPr>
          <w:rFonts w:ascii="Arial" w:hAnsi="Arial" w:cs="Arial"/>
          <w:sz w:val="22"/>
          <w:szCs w:val="22"/>
        </w:rPr>
        <w:t>.</w:t>
      </w:r>
    </w:p>
    <w:p w14:paraId="45246524" w14:textId="77777777" w:rsidR="008D70DE" w:rsidRPr="00E95243" w:rsidRDefault="008D70DE" w:rsidP="00E95243">
      <w:pPr>
        <w:spacing w:after="120"/>
        <w:rPr>
          <w:rFonts w:ascii="Arial" w:hAnsi="Arial" w:cs="Arial"/>
          <w:sz w:val="22"/>
          <w:szCs w:val="22"/>
        </w:rPr>
      </w:pPr>
    </w:p>
    <w:p w14:paraId="7E553C96" w14:textId="5C82D290" w:rsidR="00543981" w:rsidRPr="00E95243" w:rsidRDefault="005E1893" w:rsidP="00E95243">
      <w:pPr>
        <w:pStyle w:val="Heading2"/>
        <w:numPr>
          <w:ilvl w:val="0"/>
          <w:numId w:val="2"/>
        </w:numPr>
        <w:tabs>
          <w:tab w:val="clear" w:pos="720"/>
        </w:tabs>
        <w:ind w:left="709" w:hanging="709"/>
        <w:rPr>
          <w:rFonts w:cs="Arial"/>
          <w:szCs w:val="22"/>
        </w:rPr>
      </w:pPr>
      <w:r w:rsidRPr="00E95243">
        <w:rPr>
          <w:rFonts w:cs="Arial"/>
          <w:szCs w:val="22"/>
        </w:rPr>
        <w:t>Application</w:t>
      </w:r>
    </w:p>
    <w:p w14:paraId="293C65B5" w14:textId="0614FE34" w:rsidR="00A9232B" w:rsidRPr="00E95243" w:rsidRDefault="00A9232B" w:rsidP="00E95243">
      <w:pPr>
        <w:spacing w:after="120"/>
        <w:rPr>
          <w:rFonts w:ascii="Arial" w:hAnsi="Arial" w:cs="Arial"/>
          <w:sz w:val="22"/>
          <w:szCs w:val="22"/>
        </w:rPr>
      </w:pPr>
      <w:r w:rsidRPr="00E95243">
        <w:rPr>
          <w:rFonts w:ascii="Arial" w:hAnsi="Arial" w:cs="Arial"/>
          <w:sz w:val="22"/>
          <w:szCs w:val="22"/>
        </w:rPr>
        <w:t>This instrument applies to</w:t>
      </w:r>
      <w:r w:rsidR="005E1893" w:rsidRPr="00E95243">
        <w:rPr>
          <w:rFonts w:ascii="Arial" w:hAnsi="Arial" w:cs="Arial"/>
          <w:sz w:val="22"/>
          <w:szCs w:val="22"/>
        </w:rPr>
        <w:t xml:space="preserve"> the following superannuation </w:t>
      </w:r>
      <w:r w:rsidR="00C056B1" w:rsidRPr="00E95243">
        <w:rPr>
          <w:rFonts w:ascii="Arial" w:hAnsi="Arial" w:cs="Arial"/>
          <w:sz w:val="22"/>
          <w:szCs w:val="22"/>
        </w:rPr>
        <w:t>benefits paid in the 2022-23 financial year</w:t>
      </w:r>
      <w:r w:rsidR="005E1893" w:rsidRPr="00E95243">
        <w:rPr>
          <w:rFonts w:ascii="Arial" w:hAnsi="Arial" w:cs="Arial"/>
          <w:sz w:val="22"/>
          <w:szCs w:val="22"/>
        </w:rPr>
        <w:t xml:space="preserve">, including any </w:t>
      </w:r>
      <w:r w:rsidR="00F53D6A" w:rsidRPr="00E95243">
        <w:rPr>
          <w:rFonts w:ascii="Arial" w:hAnsi="Arial" w:cs="Arial"/>
          <w:sz w:val="22"/>
          <w:szCs w:val="22"/>
        </w:rPr>
        <w:t xml:space="preserve">benefits </w:t>
      </w:r>
      <w:r w:rsidR="005E1893" w:rsidRPr="00E95243">
        <w:rPr>
          <w:rFonts w:ascii="Arial" w:hAnsi="Arial" w:cs="Arial"/>
          <w:sz w:val="22"/>
          <w:szCs w:val="22"/>
        </w:rPr>
        <w:t>paid before the commencement of this instrument</w:t>
      </w:r>
      <w:r w:rsidRPr="00E95243">
        <w:rPr>
          <w:rFonts w:ascii="Arial" w:hAnsi="Arial" w:cs="Arial"/>
          <w:sz w:val="22"/>
          <w:szCs w:val="22"/>
        </w:rPr>
        <w:t>:</w:t>
      </w:r>
    </w:p>
    <w:p w14:paraId="4BB4DAA5" w14:textId="42C50000" w:rsidR="00C0500D" w:rsidRPr="00E95243" w:rsidRDefault="00CA397F" w:rsidP="00E95243">
      <w:pPr>
        <w:numPr>
          <w:ilvl w:val="0"/>
          <w:numId w:val="21"/>
        </w:numPr>
        <w:spacing w:after="120"/>
        <w:ind w:left="1418" w:hanging="709"/>
        <w:rPr>
          <w:rFonts w:ascii="Arial" w:hAnsi="Arial" w:cs="Arial"/>
          <w:sz w:val="22"/>
          <w:szCs w:val="22"/>
        </w:rPr>
      </w:pPr>
      <w:r w:rsidRPr="00E95243">
        <w:rPr>
          <w:rFonts w:ascii="Arial" w:hAnsi="Arial" w:cs="Arial"/>
          <w:sz w:val="22"/>
          <w:szCs w:val="22"/>
        </w:rPr>
        <w:t xml:space="preserve">superannuation lump sums paid to </w:t>
      </w:r>
      <w:r w:rsidR="00A9232B" w:rsidRPr="00E95243">
        <w:rPr>
          <w:rFonts w:ascii="Arial" w:hAnsi="Arial" w:cs="Arial"/>
          <w:sz w:val="22"/>
          <w:szCs w:val="22"/>
        </w:rPr>
        <w:t>an individual</w:t>
      </w:r>
      <w:r w:rsidRPr="00E95243">
        <w:rPr>
          <w:rFonts w:ascii="Arial" w:hAnsi="Arial" w:cs="Arial"/>
          <w:sz w:val="22"/>
          <w:szCs w:val="22"/>
        </w:rPr>
        <w:t xml:space="preserve"> </w:t>
      </w:r>
      <w:r w:rsidR="0068032C" w:rsidRPr="00E95243">
        <w:rPr>
          <w:rFonts w:ascii="Arial" w:hAnsi="Arial" w:cs="Arial"/>
          <w:sz w:val="22"/>
          <w:szCs w:val="22"/>
        </w:rPr>
        <w:t>as</w:t>
      </w:r>
      <w:r w:rsidRPr="00E95243">
        <w:rPr>
          <w:rFonts w:ascii="Arial" w:hAnsi="Arial" w:cs="Arial"/>
          <w:sz w:val="22"/>
          <w:szCs w:val="22"/>
        </w:rPr>
        <w:t xml:space="preserve"> </w:t>
      </w:r>
      <w:r w:rsidR="00CB1975" w:rsidRPr="00E95243">
        <w:rPr>
          <w:rFonts w:ascii="Arial" w:hAnsi="Arial" w:cs="Arial"/>
          <w:sz w:val="22"/>
          <w:szCs w:val="22"/>
        </w:rPr>
        <w:t xml:space="preserve">a pension </w:t>
      </w:r>
      <w:r w:rsidR="0068032C" w:rsidRPr="00E95243">
        <w:rPr>
          <w:rFonts w:ascii="Arial" w:hAnsi="Arial" w:cs="Arial"/>
          <w:sz w:val="22"/>
          <w:szCs w:val="22"/>
        </w:rPr>
        <w:t xml:space="preserve">in accordance with </w:t>
      </w:r>
      <w:r w:rsidR="00086BD0" w:rsidRPr="00E95243">
        <w:rPr>
          <w:rFonts w:ascii="Arial" w:hAnsi="Arial" w:cs="Arial"/>
          <w:sz w:val="22"/>
          <w:szCs w:val="22"/>
        </w:rPr>
        <w:t>sub</w:t>
      </w:r>
      <w:r w:rsidR="00A9232B" w:rsidRPr="00E95243">
        <w:rPr>
          <w:rFonts w:ascii="Arial" w:hAnsi="Arial" w:cs="Arial"/>
          <w:sz w:val="22"/>
          <w:szCs w:val="22"/>
        </w:rPr>
        <w:t>section 31</w:t>
      </w:r>
      <w:r w:rsidR="00090757" w:rsidRPr="00E95243">
        <w:rPr>
          <w:rFonts w:ascii="Arial" w:hAnsi="Arial" w:cs="Arial"/>
          <w:sz w:val="22"/>
          <w:szCs w:val="22"/>
        </w:rPr>
        <w:t xml:space="preserve">(1) or </w:t>
      </w:r>
      <w:r w:rsidR="00086BD0" w:rsidRPr="00E95243">
        <w:rPr>
          <w:rFonts w:ascii="Arial" w:hAnsi="Arial" w:cs="Arial"/>
          <w:sz w:val="22"/>
          <w:szCs w:val="22"/>
        </w:rPr>
        <w:t>sub</w:t>
      </w:r>
      <w:r w:rsidR="00090757" w:rsidRPr="00E95243">
        <w:rPr>
          <w:rFonts w:ascii="Arial" w:hAnsi="Arial" w:cs="Arial"/>
          <w:sz w:val="22"/>
          <w:szCs w:val="22"/>
        </w:rPr>
        <w:t>section 32(1)</w:t>
      </w:r>
      <w:r w:rsidR="00CB1975" w:rsidRPr="00E95243">
        <w:rPr>
          <w:rFonts w:ascii="Arial" w:hAnsi="Arial" w:cs="Arial"/>
          <w:sz w:val="22"/>
          <w:szCs w:val="22"/>
        </w:rPr>
        <w:t xml:space="preserve"> </w:t>
      </w:r>
      <w:r w:rsidR="00A9232B" w:rsidRPr="00E95243">
        <w:rPr>
          <w:rFonts w:ascii="Arial" w:hAnsi="Arial" w:cs="Arial"/>
          <w:sz w:val="22"/>
          <w:szCs w:val="22"/>
        </w:rPr>
        <w:t xml:space="preserve">of the </w:t>
      </w:r>
      <w:r w:rsidR="009A5E09" w:rsidRPr="00E95243">
        <w:rPr>
          <w:rFonts w:ascii="Arial" w:hAnsi="Arial" w:cs="Arial"/>
          <w:sz w:val="22"/>
          <w:szCs w:val="22"/>
        </w:rPr>
        <w:t xml:space="preserve">DFRDB Act </w:t>
      </w:r>
      <w:r w:rsidR="00A9232B" w:rsidRPr="00E95243">
        <w:rPr>
          <w:rFonts w:ascii="Arial" w:hAnsi="Arial" w:cs="Arial"/>
          <w:sz w:val="22"/>
          <w:szCs w:val="22"/>
        </w:rPr>
        <w:t>that commenced on or after 20 September 2007</w:t>
      </w:r>
      <w:r w:rsidR="00CB1975" w:rsidRPr="00E95243">
        <w:rPr>
          <w:rFonts w:ascii="Arial" w:hAnsi="Arial" w:cs="Arial"/>
          <w:sz w:val="22"/>
          <w:szCs w:val="22"/>
        </w:rPr>
        <w:t>;</w:t>
      </w:r>
    </w:p>
    <w:p w14:paraId="5CACFCA8" w14:textId="4E66DC78" w:rsidR="00982B9C" w:rsidRPr="00E95243" w:rsidRDefault="00C0500D" w:rsidP="00E95243">
      <w:pPr>
        <w:numPr>
          <w:ilvl w:val="0"/>
          <w:numId w:val="21"/>
        </w:numPr>
        <w:spacing w:after="120"/>
        <w:ind w:left="1418" w:hanging="709"/>
        <w:rPr>
          <w:rFonts w:ascii="Arial" w:hAnsi="Arial" w:cs="Arial"/>
          <w:sz w:val="22"/>
          <w:szCs w:val="22"/>
        </w:rPr>
      </w:pPr>
      <w:r w:rsidRPr="00E95243">
        <w:rPr>
          <w:rFonts w:ascii="Arial" w:hAnsi="Arial" w:cs="Arial"/>
          <w:sz w:val="22"/>
          <w:szCs w:val="22"/>
        </w:rPr>
        <w:t xml:space="preserve">superannuation lump sums paid to an individual </w:t>
      </w:r>
      <w:r w:rsidR="007F567C" w:rsidRPr="00E95243">
        <w:rPr>
          <w:rFonts w:ascii="Arial" w:hAnsi="Arial" w:cs="Arial"/>
          <w:sz w:val="22"/>
          <w:szCs w:val="22"/>
        </w:rPr>
        <w:t xml:space="preserve">(reversionary beneficiary) </w:t>
      </w:r>
      <w:r w:rsidR="0068032C" w:rsidRPr="00E95243">
        <w:rPr>
          <w:rFonts w:ascii="Arial" w:hAnsi="Arial" w:cs="Arial"/>
          <w:sz w:val="22"/>
          <w:szCs w:val="22"/>
        </w:rPr>
        <w:t xml:space="preserve">as </w:t>
      </w:r>
      <w:r w:rsidRPr="00E95243">
        <w:rPr>
          <w:rFonts w:ascii="Arial" w:hAnsi="Arial" w:cs="Arial"/>
          <w:sz w:val="22"/>
          <w:szCs w:val="22"/>
        </w:rPr>
        <w:t xml:space="preserve">a pension </w:t>
      </w:r>
      <w:r w:rsidR="0068032C" w:rsidRPr="00E95243">
        <w:rPr>
          <w:rFonts w:ascii="Arial" w:hAnsi="Arial" w:cs="Arial"/>
          <w:sz w:val="22"/>
          <w:szCs w:val="22"/>
        </w:rPr>
        <w:t xml:space="preserve">in accordance with </w:t>
      </w:r>
      <w:r w:rsidR="00982B9C" w:rsidRPr="00E95243">
        <w:rPr>
          <w:rFonts w:ascii="Arial" w:hAnsi="Arial" w:cs="Arial"/>
          <w:sz w:val="22"/>
          <w:szCs w:val="22"/>
        </w:rPr>
        <w:t>subsection 39(1), sub</w:t>
      </w:r>
      <w:r w:rsidRPr="00E95243">
        <w:rPr>
          <w:rFonts w:ascii="Arial" w:hAnsi="Arial" w:cs="Arial"/>
          <w:sz w:val="22"/>
          <w:szCs w:val="22"/>
        </w:rPr>
        <w:t>section 42</w:t>
      </w:r>
      <w:r w:rsidR="00982B9C" w:rsidRPr="00E95243">
        <w:rPr>
          <w:rFonts w:ascii="Arial" w:hAnsi="Arial" w:cs="Arial"/>
          <w:sz w:val="22"/>
          <w:szCs w:val="22"/>
        </w:rPr>
        <w:t>(</w:t>
      </w:r>
      <w:r w:rsidR="00090757" w:rsidRPr="00E95243">
        <w:rPr>
          <w:rFonts w:ascii="Arial" w:hAnsi="Arial" w:cs="Arial"/>
          <w:sz w:val="22"/>
          <w:szCs w:val="22"/>
        </w:rPr>
        <w:t>1</w:t>
      </w:r>
      <w:r w:rsidR="00982B9C" w:rsidRPr="00E95243">
        <w:rPr>
          <w:rFonts w:ascii="Arial" w:hAnsi="Arial" w:cs="Arial"/>
          <w:sz w:val="22"/>
          <w:szCs w:val="22"/>
        </w:rPr>
        <w:t>)</w:t>
      </w:r>
      <w:r w:rsidRPr="00E95243">
        <w:rPr>
          <w:rFonts w:ascii="Arial" w:hAnsi="Arial" w:cs="Arial"/>
          <w:sz w:val="22"/>
          <w:szCs w:val="22"/>
        </w:rPr>
        <w:t xml:space="preserve"> or </w:t>
      </w:r>
      <w:r w:rsidR="008B0983" w:rsidRPr="00E95243">
        <w:rPr>
          <w:rFonts w:ascii="Arial" w:hAnsi="Arial" w:cs="Arial"/>
          <w:sz w:val="22"/>
          <w:szCs w:val="22"/>
        </w:rPr>
        <w:t>sub</w:t>
      </w:r>
      <w:r w:rsidRPr="00E95243">
        <w:rPr>
          <w:rFonts w:ascii="Arial" w:hAnsi="Arial" w:cs="Arial"/>
          <w:sz w:val="22"/>
          <w:szCs w:val="22"/>
        </w:rPr>
        <w:t>section 43</w:t>
      </w:r>
      <w:r w:rsidR="008B0983" w:rsidRPr="00E95243">
        <w:rPr>
          <w:rFonts w:ascii="Arial" w:hAnsi="Arial" w:cs="Arial"/>
          <w:sz w:val="22"/>
          <w:szCs w:val="22"/>
        </w:rPr>
        <w:t>(</w:t>
      </w:r>
      <w:r w:rsidR="00090757" w:rsidRPr="00E95243">
        <w:rPr>
          <w:rFonts w:ascii="Arial" w:hAnsi="Arial" w:cs="Arial"/>
          <w:sz w:val="22"/>
          <w:szCs w:val="22"/>
        </w:rPr>
        <w:t>1</w:t>
      </w:r>
      <w:r w:rsidR="008B0983" w:rsidRPr="00E95243">
        <w:rPr>
          <w:rFonts w:ascii="Arial" w:hAnsi="Arial" w:cs="Arial"/>
          <w:sz w:val="22"/>
          <w:szCs w:val="22"/>
        </w:rPr>
        <w:t>)</w:t>
      </w:r>
      <w:r w:rsidRPr="00E95243">
        <w:rPr>
          <w:rFonts w:ascii="Arial" w:hAnsi="Arial" w:cs="Arial"/>
          <w:sz w:val="22"/>
          <w:szCs w:val="22"/>
        </w:rPr>
        <w:t xml:space="preserve"> of the DFRDB Act</w:t>
      </w:r>
      <w:r w:rsidR="0078621E" w:rsidRPr="00E95243">
        <w:rPr>
          <w:rFonts w:ascii="Arial" w:hAnsi="Arial" w:cs="Arial"/>
          <w:sz w:val="22"/>
          <w:szCs w:val="22"/>
        </w:rPr>
        <w:t>,</w:t>
      </w:r>
      <w:r w:rsidRPr="00E95243">
        <w:rPr>
          <w:rFonts w:ascii="Arial" w:hAnsi="Arial" w:cs="Arial"/>
          <w:sz w:val="22"/>
          <w:szCs w:val="22"/>
        </w:rPr>
        <w:t xml:space="preserve"> where the primary </w:t>
      </w:r>
      <w:r w:rsidR="007F567C" w:rsidRPr="00E95243">
        <w:rPr>
          <w:rFonts w:ascii="Arial" w:hAnsi="Arial" w:cs="Arial"/>
          <w:sz w:val="22"/>
          <w:szCs w:val="22"/>
        </w:rPr>
        <w:t xml:space="preserve">beneficiary received superannuation benefits </w:t>
      </w:r>
      <w:r w:rsidR="0068032C" w:rsidRPr="00E95243">
        <w:rPr>
          <w:rFonts w:ascii="Arial" w:hAnsi="Arial" w:cs="Arial"/>
          <w:sz w:val="22"/>
          <w:szCs w:val="22"/>
        </w:rPr>
        <w:t xml:space="preserve">as </w:t>
      </w:r>
      <w:r w:rsidR="007F567C" w:rsidRPr="00E95243">
        <w:rPr>
          <w:rFonts w:ascii="Arial" w:hAnsi="Arial" w:cs="Arial"/>
          <w:sz w:val="22"/>
          <w:szCs w:val="22"/>
        </w:rPr>
        <w:t xml:space="preserve">a pension </w:t>
      </w:r>
      <w:r w:rsidR="0068032C" w:rsidRPr="00E95243">
        <w:rPr>
          <w:rFonts w:ascii="Arial" w:hAnsi="Arial" w:cs="Arial"/>
          <w:sz w:val="22"/>
          <w:szCs w:val="22"/>
        </w:rPr>
        <w:t>in accordance with</w:t>
      </w:r>
      <w:r w:rsidR="007F567C" w:rsidRPr="00E95243">
        <w:rPr>
          <w:rFonts w:ascii="Arial" w:hAnsi="Arial" w:cs="Arial"/>
          <w:sz w:val="22"/>
          <w:szCs w:val="22"/>
        </w:rPr>
        <w:t xml:space="preserve"> section 31 </w:t>
      </w:r>
      <w:r w:rsidR="00F53B18" w:rsidRPr="00E95243">
        <w:rPr>
          <w:rFonts w:ascii="Arial" w:hAnsi="Arial" w:cs="Arial"/>
          <w:sz w:val="22"/>
          <w:szCs w:val="22"/>
        </w:rPr>
        <w:t xml:space="preserve">or subsection 32(1) </w:t>
      </w:r>
      <w:r w:rsidR="00982B9C" w:rsidRPr="00E95243">
        <w:rPr>
          <w:rFonts w:ascii="Arial" w:hAnsi="Arial" w:cs="Arial"/>
          <w:sz w:val="22"/>
          <w:szCs w:val="22"/>
        </w:rPr>
        <w:t>that commenced on or after 20</w:t>
      </w:r>
      <w:r w:rsidR="009F2CAC" w:rsidRPr="00E95243">
        <w:rPr>
          <w:rFonts w:ascii="Arial" w:hAnsi="Arial" w:cs="Arial"/>
          <w:sz w:val="22"/>
          <w:szCs w:val="22"/>
        </w:rPr>
        <w:t> </w:t>
      </w:r>
      <w:r w:rsidR="00982B9C" w:rsidRPr="00E95243">
        <w:rPr>
          <w:rFonts w:ascii="Arial" w:hAnsi="Arial" w:cs="Arial"/>
          <w:sz w:val="22"/>
          <w:szCs w:val="22"/>
        </w:rPr>
        <w:t>September 2007;</w:t>
      </w:r>
    </w:p>
    <w:p w14:paraId="45885033" w14:textId="75EA806A" w:rsidR="00F373FF" w:rsidRPr="00E95243" w:rsidRDefault="00F373FF" w:rsidP="00E95243">
      <w:pPr>
        <w:numPr>
          <w:ilvl w:val="0"/>
          <w:numId w:val="21"/>
        </w:numPr>
        <w:spacing w:after="120"/>
        <w:ind w:left="1418" w:hanging="709"/>
        <w:rPr>
          <w:rFonts w:ascii="Arial" w:hAnsi="Arial" w:cs="Arial"/>
          <w:sz w:val="22"/>
          <w:szCs w:val="22"/>
        </w:rPr>
      </w:pPr>
      <w:r w:rsidRPr="00E95243">
        <w:rPr>
          <w:rFonts w:ascii="Arial" w:hAnsi="Arial" w:cs="Arial"/>
          <w:sz w:val="22"/>
          <w:szCs w:val="22"/>
        </w:rPr>
        <w:t xml:space="preserve">superannuation lump sums paid to an individual (non-reversionary beneficiary) </w:t>
      </w:r>
      <w:r w:rsidR="0068032C" w:rsidRPr="00E95243">
        <w:rPr>
          <w:rFonts w:ascii="Arial" w:hAnsi="Arial" w:cs="Arial"/>
          <w:sz w:val="22"/>
          <w:szCs w:val="22"/>
        </w:rPr>
        <w:t>as</w:t>
      </w:r>
      <w:r w:rsidRPr="00E95243">
        <w:rPr>
          <w:rFonts w:ascii="Arial" w:hAnsi="Arial" w:cs="Arial"/>
          <w:sz w:val="22"/>
          <w:szCs w:val="22"/>
        </w:rPr>
        <w:t xml:space="preserve"> a pension </w:t>
      </w:r>
      <w:r w:rsidR="0068032C" w:rsidRPr="00E95243">
        <w:rPr>
          <w:rFonts w:ascii="Arial" w:hAnsi="Arial" w:cs="Arial"/>
          <w:sz w:val="22"/>
          <w:szCs w:val="22"/>
        </w:rPr>
        <w:t>in accordance with</w:t>
      </w:r>
      <w:r w:rsidRPr="00E95243">
        <w:rPr>
          <w:rFonts w:ascii="Arial" w:hAnsi="Arial" w:cs="Arial"/>
          <w:sz w:val="22"/>
          <w:szCs w:val="22"/>
        </w:rPr>
        <w:t xml:space="preserve"> subsection 43A(1) or 43A(2) or subsection 44(2) of the DFRDB Act that commenced on or after 20 September 2007;</w:t>
      </w:r>
    </w:p>
    <w:p w14:paraId="14530CB9" w14:textId="475F6F20" w:rsidR="008B0983" w:rsidRPr="00E95243" w:rsidRDefault="00CB1975" w:rsidP="00E95243">
      <w:pPr>
        <w:numPr>
          <w:ilvl w:val="0"/>
          <w:numId w:val="21"/>
        </w:numPr>
        <w:spacing w:after="120"/>
        <w:ind w:left="1418" w:hanging="709"/>
        <w:rPr>
          <w:rFonts w:ascii="Arial" w:hAnsi="Arial" w:cs="Arial"/>
          <w:sz w:val="22"/>
          <w:szCs w:val="22"/>
        </w:rPr>
      </w:pPr>
      <w:r w:rsidRPr="00E95243">
        <w:rPr>
          <w:rFonts w:ascii="Arial" w:hAnsi="Arial" w:cs="Arial"/>
          <w:sz w:val="22"/>
          <w:szCs w:val="22"/>
        </w:rPr>
        <w:t xml:space="preserve">superannuation lump sums paid to </w:t>
      </w:r>
      <w:r w:rsidR="00A9232B" w:rsidRPr="00E95243">
        <w:rPr>
          <w:rFonts w:ascii="Arial" w:hAnsi="Arial" w:cs="Arial"/>
          <w:sz w:val="22"/>
          <w:szCs w:val="22"/>
        </w:rPr>
        <w:t xml:space="preserve">an individual </w:t>
      </w:r>
      <w:r w:rsidR="0068032C" w:rsidRPr="00E95243">
        <w:rPr>
          <w:rFonts w:ascii="Arial" w:hAnsi="Arial" w:cs="Arial"/>
          <w:sz w:val="22"/>
          <w:szCs w:val="22"/>
        </w:rPr>
        <w:t>as</w:t>
      </w:r>
      <w:r w:rsidRPr="00E95243">
        <w:rPr>
          <w:rFonts w:ascii="Arial" w:hAnsi="Arial" w:cs="Arial"/>
          <w:sz w:val="22"/>
          <w:szCs w:val="22"/>
        </w:rPr>
        <w:t xml:space="preserve"> a pension </w:t>
      </w:r>
      <w:r w:rsidR="0068032C" w:rsidRPr="00E95243">
        <w:rPr>
          <w:rFonts w:ascii="Arial" w:hAnsi="Arial" w:cs="Arial"/>
          <w:sz w:val="22"/>
          <w:szCs w:val="22"/>
        </w:rPr>
        <w:t>in accordance with</w:t>
      </w:r>
      <w:r w:rsidRPr="00E95243">
        <w:rPr>
          <w:rFonts w:ascii="Arial" w:hAnsi="Arial" w:cs="Arial"/>
          <w:sz w:val="22"/>
          <w:szCs w:val="22"/>
        </w:rPr>
        <w:t xml:space="preserve"> </w:t>
      </w:r>
      <w:r w:rsidR="00424B46" w:rsidRPr="00E95243">
        <w:rPr>
          <w:rFonts w:ascii="Arial" w:hAnsi="Arial" w:cs="Arial"/>
          <w:sz w:val="22"/>
          <w:szCs w:val="22"/>
        </w:rPr>
        <w:t>rule 27</w:t>
      </w:r>
      <w:r w:rsidR="008B0983" w:rsidRPr="00E95243">
        <w:rPr>
          <w:rFonts w:ascii="Arial" w:hAnsi="Arial" w:cs="Arial"/>
          <w:sz w:val="22"/>
          <w:szCs w:val="22"/>
        </w:rPr>
        <w:t>(1) or</w:t>
      </w:r>
      <w:r w:rsidR="00424B46" w:rsidRPr="00E95243">
        <w:rPr>
          <w:rFonts w:ascii="Arial" w:hAnsi="Arial" w:cs="Arial"/>
          <w:sz w:val="22"/>
          <w:szCs w:val="22"/>
        </w:rPr>
        <w:t xml:space="preserve"> </w:t>
      </w:r>
      <w:r w:rsidR="008B0983" w:rsidRPr="00E95243">
        <w:rPr>
          <w:rFonts w:ascii="Arial" w:hAnsi="Arial" w:cs="Arial"/>
          <w:sz w:val="22"/>
          <w:szCs w:val="22"/>
        </w:rPr>
        <w:t xml:space="preserve">rule </w:t>
      </w:r>
      <w:r w:rsidR="00424B46" w:rsidRPr="00E95243">
        <w:rPr>
          <w:rFonts w:ascii="Arial" w:hAnsi="Arial" w:cs="Arial"/>
          <w:sz w:val="22"/>
          <w:szCs w:val="22"/>
        </w:rPr>
        <w:t>28</w:t>
      </w:r>
      <w:r w:rsidR="008B0983" w:rsidRPr="00E95243">
        <w:rPr>
          <w:rFonts w:ascii="Arial" w:hAnsi="Arial" w:cs="Arial"/>
          <w:sz w:val="22"/>
          <w:szCs w:val="22"/>
        </w:rPr>
        <w:t xml:space="preserve">(1) of the </w:t>
      </w:r>
      <w:r w:rsidR="000F3877" w:rsidRPr="00E95243">
        <w:rPr>
          <w:rFonts w:ascii="Arial" w:hAnsi="Arial" w:cs="Arial"/>
          <w:sz w:val="22"/>
          <w:szCs w:val="22"/>
        </w:rPr>
        <w:t>MSBS</w:t>
      </w:r>
      <w:r w:rsidR="009F2CAC" w:rsidRPr="00E95243">
        <w:rPr>
          <w:rFonts w:ascii="Arial" w:hAnsi="Arial" w:cs="Arial"/>
          <w:sz w:val="22"/>
          <w:szCs w:val="22"/>
        </w:rPr>
        <w:t> </w:t>
      </w:r>
      <w:r w:rsidR="000F3877" w:rsidRPr="00E95243">
        <w:rPr>
          <w:rFonts w:ascii="Arial" w:hAnsi="Arial" w:cs="Arial"/>
          <w:sz w:val="22"/>
          <w:szCs w:val="22"/>
        </w:rPr>
        <w:t>Rules</w:t>
      </w:r>
      <w:r w:rsidR="00776B13" w:rsidRPr="00E95243">
        <w:rPr>
          <w:rFonts w:ascii="Arial" w:hAnsi="Arial" w:cs="Arial"/>
          <w:sz w:val="22"/>
          <w:szCs w:val="22"/>
        </w:rPr>
        <w:t xml:space="preserve"> </w:t>
      </w:r>
      <w:r w:rsidR="008B0983" w:rsidRPr="00E95243">
        <w:rPr>
          <w:rFonts w:ascii="Arial" w:hAnsi="Arial" w:cs="Arial"/>
          <w:sz w:val="22"/>
          <w:szCs w:val="22"/>
        </w:rPr>
        <w:t>that commenced on or after 20</w:t>
      </w:r>
      <w:r w:rsidR="00086BD0" w:rsidRPr="00E95243">
        <w:rPr>
          <w:rFonts w:ascii="Arial" w:hAnsi="Arial" w:cs="Arial"/>
          <w:sz w:val="22"/>
          <w:szCs w:val="22"/>
        </w:rPr>
        <w:t> </w:t>
      </w:r>
      <w:r w:rsidR="008B0983" w:rsidRPr="00E95243">
        <w:rPr>
          <w:rFonts w:ascii="Arial" w:hAnsi="Arial" w:cs="Arial"/>
          <w:sz w:val="22"/>
          <w:szCs w:val="22"/>
        </w:rPr>
        <w:t>September 2007;</w:t>
      </w:r>
    </w:p>
    <w:p w14:paraId="37FEA97E" w14:textId="3A31E0E5" w:rsidR="00B813C3" w:rsidRPr="00E95243" w:rsidRDefault="008B0983" w:rsidP="00E95243">
      <w:pPr>
        <w:numPr>
          <w:ilvl w:val="0"/>
          <w:numId w:val="21"/>
        </w:numPr>
        <w:spacing w:after="120"/>
        <w:ind w:left="1418" w:hanging="709"/>
        <w:rPr>
          <w:rFonts w:ascii="Arial" w:hAnsi="Arial" w:cs="Arial"/>
          <w:sz w:val="22"/>
          <w:szCs w:val="22"/>
        </w:rPr>
      </w:pPr>
      <w:r w:rsidRPr="00E95243">
        <w:rPr>
          <w:rFonts w:ascii="Arial" w:hAnsi="Arial" w:cs="Arial"/>
          <w:sz w:val="22"/>
          <w:szCs w:val="22"/>
        </w:rPr>
        <w:t xml:space="preserve">superannuation lump sums paid to an </w:t>
      </w:r>
      <w:r w:rsidR="00126DD6" w:rsidRPr="00E95243">
        <w:rPr>
          <w:rFonts w:ascii="Arial" w:hAnsi="Arial" w:cs="Arial"/>
          <w:sz w:val="22"/>
          <w:szCs w:val="22"/>
        </w:rPr>
        <w:t>individual</w:t>
      </w:r>
      <w:r w:rsidRPr="00E95243">
        <w:rPr>
          <w:rFonts w:ascii="Arial" w:hAnsi="Arial" w:cs="Arial"/>
          <w:sz w:val="22"/>
          <w:szCs w:val="22"/>
        </w:rPr>
        <w:t xml:space="preserve"> (reversionary beneficiary) </w:t>
      </w:r>
      <w:r w:rsidR="0068032C" w:rsidRPr="00E95243">
        <w:rPr>
          <w:rFonts w:ascii="Arial" w:hAnsi="Arial" w:cs="Arial"/>
          <w:sz w:val="22"/>
          <w:szCs w:val="22"/>
        </w:rPr>
        <w:t xml:space="preserve">as </w:t>
      </w:r>
      <w:r w:rsidRPr="00E95243">
        <w:rPr>
          <w:rFonts w:ascii="Arial" w:hAnsi="Arial" w:cs="Arial"/>
          <w:sz w:val="22"/>
          <w:szCs w:val="22"/>
        </w:rPr>
        <w:t xml:space="preserve">a pension </w:t>
      </w:r>
      <w:r w:rsidR="0068032C" w:rsidRPr="00E95243">
        <w:rPr>
          <w:rFonts w:ascii="Arial" w:hAnsi="Arial" w:cs="Arial"/>
          <w:sz w:val="22"/>
          <w:szCs w:val="22"/>
        </w:rPr>
        <w:t>in accordance with</w:t>
      </w:r>
      <w:r w:rsidRPr="00E95243">
        <w:rPr>
          <w:rFonts w:ascii="Arial" w:hAnsi="Arial" w:cs="Arial"/>
          <w:sz w:val="22"/>
          <w:szCs w:val="22"/>
        </w:rPr>
        <w:t xml:space="preserve"> rule </w:t>
      </w:r>
      <w:r w:rsidR="00424B46" w:rsidRPr="00E95243">
        <w:rPr>
          <w:rFonts w:ascii="Arial" w:hAnsi="Arial" w:cs="Arial"/>
          <w:sz w:val="22"/>
          <w:szCs w:val="22"/>
        </w:rPr>
        <w:t xml:space="preserve">42(1), </w:t>
      </w:r>
      <w:r w:rsidRPr="00E95243">
        <w:rPr>
          <w:rFonts w:ascii="Arial" w:hAnsi="Arial" w:cs="Arial"/>
          <w:sz w:val="22"/>
          <w:szCs w:val="22"/>
        </w:rPr>
        <w:t xml:space="preserve">rule </w:t>
      </w:r>
      <w:r w:rsidR="00424B46" w:rsidRPr="00E95243">
        <w:rPr>
          <w:rFonts w:ascii="Arial" w:hAnsi="Arial" w:cs="Arial"/>
          <w:sz w:val="22"/>
          <w:szCs w:val="22"/>
        </w:rPr>
        <w:t xml:space="preserve">42(3), or </w:t>
      </w:r>
      <w:r w:rsidRPr="00E95243">
        <w:rPr>
          <w:rFonts w:ascii="Arial" w:hAnsi="Arial" w:cs="Arial"/>
          <w:sz w:val="22"/>
          <w:szCs w:val="22"/>
        </w:rPr>
        <w:t xml:space="preserve">rule </w:t>
      </w:r>
      <w:r w:rsidR="00424B46" w:rsidRPr="00E95243">
        <w:rPr>
          <w:rFonts w:ascii="Arial" w:hAnsi="Arial" w:cs="Arial"/>
          <w:sz w:val="22"/>
          <w:szCs w:val="22"/>
        </w:rPr>
        <w:t xml:space="preserve">46(1) </w:t>
      </w:r>
      <w:r w:rsidRPr="00E95243">
        <w:rPr>
          <w:rFonts w:ascii="Arial" w:hAnsi="Arial" w:cs="Arial"/>
          <w:sz w:val="22"/>
          <w:szCs w:val="22"/>
        </w:rPr>
        <w:t>of the MSBS Rules</w:t>
      </w:r>
      <w:r w:rsidR="00651166" w:rsidRPr="00E95243">
        <w:rPr>
          <w:rFonts w:ascii="Arial" w:hAnsi="Arial" w:cs="Arial"/>
          <w:sz w:val="22"/>
          <w:szCs w:val="22"/>
        </w:rPr>
        <w:t>,</w:t>
      </w:r>
      <w:r w:rsidRPr="00E95243">
        <w:rPr>
          <w:rFonts w:ascii="Arial" w:hAnsi="Arial" w:cs="Arial"/>
          <w:sz w:val="22"/>
          <w:szCs w:val="22"/>
        </w:rPr>
        <w:t xml:space="preserve"> where the primary beneficiary received superannuation benefits </w:t>
      </w:r>
      <w:r w:rsidR="0068032C" w:rsidRPr="00E95243">
        <w:rPr>
          <w:rFonts w:ascii="Arial" w:hAnsi="Arial" w:cs="Arial"/>
          <w:sz w:val="22"/>
          <w:szCs w:val="22"/>
        </w:rPr>
        <w:t xml:space="preserve">as </w:t>
      </w:r>
      <w:r w:rsidRPr="00E95243">
        <w:rPr>
          <w:rFonts w:ascii="Arial" w:hAnsi="Arial" w:cs="Arial"/>
          <w:sz w:val="22"/>
          <w:szCs w:val="22"/>
        </w:rPr>
        <w:t xml:space="preserve">a pension </w:t>
      </w:r>
      <w:r w:rsidR="0068032C" w:rsidRPr="00E95243">
        <w:rPr>
          <w:rFonts w:ascii="Arial" w:hAnsi="Arial" w:cs="Arial"/>
          <w:sz w:val="22"/>
          <w:szCs w:val="22"/>
        </w:rPr>
        <w:t>in accordance with</w:t>
      </w:r>
      <w:r w:rsidRPr="00E95243">
        <w:rPr>
          <w:rFonts w:ascii="Arial" w:hAnsi="Arial" w:cs="Arial"/>
          <w:sz w:val="22"/>
          <w:szCs w:val="22"/>
        </w:rPr>
        <w:t xml:space="preserve"> rule 27(1) or rule 28(1) that commenced on or after 20</w:t>
      </w:r>
      <w:r w:rsidR="009F2CAC" w:rsidRPr="00E95243">
        <w:rPr>
          <w:rFonts w:ascii="Arial" w:hAnsi="Arial" w:cs="Arial"/>
          <w:sz w:val="22"/>
          <w:szCs w:val="22"/>
        </w:rPr>
        <w:t> </w:t>
      </w:r>
      <w:r w:rsidRPr="00E95243">
        <w:rPr>
          <w:rFonts w:ascii="Arial" w:hAnsi="Arial" w:cs="Arial"/>
          <w:sz w:val="22"/>
          <w:szCs w:val="22"/>
        </w:rPr>
        <w:t>September</w:t>
      </w:r>
      <w:r w:rsidR="009F2CAC" w:rsidRPr="00E95243">
        <w:rPr>
          <w:rFonts w:ascii="Arial" w:hAnsi="Arial" w:cs="Arial"/>
          <w:sz w:val="22"/>
          <w:szCs w:val="22"/>
        </w:rPr>
        <w:t> </w:t>
      </w:r>
      <w:r w:rsidRPr="00E95243">
        <w:rPr>
          <w:rFonts w:ascii="Arial" w:hAnsi="Arial" w:cs="Arial"/>
          <w:sz w:val="22"/>
          <w:szCs w:val="22"/>
        </w:rPr>
        <w:t>2007</w:t>
      </w:r>
      <w:r w:rsidR="00A9232B" w:rsidRPr="00E95243">
        <w:rPr>
          <w:rFonts w:ascii="Arial" w:hAnsi="Arial" w:cs="Arial"/>
          <w:color w:val="0000FF"/>
          <w:sz w:val="22"/>
          <w:szCs w:val="22"/>
        </w:rPr>
        <w:t>.</w:t>
      </w:r>
    </w:p>
    <w:p w14:paraId="7C309898" w14:textId="77777777" w:rsidR="00126DD6" w:rsidRPr="00E95243" w:rsidRDefault="00126DD6" w:rsidP="00E95243">
      <w:pPr>
        <w:spacing w:after="120"/>
        <w:rPr>
          <w:rFonts w:ascii="Arial" w:hAnsi="Arial" w:cs="Arial"/>
          <w:sz w:val="22"/>
          <w:szCs w:val="22"/>
        </w:rPr>
      </w:pPr>
    </w:p>
    <w:p w14:paraId="1EEB9A91" w14:textId="77777777" w:rsidR="00543981" w:rsidRPr="00E95243" w:rsidRDefault="00B813C3" w:rsidP="00E95243">
      <w:pPr>
        <w:pStyle w:val="Heading2"/>
        <w:numPr>
          <w:ilvl w:val="0"/>
          <w:numId w:val="2"/>
        </w:numPr>
        <w:tabs>
          <w:tab w:val="clear" w:pos="720"/>
        </w:tabs>
        <w:ind w:left="709" w:hanging="709"/>
        <w:rPr>
          <w:rFonts w:cs="Arial"/>
          <w:szCs w:val="22"/>
        </w:rPr>
      </w:pPr>
      <w:r w:rsidRPr="00E95243">
        <w:rPr>
          <w:rFonts w:cs="Arial"/>
          <w:szCs w:val="22"/>
        </w:rPr>
        <w:t>Definitions</w:t>
      </w:r>
    </w:p>
    <w:p w14:paraId="1AFAB27B" w14:textId="77777777" w:rsidR="00E95243" w:rsidRPr="00E95243" w:rsidRDefault="00885799" w:rsidP="00E95243">
      <w:pPr>
        <w:spacing w:after="120"/>
        <w:rPr>
          <w:rFonts w:ascii="Arial" w:hAnsi="Arial" w:cs="Arial"/>
          <w:sz w:val="22"/>
          <w:szCs w:val="22"/>
        </w:rPr>
      </w:pPr>
      <w:r w:rsidRPr="00E95243">
        <w:rPr>
          <w:rFonts w:ascii="Arial" w:hAnsi="Arial" w:cs="Arial"/>
          <w:sz w:val="22"/>
          <w:szCs w:val="22"/>
        </w:rPr>
        <w:t xml:space="preserve">DFRDB Act means the </w:t>
      </w:r>
      <w:r w:rsidRPr="00E95243">
        <w:rPr>
          <w:rFonts w:ascii="Arial" w:hAnsi="Arial" w:cs="Arial"/>
          <w:i/>
          <w:iCs/>
          <w:sz w:val="22"/>
          <w:szCs w:val="22"/>
        </w:rPr>
        <w:t>Defence Force Retirement and Death Benefits Act 1973</w:t>
      </w:r>
      <w:r w:rsidRPr="00E95243">
        <w:rPr>
          <w:rFonts w:ascii="Arial" w:hAnsi="Arial" w:cs="Arial"/>
          <w:sz w:val="22"/>
          <w:szCs w:val="22"/>
        </w:rPr>
        <w:t>.</w:t>
      </w:r>
    </w:p>
    <w:p w14:paraId="28A23C11" w14:textId="77777777" w:rsidR="00E95243" w:rsidRPr="00E95243" w:rsidRDefault="00885799" w:rsidP="00E95243">
      <w:pPr>
        <w:spacing w:after="120"/>
        <w:rPr>
          <w:rFonts w:ascii="Arial" w:hAnsi="Arial" w:cs="Arial"/>
          <w:sz w:val="22"/>
          <w:szCs w:val="22"/>
        </w:rPr>
      </w:pPr>
      <w:r w:rsidRPr="00E95243">
        <w:rPr>
          <w:rFonts w:ascii="Arial" w:hAnsi="Arial" w:cs="Arial"/>
          <w:sz w:val="22"/>
          <w:szCs w:val="22"/>
        </w:rPr>
        <w:t xml:space="preserve">ITAA 1997 means the </w:t>
      </w:r>
      <w:r w:rsidRPr="00E95243">
        <w:rPr>
          <w:rFonts w:ascii="Arial" w:hAnsi="Arial" w:cs="Arial"/>
          <w:i/>
          <w:iCs/>
          <w:sz w:val="22"/>
          <w:szCs w:val="22"/>
        </w:rPr>
        <w:t>Income Tax Assessment Act 1997</w:t>
      </w:r>
      <w:r w:rsidRPr="00E95243">
        <w:rPr>
          <w:rFonts w:ascii="Arial" w:hAnsi="Arial" w:cs="Arial"/>
          <w:sz w:val="22"/>
          <w:szCs w:val="22"/>
        </w:rPr>
        <w:t>.</w:t>
      </w:r>
    </w:p>
    <w:p w14:paraId="1B4B1457" w14:textId="1E9DD933" w:rsidR="00B60CEF" w:rsidRPr="00E95243" w:rsidRDefault="00885799" w:rsidP="00E95243">
      <w:pPr>
        <w:spacing w:after="120"/>
        <w:rPr>
          <w:rFonts w:ascii="Arial" w:hAnsi="Arial" w:cs="Arial"/>
          <w:sz w:val="22"/>
          <w:szCs w:val="22"/>
        </w:rPr>
      </w:pPr>
      <w:r w:rsidRPr="00E95243">
        <w:rPr>
          <w:rFonts w:ascii="Arial" w:hAnsi="Arial" w:cs="Arial"/>
          <w:sz w:val="22"/>
          <w:szCs w:val="22"/>
        </w:rPr>
        <w:t xml:space="preserve">MSBS Act means the </w:t>
      </w:r>
      <w:r w:rsidRPr="00E95243">
        <w:rPr>
          <w:rFonts w:ascii="Arial" w:hAnsi="Arial" w:cs="Arial"/>
          <w:i/>
          <w:iCs/>
          <w:sz w:val="22"/>
          <w:szCs w:val="22"/>
        </w:rPr>
        <w:t>Military Superannuation and Benefits Act 1991</w:t>
      </w:r>
      <w:r w:rsidRPr="00E95243">
        <w:rPr>
          <w:rFonts w:ascii="Arial" w:hAnsi="Arial" w:cs="Arial"/>
          <w:sz w:val="22"/>
          <w:szCs w:val="22"/>
        </w:rPr>
        <w:t>.</w:t>
      </w:r>
    </w:p>
    <w:p w14:paraId="3FA2BCDF" w14:textId="77777777" w:rsidR="00E95243" w:rsidRPr="00E95243" w:rsidRDefault="00B60CEF" w:rsidP="00E95243">
      <w:pPr>
        <w:spacing w:after="120"/>
        <w:rPr>
          <w:rFonts w:ascii="Arial" w:hAnsi="Arial" w:cs="Arial"/>
          <w:sz w:val="22"/>
          <w:szCs w:val="22"/>
        </w:rPr>
      </w:pPr>
      <w:r w:rsidRPr="00E95243">
        <w:rPr>
          <w:rFonts w:ascii="Arial" w:hAnsi="Arial" w:cs="Arial"/>
          <w:sz w:val="22"/>
          <w:szCs w:val="22"/>
        </w:rPr>
        <w:t>MSBS Rules means the Military Superannuation and Benefits Rules set out in the Schedule to the Trust Deed referred to in section 4 of the MSBS Act.</w:t>
      </w:r>
    </w:p>
    <w:p w14:paraId="79C54C6C" w14:textId="2111B6E9" w:rsidR="00E95243" w:rsidRPr="00E95243" w:rsidRDefault="003220C6" w:rsidP="00E95243">
      <w:pPr>
        <w:spacing w:after="120"/>
        <w:rPr>
          <w:rFonts w:ascii="Arial" w:hAnsi="Arial" w:cs="Arial"/>
          <w:sz w:val="22"/>
          <w:szCs w:val="22"/>
        </w:rPr>
      </w:pPr>
      <w:r w:rsidRPr="00E95243">
        <w:rPr>
          <w:rFonts w:ascii="Arial" w:hAnsi="Arial" w:cs="Arial"/>
          <w:sz w:val="22"/>
          <w:szCs w:val="22"/>
        </w:rPr>
        <w:t>Terms in this instrument that are defined in</w:t>
      </w:r>
      <w:r w:rsidR="00402319" w:rsidRPr="00E95243">
        <w:rPr>
          <w:rFonts w:ascii="Arial" w:hAnsi="Arial" w:cs="Arial"/>
          <w:sz w:val="22"/>
          <w:szCs w:val="22"/>
        </w:rPr>
        <w:t xml:space="preserve"> the </w:t>
      </w:r>
      <w:r w:rsidR="00402319" w:rsidRPr="00E95243">
        <w:rPr>
          <w:rFonts w:ascii="Arial" w:hAnsi="Arial" w:cs="Arial"/>
          <w:i/>
          <w:iCs/>
          <w:sz w:val="22"/>
          <w:szCs w:val="22"/>
        </w:rPr>
        <w:t>Income Tax Assessment Act 1997</w:t>
      </w:r>
      <w:r w:rsidRPr="00E95243">
        <w:rPr>
          <w:rFonts w:ascii="Arial" w:hAnsi="Arial" w:cs="Arial"/>
          <w:sz w:val="22"/>
          <w:szCs w:val="22"/>
        </w:rPr>
        <w:t xml:space="preserve"> have the same meaning as in that Act.</w:t>
      </w:r>
    </w:p>
    <w:p w14:paraId="3BD8477B" w14:textId="0F3EDD87" w:rsidR="00C819BF" w:rsidRPr="00E95243" w:rsidRDefault="003220C6" w:rsidP="00E95243">
      <w:pPr>
        <w:spacing w:after="120"/>
        <w:rPr>
          <w:rFonts w:ascii="Arial" w:hAnsi="Arial" w:cs="Arial"/>
          <w:sz w:val="22"/>
          <w:szCs w:val="22"/>
        </w:rPr>
      </w:pPr>
      <w:r w:rsidRPr="00E95243">
        <w:rPr>
          <w:rFonts w:ascii="Arial" w:hAnsi="Arial" w:cs="Arial"/>
          <w:sz w:val="22"/>
          <w:szCs w:val="22"/>
        </w:rPr>
        <w:t>Terms in this instrument that are defined in</w:t>
      </w:r>
      <w:r w:rsidR="00D34EB3" w:rsidRPr="00E95243">
        <w:rPr>
          <w:rFonts w:ascii="Arial" w:hAnsi="Arial" w:cs="Arial"/>
          <w:sz w:val="22"/>
          <w:szCs w:val="22"/>
        </w:rPr>
        <w:t xml:space="preserve"> </w:t>
      </w:r>
      <w:r w:rsidR="00402319" w:rsidRPr="00E95243">
        <w:rPr>
          <w:rFonts w:ascii="Arial" w:hAnsi="Arial" w:cs="Arial"/>
          <w:sz w:val="22"/>
          <w:szCs w:val="22"/>
        </w:rPr>
        <w:t xml:space="preserve">the </w:t>
      </w:r>
      <w:r w:rsidR="009F2CAC" w:rsidRPr="00E95243">
        <w:rPr>
          <w:rFonts w:ascii="Arial" w:hAnsi="Arial" w:cs="Arial"/>
          <w:i/>
          <w:iCs/>
          <w:sz w:val="22"/>
          <w:szCs w:val="22"/>
        </w:rPr>
        <w:t>Defence Force Retirement and Death Benefits Act 1973</w:t>
      </w:r>
      <w:r w:rsidR="00902C09" w:rsidRPr="00E95243">
        <w:rPr>
          <w:rFonts w:ascii="Arial" w:hAnsi="Arial" w:cs="Arial"/>
          <w:sz w:val="22"/>
          <w:szCs w:val="22"/>
        </w:rPr>
        <w:t xml:space="preserve"> </w:t>
      </w:r>
      <w:r w:rsidR="00D34EB3" w:rsidRPr="00E95243">
        <w:rPr>
          <w:rFonts w:ascii="Arial" w:hAnsi="Arial" w:cs="Arial"/>
          <w:sz w:val="22"/>
          <w:szCs w:val="22"/>
        </w:rPr>
        <w:t xml:space="preserve">and the </w:t>
      </w:r>
      <w:r w:rsidR="00540380" w:rsidRPr="00E95243">
        <w:rPr>
          <w:rFonts w:ascii="Arial" w:hAnsi="Arial" w:cs="Arial"/>
          <w:i/>
          <w:iCs/>
          <w:sz w:val="22"/>
          <w:szCs w:val="22"/>
        </w:rPr>
        <w:t>Military Superannuation and Benefits Act 1991</w:t>
      </w:r>
      <w:r w:rsidRPr="00E95243">
        <w:rPr>
          <w:rFonts w:ascii="Arial" w:hAnsi="Arial" w:cs="Arial"/>
          <w:sz w:val="22"/>
          <w:szCs w:val="22"/>
        </w:rPr>
        <w:t xml:space="preserve"> have the same meaning as in those Acts, to the extent relevant</w:t>
      </w:r>
      <w:r w:rsidR="00D34EB3" w:rsidRPr="00E95243">
        <w:rPr>
          <w:rFonts w:ascii="Arial" w:hAnsi="Arial" w:cs="Arial"/>
          <w:sz w:val="22"/>
          <w:szCs w:val="22"/>
        </w:rPr>
        <w:t>.</w:t>
      </w:r>
    </w:p>
    <w:p w14:paraId="373D8E8A" w14:textId="4F921A4D" w:rsidR="003842A6" w:rsidRPr="00E95243" w:rsidRDefault="003842A6" w:rsidP="00E95243">
      <w:pPr>
        <w:spacing w:after="120"/>
        <w:rPr>
          <w:rFonts w:ascii="Arial" w:hAnsi="Arial" w:cs="Arial"/>
          <w:sz w:val="22"/>
          <w:szCs w:val="22"/>
        </w:rPr>
      </w:pPr>
    </w:p>
    <w:p w14:paraId="6CDDE250" w14:textId="77777777" w:rsidR="00530A7C" w:rsidRPr="00E95243" w:rsidRDefault="00530A7C" w:rsidP="00E95243">
      <w:pPr>
        <w:keepNext/>
        <w:keepLines/>
        <w:numPr>
          <w:ilvl w:val="0"/>
          <w:numId w:val="2"/>
        </w:numPr>
        <w:tabs>
          <w:tab w:val="clear" w:pos="720"/>
        </w:tabs>
        <w:spacing w:after="120"/>
        <w:ind w:left="709" w:hanging="709"/>
        <w:outlineLvl w:val="1"/>
        <w:rPr>
          <w:rFonts w:ascii="Arial" w:eastAsiaTheme="majorEastAsia" w:hAnsi="Arial" w:cs="Arial"/>
          <w:b/>
          <w:bCs/>
          <w:sz w:val="22"/>
          <w:szCs w:val="22"/>
          <w:lang w:eastAsia="en-US"/>
        </w:rPr>
      </w:pPr>
      <w:r w:rsidRPr="00E95243">
        <w:rPr>
          <w:rFonts w:ascii="Arial" w:eastAsiaTheme="majorEastAsia" w:hAnsi="Arial" w:cs="Arial"/>
          <w:b/>
          <w:bCs/>
          <w:sz w:val="22"/>
          <w:szCs w:val="22"/>
          <w:lang w:eastAsia="en-US"/>
        </w:rPr>
        <w:t>Repeals</w:t>
      </w:r>
    </w:p>
    <w:p w14:paraId="173FF972" w14:textId="4534025D" w:rsidR="00530A7C" w:rsidRPr="00E95243" w:rsidRDefault="00530A7C" w:rsidP="00E95243">
      <w:pPr>
        <w:spacing w:after="120"/>
        <w:rPr>
          <w:rFonts w:ascii="Arial" w:hAnsi="Arial" w:cs="Arial"/>
          <w:sz w:val="22"/>
          <w:szCs w:val="22"/>
        </w:rPr>
      </w:pPr>
      <w:r w:rsidRPr="00E95243">
        <w:rPr>
          <w:rFonts w:ascii="Arial" w:hAnsi="Arial" w:cs="Arial"/>
          <w:sz w:val="22"/>
          <w:szCs w:val="22"/>
        </w:rPr>
        <w:t>Each instrument that is specified in Schedule 1 to this instrument is repealed as set out in the applicable items in that Schedule</w:t>
      </w:r>
      <w:r w:rsidR="003220C6" w:rsidRPr="00E95243">
        <w:rPr>
          <w:rFonts w:ascii="Arial" w:hAnsi="Arial" w:cs="Arial"/>
          <w:sz w:val="22"/>
          <w:szCs w:val="22"/>
        </w:rPr>
        <w:t>.</w:t>
      </w:r>
    </w:p>
    <w:p w14:paraId="0C5150ED" w14:textId="77777777" w:rsidR="00530A7C" w:rsidRPr="00E95243" w:rsidRDefault="00530A7C" w:rsidP="00E95243">
      <w:pPr>
        <w:spacing w:after="120"/>
        <w:rPr>
          <w:rFonts w:ascii="Arial" w:hAnsi="Arial" w:cs="Arial"/>
          <w:sz w:val="22"/>
          <w:szCs w:val="22"/>
        </w:rPr>
      </w:pPr>
    </w:p>
    <w:p w14:paraId="269A44A7" w14:textId="77777777" w:rsidR="00530A7C" w:rsidRPr="00E95243" w:rsidRDefault="00530A7C" w:rsidP="00E95243">
      <w:pPr>
        <w:pStyle w:val="Heding1"/>
        <w:spacing w:after="120"/>
      </w:pPr>
      <w:r w:rsidRPr="00E95243">
        <w:t>Schedule 1</w:t>
      </w:r>
    </w:p>
    <w:p w14:paraId="0748891F" w14:textId="38E4A78C" w:rsidR="00530A7C" w:rsidRPr="00E95243" w:rsidRDefault="001A3014" w:rsidP="00E95243">
      <w:pPr>
        <w:pStyle w:val="Heading2"/>
        <w:ind w:left="0" w:firstLine="0"/>
        <w:rPr>
          <w:rFonts w:cs="Arial"/>
          <w:b w:val="0"/>
          <w:bCs w:val="0"/>
          <w:szCs w:val="22"/>
        </w:rPr>
      </w:pPr>
      <w:r w:rsidRPr="00E95243">
        <w:rPr>
          <w:rFonts w:cs="Arial"/>
          <w:i/>
          <w:iCs/>
          <w:szCs w:val="22"/>
        </w:rPr>
        <w:t xml:space="preserve">Income Tax: Pre-1 July 2021 alternative method for calculating the </w:t>
      </w:r>
      <w:proofErr w:type="gramStart"/>
      <w:r w:rsidRPr="00E95243">
        <w:rPr>
          <w:rFonts w:cs="Arial"/>
          <w:i/>
          <w:iCs/>
          <w:szCs w:val="22"/>
        </w:rPr>
        <w:t>tax free</w:t>
      </w:r>
      <w:proofErr w:type="gramEnd"/>
      <w:r w:rsidRPr="00E95243">
        <w:rPr>
          <w:rFonts w:cs="Arial"/>
          <w:i/>
          <w:iCs/>
          <w:szCs w:val="22"/>
        </w:rPr>
        <w:t xml:space="preserve"> component and taxable component of a superannuation benefit for recipients of certain pensions under the Defence Force Retirement and Death Benefits Act 1973 and the Trust Deed referred to in section 4 of the Military Superannuation and Benefits Act 1991</w:t>
      </w:r>
      <w:r w:rsidR="00530A7C" w:rsidRPr="00E95243">
        <w:rPr>
          <w:rFonts w:cs="Arial"/>
          <w:szCs w:val="22"/>
        </w:rPr>
        <w:t xml:space="preserve"> (</w:t>
      </w:r>
      <w:r w:rsidRPr="00E95243">
        <w:rPr>
          <w:rFonts w:cs="Arial"/>
          <w:szCs w:val="22"/>
        </w:rPr>
        <w:t>F2021L00901</w:t>
      </w:r>
      <w:r w:rsidR="00530A7C" w:rsidRPr="00E95243">
        <w:rPr>
          <w:rFonts w:cs="Arial"/>
          <w:szCs w:val="22"/>
        </w:rPr>
        <w:t>)</w:t>
      </w:r>
    </w:p>
    <w:p w14:paraId="04C1248F" w14:textId="77777777" w:rsidR="00530A7C" w:rsidRPr="00E95243" w:rsidRDefault="00530A7C" w:rsidP="00E95243">
      <w:pPr>
        <w:numPr>
          <w:ilvl w:val="0"/>
          <w:numId w:val="27"/>
        </w:numPr>
        <w:spacing w:after="120"/>
        <w:ind w:left="709" w:hanging="709"/>
        <w:rPr>
          <w:rFonts w:ascii="Arial" w:hAnsi="Arial" w:cs="Arial"/>
          <w:sz w:val="22"/>
          <w:szCs w:val="22"/>
        </w:rPr>
      </w:pPr>
      <w:r w:rsidRPr="00E95243">
        <w:rPr>
          <w:rFonts w:ascii="Arial" w:hAnsi="Arial" w:cs="Arial"/>
          <w:sz w:val="22"/>
          <w:szCs w:val="22"/>
        </w:rPr>
        <w:t>The whole of the instrument</w:t>
      </w:r>
    </w:p>
    <w:p w14:paraId="00A44191" w14:textId="77777777" w:rsidR="00530A7C" w:rsidRPr="00E95243" w:rsidRDefault="00530A7C" w:rsidP="00E95243">
      <w:pPr>
        <w:spacing w:after="120"/>
        <w:rPr>
          <w:rFonts w:ascii="Arial" w:hAnsi="Arial" w:cs="Arial"/>
          <w:sz w:val="22"/>
          <w:szCs w:val="22"/>
        </w:rPr>
      </w:pPr>
    </w:p>
    <w:p w14:paraId="38741352" w14:textId="36FC6CD1" w:rsidR="00530A7C" w:rsidRPr="00E95243" w:rsidRDefault="002D0499" w:rsidP="00E95243">
      <w:pPr>
        <w:pStyle w:val="Heading2"/>
        <w:ind w:left="0" w:firstLine="0"/>
        <w:rPr>
          <w:rFonts w:cs="Arial"/>
          <w:b w:val="0"/>
          <w:bCs w:val="0"/>
          <w:i/>
          <w:iCs/>
          <w:szCs w:val="22"/>
        </w:rPr>
      </w:pPr>
      <w:r w:rsidRPr="00E95243">
        <w:rPr>
          <w:rFonts w:cs="Arial"/>
          <w:i/>
          <w:iCs/>
          <w:szCs w:val="22"/>
        </w:rPr>
        <w:t xml:space="preserve">Income Tax: Alternative method for calculating the </w:t>
      </w:r>
      <w:proofErr w:type="gramStart"/>
      <w:r w:rsidRPr="00E95243">
        <w:rPr>
          <w:rFonts w:cs="Arial"/>
          <w:i/>
          <w:iCs/>
          <w:szCs w:val="22"/>
        </w:rPr>
        <w:t>tax free</w:t>
      </w:r>
      <w:proofErr w:type="gramEnd"/>
      <w:r w:rsidRPr="00E95243">
        <w:rPr>
          <w:rFonts w:cs="Arial"/>
          <w:i/>
          <w:iCs/>
          <w:szCs w:val="22"/>
        </w:rPr>
        <w:t xml:space="preserve"> component and taxable component of a superannuation benefit paid during the 2021–22 financial year for recipients of certain pensions under the Defence Force Retirement and Death Benefits Act 1973 and the Trust Deed referred to in section 4 of the Military Superannuation and Benefits Act 1991 </w:t>
      </w:r>
      <w:r w:rsidR="00822BCD" w:rsidRPr="00E95243">
        <w:rPr>
          <w:rFonts w:cs="Arial"/>
          <w:szCs w:val="22"/>
        </w:rPr>
        <w:t>(F2022L00004)</w:t>
      </w:r>
    </w:p>
    <w:p w14:paraId="5815FABE" w14:textId="77777777" w:rsidR="00530A7C" w:rsidRPr="00E95243" w:rsidRDefault="00530A7C" w:rsidP="00E95243">
      <w:pPr>
        <w:numPr>
          <w:ilvl w:val="0"/>
          <w:numId w:val="27"/>
        </w:numPr>
        <w:spacing w:after="120"/>
        <w:ind w:left="709" w:hanging="709"/>
        <w:rPr>
          <w:rFonts w:ascii="Arial" w:hAnsi="Arial" w:cs="Arial"/>
          <w:sz w:val="22"/>
          <w:szCs w:val="22"/>
        </w:rPr>
      </w:pPr>
      <w:r w:rsidRPr="00E95243">
        <w:rPr>
          <w:rFonts w:ascii="Arial" w:hAnsi="Arial" w:cs="Arial"/>
          <w:sz w:val="22"/>
          <w:szCs w:val="22"/>
        </w:rPr>
        <w:t>The whole of the instrument</w:t>
      </w:r>
    </w:p>
    <w:sectPr w:rsidR="00530A7C" w:rsidRPr="00E95243" w:rsidSect="00126DD6">
      <w:headerReference w:type="first" r:id="rId8"/>
      <w:pgSz w:w="11906" w:h="16838" w:code="9"/>
      <w:pgMar w:top="1077"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A125" w14:textId="77777777" w:rsidR="003D43AE" w:rsidRDefault="003D43AE">
      <w:r>
        <w:separator/>
      </w:r>
    </w:p>
  </w:endnote>
  <w:endnote w:type="continuationSeparator" w:id="0">
    <w:p w14:paraId="4286481A" w14:textId="77777777" w:rsidR="003D43AE" w:rsidRDefault="003D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4F176" w14:textId="77777777" w:rsidR="003D43AE" w:rsidRDefault="003D43AE">
      <w:r>
        <w:separator/>
      </w:r>
    </w:p>
  </w:footnote>
  <w:footnote w:type="continuationSeparator" w:id="0">
    <w:p w14:paraId="697BF1C7" w14:textId="77777777" w:rsidR="003D43AE" w:rsidRDefault="003D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6E58" w14:textId="11DD4093" w:rsidR="00F652F9" w:rsidRPr="00767CE8" w:rsidRDefault="00F652F9" w:rsidP="00F652F9">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FA1DF9">
      <w:rPr>
        <w:rFonts w:ascii="Arial" w:hAnsi="Arial" w:cs="Arial"/>
        <w:b/>
        <w:sz w:val="22"/>
        <w:szCs w:val="22"/>
      </w:rPr>
      <w:t>202</w:t>
    </w:r>
    <w:r w:rsidR="008E3681">
      <w:rPr>
        <w:rFonts w:ascii="Arial" w:hAnsi="Arial" w:cs="Arial"/>
        <w:b/>
        <w:sz w:val="22"/>
        <w:szCs w:val="22"/>
      </w:rPr>
      <w:t>2</w:t>
    </w:r>
    <w:r w:rsidR="00FA1DF9" w:rsidRPr="00674198">
      <w:rPr>
        <w:rFonts w:ascii="Arial" w:hAnsi="Arial" w:cs="Arial"/>
        <w:b/>
        <w:sz w:val="22"/>
        <w:szCs w:val="22"/>
      </w:rPr>
      <w:t>/SE</w:t>
    </w:r>
    <w:r w:rsidR="00FA1DF9" w:rsidRPr="00F46583">
      <w:rPr>
        <w:rFonts w:ascii="Arial" w:hAnsi="Arial" w:cs="Arial"/>
        <w:b/>
        <w:sz w:val="22"/>
        <w:szCs w:val="22"/>
      </w:rPr>
      <w:t>O/</w:t>
    </w:r>
    <w:r w:rsidR="00671819">
      <w:rPr>
        <w:rFonts w:ascii="Arial" w:hAnsi="Arial" w:cs="Arial"/>
        <w:b/>
        <w:sz w:val="22"/>
        <w:szCs w:val="22"/>
      </w:rPr>
      <w:t>0027</w:t>
    </w:r>
  </w:p>
  <w:p w14:paraId="3BF95098" w14:textId="77777777" w:rsidR="00F233B1" w:rsidRPr="00001B90" w:rsidRDefault="00001B90">
    <w:pPr>
      <w:pStyle w:val="Header"/>
      <w:rPr>
        <w:sz w:val="20"/>
        <w:szCs w:val="20"/>
      </w:rPr>
    </w:pPr>
    <w:r w:rsidRPr="00001B90">
      <w:rPr>
        <w:noProof/>
        <w:sz w:val="20"/>
        <w:szCs w:val="20"/>
      </w:rPr>
      <w:drawing>
        <wp:inline distT="0" distB="0" distL="0" distR="0" wp14:anchorId="3BF9509A" wp14:editId="3538CD3E">
          <wp:extent cx="2413635" cy="701675"/>
          <wp:effectExtent l="0" t="0" r="5715" b="3175"/>
          <wp:docPr id="2"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3BF95099" w14:textId="770679D4" w:rsidR="00001B90" w:rsidRPr="00001B90" w:rsidRDefault="00001B9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72B8"/>
    <w:multiLevelType w:val="hybridMultilevel"/>
    <w:tmpl w:val="95F8B9FE"/>
    <w:lvl w:ilvl="0" w:tplc="2EC6F2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851FB9"/>
    <w:multiLevelType w:val="hybridMultilevel"/>
    <w:tmpl w:val="6F0803C6"/>
    <w:lvl w:ilvl="0" w:tplc="B75838D0">
      <w:start w:val="1"/>
      <w:numFmt w:val="decimal"/>
      <w:lvlText w:val="%1."/>
      <w:lvlJc w:val="left"/>
      <w:pPr>
        <w:tabs>
          <w:tab w:val="num" w:pos="1080"/>
        </w:tabs>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D52CBE"/>
    <w:multiLevelType w:val="hybridMultilevel"/>
    <w:tmpl w:val="52A4C4B2"/>
    <w:lvl w:ilvl="0" w:tplc="E94241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040429"/>
    <w:multiLevelType w:val="hybridMultilevel"/>
    <w:tmpl w:val="A86495D2"/>
    <w:lvl w:ilvl="0" w:tplc="AAF89F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8540E"/>
    <w:multiLevelType w:val="hybridMultilevel"/>
    <w:tmpl w:val="C6368ED2"/>
    <w:lvl w:ilvl="0" w:tplc="0C09000F">
      <w:start w:val="1"/>
      <w:numFmt w:val="decimal"/>
      <w:lvlText w:val="%1."/>
      <w:lvlJc w:val="left"/>
      <w:pPr>
        <w:tabs>
          <w:tab w:val="num" w:pos="8370"/>
        </w:tabs>
        <w:ind w:left="8370" w:hanging="360"/>
      </w:pPr>
    </w:lvl>
    <w:lvl w:ilvl="1" w:tplc="0C090019" w:tentative="1">
      <w:start w:val="1"/>
      <w:numFmt w:val="lowerLetter"/>
      <w:lvlText w:val="%2."/>
      <w:lvlJc w:val="left"/>
      <w:pPr>
        <w:tabs>
          <w:tab w:val="num" w:pos="9090"/>
        </w:tabs>
        <w:ind w:left="9090" w:hanging="360"/>
      </w:pPr>
    </w:lvl>
    <w:lvl w:ilvl="2" w:tplc="0C09001B" w:tentative="1">
      <w:start w:val="1"/>
      <w:numFmt w:val="lowerRoman"/>
      <w:lvlText w:val="%3."/>
      <w:lvlJc w:val="right"/>
      <w:pPr>
        <w:tabs>
          <w:tab w:val="num" w:pos="9810"/>
        </w:tabs>
        <w:ind w:left="9810" w:hanging="180"/>
      </w:pPr>
    </w:lvl>
    <w:lvl w:ilvl="3" w:tplc="0C09000F" w:tentative="1">
      <w:start w:val="1"/>
      <w:numFmt w:val="decimal"/>
      <w:lvlText w:val="%4."/>
      <w:lvlJc w:val="left"/>
      <w:pPr>
        <w:tabs>
          <w:tab w:val="num" w:pos="10530"/>
        </w:tabs>
        <w:ind w:left="10530" w:hanging="360"/>
      </w:pPr>
    </w:lvl>
    <w:lvl w:ilvl="4" w:tplc="0C090019" w:tentative="1">
      <w:start w:val="1"/>
      <w:numFmt w:val="lowerLetter"/>
      <w:lvlText w:val="%5."/>
      <w:lvlJc w:val="left"/>
      <w:pPr>
        <w:tabs>
          <w:tab w:val="num" w:pos="11250"/>
        </w:tabs>
        <w:ind w:left="11250" w:hanging="360"/>
      </w:pPr>
    </w:lvl>
    <w:lvl w:ilvl="5" w:tplc="0C09001B" w:tentative="1">
      <w:start w:val="1"/>
      <w:numFmt w:val="lowerRoman"/>
      <w:lvlText w:val="%6."/>
      <w:lvlJc w:val="right"/>
      <w:pPr>
        <w:tabs>
          <w:tab w:val="num" w:pos="11970"/>
        </w:tabs>
        <w:ind w:left="11970" w:hanging="180"/>
      </w:pPr>
    </w:lvl>
    <w:lvl w:ilvl="6" w:tplc="0C09000F" w:tentative="1">
      <w:start w:val="1"/>
      <w:numFmt w:val="decimal"/>
      <w:lvlText w:val="%7."/>
      <w:lvlJc w:val="left"/>
      <w:pPr>
        <w:tabs>
          <w:tab w:val="num" w:pos="12690"/>
        </w:tabs>
        <w:ind w:left="12690" w:hanging="360"/>
      </w:pPr>
    </w:lvl>
    <w:lvl w:ilvl="7" w:tplc="0C090019" w:tentative="1">
      <w:start w:val="1"/>
      <w:numFmt w:val="lowerLetter"/>
      <w:lvlText w:val="%8."/>
      <w:lvlJc w:val="left"/>
      <w:pPr>
        <w:tabs>
          <w:tab w:val="num" w:pos="13410"/>
        </w:tabs>
        <w:ind w:left="13410" w:hanging="360"/>
      </w:pPr>
    </w:lvl>
    <w:lvl w:ilvl="8" w:tplc="0C09001B" w:tentative="1">
      <w:start w:val="1"/>
      <w:numFmt w:val="lowerRoman"/>
      <w:lvlText w:val="%9."/>
      <w:lvlJc w:val="right"/>
      <w:pPr>
        <w:tabs>
          <w:tab w:val="num" w:pos="14130"/>
        </w:tabs>
        <w:ind w:left="14130" w:hanging="180"/>
      </w:pPr>
    </w:lvl>
  </w:abstractNum>
  <w:abstractNum w:abstractNumId="5" w15:restartNumberingAfterBreak="0">
    <w:nsid w:val="138C0E0D"/>
    <w:multiLevelType w:val="hybridMultilevel"/>
    <w:tmpl w:val="9A38EA0A"/>
    <w:lvl w:ilvl="0" w:tplc="AFDC21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11D84"/>
    <w:multiLevelType w:val="hybridMultilevel"/>
    <w:tmpl w:val="1536F832"/>
    <w:lvl w:ilvl="0" w:tplc="DF3EDEA2">
      <w:start w:val="1"/>
      <w:numFmt w:val="decimal"/>
      <w:lvlText w:val="%1."/>
      <w:lvlJc w:val="left"/>
      <w:pPr>
        <w:tabs>
          <w:tab w:val="num" w:pos="720"/>
        </w:tabs>
        <w:ind w:left="72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5F03BBF"/>
    <w:multiLevelType w:val="hybridMultilevel"/>
    <w:tmpl w:val="8960914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C657EBE"/>
    <w:multiLevelType w:val="hybridMultilevel"/>
    <w:tmpl w:val="4AA89E10"/>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CCD1B91"/>
    <w:multiLevelType w:val="hybridMultilevel"/>
    <w:tmpl w:val="7804B5C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0" w15:restartNumberingAfterBreak="0">
    <w:nsid w:val="1CE6655E"/>
    <w:multiLevelType w:val="hybridMultilevel"/>
    <w:tmpl w:val="A34C329E"/>
    <w:lvl w:ilvl="0" w:tplc="F576438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8433E30"/>
    <w:multiLevelType w:val="hybridMultilevel"/>
    <w:tmpl w:val="163C4176"/>
    <w:lvl w:ilvl="0" w:tplc="AAF89F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1E05E4"/>
    <w:multiLevelType w:val="hybridMultilevel"/>
    <w:tmpl w:val="54D84F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877A55"/>
    <w:multiLevelType w:val="hybridMultilevel"/>
    <w:tmpl w:val="9D789F4C"/>
    <w:lvl w:ilvl="0" w:tplc="B7EC8B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8660A3"/>
    <w:multiLevelType w:val="hybridMultilevel"/>
    <w:tmpl w:val="3094E270"/>
    <w:lvl w:ilvl="0" w:tplc="C402FD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02568B"/>
    <w:multiLevelType w:val="hybridMultilevel"/>
    <w:tmpl w:val="280CDCEE"/>
    <w:lvl w:ilvl="0" w:tplc="5A2CAFE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CE37FD"/>
    <w:multiLevelType w:val="hybridMultilevel"/>
    <w:tmpl w:val="23F02466"/>
    <w:lvl w:ilvl="0" w:tplc="D97ABF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7885DD0"/>
    <w:multiLevelType w:val="hybridMultilevel"/>
    <w:tmpl w:val="7FBE44CA"/>
    <w:lvl w:ilvl="0" w:tplc="DA9E72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462B4A"/>
    <w:multiLevelType w:val="hybridMultilevel"/>
    <w:tmpl w:val="955EDB36"/>
    <w:lvl w:ilvl="0" w:tplc="DF3EDEA2">
      <w:start w:val="1"/>
      <w:numFmt w:val="decimal"/>
      <w:lvlText w:val="%1."/>
      <w:lvlJc w:val="left"/>
      <w:pPr>
        <w:tabs>
          <w:tab w:val="num" w:pos="720"/>
        </w:tabs>
        <w:ind w:left="720" w:hanging="360"/>
      </w:pPr>
      <w:rPr>
        <w:b/>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1545C12"/>
    <w:multiLevelType w:val="hybridMultilevel"/>
    <w:tmpl w:val="C2E67626"/>
    <w:lvl w:ilvl="0" w:tplc="DCC06412">
      <w:start w:val="2"/>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5AC91A73"/>
    <w:multiLevelType w:val="hybridMultilevel"/>
    <w:tmpl w:val="A47CA7C8"/>
    <w:lvl w:ilvl="0" w:tplc="7348F0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CE763E"/>
    <w:multiLevelType w:val="hybridMultilevel"/>
    <w:tmpl w:val="E208EAD2"/>
    <w:lvl w:ilvl="0" w:tplc="B19AF8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05494A"/>
    <w:multiLevelType w:val="hybridMultilevel"/>
    <w:tmpl w:val="F6A8304C"/>
    <w:lvl w:ilvl="0" w:tplc="582C1A5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6BF7EFA"/>
    <w:multiLevelType w:val="hybridMultilevel"/>
    <w:tmpl w:val="DDD0F130"/>
    <w:lvl w:ilvl="0" w:tplc="F8905EC4">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71F226A2"/>
    <w:multiLevelType w:val="hybridMultilevel"/>
    <w:tmpl w:val="6FDA744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77792A2A"/>
    <w:multiLevelType w:val="hybridMultilevel"/>
    <w:tmpl w:val="456A6030"/>
    <w:lvl w:ilvl="0" w:tplc="A3EAD3C8">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275CB9"/>
    <w:multiLevelType w:val="hybridMultilevel"/>
    <w:tmpl w:val="D7DE0C02"/>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4"/>
  </w:num>
  <w:num w:numId="2">
    <w:abstractNumId w:val="18"/>
  </w:num>
  <w:num w:numId="3">
    <w:abstractNumId w:val="26"/>
  </w:num>
  <w:num w:numId="4">
    <w:abstractNumId w:val="8"/>
  </w:num>
  <w:num w:numId="5">
    <w:abstractNumId w:val="9"/>
  </w:num>
  <w:num w:numId="6">
    <w:abstractNumId w:val="6"/>
  </w:num>
  <w:num w:numId="7">
    <w:abstractNumId w:val="1"/>
  </w:num>
  <w:num w:numId="8">
    <w:abstractNumId w:val="23"/>
  </w:num>
  <w:num w:numId="9">
    <w:abstractNumId w:val="2"/>
  </w:num>
  <w:num w:numId="10">
    <w:abstractNumId w:val="10"/>
  </w:num>
  <w:num w:numId="11">
    <w:abstractNumId w:val="7"/>
  </w:num>
  <w:num w:numId="12">
    <w:abstractNumId w:val="13"/>
  </w:num>
  <w:num w:numId="13">
    <w:abstractNumId w:val="24"/>
  </w:num>
  <w:num w:numId="14">
    <w:abstractNumId w:val="21"/>
  </w:num>
  <w:num w:numId="15">
    <w:abstractNumId w:val="11"/>
  </w:num>
  <w:num w:numId="16">
    <w:abstractNumId w:val="19"/>
  </w:num>
  <w:num w:numId="17">
    <w:abstractNumId w:val="16"/>
  </w:num>
  <w:num w:numId="18">
    <w:abstractNumId w:val="22"/>
  </w:num>
  <w:num w:numId="19">
    <w:abstractNumId w:val="12"/>
  </w:num>
  <w:num w:numId="20">
    <w:abstractNumId w:val="0"/>
  </w:num>
  <w:num w:numId="21">
    <w:abstractNumId w:val="3"/>
  </w:num>
  <w:num w:numId="22">
    <w:abstractNumId w:val="25"/>
  </w:num>
  <w:num w:numId="23">
    <w:abstractNumId w:val="17"/>
  </w:num>
  <w:num w:numId="24">
    <w:abstractNumId w:val="14"/>
  </w:num>
  <w:num w:numId="25">
    <w:abstractNumId w:val="1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1F"/>
    <w:rsid w:val="00001B90"/>
    <w:rsid w:val="0000370C"/>
    <w:rsid w:val="00007304"/>
    <w:rsid w:val="0000743E"/>
    <w:rsid w:val="000109EA"/>
    <w:rsid w:val="00012A63"/>
    <w:rsid w:val="00013309"/>
    <w:rsid w:val="00013A82"/>
    <w:rsid w:val="00013AD9"/>
    <w:rsid w:val="000171F2"/>
    <w:rsid w:val="00017CD7"/>
    <w:rsid w:val="00017DB2"/>
    <w:rsid w:val="00017F25"/>
    <w:rsid w:val="00020060"/>
    <w:rsid w:val="00022C8A"/>
    <w:rsid w:val="00022FA9"/>
    <w:rsid w:val="00026BC1"/>
    <w:rsid w:val="0003261F"/>
    <w:rsid w:val="00034883"/>
    <w:rsid w:val="00035397"/>
    <w:rsid w:val="00036F54"/>
    <w:rsid w:val="00044893"/>
    <w:rsid w:val="00045F14"/>
    <w:rsid w:val="00053761"/>
    <w:rsid w:val="00053842"/>
    <w:rsid w:val="00061054"/>
    <w:rsid w:val="0006112D"/>
    <w:rsid w:val="00061910"/>
    <w:rsid w:val="00070F00"/>
    <w:rsid w:val="00072E3D"/>
    <w:rsid w:val="000745A8"/>
    <w:rsid w:val="0007527F"/>
    <w:rsid w:val="000761BD"/>
    <w:rsid w:val="000769D1"/>
    <w:rsid w:val="00082A4A"/>
    <w:rsid w:val="00083FAC"/>
    <w:rsid w:val="00085451"/>
    <w:rsid w:val="00086BD0"/>
    <w:rsid w:val="00087C21"/>
    <w:rsid w:val="00090757"/>
    <w:rsid w:val="00090901"/>
    <w:rsid w:val="00090B7A"/>
    <w:rsid w:val="0009111F"/>
    <w:rsid w:val="00096865"/>
    <w:rsid w:val="0009763C"/>
    <w:rsid w:val="000A0909"/>
    <w:rsid w:val="000A0B93"/>
    <w:rsid w:val="000A1078"/>
    <w:rsid w:val="000A3297"/>
    <w:rsid w:val="000A68B8"/>
    <w:rsid w:val="000A6CE4"/>
    <w:rsid w:val="000A70C6"/>
    <w:rsid w:val="000B2C32"/>
    <w:rsid w:val="000B2DD7"/>
    <w:rsid w:val="000B7707"/>
    <w:rsid w:val="000C0EF3"/>
    <w:rsid w:val="000D13BC"/>
    <w:rsid w:val="000D3CC6"/>
    <w:rsid w:val="000D40A4"/>
    <w:rsid w:val="000D6A3C"/>
    <w:rsid w:val="000D6E5B"/>
    <w:rsid w:val="000E0270"/>
    <w:rsid w:val="000E2EB8"/>
    <w:rsid w:val="000F3877"/>
    <w:rsid w:val="000F3E93"/>
    <w:rsid w:val="000F52DE"/>
    <w:rsid w:val="001051FA"/>
    <w:rsid w:val="00106686"/>
    <w:rsid w:val="00110ACA"/>
    <w:rsid w:val="00110E46"/>
    <w:rsid w:val="00110F37"/>
    <w:rsid w:val="00111347"/>
    <w:rsid w:val="00114408"/>
    <w:rsid w:val="00115901"/>
    <w:rsid w:val="00115BA5"/>
    <w:rsid w:val="00116B15"/>
    <w:rsid w:val="001171F4"/>
    <w:rsid w:val="0012005A"/>
    <w:rsid w:val="001243A8"/>
    <w:rsid w:val="00126DD6"/>
    <w:rsid w:val="00126EED"/>
    <w:rsid w:val="00131447"/>
    <w:rsid w:val="00134B8C"/>
    <w:rsid w:val="00134D4D"/>
    <w:rsid w:val="001361C6"/>
    <w:rsid w:val="00145922"/>
    <w:rsid w:val="00150830"/>
    <w:rsid w:val="0015403D"/>
    <w:rsid w:val="00154159"/>
    <w:rsid w:val="00155E7A"/>
    <w:rsid w:val="00156D4B"/>
    <w:rsid w:val="001574C0"/>
    <w:rsid w:val="001605B9"/>
    <w:rsid w:val="00163373"/>
    <w:rsid w:val="00165CC9"/>
    <w:rsid w:val="00165DC1"/>
    <w:rsid w:val="0017078D"/>
    <w:rsid w:val="00172075"/>
    <w:rsid w:val="00173050"/>
    <w:rsid w:val="00175BCD"/>
    <w:rsid w:val="00175FFF"/>
    <w:rsid w:val="00176815"/>
    <w:rsid w:val="00181212"/>
    <w:rsid w:val="00184795"/>
    <w:rsid w:val="00187C71"/>
    <w:rsid w:val="00190CCB"/>
    <w:rsid w:val="001958EE"/>
    <w:rsid w:val="00197136"/>
    <w:rsid w:val="001A09BD"/>
    <w:rsid w:val="001A19F2"/>
    <w:rsid w:val="001A271F"/>
    <w:rsid w:val="001A3014"/>
    <w:rsid w:val="001A34E7"/>
    <w:rsid w:val="001A5431"/>
    <w:rsid w:val="001A67BD"/>
    <w:rsid w:val="001B0FC5"/>
    <w:rsid w:val="001B1C8D"/>
    <w:rsid w:val="001C0007"/>
    <w:rsid w:val="001C6316"/>
    <w:rsid w:val="001C6915"/>
    <w:rsid w:val="001C6C9F"/>
    <w:rsid w:val="001C7B01"/>
    <w:rsid w:val="001D0C43"/>
    <w:rsid w:val="001D1628"/>
    <w:rsid w:val="001D4C15"/>
    <w:rsid w:val="001E32EA"/>
    <w:rsid w:val="001E4F85"/>
    <w:rsid w:val="001E5A7D"/>
    <w:rsid w:val="001F30CF"/>
    <w:rsid w:val="001F4720"/>
    <w:rsid w:val="001F7E05"/>
    <w:rsid w:val="00200593"/>
    <w:rsid w:val="00200CD4"/>
    <w:rsid w:val="002025B9"/>
    <w:rsid w:val="00203F0E"/>
    <w:rsid w:val="00204EFB"/>
    <w:rsid w:val="002112A9"/>
    <w:rsid w:val="0021318A"/>
    <w:rsid w:val="00215A42"/>
    <w:rsid w:val="00216C38"/>
    <w:rsid w:val="002213F3"/>
    <w:rsid w:val="00222180"/>
    <w:rsid w:val="00223D79"/>
    <w:rsid w:val="00224B20"/>
    <w:rsid w:val="00225B5B"/>
    <w:rsid w:val="002309BC"/>
    <w:rsid w:val="00234388"/>
    <w:rsid w:val="00237D14"/>
    <w:rsid w:val="00242CCE"/>
    <w:rsid w:val="002449E3"/>
    <w:rsid w:val="00246081"/>
    <w:rsid w:val="002476E9"/>
    <w:rsid w:val="002504EE"/>
    <w:rsid w:val="00255AB5"/>
    <w:rsid w:val="00256024"/>
    <w:rsid w:val="00270137"/>
    <w:rsid w:val="00274BCD"/>
    <w:rsid w:val="00286620"/>
    <w:rsid w:val="00292E75"/>
    <w:rsid w:val="00294235"/>
    <w:rsid w:val="002944AD"/>
    <w:rsid w:val="002A1515"/>
    <w:rsid w:val="002A2CD1"/>
    <w:rsid w:val="002A6D63"/>
    <w:rsid w:val="002A7FB3"/>
    <w:rsid w:val="002B014D"/>
    <w:rsid w:val="002B0B63"/>
    <w:rsid w:val="002B3375"/>
    <w:rsid w:val="002B5B41"/>
    <w:rsid w:val="002C1214"/>
    <w:rsid w:val="002C1E82"/>
    <w:rsid w:val="002C5784"/>
    <w:rsid w:val="002C7A81"/>
    <w:rsid w:val="002D0499"/>
    <w:rsid w:val="002D066A"/>
    <w:rsid w:val="002D12C4"/>
    <w:rsid w:val="002D144F"/>
    <w:rsid w:val="002D6902"/>
    <w:rsid w:val="002D7B6D"/>
    <w:rsid w:val="002D7DD0"/>
    <w:rsid w:val="002F0466"/>
    <w:rsid w:val="002F18CB"/>
    <w:rsid w:val="002F2931"/>
    <w:rsid w:val="002F3447"/>
    <w:rsid w:val="00303F72"/>
    <w:rsid w:val="003107EF"/>
    <w:rsid w:val="00312725"/>
    <w:rsid w:val="00314A4E"/>
    <w:rsid w:val="003150E0"/>
    <w:rsid w:val="0032158A"/>
    <w:rsid w:val="003220C6"/>
    <w:rsid w:val="003224CA"/>
    <w:rsid w:val="003229FB"/>
    <w:rsid w:val="00322E62"/>
    <w:rsid w:val="0033478D"/>
    <w:rsid w:val="0033482D"/>
    <w:rsid w:val="00334C54"/>
    <w:rsid w:val="00337DA3"/>
    <w:rsid w:val="00340433"/>
    <w:rsid w:val="00342135"/>
    <w:rsid w:val="0034580A"/>
    <w:rsid w:val="003462FD"/>
    <w:rsid w:val="00347B2A"/>
    <w:rsid w:val="00354C19"/>
    <w:rsid w:val="00361A02"/>
    <w:rsid w:val="003651A6"/>
    <w:rsid w:val="00367704"/>
    <w:rsid w:val="00367E7D"/>
    <w:rsid w:val="00372F98"/>
    <w:rsid w:val="00372FF9"/>
    <w:rsid w:val="00373E8D"/>
    <w:rsid w:val="0037526B"/>
    <w:rsid w:val="00376941"/>
    <w:rsid w:val="00377BCC"/>
    <w:rsid w:val="00380284"/>
    <w:rsid w:val="00380717"/>
    <w:rsid w:val="00381779"/>
    <w:rsid w:val="003819B3"/>
    <w:rsid w:val="003842A6"/>
    <w:rsid w:val="00391A9C"/>
    <w:rsid w:val="00397383"/>
    <w:rsid w:val="003A067D"/>
    <w:rsid w:val="003A1C6C"/>
    <w:rsid w:val="003A1E63"/>
    <w:rsid w:val="003A58BC"/>
    <w:rsid w:val="003A5A04"/>
    <w:rsid w:val="003A61FD"/>
    <w:rsid w:val="003A64FC"/>
    <w:rsid w:val="003B123A"/>
    <w:rsid w:val="003B5EDB"/>
    <w:rsid w:val="003B6971"/>
    <w:rsid w:val="003B6B0B"/>
    <w:rsid w:val="003B714C"/>
    <w:rsid w:val="003C0157"/>
    <w:rsid w:val="003C564E"/>
    <w:rsid w:val="003C7C74"/>
    <w:rsid w:val="003D3335"/>
    <w:rsid w:val="003D354B"/>
    <w:rsid w:val="003D43AE"/>
    <w:rsid w:val="003D4A01"/>
    <w:rsid w:val="003D5A34"/>
    <w:rsid w:val="003E18FE"/>
    <w:rsid w:val="003E3E74"/>
    <w:rsid w:val="003E52ED"/>
    <w:rsid w:val="003E7140"/>
    <w:rsid w:val="003F71AF"/>
    <w:rsid w:val="004007F2"/>
    <w:rsid w:val="00402319"/>
    <w:rsid w:val="00410152"/>
    <w:rsid w:val="00411530"/>
    <w:rsid w:val="00412B77"/>
    <w:rsid w:val="00413232"/>
    <w:rsid w:val="00414405"/>
    <w:rsid w:val="0042007E"/>
    <w:rsid w:val="00424B46"/>
    <w:rsid w:val="00424F2B"/>
    <w:rsid w:val="00426390"/>
    <w:rsid w:val="0043366F"/>
    <w:rsid w:val="004369A7"/>
    <w:rsid w:val="00436E40"/>
    <w:rsid w:val="00441AC4"/>
    <w:rsid w:val="00446E2A"/>
    <w:rsid w:val="00447D82"/>
    <w:rsid w:val="00451CBF"/>
    <w:rsid w:val="00451EE1"/>
    <w:rsid w:val="00452C78"/>
    <w:rsid w:val="00453A50"/>
    <w:rsid w:val="00453FB4"/>
    <w:rsid w:val="0045428E"/>
    <w:rsid w:val="00461FBC"/>
    <w:rsid w:val="00466FCB"/>
    <w:rsid w:val="004745E2"/>
    <w:rsid w:val="00475A2F"/>
    <w:rsid w:val="004763CF"/>
    <w:rsid w:val="00480A1F"/>
    <w:rsid w:val="00484715"/>
    <w:rsid w:val="004870DE"/>
    <w:rsid w:val="00487EB5"/>
    <w:rsid w:val="00490C14"/>
    <w:rsid w:val="00496F60"/>
    <w:rsid w:val="004975A9"/>
    <w:rsid w:val="004A30EE"/>
    <w:rsid w:val="004A3AB0"/>
    <w:rsid w:val="004B0651"/>
    <w:rsid w:val="004B1977"/>
    <w:rsid w:val="004B4F84"/>
    <w:rsid w:val="004B6492"/>
    <w:rsid w:val="004B7906"/>
    <w:rsid w:val="004C1BDB"/>
    <w:rsid w:val="004C3B01"/>
    <w:rsid w:val="004C68AA"/>
    <w:rsid w:val="004D0B9D"/>
    <w:rsid w:val="004D22B9"/>
    <w:rsid w:val="004D5D98"/>
    <w:rsid w:val="004E04F8"/>
    <w:rsid w:val="004E0A69"/>
    <w:rsid w:val="004E2A09"/>
    <w:rsid w:val="004E3A27"/>
    <w:rsid w:val="004E4117"/>
    <w:rsid w:val="004E660F"/>
    <w:rsid w:val="004F6872"/>
    <w:rsid w:val="0050290D"/>
    <w:rsid w:val="0050473D"/>
    <w:rsid w:val="00504F49"/>
    <w:rsid w:val="00506840"/>
    <w:rsid w:val="00507465"/>
    <w:rsid w:val="00507C1E"/>
    <w:rsid w:val="00510446"/>
    <w:rsid w:val="00510B32"/>
    <w:rsid w:val="00510C9D"/>
    <w:rsid w:val="00510E8B"/>
    <w:rsid w:val="00513891"/>
    <w:rsid w:val="00513A8B"/>
    <w:rsid w:val="00513F8C"/>
    <w:rsid w:val="00515786"/>
    <w:rsid w:val="005251FD"/>
    <w:rsid w:val="005272E2"/>
    <w:rsid w:val="00527EC7"/>
    <w:rsid w:val="00530A7C"/>
    <w:rsid w:val="005312F5"/>
    <w:rsid w:val="00532AC5"/>
    <w:rsid w:val="005361C9"/>
    <w:rsid w:val="005364C0"/>
    <w:rsid w:val="00537D5D"/>
    <w:rsid w:val="00540380"/>
    <w:rsid w:val="00540B64"/>
    <w:rsid w:val="00543981"/>
    <w:rsid w:val="00545171"/>
    <w:rsid w:val="0055072D"/>
    <w:rsid w:val="00552490"/>
    <w:rsid w:val="00554CFA"/>
    <w:rsid w:val="00556AFE"/>
    <w:rsid w:val="0056163C"/>
    <w:rsid w:val="00564D84"/>
    <w:rsid w:val="00567854"/>
    <w:rsid w:val="00570631"/>
    <w:rsid w:val="00571D66"/>
    <w:rsid w:val="0057609B"/>
    <w:rsid w:val="00582467"/>
    <w:rsid w:val="00583195"/>
    <w:rsid w:val="005848C1"/>
    <w:rsid w:val="005849D8"/>
    <w:rsid w:val="00585124"/>
    <w:rsid w:val="0058722D"/>
    <w:rsid w:val="005903F3"/>
    <w:rsid w:val="005A3791"/>
    <w:rsid w:val="005B0F08"/>
    <w:rsid w:val="005B110F"/>
    <w:rsid w:val="005B118C"/>
    <w:rsid w:val="005B331E"/>
    <w:rsid w:val="005B4F0F"/>
    <w:rsid w:val="005B51FF"/>
    <w:rsid w:val="005B556C"/>
    <w:rsid w:val="005B6BBF"/>
    <w:rsid w:val="005B7968"/>
    <w:rsid w:val="005C13A2"/>
    <w:rsid w:val="005C5D9A"/>
    <w:rsid w:val="005D2382"/>
    <w:rsid w:val="005D55A1"/>
    <w:rsid w:val="005D7217"/>
    <w:rsid w:val="005E066B"/>
    <w:rsid w:val="005E06C4"/>
    <w:rsid w:val="005E1893"/>
    <w:rsid w:val="005E214D"/>
    <w:rsid w:val="005E49E3"/>
    <w:rsid w:val="005E6E25"/>
    <w:rsid w:val="005E70F3"/>
    <w:rsid w:val="005F0683"/>
    <w:rsid w:val="005F0688"/>
    <w:rsid w:val="005F1A16"/>
    <w:rsid w:val="005F2226"/>
    <w:rsid w:val="005F223B"/>
    <w:rsid w:val="005F26B6"/>
    <w:rsid w:val="005F5CFA"/>
    <w:rsid w:val="005F753E"/>
    <w:rsid w:val="006001AD"/>
    <w:rsid w:val="006005F4"/>
    <w:rsid w:val="00600A5F"/>
    <w:rsid w:val="0061188C"/>
    <w:rsid w:val="00612328"/>
    <w:rsid w:val="006127B8"/>
    <w:rsid w:val="00613DA2"/>
    <w:rsid w:val="00621779"/>
    <w:rsid w:val="00622FAC"/>
    <w:rsid w:val="006230F5"/>
    <w:rsid w:val="00624504"/>
    <w:rsid w:val="00625AC6"/>
    <w:rsid w:val="00627741"/>
    <w:rsid w:val="0063701F"/>
    <w:rsid w:val="00643475"/>
    <w:rsid w:val="00644EDE"/>
    <w:rsid w:val="0064758C"/>
    <w:rsid w:val="00650FDC"/>
    <w:rsid w:val="00651166"/>
    <w:rsid w:val="006528AF"/>
    <w:rsid w:val="00657558"/>
    <w:rsid w:val="006577D8"/>
    <w:rsid w:val="00671819"/>
    <w:rsid w:val="006726C9"/>
    <w:rsid w:val="00673BA4"/>
    <w:rsid w:val="00673C52"/>
    <w:rsid w:val="00674198"/>
    <w:rsid w:val="0068032C"/>
    <w:rsid w:val="00680F70"/>
    <w:rsid w:val="00682106"/>
    <w:rsid w:val="0068234C"/>
    <w:rsid w:val="006910C8"/>
    <w:rsid w:val="006919FF"/>
    <w:rsid w:val="0069258C"/>
    <w:rsid w:val="00693696"/>
    <w:rsid w:val="00696A87"/>
    <w:rsid w:val="00696C29"/>
    <w:rsid w:val="00697649"/>
    <w:rsid w:val="006B2484"/>
    <w:rsid w:val="006B38B0"/>
    <w:rsid w:val="006B5A49"/>
    <w:rsid w:val="006B76E1"/>
    <w:rsid w:val="006C008D"/>
    <w:rsid w:val="006C285A"/>
    <w:rsid w:val="006C344E"/>
    <w:rsid w:val="006C4CB7"/>
    <w:rsid w:val="006C7D02"/>
    <w:rsid w:val="006E27F8"/>
    <w:rsid w:val="006E2B6D"/>
    <w:rsid w:val="006E3DDC"/>
    <w:rsid w:val="006E6EF2"/>
    <w:rsid w:val="006F00D4"/>
    <w:rsid w:val="006F0AC8"/>
    <w:rsid w:val="006F3F34"/>
    <w:rsid w:val="006F44E4"/>
    <w:rsid w:val="006F4E8C"/>
    <w:rsid w:val="00703C5E"/>
    <w:rsid w:val="007047B7"/>
    <w:rsid w:val="00704877"/>
    <w:rsid w:val="0070498F"/>
    <w:rsid w:val="00705A23"/>
    <w:rsid w:val="00706ACB"/>
    <w:rsid w:val="00711825"/>
    <w:rsid w:val="0071393F"/>
    <w:rsid w:val="00713A82"/>
    <w:rsid w:val="007153AD"/>
    <w:rsid w:val="007271D6"/>
    <w:rsid w:val="0072721F"/>
    <w:rsid w:val="0073019C"/>
    <w:rsid w:val="00732F35"/>
    <w:rsid w:val="00740968"/>
    <w:rsid w:val="00741721"/>
    <w:rsid w:val="007478FC"/>
    <w:rsid w:val="00752EB1"/>
    <w:rsid w:val="00753596"/>
    <w:rsid w:val="0076476D"/>
    <w:rsid w:val="00766BC9"/>
    <w:rsid w:val="00771758"/>
    <w:rsid w:val="0077436F"/>
    <w:rsid w:val="00775F7F"/>
    <w:rsid w:val="00776B13"/>
    <w:rsid w:val="00776EC3"/>
    <w:rsid w:val="00782943"/>
    <w:rsid w:val="007848AB"/>
    <w:rsid w:val="00784A59"/>
    <w:rsid w:val="007853B5"/>
    <w:rsid w:val="0078621E"/>
    <w:rsid w:val="00797788"/>
    <w:rsid w:val="007A010E"/>
    <w:rsid w:val="007A190A"/>
    <w:rsid w:val="007A5ABF"/>
    <w:rsid w:val="007A6D51"/>
    <w:rsid w:val="007B0972"/>
    <w:rsid w:val="007B0DF6"/>
    <w:rsid w:val="007B2B77"/>
    <w:rsid w:val="007B6064"/>
    <w:rsid w:val="007C5463"/>
    <w:rsid w:val="007C70AF"/>
    <w:rsid w:val="007D05B9"/>
    <w:rsid w:val="007D143D"/>
    <w:rsid w:val="007D38F2"/>
    <w:rsid w:val="007D3B7A"/>
    <w:rsid w:val="007D57DC"/>
    <w:rsid w:val="007D62A9"/>
    <w:rsid w:val="007E6004"/>
    <w:rsid w:val="007F04BE"/>
    <w:rsid w:val="007F2B91"/>
    <w:rsid w:val="007F567C"/>
    <w:rsid w:val="007F6FDE"/>
    <w:rsid w:val="008036A3"/>
    <w:rsid w:val="00804728"/>
    <w:rsid w:val="00804E07"/>
    <w:rsid w:val="00805FB4"/>
    <w:rsid w:val="00805FCD"/>
    <w:rsid w:val="00806F0E"/>
    <w:rsid w:val="00807A75"/>
    <w:rsid w:val="00812B6D"/>
    <w:rsid w:val="00813040"/>
    <w:rsid w:val="008163F0"/>
    <w:rsid w:val="00816C72"/>
    <w:rsid w:val="00820311"/>
    <w:rsid w:val="0082246B"/>
    <w:rsid w:val="00822BCD"/>
    <w:rsid w:val="008256D3"/>
    <w:rsid w:val="00826833"/>
    <w:rsid w:val="008322A4"/>
    <w:rsid w:val="0083504E"/>
    <w:rsid w:val="00835165"/>
    <w:rsid w:val="00841E3C"/>
    <w:rsid w:val="008430FE"/>
    <w:rsid w:val="00843877"/>
    <w:rsid w:val="00844FBE"/>
    <w:rsid w:val="00851389"/>
    <w:rsid w:val="008568DC"/>
    <w:rsid w:val="008571FF"/>
    <w:rsid w:val="00857716"/>
    <w:rsid w:val="008615C0"/>
    <w:rsid w:val="00864798"/>
    <w:rsid w:val="00864E5E"/>
    <w:rsid w:val="008668E1"/>
    <w:rsid w:val="00866BB5"/>
    <w:rsid w:val="0086713F"/>
    <w:rsid w:val="00870155"/>
    <w:rsid w:val="00874B25"/>
    <w:rsid w:val="00876316"/>
    <w:rsid w:val="00877DC5"/>
    <w:rsid w:val="00880A93"/>
    <w:rsid w:val="00885799"/>
    <w:rsid w:val="008906E9"/>
    <w:rsid w:val="00890CFC"/>
    <w:rsid w:val="0089182B"/>
    <w:rsid w:val="008962B4"/>
    <w:rsid w:val="00896CED"/>
    <w:rsid w:val="008B0983"/>
    <w:rsid w:val="008B0F40"/>
    <w:rsid w:val="008B17C7"/>
    <w:rsid w:val="008B283D"/>
    <w:rsid w:val="008B32F6"/>
    <w:rsid w:val="008C1477"/>
    <w:rsid w:val="008D27B9"/>
    <w:rsid w:val="008D2B76"/>
    <w:rsid w:val="008D2F8A"/>
    <w:rsid w:val="008D482F"/>
    <w:rsid w:val="008D70DE"/>
    <w:rsid w:val="008E3681"/>
    <w:rsid w:val="008E6636"/>
    <w:rsid w:val="008E7713"/>
    <w:rsid w:val="008F6245"/>
    <w:rsid w:val="00902C09"/>
    <w:rsid w:val="0090648B"/>
    <w:rsid w:val="00906516"/>
    <w:rsid w:val="009079A5"/>
    <w:rsid w:val="009105C1"/>
    <w:rsid w:val="00911F3A"/>
    <w:rsid w:val="00912F99"/>
    <w:rsid w:val="0091304C"/>
    <w:rsid w:val="00915BA5"/>
    <w:rsid w:val="0091689A"/>
    <w:rsid w:val="00917BCF"/>
    <w:rsid w:val="0092340B"/>
    <w:rsid w:val="0093325B"/>
    <w:rsid w:val="00933619"/>
    <w:rsid w:val="00941A33"/>
    <w:rsid w:val="00941D54"/>
    <w:rsid w:val="00950E56"/>
    <w:rsid w:val="00951288"/>
    <w:rsid w:val="00954ADE"/>
    <w:rsid w:val="009600A5"/>
    <w:rsid w:val="00960417"/>
    <w:rsid w:val="00962392"/>
    <w:rsid w:val="00962C11"/>
    <w:rsid w:val="00963BD7"/>
    <w:rsid w:val="009647D1"/>
    <w:rsid w:val="00964BBB"/>
    <w:rsid w:val="0096645F"/>
    <w:rsid w:val="009665E1"/>
    <w:rsid w:val="0097053C"/>
    <w:rsid w:val="00976E43"/>
    <w:rsid w:val="0098225E"/>
    <w:rsid w:val="00982B9C"/>
    <w:rsid w:val="00985810"/>
    <w:rsid w:val="00991819"/>
    <w:rsid w:val="009918FB"/>
    <w:rsid w:val="00992067"/>
    <w:rsid w:val="00994E47"/>
    <w:rsid w:val="0099547A"/>
    <w:rsid w:val="009A21FC"/>
    <w:rsid w:val="009A287E"/>
    <w:rsid w:val="009A423F"/>
    <w:rsid w:val="009A5297"/>
    <w:rsid w:val="009A5E09"/>
    <w:rsid w:val="009A746A"/>
    <w:rsid w:val="009B01E8"/>
    <w:rsid w:val="009B1BA0"/>
    <w:rsid w:val="009C073F"/>
    <w:rsid w:val="009C1634"/>
    <w:rsid w:val="009C20DD"/>
    <w:rsid w:val="009C4448"/>
    <w:rsid w:val="009C547B"/>
    <w:rsid w:val="009C5AB4"/>
    <w:rsid w:val="009C5BD3"/>
    <w:rsid w:val="009C628D"/>
    <w:rsid w:val="009D3BCB"/>
    <w:rsid w:val="009E3DC1"/>
    <w:rsid w:val="009F1842"/>
    <w:rsid w:val="009F2CAC"/>
    <w:rsid w:val="009F3B86"/>
    <w:rsid w:val="009F4AC1"/>
    <w:rsid w:val="00A00A3E"/>
    <w:rsid w:val="00A06441"/>
    <w:rsid w:val="00A07DDD"/>
    <w:rsid w:val="00A11638"/>
    <w:rsid w:val="00A12200"/>
    <w:rsid w:val="00A16341"/>
    <w:rsid w:val="00A1744D"/>
    <w:rsid w:val="00A23A72"/>
    <w:rsid w:val="00A262DA"/>
    <w:rsid w:val="00A27A0F"/>
    <w:rsid w:val="00A45272"/>
    <w:rsid w:val="00A46445"/>
    <w:rsid w:val="00A46C70"/>
    <w:rsid w:val="00A47300"/>
    <w:rsid w:val="00A51360"/>
    <w:rsid w:val="00A5679B"/>
    <w:rsid w:val="00A62C88"/>
    <w:rsid w:val="00A71E14"/>
    <w:rsid w:val="00A72E01"/>
    <w:rsid w:val="00A73020"/>
    <w:rsid w:val="00A80B02"/>
    <w:rsid w:val="00A80D6E"/>
    <w:rsid w:val="00A83945"/>
    <w:rsid w:val="00A85D08"/>
    <w:rsid w:val="00A86204"/>
    <w:rsid w:val="00A90DDD"/>
    <w:rsid w:val="00A9232B"/>
    <w:rsid w:val="00A93940"/>
    <w:rsid w:val="00A95452"/>
    <w:rsid w:val="00A971F3"/>
    <w:rsid w:val="00A974AA"/>
    <w:rsid w:val="00A97580"/>
    <w:rsid w:val="00AA7AF9"/>
    <w:rsid w:val="00AA7B18"/>
    <w:rsid w:val="00AC161B"/>
    <w:rsid w:val="00AC449B"/>
    <w:rsid w:val="00AC5A7A"/>
    <w:rsid w:val="00AC5E42"/>
    <w:rsid w:val="00AC60C6"/>
    <w:rsid w:val="00AC7C1E"/>
    <w:rsid w:val="00AD1237"/>
    <w:rsid w:val="00AD7346"/>
    <w:rsid w:val="00AE12C7"/>
    <w:rsid w:val="00AE2B6B"/>
    <w:rsid w:val="00AE442E"/>
    <w:rsid w:val="00AE4EA9"/>
    <w:rsid w:val="00AE65E4"/>
    <w:rsid w:val="00AE66A4"/>
    <w:rsid w:val="00AE7FDD"/>
    <w:rsid w:val="00AF5E7A"/>
    <w:rsid w:val="00AF64D8"/>
    <w:rsid w:val="00B00164"/>
    <w:rsid w:val="00B012C9"/>
    <w:rsid w:val="00B125A6"/>
    <w:rsid w:val="00B1666F"/>
    <w:rsid w:val="00B16DE2"/>
    <w:rsid w:val="00B17AF3"/>
    <w:rsid w:val="00B17EBE"/>
    <w:rsid w:val="00B2143E"/>
    <w:rsid w:val="00B2146A"/>
    <w:rsid w:val="00B2235F"/>
    <w:rsid w:val="00B239FE"/>
    <w:rsid w:val="00B24047"/>
    <w:rsid w:val="00B24C21"/>
    <w:rsid w:val="00B262B2"/>
    <w:rsid w:val="00B31757"/>
    <w:rsid w:val="00B32BF4"/>
    <w:rsid w:val="00B371C4"/>
    <w:rsid w:val="00B4057E"/>
    <w:rsid w:val="00B46090"/>
    <w:rsid w:val="00B471DD"/>
    <w:rsid w:val="00B501D6"/>
    <w:rsid w:val="00B518BE"/>
    <w:rsid w:val="00B52FEA"/>
    <w:rsid w:val="00B60CEF"/>
    <w:rsid w:val="00B62730"/>
    <w:rsid w:val="00B629B9"/>
    <w:rsid w:val="00B66C91"/>
    <w:rsid w:val="00B67050"/>
    <w:rsid w:val="00B72EAC"/>
    <w:rsid w:val="00B734E6"/>
    <w:rsid w:val="00B73CFD"/>
    <w:rsid w:val="00B748C2"/>
    <w:rsid w:val="00B7511B"/>
    <w:rsid w:val="00B75411"/>
    <w:rsid w:val="00B76A2D"/>
    <w:rsid w:val="00B76BA4"/>
    <w:rsid w:val="00B813C3"/>
    <w:rsid w:val="00B81B35"/>
    <w:rsid w:val="00B81E9E"/>
    <w:rsid w:val="00B81F71"/>
    <w:rsid w:val="00B85DF9"/>
    <w:rsid w:val="00B85E2A"/>
    <w:rsid w:val="00B86322"/>
    <w:rsid w:val="00B93E7D"/>
    <w:rsid w:val="00BB04FC"/>
    <w:rsid w:val="00BB0565"/>
    <w:rsid w:val="00BB49A2"/>
    <w:rsid w:val="00BB5BFA"/>
    <w:rsid w:val="00BB6DC3"/>
    <w:rsid w:val="00BB6FB8"/>
    <w:rsid w:val="00BC0F5E"/>
    <w:rsid w:val="00BC2526"/>
    <w:rsid w:val="00BC5AD2"/>
    <w:rsid w:val="00BC5CFD"/>
    <w:rsid w:val="00BC6E02"/>
    <w:rsid w:val="00BC7610"/>
    <w:rsid w:val="00BD2E15"/>
    <w:rsid w:val="00BE101F"/>
    <w:rsid w:val="00BF0C32"/>
    <w:rsid w:val="00BF1798"/>
    <w:rsid w:val="00BF22B5"/>
    <w:rsid w:val="00BF28F5"/>
    <w:rsid w:val="00BF2C4D"/>
    <w:rsid w:val="00BF3DB1"/>
    <w:rsid w:val="00BF6C55"/>
    <w:rsid w:val="00BF7305"/>
    <w:rsid w:val="00C00949"/>
    <w:rsid w:val="00C01C90"/>
    <w:rsid w:val="00C03732"/>
    <w:rsid w:val="00C0500D"/>
    <w:rsid w:val="00C056B1"/>
    <w:rsid w:val="00C0586C"/>
    <w:rsid w:val="00C05AF7"/>
    <w:rsid w:val="00C064D4"/>
    <w:rsid w:val="00C10277"/>
    <w:rsid w:val="00C11A89"/>
    <w:rsid w:val="00C12A1A"/>
    <w:rsid w:val="00C20B8E"/>
    <w:rsid w:val="00C22AC5"/>
    <w:rsid w:val="00C27BBB"/>
    <w:rsid w:val="00C339D8"/>
    <w:rsid w:val="00C376F7"/>
    <w:rsid w:val="00C37FDC"/>
    <w:rsid w:val="00C44870"/>
    <w:rsid w:val="00C469F0"/>
    <w:rsid w:val="00C50AA2"/>
    <w:rsid w:val="00C52E83"/>
    <w:rsid w:val="00C5538B"/>
    <w:rsid w:val="00C704F5"/>
    <w:rsid w:val="00C70C26"/>
    <w:rsid w:val="00C717BF"/>
    <w:rsid w:val="00C71CCC"/>
    <w:rsid w:val="00C71FF0"/>
    <w:rsid w:val="00C7339E"/>
    <w:rsid w:val="00C770F6"/>
    <w:rsid w:val="00C80EF7"/>
    <w:rsid w:val="00C819BF"/>
    <w:rsid w:val="00C8327F"/>
    <w:rsid w:val="00C906B0"/>
    <w:rsid w:val="00C93DC7"/>
    <w:rsid w:val="00C94FA8"/>
    <w:rsid w:val="00CA110E"/>
    <w:rsid w:val="00CA247C"/>
    <w:rsid w:val="00CA397F"/>
    <w:rsid w:val="00CB1975"/>
    <w:rsid w:val="00CB3E50"/>
    <w:rsid w:val="00CB4CD9"/>
    <w:rsid w:val="00CC0732"/>
    <w:rsid w:val="00CC2EFC"/>
    <w:rsid w:val="00CC2F04"/>
    <w:rsid w:val="00CD3F00"/>
    <w:rsid w:val="00CD6869"/>
    <w:rsid w:val="00CD7266"/>
    <w:rsid w:val="00CD77B9"/>
    <w:rsid w:val="00CE0BB5"/>
    <w:rsid w:val="00CE0FB7"/>
    <w:rsid w:val="00CE5F90"/>
    <w:rsid w:val="00CE6CFF"/>
    <w:rsid w:val="00CE6FE4"/>
    <w:rsid w:val="00CE7267"/>
    <w:rsid w:val="00CE7AC1"/>
    <w:rsid w:val="00CF17F8"/>
    <w:rsid w:val="00CF249D"/>
    <w:rsid w:val="00D05351"/>
    <w:rsid w:val="00D0547D"/>
    <w:rsid w:val="00D07216"/>
    <w:rsid w:val="00D11652"/>
    <w:rsid w:val="00D16A76"/>
    <w:rsid w:val="00D20C3F"/>
    <w:rsid w:val="00D25C53"/>
    <w:rsid w:val="00D30875"/>
    <w:rsid w:val="00D329F5"/>
    <w:rsid w:val="00D34E3D"/>
    <w:rsid w:val="00D34EB3"/>
    <w:rsid w:val="00D36B22"/>
    <w:rsid w:val="00D45696"/>
    <w:rsid w:val="00D4641D"/>
    <w:rsid w:val="00D465D4"/>
    <w:rsid w:val="00D466F0"/>
    <w:rsid w:val="00D509DF"/>
    <w:rsid w:val="00D526CE"/>
    <w:rsid w:val="00D56DA5"/>
    <w:rsid w:val="00D6391F"/>
    <w:rsid w:val="00D6438C"/>
    <w:rsid w:val="00D655A4"/>
    <w:rsid w:val="00D67554"/>
    <w:rsid w:val="00D675E1"/>
    <w:rsid w:val="00D709F0"/>
    <w:rsid w:val="00D720D2"/>
    <w:rsid w:val="00D734B3"/>
    <w:rsid w:val="00D735CC"/>
    <w:rsid w:val="00D75EEC"/>
    <w:rsid w:val="00D87EA8"/>
    <w:rsid w:val="00D977E8"/>
    <w:rsid w:val="00DA141D"/>
    <w:rsid w:val="00DA1B8E"/>
    <w:rsid w:val="00DA48EF"/>
    <w:rsid w:val="00DA56F1"/>
    <w:rsid w:val="00DA60C0"/>
    <w:rsid w:val="00DB25FA"/>
    <w:rsid w:val="00DB40C6"/>
    <w:rsid w:val="00DD3766"/>
    <w:rsid w:val="00DD3997"/>
    <w:rsid w:val="00DD3DBC"/>
    <w:rsid w:val="00DD6050"/>
    <w:rsid w:val="00DD7C37"/>
    <w:rsid w:val="00DE154B"/>
    <w:rsid w:val="00DE6889"/>
    <w:rsid w:val="00DE73D9"/>
    <w:rsid w:val="00DE7704"/>
    <w:rsid w:val="00DF03A8"/>
    <w:rsid w:val="00DF0AC8"/>
    <w:rsid w:val="00DF3A95"/>
    <w:rsid w:val="00DF4958"/>
    <w:rsid w:val="00DF4EC9"/>
    <w:rsid w:val="00DF663F"/>
    <w:rsid w:val="00E01F5A"/>
    <w:rsid w:val="00E0250D"/>
    <w:rsid w:val="00E029F9"/>
    <w:rsid w:val="00E04037"/>
    <w:rsid w:val="00E0571A"/>
    <w:rsid w:val="00E05893"/>
    <w:rsid w:val="00E07DB3"/>
    <w:rsid w:val="00E10824"/>
    <w:rsid w:val="00E10D18"/>
    <w:rsid w:val="00E119BD"/>
    <w:rsid w:val="00E124C3"/>
    <w:rsid w:val="00E12B7B"/>
    <w:rsid w:val="00E15B1B"/>
    <w:rsid w:val="00E264CC"/>
    <w:rsid w:val="00E27F1F"/>
    <w:rsid w:val="00E3200A"/>
    <w:rsid w:val="00E35F55"/>
    <w:rsid w:val="00E37101"/>
    <w:rsid w:val="00E4484F"/>
    <w:rsid w:val="00E45D2A"/>
    <w:rsid w:val="00E47037"/>
    <w:rsid w:val="00E50922"/>
    <w:rsid w:val="00E53CF2"/>
    <w:rsid w:val="00E54015"/>
    <w:rsid w:val="00E567BB"/>
    <w:rsid w:val="00E57218"/>
    <w:rsid w:val="00E60F52"/>
    <w:rsid w:val="00E62BC8"/>
    <w:rsid w:val="00E726CD"/>
    <w:rsid w:val="00E7316D"/>
    <w:rsid w:val="00E7461B"/>
    <w:rsid w:val="00E77941"/>
    <w:rsid w:val="00E843CC"/>
    <w:rsid w:val="00E84870"/>
    <w:rsid w:val="00E85E06"/>
    <w:rsid w:val="00E86D82"/>
    <w:rsid w:val="00E9016A"/>
    <w:rsid w:val="00E9045E"/>
    <w:rsid w:val="00E92EFF"/>
    <w:rsid w:val="00E94CEB"/>
    <w:rsid w:val="00E95243"/>
    <w:rsid w:val="00EA450D"/>
    <w:rsid w:val="00EA5069"/>
    <w:rsid w:val="00EA61A2"/>
    <w:rsid w:val="00EA6978"/>
    <w:rsid w:val="00EA7646"/>
    <w:rsid w:val="00EB16F9"/>
    <w:rsid w:val="00EB1AAB"/>
    <w:rsid w:val="00EB44FD"/>
    <w:rsid w:val="00EB7AAF"/>
    <w:rsid w:val="00EC41C3"/>
    <w:rsid w:val="00EC4311"/>
    <w:rsid w:val="00EC6129"/>
    <w:rsid w:val="00ED178B"/>
    <w:rsid w:val="00EE2AA7"/>
    <w:rsid w:val="00EE384C"/>
    <w:rsid w:val="00EE505C"/>
    <w:rsid w:val="00EE67AD"/>
    <w:rsid w:val="00EF0F5B"/>
    <w:rsid w:val="00EF18FD"/>
    <w:rsid w:val="00EF1F54"/>
    <w:rsid w:val="00EF2771"/>
    <w:rsid w:val="00EF6B56"/>
    <w:rsid w:val="00EF6E31"/>
    <w:rsid w:val="00EF74F9"/>
    <w:rsid w:val="00F025E2"/>
    <w:rsid w:val="00F0351F"/>
    <w:rsid w:val="00F233B1"/>
    <w:rsid w:val="00F23501"/>
    <w:rsid w:val="00F25005"/>
    <w:rsid w:val="00F252F6"/>
    <w:rsid w:val="00F25FA9"/>
    <w:rsid w:val="00F30687"/>
    <w:rsid w:val="00F30A9A"/>
    <w:rsid w:val="00F373FF"/>
    <w:rsid w:val="00F443AD"/>
    <w:rsid w:val="00F44BAB"/>
    <w:rsid w:val="00F4596B"/>
    <w:rsid w:val="00F46583"/>
    <w:rsid w:val="00F5040D"/>
    <w:rsid w:val="00F50DD0"/>
    <w:rsid w:val="00F52270"/>
    <w:rsid w:val="00F536A1"/>
    <w:rsid w:val="00F53B18"/>
    <w:rsid w:val="00F53D6A"/>
    <w:rsid w:val="00F544CD"/>
    <w:rsid w:val="00F5667E"/>
    <w:rsid w:val="00F5726E"/>
    <w:rsid w:val="00F6226D"/>
    <w:rsid w:val="00F652F9"/>
    <w:rsid w:val="00F65AB3"/>
    <w:rsid w:val="00F74767"/>
    <w:rsid w:val="00F74AB0"/>
    <w:rsid w:val="00F75FD3"/>
    <w:rsid w:val="00F76254"/>
    <w:rsid w:val="00F816AE"/>
    <w:rsid w:val="00F85EE8"/>
    <w:rsid w:val="00F86555"/>
    <w:rsid w:val="00F90F19"/>
    <w:rsid w:val="00F97997"/>
    <w:rsid w:val="00F97C0F"/>
    <w:rsid w:val="00F97FDF"/>
    <w:rsid w:val="00FA0610"/>
    <w:rsid w:val="00FA1DF9"/>
    <w:rsid w:val="00FA4F75"/>
    <w:rsid w:val="00FA59BF"/>
    <w:rsid w:val="00FA7A50"/>
    <w:rsid w:val="00FB0005"/>
    <w:rsid w:val="00FB1B48"/>
    <w:rsid w:val="00FB1FB8"/>
    <w:rsid w:val="00FB55A3"/>
    <w:rsid w:val="00FB7367"/>
    <w:rsid w:val="00FC1C66"/>
    <w:rsid w:val="00FC49BE"/>
    <w:rsid w:val="00FC5142"/>
    <w:rsid w:val="00FC5942"/>
    <w:rsid w:val="00FC6B03"/>
    <w:rsid w:val="00FC7296"/>
    <w:rsid w:val="00FC7A3A"/>
    <w:rsid w:val="00FD1A39"/>
    <w:rsid w:val="00FD3DB8"/>
    <w:rsid w:val="00FD68E8"/>
    <w:rsid w:val="00FE0FE1"/>
    <w:rsid w:val="00FE24B1"/>
    <w:rsid w:val="00FE360E"/>
    <w:rsid w:val="00FE443B"/>
    <w:rsid w:val="00FE5A86"/>
    <w:rsid w:val="00FE7B6F"/>
    <w:rsid w:val="00FF1045"/>
    <w:rsid w:val="00FF11FB"/>
    <w:rsid w:val="00FF18EB"/>
    <w:rsid w:val="00FF6E32"/>
    <w:rsid w:val="00FF7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9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085451"/>
    <w:pPr>
      <w:keepNext/>
      <w:keepLines/>
      <w:spacing w:after="120"/>
      <w:ind w:left="709" w:hanging="709"/>
      <w:outlineLvl w:val="1"/>
    </w:pPr>
    <w:rPr>
      <w:rFonts w:ascii="Arial" w:eastAsiaTheme="majorEastAsia" w:hAnsi="Arial" w:cstheme="majorBidi"/>
      <w:b/>
      <w:bCs/>
      <w:sz w:val="22"/>
      <w:szCs w:val="26"/>
      <w:lang w:eastAsia="en-US"/>
    </w:rPr>
  </w:style>
  <w:style w:type="paragraph" w:styleId="Heading5">
    <w:name w:val="heading 5"/>
    <w:basedOn w:val="Normal"/>
    <w:qFormat/>
    <w:rsid w:val="000E0270"/>
    <w:pPr>
      <w:spacing w:before="100" w:beforeAutospacing="1" w:after="100" w:afterAutospacing="1"/>
      <w:outlineLvl w:val="4"/>
    </w:pPr>
    <w:rPr>
      <w:rFonts w:ascii="Arial" w:hAnsi="Arial" w:cs="Arial"/>
      <w:b/>
      <w:bCs/>
      <w:color w:val="0033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078"/>
    <w:pPr>
      <w:tabs>
        <w:tab w:val="center" w:pos="4153"/>
        <w:tab w:val="right" w:pos="8306"/>
      </w:tabs>
    </w:pPr>
  </w:style>
  <w:style w:type="paragraph" w:styleId="Footer">
    <w:name w:val="footer"/>
    <w:basedOn w:val="Normal"/>
    <w:rsid w:val="000A1078"/>
    <w:pPr>
      <w:tabs>
        <w:tab w:val="center" w:pos="4153"/>
        <w:tab w:val="right" w:pos="8306"/>
      </w:tabs>
    </w:pPr>
  </w:style>
  <w:style w:type="table" w:styleId="TableGrid">
    <w:name w:val="Table Grid"/>
    <w:basedOn w:val="TableNormal"/>
    <w:rsid w:val="0018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270"/>
    <w:rPr>
      <w:color w:val="0000EE"/>
      <w:u w:val="single"/>
    </w:rPr>
  </w:style>
  <w:style w:type="paragraph" w:styleId="NormalWeb">
    <w:name w:val="Normal (Web)"/>
    <w:basedOn w:val="Normal"/>
    <w:rsid w:val="000E0270"/>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FF6E32"/>
    <w:rPr>
      <w:sz w:val="20"/>
      <w:szCs w:val="20"/>
    </w:rPr>
  </w:style>
  <w:style w:type="character" w:styleId="FootnoteReference">
    <w:name w:val="footnote reference"/>
    <w:basedOn w:val="DefaultParagraphFont"/>
    <w:semiHidden/>
    <w:rsid w:val="00FF6E32"/>
    <w:rPr>
      <w:vertAlign w:val="superscript"/>
    </w:rPr>
  </w:style>
  <w:style w:type="paragraph" w:styleId="BalloonText">
    <w:name w:val="Balloon Text"/>
    <w:basedOn w:val="Normal"/>
    <w:semiHidden/>
    <w:rsid w:val="00DD3997"/>
    <w:rPr>
      <w:rFonts w:ascii="Tahoma" w:hAnsi="Tahoma" w:cs="Tahoma"/>
      <w:sz w:val="16"/>
      <w:szCs w:val="16"/>
    </w:rPr>
  </w:style>
  <w:style w:type="character" w:styleId="CommentReference">
    <w:name w:val="annotation reference"/>
    <w:basedOn w:val="DefaultParagraphFont"/>
    <w:semiHidden/>
    <w:rsid w:val="000B2C32"/>
    <w:rPr>
      <w:sz w:val="16"/>
      <w:szCs w:val="16"/>
    </w:rPr>
  </w:style>
  <w:style w:type="paragraph" w:styleId="CommentText">
    <w:name w:val="annotation text"/>
    <w:basedOn w:val="Normal"/>
    <w:semiHidden/>
    <w:rsid w:val="000B2C32"/>
    <w:rPr>
      <w:sz w:val="20"/>
      <w:szCs w:val="20"/>
    </w:rPr>
  </w:style>
  <w:style w:type="paragraph" w:styleId="CommentSubject">
    <w:name w:val="annotation subject"/>
    <w:basedOn w:val="CommentText"/>
    <w:next w:val="CommentText"/>
    <w:semiHidden/>
    <w:rsid w:val="000B2C32"/>
    <w:rPr>
      <w:b/>
      <w:bCs/>
    </w:rPr>
  </w:style>
  <w:style w:type="paragraph" w:styleId="ListParagraph">
    <w:name w:val="List Paragraph"/>
    <w:basedOn w:val="Normal"/>
    <w:uiPriority w:val="34"/>
    <w:qFormat/>
    <w:rsid w:val="00B813C3"/>
    <w:pPr>
      <w:ind w:left="720"/>
      <w:contextualSpacing/>
    </w:pPr>
  </w:style>
  <w:style w:type="character" w:customStyle="1" w:styleId="Heading2Char">
    <w:name w:val="Heading 2 Char"/>
    <w:basedOn w:val="DefaultParagraphFont"/>
    <w:link w:val="Heading2"/>
    <w:rsid w:val="00085451"/>
    <w:rPr>
      <w:rFonts w:ascii="Arial" w:eastAsiaTheme="majorEastAsia" w:hAnsi="Arial" w:cstheme="majorBidi"/>
      <w:b/>
      <w:bCs/>
      <w:sz w:val="22"/>
      <w:szCs w:val="26"/>
      <w:lang w:eastAsia="en-US"/>
    </w:rPr>
  </w:style>
  <w:style w:type="paragraph" w:customStyle="1" w:styleId="subsection">
    <w:name w:val="subsection"/>
    <w:aliases w:val="ss"/>
    <w:basedOn w:val="Normal"/>
    <w:link w:val="subsectionChar"/>
    <w:rsid w:val="00C819BF"/>
    <w:pPr>
      <w:tabs>
        <w:tab w:val="right" w:pos="1021"/>
      </w:tabs>
      <w:spacing w:before="180"/>
      <w:ind w:left="1134" w:hanging="1134"/>
    </w:pPr>
    <w:rPr>
      <w:sz w:val="22"/>
      <w:szCs w:val="20"/>
    </w:rPr>
  </w:style>
  <w:style w:type="paragraph" w:customStyle="1" w:styleId="Definition">
    <w:name w:val="Definition"/>
    <w:aliases w:val="dd"/>
    <w:basedOn w:val="Normal"/>
    <w:rsid w:val="00C819BF"/>
    <w:pPr>
      <w:spacing w:before="180"/>
      <w:ind w:left="1134"/>
    </w:pPr>
    <w:rPr>
      <w:sz w:val="22"/>
      <w:szCs w:val="20"/>
    </w:rPr>
  </w:style>
  <w:style w:type="paragraph" w:customStyle="1" w:styleId="notetext">
    <w:name w:val="note(text)"/>
    <w:aliases w:val="n"/>
    <w:basedOn w:val="Normal"/>
    <w:link w:val="notetextChar"/>
    <w:rsid w:val="00C819BF"/>
    <w:pPr>
      <w:spacing w:before="122" w:line="198" w:lineRule="exact"/>
      <w:ind w:left="1985" w:hanging="851"/>
    </w:pPr>
    <w:rPr>
      <w:sz w:val="18"/>
      <w:szCs w:val="20"/>
    </w:rPr>
  </w:style>
  <w:style w:type="paragraph" w:customStyle="1" w:styleId="notepara">
    <w:name w:val="note(para)"/>
    <w:aliases w:val="na"/>
    <w:basedOn w:val="Normal"/>
    <w:rsid w:val="00C819BF"/>
    <w:pPr>
      <w:spacing w:before="40" w:line="198" w:lineRule="exact"/>
      <w:ind w:left="2354" w:hanging="369"/>
    </w:pPr>
    <w:rPr>
      <w:sz w:val="18"/>
      <w:szCs w:val="20"/>
    </w:rPr>
  </w:style>
  <w:style w:type="character" w:customStyle="1" w:styleId="subsectionChar">
    <w:name w:val="subsection Char"/>
    <w:aliases w:val="ss Char"/>
    <w:basedOn w:val="DefaultParagraphFont"/>
    <w:link w:val="subsection"/>
    <w:locked/>
    <w:rsid w:val="00C819BF"/>
    <w:rPr>
      <w:sz w:val="22"/>
    </w:rPr>
  </w:style>
  <w:style w:type="character" w:customStyle="1" w:styleId="notetextChar">
    <w:name w:val="note(text) Char"/>
    <w:aliases w:val="n Char"/>
    <w:basedOn w:val="DefaultParagraphFont"/>
    <w:link w:val="notetext"/>
    <w:rsid w:val="00C819BF"/>
    <w:rPr>
      <w:sz w:val="18"/>
    </w:rPr>
  </w:style>
  <w:style w:type="paragraph" w:styleId="Revision">
    <w:name w:val="Revision"/>
    <w:hidden/>
    <w:uiPriority w:val="99"/>
    <w:semiHidden/>
    <w:rsid w:val="009A5E09"/>
    <w:rPr>
      <w:sz w:val="24"/>
      <w:szCs w:val="24"/>
    </w:rPr>
  </w:style>
  <w:style w:type="paragraph" w:customStyle="1" w:styleId="Heding1">
    <w:name w:val="Heding 1"/>
    <w:basedOn w:val="Normal"/>
    <w:qFormat/>
    <w:rsid w:val="00530A7C"/>
    <w:pPr>
      <w:keepNext/>
      <w:keepLines/>
      <w:spacing w:after="240"/>
      <w:outlineLvl w:val="0"/>
    </w:pPr>
    <w:rPr>
      <w:rFonts w:ascii="Arial" w:eastAsiaTheme="majorEastAsia"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65044">
      <w:bodyDiv w:val="1"/>
      <w:marLeft w:val="75"/>
      <w:marRight w:val="75"/>
      <w:marTop w:val="75"/>
      <w:marBottom w:val="75"/>
      <w:divBdr>
        <w:top w:val="none" w:sz="0" w:space="0" w:color="auto"/>
        <w:left w:val="none" w:sz="0" w:space="0" w:color="auto"/>
        <w:bottom w:val="none" w:sz="0" w:space="0" w:color="auto"/>
        <w:right w:val="none" w:sz="0" w:space="0" w:color="auto"/>
      </w:divBdr>
      <w:divsChild>
        <w:div w:id="561600509">
          <w:blockQuote w:val="1"/>
          <w:marLeft w:val="750"/>
          <w:marRight w:val="750"/>
          <w:marTop w:val="100"/>
          <w:marBottom w:val="100"/>
          <w:divBdr>
            <w:top w:val="none" w:sz="0" w:space="0" w:color="auto"/>
            <w:left w:val="none" w:sz="0" w:space="0" w:color="auto"/>
            <w:bottom w:val="none" w:sz="0" w:space="0" w:color="auto"/>
            <w:right w:val="none" w:sz="0" w:space="0" w:color="auto"/>
          </w:divBdr>
        </w:div>
        <w:div w:id="1061295538">
          <w:blockQuote w:val="1"/>
          <w:marLeft w:val="750"/>
          <w:marRight w:val="750"/>
          <w:marTop w:val="100"/>
          <w:marBottom w:val="100"/>
          <w:divBdr>
            <w:top w:val="none" w:sz="0" w:space="0" w:color="auto"/>
            <w:left w:val="none" w:sz="0" w:space="0" w:color="auto"/>
            <w:bottom w:val="none" w:sz="0" w:space="0" w:color="auto"/>
            <w:right w:val="none" w:sz="0" w:space="0" w:color="auto"/>
          </w:divBdr>
        </w:div>
        <w:div w:id="1280334708">
          <w:blockQuote w:val="1"/>
          <w:marLeft w:val="750"/>
          <w:marRight w:val="750"/>
          <w:marTop w:val="100"/>
          <w:marBottom w:val="100"/>
          <w:divBdr>
            <w:top w:val="none" w:sz="0" w:space="0" w:color="auto"/>
            <w:left w:val="none" w:sz="0" w:space="0" w:color="auto"/>
            <w:bottom w:val="none" w:sz="0" w:space="0" w:color="auto"/>
            <w:right w:val="none" w:sz="0" w:space="0" w:color="auto"/>
          </w:divBdr>
        </w:div>
        <w:div w:id="1633555215">
          <w:blockQuote w:val="1"/>
          <w:marLeft w:val="750"/>
          <w:marRight w:val="750"/>
          <w:marTop w:val="100"/>
          <w:marBottom w:val="100"/>
          <w:divBdr>
            <w:top w:val="none" w:sz="0" w:space="0" w:color="auto"/>
            <w:left w:val="none" w:sz="0" w:space="0" w:color="auto"/>
            <w:bottom w:val="none" w:sz="0" w:space="0" w:color="auto"/>
            <w:right w:val="none" w:sz="0" w:space="0" w:color="auto"/>
          </w:divBdr>
        </w:div>
        <w:div w:id="1727409488">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754130942">
      <w:bodyDiv w:val="1"/>
      <w:marLeft w:val="0"/>
      <w:marRight w:val="0"/>
      <w:marTop w:val="0"/>
      <w:marBottom w:val="0"/>
      <w:divBdr>
        <w:top w:val="none" w:sz="0" w:space="0" w:color="auto"/>
        <w:left w:val="none" w:sz="0" w:space="0" w:color="auto"/>
        <w:bottom w:val="none" w:sz="0" w:space="0" w:color="auto"/>
        <w:right w:val="none" w:sz="0" w:space="0" w:color="auto"/>
      </w:divBdr>
    </w:div>
    <w:div w:id="1043796840">
      <w:bodyDiv w:val="1"/>
      <w:marLeft w:val="75"/>
      <w:marRight w:val="75"/>
      <w:marTop w:val="75"/>
      <w:marBottom w:val="75"/>
      <w:divBdr>
        <w:top w:val="none" w:sz="0" w:space="0" w:color="auto"/>
        <w:left w:val="none" w:sz="0" w:space="0" w:color="auto"/>
        <w:bottom w:val="none" w:sz="0" w:space="0" w:color="auto"/>
        <w:right w:val="none" w:sz="0" w:space="0" w:color="auto"/>
      </w:divBdr>
      <w:divsChild>
        <w:div w:id="120657156">
          <w:blockQuote w:val="1"/>
          <w:marLeft w:val="750"/>
          <w:marRight w:val="750"/>
          <w:marTop w:val="100"/>
          <w:marBottom w:val="100"/>
          <w:divBdr>
            <w:top w:val="none" w:sz="0" w:space="0" w:color="auto"/>
            <w:left w:val="none" w:sz="0" w:space="0" w:color="auto"/>
            <w:bottom w:val="none" w:sz="0" w:space="0" w:color="auto"/>
            <w:right w:val="none" w:sz="0" w:space="0" w:color="auto"/>
          </w:divBdr>
        </w:div>
        <w:div w:id="1219437675">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70189766">
      <w:bodyDiv w:val="1"/>
      <w:marLeft w:val="75"/>
      <w:marRight w:val="75"/>
      <w:marTop w:val="75"/>
      <w:marBottom w:val="75"/>
      <w:divBdr>
        <w:top w:val="none" w:sz="0" w:space="0" w:color="auto"/>
        <w:left w:val="none" w:sz="0" w:space="0" w:color="auto"/>
        <w:bottom w:val="none" w:sz="0" w:space="0" w:color="auto"/>
        <w:right w:val="none" w:sz="0" w:space="0" w:color="auto"/>
      </w:divBdr>
      <w:divsChild>
        <w:div w:id="599607574">
          <w:blockQuote w:val="1"/>
          <w:marLeft w:val="750"/>
          <w:marRight w:val="750"/>
          <w:marTop w:val="100"/>
          <w:marBottom w:val="100"/>
          <w:divBdr>
            <w:top w:val="none" w:sz="0" w:space="0" w:color="auto"/>
            <w:left w:val="none" w:sz="0" w:space="0" w:color="auto"/>
            <w:bottom w:val="none" w:sz="0" w:space="0" w:color="auto"/>
            <w:right w:val="none" w:sz="0" w:space="0" w:color="auto"/>
          </w:divBdr>
        </w:div>
        <w:div w:id="86895103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98053774">
      <w:bodyDiv w:val="1"/>
      <w:marLeft w:val="75"/>
      <w:marRight w:val="75"/>
      <w:marTop w:val="75"/>
      <w:marBottom w:val="75"/>
      <w:divBdr>
        <w:top w:val="none" w:sz="0" w:space="0" w:color="auto"/>
        <w:left w:val="none" w:sz="0" w:space="0" w:color="auto"/>
        <w:bottom w:val="none" w:sz="0" w:space="0" w:color="auto"/>
        <w:right w:val="none" w:sz="0" w:space="0" w:color="auto"/>
      </w:divBdr>
      <w:divsChild>
        <w:div w:id="1513493805">
          <w:blockQuote w:val="1"/>
          <w:marLeft w:val="750"/>
          <w:marRight w:val="750"/>
          <w:marTop w:val="100"/>
          <w:marBottom w:val="100"/>
          <w:divBdr>
            <w:top w:val="none" w:sz="0" w:space="0" w:color="auto"/>
            <w:left w:val="none" w:sz="0" w:space="0" w:color="auto"/>
            <w:bottom w:val="none" w:sz="0" w:space="0" w:color="auto"/>
            <w:right w:val="none" w:sz="0" w:space="0" w:color="auto"/>
          </w:divBdr>
        </w:div>
        <w:div w:id="186956305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734617316">
      <w:bodyDiv w:val="1"/>
      <w:marLeft w:val="0"/>
      <w:marRight w:val="0"/>
      <w:marTop w:val="0"/>
      <w:marBottom w:val="0"/>
      <w:divBdr>
        <w:top w:val="none" w:sz="0" w:space="0" w:color="auto"/>
        <w:left w:val="none" w:sz="0" w:space="0" w:color="auto"/>
        <w:bottom w:val="none" w:sz="0" w:space="0" w:color="auto"/>
        <w:right w:val="none" w:sz="0" w:space="0" w:color="auto"/>
      </w:divBdr>
    </w:div>
    <w:div w:id="1788507813">
      <w:bodyDiv w:val="1"/>
      <w:marLeft w:val="75"/>
      <w:marRight w:val="75"/>
      <w:marTop w:val="75"/>
      <w:marBottom w:val="75"/>
      <w:divBdr>
        <w:top w:val="none" w:sz="0" w:space="0" w:color="auto"/>
        <w:left w:val="none" w:sz="0" w:space="0" w:color="auto"/>
        <w:bottom w:val="none" w:sz="0" w:space="0" w:color="auto"/>
        <w:right w:val="none" w:sz="0" w:space="0" w:color="auto"/>
      </w:divBdr>
      <w:divsChild>
        <w:div w:id="321586186">
          <w:blockQuote w:val="1"/>
          <w:marLeft w:val="750"/>
          <w:marRight w:val="750"/>
          <w:marTop w:val="100"/>
          <w:marBottom w:val="100"/>
          <w:divBdr>
            <w:top w:val="none" w:sz="0" w:space="0" w:color="auto"/>
            <w:left w:val="none" w:sz="0" w:space="0" w:color="auto"/>
            <w:bottom w:val="none" w:sz="0" w:space="0" w:color="auto"/>
            <w:right w:val="none" w:sz="0" w:space="0" w:color="auto"/>
          </w:divBdr>
        </w:div>
        <w:div w:id="1552962943">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8149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6249-BC47-4621-8C18-BB483E95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2022-08-31T01:39:00Z</dcterms:created>
  <dcterms:modified xsi:type="dcterms:W3CDTF">2022-10-10T23:10:00Z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