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FD9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839A06" wp14:editId="3DB8BF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609F" w14:textId="77777777" w:rsidR="00715914" w:rsidRPr="00E500D4" w:rsidRDefault="00715914" w:rsidP="00715914">
      <w:pPr>
        <w:rPr>
          <w:sz w:val="19"/>
        </w:rPr>
      </w:pPr>
    </w:p>
    <w:p w14:paraId="7CF09AA3" w14:textId="34DDE30E" w:rsidR="00554826" w:rsidRPr="00E500D4" w:rsidRDefault="00C675E3" w:rsidP="00554826">
      <w:pPr>
        <w:pStyle w:val="ShortT"/>
      </w:pPr>
      <w:r>
        <w:rPr>
          <w:color w:val="000000"/>
          <w:szCs w:val="40"/>
          <w:shd w:val="clear" w:color="auto" w:fill="FFFFFF"/>
        </w:rPr>
        <w:t xml:space="preserve">Education Services for Overseas Students </w:t>
      </w:r>
      <w:r w:rsidR="00EF2A5F">
        <w:rPr>
          <w:color w:val="000000"/>
          <w:szCs w:val="40"/>
          <w:shd w:val="clear" w:color="auto" w:fill="FFFFFF"/>
        </w:rPr>
        <w:t>(</w:t>
      </w:r>
      <w:r w:rsidR="00BC6617">
        <w:rPr>
          <w:color w:val="000000"/>
          <w:szCs w:val="40"/>
          <w:shd w:val="clear" w:color="auto" w:fill="FFFFFF"/>
        </w:rPr>
        <w:t>Notice Requirements</w:t>
      </w:r>
      <w:r w:rsidR="00EF2A5F">
        <w:rPr>
          <w:color w:val="000000"/>
          <w:szCs w:val="40"/>
          <w:shd w:val="clear" w:color="auto" w:fill="FFFFFF"/>
        </w:rPr>
        <w:t>)</w:t>
      </w:r>
      <w:r w:rsidR="005D4A8B">
        <w:rPr>
          <w:color w:val="000000"/>
          <w:szCs w:val="40"/>
          <w:shd w:val="clear" w:color="auto" w:fill="FFFFFF"/>
        </w:rPr>
        <w:t xml:space="preserve"> </w:t>
      </w:r>
      <w:r w:rsidR="00C315B9">
        <w:rPr>
          <w:color w:val="000000"/>
          <w:szCs w:val="40"/>
          <w:shd w:val="clear" w:color="auto" w:fill="FFFFFF"/>
        </w:rPr>
        <w:t>Instrument</w:t>
      </w:r>
      <w:r w:rsidR="00C315B9" w:rsidRPr="00DA182D">
        <w:t xml:space="preserve"> </w:t>
      </w:r>
      <w:r w:rsidR="00D01A29">
        <w:t>2022</w:t>
      </w:r>
      <w:r>
        <w:t xml:space="preserve"> </w:t>
      </w:r>
    </w:p>
    <w:p w14:paraId="35694831" w14:textId="40B0215B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C1091F">
        <w:rPr>
          <w:szCs w:val="22"/>
        </w:rPr>
        <w:t xml:space="preserve"> </w:t>
      </w:r>
      <w:r w:rsidR="00B331ED">
        <w:rPr>
          <w:szCs w:val="22"/>
        </w:rPr>
        <w:t>Jason Clare</w:t>
      </w:r>
      <w:r w:rsidR="007F0BB3" w:rsidRPr="00DA182D">
        <w:rPr>
          <w:szCs w:val="22"/>
        </w:rPr>
        <w:t xml:space="preserve">, </w:t>
      </w:r>
      <w:r w:rsidR="007F0BB3">
        <w:rPr>
          <w:szCs w:val="22"/>
        </w:rPr>
        <w:t xml:space="preserve">Minister for </w:t>
      </w:r>
      <w:r w:rsidR="00B331ED">
        <w:rPr>
          <w:szCs w:val="22"/>
        </w:rPr>
        <w:t>Education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C1091F">
        <w:rPr>
          <w:szCs w:val="22"/>
        </w:rPr>
        <w:t xml:space="preserve"> </w:t>
      </w:r>
      <w:r w:rsidR="00BC6617">
        <w:rPr>
          <w:szCs w:val="22"/>
        </w:rPr>
        <w:t>instrument</w:t>
      </w:r>
      <w:r w:rsidR="00C1091F">
        <w:rPr>
          <w:szCs w:val="22"/>
        </w:rPr>
        <w:t>.</w:t>
      </w:r>
    </w:p>
    <w:p w14:paraId="230345B6" w14:textId="5824B1E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A3034">
        <w:rPr>
          <w:szCs w:val="22"/>
        </w:rPr>
        <w:t>29</w:t>
      </w:r>
      <w:r w:rsidR="00724E3E">
        <w:rPr>
          <w:szCs w:val="22"/>
        </w:rPr>
        <w:t>/09/2022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F961CA6" w14:textId="638ED4AD" w:rsidR="00554826" w:rsidRDefault="00B331E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54826" w:rsidRPr="00A75FE9">
        <w:rPr>
          <w:szCs w:val="22"/>
        </w:rPr>
        <w:t xml:space="preserve"> </w:t>
      </w:r>
    </w:p>
    <w:p w14:paraId="4CD5FBB9" w14:textId="1DF3FE67" w:rsidR="00554826" w:rsidRPr="008E0027" w:rsidRDefault="00C1091F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B331ED">
        <w:rPr>
          <w:sz w:val="22"/>
        </w:rPr>
        <w:t>Education</w:t>
      </w:r>
    </w:p>
    <w:p w14:paraId="4826C5DE" w14:textId="77777777" w:rsidR="00554826" w:rsidRDefault="00554826" w:rsidP="00554826"/>
    <w:p w14:paraId="1281B170" w14:textId="77777777" w:rsidR="00554826" w:rsidRPr="00ED79B6" w:rsidRDefault="00554826" w:rsidP="00554826"/>
    <w:p w14:paraId="1480DCB9" w14:textId="77777777" w:rsidR="00F6696E" w:rsidRDefault="00F6696E" w:rsidP="00F6696E"/>
    <w:p w14:paraId="2EA0602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96765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E808CF1" w14:textId="1BA67B02" w:rsidR="00AE7A9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E7A9E">
        <w:rPr>
          <w:noProof/>
        </w:rPr>
        <w:t>1  Name</w:t>
      </w:r>
      <w:r w:rsidR="00AE7A9E">
        <w:rPr>
          <w:noProof/>
        </w:rPr>
        <w:tab/>
      </w:r>
      <w:r w:rsidR="00AE7A9E">
        <w:rPr>
          <w:noProof/>
        </w:rPr>
        <w:fldChar w:fldCharType="begin"/>
      </w:r>
      <w:r w:rsidR="00AE7A9E">
        <w:rPr>
          <w:noProof/>
        </w:rPr>
        <w:instrText xml:space="preserve"> PAGEREF _Toc84851414 \h </w:instrText>
      </w:r>
      <w:r w:rsidR="00AE7A9E">
        <w:rPr>
          <w:noProof/>
        </w:rPr>
      </w:r>
      <w:r w:rsidR="00AE7A9E">
        <w:rPr>
          <w:noProof/>
        </w:rPr>
        <w:fldChar w:fldCharType="separate"/>
      </w:r>
      <w:r w:rsidR="00AE7A9E">
        <w:rPr>
          <w:noProof/>
        </w:rPr>
        <w:t>1</w:t>
      </w:r>
      <w:r w:rsidR="00AE7A9E">
        <w:rPr>
          <w:noProof/>
        </w:rPr>
        <w:fldChar w:fldCharType="end"/>
      </w:r>
    </w:p>
    <w:p w14:paraId="24ABE53A" w14:textId="03562396" w:rsidR="00AE7A9E" w:rsidRDefault="00AE7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85964B" w14:textId="1A04B4EC" w:rsidR="00AE7A9E" w:rsidRDefault="00AE7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CE3AC3D" w14:textId="18C8042B" w:rsidR="00AE7A9E" w:rsidRDefault="00AE7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5376B4" w14:textId="4A952638" w:rsidR="00AE7A9E" w:rsidRDefault="00AE7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FDA95C" w14:textId="72852A54" w:rsidR="00AE7A9E" w:rsidRDefault="00AE7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Requirements for a notice of provider default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5723AF" w14:textId="54C97FF7" w:rsidR="00AE7A9E" w:rsidRDefault="00AE7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Requirements for a notice of outcome of discharge of obligations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00D4AE" w14:textId="236219C0" w:rsidR="00AE7A9E" w:rsidRDefault="00AE7A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EBE476" w14:textId="15D4B68E" w:rsidR="00AE7A9E" w:rsidRDefault="00AE7A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(Notifying provider default – requirements for a notice) Determination 2012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A86720" w14:textId="0245213D" w:rsidR="00AE7A9E" w:rsidRDefault="00AE7A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(Provider default – discharge of obligations – requirements for a notice) Determination 2012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_Toc84851423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B269AA" w14:textId="6E88EB72" w:rsidR="00F6696E" w:rsidRDefault="00B418CB" w:rsidP="00F6696E">
      <w:pPr>
        <w:outlineLvl w:val="0"/>
      </w:pPr>
      <w:r>
        <w:fldChar w:fldCharType="end"/>
      </w:r>
    </w:p>
    <w:p w14:paraId="418C8C3A" w14:textId="77777777" w:rsidR="00F6696E" w:rsidRPr="00A802BC" w:rsidRDefault="00F6696E" w:rsidP="00F6696E">
      <w:pPr>
        <w:outlineLvl w:val="0"/>
        <w:rPr>
          <w:sz w:val="20"/>
        </w:rPr>
      </w:pPr>
    </w:p>
    <w:p w14:paraId="47EC7572" w14:textId="77777777" w:rsidR="00F6696E" w:rsidRDefault="00F6696E" w:rsidP="00F6696E">
      <w:pPr>
        <w:sectPr w:rsidR="00F6696E" w:rsidSect="0022749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62713A" w14:textId="77777777" w:rsidR="00554826" w:rsidRPr="00554826" w:rsidRDefault="00554826" w:rsidP="00554826">
      <w:pPr>
        <w:pStyle w:val="ActHead5"/>
      </w:pPr>
      <w:bookmarkStart w:id="0" w:name="_Toc84851414"/>
      <w:r w:rsidRPr="00554826">
        <w:lastRenderedPageBreak/>
        <w:t>1  Name</w:t>
      </w:r>
      <w:bookmarkEnd w:id="0"/>
    </w:p>
    <w:p w14:paraId="3C9E9D9B" w14:textId="78119C2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="00C507D8" w:rsidRPr="00C507D8">
        <w:rPr>
          <w:i/>
          <w:iCs/>
        </w:rPr>
        <w:t xml:space="preserve">Education Services for Overseas Students </w:t>
      </w:r>
      <w:r w:rsidR="00EF2A5F" w:rsidRPr="00EF2A5F">
        <w:rPr>
          <w:i/>
          <w:iCs/>
        </w:rPr>
        <w:t>(</w:t>
      </w:r>
      <w:r w:rsidR="00BC6617">
        <w:rPr>
          <w:i/>
          <w:iCs/>
        </w:rPr>
        <w:t>Notice Requirements</w:t>
      </w:r>
      <w:r w:rsidR="00EF2A5F">
        <w:rPr>
          <w:i/>
          <w:iCs/>
        </w:rPr>
        <w:t xml:space="preserve">) </w:t>
      </w:r>
      <w:r w:rsidR="00C315B9">
        <w:rPr>
          <w:i/>
          <w:iCs/>
        </w:rPr>
        <w:t>Instrument</w:t>
      </w:r>
      <w:r w:rsidR="00C315B9" w:rsidRPr="00C507D8">
        <w:rPr>
          <w:i/>
          <w:iCs/>
        </w:rPr>
        <w:t xml:space="preserve"> </w:t>
      </w:r>
      <w:r w:rsidR="00D01A29">
        <w:rPr>
          <w:i/>
          <w:iCs/>
        </w:rPr>
        <w:t>2022</w:t>
      </w:r>
      <w:r w:rsidRPr="009C2562">
        <w:t>.</w:t>
      </w:r>
    </w:p>
    <w:p w14:paraId="2C110D7D" w14:textId="77777777" w:rsidR="00554826" w:rsidRPr="00554826" w:rsidRDefault="00554826" w:rsidP="00554826">
      <w:pPr>
        <w:pStyle w:val="ActHead5"/>
      </w:pPr>
      <w:bookmarkStart w:id="1" w:name="_Toc84851415"/>
      <w:r w:rsidRPr="00554826">
        <w:t>2  Commencement</w:t>
      </w:r>
      <w:bookmarkEnd w:id="1"/>
    </w:p>
    <w:p w14:paraId="253F4782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A70A91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B77909A" w14:textId="77777777" w:rsidTr="0022749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4D02F7" w14:textId="77777777" w:rsidR="003767E2" w:rsidRPr="003422B4" w:rsidRDefault="003767E2" w:rsidP="00227493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DC48D93" w14:textId="77777777" w:rsidTr="002274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F339BE" w14:textId="77777777" w:rsidR="003767E2" w:rsidRPr="003422B4" w:rsidRDefault="003767E2" w:rsidP="00227493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FAE0AD" w14:textId="77777777" w:rsidR="003767E2" w:rsidRPr="003422B4" w:rsidRDefault="003767E2" w:rsidP="00227493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8A1E99" w14:textId="77777777" w:rsidR="003767E2" w:rsidRPr="003422B4" w:rsidRDefault="003767E2" w:rsidP="00227493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06D35F0" w14:textId="77777777" w:rsidTr="002274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7830DF" w14:textId="77777777" w:rsidR="003767E2" w:rsidRPr="003422B4" w:rsidRDefault="003767E2" w:rsidP="00227493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F7A737" w14:textId="77777777" w:rsidR="003767E2" w:rsidRPr="003422B4" w:rsidRDefault="003767E2" w:rsidP="00227493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D6B868" w14:textId="77777777" w:rsidR="003767E2" w:rsidRPr="003422B4" w:rsidRDefault="003767E2" w:rsidP="00227493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076356C" w14:textId="77777777" w:rsidTr="0022749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BB0EF5" w14:textId="543342FA" w:rsidR="003767E2" w:rsidRPr="00C507D8" w:rsidRDefault="003767E2" w:rsidP="00227493">
            <w:pPr>
              <w:pStyle w:val="Tabletext"/>
              <w:rPr>
                <w:i/>
              </w:rPr>
            </w:pPr>
            <w:r w:rsidRPr="00C507D8">
              <w:t xml:space="preserve">1.  </w:t>
            </w:r>
            <w:r w:rsidR="00C507D8" w:rsidRPr="00227493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398D85" w14:textId="0F7723DC" w:rsidR="003767E2" w:rsidRPr="00BA44A5" w:rsidRDefault="00B44524" w:rsidP="00227493">
            <w:pPr>
              <w:pStyle w:val="Tabletext"/>
              <w:rPr>
                <w:iCs/>
              </w:rPr>
            </w:pPr>
            <w:r w:rsidRPr="00BA44A5">
              <w:rPr>
                <w:iCs/>
              </w:rPr>
              <w:t>The</w:t>
            </w:r>
            <w:r w:rsidR="00C507D8" w:rsidRPr="00BA44A5">
              <w:rPr>
                <w:iCs/>
              </w:rPr>
              <w:t xml:space="preserve"> day after </w:t>
            </w:r>
            <w:r w:rsidR="00227493" w:rsidRPr="00BA44A5">
              <w:rPr>
                <w:iCs/>
              </w:rPr>
              <w:t xml:space="preserve">this </w:t>
            </w:r>
            <w:r w:rsidR="00C507D8" w:rsidRPr="00BA44A5">
              <w:rPr>
                <w:iCs/>
              </w:rPr>
              <w:t>instrument</w:t>
            </w:r>
            <w:r w:rsidR="00227493" w:rsidRPr="00BA44A5">
              <w:rPr>
                <w:iCs/>
              </w:rPr>
              <w:t xml:space="preserve"> is registered</w:t>
            </w:r>
            <w:r w:rsidR="003767E2" w:rsidRPr="00BA44A5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F6E9DA" w14:textId="39075D6C" w:rsidR="003767E2" w:rsidRPr="00C507D8" w:rsidRDefault="003767E2" w:rsidP="00227493">
            <w:pPr>
              <w:pStyle w:val="Tabletext"/>
              <w:rPr>
                <w:i/>
              </w:rPr>
            </w:pPr>
          </w:p>
        </w:tc>
      </w:tr>
    </w:tbl>
    <w:p w14:paraId="61EC5948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32A1252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00DB499" w14:textId="77777777" w:rsidR="00554826" w:rsidRPr="00554826" w:rsidRDefault="00554826" w:rsidP="00554826">
      <w:pPr>
        <w:pStyle w:val="ActHead5"/>
      </w:pPr>
      <w:bookmarkStart w:id="2" w:name="_Toc84851416"/>
      <w:r w:rsidRPr="00554826">
        <w:t>3  Authority</w:t>
      </w:r>
      <w:bookmarkEnd w:id="2"/>
    </w:p>
    <w:p w14:paraId="68D61F21" w14:textId="5C4A42FF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227493">
        <w:t xml:space="preserve"> subsection</w:t>
      </w:r>
      <w:r w:rsidR="00BC6617">
        <w:t>s 46B(6) and</w:t>
      </w:r>
      <w:r w:rsidR="00227493">
        <w:t xml:space="preserve"> </w:t>
      </w:r>
      <w:r w:rsidR="005D4A8B">
        <w:t>46</w:t>
      </w:r>
      <w:r w:rsidR="005765C0">
        <w:t>F</w:t>
      </w:r>
      <w:r w:rsidR="00227493">
        <w:t>(</w:t>
      </w:r>
      <w:r w:rsidR="005765C0">
        <w:t>5</w:t>
      </w:r>
      <w:r w:rsidR="00227493">
        <w:t xml:space="preserve">) of the </w:t>
      </w:r>
      <w:r w:rsidR="00227493">
        <w:rPr>
          <w:i/>
          <w:iCs/>
        </w:rPr>
        <w:t>Education Services for Overseas Students Act 2000</w:t>
      </w:r>
      <w:r w:rsidR="00227493">
        <w:t>.</w:t>
      </w:r>
    </w:p>
    <w:p w14:paraId="7975351D" w14:textId="77777777" w:rsidR="00554826" w:rsidRPr="00554826" w:rsidRDefault="00554826" w:rsidP="00554826">
      <w:pPr>
        <w:pStyle w:val="ActHead5"/>
      </w:pPr>
      <w:bookmarkStart w:id="3" w:name="_Toc84851417"/>
      <w:r w:rsidRPr="00554826">
        <w:t>4  Definitions</w:t>
      </w:r>
      <w:bookmarkEnd w:id="3"/>
    </w:p>
    <w:p w14:paraId="20838A9B" w14:textId="43AFA022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</w:t>
      </w:r>
      <w:r w:rsidRPr="00CE60F9">
        <w:t xml:space="preserve">in </w:t>
      </w:r>
      <w:r w:rsidR="00371165">
        <w:t xml:space="preserve">section </w:t>
      </w:r>
      <w:r w:rsidR="0034339D">
        <w:t xml:space="preserve">5 </w:t>
      </w:r>
      <w:r w:rsidR="00371165">
        <w:t>of the</w:t>
      </w:r>
      <w:r>
        <w:t xml:space="preserve"> Act</w:t>
      </w:r>
      <w:r w:rsidRPr="009C2562">
        <w:t>, including the following:</w:t>
      </w:r>
    </w:p>
    <w:p w14:paraId="6AC548F5" w14:textId="207C0425" w:rsidR="00371165" w:rsidRDefault="00371165" w:rsidP="00371165">
      <w:pPr>
        <w:pStyle w:val="notepara"/>
        <w:numPr>
          <w:ilvl w:val="0"/>
          <w:numId w:val="14"/>
        </w:numPr>
      </w:pPr>
      <w:r>
        <w:t>c</w:t>
      </w:r>
      <w:r w:rsidR="005D4A8B">
        <w:t>ourse</w:t>
      </w:r>
      <w:r>
        <w:t>;</w:t>
      </w:r>
    </w:p>
    <w:p w14:paraId="4DB8B7B9" w14:textId="6D56322B" w:rsidR="00281C34" w:rsidRDefault="00BC6617" w:rsidP="00AE7A9E">
      <w:pPr>
        <w:pStyle w:val="notepara"/>
        <w:numPr>
          <w:ilvl w:val="0"/>
          <w:numId w:val="14"/>
        </w:numPr>
      </w:pPr>
      <w:r>
        <w:t>default</w:t>
      </w:r>
      <w:r w:rsidR="00AE7A9E">
        <w:t>.</w:t>
      </w:r>
    </w:p>
    <w:p w14:paraId="2FB1053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5223CAA" w14:textId="479F89B8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227493">
        <w:t xml:space="preserve"> </w:t>
      </w:r>
      <w:r w:rsidR="00227493">
        <w:rPr>
          <w:i/>
          <w:iCs/>
        </w:rPr>
        <w:t>Education Services for Overseas Students Act 2000</w:t>
      </w:r>
      <w:r w:rsidR="00227493" w:rsidRPr="00227493">
        <w:t>.</w:t>
      </w:r>
    </w:p>
    <w:p w14:paraId="25DCF730" w14:textId="77777777" w:rsidR="00354B27" w:rsidRDefault="00354B27" w:rsidP="00354B27">
      <w:pPr>
        <w:pStyle w:val="Definition"/>
      </w:pPr>
      <w:r>
        <w:rPr>
          <w:b/>
          <w:i/>
        </w:rPr>
        <w:t xml:space="preserve">confirmation of enrolment </w:t>
      </w:r>
      <w:r>
        <w:t xml:space="preserve">has the same meaning as in regulation 1.03 of the </w:t>
      </w:r>
      <w:r>
        <w:rPr>
          <w:i/>
          <w:iCs/>
        </w:rPr>
        <w:t>Migration Regulations 1994</w:t>
      </w:r>
      <w:r>
        <w:t>.</w:t>
      </w:r>
    </w:p>
    <w:p w14:paraId="67BFD649" w14:textId="7D8AE248" w:rsidR="00371165" w:rsidRPr="00354B27" w:rsidRDefault="00354B27" w:rsidP="00354B27">
      <w:pPr>
        <w:pStyle w:val="notetext"/>
      </w:pPr>
      <w:r w:rsidRPr="009C2562">
        <w:t>Note:</w:t>
      </w:r>
      <w:r w:rsidRPr="009C2562">
        <w:tab/>
      </w:r>
      <w:r>
        <w:t xml:space="preserve">Regulation 1.03 of the </w:t>
      </w:r>
      <w:r>
        <w:rPr>
          <w:i/>
          <w:iCs/>
        </w:rPr>
        <w:t xml:space="preserve">Migration Regulations 1994 </w:t>
      </w:r>
      <w:r>
        <w:t xml:space="preserve">provides that confirmation of enrolment, in relation to a student and a registered provider, means a confirmation by the registered provider that the student is enrolled in a registered course provided by the registered provider, as required by section 19 of the Act. </w:t>
      </w:r>
    </w:p>
    <w:p w14:paraId="05636A9A" w14:textId="77777777" w:rsidR="00554826" w:rsidRPr="00554826" w:rsidRDefault="00554826" w:rsidP="00554826">
      <w:pPr>
        <w:pStyle w:val="ActHead5"/>
      </w:pPr>
      <w:bookmarkStart w:id="4" w:name="_Toc454781205"/>
      <w:bookmarkStart w:id="5" w:name="_Toc84851418"/>
      <w:r w:rsidRPr="00554826">
        <w:t>5  Schedules</w:t>
      </w:r>
      <w:bookmarkEnd w:id="4"/>
      <w:bookmarkEnd w:id="5"/>
    </w:p>
    <w:p w14:paraId="51FD4620" w14:textId="39EEA5B1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227493">
        <w:t>The instrument</w:t>
      </w:r>
      <w:r w:rsidR="00384E01">
        <w:t>s</w:t>
      </w:r>
      <w:r w:rsidR="00227493">
        <w:t xml:space="preserve"> that </w:t>
      </w:r>
      <w:r w:rsidR="00384E01">
        <w:t>are</w:t>
      </w:r>
      <w:r w:rsidR="00227493">
        <w:t xml:space="preserve"> specified in Schedule 1 to this instrument </w:t>
      </w:r>
      <w:r w:rsidR="00384E01">
        <w:t>are</w:t>
      </w:r>
      <w:r w:rsidR="00227493">
        <w:t xml:space="preserve"> repealed as set out in the applicable item in that Schedule. </w:t>
      </w:r>
    </w:p>
    <w:p w14:paraId="351D61E4" w14:textId="77777777" w:rsidR="00BC6617" w:rsidRDefault="00BC6617" w:rsidP="00BC6617">
      <w:pPr>
        <w:pStyle w:val="ActHead5"/>
      </w:pPr>
      <w:bookmarkStart w:id="6" w:name="_Toc83820007"/>
      <w:bookmarkStart w:id="7" w:name="_Toc84851419"/>
      <w:r>
        <w:lastRenderedPageBreak/>
        <w:t>6  Requirements for a notice of provider default</w:t>
      </w:r>
      <w:bookmarkEnd w:id="6"/>
      <w:bookmarkEnd w:id="7"/>
    </w:p>
    <w:p w14:paraId="43412A24" w14:textId="1D6AF74D" w:rsidR="00BC6617" w:rsidRDefault="00BC6617" w:rsidP="00BC6617">
      <w:pPr>
        <w:pStyle w:val="subsection"/>
      </w:pPr>
      <w:r>
        <w:tab/>
      </w:r>
      <w:r w:rsidR="00405981">
        <w:t>(1)</w:t>
      </w:r>
      <w:r>
        <w:tab/>
        <w:t>For the purposes of subsection</w:t>
      </w:r>
      <w:r w:rsidR="00384E01">
        <w:t>s</w:t>
      </w:r>
      <w:r>
        <w:t xml:space="preserve"> 46B(2)</w:t>
      </w:r>
      <w:r w:rsidR="00384E01">
        <w:t xml:space="preserve"> and (5)</w:t>
      </w:r>
      <w:r>
        <w:t xml:space="preserve"> of the Act, the provider must enter the </w:t>
      </w:r>
      <w:r w:rsidR="006D1824">
        <w:t>following information</w:t>
      </w:r>
      <w:r w:rsidR="006D1824" w:rsidRPr="006D1824">
        <w:t xml:space="preserve"> </w:t>
      </w:r>
      <w:r w:rsidR="00B162F6">
        <w:t xml:space="preserve">in the computer system established by the Secretary, as mentioned in section 109 of the Act, </w:t>
      </w:r>
      <w:r w:rsidR="006D1824">
        <w:t xml:space="preserve">for each </w:t>
      </w:r>
      <w:r w:rsidR="00834BAE">
        <w:t>s</w:t>
      </w:r>
      <w:r w:rsidR="006D1824">
        <w:t>tudent to whom the provider has issued a confirmation of enrolment</w:t>
      </w:r>
      <w:r w:rsidR="00B162F6">
        <w:t>:</w:t>
      </w:r>
      <w:r>
        <w:t xml:space="preserve"> </w:t>
      </w:r>
    </w:p>
    <w:p w14:paraId="64C37977" w14:textId="18532565" w:rsidR="00BC6617" w:rsidRDefault="00BC6617" w:rsidP="00BC6617">
      <w:pPr>
        <w:pStyle w:val="paragraph"/>
      </w:pPr>
      <w:r>
        <w:tab/>
        <w:t>(a)</w:t>
      </w:r>
      <w:r>
        <w:tab/>
        <w:t>the date of the default;</w:t>
      </w:r>
      <w:r w:rsidR="00405981">
        <w:t xml:space="preserve"> and</w:t>
      </w:r>
    </w:p>
    <w:p w14:paraId="3A17BC46" w14:textId="02F109A5" w:rsidR="00BC6617" w:rsidRDefault="00BC6617" w:rsidP="00BC6617">
      <w:pPr>
        <w:pStyle w:val="paragraph"/>
      </w:pPr>
      <w:r>
        <w:tab/>
        <w:t>(b)</w:t>
      </w:r>
      <w:r>
        <w:tab/>
        <w:t>the reason for the default</w:t>
      </w:r>
      <w:r w:rsidR="00405981">
        <w:t>.</w:t>
      </w:r>
    </w:p>
    <w:p w14:paraId="3B9E8E70" w14:textId="214E70F6" w:rsidR="00BC6617" w:rsidRDefault="00BC6617" w:rsidP="009D1E79">
      <w:pPr>
        <w:pStyle w:val="subsection"/>
      </w:pPr>
      <w:r>
        <w:tab/>
        <w:t>(</w:t>
      </w:r>
      <w:r w:rsidR="00405981">
        <w:t>2</w:t>
      </w:r>
      <w:r>
        <w:t>)</w:t>
      </w:r>
      <w:r>
        <w:tab/>
      </w:r>
      <w:r w:rsidR="00405981">
        <w:t xml:space="preserve">For the purposes of subsection 46B(2) of the Act, </w:t>
      </w:r>
      <w:r>
        <w:t>if known by the provider</w:t>
      </w:r>
      <w:r w:rsidR="00405981">
        <w:t xml:space="preserve">, the provider must also enter in the computer system </w:t>
      </w:r>
      <w:r>
        <w:t>the following contact details for the student:</w:t>
      </w:r>
    </w:p>
    <w:p w14:paraId="4CCB43B1" w14:textId="429C9060" w:rsidR="00BC6617" w:rsidRDefault="00BC6617" w:rsidP="009D1E79">
      <w:pPr>
        <w:pStyle w:val="paragraph"/>
      </w:pPr>
      <w:r>
        <w:tab/>
        <w:t>(</w:t>
      </w:r>
      <w:r w:rsidR="00405981">
        <w:t>a</w:t>
      </w:r>
      <w:r>
        <w:t>)</w:t>
      </w:r>
      <w:r>
        <w:tab/>
      </w:r>
      <w:r w:rsidR="001220A7">
        <w:t xml:space="preserve">current </w:t>
      </w:r>
      <w:r>
        <w:t>residential address;</w:t>
      </w:r>
    </w:p>
    <w:p w14:paraId="2CF0B172" w14:textId="48A03565" w:rsidR="00BC6617" w:rsidRDefault="00BC6617" w:rsidP="009D1E79">
      <w:pPr>
        <w:pStyle w:val="paragraph"/>
      </w:pPr>
      <w:r>
        <w:tab/>
        <w:t>(</w:t>
      </w:r>
      <w:r w:rsidR="00405981">
        <w:t>b</w:t>
      </w:r>
      <w:r>
        <w:t>)</w:t>
      </w:r>
      <w:r>
        <w:tab/>
        <w:t>email address;</w:t>
      </w:r>
    </w:p>
    <w:p w14:paraId="28D43B95" w14:textId="524D1134" w:rsidR="00BC6617" w:rsidRDefault="00BC6617" w:rsidP="009D1E79">
      <w:pPr>
        <w:pStyle w:val="paragraph"/>
      </w:pPr>
      <w:r>
        <w:tab/>
        <w:t>(</w:t>
      </w:r>
      <w:r w:rsidR="00405981">
        <w:t>c</w:t>
      </w:r>
      <w:r>
        <w:t>)</w:t>
      </w:r>
      <w:r>
        <w:tab/>
        <w:t>home phone number; and</w:t>
      </w:r>
    </w:p>
    <w:p w14:paraId="70FE7C72" w14:textId="185B3A3D" w:rsidR="00BC6617" w:rsidRDefault="00BC6617" w:rsidP="009D1E79">
      <w:pPr>
        <w:pStyle w:val="paragraph"/>
      </w:pPr>
      <w:r>
        <w:tab/>
        <w:t>(</w:t>
      </w:r>
      <w:r w:rsidR="00405981">
        <w:t>d</w:t>
      </w:r>
      <w:r>
        <w:t>)</w:t>
      </w:r>
      <w:r>
        <w:tab/>
        <w:t>mobile phone number.</w:t>
      </w:r>
    </w:p>
    <w:p w14:paraId="7C780B98" w14:textId="71B3B81E" w:rsidR="00554826" w:rsidRPr="001E300B" w:rsidRDefault="00BC6617" w:rsidP="00554826">
      <w:pPr>
        <w:pStyle w:val="ActHead5"/>
      </w:pPr>
      <w:bookmarkStart w:id="8" w:name="_Toc84851420"/>
      <w:r>
        <w:t>7</w:t>
      </w:r>
      <w:r w:rsidR="00554826" w:rsidRPr="001E300B">
        <w:t xml:space="preserve">  </w:t>
      </w:r>
      <w:r w:rsidR="00227493" w:rsidRPr="001E300B">
        <w:t xml:space="preserve">Requirements for </w:t>
      </w:r>
      <w:r w:rsidR="005D4A8B">
        <w:t>a notice</w:t>
      </w:r>
      <w:r>
        <w:t xml:space="preserve"> of outcome of discharge of obligations</w:t>
      </w:r>
      <w:bookmarkEnd w:id="8"/>
    </w:p>
    <w:p w14:paraId="5D432528" w14:textId="288FD57A" w:rsidR="00371165" w:rsidRDefault="00554826" w:rsidP="00227493">
      <w:pPr>
        <w:pStyle w:val="subsection"/>
      </w:pPr>
      <w:r w:rsidRPr="001E300B">
        <w:tab/>
        <w:t>(</w:t>
      </w:r>
      <w:r w:rsidR="00CE60F9">
        <w:t>1</w:t>
      </w:r>
      <w:r w:rsidRPr="001E300B">
        <w:t>)</w:t>
      </w:r>
      <w:r w:rsidRPr="001E300B">
        <w:tab/>
      </w:r>
      <w:r w:rsidR="00D714DD">
        <w:t>For the purposes of subsection 46</w:t>
      </w:r>
      <w:r w:rsidR="005765C0">
        <w:t>F</w:t>
      </w:r>
      <w:r w:rsidR="00384E01">
        <w:t xml:space="preserve">(2) and </w:t>
      </w:r>
      <w:r w:rsidR="005765C0">
        <w:t xml:space="preserve">(4) of the Act, </w:t>
      </w:r>
      <w:r w:rsidR="00D714DD">
        <w:t xml:space="preserve">the provider must enter the </w:t>
      </w:r>
      <w:r w:rsidR="006D1824">
        <w:t xml:space="preserve">following information </w:t>
      </w:r>
      <w:r w:rsidR="00D714DD">
        <w:t>in the computer system established by the Secretary</w:t>
      </w:r>
      <w:r w:rsidR="00B91FF5">
        <w:t>, as mentioned in</w:t>
      </w:r>
      <w:r w:rsidR="00D714DD">
        <w:t xml:space="preserve"> section 109 of the Act</w:t>
      </w:r>
      <w:r w:rsidR="006D1824">
        <w:t>:</w:t>
      </w:r>
    </w:p>
    <w:p w14:paraId="74EDD578" w14:textId="73EDAC1B" w:rsidR="005765C0" w:rsidRDefault="001E300B" w:rsidP="006D1824">
      <w:pPr>
        <w:pStyle w:val="paragraph"/>
      </w:pPr>
      <w:r w:rsidRPr="001E300B">
        <w:tab/>
        <w:t>(</w:t>
      </w:r>
      <w:r w:rsidR="006D1824">
        <w:t>a</w:t>
      </w:r>
      <w:r w:rsidRPr="001E300B">
        <w:t>)</w:t>
      </w:r>
      <w:r w:rsidRPr="001E300B">
        <w:tab/>
      </w:r>
      <w:r w:rsidR="006D1824">
        <w:t>i</w:t>
      </w:r>
      <w:r w:rsidR="005765C0">
        <w:t>f</w:t>
      </w:r>
      <w:r w:rsidR="005765C0" w:rsidRPr="005765C0">
        <w:t xml:space="preserve"> the provider has not met their obligations in accordance with section 46D</w:t>
      </w:r>
      <w:r w:rsidR="006D1824">
        <w:t>—</w:t>
      </w:r>
      <w:r w:rsidR="005765C0" w:rsidRPr="005765C0">
        <w:t xml:space="preserve">the reason </w:t>
      </w:r>
      <w:r w:rsidR="005765C0">
        <w:t>the provider has not met these obligations</w:t>
      </w:r>
      <w:r w:rsidR="006D1824">
        <w:t>; or</w:t>
      </w:r>
    </w:p>
    <w:p w14:paraId="3C3AF591" w14:textId="319DA301" w:rsidR="005765C0" w:rsidRDefault="005765C0" w:rsidP="006D1824">
      <w:pPr>
        <w:pStyle w:val="paragraph"/>
      </w:pPr>
      <w:r>
        <w:tab/>
        <w:t>(</w:t>
      </w:r>
      <w:r w:rsidR="006D1824">
        <w:t>b</w:t>
      </w:r>
      <w:r>
        <w:t>)</w:t>
      </w:r>
      <w:r>
        <w:tab/>
      </w:r>
      <w:r w:rsidR="006D1824">
        <w:t>i</w:t>
      </w:r>
      <w:r w:rsidRPr="005765C0">
        <w:t>f the provider has met their obligations in accordance with section 46</w:t>
      </w:r>
      <w:r w:rsidR="00BC6617">
        <w:t>D</w:t>
      </w:r>
      <w:r>
        <w:t xml:space="preserve"> of the Act</w:t>
      </w:r>
      <w:r w:rsidR="006D1824">
        <w:t>—</w:t>
      </w:r>
      <w:r>
        <w:t xml:space="preserve">whether they met their obligations by: </w:t>
      </w:r>
    </w:p>
    <w:p w14:paraId="6CEE9265" w14:textId="3394ADAD" w:rsidR="005765C0" w:rsidRDefault="005765C0" w:rsidP="006D1824">
      <w:pPr>
        <w:pStyle w:val="paragraphsub"/>
      </w:pPr>
      <w:r>
        <w:tab/>
        <w:t>(</w:t>
      </w:r>
      <w:r w:rsidR="006D1824">
        <w:t>i</w:t>
      </w:r>
      <w:r>
        <w:t>)</w:t>
      </w:r>
      <w:r>
        <w:tab/>
        <w:t>arranging an alternat</w:t>
      </w:r>
      <w:r w:rsidR="00724B08">
        <w:t>ive</w:t>
      </w:r>
      <w:r>
        <w:t xml:space="preserve"> course under subsections 46</w:t>
      </w:r>
      <w:r w:rsidR="00BC6617">
        <w:t>D</w:t>
      </w:r>
      <w:r w:rsidRPr="005765C0">
        <w:t>(4) and (5)</w:t>
      </w:r>
      <w:r>
        <w:t xml:space="preserve"> of the</w:t>
      </w:r>
      <w:r w:rsidR="00724B08">
        <w:t> </w:t>
      </w:r>
      <w:r>
        <w:t>Act;</w:t>
      </w:r>
      <w:r w:rsidRPr="005765C0">
        <w:t xml:space="preserve"> </w:t>
      </w:r>
      <w:r>
        <w:t xml:space="preserve">or </w:t>
      </w:r>
    </w:p>
    <w:p w14:paraId="0B539E44" w14:textId="2D1BBDDE" w:rsidR="005765C0" w:rsidRDefault="005765C0" w:rsidP="006D1824">
      <w:pPr>
        <w:pStyle w:val="paragraphsub"/>
      </w:pPr>
      <w:r>
        <w:tab/>
        <w:t>(</w:t>
      </w:r>
      <w:r w:rsidR="006D1824">
        <w:t>ii</w:t>
      </w:r>
      <w:r>
        <w:t>)</w:t>
      </w:r>
      <w:r>
        <w:tab/>
        <w:t xml:space="preserve">providing a refund under </w:t>
      </w:r>
      <w:r w:rsidRPr="005765C0">
        <w:t xml:space="preserve">subsections </w:t>
      </w:r>
      <w:r>
        <w:t>46</w:t>
      </w:r>
      <w:r w:rsidR="00BC6617">
        <w:t>D</w:t>
      </w:r>
      <w:r w:rsidRPr="005765C0">
        <w:t>(6) and (7)</w:t>
      </w:r>
      <w:r>
        <w:t xml:space="preserve"> of the Act.</w:t>
      </w:r>
    </w:p>
    <w:p w14:paraId="6A4163CC" w14:textId="1ED8D98D" w:rsidR="005765C0" w:rsidRDefault="005765C0" w:rsidP="005765C0">
      <w:pPr>
        <w:pStyle w:val="subsection"/>
      </w:pPr>
      <w:r>
        <w:tab/>
        <w:t>(</w:t>
      </w:r>
      <w:r w:rsidR="006D1824">
        <w:t>2</w:t>
      </w:r>
      <w:r>
        <w:t>)</w:t>
      </w:r>
      <w:r>
        <w:tab/>
        <w:t xml:space="preserve">If </w:t>
      </w:r>
      <w:r w:rsidR="006D1824">
        <w:t>sub</w:t>
      </w:r>
      <w:r>
        <w:t>paragraph (</w:t>
      </w:r>
      <w:r w:rsidR="006D1824">
        <w:t>1</w:t>
      </w:r>
      <w:r>
        <w:t>)(</w:t>
      </w:r>
      <w:r w:rsidR="006D1824">
        <w:t>b</w:t>
      </w:r>
      <w:r>
        <w:t>)</w:t>
      </w:r>
      <w:r w:rsidR="006D1824">
        <w:t>(i)</w:t>
      </w:r>
      <w:r>
        <w:t xml:space="preserve"> applies</w:t>
      </w:r>
      <w:r w:rsidR="006D1824">
        <w:t>, the provider must also enter the following information in the computer system</w:t>
      </w:r>
      <w:r w:rsidR="00724B08">
        <w:t>:</w:t>
      </w:r>
    </w:p>
    <w:p w14:paraId="23E7442F" w14:textId="1843083C" w:rsidR="00724B08" w:rsidRDefault="00724B08" w:rsidP="00724B08">
      <w:pPr>
        <w:pStyle w:val="paragraph"/>
      </w:pPr>
      <w:r>
        <w:tab/>
        <w:t>(a)</w:t>
      </w:r>
      <w:r>
        <w:tab/>
      </w:r>
      <w:r w:rsidRPr="00724B08">
        <w:t>the date the provider met their obligations;</w:t>
      </w:r>
    </w:p>
    <w:p w14:paraId="44C7F7D5" w14:textId="74664267" w:rsidR="00724B08" w:rsidRDefault="00724B08" w:rsidP="00724B08">
      <w:pPr>
        <w:pStyle w:val="paragraph"/>
      </w:pPr>
      <w:r>
        <w:tab/>
        <w:t>(b)</w:t>
      </w:r>
      <w:r>
        <w:tab/>
        <w:t>if known by the provider</w:t>
      </w:r>
      <w:r w:rsidR="005B7146" w:rsidRPr="005B7146">
        <w:t>—</w:t>
      </w:r>
      <w:r>
        <w:t xml:space="preserve">the </w:t>
      </w:r>
      <w:r w:rsidR="00AF431C">
        <w:t>confirmation of enrolment</w:t>
      </w:r>
      <w:r>
        <w:t xml:space="preserve"> code of the alternative course accepted by the student; and</w:t>
      </w:r>
    </w:p>
    <w:p w14:paraId="6B813A5A" w14:textId="48400DF6" w:rsidR="00724B08" w:rsidRDefault="00724B08" w:rsidP="00724B08">
      <w:pPr>
        <w:pStyle w:val="paragraph"/>
      </w:pPr>
      <w:r>
        <w:tab/>
        <w:t>(c)</w:t>
      </w:r>
      <w:r>
        <w:tab/>
      </w:r>
      <w:r w:rsidR="006171DE">
        <w:t xml:space="preserve">confirmation that the provider has </w:t>
      </w:r>
      <w:r w:rsidRPr="005765C0">
        <w:t>evidence of the student’s acceptance of an offer of a place in an alternative course.</w:t>
      </w:r>
    </w:p>
    <w:p w14:paraId="72ACB32A" w14:textId="30BAF058" w:rsidR="00724B08" w:rsidRPr="005765C0" w:rsidRDefault="00724B08" w:rsidP="005765C0">
      <w:pPr>
        <w:pStyle w:val="subsection"/>
      </w:pPr>
      <w:r>
        <w:tab/>
        <w:t>(</w:t>
      </w:r>
      <w:r w:rsidR="006D1824">
        <w:t>3</w:t>
      </w:r>
      <w:r>
        <w:t>)</w:t>
      </w:r>
      <w:r>
        <w:tab/>
        <w:t xml:space="preserve">If </w:t>
      </w:r>
      <w:r w:rsidR="006D1824">
        <w:t>sub</w:t>
      </w:r>
      <w:r>
        <w:t>paragraph (</w:t>
      </w:r>
      <w:r w:rsidR="006D1824">
        <w:t>1</w:t>
      </w:r>
      <w:r>
        <w:t>)(</w:t>
      </w:r>
      <w:r w:rsidR="006D1824">
        <w:t>b</w:t>
      </w:r>
      <w:r>
        <w:t>)</w:t>
      </w:r>
      <w:r w:rsidR="006D1824">
        <w:t>(ii)</w:t>
      </w:r>
      <w:r>
        <w:t xml:space="preserve"> applies</w:t>
      </w:r>
      <w:r w:rsidR="006D1824">
        <w:t>, the provider must also enter the following information in the computer system:</w:t>
      </w:r>
    </w:p>
    <w:p w14:paraId="49F532B3" w14:textId="1F0EA970" w:rsidR="00724B08" w:rsidRPr="005765C0" w:rsidRDefault="00724B08" w:rsidP="00724B08">
      <w:pPr>
        <w:pStyle w:val="paragraph"/>
      </w:pPr>
      <w:r>
        <w:tab/>
        <w:t>(a)</w:t>
      </w:r>
      <w:r>
        <w:tab/>
      </w:r>
      <w:r w:rsidRPr="005765C0">
        <w:t>the amount of the refund; and</w:t>
      </w:r>
    </w:p>
    <w:p w14:paraId="5EA6CD20" w14:textId="3FD2AA1E" w:rsidR="00724B08" w:rsidRPr="00724B08" w:rsidRDefault="00724B08" w:rsidP="00724B08">
      <w:pPr>
        <w:pStyle w:val="paragraph"/>
      </w:pPr>
      <w:r>
        <w:tab/>
        <w:t>(b)</w:t>
      </w:r>
      <w:r>
        <w:tab/>
      </w:r>
      <w:r w:rsidRPr="005765C0">
        <w:t>the date the refund was paid.</w:t>
      </w:r>
    </w:p>
    <w:p w14:paraId="16DE3DA6" w14:textId="6654935A" w:rsidR="00554826" w:rsidRDefault="00281C34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6EFC180" w14:textId="77777777" w:rsidR="00D6537E" w:rsidRPr="004E1307" w:rsidRDefault="004E1307" w:rsidP="00D6537E">
      <w:pPr>
        <w:pStyle w:val="ActHead6"/>
      </w:pPr>
      <w:bookmarkStart w:id="9" w:name="_Toc84851421"/>
      <w:r>
        <w:lastRenderedPageBreak/>
        <w:t xml:space="preserve">Schedule </w:t>
      </w:r>
      <w:r w:rsidR="00D6537E" w:rsidRPr="004E1307">
        <w:t>1—Repeals</w:t>
      </w:r>
      <w:bookmarkEnd w:id="9"/>
    </w:p>
    <w:p w14:paraId="469C2A9D" w14:textId="77777777" w:rsidR="00BC6617" w:rsidRDefault="00BC6617" w:rsidP="00BC6617">
      <w:pPr>
        <w:pStyle w:val="ActHead9"/>
        <w:ind w:left="0" w:firstLine="0"/>
      </w:pPr>
      <w:bookmarkStart w:id="10" w:name="_Toc83820009"/>
      <w:bookmarkStart w:id="11" w:name="_Toc84851422"/>
      <w:r>
        <w:t>Education Services for Overseas Students (Notifying provider default – requirements for a notice) Determination 2012 (No. 1)</w:t>
      </w:r>
      <w:bookmarkEnd w:id="10"/>
      <w:bookmarkEnd w:id="11"/>
    </w:p>
    <w:p w14:paraId="701BABF0" w14:textId="77777777" w:rsidR="00BC6617" w:rsidRDefault="00BC6617" w:rsidP="00BC6617">
      <w:pPr>
        <w:pStyle w:val="ItemHead"/>
      </w:pPr>
      <w:r>
        <w:t>1  The whole of the instrument</w:t>
      </w:r>
    </w:p>
    <w:p w14:paraId="70A00D65" w14:textId="43CD7A4B" w:rsidR="00BC6617" w:rsidRDefault="00BC6617" w:rsidP="00BC6617">
      <w:pPr>
        <w:pStyle w:val="Item"/>
      </w:pPr>
      <w:r>
        <w:t>Repeal the instrument</w:t>
      </w:r>
      <w:r w:rsidR="00A742B9">
        <w:t>.</w:t>
      </w:r>
    </w:p>
    <w:p w14:paraId="16DF2E2F" w14:textId="5E9B7D78" w:rsidR="00D6537E" w:rsidRPr="00D6537E" w:rsidRDefault="00C507D8" w:rsidP="00C507D8">
      <w:pPr>
        <w:pStyle w:val="ActHead9"/>
        <w:ind w:left="0" w:firstLine="0"/>
      </w:pPr>
      <w:bookmarkStart w:id="12" w:name="_Toc84851423"/>
      <w:r w:rsidRPr="00C507D8">
        <w:t xml:space="preserve">Education Services for Overseas Students </w:t>
      </w:r>
      <w:r w:rsidR="00EF2A5F" w:rsidRPr="00EF2A5F">
        <w:t xml:space="preserve">(Provider default – discharge of obligations </w:t>
      </w:r>
      <w:bookmarkStart w:id="13" w:name="_Hlk82539313"/>
      <w:r w:rsidR="00EF2A5F" w:rsidRPr="00EF2A5F">
        <w:t>–</w:t>
      </w:r>
      <w:bookmarkEnd w:id="13"/>
      <w:r w:rsidR="00EF2A5F" w:rsidRPr="00EF2A5F">
        <w:t xml:space="preserve"> requirements for a notice)</w:t>
      </w:r>
      <w:r w:rsidRPr="00C507D8">
        <w:t xml:space="preserve"> Determination 2012 (No. 1)</w:t>
      </w:r>
      <w:bookmarkEnd w:id="12"/>
    </w:p>
    <w:p w14:paraId="0AFB7D05" w14:textId="2864780B" w:rsidR="00D6537E" w:rsidRDefault="00BC6617" w:rsidP="00D6537E">
      <w:pPr>
        <w:pStyle w:val="ItemHead"/>
      </w:pPr>
      <w:r>
        <w:t>2</w:t>
      </w:r>
      <w:r w:rsidR="00D6537E" w:rsidRPr="00B1728A">
        <w:t xml:space="preserve">  </w:t>
      </w:r>
      <w:r w:rsidR="00BB1533">
        <w:t>The w</w:t>
      </w:r>
      <w:r w:rsidR="00D6537E">
        <w:t>hole of the instrument</w:t>
      </w:r>
    </w:p>
    <w:p w14:paraId="6CF7E847" w14:textId="6BACD842" w:rsidR="004E1307" w:rsidRDefault="00D6537E" w:rsidP="00D6537E">
      <w:pPr>
        <w:pStyle w:val="Item"/>
      </w:pPr>
      <w:r>
        <w:t>Repeal the instrument</w:t>
      </w:r>
      <w:r w:rsidR="00A742B9">
        <w:t>.</w:t>
      </w:r>
    </w:p>
    <w:p w14:paraId="7D96E639" w14:textId="77777777" w:rsidR="00554826" w:rsidRPr="00554826" w:rsidRDefault="00554826" w:rsidP="00554826"/>
    <w:p w14:paraId="4AE29BE6" w14:textId="0589D86B" w:rsidR="00A75FE9" w:rsidRDefault="00A75FE9" w:rsidP="00C507D8">
      <w:pPr>
        <w:spacing w:line="240" w:lineRule="auto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F245" w14:textId="77777777" w:rsidR="00B33700" w:rsidRDefault="00B33700" w:rsidP="00715914">
      <w:pPr>
        <w:spacing w:line="240" w:lineRule="auto"/>
      </w:pPr>
      <w:r>
        <w:separator/>
      </w:r>
    </w:p>
  </w:endnote>
  <w:endnote w:type="continuationSeparator" w:id="0">
    <w:p w14:paraId="7717B3FA" w14:textId="77777777" w:rsidR="00B33700" w:rsidRDefault="00B3370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DCB5" w14:textId="77777777" w:rsidR="00281C34" w:rsidRPr="00E33C1C" w:rsidRDefault="00281C3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1C34" w14:paraId="21FE8D9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A01720" w14:textId="77777777" w:rsidR="00281C34" w:rsidRDefault="00281C3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A3D468" w14:textId="77777777" w:rsidR="00281C34" w:rsidRPr="004E1307" w:rsidRDefault="00281C3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1872F3" w14:textId="77777777" w:rsidR="00281C34" w:rsidRDefault="00281C3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81C34" w14:paraId="1859EF6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8AFEB3" w14:textId="77777777" w:rsidR="00281C34" w:rsidRDefault="00281C34" w:rsidP="00A369E3">
          <w:pPr>
            <w:jc w:val="right"/>
            <w:rPr>
              <w:sz w:val="18"/>
            </w:rPr>
          </w:pPr>
        </w:p>
      </w:tc>
    </w:tr>
  </w:tbl>
  <w:p w14:paraId="4D41565F" w14:textId="77777777" w:rsidR="00281C34" w:rsidRPr="00ED79B6" w:rsidRDefault="00281C3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0D75" w14:textId="77777777" w:rsidR="00281C34" w:rsidRPr="00E33C1C" w:rsidRDefault="00281C3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81C34" w14:paraId="737512C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A9F162" w14:textId="77777777" w:rsidR="00281C34" w:rsidRDefault="00281C3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E1910" w14:textId="77777777" w:rsidR="00281C34" w:rsidRDefault="00281C3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345A33" w14:textId="77777777" w:rsidR="00281C34" w:rsidRDefault="00281C3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1C34" w14:paraId="4709985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5DEAE7" w14:textId="77777777" w:rsidR="00281C34" w:rsidRDefault="00281C34" w:rsidP="00A369E3">
          <w:pPr>
            <w:rPr>
              <w:sz w:val="18"/>
            </w:rPr>
          </w:pPr>
        </w:p>
      </w:tc>
    </w:tr>
  </w:tbl>
  <w:p w14:paraId="5625A475" w14:textId="77777777" w:rsidR="00281C34" w:rsidRPr="00ED79B6" w:rsidRDefault="00281C3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6902" w14:textId="77777777" w:rsidR="00281C34" w:rsidRPr="00E33C1C" w:rsidRDefault="00281C3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81C34" w14:paraId="2CA6B14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F152E8" w14:textId="77777777" w:rsidR="00281C34" w:rsidRDefault="00281C3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067EAD" w14:textId="77777777" w:rsidR="00281C34" w:rsidRDefault="00281C3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367803" w14:textId="77777777" w:rsidR="00281C34" w:rsidRDefault="00281C3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ECC93E" w14:textId="77777777" w:rsidR="00281C34" w:rsidRPr="00ED79B6" w:rsidRDefault="00281C3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FEEA" w14:textId="77777777" w:rsidR="00281C34" w:rsidRPr="002B0EA5" w:rsidRDefault="00281C34" w:rsidP="0022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81C34" w14:paraId="7CBCE85A" w14:textId="77777777" w:rsidTr="00227493">
      <w:tc>
        <w:tcPr>
          <w:tcW w:w="365" w:type="pct"/>
        </w:tcPr>
        <w:p w14:paraId="2AE1137A" w14:textId="77777777" w:rsidR="00281C34" w:rsidRDefault="00281C34" w:rsidP="002274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B4F934" w14:textId="77777777" w:rsidR="00281C34" w:rsidRDefault="00281C34" w:rsidP="002274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4C8F71E" w14:textId="77777777" w:rsidR="00281C34" w:rsidRDefault="00281C34" w:rsidP="00227493">
          <w:pPr>
            <w:spacing w:line="0" w:lineRule="atLeast"/>
            <w:jc w:val="right"/>
            <w:rPr>
              <w:sz w:val="18"/>
            </w:rPr>
          </w:pPr>
        </w:p>
      </w:tc>
    </w:tr>
    <w:tr w:rsidR="00281C34" w14:paraId="5F9D16A6" w14:textId="77777777" w:rsidTr="00227493">
      <w:tc>
        <w:tcPr>
          <w:tcW w:w="5000" w:type="pct"/>
          <w:gridSpan w:val="3"/>
        </w:tcPr>
        <w:p w14:paraId="762AB635" w14:textId="77777777" w:rsidR="00281C34" w:rsidRDefault="00281C34" w:rsidP="00227493">
          <w:pPr>
            <w:jc w:val="right"/>
            <w:rPr>
              <w:sz w:val="18"/>
            </w:rPr>
          </w:pPr>
        </w:p>
      </w:tc>
    </w:tr>
  </w:tbl>
  <w:p w14:paraId="287AC0D6" w14:textId="77777777" w:rsidR="00281C34" w:rsidRPr="00ED79B6" w:rsidRDefault="00281C34" w:rsidP="0022749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6E3E" w14:textId="77777777" w:rsidR="00281C34" w:rsidRPr="002B0EA5" w:rsidRDefault="00281C34" w:rsidP="0022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81C34" w14:paraId="420D3147" w14:textId="77777777" w:rsidTr="00227493">
      <w:tc>
        <w:tcPr>
          <w:tcW w:w="947" w:type="pct"/>
        </w:tcPr>
        <w:p w14:paraId="018313D9" w14:textId="77777777" w:rsidR="00281C34" w:rsidRDefault="00281C34" w:rsidP="002274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9D1EB6" w14:textId="5A2B6FE9" w:rsidR="00281C34" w:rsidRDefault="00281C34" w:rsidP="002274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3034">
            <w:rPr>
              <w:i/>
              <w:noProof/>
              <w:sz w:val="18"/>
            </w:rPr>
            <w:t>Education Services for Overseas Students (Notice Requirements)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AFEC68" w14:textId="77777777" w:rsidR="00281C34" w:rsidRDefault="00281C34" w:rsidP="002274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1C34" w14:paraId="17C6DA66" w14:textId="77777777" w:rsidTr="00227493">
      <w:tc>
        <w:tcPr>
          <w:tcW w:w="5000" w:type="pct"/>
          <w:gridSpan w:val="3"/>
        </w:tcPr>
        <w:p w14:paraId="0F284AB6" w14:textId="77777777" w:rsidR="00281C34" w:rsidRDefault="00281C34" w:rsidP="00227493">
          <w:pPr>
            <w:rPr>
              <w:sz w:val="18"/>
            </w:rPr>
          </w:pPr>
        </w:p>
      </w:tc>
    </w:tr>
  </w:tbl>
  <w:p w14:paraId="42B529F6" w14:textId="77777777" w:rsidR="00281C34" w:rsidRPr="00ED79B6" w:rsidRDefault="00281C34" w:rsidP="0022749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DE7F" w14:textId="77777777" w:rsidR="00281C34" w:rsidRPr="002B0EA5" w:rsidRDefault="00281C34" w:rsidP="0022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81C34" w14:paraId="32283DEE" w14:textId="77777777" w:rsidTr="00227493">
      <w:tc>
        <w:tcPr>
          <w:tcW w:w="365" w:type="pct"/>
        </w:tcPr>
        <w:p w14:paraId="65E2B77A" w14:textId="77777777" w:rsidR="00281C34" w:rsidRDefault="00281C34" w:rsidP="002274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A5C193" w14:textId="528A0F7B" w:rsidR="00281C34" w:rsidRDefault="00281C34" w:rsidP="002274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3034">
            <w:rPr>
              <w:i/>
              <w:noProof/>
              <w:sz w:val="18"/>
            </w:rPr>
            <w:t>Education Services for Overseas Students (Notice Requirements)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30000B8" w14:textId="77777777" w:rsidR="00281C34" w:rsidRDefault="00281C34" w:rsidP="00227493">
          <w:pPr>
            <w:spacing w:line="0" w:lineRule="atLeast"/>
            <w:jc w:val="right"/>
            <w:rPr>
              <w:sz w:val="18"/>
            </w:rPr>
          </w:pPr>
        </w:p>
      </w:tc>
    </w:tr>
    <w:tr w:rsidR="00281C34" w14:paraId="45BE1081" w14:textId="77777777" w:rsidTr="00227493">
      <w:tc>
        <w:tcPr>
          <w:tcW w:w="5000" w:type="pct"/>
          <w:gridSpan w:val="3"/>
        </w:tcPr>
        <w:p w14:paraId="4CDC97F3" w14:textId="77777777" w:rsidR="00281C34" w:rsidRDefault="00281C34" w:rsidP="00227493">
          <w:pPr>
            <w:jc w:val="right"/>
            <w:rPr>
              <w:sz w:val="18"/>
            </w:rPr>
          </w:pPr>
        </w:p>
      </w:tc>
    </w:tr>
  </w:tbl>
  <w:p w14:paraId="278C0CCA" w14:textId="77777777" w:rsidR="00281C34" w:rsidRPr="00ED79B6" w:rsidRDefault="00281C34" w:rsidP="0022749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2FA6" w14:textId="77777777" w:rsidR="00281C34" w:rsidRPr="002B0EA5" w:rsidRDefault="00281C34" w:rsidP="0022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81C34" w14:paraId="6E3244DC" w14:textId="77777777" w:rsidTr="00227493">
      <w:tc>
        <w:tcPr>
          <w:tcW w:w="947" w:type="pct"/>
        </w:tcPr>
        <w:p w14:paraId="454CBB3C" w14:textId="77777777" w:rsidR="00281C34" w:rsidRDefault="00281C34" w:rsidP="002274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B7D506" w14:textId="59387A21" w:rsidR="00281C34" w:rsidRDefault="00281C34" w:rsidP="002274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3034">
            <w:rPr>
              <w:i/>
              <w:noProof/>
              <w:sz w:val="18"/>
            </w:rPr>
            <w:t>Education Services for Overseas Students (Notice Requirements)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674140E" w14:textId="77777777" w:rsidR="00281C34" w:rsidRDefault="00281C34" w:rsidP="002274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1C34" w14:paraId="28CA959F" w14:textId="77777777" w:rsidTr="00227493">
      <w:tc>
        <w:tcPr>
          <w:tcW w:w="5000" w:type="pct"/>
          <w:gridSpan w:val="3"/>
        </w:tcPr>
        <w:p w14:paraId="19889BB8" w14:textId="77777777" w:rsidR="00281C34" w:rsidRDefault="00281C34" w:rsidP="00227493">
          <w:pPr>
            <w:rPr>
              <w:sz w:val="18"/>
            </w:rPr>
          </w:pPr>
        </w:p>
      </w:tc>
    </w:tr>
  </w:tbl>
  <w:p w14:paraId="7EDABBF1" w14:textId="77777777" w:rsidR="00281C34" w:rsidRPr="00ED79B6" w:rsidRDefault="00281C34" w:rsidP="0022749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1989" w14:textId="77777777" w:rsidR="00B33700" w:rsidRDefault="00B33700" w:rsidP="00715914">
      <w:pPr>
        <w:spacing w:line="240" w:lineRule="auto"/>
      </w:pPr>
      <w:r>
        <w:separator/>
      </w:r>
    </w:p>
  </w:footnote>
  <w:footnote w:type="continuationSeparator" w:id="0">
    <w:p w14:paraId="25A24B60" w14:textId="77777777" w:rsidR="00B33700" w:rsidRDefault="00B3370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4B8A" w14:textId="77777777" w:rsidR="00281C34" w:rsidRPr="005F1388" w:rsidRDefault="00281C3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008E" w14:textId="77777777" w:rsidR="00281C34" w:rsidRPr="005F1388" w:rsidRDefault="00281C3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CD99" w14:textId="77777777" w:rsidR="007F0BB3" w:rsidRDefault="007F0B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C88C" w14:textId="77777777" w:rsidR="00281C34" w:rsidRPr="00ED79B6" w:rsidRDefault="00281C34" w:rsidP="0022749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9ACD" w14:textId="77777777" w:rsidR="00281C34" w:rsidRPr="00ED79B6" w:rsidRDefault="00281C34" w:rsidP="0022749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254" w14:textId="77777777" w:rsidR="00281C34" w:rsidRPr="00ED79B6" w:rsidRDefault="00281C3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B239" w14:textId="77777777" w:rsidR="00281C34" w:rsidRDefault="00281C34" w:rsidP="00715914">
    <w:pPr>
      <w:rPr>
        <w:sz w:val="20"/>
      </w:rPr>
    </w:pPr>
  </w:p>
  <w:p w14:paraId="1555F79F" w14:textId="77777777" w:rsidR="00281C34" w:rsidRDefault="00281C34" w:rsidP="00715914">
    <w:pPr>
      <w:rPr>
        <w:sz w:val="20"/>
      </w:rPr>
    </w:pPr>
  </w:p>
  <w:p w14:paraId="1E094A1B" w14:textId="77777777" w:rsidR="00281C34" w:rsidRPr="007A1328" w:rsidRDefault="00281C34" w:rsidP="00715914">
    <w:pPr>
      <w:rPr>
        <w:sz w:val="20"/>
      </w:rPr>
    </w:pPr>
  </w:p>
  <w:p w14:paraId="656CC240" w14:textId="77777777" w:rsidR="00281C34" w:rsidRPr="007A1328" w:rsidRDefault="00281C34" w:rsidP="00715914">
    <w:pPr>
      <w:rPr>
        <w:b/>
        <w:sz w:val="24"/>
      </w:rPr>
    </w:pPr>
  </w:p>
  <w:p w14:paraId="1865064A" w14:textId="77777777" w:rsidR="00281C34" w:rsidRPr="007A1328" w:rsidRDefault="00281C3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433E" w14:textId="77777777" w:rsidR="00281C34" w:rsidRPr="007A1328" w:rsidRDefault="00281C34" w:rsidP="00715914">
    <w:pPr>
      <w:jc w:val="right"/>
      <w:rPr>
        <w:sz w:val="20"/>
      </w:rPr>
    </w:pPr>
  </w:p>
  <w:p w14:paraId="2CFA84A8" w14:textId="77777777" w:rsidR="00281C34" w:rsidRPr="007A1328" w:rsidRDefault="00281C34" w:rsidP="00715914">
    <w:pPr>
      <w:jc w:val="right"/>
      <w:rPr>
        <w:sz w:val="20"/>
      </w:rPr>
    </w:pPr>
  </w:p>
  <w:p w14:paraId="21BFE06C" w14:textId="77777777" w:rsidR="00281C34" w:rsidRPr="007A1328" w:rsidRDefault="00281C34" w:rsidP="00715914">
    <w:pPr>
      <w:jc w:val="right"/>
      <w:rPr>
        <w:sz w:val="20"/>
      </w:rPr>
    </w:pPr>
  </w:p>
  <w:p w14:paraId="59115C56" w14:textId="77777777" w:rsidR="00281C34" w:rsidRPr="007A1328" w:rsidRDefault="00281C34" w:rsidP="00715914">
    <w:pPr>
      <w:jc w:val="right"/>
      <w:rPr>
        <w:b/>
        <w:sz w:val="24"/>
      </w:rPr>
    </w:pPr>
  </w:p>
  <w:p w14:paraId="0A102590" w14:textId="77777777" w:rsidR="00281C34" w:rsidRPr="007A1328" w:rsidRDefault="00281C3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9453B8F"/>
    <w:multiLevelType w:val="hybridMultilevel"/>
    <w:tmpl w:val="8220A47E"/>
    <w:lvl w:ilvl="0" w:tplc="08B68F9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E3"/>
    <w:rsid w:val="00004174"/>
    <w:rsid w:val="00004470"/>
    <w:rsid w:val="000136AF"/>
    <w:rsid w:val="00017540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20A7"/>
    <w:rsid w:val="00132CEB"/>
    <w:rsid w:val="001339B0"/>
    <w:rsid w:val="00142B62"/>
    <w:rsid w:val="001441B7"/>
    <w:rsid w:val="001500DF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05FE"/>
    <w:rsid w:val="001E300B"/>
    <w:rsid w:val="001E3590"/>
    <w:rsid w:val="001E7407"/>
    <w:rsid w:val="001F105F"/>
    <w:rsid w:val="001F5D5E"/>
    <w:rsid w:val="001F6219"/>
    <w:rsid w:val="001F6CD4"/>
    <w:rsid w:val="00206C4D"/>
    <w:rsid w:val="00215AF1"/>
    <w:rsid w:val="00227493"/>
    <w:rsid w:val="002321E8"/>
    <w:rsid w:val="00232984"/>
    <w:rsid w:val="0024010F"/>
    <w:rsid w:val="00240749"/>
    <w:rsid w:val="00243018"/>
    <w:rsid w:val="002564A4"/>
    <w:rsid w:val="0026736C"/>
    <w:rsid w:val="00281308"/>
    <w:rsid w:val="00281C34"/>
    <w:rsid w:val="00284719"/>
    <w:rsid w:val="00297ECB"/>
    <w:rsid w:val="002A7BCF"/>
    <w:rsid w:val="002C3FD1"/>
    <w:rsid w:val="002D043A"/>
    <w:rsid w:val="002D266B"/>
    <w:rsid w:val="002D6224"/>
    <w:rsid w:val="00304F8B"/>
    <w:rsid w:val="00322E43"/>
    <w:rsid w:val="00335BC6"/>
    <w:rsid w:val="003415D3"/>
    <w:rsid w:val="0034339D"/>
    <w:rsid w:val="00344338"/>
    <w:rsid w:val="00344701"/>
    <w:rsid w:val="00352B0F"/>
    <w:rsid w:val="00354B27"/>
    <w:rsid w:val="00360459"/>
    <w:rsid w:val="00371165"/>
    <w:rsid w:val="003767E2"/>
    <w:rsid w:val="0038049F"/>
    <w:rsid w:val="00384E01"/>
    <w:rsid w:val="003C6231"/>
    <w:rsid w:val="003D0BFE"/>
    <w:rsid w:val="003D5700"/>
    <w:rsid w:val="003E341B"/>
    <w:rsid w:val="003E4D00"/>
    <w:rsid w:val="00405981"/>
    <w:rsid w:val="004116CD"/>
    <w:rsid w:val="00416AB7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3164"/>
    <w:rsid w:val="00496F97"/>
    <w:rsid w:val="004B6C48"/>
    <w:rsid w:val="004C4E59"/>
    <w:rsid w:val="004C6809"/>
    <w:rsid w:val="004E063A"/>
    <w:rsid w:val="004E1307"/>
    <w:rsid w:val="004E7BEC"/>
    <w:rsid w:val="004F7FD8"/>
    <w:rsid w:val="00505D3D"/>
    <w:rsid w:val="00506AF6"/>
    <w:rsid w:val="00516B8D"/>
    <w:rsid w:val="005303C8"/>
    <w:rsid w:val="00537FBC"/>
    <w:rsid w:val="00554826"/>
    <w:rsid w:val="00562877"/>
    <w:rsid w:val="005765C0"/>
    <w:rsid w:val="00584811"/>
    <w:rsid w:val="00585784"/>
    <w:rsid w:val="005869B4"/>
    <w:rsid w:val="00593AA6"/>
    <w:rsid w:val="00594161"/>
    <w:rsid w:val="00594749"/>
    <w:rsid w:val="005A65D5"/>
    <w:rsid w:val="005A6EA9"/>
    <w:rsid w:val="005B4067"/>
    <w:rsid w:val="005B7146"/>
    <w:rsid w:val="005C3F41"/>
    <w:rsid w:val="005D1D92"/>
    <w:rsid w:val="005D2D09"/>
    <w:rsid w:val="005D4A8B"/>
    <w:rsid w:val="005E49BD"/>
    <w:rsid w:val="00600219"/>
    <w:rsid w:val="00604F2A"/>
    <w:rsid w:val="006076EC"/>
    <w:rsid w:val="006171DE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0759"/>
    <w:rsid w:val="006C30C5"/>
    <w:rsid w:val="006C7F8C"/>
    <w:rsid w:val="006D1824"/>
    <w:rsid w:val="006E2E1C"/>
    <w:rsid w:val="006E6246"/>
    <w:rsid w:val="006E69C2"/>
    <w:rsid w:val="006E6DCC"/>
    <w:rsid w:val="006F318F"/>
    <w:rsid w:val="0070017E"/>
    <w:rsid w:val="00700B2C"/>
    <w:rsid w:val="00701E02"/>
    <w:rsid w:val="007050A2"/>
    <w:rsid w:val="00713084"/>
    <w:rsid w:val="00713A92"/>
    <w:rsid w:val="00714F20"/>
    <w:rsid w:val="0071590F"/>
    <w:rsid w:val="00715914"/>
    <w:rsid w:val="0072147A"/>
    <w:rsid w:val="00723791"/>
    <w:rsid w:val="00724B08"/>
    <w:rsid w:val="00724E3E"/>
    <w:rsid w:val="00731E00"/>
    <w:rsid w:val="007440B7"/>
    <w:rsid w:val="007500C8"/>
    <w:rsid w:val="00753650"/>
    <w:rsid w:val="00756272"/>
    <w:rsid w:val="00762D38"/>
    <w:rsid w:val="007715C9"/>
    <w:rsid w:val="00771613"/>
    <w:rsid w:val="00774EDD"/>
    <w:rsid w:val="007757EC"/>
    <w:rsid w:val="00783E89"/>
    <w:rsid w:val="00793915"/>
    <w:rsid w:val="007A3034"/>
    <w:rsid w:val="007C2253"/>
    <w:rsid w:val="007D7911"/>
    <w:rsid w:val="007E163D"/>
    <w:rsid w:val="007E667A"/>
    <w:rsid w:val="007F0BB3"/>
    <w:rsid w:val="007F28C9"/>
    <w:rsid w:val="007F51B2"/>
    <w:rsid w:val="008040DD"/>
    <w:rsid w:val="008117E9"/>
    <w:rsid w:val="00824498"/>
    <w:rsid w:val="00826BD1"/>
    <w:rsid w:val="00834BAE"/>
    <w:rsid w:val="00854D0B"/>
    <w:rsid w:val="00856A31"/>
    <w:rsid w:val="00860B4E"/>
    <w:rsid w:val="00865191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4F06"/>
    <w:rsid w:val="00977806"/>
    <w:rsid w:val="00982242"/>
    <w:rsid w:val="009868E9"/>
    <w:rsid w:val="009900A3"/>
    <w:rsid w:val="009C3413"/>
    <w:rsid w:val="009D1E79"/>
    <w:rsid w:val="009E6A82"/>
    <w:rsid w:val="009F6305"/>
    <w:rsid w:val="00A0441E"/>
    <w:rsid w:val="00A12128"/>
    <w:rsid w:val="00A22C98"/>
    <w:rsid w:val="00A231E2"/>
    <w:rsid w:val="00A26085"/>
    <w:rsid w:val="00A369E3"/>
    <w:rsid w:val="00A57600"/>
    <w:rsid w:val="00A64912"/>
    <w:rsid w:val="00A70A74"/>
    <w:rsid w:val="00A742B9"/>
    <w:rsid w:val="00A75FE9"/>
    <w:rsid w:val="00A97C4E"/>
    <w:rsid w:val="00AC0865"/>
    <w:rsid w:val="00AD53CC"/>
    <w:rsid w:val="00AD5641"/>
    <w:rsid w:val="00AE7A9E"/>
    <w:rsid w:val="00AF06CF"/>
    <w:rsid w:val="00AF431C"/>
    <w:rsid w:val="00B07CDB"/>
    <w:rsid w:val="00B162F6"/>
    <w:rsid w:val="00B16A31"/>
    <w:rsid w:val="00B17DFD"/>
    <w:rsid w:val="00B25306"/>
    <w:rsid w:val="00B27831"/>
    <w:rsid w:val="00B308FE"/>
    <w:rsid w:val="00B331ED"/>
    <w:rsid w:val="00B33700"/>
    <w:rsid w:val="00B33709"/>
    <w:rsid w:val="00B33B3C"/>
    <w:rsid w:val="00B34E06"/>
    <w:rsid w:val="00B36392"/>
    <w:rsid w:val="00B418CB"/>
    <w:rsid w:val="00B44524"/>
    <w:rsid w:val="00B47444"/>
    <w:rsid w:val="00B50ADC"/>
    <w:rsid w:val="00B566B1"/>
    <w:rsid w:val="00B63834"/>
    <w:rsid w:val="00B80199"/>
    <w:rsid w:val="00B83204"/>
    <w:rsid w:val="00B856E7"/>
    <w:rsid w:val="00B91FF5"/>
    <w:rsid w:val="00BA220B"/>
    <w:rsid w:val="00BA3A57"/>
    <w:rsid w:val="00BA44A5"/>
    <w:rsid w:val="00BB1533"/>
    <w:rsid w:val="00BB4E1A"/>
    <w:rsid w:val="00BC015E"/>
    <w:rsid w:val="00BC6617"/>
    <w:rsid w:val="00BC76AC"/>
    <w:rsid w:val="00BD0ECB"/>
    <w:rsid w:val="00BE2155"/>
    <w:rsid w:val="00BE719A"/>
    <w:rsid w:val="00BE720A"/>
    <w:rsid w:val="00BF0D73"/>
    <w:rsid w:val="00BF2465"/>
    <w:rsid w:val="00C1091F"/>
    <w:rsid w:val="00C16619"/>
    <w:rsid w:val="00C25E7F"/>
    <w:rsid w:val="00C2746F"/>
    <w:rsid w:val="00C315B9"/>
    <w:rsid w:val="00C323D6"/>
    <w:rsid w:val="00C324A0"/>
    <w:rsid w:val="00C42BF8"/>
    <w:rsid w:val="00C50043"/>
    <w:rsid w:val="00C507D8"/>
    <w:rsid w:val="00C675E3"/>
    <w:rsid w:val="00C7573B"/>
    <w:rsid w:val="00C97A54"/>
    <w:rsid w:val="00CA5B23"/>
    <w:rsid w:val="00CB602E"/>
    <w:rsid w:val="00CB7E90"/>
    <w:rsid w:val="00CD461D"/>
    <w:rsid w:val="00CE051D"/>
    <w:rsid w:val="00CE1335"/>
    <w:rsid w:val="00CE493D"/>
    <w:rsid w:val="00CE60F9"/>
    <w:rsid w:val="00CF07FA"/>
    <w:rsid w:val="00CF0BB2"/>
    <w:rsid w:val="00CF3EE8"/>
    <w:rsid w:val="00D01A29"/>
    <w:rsid w:val="00D13441"/>
    <w:rsid w:val="00D150E7"/>
    <w:rsid w:val="00D52DC2"/>
    <w:rsid w:val="00D53BCC"/>
    <w:rsid w:val="00D54C9E"/>
    <w:rsid w:val="00D6537E"/>
    <w:rsid w:val="00D70DFB"/>
    <w:rsid w:val="00D714DD"/>
    <w:rsid w:val="00D766DF"/>
    <w:rsid w:val="00D8206C"/>
    <w:rsid w:val="00D91F10"/>
    <w:rsid w:val="00D936B8"/>
    <w:rsid w:val="00DA186E"/>
    <w:rsid w:val="00DA4116"/>
    <w:rsid w:val="00DB251C"/>
    <w:rsid w:val="00DB4630"/>
    <w:rsid w:val="00DC4F88"/>
    <w:rsid w:val="00DE107C"/>
    <w:rsid w:val="00DF2388"/>
    <w:rsid w:val="00E05704"/>
    <w:rsid w:val="00E243EE"/>
    <w:rsid w:val="00E338EF"/>
    <w:rsid w:val="00E446B2"/>
    <w:rsid w:val="00E544BB"/>
    <w:rsid w:val="00E74DC7"/>
    <w:rsid w:val="00E8075A"/>
    <w:rsid w:val="00E940D8"/>
    <w:rsid w:val="00E94D5E"/>
    <w:rsid w:val="00EA7100"/>
    <w:rsid w:val="00EA7F9F"/>
    <w:rsid w:val="00EB1274"/>
    <w:rsid w:val="00EB6BCE"/>
    <w:rsid w:val="00ED2BB6"/>
    <w:rsid w:val="00ED34E1"/>
    <w:rsid w:val="00ED3B8D"/>
    <w:rsid w:val="00EE5E36"/>
    <w:rsid w:val="00EF2A5F"/>
    <w:rsid w:val="00EF2E3A"/>
    <w:rsid w:val="00F02A23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3D4C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2BDF6F"/>
  <w15:docId w15:val="{D13279D4-E68F-47D3-B407-33A10976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E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0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0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00B"/>
    <w:rPr>
      <w:b/>
      <w:bCs/>
    </w:rPr>
  </w:style>
  <w:style w:type="paragraph" w:customStyle="1" w:styleId="hr">
    <w:name w:val="hr"/>
    <w:basedOn w:val="Normal"/>
    <w:rsid w:val="00371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71165"/>
  </w:style>
  <w:style w:type="paragraph" w:customStyle="1" w:styleId="zr1">
    <w:name w:val="zr1"/>
    <w:basedOn w:val="Normal"/>
    <w:rsid w:val="00371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71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71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C66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27\AppData\Local\Temp\1\MicrosoftEdgeDownloads\c71ddfe8-2a8a-4423-80dd-f791a2c4a769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9ED96B-DAA9-4919-9496-24137AAE8E9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38057EA04109045A4295464960635FC" ma:contentTypeVersion="" ma:contentTypeDescription="PDMS Document Site Content Type" ma:contentTypeScope="" ma:versionID="21cda227af2614520e91a9b1a309c61a">
  <xsd:schema xmlns:xsd="http://www.w3.org/2001/XMLSchema" xmlns:xs="http://www.w3.org/2001/XMLSchema" xmlns:p="http://schemas.microsoft.com/office/2006/metadata/properties" xmlns:ns2="C99ED96B-DAA9-4919-9496-24137AAE8E98" targetNamespace="http://schemas.microsoft.com/office/2006/metadata/properties" ma:root="true" ma:fieldsID="d9598d1ae5bc9feb01c53626503e6804" ns2:_="">
    <xsd:import namespace="C99ED96B-DAA9-4919-9496-24137AAE8E9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D96B-DAA9-4919-9496-24137AAE8E9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20D17-FF4E-40FA-8CF0-D3A03680A64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99ED96B-DAA9-4919-9496-24137AAE8E9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323AC7-39D0-4793-A39C-5C0045A3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ED96B-DAA9-4919-9496-24137AAE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B496B-7FE1-4038-9462-D294F52E5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(1).dotx</Template>
  <TotalTime>2</TotalTime>
  <Pages>7</Pages>
  <Words>843</Words>
  <Characters>4410</Characters>
  <Application>Microsoft Office Word</Application>
  <DocSecurity>0</DocSecurity>
  <Lines>339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OSTOJIC,Stephanie</cp:lastModifiedBy>
  <cp:revision>4</cp:revision>
  <dcterms:created xsi:type="dcterms:W3CDTF">2022-09-27T23:10:00Z</dcterms:created>
  <dcterms:modified xsi:type="dcterms:W3CDTF">2022-09-30T01:56:00Z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2022-07-13T01:39:19Z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aceb2efb-93e0-4ec9-ae71-f212329cedfb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0x010100266966F133664895A6EE3632470D45F500338057EA04109045A4295464960635FC</vt:lpwstr>
  </property>
</Properties>
</file>